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053A4A" w:rsidP="00053A4A">
      <w:pPr>
        <w:spacing w:line="240" w:lineRule="auto"/>
        <w:rPr>
          <w:b/>
        </w:rPr>
      </w:pPr>
      <w:r>
        <w:rPr>
          <w:b/>
        </w:rPr>
        <w:t>BEFORE THE</w:t>
      </w:r>
    </w:p>
    <w:p w:rsidR="00053A4A" w:rsidRDefault="00053A4A" w:rsidP="00053A4A">
      <w:pPr>
        <w:spacing w:line="240" w:lineRule="auto"/>
        <w:rPr>
          <w:b/>
        </w:rPr>
      </w:pPr>
      <w:r>
        <w:rPr>
          <w:b/>
        </w:rPr>
        <w:t>PENNSYLVANIA PUBLIC UTILITY COMMISSION</w:t>
      </w:r>
    </w:p>
    <w:p w:rsidR="00053A4A" w:rsidRDefault="00053A4A" w:rsidP="00053A4A">
      <w:pPr>
        <w:spacing w:line="240" w:lineRule="auto"/>
        <w:rPr>
          <w:b/>
        </w:rPr>
      </w:pPr>
    </w:p>
    <w:p w:rsidR="00053A4A" w:rsidRDefault="00053A4A" w:rsidP="00053A4A">
      <w:pPr>
        <w:spacing w:line="240" w:lineRule="auto"/>
        <w:rPr>
          <w:b/>
        </w:rPr>
      </w:pPr>
    </w:p>
    <w:p w:rsidR="00180787" w:rsidRDefault="00180787" w:rsidP="00053A4A">
      <w:pPr>
        <w:spacing w:line="240" w:lineRule="auto"/>
        <w:rPr>
          <w:b/>
        </w:rPr>
      </w:pPr>
    </w:p>
    <w:p w:rsidR="00053A4A" w:rsidRDefault="00053A4A" w:rsidP="00053A4A">
      <w:pPr>
        <w:spacing w:line="240" w:lineRule="auto"/>
        <w:jc w:val="left"/>
      </w:pPr>
      <w:r>
        <w:t xml:space="preserve">Michael </w:t>
      </w:r>
      <w:proofErr w:type="spellStart"/>
      <w:r>
        <w:t>Salko</w:t>
      </w:r>
      <w:proofErr w:type="spellEnd"/>
      <w:r>
        <w:t xml:space="preserve">, Jr. </w:t>
      </w:r>
      <w:r>
        <w:tab/>
      </w:r>
      <w:r>
        <w:tab/>
      </w:r>
      <w:r>
        <w:tab/>
      </w:r>
      <w:r>
        <w:tab/>
      </w:r>
      <w:r>
        <w:tab/>
        <w:t>:</w:t>
      </w:r>
    </w:p>
    <w:p w:rsidR="00053A4A" w:rsidRDefault="00053A4A" w:rsidP="00053A4A">
      <w:pPr>
        <w:spacing w:line="240" w:lineRule="auto"/>
        <w:jc w:val="left"/>
      </w:pPr>
      <w:r>
        <w:tab/>
      </w:r>
      <w:r>
        <w:tab/>
      </w:r>
      <w:r>
        <w:tab/>
      </w:r>
      <w:r>
        <w:tab/>
      </w:r>
      <w:r>
        <w:tab/>
      </w:r>
      <w:r>
        <w:tab/>
      </w:r>
      <w:r>
        <w:tab/>
        <w:t>:</w:t>
      </w:r>
    </w:p>
    <w:p w:rsidR="00053A4A" w:rsidRDefault="00053A4A" w:rsidP="00053A4A">
      <w:pPr>
        <w:spacing w:line="240" w:lineRule="auto"/>
        <w:jc w:val="left"/>
      </w:pPr>
      <w:r>
        <w:tab/>
        <w:t>v.</w:t>
      </w:r>
      <w:r>
        <w:tab/>
      </w:r>
      <w:r>
        <w:tab/>
      </w:r>
      <w:r>
        <w:tab/>
      </w:r>
      <w:r>
        <w:tab/>
      </w:r>
      <w:r>
        <w:tab/>
      </w:r>
      <w:r>
        <w:tab/>
        <w:t>:</w:t>
      </w:r>
      <w:r>
        <w:tab/>
      </w:r>
      <w:r>
        <w:tab/>
      </w:r>
      <w:r>
        <w:tab/>
        <w:t>C-2015-2472734</w:t>
      </w:r>
    </w:p>
    <w:p w:rsidR="00053A4A" w:rsidRDefault="00053A4A" w:rsidP="00053A4A">
      <w:pPr>
        <w:spacing w:line="240" w:lineRule="auto"/>
        <w:jc w:val="left"/>
      </w:pPr>
      <w:r>
        <w:tab/>
      </w:r>
      <w:r>
        <w:tab/>
      </w:r>
      <w:r>
        <w:tab/>
      </w:r>
      <w:r>
        <w:tab/>
      </w:r>
      <w:r>
        <w:tab/>
      </w:r>
      <w:r>
        <w:tab/>
      </w:r>
      <w:r>
        <w:tab/>
        <w:t>:</w:t>
      </w:r>
    </w:p>
    <w:p w:rsidR="00053A4A" w:rsidRDefault="00053A4A" w:rsidP="00053A4A">
      <w:pPr>
        <w:spacing w:line="240" w:lineRule="auto"/>
        <w:jc w:val="left"/>
      </w:pPr>
      <w:r>
        <w:t>PPL Electric Utilities Corporation</w:t>
      </w:r>
      <w:r>
        <w:tab/>
      </w:r>
      <w:r>
        <w:tab/>
      </w:r>
      <w:r>
        <w:tab/>
        <w:t>:</w:t>
      </w:r>
    </w:p>
    <w:p w:rsidR="00053A4A" w:rsidRDefault="00053A4A" w:rsidP="00053A4A">
      <w:pPr>
        <w:spacing w:line="240" w:lineRule="auto"/>
        <w:jc w:val="left"/>
      </w:pPr>
    </w:p>
    <w:p w:rsidR="00053A4A" w:rsidRDefault="00053A4A" w:rsidP="00053A4A">
      <w:pPr>
        <w:spacing w:line="240" w:lineRule="auto"/>
        <w:jc w:val="left"/>
      </w:pPr>
    </w:p>
    <w:p w:rsidR="00180787" w:rsidRDefault="00180787" w:rsidP="00053A4A">
      <w:pPr>
        <w:spacing w:line="240" w:lineRule="auto"/>
        <w:jc w:val="left"/>
      </w:pPr>
    </w:p>
    <w:p w:rsidR="00053A4A" w:rsidRPr="00053A4A" w:rsidRDefault="00053A4A" w:rsidP="00053A4A">
      <w:pPr>
        <w:spacing w:line="240" w:lineRule="auto"/>
        <w:rPr>
          <w:b/>
          <w:u w:val="single"/>
        </w:rPr>
      </w:pPr>
      <w:r w:rsidRPr="00053A4A">
        <w:rPr>
          <w:b/>
          <w:u w:val="single"/>
        </w:rPr>
        <w:t>INITIAL DECISION</w:t>
      </w:r>
    </w:p>
    <w:p w:rsidR="00053A4A" w:rsidRDefault="00053A4A" w:rsidP="00053A4A">
      <w:pPr>
        <w:spacing w:line="240" w:lineRule="auto"/>
        <w:rPr>
          <w:b/>
        </w:rPr>
      </w:pPr>
    </w:p>
    <w:p w:rsidR="00053A4A" w:rsidRDefault="00053A4A" w:rsidP="00053A4A">
      <w:pPr>
        <w:spacing w:line="240" w:lineRule="auto"/>
        <w:rPr>
          <w:b/>
        </w:rPr>
      </w:pPr>
    </w:p>
    <w:p w:rsidR="00053A4A" w:rsidRDefault="00053A4A" w:rsidP="00053A4A">
      <w:pPr>
        <w:spacing w:line="240" w:lineRule="auto"/>
      </w:pPr>
      <w:r>
        <w:t>Before</w:t>
      </w:r>
    </w:p>
    <w:p w:rsidR="00053A4A" w:rsidRDefault="00053A4A" w:rsidP="00053A4A">
      <w:pPr>
        <w:spacing w:line="240" w:lineRule="auto"/>
      </w:pPr>
      <w:r>
        <w:t>Dennis J. Buckley</w:t>
      </w:r>
    </w:p>
    <w:p w:rsidR="00053A4A" w:rsidRDefault="00053A4A" w:rsidP="00053A4A">
      <w:pPr>
        <w:spacing w:line="240" w:lineRule="auto"/>
      </w:pPr>
      <w:r>
        <w:t>Administrative Law Judge</w:t>
      </w:r>
    </w:p>
    <w:p w:rsidR="00053A4A" w:rsidRDefault="00053A4A" w:rsidP="00053A4A">
      <w:pPr>
        <w:spacing w:line="240" w:lineRule="auto"/>
      </w:pPr>
    </w:p>
    <w:p w:rsidR="00053A4A" w:rsidRDefault="00053A4A" w:rsidP="00053A4A">
      <w:pPr>
        <w:spacing w:line="240" w:lineRule="auto"/>
      </w:pPr>
    </w:p>
    <w:p w:rsidR="00053A4A" w:rsidRPr="00053A4A" w:rsidRDefault="00053A4A" w:rsidP="00053A4A">
      <w:pPr>
        <w:spacing w:line="240" w:lineRule="auto"/>
        <w:rPr>
          <w:u w:val="single"/>
        </w:rPr>
      </w:pPr>
      <w:r>
        <w:rPr>
          <w:u w:val="single"/>
        </w:rPr>
        <w:t>INTRODUCTION</w:t>
      </w:r>
    </w:p>
    <w:p w:rsidR="00053A4A" w:rsidRDefault="00053A4A" w:rsidP="00053A4A">
      <w:pPr>
        <w:spacing w:line="240" w:lineRule="auto"/>
      </w:pPr>
    </w:p>
    <w:p w:rsidR="00B7149A" w:rsidRDefault="00B7149A" w:rsidP="00053A4A">
      <w:pPr>
        <w:spacing w:line="240" w:lineRule="auto"/>
      </w:pPr>
    </w:p>
    <w:p w:rsidR="00053A4A" w:rsidRDefault="00B7149A" w:rsidP="00B7149A">
      <w:pPr>
        <w:jc w:val="left"/>
      </w:pPr>
      <w:r>
        <w:tab/>
      </w:r>
      <w:r>
        <w:tab/>
        <w:t xml:space="preserve">This Initial Decision dismisses a formal complaint which alleges that </w:t>
      </w:r>
      <w:r w:rsidR="00516360">
        <w:t xml:space="preserve">an </w:t>
      </w:r>
      <w:r>
        <w:t xml:space="preserve">electric distribution company's </w:t>
      </w:r>
      <w:r w:rsidR="00516360">
        <w:t xml:space="preserve">(EDC’s) </w:t>
      </w:r>
      <w:r>
        <w:t>required triennial company-wide solicitation to notify all residential and small commercial customers that certain identifying information will be included in its Eligible Customer Lists (ECL) provided to electric generation suppliers (EGS)</w:t>
      </w:r>
      <w:r w:rsidR="00516360">
        <w:t>.  The Complaint argues that this s</w:t>
      </w:r>
      <w:r>
        <w:t>hould be an "opt-in" program and should contain information other than that used by the EDC.  As the actions of the EDC w</w:t>
      </w:r>
      <w:r w:rsidR="00516360">
        <w:t>ere</w:t>
      </w:r>
      <w:r>
        <w:t xml:space="preserve"> required by Commission directives for all electric distribution companies (EDCs), the Complaint is dismissed for failure to state a claim for which relief can be granted.    </w:t>
      </w:r>
    </w:p>
    <w:p w:rsidR="00B7149A" w:rsidRDefault="00B7149A" w:rsidP="00B7149A">
      <w:pPr>
        <w:jc w:val="left"/>
      </w:pPr>
    </w:p>
    <w:p w:rsidR="00053A4A" w:rsidRDefault="00053A4A" w:rsidP="00053A4A">
      <w:pPr>
        <w:spacing w:line="240" w:lineRule="auto"/>
        <w:rPr>
          <w:u w:val="single"/>
        </w:rPr>
      </w:pPr>
      <w:r>
        <w:rPr>
          <w:u w:val="single"/>
        </w:rPr>
        <w:t>HISTORY OF THE PROCEEDING</w:t>
      </w:r>
    </w:p>
    <w:p w:rsidR="00053A4A" w:rsidRDefault="00053A4A" w:rsidP="00053A4A">
      <w:pPr>
        <w:jc w:val="left"/>
      </w:pPr>
    </w:p>
    <w:p w:rsidR="004D190C" w:rsidRDefault="00053A4A" w:rsidP="00053A4A">
      <w:pPr>
        <w:jc w:val="left"/>
      </w:pPr>
      <w:r>
        <w:tab/>
      </w:r>
      <w:r>
        <w:tab/>
        <w:t xml:space="preserve">On March 13, 2015, Michael </w:t>
      </w:r>
      <w:proofErr w:type="spellStart"/>
      <w:r>
        <w:t>Salko</w:t>
      </w:r>
      <w:proofErr w:type="spellEnd"/>
      <w:r>
        <w:t xml:space="preserve">, Jr. (Complainant) filed a formal Complaint against PPL Electric Utilities Corporation (PPL </w:t>
      </w:r>
      <w:r w:rsidR="00D35DCB">
        <w:t xml:space="preserve">Electric </w:t>
      </w:r>
      <w:r>
        <w:t xml:space="preserve">or Respondent or Company) alleging that PPL would disclose his personal information to others </w:t>
      </w:r>
      <w:r w:rsidR="00516360">
        <w:t xml:space="preserve">(i.e. to EGSs) </w:t>
      </w:r>
      <w:r>
        <w:t xml:space="preserve">unless he opted out of the </w:t>
      </w:r>
      <w:r w:rsidR="00FA47F2">
        <w:t xml:space="preserve">program.  Further, </w:t>
      </w:r>
      <w:r w:rsidR="00516360">
        <w:t>Complainant</w:t>
      </w:r>
      <w:r w:rsidR="00FA47F2">
        <w:t xml:space="preserve"> alleged that the notice contained </w:t>
      </w:r>
      <w:r w:rsidR="00516360">
        <w:t>“</w:t>
      </w:r>
      <w:r w:rsidR="00FA47F2">
        <w:t>propaganda</w:t>
      </w:r>
      <w:r w:rsidR="00516360">
        <w:t>”</w:t>
      </w:r>
      <w:r w:rsidR="00FA47F2">
        <w:t xml:space="preserve"> which he </w:t>
      </w:r>
      <w:r w:rsidR="00FA47F2">
        <w:lastRenderedPageBreak/>
        <w:t xml:space="preserve">believed to be repugnant. </w:t>
      </w:r>
      <w:r w:rsidR="00516360">
        <w:t xml:space="preserve">Complainant </w:t>
      </w:r>
      <w:r w:rsidR="00FA47F2">
        <w:t>request</w:t>
      </w:r>
      <w:r w:rsidR="00516360">
        <w:t>ed</w:t>
      </w:r>
      <w:r w:rsidR="00FA47F2">
        <w:t xml:space="preserve"> that utilities be required to provide personal information only if the customers opt in, and that the advertisements included in the billing notice omit </w:t>
      </w:r>
      <w:r w:rsidR="00A715B0">
        <w:t xml:space="preserve">what he referred to as </w:t>
      </w:r>
      <w:r w:rsidR="00FA47F2">
        <w:t xml:space="preserve">the </w:t>
      </w:r>
      <w:r w:rsidR="00516360">
        <w:t>“</w:t>
      </w:r>
      <w:r w:rsidR="00FA47F2">
        <w:t>propaganda</w:t>
      </w:r>
      <w:r w:rsidR="004D190C">
        <w:t>,</w:t>
      </w:r>
      <w:r w:rsidR="00516360">
        <w:t>”</w:t>
      </w:r>
      <w:r w:rsidR="004D190C">
        <w:t xml:space="preserve"> and </w:t>
      </w:r>
      <w:r w:rsidR="00516360">
        <w:t xml:space="preserve">that </w:t>
      </w:r>
      <w:r w:rsidR="004D190C">
        <w:t xml:space="preserve">the </w:t>
      </w:r>
      <w:r w:rsidR="00516360">
        <w:t xml:space="preserve">triennial solicitation </w:t>
      </w:r>
      <w:r w:rsidR="004D190C">
        <w:t>notice should be sent separately, not with the monthly billing.</w:t>
      </w:r>
    </w:p>
    <w:p w:rsidR="004D190C" w:rsidRDefault="004D190C" w:rsidP="00053A4A">
      <w:pPr>
        <w:jc w:val="left"/>
      </w:pPr>
    </w:p>
    <w:p w:rsidR="00D35DCB" w:rsidRDefault="004D190C" w:rsidP="00053A4A">
      <w:pPr>
        <w:jc w:val="left"/>
      </w:pPr>
      <w:r>
        <w:tab/>
      </w:r>
      <w:r>
        <w:tab/>
        <w:t xml:space="preserve">The Complaint was served by the Commission's Secretary on March 19, 2015, and PPL filed its Answer </w:t>
      </w:r>
      <w:r w:rsidR="00B16CA1">
        <w:t xml:space="preserve">and Preliminary Objections </w:t>
      </w:r>
      <w:r>
        <w:t xml:space="preserve">on April 7, 2015.  In its Answer, PPL </w:t>
      </w:r>
      <w:r w:rsidR="00D35DCB">
        <w:t xml:space="preserve">Electric </w:t>
      </w:r>
      <w:r>
        <w:t xml:space="preserve">admits that </w:t>
      </w:r>
      <w:r w:rsidR="00D35DCB">
        <w:t>Complainant is a customer.  On March 4, 2015, PPL Electric issued its required triennial company-wide solicitation to notify all residential and small commercial cu</w:t>
      </w:r>
      <w:r w:rsidR="003129AE">
        <w:t xml:space="preserve">stomers, including </w:t>
      </w:r>
      <w:proofErr w:type="gramStart"/>
      <w:r w:rsidR="003129AE">
        <w:t>Complaina</w:t>
      </w:r>
      <w:r w:rsidR="00A715B0">
        <w:t xml:space="preserve">nt, </w:t>
      </w:r>
      <w:r w:rsidR="00D35DCB">
        <w:t>that</w:t>
      </w:r>
      <w:proofErr w:type="gramEnd"/>
      <w:r w:rsidR="00D35DCB">
        <w:t xml:space="preserve"> certain identifying</w:t>
      </w:r>
      <w:r w:rsidR="003129AE">
        <w:t xml:space="preserve"> information would be included i</w:t>
      </w:r>
      <w:r w:rsidR="00D35DCB">
        <w:t>n its ECL</w:t>
      </w:r>
      <w:r w:rsidR="00516360">
        <w:t>s</w:t>
      </w:r>
      <w:r w:rsidR="00D35DCB">
        <w:t xml:space="preserve"> that are provided to EGS</w:t>
      </w:r>
      <w:r w:rsidR="00516360">
        <w:t>s</w:t>
      </w:r>
      <w:r w:rsidR="00D35DCB">
        <w:t xml:space="preserve"> unless </w:t>
      </w:r>
      <w:r w:rsidR="003129AE">
        <w:t>a</w:t>
      </w:r>
      <w:r w:rsidR="00D35DCB">
        <w:t xml:space="preserve"> customer instruct</w:t>
      </w:r>
      <w:r w:rsidR="00516360">
        <w:t>s</w:t>
      </w:r>
      <w:r w:rsidR="00D35DCB">
        <w:t xml:space="preserve"> PPL Electric to remove his or her information from the list.  Respondent states further that this was consistent with Commission directives </w:t>
      </w:r>
      <w:r w:rsidR="003129AE">
        <w:t>to</w:t>
      </w:r>
      <w:r w:rsidR="00D35DCB">
        <w:t xml:space="preserve"> all </w:t>
      </w:r>
      <w:r w:rsidR="003129AE">
        <w:t>E</w:t>
      </w:r>
      <w:r w:rsidR="00D35DCB">
        <w:t xml:space="preserve">DCs, and therefore is not a violation of a statute, regulation, or order of the Commission.  Accordingly, the Complaint fails to state a violation for which relief can be granted.  </w:t>
      </w:r>
    </w:p>
    <w:p w:rsidR="00D35DCB" w:rsidRDefault="00D35DCB" w:rsidP="00053A4A">
      <w:pPr>
        <w:jc w:val="left"/>
      </w:pPr>
    </w:p>
    <w:p w:rsidR="00053A4A" w:rsidRDefault="00D35DCB" w:rsidP="00053A4A">
      <w:pPr>
        <w:jc w:val="left"/>
      </w:pPr>
      <w:r>
        <w:tab/>
      </w:r>
      <w:r>
        <w:tab/>
        <w:t xml:space="preserve">Respondent alleges further that </w:t>
      </w:r>
      <w:r w:rsidR="00B16CA1">
        <w:t xml:space="preserve">its notices do not contain propaganda but do include the information required by the Commission.  </w:t>
      </w:r>
      <w:r>
        <w:t xml:space="preserve"> </w:t>
      </w:r>
      <w:r w:rsidR="00FA47F2">
        <w:t xml:space="preserve"> </w:t>
      </w:r>
    </w:p>
    <w:p w:rsidR="00B16CA1" w:rsidRDefault="00B16CA1" w:rsidP="00053A4A">
      <w:pPr>
        <w:jc w:val="left"/>
      </w:pPr>
    </w:p>
    <w:p w:rsidR="00B16CA1" w:rsidRDefault="00B16CA1" w:rsidP="00053A4A">
      <w:pPr>
        <w:jc w:val="left"/>
      </w:pPr>
      <w:r>
        <w:tab/>
      </w:r>
      <w:r>
        <w:tab/>
        <w:t>In its Preliminary Objections (POs), Respondent reiterates the statements in its Answer and asks that the Complaint be dismissed.</w:t>
      </w:r>
    </w:p>
    <w:p w:rsidR="00B16CA1" w:rsidRDefault="00B16CA1" w:rsidP="00053A4A">
      <w:pPr>
        <w:jc w:val="left"/>
      </w:pPr>
    </w:p>
    <w:p w:rsidR="00B16CA1" w:rsidRDefault="00B16CA1" w:rsidP="00053A4A">
      <w:pPr>
        <w:jc w:val="left"/>
      </w:pPr>
      <w:r>
        <w:tab/>
      </w:r>
      <w:r>
        <w:tab/>
        <w:t>No response to the POs was filed by Complainant.  Accordingly, the POs are ripe for disposition.</w:t>
      </w:r>
    </w:p>
    <w:p w:rsidR="00B16CA1" w:rsidRDefault="00B16CA1" w:rsidP="00053A4A">
      <w:pPr>
        <w:jc w:val="left"/>
      </w:pPr>
    </w:p>
    <w:p w:rsidR="00B16CA1" w:rsidRDefault="00B16CA1" w:rsidP="00B16CA1">
      <w:pPr>
        <w:rPr>
          <w:u w:val="single"/>
        </w:rPr>
      </w:pPr>
      <w:r>
        <w:rPr>
          <w:u w:val="single"/>
        </w:rPr>
        <w:t>HISTORY OF THE PROCEEDING</w:t>
      </w:r>
    </w:p>
    <w:p w:rsidR="00B16CA1" w:rsidRDefault="00B16CA1" w:rsidP="00180787">
      <w:pPr>
        <w:jc w:val="left"/>
        <w:rPr>
          <w:u w:val="single"/>
        </w:rPr>
      </w:pPr>
    </w:p>
    <w:p w:rsidR="00B16CA1" w:rsidRDefault="00B16CA1" w:rsidP="00180787">
      <w:pPr>
        <w:jc w:val="left"/>
      </w:pPr>
      <w:r>
        <w:tab/>
      </w:r>
      <w:r>
        <w:tab/>
        <w:t>1.</w:t>
      </w:r>
      <w:r>
        <w:tab/>
        <w:t xml:space="preserve">Complainant is </w:t>
      </w:r>
      <w:r w:rsidR="002A0E1D">
        <w:t xml:space="preserve">Michael </w:t>
      </w:r>
      <w:proofErr w:type="spellStart"/>
      <w:r w:rsidR="002A0E1D">
        <w:t>Salko</w:t>
      </w:r>
      <w:proofErr w:type="spellEnd"/>
      <w:r w:rsidR="002A0E1D">
        <w:t xml:space="preserve">, Jr., </w:t>
      </w:r>
      <w:r w:rsidR="003129AE">
        <w:t xml:space="preserve">who resides at </w:t>
      </w:r>
      <w:r w:rsidR="002A0E1D">
        <w:t>92 Birch Street, Wilkes-Barre</w:t>
      </w:r>
      <w:r w:rsidR="003129AE">
        <w:t>,</w:t>
      </w:r>
      <w:r w:rsidR="002A0E1D">
        <w:t xml:space="preserve"> P</w:t>
      </w:r>
      <w:r w:rsidR="003129AE">
        <w:t>ennsylvania</w:t>
      </w:r>
      <w:r w:rsidR="002A0E1D">
        <w:t>.</w:t>
      </w:r>
    </w:p>
    <w:p w:rsidR="002A0E1D" w:rsidRDefault="002A0E1D" w:rsidP="00180787">
      <w:pPr>
        <w:jc w:val="left"/>
      </w:pPr>
    </w:p>
    <w:p w:rsidR="002A0E1D" w:rsidRDefault="002A0E1D" w:rsidP="00180787">
      <w:pPr>
        <w:jc w:val="left"/>
      </w:pPr>
      <w:r>
        <w:lastRenderedPageBreak/>
        <w:tab/>
      </w:r>
      <w:r>
        <w:tab/>
        <w:t>2.</w:t>
      </w:r>
      <w:r>
        <w:tab/>
        <w:t>Respondent is PPL Electric Utilities Corporation, a jurisdictional public utility providing residential electric distribution service in the Commonwealth of Pennsylvania.</w:t>
      </w:r>
    </w:p>
    <w:p w:rsidR="002A0E1D" w:rsidRDefault="002A0E1D" w:rsidP="00180787">
      <w:pPr>
        <w:jc w:val="left"/>
      </w:pPr>
    </w:p>
    <w:p w:rsidR="002A0E1D" w:rsidRDefault="002A0E1D" w:rsidP="00180787">
      <w:pPr>
        <w:jc w:val="left"/>
      </w:pPr>
      <w:r>
        <w:tab/>
      </w:r>
      <w:r>
        <w:tab/>
        <w:t>3.</w:t>
      </w:r>
      <w:r>
        <w:tab/>
        <w:t>On March 4, 2015, the Company issued its triennial company-wide solicitation for the ECL.</w:t>
      </w:r>
    </w:p>
    <w:p w:rsidR="002A0E1D" w:rsidRDefault="002A0E1D" w:rsidP="00180787">
      <w:pPr>
        <w:jc w:val="left"/>
      </w:pPr>
    </w:p>
    <w:p w:rsidR="002A0E1D" w:rsidRDefault="002A0E1D" w:rsidP="00180787">
      <w:pPr>
        <w:jc w:val="left"/>
      </w:pPr>
      <w:r>
        <w:tab/>
      </w:r>
      <w:r>
        <w:tab/>
        <w:t>4.</w:t>
      </w:r>
      <w:r>
        <w:tab/>
        <w:t>On March 13, 2015, Complainant filed a formal Complaint regarding his receipt of the Respondent's triennial company-wide solicitation for the ECL.</w:t>
      </w:r>
    </w:p>
    <w:p w:rsidR="002A0E1D" w:rsidRDefault="002A0E1D" w:rsidP="00180787">
      <w:pPr>
        <w:jc w:val="left"/>
      </w:pPr>
    </w:p>
    <w:p w:rsidR="002A0E1D" w:rsidRDefault="002A0E1D" w:rsidP="00180787">
      <w:pPr>
        <w:jc w:val="left"/>
      </w:pPr>
      <w:r>
        <w:tab/>
      </w:r>
      <w:r>
        <w:tab/>
        <w:t>5.</w:t>
      </w:r>
      <w:r>
        <w:tab/>
        <w:t>On April 7, 2015, Respondent filed its Answer and Preliminary Objections.</w:t>
      </w:r>
    </w:p>
    <w:p w:rsidR="002A0E1D" w:rsidRDefault="002A0E1D" w:rsidP="00180787">
      <w:pPr>
        <w:jc w:val="left"/>
      </w:pPr>
    </w:p>
    <w:p w:rsidR="002A0E1D" w:rsidRDefault="002A0E1D" w:rsidP="00180787">
      <w:pPr>
        <w:jc w:val="left"/>
      </w:pPr>
      <w:r>
        <w:tab/>
      </w:r>
      <w:r>
        <w:tab/>
        <w:t>6.</w:t>
      </w:r>
      <w:r>
        <w:tab/>
        <w:t>No responsive pleading was received from Complainant.</w:t>
      </w:r>
    </w:p>
    <w:p w:rsidR="002A0E1D" w:rsidRDefault="002A0E1D" w:rsidP="00180787">
      <w:pPr>
        <w:jc w:val="left"/>
      </w:pPr>
    </w:p>
    <w:p w:rsidR="002A0E1D" w:rsidRDefault="002A0E1D" w:rsidP="002A0E1D">
      <w:pPr>
        <w:rPr>
          <w:u w:val="single"/>
        </w:rPr>
      </w:pPr>
      <w:r>
        <w:rPr>
          <w:u w:val="single"/>
        </w:rPr>
        <w:t>DISCUSSION</w:t>
      </w:r>
    </w:p>
    <w:p w:rsidR="002A0E1D" w:rsidRDefault="002A0E1D" w:rsidP="00180787">
      <w:pPr>
        <w:jc w:val="left"/>
        <w:rPr>
          <w:u w:val="single"/>
        </w:rPr>
      </w:pPr>
    </w:p>
    <w:p w:rsidR="002A0E1D" w:rsidRDefault="002A0E1D" w:rsidP="00180787">
      <w:pPr>
        <w:jc w:val="left"/>
      </w:pPr>
      <w:r>
        <w:tab/>
      </w:r>
      <w:r>
        <w:tab/>
        <w:t xml:space="preserve">Commission preliminary objection practice is similar to Pennsylvania civil practice.  </w:t>
      </w:r>
      <w:r>
        <w:rPr>
          <w:i/>
        </w:rPr>
        <w:t xml:space="preserve">Equitable Small Transportation Interveners v. Equitable Gas Company, </w:t>
      </w:r>
      <w:r>
        <w:t xml:space="preserve">1994 Pa. PUC LEXIS 69, PUC Docket No. </w:t>
      </w:r>
      <w:proofErr w:type="gramStart"/>
      <w:r>
        <w:t>C-000935435 (July 18, 1994).</w:t>
      </w:r>
      <w:proofErr w:type="gramEnd"/>
      <w:r>
        <w:t xml:space="preserve"> </w:t>
      </w:r>
      <w:r>
        <w:tab/>
        <w:t xml:space="preserve"> When considering the preliminary objection, the Commission must determine “whether the law says with certainty, based on well-pleaded factual averments . . . that no recovery or relief is possible."  </w:t>
      </w:r>
      <w:proofErr w:type="gramStart"/>
      <w:r>
        <w:rPr>
          <w:i/>
        </w:rPr>
        <w:t xml:space="preserve">P. J. S. v. Pa. State Ethics Commission, </w:t>
      </w:r>
      <w:r>
        <w:t>669 A.2d 1105 (Pa. Cmwlth. 1996).</w:t>
      </w:r>
      <w:proofErr w:type="gramEnd"/>
      <w:r>
        <w:t xml:space="preserve">  Any doubt must be resolved in favor of the non-moving party by refusing to sustain the POs.  </w:t>
      </w:r>
      <w:proofErr w:type="gramStart"/>
      <w:r>
        <w:rPr>
          <w:i/>
        </w:rPr>
        <w:t xml:space="preserve">Boyd v. Ward, </w:t>
      </w:r>
      <w:r>
        <w:t>802 A.2d 705 (Pa. Cmwlth. 2002).”</w:t>
      </w:r>
      <w:proofErr w:type="gramEnd"/>
      <w:r>
        <w:t xml:space="preserve">  </w:t>
      </w:r>
      <w:proofErr w:type="gramStart"/>
      <w:r w:rsidRPr="00F87999">
        <w:rPr>
          <w:i/>
        </w:rPr>
        <w:t xml:space="preserve">Dept. of Auditor General, et al. v. State Employees’ Retirement System, et al., </w:t>
      </w:r>
      <w:r>
        <w:t>836 A.2d 1053, 1064 (Pa. Cmwlth. 2003).</w:t>
      </w:r>
      <w:proofErr w:type="gramEnd"/>
      <w:r>
        <w:t xml:space="preserve">  </w:t>
      </w:r>
      <w:r>
        <w:rPr>
          <w:i/>
        </w:rPr>
        <w:t xml:space="preserve"> </w:t>
      </w:r>
    </w:p>
    <w:p w:rsidR="002A0E1D" w:rsidRDefault="002A0E1D" w:rsidP="00180787">
      <w:pPr>
        <w:jc w:val="left"/>
      </w:pPr>
    </w:p>
    <w:p w:rsidR="002A0E1D" w:rsidRDefault="002A0E1D" w:rsidP="00180787">
      <w:pPr>
        <w:jc w:val="left"/>
        <w:rPr>
          <w:color w:val="000000" w:themeColor="text1"/>
        </w:rPr>
      </w:pPr>
      <w:r>
        <w:tab/>
      </w:r>
      <w:r>
        <w:tab/>
        <w:t>The rules regarding POs provide that they are available to parties and may be filed in response to a pleading</w:t>
      </w:r>
      <w:r w:rsidR="00516360">
        <w:t xml:space="preserve">. </w:t>
      </w:r>
      <w:r>
        <w:t xml:space="preserve"> 52 Pa.Code § 5.101.  While lack of Commission jurisdiction is a legitimate ground for a PO, 52 Pa.Code § 5.101(a</w:t>
      </w:r>
      <w:proofErr w:type="gramStart"/>
      <w:r>
        <w:t>)(</w:t>
      </w:r>
      <w:proofErr w:type="gramEnd"/>
      <w:r>
        <w:t xml:space="preserve">1), here the lack of jurisdiction is not evident on the face of the Complaint.  In addition, the Respondent chose to raise the lack of jurisdiction in New Matter.  </w:t>
      </w:r>
      <w:r w:rsidRPr="00D67D44">
        <w:rPr>
          <w:color w:val="000000" w:themeColor="text1"/>
        </w:rPr>
        <w:t>As stated above, a PO can only be based on facts set forth in the Complaint</w:t>
      </w:r>
      <w:r>
        <w:rPr>
          <w:color w:val="000000" w:themeColor="text1"/>
        </w:rPr>
        <w:t xml:space="preserve">.  </w:t>
      </w:r>
      <w:r w:rsidRPr="00D67D44">
        <w:rPr>
          <w:color w:val="000000" w:themeColor="text1"/>
        </w:rPr>
        <w:lastRenderedPageBreak/>
        <w:t>Any facts or issues raised in responsive pleadings cannot be considered in the disposition of a PO.</w:t>
      </w:r>
    </w:p>
    <w:p w:rsidR="00B7149A" w:rsidRPr="00D67D44" w:rsidRDefault="00B7149A" w:rsidP="00180787">
      <w:pPr>
        <w:jc w:val="left"/>
        <w:rPr>
          <w:color w:val="000000" w:themeColor="text1"/>
        </w:rPr>
      </w:pPr>
    </w:p>
    <w:p w:rsidR="002A0E1D" w:rsidRDefault="00B7149A" w:rsidP="00180787">
      <w:pPr>
        <w:jc w:val="left"/>
      </w:pPr>
      <w:r>
        <w:tab/>
      </w:r>
      <w:r>
        <w:tab/>
      </w:r>
      <w:r w:rsidR="002A0E1D">
        <w:t xml:space="preserve">The </w:t>
      </w:r>
      <w:r>
        <w:t>regulation reads as follows</w:t>
      </w:r>
      <w:r w:rsidR="002A0E1D">
        <w:t>:</w:t>
      </w:r>
    </w:p>
    <w:p w:rsidR="002A0E1D" w:rsidRDefault="002A0E1D" w:rsidP="00180787">
      <w:pPr>
        <w:jc w:val="left"/>
      </w:pPr>
    </w:p>
    <w:p w:rsidR="002A0E1D" w:rsidRDefault="002A0E1D" w:rsidP="002A0E1D">
      <w:pPr>
        <w:spacing w:line="240" w:lineRule="auto"/>
        <w:ind w:left="1440" w:right="1440"/>
        <w:contextualSpacing/>
        <w:jc w:val="left"/>
        <w:rPr>
          <w:b/>
        </w:rPr>
      </w:pPr>
      <w:r>
        <w:rPr>
          <w:b/>
        </w:rPr>
        <w:t xml:space="preserve">§ 5.101.  </w:t>
      </w:r>
      <w:proofErr w:type="gramStart"/>
      <w:r>
        <w:rPr>
          <w:b/>
        </w:rPr>
        <w:t>Preliminary objections.</w:t>
      </w:r>
      <w:proofErr w:type="gramEnd"/>
    </w:p>
    <w:p w:rsidR="002A0E1D" w:rsidRDefault="002A0E1D" w:rsidP="002A0E1D">
      <w:pPr>
        <w:spacing w:line="240" w:lineRule="auto"/>
        <w:ind w:left="1440" w:right="1440"/>
        <w:contextualSpacing/>
        <w:jc w:val="left"/>
      </w:pPr>
      <w:r>
        <w:t>(a)</w:t>
      </w:r>
      <w:r>
        <w:tab/>
      </w:r>
      <w:r>
        <w:rPr>
          <w:i/>
        </w:rPr>
        <w:t>Grounds.</w:t>
      </w:r>
      <w: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2A0E1D" w:rsidRDefault="002A0E1D" w:rsidP="002A0E1D">
      <w:pPr>
        <w:spacing w:line="240" w:lineRule="auto"/>
        <w:ind w:left="1440" w:right="1440"/>
        <w:contextualSpacing/>
        <w:jc w:val="left"/>
        <w:rPr>
          <w:i/>
        </w:rPr>
      </w:pPr>
    </w:p>
    <w:p w:rsidR="002A0E1D" w:rsidRDefault="002A0E1D" w:rsidP="002A0E1D">
      <w:pPr>
        <w:spacing w:line="240" w:lineRule="auto"/>
        <w:ind w:left="1440" w:right="1440"/>
        <w:contextualSpacing/>
        <w:jc w:val="left"/>
      </w:pPr>
      <w:r>
        <w:t>(1)  Lack of Commission jurisdiction or improper service of the pleading initiating the proceeding.</w:t>
      </w:r>
    </w:p>
    <w:p w:rsidR="002A0E1D" w:rsidRDefault="002A0E1D" w:rsidP="002A0E1D">
      <w:pPr>
        <w:spacing w:line="240" w:lineRule="auto"/>
        <w:ind w:left="1440" w:right="1440"/>
        <w:contextualSpacing/>
        <w:jc w:val="left"/>
      </w:pPr>
    </w:p>
    <w:p w:rsidR="002A0E1D" w:rsidRDefault="002A0E1D" w:rsidP="002A0E1D">
      <w:pPr>
        <w:spacing w:line="240" w:lineRule="auto"/>
        <w:ind w:left="1440" w:right="1440"/>
        <w:contextualSpacing/>
        <w:jc w:val="left"/>
      </w:pPr>
      <w:r>
        <w:t>(2)  Failure of a pleading to conform to this chapter or the inclusion of scandalous or impertinent matter.</w:t>
      </w:r>
    </w:p>
    <w:p w:rsidR="002A0E1D" w:rsidRDefault="002A0E1D" w:rsidP="002A0E1D">
      <w:pPr>
        <w:spacing w:line="240" w:lineRule="auto"/>
        <w:ind w:left="1440" w:right="1440"/>
        <w:contextualSpacing/>
        <w:jc w:val="left"/>
      </w:pPr>
    </w:p>
    <w:p w:rsidR="002A0E1D" w:rsidRDefault="002A0E1D" w:rsidP="002A0E1D">
      <w:pPr>
        <w:spacing w:line="240" w:lineRule="auto"/>
        <w:ind w:left="1440" w:right="1440"/>
        <w:contextualSpacing/>
        <w:jc w:val="left"/>
      </w:pPr>
      <w:r>
        <w:t>(3)  Insufficient specificity of a pleading.</w:t>
      </w:r>
    </w:p>
    <w:p w:rsidR="002A0E1D" w:rsidRDefault="002A0E1D" w:rsidP="002A0E1D">
      <w:pPr>
        <w:spacing w:line="240" w:lineRule="auto"/>
        <w:ind w:left="1440" w:right="1440"/>
        <w:contextualSpacing/>
        <w:jc w:val="left"/>
      </w:pPr>
    </w:p>
    <w:p w:rsidR="002A0E1D" w:rsidRDefault="002A0E1D" w:rsidP="002A0E1D">
      <w:pPr>
        <w:spacing w:line="240" w:lineRule="auto"/>
        <w:ind w:left="1440" w:right="1440"/>
        <w:contextualSpacing/>
        <w:jc w:val="left"/>
      </w:pPr>
      <w:r>
        <w:t>(4)  Legal insufficiency of a pleading.</w:t>
      </w:r>
    </w:p>
    <w:p w:rsidR="002A0E1D" w:rsidRDefault="002A0E1D" w:rsidP="002A0E1D">
      <w:pPr>
        <w:spacing w:line="240" w:lineRule="auto"/>
        <w:ind w:left="1440" w:right="1440"/>
        <w:contextualSpacing/>
        <w:jc w:val="left"/>
      </w:pPr>
    </w:p>
    <w:p w:rsidR="002A0E1D" w:rsidRDefault="002A0E1D" w:rsidP="002A0E1D">
      <w:pPr>
        <w:spacing w:line="240" w:lineRule="auto"/>
        <w:ind w:left="1440" w:right="1440"/>
        <w:contextualSpacing/>
        <w:jc w:val="left"/>
      </w:pPr>
      <w:r>
        <w:t>(5) Lack of capacity to sue, nonjoinder of a necessary party or misjoinder of a cause of action.</w:t>
      </w:r>
    </w:p>
    <w:p w:rsidR="002A0E1D" w:rsidRDefault="002A0E1D" w:rsidP="002A0E1D">
      <w:pPr>
        <w:spacing w:line="240" w:lineRule="auto"/>
        <w:ind w:left="1440" w:right="1440"/>
        <w:contextualSpacing/>
        <w:jc w:val="left"/>
      </w:pPr>
    </w:p>
    <w:p w:rsidR="002A0E1D" w:rsidRDefault="002A0E1D" w:rsidP="002A0E1D">
      <w:pPr>
        <w:spacing w:line="240" w:lineRule="auto"/>
        <w:ind w:left="1440" w:right="1440"/>
        <w:contextualSpacing/>
        <w:jc w:val="left"/>
      </w:pPr>
      <w:r>
        <w:t>(6)  Pendency of a prior proceeding or agreement for alternative dispute resolution.</w:t>
      </w:r>
    </w:p>
    <w:p w:rsidR="002A0E1D" w:rsidRDefault="002A0E1D" w:rsidP="002A0E1D">
      <w:pPr>
        <w:spacing w:line="240" w:lineRule="auto"/>
        <w:ind w:left="1440" w:right="1440"/>
        <w:contextualSpacing/>
        <w:jc w:val="left"/>
      </w:pPr>
      <w:r>
        <w:t>(7)  Standing of a party to participate in the proceeding.</w:t>
      </w:r>
    </w:p>
    <w:p w:rsidR="002A0E1D" w:rsidRDefault="002A0E1D" w:rsidP="002A0E1D">
      <w:pPr>
        <w:spacing w:line="240" w:lineRule="auto"/>
        <w:ind w:left="1440" w:right="1440"/>
        <w:contextualSpacing/>
        <w:jc w:val="left"/>
      </w:pPr>
    </w:p>
    <w:p w:rsidR="002A0E1D" w:rsidRPr="00D10A1C" w:rsidRDefault="002A0E1D" w:rsidP="002A0E1D">
      <w:pPr>
        <w:spacing w:line="240" w:lineRule="auto"/>
        <w:ind w:left="1440" w:right="1440"/>
        <w:contextualSpacing/>
      </w:pPr>
      <w:r>
        <w:t>* * *</w:t>
      </w:r>
    </w:p>
    <w:p w:rsidR="002A0E1D" w:rsidRDefault="002A0E1D" w:rsidP="002A0E1D">
      <w:pPr>
        <w:spacing w:line="240" w:lineRule="auto"/>
        <w:ind w:left="1440" w:right="1440"/>
        <w:contextualSpacing/>
        <w:jc w:val="left"/>
      </w:pPr>
      <w:proofErr w:type="gramStart"/>
      <w:r>
        <w:t>52 Pa. Code § 5.101(a).</w:t>
      </w:r>
      <w:proofErr w:type="gramEnd"/>
      <w:r>
        <w:t xml:space="preserve">  </w:t>
      </w:r>
    </w:p>
    <w:p w:rsidR="002A0E1D" w:rsidRDefault="002A0E1D" w:rsidP="00180787">
      <w:pPr>
        <w:jc w:val="left"/>
      </w:pPr>
    </w:p>
    <w:p w:rsidR="002A0E1D" w:rsidRPr="003E75C6" w:rsidRDefault="002A0E1D" w:rsidP="00180787">
      <w:pPr>
        <w:jc w:val="left"/>
      </w:pPr>
      <w:r w:rsidRPr="003E75C6">
        <w:tab/>
      </w:r>
      <w:r>
        <w:tab/>
      </w:r>
      <w:r w:rsidRPr="003E75C6">
        <w:t xml:space="preserve">In deciding the preliminary objections, the Commission must determine whether, based on well-pleaded factual averments of the </w:t>
      </w:r>
      <w:r>
        <w:t>Complainants</w:t>
      </w:r>
      <w:r w:rsidRPr="003E75C6">
        <w:t xml:space="preserve">, recovery or relief is possible.  </w:t>
      </w:r>
      <w:proofErr w:type="gramStart"/>
      <w:r w:rsidRPr="003E75C6">
        <w:rPr>
          <w:i/>
        </w:rPr>
        <w:t>Dept. of Auditor General, et al v. SERS, et al.</w:t>
      </w:r>
      <w:r w:rsidR="00A715B0">
        <w:t>, 836 A.2d 1053, 1064 (Pa.</w:t>
      </w:r>
      <w:r w:rsidRPr="003E75C6">
        <w:t>Cmwlth. 2003), 2003 Pa. Commw.</w:t>
      </w:r>
      <w:proofErr w:type="gramEnd"/>
      <w:r w:rsidRPr="003E75C6">
        <w:t xml:space="preserve"> LEXIS 849</w:t>
      </w:r>
      <w:proofErr w:type="gramStart"/>
      <w:r w:rsidRPr="003E75C6">
        <w:t xml:space="preserve">;  </w:t>
      </w:r>
      <w:r w:rsidRPr="003E75C6">
        <w:rPr>
          <w:i/>
        </w:rPr>
        <w:t>P.J.S</w:t>
      </w:r>
      <w:proofErr w:type="gramEnd"/>
      <w:r w:rsidRPr="003E75C6">
        <w:rPr>
          <w:i/>
        </w:rPr>
        <w:t>. v. Pa. State Ethics Comm’n,</w:t>
      </w:r>
      <w:r w:rsidRPr="003E75C6">
        <w:t xml:space="preserve"> 669 A.2d 1105 (Pa. Cmwlth. 1996)</w:t>
      </w:r>
      <w:r>
        <w:t>,</w:t>
      </w:r>
      <w:r w:rsidRPr="003E75C6">
        <w:t xml:space="preserve"> 1996 Pa. Commw. </w:t>
      </w:r>
      <w:proofErr w:type="gramStart"/>
      <w:r w:rsidRPr="003E75C6">
        <w:t>LEXIS 11.</w:t>
      </w:r>
      <w:proofErr w:type="gramEnd"/>
      <w:r w:rsidRPr="003E75C6">
        <w:t xml:space="preserve">  Any doubt must be resolved in favor of the non-moving party by refusing to sustain the preliminary objections.  </w:t>
      </w:r>
      <w:proofErr w:type="gramStart"/>
      <w:r w:rsidRPr="003E75C6">
        <w:rPr>
          <w:i/>
        </w:rPr>
        <w:t xml:space="preserve">Boyd v. Ward, </w:t>
      </w:r>
      <w:r w:rsidRPr="003E75C6">
        <w:t>802 A.2d 705 (Pa.Cmwlth. 2002)</w:t>
      </w:r>
      <w:r>
        <w:t>,</w:t>
      </w:r>
      <w:r w:rsidR="00A715B0">
        <w:t xml:space="preserve"> 2002 Pa. </w:t>
      </w:r>
      <w:r w:rsidRPr="003E75C6">
        <w:t>Commw.</w:t>
      </w:r>
      <w:proofErr w:type="gramEnd"/>
      <w:r w:rsidRPr="003E75C6">
        <w:t xml:space="preserve"> </w:t>
      </w:r>
      <w:proofErr w:type="gramStart"/>
      <w:r w:rsidRPr="003E75C6">
        <w:t>LEXIS 580.</w:t>
      </w:r>
      <w:proofErr w:type="gramEnd"/>
      <w:r w:rsidRPr="003E75C6">
        <w:t xml:space="preserve">  All of the non-moving party’s averments in the complaint must be viewed as true for purposes of deciding the preliminary objections, and </w:t>
      </w:r>
      <w:r w:rsidRPr="003E75C6">
        <w:lastRenderedPageBreak/>
        <w:t xml:space="preserve">only those facts specifically admitted may be considered against the non-moving party.  </w:t>
      </w:r>
      <w:proofErr w:type="gramStart"/>
      <w:r w:rsidRPr="003E75C6">
        <w:rPr>
          <w:i/>
        </w:rPr>
        <w:t xml:space="preserve">Ridge v. State Employees’ Retirement </w:t>
      </w:r>
      <w:r w:rsidRPr="00F514AD">
        <w:rPr>
          <w:i/>
        </w:rPr>
        <w:t>Board</w:t>
      </w:r>
      <w:r w:rsidR="00A715B0">
        <w:t>, 690 A.2d 1312 (Pa.</w:t>
      </w:r>
      <w:r w:rsidRPr="003E75C6">
        <w:t>Cmwlth. 1997) 1997 Pa. Commw.</w:t>
      </w:r>
      <w:proofErr w:type="gramEnd"/>
      <w:r w:rsidRPr="003E75C6">
        <w:t xml:space="preserve"> </w:t>
      </w:r>
      <w:proofErr w:type="gramStart"/>
      <w:r w:rsidRPr="003E75C6">
        <w:t>LEXIS 148.</w:t>
      </w:r>
      <w:proofErr w:type="gramEnd"/>
      <w:r w:rsidRPr="003E75C6">
        <w:t xml:space="preserve">  </w:t>
      </w:r>
    </w:p>
    <w:p w:rsidR="002A0E1D" w:rsidRPr="00290FAB" w:rsidRDefault="002A0E1D" w:rsidP="00180787">
      <w:pPr>
        <w:contextualSpacing/>
        <w:jc w:val="left"/>
        <w:rPr>
          <w:color w:val="000000"/>
        </w:rPr>
      </w:pPr>
    </w:p>
    <w:p w:rsidR="002A0E1D" w:rsidRDefault="002A0E1D" w:rsidP="00180787">
      <w:pPr>
        <w:jc w:val="left"/>
        <w:rPr>
          <w:color w:val="000000"/>
        </w:rPr>
      </w:pPr>
      <w:r w:rsidRPr="00290FAB">
        <w:rPr>
          <w:color w:val="000000"/>
        </w:rPr>
        <w:tab/>
      </w:r>
      <w:r w:rsidRPr="00290FAB">
        <w:rPr>
          <w:color w:val="000000"/>
        </w:rPr>
        <w:tab/>
        <w:t>Therefore, it is only the facts in the Complaint which can be presumed to be true in order to determine whether recovery is possible.</w:t>
      </w:r>
    </w:p>
    <w:p w:rsidR="00B7149A" w:rsidRDefault="00B7149A" w:rsidP="00180787">
      <w:pPr>
        <w:jc w:val="left"/>
        <w:rPr>
          <w:color w:val="000000"/>
        </w:rPr>
      </w:pPr>
    </w:p>
    <w:p w:rsidR="00B7149A" w:rsidRDefault="00B7149A" w:rsidP="00180787">
      <w:pPr>
        <w:jc w:val="left"/>
        <w:rPr>
          <w:color w:val="000000"/>
        </w:rPr>
      </w:pPr>
      <w:r>
        <w:rPr>
          <w:color w:val="000000"/>
        </w:rPr>
        <w:tab/>
      </w:r>
      <w:r>
        <w:rPr>
          <w:color w:val="000000"/>
        </w:rPr>
        <w:tab/>
        <w:t xml:space="preserve">Here, the Complainant states that the </w:t>
      </w:r>
      <w:r w:rsidR="00EF0333">
        <w:rPr>
          <w:color w:val="000000"/>
        </w:rPr>
        <w:t>notice receive</w:t>
      </w:r>
      <w:r w:rsidR="00516360">
        <w:rPr>
          <w:color w:val="000000"/>
        </w:rPr>
        <w:t>d from Respondent: (1) offered</w:t>
      </w:r>
      <w:r w:rsidR="00EF0333">
        <w:rPr>
          <w:color w:val="000000"/>
        </w:rPr>
        <w:t xml:space="preserve"> an "opt-</w:t>
      </w:r>
      <w:r w:rsidR="00516360">
        <w:rPr>
          <w:color w:val="000000"/>
        </w:rPr>
        <w:t>out</w:t>
      </w:r>
      <w:r w:rsidR="00EF0333">
        <w:rPr>
          <w:color w:val="000000"/>
        </w:rPr>
        <w:t>" program wh</w:t>
      </w:r>
      <w:r w:rsidR="00516360">
        <w:rPr>
          <w:color w:val="000000"/>
        </w:rPr>
        <w:t xml:space="preserve">ile Complainant desires </w:t>
      </w:r>
      <w:r w:rsidR="00EF0333">
        <w:rPr>
          <w:color w:val="000000"/>
        </w:rPr>
        <w:t>an "opt-</w:t>
      </w:r>
      <w:r w:rsidR="00516360">
        <w:rPr>
          <w:color w:val="000000"/>
        </w:rPr>
        <w:t>in</w:t>
      </w:r>
      <w:r w:rsidR="00EF0333">
        <w:rPr>
          <w:color w:val="000000"/>
        </w:rPr>
        <w:t xml:space="preserve">" program; (2) contains </w:t>
      </w:r>
      <w:r w:rsidR="003129AE">
        <w:rPr>
          <w:color w:val="000000"/>
        </w:rPr>
        <w:t>“</w:t>
      </w:r>
      <w:r w:rsidR="00EF0333">
        <w:rPr>
          <w:color w:val="000000"/>
        </w:rPr>
        <w:t>propaganda</w:t>
      </w:r>
      <w:r w:rsidR="003129AE">
        <w:rPr>
          <w:color w:val="000000"/>
        </w:rPr>
        <w:t>”</w:t>
      </w:r>
      <w:r w:rsidR="00EF0333">
        <w:rPr>
          <w:color w:val="000000"/>
        </w:rPr>
        <w:t xml:space="preserve"> which should not be included in this notice; and (3) was included in a billing statement when it should be separately mailed to customers.  </w:t>
      </w:r>
    </w:p>
    <w:p w:rsidR="00EF0333" w:rsidRDefault="00EF0333" w:rsidP="00180787">
      <w:pPr>
        <w:jc w:val="left"/>
        <w:rPr>
          <w:color w:val="000000"/>
        </w:rPr>
      </w:pPr>
    </w:p>
    <w:p w:rsidR="00EF0333" w:rsidRDefault="00EF0333" w:rsidP="00180787">
      <w:pPr>
        <w:jc w:val="left"/>
        <w:rPr>
          <w:color w:val="000000"/>
        </w:rPr>
      </w:pPr>
      <w:r>
        <w:rPr>
          <w:color w:val="000000"/>
        </w:rPr>
        <w:tab/>
      </w:r>
      <w:r>
        <w:rPr>
          <w:color w:val="000000"/>
        </w:rPr>
        <w:tab/>
        <w:t xml:space="preserve">Respondent states that its actions were motivated by and required by the final order in a Commission proceeding, </w:t>
      </w:r>
      <w:r>
        <w:rPr>
          <w:i/>
          <w:color w:val="000000"/>
        </w:rPr>
        <w:t>Interim Guidelines for Eligible Customer Lists,</w:t>
      </w:r>
      <w:r>
        <w:rPr>
          <w:color w:val="000000"/>
        </w:rPr>
        <w:t xml:space="preserve"> Docket No. M-2010-2183412 (Final Order entered October 23, 2014</w:t>
      </w:r>
      <w:r w:rsidR="003129AE">
        <w:rPr>
          <w:color w:val="000000"/>
        </w:rPr>
        <w:t>)</w:t>
      </w:r>
      <w:r>
        <w:rPr>
          <w:color w:val="000000"/>
        </w:rPr>
        <w:t xml:space="preserve"> (</w:t>
      </w:r>
      <w:r>
        <w:rPr>
          <w:i/>
          <w:color w:val="000000"/>
        </w:rPr>
        <w:t>Final ECL Order),</w:t>
      </w:r>
      <w:r>
        <w:rPr>
          <w:color w:val="000000"/>
        </w:rPr>
        <w:t xml:space="preserve"> which required all EDCs to perform triennial company-wide solicitations to update their ECLs by the end of the first quarter of 2015.  </w:t>
      </w:r>
      <w:r w:rsidR="006A3E98">
        <w:rPr>
          <w:color w:val="000000"/>
        </w:rPr>
        <w:t>Its actions were pursuant to</w:t>
      </w:r>
      <w:r w:rsidR="003129AE">
        <w:rPr>
          <w:color w:val="000000"/>
        </w:rPr>
        <w:t>,</w:t>
      </w:r>
      <w:r w:rsidR="006A3E98">
        <w:rPr>
          <w:color w:val="000000"/>
        </w:rPr>
        <w:t xml:space="preserve"> as well as required by</w:t>
      </w:r>
      <w:r w:rsidR="003129AE">
        <w:rPr>
          <w:color w:val="000000"/>
        </w:rPr>
        <w:t>,</w:t>
      </w:r>
      <w:r w:rsidR="006A3E98">
        <w:rPr>
          <w:color w:val="000000"/>
        </w:rPr>
        <w:t xml:space="preserve"> the Commission's Order, and therefore there</w:t>
      </w:r>
      <w:r w:rsidR="003129AE">
        <w:rPr>
          <w:color w:val="000000"/>
        </w:rPr>
        <w:t xml:space="preserve"> has been</w:t>
      </w:r>
      <w:r w:rsidR="006A3E98">
        <w:rPr>
          <w:color w:val="000000"/>
        </w:rPr>
        <w:t xml:space="preserve"> no violation of any Commission statute, regulation or order.</w:t>
      </w:r>
    </w:p>
    <w:p w:rsidR="00EF0333" w:rsidRDefault="00EF0333" w:rsidP="00180787">
      <w:pPr>
        <w:jc w:val="left"/>
        <w:rPr>
          <w:color w:val="000000"/>
        </w:rPr>
      </w:pPr>
    </w:p>
    <w:p w:rsidR="00EF0333" w:rsidRDefault="00EF0333" w:rsidP="00180787">
      <w:pPr>
        <w:jc w:val="left"/>
        <w:rPr>
          <w:color w:val="000000"/>
        </w:rPr>
      </w:pPr>
      <w:r>
        <w:rPr>
          <w:color w:val="000000"/>
        </w:rPr>
        <w:tab/>
      </w:r>
      <w:r>
        <w:rPr>
          <w:color w:val="000000"/>
        </w:rPr>
        <w:tab/>
      </w:r>
      <w:r w:rsidR="003129AE">
        <w:rPr>
          <w:color w:val="000000"/>
        </w:rPr>
        <w:t xml:space="preserve">I agree.  There are no issues of fact in this case.  The actions complained of by the Complainant were not of the utility’s devising.  They were taken as a result of a Commission order.  </w:t>
      </w:r>
      <w:r>
        <w:rPr>
          <w:color w:val="000000"/>
        </w:rPr>
        <w:t xml:space="preserve">Respondent is correct that the </w:t>
      </w:r>
      <w:r>
        <w:rPr>
          <w:i/>
          <w:color w:val="000000"/>
        </w:rPr>
        <w:t>Final ECL Order</w:t>
      </w:r>
      <w:r>
        <w:rPr>
          <w:color w:val="000000"/>
        </w:rPr>
        <w:t xml:space="preserve"> requires EDCs to send notices to customers in order to update the EDCs' customer lists, </w:t>
      </w:r>
      <w:r w:rsidR="00E33F2B">
        <w:rPr>
          <w:color w:val="000000"/>
        </w:rPr>
        <w:t xml:space="preserve">because "it is in the best interest of all market participants for customers to be periodically reminded of their ability to include in, or restrict from, the ECL any, or all of their information."  </w:t>
      </w:r>
      <w:proofErr w:type="gramStart"/>
      <w:r w:rsidR="006A3E98">
        <w:rPr>
          <w:i/>
          <w:color w:val="000000"/>
        </w:rPr>
        <w:t>Final ECL Order</w:t>
      </w:r>
      <w:r w:rsidR="006A3E98">
        <w:rPr>
          <w:color w:val="000000"/>
        </w:rPr>
        <w:t xml:space="preserve"> at 1</w:t>
      </w:r>
      <w:r w:rsidR="00E33F2B">
        <w:rPr>
          <w:color w:val="000000"/>
        </w:rPr>
        <w:t>2</w:t>
      </w:r>
      <w:r w:rsidR="006A3E98">
        <w:rPr>
          <w:color w:val="000000"/>
        </w:rPr>
        <w:t>.</w:t>
      </w:r>
      <w:proofErr w:type="gramEnd"/>
      <w:r w:rsidR="006A3E98">
        <w:rPr>
          <w:color w:val="000000"/>
        </w:rPr>
        <w:t xml:space="preserve">  </w:t>
      </w:r>
      <w:r w:rsidR="00E33F2B">
        <w:rPr>
          <w:color w:val="000000"/>
        </w:rPr>
        <w:t xml:space="preserve">In addition, the Commission affirmatively decided that opting out is the appropriate mechanism regarding customer information on the ECL.  </w:t>
      </w:r>
      <w:proofErr w:type="gramStart"/>
      <w:r w:rsidR="00E33F2B">
        <w:rPr>
          <w:i/>
          <w:color w:val="000000"/>
        </w:rPr>
        <w:t>Final ECL Order</w:t>
      </w:r>
      <w:r w:rsidR="00E33F2B">
        <w:rPr>
          <w:color w:val="000000"/>
        </w:rPr>
        <w:t xml:space="preserve"> at 12.</w:t>
      </w:r>
      <w:proofErr w:type="gramEnd"/>
      <w:r w:rsidR="00E33F2B">
        <w:rPr>
          <w:color w:val="000000"/>
        </w:rPr>
        <w:t xml:space="preserve">  </w:t>
      </w:r>
      <w:r w:rsidR="006A3E98">
        <w:rPr>
          <w:color w:val="000000"/>
        </w:rPr>
        <w:t xml:space="preserve">Accordingly, the EDC does not have the ability to change its approach to an "opt-in" program without violating the Commission's Order.  </w:t>
      </w:r>
    </w:p>
    <w:p w:rsidR="00180787" w:rsidRDefault="00180787" w:rsidP="00180787">
      <w:pPr>
        <w:jc w:val="left"/>
        <w:rPr>
          <w:color w:val="000000"/>
        </w:rPr>
      </w:pPr>
      <w:r>
        <w:rPr>
          <w:color w:val="000000"/>
        </w:rPr>
        <w:br w:type="page"/>
      </w:r>
    </w:p>
    <w:p w:rsidR="00A22561" w:rsidRDefault="00A22561" w:rsidP="00180787">
      <w:pPr>
        <w:jc w:val="left"/>
        <w:rPr>
          <w:color w:val="000000"/>
        </w:rPr>
      </w:pPr>
      <w:r>
        <w:rPr>
          <w:color w:val="000000"/>
        </w:rPr>
        <w:lastRenderedPageBreak/>
        <w:tab/>
      </w:r>
      <w:r>
        <w:rPr>
          <w:color w:val="000000"/>
        </w:rPr>
        <w:tab/>
        <w:t>The</w:t>
      </w:r>
      <w:r w:rsidRPr="00A22561">
        <w:rPr>
          <w:i/>
          <w:color w:val="000000"/>
        </w:rPr>
        <w:t xml:space="preserve"> </w:t>
      </w:r>
      <w:r>
        <w:rPr>
          <w:i/>
          <w:color w:val="000000"/>
        </w:rPr>
        <w:t>Final ECL Order</w:t>
      </w:r>
      <w:r>
        <w:rPr>
          <w:color w:val="000000"/>
        </w:rPr>
        <w:t xml:space="preserve"> directs the EDCs to include the following information in its solicitation:</w:t>
      </w:r>
    </w:p>
    <w:p w:rsidR="00180787" w:rsidRDefault="00180787" w:rsidP="00180787">
      <w:pPr>
        <w:jc w:val="left"/>
        <w:rPr>
          <w:color w:val="000000"/>
        </w:rPr>
      </w:pPr>
    </w:p>
    <w:p w:rsidR="00A22561" w:rsidRDefault="00A22561" w:rsidP="00180787">
      <w:pPr>
        <w:jc w:val="left"/>
        <w:rPr>
          <w:color w:val="000000"/>
        </w:rPr>
      </w:pPr>
      <w:r>
        <w:rPr>
          <w:color w:val="000000"/>
        </w:rPr>
        <w:tab/>
        <w:t>1.</w:t>
      </w:r>
      <w:r>
        <w:rPr>
          <w:color w:val="000000"/>
        </w:rPr>
        <w:tab/>
        <w:t xml:space="preserve">An explanation of </w:t>
      </w:r>
      <w:r w:rsidR="00E33F2B">
        <w:rPr>
          <w:color w:val="000000"/>
        </w:rPr>
        <w:t xml:space="preserve">what </w:t>
      </w:r>
      <w:r>
        <w:rPr>
          <w:color w:val="000000"/>
        </w:rPr>
        <w:t>the ECL</w:t>
      </w:r>
      <w:r w:rsidR="00E33F2B">
        <w:rPr>
          <w:color w:val="000000"/>
        </w:rPr>
        <w:t xml:space="preserve"> is</w:t>
      </w:r>
      <w:r>
        <w:rPr>
          <w:color w:val="000000"/>
        </w:rPr>
        <w:t>;</w:t>
      </w:r>
    </w:p>
    <w:p w:rsidR="00A22561" w:rsidRDefault="00A22561" w:rsidP="00180787">
      <w:pPr>
        <w:jc w:val="left"/>
        <w:rPr>
          <w:color w:val="000000"/>
        </w:rPr>
      </w:pPr>
      <w:r>
        <w:rPr>
          <w:color w:val="000000"/>
        </w:rPr>
        <w:tab/>
        <w:t>2.</w:t>
      </w:r>
      <w:r>
        <w:rPr>
          <w:color w:val="000000"/>
        </w:rPr>
        <w:tab/>
        <w:t>The required information included on the ECL;</w:t>
      </w:r>
    </w:p>
    <w:p w:rsidR="00A22561" w:rsidRDefault="00A22561" w:rsidP="00180787">
      <w:pPr>
        <w:jc w:val="left"/>
        <w:rPr>
          <w:color w:val="000000"/>
        </w:rPr>
      </w:pPr>
      <w:r>
        <w:rPr>
          <w:color w:val="000000"/>
        </w:rPr>
        <w:tab/>
        <w:t>3.</w:t>
      </w:r>
      <w:r>
        <w:rPr>
          <w:color w:val="000000"/>
        </w:rPr>
        <w:tab/>
        <w:t>An explanation of the information;</w:t>
      </w:r>
    </w:p>
    <w:p w:rsidR="00A22561" w:rsidRDefault="00A22561" w:rsidP="00180787">
      <w:pPr>
        <w:jc w:val="left"/>
        <w:rPr>
          <w:color w:val="000000"/>
        </w:rPr>
      </w:pPr>
      <w:r>
        <w:rPr>
          <w:color w:val="000000"/>
        </w:rPr>
        <w:tab/>
        <w:t>4.</w:t>
      </w:r>
      <w:r>
        <w:rPr>
          <w:color w:val="000000"/>
        </w:rPr>
        <w:tab/>
        <w:t>How the information will be used by EGSs;</w:t>
      </w:r>
    </w:p>
    <w:p w:rsidR="00A22561" w:rsidRDefault="00A22561" w:rsidP="00180787">
      <w:pPr>
        <w:jc w:val="left"/>
        <w:rPr>
          <w:color w:val="000000"/>
        </w:rPr>
      </w:pPr>
      <w:r>
        <w:rPr>
          <w:color w:val="000000"/>
        </w:rPr>
        <w:tab/>
        <w:t>5.</w:t>
      </w:r>
      <w:r>
        <w:rPr>
          <w:color w:val="000000"/>
        </w:rPr>
        <w:tab/>
        <w:t xml:space="preserve">How it will be safeguarded by EDCs; </w:t>
      </w:r>
    </w:p>
    <w:p w:rsidR="00A22561" w:rsidRDefault="00A22561" w:rsidP="00180787">
      <w:pPr>
        <w:jc w:val="left"/>
        <w:rPr>
          <w:color w:val="000000"/>
        </w:rPr>
      </w:pPr>
      <w:r>
        <w:rPr>
          <w:color w:val="000000"/>
        </w:rPr>
        <w:tab/>
        <w:t>6.</w:t>
      </w:r>
      <w:r>
        <w:rPr>
          <w:color w:val="000000"/>
        </w:rPr>
        <w:tab/>
        <w:t xml:space="preserve">How widely the information will be disseminated; and </w:t>
      </w:r>
    </w:p>
    <w:p w:rsidR="00A22561" w:rsidRDefault="00A22561" w:rsidP="00180787">
      <w:pPr>
        <w:jc w:val="left"/>
        <w:rPr>
          <w:color w:val="000000"/>
        </w:rPr>
      </w:pPr>
      <w:r>
        <w:rPr>
          <w:color w:val="000000"/>
        </w:rPr>
        <w:tab/>
        <w:t>7.</w:t>
      </w:r>
      <w:r>
        <w:rPr>
          <w:color w:val="000000"/>
        </w:rPr>
        <w:tab/>
        <w:t>The potential benefits to customers of including this information on the ECL.</w:t>
      </w:r>
    </w:p>
    <w:p w:rsidR="00180787" w:rsidRDefault="00180787" w:rsidP="00180787">
      <w:pPr>
        <w:jc w:val="left"/>
        <w:rPr>
          <w:color w:val="000000"/>
        </w:rPr>
      </w:pPr>
    </w:p>
    <w:p w:rsidR="00A22561" w:rsidRDefault="00A22561" w:rsidP="00180787">
      <w:pPr>
        <w:jc w:val="left"/>
        <w:rPr>
          <w:color w:val="000000"/>
        </w:rPr>
      </w:pPr>
      <w:r>
        <w:rPr>
          <w:i/>
          <w:color w:val="000000"/>
        </w:rPr>
        <w:t>Final ECL Order</w:t>
      </w:r>
      <w:r>
        <w:rPr>
          <w:color w:val="000000"/>
        </w:rPr>
        <w:t xml:space="preserve"> at 1</w:t>
      </w:r>
      <w:r w:rsidR="00E33F2B">
        <w:rPr>
          <w:color w:val="000000"/>
        </w:rPr>
        <w:t>5</w:t>
      </w:r>
      <w:r>
        <w:rPr>
          <w:color w:val="000000"/>
        </w:rPr>
        <w:t>-1</w:t>
      </w:r>
      <w:r w:rsidR="00E33F2B">
        <w:rPr>
          <w:color w:val="000000"/>
        </w:rPr>
        <w:t>6; 18-19</w:t>
      </w:r>
      <w:r>
        <w:rPr>
          <w:color w:val="000000"/>
        </w:rPr>
        <w:t>.</w:t>
      </w:r>
      <w:r w:rsidR="00CA42CA">
        <w:rPr>
          <w:color w:val="000000"/>
        </w:rPr>
        <w:t xml:space="preserve">  There has been no contention that the Respondent has exceeded this.</w:t>
      </w:r>
    </w:p>
    <w:p w:rsidR="00A22561" w:rsidRDefault="00A22561" w:rsidP="00180787">
      <w:pPr>
        <w:jc w:val="left"/>
        <w:rPr>
          <w:color w:val="000000"/>
        </w:rPr>
      </w:pPr>
    </w:p>
    <w:p w:rsidR="00B7149A" w:rsidRPr="00CA42CA" w:rsidRDefault="00E33F2B" w:rsidP="00180787">
      <w:pPr>
        <w:contextualSpacing/>
        <w:jc w:val="left"/>
      </w:pPr>
      <w:r>
        <w:tab/>
      </w:r>
      <w:r>
        <w:tab/>
        <w:t xml:space="preserve">The Company actions are directed by Commission order, and I </w:t>
      </w:r>
      <w:r w:rsidR="00516360">
        <w:t xml:space="preserve">do not </w:t>
      </w:r>
      <w:r>
        <w:t xml:space="preserve">have </w:t>
      </w:r>
      <w:r w:rsidR="00516360">
        <w:t xml:space="preserve">the </w:t>
      </w:r>
      <w:r>
        <w:t>a</w:t>
      </w:r>
      <w:r w:rsidR="00516360">
        <w:t>uthority</w:t>
      </w:r>
      <w:r>
        <w:t xml:space="preserve"> to </w:t>
      </w:r>
      <w:r w:rsidR="00516360">
        <w:t>change</w:t>
      </w:r>
      <w:r>
        <w:t xml:space="preserve"> </w:t>
      </w:r>
      <w:r w:rsidR="003129AE">
        <w:t>a</w:t>
      </w:r>
      <w:r>
        <w:t xml:space="preserve"> Commission order.  The Complain</w:t>
      </w:r>
      <w:r w:rsidR="003129AE">
        <w:t>an</w:t>
      </w:r>
      <w:r>
        <w:t>t seeks a remed</w:t>
      </w:r>
      <w:r w:rsidR="003129AE">
        <w:t>y that cannot be granted</w:t>
      </w:r>
      <w:r w:rsidR="00CA42CA">
        <w:t xml:space="preserve"> in a complaint proceeding</w:t>
      </w:r>
      <w:r w:rsidR="003129AE">
        <w:t>.  The C</w:t>
      </w:r>
      <w:r>
        <w:t xml:space="preserve">ommission may dismiss any complaint without a hearing if, in its opinion, a hearing is not necessary in the public </w:t>
      </w:r>
      <w:r w:rsidR="00CA42CA">
        <w:t xml:space="preserve">interest.  </w:t>
      </w:r>
      <w:proofErr w:type="gramStart"/>
      <w:r w:rsidR="00CA42CA">
        <w:t>66 Pa.C.S.</w:t>
      </w:r>
      <w:proofErr w:type="gramEnd"/>
      <w:r w:rsidR="00CA42CA">
        <w:t xml:space="preserve"> § 703(b).  </w:t>
      </w:r>
      <w:r>
        <w:t xml:space="preserve">As the only </w:t>
      </w:r>
      <w:r w:rsidR="00CA42CA">
        <w:t>issue</w:t>
      </w:r>
      <w:r>
        <w:t xml:space="preserve"> alleged does not state a violation of a statute, regulation or order of the Commission, and there is no other remedy sought or available, there is no reason to hold a hearing.  Therefore, the </w:t>
      </w:r>
      <w:r w:rsidR="003129AE">
        <w:t xml:space="preserve">preliminary objections are sustained, and the </w:t>
      </w:r>
      <w:r>
        <w:t xml:space="preserve">Complaint </w:t>
      </w:r>
      <w:r w:rsidR="003129AE">
        <w:t>must be</w:t>
      </w:r>
      <w:r>
        <w:t xml:space="preserve"> dismissed.  </w:t>
      </w:r>
    </w:p>
    <w:p w:rsidR="00B7149A" w:rsidRDefault="00B7149A" w:rsidP="00180787">
      <w:pPr>
        <w:jc w:val="left"/>
        <w:rPr>
          <w:color w:val="000000"/>
        </w:rPr>
      </w:pPr>
    </w:p>
    <w:p w:rsidR="00B7149A" w:rsidRDefault="00B7149A" w:rsidP="00B7149A">
      <w:pPr>
        <w:rPr>
          <w:u w:val="single"/>
        </w:rPr>
      </w:pPr>
      <w:r>
        <w:rPr>
          <w:u w:val="single"/>
        </w:rPr>
        <w:t>CONCLUSIONS OF LAW</w:t>
      </w:r>
    </w:p>
    <w:p w:rsidR="00B7149A" w:rsidRDefault="00B7149A" w:rsidP="00180787">
      <w:pPr>
        <w:jc w:val="left"/>
        <w:rPr>
          <w:u w:val="single"/>
        </w:rPr>
      </w:pPr>
    </w:p>
    <w:p w:rsidR="00B7149A" w:rsidRDefault="00B7149A" w:rsidP="00180787">
      <w:pPr>
        <w:jc w:val="left"/>
      </w:pPr>
      <w:r>
        <w:tab/>
      </w:r>
      <w:r>
        <w:tab/>
        <w:t>1.</w:t>
      </w:r>
      <w:r>
        <w:tab/>
        <w:t xml:space="preserve">Commission preliminary objection practice is similar to Pennsylvania civil practice.  </w:t>
      </w:r>
      <w:r>
        <w:rPr>
          <w:i/>
        </w:rPr>
        <w:t xml:space="preserve">Equitable Small Transportation Interveners v. Equitable Gas Company, </w:t>
      </w:r>
      <w:r>
        <w:t xml:space="preserve">1994 </w:t>
      </w:r>
      <w:smartTag w:uri="urn:schemas-microsoft-com:office:smarttags" w:element="place">
        <w:smartTag w:uri="urn:schemas-microsoft-com:office:smarttags" w:element="State">
          <w:r>
            <w:t>Pa.</w:t>
          </w:r>
        </w:smartTag>
      </w:smartTag>
      <w:r>
        <w:t xml:space="preserve"> PUC LEXIS 69, PUC Docket No. </w:t>
      </w:r>
      <w:proofErr w:type="gramStart"/>
      <w:r>
        <w:t>C-000935435 (July 18, 1994).</w:t>
      </w:r>
      <w:proofErr w:type="gramEnd"/>
      <w:r>
        <w:t xml:space="preserve"> </w:t>
      </w:r>
      <w:r>
        <w:tab/>
        <w:t xml:space="preserve"> </w:t>
      </w:r>
    </w:p>
    <w:p w:rsidR="00B7149A" w:rsidRDefault="00B7149A" w:rsidP="00180787">
      <w:pPr>
        <w:jc w:val="left"/>
      </w:pPr>
    </w:p>
    <w:p w:rsidR="00B7149A" w:rsidRDefault="00B7149A" w:rsidP="00180787">
      <w:pPr>
        <w:jc w:val="left"/>
        <w:rPr>
          <w:i/>
        </w:rPr>
      </w:pPr>
      <w:r>
        <w:tab/>
      </w:r>
      <w:r>
        <w:tab/>
        <w:t>2.</w:t>
      </w:r>
      <w:r>
        <w:tab/>
        <w:t xml:space="preserve">When considering the preliminary objection, the Commission must determine “whether the law says with certainty, based on well-pleaded factual averments . . . that </w:t>
      </w:r>
      <w:r>
        <w:lastRenderedPageBreak/>
        <w:t xml:space="preserve">no recovery or relief is possible.  </w:t>
      </w:r>
      <w:proofErr w:type="gramStart"/>
      <w:r>
        <w:rPr>
          <w:i/>
        </w:rPr>
        <w:t xml:space="preserve">P. J. S. v. Pa. State Ethics Commission, </w:t>
      </w:r>
      <w:r w:rsidR="00A715B0">
        <w:t>669 A.2d 1105 (Pa.</w:t>
      </w:r>
      <w:r>
        <w:t>Cmwlth. 1996).</w:t>
      </w:r>
      <w:proofErr w:type="gramEnd"/>
      <w:r>
        <w:t xml:space="preserve">  Any doubt must be resolved in favor of the non-moving party by refusing to sustain the preliminary objections.  </w:t>
      </w:r>
      <w:proofErr w:type="gramStart"/>
      <w:r>
        <w:rPr>
          <w:i/>
        </w:rPr>
        <w:t xml:space="preserve">Boyd v. Ward, </w:t>
      </w:r>
      <w:r w:rsidR="00A715B0">
        <w:t>802 A.2d 705 (Pa.</w:t>
      </w:r>
      <w:r>
        <w:t>Cmwlth. 2002).”</w:t>
      </w:r>
      <w:proofErr w:type="gramEnd"/>
      <w:r>
        <w:t xml:space="preserve">  </w:t>
      </w:r>
      <w:r w:rsidRPr="00F87999">
        <w:rPr>
          <w:i/>
        </w:rPr>
        <w:t xml:space="preserve">Dept. of Auditor General, et al. v. State Employees’ Retirement System, et al., </w:t>
      </w:r>
      <w:r>
        <w:t>836 A.2d 1053, 1064 (</w:t>
      </w:r>
      <w:r w:rsidR="00A715B0">
        <w:t>Pa.</w:t>
      </w:r>
      <w:bookmarkStart w:id="0" w:name="_GoBack"/>
      <w:bookmarkEnd w:id="0"/>
      <w:r>
        <w:t xml:space="preserve">Cmwlth. 2003).  </w:t>
      </w:r>
      <w:r>
        <w:rPr>
          <w:i/>
        </w:rPr>
        <w:t xml:space="preserve"> </w:t>
      </w:r>
    </w:p>
    <w:p w:rsidR="00B7149A" w:rsidRDefault="00B7149A" w:rsidP="00180787">
      <w:pPr>
        <w:jc w:val="left"/>
        <w:rPr>
          <w:i/>
        </w:rPr>
      </w:pPr>
    </w:p>
    <w:p w:rsidR="00B7149A" w:rsidRDefault="00B7149A" w:rsidP="00180787">
      <w:pPr>
        <w:contextualSpacing/>
        <w:jc w:val="left"/>
      </w:pPr>
      <w:r>
        <w:rPr>
          <w:i/>
        </w:rPr>
        <w:tab/>
      </w:r>
      <w:r>
        <w:rPr>
          <w:i/>
        </w:rPr>
        <w:tab/>
      </w:r>
      <w:r>
        <w:t>3.</w:t>
      </w:r>
      <w:r>
        <w:tab/>
        <w:t>Preliminary objections are available to parties and may be granted where there is a lack of Commission jurisdiction.  52 Pa.Code § 5.101(a</w:t>
      </w:r>
      <w:proofErr w:type="gramStart"/>
      <w:r>
        <w:t>)(</w:t>
      </w:r>
      <w:proofErr w:type="gramEnd"/>
      <w:r>
        <w:t>1).</w:t>
      </w:r>
    </w:p>
    <w:p w:rsidR="00B7149A" w:rsidRDefault="00B7149A" w:rsidP="00180787">
      <w:pPr>
        <w:contextualSpacing/>
        <w:jc w:val="left"/>
      </w:pPr>
    </w:p>
    <w:p w:rsidR="00B7149A" w:rsidRDefault="00B7149A" w:rsidP="00180787">
      <w:pPr>
        <w:jc w:val="left"/>
      </w:pPr>
      <w:r>
        <w:tab/>
      </w:r>
      <w:r>
        <w:tab/>
        <w:t>4.</w:t>
      </w:r>
      <w:r>
        <w:tab/>
        <w:t xml:space="preserve">The Complaint must set forth anything done or omitted to be done by the utility company in violation of any law which the Commission has jurisdiction to administer.  </w:t>
      </w:r>
      <w:proofErr w:type="gramStart"/>
      <w:r>
        <w:t>66 Pa. C.S. § 701; 52 Pa. Code § 5.21(a).</w:t>
      </w:r>
      <w:proofErr w:type="gramEnd"/>
      <w:r>
        <w:t xml:space="preserve">  </w:t>
      </w:r>
    </w:p>
    <w:p w:rsidR="00B7149A" w:rsidRDefault="00B7149A" w:rsidP="00180787">
      <w:pPr>
        <w:jc w:val="left"/>
      </w:pPr>
    </w:p>
    <w:p w:rsidR="00B7149A" w:rsidRDefault="00B7149A" w:rsidP="00180787">
      <w:pPr>
        <w:jc w:val="left"/>
      </w:pPr>
      <w:r>
        <w:tab/>
      </w:r>
      <w:r>
        <w:tab/>
        <w:t>5.</w:t>
      </w:r>
      <w:r>
        <w:tab/>
      </w:r>
      <w:r w:rsidRPr="00705178">
        <w:t>In order for</w:t>
      </w:r>
      <w:r>
        <w:t xml:space="preserve"> the</w:t>
      </w:r>
      <w:r w:rsidRPr="00705178">
        <w:t xml:space="preserve"> Complainant to prevail ultimately, there must be a statute, regulation or order which the Commission is authorized to enforce.  </w:t>
      </w:r>
    </w:p>
    <w:p w:rsidR="00B7149A" w:rsidRDefault="00B7149A" w:rsidP="00180787">
      <w:pPr>
        <w:jc w:val="left"/>
      </w:pPr>
    </w:p>
    <w:p w:rsidR="00B7149A" w:rsidRDefault="00B7149A" w:rsidP="00180787">
      <w:pPr>
        <w:jc w:val="left"/>
      </w:pPr>
      <w:r>
        <w:tab/>
      </w:r>
      <w:r>
        <w:tab/>
      </w:r>
      <w:r w:rsidR="00397CCB">
        <w:t>6</w:t>
      </w:r>
      <w:r>
        <w:t>.</w:t>
      </w:r>
      <w:r>
        <w:tab/>
      </w:r>
      <w:r w:rsidRPr="00705178">
        <w:t xml:space="preserve">The Complaint must set forth anything done or omitted to be done by the Respondent in violation of any law which the Commission has jurisdiction to administer.  </w:t>
      </w:r>
      <w:proofErr w:type="gramStart"/>
      <w:r w:rsidRPr="00705178">
        <w:t>66 Pa. C.S. § 701; 52 Pa.Code § 5.21(a).</w:t>
      </w:r>
      <w:proofErr w:type="gramEnd"/>
      <w:r w:rsidRPr="00705178">
        <w:t xml:space="preserve">  </w:t>
      </w:r>
    </w:p>
    <w:p w:rsidR="00B7149A" w:rsidRDefault="00B7149A" w:rsidP="00180787">
      <w:pPr>
        <w:jc w:val="left"/>
      </w:pPr>
    </w:p>
    <w:p w:rsidR="00B7149A" w:rsidRDefault="00397CCB" w:rsidP="00180787">
      <w:pPr>
        <w:contextualSpacing/>
        <w:jc w:val="left"/>
      </w:pPr>
      <w:r>
        <w:tab/>
      </w:r>
      <w:r>
        <w:tab/>
        <w:t>7</w:t>
      </w:r>
      <w:r w:rsidR="003129AE">
        <w:t>.</w:t>
      </w:r>
      <w:r w:rsidR="003129AE">
        <w:tab/>
        <w:t>The C</w:t>
      </w:r>
      <w:r w:rsidR="00B7149A">
        <w:t xml:space="preserve">ommission may dismiss any complaint without a hearing if, in its opinion, a hearing is not necessary in the public interest.  </w:t>
      </w:r>
      <w:proofErr w:type="gramStart"/>
      <w:r w:rsidR="00B7149A">
        <w:t>66 Pa.C.S.</w:t>
      </w:r>
      <w:proofErr w:type="gramEnd"/>
      <w:r w:rsidR="00B7149A">
        <w:t xml:space="preserve"> § 703(b). </w:t>
      </w:r>
    </w:p>
    <w:p w:rsidR="00B7149A" w:rsidRDefault="00B7149A" w:rsidP="00180787">
      <w:pPr>
        <w:contextualSpacing/>
        <w:jc w:val="left"/>
      </w:pPr>
    </w:p>
    <w:p w:rsidR="00B7149A" w:rsidRPr="009C35D4" w:rsidRDefault="00397CCB" w:rsidP="00180787">
      <w:pPr>
        <w:contextualSpacing/>
        <w:jc w:val="left"/>
      </w:pPr>
      <w:r>
        <w:tab/>
      </w:r>
      <w:r>
        <w:tab/>
        <w:t>8</w:t>
      </w:r>
      <w:r w:rsidR="00B7149A">
        <w:t>.</w:t>
      </w:r>
      <w:r w:rsidR="00B7149A">
        <w:tab/>
        <w:t xml:space="preserve"> As the only count alleged </w:t>
      </w:r>
      <w:r>
        <w:t>does</w:t>
      </w:r>
      <w:r w:rsidR="00B7149A">
        <w:t xml:space="preserve"> not </w:t>
      </w:r>
      <w:r>
        <w:t>state a violation of a statute, regulation or order of the</w:t>
      </w:r>
      <w:r w:rsidR="00B7149A">
        <w:t xml:space="preserve"> Commission, and there is no other remedy sought or available, there is no reason to hold a hearing.  </w:t>
      </w:r>
    </w:p>
    <w:p w:rsidR="00180787" w:rsidRDefault="00180787" w:rsidP="00180787">
      <w:pPr>
        <w:jc w:val="left"/>
        <w:rPr>
          <w:u w:val="single"/>
        </w:rPr>
      </w:pPr>
      <w:r>
        <w:rPr>
          <w:u w:val="single"/>
        </w:rPr>
        <w:br w:type="page"/>
      </w:r>
    </w:p>
    <w:p w:rsidR="00B7149A" w:rsidRPr="003C7514" w:rsidRDefault="00B7149A" w:rsidP="00B7149A">
      <w:pPr>
        <w:rPr>
          <w:u w:val="single"/>
        </w:rPr>
      </w:pPr>
      <w:r w:rsidRPr="003C7514">
        <w:rPr>
          <w:u w:val="single"/>
        </w:rPr>
        <w:lastRenderedPageBreak/>
        <w:t>ORDER</w:t>
      </w:r>
    </w:p>
    <w:p w:rsidR="00B7149A" w:rsidRDefault="00B7149A" w:rsidP="00B7149A">
      <w:pPr>
        <w:rPr>
          <w:b/>
        </w:rPr>
      </w:pPr>
    </w:p>
    <w:p w:rsidR="00180787" w:rsidRDefault="00180787" w:rsidP="00B7149A">
      <w:pPr>
        <w:rPr>
          <w:b/>
        </w:rPr>
      </w:pPr>
    </w:p>
    <w:p w:rsidR="00B7149A" w:rsidRDefault="00B7149A" w:rsidP="00B7149A">
      <w:pPr>
        <w:jc w:val="left"/>
      </w:pPr>
      <w:r>
        <w:tab/>
      </w:r>
      <w:r>
        <w:tab/>
        <w:t>THEREFORE,</w:t>
      </w:r>
    </w:p>
    <w:p w:rsidR="00B7149A" w:rsidRDefault="00B7149A" w:rsidP="00B7149A">
      <w:pPr>
        <w:jc w:val="left"/>
      </w:pPr>
    </w:p>
    <w:p w:rsidR="00B7149A" w:rsidRDefault="00B7149A" w:rsidP="00B7149A">
      <w:pPr>
        <w:jc w:val="left"/>
      </w:pPr>
      <w:r>
        <w:tab/>
      </w:r>
      <w:r>
        <w:tab/>
        <w:t>IT IS ORDERED:</w:t>
      </w:r>
    </w:p>
    <w:p w:rsidR="00B7149A" w:rsidRDefault="00B7149A" w:rsidP="00B7149A">
      <w:pPr>
        <w:jc w:val="left"/>
      </w:pPr>
    </w:p>
    <w:p w:rsidR="00B7149A" w:rsidRDefault="00B7149A" w:rsidP="00B7149A">
      <w:pPr>
        <w:jc w:val="left"/>
      </w:pPr>
      <w:r>
        <w:tab/>
      </w:r>
      <w:r>
        <w:tab/>
        <w:t>1.</w:t>
      </w:r>
      <w:r>
        <w:tab/>
        <w:t xml:space="preserve">That the Preliminary Objections filed </w:t>
      </w:r>
      <w:r w:rsidR="003129AE">
        <w:t xml:space="preserve">by PPL Electric Utilities Corporation </w:t>
      </w:r>
      <w:r>
        <w:t xml:space="preserve">in the case captioned </w:t>
      </w:r>
      <w:r w:rsidR="00397CCB">
        <w:rPr>
          <w:i/>
        </w:rPr>
        <w:t xml:space="preserve">Michael </w:t>
      </w:r>
      <w:proofErr w:type="spellStart"/>
      <w:r w:rsidR="00397CCB">
        <w:rPr>
          <w:i/>
        </w:rPr>
        <w:t>Salko</w:t>
      </w:r>
      <w:proofErr w:type="spellEnd"/>
      <w:r w:rsidR="00397CCB">
        <w:rPr>
          <w:i/>
        </w:rPr>
        <w:t>, Jr. v. PPL Electric Utilities Corporation</w:t>
      </w:r>
      <w:r>
        <w:t xml:space="preserve"> at Docket No. C-2015-24</w:t>
      </w:r>
      <w:r w:rsidR="00397CCB">
        <w:t>72734</w:t>
      </w:r>
      <w:r>
        <w:t xml:space="preserve">, </w:t>
      </w:r>
      <w:r w:rsidRPr="003C7514">
        <w:rPr>
          <w:color w:val="000000" w:themeColor="text1"/>
        </w:rPr>
        <w:t xml:space="preserve">are </w:t>
      </w:r>
      <w:r w:rsidR="003129AE">
        <w:rPr>
          <w:color w:val="000000" w:themeColor="text1"/>
        </w:rPr>
        <w:t>sustained</w:t>
      </w:r>
      <w:r w:rsidRPr="003C7514">
        <w:rPr>
          <w:color w:val="000000" w:themeColor="text1"/>
        </w:rPr>
        <w:t>.</w:t>
      </w:r>
    </w:p>
    <w:p w:rsidR="00B7149A" w:rsidRDefault="00B7149A" w:rsidP="00B7149A">
      <w:pPr>
        <w:jc w:val="left"/>
      </w:pPr>
    </w:p>
    <w:p w:rsidR="00B7149A" w:rsidRDefault="00B7149A" w:rsidP="00B7149A">
      <w:pPr>
        <w:jc w:val="left"/>
      </w:pPr>
      <w:r>
        <w:tab/>
      </w:r>
      <w:r>
        <w:tab/>
        <w:t>2.</w:t>
      </w:r>
      <w:r>
        <w:tab/>
        <w:t>That the Complaint filed by</w:t>
      </w:r>
      <w:r w:rsidR="00397CCB" w:rsidRPr="00397CCB">
        <w:rPr>
          <w:i/>
        </w:rPr>
        <w:t xml:space="preserve"> </w:t>
      </w:r>
      <w:r w:rsidR="00397CCB" w:rsidRPr="00397CCB">
        <w:t xml:space="preserve">Michael </w:t>
      </w:r>
      <w:proofErr w:type="spellStart"/>
      <w:r w:rsidR="00397CCB" w:rsidRPr="00397CCB">
        <w:t>Salko</w:t>
      </w:r>
      <w:proofErr w:type="spellEnd"/>
      <w:r w:rsidR="00397CCB" w:rsidRPr="00397CCB">
        <w:t>, Jr. against PPL Electric Utilities Corporat</w:t>
      </w:r>
      <w:r w:rsidR="00397CCB">
        <w:t>i</w:t>
      </w:r>
      <w:r w:rsidR="00397CCB" w:rsidRPr="00397CCB">
        <w:t>on</w:t>
      </w:r>
      <w:r w:rsidRPr="00397CCB">
        <w:rPr>
          <w:color w:val="000000" w:themeColor="text1"/>
        </w:rPr>
        <w:t>,</w:t>
      </w:r>
      <w:r w:rsidRPr="003C7514">
        <w:rPr>
          <w:color w:val="000000" w:themeColor="text1"/>
        </w:rPr>
        <w:t xml:space="preserve"> </w:t>
      </w:r>
      <w:r w:rsidR="003129AE" w:rsidRPr="003129AE">
        <w:rPr>
          <w:color w:val="000000" w:themeColor="text1"/>
        </w:rPr>
        <w:t>at Docket No. C-2015-2472734</w:t>
      </w:r>
      <w:r w:rsidR="003129AE">
        <w:rPr>
          <w:color w:val="000000" w:themeColor="text1"/>
        </w:rPr>
        <w:t xml:space="preserve"> </w:t>
      </w:r>
      <w:r w:rsidRPr="003C7514">
        <w:rPr>
          <w:color w:val="000000" w:themeColor="text1"/>
        </w:rPr>
        <w:t>is dismissed.</w:t>
      </w:r>
    </w:p>
    <w:p w:rsidR="00B7149A" w:rsidRDefault="00B7149A" w:rsidP="00B7149A">
      <w:pPr>
        <w:jc w:val="left"/>
      </w:pPr>
    </w:p>
    <w:p w:rsidR="00B7149A" w:rsidRPr="003C7514" w:rsidRDefault="00B7149A" w:rsidP="00B7149A">
      <w:pPr>
        <w:jc w:val="left"/>
        <w:rPr>
          <w:color w:val="000000" w:themeColor="text1"/>
        </w:rPr>
      </w:pPr>
      <w:r>
        <w:tab/>
      </w:r>
      <w:r>
        <w:tab/>
        <w:t>3.</w:t>
      </w:r>
      <w:r>
        <w:tab/>
      </w:r>
      <w:r w:rsidRPr="003C7514">
        <w:rPr>
          <w:color w:val="000000" w:themeColor="text1"/>
        </w:rPr>
        <w:t xml:space="preserve">That the Secretary </w:t>
      </w:r>
      <w:proofErr w:type="gramStart"/>
      <w:r w:rsidRPr="003C7514">
        <w:rPr>
          <w:color w:val="000000" w:themeColor="text1"/>
        </w:rPr>
        <w:t>mark</w:t>
      </w:r>
      <w:proofErr w:type="gramEnd"/>
      <w:r w:rsidRPr="003C7514">
        <w:rPr>
          <w:color w:val="000000" w:themeColor="text1"/>
        </w:rPr>
        <w:t xml:space="preserve"> this docket closed.</w:t>
      </w:r>
    </w:p>
    <w:p w:rsidR="00B7149A" w:rsidRDefault="00B7149A" w:rsidP="00B7149A">
      <w:pPr>
        <w:jc w:val="left"/>
      </w:pPr>
    </w:p>
    <w:p w:rsidR="00B7149A" w:rsidRDefault="00B7149A" w:rsidP="00B7149A">
      <w:pPr>
        <w:jc w:val="left"/>
      </w:pPr>
    </w:p>
    <w:p w:rsidR="00B7149A" w:rsidRPr="007C12D9" w:rsidRDefault="00B7149A" w:rsidP="00B7149A">
      <w:pPr>
        <w:spacing w:line="240" w:lineRule="auto"/>
        <w:contextualSpacing/>
        <w:jc w:val="left"/>
      </w:pPr>
      <w:r>
        <w:t>Dated:</w:t>
      </w:r>
      <w:r>
        <w:tab/>
      </w:r>
      <w:r w:rsidR="00397CCB">
        <w:rPr>
          <w:color w:val="000000" w:themeColor="text1"/>
          <w:u w:val="single"/>
        </w:rPr>
        <w:t xml:space="preserve">November </w:t>
      </w:r>
      <w:r w:rsidR="00E33F2B">
        <w:rPr>
          <w:color w:val="000000" w:themeColor="text1"/>
          <w:u w:val="single"/>
        </w:rPr>
        <w:t>2</w:t>
      </w:r>
      <w:r w:rsidR="00397CCB">
        <w:rPr>
          <w:color w:val="000000" w:themeColor="text1"/>
          <w:u w:val="single"/>
        </w:rPr>
        <w:t>, 2015</w:t>
      </w:r>
      <w:r w:rsidRPr="007C12D9">
        <w:tab/>
      </w:r>
      <w:r w:rsidRPr="007C12D9">
        <w:tab/>
      </w:r>
      <w:r w:rsidRPr="007C12D9">
        <w:tab/>
      </w:r>
      <w:r w:rsidRPr="007C12D9">
        <w:tab/>
      </w:r>
      <w:r w:rsidRPr="0006554A">
        <w:rPr>
          <w:u w:val="single"/>
        </w:rPr>
        <w:t>____/</w:t>
      </w:r>
      <w:r w:rsidRPr="0006554A">
        <w:rPr>
          <w:rFonts w:ascii="Berlin Sans FB" w:hAnsi="Berlin Sans FB"/>
          <w:u w:val="single"/>
        </w:rPr>
        <w:t>s</w:t>
      </w:r>
      <w:r w:rsidRPr="0006554A">
        <w:rPr>
          <w:u w:val="single"/>
        </w:rPr>
        <w:t>/__________________________</w:t>
      </w:r>
    </w:p>
    <w:p w:rsidR="00B7149A" w:rsidRDefault="00B7149A" w:rsidP="00B7149A">
      <w:pPr>
        <w:spacing w:line="240" w:lineRule="auto"/>
        <w:contextualSpacing/>
        <w:jc w:val="left"/>
      </w:pPr>
      <w:r w:rsidRPr="007C12D9">
        <w:tab/>
      </w:r>
      <w:r w:rsidRPr="007C12D9">
        <w:tab/>
      </w:r>
      <w:r w:rsidRPr="007C12D9">
        <w:tab/>
      </w:r>
      <w:r>
        <w:tab/>
      </w:r>
      <w:r>
        <w:tab/>
      </w:r>
      <w:r>
        <w:tab/>
      </w:r>
      <w:r>
        <w:tab/>
      </w:r>
      <w:r w:rsidR="00397CCB">
        <w:t>Dennis J. Buckley</w:t>
      </w:r>
    </w:p>
    <w:p w:rsidR="00B7149A" w:rsidRPr="00A87EFE" w:rsidRDefault="00B7149A" w:rsidP="00B7149A">
      <w:pPr>
        <w:spacing w:line="240" w:lineRule="auto"/>
        <w:contextualSpacing/>
        <w:jc w:val="left"/>
      </w:pPr>
      <w:r>
        <w:tab/>
      </w:r>
      <w:r>
        <w:tab/>
      </w:r>
      <w:r>
        <w:tab/>
      </w:r>
      <w:r>
        <w:tab/>
      </w:r>
      <w:r>
        <w:tab/>
      </w:r>
      <w:r>
        <w:tab/>
      </w:r>
      <w:r>
        <w:tab/>
        <w:t>Administrative Law Judge</w:t>
      </w:r>
    </w:p>
    <w:p w:rsidR="00B7149A" w:rsidRDefault="00B7149A" w:rsidP="00B7149A">
      <w:pPr>
        <w:jc w:val="left"/>
      </w:pPr>
    </w:p>
    <w:sectPr w:rsidR="00B7149A" w:rsidSect="00B7149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31D" w:rsidRDefault="007B331D" w:rsidP="00B7149A">
      <w:pPr>
        <w:spacing w:line="240" w:lineRule="auto"/>
      </w:pPr>
      <w:r>
        <w:separator/>
      </w:r>
    </w:p>
  </w:endnote>
  <w:endnote w:type="continuationSeparator" w:id="0">
    <w:p w:rsidR="007B331D" w:rsidRDefault="007B331D" w:rsidP="00B714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260967"/>
      <w:docPartObj>
        <w:docPartGallery w:val="Page Numbers (Bottom of Page)"/>
        <w:docPartUnique/>
      </w:docPartObj>
    </w:sdtPr>
    <w:sdtEndPr>
      <w:rPr>
        <w:noProof/>
      </w:rPr>
    </w:sdtEndPr>
    <w:sdtContent>
      <w:p w:rsidR="00B7149A" w:rsidRDefault="00B7149A">
        <w:pPr>
          <w:pStyle w:val="Footer"/>
        </w:pPr>
        <w:r w:rsidRPr="00180787">
          <w:rPr>
            <w:sz w:val="20"/>
            <w:szCs w:val="20"/>
          </w:rPr>
          <w:fldChar w:fldCharType="begin"/>
        </w:r>
        <w:r w:rsidRPr="00180787">
          <w:rPr>
            <w:sz w:val="20"/>
            <w:szCs w:val="20"/>
          </w:rPr>
          <w:instrText xml:space="preserve"> PAGE   \* MERGEFORMAT </w:instrText>
        </w:r>
        <w:r w:rsidRPr="00180787">
          <w:rPr>
            <w:sz w:val="20"/>
            <w:szCs w:val="20"/>
          </w:rPr>
          <w:fldChar w:fldCharType="separate"/>
        </w:r>
        <w:r w:rsidR="00A715B0">
          <w:rPr>
            <w:noProof/>
            <w:sz w:val="20"/>
            <w:szCs w:val="20"/>
          </w:rPr>
          <w:t>8</w:t>
        </w:r>
        <w:r w:rsidRPr="00180787">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31D" w:rsidRDefault="007B331D" w:rsidP="00B7149A">
      <w:pPr>
        <w:spacing w:line="240" w:lineRule="auto"/>
      </w:pPr>
      <w:r>
        <w:separator/>
      </w:r>
    </w:p>
  </w:footnote>
  <w:footnote w:type="continuationSeparator" w:id="0">
    <w:p w:rsidR="007B331D" w:rsidRDefault="007B331D" w:rsidP="00B7149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A4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3A4A"/>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0787"/>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0E1D"/>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9AE"/>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97CC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02E3"/>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0F55"/>
    <w:rsid w:val="004D14F0"/>
    <w:rsid w:val="004D1505"/>
    <w:rsid w:val="004D17DF"/>
    <w:rsid w:val="004D190C"/>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16360"/>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212"/>
    <w:rsid w:val="006A177A"/>
    <w:rsid w:val="006A1A5D"/>
    <w:rsid w:val="006A3267"/>
    <w:rsid w:val="006A3E98"/>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1D"/>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2561"/>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5B0"/>
    <w:rsid w:val="00A71E4D"/>
    <w:rsid w:val="00A73547"/>
    <w:rsid w:val="00A73D17"/>
    <w:rsid w:val="00A73D4F"/>
    <w:rsid w:val="00A74128"/>
    <w:rsid w:val="00A7538D"/>
    <w:rsid w:val="00A75DD6"/>
    <w:rsid w:val="00A7618B"/>
    <w:rsid w:val="00A7646D"/>
    <w:rsid w:val="00A7671E"/>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6CA1"/>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149A"/>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11FE"/>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2CA"/>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5DCB"/>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46"/>
    <w:rsid w:val="00E1638A"/>
    <w:rsid w:val="00E24543"/>
    <w:rsid w:val="00E2457B"/>
    <w:rsid w:val="00E247DE"/>
    <w:rsid w:val="00E257AB"/>
    <w:rsid w:val="00E3212A"/>
    <w:rsid w:val="00E32221"/>
    <w:rsid w:val="00E32512"/>
    <w:rsid w:val="00E333C7"/>
    <w:rsid w:val="00E3374E"/>
    <w:rsid w:val="00E33A7F"/>
    <w:rsid w:val="00E33F2B"/>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0333"/>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7F2"/>
    <w:rsid w:val="00FA4D12"/>
    <w:rsid w:val="00FA5031"/>
    <w:rsid w:val="00FA56FF"/>
    <w:rsid w:val="00FB106B"/>
    <w:rsid w:val="00FB4326"/>
    <w:rsid w:val="00FB4C6F"/>
    <w:rsid w:val="00FB588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49A"/>
    <w:pPr>
      <w:tabs>
        <w:tab w:val="center" w:pos="4680"/>
        <w:tab w:val="right" w:pos="9360"/>
      </w:tabs>
      <w:spacing w:line="240" w:lineRule="auto"/>
    </w:pPr>
  </w:style>
  <w:style w:type="character" w:customStyle="1" w:styleId="HeaderChar">
    <w:name w:val="Header Char"/>
    <w:basedOn w:val="DefaultParagraphFont"/>
    <w:link w:val="Header"/>
    <w:uiPriority w:val="99"/>
    <w:rsid w:val="00B7149A"/>
  </w:style>
  <w:style w:type="paragraph" w:styleId="Footer">
    <w:name w:val="footer"/>
    <w:basedOn w:val="Normal"/>
    <w:link w:val="FooterChar"/>
    <w:uiPriority w:val="99"/>
    <w:unhideWhenUsed/>
    <w:rsid w:val="00B7149A"/>
    <w:pPr>
      <w:tabs>
        <w:tab w:val="center" w:pos="4680"/>
        <w:tab w:val="right" w:pos="9360"/>
      </w:tabs>
      <w:spacing w:line="240" w:lineRule="auto"/>
    </w:pPr>
  </w:style>
  <w:style w:type="character" w:customStyle="1" w:styleId="FooterChar">
    <w:name w:val="Footer Char"/>
    <w:basedOn w:val="DefaultParagraphFont"/>
    <w:link w:val="Footer"/>
    <w:uiPriority w:val="99"/>
    <w:rsid w:val="00B714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49A"/>
    <w:pPr>
      <w:tabs>
        <w:tab w:val="center" w:pos="4680"/>
        <w:tab w:val="right" w:pos="9360"/>
      </w:tabs>
      <w:spacing w:line="240" w:lineRule="auto"/>
    </w:pPr>
  </w:style>
  <w:style w:type="character" w:customStyle="1" w:styleId="HeaderChar">
    <w:name w:val="Header Char"/>
    <w:basedOn w:val="DefaultParagraphFont"/>
    <w:link w:val="Header"/>
    <w:uiPriority w:val="99"/>
    <w:rsid w:val="00B7149A"/>
  </w:style>
  <w:style w:type="paragraph" w:styleId="Footer">
    <w:name w:val="footer"/>
    <w:basedOn w:val="Normal"/>
    <w:link w:val="FooterChar"/>
    <w:uiPriority w:val="99"/>
    <w:unhideWhenUsed/>
    <w:rsid w:val="00B7149A"/>
    <w:pPr>
      <w:tabs>
        <w:tab w:val="center" w:pos="4680"/>
        <w:tab w:val="right" w:pos="9360"/>
      </w:tabs>
      <w:spacing w:line="240" w:lineRule="auto"/>
    </w:pPr>
  </w:style>
  <w:style w:type="character" w:customStyle="1" w:styleId="FooterChar">
    <w:name w:val="Footer Char"/>
    <w:basedOn w:val="DefaultParagraphFont"/>
    <w:link w:val="Footer"/>
    <w:uiPriority w:val="99"/>
    <w:rsid w:val="00B71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1836</Words>
  <Characters>10469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debuckley</cp:lastModifiedBy>
  <cp:revision>3</cp:revision>
  <dcterms:created xsi:type="dcterms:W3CDTF">2015-11-05T16:41:00Z</dcterms:created>
  <dcterms:modified xsi:type="dcterms:W3CDTF">2015-11-17T19:55:00Z</dcterms:modified>
</cp:coreProperties>
</file>