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 xml:space="preserve">Gary Anthony </w:t>
      </w:r>
      <w:proofErr w:type="spellStart"/>
      <w:r w:rsidRPr="004B443B">
        <w:rPr>
          <w:rFonts w:eastAsiaTheme="minorHAnsi"/>
          <w:spacing w:val="-3"/>
        </w:rPr>
        <w:t>Stanko</w:t>
      </w:r>
      <w:proofErr w:type="spellEnd"/>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t>v.</w:t>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Pr="004B443B">
        <w:rPr>
          <w:rFonts w:eastAsiaTheme="minorHAnsi"/>
          <w:spacing w:val="-3"/>
        </w:rPr>
        <w:tab/>
      </w:r>
      <w:r w:rsidRPr="004B443B">
        <w:rPr>
          <w:rFonts w:eastAsiaTheme="minorHAnsi"/>
          <w:spacing w:val="-3"/>
        </w:rPr>
        <w:tab/>
        <w:t>C-2015-2505010</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Pennsylvania American Water Company</w:t>
      </w:r>
      <w:r w:rsidRPr="004B443B">
        <w:rPr>
          <w:rFonts w:eastAsiaTheme="minorHAnsi"/>
          <w:spacing w:val="-3"/>
        </w:rPr>
        <w:tab/>
      </w:r>
      <w:r w:rsidRPr="004B443B">
        <w:rPr>
          <w:rFonts w:eastAsiaTheme="minorHAnsi"/>
          <w:spacing w:val="-3"/>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C438C1" w:rsidP="00D472AD">
      <w:pPr>
        <w:pStyle w:val="Style"/>
        <w:jc w:val="center"/>
        <w:rPr>
          <w:b/>
          <w:bCs/>
          <w:color w:val="000000"/>
          <w:u w:val="single"/>
        </w:rPr>
      </w:pPr>
      <w:r w:rsidRPr="004A3DB7">
        <w:rPr>
          <w:b/>
          <w:bCs/>
          <w:spacing w:val="-3"/>
          <w:u w:val="single"/>
        </w:rPr>
        <w:t xml:space="preserve">DENYING </w:t>
      </w:r>
      <w:r w:rsidR="004B443B">
        <w:rPr>
          <w:b/>
          <w:bCs/>
          <w:spacing w:val="-3"/>
          <w:u w:val="single"/>
        </w:rPr>
        <w:t>PRELIMINARY OBJECTION</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F07C2D" w:rsidRDefault="004B443B" w:rsidP="00B313AC">
      <w:pPr>
        <w:pStyle w:val="ParaTab1"/>
        <w:tabs>
          <w:tab w:val="left" w:pos="2070"/>
        </w:tabs>
        <w:spacing w:line="360" w:lineRule="auto"/>
      </w:pPr>
      <w:r>
        <w:t>O</w:t>
      </w:r>
      <w:r w:rsidRPr="004B443B">
        <w:t xml:space="preserve">n August 12, 2015, Gary Anthony </w:t>
      </w:r>
      <w:proofErr w:type="spellStart"/>
      <w:r w:rsidRPr="004B443B">
        <w:t>Stanko</w:t>
      </w:r>
      <w:proofErr w:type="spellEnd"/>
      <w:r w:rsidRPr="004B443B">
        <w:t xml:space="preserve"> filed with the Pennsylvania Public Utility Commission a formal complaint against Pennsylvania American Water Company (PAWC or the Company), Docket Number C-2015-2505010.  In his complaint, Mr. </w:t>
      </w:r>
      <w:proofErr w:type="spellStart"/>
      <w:r w:rsidRPr="004B443B">
        <w:t>Stanko</w:t>
      </w:r>
      <w:proofErr w:type="spellEnd"/>
      <w:r w:rsidRPr="004B443B">
        <w:t xml:space="preserve"> averred that his home is one of three homes on one water line that was installed in 1956.  Mr. </w:t>
      </w:r>
      <w:proofErr w:type="spellStart"/>
      <w:r w:rsidRPr="004B443B">
        <w:t>Stanko</w:t>
      </w:r>
      <w:proofErr w:type="spellEnd"/>
      <w:r w:rsidRPr="004B443B">
        <w:t xml:space="preserve"> provided additional detail regarding problems with the service received from that water line.  Mr. </w:t>
      </w:r>
      <w:proofErr w:type="spellStart"/>
      <w:r w:rsidRPr="004B443B">
        <w:t>Stanko</w:t>
      </w:r>
      <w:proofErr w:type="spellEnd"/>
      <w:r w:rsidRPr="004B443B">
        <w:t xml:space="preserve"> requested in his complaint that the company should install a new water line with separate meters so that each home would pay only for the water they use.  </w:t>
      </w:r>
      <w:r w:rsidR="00F07C2D">
        <w:t xml:space="preserve">In addition, Mr. </w:t>
      </w:r>
      <w:proofErr w:type="spellStart"/>
      <w:r w:rsidR="00F07C2D">
        <w:t>Stanko</w:t>
      </w:r>
      <w:proofErr w:type="spellEnd"/>
      <w:r w:rsidR="00F07C2D">
        <w:t xml:space="preserve"> noted on his complaint that he spoke with a representative from PAWC regarding the possibility of extending the </w:t>
      </w:r>
      <w:r w:rsidR="00FA0773">
        <w:t xml:space="preserve">Company’s </w:t>
      </w:r>
      <w:r w:rsidR="00F07C2D">
        <w:t xml:space="preserve">main </w:t>
      </w:r>
      <w:r w:rsidR="00FA0773">
        <w:t xml:space="preserve">water </w:t>
      </w:r>
      <w:r w:rsidR="00F07C2D">
        <w:t xml:space="preserve">line.  Mr. </w:t>
      </w:r>
      <w:proofErr w:type="spellStart"/>
      <w:r w:rsidR="00F07C2D">
        <w:t>Stanko</w:t>
      </w:r>
      <w:proofErr w:type="spellEnd"/>
      <w:r w:rsidR="00F07C2D">
        <w:t xml:space="preserve"> also </w:t>
      </w:r>
      <w:r w:rsidR="00FA0773">
        <w:t xml:space="preserve">averred </w:t>
      </w:r>
      <w:r w:rsidR="00F07C2D">
        <w:t>that he is being served from a pipe that is comprised of asbestos cement that he feels is unsafe.</w:t>
      </w:r>
    </w:p>
    <w:p w:rsidR="00F07C2D" w:rsidRDefault="00F07C2D" w:rsidP="00B313AC">
      <w:pPr>
        <w:pStyle w:val="ParaTab1"/>
        <w:tabs>
          <w:tab w:val="left" w:pos="2070"/>
        </w:tabs>
        <w:spacing w:line="360" w:lineRule="auto"/>
      </w:pPr>
    </w:p>
    <w:p w:rsidR="002B4065" w:rsidRDefault="00F07C2D" w:rsidP="00B313AC">
      <w:pPr>
        <w:pStyle w:val="ParaTab1"/>
        <w:tabs>
          <w:tab w:val="left" w:pos="2070"/>
        </w:tabs>
        <w:spacing w:line="360" w:lineRule="auto"/>
      </w:pPr>
      <w:r>
        <w:t xml:space="preserve">On </w:t>
      </w:r>
      <w:r w:rsidR="00AE62D7">
        <w:t xml:space="preserve">October 14, 2015, PAWC filed an answer and new matter in response to Mr. </w:t>
      </w:r>
      <w:proofErr w:type="spellStart"/>
      <w:r w:rsidR="00AE62D7">
        <w:t>Stanko’s</w:t>
      </w:r>
      <w:proofErr w:type="spellEnd"/>
      <w:r w:rsidR="00AE62D7">
        <w:t xml:space="preserve"> complaint.  In its answer, PAWC </w:t>
      </w:r>
      <w:r w:rsidR="002B4065">
        <w:t xml:space="preserve">admitted or denied the various averments Mr. </w:t>
      </w:r>
      <w:proofErr w:type="spellStart"/>
      <w:r w:rsidR="002B4065">
        <w:t>Stanko</w:t>
      </w:r>
      <w:proofErr w:type="spellEnd"/>
      <w:r w:rsidR="002B4065">
        <w:t xml:space="preserve"> made and specifically denied that it is responsible for replacing the customer-owned service line that serves the three homes.  PAWC referenced various tariff rules in support of its position.  In its new matter, which was accompanied by a notice to plead, PAWC averred that the complaint is barred by the doctrine of </w:t>
      </w:r>
      <w:r w:rsidR="002B4065">
        <w:rPr>
          <w:i/>
        </w:rPr>
        <w:t>res judicata</w:t>
      </w:r>
      <w:r w:rsidR="002B4065">
        <w:t xml:space="preserve"> and referenced a complaint Mr. </w:t>
      </w:r>
      <w:proofErr w:type="spellStart"/>
      <w:r w:rsidR="002B4065">
        <w:t>Stanko’s</w:t>
      </w:r>
      <w:proofErr w:type="spellEnd"/>
      <w:r w:rsidR="002B4065">
        <w:t xml:space="preserve"> mother filed in 1988 that</w:t>
      </w:r>
      <w:r w:rsidR="00FA0773">
        <w:t>, it argued,</w:t>
      </w:r>
      <w:r w:rsidR="002B4065">
        <w:t xml:space="preserve"> is nearly identical to Mr. </w:t>
      </w:r>
      <w:proofErr w:type="spellStart"/>
      <w:r w:rsidR="002B4065">
        <w:t>Stanko’s</w:t>
      </w:r>
      <w:proofErr w:type="spellEnd"/>
      <w:r w:rsidR="002B4065">
        <w:t xml:space="preserve"> complaint.  PAWC averred that the 1988 complaint was previously dismissed, as discussed further below.  PAWC concluded: “to the extent [Mr. </w:t>
      </w:r>
      <w:proofErr w:type="spellStart"/>
      <w:r w:rsidR="002B4065">
        <w:t>Stanko</w:t>
      </w:r>
      <w:proofErr w:type="spellEnd"/>
      <w:r w:rsidR="002B4065">
        <w:t xml:space="preserve">] seeks to require the company to install a new service line beyond the street </w:t>
      </w:r>
      <w:r w:rsidR="002B4065">
        <w:lastRenderedPageBreak/>
        <w:t xml:space="preserve">connection, the complaint must be dismissed.”  PAWC attached </w:t>
      </w:r>
      <w:r w:rsidR="002E4BFB">
        <w:t xml:space="preserve">to its answer </w:t>
      </w:r>
      <w:r w:rsidR="002B4065">
        <w:t>copies of the 1988 complaint along with the Initial Decision dismissing th</w:t>
      </w:r>
      <w:r w:rsidR="00BF2A02">
        <w:t xml:space="preserve">at complaint that became final </w:t>
      </w:r>
      <w:r w:rsidR="002B4065">
        <w:t>by Commission Order dated January 11, 1989.</w:t>
      </w:r>
    </w:p>
    <w:p w:rsidR="002B4065" w:rsidRDefault="002B4065" w:rsidP="00B313AC">
      <w:pPr>
        <w:pStyle w:val="ParaTab1"/>
        <w:tabs>
          <w:tab w:val="left" w:pos="2070"/>
        </w:tabs>
        <w:spacing w:line="360" w:lineRule="auto"/>
      </w:pPr>
    </w:p>
    <w:p w:rsidR="00467CA5" w:rsidRDefault="00BF2A02" w:rsidP="00B313AC">
      <w:pPr>
        <w:pStyle w:val="ParaTab1"/>
        <w:tabs>
          <w:tab w:val="left" w:pos="2070"/>
        </w:tabs>
        <w:spacing w:line="360" w:lineRule="auto"/>
      </w:pPr>
      <w:r>
        <w:t xml:space="preserve">Also on October 14, 2015, PAWC filed a </w:t>
      </w:r>
      <w:r w:rsidR="002E4BFB">
        <w:t>p</w:t>
      </w:r>
      <w:r>
        <w:t xml:space="preserve">reliminary </w:t>
      </w:r>
      <w:r w:rsidR="002E4BFB">
        <w:t>o</w:t>
      </w:r>
      <w:r>
        <w:t xml:space="preserve">bjection in response to Mr. </w:t>
      </w:r>
      <w:proofErr w:type="spellStart"/>
      <w:r>
        <w:t>Stanko’s</w:t>
      </w:r>
      <w:proofErr w:type="spellEnd"/>
      <w:r>
        <w:t xml:space="preserve"> complaint.  In its </w:t>
      </w:r>
      <w:r w:rsidR="002E4BFB">
        <w:t>p</w:t>
      </w:r>
      <w:r>
        <w:t xml:space="preserve">reliminary </w:t>
      </w:r>
      <w:r w:rsidR="002E4BFB">
        <w:t>o</w:t>
      </w:r>
      <w:r>
        <w:t xml:space="preserve">bjection, which was also accompanied by a notice to plead, PAWC </w:t>
      </w:r>
      <w:r w:rsidR="00467CA5">
        <w:t xml:space="preserve">reiterated the procedural history of this proceeding including details about the 1988 complaint.  PAWC further averred that there are no genuine issues of material fact and the Company is entitled to judgment as a matter of law with respect to the allegations in the complaint because the complaint is barred by the doctrine of </w:t>
      </w:r>
      <w:r w:rsidR="00467CA5">
        <w:rPr>
          <w:i/>
        </w:rPr>
        <w:t>res judicata</w:t>
      </w:r>
      <w:r w:rsidR="00467CA5">
        <w:t xml:space="preserve">.  PAWC argued that Mr. </w:t>
      </w:r>
      <w:proofErr w:type="spellStart"/>
      <w:r w:rsidR="00467CA5">
        <w:t>Stanko’s</w:t>
      </w:r>
      <w:proofErr w:type="spellEnd"/>
      <w:r w:rsidR="00467CA5">
        <w:t xml:space="preserve"> complaint should be dismissed because the Commission has already made a determination based on the same set of facts.  PAWC noted that </w:t>
      </w:r>
      <w:r w:rsidR="00467CA5">
        <w:rPr>
          <w:i/>
        </w:rPr>
        <w:t>res judicata</w:t>
      </w:r>
      <w:r w:rsidR="00467CA5">
        <w:t xml:space="preserve"> operates to prevent re-litigation of claims already litigated on the merits.  PAWC concluded that Mr. </w:t>
      </w:r>
      <w:proofErr w:type="spellStart"/>
      <w:r w:rsidR="00467CA5">
        <w:t>Stanko’s</w:t>
      </w:r>
      <w:proofErr w:type="spellEnd"/>
      <w:r w:rsidR="00467CA5">
        <w:t xml:space="preserve"> complaint should be dismissed as legal</w:t>
      </w:r>
      <w:r w:rsidR="00FA0773">
        <w:t>ly</w:t>
      </w:r>
      <w:r w:rsidR="00467CA5">
        <w:t xml:space="preserve"> insufficient and again attached various documents in support of its position.</w:t>
      </w:r>
    </w:p>
    <w:p w:rsidR="00467CA5" w:rsidRPr="00336631" w:rsidRDefault="00467CA5" w:rsidP="00B313AC">
      <w:pPr>
        <w:pStyle w:val="ParaTab1"/>
        <w:tabs>
          <w:tab w:val="left" w:pos="2070"/>
        </w:tabs>
        <w:spacing w:line="360" w:lineRule="auto"/>
      </w:pPr>
    </w:p>
    <w:p w:rsidR="00EF7594" w:rsidRDefault="00336631" w:rsidP="00B313AC">
      <w:pPr>
        <w:pStyle w:val="ParaTab1"/>
        <w:tabs>
          <w:tab w:val="left" w:pos="2070"/>
        </w:tabs>
        <w:spacing w:line="360" w:lineRule="auto"/>
        <w:rPr>
          <w:bCs/>
          <w:color w:val="000000"/>
        </w:rPr>
      </w:pPr>
      <w:r w:rsidRPr="00336631">
        <w:t xml:space="preserve">Mr. </w:t>
      </w:r>
      <w:proofErr w:type="spellStart"/>
      <w:r w:rsidRPr="00336631">
        <w:t>Stanko’s</w:t>
      </w:r>
      <w:proofErr w:type="spellEnd"/>
      <w:r w:rsidRPr="00336631">
        <w:t xml:space="preserve"> answer to PAWC’s preliminary objection was due no later than October 27, 2015.  </w:t>
      </w:r>
      <w:r w:rsidRPr="00336631">
        <w:rPr>
          <w:bCs/>
          <w:color w:val="000000"/>
        </w:rPr>
        <w:t xml:space="preserve">52 </w:t>
      </w:r>
      <w:proofErr w:type="spellStart"/>
      <w:r w:rsidRPr="00336631">
        <w:rPr>
          <w:bCs/>
          <w:color w:val="000000"/>
        </w:rPr>
        <w:t>Pa.Code</w:t>
      </w:r>
      <w:proofErr w:type="spellEnd"/>
      <w:r w:rsidRPr="00336631">
        <w:rPr>
          <w:bCs/>
          <w:color w:val="000000"/>
        </w:rPr>
        <w:t xml:space="preserve"> §§ 5.101(f</w:t>
      </w:r>
      <w:proofErr w:type="gramStart"/>
      <w:r w:rsidRPr="00336631">
        <w:rPr>
          <w:bCs/>
          <w:color w:val="000000"/>
        </w:rPr>
        <w:t>)(</w:t>
      </w:r>
      <w:proofErr w:type="gramEnd"/>
      <w:r w:rsidRPr="00336631">
        <w:rPr>
          <w:bCs/>
          <w:color w:val="000000"/>
        </w:rPr>
        <w:t xml:space="preserve">1), 1.12(a), 1.56(a)(1) and (b).  </w:t>
      </w:r>
      <w:r w:rsidRPr="00336631">
        <w:t xml:space="preserve">Mr. </w:t>
      </w:r>
      <w:proofErr w:type="spellStart"/>
      <w:r w:rsidRPr="00336631">
        <w:t>Stanko’s</w:t>
      </w:r>
      <w:proofErr w:type="spellEnd"/>
      <w:r w:rsidRPr="00336631">
        <w:t xml:space="preserve"> answer to PAWC’s new matter was due no later than November 6, 2015.  </w:t>
      </w:r>
      <w:r w:rsidR="004D5C84" w:rsidRPr="00336631">
        <w:rPr>
          <w:bCs/>
          <w:color w:val="000000"/>
        </w:rPr>
        <w:t xml:space="preserve">52 </w:t>
      </w:r>
      <w:proofErr w:type="spellStart"/>
      <w:r w:rsidR="004D5C84" w:rsidRPr="00336631">
        <w:rPr>
          <w:bCs/>
          <w:color w:val="000000"/>
        </w:rPr>
        <w:t>Pa.Code</w:t>
      </w:r>
      <w:proofErr w:type="spellEnd"/>
      <w:r w:rsidR="004D5C84" w:rsidRPr="00336631">
        <w:rPr>
          <w:bCs/>
          <w:color w:val="000000"/>
        </w:rPr>
        <w:t xml:space="preserve"> §§ 5.63(a), 1.12(a), 1.56(a</w:t>
      </w:r>
      <w:proofErr w:type="gramStart"/>
      <w:r w:rsidR="004D5C84" w:rsidRPr="00336631">
        <w:rPr>
          <w:bCs/>
          <w:color w:val="000000"/>
        </w:rPr>
        <w:t>)(</w:t>
      </w:r>
      <w:proofErr w:type="gramEnd"/>
      <w:r w:rsidR="004D5C84" w:rsidRPr="00336631">
        <w:rPr>
          <w:bCs/>
          <w:color w:val="000000"/>
        </w:rPr>
        <w:t xml:space="preserve">1) and (b).  </w:t>
      </w:r>
      <w:r w:rsidRPr="00336631">
        <w:rPr>
          <w:bCs/>
          <w:color w:val="000000"/>
        </w:rPr>
        <w:t xml:space="preserve">Mr. </w:t>
      </w:r>
      <w:proofErr w:type="spellStart"/>
      <w:r w:rsidRPr="00336631">
        <w:rPr>
          <w:bCs/>
          <w:color w:val="000000"/>
        </w:rPr>
        <w:t>Stanko</w:t>
      </w:r>
      <w:proofErr w:type="spellEnd"/>
      <w:r w:rsidRPr="00336631">
        <w:rPr>
          <w:bCs/>
          <w:color w:val="000000"/>
        </w:rPr>
        <w:t xml:space="preserve"> </w:t>
      </w:r>
      <w:r w:rsidR="00EF7594" w:rsidRPr="00336631">
        <w:rPr>
          <w:bCs/>
          <w:color w:val="000000"/>
        </w:rPr>
        <w:t xml:space="preserve">filed neither an </w:t>
      </w:r>
      <w:r w:rsidRPr="00336631">
        <w:rPr>
          <w:bCs/>
          <w:color w:val="000000"/>
        </w:rPr>
        <w:t>a</w:t>
      </w:r>
      <w:r w:rsidR="00EF7594" w:rsidRPr="00336631">
        <w:rPr>
          <w:bCs/>
          <w:color w:val="000000"/>
        </w:rPr>
        <w:t xml:space="preserve">nswer to </w:t>
      </w:r>
      <w:r w:rsidRPr="00336631">
        <w:rPr>
          <w:bCs/>
          <w:color w:val="000000"/>
        </w:rPr>
        <w:t xml:space="preserve">PAWC’s </w:t>
      </w:r>
      <w:r w:rsidR="002E4BFB">
        <w:rPr>
          <w:bCs/>
          <w:color w:val="000000"/>
        </w:rPr>
        <w:t xml:space="preserve">preliminary objection </w:t>
      </w:r>
      <w:r w:rsidR="00EF7594" w:rsidRPr="00336631">
        <w:rPr>
          <w:bCs/>
          <w:color w:val="000000"/>
        </w:rPr>
        <w:t xml:space="preserve">nor to its </w:t>
      </w:r>
      <w:r w:rsidRPr="00336631">
        <w:rPr>
          <w:bCs/>
          <w:color w:val="000000"/>
        </w:rPr>
        <w:t>n</w:t>
      </w:r>
      <w:r w:rsidR="00EF7594" w:rsidRPr="00336631">
        <w:rPr>
          <w:bCs/>
          <w:color w:val="000000"/>
        </w:rPr>
        <w:t xml:space="preserve">ew </w:t>
      </w:r>
      <w:r w:rsidRPr="00336631">
        <w:rPr>
          <w:bCs/>
          <w:color w:val="000000"/>
        </w:rPr>
        <w:t>m</w:t>
      </w:r>
      <w:r w:rsidR="00EF7594" w:rsidRPr="00336631">
        <w:rPr>
          <w:bCs/>
          <w:color w:val="000000"/>
        </w:rPr>
        <w:t>atter.</w:t>
      </w:r>
    </w:p>
    <w:p w:rsidR="00336631" w:rsidRDefault="00336631" w:rsidP="00B313AC">
      <w:pPr>
        <w:pStyle w:val="ParaTab1"/>
        <w:tabs>
          <w:tab w:val="left" w:pos="2070"/>
        </w:tabs>
        <w:spacing w:line="360" w:lineRule="auto"/>
        <w:rPr>
          <w:bCs/>
          <w:color w:val="000000"/>
        </w:rPr>
      </w:pPr>
    </w:p>
    <w:p w:rsidR="00EF7594" w:rsidRDefault="00336631" w:rsidP="00B313AC">
      <w:pPr>
        <w:pStyle w:val="ParaTab1"/>
        <w:tabs>
          <w:tab w:val="left" w:pos="2070"/>
        </w:tabs>
        <w:spacing w:line="360" w:lineRule="auto"/>
        <w:rPr>
          <w:bCs/>
          <w:color w:val="000000"/>
        </w:rPr>
      </w:pPr>
      <w:r>
        <w:rPr>
          <w:bCs/>
          <w:color w:val="000000"/>
        </w:rPr>
        <w:t>On November 17, 2015, the Commission issued a Motion Judge Assignment Notice indicating that I am responsible to resolve any issues which may arise during the preliminary phase of this proceeding.</w:t>
      </w:r>
    </w:p>
    <w:p w:rsidR="00336631" w:rsidRDefault="00336631" w:rsidP="00B313AC">
      <w:pPr>
        <w:pStyle w:val="ParaTab1"/>
        <w:tabs>
          <w:tab w:val="left" w:pos="2070"/>
        </w:tabs>
        <w:spacing w:line="360" w:lineRule="auto"/>
        <w:rPr>
          <w:bCs/>
          <w:color w:val="000000"/>
        </w:rPr>
      </w:pPr>
    </w:p>
    <w:p w:rsidR="00336631" w:rsidRDefault="00336631" w:rsidP="00B313AC">
      <w:pPr>
        <w:pStyle w:val="ParaTab1"/>
        <w:tabs>
          <w:tab w:val="left" w:pos="2070"/>
        </w:tabs>
        <w:spacing w:line="360" w:lineRule="auto"/>
        <w:rPr>
          <w:bCs/>
          <w:color w:val="000000"/>
        </w:rPr>
      </w:pPr>
      <w:r>
        <w:rPr>
          <w:bCs/>
          <w:color w:val="000000"/>
        </w:rPr>
        <w:t xml:space="preserve">PAWC’s preliminary objection is now ready for disposition.  For the reasons discussed below, PAWC’s preliminary objection will be denied and Mr. </w:t>
      </w:r>
      <w:proofErr w:type="spellStart"/>
      <w:r>
        <w:rPr>
          <w:bCs/>
          <w:color w:val="000000"/>
        </w:rPr>
        <w:t>Stanko’s</w:t>
      </w:r>
      <w:proofErr w:type="spellEnd"/>
      <w:r>
        <w:rPr>
          <w:bCs/>
          <w:color w:val="000000"/>
        </w:rPr>
        <w:t xml:space="preserve"> complaint will be heard before an Administrative Law Judge.</w:t>
      </w:r>
    </w:p>
    <w:p w:rsidR="00034D64" w:rsidRDefault="00034D64" w:rsidP="00B313AC">
      <w:pPr>
        <w:pStyle w:val="ParaTab1"/>
        <w:tabs>
          <w:tab w:val="left" w:pos="2070"/>
        </w:tabs>
        <w:spacing w:line="360" w:lineRule="auto"/>
        <w:rPr>
          <w:bCs/>
          <w:color w:val="000000"/>
        </w:rPr>
      </w:pPr>
    </w:p>
    <w:p w:rsidR="00CB42AB" w:rsidRPr="00CB42AB" w:rsidRDefault="00CB42AB" w:rsidP="00B313AC">
      <w:pPr>
        <w:adjustRightInd w:val="0"/>
        <w:spacing w:line="360" w:lineRule="auto"/>
        <w:ind w:firstLine="1440"/>
        <w:rPr>
          <w:color w:val="000000"/>
        </w:rPr>
      </w:pPr>
      <w:r w:rsidRPr="00CB42AB">
        <w:rPr>
          <w:color w:val="000000"/>
        </w:rPr>
        <w:lastRenderedPageBreak/>
        <w:t xml:space="preserve">Section 5.101 of the Commission’s Rules of Administrative Practice and Procedure provides for the filing of </w:t>
      </w:r>
      <w:r w:rsidR="002E4BFB">
        <w:rPr>
          <w:color w:val="000000"/>
        </w:rPr>
        <w:t>p</w:t>
      </w:r>
      <w:r w:rsidRPr="00CB42AB">
        <w:rPr>
          <w:color w:val="000000"/>
        </w:rPr>
        <w:t xml:space="preserve">reliminary </w:t>
      </w:r>
      <w:r w:rsidR="002E4BFB">
        <w:rPr>
          <w:color w:val="000000"/>
        </w:rPr>
        <w:t>o</w:t>
      </w:r>
      <w:r w:rsidRPr="00CB42AB">
        <w:rPr>
          <w:color w:val="000000"/>
        </w:rPr>
        <w:t xml:space="preserve">bjections.  </w:t>
      </w:r>
      <w:proofErr w:type="gramStart"/>
      <w:r w:rsidRPr="00CB42AB">
        <w:rPr>
          <w:color w:val="000000"/>
        </w:rPr>
        <w:t xml:space="preserve">52 </w:t>
      </w:r>
      <w:proofErr w:type="spellStart"/>
      <w:r w:rsidRPr="00CB42AB">
        <w:rPr>
          <w:color w:val="000000"/>
        </w:rPr>
        <w:t>Pa.Code</w:t>
      </w:r>
      <w:proofErr w:type="spellEnd"/>
      <w:r w:rsidRPr="00CB42AB">
        <w:rPr>
          <w:color w:val="000000"/>
        </w:rPr>
        <w:t xml:space="preserve"> </w:t>
      </w:r>
      <w:r w:rsidRPr="00CB42AB">
        <w:rPr>
          <w:color w:val="000000"/>
          <w:w w:val="86"/>
        </w:rPr>
        <w:t xml:space="preserve">§ </w:t>
      </w:r>
      <w:r w:rsidRPr="00CB42AB">
        <w:rPr>
          <w:color w:val="000000"/>
        </w:rPr>
        <w:t>5.101.</w:t>
      </w:r>
      <w:proofErr w:type="gramEnd"/>
      <w:r w:rsidRPr="00CB42AB">
        <w:rPr>
          <w:color w:val="000000"/>
        </w:rPr>
        <w:t xml:space="preserve">  Commission </w:t>
      </w:r>
      <w:r w:rsidR="002E4BFB">
        <w:rPr>
          <w:color w:val="000000"/>
        </w:rPr>
        <w:t>p</w:t>
      </w:r>
      <w:r w:rsidRPr="00CB42AB">
        <w:rPr>
          <w:color w:val="000000"/>
        </w:rPr>
        <w:t xml:space="preserve">reliminary </w:t>
      </w:r>
      <w:r w:rsidR="002E4BFB">
        <w:rPr>
          <w:color w:val="000000"/>
        </w:rPr>
        <w:t>o</w:t>
      </w:r>
      <w:r w:rsidRPr="00CB42AB">
        <w:rPr>
          <w:color w:val="000000"/>
        </w:rPr>
        <w:t xml:space="preserve">bjection practice is comparable to Pennsylvania civil practice respecting the filing of </w:t>
      </w:r>
      <w:r w:rsidR="002E4BFB">
        <w:rPr>
          <w:color w:val="000000"/>
        </w:rPr>
        <w:t>p</w:t>
      </w:r>
      <w:r w:rsidRPr="00CB42AB">
        <w:rPr>
          <w:color w:val="000000"/>
        </w:rPr>
        <w:t xml:space="preserve">reliminary </w:t>
      </w:r>
      <w:r w:rsidR="002E4BFB">
        <w:rPr>
          <w:color w:val="000000"/>
        </w:rPr>
        <w:t>o</w:t>
      </w:r>
      <w:r w:rsidRPr="00CB42AB">
        <w:rPr>
          <w:color w:val="000000"/>
        </w:rPr>
        <w:t xml:space="preserve">bjections.  </w:t>
      </w:r>
      <w:r w:rsidRPr="00CB42AB">
        <w:rPr>
          <w:iCs/>
          <w:color w:val="000000"/>
          <w:u w:val="single"/>
        </w:rPr>
        <w:t>Equitable Small Transportation Intervenors v. Equitable Gas Company</w:t>
      </w:r>
      <w:r w:rsidRPr="00CB42AB">
        <w:rPr>
          <w:i/>
          <w:iCs/>
          <w:color w:val="000000"/>
        </w:rPr>
        <w:t xml:space="preserve">, </w:t>
      </w:r>
      <w:r w:rsidRPr="00CB42AB">
        <w:rPr>
          <w:color w:val="000000"/>
        </w:rPr>
        <w:t xml:space="preserve">1994 Pa PUC LEXIS 69, Docket No. </w:t>
      </w:r>
      <w:proofErr w:type="gramStart"/>
      <w:r w:rsidRPr="00CB42AB">
        <w:rPr>
          <w:color w:val="000000"/>
        </w:rPr>
        <w:t>C-00935435 (July 18, 1994) (</w:t>
      </w:r>
      <w:r w:rsidRPr="00CB42AB">
        <w:rPr>
          <w:color w:val="000000"/>
          <w:u w:val="single"/>
        </w:rPr>
        <w:t>Equitable</w:t>
      </w:r>
      <w:r w:rsidRPr="00CB42AB">
        <w:rPr>
          <w:color w:val="000000"/>
        </w:rPr>
        <w:t>).</w:t>
      </w:r>
      <w:proofErr w:type="gramEnd"/>
      <w:r w:rsidRPr="00CB42AB">
        <w:rPr>
          <w:color w:val="000000"/>
        </w:rPr>
        <w:t xml:space="preserve">  Section 5.101(a) provides:</w:t>
      </w:r>
    </w:p>
    <w:p w:rsidR="00CB42AB" w:rsidRPr="00CB42AB" w:rsidRDefault="00CB42AB" w:rsidP="00B313AC">
      <w:pPr>
        <w:tabs>
          <w:tab w:val="left" w:pos="1469"/>
          <w:tab w:val="left" w:pos="2196"/>
        </w:tabs>
        <w:adjustRightInd w:val="0"/>
        <w:spacing w:line="360" w:lineRule="auto"/>
        <w:rPr>
          <w:color w:val="000000"/>
        </w:rPr>
      </w:pPr>
    </w:p>
    <w:p w:rsidR="00CB42AB" w:rsidRPr="00CB42AB" w:rsidRDefault="00CB42AB" w:rsidP="00CB42AB">
      <w:pPr>
        <w:widowControl w:val="0"/>
        <w:tabs>
          <w:tab w:val="left" w:pos="1469"/>
          <w:tab w:val="left" w:pos="2196"/>
        </w:tabs>
        <w:adjustRightInd w:val="0"/>
        <w:ind w:left="1440" w:right="1440"/>
        <w:rPr>
          <w:color w:val="000000"/>
        </w:rPr>
      </w:pPr>
      <w:r w:rsidRPr="00CB42AB">
        <w:rPr>
          <w:color w:val="000000"/>
        </w:rPr>
        <w:t xml:space="preserve">(a) </w:t>
      </w:r>
      <w:r w:rsidRPr="00CB42AB">
        <w:rPr>
          <w:color w:val="000000"/>
        </w:rPr>
        <w:tab/>
      </w:r>
      <w:r w:rsidRPr="00CB42AB">
        <w:rPr>
          <w:i/>
          <w:iCs/>
          <w:color w:val="000000"/>
        </w:rPr>
        <w:t xml:space="preserve">Grounds.  </w:t>
      </w:r>
      <w:r w:rsidRPr="00CB42AB">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CB42AB" w:rsidRDefault="00CB42AB" w:rsidP="00CB42AB">
      <w:pPr>
        <w:widowControl w:val="0"/>
        <w:tabs>
          <w:tab w:val="left" w:pos="2203"/>
          <w:tab w:val="left" w:pos="2909"/>
        </w:tabs>
        <w:adjustRightInd w:val="0"/>
        <w:ind w:right="1440"/>
      </w:pPr>
    </w:p>
    <w:p w:rsidR="00CB42AB" w:rsidRPr="00CB42AB" w:rsidRDefault="00CB42AB" w:rsidP="00324740">
      <w:pPr>
        <w:widowControl w:val="0"/>
        <w:numPr>
          <w:ilvl w:val="0"/>
          <w:numId w:val="18"/>
        </w:numPr>
        <w:tabs>
          <w:tab w:val="left" w:pos="2203"/>
          <w:tab w:val="left" w:pos="2909"/>
        </w:tabs>
        <w:autoSpaceDE/>
        <w:autoSpaceDN/>
        <w:adjustRightInd w:val="0"/>
        <w:ind w:right="1440"/>
        <w:rPr>
          <w:color w:val="000000"/>
        </w:rPr>
      </w:pPr>
      <w:r w:rsidRPr="00CB42AB">
        <w:rPr>
          <w:color w:val="000000"/>
        </w:rPr>
        <w:t>Lack of Commission jurisdiction or improper service of the pleading initiating the proceeding.</w:t>
      </w:r>
    </w:p>
    <w:p w:rsidR="00CB42AB" w:rsidRPr="00CB42AB" w:rsidRDefault="00CB42AB" w:rsidP="00324740">
      <w:pPr>
        <w:widowControl w:val="0"/>
        <w:tabs>
          <w:tab w:val="left" w:pos="2203"/>
          <w:tab w:val="left" w:pos="2909"/>
        </w:tabs>
        <w:adjustRightInd w:val="0"/>
        <w:ind w:left="2520" w:right="1440" w:hanging="360"/>
        <w:rPr>
          <w:color w:val="000000"/>
        </w:rPr>
      </w:pPr>
    </w:p>
    <w:p w:rsidR="00CB42AB" w:rsidRPr="00CB42AB" w:rsidRDefault="00CB42AB" w:rsidP="00324740">
      <w:pPr>
        <w:widowControl w:val="0"/>
        <w:numPr>
          <w:ilvl w:val="0"/>
          <w:numId w:val="18"/>
        </w:numPr>
        <w:tabs>
          <w:tab w:val="left" w:pos="2203"/>
          <w:tab w:val="left" w:pos="2909"/>
        </w:tabs>
        <w:autoSpaceDE/>
        <w:autoSpaceDN/>
        <w:adjustRightInd w:val="0"/>
        <w:ind w:right="1440"/>
        <w:rPr>
          <w:color w:val="000000"/>
        </w:rPr>
      </w:pPr>
      <w:r w:rsidRPr="00CB42AB">
        <w:rPr>
          <w:color w:val="000000"/>
        </w:rPr>
        <w:t>Failure of a pleading to conform to this chapter or the inclusion of scandalous or impertinent matter.</w:t>
      </w:r>
    </w:p>
    <w:p w:rsidR="00CB42AB" w:rsidRPr="00CB42AB" w:rsidRDefault="00CB42AB" w:rsidP="00324740">
      <w:pPr>
        <w:autoSpaceDE/>
        <w:autoSpaceDN/>
        <w:ind w:left="720"/>
        <w:contextualSpacing/>
        <w:rPr>
          <w:rFonts w:eastAsiaTheme="minorEastAsia"/>
          <w:color w:val="000000"/>
        </w:rPr>
      </w:pPr>
    </w:p>
    <w:p w:rsidR="00CB42AB" w:rsidRPr="00CB42AB" w:rsidRDefault="00CB42AB" w:rsidP="00324740">
      <w:pPr>
        <w:widowControl w:val="0"/>
        <w:numPr>
          <w:ilvl w:val="0"/>
          <w:numId w:val="18"/>
        </w:numPr>
        <w:tabs>
          <w:tab w:val="left" w:pos="2203"/>
          <w:tab w:val="left" w:pos="2909"/>
        </w:tabs>
        <w:autoSpaceDE/>
        <w:autoSpaceDN/>
        <w:adjustRightInd w:val="0"/>
        <w:ind w:right="1440"/>
        <w:rPr>
          <w:color w:val="000000"/>
        </w:rPr>
      </w:pPr>
      <w:r w:rsidRPr="00CB42AB">
        <w:rPr>
          <w:color w:val="000000"/>
        </w:rPr>
        <w:t>Insufficient specificity of a pleading.</w:t>
      </w:r>
    </w:p>
    <w:p w:rsidR="00CB42AB" w:rsidRPr="00CB42AB" w:rsidRDefault="00CB42AB" w:rsidP="00324740">
      <w:pPr>
        <w:autoSpaceDE/>
        <w:autoSpaceDN/>
        <w:ind w:left="720"/>
        <w:contextualSpacing/>
        <w:rPr>
          <w:rFonts w:eastAsiaTheme="minorEastAsia"/>
          <w:color w:val="000000"/>
        </w:rPr>
      </w:pPr>
    </w:p>
    <w:p w:rsidR="00CB42AB" w:rsidRPr="00CB42AB" w:rsidRDefault="00CB42AB" w:rsidP="00324740">
      <w:pPr>
        <w:widowControl w:val="0"/>
        <w:numPr>
          <w:ilvl w:val="0"/>
          <w:numId w:val="18"/>
        </w:numPr>
        <w:tabs>
          <w:tab w:val="left" w:pos="2203"/>
          <w:tab w:val="left" w:pos="2909"/>
        </w:tabs>
        <w:autoSpaceDE/>
        <w:autoSpaceDN/>
        <w:adjustRightInd w:val="0"/>
        <w:ind w:right="1440"/>
        <w:rPr>
          <w:color w:val="000000"/>
        </w:rPr>
      </w:pPr>
      <w:r w:rsidRPr="00CB42AB">
        <w:rPr>
          <w:color w:val="000000"/>
        </w:rPr>
        <w:t>Legal insufficiency of a pleading.</w:t>
      </w:r>
    </w:p>
    <w:p w:rsidR="00CB42AB" w:rsidRPr="00CB42AB" w:rsidRDefault="00CB42AB" w:rsidP="00324740">
      <w:pPr>
        <w:autoSpaceDE/>
        <w:autoSpaceDN/>
        <w:ind w:left="720"/>
        <w:contextualSpacing/>
        <w:rPr>
          <w:rFonts w:eastAsiaTheme="minorEastAsia"/>
          <w:color w:val="000000"/>
        </w:rPr>
      </w:pPr>
    </w:p>
    <w:p w:rsidR="00CB42AB" w:rsidRPr="00CB42AB" w:rsidRDefault="00CB42AB" w:rsidP="00324740">
      <w:pPr>
        <w:widowControl w:val="0"/>
        <w:numPr>
          <w:ilvl w:val="0"/>
          <w:numId w:val="18"/>
        </w:numPr>
        <w:tabs>
          <w:tab w:val="left" w:pos="2203"/>
          <w:tab w:val="left" w:pos="2909"/>
        </w:tabs>
        <w:autoSpaceDE/>
        <w:autoSpaceDN/>
        <w:adjustRightInd w:val="0"/>
        <w:ind w:right="1440"/>
        <w:rPr>
          <w:color w:val="000000"/>
        </w:rPr>
      </w:pPr>
      <w:r w:rsidRPr="00CB42AB">
        <w:rPr>
          <w:color w:val="000000"/>
        </w:rPr>
        <w:t xml:space="preserve">Lack of capacity to sue, </w:t>
      </w:r>
      <w:proofErr w:type="spellStart"/>
      <w:r w:rsidRPr="00CB42AB">
        <w:rPr>
          <w:color w:val="000000"/>
        </w:rPr>
        <w:t>nonjoinder</w:t>
      </w:r>
      <w:proofErr w:type="spellEnd"/>
      <w:r w:rsidRPr="00CB42AB">
        <w:rPr>
          <w:color w:val="000000"/>
        </w:rPr>
        <w:t xml:space="preserve"> of a necessary party or misjoinder of a cause of action.</w:t>
      </w:r>
    </w:p>
    <w:p w:rsidR="00CB42AB" w:rsidRPr="00CB42AB" w:rsidRDefault="00CB42AB" w:rsidP="00324740">
      <w:pPr>
        <w:autoSpaceDE/>
        <w:autoSpaceDN/>
        <w:ind w:left="720"/>
        <w:contextualSpacing/>
        <w:rPr>
          <w:rFonts w:eastAsiaTheme="minorEastAsia"/>
          <w:color w:val="000000"/>
        </w:rPr>
      </w:pPr>
    </w:p>
    <w:p w:rsidR="00CB42AB" w:rsidRPr="00CB42AB" w:rsidRDefault="00CB42AB" w:rsidP="00324740">
      <w:pPr>
        <w:widowControl w:val="0"/>
        <w:numPr>
          <w:ilvl w:val="0"/>
          <w:numId w:val="18"/>
        </w:numPr>
        <w:tabs>
          <w:tab w:val="left" w:pos="2203"/>
          <w:tab w:val="left" w:pos="2909"/>
        </w:tabs>
        <w:autoSpaceDE/>
        <w:autoSpaceDN/>
        <w:adjustRightInd w:val="0"/>
        <w:ind w:right="1440"/>
        <w:rPr>
          <w:color w:val="000000"/>
        </w:rPr>
      </w:pPr>
      <w:r w:rsidRPr="00CB42AB">
        <w:rPr>
          <w:color w:val="000000"/>
        </w:rPr>
        <w:t>Pendency of a prior proceeding or agreement for alternative dispute resolution.</w:t>
      </w:r>
    </w:p>
    <w:p w:rsidR="00CB42AB" w:rsidRPr="00CB42AB" w:rsidRDefault="00CB42AB" w:rsidP="00324740">
      <w:pPr>
        <w:autoSpaceDE/>
        <w:autoSpaceDN/>
        <w:ind w:left="720"/>
        <w:contextualSpacing/>
        <w:rPr>
          <w:color w:val="000000"/>
        </w:rPr>
      </w:pPr>
    </w:p>
    <w:p w:rsidR="00CB42AB" w:rsidRPr="00CB42AB" w:rsidRDefault="00CB42AB" w:rsidP="00324740">
      <w:pPr>
        <w:widowControl w:val="0"/>
        <w:numPr>
          <w:ilvl w:val="0"/>
          <w:numId w:val="18"/>
        </w:numPr>
        <w:tabs>
          <w:tab w:val="left" w:pos="2203"/>
          <w:tab w:val="left" w:pos="2909"/>
        </w:tabs>
        <w:autoSpaceDE/>
        <w:autoSpaceDN/>
        <w:adjustRightInd w:val="0"/>
        <w:ind w:right="1440"/>
        <w:rPr>
          <w:color w:val="000000"/>
        </w:rPr>
      </w:pPr>
      <w:r w:rsidRPr="00CB42AB">
        <w:rPr>
          <w:color w:val="000000"/>
        </w:rPr>
        <w:t>Standing of a party to participate in a proceeding.</w:t>
      </w:r>
    </w:p>
    <w:p w:rsidR="00CB42AB" w:rsidRPr="00CB42AB" w:rsidRDefault="00CB42AB" w:rsidP="00CB42AB">
      <w:pPr>
        <w:widowControl w:val="0"/>
        <w:tabs>
          <w:tab w:val="left" w:pos="2203"/>
          <w:tab w:val="left" w:pos="2909"/>
        </w:tabs>
        <w:adjustRightInd w:val="0"/>
        <w:ind w:left="1440" w:right="1440"/>
        <w:rPr>
          <w:color w:val="000000"/>
        </w:rPr>
      </w:pPr>
    </w:p>
    <w:p w:rsidR="00CB42AB" w:rsidRPr="00CB42AB" w:rsidRDefault="00CB42AB" w:rsidP="00CB42AB">
      <w:pPr>
        <w:widowControl w:val="0"/>
        <w:adjustRightInd w:val="0"/>
        <w:ind w:right="1440"/>
        <w:rPr>
          <w:color w:val="000000"/>
        </w:rPr>
      </w:pPr>
      <w:r w:rsidRPr="00CB42AB">
        <w:rPr>
          <w:color w:val="000000"/>
        </w:rPr>
        <w:t xml:space="preserve">52 </w:t>
      </w:r>
      <w:proofErr w:type="spellStart"/>
      <w:r w:rsidRPr="00CB42AB">
        <w:rPr>
          <w:color w:val="000000"/>
        </w:rPr>
        <w:t>Pa.Code</w:t>
      </w:r>
      <w:proofErr w:type="spellEnd"/>
      <w:r w:rsidRPr="00CB42AB">
        <w:rPr>
          <w:color w:val="000000"/>
        </w:rPr>
        <w:t xml:space="preserve"> § 5.101(a</w:t>
      </w:r>
      <w:proofErr w:type="gramStart"/>
      <w:r w:rsidRPr="00CB42AB">
        <w:rPr>
          <w:color w:val="000000"/>
        </w:rPr>
        <w:t>)(</w:t>
      </w:r>
      <w:proofErr w:type="gramEnd"/>
      <w:r w:rsidRPr="00CB42AB">
        <w:rPr>
          <w:color w:val="000000"/>
        </w:rPr>
        <w:t>1)-(7).</w:t>
      </w:r>
    </w:p>
    <w:p w:rsidR="00CB42AB" w:rsidRPr="00CB42AB" w:rsidRDefault="00CB42AB" w:rsidP="00B313AC">
      <w:pPr>
        <w:adjustRightInd w:val="0"/>
        <w:spacing w:line="360" w:lineRule="auto"/>
        <w:rPr>
          <w:color w:val="000000"/>
        </w:rPr>
      </w:pPr>
    </w:p>
    <w:p w:rsidR="00CB42AB" w:rsidRDefault="00CB42AB" w:rsidP="00B313AC">
      <w:pPr>
        <w:tabs>
          <w:tab w:val="left" w:pos="-720"/>
        </w:tabs>
        <w:suppressAutoHyphens/>
        <w:spacing w:line="360" w:lineRule="auto"/>
        <w:ind w:firstLine="1440"/>
      </w:pPr>
      <w:r w:rsidRPr="00CB42AB">
        <w:t xml:space="preserve">For purposes of disposing of </w:t>
      </w:r>
      <w:r w:rsidR="002E4BFB">
        <w:t>p</w:t>
      </w:r>
      <w:r w:rsidRPr="00CB42AB">
        <w:t xml:space="preserve">reliminary </w:t>
      </w:r>
      <w:r w:rsidR="002E4BFB">
        <w:t>o</w:t>
      </w:r>
      <w:r w:rsidRPr="00CB42AB">
        <w:t xml:space="preserve">bjections, the Commission must accept as true all well </w:t>
      </w:r>
      <w:proofErr w:type="gramStart"/>
      <w:r w:rsidRPr="00CB42AB">
        <w:t>pleaded,</w:t>
      </w:r>
      <w:proofErr w:type="gramEnd"/>
      <w:r w:rsidRPr="00CB42AB">
        <w:t xml:space="preserve"> material facts of the nonmoving party, as well as every reasonable inference from those facts.  </w:t>
      </w:r>
      <w:proofErr w:type="gramStart"/>
      <w:r w:rsidRPr="00CB42AB">
        <w:rPr>
          <w:u w:val="single"/>
        </w:rPr>
        <w:t>County of Allegheny v. Commonwealth of Pennsylvania</w:t>
      </w:r>
      <w:r w:rsidRPr="00CB42AB">
        <w:t xml:space="preserve">, 490 A.2d 402 (Pa. 1985); </w:t>
      </w:r>
      <w:r w:rsidRPr="00CB42AB">
        <w:rPr>
          <w:u w:val="single"/>
        </w:rPr>
        <w:t>Commonwealth of Pennsylvania v. Bell Telephone Co. of Pa.</w:t>
      </w:r>
      <w:r w:rsidRPr="00CB42AB">
        <w:t xml:space="preserve">, 551 A.2d 602 (Pa. </w:t>
      </w:r>
      <w:proofErr w:type="spellStart"/>
      <w:r w:rsidRPr="00CB42AB">
        <w:t>Cmwlth</w:t>
      </w:r>
      <w:proofErr w:type="spellEnd"/>
      <w:r w:rsidRPr="00CB42AB">
        <w:t>. 1988).</w:t>
      </w:r>
      <w:proofErr w:type="gramEnd"/>
      <w:r w:rsidRPr="00CB42AB">
        <w:t xml:space="preserve">  The Commission must view the complaint in this case in the light most favorable to </w:t>
      </w:r>
      <w:r w:rsidR="00E227DA">
        <w:t xml:space="preserve">Mr. </w:t>
      </w:r>
      <w:proofErr w:type="spellStart"/>
      <w:r w:rsidR="00E227DA">
        <w:t>Stanko</w:t>
      </w:r>
      <w:proofErr w:type="spellEnd"/>
      <w:r w:rsidR="00E227DA">
        <w:t xml:space="preserve"> </w:t>
      </w:r>
      <w:r w:rsidRPr="00CB42AB">
        <w:t xml:space="preserve">and should dismiss the complaint only if it appears that </w:t>
      </w:r>
      <w:r w:rsidR="00E227DA">
        <w:t xml:space="preserve">Mr. </w:t>
      </w:r>
      <w:proofErr w:type="spellStart"/>
      <w:r w:rsidR="00E227DA">
        <w:t>Stanko</w:t>
      </w:r>
      <w:proofErr w:type="spellEnd"/>
      <w:r w:rsidR="00E227DA">
        <w:t xml:space="preserve"> </w:t>
      </w:r>
      <w:r w:rsidRPr="00CB42AB">
        <w:lastRenderedPageBreak/>
        <w:t xml:space="preserve">would not be entitled to relief under any circumstances as a matter of law.  </w:t>
      </w:r>
      <w:r w:rsidRPr="00CB42AB">
        <w:rPr>
          <w:u w:val="single"/>
        </w:rPr>
        <w:t>Equitable</w:t>
      </w:r>
      <w:r w:rsidRPr="00CB42AB">
        <w:t xml:space="preserve">, </w:t>
      </w:r>
      <w:r w:rsidRPr="00CB42AB">
        <w:rPr>
          <w:i/>
        </w:rPr>
        <w:t>supra</w:t>
      </w:r>
      <w:r w:rsidRPr="00CB42AB">
        <w:t xml:space="preserve">; </w:t>
      </w:r>
      <w:r w:rsidRPr="00CB42AB">
        <w:rPr>
          <w:i/>
        </w:rPr>
        <w:t>see also</w:t>
      </w:r>
      <w:r w:rsidRPr="00CB42AB">
        <w:t xml:space="preserve">, </w:t>
      </w:r>
      <w:r w:rsidRPr="00CB42AB">
        <w:rPr>
          <w:u w:val="single"/>
        </w:rPr>
        <w:t>Interstate Traveler Services, Inc. v. Commonwealth, Department of Environmental Resources</w:t>
      </w:r>
      <w:r w:rsidRPr="00CB42AB">
        <w:t>, 406 A.2d 1020 (Pa. 1979).</w:t>
      </w:r>
    </w:p>
    <w:p w:rsidR="00B84A99" w:rsidRDefault="00B84A99" w:rsidP="00CB42AB">
      <w:pPr>
        <w:tabs>
          <w:tab w:val="left" w:pos="-720"/>
        </w:tabs>
        <w:suppressAutoHyphens/>
        <w:spacing w:line="360" w:lineRule="auto"/>
        <w:ind w:firstLine="1440"/>
      </w:pPr>
    </w:p>
    <w:p w:rsidR="00E5317F" w:rsidRDefault="00B84A99" w:rsidP="00E5317F">
      <w:pPr>
        <w:tabs>
          <w:tab w:val="left" w:pos="-720"/>
        </w:tabs>
        <w:suppressAutoHyphens/>
        <w:spacing w:line="360" w:lineRule="auto"/>
        <w:ind w:firstLine="1440"/>
      </w:pPr>
      <w:r>
        <w:t xml:space="preserve">In this case, PAWC has argued that Mr. </w:t>
      </w:r>
      <w:proofErr w:type="spellStart"/>
      <w:r>
        <w:t>Stanko’s</w:t>
      </w:r>
      <w:proofErr w:type="spellEnd"/>
      <w:r>
        <w:t xml:space="preserve"> complaint should be dismissed because it is legally insufficient.  </w:t>
      </w:r>
      <w:r w:rsidR="00E5317F">
        <w:t>A p</w:t>
      </w:r>
      <w:r w:rsidR="00E5317F" w:rsidRPr="00E3227F">
        <w:t xml:space="preserve">reliminary </w:t>
      </w:r>
      <w:r w:rsidR="00E5317F">
        <w:t>o</w:t>
      </w:r>
      <w:r w:rsidR="00E5317F" w:rsidRPr="00E3227F">
        <w:t xml:space="preserve">bjection based on legal insufficiency is referred to as a demurrer.  Preliminary </w:t>
      </w:r>
      <w:r w:rsidR="002E4BFB">
        <w:t>o</w:t>
      </w:r>
      <w:r w:rsidR="00E5317F" w:rsidRPr="00E3227F">
        <w:t xml:space="preserve">bjections in the form of a demurrer will be sustained only in cases which are free and clear of doubt and where dismissal is clearly warranted by the record.  </w:t>
      </w:r>
      <w:proofErr w:type="gramStart"/>
      <w:r w:rsidR="00E5317F" w:rsidRPr="00E3227F">
        <w:rPr>
          <w:u w:val="single"/>
        </w:rPr>
        <w:t xml:space="preserve">Community Life Support Systems, Inc., </w:t>
      </w:r>
      <w:r w:rsidR="00E5317F" w:rsidRPr="00E3227F">
        <w:rPr>
          <w:i/>
          <w:u w:val="single"/>
        </w:rPr>
        <w:t>et al</w:t>
      </w:r>
      <w:r w:rsidR="00E5317F" w:rsidRPr="00E3227F">
        <w:rPr>
          <w:u w:val="single"/>
        </w:rPr>
        <w:t>. v. Commonwealth of Pennsylvania</w:t>
      </w:r>
      <w:r w:rsidR="00E5317F" w:rsidRPr="00E3227F">
        <w:t>, 689 A</w:t>
      </w:r>
      <w:r w:rsidR="00E5317F">
        <w:t xml:space="preserve">.2d 1014, 1017 (Pa. </w:t>
      </w:r>
      <w:proofErr w:type="spellStart"/>
      <w:r w:rsidR="00E5317F">
        <w:t>Cmwlth</w:t>
      </w:r>
      <w:proofErr w:type="spellEnd"/>
      <w:r w:rsidR="00E5317F">
        <w:t>. 1997</w:t>
      </w:r>
      <w:r w:rsidR="002E4BFB">
        <w:t>) (</w:t>
      </w:r>
      <w:r w:rsidR="002E4BFB">
        <w:rPr>
          <w:u w:val="single"/>
        </w:rPr>
        <w:t>Community Life</w:t>
      </w:r>
      <w:r w:rsidR="00E5317F" w:rsidRPr="00E3227F">
        <w:t>).</w:t>
      </w:r>
      <w:proofErr w:type="gramEnd"/>
      <w:r w:rsidR="00E5317F" w:rsidRPr="00E3227F">
        <w:t xml:space="preserve">  Any doubt must be resolved in favor of overruling a demurrer.  </w:t>
      </w:r>
      <w:r w:rsidR="00E5317F" w:rsidRPr="00E3227F">
        <w:rPr>
          <w:u w:val="single"/>
        </w:rPr>
        <w:t>Id.</w:t>
      </w:r>
      <w:r w:rsidR="00E5317F" w:rsidRPr="00E3227F">
        <w:t xml:space="preserve">; </w:t>
      </w:r>
      <w:r w:rsidR="00E5317F" w:rsidRPr="00E3227F">
        <w:rPr>
          <w:i/>
        </w:rPr>
        <w:t>see also</w:t>
      </w:r>
      <w:r w:rsidR="00E5317F" w:rsidRPr="00E3227F">
        <w:t xml:space="preserve">, </w:t>
      </w:r>
      <w:r w:rsidR="00E5317F" w:rsidRPr="00E3227F">
        <w:rPr>
          <w:u w:val="single"/>
        </w:rPr>
        <w:t>Hoffman v. Misericordia Hospital of Philadelphia</w:t>
      </w:r>
      <w:r w:rsidR="00E5317F" w:rsidRPr="00E3227F">
        <w:t xml:space="preserve">, </w:t>
      </w:r>
      <w:r w:rsidR="00E5317F">
        <w:t xml:space="preserve">439 Pa. 501, 267 A.2d 867 (1970) </w:t>
      </w:r>
      <w:r w:rsidR="00E5317F" w:rsidRPr="00E3227F">
        <w:t>(“the question presented by the demurrer is whether on the facts averred, the law states with certainty that no recovery is possible”).</w:t>
      </w:r>
    </w:p>
    <w:p w:rsidR="00B84A99" w:rsidRDefault="00B84A99" w:rsidP="00CB42AB">
      <w:pPr>
        <w:tabs>
          <w:tab w:val="left" w:pos="-720"/>
        </w:tabs>
        <w:suppressAutoHyphens/>
        <w:spacing w:line="360" w:lineRule="auto"/>
        <w:ind w:firstLine="1440"/>
      </w:pPr>
    </w:p>
    <w:p w:rsidR="00CB42AB" w:rsidRDefault="00CB42AB" w:rsidP="00CB42AB">
      <w:pPr>
        <w:tabs>
          <w:tab w:val="left" w:pos="-720"/>
        </w:tabs>
        <w:suppressAutoHyphens/>
        <w:spacing w:line="360" w:lineRule="auto"/>
        <w:ind w:firstLine="1440"/>
      </w:pPr>
      <w:r>
        <w:t xml:space="preserve">In </w:t>
      </w:r>
      <w:r w:rsidR="00B84A99">
        <w:t>his complaint</w:t>
      </w:r>
      <w:r>
        <w:t xml:space="preserve">, Mr. </w:t>
      </w:r>
      <w:proofErr w:type="spellStart"/>
      <w:r>
        <w:t>Stanko</w:t>
      </w:r>
      <w:proofErr w:type="spellEnd"/>
      <w:r>
        <w:t xml:space="preserve"> averred that </w:t>
      </w:r>
      <w:r w:rsidR="003A7427">
        <w:t xml:space="preserve">he is one of three homes on one waterline that was installed in 1956.  Mr. </w:t>
      </w:r>
      <w:proofErr w:type="spellStart"/>
      <w:r w:rsidR="003A7427">
        <w:t>Stanko</w:t>
      </w:r>
      <w:proofErr w:type="spellEnd"/>
      <w:r w:rsidR="003A7427">
        <w:t xml:space="preserve"> requested that PAWC install a ductile iron line or new water line and install separate meters on each of the three homes so that each home only pays for the water they consume.  In addition, Mr. </w:t>
      </w:r>
      <w:proofErr w:type="spellStart"/>
      <w:r w:rsidR="003A7427">
        <w:t>Stanko</w:t>
      </w:r>
      <w:proofErr w:type="spellEnd"/>
      <w:r w:rsidR="003A7427">
        <w:t xml:space="preserve"> indicated that when he contacted PAWC about requesting a new line, a representative from the Company returned his call to suggest Mr. </w:t>
      </w:r>
      <w:proofErr w:type="spellStart"/>
      <w:r w:rsidR="003A7427">
        <w:t>Stanko</w:t>
      </w:r>
      <w:proofErr w:type="spellEnd"/>
      <w:r w:rsidR="003A7427">
        <w:t xml:space="preserve"> request a grant for a main line extension.  Mr. </w:t>
      </w:r>
      <w:proofErr w:type="spellStart"/>
      <w:r w:rsidR="003A7427">
        <w:t>Stanko</w:t>
      </w:r>
      <w:proofErr w:type="spellEnd"/>
      <w:r w:rsidR="003A7427">
        <w:t xml:space="preserve"> further indicated that he sought help in this effort and questioned why PAWC does not pay for the main line extension.</w:t>
      </w:r>
    </w:p>
    <w:p w:rsidR="005636C3" w:rsidRDefault="005636C3" w:rsidP="00CB42AB">
      <w:pPr>
        <w:tabs>
          <w:tab w:val="left" w:pos="-720"/>
        </w:tabs>
        <w:suppressAutoHyphens/>
        <w:spacing w:line="360" w:lineRule="auto"/>
        <w:ind w:firstLine="1440"/>
      </w:pPr>
    </w:p>
    <w:p w:rsidR="005636C3" w:rsidRDefault="005636C3" w:rsidP="00CB42AB">
      <w:pPr>
        <w:tabs>
          <w:tab w:val="left" w:pos="-720"/>
        </w:tabs>
        <w:suppressAutoHyphens/>
        <w:spacing w:line="360" w:lineRule="auto"/>
        <w:ind w:firstLine="1440"/>
      </w:pPr>
      <w:r>
        <w:t xml:space="preserve">In </w:t>
      </w:r>
      <w:r w:rsidR="003A7427">
        <w:t>its preliminary objection</w:t>
      </w:r>
      <w:r>
        <w:t xml:space="preserve">, PAWC argued that </w:t>
      </w:r>
      <w:r w:rsidR="003A7427">
        <w:t xml:space="preserve">the averments raised by Mr. </w:t>
      </w:r>
      <w:proofErr w:type="spellStart"/>
      <w:r w:rsidR="003A7427">
        <w:t>Stanko</w:t>
      </w:r>
      <w:proofErr w:type="spellEnd"/>
      <w:r w:rsidR="003A7427">
        <w:t xml:space="preserve"> in his complaint are virtually identical to those raised by Mr. </w:t>
      </w:r>
      <w:proofErr w:type="spellStart"/>
      <w:r w:rsidR="003A7427">
        <w:t>Stanko’s</w:t>
      </w:r>
      <w:proofErr w:type="spellEnd"/>
      <w:r w:rsidR="003A7427">
        <w:t xml:space="preserve"> mother in a complaint she filed in 1988 and that was subsequently decided by the Commission.  </w:t>
      </w:r>
      <w:r w:rsidR="00A00899">
        <w:t xml:space="preserve">PAWC articulated the requirements of </w:t>
      </w:r>
      <w:r w:rsidR="00A00899">
        <w:rPr>
          <w:i/>
        </w:rPr>
        <w:t>res judicata</w:t>
      </w:r>
      <w:r w:rsidR="00A00899">
        <w:t xml:space="preserve"> and concluded that Mr. </w:t>
      </w:r>
      <w:proofErr w:type="spellStart"/>
      <w:r w:rsidR="00A00899">
        <w:t>Stanko’s</w:t>
      </w:r>
      <w:proofErr w:type="spellEnd"/>
      <w:r w:rsidR="00A00899">
        <w:t xml:space="preserve"> complaint is legally insufficient and should be dismissed.  PAWC attached to its preliminary objection Mr. </w:t>
      </w:r>
      <w:proofErr w:type="spellStart"/>
      <w:r w:rsidR="00A00899">
        <w:t>Stanko’s</w:t>
      </w:r>
      <w:proofErr w:type="spellEnd"/>
      <w:r w:rsidR="00A00899">
        <w:t xml:space="preserve"> current complaint, the 1988 complaint filed by his mother and the Commission decision disposing of the 1988 complaint.</w:t>
      </w:r>
    </w:p>
    <w:p w:rsidR="00E227DA" w:rsidRDefault="00E227DA" w:rsidP="00CB42AB">
      <w:pPr>
        <w:tabs>
          <w:tab w:val="left" w:pos="-720"/>
        </w:tabs>
        <w:suppressAutoHyphens/>
        <w:spacing w:line="360" w:lineRule="auto"/>
        <w:ind w:firstLine="1440"/>
      </w:pPr>
    </w:p>
    <w:p w:rsidR="006C2690" w:rsidRPr="006C2690" w:rsidRDefault="006C2690" w:rsidP="006C2690">
      <w:pPr>
        <w:autoSpaceDE/>
        <w:autoSpaceDN/>
        <w:spacing w:line="360" w:lineRule="auto"/>
        <w:ind w:firstLine="1440"/>
        <w:rPr>
          <w:rFonts w:eastAsiaTheme="minorHAnsi"/>
        </w:rPr>
      </w:pPr>
      <w:r w:rsidRPr="006C2690">
        <w:rPr>
          <w:rFonts w:eastAsiaTheme="minorHAnsi"/>
        </w:rPr>
        <w:lastRenderedPageBreak/>
        <w:t xml:space="preserve">The doctrine of </w:t>
      </w:r>
      <w:r w:rsidRPr="00FA0773">
        <w:rPr>
          <w:rFonts w:eastAsiaTheme="minorHAnsi"/>
          <w:i/>
        </w:rPr>
        <w:t>res judicata</w:t>
      </w:r>
      <w:r w:rsidRPr="006C2690">
        <w:rPr>
          <w:rFonts w:eastAsiaTheme="minorHAnsi"/>
        </w:rPr>
        <w:t xml:space="preserve">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proofErr w:type="gramStart"/>
      <w:r w:rsidRPr="006C2690">
        <w:rPr>
          <w:rFonts w:eastAsiaTheme="minorHAnsi"/>
          <w:u w:val="single"/>
        </w:rPr>
        <w:t>McCarthy, et al. v. Township of McCandless</w:t>
      </w:r>
      <w:r w:rsidRPr="006C2690">
        <w:rPr>
          <w:rFonts w:eastAsiaTheme="minorHAnsi"/>
        </w:rPr>
        <w:t xml:space="preserve">, 7 Pa. Commonwealth Ct. 611, 300 A.2d 815 (1973); </w:t>
      </w:r>
      <w:r w:rsidRPr="006C2690">
        <w:rPr>
          <w:rFonts w:eastAsiaTheme="minorHAnsi"/>
          <w:u w:val="single"/>
        </w:rPr>
        <w:t>Martin v. Poole</w:t>
      </w:r>
      <w:r w:rsidRPr="006C2690">
        <w:rPr>
          <w:rFonts w:eastAsiaTheme="minorHAnsi"/>
        </w:rPr>
        <w:t>, 232 Pa. Superior Ct. 263, 177 A.2d 339 (1975).</w:t>
      </w:r>
      <w:proofErr w:type="gramEnd"/>
      <w:r w:rsidRPr="006C2690">
        <w:rPr>
          <w:rFonts w:eastAsiaTheme="minorHAnsi"/>
        </w:rPr>
        <w:t xml:space="preserve">  Under </w:t>
      </w:r>
      <w:r w:rsidRPr="00FA0773">
        <w:rPr>
          <w:rFonts w:eastAsiaTheme="minorHAnsi"/>
          <w:i/>
        </w:rPr>
        <w:t>res judicata</w:t>
      </w:r>
      <w:r w:rsidRPr="006C2690">
        <w:rPr>
          <w:rFonts w:eastAsiaTheme="minorHAnsi"/>
        </w:rPr>
        <w:t xml:space="preserve">,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proofErr w:type="gramStart"/>
      <w:r w:rsidRPr="006C2690">
        <w:rPr>
          <w:rFonts w:eastAsiaTheme="minorHAnsi"/>
          <w:u w:val="single"/>
        </w:rPr>
        <w:t xml:space="preserve">Commission v. </w:t>
      </w:r>
      <w:proofErr w:type="spellStart"/>
      <w:r w:rsidRPr="006C2690">
        <w:rPr>
          <w:rFonts w:eastAsiaTheme="minorHAnsi"/>
          <w:u w:val="single"/>
        </w:rPr>
        <w:t>Sunnen</w:t>
      </w:r>
      <w:proofErr w:type="spellEnd"/>
      <w:r w:rsidRPr="006C2690">
        <w:rPr>
          <w:rFonts w:eastAsiaTheme="minorHAnsi"/>
        </w:rPr>
        <w:t xml:space="preserve">, 333 U.S. 591, 68 </w:t>
      </w:r>
      <w:proofErr w:type="spellStart"/>
      <w:r w:rsidRPr="006C2690">
        <w:rPr>
          <w:rFonts w:eastAsiaTheme="minorHAnsi"/>
        </w:rPr>
        <w:t>S.Ct</w:t>
      </w:r>
      <w:proofErr w:type="spellEnd"/>
      <w:r w:rsidRPr="006C2690">
        <w:rPr>
          <w:rFonts w:eastAsiaTheme="minorHAnsi"/>
        </w:rPr>
        <w:t xml:space="preserve">. 715, 719 (1948); </w:t>
      </w:r>
      <w:r w:rsidRPr="006C2690">
        <w:rPr>
          <w:rFonts w:eastAsiaTheme="minorHAnsi"/>
          <w:u w:val="single"/>
        </w:rPr>
        <w:t xml:space="preserve">Jones v. </w:t>
      </w:r>
      <w:proofErr w:type="spellStart"/>
      <w:r w:rsidRPr="006C2690">
        <w:rPr>
          <w:rFonts w:eastAsiaTheme="minorHAnsi"/>
          <w:u w:val="single"/>
        </w:rPr>
        <w:t>Costlow</w:t>
      </w:r>
      <w:proofErr w:type="spellEnd"/>
      <w:r w:rsidRPr="006C2690">
        <w:rPr>
          <w:rFonts w:eastAsiaTheme="minorHAnsi"/>
        </w:rPr>
        <w:t>, 354 Pa. 245, 47 AW.</w:t>
      </w:r>
      <w:proofErr w:type="gramEnd"/>
      <w:r w:rsidRPr="006C2690">
        <w:rPr>
          <w:rFonts w:eastAsiaTheme="minorHAnsi"/>
        </w:rPr>
        <w:t xml:space="preserve"> </w:t>
      </w:r>
      <w:proofErr w:type="gramStart"/>
      <w:r w:rsidRPr="006C2690">
        <w:rPr>
          <w:rFonts w:eastAsiaTheme="minorHAnsi"/>
        </w:rPr>
        <w:t>2d 259 (1946).</w:t>
      </w:r>
      <w:proofErr w:type="gramEnd"/>
      <w:r w:rsidRPr="006C2690">
        <w:rPr>
          <w:rFonts w:eastAsiaTheme="minorHAnsi"/>
        </w:rPr>
        <w:t xml:space="preserve">  </w:t>
      </w:r>
    </w:p>
    <w:p w:rsidR="006C2690" w:rsidRPr="006C2690" w:rsidRDefault="006C2690" w:rsidP="006C2690">
      <w:pPr>
        <w:autoSpaceDE/>
        <w:autoSpaceDN/>
        <w:spacing w:line="360" w:lineRule="auto"/>
        <w:ind w:firstLine="1440"/>
        <w:rPr>
          <w:rFonts w:eastAsiaTheme="minorHAnsi"/>
        </w:rPr>
      </w:pPr>
    </w:p>
    <w:p w:rsidR="006C2690" w:rsidRPr="006C2690" w:rsidRDefault="006C2690" w:rsidP="006C2690">
      <w:pPr>
        <w:autoSpaceDE/>
        <w:autoSpaceDN/>
        <w:spacing w:line="360" w:lineRule="auto"/>
        <w:ind w:firstLine="1440"/>
        <w:rPr>
          <w:rFonts w:eastAsiaTheme="minorHAnsi"/>
        </w:rPr>
      </w:pPr>
      <w:r w:rsidRPr="006C2690">
        <w:rPr>
          <w:rFonts w:eastAsiaTheme="minorHAnsi"/>
        </w:rPr>
        <w:t xml:space="preserve">For the doctrine to prevail, four conditions must be met: (1) identity of issues, (2) identity of causes of action, (3) identity of persons and parties to the action, and (4) identity of the quality and capacity of the parties suing or sued.  </w:t>
      </w:r>
      <w:r w:rsidRPr="006C2690">
        <w:rPr>
          <w:rFonts w:eastAsiaTheme="minorHAnsi"/>
          <w:u w:val="single"/>
        </w:rPr>
        <w:t>Safeguard Mutual Insurance Co. v. Williams</w:t>
      </w:r>
      <w:r w:rsidRPr="006C2690">
        <w:rPr>
          <w:rFonts w:eastAsiaTheme="minorHAnsi"/>
        </w:rPr>
        <w:t xml:space="preserve">, 463 Pa. 567, 345 A.2d 664 (1975) and </w:t>
      </w:r>
      <w:r w:rsidRPr="006C2690">
        <w:rPr>
          <w:rFonts w:eastAsiaTheme="minorHAnsi"/>
          <w:u w:val="single"/>
        </w:rPr>
        <w:t xml:space="preserve">Day v. </w:t>
      </w:r>
      <w:proofErr w:type="spellStart"/>
      <w:r w:rsidRPr="006C2690">
        <w:rPr>
          <w:rFonts w:eastAsiaTheme="minorHAnsi"/>
          <w:u w:val="single"/>
        </w:rPr>
        <w:t>Volkswagenwerk</w:t>
      </w:r>
      <w:proofErr w:type="spellEnd"/>
      <w:r w:rsidRPr="006C2690">
        <w:rPr>
          <w:rFonts w:eastAsiaTheme="minorHAnsi"/>
          <w:u w:val="single"/>
        </w:rPr>
        <w:t xml:space="preserve"> </w:t>
      </w:r>
      <w:proofErr w:type="spellStart"/>
      <w:r w:rsidRPr="006C2690">
        <w:rPr>
          <w:rFonts w:eastAsiaTheme="minorHAnsi"/>
          <w:u w:val="single"/>
        </w:rPr>
        <w:t>Aktiengesellschaft</w:t>
      </w:r>
      <w:proofErr w:type="spellEnd"/>
      <w:r w:rsidRPr="006C2690">
        <w:rPr>
          <w:rFonts w:eastAsiaTheme="minorHAnsi"/>
        </w:rPr>
        <w:t xml:space="preserve">, 318 Pa. Superior Ct. 225, 464 A.2d 1313 (1983); </w:t>
      </w:r>
      <w:r w:rsidRPr="006C2690">
        <w:rPr>
          <w:rFonts w:eastAsiaTheme="minorHAnsi"/>
          <w:u w:val="single"/>
        </w:rPr>
        <w:t>Northwestern Lehigh School District v. Commonwealth of Pennsylvania, Agricultural Lands Condemnation Approval Board</w:t>
      </w:r>
      <w:r w:rsidRPr="006C2690">
        <w:rPr>
          <w:rFonts w:eastAsiaTheme="minorHAnsi"/>
        </w:rPr>
        <w:t xml:space="preserve">, 134 Pa. Commonwealth Ct. 291, 578 A. 2d 614 (1990).  The Commonwealth Court stated that, "for the purposes of </w:t>
      </w:r>
      <w:r w:rsidRPr="00FA0773">
        <w:rPr>
          <w:rFonts w:eastAsiaTheme="minorHAnsi"/>
          <w:i/>
        </w:rPr>
        <w:t>res judicata</w:t>
      </w:r>
      <w:r w:rsidRPr="006C2690">
        <w:rPr>
          <w:rFonts w:eastAsiaTheme="minorHAnsi"/>
        </w:rPr>
        <w:t xml:space="preserve">, there is identity of causes of action when in both the old and new </w:t>
      </w:r>
      <w:proofErr w:type="gramStart"/>
      <w:r w:rsidRPr="006C2690">
        <w:rPr>
          <w:rFonts w:eastAsiaTheme="minorHAnsi"/>
        </w:rPr>
        <w:t>proceedings,</w:t>
      </w:r>
      <w:proofErr w:type="gramEnd"/>
      <w:r w:rsidRPr="006C2690">
        <w:rPr>
          <w:rFonts w:eastAsiaTheme="minorHAnsi"/>
        </w:rPr>
        <w:t xml:space="preserve"> the subject matter and the ultimate issues are the same."  </w:t>
      </w:r>
      <w:r w:rsidRPr="006C2690">
        <w:rPr>
          <w:rFonts w:eastAsiaTheme="minorHAnsi"/>
          <w:u w:val="single"/>
        </w:rPr>
        <w:t xml:space="preserve">Howard </w:t>
      </w:r>
      <w:proofErr w:type="gramStart"/>
      <w:r w:rsidRPr="006C2690">
        <w:rPr>
          <w:rFonts w:eastAsiaTheme="minorHAnsi"/>
          <w:u w:val="single"/>
        </w:rPr>
        <w:t>v .</w:t>
      </w:r>
      <w:proofErr w:type="gramEnd"/>
      <w:r w:rsidRPr="006C2690">
        <w:rPr>
          <w:rFonts w:eastAsiaTheme="minorHAnsi"/>
          <w:u w:val="single"/>
        </w:rPr>
        <w:t xml:space="preserve"> </w:t>
      </w:r>
      <w:proofErr w:type="gramStart"/>
      <w:r w:rsidRPr="006C2690">
        <w:rPr>
          <w:rFonts w:eastAsiaTheme="minorHAnsi"/>
          <w:u w:val="single"/>
        </w:rPr>
        <w:t>Department of Public Welfare</w:t>
      </w:r>
      <w:r w:rsidRPr="006C2690">
        <w:rPr>
          <w:rFonts w:eastAsiaTheme="minorHAnsi"/>
        </w:rPr>
        <w:t>, 108 Pa. Commonwealth Ct. 592, 529 A.2d 1231 (1987).</w:t>
      </w:r>
      <w:proofErr w:type="gramEnd"/>
      <w:r w:rsidRPr="006C2690">
        <w:rPr>
          <w:rFonts w:eastAsiaTheme="minorHAnsi"/>
        </w:rPr>
        <w:t xml:space="preserve">  </w:t>
      </w:r>
    </w:p>
    <w:p w:rsidR="006C2690" w:rsidRPr="006C2690" w:rsidRDefault="006C2690" w:rsidP="006C2690">
      <w:pPr>
        <w:autoSpaceDE/>
        <w:autoSpaceDN/>
        <w:spacing w:line="360" w:lineRule="auto"/>
        <w:ind w:firstLine="1440"/>
        <w:rPr>
          <w:rFonts w:eastAsiaTheme="minorHAnsi"/>
        </w:rPr>
      </w:pPr>
    </w:p>
    <w:p w:rsidR="009F3023" w:rsidRDefault="005636C3" w:rsidP="00CB42AB">
      <w:pPr>
        <w:tabs>
          <w:tab w:val="left" w:pos="-720"/>
        </w:tabs>
        <w:suppressAutoHyphens/>
        <w:spacing w:line="360" w:lineRule="auto"/>
        <w:ind w:firstLine="1440"/>
      </w:pPr>
      <w:r>
        <w:t>PAWC’s motion will be rejected because</w:t>
      </w:r>
      <w:r w:rsidR="00E227DA">
        <w:t xml:space="preserve">, when accepting as true all well-pleaded materials facts raised by Mr. </w:t>
      </w:r>
      <w:proofErr w:type="spellStart"/>
      <w:r w:rsidR="00E227DA">
        <w:t>Stanko</w:t>
      </w:r>
      <w:proofErr w:type="spellEnd"/>
      <w:r w:rsidR="00E227DA">
        <w:t xml:space="preserve"> in his complaint, as well as every reasonable inference from those facts, and viewing the complaint in the light most favorable to Mr. </w:t>
      </w:r>
      <w:proofErr w:type="spellStart"/>
      <w:r w:rsidR="00E227DA">
        <w:t>Stanko</w:t>
      </w:r>
      <w:proofErr w:type="spellEnd"/>
      <w:r w:rsidR="00E227DA">
        <w:t xml:space="preserve">, it does not appear that Mr. </w:t>
      </w:r>
      <w:proofErr w:type="spellStart"/>
      <w:r w:rsidR="00E227DA">
        <w:t>Stanko</w:t>
      </w:r>
      <w:proofErr w:type="spellEnd"/>
      <w:r w:rsidR="00E227DA">
        <w:t xml:space="preserve"> would not be entitled to relief under any circumstance as a matter of law.  In particular, Mr. </w:t>
      </w:r>
      <w:proofErr w:type="spellStart"/>
      <w:r w:rsidR="00E227DA">
        <w:t>Stanko’s</w:t>
      </w:r>
      <w:proofErr w:type="spellEnd"/>
      <w:r w:rsidR="00E227DA">
        <w:t xml:space="preserve"> complaint is not barred by the doctrine of </w:t>
      </w:r>
      <w:r w:rsidR="00E227DA">
        <w:rPr>
          <w:i/>
        </w:rPr>
        <w:t>res judicata</w:t>
      </w:r>
      <w:r w:rsidR="00E227DA">
        <w:t xml:space="preserve"> because the initial element of this doctrine – identity of issues – has not been met.  A comparison of the 1988 complaint with Mr. </w:t>
      </w:r>
      <w:proofErr w:type="spellStart"/>
      <w:r w:rsidR="00E227DA">
        <w:t>Stanko’s</w:t>
      </w:r>
      <w:proofErr w:type="spellEnd"/>
      <w:r w:rsidR="00E227DA">
        <w:t xml:space="preserve"> complaint reveals that the 1988 complaint pertained solely to the service line portion of the system that provides service to the residence</w:t>
      </w:r>
      <w:r w:rsidR="002E4BFB">
        <w:t xml:space="preserve">.  In the current complaint, </w:t>
      </w:r>
      <w:r w:rsidR="00E227DA">
        <w:lastRenderedPageBreak/>
        <w:t xml:space="preserve">Mr. </w:t>
      </w:r>
      <w:proofErr w:type="spellStart"/>
      <w:r w:rsidR="00E227DA">
        <w:t>Stanko</w:t>
      </w:r>
      <w:proofErr w:type="spellEnd"/>
      <w:r w:rsidR="002E4BFB">
        <w:t xml:space="preserve"> </w:t>
      </w:r>
      <w:r w:rsidR="00FA0773">
        <w:t xml:space="preserve">also includes averments regarding </w:t>
      </w:r>
      <w:r w:rsidR="00E227DA">
        <w:t>extending the main line at the curb</w:t>
      </w:r>
      <w:r w:rsidR="00FA0773">
        <w:t xml:space="preserve">.  Main extensions are </w:t>
      </w:r>
      <w:r w:rsidR="00E227DA">
        <w:t xml:space="preserve">PAWC’s responsibility.  </w:t>
      </w:r>
      <w:r w:rsidR="002744CA">
        <w:t xml:space="preserve">Furthermore, the 1988 complaint is primarily focused on the financial constraints created by the situation whereas Mr. </w:t>
      </w:r>
      <w:proofErr w:type="spellStart"/>
      <w:r w:rsidR="002744CA">
        <w:t>Stanko’s</w:t>
      </w:r>
      <w:proofErr w:type="spellEnd"/>
      <w:r w:rsidR="002744CA">
        <w:t xml:space="preserve"> complaint also includes an element of safety. </w:t>
      </w:r>
    </w:p>
    <w:p w:rsidR="009F3023" w:rsidRDefault="009F3023" w:rsidP="00CB42AB">
      <w:pPr>
        <w:tabs>
          <w:tab w:val="left" w:pos="-720"/>
        </w:tabs>
        <w:suppressAutoHyphens/>
        <w:spacing w:line="360" w:lineRule="auto"/>
        <w:ind w:firstLine="1440"/>
      </w:pPr>
    </w:p>
    <w:p w:rsidR="00B313AC" w:rsidRDefault="009F3023" w:rsidP="00CB42AB">
      <w:pPr>
        <w:tabs>
          <w:tab w:val="left" w:pos="-720"/>
        </w:tabs>
        <w:suppressAutoHyphens/>
        <w:spacing w:line="360" w:lineRule="auto"/>
        <w:ind w:firstLine="1440"/>
      </w:pPr>
      <w:r>
        <w:t xml:space="preserve">In Mr. </w:t>
      </w:r>
      <w:proofErr w:type="spellStart"/>
      <w:r>
        <w:t>Stanko’s</w:t>
      </w:r>
      <w:proofErr w:type="spellEnd"/>
      <w:r>
        <w:t xml:space="preserve"> co</w:t>
      </w:r>
      <w:r w:rsidR="000576DF">
        <w:t>mplaint, for example, he states, in pertinent part:</w:t>
      </w:r>
    </w:p>
    <w:p w:rsidR="000576DF" w:rsidRDefault="000576DF" w:rsidP="00B313AC">
      <w:pPr>
        <w:tabs>
          <w:tab w:val="left" w:pos="-720"/>
        </w:tabs>
        <w:suppressAutoHyphens/>
        <w:ind w:firstLine="1440"/>
      </w:pPr>
      <w:r>
        <w:t xml:space="preserve"> </w:t>
      </w:r>
    </w:p>
    <w:p w:rsidR="000576DF" w:rsidRDefault="000576DF" w:rsidP="000576DF">
      <w:pPr>
        <w:tabs>
          <w:tab w:val="left" w:pos="-720"/>
        </w:tabs>
        <w:suppressAutoHyphens/>
        <w:ind w:left="1440" w:right="1440"/>
      </w:pPr>
      <w:r>
        <w:t>I wrote PAWC a letter requesting a new line and separate meters on each house.  The [company] never responded.  I never heard from Penn. Amer. Water (the request was sent approx. 6 months ago).  A representative from Penn. American Water returned my call last week.  The</w:t>
      </w:r>
      <w:r w:rsidR="006611D1">
        <w:t>y</w:t>
      </w:r>
      <w:r>
        <w:t xml:space="preserve"> said to request a grant for a main line extension.  Can you help me in this regard?  Why can’t the water company pay for a main line extension?  Currently we use a </w:t>
      </w:r>
      <w:proofErr w:type="spellStart"/>
      <w:r>
        <w:t>transite</w:t>
      </w:r>
      <w:proofErr w:type="spellEnd"/>
      <w:r>
        <w:t xml:space="preserve"> pipe water line about 1200 feet long.  This was installed in 1955 by [our] house builder, Richard </w:t>
      </w:r>
      <w:proofErr w:type="spellStart"/>
      <w:r>
        <w:t>Nichki</w:t>
      </w:r>
      <w:proofErr w:type="spellEnd"/>
      <w:r>
        <w:t xml:space="preserve">, now deceased.  </w:t>
      </w:r>
      <w:proofErr w:type="spellStart"/>
      <w:r>
        <w:t>Transite</w:t>
      </w:r>
      <w:proofErr w:type="spellEnd"/>
      <w:r>
        <w:t xml:space="preserve"> is an asbestos cement material and I feel is unsafe.  Can you convince the water company to put in a main line to the curb by our 3 houses at the top of Disney </w:t>
      </w:r>
      <w:proofErr w:type="gramStart"/>
      <w:r>
        <w:t>Hill.</w:t>
      </w:r>
      <w:proofErr w:type="gramEnd"/>
    </w:p>
    <w:p w:rsidR="000576DF" w:rsidRDefault="000576DF" w:rsidP="000576DF">
      <w:pPr>
        <w:tabs>
          <w:tab w:val="left" w:pos="-720"/>
        </w:tabs>
        <w:suppressAutoHyphens/>
        <w:spacing w:line="360" w:lineRule="auto"/>
      </w:pPr>
    </w:p>
    <w:p w:rsidR="006611D1" w:rsidRDefault="002E4BFB" w:rsidP="00B313AC">
      <w:pPr>
        <w:tabs>
          <w:tab w:val="left" w:pos="-720"/>
        </w:tabs>
        <w:suppressAutoHyphens/>
        <w:spacing w:line="360" w:lineRule="auto"/>
      </w:pPr>
      <w:r>
        <w:t>In contrast, the complaint filed in 1988</w:t>
      </w:r>
      <w:r w:rsidR="009F3023">
        <w:t xml:space="preserve"> </w:t>
      </w:r>
      <w:r w:rsidR="006611D1">
        <w:t xml:space="preserve">focusses on the service line and does not </w:t>
      </w:r>
      <w:r w:rsidR="00681D67">
        <w:t xml:space="preserve">seek an extension of PAWC’s </w:t>
      </w:r>
      <w:r w:rsidR="006611D1">
        <w:t xml:space="preserve">main line.  Although Mr. </w:t>
      </w:r>
      <w:proofErr w:type="spellStart"/>
      <w:r w:rsidR="006611D1">
        <w:t>Stanko’s</w:t>
      </w:r>
      <w:proofErr w:type="spellEnd"/>
      <w:r w:rsidR="006611D1">
        <w:t xml:space="preserve"> complaint also discusses the same issues related to the service line as his mother </w:t>
      </w:r>
      <w:proofErr w:type="gramStart"/>
      <w:r w:rsidR="006611D1">
        <w:t>raised</w:t>
      </w:r>
      <w:proofErr w:type="gramEnd"/>
      <w:r w:rsidR="006611D1">
        <w:t xml:space="preserve">, the complaint filed by Mr. </w:t>
      </w:r>
      <w:proofErr w:type="spellStart"/>
      <w:r w:rsidR="006611D1">
        <w:t>Stanko</w:t>
      </w:r>
      <w:proofErr w:type="spellEnd"/>
      <w:r w:rsidR="006611D1">
        <w:t xml:space="preserve"> also raises issues regarding</w:t>
      </w:r>
      <w:r w:rsidR="00324740">
        <w:t xml:space="preserve"> extending</w:t>
      </w:r>
      <w:r w:rsidR="006611D1">
        <w:t xml:space="preserve"> PAWC’s main line.  </w:t>
      </w:r>
    </w:p>
    <w:p w:rsidR="006611D1" w:rsidRDefault="006611D1" w:rsidP="00B313AC">
      <w:pPr>
        <w:tabs>
          <w:tab w:val="left" w:pos="-720"/>
        </w:tabs>
        <w:suppressAutoHyphens/>
        <w:spacing w:line="360" w:lineRule="auto"/>
      </w:pPr>
    </w:p>
    <w:p w:rsidR="008134CB" w:rsidRDefault="006611D1" w:rsidP="00B313AC">
      <w:pPr>
        <w:adjustRightInd w:val="0"/>
        <w:spacing w:line="360" w:lineRule="auto"/>
      </w:pPr>
      <w:r>
        <w:tab/>
      </w:r>
      <w:r>
        <w:tab/>
        <w:t xml:space="preserve">In dismissing the 1988 complaint, Administrative Law Judge Meehan noted, </w:t>
      </w:r>
      <w:r w:rsidR="008134CB">
        <w:t xml:space="preserve">that “in this proceeding, the issue is whether the Commission may order Respondent to acquire ownership and bear maintenance responsibility for complainant’s water service line.”  In concluding that “the answer that is compelled by the law is in the negative,” ALJ Meehan specifically noted the Commission’s definition of “service line” and found that the Commission does not have jurisdiction to compel the relief requested because it does not regulate private property.  </w:t>
      </w:r>
      <w:r>
        <w:t xml:space="preserve">PAWC made the same argument in its preliminary objection filed in response to Mr. </w:t>
      </w:r>
      <w:proofErr w:type="spellStart"/>
      <w:r>
        <w:t>Stanko’s</w:t>
      </w:r>
      <w:proofErr w:type="spellEnd"/>
      <w:r>
        <w:t xml:space="preserve"> complaint.  </w:t>
      </w:r>
      <w:r w:rsidR="00324740">
        <w:t xml:space="preserve">ALJ Meehan dismissed the complaint without prejudice, adding that the “Respondent shall be ordered to acquire ownership and maintenance responsibility for the </w:t>
      </w:r>
      <w:r w:rsidR="00324740">
        <w:lastRenderedPageBreak/>
        <w:t xml:space="preserve">private service line portion that lays in the public right-of-way and between its facility and the meter serving the complainants.”  </w:t>
      </w:r>
    </w:p>
    <w:p w:rsidR="008134CB" w:rsidRDefault="008134CB" w:rsidP="00B313AC">
      <w:pPr>
        <w:tabs>
          <w:tab w:val="left" w:pos="-720"/>
        </w:tabs>
        <w:suppressAutoHyphens/>
        <w:spacing w:line="360" w:lineRule="auto"/>
      </w:pPr>
    </w:p>
    <w:p w:rsidR="006C2690" w:rsidRPr="006C2690" w:rsidRDefault="008134CB" w:rsidP="00B313AC">
      <w:pPr>
        <w:tabs>
          <w:tab w:val="left" w:pos="-720"/>
        </w:tabs>
        <w:suppressAutoHyphens/>
        <w:spacing w:line="360" w:lineRule="auto"/>
      </w:pPr>
      <w:r>
        <w:tab/>
      </w:r>
      <w:r>
        <w:tab/>
      </w:r>
      <w:r w:rsidR="006611D1">
        <w:t xml:space="preserve">PAWC is correct with regard to the arguments pertaining to the service line.  However, Mr. </w:t>
      </w:r>
      <w:proofErr w:type="spellStart"/>
      <w:r w:rsidR="006611D1">
        <w:t>Stanko’s</w:t>
      </w:r>
      <w:proofErr w:type="spellEnd"/>
      <w:r w:rsidR="006611D1">
        <w:t xml:space="preserve"> complaint, when read in a light most favorable to Mr. </w:t>
      </w:r>
      <w:proofErr w:type="spellStart"/>
      <w:r w:rsidR="006611D1">
        <w:t>Stanko</w:t>
      </w:r>
      <w:proofErr w:type="spellEnd"/>
      <w:r w:rsidR="006611D1">
        <w:t>, pertains to more than just the service line.</w:t>
      </w:r>
      <w:r w:rsidR="00324740">
        <w:t xml:space="preserve">  Mr. </w:t>
      </w:r>
      <w:proofErr w:type="spellStart"/>
      <w:r w:rsidR="00324740">
        <w:t>Stanko</w:t>
      </w:r>
      <w:proofErr w:type="spellEnd"/>
      <w:r w:rsidR="00324740">
        <w:t xml:space="preserve"> has also raised in his complaint issues regarding extending PAWC’s main</w:t>
      </w:r>
      <w:r w:rsidR="00681D67">
        <w:t xml:space="preserve"> line</w:t>
      </w:r>
      <w:r w:rsidR="00324740">
        <w:t xml:space="preserve">.  </w:t>
      </w:r>
      <w:r w:rsidR="009F3023">
        <w:t>The service line is not the company’s responsibility, as was correctly determined in the decision disposing of the 1988 complaint.  However, the main lines</w:t>
      </w:r>
      <w:r w:rsidR="00324740">
        <w:t xml:space="preserve"> </w:t>
      </w:r>
      <w:r w:rsidR="009F3023">
        <w:t xml:space="preserve">are the company’s responsibility and </w:t>
      </w:r>
      <w:r w:rsidR="00324740">
        <w:t xml:space="preserve">are </w:t>
      </w:r>
      <w:r w:rsidR="00681D67">
        <w:t xml:space="preserve">well pled </w:t>
      </w:r>
      <w:r w:rsidR="00324740">
        <w:t xml:space="preserve">in </w:t>
      </w:r>
      <w:r w:rsidR="009F3023">
        <w:t xml:space="preserve">Mr. </w:t>
      </w:r>
      <w:proofErr w:type="spellStart"/>
      <w:r w:rsidR="009F3023">
        <w:t>Stanko’s</w:t>
      </w:r>
      <w:proofErr w:type="spellEnd"/>
      <w:r w:rsidR="009F3023">
        <w:t xml:space="preserve"> complaint.</w:t>
      </w:r>
      <w:r w:rsidR="00681D67">
        <w:t xml:space="preserve">  </w:t>
      </w:r>
      <w:r w:rsidR="002744CA">
        <w:t>Section 1501 of the Public Uti</w:t>
      </w:r>
      <w:r w:rsidR="006C2690">
        <w:t>lity Code specifically provides</w:t>
      </w:r>
      <w:r w:rsidR="006C2690" w:rsidRPr="006C2690">
        <w:rPr>
          <w:rFonts w:eastAsiaTheme="minorEastAsia"/>
        </w:rPr>
        <w:t>, in pertinent part:</w:t>
      </w:r>
    </w:p>
    <w:p w:rsidR="006C2690" w:rsidRPr="006C2690" w:rsidRDefault="006C2690" w:rsidP="00B313AC">
      <w:pPr>
        <w:autoSpaceDE/>
        <w:autoSpaceDN/>
        <w:spacing w:line="360" w:lineRule="auto"/>
        <w:rPr>
          <w:rFonts w:eastAsiaTheme="minorEastAsia"/>
        </w:rPr>
      </w:pPr>
    </w:p>
    <w:p w:rsidR="006C2690" w:rsidRPr="006C2690" w:rsidRDefault="006C2690" w:rsidP="006C2690">
      <w:pPr>
        <w:ind w:left="1440" w:right="1440"/>
      </w:pPr>
      <w:r w:rsidRPr="006C2690">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6C2690" w:rsidRPr="006C2690" w:rsidRDefault="006C2690" w:rsidP="00B313AC">
      <w:pPr>
        <w:autoSpaceDE/>
        <w:autoSpaceDN/>
        <w:spacing w:line="360" w:lineRule="auto"/>
        <w:rPr>
          <w:rFonts w:eastAsiaTheme="minorEastAsia"/>
        </w:rPr>
      </w:pPr>
    </w:p>
    <w:p w:rsidR="00722762" w:rsidRDefault="006C2690" w:rsidP="00B313AC">
      <w:pPr>
        <w:adjustRightInd w:val="0"/>
        <w:spacing w:line="360" w:lineRule="auto"/>
      </w:pPr>
      <w:proofErr w:type="gramStart"/>
      <w:r w:rsidRPr="006C2690">
        <w:t xml:space="preserve">66 </w:t>
      </w:r>
      <w:proofErr w:type="spellStart"/>
      <w:r w:rsidRPr="006C2690">
        <w:t>Pa.C.S</w:t>
      </w:r>
      <w:proofErr w:type="spellEnd"/>
      <w:r w:rsidRPr="006C2690">
        <w:t>.</w:t>
      </w:r>
      <w:proofErr w:type="gramEnd"/>
      <w:r w:rsidRPr="006C2690">
        <w:t xml:space="preserve"> § 1501.  Section 1501 generally requires utilities to provide reasonable service</w:t>
      </w:r>
      <w:r w:rsidR="002E4BFB">
        <w:t>, including extending facilities if it is reasonable to do so</w:t>
      </w:r>
      <w:r w:rsidRPr="006C2690">
        <w:t>.</w:t>
      </w:r>
      <w:r w:rsidR="000B1BCC">
        <w:t xml:space="preserve">  </w:t>
      </w:r>
      <w:r w:rsidR="00D12104">
        <w:t>Furthermore, the Commission</w:t>
      </w:r>
      <w:r w:rsidR="00681D67">
        <w:t>’s</w:t>
      </w:r>
      <w:r w:rsidR="00D12104">
        <w:t xml:space="preserve"> regulations provide significant detail regarding the financing of </w:t>
      </w:r>
      <w:r w:rsidR="00681D67">
        <w:t xml:space="preserve">a </w:t>
      </w:r>
      <w:r w:rsidR="00D12104">
        <w:t>main extension.</w:t>
      </w:r>
      <w:r w:rsidR="00C848FA">
        <w:t xml:space="preserve">  </w:t>
      </w:r>
      <w:r w:rsidR="00C848FA">
        <w:rPr>
          <w:i/>
        </w:rPr>
        <w:t>See</w:t>
      </w:r>
      <w:r w:rsidR="00C848FA">
        <w:t xml:space="preserve">, 52 </w:t>
      </w:r>
      <w:proofErr w:type="spellStart"/>
      <w:r w:rsidR="00C848FA">
        <w:t>Pa.Code</w:t>
      </w:r>
      <w:proofErr w:type="spellEnd"/>
      <w:r w:rsidR="00C848FA">
        <w:t xml:space="preserve"> § 65.21 (Duty of public utility to make line extension.) (“</w:t>
      </w:r>
      <w:proofErr w:type="gramStart"/>
      <w:r w:rsidR="00C848FA">
        <w:t>each</w:t>
      </w:r>
      <w:proofErr w:type="gramEnd"/>
      <w:r w:rsidR="00C848FA">
        <w:t xml:space="preserve"> public utility shall file with the Commission, as part of its tariff, a rule setting forth the conditions under which facilities will be extended to supply service to an applicant within its service area”).</w:t>
      </w:r>
    </w:p>
    <w:p w:rsidR="002744CA" w:rsidRDefault="002744CA" w:rsidP="00B313AC">
      <w:pPr>
        <w:tabs>
          <w:tab w:val="left" w:pos="-720"/>
        </w:tabs>
        <w:suppressAutoHyphens/>
        <w:spacing w:line="360" w:lineRule="auto"/>
        <w:ind w:firstLine="1440"/>
      </w:pPr>
    </w:p>
    <w:p w:rsidR="002E4BFB" w:rsidRPr="0023606A" w:rsidRDefault="00324740" w:rsidP="00B313AC">
      <w:pPr>
        <w:tabs>
          <w:tab w:val="left" w:pos="-720"/>
        </w:tabs>
        <w:suppressAutoHyphens/>
        <w:spacing w:line="360" w:lineRule="auto"/>
        <w:ind w:firstLine="1440"/>
      </w:pPr>
      <w:r>
        <w:t xml:space="preserve">The Commission, therefore, does have jurisdiction over main extension cases and Mr. </w:t>
      </w:r>
      <w:proofErr w:type="spellStart"/>
      <w:r>
        <w:t>Stanko’s</w:t>
      </w:r>
      <w:proofErr w:type="spellEnd"/>
      <w:r>
        <w:t xml:space="preserve"> complaint is not legally insufficient.</w:t>
      </w:r>
      <w:r w:rsidR="00B84A99">
        <w:t xml:space="preserve">  </w:t>
      </w:r>
      <w:r w:rsidR="002E4BFB">
        <w:t xml:space="preserve">It is not </w:t>
      </w:r>
      <w:r w:rsidR="002E4BFB" w:rsidRPr="00E3227F">
        <w:t xml:space="preserve">free and clear of doubt and </w:t>
      </w:r>
      <w:r w:rsidR="002E4BFB">
        <w:t xml:space="preserve">that </w:t>
      </w:r>
      <w:r w:rsidR="002E4BFB" w:rsidRPr="00E3227F">
        <w:t>dismissal is clearly warranted by the record</w:t>
      </w:r>
      <w:r w:rsidR="002E4BFB">
        <w:t xml:space="preserve"> in this case.  </w:t>
      </w:r>
      <w:proofErr w:type="gramStart"/>
      <w:r w:rsidR="002E4BFB">
        <w:rPr>
          <w:u w:val="single"/>
        </w:rPr>
        <w:t>Community Life</w:t>
      </w:r>
      <w:r w:rsidR="002E4BFB" w:rsidRPr="00E3227F">
        <w:t>.</w:t>
      </w:r>
      <w:proofErr w:type="gramEnd"/>
      <w:r w:rsidR="002E4BFB" w:rsidRPr="00E3227F">
        <w:t xml:space="preserve">  </w:t>
      </w:r>
      <w:r w:rsidR="002E4BFB">
        <w:t xml:space="preserve">In addition, it is significant that the 1988 complaint was dismissed by ALJ Meehan “without prejudice.”  To be dismissed without prejudice means that no rights or privileges of the party concerned are to be considered waived or lost.  </w:t>
      </w:r>
      <w:r w:rsidR="002E4BFB">
        <w:rPr>
          <w:u w:val="single"/>
        </w:rPr>
        <w:t>Black’s Law Dictionary</w:t>
      </w:r>
      <w:r w:rsidR="002E4BFB">
        <w:t>, West Publishing, 6</w:t>
      </w:r>
      <w:r w:rsidR="002E4BFB" w:rsidRPr="002E4BFB">
        <w:rPr>
          <w:vertAlign w:val="superscript"/>
        </w:rPr>
        <w:t>th</w:t>
      </w:r>
      <w:r w:rsidR="002E4BFB">
        <w:t xml:space="preserve"> Ed. (1990) at 1179.  Dismissing the decision without prejudice calls in to question whether a valid final judgment, as </w:t>
      </w:r>
      <w:r w:rsidR="002E4BFB">
        <w:lastRenderedPageBreak/>
        <w:t xml:space="preserve">is required for a finding of </w:t>
      </w:r>
      <w:r w:rsidR="002E4BFB">
        <w:rPr>
          <w:i/>
        </w:rPr>
        <w:t>res judicata</w:t>
      </w:r>
      <w:r w:rsidR="002E4BFB">
        <w:t>, is present.</w:t>
      </w:r>
      <w:r w:rsidR="00681D67">
        <w:t xml:space="preserve">  </w:t>
      </w:r>
      <w:r w:rsidR="00681D67">
        <w:rPr>
          <w:i/>
        </w:rPr>
        <w:t>See</w:t>
      </w:r>
      <w:r w:rsidR="00681D67">
        <w:t xml:space="preserve">, </w:t>
      </w:r>
      <w:r w:rsidR="00681D67">
        <w:rPr>
          <w:u w:val="single"/>
        </w:rPr>
        <w:t>Lorri</w:t>
      </w:r>
      <w:r w:rsidR="0023606A">
        <w:rPr>
          <w:u w:val="single"/>
        </w:rPr>
        <w:t>e</w:t>
      </w:r>
      <w:r w:rsidR="00681D67">
        <w:rPr>
          <w:u w:val="single"/>
        </w:rPr>
        <w:t xml:space="preserve"> Reynolds </w:t>
      </w:r>
      <w:r w:rsidR="0023606A">
        <w:rPr>
          <w:u w:val="single"/>
        </w:rPr>
        <w:t>v. PPL Electric Utilities Corporation</w:t>
      </w:r>
      <w:r w:rsidR="0023606A">
        <w:t>, Docket Number C-2011-2255268 (Opinion and Order entered Jan. 5, 2012).</w:t>
      </w:r>
    </w:p>
    <w:p w:rsidR="002E4BFB" w:rsidRDefault="002E4BFB" w:rsidP="00CB42AB">
      <w:pPr>
        <w:tabs>
          <w:tab w:val="left" w:pos="-720"/>
        </w:tabs>
        <w:suppressAutoHyphens/>
        <w:spacing w:line="360" w:lineRule="auto"/>
        <w:ind w:firstLine="1440"/>
      </w:pPr>
    </w:p>
    <w:p w:rsidR="005C6F69" w:rsidRDefault="000B1BCC" w:rsidP="00CB42AB">
      <w:pPr>
        <w:tabs>
          <w:tab w:val="left" w:pos="-720"/>
        </w:tabs>
        <w:suppressAutoHyphens/>
        <w:spacing w:line="360" w:lineRule="auto"/>
        <w:ind w:firstLine="1440"/>
      </w:pPr>
      <w:r>
        <w:t xml:space="preserve">As a result, PAWC’s preliminary objection based on </w:t>
      </w:r>
      <w:r>
        <w:rPr>
          <w:i/>
        </w:rPr>
        <w:t>res judicata</w:t>
      </w:r>
      <w:r>
        <w:t xml:space="preserve"> will be denied because there is no commonality of issues</w:t>
      </w:r>
      <w:r w:rsidR="00B84A99">
        <w:t xml:space="preserve"> and the complaint is not legally insufficient</w:t>
      </w:r>
      <w:r>
        <w:t xml:space="preserve">.  </w:t>
      </w:r>
      <w:r w:rsidR="002744CA">
        <w:t xml:space="preserve">Whereas the 1988 complaint was resolved based on a review of the company’s tariffs, Mr. </w:t>
      </w:r>
      <w:proofErr w:type="spellStart"/>
      <w:r w:rsidR="002744CA">
        <w:t>Stanko’s</w:t>
      </w:r>
      <w:proofErr w:type="spellEnd"/>
      <w:r w:rsidR="002744CA">
        <w:t xml:space="preserve"> complaint raises issues pertaining to Section 1501 of the Public Utility Code as well.  </w:t>
      </w:r>
      <w:r w:rsidR="005C6F69">
        <w:t>T</w:t>
      </w:r>
      <w:r w:rsidR="00F16DC6">
        <w:t xml:space="preserve">he test for dismissing a complaint based on </w:t>
      </w:r>
      <w:r w:rsidR="00F16DC6">
        <w:rPr>
          <w:i/>
        </w:rPr>
        <w:t>res judicata</w:t>
      </w:r>
      <w:r w:rsidR="00F16DC6">
        <w:t xml:space="preserve"> requires all four factors to be satisfied before</w:t>
      </w:r>
      <w:r w:rsidR="005C6F69">
        <w:t xml:space="preserve"> a complaint will be dismissed.  T</w:t>
      </w:r>
      <w:r w:rsidR="00F16DC6">
        <w:t xml:space="preserve">he other three factors will not be addressed in this order because the preliminary objection can be denied based solely on the fact that the first factor has not been satisfied. </w:t>
      </w:r>
    </w:p>
    <w:p w:rsidR="005C6F69" w:rsidRDefault="005C6F69" w:rsidP="00CB42AB">
      <w:pPr>
        <w:tabs>
          <w:tab w:val="left" w:pos="-720"/>
        </w:tabs>
        <w:suppressAutoHyphens/>
        <w:spacing w:line="360" w:lineRule="auto"/>
        <w:ind w:firstLine="1440"/>
      </w:pPr>
    </w:p>
    <w:p w:rsidR="00E56ACE" w:rsidRDefault="00B84A99" w:rsidP="008A014D">
      <w:pPr>
        <w:tabs>
          <w:tab w:val="left" w:pos="-720"/>
        </w:tabs>
        <w:suppressAutoHyphens/>
        <w:spacing w:line="360" w:lineRule="auto"/>
      </w:pPr>
      <w:r>
        <w:tab/>
      </w:r>
      <w:r>
        <w:tab/>
      </w:r>
      <w:r w:rsidR="008A014D">
        <w:t xml:space="preserve">As noted above, the standard for granting a preliminary objection is high.  A preliminary objection will only be granted in those cases where, after accepting as true all well pleaded material facts from the nonmoving party, and every reasonable inference from those facts, </w:t>
      </w:r>
      <w:r w:rsidR="002E4BFB">
        <w:t xml:space="preserve">it is clear </w:t>
      </w:r>
      <w:r w:rsidR="008A014D">
        <w:t xml:space="preserve">that Mr. </w:t>
      </w:r>
      <w:proofErr w:type="spellStart"/>
      <w:r w:rsidR="008A014D">
        <w:t>Stanko</w:t>
      </w:r>
      <w:proofErr w:type="spellEnd"/>
      <w:r w:rsidR="008A014D">
        <w:t xml:space="preserve"> </w:t>
      </w:r>
      <w:r w:rsidR="008A014D" w:rsidRPr="00CB42AB">
        <w:t>would not be entitled to relief under any circumstances as a matter of law</w:t>
      </w:r>
      <w:r w:rsidR="008A014D">
        <w:t xml:space="preserve">.  PAWC has failed to satisfy this standard with regard to Mr. </w:t>
      </w:r>
      <w:proofErr w:type="spellStart"/>
      <w:r w:rsidR="008A014D">
        <w:t>Stanko’s</w:t>
      </w:r>
      <w:proofErr w:type="spellEnd"/>
      <w:r w:rsidR="008A014D">
        <w:t xml:space="preserve"> complaint.  When viewing the complaint in the light most favorable to Mr. </w:t>
      </w:r>
      <w:proofErr w:type="spellStart"/>
      <w:r w:rsidR="008A014D">
        <w:t>Stanko</w:t>
      </w:r>
      <w:proofErr w:type="spellEnd"/>
      <w:r w:rsidR="008A014D">
        <w:t xml:space="preserve">, it appears that his complaint pertains not only to issues involving the service line, but also PAWC’s main line.  The complaint, therefore, should not be dismissed on a preliminary basis but Mr. </w:t>
      </w:r>
      <w:proofErr w:type="spellStart"/>
      <w:r w:rsidR="008A014D">
        <w:t>Stanko</w:t>
      </w:r>
      <w:proofErr w:type="spellEnd"/>
      <w:r w:rsidR="008A014D">
        <w:t xml:space="preserve"> should have the opportunity to have his complaint heard before an </w:t>
      </w:r>
      <w:r w:rsidR="00D766A3">
        <w:t>A</w:t>
      </w:r>
      <w:r w:rsidR="008A014D">
        <w:t xml:space="preserve">dministrative </w:t>
      </w:r>
      <w:r w:rsidR="00D766A3">
        <w:t>L</w:t>
      </w:r>
      <w:r w:rsidR="008A014D">
        <w:t xml:space="preserve">aw </w:t>
      </w:r>
      <w:r w:rsidR="00D766A3">
        <w:t>J</w:t>
      </w:r>
      <w:r w:rsidR="008A014D">
        <w:t xml:space="preserve">udge.  </w:t>
      </w:r>
    </w:p>
    <w:p w:rsidR="00E56ACE" w:rsidRDefault="00E56ACE" w:rsidP="008A014D">
      <w:pPr>
        <w:tabs>
          <w:tab w:val="left" w:pos="-720"/>
        </w:tabs>
        <w:suppressAutoHyphens/>
        <w:spacing w:line="360" w:lineRule="auto"/>
      </w:pPr>
    </w:p>
    <w:p w:rsidR="00CD604F" w:rsidRDefault="00E56ACE" w:rsidP="008A014D">
      <w:pPr>
        <w:tabs>
          <w:tab w:val="left" w:pos="-720"/>
        </w:tabs>
        <w:suppressAutoHyphens/>
        <w:spacing w:line="360" w:lineRule="auto"/>
      </w:pPr>
      <w:r>
        <w:tab/>
      </w:r>
      <w:r>
        <w:tab/>
      </w:r>
      <w:r w:rsidR="008A014D">
        <w:t xml:space="preserve">Mr. </w:t>
      </w:r>
      <w:proofErr w:type="spellStart"/>
      <w:r w:rsidR="008A014D">
        <w:t>Stanko</w:t>
      </w:r>
      <w:proofErr w:type="spellEnd"/>
      <w:r w:rsidR="008A014D">
        <w:t xml:space="preserve"> is advised, however, that to sustain his burden of proof, he must demonstrate by a preponderance of the evidence that PAWC has violated the Public Utility Code, a Commission order or regulation or a Commission-approved Company tariff.  In addition, all orders of the Commission must be supported by substantial evidence.  This is a different standard than </w:t>
      </w:r>
      <w:r w:rsidR="002E4BFB">
        <w:t xml:space="preserve">the standard </w:t>
      </w:r>
      <w:r w:rsidR="008A014D">
        <w:t xml:space="preserve">used in addressing PAWC’s preliminary objection.  Mr. </w:t>
      </w:r>
      <w:proofErr w:type="spellStart"/>
      <w:r w:rsidR="008A014D">
        <w:t>Stanko</w:t>
      </w:r>
      <w:proofErr w:type="spellEnd"/>
      <w:r w:rsidR="008A014D">
        <w:t xml:space="preserve"> will also be </w:t>
      </w:r>
      <w:r w:rsidR="002E4BFB">
        <w:t xml:space="preserve">prohibited </w:t>
      </w:r>
      <w:r w:rsidR="008A014D">
        <w:t xml:space="preserve">from </w:t>
      </w:r>
      <w:r>
        <w:t xml:space="preserve">raising any arguments that are precluded by the doctrine of </w:t>
      </w:r>
      <w:r>
        <w:rPr>
          <w:i/>
        </w:rPr>
        <w:t>res judicata</w:t>
      </w:r>
      <w:r>
        <w:t xml:space="preserve">.  To the extent PAWC believes Mr. </w:t>
      </w:r>
      <w:proofErr w:type="spellStart"/>
      <w:r>
        <w:t>Stanko</w:t>
      </w:r>
      <w:proofErr w:type="spellEnd"/>
      <w:r>
        <w:t xml:space="preserve"> raises issues that should be precluded on this basis</w:t>
      </w:r>
      <w:r w:rsidR="00D766A3">
        <w:t>,</w:t>
      </w:r>
      <w:r>
        <w:t xml:space="preserve"> it is free to raise the issue orally during the hearing.</w:t>
      </w:r>
    </w:p>
    <w:p w:rsidR="00E56ACE" w:rsidRDefault="00E56ACE" w:rsidP="008A014D">
      <w:pPr>
        <w:tabs>
          <w:tab w:val="left" w:pos="-720"/>
        </w:tabs>
        <w:suppressAutoHyphens/>
        <w:spacing w:line="360" w:lineRule="auto"/>
      </w:pPr>
    </w:p>
    <w:p w:rsidR="00E56ACE" w:rsidRPr="00E56ACE" w:rsidRDefault="00E56ACE" w:rsidP="008A014D">
      <w:pPr>
        <w:tabs>
          <w:tab w:val="left" w:pos="-720"/>
        </w:tabs>
        <w:suppressAutoHyphens/>
        <w:spacing w:line="360" w:lineRule="auto"/>
        <w:rPr>
          <w:strike/>
          <w:color w:val="000000"/>
        </w:rPr>
      </w:pPr>
      <w:r>
        <w:lastRenderedPageBreak/>
        <w:tab/>
      </w:r>
      <w:r>
        <w:tab/>
        <w:t xml:space="preserve">In conclusion, PAWC’s preliminary objection will be denied and the complaint filed by Mr. </w:t>
      </w:r>
      <w:proofErr w:type="spellStart"/>
      <w:r>
        <w:t>Stanko</w:t>
      </w:r>
      <w:proofErr w:type="spellEnd"/>
      <w:r>
        <w:t xml:space="preserve"> </w:t>
      </w:r>
      <w:r w:rsidRPr="006B0E4F">
        <w:rPr>
          <w:spacing w:val="-3"/>
        </w:rPr>
        <w:t xml:space="preserve">will be heard in an </w:t>
      </w:r>
      <w:r w:rsidRPr="006B0E4F">
        <w:rPr>
          <w:rFonts w:eastAsiaTheme="minorEastAsia"/>
        </w:rPr>
        <w:t>Initial Hearing before an Administrative Law Judg</w:t>
      </w:r>
      <w:r>
        <w:rPr>
          <w:rFonts w:eastAsiaTheme="minorEastAsia"/>
        </w:rPr>
        <w:t>e.</w:t>
      </w:r>
    </w:p>
    <w:p w:rsidR="000A1D7C" w:rsidRPr="006B0E4F" w:rsidRDefault="000A1D7C" w:rsidP="002A5872">
      <w:pPr>
        <w:spacing w:line="360" w:lineRule="auto"/>
        <w:rPr>
          <w:u w:val="single"/>
        </w:rPr>
      </w:pPr>
    </w:p>
    <w:p w:rsidR="00AA5A3B" w:rsidRPr="006B0E4F" w:rsidRDefault="00FA0DC0" w:rsidP="00FA0DC0">
      <w:pPr>
        <w:spacing w:line="360" w:lineRule="auto"/>
        <w:jc w:val="center"/>
      </w:pPr>
      <w:r w:rsidRPr="006B0E4F">
        <w:rPr>
          <w:u w:val="single"/>
        </w:rPr>
        <w:t>ORDER</w:t>
      </w:r>
    </w:p>
    <w:p w:rsidR="002A5872" w:rsidRDefault="002A5872" w:rsidP="002A5872">
      <w:pPr>
        <w:spacing w:line="360" w:lineRule="auto"/>
      </w:pPr>
    </w:p>
    <w:p w:rsidR="00B313AC" w:rsidRPr="006B0E4F" w:rsidRDefault="00B313AC" w:rsidP="002A5872">
      <w:pPr>
        <w:spacing w:line="360" w:lineRule="auto"/>
      </w:pPr>
    </w:p>
    <w:p w:rsidR="006D33B5" w:rsidRPr="006B0E4F" w:rsidRDefault="006D33B5" w:rsidP="002A5872">
      <w:pPr>
        <w:spacing w:line="360" w:lineRule="auto"/>
        <w:ind w:firstLine="1440"/>
        <w:rPr>
          <w:bCs/>
        </w:rPr>
      </w:pPr>
      <w:r w:rsidRPr="006B0E4F">
        <w:rPr>
          <w:bCs/>
        </w:rPr>
        <w:t>THEREFORE,</w:t>
      </w:r>
    </w:p>
    <w:p w:rsidR="006D33B5" w:rsidRPr="006B0E4F" w:rsidRDefault="006D33B5" w:rsidP="002A5872">
      <w:pPr>
        <w:spacing w:line="360" w:lineRule="auto"/>
        <w:ind w:firstLine="1440"/>
      </w:pPr>
    </w:p>
    <w:p w:rsidR="0013770C" w:rsidRPr="006B0E4F" w:rsidRDefault="006D33B5" w:rsidP="002A5872">
      <w:pPr>
        <w:spacing w:line="360" w:lineRule="auto"/>
        <w:ind w:firstLine="1440"/>
        <w:rPr>
          <w:bCs/>
        </w:rPr>
      </w:pPr>
      <w:r w:rsidRPr="006B0E4F">
        <w:rPr>
          <w:bCs/>
        </w:rPr>
        <w:t>IT IS ORDERED:</w:t>
      </w:r>
    </w:p>
    <w:p w:rsidR="0013770C" w:rsidRPr="006B0E4F" w:rsidRDefault="0013770C" w:rsidP="002A5872">
      <w:pPr>
        <w:spacing w:line="360" w:lineRule="auto"/>
        <w:ind w:firstLine="1440"/>
        <w:rPr>
          <w:bCs/>
        </w:rPr>
      </w:pPr>
    </w:p>
    <w:p w:rsidR="000E133E" w:rsidRPr="006B0E4F" w:rsidRDefault="009011DC" w:rsidP="002A5872">
      <w:pPr>
        <w:numPr>
          <w:ilvl w:val="0"/>
          <w:numId w:val="24"/>
        </w:numPr>
        <w:tabs>
          <w:tab w:val="left" w:pos="-720"/>
        </w:tabs>
        <w:suppressAutoHyphens/>
        <w:autoSpaceDE/>
        <w:autoSpaceDN/>
        <w:spacing w:line="360" w:lineRule="auto"/>
        <w:ind w:left="0" w:firstLine="1440"/>
        <w:rPr>
          <w:spacing w:val="-3"/>
        </w:rPr>
      </w:pPr>
      <w:r w:rsidRPr="006B0E4F">
        <w:rPr>
          <w:spacing w:val="-3"/>
        </w:rPr>
        <w:t xml:space="preserve">That the </w:t>
      </w:r>
      <w:r w:rsidR="006B0E4F">
        <w:rPr>
          <w:spacing w:val="-3"/>
        </w:rPr>
        <w:t xml:space="preserve">Preliminary Objection filed by the Pennsylvania American Water Company </w:t>
      </w:r>
      <w:r w:rsidR="00E94801" w:rsidRPr="006B0E4F">
        <w:rPr>
          <w:spacing w:val="-3"/>
        </w:rPr>
        <w:t xml:space="preserve">at </w:t>
      </w:r>
      <w:r w:rsidRPr="006B0E4F">
        <w:rPr>
          <w:spacing w:val="-3"/>
        </w:rPr>
        <w:t xml:space="preserve">Docket Number </w:t>
      </w:r>
      <w:r w:rsidR="00EF6CD7" w:rsidRPr="006B0E4F">
        <w:rPr>
          <w:bCs/>
          <w:color w:val="000000"/>
        </w:rPr>
        <w:t>C-2015-</w:t>
      </w:r>
      <w:r w:rsidR="006B0E4F">
        <w:rPr>
          <w:bCs/>
          <w:color w:val="000000"/>
        </w:rPr>
        <w:t>2505010 on October 14</w:t>
      </w:r>
      <w:r w:rsidR="002E04C4" w:rsidRPr="006B0E4F">
        <w:rPr>
          <w:spacing w:val="-3"/>
        </w:rPr>
        <w:t xml:space="preserve">, 2015 </w:t>
      </w:r>
      <w:r w:rsidR="005470E2" w:rsidRPr="006B0E4F">
        <w:rPr>
          <w:spacing w:val="-3"/>
        </w:rPr>
        <w:t xml:space="preserve">is </w:t>
      </w:r>
      <w:r w:rsidRPr="006B0E4F">
        <w:rPr>
          <w:spacing w:val="-3"/>
        </w:rPr>
        <w:t>hereby denied.</w:t>
      </w:r>
    </w:p>
    <w:p w:rsidR="00E96506" w:rsidRPr="006B0E4F" w:rsidRDefault="00E96506" w:rsidP="002A5872">
      <w:pPr>
        <w:tabs>
          <w:tab w:val="left" w:pos="-720"/>
        </w:tabs>
        <w:suppressAutoHyphens/>
        <w:autoSpaceDE/>
        <w:autoSpaceDN/>
        <w:spacing w:line="360" w:lineRule="auto"/>
        <w:rPr>
          <w:spacing w:val="-3"/>
        </w:rPr>
      </w:pPr>
    </w:p>
    <w:p w:rsidR="009011DC" w:rsidRPr="006B0E4F" w:rsidRDefault="00A82D94" w:rsidP="002A5872">
      <w:pPr>
        <w:numPr>
          <w:ilvl w:val="0"/>
          <w:numId w:val="24"/>
        </w:numPr>
        <w:tabs>
          <w:tab w:val="left" w:pos="-720"/>
        </w:tabs>
        <w:suppressAutoHyphens/>
        <w:spacing w:line="360" w:lineRule="auto"/>
        <w:ind w:left="0" w:firstLine="1440"/>
        <w:rPr>
          <w:spacing w:val="-3"/>
        </w:rPr>
      </w:pPr>
      <w:r w:rsidRPr="006B0E4F">
        <w:rPr>
          <w:spacing w:val="-3"/>
        </w:rPr>
        <w:t xml:space="preserve">That the formal </w:t>
      </w:r>
      <w:r w:rsidR="00D13B7D" w:rsidRPr="006B0E4F">
        <w:rPr>
          <w:spacing w:val="-3"/>
        </w:rPr>
        <w:t>c</w:t>
      </w:r>
      <w:r w:rsidRPr="006B0E4F">
        <w:rPr>
          <w:spacing w:val="-3"/>
        </w:rPr>
        <w:t xml:space="preserve">omplaint filed by </w:t>
      </w:r>
      <w:r w:rsidR="006B0E4F" w:rsidRPr="006B0E4F">
        <w:rPr>
          <w:spacing w:val="-3"/>
        </w:rPr>
        <w:t xml:space="preserve">Gary Anthony </w:t>
      </w:r>
      <w:proofErr w:type="spellStart"/>
      <w:r w:rsidR="006B0E4F" w:rsidRPr="006B0E4F">
        <w:rPr>
          <w:spacing w:val="-3"/>
        </w:rPr>
        <w:t>Stanko</w:t>
      </w:r>
      <w:proofErr w:type="spellEnd"/>
      <w:r w:rsidR="006B0E4F" w:rsidRPr="006B0E4F">
        <w:rPr>
          <w:spacing w:val="-3"/>
        </w:rPr>
        <w:t xml:space="preserve"> against the Pennsylvania American Water Company</w:t>
      </w:r>
      <w:r w:rsidR="006B0E4F">
        <w:rPr>
          <w:spacing w:val="-3"/>
        </w:rPr>
        <w:t xml:space="preserve"> </w:t>
      </w:r>
      <w:r w:rsidR="003642F4" w:rsidRPr="006B0E4F">
        <w:rPr>
          <w:spacing w:val="-3"/>
        </w:rPr>
        <w:t xml:space="preserve">will be heard in an </w:t>
      </w:r>
      <w:r w:rsidR="003642F4" w:rsidRPr="006B0E4F">
        <w:rPr>
          <w:rFonts w:eastAsiaTheme="minorEastAsia"/>
        </w:rPr>
        <w:t>Initial Hearing before an Administrative Law Judge</w:t>
      </w:r>
      <w:r w:rsidR="009011DC" w:rsidRPr="006B0E4F">
        <w:rPr>
          <w:spacing w:val="-3"/>
        </w:rPr>
        <w:t>.</w:t>
      </w:r>
    </w:p>
    <w:p w:rsidR="00860410" w:rsidRPr="006B0E4F" w:rsidRDefault="00860410" w:rsidP="002A5872">
      <w:pPr>
        <w:pStyle w:val="ListParagraph"/>
        <w:spacing w:line="360" w:lineRule="auto"/>
        <w:ind w:left="0"/>
      </w:pPr>
    </w:p>
    <w:p w:rsidR="00C773A3" w:rsidRDefault="00C773A3" w:rsidP="002A5872">
      <w:pPr>
        <w:spacing w:line="360" w:lineRule="auto"/>
      </w:pPr>
    </w:p>
    <w:p w:rsidR="00897507" w:rsidRPr="00AD5D5B" w:rsidRDefault="00444E27" w:rsidP="00897507">
      <w:pPr>
        <w:rPr>
          <w:u w:val="single"/>
        </w:rPr>
      </w:pPr>
      <w:r w:rsidRPr="00550B34">
        <w:t xml:space="preserve">Date: </w:t>
      </w:r>
      <w:r w:rsidR="00F07C2D">
        <w:rPr>
          <w:u w:val="single"/>
        </w:rPr>
        <w:t xml:space="preserve">December </w:t>
      </w:r>
      <w:r w:rsidR="002E4BFB">
        <w:rPr>
          <w:u w:val="single"/>
        </w:rPr>
        <w:t>1</w:t>
      </w:r>
      <w:r w:rsidR="004C2457">
        <w:rPr>
          <w:u w:val="single"/>
        </w:rPr>
        <w:t>,</w:t>
      </w:r>
      <w:r w:rsidR="00E41299">
        <w:rPr>
          <w:u w:val="single"/>
        </w:rPr>
        <w:t xml:space="preserve"> 2015</w:t>
      </w:r>
      <w:r w:rsidRPr="00550B34">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2327E6" w:rsidRDefault="00444E27" w:rsidP="00444E27">
      <w:pPr>
        <w:sectPr w:rsidR="002327E6" w:rsidSect="00F277CF">
          <w:footerReference w:type="default" r:id="rId9"/>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2327E6" w:rsidRDefault="002327E6" w:rsidP="002327E6">
      <w:pPr>
        <w:contextualSpacing/>
      </w:pPr>
      <w:r>
        <w:rPr>
          <w:rFonts w:ascii="Microsoft Sans Serif"/>
          <w:b/>
          <w:u w:val="single"/>
        </w:rPr>
        <w:lastRenderedPageBreak/>
        <w:t>C-2015-2505010 - GARY ANTHONY STANKO v. PENNSYLVANIA AMERICAN WATER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GARY ANTHONY STANKO</w:t>
      </w:r>
      <w:r>
        <w:rPr>
          <w:rFonts w:ascii="Microsoft Sans Serif"/>
        </w:rPr>
        <w:cr/>
        <w:t>4 SNEEZY RD</w:t>
      </w:r>
      <w:r>
        <w:rPr>
          <w:rFonts w:ascii="Microsoft Sans Serif"/>
        </w:rPr>
        <w:cr/>
        <w:t>MONONGAHELA PA  15063</w:t>
      </w:r>
      <w:r>
        <w:rPr>
          <w:rFonts w:ascii="Microsoft Sans Serif"/>
        </w:rPr>
        <w:cr/>
        <w:t>724.258.6882</w:t>
      </w:r>
      <w:r>
        <w:rPr>
          <w:rFonts w:ascii="Microsoft Sans Serif"/>
        </w:rPr>
        <w:cr/>
      </w:r>
    </w:p>
    <w:p w:rsidR="002327E6" w:rsidRPr="00FB00FC" w:rsidRDefault="002327E6" w:rsidP="002327E6">
      <w:pPr>
        <w:contextualSpacing/>
        <w:rPr>
          <w:b/>
          <w:i/>
          <w:u w:val="single"/>
        </w:rPr>
      </w:pPr>
      <w:r>
        <w:rPr>
          <w:rFonts w:ascii="Microsoft Sans Serif"/>
        </w:rP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r>
        <w:rPr>
          <w:rFonts w:ascii="Microsoft Sans Serif"/>
        </w:rPr>
        <w:cr/>
      </w:r>
      <w:r>
        <w:rPr>
          <w:rFonts w:ascii="Microsoft Sans Serif"/>
          <w:b/>
          <w:i/>
          <w:u w:val="single"/>
        </w:rPr>
        <w:t>-ACCEPTS ELECTRONIC SERVICE-</w:t>
      </w:r>
    </w:p>
    <w:p w:rsidR="00AD5D5B" w:rsidRDefault="00AD5D5B" w:rsidP="00444E27">
      <w:bookmarkStart w:id="0" w:name="_GoBack"/>
      <w:bookmarkEnd w:id="0"/>
    </w:p>
    <w:sectPr w:rsidR="00AD5D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2A9" w:rsidRDefault="001B22A9">
      <w:r>
        <w:separator/>
      </w:r>
    </w:p>
  </w:endnote>
  <w:endnote w:type="continuationSeparator" w:id="0">
    <w:p w:rsidR="001B22A9" w:rsidRDefault="001B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rPr>
    </w:sdtEndPr>
    <w:sdtContent>
      <w:p w:rsidR="00F277CF" w:rsidRDefault="00F277CF">
        <w:pPr>
          <w:pStyle w:val="Footer"/>
          <w:jc w:val="center"/>
        </w:pPr>
        <w:r w:rsidRPr="002327E6">
          <w:rPr>
            <w:sz w:val="20"/>
            <w:szCs w:val="20"/>
          </w:rPr>
          <w:fldChar w:fldCharType="begin"/>
        </w:r>
        <w:r w:rsidRPr="002327E6">
          <w:rPr>
            <w:sz w:val="20"/>
            <w:szCs w:val="20"/>
          </w:rPr>
          <w:instrText xml:space="preserve"> PAGE   \* MERGEFORMAT </w:instrText>
        </w:r>
        <w:r w:rsidRPr="002327E6">
          <w:rPr>
            <w:sz w:val="20"/>
            <w:szCs w:val="20"/>
          </w:rPr>
          <w:fldChar w:fldCharType="separate"/>
        </w:r>
        <w:r w:rsidR="002327E6">
          <w:rPr>
            <w:noProof/>
            <w:sz w:val="20"/>
            <w:szCs w:val="20"/>
          </w:rPr>
          <w:t>9</w:t>
        </w:r>
        <w:r w:rsidRPr="002327E6">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E6" w:rsidRDefault="002327E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2A9" w:rsidRDefault="001B22A9">
      <w:r>
        <w:separator/>
      </w:r>
    </w:p>
  </w:footnote>
  <w:footnote w:type="continuationSeparator" w:id="0">
    <w:p w:rsidR="001B22A9" w:rsidRDefault="001B2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22A9"/>
    <w:rsid w:val="001B596F"/>
    <w:rsid w:val="001B6119"/>
    <w:rsid w:val="001B7656"/>
    <w:rsid w:val="001C23B6"/>
    <w:rsid w:val="001C3077"/>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27E6"/>
    <w:rsid w:val="0023606A"/>
    <w:rsid w:val="002360E7"/>
    <w:rsid w:val="00240576"/>
    <w:rsid w:val="0024075E"/>
    <w:rsid w:val="0024311B"/>
    <w:rsid w:val="002508B3"/>
    <w:rsid w:val="00252F51"/>
    <w:rsid w:val="0025436A"/>
    <w:rsid w:val="00262D22"/>
    <w:rsid w:val="0026329B"/>
    <w:rsid w:val="002636A2"/>
    <w:rsid w:val="002637F5"/>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BFB"/>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2740"/>
    <w:rsid w:val="0056328E"/>
    <w:rsid w:val="005636C3"/>
    <w:rsid w:val="00564A1C"/>
    <w:rsid w:val="00565DDE"/>
    <w:rsid w:val="0056671B"/>
    <w:rsid w:val="00566D50"/>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1D67"/>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B0E4F"/>
    <w:rsid w:val="006C2690"/>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6BBA"/>
    <w:rsid w:val="007203E5"/>
    <w:rsid w:val="00722762"/>
    <w:rsid w:val="007228C9"/>
    <w:rsid w:val="00723CC9"/>
    <w:rsid w:val="00724ABE"/>
    <w:rsid w:val="00725338"/>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B135C"/>
    <w:rsid w:val="007B19DA"/>
    <w:rsid w:val="007B2C93"/>
    <w:rsid w:val="007B76C4"/>
    <w:rsid w:val="007B77F4"/>
    <w:rsid w:val="007C6559"/>
    <w:rsid w:val="007F19A5"/>
    <w:rsid w:val="007F24B0"/>
    <w:rsid w:val="007F2A67"/>
    <w:rsid w:val="007F2D04"/>
    <w:rsid w:val="007F2FFA"/>
    <w:rsid w:val="007F6BDD"/>
    <w:rsid w:val="007F6F2B"/>
    <w:rsid w:val="007F7EA4"/>
    <w:rsid w:val="00801014"/>
    <w:rsid w:val="008027C4"/>
    <w:rsid w:val="00802923"/>
    <w:rsid w:val="00804132"/>
    <w:rsid w:val="008044A3"/>
    <w:rsid w:val="008134CB"/>
    <w:rsid w:val="0081688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2423"/>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5B94"/>
    <w:rsid w:val="00B16B10"/>
    <w:rsid w:val="00B17D2D"/>
    <w:rsid w:val="00B17E29"/>
    <w:rsid w:val="00B22385"/>
    <w:rsid w:val="00B2251B"/>
    <w:rsid w:val="00B22579"/>
    <w:rsid w:val="00B25A1A"/>
    <w:rsid w:val="00B262EE"/>
    <w:rsid w:val="00B313AC"/>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396"/>
    <w:rsid w:val="00CA3B90"/>
    <w:rsid w:val="00CA4020"/>
    <w:rsid w:val="00CA666C"/>
    <w:rsid w:val="00CA73E2"/>
    <w:rsid w:val="00CB1772"/>
    <w:rsid w:val="00CB18E0"/>
    <w:rsid w:val="00CB4220"/>
    <w:rsid w:val="00CB42AB"/>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766A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17F"/>
    <w:rsid w:val="00E53794"/>
    <w:rsid w:val="00E53FAB"/>
    <w:rsid w:val="00E5528B"/>
    <w:rsid w:val="00E5593B"/>
    <w:rsid w:val="00E56ACE"/>
    <w:rsid w:val="00E576D6"/>
    <w:rsid w:val="00E63742"/>
    <w:rsid w:val="00E63F24"/>
    <w:rsid w:val="00E67635"/>
    <w:rsid w:val="00E70A61"/>
    <w:rsid w:val="00E74E8C"/>
    <w:rsid w:val="00E75057"/>
    <w:rsid w:val="00E77251"/>
    <w:rsid w:val="00E817EE"/>
    <w:rsid w:val="00E818B6"/>
    <w:rsid w:val="00E81B85"/>
    <w:rsid w:val="00E83487"/>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50F4"/>
    <w:rsid w:val="00F76819"/>
    <w:rsid w:val="00F77924"/>
    <w:rsid w:val="00F808F8"/>
    <w:rsid w:val="00F80EF4"/>
    <w:rsid w:val="00F81B45"/>
    <w:rsid w:val="00F824FC"/>
    <w:rsid w:val="00F84FB1"/>
    <w:rsid w:val="00F8616A"/>
    <w:rsid w:val="00F9081A"/>
    <w:rsid w:val="00F90A9D"/>
    <w:rsid w:val="00F91D36"/>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2E53-7350-4F08-8A24-37EC86D9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2771</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2015-11-23T19:14:00Z</cp:lastPrinted>
  <dcterms:created xsi:type="dcterms:W3CDTF">2015-12-02T16:57:00Z</dcterms:created>
  <dcterms:modified xsi:type="dcterms:W3CDTF">2015-12-02T17:00:00Z</dcterms:modified>
</cp:coreProperties>
</file>