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60" w:rsidRPr="00471AE4" w:rsidRDefault="00D8356A" w:rsidP="00D8356A">
      <w:pPr>
        <w:spacing w:line="240" w:lineRule="auto"/>
        <w:rPr>
          <w:b/>
        </w:rPr>
      </w:pPr>
      <w:r w:rsidRPr="00471AE4">
        <w:rPr>
          <w:b/>
        </w:rPr>
        <w:t>BEFORE THE</w:t>
      </w:r>
    </w:p>
    <w:p w:rsidR="00D8356A" w:rsidRPr="00471AE4" w:rsidRDefault="00D8356A" w:rsidP="00D8356A">
      <w:pPr>
        <w:spacing w:line="240" w:lineRule="auto"/>
        <w:rPr>
          <w:b/>
        </w:rPr>
      </w:pPr>
      <w:r w:rsidRPr="00471AE4">
        <w:rPr>
          <w:b/>
        </w:rPr>
        <w:t>PENNSYLVANIA PUBLIC UTILITY COMMISSION</w:t>
      </w:r>
    </w:p>
    <w:p w:rsidR="00D8356A" w:rsidRPr="00471AE4" w:rsidRDefault="00D8356A" w:rsidP="00D8356A">
      <w:pPr>
        <w:spacing w:line="240" w:lineRule="auto"/>
        <w:rPr>
          <w:b/>
        </w:rPr>
      </w:pPr>
    </w:p>
    <w:p w:rsidR="00D8356A" w:rsidRPr="00471AE4" w:rsidRDefault="00D8356A" w:rsidP="00D8356A">
      <w:pPr>
        <w:spacing w:line="240" w:lineRule="auto"/>
        <w:rPr>
          <w:b/>
        </w:rPr>
      </w:pPr>
    </w:p>
    <w:p w:rsidR="00F146B3" w:rsidRPr="00471AE4" w:rsidRDefault="00F146B3" w:rsidP="00D8356A">
      <w:pPr>
        <w:spacing w:line="240" w:lineRule="auto"/>
        <w:rPr>
          <w:b/>
        </w:rPr>
      </w:pPr>
    </w:p>
    <w:p w:rsidR="00D8356A" w:rsidRPr="00471AE4" w:rsidRDefault="00D8356A" w:rsidP="00D8356A">
      <w:pPr>
        <w:spacing w:line="240" w:lineRule="auto"/>
        <w:jc w:val="left"/>
      </w:pPr>
      <w:r w:rsidRPr="00471AE4">
        <w:t>John Donohoe</w:t>
      </w:r>
      <w:r w:rsidRPr="00471AE4">
        <w:tab/>
      </w:r>
      <w:r w:rsidRPr="00471AE4">
        <w:tab/>
      </w:r>
      <w:r w:rsidRPr="00471AE4">
        <w:tab/>
      </w:r>
      <w:r w:rsidRPr="00471AE4">
        <w:tab/>
      </w:r>
      <w:r w:rsidRPr="00471AE4">
        <w:tab/>
      </w:r>
      <w:r w:rsidRPr="00471AE4">
        <w:tab/>
        <w:t>:</w:t>
      </w:r>
    </w:p>
    <w:p w:rsidR="00D8356A" w:rsidRPr="00471AE4" w:rsidRDefault="00D8356A" w:rsidP="00D8356A">
      <w:pPr>
        <w:spacing w:line="240" w:lineRule="auto"/>
        <w:jc w:val="left"/>
      </w:pPr>
      <w:r w:rsidRPr="00471AE4">
        <w:tab/>
      </w:r>
      <w:r w:rsidRPr="00471AE4">
        <w:tab/>
      </w:r>
      <w:r w:rsidRPr="00471AE4">
        <w:tab/>
      </w:r>
      <w:r w:rsidRPr="00471AE4">
        <w:tab/>
      </w:r>
      <w:r w:rsidRPr="00471AE4">
        <w:tab/>
      </w:r>
      <w:r w:rsidRPr="00471AE4">
        <w:tab/>
      </w:r>
      <w:r w:rsidRPr="00471AE4">
        <w:tab/>
        <w:t>:</w:t>
      </w:r>
    </w:p>
    <w:p w:rsidR="00D8356A" w:rsidRPr="00471AE4" w:rsidRDefault="00D8356A" w:rsidP="00D8356A">
      <w:pPr>
        <w:spacing w:line="240" w:lineRule="auto"/>
        <w:jc w:val="left"/>
      </w:pPr>
      <w:r w:rsidRPr="00471AE4">
        <w:tab/>
        <w:t>v.</w:t>
      </w:r>
      <w:r w:rsidRPr="00471AE4">
        <w:tab/>
      </w:r>
      <w:r w:rsidRPr="00471AE4">
        <w:tab/>
      </w:r>
      <w:r w:rsidRPr="00471AE4">
        <w:tab/>
      </w:r>
      <w:r w:rsidRPr="00471AE4">
        <w:tab/>
      </w:r>
      <w:r w:rsidRPr="00471AE4">
        <w:tab/>
      </w:r>
      <w:r w:rsidRPr="00471AE4">
        <w:tab/>
        <w:t>:</w:t>
      </w:r>
      <w:r w:rsidRPr="00471AE4">
        <w:tab/>
      </w:r>
      <w:r w:rsidRPr="00471AE4">
        <w:tab/>
      </w:r>
      <w:r w:rsidRPr="00471AE4">
        <w:tab/>
        <w:t>C-2015-2502435</w:t>
      </w:r>
    </w:p>
    <w:p w:rsidR="00D8356A" w:rsidRPr="00471AE4" w:rsidRDefault="00D8356A" w:rsidP="00D8356A">
      <w:pPr>
        <w:spacing w:line="240" w:lineRule="auto"/>
        <w:jc w:val="left"/>
      </w:pPr>
      <w:r w:rsidRPr="00471AE4">
        <w:tab/>
      </w:r>
      <w:r w:rsidRPr="00471AE4">
        <w:tab/>
      </w:r>
      <w:r w:rsidRPr="00471AE4">
        <w:tab/>
      </w:r>
      <w:r w:rsidRPr="00471AE4">
        <w:tab/>
      </w:r>
      <w:r w:rsidRPr="00471AE4">
        <w:tab/>
      </w:r>
      <w:r w:rsidRPr="00471AE4">
        <w:tab/>
      </w:r>
      <w:r w:rsidRPr="00471AE4">
        <w:tab/>
        <w:t>:</w:t>
      </w:r>
    </w:p>
    <w:p w:rsidR="00D8356A" w:rsidRPr="00471AE4" w:rsidRDefault="00D8356A" w:rsidP="00D8356A">
      <w:pPr>
        <w:spacing w:line="240" w:lineRule="auto"/>
        <w:jc w:val="left"/>
      </w:pPr>
      <w:r w:rsidRPr="00471AE4">
        <w:t>Philadelphia Gas Works</w:t>
      </w:r>
      <w:r w:rsidRPr="00471AE4">
        <w:tab/>
      </w:r>
      <w:r w:rsidRPr="00471AE4">
        <w:tab/>
      </w:r>
      <w:r w:rsidRPr="00471AE4">
        <w:tab/>
      </w:r>
      <w:r w:rsidRPr="00471AE4">
        <w:tab/>
        <w:t>:</w:t>
      </w:r>
    </w:p>
    <w:p w:rsidR="00D8356A" w:rsidRPr="00471AE4" w:rsidRDefault="00D8356A" w:rsidP="00D8356A">
      <w:pPr>
        <w:spacing w:line="240" w:lineRule="auto"/>
        <w:jc w:val="left"/>
      </w:pPr>
    </w:p>
    <w:p w:rsidR="00D8356A" w:rsidRPr="00471AE4" w:rsidRDefault="00D8356A" w:rsidP="00D8356A">
      <w:pPr>
        <w:spacing w:line="240" w:lineRule="auto"/>
        <w:jc w:val="left"/>
      </w:pPr>
    </w:p>
    <w:p w:rsidR="00F146B3" w:rsidRPr="00471AE4" w:rsidRDefault="00F146B3" w:rsidP="00D8356A">
      <w:pPr>
        <w:spacing w:line="240" w:lineRule="auto"/>
        <w:jc w:val="left"/>
      </w:pPr>
    </w:p>
    <w:p w:rsidR="00D8356A" w:rsidRPr="00471AE4" w:rsidRDefault="00D8356A" w:rsidP="00D8356A">
      <w:pPr>
        <w:spacing w:line="240" w:lineRule="auto"/>
        <w:rPr>
          <w:b/>
          <w:u w:val="single"/>
        </w:rPr>
      </w:pPr>
      <w:r w:rsidRPr="00471AE4">
        <w:rPr>
          <w:b/>
          <w:u w:val="single"/>
        </w:rPr>
        <w:t>INITIAL DECISION</w:t>
      </w:r>
    </w:p>
    <w:p w:rsidR="00D8356A" w:rsidRPr="00471AE4" w:rsidRDefault="00D8356A" w:rsidP="00D8356A">
      <w:pPr>
        <w:spacing w:line="240" w:lineRule="auto"/>
        <w:rPr>
          <w:b/>
          <w:u w:val="single"/>
        </w:rPr>
      </w:pPr>
    </w:p>
    <w:p w:rsidR="00D8356A" w:rsidRPr="00471AE4" w:rsidRDefault="00D8356A" w:rsidP="00D8356A">
      <w:pPr>
        <w:spacing w:line="240" w:lineRule="auto"/>
        <w:rPr>
          <w:b/>
          <w:u w:val="single"/>
        </w:rPr>
      </w:pPr>
    </w:p>
    <w:p w:rsidR="00D8356A" w:rsidRPr="00471AE4" w:rsidRDefault="00D8356A" w:rsidP="00D8356A">
      <w:pPr>
        <w:spacing w:line="240" w:lineRule="auto"/>
      </w:pPr>
      <w:r w:rsidRPr="00471AE4">
        <w:t xml:space="preserve">Before </w:t>
      </w:r>
    </w:p>
    <w:p w:rsidR="00D8356A" w:rsidRPr="00471AE4" w:rsidRDefault="00D8356A" w:rsidP="00D8356A">
      <w:pPr>
        <w:spacing w:line="240" w:lineRule="auto"/>
      </w:pPr>
      <w:r w:rsidRPr="00471AE4">
        <w:t>Susan D. Colwell</w:t>
      </w:r>
    </w:p>
    <w:p w:rsidR="00D8356A" w:rsidRPr="00471AE4" w:rsidRDefault="00D8356A" w:rsidP="00D8356A">
      <w:pPr>
        <w:spacing w:line="240" w:lineRule="auto"/>
      </w:pPr>
      <w:r w:rsidRPr="00471AE4">
        <w:t>Administrative Law Judge</w:t>
      </w:r>
    </w:p>
    <w:p w:rsidR="00D8356A" w:rsidRPr="00471AE4" w:rsidRDefault="00D8356A" w:rsidP="00D8356A">
      <w:pPr>
        <w:spacing w:line="240" w:lineRule="auto"/>
      </w:pPr>
      <w:bookmarkStart w:id="0" w:name="_GoBack"/>
      <w:bookmarkEnd w:id="0"/>
    </w:p>
    <w:p w:rsidR="00D8356A" w:rsidRPr="00471AE4" w:rsidRDefault="00D8356A" w:rsidP="00D8356A">
      <w:pPr>
        <w:spacing w:line="240" w:lineRule="auto"/>
      </w:pPr>
    </w:p>
    <w:p w:rsidR="00D8356A" w:rsidRPr="00471AE4" w:rsidRDefault="00D8356A" w:rsidP="00D8356A">
      <w:pPr>
        <w:spacing w:line="240" w:lineRule="auto"/>
        <w:rPr>
          <w:u w:val="single"/>
        </w:rPr>
      </w:pPr>
      <w:r w:rsidRPr="00471AE4">
        <w:rPr>
          <w:u w:val="single"/>
        </w:rPr>
        <w:t>INTRODUCTION</w:t>
      </w:r>
    </w:p>
    <w:p w:rsidR="00D8356A" w:rsidRPr="00471AE4" w:rsidRDefault="00D8356A" w:rsidP="00D8356A">
      <w:pPr>
        <w:spacing w:line="240" w:lineRule="auto"/>
        <w:rPr>
          <w:u w:val="single"/>
        </w:rPr>
      </w:pPr>
    </w:p>
    <w:p w:rsidR="00F146B3" w:rsidRPr="00471AE4" w:rsidRDefault="00F146B3" w:rsidP="00D8356A">
      <w:pPr>
        <w:spacing w:line="240" w:lineRule="auto"/>
        <w:rPr>
          <w:u w:val="single"/>
        </w:rPr>
      </w:pPr>
    </w:p>
    <w:p w:rsidR="00D8356A" w:rsidRPr="00471AE4" w:rsidRDefault="004F1F58" w:rsidP="004F1F58">
      <w:pPr>
        <w:jc w:val="left"/>
      </w:pPr>
      <w:r w:rsidRPr="00471AE4">
        <w:tab/>
      </w:r>
      <w:r w:rsidRPr="00471AE4">
        <w:tab/>
        <w:t xml:space="preserve">This Initial Decision grants a motion for summary judgment and dismisses a formal complaint because its subject matter is the same as a prior docket which was terminated by an </w:t>
      </w:r>
      <w:proofErr w:type="spellStart"/>
      <w:r w:rsidRPr="00471AE4">
        <w:t>unobjected</w:t>
      </w:r>
      <w:proofErr w:type="spellEnd"/>
      <w:r w:rsidRPr="00471AE4">
        <w:t xml:space="preserve"> to certificate of satisfaction.</w:t>
      </w:r>
    </w:p>
    <w:p w:rsidR="00F146B3" w:rsidRPr="00471AE4" w:rsidRDefault="00F146B3" w:rsidP="00F146B3">
      <w:pPr>
        <w:spacing w:line="240" w:lineRule="auto"/>
      </w:pPr>
    </w:p>
    <w:p w:rsidR="00D8356A" w:rsidRPr="00471AE4" w:rsidRDefault="00D8356A" w:rsidP="00F146B3">
      <w:pPr>
        <w:spacing w:line="240" w:lineRule="auto"/>
        <w:rPr>
          <w:u w:val="single"/>
        </w:rPr>
      </w:pPr>
    </w:p>
    <w:p w:rsidR="00D8356A" w:rsidRPr="00471AE4" w:rsidRDefault="00D8356A" w:rsidP="00D8356A">
      <w:pPr>
        <w:spacing w:line="240" w:lineRule="auto"/>
        <w:rPr>
          <w:u w:val="single"/>
        </w:rPr>
      </w:pPr>
      <w:r w:rsidRPr="00471AE4">
        <w:rPr>
          <w:u w:val="single"/>
        </w:rPr>
        <w:t>HISTORY OF THE PROCEEDINGS</w:t>
      </w:r>
    </w:p>
    <w:p w:rsidR="00D8356A" w:rsidRPr="00471AE4" w:rsidRDefault="00D8356A" w:rsidP="00F146B3">
      <w:pPr>
        <w:rPr>
          <w:u w:val="single"/>
        </w:rPr>
      </w:pPr>
    </w:p>
    <w:p w:rsidR="00D8356A" w:rsidRPr="00471AE4" w:rsidRDefault="00D8356A" w:rsidP="00D8356A">
      <w:pPr>
        <w:jc w:val="left"/>
      </w:pPr>
      <w:r w:rsidRPr="00471AE4">
        <w:tab/>
      </w:r>
      <w:r w:rsidRPr="00471AE4">
        <w:tab/>
        <w:t xml:space="preserve">On September 3, 2015, John Donohoe (Complainant) filed a formal Complaint against Philadelphia Gas Works (PGW or utility or Respondent) wherein he checked off the boxes which indicate that the utility is threatening to shut off his service and that he would like a payment arrangement.  </w:t>
      </w:r>
    </w:p>
    <w:p w:rsidR="00DD42CF" w:rsidRPr="00471AE4" w:rsidRDefault="00DD42CF" w:rsidP="00D8356A">
      <w:pPr>
        <w:jc w:val="left"/>
      </w:pPr>
    </w:p>
    <w:p w:rsidR="004F1F58" w:rsidRPr="00471AE4" w:rsidRDefault="00DD42CF" w:rsidP="00DD42CF">
      <w:pPr>
        <w:jc w:val="left"/>
      </w:pPr>
      <w:r w:rsidRPr="00471AE4">
        <w:tab/>
      </w:r>
      <w:r w:rsidRPr="00471AE4">
        <w:tab/>
      </w:r>
      <w:r w:rsidR="00136784" w:rsidRPr="00471AE4">
        <w:t>According to the electronic audit history of the docket, o</w:t>
      </w:r>
      <w:r w:rsidRPr="00471AE4">
        <w:t xml:space="preserve">n September 8, 2015, the Complaint was served electronically by the Commission's Secretary under the Waiver of Section 702 program, under which the utility respondent waives the service requirements in 66 Pa.C.S. </w:t>
      </w:r>
    </w:p>
    <w:p w:rsidR="00DD42CF" w:rsidRPr="00471AE4" w:rsidRDefault="00DD42CF" w:rsidP="00DD42CF">
      <w:pPr>
        <w:jc w:val="left"/>
      </w:pPr>
      <w:r w:rsidRPr="00471AE4">
        <w:t>§ 702.</w:t>
      </w:r>
    </w:p>
    <w:p w:rsidR="00DD42CF" w:rsidRPr="00471AE4" w:rsidRDefault="00DD42CF" w:rsidP="00DD42CF">
      <w:pPr>
        <w:jc w:val="left"/>
      </w:pPr>
    </w:p>
    <w:p w:rsidR="00F61B54" w:rsidRPr="00471AE4" w:rsidRDefault="00DD42CF" w:rsidP="00DD42CF">
      <w:pPr>
        <w:jc w:val="left"/>
      </w:pPr>
      <w:r w:rsidRPr="00471AE4">
        <w:tab/>
      </w:r>
      <w:r w:rsidRPr="00471AE4">
        <w:tab/>
        <w:t>On September 29, 2015, PGW filed its Answer and New Matter as well as its Motion for Summary Judgment</w:t>
      </w:r>
      <w:r w:rsidRPr="00471AE4">
        <w:rPr>
          <w:rStyle w:val="FootnoteReference"/>
        </w:rPr>
        <w:footnoteReference w:id="1"/>
      </w:r>
      <w:r w:rsidRPr="00471AE4">
        <w:t xml:space="preserve">.  The Answer states that on November 17, 2014, Complainant filed a formal Complaint at Docket No. </w:t>
      </w:r>
      <w:proofErr w:type="gramStart"/>
      <w:r w:rsidRPr="00471AE4">
        <w:t>F-2014-2453444 see</w:t>
      </w:r>
      <w:r w:rsidR="00287861" w:rsidRPr="00471AE4">
        <w:t>k</w:t>
      </w:r>
      <w:r w:rsidRPr="00471AE4">
        <w:t>ing a payment arrangement</w:t>
      </w:r>
      <w:r w:rsidR="00911505" w:rsidRPr="00471AE4">
        <w:t>.</w:t>
      </w:r>
      <w:proofErr w:type="gramEnd"/>
      <w:r w:rsidR="00911505" w:rsidRPr="00471AE4">
        <w:t xml:space="preserve">  This 2014 docket was settled by a certificate of satisfaction filed March 11, 2015, which provided for an initial payment of $1,503.96 by March 18, 2015 and a $179 budget plus $250 towards arrears each month for 12 months</w:t>
      </w:r>
      <w:r w:rsidR="00A721EE" w:rsidRPr="00471AE4">
        <w:t>.  No objection was filed to the certificate of satisfaction.  Thereafter, Complainant paid $504 on March 18, 2015</w:t>
      </w:r>
      <w:r w:rsidR="00F61B54" w:rsidRPr="00471AE4">
        <w:t xml:space="preserve">.  New Matter alleges that there was another payment on April 22, 2015, this time for $750, and </w:t>
      </w:r>
      <w:r w:rsidR="00A721EE" w:rsidRPr="00471AE4">
        <w:t>then</w:t>
      </w:r>
      <w:r w:rsidR="00F61B54" w:rsidRPr="00471AE4">
        <w:t xml:space="preserve"> on September 3, 2015, Complainant filed the instant Complaint.  This Complaint asks for a payment agreement on the same balance already settled in the prior docket.</w:t>
      </w:r>
    </w:p>
    <w:p w:rsidR="00F61B54" w:rsidRPr="00471AE4" w:rsidRDefault="00F61B54" w:rsidP="00DD42CF">
      <w:pPr>
        <w:jc w:val="left"/>
      </w:pPr>
    </w:p>
    <w:p w:rsidR="00F61B54" w:rsidRPr="00471AE4" w:rsidRDefault="00F61B54" w:rsidP="00DD42CF">
      <w:pPr>
        <w:jc w:val="left"/>
      </w:pPr>
      <w:r w:rsidRPr="00471AE4">
        <w:tab/>
      </w:r>
      <w:r w:rsidRPr="00471AE4">
        <w:tab/>
        <w:t>The Motion for Summary Judgment was filed with the Answer and New Matter, stating the same information as New Matter and asking that the Complaint be dismissed.</w:t>
      </w:r>
    </w:p>
    <w:p w:rsidR="00F61B54" w:rsidRPr="00471AE4" w:rsidRDefault="00F61B54" w:rsidP="00DD42CF">
      <w:pPr>
        <w:jc w:val="left"/>
      </w:pPr>
    </w:p>
    <w:p w:rsidR="00F61B54" w:rsidRPr="00471AE4" w:rsidRDefault="00F61B54" w:rsidP="00DD42CF">
      <w:pPr>
        <w:jc w:val="left"/>
      </w:pPr>
      <w:r w:rsidRPr="00471AE4">
        <w:tab/>
      </w:r>
      <w:r w:rsidRPr="00471AE4">
        <w:tab/>
        <w:t>The time for filing a response to both New Matter and the Motion for Summary Judgment has run, and no response has been filed.  Accordingly, the Motion for Summary Judgment is ready for decision.</w:t>
      </w:r>
    </w:p>
    <w:p w:rsidR="00F61B54" w:rsidRPr="00471AE4" w:rsidRDefault="00F61B54" w:rsidP="00DD42CF">
      <w:pPr>
        <w:jc w:val="left"/>
      </w:pPr>
    </w:p>
    <w:p w:rsidR="00F61B54" w:rsidRPr="00471AE4" w:rsidRDefault="00F61B54" w:rsidP="00F61B54">
      <w:pPr>
        <w:rPr>
          <w:u w:val="single"/>
        </w:rPr>
      </w:pPr>
      <w:r w:rsidRPr="00471AE4">
        <w:rPr>
          <w:u w:val="single"/>
        </w:rPr>
        <w:t>FINDINGS OF FACT</w:t>
      </w:r>
    </w:p>
    <w:p w:rsidR="00F61B54" w:rsidRPr="00471AE4" w:rsidRDefault="00F61B54" w:rsidP="00F146B3">
      <w:pPr>
        <w:jc w:val="left"/>
      </w:pPr>
    </w:p>
    <w:p w:rsidR="00F61B54" w:rsidRPr="00471AE4" w:rsidRDefault="00F61B54" w:rsidP="00F146B3">
      <w:pPr>
        <w:jc w:val="left"/>
      </w:pPr>
      <w:r w:rsidRPr="00471AE4">
        <w:tab/>
      </w:r>
      <w:r w:rsidRPr="00471AE4">
        <w:tab/>
        <w:t>1.</w:t>
      </w:r>
      <w:r w:rsidRPr="00471AE4">
        <w:tab/>
        <w:t>Complainant is Joh</w:t>
      </w:r>
      <w:r w:rsidR="0027765D" w:rsidRPr="00471AE4">
        <w:t>n</w:t>
      </w:r>
      <w:r w:rsidRPr="00471AE4">
        <w:t xml:space="preserve"> Donohoe, 9215 </w:t>
      </w:r>
      <w:proofErr w:type="spellStart"/>
      <w:r w:rsidRPr="00471AE4">
        <w:t>Hegerman</w:t>
      </w:r>
      <w:proofErr w:type="spellEnd"/>
      <w:r w:rsidRPr="00471AE4">
        <w:t xml:space="preserve"> Street, Philadelphia PA 19114.</w:t>
      </w:r>
    </w:p>
    <w:p w:rsidR="00F61B54" w:rsidRPr="00471AE4" w:rsidRDefault="00F61B54" w:rsidP="00F146B3">
      <w:pPr>
        <w:jc w:val="left"/>
      </w:pPr>
    </w:p>
    <w:p w:rsidR="00F61B54" w:rsidRPr="00471AE4" w:rsidRDefault="00F61B54" w:rsidP="00F146B3">
      <w:pPr>
        <w:jc w:val="left"/>
      </w:pPr>
      <w:r w:rsidRPr="00471AE4">
        <w:tab/>
      </w:r>
      <w:r w:rsidRPr="00471AE4">
        <w:tab/>
        <w:t>2.</w:t>
      </w:r>
      <w:r w:rsidRPr="00471AE4">
        <w:tab/>
        <w:t>Respondent is Philadelphia Gas Works, a jurisdictional public utility providing gas distribution service in the Commonwealth of Pennsylvania.</w:t>
      </w:r>
    </w:p>
    <w:p w:rsidR="00F61B54" w:rsidRPr="00471AE4" w:rsidRDefault="00F61B54" w:rsidP="00F146B3">
      <w:pPr>
        <w:jc w:val="left"/>
      </w:pPr>
    </w:p>
    <w:p w:rsidR="00F61B54" w:rsidRPr="00471AE4" w:rsidRDefault="00F61B54" w:rsidP="00F146B3">
      <w:pPr>
        <w:jc w:val="left"/>
      </w:pPr>
      <w:r w:rsidRPr="00471AE4">
        <w:tab/>
      </w:r>
      <w:r w:rsidRPr="00471AE4">
        <w:tab/>
        <w:t>3.</w:t>
      </w:r>
      <w:r w:rsidRPr="00471AE4">
        <w:tab/>
      </w:r>
      <w:r w:rsidR="00040CAB" w:rsidRPr="00471AE4">
        <w:t xml:space="preserve">On November 6, 2014, Complainant filed a formal complaint at Docket No. </w:t>
      </w:r>
      <w:proofErr w:type="gramStart"/>
      <w:r w:rsidR="00040CAB" w:rsidRPr="00471AE4">
        <w:t>F-2014-2453444.</w:t>
      </w:r>
      <w:proofErr w:type="gramEnd"/>
    </w:p>
    <w:p w:rsidR="00F61B54" w:rsidRPr="00471AE4" w:rsidRDefault="00F61B54" w:rsidP="00DD42CF">
      <w:pPr>
        <w:jc w:val="left"/>
      </w:pPr>
    </w:p>
    <w:p w:rsidR="00201174" w:rsidRPr="00471AE4" w:rsidRDefault="00F61B54" w:rsidP="00DD42CF">
      <w:pPr>
        <w:jc w:val="left"/>
      </w:pPr>
      <w:r w:rsidRPr="00471AE4">
        <w:tab/>
      </w:r>
      <w:r w:rsidRPr="00471AE4">
        <w:tab/>
      </w:r>
      <w:r w:rsidR="00215C10" w:rsidRPr="00471AE4">
        <w:t>4.</w:t>
      </w:r>
      <w:r w:rsidR="00215C10" w:rsidRPr="00471AE4">
        <w:tab/>
        <w:t xml:space="preserve">On September 29, 2015, PGW filed its Answer and New Matter as well as its Motion for Summary Judgment.  </w:t>
      </w:r>
      <w:r w:rsidR="00A721EE" w:rsidRPr="00471AE4">
        <w:t xml:space="preserve"> </w:t>
      </w:r>
    </w:p>
    <w:p w:rsidR="00215C10" w:rsidRPr="00471AE4" w:rsidRDefault="00215C10" w:rsidP="00DD42CF">
      <w:pPr>
        <w:jc w:val="left"/>
      </w:pPr>
    </w:p>
    <w:p w:rsidR="00215C10" w:rsidRPr="00471AE4" w:rsidRDefault="00215C10" w:rsidP="00DD42CF">
      <w:pPr>
        <w:jc w:val="left"/>
      </w:pPr>
      <w:r w:rsidRPr="00471AE4">
        <w:tab/>
      </w:r>
      <w:r w:rsidRPr="00471AE4">
        <w:tab/>
        <w:t>5.</w:t>
      </w:r>
      <w:r w:rsidRPr="00471AE4">
        <w:tab/>
        <w:t>The time for filing a response to both New Matter and the Motion for Summary Judgment has run, and no response has been filed.</w:t>
      </w:r>
    </w:p>
    <w:p w:rsidR="00215C10" w:rsidRPr="00471AE4" w:rsidRDefault="00215C10" w:rsidP="00DD42CF">
      <w:pPr>
        <w:jc w:val="left"/>
      </w:pPr>
    </w:p>
    <w:p w:rsidR="00215C10" w:rsidRPr="00471AE4" w:rsidRDefault="00215C10" w:rsidP="00DD42CF">
      <w:pPr>
        <w:jc w:val="left"/>
      </w:pPr>
      <w:r w:rsidRPr="00471AE4">
        <w:tab/>
      </w:r>
      <w:r w:rsidRPr="00471AE4">
        <w:tab/>
        <w:t>6.</w:t>
      </w:r>
      <w:r w:rsidRPr="00471AE4">
        <w:tab/>
      </w:r>
      <w:r w:rsidR="00671AAB" w:rsidRPr="00471AE4">
        <w:t xml:space="preserve">Complainant's bills are based on actual usage.  </w:t>
      </w:r>
      <w:proofErr w:type="gramStart"/>
      <w:r w:rsidR="00671AAB" w:rsidRPr="00471AE4">
        <w:t>NM ¶10.</w:t>
      </w:r>
      <w:proofErr w:type="gramEnd"/>
    </w:p>
    <w:p w:rsidR="00671AAB" w:rsidRPr="00471AE4" w:rsidRDefault="00671AAB" w:rsidP="00DD42CF">
      <w:pPr>
        <w:jc w:val="left"/>
      </w:pPr>
    </w:p>
    <w:p w:rsidR="00671AAB" w:rsidRPr="00471AE4" w:rsidRDefault="00671AAB" w:rsidP="00DD42CF">
      <w:pPr>
        <w:jc w:val="left"/>
      </w:pPr>
      <w:r w:rsidRPr="00471AE4">
        <w:tab/>
      </w:r>
      <w:r w:rsidRPr="00471AE4">
        <w:tab/>
        <w:t>7.</w:t>
      </w:r>
      <w:r w:rsidRPr="00471AE4">
        <w:tab/>
        <w:t xml:space="preserve">On November 17, 2014, Complainant filed a formal complaint at Docket No. </w:t>
      </w:r>
      <w:proofErr w:type="gramStart"/>
      <w:r w:rsidRPr="00471AE4">
        <w:t>F-2014-2453444 seeking a payment arrangement.</w:t>
      </w:r>
      <w:proofErr w:type="gramEnd"/>
      <w:r w:rsidRPr="00471AE4">
        <w:t xml:space="preserve">  </w:t>
      </w:r>
      <w:proofErr w:type="gramStart"/>
      <w:r w:rsidRPr="00471AE4">
        <w:t>NM ¶11.</w:t>
      </w:r>
      <w:proofErr w:type="gramEnd"/>
    </w:p>
    <w:p w:rsidR="00671AAB" w:rsidRPr="00471AE4" w:rsidRDefault="00671AAB" w:rsidP="00DD42CF">
      <w:pPr>
        <w:jc w:val="left"/>
      </w:pPr>
    </w:p>
    <w:p w:rsidR="00671AAB" w:rsidRPr="00471AE4" w:rsidRDefault="00671AAB" w:rsidP="00DD42CF">
      <w:pPr>
        <w:jc w:val="left"/>
      </w:pPr>
      <w:r w:rsidRPr="00471AE4">
        <w:tab/>
      </w:r>
      <w:r w:rsidRPr="00471AE4">
        <w:tab/>
        <w:t>8.</w:t>
      </w:r>
      <w:r w:rsidRPr="00471AE4">
        <w:tab/>
        <w:t xml:space="preserve">On March 11, 2015, Complainant and PGW settled the formal complaint at Docket No. </w:t>
      </w:r>
      <w:proofErr w:type="gramStart"/>
      <w:r w:rsidRPr="00471AE4">
        <w:t>F-2014-2453444 providing that Complainant would pay $1,503.96 by March 18, 2015, and then would pay a $179 budget plus $250 towards arrears for 12 months.</w:t>
      </w:r>
      <w:proofErr w:type="gramEnd"/>
      <w:r w:rsidRPr="00471AE4">
        <w:t xml:space="preserve">  </w:t>
      </w:r>
      <w:proofErr w:type="gramStart"/>
      <w:r w:rsidRPr="00471AE4">
        <w:t>NM ¶12.</w:t>
      </w:r>
      <w:proofErr w:type="gramEnd"/>
    </w:p>
    <w:p w:rsidR="00671AAB" w:rsidRPr="00471AE4" w:rsidRDefault="00671AAB" w:rsidP="00DD42CF">
      <w:pPr>
        <w:jc w:val="left"/>
      </w:pPr>
    </w:p>
    <w:p w:rsidR="00671AAB" w:rsidRPr="00471AE4" w:rsidRDefault="00671AAB" w:rsidP="00DD42CF">
      <w:pPr>
        <w:jc w:val="left"/>
      </w:pPr>
      <w:r w:rsidRPr="00471AE4">
        <w:tab/>
      </w:r>
      <w:r w:rsidRPr="00471AE4">
        <w:tab/>
        <w:t>9.</w:t>
      </w:r>
      <w:r w:rsidRPr="00471AE4">
        <w:tab/>
        <w:t xml:space="preserve">On March 11, 2015, PGW filed a certificate of satisfaction in Docket No. </w:t>
      </w:r>
      <w:proofErr w:type="gramStart"/>
      <w:r w:rsidRPr="00471AE4">
        <w:t>F-2014-2453444,</w:t>
      </w:r>
      <w:proofErr w:type="gramEnd"/>
      <w:r w:rsidRPr="00471AE4">
        <w:t xml:space="preserve"> and a copy was sent to Complainant.  </w:t>
      </w:r>
      <w:proofErr w:type="gramStart"/>
      <w:r w:rsidRPr="00471AE4">
        <w:t>NM ¶13.</w:t>
      </w:r>
      <w:proofErr w:type="gramEnd"/>
    </w:p>
    <w:p w:rsidR="00671AAB" w:rsidRPr="00471AE4" w:rsidRDefault="00671AAB" w:rsidP="00DD42CF">
      <w:pPr>
        <w:jc w:val="left"/>
      </w:pPr>
    </w:p>
    <w:p w:rsidR="00671AAB" w:rsidRPr="00471AE4" w:rsidRDefault="00671AAB" w:rsidP="00DD42CF">
      <w:pPr>
        <w:jc w:val="left"/>
      </w:pPr>
      <w:r w:rsidRPr="00471AE4">
        <w:tab/>
      </w:r>
      <w:r w:rsidRPr="00471AE4">
        <w:tab/>
        <w:t>10.</w:t>
      </w:r>
      <w:r w:rsidRPr="00471AE4">
        <w:tab/>
        <w:t xml:space="preserve">Complainant did not object to the certificate of satisfaction within the 10-day period allowed.  </w:t>
      </w:r>
      <w:proofErr w:type="gramStart"/>
      <w:r w:rsidRPr="00471AE4">
        <w:t>NM ¶14.</w:t>
      </w:r>
      <w:proofErr w:type="gramEnd"/>
    </w:p>
    <w:p w:rsidR="00671AAB" w:rsidRPr="00471AE4" w:rsidRDefault="00671AAB" w:rsidP="00DD42CF">
      <w:pPr>
        <w:jc w:val="left"/>
      </w:pPr>
    </w:p>
    <w:p w:rsidR="00671AAB" w:rsidRPr="00471AE4" w:rsidRDefault="00671AAB" w:rsidP="00DD42CF">
      <w:pPr>
        <w:jc w:val="left"/>
      </w:pPr>
      <w:r w:rsidRPr="00471AE4">
        <w:tab/>
      </w:r>
      <w:r w:rsidRPr="00471AE4">
        <w:tab/>
        <w:t>11.</w:t>
      </w:r>
      <w:r w:rsidRPr="00471AE4">
        <w:tab/>
        <w:t xml:space="preserve">On March 18, 2015, Complainant paid $504.  </w:t>
      </w:r>
      <w:proofErr w:type="gramStart"/>
      <w:r w:rsidRPr="00471AE4">
        <w:t>NM ¶16.</w:t>
      </w:r>
      <w:proofErr w:type="gramEnd"/>
    </w:p>
    <w:p w:rsidR="00671AAB" w:rsidRPr="00471AE4" w:rsidRDefault="00671AAB" w:rsidP="00DD42CF">
      <w:pPr>
        <w:jc w:val="left"/>
      </w:pPr>
    </w:p>
    <w:p w:rsidR="00671AAB" w:rsidRPr="00471AE4" w:rsidRDefault="00671AAB" w:rsidP="00DD42CF">
      <w:pPr>
        <w:jc w:val="left"/>
      </w:pPr>
      <w:r w:rsidRPr="00471AE4">
        <w:tab/>
      </w:r>
      <w:r w:rsidRPr="00471AE4">
        <w:tab/>
        <w:t>12.</w:t>
      </w:r>
      <w:r w:rsidRPr="00471AE4">
        <w:tab/>
        <w:t xml:space="preserve">On April 22, 2015, Complainant paid $750.  </w:t>
      </w:r>
      <w:proofErr w:type="gramStart"/>
      <w:r w:rsidRPr="00471AE4">
        <w:t>NM ¶17.</w:t>
      </w:r>
      <w:proofErr w:type="gramEnd"/>
    </w:p>
    <w:p w:rsidR="00671AAB" w:rsidRPr="00471AE4" w:rsidRDefault="00671AAB" w:rsidP="00DD42CF">
      <w:pPr>
        <w:jc w:val="left"/>
      </w:pPr>
    </w:p>
    <w:p w:rsidR="00671AAB" w:rsidRPr="00471AE4" w:rsidRDefault="00671AAB" w:rsidP="00DD42CF">
      <w:pPr>
        <w:jc w:val="left"/>
      </w:pPr>
      <w:r w:rsidRPr="00471AE4">
        <w:tab/>
      </w:r>
      <w:r w:rsidRPr="00471AE4">
        <w:tab/>
        <w:t>13.</w:t>
      </w:r>
      <w:r w:rsidRPr="00471AE4">
        <w:tab/>
        <w:t xml:space="preserve">On September 3, 2014, Complainant filed </w:t>
      </w:r>
      <w:r w:rsidR="003D64B6" w:rsidRPr="00471AE4">
        <w:t xml:space="preserve">this formal Complaint at Docket No. </w:t>
      </w:r>
      <w:proofErr w:type="gramStart"/>
      <w:r w:rsidR="003D64B6" w:rsidRPr="00471AE4">
        <w:t>F-2015-2502435 seeking a payment arrangement on the same balance that was at issue under Docket No.</w:t>
      </w:r>
      <w:proofErr w:type="gramEnd"/>
      <w:r w:rsidR="003D64B6" w:rsidRPr="00471AE4">
        <w:t xml:space="preserve"> </w:t>
      </w:r>
      <w:proofErr w:type="gramStart"/>
      <w:r w:rsidR="003D64B6" w:rsidRPr="00471AE4">
        <w:t>F-2014-2453444.</w:t>
      </w:r>
      <w:proofErr w:type="gramEnd"/>
      <w:r w:rsidR="003D64B6" w:rsidRPr="00471AE4">
        <w:t xml:space="preserve">  </w:t>
      </w:r>
      <w:proofErr w:type="gramStart"/>
      <w:r w:rsidR="003D64B6" w:rsidRPr="00471AE4">
        <w:t>NM ¶20.</w:t>
      </w:r>
      <w:proofErr w:type="gramEnd"/>
      <w:r w:rsidR="003D64B6" w:rsidRPr="00471AE4">
        <w:t xml:space="preserve">  </w:t>
      </w:r>
    </w:p>
    <w:p w:rsidR="00F146B3" w:rsidRPr="00471AE4" w:rsidRDefault="00F146B3" w:rsidP="00DD42CF">
      <w:pPr>
        <w:jc w:val="left"/>
      </w:pPr>
      <w:r w:rsidRPr="00471AE4">
        <w:br w:type="page"/>
      </w:r>
    </w:p>
    <w:p w:rsidR="00215C10" w:rsidRPr="00471AE4" w:rsidRDefault="00215C10" w:rsidP="00DD42CF">
      <w:pPr>
        <w:jc w:val="left"/>
      </w:pPr>
    </w:p>
    <w:p w:rsidR="00A721EE" w:rsidRPr="00471AE4" w:rsidRDefault="00215C10" w:rsidP="00215C10">
      <w:pPr>
        <w:rPr>
          <w:rFonts w:ascii="Verdana" w:hAnsi="Verdana"/>
          <w:sz w:val="20"/>
          <w:szCs w:val="20"/>
        </w:rPr>
      </w:pPr>
      <w:r w:rsidRPr="00471AE4">
        <w:rPr>
          <w:u w:val="single"/>
        </w:rPr>
        <w:t>DISCUSSION</w:t>
      </w:r>
    </w:p>
    <w:p w:rsidR="00A721EE" w:rsidRPr="00471AE4" w:rsidRDefault="00A721EE" w:rsidP="00F146B3">
      <w:pPr>
        <w:rPr>
          <w:rFonts w:ascii="Verdana" w:hAnsi="Verdana"/>
          <w:sz w:val="20"/>
          <w:szCs w:val="20"/>
        </w:rPr>
      </w:pPr>
    </w:p>
    <w:p w:rsidR="00215C10" w:rsidRPr="00471AE4" w:rsidRDefault="00215C10" w:rsidP="00521717">
      <w:pPr>
        <w:jc w:val="left"/>
      </w:pPr>
      <w:r w:rsidRPr="00471AE4">
        <w:rPr>
          <w:rFonts w:ascii="Verdana" w:hAnsi="Verdana"/>
          <w:sz w:val="20"/>
          <w:szCs w:val="20"/>
        </w:rPr>
        <w:tab/>
      </w:r>
      <w:r w:rsidRPr="00471AE4">
        <w:rPr>
          <w:rFonts w:ascii="Verdana" w:hAnsi="Verdana"/>
          <w:sz w:val="20"/>
          <w:szCs w:val="20"/>
        </w:rPr>
        <w:tab/>
      </w:r>
      <w:r w:rsidRPr="00471AE4">
        <w:t>Commission regulations permit motions for judgment on the pleadings:</w:t>
      </w:r>
    </w:p>
    <w:p w:rsidR="00215C10" w:rsidRPr="00471AE4" w:rsidRDefault="00215C10" w:rsidP="00521717">
      <w:pPr>
        <w:jc w:val="left"/>
      </w:pPr>
    </w:p>
    <w:p w:rsidR="00215C10" w:rsidRPr="00471AE4" w:rsidRDefault="00215C10" w:rsidP="00215C10">
      <w:pPr>
        <w:ind w:left="1440"/>
        <w:jc w:val="left"/>
        <w:rPr>
          <w:b/>
        </w:rPr>
      </w:pPr>
      <w:r w:rsidRPr="00471AE4">
        <w:rPr>
          <w:b/>
        </w:rPr>
        <w:t>§ 5.102.  Motions for Summary Judgment and Judgment on the Pleadings</w:t>
      </w:r>
    </w:p>
    <w:p w:rsidR="00215C10" w:rsidRPr="00471AE4" w:rsidRDefault="00215C10" w:rsidP="00215C10">
      <w:pPr>
        <w:pStyle w:val="NormalWeb"/>
        <w:ind w:left="1440" w:right="1440"/>
      </w:pPr>
      <w:r w:rsidRPr="00471AE4">
        <w:t>(a)  </w:t>
      </w:r>
      <w:r w:rsidRPr="00471AE4">
        <w:rPr>
          <w:i/>
          <w:iCs/>
        </w:rPr>
        <w:t>Generally</w:t>
      </w:r>
      <w:r w:rsidRPr="00471AE4">
        <w:t xml:space="preserve">. </w:t>
      </w:r>
      <w:proofErr w:type="gramStart"/>
      <w:r w:rsidRPr="00471AE4">
        <w:t>After the pleadings are closed, but within a time so that the hearing is not delayed, a party may move for judgment on the pleadings or summary judgment.</w:t>
      </w:r>
      <w:proofErr w:type="gramEnd"/>
      <w:r w:rsidRPr="00471AE4">
        <w:t xml:space="preserve"> A motion must contain a notice which states that an answer or other responsive pleading shall be filed within 20 days of service of the motion. </w:t>
      </w:r>
    </w:p>
    <w:p w:rsidR="003D64B6" w:rsidRPr="00471AE4" w:rsidRDefault="00215C10" w:rsidP="00215C10">
      <w:pPr>
        <w:pStyle w:val="NormalWeb"/>
        <w:ind w:left="1440" w:right="1440"/>
      </w:pPr>
      <w:r w:rsidRPr="00471AE4">
        <w:t> (b)  </w:t>
      </w:r>
      <w:r w:rsidRPr="00471AE4">
        <w:rPr>
          <w:i/>
          <w:iCs/>
        </w:rPr>
        <w:t>Answers</w:t>
      </w:r>
      <w:r w:rsidRPr="00471AE4">
        <w:t xml:space="preserve">. An answer to a motion for judgment on the pleadings or summary judgment, including an opposing affidavit or verification to a motion for summary judgment, may be filed within 20 days of the date of service of the motion. The answer to a motion for summary judgment may be supplemented by depositions, answers to interrogatories or further affidavits and admissions. </w:t>
      </w:r>
    </w:p>
    <w:p w:rsidR="00215C10" w:rsidRPr="00471AE4" w:rsidRDefault="00215C10" w:rsidP="00215C10">
      <w:pPr>
        <w:pStyle w:val="NormalWeb"/>
        <w:ind w:left="1440" w:right="1440"/>
      </w:pPr>
      <w:r w:rsidRPr="00471AE4">
        <w:t>  </w:t>
      </w:r>
      <w:proofErr w:type="gramStart"/>
      <w:r w:rsidRPr="00471AE4">
        <w:rPr>
          <w:i/>
          <w:iCs/>
        </w:rPr>
        <w:t>Motion for summary judgment</w:t>
      </w:r>
      <w:r w:rsidRPr="00471AE4">
        <w:t>.</w:t>
      </w:r>
      <w:proofErr w:type="gramEnd"/>
      <w:r w:rsidRPr="00471AE4">
        <w:t xml:space="preserve"> A motion for summary judgment must be based on the pleadings and depositions, answers to interrogatories, admissions and supporting affidavits. Documents not already filed with the Commission shall be filed with the motion. </w:t>
      </w:r>
    </w:p>
    <w:p w:rsidR="00215C10" w:rsidRPr="00471AE4" w:rsidRDefault="00215C10" w:rsidP="00215C10">
      <w:pPr>
        <w:pStyle w:val="NormalWeb"/>
        <w:ind w:left="1440" w:right="1440"/>
      </w:pPr>
      <w:r w:rsidRPr="00471AE4">
        <w:t> (d)  </w:t>
      </w:r>
      <w:r w:rsidRPr="00471AE4">
        <w:rPr>
          <w:i/>
          <w:iCs/>
        </w:rPr>
        <w:t>Decisions on motions</w:t>
      </w:r>
      <w:r w:rsidRPr="00471AE4">
        <w:t xml:space="preserve">. </w:t>
      </w:r>
    </w:p>
    <w:p w:rsidR="00215C10" w:rsidRPr="00471AE4" w:rsidRDefault="00215C10" w:rsidP="00215C10">
      <w:pPr>
        <w:pStyle w:val="NormalWeb"/>
        <w:ind w:left="1440" w:right="1440"/>
      </w:pPr>
      <w:r w:rsidRPr="00471AE4">
        <w:t>   (1)  </w:t>
      </w:r>
      <w:r w:rsidRPr="00471AE4">
        <w:rPr>
          <w:i/>
          <w:iCs/>
        </w:rPr>
        <w:t>Standard for grant or denial on all counts</w:t>
      </w:r>
      <w:r w:rsidRPr="00471AE4">
        <w:t xml:space="preserve">. The presiding officer will grant or deny a motion for judgment on the pleadings or a motion for summary judgment, as appropriate. The judgment sought will be rendered if the applicable pleadings, depositions, answers to interrogatories and admissions, together with affidavits, if any, show that there is no genuine issue as to a material fact and that the moving party is entitled to a judgment as a matter of law. </w:t>
      </w:r>
    </w:p>
    <w:p w:rsidR="00215C10" w:rsidRPr="00471AE4" w:rsidRDefault="00215C10" w:rsidP="00215C10">
      <w:pPr>
        <w:pStyle w:val="NormalWeb"/>
        <w:ind w:left="1440" w:right="1440"/>
      </w:pPr>
      <w:r w:rsidRPr="00471AE4">
        <w:t>   (2)  </w:t>
      </w:r>
      <w:r w:rsidRPr="00471AE4">
        <w:rPr>
          <w:i/>
          <w:iCs/>
        </w:rPr>
        <w:t>Standard for grant or denial in part</w:t>
      </w:r>
      <w:r w:rsidRPr="00471AE4">
        <w:t xml:space="preserve">. The presiding officer may grant a partial summary judgment if the pleadings, depositions, answers to interrogatories and admissions, together with affidavits, if any, show that there is no genuine issue as to a material fact and that the moving party is entitled to a judgment as a matter of law on one or more but not all outstanding issues. </w:t>
      </w:r>
    </w:p>
    <w:p w:rsidR="00215C10" w:rsidRPr="00471AE4" w:rsidRDefault="00215C10" w:rsidP="009A5090">
      <w:pPr>
        <w:pStyle w:val="NormalWeb"/>
        <w:ind w:left="1440" w:right="1440"/>
        <w:contextualSpacing/>
      </w:pPr>
      <w:r w:rsidRPr="00471AE4">
        <w:lastRenderedPageBreak/>
        <w:t>   (3)  </w:t>
      </w:r>
      <w:r w:rsidRPr="00471AE4">
        <w:rPr>
          <w:i/>
          <w:iCs/>
        </w:rPr>
        <w:t>Form of decision</w:t>
      </w:r>
      <w:r w:rsidRPr="00471AE4">
        <w:t>. The presiding officer will grant, in whole or in part, the motion in the form of an initial or recommended decision which shall be subject to exceptions as set forth in §  5.533 (relating to exceptions). Denial of a motion will be in the form of a written order.</w:t>
      </w:r>
    </w:p>
    <w:p w:rsidR="003D64B6" w:rsidRPr="00471AE4" w:rsidRDefault="003D64B6" w:rsidP="009A5090">
      <w:pPr>
        <w:spacing w:line="240" w:lineRule="auto"/>
        <w:contextualSpacing/>
        <w:jc w:val="left"/>
      </w:pPr>
      <w:proofErr w:type="gramStart"/>
      <w:r w:rsidRPr="00471AE4">
        <w:t>52 Pa.Code § 5.102.</w:t>
      </w:r>
      <w:proofErr w:type="gramEnd"/>
      <w:r w:rsidR="00215C10" w:rsidRPr="00471AE4">
        <w:tab/>
      </w:r>
      <w:r w:rsidR="00215C10" w:rsidRPr="00471AE4">
        <w:tab/>
      </w:r>
    </w:p>
    <w:p w:rsidR="00215C10" w:rsidRPr="00471AE4" w:rsidRDefault="00215C10" w:rsidP="00F146B3">
      <w:pPr>
        <w:jc w:val="left"/>
      </w:pPr>
    </w:p>
    <w:p w:rsidR="00215C10" w:rsidRPr="00471AE4" w:rsidRDefault="00215C10" w:rsidP="00F146B3">
      <w:pPr>
        <w:jc w:val="left"/>
      </w:pPr>
      <w:r w:rsidRPr="00471AE4">
        <w:tab/>
      </w:r>
      <w:r w:rsidRPr="00471AE4">
        <w:tab/>
        <w:t xml:space="preserve">The question of whether the Commission is legally empowered to grant the requested relief is properly raised as an affirmative defense in New Matter.  52 Pa. </w:t>
      </w:r>
      <w:proofErr w:type="gramStart"/>
      <w:r w:rsidRPr="00471AE4">
        <w:t>Code</w:t>
      </w:r>
      <w:proofErr w:type="gramEnd"/>
      <w:r w:rsidRPr="00471AE4">
        <w:t xml:space="preserve"> </w:t>
      </w:r>
    </w:p>
    <w:p w:rsidR="00215C10" w:rsidRPr="00471AE4" w:rsidRDefault="00215C10" w:rsidP="00215C10">
      <w:pPr>
        <w:jc w:val="left"/>
      </w:pPr>
      <w:r w:rsidRPr="00471AE4">
        <w:t xml:space="preserve">§ 5.62(b).   If not refuted, the facts stated in new matter may be deemed to be admitted, and   “The judgment sought will be rendered if the applicable </w:t>
      </w:r>
      <w:proofErr w:type="gramStart"/>
      <w:r w:rsidRPr="00471AE4">
        <w:t>pleadings .</w:t>
      </w:r>
      <w:proofErr w:type="gramEnd"/>
      <w:r w:rsidRPr="00471AE4">
        <w:t> . . show that there is no genuine issue as to a material fact and that the moving party is entitled to a judgment as a matter of law.”  52 Pa. Code § 5.102(d</w:t>
      </w:r>
      <w:proofErr w:type="gramStart"/>
      <w:r w:rsidRPr="00471AE4">
        <w:t>)(</w:t>
      </w:r>
      <w:proofErr w:type="gramEnd"/>
      <w:r w:rsidRPr="00471AE4">
        <w:t>1).</w:t>
      </w:r>
    </w:p>
    <w:p w:rsidR="00215C10" w:rsidRPr="00471AE4" w:rsidRDefault="00215C10" w:rsidP="00521717">
      <w:pPr>
        <w:jc w:val="left"/>
      </w:pPr>
    </w:p>
    <w:p w:rsidR="00DE3BC3" w:rsidRPr="00471AE4" w:rsidRDefault="00215C10" w:rsidP="00521717">
      <w:pPr>
        <w:jc w:val="left"/>
      </w:pPr>
      <w:r w:rsidRPr="00471AE4">
        <w:tab/>
      </w:r>
      <w:r w:rsidRPr="00471AE4">
        <w:tab/>
        <w:t xml:space="preserve">As no response to New Matter was filed, the facts set forth there are deemed admitted.  </w:t>
      </w:r>
      <w:r w:rsidR="00DE3BC3" w:rsidRPr="00471AE4">
        <w:t>The analysis turns to whether the facts deemed admitted are sufficient to support the Motion for Summary Judgment based upon the circumstances of the prior proceeding</w:t>
      </w:r>
      <w:r w:rsidR="009A5090">
        <w:t>.</w:t>
      </w:r>
    </w:p>
    <w:p w:rsidR="00DE3BC3" w:rsidRPr="00471AE4" w:rsidRDefault="00DE3BC3" w:rsidP="00521717">
      <w:pPr>
        <w:jc w:val="left"/>
      </w:pPr>
    </w:p>
    <w:p w:rsidR="00215C10" w:rsidRPr="00471AE4" w:rsidRDefault="00DE3BC3" w:rsidP="00521717">
      <w:pPr>
        <w:jc w:val="left"/>
      </w:pPr>
      <w:proofErr w:type="gramStart"/>
      <w:r w:rsidRPr="00471AE4">
        <w:rPr>
          <w:b/>
        </w:rPr>
        <w:t>The 2014 formal complaint</w:t>
      </w:r>
      <w:r w:rsidRPr="00471AE4">
        <w:t>.</w:t>
      </w:r>
      <w:proofErr w:type="gramEnd"/>
      <w:r w:rsidRPr="00471AE4">
        <w:t xml:space="preserve">  </w:t>
      </w:r>
    </w:p>
    <w:p w:rsidR="00215C10" w:rsidRPr="00471AE4" w:rsidRDefault="00215C10" w:rsidP="00521717">
      <w:pPr>
        <w:jc w:val="left"/>
        <w:rPr>
          <w:rFonts w:ascii="Verdana" w:hAnsi="Verdana"/>
          <w:sz w:val="20"/>
          <w:szCs w:val="20"/>
        </w:rPr>
      </w:pPr>
    </w:p>
    <w:p w:rsidR="003D64B6" w:rsidRPr="00471AE4" w:rsidRDefault="00521717" w:rsidP="00521717">
      <w:pPr>
        <w:jc w:val="left"/>
      </w:pPr>
      <w:r w:rsidRPr="00471AE4">
        <w:rPr>
          <w:rFonts w:ascii="Verdana" w:hAnsi="Verdana"/>
          <w:sz w:val="20"/>
          <w:szCs w:val="20"/>
        </w:rPr>
        <w:tab/>
      </w:r>
      <w:r w:rsidR="003D64B6" w:rsidRPr="00471AE4">
        <w:rPr>
          <w:rFonts w:ascii="Verdana" w:hAnsi="Verdana"/>
          <w:sz w:val="20"/>
          <w:szCs w:val="20"/>
        </w:rPr>
        <w:tab/>
      </w:r>
      <w:r w:rsidRPr="00471AE4">
        <w:t>On November 6, 2014, Complainant filed a formal complaint at Docket No.</w:t>
      </w:r>
    </w:p>
    <w:p w:rsidR="00521717" w:rsidRDefault="00521717" w:rsidP="00521717">
      <w:pPr>
        <w:jc w:val="left"/>
      </w:pPr>
      <w:proofErr w:type="gramStart"/>
      <w:r w:rsidRPr="00471AE4">
        <w:t>F-2014-2453444.</w:t>
      </w:r>
      <w:proofErr w:type="gramEnd"/>
      <w:r w:rsidRPr="00471AE4">
        <w:t xml:space="preserve">  On that form, he checked off the boxes indicating that the utility is threatening to shut off his service or has already shut off his service, and that he would like a payment agreement. Under paragraph 5, he wrote:</w:t>
      </w:r>
    </w:p>
    <w:p w:rsidR="009A5090" w:rsidRPr="00471AE4" w:rsidRDefault="009A5090" w:rsidP="00521717">
      <w:pPr>
        <w:jc w:val="left"/>
      </w:pPr>
    </w:p>
    <w:p w:rsidR="00521717" w:rsidRDefault="00521717" w:rsidP="00521717">
      <w:pPr>
        <w:spacing w:line="240" w:lineRule="auto"/>
        <w:ind w:left="1440" w:right="1440"/>
        <w:jc w:val="left"/>
      </w:pPr>
      <w:r w:rsidRPr="00471AE4">
        <w:t>I want to enter into a payment arrangement.  I don't have 100</w:t>
      </w:r>
      <w:r w:rsidR="0027765D" w:rsidRPr="00471AE4">
        <w:t>0</w:t>
      </w:r>
      <w:r w:rsidRPr="00471AE4">
        <w:t>.00 to put down to get into one.  If they have to they can put a lien on my home and I can start over with a new bill I can afford 200 – 275.00 per month for the arrangement.</w:t>
      </w:r>
    </w:p>
    <w:p w:rsidR="009A5090" w:rsidRPr="00471AE4" w:rsidRDefault="009A5090" w:rsidP="00521717">
      <w:pPr>
        <w:spacing w:line="240" w:lineRule="auto"/>
        <w:ind w:left="1440" w:right="1440"/>
        <w:jc w:val="left"/>
      </w:pPr>
    </w:p>
    <w:p w:rsidR="00521717" w:rsidRPr="00471AE4" w:rsidRDefault="00521717" w:rsidP="009A5090">
      <w:pPr>
        <w:spacing w:line="240" w:lineRule="auto"/>
        <w:jc w:val="left"/>
      </w:pPr>
      <w:proofErr w:type="gramStart"/>
      <w:r w:rsidRPr="00471AE4">
        <w:t>Complaint, paragraph 5.</w:t>
      </w:r>
      <w:proofErr w:type="gramEnd"/>
    </w:p>
    <w:p w:rsidR="00521717" w:rsidRPr="00471AE4" w:rsidRDefault="00521717" w:rsidP="00DE3BC3">
      <w:pPr>
        <w:jc w:val="left"/>
      </w:pPr>
    </w:p>
    <w:p w:rsidR="001566A2" w:rsidRPr="00471AE4" w:rsidRDefault="001566A2" w:rsidP="00DD42CF">
      <w:pPr>
        <w:jc w:val="left"/>
      </w:pPr>
      <w:r w:rsidRPr="00471AE4">
        <w:tab/>
      </w:r>
      <w:r w:rsidRPr="00471AE4">
        <w:tab/>
        <w:t>Commission regulations provide for the filing of a certificate of satisfaction when a formal complaint has been satisfied:</w:t>
      </w:r>
    </w:p>
    <w:p w:rsidR="00663670" w:rsidRPr="00471AE4" w:rsidRDefault="00663670" w:rsidP="00F146B3">
      <w:pPr>
        <w:contextualSpacing/>
        <w:jc w:val="left"/>
        <w:outlineLvl w:val="3"/>
        <w:rPr>
          <w:rFonts w:eastAsia="Times New Roman"/>
          <w:b/>
          <w:bCs/>
          <w:sz w:val="27"/>
          <w:szCs w:val="27"/>
        </w:rPr>
      </w:pPr>
      <w:bookmarkStart w:id="1" w:name="5.24."/>
    </w:p>
    <w:p w:rsidR="001566A2" w:rsidRPr="00471AE4" w:rsidRDefault="001566A2" w:rsidP="00F146B3">
      <w:pPr>
        <w:ind w:left="1440" w:right="1440"/>
        <w:contextualSpacing/>
        <w:jc w:val="left"/>
        <w:outlineLvl w:val="3"/>
        <w:rPr>
          <w:rFonts w:eastAsia="Times New Roman"/>
          <w:b/>
          <w:bCs/>
        </w:rPr>
      </w:pPr>
      <w:r w:rsidRPr="00471AE4">
        <w:rPr>
          <w:rFonts w:eastAsia="Times New Roman"/>
          <w:b/>
          <w:bCs/>
          <w:sz w:val="27"/>
          <w:szCs w:val="27"/>
        </w:rPr>
        <w:t xml:space="preserve">§ 5.24. </w:t>
      </w:r>
      <w:proofErr w:type="gramStart"/>
      <w:r w:rsidRPr="00471AE4">
        <w:rPr>
          <w:rFonts w:eastAsia="Times New Roman"/>
          <w:b/>
          <w:bCs/>
        </w:rPr>
        <w:t>Satisfaction of formal complaints.</w:t>
      </w:r>
      <w:proofErr w:type="gramEnd"/>
    </w:p>
    <w:p w:rsidR="00614526" w:rsidRPr="00471AE4" w:rsidRDefault="00614526" w:rsidP="00F146B3">
      <w:pPr>
        <w:ind w:left="1440" w:right="1440"/>
        <w:contextualSpacing/>
        <w:jc w:val="left"/>
        <w:outlineLvl w:val="3"/>
        <w:rPr>
          <w:rFonts w:eastAsia="Times New Roman"/>
          <w:b/>
          <w:bCs/>
        </w:rPr>
      </w:pPr>
    </w:p>
    <w:p w:rsidR="001566A2" w:rsidRPr="00471AE4" w:rsidRDefault="001566A2" w:rsidP="001566A2">
      <w:pPr>
        <w:spacing w:before="100" w:beforeAutospacing="1" w:after="100" w:afterAutospacing="1" w:line="240" w:lineRule="auto"/>
        <w:ind w:left="1440" w:right="1440"/>
        <w:contextualSpacing/>
        <w:jc w:val="left"/>
        <w:rPr>
          <w:rFonts w:eastAsia="Times New Roman"/>
        </w:rPr>
      </w:pPr>
      <w:r w:rsidRPr="00471AE4">
        <w:rPr>
          <w:rFonts w:eastAsia="Times New Roman"/>
        </w:rPr>
        <w:t xml:space="preserve">(a) If the respondent satisfies a formal complaint either before or after a hearing, the complainant shall file with the Commission a certified statement to that effect. The certified statement must set forth that the complaint is satisfied and that the complaint docket should be marked closed. The presiding officer is not required to render a decision upon submission of the certified statement concerning the satisfaction of a complaint unless the parties request one for good cause. </w:t>
      </w:r>
    </w:p>
    <w:p w:rsidR="001566A2" w:rsidRPr="00471AE4" w:rsidRDefault="001566A2" w:rsidP="001566A2">
      <w:pPr>
        <w:spacing w:before="100" w:beforeAutospacing="1" w:after="100" w:afterAutospacing="1" w:line="240" w:lineRule="auto"/>
        <w:ind w:left="1440" w:right="1440"/>
        <w:contextualSpacing/>
        <w:jc w:val="left"/>
        <w:rPr>
          <w:rFonts w:eastAsia="Times New Roman"/>
        </w:rPr>
      </w:pPr>
    </w:p>
    <w:p w:rsidR="001566A2" w:rsidRPr="00471AE4" w:rsidRDefault="001566A2" w:rsidP="001566A2">
      <w:pPr>
        <w:spacing w:before="100" w:beforeAutospacing="1" w:after="100" w:afterAutospacing="1" w:line="240" w:lineRule="auto"/>
        <w:ind w:left="1440" w:right="1440"/>
        <w:contextualSpacing/>
        <w:jc w:val="left"/>
        <w:rPr>
          <w:rFonts w:eastAsia="Times New Roman"/>
        </w:rPr>
      </w:pPr>
      <w:r w:rsidRPr="00471AE4">
        <w:rPr>
          <w:rFonts w:eastAsia="Times New Roman"/>
        </w:rPr>
        <w:t xml:space="preserve">(b) In lieu of the certified statement required by subsection (a), the respondent may provide a certified writing to the Commission that it has addressed the complaint and at least one of the following: </w:t>
      </w:r>
    </w:p>
    <w:p w:rsidR="001566A2" w:rsidRPr="00471AE4" w:rsidRDefault="001566A2" w:rsidP="001566A2">
      <w:pPr>
        <w:spacing w:before="100" w:beforeAutospacing="1" w:after="100" w:afterAutospacing="1" w:line="240" w:lineRule="auto"/>
        <w:ind w:left="1440" w:right="1440"/>
        <w:contextualSpacing/>
        <w:jc w:val="left"/>
        <w:rPr>
          <w:rFonts w:eastAsia="Times New Roman"/>
        </w:rPr>
      </w:pPr>
    </w:p>
    <w:p w:rsidR="001566A2" w:rsidRPr="00471AE4" w:rsidRDefault="001566A2" w:rsidP="001566A2">
      <w:pPr>
        <w:spacing w:before="100" w:beforeAutospacing="1" w:after="100" w:afterAutospacing="1" w:line="240" w:lineRule="auto"/>
        <w:ind w:left="1440" w:right="1440"/>
        <w:contextualSpacing/>
        <w:jc w:val="left"/>
        <w:rPr>
          <w:rFonts w:eastAsia="Times New Roman"/>
        </w:rPr>
      </w:pPr>
      <w:r w:rsidRPr="00471AE4">
        <w:rPr>
          <w:rFonts w:eastAsia="Times New Roman"/>
        </w:rPr>
        <w:t xml:space="preserve">(1) That the complainant has acknowledged satisfaction to the respondent. </w:t>
      </w:r>
    </w:p>
    <w:p w:rsidR="001566A2" w:rsidRPr="00471AE4" w:rsidRDefault="001566A2" w:rsidP="001566A2">
      <w:pPr>
        <w:spacing w:before="100" w:beforeAutospacing="1" w:after="100" w:afterAutospacing="1" w:line="240" w:lineRule="auto"/>
        <w:ind w:left="1440" w:right="1440"/>
        <w:contextualSpacing/>
        <w:jc w:val="left"/>
        <w:rPr>
          <w:rFonts w:eastAsia="Times New Roman"/>
        </w:rPr>
      </w:pPr>
    </w:p>
    <w:p w:rsidR="001566A2" w:rsidRPr="00471AE4" w:rsidRDefault="001566A2" w:rsidP="001566A2">
      <w:pPr>
        <w:spacing w:before="100" w:beforeAutospacing="1" w:after="100" w:afterAutospacing="1" w:line="240" w:lineRule="auto"/>
        <w:ind w:left="1440" w:right="1440"/>
        <w:contextualSpacing/>
        <w:jc w:val="left"/>
        <w:rPr>
          <w:rFonts w:eastAsia="Times New Roman"/>
        </w:rPr>
      </w:pPr>
      <w:r w:rsidRPr="00471AE4">
        <w:rPr>
          <w:rFonts w:eastAsia="Times New Roman"/>
        </w:rPr>
        <w:t xml:space="preserve">(2) That the complainant has acknowledged to the respondent that the complainant no longer wishes to pursue the complaint. </w:t>
      </w:r>
    </w:p>
    <w:p w:rsidR="001566A2" w:rsidRPr="00471AE4" w:rsidRDefault="001566A2" w:rsidP="001566A2">
      <w:pPr>
        <w:spacing w:before="100" w:beforeAutospacing="1" w:after="100" w:afterAutospacing="1" w:line="240" w:lineRule="auto"/>
        <w:ind w:left="1440" w:right="1440"/>
        <w:contextualSpacing/>
        <w:jc w:val="left"/>
        <w:rPr>
          <w:rFonts w:eastAsia="Times New Roman"/>
        </w:rPr>
      </w:pPr>
    </w:p>
    <w:p w:rsidR="001566A2" w:rsidRPr="00471AE4" w:rsidRDefault="001566A2" w:rsidP="001566A2">
      <w:pPr>
        <w:spacing w:before="100" w:beforeAutospacing="1" w:after="100" w:afterAutospacing="1" w:line="240" w:lineRule="auto"/>
        <w:ind w:left="1440" w:right="1440"/>
        <w:contextualSpacing/>
        <w:jc w:val="left"/>
        <w:rPr>
          <w:rFonts w:eastAsia="Times New Roman"/>
        </w:rPr>
      </w:pPr>
      <w:r w:rsidRPr="00471AE4">
        <w:rPr>
          <w:rFonts w:eastAsia="Times New Roman"/>
        </w:rPr>
        <w:t xml:space="preserve">(c) In the case of certification of satisfaction under subsection (b), the respondent shall simultaneously serve a copy of the respondent’s certified writing, including a statement informing the complainant of the complainant’s right to object in writing within 10 days, upon the complainant. Unless the complainant objects, in writing, to the certification within 10 days of its filing, the complaint docket will be marked closed. </w:t>
      </w:r>
    </w:p>
    <w:p w:rsidR="001566A2" w:rsidRPr="00471AE4" w:rsidRDefault="001566A2" w:rsidP="001566A2">
      <w:pPr>
        <w:spacing w:before="100" w:beforeAutospacing="1" w:after="100" w:afterAutospacing="1" w:line="240" w:lineRule="auto"/>
        <w:ind w:left="1440" w:right="1440"/>
        <w:contextualSpacing/>
        <w:jc w:val="left"/>
        <w:rPr>
          <w:rFonts w:eastAsia="Times New Roman"/>
        </w:rPr>
      </w:pPr>
    </w:p>
    <w:p w:rsidR="001566A2" w:rsidRDefault="001566A2" w:rsidP="001566A2">
      <w:pPr>
        <w:spacing w:before="100" w:beforeAutospacing="1" w:after="100" w:afterAutospacing="1" w:line="240" w:lineRule="auto"/>
        <w:ind w:left="1440" w:right="1440"/>
        <w:contextualSpacing/>
        <w:jc w:val="left"/>
        <w:rPr>
          <w:rFonts w:eastAsia="Times New Roman"/>
        </w:rPr>
      </w:pPr>
      <w:r w:rsidRPr="00471AE4">
        <w:rPr>
          <w:rFonts w:eastAsia="Times New Roman"/>
        </w:rPr>
        <w:t>(d) Subsections (a)—(c) supersede 1 Pa. Code § 35.41 (relating to satisfaction of complaints).</w:t>
      </w:r>
    </w:p>
    <w:p w:rsidR="009A5090" w:rsidRPr="00471AE4" w:rsidRDefault="009A5090" w:rsidP="001566A2">
      <w:pPr>
        <w:spacing w:before="100" w:beforeAutospacing="1" w:after="100" w:afterAutospacing="1" w:line="240" w:lineRule="auto"/>
        <w:ind w:left="1440" w:right="1440"/>
        <w:contextualSpacing/>
        <w:jc w:val="left"/>
        <w:rPr>
          <w:rFonts w:eastAsia="Times New Roman"/>
        </w:rPr>
      </w:pPr>
    </w:p>
    <w:bookmarkEnd w:id="1"/>
    <w:p w:rsidR="001566A2" w:rsidRPr="00471AE4" w:rsidRDefault="001566A2" w:rsidP="00DD42CF">
      <w:pPr>
        <w:jc w:val="left"/>
      </w:pPr>
      <w:proofErr w:type="gramStart"/>
      <w:r w:rsidRPr="00471AE4">
        <w:t>52 Pa.Code § 5.24.</w:t>
      </w:r>
      <w:proofErr w:type="gramEnd"/>
    </w:p>
    <w:p w:rsidR="001566A2" w:rsidRPr="00471AE4" w:rsidRDefault="001566A2" w:rsidP="00DD42CF">
      <w:pPr>
        <w:jc w:val="left"/>
      </w:pPr>
    </w:p>
    <w:p w:rsidR="00DE3BC3" w:rsidRPr="00471AE4" w:rsidRDefault="00DE3BC3" w:rsidP="00DE3BC3">
      <w:pPr>
        <w:jc w:val="left"/>
      </w:pPr>
      <w:r w:rsidRPr="00471AE4">
        <w:tab/>
      </w:r>
      <w:r w:rsidRPr="00471AE4">
        <w:tab/>
        <w:t>Commission records show that the certificate of satisfaction was filed by PGW on March 12, 2015, was served on Complainant, and included the notification to Complainant that he had ten days in which to object to the settlement.  No response was received by the Commission.  Accordingly, this process was followed properly by the Respondent and the case was closed.</w:t>
      </w:r>
    </w:p>
    <w:p w:rsidR="00DE3BC3" w:rsidRDefault="00DE3BC3" w:rsidP="00DE3BC3">
      <w:pPr>
        <w:jc w:val="left"/>
      </w:pPr>
    </w:p>
    <w:p w:rsidR="00DE3BC3" w:rsidRPr="00471AE4" w:rsidRDefault="00DE3BC3" w:rsidP="00DE3BC3">
      <w:pPr>
        <w:jc w:val="left"/>
        <w:rPr>
          <w:b/>
        </w:rPr>
      </w:pPr>
      <w:proofErr w:type="gramStart"/>
      <w:r w:rsidRPr="00471AE4">
        <w:rPr>
          <w:b/>
        </w:rPr>
        <w:lastRenderedPageBreak/>
        <w:t>The instant complaint.</w:t>
      </w:r>
      <w:proofErr w:type="gramEnd"/>
    </w:p>
    <w:p w:rsidR="00DE3BC3" w:rsidRPr="00471AE4" w:rsidRDefault="00DE3BC3" w:rsidP="00DE3BC3">
      <w:pPr>
        <w:jc w:val="left"/>
      </w:pPr>
    </w:p>
    <w:p w:rsidR="00DE3BC3" w:rsidRDefault="00DE3BC3" w:rsidP="00DE3BC3">
      <w:pPr>
        <w:jc w:val="left"/>
      </w:pPr>
      <w:r w:rsidRPr="00471AE4">
        <w:tab/>
      </w:r>
      <w:r w:rsidRPr="00471AE4">
        <w:tab/>
        <w:t xml:space="preserve">On the Complaint in the present case, Complainant checked off the boxes indicating that the utility is threatening to shut off his service or has already shut off his service, and that he would like a payment agreement.  Under </w:t>
      </w:r>
      <w:r w:rsidR="00663670" w:rsidRPr="00471AE4">
        <w:t xml:space="preserve">"Requested relief," </w:t>
      </w:r>
      <w:r w:rsidRPr="00471AE4">
        <w:t>paragraph 5</w:t>
      </w:r>
      <w:r w:rsidR="00663670" w:rsidRPr="00471AE4">
        <w:t xml:space="preserve"> of the form</w:t>
      </w:r>
      <w:r w:rsidRPr="00471AE4">
        <w:t>, he wrote:</w:t>
      </w:r>
    </w:p>
    <w:p w:rsidR="009A5090" w:rsidRDefault="009A5090" w:rsidP="00DE3BC3">
      <w:pPr>
        <w:jc w:val="left"/>
      </w:pPr>
    </w:p>
    <w:p w:rsidR="00614526" w:rsidRPr="00471AE4" w:rsidRDefault="00DE3BC3" w:rsidP="009A5090">
      <w:pPr>
        <w:spacing w:line="240" w:lineRule="auto"/>
        <w:ind w:left="1440" w:right="1440"/>
        <w:contextualSpacing/>
        <w:jc w:val="left"/>
      </w:pPr>
      <w:r w:rsidRPr="00471AE4">
        <w:t xml:space="preserve">Enter into a payment arrangement or reduce the payment amount due to a dispute with a potential billing issue. </w:t>
      </w:r>
    </w:p>
    <w:p w:rsidR="00DE3BC3" w:rsidRPr="00471AE4" w:rsidRDefault="00DE3BC3" w:rsidP="009A5090">
      <w:pPr>
        <w:spacing w:line="240" w:lineRule="auto"/>
        <w:ind w:left="1440" w:right="1440"/>
        <w:contextualSpacing/>
        <w:jc w:val="left"/>
      </w:pPr>
    </w:p>
    <w:p w:rsidR="00DE3BC3" w:rsidRPr="00471AE4" w:rsidRDefault="00DE3BC3" w:rsidP="009A5090">
      <w:pPr>
        <w:spacing w:line="240" w:lineRule="auto"/>
        <w:contextualSpacing/>
        <w:jc w:val="left"/>
      </w:pPr>
      <w:proofErr w:type="gramStart"/>
      <w:r w:rsidRPr="00471AE4">
        <w:t>Complaint, paragraph 5.</w:t>
      </w:r>
      <w:proofErr w:type="gramEnd"/>
    </w:p>
    <w:p w:rsidR="00DE3BC3" w:rsidRPr="00471AE4" w:rsidRDefault="00DE3BC3" w:rsidP="00DD42CF">
      <w:pPr>
        <w:jc w:val="left"/>
      </w:pPr>
    </w:p>
    <w:p w:rsidR="00C6562E" w:rsidRPr="00471AE4" w:rsidRDefault="00C6562E" w:rsidP="00DD42CF">
      <w:pPr>
        <w:jc w:val="left"/>
      </w:pPr>
      <w:r w:rsidRPr="00471AE4">
        <w:tab/>
      </w:r>
      <w:r w:rsidRPr="00471AE4">
        <w:tab/>
        <w:t xml:space="preserve">The same issues are raised in the instant Complaint as were the subject of the prior complaint.  </w:t>
      </w:r>
    </w:p>
    <w:p w:rsidR="00DE3BC3" w:rsidRPr="00471AE4" w:rsidRDefault="00DE3BC3" w:rsidP="00DD42CF">
      <w:pPr>
        <w:jc w:val="left"/>
      </w:pPr>
    </w:p>
    <w:p w:rsidR="00C829A6" w:rsidRPr="00471AE4" w:rsidRDefault="00C829A6" w:rsidP="00C829A6">
      <w:pPr>
        <w:jc w:val="left"/>
      </w:pPr>
      <w:r w:rsidRPr="00471AE4">
        <w:tab/>
      </w:r>
      <w:r w:rsidRPr="00471AE4">
        <w:tab/>
      </w:r>
      <w:r w:rsidR="00BF6A19" w:rsidRPr="00471AE4">
        <w:t>The law pertaining to motions for</w:t>
      </w:r>
      <w:r w:rsidR="00BF6A19" w:rsidRPr="00471AE4">
        <w:rPr>
          <w:b/>
        </w:rPr>
        <w:t xml:space="preserve"> </w:t>
      </w:r>
      <w:r w:rsidR="00BF6A19" w:rsidRPr="00471AE4">
        <w:rPr>
          <w:rStyle w:val="term1"/>
          <w:b w:val="0"/>
        </w:rPr>
        <w:t>summary judgment</w:t>
      </w:r>
      <w:r w:rsidR="00BF6A19" w:rsidRPr="00471AE4">
        <w:t xml:space="preserve"> is settled.</w:t>
      </w:r>
      <w:r w:rsidR="00A6332B" w:rsidRPr="00471AE4">
        <w:rPr>
          <w:noProof/>
        </w:rPr>
        <w:t xml:space="preserve">  </w:t>
      </w:r>
      <w:r w:rsidR="00BF6A19" w:rsidRPr="00471AE4">
        <w:t>Once the relevant pleadings have closed,</w:t>
      </w:r>
      <w:r w:rsidR="00A6332B" w:rsidRPr="00471AE4">
        <w:rPr>
          <w:rStyle w:val="FootnoteReference"/>
        </w:rPr>
        <w:footnoteReference w:id="2"/>
      </w:r>
      <w:r w:rsidR="00BF6A19" w:rsidRPr="00471AE4">
        <w:t xml:space="preserve"> any party may move for </w:t>
      </w:r>
      <w:r w:rsidR="00BF6A19" w:rsidRPr="00471AE4">
        <w:rPr>
          <w:rStyle w:val="term1"/>
          <w:b w:val="0"/>
        </w:rPr>
        <w:t>summary judgment</w:t>
      </w:r>
      <w:r w:rsidR="00BF6A19" w:rsidRPr="00471AE4">
        <w:t xml:space="preserve">. </w:t>
      </w:r>
      <w:hyperlink r:id="rId9" w:history="1">
        <w:r w:rsidR="00BF6A19" w:rsidRPr="00471AE4">
          <w:rPr>
            <w:rStyle w:val="Hyperlink"/>
            <w:color w:val="auto"/>
          </w:rPr>
          <w:t>Pa. R.C.P. 1035.2</w:t>
        </w:r>
      </w:hyperlink>
      <w:r w:rsidR="00BF6A19" w:rsidRPr="00471AE4">
        <w:t xml:space="preserve">. </w:t>
      </w:r>
      <w:bookmarkStart w:id="2" w:name="clsccl2"/>
      <w:bookmarkEnd w:id="2"/>
      <w:r w:rsidR="00BF6A19" w:rsidRPr="00471AE4">
        <w:t xml:space="preserve">"Pennsylvania law provides that </w:t>
      </w:r>
      <w:r w:rsidR="00BF6A19" w:rsidRPr="00471AE4">
        <w:rPr>
          <w:rStyle w:val="term1"/>
          <w:b w:val="0"/>
        </w:rPr>
        <w:t>summary judgment</w:t>
      </w:r>
      <w:r w:rsidR="00BF6A19" w:rsidRPr="00471AE4">
        <w:t xml:space="preserve"> may be granted only in those cases in which the record clearly shows that no genuine issues of material fact exist and that the moving party is entitled to judgment as a matter of law." </w:t>
      </w:r>
      <w:hyperlink r:id="rId10" w:history="1">
        <w:proofErr w:type="gramStart"/>
        <w:r w:rsidR="00BF6A19" w:rsidRPr="00471AE4">
          <w:rPr>
            <w:rStyle w:val="Hyperlink"/>
            <w:i/>
            <w:color w:val="auto"/>
          </w:rPr>
          <w:t>Rausch v. Mike-Mayer</w:t>
        </w:r>
        <w:r w:rsidR="00BF6A19" w:rsidRPr="00471AE4">
          <w:rPr>
            <w:rStyle w:val="Hyperlink"/>
            <w:color w:val="auto"/>
          </w:rPr>
          <w:t>, 2001 P</w:t>
        </w:r>
        <w:r w:rsidR="009A5090">
          <w:rPr>
            <w:rStyle w:val="Hyperlink"/>
            <w:color w:val="auto"/>
          </w:rPr>
          <w:t>a.</w:t>
        </w:r>
        <w:r w:rsidR="00BF6A19" w:rsidRPr="00471AE4">
          <w:rPr>
            <w:rStyle w:val="Hyperlink"/>
            <w:color w:val="auto"/>
          </w:rPr>
          <w:t xml:space="preserve"> Su</w:t>
        </w:r>
        <w:r w:rsidR="009A5090">
          <w:rPr>
            <w:rStyle w:val="Hyperlink"/>
            <w:color w:val="auto"/>
          </w:rPr>
          <w:t>per 270, 783 A.2d 815, 821 (</w:t>
        </w:r>
        <w:proofErr w:type="spellStart"/>
        <w:r w:rsidR="009A5090">
          <w:rPr>
            <w:rStyle w:val="Hyperlink"/>
            <w:color w:val="auto"/>
          </w:rPr>
          <w:t>Pa.</w:t>
        </w:r>
        <w:r w:rsidR="00BF6A19" w:rsidRPr="00471AE4">
          <w:rPr>
            <w:rStyle w:val="Hyperlink"/>
            <w:color w:val="auto"/>
          </w:rPr>
          <w:t>Super</w:t>
        </w:r>
        <w:proofErr w:type="spellEnd"/>
        <w:r w:rsidR="00BF6A19" w:rsidRPr="00471AE4">
          <w:rPr>
            <w:rStyle w:val="Hyperlink"/>
            <w:color w:val="auto"/>
          </w:rPr>
          <w:t>. 2001)</w:t>
        </w:r>
      </w:hyperlink>
      <w:r w:rsidRPr="00471AE4">
        <w:t>.</w:t>
      </w:r>
      <w:proofErr w:type="gramEnd"/>
      <w:r w:rsidRPr="00471AE4">
        <w:t xml:space="preserve"> Furthermore, </w:t>
      </w:r>
      <w:r w:rsidR="00BF6A19" w:rsidRPr="00471AE4">
        <w:t xml:space="preserve">a grant of </w:t>
      </w:r>
      <w:r w:rsidR="00BF6A19" w:rsidRPr="00471AE4">
        <w:rPr>
          <w:rStyle w:val="term1"/>
          <w:b w:val="0"/>
        </w:rPr>
        <w:t>summary judgment</w:t>
      </w:r>
      <w:r w:rsidR="00BF6A19" w:rsidRPr="00471AE4">
        <w:t xml:space="preserve"> depends upon an </w:t>
      </w:r>
      <w:r w:rsidR="00BF6A19" w:rsidRPr="00471AE4">
        <w:rPr>
          <w:rStyle w:val="term1"/>
          <w:b w:val="0"/>
        </w:rPr>
        <w:t>evidentiary record</w:t>
      </w:r>
      <w:r w:rsidR="00BF6A19" w:rsidRPr="00471AE4">
        <w:t xml:space="preserve"> that </w:t>
      </w:r>
      <w:proofErr w:type="gramStart"/>
      <w:r w:rsidR="00BF6A19" w:rsidRPr="00471AE4">
        <w:t xml:space="preserve">either (1) shows the material facts are </w:t>
      </w:r>
      <w:r w:rsidR="00BF6A19" w:rsidRPr="00471AE4">
        <w:rPr>
          <w:rStyle w:val="term1"/>
          <w:b w:val="0"/>
        </w:rPr>
        <w:t>undisputed</w:t>
      </w:r>
      <w:r w:rsidR="00BF6A19" w:rsidRPr="00471AE4">
        <w:t xml:space="preserve"> or (2) contains </w:t>
      </w:r>
      <w:r w:rsidR="00BF6A19" w:rsidRPr="00471AE4">
        <w:rPr>
          <w:rStyle w:val="term1"/>
          <w:b w:val="0"/>
        </w:rPr>
        <w:t>insufficient evidence</w:t>
      </w:r>
      <w:r w:rsidR="00BF6A19" w:rsidRPr="00471AE4">
        <w:t xml:space="preserve"> of facts to make out a</w:t>
      </w:r>
      <w:r w:rsidR="00BF6A19" w:rsidRPr="00471AE4">
        <w:rPr>
          <w:b/>
        </w:rPr>
        <w:t xml:space="preserve"> </w:t>
      </w:r>
      <w:r w:rsidR="00BF6A19" w:rsidRPr="00471AE4">
        <w:rPr>
          <w:rStyle w:val="term1"/>
          <w:b w:val="0"/>
        </w:rPr>
        <w:t>prima facie cause of action</w:t>
      </w:r>
      <w:r w:rsidR="00BF6A19" w:rsidRPr="00471AE4">
        <w:t xml:space="preserve"> or defense and</w:t>
      </w:r>
      <w:proofErr w:type="gramEnd"/>
      <w:r w:rsidR="00BF6A19" w:rsidRPr="00471AE4">
        <w:t xml:space="preserve">, therefore, there is no issue to be </w:t>
      </w:r>
      <w:r w:rsidRPr="00471AE4">
        <w:t xml:space="preserve">decided. </w:t>
      </w:r>
      <w:r w:rsidR="00BF6A19" w:rsidRPr="00471AE4">
        <w:t xml:space="preserve"> </w:t>
      </w:r>
      <w:hyperlink r:id="rId11" w:history="1">
        <w:proofErr w:type="gramStart"/>
        <w:r w:rsidR="00BF6A19" w:rsidRPr="00471AE4">
          <w:rPr>
            <w:rStyle w:val="Hyperlink"/>
            <w:i/>
            <w:color w:val="auto"/>
          </w:rPr>
          <w:t xml:space="preserve">McCarthy v. Dan </w:t>
        </w:r>
        <w:proofErr w:type="spellStart"/>
        <w:r w:rsidR="00BF6A19" w:rsidRPr="00471AE4">
          <w:rPr>
            <w:rStyle w:val="Hyperlink"/>
            <w:i/>
            <w:color w:val="auto"/>
          </w:rPr>
          <w:t>Lepore</w:t>
        </w:r>
        <w:proofErr w:type="spellEnd"/>
        <w:r w:rsidR="00BF6A19" w:rsidRPr="00471AE4">
          <w:rPr>
            <w:rStyle w:val="Hyperlink"/>
            <w:i/>
            <w:color w:val="auto"/>
          </w:rPr>
          <w:t xml:space="preserve"> &amp; Sons Co., Inc</w:t>
        </w:r>
        <w:r w:rsidR="00BF6A19" w:rsidRPr="00471AE4">
          <w:rPr>
            <w:rStyle w:val="Hyperlink"/>
            <w:color w:val="auto"/>
          </w:rPr>
          <w:t>., 724 A.2d 938, 940 (Pa. Super. 1998).</w:t>
        </w:r>
        <w:proofErr w:type="gramEnd"/>
      </w:hyperlink>
      <w:r w:rsidR="00BF6A19" w:rsidRPr="00471AE4">
        <w:t xml:space="preserve"> The moving party bears the burden of proving that no genuine issues of material fact exist. </w:t>
      </w:r>
      <w:hyperlink r:id="rId12" w:history="1">
        <w:r w:rsidR="00BF6A19" w:rsidRPr="00471AE4">
          <w:rPr>
            <w:rStyle w:val="Hyperlink"/>
            <w:i/>
            <w:color w:val="auto"/>
          </w:rPr>
          <w:t>Rausch</w:t>
        </w:r>
        <w:r w:rsidR="00BF6A19" w:rsidRPr="00471AE4">
          <w:rPr>
            <w:rStyle w:val="Hyperlink"/>
            <w:color w:val="auto"/>
          </w:rPr>
          <w:t xml:space="preserve">, </w:t>
        </w:r>
        <w:proofErr w:type="gramStart"/>
        <w:r w:rsidR="00BF6A19" w:rsidRPr="00471AE4">
          <w:rPr>
            <w:rStyle w:val="Hyperlink"/>
            <w:color w:val="auto"/>
          </w:rPr>
          <w:t>783 A.2d at 821</w:t>
        </w:r>
        <w:proofErr w:type="gramEnd"/>
      </w:hyperlink>
      <w:r w:rsidR="00BF6A19" w:rsidRPr="00471AE4">
        <w:t>. The court then must view the record in the light most favorable to the non-moving party and resolve all doubts against the moving party.</w:t>
      </w:r>
      <w:r w:rsidRPr="00471AE4">
        <w:t xml:space="preserve"> </w:t>
      </w:r>
      <w:r w:rsidR="00BF6A19" w:rsidRPr="00471AE4">
        <w:t xml:space="preserve"> </w:t>
      </w:r>
      <w:r w:rsidRPr="00471AE4">
        <w:t xml:space="preserve">Pa. R. Civ. P. 1035.2. Otherwise, a disposition of the case on </w:t>
      </w:r>
      <w:r w:rsidRPr="00471AE4">
        <w:rPr>
          <w:bCs/>
        </w:rPr>
        <w:t>summary judgment</w:t>
      </w:r>
      <w:r w:rsidRPr="00471AE4">
        <w:t xml:space="preserve"> is improper.  </w:t>
      </w:r>
      <w:proofErr w:type="spellStart"/>
      <w:proofErr w:type="gramStart"/>
      <w:r w:rsidRPr="00471AE4">
        <w:rPr>
          <w:i/>
        </w:rPr>
        <w:t>Buchleitner</w:t>
      </w:r>
      <w:proofErr w:type="spellEnd"/>
      <w:r w:rsidRPr="00471AE4">
        <w:rPr>
          <w:i/>
        </w:rPr>
        <w:t xml:space="preserve"> v. </w:t>
      </w:r>
      <w:proofErr w:type="spellStart"/>
      <w:r w:rsidRPr="00471AE4">
        <w:rPr>
          <w:i/>
        </w:rPr>
        <w:t>Perer</w:t>
      </w:r>
      <w:proofErr w:type="spellEnd"/>
      <w:r w:rsidRPr="00471AE4">
        <w:rPr>
          <w:i/>
        </w:rPr>
        <w:t xml:space="preserve">, </w:t>
      </w:r>
      <w:r w:rsidRPr="00471AE4">
        <w:t>794 A.2d 366 (</w:t>
      </w:r>
      <w:proofErr w:type="spellStart"/>
      <w:r w:rsidRPr="00471AE4">
        <w:t>Pa.Super</w:t>
      </w:r>
      <w:proofErr w:type="spellEnd"/>
      <w:r w:rsidRPr="00471AE4">
        <w:t>. 2002)</w:t>
      </w:r>
      <w:r w:rsidR="00DE3BC3" w:rsidRPr="00471AE4">
        <w:t>.</w:t>
      </w:r>
      <w:proofErr w:type="gramEnd"/>
    </w:p>
    <w:p w:rsidR="00DE3BC3" w:rsidRPr="00471AE4" w:rsidRDefault="00DE3BC3" w:rsidP="00C829A6">
      <w:pPr>
        <w:jc w:val="left"/>
      </w:pPr>
    </w:p>
    <w:p w:rsidR="00DE3BC3" w:rsidRPr="00471AE4" w:rsidRDefault="00DE3BC3" w:rsidP="00C829A6">
      <w:pPr>
        <w:jc w:val="left"/>
      </w:pPr>
      <w:r w:rsidRPr="00471AE4">
        <w:tab/>
      </w:r>
      <w:r w:rsidRPr="00471AE4">
        <w:tab/>
      </w:r>
      <w:r w:rsidR="00C6562E" w:rsidRPr="00471AE4">
        <w:t xml:space="preserve">Respondent relies on the case of </w:t>
      </w:r>
      <w:r w:rsidR="00C6562E" w:rsidRPr="00471AE4">
        <w:rPr>
          <w:i/>
        </w:rPr>
        <w:t xml:space="preserve">Titus Wright v. Philadelphia Gas Works, </w:t>
      </w:r>
      <w:r w:rsidR="00C6562E" w:rsidRPr="00471AE4">
        <w:t xml:space="preserve">Docket No. C-2013-2368462 (Opinion and Order entered October 23, 2014) to support its claim that a duly filed certificate of satisfaction which is not the subject of objections will prevent the subsequent litigation of a complaint which has the same subject matter as that which had been satisfied.  A review of the </w:t>
      </w:r>
      <w:r w:rsidR="00C6562E" w:rsidRPr="00471AE4">
        <w:rPr>
          <w:i/>
        </w:rPr>
        <w:t>Wright</w:t>
      </w:r>
      <w:r w:rsidR="00C6562E" w:rsidRPr="00471AE4">
        <w:t xml:space="preserve"> case supports this claim, as Ordering Paragraph 2 reads:</w:t>
      </w:r>
    </w:p>
    <w:p w:rsidR="00C6562E" w:rsidRPr="00471AE4" w:rsidRDefault="00C6562E" w:rsidP="00C829A6">
      <w:pPr>
        <w:jc w:val="left"/>
      </w:pPr>
      <w:r w:rsidRPr="00471AE4">
        <w:tab/>
      </w:r>
    </w:p>
    <w:p w:rsidR="00C6562E" w:rsidRPr="00471AE4" w:rsidRDefault="00C6562E" w:rsidP="00C6562E">
      <w:pPr>
        <w:spacing w:line="240" w:lineRule="auto"/>
        <w:ind w:left="1440" w:right="1440"/>
        <w:jc w:val="left"/>
      </w:pPr>
      <w:r w:rsidRPr="00471AE4">
        <w:t>2.</w:t>
      </w:r>
      <w:r w:rsidRPr="00471AE4">
        <w:tab/>
        <w:t xml:space="preserve">That the Formal Complaint filed by Titus Wright at Docket No. C-2013-2368462, against Philadelphia Gas Works, is dismissed, with prejudice, as it was previously filed and resolved through an </w:t>
      </w:r>
      <w:proofErr w:type="spellStart"/>
      <w:r w:rsidRPr="00471AE4">
        <w:t>unobjected</w:t>
      </w:r>
      <w:proofErr w:type="spellEnd"/>
      <w:r w:rsidRPr="00471AE4">
        <w:t xml:space="preserve"> to Certificate of Satisfaction at Docket Nos. </w:t>
      </w:r>
      <w:proofErr w:type="gramStart"/>
      <w:r w:rsidRPr="00471AE4">
        <w:t>F-2010-2192191 and C-2011-2225996.</w:t>
      </w:r>
      <w:proofErr w:type="gramEnd"/>
    </w:p>
    <w:p w:rsidR="00C6562E" w:rsidRPr="00471AE4" w:rsidRDefault="00C6562E" w:rsidP="00EF6D3F">
      <w:pPr>
        <w:pStyle w:val="ListParagraph"/>
        <w:widowControl/>
        <w:spacing w:line="360" w:lineRule="auto"/>
        <w:ind w:left="0"/>
        <w:rPr>
          <w:sz w:val="26"/>
          <w:szCs w:val="26"/>
          <w:highlight w:val="green"/>
        </w:rPr>
      </w:pPr>
    </w:p>
    <w:p w:rsidR="00C6562E" w:rsidRPr="00471AE4" w:rsidRDefault="00C6562E" w:rsidP="00EF6D3F">
      <w:pPr>
        <w:jc w:val="left"/>
      </w:pPr>
      <w:r w:rsidRPr="00471AE4">
        <w:tab/>
      </w:r>
      <w:r w:rsidRPr="00471AE4">
        <w:tab/>
        <w:t xml:space="preserve">The Commission has stated that an </w:t>
      </w:r>
      <w:proofErr w:type="spellStart"/>
      <w:r w:rsidRPr="00471AE4">
        <w:t>unobjected</w:t>
      </w:r>
      <w:proofErr w:type="spellEnd"/>
      <w:r w:rsidRPr="00471AE4">
        <w:t xml:space="preserve"> to Certificate of Satisfaction will prevent the subsequent litigation of the same issues, and therefore, the Complainant here, by agreeing to the terms of the Certificate of Satisfaction in F-2014-</w:t>
      </w:r>
      <w:r w:rsidR="00403530" w:rsidRPr="00471AE4">
        <w:t>2453444,</w:t>
      </w:r>
      <w:r w:rsidRPr="00471AE4">
        <w:t xml:space="preserve"> is barred from </w:t>
      </w:r>
      <w:r w:rsidR="00403530" w:rsidRPr="00471AE4">
        <w:t xml:space="preserve">seeking a different result for the same balance in this formal proceeding.  </w:t>
      </w:r>
    </w:p>
    <w:p w:rsidR="00C74D99" w:rsidRPr="00471AE4" w:rsidRDefault="00C74D99" w:rsidP="00EF6D3F">
      <w:pPr>
        <w:jc w:val="left"/>
      </w:pPr>
    </w:p>
    <w:p w:rsidR="009C463A" w:rsidRPr="00471AE4" w:rsidRDefault="009C463A" w:rsidP="00EF6D3F">
      <w:pPr>
        <w:jc w:val="left"/>
      </w:pPr>
      <w:r w:rsidRPr="00471AE4">
        <w:tab/>
      </w:r>
      <w:r w:rsidRPr="00471AE4">
        <w:tab/>
        <w:t xml:space="preserve">Accordingly, </w:t>
      </w:r>
      <w:r w:rsidR="00403530" w:rsidRPr="00471AE4">
        <w:t xml:space="preserve">to continue the litigation, </w:t>
      </w:r>
      <w:r w:rsidRPr="00471AE4">
        <w:t>the</w:t>
      </w:r>
      <w:r w:rsidR="00403530" w:rsidRPr="00471AE4">
        <w:t xml:space="preserve"> Complainant, as the</w:t>
      </w:r>
      <w:r w:rsidRPr="00471AE4">
        <w:t xml:space="preserve"> non-moving party</w:t>
      </w:r>
      <w:r w:rsidR="00403530" w:rsidRPr="00471AE4">
        <w:t>,</w:t>
      </w:r>
      <w:r w:rsidRPr="00471AE4">
        <w:t xml:space="preserve"> must adduce sufficient evidence on an issue essential to its case and on which it bears the burden of proof such that a jury could return a verdict favorable to the non-moving party.  </w:t>
      </w:r>
      <w:proofErr w:type="spellStart"/>
      <w:r w:rsidRPr="00471AE4">
        <w:rPr>
          <w:i/>
        </w:rPr>
        <w:t>Basile</w:t>
      </w:r>
      <w:proofErr w:type="spellEnd"/>
      <w:r w:rsidRPr="00471AE4">
        <w:rPr>
          <w:i/>
        </w:rPr>
        <w:t xml:space="preserve"> v. H &amp; R Block, Inc., </w:t>
      </w:r>
      <w:r w:rsidRPr="00471AE4">
        <w:t>777 A.2d 95, (</w:t>
      </w:r>
      <w:proofErr w:type="spellStart"/>
      <w:r w:rsidRPr="00471AE4">
        <w:t>Pa.Super</w:t>
      </w:r>
      <w:proofErr w:type="spellEnd"/>
      <w:r w:rsidRPr="00471AE4">
        <w:t>. 2001</w:t>
      </w:r>
      <w:proofErr w:type="gramStart"/>
      <w:r w:rsidRPr="00471AE4">
        <w:t>)(</w:t>
      </w:r>
      <w:proofErr w:type="spellStart"/>
      <w:proofErr w:type="gramEnd"/>
      <w:r w:rsidRPr="00471AE4">
        <w:rPr>
          <w:i/>
        </w:rPr>
        <w:t>Basile</w:t>
      </w:r>
      <w:proofErr w:type="spellEnd"/>
      <w:r w:rsidRPr="00471AE4">
        <w:t xml:space="preserve">), cited by </w:t>
      </w:r>
      <w:r w:rsidRPr="00471AE4">
        <w:rPr>
          <w:i/>
        </w:rPr>
        <w:t xml:space="preserve">Shipley Fuels Marketing LLC v. </w:t>
      </w:r>
      <w:proofErr w:type="spellStart"/>
      <w:r w:rsidRPr="00471AE4">
        <w:rPr>
          <w:i/>
        </w:rPr>
        <w:t>Medrow</w:t>
      </w:r>
      <w:proofErr w:type="spellEnd"/>
      <w:r w:rsidRPr="00471AE4">
        <w:rPr>
          <w:i/>
        </w:rPr>
        <w:t xml:space="preserve">, </w:t>
      </w:r>
      <w:r w:rsidRPr="00471AE4">
        <w:t xml:space="preserve"> 37 A.3d 1215 (</w:t>
      </w:r>
      <w:proofErr w:type="spellStart"/>
      <w:r w:rsidRPr="00471AE4">
        <w:t>Pa.Super</w:t>
      </w:r>
      <w:proofErr w:type="spellEnd"/>
      <w:r w:rsidRPr="00471AE4">
        <w:t xml:space="preserve">. 2012).  Failure to do so entitles the respondent to summary judgement as a matter of law.  </w:t>
      </w:r>
      <w:proofErr w:type="spellStart"/>
      <w:proofErr w:type="gramStart"/>
      <w:r w:rsidRPr="00471AE4">
        <w:rPr>
          <w:i/>
        </w:rPr>
        <w:t>Ertel</w:t>
      </w:r>
      <w:proofErr w:type="spellEnd"/>
      <w:r w:rsidRPr="00471AE4">
        <w:rPr>
          <w:i/>
        </w:rPr>
        <w:t xml:space="preserve"> v. Patriot-News Co., </w:t>
      </w:r>
      <w:r w:rsidRPr="00471AE4">
        <w:t>674 A.2d 1038 (Pa. 1996);</w:t>
      </w:r>
      <w:r w:rsidR="00C829A6" w:rsidRPr="00471AE4">
        <w:t xml:space="preserve"> </w:t>
      </w:r>
      <w:proofErr w:type="spellStart"/>
      <w:r w:rsidRPr="00471AE4">
        <w:rPr>
          <w:i/>
        </w:rPr>
        <w:t>Basile</w:t>
      </w:r>
      <w:proofErr w:type="spellEnd"/>
      <w:r w:rsidRPr="00471AE4">
        <w:rPr>
          <w:i/>
        </w:rPr>
        <w:t>.</w:t>
      </w:r>
      <w:proofErr w:type="gramEnd"/>
      <w:r w:rsidRPr="00471AE4">
        <w:rPr>
          <w:i/>
        </w:rPr>
        <w:t xml:space="preserve">  See also </w:t>
      </w:r>
      <w:proofErr w:type="spellStart"/>
      <w:r w:rsidRPr="00471AE4">
        <w:rPr>
          <w:i/>
        </w:rPr>
        <w:t>Montagazzi</w:t>
      </w:r>
      <w:proofErr w:type="spellEnd"/>
      <w:r w:rsidRPr="00471AE4">
        <w:rPr>
          <w:i/>
        </w:rPr>
        <w:t xml:space="preserve"> v. </w:t>
      </w:r>
      <w:proofErr w:type="spellStart"/>
      <w:r w:rsidRPr="00471AE4">
        <w:rPr>
          <w:i/>
        </w:rPr>
        <w:t>Crisci</w:t>
      </w:r>
      <w:proofErr w:type="spellEnd"/>
      <w:r w:rsidRPr="00471AE4">
        <w:rPr>
          <w:i/>
        </w:rPr>
        <w:t xml:space="preserve">, </w:t>
      </w:r>
      <w:r w:rsidRPr="00471AE4">
        <w:t>994 A.2d 626 (</w:t>
      </w:r>
      <w:proofErr w:type="spellStart"/>
      <w:r w:rsidRPr="00471AE4">
        <w:t>Pa.Super</w:t>
      </w:r>
      <w:proofErr w:type="spellEnd"/>
      <w:r w:rsidRPr="00471AE4">
        <w:t xml:space="preserve">. 2010).   </w:t>
      </w:r>
      <w:r w:rsidR="00C829A6" w:rsidRPr="00471AE4">
        <w:t>Here, the Complainant has not provided any response at all, thus failing to sustain his burden of providing sufficient evidentiary claim to support a finding in his favor.</w:t>
      </w:r>
    </w:p>
    <w:p w:rsidR="00663670" w:rsidRPr="00471AE4" w:rsidRDefault="00663670" w:rsidP="00EF6D3F">
      <w:pPr>
        <w:jc w:val="left"/>
      </w:pPr>
    </w:p>
    <w:p w:rsidR="00403530" w:rsidRPr="00471AE4" w:rsidRDefault="00403530" w:rsidP="00EF6D3F">
      <w:pPr>
        <w:jc w:val="left"/>
      </w:pPr>
      <w:r w:rsidRPr="00471AE4">
        <w:tab/>
      </w:r>
      <w:r w:rsidRPr="00471AE4">
        <w:tab/>
        <w:t xml:space="preserve">Therefore, as there is no factual issue pertinent to the ultimate resolution of this proceeding, it is not necessary to hold a hearing.  The Commission may dismiss any complaint without a hearing if, in its opinion, a hearing is not necessary in the public interest. </w:t>
      </w:r>
      <w:proofErr w:type="gramStart"/>
      <w:r w:rsidRPr="00471AE4">
        <w:t>66 Pa.Code</w:t>
      </w:r>
      <w:proofErr w:type="gramEnd"/>
      <w:r w:rsidRPr="00471AE4">
        <w:t xml:space="preserve"> </w:t>
      </w:r>
    </w:p>
    <w:p w:rsidR="00403530" w:rsidRPr="00471AE4" w:rsidRDefault="00403530" w:rsidP="00EF6D3F">
      <w:pPr>
        <w:jc w:val="left"/>
      </w:pPr>
      <w:r w:rsidRPr="00471AE4">
        <w:t xml:space="preserve">§ 703(b); </w:t>
      </w:r>
      <w:r w:rsidRPr="00471AE4">
        <w:rPr>
          <w:i/>
        </w:rPr>
        <w:t>s</w:t>
      </w:r>
      <w:r w:rsidRPr="00471AE4">
        <w:rPr>
          <w:i/>
          <w:iCs/>
        </w:rPr>
        <w:t>ee also</w:t>
      </w:r>
      <w:r w:rsidRPr="00471AE4">
        <w:t xml:space="preserve">, </w:t>
      </w:r>
      <w:hyperlink r:id="rId13" w:history="1">
        <w:r w:rsidRPr="00471AE4">
          <w:rPr>
            <w:rStyle w:val="Hyperlink"/>
            <w:color w:val="auto"/>
          </w:rPr>
          <w:t>52 Pa. Code § 5.21(d)</w:t>
        </w:r>
      </w:hyperlink>
      <w:r w:rsidRPr="00471AE4">
        <w:t>.   The Motion for Summary Judgment is granted, and the Complaint is dismissed.</w:t>
      </w:r>
    </w:p>
    <w:p w:rsidR="00201174" w:rsidRPr="00471AE4" w:rsidRDefault="00201174" w:rsidP="00EF6D3F">
      <w:pPr>
        <w:jc w:val="left"/>
      </w:pPr>
    </w:p>
    <w:p w:rsidR="00201174" w:rsidRPr="00471AE4" w:rsidRDefault="00201174" w:rsidP="00201174">
      <w:pPr>
        <w:rPr>
          <w:u w:val="single"/>
        </w:rPr>
      </w:pPr>
      <w:r w:rsidRPr="00471AE4">
        <w:rPr>
          <w:u w:val="single"/>
        </w:rPr>
        <w:t>CONCLUSIONS OF LAW</w:t>
      </w:r>
    </w:p>
    <w:p w:rsidR="00663670" w:rsidRPr="00471AE4" w:rsidRDefault="00663670" w:rsidP="00EF6D3F">
      <w:pPr>
        <w:jc w:val="left"/>
        <w:rPr>
          <w:u w:val="single"/>
        </w:rPr>
      </w:pPr>
    </w:p>
    <w:p w:rsidR="00403530" w:rsidRPr="00471AE4" w:rsidRDefault="00663670" w:rsidP="00EF6D3F">
      <w:pPr>
        <w:jc w:val="left"/>
      </w:pPr>
      <w:r w:rsidRPr="00471AE4">
        <w:tab/>
      </w:r>
      <w:r w:rsidRPr="00471AE4">
        <w:tab/>
      </w:r>
      <w:r w:rsidR="00403530" w:rsidRPr="00471AE4">
        <w:t>1.</w:t>
      </w:r>
      <w:r w:rsidR="00403530" w:rsidRPr="00471AE4">
        <w:tab/>
        <w:t xml:space="preserve">The Commission has jurisdiction over the parties and the subject matter of this case.  </w:t>
      </w:r>
      <w:proofErr w:type="gramStart"/>
      <w:r w:rsidR="00403530" w:rsidRPr="00471AE4">
        <w:t>66 Pa.C.S.</w:t>
      </w:r>
      <w:proofErr w:type="gramEnd"/>
      <w:r w:rsidR="00403530" w:rsidRPr="00471AE4">
        <w:t xml:space="preserve"> </w:t>
      </w:r>
      <w:proofErr w:type="gramStart"/>
      <w:r w:rsidR="00403530" w:rsidRPr="00471AE4">
        <w:t>§§ 102, 701, 1501.</w:t>
      </w:r>
      <w:proofErr w:type="gramEnd"/>
    </w:p>
    <w:p w:rsidR="00403530" w:rsidRPr="00471AE4" w:rsidRDefault="00403530" w:rsidP="00EF6D3F">
      <w:pPr>
        <w:jc w:val="left"/>
      </w:pPr>
    </w:p>
    <w:p w:rsidR="00403530" w:rsidRPr="00471AE4" w:rsidRDefault="00403530" w:rsidP="00EF6D3F">
      <w:pPr>
        <w:tabs>
          <w:tab w:val="left" w:pos="-1440"/>
          <w:tab w:val="left" w:pos="-720"/>
        </w:tabs>
        <w:suppressAutoHyphens/>
        <w:ind w:firstLine="1440"/>
        <w:jc w:val="left"/>
      </w:pPr>
      <w:r w:rsidRPr="00471AE4">
        <w:t>2.</w:t>
      </w:r>
      <w:r w:rsidRPr="00471AE4">
        <w:tab/>
        <w:t xml:space="preserve">Complainant has the burden of proving that he is entitled to relief from the Commission.  </w:t>
      </w:r>
      <w:proofErr w:type="gramStart"/>
      <w:r w:rsidRPr="00471AE4">
        <w:t>66 Pa.C.S.</w:t>
      </w:r>
      <w:proofErr w:type="gramEnd"/>
      <w:r w:rsidRPr="00471AE4">
        <w:t xml:space="preserve"> § 332(a).</w:t>
      </w:r>
    </w:p>
    <w:p w:rsidR="00403530" w:rsidRPr="00471AE4" w:rsidRDefault="00403530" w:rsidP="00EF6D3F">
      <w:pPr>
        <w:tabs>
          <w:tab w:val="left" w:pos="-1440"/>
          <w:tab w:val="left" w:pos="-720"/>
        </w:tabs>
        <w:suppressAutoHyphens/>
        <w:ind w:firstLine="1440"/>
        <w:jc w:val="left"/>
      </w:pPr>
    </w:p>
    <w:p w:rsidR="00403530" w:rsidRPr="00471AE4" w:rsidRDefault="00403530" w:rsidP="00EF6D3F">
      <w:pPr>
        <w:tabs>
          <w:tab w:val="left" w:pos="-1440"/>
          <w:tab w:val="left" w:pos="-720"/>
        </w:tabs>
        <w:suppressAutoHyphens/>
        <w:ind w:firstLine="1440"/>
        <w:jc w:val="left"/>
        <w:rPr>
          <w:spacing w:val="-3"/>
        </w:rPr>
      </w:pPr>
      <w:r w:rsidRPr="00471AE4">
        <w:t>3.</w:t>
      </w:r>
      <w:r w:rsidRPr="00471AE4">
        <w:tab/>
        <w:t xml:space="preserve">“Burden of proof” means the duty to establish one’s case by a preponderance of the evidence, which requires that the evidence be more convincing than that presented by the other party.  </w:t>
      </w:r>
      <w:proofErr w:type="gramStart"/>
      <w:r w:rsidRPr="00471AE4">
        <w:rPr>
          <w:i/>
          <w:spacing w:val="-3"/>
        </w:rPr>
        <w:t>Samuel J. Lansberry, Inc. v. Pa. Pub.</w:t>
      </w:r>
      <w:proofErr w:type="gramEnd"/>
      <w:r w:rsidRPr="00471AE4">
        <w:rPr>
          <w:i/>
          <w:spacing w:val="-3"/>
        </w:rPr>
        <w:t xml:space="preserve"> </w:t>
      </w:r>
      <w:proofErr w:type="gramStart"/>
      <w:r w:rsidRPr="00471AE4">
        <w:rPr>
          <w:i/>
          <w:spacing w:val="-3"/>
        </w:rPr>
        <w:t>Util. Comm’n</w:t>
      </w:r>
      <w:r w:rsidRPr="00471AE4">
        <w:rPr>
          <w:spacing w:val="-3"/>
        </w:rPr>
        <w:t xml:space="preserve">, 578 A.2d 600; 602 (Pa.Cmwlth. 1990), </w:t>
      </w:r>
      <w:r w:rsidRPr="00471AE4">
        <w:rPr>
          <w:i/>
          <w:iCs/>
          <w:spacing w:val="-3"/>
        </w:rPr>
        <w:t>alloc.</w:t>
      </w:r>
      <w:proofErr w:type="gramEnd"/>
      <w:r w:rsidRPr="00471AE4">
        <w:rPr>
          <w:i/>
          <w:iCs/>
          <w:spacing w:val="-3"/>
        </w:rPr>
        <w:t xml:space="preserve"> </w:t>
      </w:r>
      <w:proofErr w:type="gramStart"/>
      <w:r w:rsidRPr="00471AE4">
        <w:rPr>
          <w:i/>
          <w:iCs/>
          <w:spacing w:val="-3"/>
        </w:rPr>
        <w:t>denied</w:t>
      </w:r>
      <w:proofErr w:type="gramEnd"/>
      <w:r w:rsidRPr="00471AE4">
        <w:rPr>
          <w:iCs/>
          <w:spacing w:val="-3"/>
        </w:rPr>
        <w:t>,</w:t>
      </w:r>
      <w:r w:rsidRPr="00471AE4">
        <w:rPr>
          <w:spacing w:val="-3"/>
        </w:rPr>
        <w:t xml:space="preserve"> 602 A.2d 863 (Pa. 1992).</w:t>
      </w:r>
    </w:p>
    <w:p w:rsidR="00403530" w:rsidRPr="00471AE4" w:rsidRDefault="00403530" w:rsidP="00EF6D3F">
      <w:pPr>
        <w:tabs>
          <w:tab w:val="left" w:pos="-1440"/>
          <w:tab w:val="left" w:pos="-720"/>
        </w:tabs>
        <w:suppressAutoHyphens/>
        <w:ind w:firstLine="1440"/>
        <w:jc w:val="left"/>
        <w:rPr>
          <w:spacing w:val="-3"/>
        </w:rPr>
      </w:pPr>
    </w:p>
    <w:p w:rsidR="00403530" w:rsidRPr="00471AE4" w:rsidRDefault="00403530" w:rsidP="00EF6D3F">
      <w:pPr>
        <w:tabs>
          <w:tab w:val="left" w:pos="-1440"/>
          <w:tab w:val="left" w:pos="-720"/>
        </w:tabs>
        <w:suppressAutoHyphens/>
        <w:ind w:firstLine="1440"/>
        <w:jc w:val="left"/>
        <w:rPr>
          <w:spacing w:val="-3"/>
        </w:rPr>
      </w:pPr>
      <w:r w:rsidRPr="00471AE4">
        <w:rPr>
          <w:spacing w:val="-3"/>
        </w:rPr>
        <w:t>4.</w:t>
      </w:r>
      <w:r w:rsidRPr="00471AE4">
        <w:rPr>
          <w:spacing w:val="-3"/>
        </w:rPr>
        <w:tab/>
        <w:t xml:space="preserve">In addition, the Commission’s findings of fact must be supported by “substantial evidence,” which consists of evidence that a reasonable mind might accept as adequate to support a conclusion.  A mere “trace of evidence or a suspicion of the existence of a fact” is insufficient.  </w:t>
      </w:r>
      <w:proofErr w:type="gramStart"/>
      <w:r w:rsidRPr="00471AE4">
        <w:rPr>
          <w:i/>
          <w:spacing w:val="-3"/>
        </w:rPr>
        <w:t>Norfolk and Western Railway v. Pa. Pub.</w:t>
      </w:r>
      <w:proofErr w:type="gramEnd"/>
      <w:r w:rsidRPr="00471AE4">
        <w:rPr>
          <w:i/>
          <w:spacing w:val="-3"/>
        </w:rPr>
        <w:t xml:space="preserve"> </w:t>
      </w:r>
      <w:proofErr w:type="gramStart"/>
      <w:r w:rsidRPr="00471AE4">
        <w:rPr>
          <w:i/>
          <w:spacing w:val="-3"/>
        </w:rPr>
        <w:t>Util. Comm’n</w:t>
      </w:r>
      <w:r w:rsidRPr="00471AE4">
        <w:rPr>
          <w:spacing w:val="-3"/>
        </w:rPr>
        <w:t>, 413 A.2d 1037 (Pa. 1980).</w:t>
      </w:r>
      <w:proofErr w:type="gramEnd"/>
    </w:p>
    <w:p w:rsidR="00403530" w:rsidRPr="00471AE4" w:rsidRDefault="00403530" w:rsidP="00EF6D3F">
      <w:pPr>
        <w:tabs>
          <w:tab w:val="left" w:pos="-1440"/>
          <w:tab w:val="left" w:pos="-720"/>
        </w:tabs>
        <w:suppressAutoHyphens/>
        <w:ind w:firstLine="1440"/>
        <w:jc w:val="left"/>
        <w:rPr>
          <w:spacing w:val="-3"/>
        </w:rPr>
      </w:pPr>
    </w:p>
    <w:p w:rsidR="00403530" w:rsidRPr="00471AE4" w:rsidRDefault="00403530" w:rsidP="00EF6D3F">
      <w:pPr>
        <w:tabs>
          <w:tab w:val="left" w:pos="-1440"/>
          <w:tab w:val="left" w:pos="-720"/>
        </w:tabs>
        <w:suppressAutoHyphens/>
        <w:ind w:firstLine="1440"/>
        <w:jc w:val="left"/>
        <w:rPr>
          <w:spacing w:val="-3"/>
        </w:rPr>
      </w:pPr>
      <w:r w:rsidRPr="00471AE4">
        <w:rPr>
          <w:spacing w:val="-3"/>
        </w:rPr>
        <w:t>5.</w:t>
      </w:r>
      <w:r w:rsidRPr="00471AE4">
        <w:rPr>
          <w:spacing w:val="-3"/>
        </w:rPr>
        <w:tab/>
        <w:t xml:space="preserve">Complainant must initially produce sufficient credible evidence to establish a prima facie case.  </w:t>
      </w:r>
      <w:r w:rsidRPr="00471AE4">
        <w:rPr>
          <w:i/>
          <w:spacing w:val="-3"/>
        </w:rPr>
        <w:t>Morrissey v. Dep’t of Highways</w:t>
      </w:r>
      <w:r w:rsidRPr="00471AE4">
        <w:rPr>
          <w:spacing w:val="-3"/>
        </w:rPr>
        <w:t>, 225 A.2d 895</w:t>
      </w:r>
      <w:r w:rsidR="004F1F58" w:rsidRPr="00471AE4">
        <w:rPr>
          <w:spacing w:val="-3"/>
        </w:rPr>
        <w:t xml:space="preserve"> </w:t>
      </w:r>
      <w:proofErr w:type="gramStart"/>
      <w:r w:rsidR="004F1F58" w:rsidRPr="00471AE4">
        <w:rPr>
          <w:spacing w:val="-3"/>
        </w:rPr>
        <w:t>(</w:t>
      </w:r>
      <w:r w:rsidRPr="00471AE4">
        <w:rPr>
          <w:spacing w:val="-3"/>
        </w:rPr>
        <w:t xml:space="preserve"> </w:t>
      </w:r>
      <w:r w:rsidR="004F1F58" w:rsidRPr="00471AE4">
        <w:rPr>
          <w:spacing w:val="-3"/>
        </w:rPr>
        <w:t>Pa</w:t>
      </w:r>
      <w:proofErr w:type="gramEnd"/>
      <w:r w:rsidR="004F1F58" w:rsidRPr="00471AE4">
        <w:rPr>
          <w:spacing w:val="-3"/>
        </w:rPr>
        <w:t xml:space="preserve">. </w:t>
      </w:r>
      <w:r w:rsidRPr="00471AE4">
        <w:rPr>
          <w:spacing w:val="-3"/>
        </w:rPr>
        <w:t xml:space="preserve">1967).  If Complainant does so, the burden of going forward with evidence shifts to Respondent to produce credible evidence of at least co-equal weight.  This burden of going forward with evidence may shift back and forth between the parties, but the ultimate burden of persuasion remains with Complainant.  </w:t>
      </w:r>
      <w:proofErr w:type="spellStart"/>
      <w:proofErr w:type="gramStart"/>
      <w:r w:rsidRPr="00471AE4">
        <w:rPr>
          <w:i/>
          <w:spacing w:val="-3"/>
        </w:rPr>
        <w:t>Milkie</w:t>
      </w:r>
      <w:proofErr w:type="spellEnd"/>
      <w:r w:rsidRPr="00471AE4">
        <w:rPr>
          <w:i/>
          <w:spacing w:val="-3"/>
        </w:rPr>
        <w:t xml:space="preserve"> v. Pa. Pub.</w:t>
      </w:r>
      <w:proofErr w:type="gramEnd"/>
      <w:r w:rsidRPr="00471AE4">
        <w:rPr>
          <w:i/>
          <w:spacing w:val="-3"/>
        </w:rPr>
        <w:t xml:space="preserve"> </w:t>
      </w:r>
      <w:proofErr w:type="gramStart"/>
      <w:r w:rsidRPr="00471AE4">
        <w:rPr>
          <w:i/>
          <w:spacing w:val="-3"/>
        </w:rPr>
        <w:t>Util. Comm’n</w:t>
      </w:r>
      <w:r w:rsidRPr="00471AE4">
        <w:rPr>
          <w:spacing w:val="-3"/>
        </w:rPr>
        <w:t>, 768 A.2d 1217 (Pa.Cmwlth. 2001).</w:t>
      </w:r>
      <w:proofErr w:type="gramEnd"/>
    </w:p>
    <w:p w:rsidR="00403530" w:rsidRPr="00471AE4" w:rsidRDefault="00403530" w:rsidP="00EF6D3F">
      <w:pPr>
        <w:tabs>
          <w:tab w:val="left" w:pos="-1440"/>
          <w:tab w:val="left" w:pos="-720"/>
        </w:tabs>
        <w:suppressAutoHyphens/>
        <w:ind w:firstLine="1440"/>
        <w:jc w:val="left"/>
        <w:rPr>
          <w:spacing w:val="-3"/>
        </w:rPr>
      </w:pPr>
    </w:p>
    <w:p w:rsidR="00403530" w:rsidRPr="00471AE4" w:rsidRDefault="00403530" w:rsidP="00EF6D3F">
      <w:pPr>
        <w:tabs>
          <w:tab w:val="left" w:pos="-1440"/>
          <w:tab w:val="left" w:pos="-720"/>
        </w:tabs>
        <w:suppressAutoHyphens/>
        <w:ind w:firstLine="1440"/>
        <w:jc w:val="left"/>
        <w:rPr>
          <w:spacing w:val="-3"/>
        </w:rPr>
      </w:pPr>
      <w:r w:rsidRPr="00471AE4">
        <w:rPr>
          <w:spacing w:val="-3"/>
        </w:rPr>
        <w:t>6.</w:t>
      </w:r>
      <w:r w:rsidRPr="00471AE4">
        <w:rPr>
          <w:spacing w:val="-3"/>
        </w:rPr>
        <w:tab/>
        <w:t xml:space="preserve">Parties may make motions seeking to dismiss the other party’s case summarily.  </w:t>
      </w:r>
      <w:proofErr w:type="gramStart"/>
      <w:r w:rsidRPr="00471AE4">
        <w:rPr>
          <w:spacing w:val="-3"/>
        </w:rPr>
        <w:t>66 Pa.C.S.</w:t>
      </w:r>
      <w:proofErr w:type="gramEnd"/>
      <w:r w:rsidRPr="00471AE4">
        <w:rPr>
          <w:spacing w:val="-3"/>
        </w:rPr>
        <w:t xml:space="preserve"> </w:t>
      </w:r>
      <w:proofErr w:type="gramStart"/>
      <w:r w:rsidRPr="00471AE4">
        <w:rPr>
          <w:spacing w:val="-3"/>
        </w:rPr>
        <w:t>§§ 5.101-5.103.</w:t>
      </w:r>
      <w:proofErr w:type="gramEnd"/>
    </w:p>
    <w:p w:rsidR="00403530" w:rsidRPr="00471AE4" w:rsidRDefault="00403530" w:rsidP="00EF6D3F">
      <w:pPr>
        <w:tabs>
          <w:tab w:val="left" w:pos="-1440"/>
          <w:tab w:val="left" w:pos="-720"/>
        </w:tabs>
        <w:suppressAutoHyphens/>
        <w:ind w:firstLine="1440"/>
        <w:jc w:val="left"/>
        <w:rPr>
          <w:spacing w:val="-3"/>
        </w:rPr>
      </w:pPr>
    </w:p>
    <w:p w:rsidR="00403530" w:rsidRPr="00471AE4" w:rsidRDefault="00403530" w:rsidP="00EF6D3F">
      <w:pPr>
        <w:tabs>
          <w:tab w:val="left" w:pos="-1440"/>
          <w:tab w:val="left" w:pos="-720"/>
        </w:tabs>
        <w:suppressAutoHyphens/>
        <w:ind w:firstLine="1440"/>
        <w:jc w:val="left"/>
        <w:rPr>
          <w:spacing w:val="-3"/>
        </w:rPr>
      </w:pPr>
      <w:r w:rsidRPr="00471AE4">
        <w:rPr>
          <w:spacing w:val="-3"/>
        </w:rPr>
        <w:lastRenderedPageBreak/>
        <w:t>7.</w:t>
      </w:r>
      <w:r w:rsidRPr="00471AE4">
        <w:rPr>
          <w:spacing w:val="-3"/>
        </w:rPr>
        <w:tab/>
        <w:t xml:space="preserve">A utility may file a Certificate of Satisfaction in a case, indicating that a complaint has been satisfactorily resolved.  A complainant then has ten (10) days in which to object to the Certificate, and if no objection is filed, the matter is closed.  </w:t>
      </w:r>
      <w:proofErr w:type="gramStart"/>
      <w:r w:rsidRPr="00471AE4">
        <w:rPr>
          <w:spacing w:val="-3"/>
        </w:rPr>
        <w:t>52 Pa.Code § 5.24(b).</w:t>
      </w:r>
      <w:proofErr w:type="gramEnd"/>
    </w:p>
    <w:p w:rsidR="00403530" w:rsidRPr="00471AE4" w:rsidRDefault="00403530" w:rsidP="00EF6D3F">
      <w:pPr>
        <w:tabs>
          <w:tab w:val="left" w:pos="-1440"/>
          <w:tab w:val="left" w:pos="-720"/>
        </w:tabs>
        <w:suppressAutoHyphens/>
        <w:ind w:firstLine="1440"/>
        <w:jc w:val="left"/>
        <w:rPr>
          <w:spacing w:val="-3"/>
        </w:rPr>
      </w:pPr>
    </w:p>
    <w:p w:rsidR="00403530" w:rsidRPr="00471AE4" w:rsidRDefault="00403530" w:rsidP="00EF6D3F">
      <w:pPr>
        <w:tabs>
          <w:tab w:val="left" w:pos="-1440"/>
          <w:tab w:val="left" w:pos="-720"/>
        </w:tabs>
        <w:suppressAutoHyphens/>
        <w:ind w:firstLine="1440"/>
        <w:jc w:val="left"/>
        <w:rPr>
          <w:spacing w:val="-3"/>
        </w:rPr>
      </w:pPr>
      <w:r w:rsidRPr="00471AE4">
        <w:rPr>
          <w:spacing w:val="-3"/>
        </w:rPr>
        <w:t>8.</w:t>
      </w:r>
      <w:r w:rsidRPr="00471AE4">
        <w:rPr>
          <w:spacing w:val="-3"/>
        </w:rPr>
        <w:tab/>
        <w:t>Section 316 of the Public Utility Code, 66 Pa.C.S</w:t>
      </w:r>
      <w:r w:rsidR="00C74D99" w:rsidRPr="00471AE4">
        <w:rPr>
          <w:spacing w:val="-3"/>
        </w:rPr>
        <w:t>§</w:t>
      </w:r>
      <w:r w:rsidRPr="00471AE4">
        <w:rPr>
          <w:spacing w:val="-3"/>
        </w:rPr>
        <w:t xml:space="preserve">. 316, operates to preclude litigants from pursuing the same claims that have been conclusively resolved before the Commission, through an </w:t>
      </w:r>
      <w:proofErr w:type="spellStart"/>
      <w:r w:rsidRPr="00471AE4">
        <w:rPr>
          <w:spacing w:val="-3"/>
        </w:rPr>
        <w:t>unobjected</w:t>
      </w:r>
      <w:proofErr w:type="spellEnd"/>
      <w:r w:rsidRPr="00471AE4">
        <w:rPr>
          <w:spacing w:val="-3"/>
        </w:rPr>
        <w:t xml:space="preserve"> to Certificate of Satisfaction.  </w:t>
      </w:r>
      <w:r w:rsidRPr="00471AE4">
        <w:rPr>
          <w:i/>
          <w:spacing w:val="-3"/>
        </w:rPr>
        <w:t>James E. Creehan v. Duquesne Light Company</w:t>
      </w:r>
      <w:r w:rsidRPr="00471AE4">
        <w:rPr>
          <w:spacing w:val="-3"/>
        </w:rPr>
        <w:t xml:space="preserve">, Docket No. C-2012-2297124 </w:t>
      </w:r>
      <w:r w:rsidR="0081049B">
        <w:rPr>
          <w:spacing w:val="-3"/>
        </w:rPr>
        <w:t>(</w:t>
      </w:r>
      <w:r w:rsidRPr="00471AE4">
        <w:rPr>
          <w:spacing w:val="-3"/>
        </w:rPr>
        <w:t>Opinion and Order entered May 23, 2013</w:t>
      </w:r>
      <w:r w:rsidR="0081049B">
        <w:rPr>
          <w:spacing w:val="-3"/>
        </w:rPr>
        <w:t>)</w:t>
      </w:r>
      <w:r w:rsidRPr="00471AE4">
        <w:rPr>
          <w:spacing w:val="-3"/>
        </w:rPr>
        <w:t xml:space="preserve">; </w:t>
      </w:r>
      <w:r w:rsidRPr="00471AE4">
        <w:rPr>
          <w:i/>
          <w:spacing w:val="-3"/>
        </w:rPr>
        <w:t>Lorrie Reynolds v. PPL Electric Utilities Corporation</w:t>
      </w:r>
      <w:r w:rsidRPr="00471AE4">
        <w:rPr>
          <w:spacing w:val="-3"/>
        </w:rPr>
        <w:t>, Docket No. C-2011-2255268</w:t>
      </w:r>
      <w:r w:rsidR="0081049B">
        <w:rPr>
          <w:spacing w:val="-3"/>
        </w:rPr>
        <w:t xml:space="preserve"> (</w:t>
      </w:r>
      <w:r w:rsidRPr="00471AE4">
        <w:rPr>
          <w:spacing w:val="-3"/>
        </w:rPr>
        <w:t>Opinion and Order entered January 5, 2012</w:t>
      </w:r>
      <w:r w:rsidR="0081049B">
        <w:rPr>
          <w:spacing w:val="-3"/>
        </w:rPr>
        <w:t>)</w:t>
      </w:r>
      <w:r w:rsidRPr="00471AE4">
        <w:rPr>
          <w:spacing w:val="-3"/>
        </w:rPr>
        <w:t>.</w:t>
      </w:r>
    </w:p>
    <w:p w:rsidR="00403530" w:rsidRPr="00471AE4" w:rsidRDefault="00403530" w:rsidP="00EF6D3F">
      <w:pPr>
        <w:tabs>
          <w:tab w:val="left" w:pos="-1440"/>
          <w:tab w:val="left" w:pos="-720"/>
        </w:tabs>
        <w:suppressAutoHyphens/>
        <w:ind w:firstLine="1440"/>
        <w:jc w:val="left"/>
        <w:rPr>
          <w:spacing w:val="-3"/>
        </w:rPr>
      </w:pPr>
    </w:p>
    <w:p w:rsidR="00403530" w:rsidRPr="00471AE4" w:rsidRDefault="00403530" w:rsidP="00EF6D3F">
      <w:pPr>
        <w:tabs>
          <w:tab w:val="left" w:pos="-1440"/>
          <w:tab w:val="left" w:pos="-720"/>
        </w:tabs>
        <w:suppressAutoHyphens/>
        <w:ind w:firstLine="1440"/>
        <w:jc w:val="left"/>
        <w:rPr>
          <w:spacing w:val="-3"/>
        </w:rPr>
      </w:pPr>
      <w:r w:rsidRPr="00471AE4">
        <w:rPr>
          <w:spacing w:val="-3"/>
        </w:rPr>
        <w:t>9.</w:t>
      </w:r>
      <w:r w:rsidRPr="00471AE4">
        <w:rPr>
          <w:spacing w:val="-3"/>
        </w:rPr>
        <w:tab/>
        <w:t xml:space="preserve">A complainant cannot accept a prior settlement credit in a case, fail to object to the Certificate of Satisfaction, and then file a second complaint to pursue the same claims.  </w:t>
      </w:r>
      <w:r w:rsidRPr="00471AE4">
        <w:rPr>
          <w:i/>
          <w:spacing w:val="-3"/>
        </w:rPr>
        <w:t>James E. Creehan v. Duquesne Light Company</w:t>
      </w:r>
      <w:r w:rsidRPr="00471AE4">
        <w:rPr>
          <w:spacing w:val="-3"/>
        </w:rPr>
        <w:t>, Docket No. C-2012-2297124</w:t>
      </w:r>
      <w:r w:rsidR="0081049B">
        <w:rPr>
          <w:spacing w:val="-3"/>
        </w:rPr>
        <w:t xml:space="preserve"> (</w:t>
      </w:r>
      <w:r w:rsidRPr="00471AE4">
        <w:rPr>
          <w:spacing w:val="-3"/>
        </w:rPr>
        <w:t>Opinion and Order entered May 23, 2013</w:t>
      </w:r>
      <w:r w:rsidR="0081049B">
        <w:rPr>
          <w:spacing w:val="-3"/>
        </w:rPr>
        <w:t>)</w:t>
      </w:r>
      <w:r w:rsidRPr="00471AE4">
        <w:rPr>
          <w:spacing w:val="-3"/>
        </w:rPr>
        <w:t>.</w:t>
      </w:r>
    </w:p>
    <w:p w:rsidR="00403530" w:rsidRPr="00471AE4" w:rsidRDefault="00403530" w:rsidP="00EF6D3F">
      <w:pPr>
        <w:tabs>
          <w:tab w:val="left" w:pos="-1440"/>
          <w:tab w:val="left" w:pos="-720"/>
        </w:tabs>
        <w:suppressAutoHyphens/>
        <w:ind w:firstLine="1440"/>
        <w:jc w:val="left"/>
        <w:rPr>
          <w:spacing w:val="-3"/>
        </w:rPr>
      </w:pPr>
    </w:p>
    <w:p w:rsidR="009A5090" w:rsidRDefault="00403530" w:rsidP="00EF6D3F">
      <w:pPr>
        <w:tabs>
          <w:tab w:val="left" w:pos="-1440"/>
          <w:tab w:val="left" w:pos="-720"/>
        </w:tabs>
        <w:suppressAutoHyphens/>
        <w:ind w:firstLine="1440"/>
        <w:jc w:val="left"/>
        <w:rPr>
          <w:spacing w:val="-3"/>
        </w:rPr>
      </w:pPr>
      <w:r w:rsidRPr="00471AE4">
        <w:rPr>
          <w:spacing w:val="-3"/>
        </w:rPr>
        <w:t>10.</w:t>
      </w:r>
      <w:r w:rsidRPr="00471AE4">
        <w:rPr>
          <w:spacing w:val="-3"/>
        </w:rPr>
        <w:tab/>
        <w:t xml:space="preserve">Complainant’s Formal Complaint at Docket No. C-2013-2368462 should be dismissed with prejudice as it is the same as the Formal Complaints filed at Docket Nos. F-2010-2192191 and C-2011-2225996, </w:t>
      </w:r>
      <w:proofErr w:type="gramStart"/>
      <w:r w:rsidRPr="00471AE4">
        <w:rPr>
          <w:spacing w:val="-3"/>
        </w:rPr>
        <w:t>that were</w:t>
      </w:r>
      <w:proofErr w:type="gramEnd"/>
      <w:r w:rsidRPr="00471AE4">
        <w:rPr>
          <w:spacing w:val="-3"/>
        </w:rPr>
        <w:t xml:space="preserve"> resolved through an </w:t>
      </w:r>
      <w:proofErr w:type="spellStart"/>
      <w:r w:rsidRPr="00471AE4">
        <w:rPr>
          <w:spacing w:val="-3"/>
        </w:rPr>
        <w:t>unobjected</w:t>
      </w:r>
      <w:proofErr w:type="spellEnd"/>
      <w:r w:rsidRPr="00471AE4">
        <w:rPr>
          <w:spacing w:val="-3"/>
        </w:rPr>
        <w:t xml:space="preserve"> to Certificate of Satisfaction.  </w:t>
      </w:r>
      <w:proofErr w:type="gramStart"/>
      <w:r w:rsidRPr="00471AE4">
        <w:rPr>
          <w:spacing w:val="-3"/>
        </w:rPr>
        <w:t>66 Pa.C.S.</w:t>
      </w:r>
      <w:proofErr w:type="gramEnd"/>
      <w:r w:rsidRPr="00471AE4">
        <w:rPr>
          <w:spacing w:val="-3"/>
        </w:rPr>
        <w:t xml:space="preserve"> § 316; </w:t>
      </w:r>
      <w:r w:rsidRPr="00471AE4">
        <w:rPr>
          <w:i/>
          <w:spacing w:val="-3"/>
        </w:rPr>
        <w:t>James E. Creehan v. Duquesne Light Company</w:t>
      </w:r>
      <w:r w:rsidRPr="00471AE4">
        <w:rPr>
          <w:spacing w:val="-3"/>
        </w:rPr>
        <w:t xml:space="preserve">, Docket No. </w:t>
      </w:r>
    </w:p>
    <w:p w:rsidR="00403530" w:rsidRPr="00471AE4" w:rsidRDefault="00403530" w:rsidP="009A5090">
      <w:pPr>
        <w:tabs>
          <w:tab w:val="left" w:pos="-1440"/>
          <w:tab w:val="left" w:pos="-720"/>
        </w:tabs>
        <w:suppressAutoHyphens/>
        <w:jc w:val="left"/>
        <w:rPr>
          <w:spacing w:val="-3"/>
        </w:rPr>
      </w:pPr>
      <w:r w:rsidRPr="00471AE4">
        <w:rPr>
          <w:spacing w:val="-3"/>
        </w:rPr>
        <w:t xml:space="preserve">C-2012-2297124 </w:t>
      </w:r>
      <w:r w:rsidR="0081049B">
        <w:rPr>
          <w:spacing w:val="-3"/>
        </w:rPr>
        <w:t>(</w:t>
      </w:r>
      <w:r w:rsidRPr="00471AE4">
        <w:rPr>
          <w:spacing w:val="-3"/>
        </w:rPr>
        <w:t>Opinion and Order entered May 23, 2013</w:t>
      </w:r>
      <w:r w:rsidR="0081049B">
        <w:rPr>
          <w:spacing w:val="-3"/>
        </w:rPr>
        <w:t>)</w:t>
      </w:r>
      <w:r w:rsidRPr="00471AE4">
        <w:rPr>
          <w:spacing w:val="-3"/>
        </w:rPr>
        <w:t xml:space="preserve">; </w:t>
      </w:r>
      <w:r w:rsidRPr="00471AE4">
        <w:rPr>
          <w:i/>
          <w:spacing w:val="-3"/>
        </w:rPr>
        <w:t>Lorrie Reynolds v. PPL Electric Utilities Corporation</w:t>
      </w:r>
      <w:r w:rsidRPr="00471AE4">
        <w:rPr>
          <w:spacing w:val="-3"/>
        </w:rPr>
        <w:t xml:space="preserve">, Docket No. C-2011-2255268 </w:t>
      </w:r>
      <w:r w:rsidR="0081049B">
        <w:rPr>
          <w:spacing w:val="-3"/>
        </w:rPr>
        <w:t>(</w:t>
      </w:r>
      <w:r w:rsidRPr="00471AE4">
        <w:rPr>
          <w:spacing w:val="-3"/>
        </w:rPr>
        <w:t>Opinion and Order entered January 5, 2012</w:t>
      </w:r>
      <w:r w:rsidR="0081049B">
        <w:rPr>
          <w:spacing w:val="-3"/>
        </w:rPr>
        <w:t>)</w:t>
      </w:r>
      <w:r w:rsidRPr="00471AE4">
        <w:rPr>
          <w:spacing w:val="-3"/>
        </w:rPr>
        <w:t>.</w:t>
      </w:r>
    </w:p>
    <w:p w:rsidR="00403530" w:rsidRPr="00471AE4" w:rsidRDefault="00403530" w:rsidP="00EF6D3F">
      <w:pPr>
        <w:jc w:val="left"/>
        <w:rPr>
          <w:spacing w:val="-3"/>
        </w:rPr>
      </w:pPr>
    </w:p>
    <w:p w:rsidR="00201174" w:rsidRPr="00471AE4" w:rsidRDefault="004F1F58" w:rsidP="00EF6D3F">
      <w:pPr>
        <w:jc w:val="left"/>
      </w:pPr>
      <w:r w:rsidRPr="00471AE4">
        <w:tab/>
      </w:r>
      <w:r w:rsidRPr="00471AE4">
        <w:tab/>
      </w:r>
      <w:r w:rsidR="00201174" w:rsidRPr="00471AE4">
        <w:t>11.</w:t>
      </w:r>
      <w:r w:rsidR="00201174" w:rsidRPr="00471AE4">
        <w:tab/>
        <w:t xml:space="preserve">Section 703 of the Public Utility Code, </w:t>
      </w:r>
      <w:hyperlink r:id="rId14" w:history="1">
        <w:proofErr w:type="gramStart"/>
        <w:r w:rsidR="00201174" w:rsidRPr="00471AE4">
          <w:rPr>
            <w:rStyle w:val="Hyperlink"/>
            <w:color w:val="auto"/>
          </w:rPr>
          <w:t>66 Pa.C.S</w:t>
        </w:r>
        <w:proofErr w:type="gramEnd"/>
        <w:r w:rsidR="00201174" w:rsidRPr="00471AE4">
          <w:rPr>
            <w:rStyle w:val="Hyperlink"/>
            <w:color w:val="auto"/>
          </w:rPr>
          <w:t>. § 703(b)</w:t>
        </w:r>
      </w:hyperlink>
      <w:r w:rsidR="00201174" w:rsidRPr="00471AE4">
        <w:t xml:space="preserve">, provides that the Commission may dismiss any complaint without a hearing if, in its opinion, a hearing is not necessary in the public interest. </w:t>
      </w:r>
      <w:r w:rsidR="00201174" w:rsidRPr="00471AE4">
        <w:rPr>
          <w:i/>
          <w:iCs/>
        </w:rPr>
        <w:t>See also</w:t>
      </w:r>
      <w:r w:rsidR="00201174" w:rsidRPr="00471AE4">
        <w:t xml:space="preserve">, </w:t>
      </w:r>
      <w:hyperlink r:id="rId15" w:history="1">
        <w:r w:rsidR="00201174" w:rsidRPr="00471AE4">
          <w:rPr>
            <w:rStyle w:val="Hyperlink"/>
            <w:color w:val="auto"/>
          </w:rPr>
          <w:t>52 Pa.Code § 5.21(d)</w:t>
        </w:r>
      </w:hyperlink>
      <w:r w:rsidR="00201174" w:rsidRPr="00471AE4">
        <w:t xml:space="preserve">. </w:t>
      </w:r>
    </w:p>
    <w:p w:rsidR="00201174" w:rsidRPr="00471AE4" w:rsidRDefault="00201174" w:rsidP="00EF6D3F">
      <w:pPr>
        <w:jc w:val="left"/>
      </w:pPr>
    </w:p>
    <w:p w:rsidR="00201174" w:rsidRPr="00471AE4" w:rsidRDefault="00201174" w:rsidP="00EF6D3F">
      <w:pPr>
        <w:jc w:val="left"/>
      </w:pPr>
      <w:r w:rsidRPr="00471AE4">
        <w:tab/>
      </w:r>
      <w:r w:rsidRPr="00471AE4">
        <w:tab/>
        <w:t>12.</w:t>
      </w:r>
      <w:r w:rsidRPr="00471AE4">
        <w:tab/>
        <w:t>The public interest does not require a hearing in this case. The Commission does not have the requisite subject matter jurisdiction to determine the negotiability of Complainant's alleged tender of payments. A hearing in this case would be a fruitless exercise and therefore is not necessary or in the public interest.</w:t>
      </w:r>
    </w:p>
    <w:p w:rsidR="004F1F58" w:rsidRPr="00471AE4" w:rsidRDefault="004F1F58" w:rsidP="00EF6D3F">
      <w:pPr>
        <w:jc w:val="left"/>
      </w:pPr>
    </w:p>
    <w:p w:rsidR="004F1F58" w:rsidRPr="00471AE4" w:rsidRDefault="004F1F58" w:rsidP="004F1F58">
      <w:pPr>
        <w:rPr>
          <w:u w:val="single"/>
        </w:rPr>
      </w:pPr>
      <w:r w:rsidRPr="00471AE4">
        <w:rPr>
          <w:u w:val="single"/>
        </w:rPr>
        <w:t>ORDER</w:t>
      </w:r>
    </w:p>
    <w:p w:rsidR="004F1F58" w:rsidRPr="00471AE4" w:rsidRDefault="004F1F58" w:rsidP="004F1F58">
      <w:pPr>
        <w:rPr>
          <w:u w:val="single"/>
        </w:rPr>
      </w:pPr>
    </w:p>
    <w:p w:rsidR="00EF6D3F" w:rsidRPr="00471AE4" w:rsidRDefault="00EF6D3F" w:rsidP="004F1F58">
      <w:pPr>
        <w:rPr>
          <w:u w:val="single"/>
        </w:rPr>
      </w:pPr>
    </w:p>
    <w:p w:rsidR="004F1F58" w:rsidRPr="00471AE4" w:rsidRDefault="004F1F58" w:rsidP="004F1F58">
      <w:pPr>
        <w:jc w:val="left"/>
      </w:pPr>
      <w:r w:rsidRPr="00471AE4">
        <w:tab/>
      </w:r>
      <w:r w:rsidRPr="00471AE4">
        <w:tab/>
        <w:t>THEREFORE,</w:t>
      </w:r>
    </w:p>
    <w:p w:rsidR="004F1F58" w:rsidRPr="00471AE4" w:rsidRDefault="004F1F58" w:rsidP="004F1F58">
      <w:pPr>
        <w:jc w:val="left"/>
      </w:pPr>
    </w:p>
    <w:p w:rsidR="004F1F58" w:rsidRPr="00471AE4" w:rsidRDefault="004F1F58" w:rsidP="004F1F58">
      <w:pPr>
        <w:jc w:val="left"/>
      </w:pPr>
      <w:r w:rsidRPr="00471AE4">
        <w:tab/>
      </w:r>
      <w:r w:rsidRPr="00471AE4">
        <w:tab/>
        <w:t>IT IS ORDERED:</w:t>
      </w:r>
    </w:p>
    <w:p w:rsidR="004F1F58" w:rsidRPr="00471AE4" w:rsidRDefault="004F1F58" w:rsidP="004F1F58">
      <w:pPr>
        <w:jc w:val="left"/>
      </w:pPr>
    </w:p>
    <w:p w:rsidR="004F1F58" w:rsidRPr="00471AE4" w:rsidRDefault="004F1F58" w:rsidP="004F1F58">
      <w:pPr>
        <w:jc w:val="left"/>
      </w:pPr>
      <w:r w:rsidRPr="00471AE4">
        <w:tab/>
      </w:r>
      <w:r w:rsidRPr="00471AE4">
        <w:tab/>
        <w:t>1.</w:t>
      </w:r>
      <w:r w:rsidRPr="00471AE4">
        <w:tab/>
        <w:t>That the Formal Complaint filed by John Donohoe against Philadelphia Gas Works at Docket No. C-2015-</w:t>
      </w:r>
      <w:proofErr w:type="gramStart"/>
      <w:r w:rsidRPr="00471AE4">
        <w:t>2502435,</w:t>
      </w:r>
      <w:proofErr w:type="gramEnd"/>
      <w:r w:rsidRPr="00471AE4">
        <w:t xml:space="preserve"> is dismissed with prejudice, as it was previously filed and resolved through an </w:t>
      </w:r>
      <w:proofErr w:type="spellStart"/>
      <w:r w:rsidRPr="00471AE4">
        <w:t>unobjected</w:t>
      </w:r>
      <w:proofErr w:type="spellEnd"/>
      <w:r w:rsidRPr="00471AE4">
        <w:t xml:space="preserve"> to Certificate of Satisfaction at Docket No. </w:t>
      </w:r>
      <w:proofErr w:type="gramStart"/>
      <w:r w:rsidRPr="00471AE4">
        <w:t>F-2014-2453444.</w:t>
      </w:r>
      <w:proofErr w:type="gramEnd"/>
    </w:p>
    <w:p w:rsidR="004F1F58" w:rsidRPr="00471AE4" w:rsidRDefault="004F1F58" w:rsidP="004F1F58">
      <w:pPr>
        <w:jc w:val="left"/>
      </w:pPr>
    </w:p>
    <w:p w:rsidR="004F1F58" w:rsidRPr="00471AE4" w:rsidRDefault="004F1F58" w:rsidP="004F1F58">
      <w:pPr>
        <w:jc w:val="left"/>
      </w:pPr>
      <w:r w:rsidRPr="00471AE4">
        <w:tab/>
      </w:r>
      <w:r w:rsidRPr="00471AE4">
        <w:tab/>
        <w:t>2.</w:t>
      </w:r>
      <w:r w:rsidRPr="00471AE4">
        <w:tab/>
        <w:t xml:space="preserve">That the Secretary </w:t>
      </w:r>
      <w:proofErr w:type="gramStart"/>
      <w:r w:rsidRPr="00471AE4">
        <w:t>mark</w:t>
      </w:r>
      <w:proofErr w:type="gramEnd"/>
      <w:r w:rsidRPr="00471AE4">
        <w:t xml:space="preserve"> this docket closed.</w:t>
      </w:r>
    </w:p>
    <w:p w:rsidR="00663670" w:rsidRPr="00471AE4" w:rsidRDefault="00663670" w:rsidP="004F1F58">
      <w:pPr>
        <w:jc w:val="left"/>
      </w:pPr>
    </w:p>
    <w:p w:rsidR="004F1F58" w:rsidRPr="00471AE4" w:rsidRDefault="004F1F58" w:rsidP="004F1F58">
      <w:pPr>
        <w:jc w:val="left"/>
      </w:pPr>
    </w:p>
    <w:p w:rsidR="004F1F58" w:rsidRPr="00471AE4" w:rsidRDefault="004F1F58" w:rsidP="004F1F58">
      <w:pPr>
        <w:spacing w:line="240" w:lineRule="auto"/>
        <w:contextualSpacing/>
        <w:jc w:val="left"/>
      </w:pPr>
      <w:r w:rsidRPr="00471AE4">
        <w:t xml:space="preserve">Dated: </w:t>
      </w:r>
      <w:r w:rsidRPr="00471AE4">
        <w:rPr>
          <w:u w:val="single"/>
        </w:rPr>
        <w:t>November 23, 2015</w:t>
      </w:r>
      <w:r w:rsidRPr="00471AE4">
        <w:tab/>
      </w:r>
      <w:r w:rsidRPr="00471AE4">
        <w:tab/>
      </w:r>
      <w:r w:rsidRPr="00471AE4">
        <w:tab/>
      </w:r>
      <w:r w:rsidRPr="00471AE4">
        <w:tab/>
      </w:r>
      <w:r w:rsidRPr="00471AE4">
        <w:tab/>
      </w:r>
      <w:r w:rsidRPr="00471AE4">
        <w:rPr>
          <w:u w:val="single"/>
        </w:rPr>
        <w:t>_____/</w:t>
      </w:r>
      <w:r w:rsidRPr="00471AE4">
        <w:rPr>
          <w:rFonts w:ascii="Berlin Sans FB" w:hAnsi="Berlin Sans FB"/>
          <w:u w:val="single"/>
        </w:rPr>
        <w:t>s</w:t>
      </w:r>
      <w:r w:rsidRPr="00471AE4">
        <w:rPr>
          <w:u w:val="single"/>
        </w:rPr>
        <w:t>/</w:t>
      </w:r>
      <w:r w:rsidRPr="00471AE4">
        <w:t>________________</w:t>
      </w:r>
    </w:p>
    <w:p w:rsidR="004F1F58" w:rsidRPr="00471AE4" w:rsidRDefault="004F1F58" w:rsidP="004F1F58">
      <w:pPr>
        <w:spacing w:line="240" w:lineRule="auto"/>
        <w:contextualSpacing/>
        <w:jc w:val="left"/>
      </w:pPr>
      <w:r w:rsidRPr="00471AE4">
        <w:tab/>
      </w:r>
      <w:r w:rsidRPr="00471AE4">
        <w:tab/>
      </w:r>
      <w:r w:rsidRPr="00471AE4">
        <w:tab/>
      </w:r>
      <w:r w:rsidRPr="00471AE4">
        <w:tab/>
      </w:r>
      <w:r w:rsidRPr="00471AE4">
        <w:tab/>
      </w:r>
      <w:r w:rsidRPr="00471AE4">
        <w:tab/>
      </w:r>
      <w:r w:rsidRPr="00471AE4">
        <w:tab/>
      </w:r>
      <w:r w:rsidRPr="00471AE4">
        <w:tab/>
        <w:t>Susan D. Colwell</w:t>
      </w:r>
    </w:p>
    <w:p w:rsidR="004F1F58" w:rsidRPr="00471AE4" w:rsidRDefault="004F1F58" w:rsidP="004F1F58">
      <w:pPr>
        <w:spacing w:line="240" w:lineRule="auto"/>
        <w:contextualSpacing/>
        <w:jc w:val="left"/>
      </w:pPr>
      <w:r w:rsidRPr="00471AE4">
        <w:tab/>
      </w:r>
      <w:r w:rsidRPr="00471AE4">
        <w:tab/>
      </w:r>
      <w:r w:rsidRPr="00471AE4">
        <w:tab/>
      </w:r>
      <w:r w:rsidRPr="00471AE4">
        <w:tab/>
      </w:r>
      <w:r w:rsidRPr="00471AE4">
        <w:tab/>
      </w:r>
      <w:r w:rsidRPr="00471AE4">
        <w:tab/>
      </w:r>
      <w:r w:rsidRPr="00471AE4">
        <w:tab/>
      </w:r>
      <w:r w:rsidRPr="00471AE4">
        <w:tab/>
        <w:t>Administrative Law Judg</w:t>
      </w:r>
      <w:r w:rsidR="00EF6D3F" w:rsidRPr="00471AE4">
        <w:t>e</w:t>
      </w:r>
    </w:p>
    <w:sectPr w:rsidR="004F1F58" w:rsidRPr="00471AE4" w:rsidSect="004F1F58">
      <w:foot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E7D" w:rsidRDefault="00C71E7D" w:rsidP="00DD42CF">
      <w:pPr>
        <w:spacing w:line="240" w:lineRule="auto"/>
      </w:pPr>
      <w:r>
        <w:separator/>
      </w:r>
    </w:p>
  </w:endnote>
  <w:endnote w:type="continuationSeparator" w:id="0">
    <w:p w:rsidR="00C71E7D" w:rsidRDefault="00C71E7D" w:rsidP="00DD42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1050223"/>
      <w:docPartObj>
        <w:docPartGallery w:val="Page Numbers (Bottom of Page)"/>
        <w:docPartUnique/>
      </w:docPartObj>
    </w:sdtPr>
    <w:sdtEndPr>
      <w:rPr>
        <w:noProof/>
        <w:sz w:val="20"/>
        <w:szCs w:val="20"/>
      </w:rPr>
    </w:sdtEndPr>
    <w:sdtContent>
      <w:p w:rsidR="004F1F58" w:rsidRPr="00F146B3" w:rsidRDefault="004F1F58">
        <w:pPr>
          <w:pStyle w:val="Footer"/>
          <w:rPr>
            <w:sz w:val="20"/>
            <w:szCs w:val="20"/>
          </w:rPr>
        </w:pPr>
        <w:r w:rsidRPr="00F146B3">
          <w:rPr>
            <w:sz w:val="20"/>
            <w:szCs w:val="20"/>
          </w:rPr>
          <w:fldChar w:fldCharType="begin"/>
        </w:r>
        <w:r w:rsidRPr="00F146B3">
          <w:rPr>
            <w:sz w:val="20"/>
            <w:szCs w:val="20"/>
          </w:rPr>
          <w:instrText xml:space="preserve"> PAGE   \* MERGEFORMAT </w:instrText>
        </w:r>
        <w:r w:rsidRPr="00F146B3">
          <w:rPr>
            <w:sz w:val="20"/>
            <w:szCs w:val="20"/>
          </w:rPr>
          <w:fldChar w:fldCharType="separate"/>
        </w:r>
        <w:r w:rsidR="0081049B">
          <w:rPr>
            <w:noProof/>
            <w:sz w:val="20"/>
            <w:szCs w:val="20"/>
          </w:rPr>
          <w:t>11</w:t>
        </w:r>
        <w:r w:rsidRPr="00F146B3">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E7D" w:rsidRDefault="00C71E7D" w:rsidP="00F146B3">
      <w:pPr>
        <w:spacing w:line="240" w:lineRule="auto"/>
        <w:jc w:val="both"/>
      </w:pPr>
      <w:r>
        <w:separator/>
      </w:r>
    </w:p>
  </w:footnote>
  <w:footnote w:type="continuationSeparator" w:id="0">
    <w:p w:rsidR="00C71E7D" w:rsidRDefault="00C71E7D" w:rsidP="00DD42CF">
      <w:pPr>
        <w:spacing w:line="240" w:lineRule="auto"/>
      </w:pPr>
      <w:r>
        <w:continuationSeparator/>
      </w:r>
    </w:p>
  </w:footnote>
  <w:footnote w:id="1">
    <w:p w:rsidR="00DD42CF" w:rsidRDefault="00DD42CF" w:rsidP="00DD42CF">
      <w:pPr>
        <w:pStyle w:val="FootnoteText"/>
        <w:jc w:val="left"/>
      </w:pPr>
      <w:r>
        <w:rPr>
          <w:rStyle w:val="FootnoteReference"/>
        </w:rPr>
        <w:footnoteRef/>
      </w:r>
      <w:r>
        <w:t xml:space="preserve"> </w:t>
      </w:r>
      <w:r w:rsidR="00F146B3">
        <w:tab/>
      </w:r>
      <w:r>
        <w:t>The cover letter states that the document attached is preliminary objections, but the document is labelled as Motion for Summary Judgment.</w:t>
      </w:r>
    </w:p>
  </w:footnote>
  <w:footnote w:id="2">
    <w:p w:rsidR="00A6332B" w:rsidRDefault="00A6332B" w:rsidP="00A6332B">
      <w:pPr>
        <w:pStyle w:val="FootnoteText"/>
        <w:jc w:val="left"/>
      </w:pPr>
      <w:r>
        <w:rPr>
          <w:rStyle w:val="FootnoteReference"/>
        </w:rPr>
        <w:footnoteRef/>
      </w:r>
      <w:r>
        <w:t xml:space="preserve"> </w:t>
      </w:r>
      <w:r w:rsidR="00614526">
        <w:tab/>
      </w:r>
      <w:r>
        <w:t xml:space="preserve">While preliminary objections are filed with the answer, 52 Pa.Code § 5.101, motions for summary judgment are to be filed after the pleadings are closed.  </w:t>
      </w:r>
      <w:proofErr w:type="gramStart"/>
      <w:r>
        <w:t>52 Pa.Code § 5.102.</w:t>
      </w:r>
      <w:proofErr w:type="gramEnd"/>
      <w:r>
        <w:t xml:space="preserve">  A response to New Matter could have countered some of the facts alleged in New Matter and introduced facts in dispute.  As no response was filed to either the New Matter or to the Motion for Summary Judgment, the error in the timing of the filing is harmless, and there are no facts in dispute.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114A6C"/>
    <w:multiLevelType w:val="hybridMultilevel"/>
    <w:tmpl w:val="A46A05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56A"/>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CAB"/>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36784"/>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66A2"/>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174"/>
    <w:rsid w:val="002019B1"/>
    <w:rsid w:val="00201E65"/>
    <w:rsid w:val="00205C33"/>
    <w:rsid w:val="0021162B"/>
    <w:rsid w:val="002125E4"/>
    <w:rsid w:val="002131B7"/>
    <w:rsid w:val="00214E49"/>
    <w:rsid w:val="00215381"/>
    <w:rsid w:val="00215BA6"/>
    <w:rsid w:val="00215C10"/>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7765D"/>
    <w:rsid w:val="00283282"/>
    <w:rsid w:val="00284760"/>
    <w:rsid w:val="00286A34"/>
    <w:rsid w:val="002871C2"/>
    <w:rsid w:val="00287861"/>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4D12"/>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D64B6"/>
    <w:rsid w:val="003E1442"/>
    <w:rsid w:val="003E2B14"/>
    <w:rsid w:val="003E2FDE"/>
    <w:rsid w:val="003E447A"/>
    <w:rsid w:val="003E5240"/>
    <w:rsid w:val="003E7E85"/>
    <w:rsid w:val="003F01A7"/>
    <w:rsid w:val="003F2E62"/>
    <w:rsid w:val="003F3925"/>
    <w:rsid w:val="003F425B"/>
    <w:rsid w:val="00401386"/>
    <w:rsid w:val="004017C5"/>
    <w:rsid w:val="00403530"/>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4CC0"/>
    <w:rsid w:val="00465D71"/>
    <w:rsid w:val="00466D15"/>
    <w:rsid w:val="0047070D"/>
    <w:rsid w:val="00471AE4"/>
    <w:rsid w:val="00477A71"/>
    <w:rsid w:val="00481269"/>
    <w:rsid w:val="004839FC"/>
    <w:rsid w:val="00483C70"/>
    <w:rsid w:val="00484589"/>
    <w:rsid w:val="00484BCE"/>
    <w:rsid w:val="00487E8F"/>
    <w:rsid w:val="00491F39"/>
    <w:rsid w:val="004938B5"/>
    <w:rsid w:val="00493AC3"/>
    <w:rsid w:val="0049422F"/>
    <w:rsid w:val="0049475D"/>
    <w:rsid w:val="00494CF1"/>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1F58"/>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3F66"/>
    <w:rsid w:val="00516207"/>
    <w:rsid w:val="00520C27"/>
    <w:rsid w:val="0052171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59A8"/>
    <w:rsid w:val="00566DDB"/>
    <w:rsid w:val="005674EF"/>
    <w:rsid w:val="00570742"/>
    <w:rsid w:val="00570C2E"/>
    <w:rsid w:val="00571577"/>
    <w:rsid w:val="00571900"/>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4526"/>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3670"/>
    <w:rsid w:val="00664A57"/>
    <w:rsid w:val="00664C73"/>
    <w:rsid w:val="00671999"/>
    <w:rsid w:val="00671AAB"/>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049B"/>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072E"/>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3477"/>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505"/>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090"/>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463A"/>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32B"/>
    <w:rsid w:val="00A635D9"/>
    <w:rsid w:val="00A64C8D"/>
    <w:rsid w:val="00A6721B"/>
    <w:rsid w:val="00A70355"/>
    <w:rsid w:val="00A7046F"/>
    <w:rsid w:val="00A71E4D"/>
    <w:rsid w:val="00A721EE"/>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96071"/>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3D2"/>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6A19"/>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562E"/>
    <w:rsid w:val="00C665D4"/>
    <w:rsid w:val="00C67E56"/>
    <w:rsid w:val="00C71E7D"/>
    <w:rsid w:val="00C73CE1"/>
    <w:rsid w:val="00C74775"/>
    <w:rsid w:val="00C74D99"/>
    <w:rsid w:val="00C76F9B"/>
    <w:rsid w:val="00C77064"/>
    <w:rsid w:val="00C80AB6"/>
    <w:rsid w:val="00C824FE"/>
    <w:rsid w:val="00C829A6"/>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400"/>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356A"/>
    <w:rsid w:val="00D84747"/>
    <w:rsid w:val="00D84BD3"/>
    <w:rsid w:val="00D85346"/>
    <w:rsid w:val="00D906FA"/>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42CF"/>
    <w:rsid w:val="00DD50B5"/>
    <w:rsid w:val="00DD5275"/>
    <w:rsid w:val="00DD5F86"/>
    <w:rsid w:val="00DD6047"/>
    <w:rsid w:val="00DD7205"/>
    <w:rsid w:val="00DD771A"/>
    <w:rsid w:val="00DD7F78"/>
    <w:rsid w:val="00DE262A"/>
    <w:rsid w:val="00DE2759"/>
    <w:rsid w:val="00DE2977"/>
    <w:rsid w:val="00DE3BC3"/>
    <w:rsid w:val="00DE4037"/>
    <w:rsid w:val="00DE43F4"/>
    <w:rsid w:val="00DE466B"/>
    <w:rsid w:val="00DE4A72"/>
    <w:rsid w:val="00DE5D8B"/>
    <w:rsid w:val="00DE7607"/>
    <w:rsid w:val="00DE761A"/>
    <w:rsid w:val="00DF2338"/>
    <w:rsid w:val="00DF2411"/>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20E0"/>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3C9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6D3F"/>
    <w:rsid w:val="00EF7235"/>
    <w:rsid w:val="00F00A4D"/>
    <w:rsid w:val="00F014D5"/>
    <w:rsid w:val="00F01E3A"/>
    <w:rsid w:val="00F01EA8"/>
    <w:rsid w:val="00F023A3"/>
    <w:rsid w:val="00F02A6F"/>
    <w:rsid w:val="00F030F9"/>
    <w:rsid w:val="00F04308"/>
    <w:rsid w:val="00F04C8C"/>
    <w:rsid w:val="00F054DA"/>
    <w:rsid w:val="00F06144"/>
    <w:rsid w:val="00F06530"/>
    <w:rsid w:val="00F07B2D"/>
    <w:rsid w:val="00F07BCF"/>
    <w:rsid w:val="00F146B3"/>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B54"/>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paragraph" w:styleId="Heading4">
    <w:name w:val="heading 4"/>
    <w:basedOn w:val="Normal"/>
    <w:link w:val="Heading4Char"/>
    <w:uiPriority w:val="9"/>
    <w:qFormat/>
    <w:rsid w:val="001566A2"/>
    <w:pPr>
      <w:spacing w:before="100" w:beforeAutospacing="1" w:after="100" w:afterAutospacing="1" w:line="240" w:lineRule="auto"/>
      <w:jc w:val="left"/>
      <w:outlineLvl w:val="3"/>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D42CF"/>
    <w:pPr>
      <w:spacing w:line="240" w:lineRule="auto"/>
    </w:pPr>
    <w:rPr>
      <w:sz w:val="20"/>
      <w:szCs w:val="20"/>
    </w:rPr>
  </w:style>
  <w:style w:type="character" w:customStyle="1" w:styleId="FootnoteTextChar">
    <w:name w:val="Footnote Text Char"/>
    <w:basedOn w:val="DefaultParagraphFont"/>
    <w:link w:val="FootnoteText"/>
    <w:uiPriority w:val="99"/>
    <w:semiHidden/>
    <w:rsid w:val="00DD42CF"/>
    <w:rPr>
      <w:sz w:val="20"/>
      <w:szCs w:val="20"/>
    </w:rPr>
  </w:style>
  <w:style w:type="character" w:styleId="FootnoteReference">
    <w:name w:val="footnote reference"/>
    <w:basedOn w:val="DefaultParagraphFont"/>
    <w:uiPriority w:val="99"/>
    <w:semiHidden/>
    <w:unhideWhenUsed/>
    <w:rsid w:val="00DD42CF"/>
    <w:rPr>
      <w:vertAlign w:val="superscript"/>
    </w:rPr>
  </w:style>
  <w:style w:type="character" w:styleId="Hyperlink">
    <w:name w:val="Hyperlink"/>
    <w:basedOn w:val="DefaultParagraphFont"/>
    <w:uiPriority w:val="99"/>
    <w:semiHidden/>
    <w:unhideWhenUsed/>
    <w:rsid w:val="00201174"/>
    <w:rPr>
      <w:strike w:val="0"/>
      <w:dstrike w:val="0"/>
      <w:color w:val="004B91"/>
      <w:u w:val="none"/>
      <w:effect w:val="none"/>
    </w:rPr>
  </w:style>
  <w:style w:type="paragraph" w:styleId="NormalWeb">
    <w:name w:val="Normal (Web)"/>
    <w:basedOn w:val="Normal"/>
    <w:uiPriority w:val="99"/>
    <w:unhideWhenUsed/>
    <w:rsid w:val="00EB3C94"/>
    <w:pPr>
      <w:spacing w:before="100" w:beforeAutospacing="1" w:after="100" w:afterAutospacing="1" w:line="240" w:lineRule="auto"/>
      <w:jc w:val="left"/>
    </w:pPr>
    <w:rPr>
      <w:rFonts w:eastAsia="Times New Roman"/>
    </w:rPr>
  </w:style>
  <w:style w:type="character" w:customStyle="1" w:styleId="term1">
    <w:name w:val="term1"/>
    <w:basedOn w:val="DefaultParagraphFont"/>
    <w:rsid w:val="00BF6A19"/>
    <w:rPr>
      <w:b/>
      <w:bCs/>
    </w:rPr>
  </w:style>
  <w:style w:type="character" w:customStyle="1" w:styleId="pmterms11">
    <w:name w:val="pmterms11"/>
    <w:basedOn w:val="DefaultParagraphFont"/>
    <w:rsid w:val="00BF6A19"/>
    <w:rPr>
      <w:b/>
      <w:bCs/>
      <w:i w:val="0"/>
      <w:iCs w:val="0"/>
      <w:color w:val="000000"/>
    </w:rPr>
  </w:style>
  <w:style w:type="paragraph" w:styleId="BalloonText">
    <w:name w:val="Balloon Text"/>
    <w:basedOn w:val="Normal"/>
    <w:link w:val="BalloonTextChar"/>
    <w:uiPriority w:val="99"/>
    <w:semiHidden/>
    <w:unhideWhenUsed/>
    <w:rsid w:val="00BF6A1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6A19"/>
    <w:rPr>
      <w:rFonts w:ascii="Tahoma" w:hAnsi="Tahoma" w:cs="Tahoma"/>
      <w:sz w:val="16"/>
      <w:szCs w:val="16"/>
    </w:rPr>
  </w:style>
  <w:style w:type="character" w:customStyle="1" w:styleId="Heading4Char">
    <w:name w:val="Heading 4 Char"/>
    <w:basedOn w:val="DefaultParagraphFont"/>
    <w:link w:val="Heading4"/>
    <w:uiPriority w:val="9"/>
    <w:rsid w:val="001566A2"/>
    <w:rPr>
      <w:rFonts w:eastAsia="Times New Roman"/>
      <w:b/>
      <w:bCs/>
    </w:rPr>
  </w:style>
  <w:style w:type="paragraph" w:styleId="ListParagraph">
    <w:name w:val="List Paragraph"/>
    <w:basedOn w:val="Normal"/>
    <w:uiPriority w:val="34"/>
    <w:qFormat/>
    <w:rsid w:val="00C6562E"/>
    <w:pPr>
      <w:widowControl w:val="0"/>
      <w:spacing w:line="240" w:lineRule="auto"/>
      <w:ind w:left="720"/>
      <w:contextualSpacing/>
      <w:jc w:val="left"/>
    </w:pPr>
    <w:rPr>
      <w:rFonts w:eastAsia="Times New Roman"/>
      <w:sz w:val="20"/>
      <w:szCs w:val="20"/>
    </w:rPr>
  </w:style>
  <w:style w:type="paragraph" w:styleId="Header">
    <w:name w:val="header"/>
    <w:basedOn w:val="Normal"/>
    <w:link w:val="HeaderChar"/>
    <w:uiPriority w:val="99"/>
    <w:unhideWhenUsed/>
    <w:rsid w:val="004F1F58"/>
    <w:pPr>
      <w:tabs>
        <w:tab w:val="center" w:pos="4680"/>
        <w:tab w:val="right" w:pos="9360"/>
      </w:tabs>
      <w:spacing w:line="240" w:lineRule="auto"/>
    </w:pPr>
  </w:style>
  <w:style w:type="character" w:customStyle="1" w:styleId="HeaderChar">
    <w:name w:val="Header Char"/>
    <w:basedOn w:val="DefaultParagraphFont"/>
    <w:link w:val="Header"/>
    <w:uiPriority w:val="99"/>
    <w:rsid w:val="004F1F58"/>
  </w:style>
  <w:style w:type="paragraph" w:styleId="Footer">
    <w:name w:val="footer"/>
    <w:basedOn w:val="Normal"/>
    <w:link w:val="FooterChar"/>
    <w:uiPriority w:val="99"/>
    <w:unhideWhenUsed/>
    <w:rsid w:val="004F1F58"/>
    <w:pPr>
      <w:tabs>
        <w:tab w:val="center" w:pos="4680"/>
        <w:tab w:val="right" w:pos="9360"/>
      </w:tabs>
      <w:spacing w:line="240" w:lineRule="auto"/>
    </w:pPr>
  </w:style>
  <w:style w:type="character" w:customStyle="1" w:styleId="FooterChar">
    <w:name w:val="Footer Char"/>
    <w:basedOn w:val="DefaultParagraphFont"/>
    <w:link w:val="Footer"/>
    <w:uiPriority w:val="99"/>
    <w:rsid w:val="004F1F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paragraph" w:styleId="Heading4">
    <w:name w:val="heading 4"/>
    <w:basedOn w:val="Normal"/>
    <w:link w:val="Heading4Char"/>
    <w:uiPriority w:val="9"/>
    <w:qFormat/>
    <w:rsid w:val="001566A2"/>
    <w:pPr>
      <w:spacing w:before="100" w:beforeAutospacing="1" w:after="100" w:afterAutospacing="1" w:line="240" w:lineRule="auto"/>
      <w:jc w:val="left"/>
      <w:outlineLvl w:val="3"/>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D42CF"/>
    <w:pPr>
      <w:spacing w:line="240" w:lineRule="auto"/>
    </w:pPr>
    <w:rPr>
      <w:sz w:val="20"/>
      <w:szCs w:val="20"/>
    </w:rPr>
  </w:style>
  <w:style w:type="character" w:customStyle="1" w:styleId="FootnoteTextChar">
    <w:name w:val="Footnote Text Char"/>
    <w:basedOn w:val="DefaultParagraphFont"/>
    <w:link w:val="FootnoteText"/>
    <w:uiPriority w:val="99"/>
    <w:semiHidden/>
    <w:rsid w:val="00DD42CF"/>
    <w:rPr>
      <w:sz w:val="20"/>
      <w:szCs w:val="20"/>
    </w:rPr>
  </w:style>
  <w:style w:type="character" w:styleId="FootnoteReference">
    <w:name w:val="footnote reference"/>
    <w:basedOn w:val="DefaultParagraphFont"/>
    <w:uiPriority w:val="99"/>
    <w:semiHidden/>
    <w:unhideWhenUsed/>
    <w:rsid w:val="00DD42CF"/>
    <w:rPr>
      <w:vertAlign w:val="superscript"/>
    </w:rPr>
  </w:style>
  <w:style w:type="character" w:styleId="Hyperlink">
    <w:name w:val="Hyperlink"/>
    <w:basedOn w:val="DefaultParagraphFont"/>
    <w:uiPriority w:val="99"/>
    <w:semiHidden/>
    <w:unhideWhenUsed/>
    <w:rsid w:val="00201174"/>
    <w:rPr>
      <w:strike w:val="0"/>
      <w:dstrike w:val="0"/>
      <w:color w:val="004B91"/>
      <w:u w:val="none"/>
      <w:effect w:val="none"/>
    </w:rPr>
  </w:style>
  <w:style w:type="paragraph" w:styleId="NormalWeb">
    <w:name w:val="Normal (Web)"/>
    <w:basedOn w:val="Normal"/>
    <w:uiPriority w:val="99"/>
    <w:unhideWhenUsed/>
    <w:rsid w:val="00EB3C94"/>
    <w:pPr>
      <w:spacing w:before="100" w:beforeAutospacing="1" w:after="100" w:afterAutospacing="1" w:line="240" w:lineRule="auto"/>
      <w:jc w:val="left"/>
    </w:pPr>
    <w:rPr>
      <w:rFonts w:eastAsia="Times New Roman"/>
    </w:rPr>
  </w:style>
  <w:style w:type="character" w:customStyle="1" w:styleId="term1">
    <w:name w:val="term1"/>
    <w:basedOn w:val="DefaultParagraphFont"/>
    <w:rsid w:val="00BF6A19"/>
    <w:rPr>
      <w:b/>
      <w:bCs/>
    </w:rPr>
  </w:style>
  <w:style w:type="character" w:customStyle="1" w:styleId="pmterms11">
    <w:name w:val="pmterms11"/>
    <w:basedOn w:val="DefaultParagraphFont"/>
    <w:rsid w:val="00BF6A19"/>
    <w:rPr>
      <w:b/>
      <w:bCs/>
      <w:i w:val="0"/>
      <w:iCs w:val="0"/>
      <w:color w:val="000000"/>
    </w:rPr>
  </w:style>
  <w:style w:type="paragraph" w:styleId="BalloonText">
    <w:name w:val="Balloon Text"/>
    <w:basedOn w:val="Normal"/>
    <w:link w:val="BalloonTextChar"/>
    <w:uiPriority w:val="99"/>
    <w:semiHidden/>
    <w:unhideWhenUsed/>
    <w:rsid w:val="00BF6A1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6A19"/>
    <w:rPr>
      <w:rFonts w:ascii="Tahoma" w:hAnsi="Tahoma" w:cs="Tahoma"/>
      <w:sz w:val="16"/>
      <w:szCs w:val="16"/>
    </w:rPr>
  </w:style>
  <w:style w:type="character" w:customStyle="1" w:styleId="Heading4Char">
    <w:name w:val="Heading 4 Char"/>
    <w:basedOn w:val="DefaultParagraphFont"/>
    <w:link w:val="Heading4"/>
    <w:uiPriority w:val="9"/>
    <w:rsid w:val="001566A2"/>
    <w:rPr>
      <w:rFonts w:eastAsia="Times New Roman"/>
      <w:b/>
      <w:bCs/>
    </w:rPr>
  </w:style>
  <w:style w:type="paragraph" w:styleId="ListParagraph">
    <w:name w:val="List Paragraph"/>
    <w:basedOn w:val="Normal"/>
    <w:uiPriority w:val="34"/>
    <w:qFormat/>
    <w:rsid w:val="00C6562E"/>
    <w:pPr>
      <w:widowControl w:val="0"/>
      <w:spacing w:line="240" w:lineRule="auto"/>
      <w:ind w:left="720"/>
      <w:contextualSpacing/>
      <w:jc w:val="left"/>
    </w:pPr>
    <w:rPr>
      <w:rFonts w:eastAsia="Times New Roman"/>
      <w:sz w:val="20"/>
      <w:szCs w:val="20"/>
    </w:rPr>
  </w:style>
  <w:style w:type="paragraph" w:styleId="Header">
    <w:name w:val="header"/>
    <w:basedOn w:val="Normal"/>
    <w:link w:val="HeaderChar"/>
    <w:uiPriority w:val="99"/>
    <w:unhideWhenUsed/>
    <w:rsid w:val="004F1F58"/>
    <w:pPr>
      <w:tabs>
        <w:tab w:val="center" w:pos="4680"/>
        <w:tab w:val="right" w:pos="9360"/>
      </w:tabs>
      <w:spacing w:line="240" w:lineRule="auto"/>
    </w:pPr>
  </w:style>
  <w:style w:type="character" w:customStyle="1" w:styleId="HeaderChar">
    <w:name w:val="Header Char"/>
    <w:basedOn w:val="DefaultParagraphFont"/>
    <w:link w:val="Header"/>
    <w:uiPriority w:val="99"/>
    <w:rsid w:val="004F1F58"/>
  </w:style>
  <w:style w:type="paragraph" w:styleId="Footer">
    <w:name w:val="footer"/>
    <w:basedOn w:val="Normal"/>
    <w:link w:val="FooterChar"/>
    <w:uiPriority w:val="99"/>
    <w:unhideWhenUsed/>
    <w:rsid w:val="004F1F58"/>
    <w:pPr>
      <w:tabs>
        <w:tab w:val="center" w:pos="4680"/>
        <w:tab w:val="right" w:pos="9360"/>
      </w:tabs>
      <w:spacing w:line="240" w:lineRule="auto"/>
    </w:pPr>
  </w:style>
  <w:style w:type="character" w:customStyle="1" w:styleId="FooterChar">
    <w:name w:val="Footer Char"/>
    <w:basedOn w:val="DefaultParagraphFont"/>
    <w:link w:val="Footer"/>
    <w:uiPriority w:val="99"/>
    <w:rsid w:val="004F1F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5226">
      <w:bodyDiv w:val="1"/>
      <w:marLeft w:val="0"/>
      <w:marRight w:val="0"/>
      <w:marTop w:val="0"/>
      <w:marBottom w:val="0"/>
      <w:divBdr>
        <w:top w:val="none" w:sz="0" w:space="0" w:color="auto"/>
        <w:left w:val="none" w:sz="0" w:space="0" w:color="auto"/>
        <w:bottom w:val="none" w:sz="0" w:space="0" w:color="auto"/>
        <w:right w:val="none" w:sz="0" w:space="0" w:color="auto"/>
      </w:divBdr>
      <w:divsChild>
        <w:div w:id="6553749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xis.com/research/buttonTFLink?_m=5c1f6c91e3fbd90883be71e98c39e5d2&amp;_xfercite=%3ccite%20cc%3d%22USA%22%3e%3c%21%5bCDATA%5b2011%20Pa.%20PUC%20LEXIS%2086%5d%5d%3e%3c%2fcite%3e&amp;_butType=4&amp;_butStat=0&amp;_butNum=33&amp;_butInline=1&amp;_butinfo=52%20PA%20CODE%205.21&amp;_fmtstr=FULL&amp;docnum=2&amp;_startdoc=1&amp;wchp=dGLbVzk-zSkAb&amp;_md5=773e91d3bde6ffde7bb028cdfb78752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lexis.com/research/buttonTFLink?_m=3a461fad581c69eace14adc5e42707aa&amp;_xfercite=%3ccite%20cc%3d%22USA%22%3e%3c%21%5bCDATA%5b2005%20Phila.%20Ct.%20Com.%20Pl.%20LEXIS%20546%5d%5d%3e%3c%2fcite%3e&amp;_butType=3&amp;_butStat=2&amp;_butNum=19&amp;_butInline=1&amp;_butinfo=%3ccite%20cc%3d%22USA%22%3e%3c%21%5bCDATA%5b783%20A.2d%20815%2c%20821%5d%5d%3e%3c%2fcite%3e&amp;_fmtstr=FULL&amp;docnum=84&amp;_startdoc=81&amp;wchp=dGLzVzk-zSkAW&amp;_md5=30cd775525a86c856163467b88d7078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xis.com/research/buttonTFLink?_m=3a461fad581c69eace14adc5e42707aa&amp;_xfercite=%3ccite%20cc%3d%22USA%22%3e%3c%21%5bCDATA%5b2005%20Phila.%20Ct.%20Com.%20Pl.%20LEXIS%20546%5d%5d%3e%3c%2fcite%3e&amp;_butType=3&amp;_butStat=2&amp;_butNum=18&amp;_butInline=1&amp;_butinfo=%3ccite%20cc%3d%22USA%22%3e%3c%21%5bCDATA%5b724%20A.2d%20938%2c%20940%5d%5d%3e%3c%2fcite%3e&amp;_fmtstr=FULL&amp;docnum=84&amp;_startdoc=81&amp;wchp=dGLzVzk-zSkAW&amp;_md5=c5e43cc537610bab95633487c9b9639b" TargetMode="External"/><Relationship Id="rId5" Type="http://schemas.openxmlformats.org/officeDocument/2006/relationships/settings" Target="settings.xml"/><Relationship Id="rId15" Type="http://schemas.openxmlformats.org/officeDocument/2006/relationships/hyperlink" Target="https://www.lexis.com/research/buttonTFLink?_m=5c1f6c91e3fbd90883be71e98c39e5d2&amp;_xfercite=%3ccite%20cc%3d%22USA%22%3e%3c%21%5bCDATA%5b2011%20Pa.%20PUC%20LEXIS%2086%5d%5d%3e%3c%2fcite%3e&amp;_butType=4&amp;_butStat=0&amp;_butNum=33&amp;_butInline=1&amp;_butinfo=52%20PA%20CODE%205.21&amp;_fmtstr=FULL&amp;docnum=2&amp;_startdoc=1&amp;wchp=dGLbVzk-zSkAb&amp;_md5=773e91d3bde6ffde7bb028cdfb787527" TargetMode="External"/><Relationship Id="rId10" Type="http://schemas.openxmlformats.org/officeDocument/2006/relationships/hyperlink" Target="https://www.lexis.com/research/buttonTFLink?_m=3a461fad581c69eace14adc5e42707aa&amp;_xfercite=%3ccite%20cc%3d%22USA%22%3e%3c%21%5bCDATA%5b2005%20Phila.%20Ct.%20Com.%20Pl.%20LEXIS%20546%5d%5d%3e%3c%2fcite%3e&amp;_butType=3&amp;_butStat=2&amp;_butNum=17&amp;_butInline=1&amp;_butinfo=%3ccite%20cc%3d%22USA%22%3e%3c%21%5bCDATA%5b783%20A.2d%20815%2c%20821%5d%5d%3e%3c%2fcite%3e&amp;_fmtstr=FULL&amp;docnum=84&amp;_startdoc=81&amp;wchp=dGLzVzk-zSkAW&amp;_md5=4ba539d0f55f34a478b6c14eabbab427" TargetMode="External"/><Relationship Id="rId4" Type="http://schemas.microsoft.com/office/2007/relationships/stylesWithEffects" Target="stylesWithEffects.xml"/><Relationship Id="rId9" Type="http://schemas.openxmlformats.org/officeDocument/2006/relationships/hyperlink" Target="https://www.lexis.com/research/buttonTFLink?_m=3a461fad581c69eace14adc5e42707aa&amp;_xfercite=%3ccite%20cc%3d%22USA%22%3e%3c%21%5bCDATA%5b2005%20Phila.%20Ct.%20Com.%20Pl.%20LEXIS%20546%5d%5d%3e%3c%2fcite%3e&amp;_butType=4&amp;_butStat=0&amp;_butNum=15&amp;_butInline=1&amp;_butinfo=PA.%20R.%20CIV.%20P.%201035.2&amp;_fmtstr=FULL&amp;docnum=84&amp;_startdoc=81&amp;wchp=dGLzVzk-zSkAW&amp;_md5=11c2069e030f27d8e611a3a2faae2e8a" TargetMode="External"/><Relationship Id="rId14" Type="http://schemas.openxmlformats.org/officeDocument/2006/relationships/hyperlink" Target="https://www.lexis.com/research/buttonTFLink?_m=5c1f6c91e3fbd90883be71e98c39e5d2&amp;_xfercite=%3ccite%20cc%3d%22USA%22%3e%3c%21%5bCDATA%5b2011%20Pa.%20PUC%20LEXIS%2086%5d%5d%3e%3c%2fcite%3e&amp;_butType=4&amp;_butStat=0&amp;_butNum=32&amp;_butInline=1&amp;_butinfo=66%20PACS%20703&amp;_fmtstr=FULL&amp;docnum=2&amp;_startdoc=1&amp;wchp=dGLbVzk-zSkAb&amp;_md5=eab35ee1fef0692d0813c928222383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846DF-766F-4EC3-98BA-FB977705E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11</Pages>
  <Words>3088</Words>
  <Characters>17602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20649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scolwell</cp:lastModifiedBy>
  <cp:revision>6</cp:revision>
  <cp:lastPrinted>2015-12-02T13:31:00Z</cp:lastPrinted>
  <dcterms:created xsi:type="dcterms:W3CDTF">2015-11-24T14:21:00Z</dcterms:created>
  <dcterms:modified xsi:type="dcterms:W3CDTF">2015-12-02T13:36:00Z</dcterms:modified>
</cp:coreProperties>
</file>