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PENNSYLVANIA</w:t>
      </w:r>
    </w:p>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PUBLIC UTILITY COMMISSION</w:t>
      </w:r>
    </w:p>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Harrisburg, PA 17105-3265</w:t>
      </w:r>
    </w:p>
    <w:p w:rsidR="00162E29" w:rsidRPr="00657DFD" w:rsidRDefault="00162E29" w:rsidP="00DE68FB">
      <w:pPr>
        <w:pStyle w:val="Subtitle"/>
        <w:spacing w:line="360" w:lineRule="auto"/>
        <w:jc w:val="left"/>
        <w:rPr>
          <w:rFonts w:ascii="Times New Roman" w:hAnsi="Times New Roman"/>
          <w:b w:val="0"/>
          <w:sz w:val="26"/>
          <w:szCs w:val="26"/>
        </w:rPr>
      </w:pPr>
    </w:p>
    <w:p w:rsidR="00162E29" w:rsidRPr="00DE68FB" w:rsidRDefault="001B34A6" w:rsidP="00DE68FB">
      <w:pPr>
        <w:jc w:val="right"/>
        <w:rPr>
          <w:rFonts w:ascii="Times New Roman" w:hAnsi="Times New Roman"/>
          <w:sz w:val="26"/>
          <w:szCs w:val="26"/>
        </w:rPr>
      </w:pPr>
      <w:r>
        <w:rPr>
          <w:rFonts w:ascii="Times New Roman" w:hAnsi="Times New Roman"/>
          <w:sz w:val="26"/>
          <w:szCs w:val="26"/>
        </w:rPr>
        <w:t xml:space="preserve">Public Meeting held </w:t>
      </w:r>
      <w:r w:rsidR="00201EFC">
        <w:rPr>
          <w:rFonts w:ascii="Times New Roman" w:hAnsi="Times New Roman"/>
          <w:sz w:val="26"/>
          <w:szCs w:val="26"/>
        </w:rPr>
        <w:t>December</w:t>
      </w:r>
      <w:r>
        <w:rPr>
          <w:rFonts w:ascii="Times New Roman" w:hAnsi="Times New Roman"/>
          <w:sz w:val="26"/>
          <w:szCs w:val="26"/>
        </w:rPr>
        <w:t xml:space="preserve"> </w:t>
      </w:r>
      <w:r w:rsidR="00546A4C">
        <w:rPr>
          <w:rFonts w:ascii="Times New Roman" w:hAnsi="Times New Roman"/>
          <w:sz w:val="26"/>
          <w:szCs w:val="26"/>
        </w:rPr>
        <w:t>3</w:t>
      </w:r>
      <w:r w:rsidR="00162E29" w:rsidRPr="00DE68FB">
        <w:rPr>
          <w:rFonts w:ascii="Times New Roman" w:hAnsi="Times New Roman"/>
          <w:sz w:val="26"/>
          <w:szCs w:val="26"/>
        </w:rPr>
        <w:t>, 2015</w:t>
      </w:r>
    </w:p>
    <w:p w:rsidR="00162E29" w:rsidRPr="00DE68FB" w:rsidRDefault="00162E29" w:rsidP="00DE68FB">
      <w:pPr>
        <w:rPr>
          <w:rFonts w:ascii="Times New Roman" w:hAnsi="Times New Roman"/>
          <w:sz w:val="26"/>
          <w:szCs w:val="26"/>
        </w:rPr>
      </w:pPr>
    </w:p>
    <w:p w:rsidR="00162E29" w:rsidRDefault="00162E29" w:rsidP="0005545F">
      <w:pPr>
        <w:spacing w:line="240" w:lineRule="auto"/>
        <w:rPr>
          <w:rFonts w:ascii="Times New Roman" w:hAnsi="Times New Roman"/>
          <w:sz w:val="26"/>
          <w:szCs w:val="26"/>
        </w:rPr>
      </w:pPr>
      <w:r w:rsidRPr="00DE68FB">
        <w:rPr>
          <w:rFonts w:ascii="Times New Roman" w:hAnsi="Times New Roman"/>
          <w:sz w:val="26"/>
          <w:szCs w:val="26"/>
        </w:rPr>
        <w:t>Commissioners Present:</w:t>
      </w:r>
    </w:p>
    <w:p w:rsidR="0005545F" w:rsidRPr="00DE68FB" w:rsidRDefault="0005545F" w:rsidP="0005545F">
      <w:pPr>
        <w:spacing w:line="240" w:lineRule="auto"/>
        <w:rPr>
          <w:rFonts w:ascii="Times New Roman" w:hAnsi="Times New Roman"/>
          <w:sz w:val="26"/>
          <w:szCs w:val="26"/>
        </w:rPr>
      </w:pPr>
    </w:p>
    <w:p w:rsidR="00162E29" w:rsidRPr="00DE68FB" w:rsidRDefault="00162E29" w:rsidP="0005545F">
      <w:pPr>
        <w:spacing w:line="240" w:lineRule="auto"/>
        <w:rPr>
          <w:rFonts w:ascii="Times New Roman" w:hAnsi="Times New Roman"/>
          <w:sz w:val="26"/>
          <w:szCs w:val="26"/>
        </w:rPr>
      </w:pPr>
    </w:p>
    <w:p w:rsidR="00893940" w:rsidRDefault="00893940" w:rsidP="0005545F">
      <w:pPr>
        <w:spacing w:line="240" w:lineRule="auto"/>
        <w:ind w:firstLine="720"/>
        <w:rPr>
          <w:rFonts w:ascii="Times New Roman" w:hAnsi="Times New Roman"/>
          <w:sz w:val="26"/>
          <w:szCs w:val="26"/>
        </w:rPr>
      </w:pPr>
      <w:r w:rsidRPr="00DE68FB">
        <w:rPr>
          <w:rFonts w:ascii="Times New Roman" w:hAnsi="Times New Roman"/>
          <w:sz w:val="26"/>
          <w:szCs w:val="26"/>
        </w:rPr>
        <w:t>Gladys M. Brown</w:t>
      </w:r>
      <w:r w:rsidR="00162E29" w:rsidRPr="00DE68FB">
        <w:rPr>
          <w:rFonts w:ascii="Times New Roman" w:hAnsi="Times New Roman"/>
          <w:sz w:val="26"/>
          <w:szCs w:val="26"/>
        </w:rPr>
        <w:t>, Chairman</w:t>
      </w:r>
      <w:r w:rsidR="00381B7B">
        <w:rPr>
          <w:rFonts w:ascii="Times New Roman" w:hAnsi="Times New Roman"/>
          <w:sz w:val="26"/>
          <w:szCs w:val="26"/>
        </w:rPr>
        <w:t>, Statement</w:t>
      </w:r>
    </w:p>
    <w:p w:rsidR="00162E29" w:rsidRPr="00DE68FB" w:rsidRDefault="00162E29" w:rsidP="0005545F">
      <w:pPr>
        <w:spacing w:line="240" w:lineRule="auto"/>
        <w:ind w:firstLine="720"/>
        <w:rPr>
          <w:rFonts w:ascii="Times New Roman" w:hAnsi="Times New Roman"/>
          <w:sz w:val="26"/>
          <w:szCs w:val="26"/>
        </w:rPr>
      </w:pPr>
      <w:r w:rsidRPr="00DE68FB">
        <w:rPr>
          <w:rFonts w:ascii="Times New Roman" w:hAnsi="Times New Roman"/>
          <w:sz w:val="26"/>
          <w:szCs w:val="26"/>
        </w:rPr>
        <w:t>John F. Coleman, Jr., Vice Chairman</w:t>
      </w:r>
    </w:p>
    <w:p w:rsidR="00162E29" w:rsidRPr="00DE68FB" w:rsidRDefault="00162E29" w:rsidP="0005545F">
      <w:pPr>
        <w:spacing w:line="240" w:lineRule="auto"/>
        <w:ind w:firstLine="720"/>
        <w:rPr>
          <w:rFonts w:ascii="Times New Roman" w:hAnsi="Times New Roman"/>
          <w:sz w:val="26"/>
          <w:szCs w:val="26"/>
        </w:rPr>
      </w:pPr>
      <w:r w:rsidRPr="00DE68FB">
        <w:rPr>
          <w:rFonts w:ascii="Times New Roman" w:hAnsi="Times New Roman"/>
          <w:sz w:val="26"/>
          <w:szCs w:val="26"/>
        </w:rPr>
        <w:t>Pamela A. Witmer</w:t>
      </w:r>
    </w:p>
    <w:p w:rsidR="00162E29" w:rsidRDefault="00893940" w:rsidP="0005545F">
      <w:pPr>
        <w:spacing w:line="240" w:lineRule="auto"/>
        <w:ind w:firstLine="720"/>
        <w:rPr>
          <w:rFonts w:ascii="Times New Roman" w:hAnsi="Times New Roman"/>
          <w:sz w:val="26"/>
          <w:szCs w:val="26"/>
        </w:rPr>
      </w:pPr>
      <w:r w:rsidRPr="00DE68FB">
        <w:rPr>
          <w:rFonts w:ascii="Times New Roman" w:hAnsi="Times New Roman"/>
          <w:sz w:val="26"/>
          <w:szCs w:val="26"/>
        </w:rPr>
        <w:t>Robert F. Powelson</w:t>
      </w:r>
    </w:p>
    <w:p w:rsidR="00604715" w:rsidRDefault="00604715" w:rsidP="0005545F">
      <w:pPr>
        <w:spacing w:line="240" w:lineRule="auto"/>
        <w:ind w:firstLine="720"/>
        <w:rPr>
          <w:rFonts w:ascii="Times New Roman" w:hAnsi="Times New Roman"/>
          <w:sz w:val="26"/>
          <w:szCs w:val="26"/>
        </w:rPr>
      </w:pPr>
      <w:r>
        <w:rPr>
          <w:rFonts w:ascii="Times New Roman" w:hAnsi="Times New Roman"/>
          <w:sz w:val="26"/>
          <w:szCs w:val="26"/>
        </w:rPr>
        <w:t>Andrew G. Place</w:t>
      </w:r>
    </w:p>
    <w:p w:rsidR="0005545F" w:rsidRDefault="0005545F" w:rsidP="0005545F">
      <w:pPr>
        <w:spacing w:line="240" w:lineRule="auto"/>
        <w:ind w:firstLine="720"/>
        <w:rPr>
          <w:rFonts w:ascii="Times New Roman" w:hAnsi="Times New Roman"/>
          <w:sz w:val="26"/>
          <w:szCs w:val="26"/>
        </w:rPr>
      </w:pPr>
    </w:p>
    <w:p w:rsidR="00893940" w:rsidRPr="00DE68FB" w:rsidRDefault="00893940" w:rsidP="0005545F">
      <w:pPr>
        <w:spacing w:line="240" w:lineRule="auto"/>
        <w:ind w:firstLine="720"/>
        <w:rPr>
          <w:rFonts w:ascii="Times New Roman" w:hAnsi="Times New Roman"/>
          <w:sz w:val="26"/>
          <w:szCs w:val="26"/>
        </w:rPr>
      </w:pPr>
    </w:p>
    <w:p w:rsidR="0005545F" w:rsidRDefault="0005545F" w:rsidP="0005545F">
      <w:pPr>
        <w:spacing w:line="240" w:lineRule="auto"/>
        <w:rPr>
          <w:rFonts w:ascii="Times New Roman" w:hAnsi="Times New Roman"/>
          <w:sz w:val="26"/>
          <w:szCs w:val="26"/>
        </w:rPr>
      </w:pPr>
      <w:r>
        <w:rPr>
          <w:rFonts w:ascii="Times New Roman" w:hAnsi="Times New Roman"/>
          <w:sz w:val="26"/>
          <w:szCs w:val="26"/>
        </w:rPr>
        <w:t>Pennsylvania Public Utility Commission</w:t>
      </w:r>
    </w:p>
    <w:p w:rsidR="00162E29" w:rsidRDefault="0005545F" w:rsidP="0005545F">
      <w:pPr>
        <w:spacing w:line="240" w:lineRule="auto"/>
        <w:rPr>
          <w:rFonts w:ascii="Times New Roman" w:hAnsi="Times New Roman"/>
          <w:sz w:val="26"/>
          <w:szCs w:val="26"/>
        </w:rPr>
      </w:pPr>
      <w:r>
        <w:rPr>
          <w:rFonts w:ascii="Times New Roman" w:hAnsi="Times New Roman"/>
          <w:sz w:val="26"/>
          <w:szCs w:val="26"/>
        </w:rPr>
        <w:t>Bureau of Investigation and Enforcement</w:t>
      </w:r>
      <w:r w:rsidR="00162E29" w:rsidRPr="00DE68FB">
        <w:rPr>
          <w:rFonts w:ascii="Times New Roman" w:hAnsi="Times New Roman"/>
          <w:sz w:val="26"/>
          <w:szCs w:val="26"/>
        </w:rPr>
        <w:tab/>
      </w:r>
      <w:r w:rsidR="00162E29" w:rsidRPr="00DE68FB">
        <w:rPr>
          <w:rFonts w:ascii="Times New Roman" w:hAnsi="Times New Roman"/>
          <w:sz w:val="26"/>
          <w:szCs w:val="26"/>
        </w:rPr>
        <w:tab/>
      </w:r>
      <w:r w:rsidR="00162E29" w:rsidRPr="00DE68FB">
        <w:rPr>
          <w:rFonts w:ascii="Times New Roman" w:hAnsi="Times New Roman"/>
          <w:sz w:val="26"/>
          <w:szCs w:val="26"/>
        </w:rPr>
        <w:tab/>
      </w:r>
      <w:r w:rsidR="00162E29" w:rsidRPr="00DE68FB">
        <w:rPr>
          <w:rFonts w:ascii="Times New Roman" w:hAnsi="Times New Roman"/>
          <w:sz w:val="26"/>
          <w:szCs w:val="26"/>
        </w:rPr>
        <w:tab/>
      </w:r>
      <w:r w:rsidR="00162E29" w:rsidRPr="00DE68FB">
        <w:rPr>
          <w:rFonts w:ascii="Times New Roman" w:hAnsi="Times New Roman"/>
          <w:sz w:val="26"/>
          <w:szCs w:val="26"/>
        </w:rPr>
        <w:tab/>
      </w:r>
      <w:r w:rsidR="00D75379">
        <w:rPr>
          <w:rFonts w:ascii="Times New Roman" w:hAnsi="Times New Roman"/>
          <w:sz w:val="26"/>
          <w:szCs w:val="26"/>
        </w:rPr>
        <w:t xml:space="preserve">     </w:t>
      </w:r>
      <w:r w:rsidRPr="0005545F">
        <w:rPr>
          <w:rFonts w:ascii="Times New Roman" w:hAnsi="Times New Roman"/>
          <w:sz w:val="26"/>
          <w:szCs w:val="26"/>
        </w:rPr>
        <w:t>C-2014-2431410</w:t>
      </w:r>
    </w:p>
    <w:p w:rsidR="0005545F" w:rsidRPr="00DE68FB" w:rsidRDefault="0005545F" w:rsidP="0005545F">
      <w:pPr>
        <w:spacing w:line="240" w:lineRule="auto"/>
        <w:rPr>
          <w:rFonts w:ascii="Times New Roman" w:hAnsi="Times New Roman"/>
          <w:sz w:val="26"/>
          <w:szCs w:val="26"/>
        </w:rPr>
      </w:pPr>
    </w:p>
    <w:p w:rsidR="00162E29" w:rsidRDefault="00162E29" w:rsidP="0005545F">
      <w:pPr>
        <w:spacing w:line="240" w:lineRule="auto"/>
        <w:rPr>
          <w:rFonts w:ascii="Times New Roman" w:hAnsi="Times New Roman"/>
          <w:sz w:val="26"/>
          <w:szCs w:val="26"/>
        </w:rPr>
      </w:pPr>
      <w:r w:rsidRPr="00DE68FB">
        <w:rPr>
          <w:rFonts w:ascii="Times New Roman" w:hAnsi="Times New Roman"/>
          <w:sz w:val="26"/>
          <w:szCs w:val="26"/>
        </w:rPr>
        <w:tab/>
        <w:t>v.</w:t>
      </w:r>
    </w:p>
    <w:p w:rsidR="0005545F" w:rsidRDefault="0005545F" w:rsidP="0005545F">
      <w:pPr>
        <w:spacing w:line="240" w:lineRule="auto"/>
        <w:rPr>
          <w:rFonts w:ascii="Times New Roman" w:hAnsi="Times New Roman"/>
          <w:sz w:val="26"/>
          <w:szCs w:val="26"/>
        </w:rPr>
      </w:pPr>
    </w:p>
    <w:p w:rsidR="00162E29" w:rsidRDefault="0005545F" w:rsidP="0005545F">
      <w:pPr>
        <w:spacing w:line="240" w:lineRule="auto"/>
        <w:rPr>
          <w:rFonts w:ascii="Times New Roman" w:hAnsi="Times New Roman"/>
          <w:sz w:val="26"/>
          <w:szCs w:val="26"/>
        </w:rPr>
      </w:pPr>
      <w:r>
        <w:rPr>
          <w:rFonts w:ascii="Times New Roman" w:hAnsi="Times New Roman"/>
          <w:sz w:val="26"/>
          <w:szCs w:val="26"/>
        </w:rPr>
        <w:t>HIKO Energy, LLC</w:t>
      </w:r>
    </w:p>
    <w:p w:rsidR="0005545F" w:rsidRDefault="0005545F" w:rsidP="0005545F">
      <w:pPr>
        <w:spacing w:line="240" w:lineRule="auto"/>
        <w:rPr>
          <w:rFonts w:ascii="Times New Roman" w:hAnsi="Times New Roman"/>
          <w:sz w:val="26"/>
          <w:szCs w:val="26"/>
        </w:rPr>
      </w:pPr>
    </w:p>
    <w:p w:rsidR="0005545F" w:rsidRPr="00DE68FB" w:rsidRDefault="0005545F" w:rsidP="0005545F">
      <w:pPr>
        <w:spacing w:line="240" w:lineRule="auto"/>
        <w:rPr>
          <w:rFonts w:ascii="Times New Roman" w:hAnsi="Times New Roman"/>
          <w:sz w:val="26"/>
          <w:szCs w:val="26"/>
        </w:rPr>
      </w:pPr>
    </w:p>
    <w:p w:rsidR="00162E29" w:rsidRPr="00DE68FB" w:rsidRDefault="00162E29" w:rsidP="0005545F">
      <w:pPr>
        <w:spacing w:line="240" w:lineRule="auto"/>
        <w:jc w:val="center"/>
        <w:rPr>
          <w:rFonts w:ascii="Times New Roman" w:hAnsi="Times New Roman"/>
          <w:b/>
          <w:sz w:val="26"/>
          <w:szCs w:val="26"/>
        </w:rPr>
      </w:pPr>
      <w:r w:rsidRPr="00DE68FB">
        <w:rPr>
          <w:rFonts w:ascii="Times New Roman" w:hAnsi="Times New Roman"/>
          <w:b/>
          <w:sz w:val="26"/>
          <w:szCs w:val="26"/>
        </w:rPr>
        <w:t>OPINION AND ORDER</w:t>
      </w:r>
    </w:p>
    <w:p w:rsidR="00162E29" w:rsidRPr="00DE68FB" w:rsidRDefault="00162E29" w:rsidP="00D15018">
      <w:pPr>
        <w:rPr>
          <w:rFonts w:ascii="Times New Roman" w:hAnsi="Times New Roman"/>
          <w:b/>
          <w:sz w:val="26"/>
          <w:szCs w:val="26"/>
        </w:rPr>
      </w:pPr>
    </w:p>
    <w:p w:rsidR="00162E29" w:rsidRPr="00DE68FB" w:rsidRDefault="00162E29" w:rsidP="00D15018">
      <w:pPr>
        <w:pStyle w:val="BodyTextIndent"/>
        <w:keepNext/>
        <w:spacing w:after="0"/>
        <w:ind w:left="0"/>
        <w:rPr>
          <w:rFonts w:ascii="Times New Roman" w:hAnsi="Times New Roman"/>
          <w:b/>
          <w:sz w:val="26"/>
          <w:szCs w:val="26"/>
        </w:rPr>
      </w:pPr>
      <w:r w:rsidRPr="00DE68FB">
        <w:rPr>
          <w:rFonts w:ascii="Times New Roman" w:hAnsi="Times New Roman"/>
          <w:b/>
          <w:sz w:val="26"/>
          <w:szCs w:val="26"/>
        </w:rPr>
        <w:t>BY THE COMMISSION:</w:t>
      </w:r>
    </w:p>
    <w:p w:rsidR="00162E29" w:rsidRPr="00DE68FB" w:rsidRDefault="00162E29" w:rsidP="00D15018">
      <w:pPr>
        <w:pStyle w:val="BodyTextIndent"/>
        <w:keepNext/>
        <w:spacing w:after="0"/>
        <w:ind w:left="0"/>
        <w:rPr>
          <w:rFonts w:ascii="Times New Roman" w:hAnsi="Times New Roman"/>
          <w:b/>
          <w:sz w:val="26"/>
          <w:szCs w:val="26"/>
        </w:rPr>
      </w:pPr>
    </w:p>
    <w:p w:rsidR="00162E29" w:rsidRPr="00201EFC" w:rsidRDefault="00162E29" w:rsidP="00D15018">
      <w:pPr>
        <w:pStyle w:val="BodyTextIndent"/>
        <w:spacing w:after="0"/>
        <w:ind w:left="0" w:firstLine="1440"/>
        <w:rPr>
          <w:rFonts w:ascii="Times New Roman" w:hAnsi="Times New Roman"/>
          <w:b/>
          <w:sz w:val="26"/>
          <w:szCs w:val="26"/>
        </w:rPr>
      </w:pPr>
      <w:r w:rsidRPr="00DE68FB">
        <w:rPr>
          <w:rFonts w:ascii="Times New Roman" w:hAnsi="Times New Roman"/>
          <w:sz w:val="26"/>
          <w:szCs w:val="26"/>
        </w:rPr>
        <w:t xml:space="preserve">Before the Pennsylvania Public Utility Commission (Commission) for consideration and disposition are the Exceptions </w:t>
      </w:r>
      <w:r w:rsidR="004C5FE9">
        <w:rPr>
          <w:rFonts w:ascii="Times New Roman" w:hAnsi="Times New Roman"/>
          <w:sz w:val="26"/>
          <w:szCs w:val="26"/>
        </w:rPr>
        <w:t xml:space="preserve">and Request for Oral Argument on Exceptions </w:t>
      </w:r>
      <w:r w:rsidRPr="00DE68FB">
        <w:rPr>
          <w:rFonts w:ascii="Times New Roman" w:hAnsi="Times New Roman"/>
          <w:sz w:val="26"/>
          <w:szCs w:val="26"/>
        </w:rPr>
        <w:t xml:space="preserve">of </w:t>
      </w:r>
      <w:r w:rsidR="0005545F">
        <w:rPr>
          <w:rFonts w:ascii="Times New Roman" w:hAnsi="Times New Roman"/>
          <w:sz w:val="26"/>
          <w:szCs w:val="26"/>
        </w:rPr>
        <w:t xml:space="preserve">HIKO Energy, LLC (HIKO </w:t>
      </w:r>
      <w:r w:rsidR="00087B04" w:rsidRPr="00DE68FB">
        <w:rPr>
          <w:rFonts w:ascii="Times New Roman" w:hAnsi="Times New Roman"/>
          <w:sz w:val="26"/>
          <w:szCs w:val="26"/>
        </w:rPr>
        <w:t>or Company</w:t>
      </w:r>
      <w:r w:rsidRPr="00DE68FB">
        <w:rPr>
          <w:rFonts w:ascii="Times New Roman" w:hAnsi="Times New Roman"/>
          <w:sz w:val="26"/>
          <w:szCs w:val="26"/>
        </w:rPr>
        <w:t>)</w:t>
      </w:r>
      <w:r w:rsidR="004E4001">
        <w:rPr>
          <w:rFonts w:ascii="Times New Roman" w:hAnsi="Times New Roman"/>
          <w:sz w:val="26"/>
          <w:szCs w:val="26"/>
        </w:rPr>
        <w:t xml:space="preserve">, an electric generation supplier (EGS), </w:t>
      </w:r>
      <w:r w:rsidR="0005545F">
        <w:rPr>
          <w:rFonts w:ascii="Times New Roman" w:hAnsi="Times New Roman"/>
          <w:sz w:val="26"/>
          <w:szCs w:val="26"/>
        </w:rPr>
        <w:t xml:space="preserve">and the </w:t>
      </w:r>
      <w:r w:rsidR="004C5FE9">
        <w:rPr>
          <w:rFonts w:ascii="Times New Roman" w:hAnsi="Times New Roman"/>
          <w:sz w:val="26"/>
          <w:szCs w:val="26"/>
        </w:rPr>
        <w:t xml:space="preserve">Exceptions of the </w:t>
      </w:r>
      <w:r w:rsidR="0005545F">
        <w:rPr>
          <w:rFonts w:ascii="Times New Roman" w:hAnsi="Times New Roman"/>
          <w:sz w:val="26"/>
          <w:szCs w:val="26"/>
        </w:rPr>
        <w:t xml:space="preserve">Commission’s Bureau of Investigation </w:t>
      </w:r>
      <w:r w:rsidR="00813A79">
        <w:rPr>
          <w:rFonts w:ascii="Times New Roman" w:hAnsi="Times New Roman"/>
          <w:sz w:val="26"/>
          <w:szCs w:val="26"/>
        </w:rPr>
        <w:t>and</w:t>
      </w:r>
      <w:r w:rsidR="0005545F">
        <w:rPr>
          <w:rFonts w:ascii="Times New Roman" w:hAnsi="Times New Roman"/>
          <w:sz w:val="26"/>
          <w:szCs w:val="26"/>
        </w:rPr>
        <w:t xml:space="preserve"> Enforcement (I&amp;E), </w:t>
      </w:r>
      <w:r w:rsidRPr="00DE68FB">
        <w:rPr>
          <w:rFonts w:ascii="Times New Roman" w:hAnsi="Times New Roman"/>
          <w:sz w:val="26"/>
          <w:szCs w:val="26"/>
        </w:rPr>
        <w:t xml:space="preserve">filed on </w:t>
      </w:r>
      <w:r w:rsidR="0005545F">
        <w:rPr>
          <w:rFonts w:ascii="Times New Roman" w:hAnsi="Times New Roman"/>
          <w:sz w:val="26"/>
          <w:szCs w:val="26"/>
        </w:rPr>
        <w:t>September 10</w:t>
      </w:r>
      <w:r w:rsidRPr="00DE68FB">
        <w:rPr>
          <w:rFonts w:ascii="Times New Roman" w:hAnsi="Times New Roman"/>
          <w:sz w:val="26"/>
          <w:szCs w:val="26"/>
        </w:rPr>
        <w:t>, 2015, to the Initial Decision (I.D.) of Administrative Law Judge</w:t>
      </w:r>
      <w:r w:rsidR="00761726">
        <w:rPr>
          <w:rFonts w:ascii="Times New Roman" w:hAnsi="Times New Roman"/>
          <w:sz w:val="26"/>
          <w:szCs w:val="26"/>
        </w:rPr>
        <w:t>s</w:t>
      </w:r>
      <w:r w:rsidRPr="00DE68FB">
        <w:rPr>
          <w:rFonts w:ascii="Times New Roman" w:hAnsi="Times New Roman"/>
          <w:sz w:val="26"/>
          <w:szCs w:val="26"/>
        </w:rPr>
        <w:t xml:space="preserve"> (ALJ</w:t>
      </w:r>
      <w:r w:rsidR="00761726">
        <w:rPr>
          <w:rFonts w:ascii="Times New Roman" w:hAnsi="Times New Roman"/>
          <w:sz w:val="26"/>
          <w:szCs w:val="26"/>
        </w:rPr>
        <w:t>s</w:t>
      </w:r>
      <w:r w:rsidRPr="00DE68FB">
        <w:rPr>
          <w:rFonts w:ascii="Times New Roman" w:hAnsi="Times New Roman"/>
          <w:sz w:val="26"/>
          <w:szCs w:val="26"/>
        </w:rPr>
        <w:t>) Elizabeth H. Barnes</w:t>
      </w:r>
      <w:r w:rsidR="00761726">
        <w:rPr>
          <w:rFonts w:ascii="Times New Roman" w:hAnsi="Times New Roman"/>
          <w:sz w:val="26"/>
          <w:szCs w:val="26"/>
        </w:rPr>
        <w:t xml:space="preserve"> and Joel H. Cheskis</w:t>
      </w:r>
      <w:r w:rsidRPr="00DE68FB">
        <w:rPr>
          <w:rFonts w:ascii="Times New Roman" w:hAnsi="Times New Roman"/>
          <w:sz w:val="26"/>
          <w:szCs w:val="26"/>
        </w:rPr>
        <w:t xml:space="preserve">, issued on </w:t>
      </w:r>
      <w:r w:rsidR="0005545F">
        <w:rPr>
          <w:rFonts w:ascii="Times New Roman" w:hAnsi="Times New Roman"/>
          <w:sz w:val="26"/>
          <w:szCs w:val="26"/>
        </w:rPr>
        <w:t>August 21</w:t>
      </w:r>
      <w:r w:rsidRPr="00DE68FB">
        <w:rPr>
          <w:rFonts w:ascii="Times New Roman" w:hAnsi="Times New Roman"/>
          <w:sz w:val="26"/>
          <w:szCs w:val="26"/>
        </w:rPr>
        <w:t>, 201</w:t>
      </w:r>
      <w:r w:rsidR="0005545F">
        <w:rPr>
          <w:rFonts w:ascii="Times New Roman" w:hAnsi="Times New Roman"/>
          <w:sz w:val="26"/>
          <w:szCs w:val="26"/>
        </w:rPr>
        <w:t>5</w:t>
      </w:r>
      <w:r w:rsidRPr="00DE68FB">
        <w:rPr>
          <w:rFonts w:ascii="Times New Roman" w:hAnsi="Times New Roman"/>
          <w:sz w:val="26"/>
          <w:szCs w:val="26"/>
        </w:rPr>
        <w:t xml:space="preserve">, </w:t>
      </w:r>
      <w:r w:rsidR="00174F6A">
        <w:rPr>
          <w:rFonts w:ascii="Times New Roman" w:hAnsi="Times New Roman"/>
          <w:sz w:val="26"/>
          <w:szCs w:val="26"/>
        </w:rPr>
        <w:t>in</w:t>
      </w:r>
      <w:r w:rsidRPr="00DE68FB">
        <w:rPr>
          <w:rFonts w:ascii="Times New Roman" w:hAnsi="Times New Roman"/>
          <w:sz w:val="26"/>
          <w:szCs w:val="26"/>
        </w:rPr>
        <w:t xml:space="preserve"> the above-captioned proceeding.  </w:t>
      </w:r>
      <w:r w:rsidR="004C5FE9">
        <w:rPr>
          <w:rFonts w:ascii="Times New Roman" w:hAnsi="Times New Roman"/>
          <w:sz w:val="26"/>
          <w:szCs w:val="26"/>
        </w:rPr>
        <w:t>On September 10, 2015, t</w:t>
      </w:r>
      <w:r w:rsidR="00174F6A">
        <w:rPr>
          <w:rFonts w:ascii="Times New Roman" w:hAnsi="Times New Roman"/>
          <w:sz w:val="26"/>
          <w:szCs w:val="26"/>
        </w:rPr>
        <w:t xml:space="preserve">he Office </w:t>
      </w:r>
      <w:r w:rsidR="00174F6A">
        <w:rPr>
          <w:rFonts w:ascii="Times New Roman" w:hAnsi="Times New Roman"/>
          <w:sz w:val="26"/>
          <w:szCs w:val="26"/>
        </w:rPr>
        <w:lastRenderedPageBreak/>
        <w:t xml:space="preserve">of Consumer Advocate (OCA) filed </w:t>
      </w:r>
      <w:r w:rsidR="0005545F">
        <w:rPr>
          <w:rFonts w:ascii="Times New Roman" w:hAnsi="Times New Roman"/>
          <w:sz w:val="26"/>
          <w:szCs w:val="26"/>
        </w:rPr>
        <w:t xml:space="preserve">a letter stating it would not be filing </w:t>
      </w:r>
      <w:r w:rsidRPr="00DE68FB">
        <w:rPr>
          <w:rFonts w:ascii="Times New Roman" w:hAnsi="Times New Roman"/>
          <w:sz w:val="26"/>
          <w:szCs w:val="26"/>
        </w:rPr>
        <w:t>Exceptions</w:t>
      </w:r>
      <w:r w:rsidR="0005545F">
        <w:rPr>
          <w:rFonts w:ascii="Times New Roman" w:hAnsi="Times New Roman"/>
          <w:sz w:val="26"/>
          <w:szCs w:val="26"/>
        </w:rPr>
        <w:t xml:space="preserve">.  </w:t>
      </w:r>
      <w:r w:rsidR="004C5FE9">
        <w:rPr>
          <w:rFonts w:ascii="Times New Roman" w:hAnsi="Times New Roman"/>
          <w:sz w:val="26"/>
          <w:szCs w:val="26"/>
        </w:rPr>
        <w:t>HIKO and I&amp;E each filed Replies to Exceptions on September 21, 2015.</w:t>
      </w:r>
    </w:p>
    <w:p w:rsidR="00162E29" w:rsidRPr="00201EFC" w:rsidRDefault="00162E29" w:rsidP="00D15018">
      <w:pPr>
        <w:pStyle w:val="BodyTextIndent"/>
        <w:spacing w:after="0"/>
        <w:ind w:left="0" w:firstLine="1440"/>
        <w:rPr>
          <w:rFonts w:ascii="Times New Roman" w:hAnsi="Times New Roman"/>
          <w:b/>
          <w:sz w:val="26"/>
          <w:szCs w:val="26"/>
        </w:rPr>
      </w:pPr>
    </w:p>
    <w:p w:rsidR="00162E29" w:rsidRPr="00201EFC" w:rsidRDefault="000F6B3A" w:rsidP="000F6B3A">
      <w:pPr>
        <w:pStyle w:val="Heading1"/>
        <w:numPr>
          <w:ilvl w:val="0"/>
          <w:numId w:val="0"/>
        </w:numPr>
      </w:pPr>
      <w:bookmarkStart w:id="0" w:name="_Toc385423060"/>
      <w:r>
        <w:t>I.</w:t>
      </w:r>
      <w:r>
        <w:tab/>
      </w:r>
      <w:r w:rsidR="00162E29" w:rsidRPr="00201EFC">
        <w:t>History of the Proceeding</w:t>
      </w:r>
      <w:bookmarkEnd w:id="0"/>
    </w:p>
    <w:p w:rsidR="009716DE" w:rsidRPr="00DE68FB" w:rsidRDefault="009716DE" w:rsidP="00761726">
      <w:pPr>
        <w:rPr>
          <w:rFonts w:ascii="Times New Roman" w:hAnsi="Times New Roman"/>
          <w:sz w:val="26"/>
          <w:szCs w:val="26"/>
        </w:rPr>
      </w:pPr>
    </w:p>
    <w:p w:rsidR="002158A1" w:rsidRDefault="009716DE" w:rsidP="00DE68FB">
      <w:pPr>
        <w:ind w:firstLine="1440"/>
        <w:rPr>
          <w:rFonts w:ascii="Times New Roman" w:hAnsi="Times New Roman"/>
          <w:sz w:val="26"/>
          <w:szCs w:val="26"/>
        </w:rPr>
      </w:pPr>
      <w:r w:rsidRPr="00DE68FB">
        <w:rPr>
          <w:rFonts w:ascii="Times New Roman" w:hAnsi="Times New Roman"/>
          <w:sz w:val="26"/>
          <w:szCs w:val="26"/>
        </w:rPr>
        <w:t xml:space="preserve">On </w:t>
      </w:r>
      <w:r w:rsidR="00201EFC">
        <w:rPr>
          <w:rFonts w:ascii="Times New Roman" w:hAnsi="Times New Roman"/>
          <w:sz w:val="26"/>
          <w:szCs w:val="26"/>
        </w:rPr>
        <w:t>July 11</w:t>
      </w:r>
      <w:r w:rsidRPr="00DE68FB">
        <w:rPr>
          <w:rFonts w:ascii="Times New Roman" w:hAnsi="Times New Roman"/>
          <w:sz w:val="26"/>
          <w:szCs w:val="26"/>
        </w:rPr>
        <w:t xml:space="preserve">, 2014, </w:t>
      </w:r>
      <w:r w:rsidR="00C9406D">
        <w:rPr>
          <w:rFonts w:ascii="Times New Roman" w:hAnsi="Times New Roman"/>
          <w:sz w:val="26"/>
          <w:szCs w:val="26"/>
        </w:rPr>
        <w:t xml:space="preserve">I&amp;E filed a Formal </w:t>
      </w:r>
      <w:r w:rsidR="00201EFC">
        <w:rPr>
          <w:rFonts w:ascii="Times New Roman" w:hAnsi="Times New Roman"/>
          <w:sz w:val="26"/>
          <w:szCs w:val="26"/>
        </w:rPr>
        <w:t xml:space="preserve">Complaint </w:t>
      </w:r>
      <w:r w:rsidR="00C9406D">
        <w:rPr>
          <w:rFonts w:ascii="Times New Roman" w:hAnsi="Times New Roman"/>
          <w:sz w:val="26"/>
          <w:szCs w:val="26"/>
        </w:rPr>
        <w:t xml:space="preserve">(Complaint) </w:t>
      </w:r>
      <w:r w:rsidR="00201EFC">
        <w:rPr>
          <w:rFonts w:ascii="Times New Roman" w:hAnsi="Times New Roman"/>
          <w:sz w:val="26"/>
          <w:szCs w:val="26"/>
        </w:rPr>
        <w:t>against HIKO</w:t>
      </w:r>
      <w:r w:rsidR="008F60FC">
        <w:rPr>
          <w:rFonts w:ascii="Times New Roman" w:hAnsi="Times New Roman"/>
          <w:sz w:val="26"/>
          <w:szCs w:val="26"/>
        </w:rPr>
        <w:t>.  In the Complaint, I&amp;E a</w:t>
      </w:r>
      <w:r w:rsidR="00C9406D">
        <w:rPr>
          <w:rFonts w:ascii="Times New Roman" w:hAnsi="Times New Roman"/>
          <w:sz w:val="26"/>
          <w:szCs w:val="26"/>
        </w:rPr>
        <w:t>lleg</w:t>
      </w:r>
      <w:r w:rsidR="008F60FC">
        <w:rPr>
          <w:rFonts w:ascii="Times New Roman" w:hAnsi="Times New Roman"/>
          <w:sz w:val="26"/>
          <w:szCs w:val="26"/>
        </w:rPr>
        <w:t>ed</w:t>
      </w:r>
      <w:r w:rsidR="00C9406D">
        <w:rPr>
          <w:rFonts w:ascii="Times New Roman" w:hAnsi="Times New Roman"/>
          <w:sz w:val="26"/>
          <w:szCs w:val="26"/>
        </w:rPr>
        <w:t xml:space="preserve"> that </w:t>
      </w:r>
      <w:r w:rsidR="008F60FC">
        <w:rPr>
          <w:rFonts w:ascii="Times New Roman" w:hAnsi="Times New Roman"/>
          <w:sz w:val="26"/>
          <w:szCs w:val="26"/>
        </w:rPr>
        <w:t>the Company</w:t>
      </w:r>
      <w:r w:rsidR="00C9406D">
        <w:rPr>
          <w:rFonts w:ascii="Times New Roman" w:hAnsi="Times New Roman"/>
          <w:sz w:val="26"/>
          <w:szCs w:val="26"/>
        </w:rPr>
        <w:t xml:space="preserve"> billed a large number customers of six electric distribution companies (EDCs) – Duquesne Light Company</w:t>
      </w:r>
      <w:r w:rsidR="00813A79">
        <w:rPr>
          <w:rFonts w:ascii="Times New Roman" w:hAnsi="Times New Roman"/>
          <w:sz w:val="26"/>
          <w:szCs w:val="26"/>
        </w:rPr>
        <w:t xml:space="preserve"> (Duquesne)</w:t>
      </w:r>
      <w:r w:rsidR="00C9406D">
        <w:rPr>
          <w:rFonts w:ascii="Times New Roman" w:hAnsi="Times New Roman"/>
          <w:sz w:val="26"/>
          <w:szCs w:val="26"/>
        </w:rPr>
        <w:t>, Metropolitan Edison Company</w:t>
      </w:r>
      <w:r w:rsidR="00813A79">
        <w:rPr>
          <w:rFonts w:ascii="Times New Roman" w:hAnsi="Times New Roman"/>
          <w:sz w:val="26"/>
          <w:szCs w:val="26"/>
        </w:rPr>
        <w:t xml:space="preserve"> (Met-Ed)</w:t>
      </w:r>
      <w:r w:rsidR="00C9406D">
        <w:rPr>
          <w:rFonts w:ascii="Times New Roman" w:hAnsi="Times New Roman"/>
          <w:sz w:val="26"/>
          <w:szCs w:val="26"/>
        </w:rPr>
        <w:t xml:space="preserve">, PECO Energy Company (PECO), PPL Electric Utilities (PPL), Pennsylvania Electric Company (Penelec) and West Penn Power Company (West Penn) – a </w:t>
      </w:r>
      <w:r w:rsidR="008F60FC">
        <w:rPr>
          <w:rFonts w:ascii="Times New Roman" w:hAnsi="Times New Roman"/>
          <w:sz w:val="26"/>
          <w:szCs w:val="26"/>
        </w:rPr>
        <w:t xml:space="preserve">variable </w:t>
      </w:r>
      <w:r w:rsidR="00C9406D">
        <w:rPr>
          <w:rFonts w:ascii="Times New Roman" w:hAnsi="Times New Roman"/>
          <w:sz w:val="26"/>
          <w:szCs w:val="26"/>
        </w:rPr>
        <w:t xml:space="preserve">rate </w:t>
      </w:r>
      <w:r w:rsidR="008F60FC">
        <w:rPr>
          <w:rFonts w:ascii="Times New Roman" w:hAnsi="Times New Roman"/>
          <w:sz w:val="26"/>
          <w:szCs w:val="26"/>
        </w:rPr>
        <w:t xml:space="preserve">in excess of </w:t>
      </w:r>
      <w:r w:rsidR="00C9406D">
        <w:rPr>
          <w:rFonts w:ascii="Times New Roman" w:hAnsi="Times New Roman"/>
          <w:sz w:val="26"/>
          <w:szCs w:val="26"/>
        </w:rPr>
        <w:t xml:space="preserve">the discount introductory rate that was guaranteed </w:t>
      </w:r>
      <w:r w:rsidR="008F60FC">
        <w:rPr>
          <w:rFonts w:ascii="Times New Roman" w:hAnsi="Times New Roman"/>
          <w:sz w:val="26"/>
          <w:szCs w:val="26"/>
        </w:rPr>
        <w:t xml:space="preserve">at the time of enrollment </w:t>
      </w:r>
      <w:r w:rsidR="00C9406D">
        <w:rPr>
          <w:rFonts w:ascii="Times New Roman" w:hAnsi="Times New Roman"/>
          <w:sz w:val="26"/>
          <w:szCs w:val="26"/>
        </w:rPr>
        <w:t xml:space="preserve">to provide </w:t>
      </w:r>
      <w:r w:rsidR="008F60FC">
        <w:rPr>
          <w:rFonts w:ascii="Times New Roman" w:hAnsi="Times New Roman"/>
          <w:sz w:val="26"/>
          <w:szCs w:val="26"/>
        </w:rPr>
        <w:t>customers savings of 1% to 7% over the EDC’s price-to-compare (PTC) for the first six months’ billing cycles.  Complaint at</w:t>
      </w:r>
      <w:r w:rsidR="009E434B">
        <w:rPr>
          <w:rFonts w:ascii="Times New Roman" w:hAnsi="Times New Roman"/>
          <w:sz w:val="26"/>
          <w:szCs w:val="26"/>
        </w:rPr>
        <w:t> </w:t>
      </w:r>
      <w:r w:rsidR="008F60FC">
        <w:rPr>
          <w:rFonts w:ascii="Times New Roman" w:hAnsi="Times New Roman"/>
          <w:sz w:val="26"/>
          <w:szCs w:val="26"/>
        </w:rPr>
        <w:t xml:space="preserve">4-6.  I&amp;E averred that HIKO admitted to billing rates that exceeded the guaranteed introductory rate, with the explanation that the deviation was the result of unprecedented costs associated with the polar vortex weather effects in the winter of 2013-14.  </w:t>
      </w:r>
      <w:r w:rsidR="008F60FC">
        <w:rPr>
          <w:rFonts w:ascii="Times New Roman" w:hAnsi="Times New Roman"/>
          <w:i/>
          <w:sz w:val="26"/>
          <w:szCs w:val="26"/>
        </w:rPr>
        <w:t>Id.</w:t>
      </w:r>
      <w:r w:rsidR="008F60FC">
        <w:rPr>
          <w:rFonts w:ascii="Times New Roman" w:hAnsi="Times New Roman"/>
          <w:sz w:val="26"/>
          <w:szCs w:val="26"/>
        </w:rPr>
        <w:t xml:space="preserve">  This, alleged I&amp;E, violated Section 54.4(a) of the Commission’s Regulations, 52 Pa. Code §</w:t>
      </w:r>
      <w:r w:rsidR="009E434B">
        <w:rPr>
          <w:rFonts w:ascii="Times New Roman" w:hAnsi="Times New Roman"/>
          <w:sz w:val="26"/>
          <w:szCs w:val="26"/>
        </w:rPr>
        <w:t> </w:t>
      </w:r>
      <w:r w:rsidR="008F60FC">
        <w:rPr>
          <w:rFonts w:ascii="Times New Roman" w:hAnsi="Times New Roman"/>
          <w:sz w:val="26"/>
          <w:szCs w:val="26"/>
        </w:rPr>
        <w:t xml:space="preserve">54.4(a), which requires that </w:t>
      </w:r>
      <w:r w:rsidR="00813A79">
        <w:rPr>
          <w:rFonts w:ascii="Times New Roman" w:hAnsi="Times New Roman"/>
          <w:sz w:val="26"/>
          <w:szCs w:val="26"/>
        </w:rPr>
        <w:t xml:space="preserve">the </w:t>
      </w:r>
      <w:r w:rsidR="008F60FC">
        <w:rPr>
          <w:rFonts w:ascii="Times New Roman" w:hAnsi="Times New Roman"/>
          <w:sz w:val="26"/>
          <w:szCs w:val="26"/>
        </w:rPr>
        <w:t>EGS</w:t>
      </w:r>
      <w:r w:rsidR="00813A79">
        <w:rPr>
          <w:rFonts w:ascii="Times New Roman" w:hAnsi="Times New Roman"/>
          <w:sz w:val="26"/>
          <w:szCs w:val="26"/>
        </w:rPr>
        <w:t>’</w:t>
      </w:r>
      <w:r w:rsidR="008F60FC">
        <w:rPr>
          <w:rFonts w:ascii="Times New Roman" w:hAnsi="Times New Roman"/>
          <w:sz w:val="26"/>
          <w:szCs w:val="26"/>
        </w:rPr>
        <w:t xml:space="preserve"> </w:t>
      </w:r>
      <w:r w:rsidR="00813A79">
        <w:rPr>
          <w:rFonts w:ascii="Times New Roman" w:hAnsi="Times New Roman"/>
          <w:sz w:val="26"/>
          <w:szCs w:val="26"/>
        </w:rPr>
        <w:t xml:space="preserve">billed </w:t>
      </w:r>
      <w:r w:rsidR="008F60FC">
        <w:rPr>
          <w:rFonts w:ascii="Times New Roman" w:hAnsi="Times New Roman"/>
          <w:sz w:val="26"/>
          <w:szCs w:val="26"/>
        </w:rPr>
        <w:t xml:space="preserve">prices reflect the prices marketed and agreed upon in the disclosure statement.  </w:t>
      </w:r>
      <w:r w:rsidR="00B8332B">
        <w:rPr>
          <w:rFonts w:ascii="Times New Roman" w:hAnsi="Times New Roman"/>
          <w:i/>
          <w:sz w:val="26"/>
          <w:szCs w:val="26"/>
        </w:rPr>
        <w:t>Id.</w:t>
      </w:r>
      <w:r w:rsidR="008F60FC">
        <w:rPr>
          <w:rFonts w:ascii="Times New Roman" w:hAnsi="Times New Roman"/>
          <w:sz w:val="26"/>
          <w:szCs w:val="26"/>
        </w:rPr>
        <w:t xml:space="preserve"> at 7.</w:t>
      </w:r>
    </w:p>
    <w:p w:rsidR="002158A1" w:rsidRDefault="002158A1" w:rsidP="00DE68FB">
      <w:pPr>
        <w:ind w:firstLine="1440"/>
        <w:rPr>
          <w:rFonts w:ascii="Times New Roman" w:hAnsi="Times New Roman"/>
          <w:sz w:val="26"/>
          <w:szCs w:val="26"/>
        </w:rPr>
      </w:pPr>
    </w:p>
    <w:p w:rsidR="009716DE" w:rsidRPr="002158A1" w:rsidRDefault="002158A1" w:rsidP="00DE68FB">
      <w:pPr>
        <w:ind w:firstLine="1440"/>
        <w:rPr>
          <w:rFonts w:ascii="Times New Roman" w:hAnsi="Times New Roman"/>
          <w:sz w:val="26"/>
          <w:szCs w:val="26"/>
        </w:rPr>
      </w:pPr>
      <w:r>
        <w:rPr>
          <w:rFonts w:ascii="Times New Roman" w:hAnsi="Times New Roman"/>
          <w:sz w:val="26"/>
          <w:szCs w:val="26"/>
        </w:rPr>
        <w:t>I&amp;E s</w:t>
      </w:r>
      <w:r w:rsidR="009E434B">
        <w:rPr>
          <w:rFonts w:ascii="Times New Roman" w:hAnsi="Times New Roman"/>
          <w:sz w:val="26"/>
          <w:szCs w:val="26"/>
        </w:rPr>
        <w:t>et forth for each of the six EDCs the number of customers enrolled by HIKO who were provided the guarantee</w:t>
      </w:r>
      <w:r>
        <w:rPr>
          <w:rFonts w:ascii="Times New Roman" w:hAnsi="Times New Roman"/>
          <w:sz w:val="26"/>
          <w:szCs w:val="26"/>
        </w:rPr>
        <w:t>d introductory rate</w:t>
      </w:r>
      <w:r w:rsidR="009E434B">
        <w:rPr>
          <w:rFonts w:ascii="Times New Roman" w:hAnsi="Times New Roman"/>
          <w:sz w:val="26"/>
          <w:szCs w:val="26"/>
        </w:rPr>
        <w:t xml:space="preserve"> but not billed in accordance with the guaranteed 1% to 7% savings for the months of January through and including April 2014</w:t>
      </w:r>
      <w:r>
        <w:rPr>
          <w:rFonts w:ascii="Times New Roman" w:hAnsi="Times New Roman"/>
          <w:sz w:val="26"/>
          <w:szCs w:val="26"/>
        </w:rPr>
        <w:t xml:space="preserve">.  Calculating a total of 14,780 violations among all affected customers, I&amp;E </w:t>
      </w:r>
      <w:r w:rsidR="009E434B">
        <w:rPr>
          <w:rFonts w:ascii="Times New Roman" w:hAnsi="Times New Roman"/>
          <w:sz w:val="26"/>
          <w:szCs w:val="26"/>
        </w:rPr>
        <w:t>request</w:t>
      </w:r>
      <w:r>
        <w:rPr>
          <w:rFonts w:ascii="Times New Roman" w:hAnsi="Times New Roman"/>
          <w:sz w:val="26"/>
          <w:szCs w:val="26"/>
        </w:rPr>
        <w:t xml:space="preserve">ed </w:t>
      </w:r>
      <w:r w:rsidR="009E434B">
        <w:rPr>
          <w:rFonts w:ascii="Times New Roman" w:hAnsi="Times New Roman"/>
          <w:sz w:val="26"/>
          <w:szCs w:val="26"/>
        </w:rPr>
        <w:t>a civil penalty of $1,000 for each violation</w:t>
      </w:r>
      <w:r w:rsidR="00527012">
        <w:rPr>
          <w:rFonts w:ascii="Times New Roman" w:hAnsi="Times New Roman"/>
          <w:sz w:val="26"/>
          <w:szCs w:val="26"/>
        </w:rPr>
        <w:t xml:space="preserve"> pursuant to Section 3301 of the Public Utility Code (Code), 66 Pa. C.S. § 3301,</w:t>
      </w:r>
      <w:r>
        <w:rPr>
          <w:rFonts w:ascii="Times New Roman" w:hAnsi="Times New Roman"/>
          <w:sz w:val="26"/>
          <w:szCs w:val="26"/>
        </w:rPr>
        <w:t xml:space="preserve"> for a total of $14,780,000.  In addition, I&amp;E requested that HIKO provide a refund for each customer account that had not already been </w:t>
      </w:r>
      <w:r w:rsidR="00813A79">
        <w:rPr>
          <w:rFonts w:ascii="Times New Roman" w:hAnsi="Times New Roman"/>
          <w:sz w:val="26"/>
          <w:szCs w:val="26"/>
        </w:rPr>
        <w:t>refunded</w:t>
      </w:r>
      <w:r>
        <w:rPr>
          <w:rFonts w:ascii="Times New Roman" w:hAnsi="Times New Roman"/>
          <w:sz w:val="26"/>
          <w:szCs w:val="26"/>
        </w:rPr>
        <w:t xml:space="preserve">, to be calculated at the difference between the amount each customer was billed and the guaranteed minimum rate the customer should have been </w:t>
      </w:r>
      <w:r>
        <w:rPr>
          <w:rFonts w:ascii="Times New Roman" w:hAnsi="Times New Roman"/>
          <w:sz w:val="26"/>
          <w:szCs w:val="26"/>
        </w:rPr>
        <w:lastRenderedPageBreak/>
        <w:t xml:space="preserve">billed.  Finally, I&amp;E requested that HIKO’s license in Pennsylvania be rescinded.  </w:t>
      </w:r>
      <w:r>
        <w:rPr>
          <w:rFonts w:ascii="Times New Roman" w:hAnsi="Times New Roman"/>
          <w:i/>
          <w:sz w:val="26"/>
          <w:szCs w:val="26"/>
        </w:rPr>
        <w:t>Id</w:t>
      </w:r>
      <w:r>
        <w:rPr>
          <w:rFonts w:ascii="Times New Roman" w:hAnsi="Times New Roman"/>
          <w:sz w:val="26"/>
          <w:szCs w:val="26"/>
        </w:rPr>
        <w:t>. at</w:t>
      </w:r>
      <w:r w:rsidR="00772984">
        <w:rPr>
          <w:rFonts w:ascii="Times New Roman" w:hAnsi="Times New Roman"/>
          <w:sz w:val="26"/>
          <w:szCs w:val="26"/>
        </w:rPr>
        <w:t> </w:t>
      </w:r>
      <w:r>
        <w:rPr>
          <w:rFonts w:ascii="Times New Roman" w:hAnsi="Times New Roman"/>
          <w:sz w:val="26"/>
          <w:szCs w:val="26"/>
        </w:rPr>
        <w:t>7-27.</w:t>
      </w:r>
    </w:p>
    <w:p w:rsidR="009716DE" w:rsidRPr="00DE68FB" w:rsidRDefault="009716DE" w:rsidP="00DE68FB">
      <w:pPr>
        <w:ind w:firstLine="1440"/>
        <w:rPr>
          <w:rFonts w:ascii="Times New Roman" w:hAnsi="Times New Roman"/>
          <w:sz w:val="26"/>
          <w:szCs w:val="26"/>
        </w:rPr>
      </w:pPr>
    </w:p>
    <w:p w:rsidR="00761726" w:rsidRDefault="00F42599" w:rsidP="00DE68FB">
      <w:pPr>
        <w:ind w:firstLine="1440"/>
        <w:rPr>
          <w:rFonts w:ascii="Times New Roman" w:hAnsi="Times New Roman"/>
          <w:sz w:val="26"/>
          <w:szCs w:val="26"/>
        </w:rPr>
      </w:pPr>
      <w:r w:rsidRPr="00DE68FB">
        <w:rPr>
          <w:rFonts w:ascii="Times New Roman" w:hAnsi="Times New Roman"/>
          <w:sz w:val="26"/>
          <w:szCs w:val="26"/>
        </w:rPr>
        <w:t xml:space="preserve">On </w:t>
      </w:r>
      <w:r w:rsidR="00260360">
        <w:rPr>
          <w:rFonts w:ascii="Times New Roman" w:hAnsi="Times New Roman"/>
          <w:sz w:val="26"/>
          <w:szCs w:val="26"/>
        </w:rPr>
        <w:t>August</w:t>
      </w:r>
      <w:r w:rsidR="00F10B86" w:rsidRPr="00DE68FB">
        <w:rPr>
          <w:rFonts w:ascii="Times New Roman" w:hAnsi="Times New Roman"/>
          <w:sz w:val="26"/>
          <w:szCs w:val="26"/>
        </w:rPr>
        <w:t xml:space="preserve"> </w:t>
      </w:r>
      <w:r w:rsidR="00260360">
        <w:rPr>
          <w:rFonts w:ascii="Times New Roman" w:hAnsi="Times New Roman"/>
          <w:sz w:val="26"/>
          <w:szCs w:val="26"/>
        </w:rPr>
        <w:t>4</w:t>
      </w:r>
      <w:r w:rsidRPr="00DE68FB">
        <w:rPr>
          <w:rFonts w:ascii="Times New Roman" w:hAnsi="Times New Roman"/>
          <w:sz w:val="26"/>
          <w:szCs w:val="26"/>
        </w:rPr>
        <w:t xml:space="preserve">, 2014, </w:t>
      </w:r>
      <w:r w:rsidR="002158A1">
        <w:rPr>
          <w:rFonts w:ascii="Times New Roman" w:hAnsi="Times New Roman"/>
          <w:sz w:val="26"/>
          <w:szCs w:val="26"/>
        </w:rPr>
        <w:t>HIKO</w:t>
      </w:r>
      <w:r w:rsidR="001528F2" w:rsidRPr="00DE68FB">
        <w:rPr>
          <w:rFonts w:ascii="Times New Roman" w:hAnsi="Times New Roman"/>
          <w:sz w:val="26"/>
          <w:szCs w:val="26"/>
        </w:rPr>
        <w:t xml:space="preserve"> </w:t>
      </w:r>
      <w:r w:rsidR="009716DE" w:rsidRPr="00DE68FB">
        <w:rPr>
          <w:rFonts w:ascii="Times New Roman" w:hAnsi="Times New Roman"/>
          <w:sz w:val="26"/>
          <w:szCs w:val="26"/>
        </w:rPr>
        <w:t>filed an A</w:t>
      </w:r>
      <w:r w:rsidRPr="00DE68FB">
        <w:rPr>
          <w:rFonts w:ascii="Times New Roman" w:hAnsi="Times New Roman"/>
          <w:sz w:val="26"/>
          <w:szCs w:val="26"/>
        </w:rPr>
        <w:t>nswer</w:t>
      </w:r>
      <w:r w:rsidR="00531159">
        <w:rPr>
          <w:rFonts w:ascii="Times New Roman" w:hAnsi="Times New Roman"/>
          <w:sz w:val="26"/>
          <w:szCs w:val="26"/>
        </w:rPr>
        <w:t xml:space="preserve"> (Answer)</w:t>
      </w:r>
      <w:r w:rsidR="009716DE" w:rsidRPr="00DE68FB">
        <w:rPr>
          <w:rFonts w:ascii="Times New Roman" w:hAnsi="Times New Roman"/>
          <w:sz w:val="26"/>
          <w:szCs w:val="26"/>
        </w:rPr>
        <w:t xml:space="preserve"> </w:t>
      </w:r>
      <w:r w:rsidR="00260360">
        <w:rPr>
          <w:rFonts w:ascii="Times New Roman" w:hAnsi="Times New Roman"/>
          <w:sz w:val="26"/>
          <w:szCs w:val="26"/>
        </w:rPr>
        <w:t>to the Complaint</w:t>
      </w:r>
      <w:r w:rsidR="00D57A9E">
        <w:rPr>
          <w:rFonts w:ascii="Times New Roman" w:hAnsi="Times New Roman"/>
          <w:sz w:val="26"/>
          <w:szCs w:val="26"/>
        </w:rPr>
        <w:t xml:space="preserve"> and </w:t>
      </w:r>
      <w:r w:rsidR="001F4600">
        <w:rPr>
          <w:rFonts w:ascii="Times New Roman" w:hAnsi="Times New Roman"/>
          <w:sz w:val="26"/>
          <w:szCs w:val="26"/>
        </w:rPr>
        <w:t>P</w:t>
      </w:r>
      <w:r w:rsidR="00D57A9E">
        <w:rPr>
          <w:rFonts w:ascii="Times New Roman" w:hAnsi="Times New Roman"/>
          <w:sz w:val="26"/>
          <w:szCs w:val="26"/>
        </w:rPr>
        <w:t xml:space="preserve">reliminary </w:t>
      </w:r>
      <w:r w:rsidR="001F4600">
        <w:rPr>
          <w:rFonts w:ascii="Times New Roman" w:hAnsi="Times New Roman"/>
          <w:sz w:val="26"/>
          <w:szCs w:val="26"/>
        </w:rPr>
        <w:t>O</w:t>
      </w:r>
      <w:r w:rsidR="00D57A9E">
        <w:rPr>
          <w:rFonts w:ascii="Times New Roman" w:hAnsi="Times New Roman"/>
          <w:sz w:val="26"/>
          <w:szCs w:val="26"/>
        </w:rPr>
        <w:t>bjections</w:t>
      </w:r>
      <w:r w:rsidR="00260360">
        <w:rPr>
          <w:rFonts w:ascii="Times New Roman" w:hAnsi="Times New Roman"/>
          <w:sz w:val="26"/>
          <w:szCs w:val="26"/>
        </w:rPr>
        <w:t xml:space="preserve">.  In response to I&amp;E’s substantive allegations, HIKO admitted that </w:t>
      </w:r>
      <w:r w:rsidR="00203B2A">
        <w:rPr>
          <w:rFonts w:ascii="Times New Roman" w:hAnsi="Times New Roman"/>
          <w:sz w:val="26"/>
          <w:szCs w:val="26"/>
        </w:rPr>
        <w:t xml:space="preserve">until </w:t>
      </w:r>
      <w:r w:rsidR="00FE5EAA">
        <w:rPr>
          <w:rFonts w:ascii="Times New Roman" w:hAnsi="Times New Roman"/>
          <w:sz w:val="26"/>
          <w:szCs w:val="26"/>
        </w:rPr>
        <w:t>around</w:t>
      </w:r>
      <w:r w:rsidR="00203B2A">
        <w:rPr>
          <w:rFonts w:ascii="Times New Roman" w:hAnsi="Times New Roman"/>
          <w:sz w:val="26"/>
          <w:szCs w:val="26"/>
        </w:rPr>
        <w:t xml:space="preserve"> January</w:t>
      </w:r>
      <w:r w:rsidR="00531159">
        <w:rPr>
          <w:rFonts w:ascii="Times New Roman" w:hAnsi="Times New Roman"/>
          <w:sz w:val="26"/>
          <w:szCs w:val="26"/>
        </w:rPr>
        <w:t> </w:t>
      </w:r>
      <w:r w:rsidR="00203B2A">
        <w:rPr>
          <w:rFonts w:ascii="Times New Roman" w:hAnsi="Times New Roman"/>
          <w:sz w:val="26"/>
          <w:szCs w:val="26"/>
        </w:rPr>
        <w:t xml:space="preserve">2014 the Company marketed a variable rate plan to residential customers in the EDC areas identified </w:t>
      </w:r>
      <w:r w:rsidR="00531159">
        <w:rPr>
          <w:rFonts w:ascii="Times New Roman" w:hAnsi="Times New Roman"/>
          <w:sz w:val="26"/>
          <w:szCs w:val="26"/>
        </w:rPr>
        <w:t>by I&amp;E</w:t>
      </w:r>
      <w:r w:rsidR="00FE5EAA">
        <w:rPr>
          <w:rFonts w:ascii="Times New Roman" w:hAnsi="Times New Roman"/>
          <w:sz w:val="26"/>
          <w:szCs w:val="26"/>
        </w:rPr>
        <w:t>.  F</w:t>
      </w:r>
      <w:r w:rsidR="00531159" w:rsidRPr="00531159">
        <w:rPr>
          <w:rFonts w:ascii="Times New Roman" w:hAnsi="Times New Roman"/>
          <w:sz w:val="26"/>
          <w:szCs w:val="26"/>
        </w:rPr>
        <w:t>or a period of time</w:t>
      </w:r>
      <w:r w:rsidR="00FE5EAA">
        <w:rPr>
          <w:rFonts w:ascii="Times New Roman" w:hAnsi="Times New Roman"/>
          <w:sz w:val="26"/>
          <w:szCs w:val="26"/>
        </w:rPr>
        <w:t>, that plan</w:t>
      </w:r>
      <w:r w:rsidR="00203B2A">
        <w:rPr>
          <w:rFonts w:ascii="Times New Roman" w:hAnsi="Times New Roman"/>
          <w:sz w:val="26"/>
          <w:szCs w:val="26"/>
        </w:rPr>
        <w:t xml:space="preserve"> included pricing for an introductory period</w:t>
      </w:r>
      <w:r w:rsidR="00531159">
        <w:rPr>
          <w:rFonts w:ascii="Times New Roman" w:hAnsi="Times New Roman"/>
          <w:sz w:val="26"/>
          <w:szCs w:val="26"/>
        </w:rPr>
        <w:t xml:space="preserve">, </w:t>
      </w:r>
      <w:r w:rsidR="00FE5EAA">
        <w:rPr>
          <w:rFonts w:ascii="Times New Roman" w:hAnsi="Times New Roman"/>
          <w:sz w:val="26"/>
          <w:szCs w:val="26"/>
        </w:rPr>
        <w:t xml:space="preserve">with customers </w:t>
      </w:r>
      <w:r w:rsidR="00531159">
        <w:rPr>
          <w:rFonts w:ascii="Times New Roman" w:hAnsi="Times New Roman"/>
          <w:sz w:val="26"/>
          <w:szCs w:val="26"/>
        </w:rPr>
        <w:t>automatically enrolled in the Company’s standard variable rate product</w:t>
      </w:r>
      <w:r w:rsidR="00FE5EAA">
        <w:rPr>
          <w:rFonts w:ascii="Times New Roman" w:hAnsi="Times New Roman"/>
          <w:sz w:val="26"/>
          <w:szCs w:val="26"/>
        </w:rPr>
        <w:t xml:space="preserve"> </w:t>
      </w:r>
      <w:r w:rsidR="00FE5EAA" w:rsidRPr="00FE5EAA">
        <w:rPr>
          <w:rFonts w:ascii="Times New Roman" w:hAnsi="Times New Roman"/>
          <w:sz w:val="26"/>
          <w:szCs w:val="26"/>
        </w:rPr>
        <w:t xml:space="preserve">after the </w:t>
      </w:r>
      <w:r w:rsidR="00FE5EAA">
        <w:rPr>
          <w:rFonts w:ascii="Times New Roman" w:hAnsi="Times New Roman"/>
          <w:sz w:val="26"/>
          <w:szCs w:val="26"/>
        </w:rPr>
        <w:t xml:space="preserve">conclusion of the </w:t>
      </w:r>
      <w:r w:rsidR="00FE5EAA" w:rsidRPr="00FE5EAA">
        <w:rPr>
          <w:rFonts w:ascii="Times New Roman" w:hAnsi="Times New Roman"/>
          <w:sz w:val="26"/>
          <w:szCs w:val="26"/>
        </w:rPr>
        <w:t>introductory period</w:t>
      </w:r>
      <w:r w:rsidR="00531159">
        <w:rPr>
          <w:rFonts w:ascii="Times New Roman" w:hAnsi="Times New Roman"/>
          <w:sz w:val="26"/>
          <w:szCs w:val="26"/>
        </w:rPr>
        <w:t xml:space="preserve">. </w:t>
      </w:r>
      <w:r w:rsidR="001528F2" w:rsidRPr="00DE68FB">
        <w:rPr>
          <w:rFonts w:ascii="Times New Roman" w:hAnsi="Times New Roman"/>
          <w:sz w:val="26"/>
          <w:szCs w:val="26"/>
        </w:rPr>
        <w:t xml:space="preserve"> </w:t>
      </w:r>
      <w:r w:rsidR="00FE5EAA">
        <w:rPr>
          <w:rFonts w:ascii="Times New Roman" w:hAnsi="Times New Roman"/>
          <w:sz w:val="26"/>
          <w:szCs w:val="26"/>
        </w:rPr>
        <w:t xml:space="preserve">Answer at 3-4.  </w:t>
      </w:r>
      <w:r w:rsidR="006609C2">
        <w:rPr>
          <w:rFonts w:ascii="Times New Roman" w:hAnsi="Times New Roman"/>
          <w:sz w:val="26"/>
          <w:szCs w:val="26"/>
        </w:rPr>
        <w:t>HIKO</w:t>
      </w:r>
      <w:r w:rsidR="00531159" w:rsidRPr="00531159">
        <w:rPr>
          <w:rFonts w:ascii="Times New Roman" w:hAnsi="Times New Roman"/>
          <w:sz w:val="26"/>
          <w:szCs w:val="26"/>
        </w:rPr>
        <w:t xml:space="preserve"> den</w:t>
      </w:r>
      <w:r w:rsidR="00FE5EAA">
        <w:rPr>
          <w:rFonts w:ascii="Times New Roman" w:hAnsi="Times New Roman"/>
          <w:sz w:val="26"/>
          <w:szCs w:val="26"/>
        </w:rPr>
        <w:t>ied</w:t>
      </w:r>
      <w:r w:rsidR="00531159" w:rsidRPr="00531159">
        <w:rPr>
          <w:rFonts w:ascii="Times New Roman" w:hAnsi="Times New Roman"/>
          <w:sz w:val="26"/>
          <w:szCs w:val="26"/>
        </w:rPr>
        <w:t xml:space="preserve"> I&amp;E’s specific allegations of the number of customers and bills affected and referr</w:t>
      </w:r>
      <w:r w:rsidR="00FE5EAA">
        <w:rPr>
          <w:rFonts w:ascii="Times New Roman" w:hAnsi="Times New Roman"/>
          <w:sz w:val="26"/>
          <w:szCs w:val="26"/>
        </w:rPr>
        <w:t>ed</w:t>
      </w:r>
      <w:r w:rsidR="00531159" w:rsidRPr="00531159">
        <w:rPr>
          <w:rFonts w:ascii="Times New Roman" w:hAnsi="Times New Roman"/>
          <w:sz w:val="26"/>
          <w:szCs w:val="26"/>
        </w:rPr>
        <w:t xml:space="preserve"> instead to its invoices and customer enrollment materials</w:t>
      </w:r>
      <w:r w:rsidR="00FE5EAA">
        <w:rPr>
          <w:rFonts w:ascii="Times New Roman" w:hAnsi="Times New Roman"/>
          <w:sz w:val="26"/>
          <w:szCs w:val="26"/>
        </w:rPr>
        <w:t xml:space="preserve">.  </w:t>
      </w:r>
      <w:r w:rsidR="00531159">
        <w:rPr>
          <w:rFonts w:ascii="Times New Roman" w:hAnsi="Times New Roman"/>
          <w:sz w:val="26"/>
          <w:szCs w:val="26"/>
        </w:rPr>
        <w:t xml:space="preserve">HIKO </w:t>
      </w:r>
      <w:r w:rsidR="00FE5EAA">
        <w:rPr>
          <w:rFonts w:ascii="Times New Roman" w:hAnsi="Times New Roman"/>
          <w:sz w:val="26"/>
          <w:szCs w:val="26"/>
        </w:rPr>
        <w:t xml:space="preserve">further </w:t>
      </w:r>
      <w:r w:rsidR="00531159">
        <w:rPr>
          <w:rFonts w:ascii="Times New Roman" w:hAnsi="Times New Roman"/>
          <w:sz w:val="26"/>
          <w:szCs w:val="26"/>
        </w:rPr>
        <w:t>res</w:t>
      </w:r>
      <w:r w:rsidR="00FE5EAA">
        <w:rPr>
          <w:rFonts w:ascii="Times New Roman" w:hAnsi="Times New Roman"/>
          <w:sz w:val="26"/>
          <w:szCs w:val="26"/>
        </w:rPr>
        <w:t>ponded</w:t>
      </w:r>
      <w:r w:rsidR="00531159">
        <w:rPr>
          <w:rFonts w:ascii="Times New Roman" w:hAnsi="Times New Roman"/>
          <w:sz w:val="26"/>
          <w:szCs w:val="26"/>
        </w:rPr>
        <w:t xml:space="preserve"> that some customers </w:t>
      </w:r>
      <w:r w:rsidR="00FE5EAA">
        <w:rPr>
          <w:rFonts w:ascii="Times New Roman" w:hAnsi="Times New Roman"/>
          <w:sz w:val="26"/>
          <w:szCs w:val="26"/>
        </w:rPr>
        <w:t xml:space="preserve">who </w:t>
      </w:r>
      <w:r w:rsidR="00531159">
        <w:rPr>
          <w:rFonts w:ascii="Times New Roman" w:hAnsi="Times New Roman"/>
          <w:sz w:val="26"/>
          <w:szCs w:val="26"/>
        </w:rPr>
        <w:t>received bills during the January to April 2014 time-frame</w:t>
      </w:r>
      <w:r w:rsidR="004F7F26">
        <w:rPr>
          <w:rFonts w:ascii="Times New Roman" w:hAnsi="Times New Roman"/>
          <w:sz w:val="26"/>
          <w:szCs w:val="26"/>
        </w:rPr>
        <w:t xml:space="preserve"> that</w:t>
      </w:r>
      <w:r w:rsidR="00531159">
        <w:rPr>
          <w:rFonts w:ascii="Times New Roman" w:hAnsi="Times New Roman"/>
          <w:sz w:val="26"/>
          <w:szCs w:val="26"/>
        </w:rPr>
        <w:t xml:space="preserve"> exceeded the applicable PTC</w:t>
      </w:r>
      <w:r w:rsidR="00FE5EAA">
        <w:rPr>
          <w:rFonts w:ascii="Times New Roman" w:hAnsi="Times New Roman"/>
          <w:sz w:val="26"/>
          <w:szCs w:val="26"/>
        </w:rPr>
        <w:t xml:space="preserve"> due to the “anomalous and unforeseen market forces beyond HIKO’s control during the winter of 2013 and 2014” had been or were being reimbursed by </w:t>
      </w:r>
      <w:r w:rsidR="00531159">
        <w:rPr>
          <w:rFonts w:ascii="Times New Roman" w:hAnsi="Times New Roman"/>
          <w:sz w:val="26"/>
          <w:szCs w:val="26"/>
        </w:rPr>
        <w:t xml:space="preserve">the Company </w:t>
      </w:r>
      <w:r w:rsidR="00FE5EAA">
        <w:rPr>
          <w:rFonts w:ascii="Times New Roman" w:hAnsi="Times New Roman"/>
          <w:sz w:val="26"/>
          <w:szCs w:val="26"/>
        </w:rPr>
        <w:t>and that the Company also pai</w:t>
      </w:r>
      <w:r w:rsidR="00761726">
        <w:rPr>
          <w:rFonts w:ascii="Times New Roman" w:hAnsi="Times New Roman"/>
          <w:sz w:val="26"/>
          <w:szCs w:val="26"/>
        </w:rPr>
        <w:t>d</w:t>
      </w:r>
      <w:r w:rsidR="00FE5EAA">
        <w:rPr>
          <w:rFonts w:ascii="Times New Roman" w:hAnsi="Times New Roman"/>
          <w:sz w:val="26"/>
          <w:szCs w:val="26"/>
        </w:rPr>
        <w:t xml:space="preserve"> the generation portion of the monthly bills of customers who had opted for HIKO’s “one month free” program.  </w:t>
      </w:r>
      <w:r w:rsidR="006609C2">
        <w:rPr>
          <w:rFonts w:ascii="Times New Roman" w:hAnsi="Times New Roman"/>
          <w:sz w:val="26"/>
          <w:szCs w:val="26"/>
        </w:rPr>
        <w:t>The Company concluded that except for that limited period</w:t>
      </w:r>
      <w:r w:rsidR="004F7F26">
        <w:rPr>
          <w:rFonts w:ascii="Times New Roman" w:hAnsi="Times New Roman"/>
          <w:sz w:val="26"/>
          <w:szCs w:val="26"/>
        </w:rPr>
        <w:t xml:space="preserve"> of time</w:t>
      </w:r>
      <w:r w:rsidR="006609C2">
        <w:rPr>
          <w:rFonts w:ascii="Times New Roman" w:hAnsi="Times New Roman"/>
          <w:sz w:val="26"/>
          <w:szCs w:val="26"/>
        </w:rPr>
        <w:t xml:space="preserve">, the Company provided savings to Pennsylvania customers.  </w:t>
      </w:r>
      <w:r w:rsidR="00FE5EAA">
        <w:rPr>
          <w:rFonts w:ascii="Times New Roman" w:hAnsi="Times New Roman"/>
          <w:i/>
          <w:sz w:val="26"/>
          <w:szCs w:val="26"/>
        </w:rPr>
        <w:t>Id.</w:t>
      </w:r>
      <w:r w:rsidR="00531159">
        <w:rPr>
          <w:rFonts w:ascii="Times New Roman" w:hAnsi="Times New Roman"/>
          <w:sz w:val="26"/>
          <w:szCs w:val="26"/>
        </w:rPr>
        <w:t xml:space="preserve"> at </w:t>
      </w:r>
      <w:r w:rsidR="006609C2">
        <w:rPr>
          <w:rFonts w:ascii="Times New Roman" w:hAnsi="Times New Roman"/>
          <w:sz w:val="26"/>
          <w:szCs w:val="26"/>
        </w:rPr>
        <w:t>5-33</w:t>
      </w:r>
      <w:r w:rsidR="00531159">
        <w:rPr>
          <w:rFonts w:ascii="Times New Roman" w:hAnsi="Times New Roman"/>
          <w:sz w:val="26"/>
          <w:szCs w:val="26"/>
        </w:rPr>
        <w:t>.</w:t>
      </w:r>
    </w:p>
    <w:p w:rsidR="00761726" w:rsidRDefault="00761726" w:rsidP="00DE68FB">
      <w:pPr>
        <w:ind w:firstLine="1440"/>
        <w:rPr>
          <w:rFonts w:ascii="Times New Roman" w:hAnsi="Times New Roman"/>
          <w:sz w:val="26"/>
          <w:szCs w:val="26"/>
        </w:rPr>
      </w:pPr>
    </w:p>
    <w:p w:rsidR="00D57A9E" w:rsidRPr="001F4600" w:rsidRDefault="006609C2" w:rsidP="00DE68FB">
      <w:pPr>
        <w:ind w:firstLine="1440"/>
        <w:rPr>
          <w:rFonts w:ascii="Times New Roman" w:hAnsi="Times New Roman"/>
          <w:i/>
          <w:sz w:val="26"/>
          <w:szCs w:val="26"/>
        </w:rPr>
      </w:pPr>
      <w:r>
        <w:rPr>
          <w:rFonts w:ascii="Times New Roman" w:hAnsi="Times New Roman"/>
          <w:sz w:val="26"/>
          <w:szCs w:val="26"/>
        </w:rPr>
        <w:t>In New Matter,</w:t>
      </w:r>
      <w:r w:rsidR="00761726">
        <w:rPr>
          <w:rFonts w:ascii="Times New Roman" w:hAnsi="Times New Roman"/>
          <w:sz w:val="26"/>
          <w:szCs w:val="26"/>
        </w:rPr>
        <w:t xml:space="preserve"> HIKO contended that I&amp;E could not enforce ambiguous Regulations; the Commission had already reviewed and approved HIKO’s disclosure statement, which fully disclosed HIKO’s rate and pricing information; the Commission lacked authority to regulate EGS prices; to the extent HIKO’s prices did not conform to its disclosure statement it was due to the unforeseen and uncontrollable polar vortex weather effects; HIKO engaged in no deceptive conduct and engaged in prompt investigation and remediation of any such conduct; the invoices of customers who had already settled with HIKO could not form the basis of I&amp;E’s allegations nor could I&amp;E seek restitution for such customers; the Commission lacked authority to order restitution; and I&amp;E’s requested relief was “grossly disproportionate” to the alleged violations.  </w:t>
      </w:r>
      <w:r w:rsidR="006073C6">
        <w:rPr>
          <w:rFonts w:ascii="Times New Roman" w:hAnsi="Times New Roman"/>
          <w:sz w:val="26"/>
          <w:szCs w:val="26"/>
        </w:rPr>
        <w:lastRenderedPageBreak/>
        <w:t xml:space="preserve">HIKO also alleged that </w:t>
      </w:r>
      <w:r w:rsidR="006073C6" w:rsidRPr="006073C6">
        <w:rPr>
          <w:rFonts w:ascii="Times New Roman" w:hAnsi="Times New Roman"/>
          <w:sz w:val="26"/>
          <w:szCs w:val="26"/>
        </w:rPr>
        <w:t xml:space="preserve">a similar matter was already pending at Docket No. C-2014-2427652, therefore the doctrine of </w:t>
      </w:r>
      <w:r w:rsidR="006073C6" w:rsidRPr="006073C6">
        <w:rPr>
          <w:rFonts w:ascii="Times New Roman" w:hAnsi="Times New Roman"/>
          <w:i/>
          <w:sz w:val="26"/>
          <w:szCs w:val="26"/>
        </w:rPr>
        <w:t>lis pendens</w:t>
      </w:r>
      <w:r w:rsidR="006073C6" w:rsidRPr="006073C6">
        <w:rPr>
          <w:rFonts w:ascii="Times New Roman" w:hAnsi="Times New Roman"/>
          <w:sz w:val="26"/>
          <w:szCs w:val="26"/>
        </w:rPr>
        <w:t xml:space="preserve"> precluded I&amp;E’s pursuit of its Complaint</w:t>
      </w:r>
      <w:r w:rsidR="006073C6">
        <w:rPr>
          <w:rFonts w:ascii="Times New Roman" w:hAnsi="Times New Roman"/>
          <w:sz w:val="26"/>
          <w:szCs w:val="26"/>
        </w:rPr>
        <w:t xml:space="preserve">.  </w:t>
      </w:r>
      <w:r w:rsidR="006073C6">
        <w:rPr>
          <w:rFonts w:ascii="Times New Roman" w:hAnsi="Times New Roman"/>
          <w:i/>
          <w:sz w:val="26"/>
          <w:szCs w:val="26"/>
        </w:rPr>
        <w:t xml:space="preserve">Id. </w:t>
      </w:r>
      <w:r w:rsidR="006073C6">
        <w:rPr>
          <w:rFonts w:ascii="Times New Roman" w:hAnsi="Times New Roman"/>
          <w:sz w:val="26"/>
          <w:szCs w:val="26"/>
        </w:rPr>
        <w:t xml:space="preserve">at 33.  </w:t>
      </w:r>
      <w:r w:rsidR="001F4600">
        <w:rPr>
          <w:rFonts w:ascii="Times New Roman" w:hAnsi="Times New Roman"/>
          <w:sz w:val="26"/>
          <w:szCs w:val="26"/>
        </w:rPr>
        <w:t xml:space="preserve">HIKO also contended in its Preliminary Objections that I&amp;E’s pursuit of this Complaint was barred by </w:t>
      </w:r>
      <w:r w:rsidR="001F4600">
        <w:rPr>
          <w:rFonts w:ascii="Times New Roman" w:hAnsi="Times New Roman"/>
          <w:i/>
          <w:sz w:val="26"/>
          <w:szCs w:val="26"/>
        </w:rPr>
        <w:t>lis pendens</w:t>
      </w:r>
      <w:r w:rsidR="001F4600">
        <w:rPr>
          <w:rFonts w:ascii="Times New Roman" w:hAnsi="Times New Roman"/>
          <w:sz w:val="26"/>
          <w:szCs w:val="26"/>
        </w:rPr>
        <w:t xml:space="preserve"> and that the Commission lacked jurisdiction to order refunds.  I.D. at 6.</w:t>
      </w:r>
    </w:p>
    <w:p w:rsidR="00D57A9E" w:rsidRDefault="00D57A9E" w:rsidP="00DE68FB">
      <w:pPr>
        <w:ind w:firstLine="1440"/>
        <w:rPr>
          <w:rFonts w:ascii="Times New Roman" w:hAnsi="Times New Roman"/>
          <w:sz w:val="26"/>
          <w:szCs w:val="26"/>
        </w:rPr>
      </w:pPr>
    </w:p>
    <w:p w:rsidR="009716DE" w:rsidRPr="001F4600" w:rsidRDefault="006073C6" w:rsidP="00DE68FB">
      <w:pPr>
        <w:ind w:firstLine="1440"/>
        <w:rPr>
          <w:rFonts w:ascii="Times New Roman" w:hAnsi="Times New Roman"/>
          <w:sz w:val="26"/>
          <w:szCs w:val="26"/>
        </w:rPr>
      </w:pPr>
      <w:r w:rsidRPr="006073C6">
        <w:rPr>
          <w:rFonts w:ascii="Times New Roman" w:hAnsi="Times New Roman"/>
          <w:sz w:val="26"/>
          <w:szCs w:val="26"/>
        </w:rPr>
        <w:t>Th</w:t>
      </w:r>
      <w:r>
        <w:rPr>
          <w:rFonts w:ascii="Times New Roman" w:hAnsi="Times New Roman"/>
          <w:sz w:val="26"/>
          <w:szCs w:val="26"/>
        </w:rPr>
        <w:t>e</w:t>
      </w:r>
      <w:r w:rsidRPr="006073C6">
        <w:rPr>
          <w:rFonts w:ascii="Times New Roman" w:hAnsi="Times New Roman"/>
          <w:sz w:val="26"/>
          <w:szCs w:val="26"/>
        </w:rPr>
        <w:t xml:space="preserve"> </w:t>
      </w:r>
      <w:r w:rsidR="004F7F26">
        <w:rPr>
          <w:rFonts w:ascii="Times New Roman" w:hAnsi="Times New Roman"/>
          <w:sz w:val="26"/>
          <w:szCs w:val="26"/>
        </w:rPr>
        <w:t xml:space="preserve">other pending </w:t>
      </w:r>
      <w:r w:rsidRPr="006073C6">
        <w:rPr>
          <w:rFonts w:ascii="Times New Roman" w:hAnsi="Times New Roman"/>
          <w:sz w:val="26"/>
          <w:szCs w:val="26"/>
        </w:rPr>
        <w:t xml:space="preserve">proceeding </w:t>
      </w:r>
      <w:r w:rsidR="004F7F26">
        <w:rPr>
          <w:rFonts w:ascii="Times New Roman" w:hAnsi="Times New Roman"/>
          <w:sz w:val="26"/>
          <w:szCs w:val="26"/>
        </w:rPr>
        <w:t>addressing consumer complaints over HIKO’s billing during the winter of 2014</w:t>
      </w:r>
      <w:r w:rsidR="000769C5">
        <w:rPr>
          <w:rFonts w:ascii="Times New Roman" w:hAnsi="Times New Roman"/>
          <w:sz w:val="26"/>
          <w:szCs w:val="26"/>
        </w:rPr>
        <w:t xml:space="preserve"> is</w:t>
      </w:r>
      <w:r w:rsidR="004F7F26">
        <w:rPr>
          <w:rFonts w:ascii="Times New Roman" w:hAnsi="Times New Roman"/>
          <w:sz w:val="26"/>
          <w:szCs w:val="26"/>
        </w:rPr>
        <w:t xml:space="preserve"> </w:t>
      </w:r>
      <w:r w:rsidR="00007F5E">
        <w:rPr>
          <w:rFonts w:ascii="Times New Roman" w:hAnsi="Times New Roman"/>
          <w:i/>
          <w:sz w:val="26"/>
          <w:szCs w:val="26"/>
        </w:rPr>
        <w:t>Commonwealth</w:t>
      </w:r>
      <w:r w:rsidRPr="006073C6">
        <w:rPr>
          <w:rFonts w:ascii="Times New Roman" w:hAnsi="Times New Roman"/>
          <w:i/>
          <w:sz w:val="26"/>
          <w:szCs w:val="26"/>
        </w:rPr>
        <w:t xml:space="preserve"> of PA v. HIKO Energy, LLC</w:t>
      </w:r>
      <w:r w:rsidRPr="006073C6">
        <w:rPr>
          <w:rFonts w:ascii="Times New Roman" w:hAnsi="Times New Roman"/>
          <w:sz w:val="26"/>
          <w:szCs w:val="26"/>
        </w:rPr>
        <w:t>, Docket No. C</w:t>
      </w:r>
      <w:r w:rsidRPr="006073C6">
        <w:rPr>
          <w:rFonts w:ascii="Times New Roman" w:hAnsi="Times New Roman"/>
          <w:sz w:val="26"/>
          <w:szCs w:val="26"/>
        </w:rPr>
        <w:noBreakHyphen/>
        <w:t>2014-2427625 (</w:t>
      </w:r>
      <w:r w:rsidRPr="006073C6">
        <w:rPr>
          <w:rFonts w:ascii="Times New Roman" w:hAnsi="Times New Roman"/>
          <w:i/>
          <w:sz w:val="26"/>
          <w:szCs w:val="26"/>
        </w:rPr>
        <w:t>OAG/OCA-HIKO Settlement</w:t>
      </w:r>
      <w:r w:rsidRPr="006073C6">
        <w:rPr>
          <w:rFonts w:ascii="Times New Roman" w:hAnsi="Times New Roman"/>
          <w:sz w:val="26"/>
          <w:szCs w:val="26"/>
        </w:rPr>
        <w:t>)</w:t>
      </w:r>
      <w:r w:rsidR="004F7F26">
        <w:rPr>
          <w:rFonts w:ascii="Times New Roman" w:hAnsi="Times New Roman"/>
          <w:sz w:val="26"/>
          <w:szCs w:val="26"/>
        </w:rPr>
        <w:t>.  That proceeding was initiated upon</w:t>
      </w:r>
      <w:r w:rsidRPr="006073C6">
        <w:rPr>
          <w:rFonts w:ascii="Times New Roman" w:hAnsi="Times New Roman"/>
          <w:sz w:val="26"/>
          <w:szCs w:val="26"/>
        </w:rPr>
        <w:t xml:space="preserve"> a complaint </w:t>
      </w:r>
      <w:r w:rsidR="00D57A9E">
        <w:rPr>
          <w:rFonts w:ascii="Times New Roman" w:hAnsi="Times New Roman"/>
          <w:sz w:val="26"/>
          <w:szCs w:val="26"/>
        </w:rPr>
        <w:t xml:space="preserve">filed </w:t>
      </w:r>
      <w:r>
        <w:rPr>
          <w:rFonts w:ascii="Times New Roman" w:hAnsi="Times New Roman"/>
          <w:sz w:val="26"/>
          <w:szCs w:val="26"/>
        </w:rPr>
        <w:t xml:space="preserve">against HIKO </w:t>
      </w:r>
      <w:r w:rsidR="00D57A9E">
        <w:rPr>
          <w:rFonts w:ascii="Times New Roman" w:hAnsi="Times New Roman"/>
          <w:sz w:val="26"/>
          <w:szCs w:val="26"/>
        </w:rPr>
        <w:t xml:space="preserve">on June 20, 2014, </w:t>
      </w:r>
      <w:r w:rsidRPr="006073C6">
        <w:rPr>
          <w:rFonts w:ascii="Times New Roman" w:hAnsi="Times New Roman"/>
          <w:sz w:val="26"/>
          <w:szCs w:val="26"/>
        </w:rPr>
        <w:t xml:space="preserve">by </w:t>
      </w:r>
      <w:r w:rsidR="00D57A9E">
        <w:rPr>
          <w:rFonts w:ascii="Times New Roman" w:hAnsi="Times New Roman"/>
          <w:sz w:val="26"/>
          <w:szCs w:val="26"/>
        </w:rPr>
        <w:t>the Pennsylvania Office of Attorney General, Bureau of Consumer Protection and Office of Consumer Advocate (</w:t>
      </w:r>
      <w:r w:rsidR="00D57A9E" w:rsidRPr="00D57A9E">
        <w:rPr>
          <w:rFonts w:ascii="Times New Roman" w:hAnsi="Times New Roman"/>
          <w:sz w:val="26"/>
          <w:szCs w:val="26"/>
        </w:rPr>
        <w:t>OAG</w:t>
      </w:r>
      <w:r w:rsidR="00D57A9E">
        <w:rPr>
          <w:rFonts w:ascii="Times New Roman" w:hAnsi="Times New Roman"/>
          <w:sz w:val="26"/>
          <w:szCs w:val="26"/>
        </w:rPr>
        <w:t>/OCA)</w:t>
      </w:r>
      <w:r w:rsidRPr="006073C6">
        <w:rPr>
          <w:rFonts w:ascii="Times New Roman" w:hAnsi="Times New Roman"/>
          <w:sz w:val="26"/>
          <w:szCs w:val="26"/>
        </w:rPr>
        <w:t>.</w:t>
      </w:r>
      <w:r w:rsidRPr="006073C6">
        <w:rPr>
          <w:rFonts w:ascii="Times New Roman" w:hAnsi="Times New Roman"/>
          <w:sz w:val="26"/>
          <w:szCs w:val="26"/>
          <w:vertAlign w:val="superscript"/>
        </w:rPr>
        <w:footnoteReference w:id="1"/>
      </w:r>
      <w:r>
        <w:rPr>
          <w:rFonts w:ascii="Times New Roman" w:hAnsi="Times New Roman"/>
          <w:sz w:val="26"/>
          <w:szCs w:val="26"/>
        </w:rPr>
        <w:t xml:space="preserve"> </w:t>
      </w:r>
      <w:r w:rsidRPr="006073C6">
        <w:rPr>
          <w:rFonts w:ascii="Times New Roman" w:hAnsi="Times New Roman"/>
          <w:sz w:val="26"/>
          <w:szCs w:val="26"/>
        </w:rPr>
        <w:t xml:space="preserve"> </w:t>
      </w:r>
      <w:r w:rsidR="00761726">
        <w:rPr>
          <w:rFonts w:ascii="Times New Roman" w:hAnsi="Times New Roman"/>
          <w:i/>
          <w:sz w:val="26"/>
          <w:szCs w:val="26"/>
        </w:rPr>
        <w:t xml:space="preserve">Id. </w:t>
      </w:r>
      <w:r w:rsidR="00761726">
        <w:rPr>
          <w:rFonts w:ascii="Times New Roman" w:hAnsi="Times New Roman"/>
          <w:sz w:val="26"/>
          <w:szCs w:val="26"/>
        </w:rPr>
        <w:t>at 33</w:t>
      </w:r>
      <w:r w:rsidR="00D57A9E">
        <w:rPr>
          <w:rFonts w:ascii="Times New Roman" w:hAnsi="Times New Roman"/>
          <w:sz w:val="26"/>
          <w:szCs w:val="26"/>
        </w:rPr>
        <w:t>; I.D. at 3</w:t>
      </w:r>
      <w:r w:rsidR="00761726">
        <w:rPr>
          <w:rFonts w:ascii="Times New Roman" w:hAnsi="Times New Roman"/>
          <w:sz w:val="26"/>
          <w:szCs w:val="26"/>
        </w:rPr>
        <w:t>.</w:t>
      </w:r>
      <w:r w:rsidR="00D57A9E">
        <w:rPr>
          <w:rFonts w:ascii="Times New Roman" w:hAnsi="Times New Roman"/>
          <w:sz w:val="26"/>
          <w:szCs w:val="26"/>
        </w:rPr>
        <w:t xml:space="preserve">  The OAG/OCA complaint included eight counts against HIKO, including deceptive promises of savings, slamming</w:t>
      </w:r>
      <w:r w:rsidR="004F7F26">
        <w:rPr>
          <w:rFonts w:ascii="Times New Roman" w:hAnsi="Times New Roman"/>
          <w:sz w:val="26"/>
          <w:szCs w:val="26"/>
        </w:rPr>
        <w:t>,</w:t>
      </w:r>
      <w:r w:rsidR="00D57A9E">
        <w:rPr>
          <w:rFonts w:ascii="Times New Roman" w:hAnsi="Times New Roman"/>
          <w:sz w:val="26"/>
          <w:szCs w:val="26"/>
        </w:rPr>
        <w:t xml:space="preserve"> lack of good faith handling of complaints, failing to provide </w:t>
      </w:r>
      <w:r w:rsidR="004F7F26">
        <w:rPr>
          <w:rFonts w:ascii="Times New Roman" w:hAnsi="Times New Roman"/>
          <w:sz w:val="26"/>
          <w:szCs w:val="26"/>
        </w:rPr>
        <w:t xml:space="preserve">accurate </w:t>
      </w:r>
      <w:r w:rsidR="00D57A9E">
        <w:rPr>
          <w:rFonts w:ascii="Times New Roman" w:hAnsi="Times New Roman"/>
          <w:sz w:val="26"/>
          <w:szCs w:val="26"/>
        </w:rPr>
        <w:t>rate and pricing information, prices nonconforming to disclosure statements, fail</w:t>
      </w:r>
      <w:r w:rsidR="004F7F26">
        <w:rPr>
          <w:rFonts w:ascii="Times New Roman" w:hAnsi="Times New Roman"/>
          <w:sz w:val="26"/>
          <w:szCs w:val="26"/>
        </w:rPr>
        <w:t>ure</w:t>
      </w:r>
      <w:r w:rsidR="00D57A9E">
        <w:rPr>
          <w:rFonts w:ascii="Times New Roman" w:hAnsi="Times New Roman"/>
          <w:sz w:val="26"/>
          <w:szCs w:val="26"/>
        </w:rPr>
        <w:t xml:space="preserve"> to follow purchase of receivables parameters, and failure to comply with the Telemarketer Registration Act.  I.D. at 3-4.  The OAG/OCA also requested restitution and license revocation.  </w:t>
      </w:r>
      <w:r w:rsidR="001F4600">
        <w:rPr>
          <w:rFonts w:ascii="Times New Roman" w:hAnsi="Times New Roman"/>
          <w:sz w:val="26"/>
          <w:szCs w:val="26"/>
        </w:rPr>
        <w:t xml:space="preserve">I&amp;E and the Office of Small Business Advocate intervened in that proceeding; the OCA also intervened in this proceeding.  I&amp;E objected to the consolidation of the two proceedings.  </w:t>
      </w:r>
      <w:r w:rsidR="001F4600">
        <w:rPr>
          <w:rFonts w:ascii="Times New Roman" w:hAnsi="Times New Roman"/>
          <w:i/>
          <w:sz w:val="26"/>
          <w:szCs w:val="26"/>
        </w:rPr>
        <w:t>Id.</w:t>
      </w:r>
      <w:r w:rsidR="001F4600">
        <w:rPr>
          <w:rFonts w:ascii="Times New Roman" w:hAnsi="Times New Roman"/>
          <w:sz w:val="26"/>
          <w:szCs w:val="26"/>
        </w:rPr>
        <w:t xml:space="preserve"> at 4.</w:t>
      </w:r>
    </w:p>
    <w:p w:rsidR="00761726" w:rsidRDefault="00761726" w:rsidP="00DE68FB">
      <w:pPr>
        <w:ind w:firstLine="1440"/>
        <w:rPr>
          <w:rFonts w:ascii="Times New Roman" w:hAnsi="Times New Roman"/>
          <w:sz w:val="26"/>
          <w:szCs w:val="26"/>
        </w:rPr>
      </w:pPr>
    </w:p>
    <w:p w:rsidR="00761726" w:rsidRPr="001F4600" w:rsidRDefault="001F4600" w:rsidP="00DE68FB">
      <w:pPr>
        <w:ind w:firstLine="1440"/>
        <w:rPr>
          <w:rFonts w:ascii="Times New Roman" w:hAnsi="Times New Roman"/>
          <w:sz w:val="26"/>
          <w:szCs w:val="26"/>
        </w:rPr>
      </w:pPr>
      <w:r>
        <w:rPr>
          <w:rFonts w:ascii="Times New Roman" w:hAnsi="Times New Roman"/>
          <w:sz w:val="26"/>
          <w:szCs w:val="26"/>
        </w:rPr>
        <w:t xml:space="preserve">On August 11, 2014, I&amp;E filed an Answer to HIKO’s Preliminary Objections, and on August 18, 2014, I&amp;E filed an Answer to the Company’s New Matter.  By Order dated September 2, 2014, the ALJs denied HIKO’s Preliminary Objections, finding I&amp;E’s pursuit of this Complaint was not barred by the doctrine of </w:t>
      </w:r>
      <w:r>
        <w:rPr>
          <w:rFonts w:ascii="Times New Roman" w:hAnsi="Times New Roman"/>
          <w:i/>
          <w:sz w:val="26"/>
          <w:szCs w:val="26"/>
        </w:rPr>
        <w:t>lis pendens</w:t>
      </w:r>
      <w:r>
        <w:rPr>
          <w:rFonts w:ascii="Times New Roman" w:hAnsi="Times New Roman"/>
          <w:sz w:val="26"/>
          <w:szCs w:val="26"/>
        </w:rPr>
        <w:t xml:space="preserve"> and that the Commission had jurisdiction to compel refunds.  I.D. at 6.</w:t>
      </w:r>
    </w:p>
    <w:p w:rsidR="009716DE" w:rsidRPr="00DE68FB" w:rsidRDefault="009716DE" w:rsidP="00DE68FB">
      <w:pPr>
        <w:ind w:firstLine="1440"/>
        <w:rPr>
          <w:rFonts w:ascii="Times New Roman" w:hAnsi="Times New Roman"/>
          <w:sz w:val="26"/>
          <w:szCs w:val="26"/>
        </w:rPr>
      </w:pPr>
    </w:p>
    <w:p w:rsidR="00F8400B" w:rsidRDefault="006C00DF" w:rsidP="006C00DF">
      <w:pPr>
        <w:ind w:firstLine="1440"/>
        <w:rPr>
          <w:rFonts w:ascii="Times New Roman" w:hAnsi="Times New Roman"/>
          <w:sz w:val="26"/>
          <w:szCs w:val="26"/>
        </w:rPr>
      </w:pPr>
      <w:r>
        <w:rPr>
          <w:rFonts w:ascii="Times New Roman" w:hAnsi="Times New Roman"/>
          <w:sz w:val="26"/>
          <w:szCs w:val="26"/>
        </w:rPr>
        <w:t xml:space="preserve">An evidentiary hearing was held on April 20, 2015.  </w:t>
      </w:r>
      <w:r w:rsidR="007D6060">
        <w:rPr>
          <w:rFonts w:ascii="Times New Roman" w:hAnsi="Times New Roman"/>
          <w:sz w:val="26"/>
          <w:szCs w:val="26"/>
        </w:rPr>
        <w:t xml:space="preserve">I&amp;E presented the direct and surrebuttal testimony of its witness Daniel Mumford, </w:t>
      </w:r>
      <w:r w:rsidR="007D6060" w:rsidRPr="007D6060">
        <w:rPr>
          <w:rFonts w:ascii="Times New Roman" w:hAnsi="Times New Roman"/>
          <w:sz w:val="26"/>
          <w:szCs w:val="26"/>
        </w:rPr>
        <w:t xml:space="preserve">an appendix of </w:t>
      </w:r>
      <w:r w:rsidR="007D6060">
        <w:rPr>
          <w:rFonts w:ascii="Times New Roman" w:hAnsi="Times New Roman"/>
          <w:sz w:val="26"/>
          <w:szCs w:val="26"/>
        </w:rPr>
        <w:t xml:space="preserve">qualifications to accompany </w:t>
      </w:r>
      <w:r w:rsidR="007D6060" w:rsidRPr="007D6060">
        <w:rPr>
          <w:rFonts w:ascii="Times New Roman" w:hAnsi="Times New Roman"/>
          <w:sz w:val="26"/>
          <w:szCs w:val="26"/>
        </w:rPr>
        <w:t xml:space="preserve">Mr. Mumford’s </w:t>
      </w:r>
      <w:r w:rsidR="007D6060">
        <w:rPr>
          <w:rFonts w:ascii="Times New Roman" w:hAnsi="Times New Roman"/>
          <w:sz w:val="26"/>
          <w:szCs w:val="26"/>
        </w:rPr>
        <w:t>direct testimony, fourteen direct exhibits, and one cross-examination exhibit, which were entered into evidence.  HIKO presented the rebuttal testimony of its witness Harvey Klein and the accompanying HIKO Exhibits 1-3, the rebuttal testimony of its witness Charles Cicchetti and the accompanying</w:t>
      </w:r>
      <w:r w:rsidR="00F8400B">
        <w:rPr>
          <w:rFonts w:ascii="Times New Roman" w:hAnsi="Times New Roman"/>
          <w:sz w:val="26"/>
          <w:szCs w:val="26"/>
        </w:rPr>
        <w:t xml:space="preserve"> Exhibits-HIKO-Cicchetti-1, and </w:t>
      </w:r>
      <w:r w:rsidR="00F8400B" w:rsidRPr="00F8400B">
        <w:rPr>
          <w:rFonts w:ascii="Times New Roman" w:hAnsi="Times New Roman"/>
          <w:sz w:val="26"/>
          <w:szCs w:val="26"/>
        </w:rPr>
        <w:t>HIKO-Cicchetti-</w:t>
      </w:r>
      <w:r w:rsidR="00F8400B">
        <w:rPr>
          <w:rFonts w:ascii="Times New Roman" w:hAnsi="Times New Roman"/>
          <w:sz w:val="26"/>
          <w:szCs w:val="26"/>
        </w:rPr>
        <w:t xml:space="preserve">2, </w:t>
      </w:r>
      <w:r w:rsidR="007D6060">
        <w:rPr>
          <w:rFonts w:ascii="Times New Roman" w:hAnsi="Times New Roman"/>
          <w:sz w:val="26"/>
          <w:szCs w:val="26"/>
        </w:rPr>
        <w:t xml:space="preserve">HIKO Exhibits 2-6, </w:t>
      </w:r>
      <w:r w:rsidR="00F8400B">
        <w:rPr>
          <w:rFonts w:ascii="Times New Roman" w:hAnsi="Times New Roman"/>
          <w:sz w:val="26"/>
          <w:szCs w:val="26"/>
        </w:rPr>
        <w:t xml:space="preserve">and one cross-examination exhibit, </w:t>
      </w:r>
      <w:r w:rsidR="007D6060">
        <w:rPr>
          <w:rFonts w:ascii="Times New Roman" w:hAnsi="Times New Roman"/>
          <w:sz w:val="26"/>
          <w:szCs w:val="26"/>
        </w:rPr>
        <w:t xml:space="preserve">which were entered into evidence.  </w:t>
      </w:r>
      <w:r w:rsidR="00FA07DE" w:rsidRPr="00FA07DE">
        <w:rPr>
          <w:rFonts w:ascii="Times New Roman" w:hAnsi="Times New Roman"/>
          <w:sz w:val="26"/>
          <w:szCs w:val="26"/>
        </w:rPr>
        <w:t xml:space="preserve">The hearing </w:t>
      </w:r>
      <w:r w:rsidR="007D6060">
        <w:rPr>
          <w:rFonts w:ascii="Times New Roman" w:hAnsi="Times New Roman"/>
          <w:sz w:val="26"/>
          <w:szCs w:val="26"/>
        </w:rPr>
        <w:t xml:space="preserve">generated </w:t>
      </w:r>
      <w:r w:rsidR="00FA07DE" w:rsidRPr="00FA07DE">
        <w:rPr>
          <w:rFonts w:ascii="Times New Roman" w:hAnsi="Times New Roman"/>
          <w:sz w:val="26"/>
          <w:szCs w:val="26"/>
        </w:rPr>
        <w:t xml:space="preserve">a transcript of </w:t>
      </w:r>
      <w:r w:rsidR="007D6060">
        <w:rPr>
          <w:rFonts w:ascii="Times New Roman" w:hAnsi="Times New Roman"/>
          <w:sz w:val="26"/>
          <w:szCs w:val="26"/>
        </w:rPr>
        <w:t>228</w:t>
      </w:r>
      <w:r w:rsidR="00FA07DE" w:rsidRPr="00FA07DE">
        <w:rPr>
          <w:rFonts w:ascii="Times New Roman" w:hAnsi="Times New Roman"/>
          <w:sz w:val="26"/>
          <w:szCs w:val="26"/>
        </w:rPr>
        <w:t xml:space="preserve"> pages.  </w:t>
      </w:r>
      <w:r w:rsidR="00F8400B">
        <w:rPr>
          <w:rFonts w:ascii="Times New Roman" w:hAnsi="Times New Roman"/>
          <w:sz w:val="26"/>
          <w:szCs w:val="26"/>
        </w:rPr>
        <w:t xml:space="preserve">I&amp;E filed a </w:t>
      </w:r>
      <w:r w:rsidR="00FA07DE" w:rsidRPr="00FA07DE">
        <w:rPr>
          <w:rFonts w:ascii="Times New Roman" w:hAnsi="Times New Roman"/>
          <w:sz w:val="26"/>
          <w:szCs w:val="26"/>
        </w:rPr>
        <w:t xml:space="preserve">Main Brief on </w:t>
      </w:r>
      <w:r w:rsidR="00F8400B">
        <w:rPr>
          <w:rFonts w:ascii="Times New Roman" w:hAnsi="Times New Roman"/>
          <w:sz w:val="26"/>
          <w:szCs w:val="26"/>
        </w:rPr>
        <w:t xml:space="preserve">June 3, 2015, and HIKO filed a Reply Brief on June 24, 2015.  OAG/OCA did not submit evidence or file briefs.  </w:t>
      </w:r>
      <w:r w:rsidR="00FA07DE" w:rsidRPr="00FA07DE">
        <w:rPr>
          <w:rFonts w:ascii="Times New Roman" w:hAnsi="Times New Roman"/>
          <w:sz w:val="26"/>
          <w:szCs w:val="26"/>
        </w:rPr>
        <w:t xml:space="preserve">The record closed on </w:t>
      </w:r>
      <w:r w:rsidR="00F8400B">
        <w:rPr>
          <w:rFonts w:ascii="Times New Roman" w:hAnsi="Times New Roman"/>
          <w:sz w:val="26"/>
          <w:szCs w:val="26"/>
        </w:rPr>
        <w:t>June 24, 2015.</w:t>
      </w:r>
    </w:p>
    <w:p w:rsidR="00F8400B" w:rsidRDefault="00F8400B" w:rsidP="006C00DF">
      <w:pPr>
        <w:ind w:firstLine="1440"/>
        <w:rPr>
          <w:rFonts w:ascii="Times New Roman" w:hAnsi="Times New Roman"/>
          <w:sz w:val="26"/>
          <w:szCs w:val="26"/>
        </w:rPr>
      </w:pPr>
    </w:p>
    <w:p w:rsidR="009716DE" w:rsidRPr="00DE68FB" w:rsidRDefault="009B6B5F" w:rsidP="006C00DF">
      <w:pPr>
        <w:ind w:firstLine="1440"/>
        <w:rPr>
          <w:sz w:val="26"/>
          <w:szCs w:val="26"/>
        </w:rPr>
      </w:pPr>
      <w:r w:rsidRPr="00DE68FB">
        <w:rPr>
          <w:sz w:val="26"/>
          <w:szCs w:val="26"/>
        </w:rPr>
        <w:t xml:space="preserve">By Initial Decision issued </w:t>
      </w:r>
      <w:r w:rsidR="00F8400B">
        <w:rPr>
          <w:sz w:val="26"/>
          <w:szCs w:val="26"/>
        </w:rPr>
        <w:t>August</w:t>
      </w:r>
      <w:r w:rsidRPr="00DE68FB">
        <w:rPr>
          <w:sz w:val="26"/>
          <w:szCs w:val="26"/>
        </w:rPr>
        <w:t xml:space="preserve"> </w:t>
      </w:r>
      <w:r w:rsidR="00F8400B">
        <w:rPr>
          <w:sz w:val="26"/>
          <w:szCs w:val="26"/>
        </w:rPr>
        <w:t>2</w:t>
      </w:r>
      <w:r w:rsidRPr="00DE68FB">
        <w:rPr>
          <w:sz w:val="26"/>
          <w:szCs w:val="26"/>
        </w:rPr>
        <w:t>1, 201</w:t>
      </w:r>
      <w:r w:rsidR="00F8400B">
        <w:rPr>
          <w:sz w:val="26"/>
          <w:szCs w:val="26"/>
        </w:rPr>
        <w:t>5</w:t>
      </w:r>
      <w:r w:rsidRPr="00DE68FB">
        <w:rPr>
          <w:sz w:val="26"/>
          <w:szCs w:val="26"/>
        </w:rPr>
        <w:t>, the ALJ</w:t>
      </w:r>
      <w:r w:rsidR="00F8400B">
        <w:rPr>
          <w:sz w:val="26"/>
          <w:szCs w:val="26"/>
        </w:rPr>
        <w:t>s</w:t>
      </w:r>
      <w:r w:rsidRPr="00DE68FB">
        <w:rPr>
          <w:sz w:val="26"/>
          <w:szCs w:val="26"/>
        </w:rPr>
        <w:t xml:space="preserve"> </w:t>
      </w:r>
      <w:r w:rsidR="00F8400B">
        <w:rPr>
          <w:sz w:val="26"/>
          <w:szCs w:val="26"/>
        </w:rPr>
        <w:t xml:space="preserve">granted in part and denied in part I&amp;E’s Complaint.  The ALJs denied </w:t>
      </w:r>
      <w:r w:rsidR="000F6B3A">
        <w:rPr>
          <w:sz w:val="26"/>
          <w:szCs w:val="26"/>
        </w:rPr>
        <w:t xml:space="preserve">as moot </w:t>
      </w:r>
      <w:r w:rsidR="00F8400B">
        <w:rPr>
          <w:sz w:val="26"/>
          <w:szCs w:val="26"/>
        </w:rPr>
        <w:t xml:space="preserve">I&amp;E’s request for refunds in this proceeding </w:t>
      </w:r>
      <w:r w:rsidR="000F6B3A">
        <w:rPr>
          <w:sz w:val="26"/>
          <w:szCs w:val="26"/>
        </w:rPr>
        <w:t>i</w:t>
      </w:r>
      <w:r w:rsidR="00F8400B">
        <w:rPr>
          <w:sz w:val="26"/>
          <w:szCs w:val="26"/>
        </w:rPr>
        <w:t xml:space="preserve">n light of their proposed resolution of the OAG/OCA complaint in their Initial Decision issued in </w:t>
      </w:r>
      <w:r w:rsidR="00F8400B">
        <w:rPr>
          <w:i/>
          <w:sz w:val="26"/>
          <w:szCs w:val="26"/>
        </w:rPr>
        <w:t>OAG/OCA</w:t>
      </w:r>
      <w:r w:rsidR="00F8400B" w:rsidRPr="00F8400B">
        <w:rPr>
          <w:i/>
          <w:sz w:val="26"/>
          <w:szCs w:val="26"/>
        </w:rPr>
        <w:t>-HIKO Settlement</w:t>
      </w:r>
      <w:r w:rsidR="000F6B3A">
        <w:rPr>
          <w:sz w:val="26"/>
          <w:szCs w:val="26"/>
        </w:rPr>
        <w:t xml:space="preserve">.  The ALJs also </w:t>
      </w:r>
      <w:r w:rsidR="00F8400B">
        <w:rPr>
          <w:sz w:val="26"/>
          <w:szCs w:val="26"/>
        </w:rPr>
        <w:t xml:space="preserve">denied I&amp;E’s request for license revocation as inconsistent with </w:t>
      </w:r>
      <w:r w:rsidR="00007F5E">
        <w:rPr>
          <w:sz w:val="26"/>
          <w:szCs w:val="26"/>
        </w:rPr>
        <w:t>that</w:t>
      </w:r>
      <w:r w:rsidR="00F8400B">
        <w:rPr>
          <w:sz w:val="26"/>
          <w:szCs w:val="26"/>
        </w:rPr>
        <w:t xml:space="preserve"> proposed disposition</w:t>
      </w:r>
      <w:r w:rsidR="000F6B3A">
        <w:rPr>
          <w:sz w:val="26"/>
          <w:szCs w:val="26"/>
        </w:rPr>
        <w:t xml:space="preserve">.  Finally, the ALJs </w:t>
      </w:r>
      <w:r w:rsidR="00F8400B">
        <w:rPr>
          <w:sz w:val="26"/>
          <w:szCs w:val="26"/>
        </w:rPr>
        <w:t xml:space="preserve">denied I&amp;E’s request for a penalty of $14,780,000, or $1,000 for each of the </w:t>
      </w:r>
      <w:r w:rsidR="000F6B3A">
        <w:rPr>
          <w:sz w:val="26"/>
          <w:szCs w:val="26"/>
        </w:rPr>
        <w:t>14,780 violations initially averred by I&amp;E, but</w:t>
      </w:r>
      <w:r w:rsidR="00F8400B">
        <w:rPr>
          <w:sz w:val="26"/>
          <w:szCs w:val="26"/>
        </w:rPr>
        <w:t xml:space="preserve"> instead directed HIKO to pay a penalty in the amount of $1,836,125</w:t>
      </w:r>
      <w:r w:rsidR="000F6B3A">
        <w:rPr>
          <w:sz w:val="26"/>
          <w:szCs w:val="26"/>
        </w:rPr>
        <w:t>, or $125 for each of the 14,689 violations ultimately addressed in the testimony of I&amp;E’s witness.</w:t>
      </w:r>
      <w:r w:rsidR="0052638F">
        <w:rPr>
          <w:rStyle w:val="FootnoteReference"/>
          <w:sz w:val="26"/>
          <w:szCs w:val="26"/>
        </w:rPr>
        <w:footnoteReference w:id="2"/>
      </w:r>
      <w:r w:rsidR="00F8400B">
        <w:rPr>
          <w:sz w:val="26"/>
          <w:szCs w:val="26"/>
        </w:rPr>
        <w:t xml:space="preserve"> </w:t>
      </w:r>
      <w:r w:rsidR="000F6B3A">
        <w:rPr>
          <w:sz w:val="26"/>
          <w:szCs w:val="26"/>
        </w:rPr>
        <w:t xml:space="preserve"> I.D. at 1-2</w:t>
      </w:r>
      <w:r w:rsidR="0052638F">
        <w:rPr>
          <w:sz w:val="26"/>
          <w:szCs w:val="26"/>
        </w:rPr>
        <w:t>, 18</w:t>
      </w:r>
      <w:r w:rsidR="000F6B3A">
        <w:rPr>
          <w:sz w:val="26"/>
          <w:szCs w:val="26"/>
        </w:rPr>
        <w:t>.  A</w:t>
      </w:r>
      <w:r w:rsidR="00001ED3" w:rsidRPr="00DE68FB">
        <w:rPr>
          <w:sz w:val="26"/>
          <w:szCs w:val="26"/>
        </w:rPr>
        <w:t xml:space="preserve">s stated previously, </w:t>
      </w:r>
      <w:r w:rsidR="000F6B3A">
        <w:rPr>
          <w:sz w:val="26"/>
          <w:szCs w:val="26"/>
        </w:rPr>
        <w:t xml:space="preserve">I&amp;E and HIKO filed Exceptions to the ALJs’ Initial Decision </w:t>
      </w:r>
      <w:r w:rsidR="000F6B3A" w:rsidRPr="000F6B3A">
        <w:rPr>
          <w:sz w:val="26"/>
          <w:szCs w:val="26"/>
        </w:rPr>
        <w:t xml:space="preserve">on September 10, 2015, </w:t>
      </w:r>
      <w:r w:rsidR="000F6B3A">
        <w:rPr>
          <w:sz w:val="26"/>
          <w:szCs w:val="26"/>
        </w:rPr>
        <w:t xml:space="preserve">and both parties filed Replies to Exceptions </w:t>
      </w:r>
      <w:r w:rsidR="000F6B3A" w:rsidRPr="000F6B3A">
        <w:rPr>
          <w:sz w:val="26"/>
          <w:szCs w:val="26"/>
        </w:rPr>
        <w:t>on September 21, 2015.</w:t>
      </w:r>
    </w:p>
    <w:p w:rsidR="00082A7C" w:rsidRPr="00DE68FB" w:rsidRDefault="00082A7C" w:rsidP="00DE68FB">
      <w:pPr>
        <w:pStyle w:val="BodyFirst1SS"/>
        <w:spacing w:line="360" w:lineRule="auto"/>
        <w:jc w:val="left"/>
        <w:rPr>
          <w:sz w:val="26"/>
          <w:szCs w:val="26"/>
        </w:rPr>
      </w:pPr>
    </w:p>
    <w:p w:rsidR="005C52C9" w:rsidRPr="009B209F" w:rsidRDefault="000F6B3A" w:rsidP="00007F5E">
      <w:pPr>
        <w:pStyle w:val="Heading1"/>
        <w:keepNext/>
        <w:numPr>
          <w:ilvl w:val="0"/>
          <w:numId w:val="0"/>
        </w:numPr>
        <w:rPr>
          <w:b w:val="0"/>
        </w:rPr>
      </w:pPr>
      <w:r w:rsidRPr="009B209F">
        <w:lastRenderedPageBreak/>
        <w:t>II.</w:t>
      </w:r>
      <w:r w:rsidRPr="009B209F">
        <w:tab/>
      </w:r>
      <w:r w:rsidR="005C52C9" w:rsidRPr="009B209F">
        <w:t>Discussion</w:t>
      </w:r>
    </w:p>
    <w:p w:rsidR="004E4001" w:rsidRPr="009B209F" w:rsidRDefault="004E4001" w:rsidP="00007F5E">
      <w:pPr>
        <w:keepNext/>
        <w:rPr>
          <w:rFonts w:ascii="Times New Roman" w:hAnsi="Times New Roman"/>
          <w:sz w:val="26"/>
          <w:szCs w:val="26"/>
        </w:rPr>
      </w:pPr>
    </w:p>
    <w:p w:rsidR="004E4001" w:rsidRPr="009B209F" w:rsidRDefault="004E4001" w:rsidP="004E4001">
      <w:pPr>
        <w:rPr>
          <w:rFonts w:ascii="Times New Roman" w:hAnsi="Times New Roman"/>
          <w:sz w:val="26"/>
          <w:szCs w:val="26"/>
        </w:rPr>
      </w:pPr>
      <w:r w:rsidRPr="009B209F">
        <w:rPr>
          <w:rFonts w:ascii="Times New Roman" w:hAnsi="Times New Roman"/>
          <w:b/>
          <w:sz w:val="26"/>
          <w:szCs w:val="26"/>
        </w:rPr>
        <w:t>A.</w:t>
      </w:r>
      <w:r w:rsidRPr="009B209F">
        <w:rPr>
          <w:rFonts w:ascii="Times New Roman" w:hAnsi="Times New Roman"/>
          <w:b/>
          <w:sz w:val="26"/>
          <w:szCs w:val="26"/>
        </w:rPr>
        <w:tab/>
      </w:r>
      <w:r w:rsidR="00797192">
        <w:rPr>
          <w:rFonts w:ascii="Times New Roman" w:hAnsi="Times New Roman"/>
          <w:b/>
          <w:sz w:val="26"/>
          <w:szCs w:val="26"/>
        </w:rPr>
        <w:t>Legal Standard</w:t>
      </w:r>
    </w:p>
    <w:p w:rsidR="004E4001" w:rsidRPr="009B209F" w:rsidRDefault="004E4001" w:rsidP="004E4001">
      <w:pPr>
        <w:pStyle w:val="ListParagraph"/>
        <w:ind w:left="1080"/>
        <w:rPr>
          <w:rFonts w:ascii="Times New Roman" w:hAnsi="Times New Roman"/>
          <w:b/>
          <w:sz w:val="26"/>
          <w:szCs w:val="26"/>
        </w:rPr>
      </w:pPr>
    </w:p>
    <w:p w:rsidR="004E4001" w:rsidRPr="00DE68FB" w:rsidRDefault="004E4001" w:rsidP="004E4001">
      <w:pPr>
        <w:ind w:firstLine="1440"/>
        <w:rPr>
          <w:rFonts w:ascii="Times New Roman" w:hAnsi="Times New Roman"/>
          <w:sz w:val="26"/>
          <w:szCs w:val="26"/>
        </w:rPr>
      </w:pPr>
      <w:r w:rsidRPr="009B209F">
        <w:rPr>
          <w:rFonts w:ascii="Times New Roman" w:hAnsi="Times New Roman"/>
          <w:sz w:val="26"/>
          <w:szCs w:val="26"/>
        </w:rPr>
        <w:t>As the proponent of a rule or order, the Complainant in this proceeding</w:t>
      </w:r>
      <w:r w:rsidR="009B209F">
        <w:rPr>
          <w:rFonts w:ascii="Times New Roman" w:hAnsi="Times New Roman"/>
          <w:sz w:val="26"/>
          <w:szCs w:val="26"/>
        </w:rPr>
        <w:t xml:space="preserve">, I&amp;E, </w:t>
      </w:r>
      <w:r w:rsidRPr="009B209F">
        <w:rPr>
          <w:rFonts w:ascii="Times New Roman" w:hAnsi="Times New Roman"/>
          <w:sz w:val="26"/>
          <w:szCs w:val="26"/>
        </w:rPr>
        <w:t>bears the burden of proof pursuant to Section 332(a) of the Code</w:t>
      </w:r>
      <w:r w:rsidR="007F2ABC" w:rsidRPr="009B209F">
        <w:rPr>
          <w:rFonts w:ascii="Times New Roman" w:hAnsi="Times New Roman"/>
          <w:sz w:val="26"/>
          <w:szCs w:val="26"/>
        </w:rPr>
        <w:t>,</w:t>
      </w:r>
      <w:r w:rsidRPr="009B209F">
        <w:rPr>
          <w:rFonts w:ascii="Times New Roman" w:hAnsi="Times New Roman"/>
          <w:sz w:val="26"/>
          <w:szCs w:val="26"/>
        </w:rPr>
        <w:t xml:space="preserve"> 66 Pa. C.S. §</w:t>
      </w:r>
      <w:r w:rsidR="00007F5E">
        <w:rPr>
          <w:rFonts w:ascii="Times New Roman" w:hAnsi="Times New Roman"/>
          <w:sz w:val="26"/>
          <w:szCs w:val="26"/>
        </w:rPr>
        <w:t> </w:t>
      </w:r>
      <w:r w:rsidRPr="009B209F">
        <w:rPr>
          <w:rFonts w:ascii="Times New Roman" w:hAnsi="Times New Roman"/>
          <w:sz w:val="26"/>
          <w:szCs w:val="26"/>
        </w:rPr>
        <w:t xml:space="preserve">332(a).  To establish a sufficient case and satisfy the burden of proof, the Complainant must show that </w:t>
      </w:r>
      <w:r w:rsidR="009B209F">
        <w:rPr>
          <w:rFonts w:ascii="Times New Roman" w:hAnsi="Times New Roman"/>
          <w:sz w:val="26"/>
          <w:szCs w:val="26"/>
        </w:rPr>
        <w:t>HIKO</w:t>
      </w:r>
      <w:r w:rsidRPr="009B209F">
        <w:rPr>
          <w:rFonts w:ascii="Times New Roman" w:hAnsi="Times New Roman"/>
          <w:sz w:val="26"/>
          <w:szCs w:val="26"/>
        </w:rPr>
        <w:t xml:space="preserve"> is responsible or accountable for the problem described in the Complaint.  </w:t>
      </w:r>
      <w:r w:rsidRPr="009B209F">
        <w:rPr>
          <w:rFonts w:ascii="Times New Roman" w:hAnsi="Times New Roman"/>
          <w:i/>
          <w:sz w:val="26"/>
          <w:szCs w:val="26"/>
        </w:rPr>
        <w:t>Patterson v. The Bell Telephone Company of Pennsylvania</w:t>
      </w:r>
      <w:r w:rsidRPr="009B209F">
        <w:rPr>
          <w:rFonts w:ascii="Times New Roman" w:hAnsi="Times New Roman"/>
          <w:sz w:val="26"/>
          <w:szCs w:val="26"/>
        </w:rPr>
        <w:t xml:space="preserve">, 72 Pa. P.U.C. 196 (1990).  Such a showing must be by a preponderance of the evidence.  </w:t>
      </w:r>
      <w:r w:rsidRPr="009B209F">
        <w:rPr>
          <w:rFonts w:ascii="Times New Roman" w:hAnsi="Times New Roman"/>
          <w:i/>
          <w:iCs/>
          <w:sz w:val="26"/>
          <w:szCs w:val="26"/>
        </w:rPr>
        <w:t>Samuel J. Lansberry, Inc</w:t>
      </w:r>
      <w:r w:rsidRPr="00DE68FB">
        <w:rPr>
          <w:rFonts w:ascii="Times New Roman" w:hAnsi="Times New Roman"/>
          <w:i/>
          <w:iCs/>
          <w:sz w:val="26"/>
          <w:szCs w:val="26"/>
        </w:rPr>
        <w:t>. v. Pa. PUC</w:t>
      </w:r>
      <w:r w:rsidRPr="00DE68FB">
        <w:rPr>
          <w:rFonts w:ascii="Times New Roman" w:hAnsi="Times New Roman"/>
          <w:sz w:val="26"/>
          <w:szCs w:val="26"/>
        </w:rPr>
        <w:t xml:space="preserve">, 578 A.2d 600 (Pa. Cmwlth. 1990), </w:t>
      </w:r>
      <w:r w:rsidRPr="00DE68FB">
        <w:rPr>
          <w:rFonts w:ascii="Times New Roman" w:hAnsi="Times New Roman"/>
          <w:i/>
          <w:sz w:val="26"/>
          <w:szCs w:val="26"/>
        </w:rPr>
        <w:t>alloc. denied,</w:t>
      </w:r>
      <w:r w:rsidRPr="00DE68FB">
        <w:rPr>
          <w:rFonts w:ascii="Times New Roman" w:hAnsi="Times New Roman"/>
          <w:sz w:val="26"/>
          <w:szCs w:val="26"/>
        </w:rPr>
        <w:t xml:space="preserve"> 529 Pa. 654, 602 A.2d 863 (1992).  That is, the Complainant’s evidence must be more convincing, by even the smallest amount, than that presented by the Company.  </w:t>
      </w:r>
      <w:r w:rsidRPr="00DE68FB">
        <w:rPr>
          <w:rFonts w:ascii="Times New Roman" w:hAnsi="Times New Roman"/>
          <w:i/>
          <w:sz w:val="26"/>
          <w:szCs w:val="26"/>
        </w:rPr>
        <w:t>Se-Ling Hosiery, Inc. v. Margulies</w:t>
      </w:r>
      <w:r w:rsidRPr="00DE68F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E68FB">
        <w:rPr>
          <w:rFonts w:ascii="Times New Roman" w:hAnsi="Times New Roman"/>
          <w:i/>
          <w:sz w:val="26"/>
          <w:szCs w:val="26"/>
        </w:rPr>
        <w:t xml:space="preserve">Norfolk &amp; Western Ry. Co. v. Pa. PUC, </w:t>
      </w:r>
      <w:r w:rsidRPr="00DE68FB">
        <w:rPr>
          <w:rFonts w:ascii="Times New Roman" w:hAnsi="Times New Roman"/>
          <w:sz w:val="26"/>
          <w:szCs w:val="26"/>
        </w:rPr>
        <w:t>489 Pa. 109, 413 A.2d 1037 (1980).</w:t>
      </w:r>
    </w:p>
    <w:p w:rsidR="004E4001" w:rsidRPr="00DE68FB" w:rsidRDefault="004E4001" w:rsidP="004E4001">
      <w:pPr>
        <w:ind w:firstLine="1440"/>
        <w:rPr>
          <w:rFonts w:ascii="Times New Roman" w:hAnsi="Times New Roman"/>
          <w:sz w:val="26"/>
          <w:szCs w:val="26"/>
        </w:rPr>
      </w:pPr>
    </w:p>
    <w:p w:rsidR="004E4001" w:rsidRPr="00DE68FB" w:rsidRDefault="004E4001" w:rsidP="004E4001">
      <w:pPr>
        <w:ind w:firstLine="1440"/>
        <w:rPr>
          <w:rFonts w:ascii="Times New Roman" w:hAnsi="Times New Roman"/>
          <w:i/>
          <w:color w:val="000000" w:themeColor="text1"/>
          <w:sz w:val="26"/>
          <w:szCs w:val="26"/>
        </w:rPr>
      </w:pPr>
      <w:r w:rsidRPr="00DE68FB">
        <w:rPr>
          <w:rFonts w:ascii="Times New Roman" w:hAnsi="Times New Roman"/>
          <w:sz w:val="26"/>
          <w:szCs w:val="26"/>
        </w:rPr>
        <w:t xml:space="preserve">Upon the presentation by </w:t>
      </w:r>
      <w:r w:rsidR="00007F5E">
        <w:rPr>
          <w:rFonts w:ascii="Times New Roman" w:hAnsi="Times New Roman"/>
          <w:sz w:val="26"/>
          <w:szCs w:val="26"/>
        </w:rPr>
        <w:t>I&amp;E</w:t>
      </w:r>
      <w:r w:rsidRPr="00DE68FB">
        <w:rPr>
          <w:rFonts w:ascii="Times New Roman" w:hAnsi="Times New Roman"/>
          <w:sz w:val="26"/>
          <w:szCs w:val="26"/>
        </w:rPr>
        <w:t xml:space="preserve"> of evidence sufficient to initially satisfy the burden of proof, the burden of going forward with the evidence to rebut the evidence of the </w:t>
      </w:r>
      <w:r w:rsidR="000769C5">
        <w:rPr>
          <w:rFonts w:ascii="Times New Roman" w:hAnsi="Times New Roman"/>
          <w:sz w:val="26"/>
          <w:szCs w:val="26"/>
        </w:rPr>
        <w:t>Complainant</w:t>
      </w:r>
      <w:r w:rsidRPr="00DE68FB">
        <w:rPr>
          <w:rFonts w:ascii="Times New Roman" w:hAnsi="Times New Roman"/>
          <w:sz w:val="26"/>
          <w:szCs w:val="26"/>
        </w:rPr>
        <w:t xml:space="preserve"> shifts to </w:t>
      </w:r>
      <w:r w:rsidR="009B209F">
        <w:rPr>
          <w:rFonts w:ascii="Times New Roman" w:hAnsi="Times New Roman"/>
          <w:sz w:val="26"/>
          <w:szCs w:val="26"/>
        </w:rPr>
        <w:t>HIKO</w:t>
      </w:r>
      <w:r w:rsidRPr="00DE68FB">
        <w:rPr>
          <w:rFonts w:ascii="Times New Roman" w:hAnsi="Times New Roman"/>
          <w:sz w:val="26"/>
          <w:szCs w:val="26"/>
        </w:rPr>
        <w:t>.</w:t>
      </w:r>
      <w:r>
        <w:rPr>
          <w:rFonts w:ascii="Times New Roman" w:hAnsi="Times New Roman"/>
          <w:sz w:val="26"/>
          <w:szCs w:val="26"/>
        </w:rPr>
        <w:t xml:space="preserve"> </w:t>
      </w:r>
      <w:r w:rsidRPr="00DE68FB">
        <w:rPr>
          <w:rFonts w:ascii="Times New Roman" w:hAnsi="Times New Roman"/>
          <w:sz w:val="26"/>
          <w:szCs w:val="26"/>
        </w:rPr>
        <w:t xml:space="preserve"> If the evidence presented by the Company is of co-equal value or “weight,” the burden of proof has not been satisfied. </w:t>
      </w:r>
      <w:r w:rsidR="00DF5EFC">
        <w:rPr>
          <w:rFonts w:ascii="Times New Roman" w:hAnsi="Times New Roman"/>
          <w:sz w:val="26"/>
          <w:szCs w:val="26"/>
        </w:rPr>
        <w:t xml:space="preserve"> </w:t>
      </w:r>
      <w:r w:rsidRPr="00DE68FB">
        <w:rPr>
          <w:rFonts w:ascii="Times New Roman" w:hAnsi="Times New Roman"/>
          <w:sz w:val="26"/>
          <w:szCs w:val="26"/>
        </w:rPr>
        <w:t xml:space="preserve">The Complainant now has to provide some additional evidence to rebut that of the Company. </w:t>
      </w:r>
      <w:r w:rsidRPr="00DE68FB">
        <w:rPr>
          <w:rFonts w:ascii="Times New Roman" w:hAnsi="Times New Roman"/>
          <w:iCs/>
          <w:sz w:val="26"/>
          <w:szCs w:val="26"/>
        </w:rPr>
        <w:t xml:space="preserve"> </w:t>
      </w:r>
      <w:hyperlink r:id="rId9" w:history="1">
        <w:r w:rsidRPr="00047AB3">
          <w:rPr>
            <w:rStyle w:val="Hyperlink"/>
            <w:rFonts w:ascii="Times New Roman" w:hAnsi="Times New Roman"/>
            <w:i/>
            <w:iCs/>
            <w:color w:val="000000" w:themeColor="text1"/>
            <w:sz w:val="26"/>
            <w:szCs w:val="26"/>
            <w:u w:val="none"/>
          </w:rPr>
          <w:t>Burleson v. Pa. PUC,</w:t>
        </w:r>
        <w:r w:rsidRPr="00047AB3">
          <w:rPr>
            <w:rStyle w:val="Hyperlink"/>
            <w:rFonts w:ascii="Times New Roman" w:hAnsi="Times New Roman"/>
            <w:iCs/>
            <w:color w:val="000000" w:themeColor="text1"/>
            <w:sz w:val="26"/>
            <w:szCs w:val="26"/>
            <w:u w:val="none"/>
          </w:rPr>
          <w:t xml:space="preserve"> 443 A.2d 1373 (Pa. Cmwlth. 1982), </w:t>
        </w:r>
        <w:r w:rsidRPr="00047AB3">
          <w:rPr>
            <w:rStyle w:val="Hyperlink"/>
            <w:rFonts w:ascii="Times New Roman" w:hAnsi="Times New Roman"/>
            <w:i/>
            <w:iCs/>
            <w:color w:val="000000" w:themeColor="text1"/>
            <w:sz w:val="26"/>
            <w:szCs w:val="26"/>
            <w:u w:val="none"/>
          </w:rPr>
          <w:t>aff’d,</w:t>
        </w:r>
        <w:r w:rsidRPr="00047AB3">
          <w:rPr>
            <w:rStyle w:val="Hyperlink"/>
            <w:rFonts w:ascii="Times New Roman" w:hAnsi="Times New Roman"/>
            <w:iCs/>
            <w:color w:val="000000" w:themeColor="text1"/>
            <w:sz w:val="26"/>
            <w:szCs w:val="26"/>
            <w:u w:val="none"/>
          </w:rPr>
          <w:t xml:space="preserve"> 501 Pa. 433, 461 A.2d </w:t>
        </w:r>
        <w:r w:rsidRPr="000D3F89">
          <w:rPr>
            <w:rStyle w:val="Hyperlink"/>
            <w:rFonts w:ascii="Times New Roman" w:hAnsi="Times New Roman"/>
            <w:iCs/>
            <w:color w:val="000000" w:themeColor="text1"/>
            <w:sz w:val="26"/>
            <w:szCs w:val="26"/>
            <w:u w:val="none"/>
          </w:rPr>
          <w:t>1234</w:t>
        </w:r>
        <w:r w:rsidRPr="00047AB3">
          <w:rPr>
            <w:rStyle w:val="Hyperlink"/>
            <w:rFonts w:ascii="Times New Roman" w:hAnsi="Times New Roman"/>
            <w:iCs/>
            <w:color w:val="000000" w:themeColor="text1"/>
            <w:sz w:val="26"/>
            <w:szCs w:val="26"/>
            <w:u w:val="none"/>
          </w:rPr>
          <w:t xml:space="preserve"> (1983).</w:t>
        </w:r>
      </w:hyperlink>
    </w:p>
    <w:p w:rsidR="004E4001" w:rsidRPr="00DE68FB" w:rsidRDefault="004E4001" w:rsidP="004E4001">
      <w:pPr>
        <w:ind w:firstLine="1440"/>
        <w:rPr>
          <w:rFonts w:ascii="Times New Roman" w:hAnsi="Times New Roman"/>
          <w:sz w:val="26"/>
          <w:szCs w:val="26"/>
        </w:rPr>
      </w:pPr>
    </w:p>
    <w:p w:rsidR="004E4001" w:rsidRPr="00DE68FB" w:rsidRDefault="004E4001" w:rsidP="004E4001">
      <w:pPr>
        <w:ind w:firstLine="1440"/>
        <w:rPr>
          <w:rFonts w:ascii="Times New Roman" w:hAnsi="Times New Roman"/>
          <w:sz w:val="26"/>
          <w:szCs w:val="26"/>
        </w:rPr>
      </w:pPr>
      <w:r w:rsidRPr="00DE68FB">
        <w:rPr>
          <w:rFonts w:ascii="Times New Roman" w:hAnsi="Times New Roman"/>
          <w:sz w:val="26"/>
          <w:szCs w:val="26"/>
        </w:rPr>
        <w:t xml:space="preserve">While the burden of going forward with the evidence may </w:t>
      </w:r>
      <w:r w:rsidRPr="00DE68FB">
        <w:rPr>
          <w:rStyle w:val="term1"/>
          <w:rFonts w:ascii="Times New Roman" w:hAnsi="Times New Roman"/>
          <w:b w:val="0"/>
          <w:sz w:val="26"/>
          <w:szCs w:val="26"/>
        </w:rPr>
        <w:t>shift</w:t>
      </w:r>
      <w:r w:rsidRPr="00DE68FB">
        <w:rPr>
          <w:rFonts w:ascii="Times New Roman" w:hAnsi="Times New Roman"/>
          <w:b/>
          <w:sz w:val="26"/>
          <w:szCs w:val="26"/>
        </w:rPr>
        <w:t xml:space="preserve"> </w:t>
      </w:r>
      <w:r w:rsidRPr="00DE68FB">
        <w:rPr>
          <w:rFonts w:ascii="Times New Roman" w:hAnsi="Times New Roman"/>
          <w:sz w:val="26"/>
          <w:szCs w:val="26"/>
        </w:rPr>
        <w:t xml:space="preserve">back and forth during a proceeding, the </w:t>
      </w:r>
      <w:r w:rsidRPr="00DE68FB">
        <w:rPr>
          <w:rStyle w:val="term1"/>
          <w:rFonts w:ascii="Times New Roman" w:hAnsi="Times New Roman"/>
          <w:b w:val="0"/>
          <w:sz w:val="26"/>
          <w:szCs w:val="26"/>
        </w:rPr>
        <w:t>burden of proof</w:t>
      </w:r>
      <w:r w:rsidRPr="00DE68FB">
        <w:rPr>
          <w:rFonts w:ascii="Times New Roman" w:hAnsi="Times New Roman"/>
          <w:sz w:val="26"/>
          <w:szCs w:val="26"/>
        </w:rPr>
        <w:t xml:space="preserve"> never </w:t>
      </w:r>
      <w:r w:rsidRPr="00DE68FB">
        <w:rPr>
          <w:rStyle w:val="term1"/>
          <w:rFonts w:ascii="Times New Roman" w:hAnsi="Times New Roman"/>
          <w:b w:val="0"/>
          <w:sz w:val="26"/>
          <w:szCs w:val="26"/>
        </w:rPr>
        <w:t>shifts. The burden of proof</w:t>
      </w:r>
      <w:r w:rsidRPr="00DE68FB">
        <w:rPr>
          <w:rFonts w:ascii="Times New Roman" w:hAnsi="Times New Roman"/>
          <w:sz w:val="26"/>
          <w:szCs w:val="26"/>
        </w:rPr>
        <w:t xml:space="preserve"> always remains on the party seeking affirmative relief from the Commission.  </w:t>
      </w:r>
      <w:r w:rsidRPr="00DE68FB">
        <w:rPr>
          <w:rFonts w:ascii="Times New Roman" w:hAnsi="Times New Roman"/>
          <w:i/>
          <w:sz w:val="26"/>
          <w:szCs w:val="26"/>
        </w:rPr>
        <w:t xml:space="preserve">Milkie v. Pa. PUC, </w:t>
      </w:r>
      <w:r w:rsidRPr="00DE68FB">
        <w:rPr>
          <w:rFonts w:ascii="Times New Roman" w:hAnsi="Times New Roman"/>
          <w:sz w:val="26"/>
          <w:szCs w:val="26"/>
        </w:rPr>
        <w:lastRenderedPageBreak/>
        <w:t>768 A.2d 1217 (Pa. Cmwlth. 2001).</w:t>
      </w:r>
      <w:r w:rsidR="00062B18">
        <w:rPr>
          <w:rFonts w:ascii="Times New Roman" w:hAnsi="Times New Roman"/>
          <w:sz w:val="26"/>
          <w:szCs w:val="26"/>
        </w:rPr>
        <w:t xml:space="preserve">  Having filed the Complaint against </w:t>
      </w:r>
      <w:r w:rsidR="009B209F">
        <w:rPr>
          <w:rFonts w:ascii="Times New Roman" w:hAnsi="Times New Roman"/>
          <w:sz w:val="26"/>
          <w:szCs w:val="26"/>
        </w:rPr>
        <w:t>HIKO</w:t>
      </w:r>
      <w:r w:rsidR="00062B18">
        <w:rPr>
          <w:rFonts w:ascii="Times New Roman" w:hAnsi="Times New Roman"/>
          <w:sz w:val="26"/>
          <w:szCs w:val="26"/>
        </w:rPr>
        <w:t xml:space="preserve">, </w:t>
      </w:r>
      <w:r w:rsidR="009B209F">
        <w:rPr>
          <w:rFonts w:ascii="Times New Roman" w:hAnsi="Times New Roman"/>
          <w:sz w:val="26"/>
          <w:szCs w:val="26"/>
        </w:rPr>
        <w:t xml:space="preserve">I&amp;E </w:t>
      </w:r>
      <w:r w:rsidR="00062B18">
        <w:rPr>
          <w:rFonts w:ascii="Times New Roman" w:hAnsi="Times New Roman"/>
          <w:sz w:val="26"/>
          <w:szCs w:val="26"/>
        </w:rPr>
        <w:t>is obliged to carry the burden of proving that the Company has violated the Code, a Commission Regulation</w:t>
      </w:r>
      <w:r w:rsidR="00DF5EFC">
        <w:rPr>
          <w:rFonts w:ascii="Times New Roman" w:hAnsi="Times New Roman"/>
          <w:sz w:val="26"/>
          <w:szCs w:val="26"/>
        </w:rPr>
        <w:t>,</w:t>
      </w:r>
      <w:r w:rsidR="00062B18">
        <w:rPr>
          <w:rFonts w:ascii="Times New Roman" w:hAnsi="Times New Roman"/>
          <w:sz w:val="26"/>
          <w:szCs w:val="26"/>
        </w:rPr>
        <w:t xml:space="preserve"> or a Commission Order.</w:t>
      </w:r>
    </w:p>
    <w:p w:rsidR="004E4001" w:rsidRDefault="004E4001" w:rsidP="004E4001"/>
    <w:p w:rsidR="004E4001" w:rsidRPr="004E4001" w:rsidRDefault="00062B18" w:rsidP="00062B18">
      <w:pPr>
        <w:ind w:firstLine="1440"/>
      </w:pPr>
      <w:r w:rsidRPr="00DE68FB">
        <w:rPr>
          <w:rFonts w:ascii="Times New Roman" w:hAnsi="Times New Roman"/>
          <w:sz w:val="26"/>
          <w:szCs w:val="26"/>
        </w:rPr>
        <w:t xml:space="preserve">In </w:t>
      </w:r>
      <w:r w:rsidR="009B209F">
        <w:rPr>
          <w:rFonts w:ascii="Times New Roman" w:hAnsi="Times New Roman"/>
          <w:sz w:val="26"/>
          <w:szCs w:val="26"/>
        </w:rPr>
        <w:t>their</w:t>
      </w:r>
      <w:r w:rsidRPr="00DE68FB">
        <w:rPr>
          <w:rFonts w:ascii="Times New Roman" w:hAnsi="Times New Roman"/>
          <w:sz w:val="26"/>
          <w:szCs w:val="26"/>
        </w:rPr>
        <w:t xml:space="preserve"> Initial Decision, </w:t>
      </w:r>
      <w:r w:rsidR="009B209F">
        <w:rPr>
          <w:rFonts w:ascii="Times New Roman" w:hAnsi="Times New Roman"/>
          <w:sz w:val="26"/>
          <w:szCs w:val="26"/>
        </w:rPr>
        <w:t xml:space="preserve">the </w:t>
      </w:r>
      <w:r w:rsidRPr="00DE68FB">
        <w:rPr>
          <w:rFonts w:ascii="Times New Roman" w:hAnsi="Times New Roman"/>
          <w:sz w:val="26"/>
          <w:szCs w:val="26"/>
        </w:rPr>
        <w:t>ALJ</w:t>
      </w:r>
      <w:r w:rsidR="009B209F">
        <w:rPr>
          <w:rFonts w:ascii="Times New Roman" w:hAnsi="Times New Roman"/>
          <w:sz w:val="26"/>
          <w:szCs w:val="26"/>
        </w:rPr>
        <w:t>s</w:t>
      </w:r>
      <w:r w:rsidRPr="00DE68FB">
        <w:rPr>
          <w:rFonts w:ascii="Times New Roman" w:hAnsi="Times New Roman"/>
          <w:sz w:val="26"/>
          <w:szCs w:val="26"/>
        </w:rPr>
        <w:t xml:space="preserve"> </w:t>
      </w:r>
      <w:r w:rsidR="000769C5">
        <w:rPr>
          <w:rFonts w:ascii="Times New Roman" w:hAnsi="Times New Roman"/>
          <w:sz w:val="26"/>
          <w:szCs w:val="26"/>
        </w:rPr>
        <w:t xml:space="preserve">made </w:t>
      </w:r>
      <w:r w:rsidR="009B209F">
        <w:rPr>
          <w:rFonts w:ascii="Times New Roman" w:hAnsi="Times New Roman"/>
          <w:sz w:val="26"/>
          <w:szCs w:val="26"/>
        </w:rPr>
        <w:t>eighty-three</w:t>
      </w:r>
      <w:r w:rsidRPr="00DE68FB">
        <w:rPr>
          <w:rFonts w:ascii="Times New Roman" w:hAnsi="Times New Roman"/>
          <w:sz w:val="26"/>
          <w:szCs w:val="26"/>
        </w:rPr>
        <w:t xml:space="preserve"> Findings of Fact </w:t>
      </w:r>
      <w:r>
        <w:rPr>
          <w:rFonts w:ascii="Times New Roman" w:hAnsi="Times New Roman"/>
          <w:sz w:val="26"/>
          <w:szCs w:val="26"/>
        </w:rPr>
        <w:t xml:space="preserve">(FOF) </w:t>
      </w:r>
      <w:r w:rsidRPr="00DE68FB">
        <w:rPr>
          <w:rFonts w:ascii="Times New Roman" w:hAnsi="Times New Roman"/>
          <w:sz w:val="26"/>
          <w:szCs w:val="26"/>
        </w:rPr>
        <w:t xml:space="preserve">and reached </w:t>
      </w:r>
      <w:r w:rsidR="009B209F">
        <w:rPr>
          <w:rFonts w:ascii="Times New Roman" w:hAnsi="Times New Roman"/>
          <w:sz w:val="26"/>
          <w:szCs w:val="26"/>
        </w:rPr>
        <w:t>twenty-one</w:t>
      </w:r>
      <w:r w:rsidRPr="00DE68FB">
        <w:rPr>
          <w:rFonts w:ascii="Times New Roman" w:hAnsi="Times New Roman"/>
          <w:sz w:val="26"/>
          <w:szCs w:val="26"/>
        </w:rPr>
        <w:t xml:space="preserve"> Conclusions of Law</w:t>
      </w:r>
      <w:r>
        <w:rPr>
          <w:rFonts w:ascii="Times New Roman" w:hAnsi="Times New Roman"/>
          <w:sz w:val="26"/>
          <w:szCs w:val="26"/>
        </w:rPr>
        <w:t xml:space="preserve"> (COL)</w:t>
      </w:r>
      <w:r w:rsidRPr="00DE68FB">
        <w:rPr>
          <w:rFonts w:ascii="Times New Roman" w:hAnsi="Times New Roman"/>
          <w:sz w:val="26"/>
          <w:szCs w:val="26"/>
        </w:rPr>
        <w:t xml:space="preserve">.  I.D. at </w:t>
      </w:r>
      <w:r w:rsidR="009B209F">
        <w:rPr>
          <w:rFonts w:ascii="Times New Roman" w:hAnsi="Times New Roman"/>
          <w:sz w:val="26"/>
          <w:szCs w:val="26"/>
        </w:rPr>
        <w:t>8-20</w:t>
      </w:r>
      <w:r w:rsidRPr="00DE68FB">
        <w:rPr>
          <w:rFonts w:ascii="Times New Roman" w:hAnsi="Times New Roman"/>
          <w:sz w:val="26"/>
          <w:szCs w:val="26"/>
        </w:rPr>
        <w:t xml:space="preserve">, </w:t>
      </w:r>
      <w:r w:rsidR="009B209F">
        <w:rPr>
          <w:rFonts w:ascii="Times New Roman" w:hAnsi="Times New Roman"/>
          <w:sz w:val="26"/>
          <w:szCs w:val="26"/>
        </w:rPr>
        <w:t>63-66</w:t>
      </w:r>
      <w:r w:rsidRPr="00DE68FB">
        <w:rPr>
          <w:rFonts w:ascii="Times New Roman" w:hAnsi="Times New Roman"/>
          <w:sz w:val="26"/>
          <w:szCs w:val="26"/>
        </w:rPr>
        <w:t>.  The Findings of Fact and Conclusions of Law are incorporated herein by reference and are adopted without comment unless they are either expressly or by necessary implication rejected or modified by this Opinion and Order</w:t>
      </w:r>
      <w:r w:rsidR="00B036F1">
        <w:rPr>
          <w:rFonts w:ascii="Times New Roman" w:hAnsi="Times New Roman"/>
          <w:sz w:val="26"/>
          <w:szCs w:val="26"/>
        </w:rPr>
        <w:t>.</w:t>
      </w:r>
    </w:p>
    <w:p w:rsidR="005C52C9" w:rsidRPr="00DE68FB" w:rsidRDefault="005C52C9" w:rsidP="00DE68FB">
      <w:pPr>
        <w:rPr>
          <w:rFonts w:ascii="Times New Roman" w:hAnsi="Times New Roman"/>
          <w:sz w:val="26"/>
          <w:szCs w:val="26"/>
        </w:rPr>
      </w:pPr>
    </w:p>
    <w:p w:rsidR="00E72288" w:rsidRPr="002322F4" w:rsidRDefault="005C52C9" w:rsidP="00062B18">
      <w:pPr>
        <w:ind w:firstLine="1440"/>
        <w:rPr>
          <w:rFonts w:ascii="Times New Roman" w:hAnsi="Times New Roman"/>
          <w:sz w:val="26"/>
          <w:szCs w:val="26"/>
        </w:rPr>
      </w:pPr>
      <w:r w:rsidRPr="00DE68FB">
        <w:rPr>
          <w:rFonts w:ascii="Times New Roman" w:hAnsi="Times New Roman"/>
          <w:sz w:val="26"/>
          <w:szCs w:val="26"/>
        </w:rPr>
        <w:t>Before addressing the Exceptions, we note that any issue or Exception that we do not specifically delineate shall be deemed to have been duly considered and denied without further discussion.  It is well</w:t>
      </w:r>
      <w:r w:rsidR="00DF5EFC">
        <w:rPr>
          <w:rFonts w:ascii="Times New Roman" w:hAnsi="Times New Roman"/>
          <w:sz w:val="26"/>
          <w:szCs w:val="26"/>
        </w:rPr>
        <w:t>-</w:t>
      </w:r>
      <w:r w:rsidRPr="00DE68FB">
        <w:rPr>
          <w:rFonts w:ascii="Times New Roman" w:hAnsi="Times New Roman"/>
          <w:sz w:val="26"/>
          <w:szCs w:val="26"/>
        </w:rPr>
        <w:t xml:space="preserve">settled that the Commission is not required to consider expressly or at length each contention or argument raised by the parties.  </w:t>
      </w:r>
      <w:hyperlink r:id="rId10" w:history="1">
        <w:r w:rsidRPr="00DE68FB">
          <w:rPr>
            <w:rStyle w:val="Emphasis"/>
            <w:rFonts w:ascii="Times New Roman" w:hAnsi="Times New Roman"/>
            <w:sz w:val="26"/>
            <w:szCs w:val="26"/>
          </w:rPr>
          <w:t>Consolidated Ra</w:t>
        </w:r>
        <w:r w:rsidRPr="00DE68FB">
          <w:rPr>
            <w:rStyle w:val="Emphasis"/>
            <w:rFonts w:ascii="Times New Roman" w:hAnsi="Times New Roman"/>
            <w:color w:val="000000"/>
            <w:sz w:val="26"/>
            <w:szCs w:val="26"/>
          </w:rPr>
          <w:t xml:space="preserve">il Corp. v. Pa. PUC, </w:t>
        </w:r>
        <w:r w:rsidRPr="00062B18">
          <w:rPr>
            <w:rStyle w:val="Hyperlink"/>
            <w:rFonts w:ascii="Times New Roman" w:hAnsi="Times New Roman"/>
            <w:color w:val="000000"/>
            <w:sz w:val="26"/>
            <w:szCs w:val="26"/>
            <w:u w:val="none"/>
          </w:rPr>
          <w:t>625 A.2d 741 (Pa. Cmwlth. 1993);</w:t>
        </w:r>
      </w:hyperlink>
      <w:r w:rsidRPr="00DE68FB">
        <w:rPr>
          <w:rFonts w:ascii="Times New Roman" w:hAnsi="Times New Roman"/>
          <w:color w:val="000000"/>
          <w:sz w:val="26"/>
          <w:szCs w:val="26"/>
        </w:rPr>
        <w:t xml:space="preserve"> </w:t>
      </w:r>
      <w:r w:rsidRPr="00DE68FB">
        <w:rPr>
          <w:rFonts w:ascii="Times New Roman" w:hAnsi="Times New Roman"/>
          <w:i/>
          <w:color w:val="000000"/>
          <w:sz w:val="26"/>
          <w:szCs w:val="26"/>
        </w:rPr>
        <w:t xml:space="preserve">also </w:t>
      </w:r>
      <w:r w:rsidRPr="00DE68FB">
        <w:rPr>
          <w:rStyle w:val="Emphasis"/>
          <w:rFonts w:ascii="Times New Roman" w:hAnsi="Times New Roman"/>
          <w:color w:val="000000"/>
          <w:sz w:val="26"/>
          <w:szCs w:val="26"/>
        </w:rPr>
        <w:t>see, generally, University of Pennsylvania v. Pa. PUC</w:t>
      </w:r>
      <w:r w:rsidRPr="00062B18">
        <w:rPr>
          <w:rFonts w:ascii="Times New Roman" w:hAnsi="Times New Roman"/>
          <w:sz w:val="26"/>
          <w:szCs w:val="26"/>
        </w:rPr>
        <w:t>, 485 A.2d 1217 (Pa. Cmwlth. 1984).</w:t>
      </w:r>
    </w:p>
    <w:p w:rsidR="00E72288" w:rsidRPr="00DE68FB" w:rsidRDefault="00E72288" w:rsidP="00DE68FB">
      <w:pPr>
        <w:ind w:firstLine="1440"/>
        <w:rPr>
          <w:rFonts w:ascii="Times New Roman" w:hAnsi="Times New Roman"/>
          <w:sz w:val="26"/>
          <w:szCs w:val="26"/>
        </w:rPr>
      </w:pPr>
    </w:p>
    <w:p w:rsidR="00637592" w:rsidRPr="00F70891" w:rsidRDefault="005D15A3" w:rsidP="00DE68FB">
      <w:pPr>
        <w:rPr>
          <w:rFonts w:ascii="Times New Roman" w:hAnsi="Times New Roman"/>
          <w:sz w:val="26"/>
          <w:szCs w:val="26"/>
        </w:rPr>
      </w:pPr>
      <w:r w:rsidRPr="00DE68FB">
        <w:rPr>
          <w:rFonts w:ascii="Times New Roman" w:hAnsi="Times New Roman"/>
          <w:b/>
          <w:sz w:val="26"/>
          <w:szCs w:val="26"/>
        </w:rPr>
        <w:t>B.</w:t>
      </w:r>
      <w:r w:rsidRPr="00DE68FB">
        <w:rPr>
          <w:rFonts w:ascii="Times New Roman" w:hAnsi="Times New Roman"/>
          <w:b/>
          <w:sz w:val="26"/>
          <w:szCs w:val="26"/>
        </w:rPr>
        <w:tab/>
      </w:r>
      <w:r w:rsidR="00062B18">
        <w:rPr>
          <w:rFonts w:ascii="Times New Roman" w:hAnsi="Times New Roman"/>
          <w:b/>
          <w:sz w:val="26"/>
          <w:szCs w:val="26"/>
        </w:rPr>
        <w:t xml:space="preserve">The </w:t>
      </w:r>
      <w:r w:rsidR="00E72288" w:rsidRPr="00DE68FB">
        <w:rPr>
          <w:rFonts w:ascii="Times New Roman" w:hAnsi="Times New Roman"/>
          <w:b/>
          <w:sz w:val="26"/>
          <w:szCs w:val="26"/>
        </w:rPr>
        <w:t>ALJs</w:t>
      </w:r>
      <w:r w:rsidR="000769C5">
        <w:rPr>
          <w:rFonts w:ascii="Times New Roman" w:hAnsi="Times New Roman"/>
          <w:b/>
          <w:sz w:val="26"/>
          <w:szCs w:val="26"/>
        </w:rPr>
        <w:t>’</w:t>
      </w:r>
      <w:r w:rsidR="00E72288" w:rsidRPr="00DE68FB">
        <w:rPr>
          <w:rFonts w:ascii="Times New Roman" w:hAnsi="Times New Roman"/>
          <w:b/>
          <w:sz w:val="26"/>
          <w:szCs w:val="26"/>
        </w:rPr>
        <w:t xml:space="preserve"> Initial Decision</w:t>
      </w:r>
    </w:p>
    <w:p w:rsidR="00FF74C2" w:rsidRPr="00F70891" w:rsidRDefault="00FF74C2" w:rsidP="00DE68FB">
      <w:pPr>
        <w:rPr>
          <w:rFonts w:ascii="Times New Roman" w:hAnsi="Times New Roman"/>
          <w:sz w:val="26"/>
          <w:szCs w:val="26"/>
        </w:rPr>
      </w:pPr>
    </w:p>
    <w:p w:rsidR="000243EB" w:rsidRDefault="00FF74C2" w:rsidP="00DE68FB">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In </w:t>
      </w:r>
      <w:r w:rsidR="006A47CD">
        <w:rPr>
          <w:rFonts w:ascii="Times New Roman" w:hAnsi="Times New Roman"/>
          <w:sz w:val="26"/>
          <w:szCs w:val="26"/>
        </w:rPr>
        <w:t>their</w:t>
      </w:r>
      <w:r>
        <w:rPr>
          <w:rFonts w:ascii="Times New Roman" w:hAnsi="Times New Roman"/>
          <w:sz w:val="26"/>
          <w:szCs w:val="26"/>
        </w:rPr>
        <w:t xml:space="preserve"> Initial D</w:t>
      </w:r>
      <w:r w:rsidRPr="00FF74C2">
        <w:rPr>
          <w:rFonts w:ascii="Times New Roman" w:hAnsi="Times New Roman"/>
          <w:sz w:val="26"/>
          <w:szCs w:val="26"/>
        </w:rPr>
        <w:t>ecision</w:t>
      </w:r>
      <w:r w:rsidR="00233B41">
        <w:rPr>
          <w:rFonts w:ascii="Times New Roman" w:hAnsi="Times New Roman"/>
          <w:sz w:val="26"/>
          <w:szCs w:val="26"/>
        </w:rPr>
        <w:t>,</w:t>
      </w:r>
      <w:r>
        <w:rPr>
          <w:rFonts w:ascii="Times New Roman" w:hAnsi="Times New Roman"/>
          <w:sz w:val="26"/>
          <w:szCs w:val="26"/>
        </w:rPr>
        <w:t xml:space="preserve"> </w:t>
      </w:r>
      <w:r w:rsidR="002C62FF">
        <w:rPr>
          <w:rFonts w:ascii="Times New Roman" w:hAnsi="Times New Roman"/>
          <w:sz w:val="26"/>
          <w:szCs w:val="26"/>
        </w:rPr>
        <w:t>the ALJ</w:t>
      </w:r>
      <w:r w:rsidR="006A47CD">
        <w:rPr>
          <w:rFonts w:ascii="Times New Roman" w:hAnsi="Times New Roman"/>
          <w:sz w:val="26"/>
          <w:szCs w:val="26"/>
        </w:rPr>
        <w:t>s</w:t>
      </w:r>
      <w:r w:rsidR="002C62FF">
        <w:rPr>
          <w:rFonts w:ascii="Times New Roman" w:hAnsi="Times New Roman"/>
          <w:sz w:val="26"/>
          <w:szCs w:val="26"/>
        </w:rPr>
        <w:t xml:space="preserve"> </w:t>
      </w:r>
      <w:r w:rsidR="006A47CD">
        <w:rPr>
          <w:rFonts w:ascii="Times New Roman" w:hAnsi="Times New Roman"/>
          <w:sz w:val="26"/>
          <w:szCs w:val="26"/>
        </w:rPr>
        <w:t xml:space="preserve">granted </w:t>
      </w:r>
      <w:r w:rsidR="002C62FF">
        <w:rPr>
          <w:rFonts w:ascii="Times New Roman" w:hAnsi="Times New Roman"/>
          <w:sz w:val="26"/>
          <w:szCs w:val="26"/>
        </w:rPr>
        <w:t>the Complaint</w:t>
      </w:r>
      <w:r w:rsidR="006A47CD">
        <w:rPr>
          <w:rFonts w:ascii="Times New Roman" w:hAnsi="Times New Roman"/>
          <w:sz w:val="26"/>
          <w:szCs w:val="26"/>
        </w:rPr>
        <w:t xml:space="preserve"> in part and denied it in part.  The ALJs </w:t>
      </w:r>
      <w:r w:rsidR="00D16894">
        <w:rPr>
          <w:rFonts w:ascii="Times New Roman" w:hAnsi="Times New Roman"/>
          <w:sz w:val="26"/>
          <w:szCs w:val="26"/>
        </w:rPr>
        <w:t>summarized I&amp;E’s position as contending that HIKO’s actions in 2014 “constituted brazen, selfish, deliberate, and egregious misconduct in that HIKO expressly, unambiguously, and clearly guaranteed an introductory period discount, after which HIKO’s management decided not to honor its promises for as many as four consecutive billing cycles from January through and including April 2014.</w:t>
      </w:r>
      <w:r w:rsidR="000243EB">
        <w:rPr>
          <w:rFonts w:ascii="Times New Roman" w:hAnsi="Times New Roman"/>
          <w:sz w:val="26"/>
          <w:szCs w:val="26"/>
        </w:rPr>
        <w:t>”  I.D. at 20.  According to the ALJs, I&amp;E</w:t>
      </w:r>
      <w:r w:rsidR="00D16894">
        <w:rPr>
          <w:rFonts w:ascii="Times New Roman" w:hAnsi="Times New Roman"/>
          <w:sz w:val="26"/>
          <w:szCs w:val="26"/>
        </w:rPr>
        <w:t xml:space="preserve"> </w:t>
      </w:r>
      <w:r w:rsidR="006A47CD">
        <w:rPr>
          <w:rFonts w:ascii="Times New Roman" w:hAnsi="Times New Roman"/>
          <w:sz w:val="26"/>
          <w:szCs w:val="26"/>
        </w:rPr>
        <w:t xml:space="preserve">determined </w:t>
      </w:r>
      <w:r w:rsidR="000243EB">
        <w:rPr>
          <w:rFonts w:ascii="Times New Roman" w:hAnsi="Times New Roman"/>
          <w:sz w:val="26"/>
          <w:szCs w:val="26"/>
        </w:rPr>
        <w:t>the number of violations by calculating each bill for which a customer was overcharged by not being billed at least 1% less than the EDC’s PTC</w:t>
      </w:r>
      <w:r w:rsidR="00233B41">
        <w:rPr>
          <w:rFonts w:ascii="Times New Roman" w:hAnsi="Times New Roman"/>
          <w:sz w:val="26"/>
          <w:szCs w:val="26"/>
        </w:rPr>
        <w:t>,</w:t>
      </w:r>
      <w:r w:rsidR="000243EB">
        <w:rPr>
          <w:rFonts w:ascii="Times New Roman" w:hAnsi="Times New Roman"/>
          <w:sz w:val="26"/>
          <w:szCs w:val="26"/>
        </w:rPr>
        <w:t xml:space="preserve"> rather than by counting the number of customers overcharged</w:t>
      </w:r>
      <w:r w:rsidR="00233B41">
        <w:rPr>
          <w:rFonts w:ascii="Times New Roman" w:hAnsi="Times New Roman"/>
          <w:sz w:val="26"/>
          <w:szCs w:val="26"/>
        </w:rPr>
        <w:t>,</w:t>
      </w:r>
      <w:r w:rsidR="000243EB">
        <w:rPr>
          <w:rFonts w:ascii="Times New Roman" w:hAnsi="Times New Roman"/>
          <w:sz w:val="26"/>
          <w:szCs w:val="26"/>
        </w:rPr>
        <w:t xml:space="preserve"> because a single customer could have experienced more than one billing violation.  I.D. at 17-18, </w:t>
      </w:r>
      <w:r w:rsidR="000243EB">
        <w:rPr>
          <w:rFonts w:ascii="Times New Roman" w:hAnsi="Times New Roman"/>
          <w:sz w:val="26"/>
          <w:szCs w:val="26"/>
        </w:rPr>
        <w:lastRenderedPageBreak/>
        <w:t>21-22.</w:t>
      </w:r>
      <w:r w:rsidR="009F0425">
        <w:rPr>
          <w:rFonts w:ascii="Times New Roman" w:hAnsi="Times New Roman"/>
          <w:sz w:val="26"/>
          <w:szCs w:val="26"/>
        </w:rPr>
        <w:t xml:space="preserve">  For each violation, I&amp;E sought a civil penalty of $1,000, or $14,689,000, a refund for every enrolled customer who was billed a rate that exceeded 99% of the customer’s EDC’s PTC, </w:t>
      </w:r>
      <w:r w:rsidR="00233B41" w:rsidRPr="00233B41">
        <w:rPr>
          <w:rFonts w:ascii="Times New Roman" w:hAnsi="Times New Roman"/>
          <w:sz w:val="26"/>
          <w:szCs w:val="26"/>
        </w:rPr>
        <w:t xml:space="preserve">license revocation, </w:t>
      </w:r>
      <w:r w:rsidR="009F0425">
        <w:rPr>
          <w:rFonts w:ascii="Times New Roman" w:hAnsi="Times New Roman"/>
          <w:sz w:val="26"/>
          <w:szCs w:val="26"/>
        </w:rPr>
        <w:t>and any other penalty the Commission deemed appropriate.  I.D. at 20.</w:t>
      </w:r>
    </w:p>
    <w:p w:rsidR="000243EB" w:rsidRDefault="000243EB" w:rsidP="00DE68FB">
      <w:pPr>
        <w:rPr>
          <w:rFonts w:ascii="Times New Roman" w:hAnsi="Times New Roman"/>
          <w:sz w:val="26"/>
          <w:szCs w:val="26"/>
        </w:rPr>
      </w:pPr>
    </w:p>
    <w:p w:rsidR="00FB021F" w:rsidRDefault="00233B41" w:rsidP="00AB6B7E">
      <w:pPr>
        <w:ind w:firstLine="1440"/>
        <w:rPr>
          <w:rFonts w:ascii="Times New Roman" w:hAnsi="Times New Roman"/>
          <w:sz w:val="26"/>
          <w:szCs w:val="26"/>
        </w:rPr>
      </w:pPr>
      <w:r>
        <w:rPr>
          <w:rFonts w:ascii="Times New Roman" w:hAnsi="Times New Roman"/>
          <w:sz w:val="26"/>
          <w:szCs w:val="26"/>
        </w:rPr>
        <w:t>T</w:t>
      </w:r>
      <w:r w:rsidR="009F0425">
        <w:rPr>
          <w:rFonts w:ascii="Times New Roman" w:hAnsi="Times New Roman"/>
          <w:sz w:val="26"/>
          <w:szCs w:val="26"/>
        </w:rPr>
        <w:t>he ALJs concluded that HIKO</w:t>
      </w:r>
      <w:r>
        <w:rPr>
          <w:rFonts w:ascii="Times New Roman" w:hAnsi="Times New Roman"/>
          <w:sz w:val="26"/>
          <w:szCs w:val="26"/>
        </w:rPr>
        <w:t xml:space="preserve">’s response left </w:t>
      </w:r>
      <w:r w:rsidR="009F0425">
        <w:rPr>
          <w:rFonts w:ascii="Times New Roman" w:hAnsi="Times New Roman"/>
          <w:sz w:val="26"/>
          <w:szCs w:val="26"/>
        </w:rPr>
        <w:t>the appropriate civil penalty to be assessed</w:t>
      </w:r>
      <w:r>
        <w:rPr>
          <w:rFonts w:ascii="Times New Roman" w:hAnsi="Times New Roman"/>
          <w:sz w:val="26"/>
          <w:szCs w:val="26"/>
        </w:rPr>
        <w:t xml:space="preserve"> as the </w:t>
      </w:r>
      <w:r w:rsidRPr="00233B41">
        <w:rPr>
          <w:rFonts w:ascii="Times New Roman" w:hAnsi="Times New Roman"/>
          <w:sz w:val="26"/>
          <w:szCs w:val="26"/>
        </w:rPr>
        <w:t>sole issue before them</w:t>
      </w:r>
      <w:r w:rsidR="009F0425">
        <w:rPr>
          <w:rFonts w:ascii="Times New Roman" w:hAnsi="Times New Roman"/>
          <w:sz w:val="26"/>
          <w:szCs w:val="26"/>
        </w:rPr>
        <w:t xml:space="preserve">.  Admitting that it billed customers in excess of the price guarantees contained in its </w:t>
      </w:r>
      <w:r w:rsidR="005930FC">
        <w:rPr>
          <w:rFonts w:ascii="Times New Roman" w:hAnsi="Times New Roman"/>
          <w:sz w:val="26"/>
          <w:szCs w:val="26"/>
        </w:rPr>
        <w:t>disclosure statement</w:t>
      </w:r>
      <w:r w:rsidR="009F0425">
        <w:rPr>
          <w:rFonts w:ascii="Times New Roman" w:hAnsi="Times New Roman"/>
          <w:sz w:val="26"/>
          <w:szCs w:val="26"/>
        </w:rPr>
        <w:t xml:space="preserve">, and arguing that even if that happened on 14,689 occasions, HIKO contended that nothing supported the level of civil penalty I&amp;E sought.  HIKO argued that the Commission should consider </w:t>
      </w:r>
      <w:r w:rsidR="00AB6B7E">
        <w:rPr>
          <w:rFonts w:ascii="Times New Roman" w:hAnsi="Times New Roman"/>
          <w:sz w:val="26"/>
          <w:szCs w:val="26"/>
        </w:rPr>
        <w:t xml:space="preserve">mitigating factors, including the following: (1) the Company’s </w:t>
      </w:r>
      <w:r w:rsidR="009F0425">
        <w:rPr>
          <w:rFonts w:ascii="Times New Roman" w:hAnsi="Times New Roman"/>
          <w:sz w:val="26"/>
          <w:szCs w:val="26"/>
        </w:rPr>
        <w:t>explanation for the overbilling</w:t>
      </w:r>
      <w:r w:rsidR="00AB6B7E">
        <w:rPr>
          <w:rFonts w:ascii="Times New Roman" w:hAnsi="Times New Roman"/>
          <w:sz w:val="26"/>
          <w:szCs w:val="26"/>
        </w:rPr>
        <w:t>; (2)</w:t>
      </w:r>
      <w:r w:rsidR="009F0425">
        <w:rPr>
          <w:rFonts w:ascii="Times New Roman" w:hAnsi="Times New Roman"/>
          <w:sz w:val="26"/>
          <w:szCs w:val="26"/>
        </w:rPr>
        <w:t xml:space="preserve"> the dire financial situation it faced by the extended and serious weather conditions brought about by the polar vortex weather effects in the </w:t>
      </w:r>
      <w:r w:rsidR="00585AF1">
        <w:rPr>
          <w:rFonts w:ascii="Times New Roman" w:hAnsi="Times New Roman"/>
          <w:sz w:val="26"/>
          <w:szCs w:val="26"/>
        </w:rPr>
        <w:t>affected time period</w:t>
      </w:r>
      <w:r w:rsidR="00AB6B7E">
        <w:rPr>
          <w:rFonts w:ascii="Times New Roman" w:hAnsi="Times New Roman"/>
          <w:sz w:val="26"/>
          <w:szCs w:val="26"/>
        </w:rPr>
        <w:t>; (3)</w:t>
      </w:r>
      <w:r w:rsidR="009F0425">
        <w:rPr>
          <w:rFonts w:ascii="Times New Roman" w:hAnsi="Times New Roman"/>
          <w:sz w:val="26"/>
          <w:szCs w:val="26"/>
        </w:rPr>
        <w:t xml:space="preserve"> the fact that the average overcharge was only $124 and that 70% of its overcharges were less than $100</w:t>
      </w:r>
      <w:r w:rsidR="00AB6B7E">
        <w:rPr>
          <w:rFonts w:ascii="Times New Roman" w:hAnsi="Times New Roman"/>
          <w:sz w:val="26"/>
          <w:szCs w:val="26"/>
        </w:rPr>
        <w:t>; (4)</w:t>
      </w:r>
      <w:r w:rsidR="009F0425">
        <w:rPr>
          <w:rFonts w:ascii="Times New Roman" w:hAnsi="Times New Roman"/>
          <w:sz w:val="26"/>
          <w:szCs w:val="26"/>
        </w:rPr>
        <w:t xml:space="preserve"> the fact that the Company voluntarily refunded approximately $160,000</w:t>
      </w:r>
      <w:r w:rsidR="00AB6B7E">
        <w:rPr>
          <w:rFonts w:ascii="Times New Roman" w:hAnsi="Times New Roman"/>
          <w:sz w:val="26"/>
          <w:szCs w:val="26"/>
        </w:rPr>
        <w:t xml:space="preserve"> and then entered into a settlement agreement with the OAG/OCA that provided for an additional $1.67 million refund pool for the customers that were the subject of I&amp;E’s Complaint; (5) the Company’s agreement with the OAG/OCA to conduct many corrective actions to its business practices, including changes to its marketing, sales, and disclosures; (6) the fact that the Company’s customer base shrank from approximately 10,000 to around 3,000 currently, none of whom is </w:t>
      </w:r>
      <w:r w:rsidR="00585AF1">
        <w:rPr>
          <w:rFonts w:ascii="Times New Roman" w:hAnsi="Times New Roman"/>
          <w:sz w:val="26"/>
          <w:szCs w:val="26"/>
        </w:rPr>
        <w:t xml:space="preserve">in </w:t>
      </w:r>
      <w:r w:rsidR="00AB6B7E">
        <w:rPr>
          <w:rFonts w:ascii="Times New Roman" w:hAnsi="Times New Roman"/>
          <w:sz w:val="26"/>
          <w:szCs w:val="26"/>
        </w:rPr>
        <w:t>a guaranteed price plan</w:t>
      </w:r>
      <w:r w:rsidR="00585AF1">
        <w:rPr>
          <w:rFonts w:ascii="Times New Roman" w:hAnsi="Times New Roman"/>
          <w:sz w:val="26"/>
          <w:szCs w:val="26"/>
        </w:rPr>
        <w:t>.  HIKO contended that</w:t>
      </w:r>
      <w:r w:rsidR="00AB6B7E">
        <w:rPr>
          <w:rFonts w:ascii="Times New Roman" w:hAnsi="Times New Roman"/>
          <w:sz w:val="26"/>
          <w:szCs w:val="26"/>
        </w:rPr>
        <w:t xml:space="preserve"> </w:t>
      </w:r>
      <w:r w:rsidR="00585AF1">
        <w:rPr>
          <w:rFonts w:ascii="Times New Roman" w:hAnsi="Times New Roman"/>
          <w:sz w:val="26"/>
          <w:szCs w:val="26"/>
        </w:rPr>
        <w:t xml:space="preserve">these actions </w:t>
      </w:r>
      <w:r w:rsidR="00AB6B7E">
        <w:rPr>
          <w:rFonts w:ascii="Times New Roman" w:hAnsi="Times New Roman"/>
          <w:sz w:val="26"/>
          <w:szCs w:val="26"/>
        </w:rPr>
        <w:t>all constitut</w:t>
      </w:r>
      <w:r w:rsidR="00585AF1">
        <w:rPr>
          <w:rFonts w:ascii="Times New Roman" w:hAnsi="Times New Roman"/>
          <w:sz w:val="26"/>
          <w:szCs w:val="26"/>
        </w:rPr>
        <w:t>ed</w:t>
      </w:r>
      <w:r w:rsidR="00AB6B7E">
        <w:rPr>
          <w:rFonts w:ascii="Times New Roman" w:hAnsi="Times New Roman"/>
          <w:sz w:val="26"/>
          <w:szCs w:val="26"/>
        </w:rPr>
        <w:t xml:space="preserve"> sufficient hardship to deter it from repeating these violations in the future without a</w:t>
      </w:r>
      <w:r w:rsidR="00585AF1">
        <w:rPr>
          <w:rFonts w:ascii="Times New Roman" w:hAnsi="Times New Roman"/>
          <w:sz w:val="26"/>
          <w:szCs w:val="26"/>
        </w:rPr>
        <w:t>ny</w:t>
      </w:r>
      <w:r w:rsidR="00AB6B7E">
        <w:rPr>
          <w:rFonts w:ascii="Times New Roman" w:hAnsi="Times New Roman"/>
          <w:sz w:val="26"/>
          <w:szCs w:val="26"/>
        </w:rPr>
        <w:t xml:space="preserve"> civil penalty.  In the alternative, the Company contended that nothing supported the size of I&amp;E’s requested penalty, which, if imposed, should be minimal, and that the Company’s license should not be revoked.  </w:t>
      </w:r>
      <w:r w:rsidR="00AB6B7E">
        <w:rPr>
          <w:rFonts w:ascii="Times New Roman" w:hAnsi="Times New Roman"/>
          <w:i/>
          <w:sz w:val="26"/>
          <w:szCs w:val="26"/>
        </w:rPr>
        <w:t xml:space="preserve">Id. </w:t>
      </w:r>
      <w:r w:rsidR="00AB6B7E">
        <w:rPr>
          <w:rFonts w:ascii="Times New Roman" w:hAnsi="Times New Roman"/>
          <w:sz w:val="26"/>
          <w:szCs w:val="26"/>
        </w:rPr>
        <w:t>at 23.</w:t>
      </w:r>
    </w:p>
    <w:p w:rsidR="00AB6B7E" w:rsidRDefault="00AB6B7E" w:rsidP="00AB6B7E">
      <w:pPr>
        <w:ind w:firstLine="1440"/>
        <w:rPr>
          <w:rFonts w:ascii="Times New Roman" w:hAnsi="Times New Roman"/>
          <w:sz w:val="26"/>
          <w:szCs w:val="26"/>
        </w:rPr>
      </w:pPr>
    </w:p>
    <w:p w:rsidR="00AB6B7E" w:rsidRPr="005E7293" w:rsidRDefault="000840EA" w:rsidP="00AB6B7E">
      <w:pPr>
        <w:ind w:firstLine="1440"/>
        <w:rPr>
          <w:rFonts w:ascii="Times New Roman" w:hAnsi="Times New Roman"/>
          <w:sz w:val="26"/>
          <w:szCs w:val="26"/>
        </w:rPr>
      </w:pPr>
      <w:r>
        <w:rPr>
          <w:rFonts w:ascii="Times New Roman" w:hAnsi="Times New Roman"/>
          <w:sz w:val="26"/>
          <w:szCs w:val="26"/>
        </w:rPr>
        <w:t xml:space="preserve">In dispute, stated the ALJs, was </w:t>
      </w:r>
      <w:r w:rsidR="000769C5">
        <w:rPr>
          <w:rFonts w:ascii="Times New Roman" w:hAnsi="Times New Roman"/>
          <w:sz w:val="26"/>
          <w:szCs w:val="26"/>
        </w:rPr>
        <w:t xml:space="preserve">the </w:t>
      </w:r>
      <w:r w:rsidR="00585AF1">
        <w:rPr>
          <w:rFonts w:ascii="Times New Roman" w:hAnsi="Times New Roman"/>
          <w:sz w:val="26"/>
          <w:szCs w:val="26"/>
        </w:rPr>
        <w:t xml:space="preserve">manner of calculating </w:t>
      </w:r>
      <w:r>
        <w:rPr>
          <w:rFonts w:ascii="Times New Roman" w:hAnsi="Times New Roman"/>
          <w:sz w:val="26"/>
          <w:szCs w:val="26"/>
        </w:rPr>
        <w:t xml:space="preserve">the number of violations under Section 54.4(a) of the Regulations, which requires </w:t>
      </w:r>
      <w:r w:rsidR="00585AF1">
        <w:rPr>
          <w:rFonts w:ascii="Times New Roman" w:hAnsi="Times New Roman"/>
          <w:sz w:val="26"/>
          <w:szCs w:val="26"/>
        </w:rPr>
        <w:t xml:space="preserve">the </w:t>
      </w:r>
      <w:r>
        <w:rPr>
          <w:rFonts w:ascii="Times New Roman" w:hAnsi="Times New Roman"/>
          <w:sz w:val="26"/>
          <w:szCs w:val="26"/>
        </w:rPr>
        <w:t>EGS</w:t>
      </w:r>
      <w:r w:rsidR="00585AF1">
        <w:rPr>
          <w:rFonts w:ascii="Times New Roman" w:hAnsi="Times New Roman"/>
          <w:sz w:val="26"/>
          <w:szCs w:val="26"/>
        </w:rPr>
        <w:t>’</w:t>
      </w:r>
      <w:r>
        <w:rPr>
          <w:rFonts w:ascii="Times New Roman" w:hAnsi="Times New Roman"/>
          <w:sz w:val="26"/>
          <w:szCs w:val="26"/>
        </w:rPr>
        <w:t xml:space="preserve"> billed prices to reflect those prices </w:t>
      </w:r>
      <w:r w:rsidR="00585AF1">
        <w:rPr>
          <w:rFonts w:ascii="Times New Roman" w:hAnsi="Times New Roman"/>
          <w:sz w:val="26"/>
          <w:szCs w:val="26"/>
        </w:rPr>
        <w:t xml:space="preserve">that were </w:t>
      </w:r>
      <w:r>
        <w:rPr>
          <w:rFonts w:ascii="Times New Roman" w:hAnsi="Times New Roman"/>
          <w:sz w:val="26"/>
          <w:szCs w:val="26"/>
        </w:rPr>
        <w:t xml:space="preserve">marketed </w:t>
      </w:r>
      <w:r w:rsidR="00585AF1">
        <w:rPr>
          <w:rFonts w:ascii="Times New Roman" w:hAnsi="Times New Roman"/>
          <w:sz w:val="26"/>
          <w:szCs w:val="26"/>
        </w:rPr>
        <w:t xml:space="preserve">and </w:t>
      </w:r>
      <w:r>
        <w:rPr>
          <w:rFonts w:ascii="Times New Roman" w:hAnsi="Times New Roman"/>
          <w:sz w:val="26"/>
          <w:szCs w:val="26"/>
        </w:rPr>
        <w:t xml:space="preserve">agreed to by the parties in the EGS’ </w:t>
      </w:r>
      <w:r>
        <w:rPr>
          <w:rFonts w:ascii="Times New Roman" w:hAnsi="Times New Roman"/>
          <w:sz w:val="26"/>
          <w:szCs w:val="26"/>
        </w:rPr>
        <w:lastRenderedPageBreak/>
        <w:t>disclosure information</w:t>
      </w:r>
      <w:r w:rsidR="004A02F0">
        <w:rPr>
          <w:rFonts w:ascii="Times New Roman" w:hAnsi="Times New Roman"/>
          <w:sz w:val="26"/>
          <w:szCs w:val="26"/>
        </w:rPr>
        <w:t xml:space="preserve">.  The </w:t>
      </w:r>
      <w:r w:rsidR="00585AF1">
        <w:rPr>
          <w:rFonts w:ascii="Times New Roman" w:hAnsi="Times New Roman"/>
          <w:sz w:val="26"/>
          <w:szCs w:val="26"/>
        </w:rPr>
        <w:t xml:space="preserve">calculation could result in 1 violation </w:t>
      </w:r>
      <w:r w:rsidR="004A02F0">
        <w:rPr>
          <w:rFonts w:ascii="Times New Roman" w:hAnsi="Times New Roman"/>
          <w:sz w:val="26"/>
          <w:szCs w:val="26"/>
        </w:rPr>
        <w:t xml:space="preserve">if </w:t>
      </w:r>
      <w:r w:rsidR="00585AF1">
        <w:rPr>
          <w:rFonts w:ascii="Times New Roman" w:hAnsi="Times New Roman"/>
          <w:sz w:val="26"/>
          <w:szCs w:val="26"/>
        </w:rPr>
        <w:t xml:space="preserve">it were </w:t>
      </w:r>
      <w:r w:rsidR="004A02F0">
        <w:rPr>
          <w:rFonts w:ascii="Times New Roman" w:hAnsi="Times New Roman"/>
          <w:sz w:val="26"/>
          <w:szCs w:val="26"/>
        </w:rPr>
        <w:t>based on H</w:t>
      </w:r>
      <w:r>
        <w:rPr>
          <w:rFonts w:ascii="Times New Roman" w:hAnsi="Times New Roman"/>
          <w:sz w:val="26"/>
          <w:szCs w:val="26"/>
        </w:rPr>
        <w:t xml:space="preserve">IKO’s decision to overcharge customers when facing unplanned-for price spikes, </w:t>
      </w:r>
      <w:r w:rsidR="00585AF1">
        <w:rPr>
          <w:rFonts w:ascii="Times New Roman" w:hAnsi="Times New Roman"/>
          <w:sz w:val="26"/>
          <w:szCs w:val="26"/>
        </w:rPr>
        <w:t xml:space="preserve">4 violations </w:t>
      </w:r>
      <w:r w:rsidR="004A02F0">
        <w:rPr>
          <w:rFonts w:ascii="Times New Roman" w:hAnsi="Times New Roman"/>
          <w:sz w:val="26"/>
          <w:szCs w:val="26"/>
        </w:rPr>
        <w:t xml:space="preserve">if counted on a monthly basis, 5,700 </w:t>
      </w:r>
      <w:r w:rsidR="00585AF1">
        <w:rPr>
          <w:rFonts w:ascii="Times New Roman" w:hAnsi="Times New Roman"/>
          <w:sz w:val="26"/>
          <w:szCs w:val="26"/>
        </w:rPr>
        <w:t xml:space="preserve">violations </w:t>
      </w:r>
      <w:r w:rsidR="004A02F0">
        <w:rPr>
          <w:rFonts w:ascii="Times New Roman" w:hAnsi="Times New Roman"/>
          <w:sz w:val="26"/>
          <w:szCs w:val="26"/>
        </w:rPr>
        <w:t xml:space="preserve">if </w:t>
      </w:r>
      <w:r w:rsidR="00585AF1">
        <w:rPr>
          <w:rFonts w:ascii="Times New Roman" w:hAnsi="Times New Roman"/>
          <w:sz w:val="26"/>
          <w:szCs w:val="26"/>
        </w:rPr>
        <w:t xml:space="preserve">calculated </w:t>
      </w:r>
      <w:r w:rsidR="004A02F0">
        <w:rPr>
          <w:rFonts w:ascii="Times New Roman" w:hAnsi="Times New Roman"/>
          <w:sz w:val="26"/>
          <w:szCs w:val="26"/>
        </w:rPr>
        <w:t xml:space="preserve">on a per-customer basis, 14,689 </w:t>
      </w:r>
      <w:r w:rsidR="00585AF1">
        <w:rPr>
          <w:rFonts w:ascii="Times New Roman" w:hAnsi="Times New Roman"/>
          <w:sz w:val="26"/>
          <w:szCs w:val="26"/>
        </w:rPr>
        <w:t xml:space="preserve">violations </w:t>
      </w:r>
      <w:r w:rsidR="004A02F0">
        <w:rPr>
          <w:rFonts w:ascii="Times New Roman" w:hAnsi="Times New Roman"/>
          <w:sz w:val="26"/>
          <w:szCs w:val="26"/>
        </w:rPr>
        <w:t>if counted on a per-bill basis, or on some other appropriate measure</w:t>
      </w:r>
      <w:r>
        <w:rPr>
          <w:rFonts w:ascii="Times New Roman" w:hAnsi="Times New Roman"/>
          <w:sz w:val="26"/>
          <w:szCs w:val="26"/>
        </w:rPr>
        <w:t xml:space="preserve">.  </w:t>
      </w:r>
      <w:r w:rsidR="004A02F0" w:rsidRPr="004A02F0">
        <w:rPr>
          <w:rFonts w:ascii="Times New Roman" w:hAnsi="Times New Roman"/>
          <w:i/>
          <w:sz w:val="26"/>
          <w:szCs w:val="26"/>
        </w:rPr>
        <w:t>Id.</w:t>
      </w:r>
      <w:r w:rsidR="004A02F0" w:rsidRPr="004A02F0">
        <w:rPr>
          <w:rFonts w:ascii="Times New Roman" w:hAnsi="Times New Roman"/>
          <w:sz w:val="26"/>
          <w:szCs w:val="26"/>
        </w:rPr>
        <w:t xml:space="preserve"> at 24-26.</w:t>
      </w:r>
    </w:p>
    <w:p w:rsidR="00FB021F" w:rsidRPr="00DE68FB" w:rsidRDefault="00FB021F" w:rsidP="00DE68FB">
      <w:pPr>
        <w:rPr>
          <w:rFonts w:ascii="Times New Roman" w:hAnsi="Times New Roman"/>
          <w:sz w:val="26"/>
          <w:szCs w:val="26"/>
        </w:rPr>
      </w:pPr>
    </w:p>
    <w:p w:rsidR="00DC7C52" w:rsidRPr="00FB2F77" w:rsidRDefault="00A84AB5" w:rsidP="00DE68FB">
      <w:pPr>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r>
      <w:r w:rsidR="00585AF1">
        <w:rPr>
          <w:rFonts w:ascii="Times New Roman" w:hAnsi="Times New Roman"/>
          <w:sz w:val="26"/>
          <w:szCs w:val="26"/>
        </w:rPr>
        <w:t xml:space="preserve">Concluding that </w:t>
      </w:r>
      <w:r w:rsidR="004A02F0">
        <w:rPr>
          <w:rFonts w:ascii="Times New Roman" w:hAnsi="Times New Roman"/>
          <w:sz w:val="26"/>
          <w:szCs w:val="26"/>
        </w:rPr>
        <w:t xml:space="preserve">the Commission had jurisdiction over </w:t>
      </w:r>
      <w:r w:rsidR="00580F09" w:rsidRPr="00DE68FB">
        <w:rPr>
          <w:rFonts w:ascii="Times New Roman" w:hAnsi="Times New Roman"/>
          <w:sz w:val="26"/>
          <w:szCs w:val="26"/>
        </w:rPr>
        <w:t xml:space="preserve">the subject matter of </w:t>
      </w:r>
      <w:r w:rsidR="005E7293">
        <w:rPr>
          <w:rFonts w:ascii="Times New Roman" w:hAnsi="Times New Roman"/>
          <w:sz w:val="26"/>
          <w:szCs w:val="26"/>
        </w:rPr>
        <w:t>I&amp;E’s</w:t>
      </w:r>
      <w:r w:rsidR="00580F09" w:rsidRPr="00DE68FB">
        <w:rPr>
          <w:rFonts w:ascii="Times New Roman" w:hAnsi="Times New Roman"/>
          <w:sz w:val="26"/>
          <w:szCs w:val="26"/>
        </w:rPr>
        <w:t xml:space="preserve"> Complaint</w:t>
      </w:r>
      <w:r w:rsidR="00F70891">
        <w:rPr>
          <w:rFonts w:ascii="Times New Roman" w:hAnsi="Times New Roman"/>
          <w:sz w:val="26"/>
          <w:szCs w:val="26"/>
        </w:rPr>
        <w:t xml:space="preserve">, </w:t>
      </w:r>
      <w:r w:rsidR="004A02F0">
        <w:rPr>
          <w:rFonts w:ascii="Times New Roman" w:hAnsi="Times New Roman"/>
          <w:sz w:val="26"/>
          <w:szCs w:val="26"/>
        </w:rPr>
        <w:t xml:space="preserve">the ALJs addressed provisions under </w:t>
      </w:r>
      <w:r w:rsidR="005E7293">
        <w:rPr>
          <w:rFonts w:ascii="Times New Roman" w:hAnsi="Times New Roman"/>
          <w:sz w:val="26"/>
          <w:szCs w:val="26"/>
        </w:rPr>
        <w:t xml:space="preserve">the </w:t>
      </w:r>
      <w:r w:rsidR="000840EA" w:rsidRPr="000840EA">
        <w:rPr>
          <w:rFonts w:ascii="Times New Roman" w:hAnsi="Times New Roman"/>
          <w:sz w:val="26"/>
          <w:szCs w:val="26"/>
        </w:rPr>
        <w:t xml:space="preserve">Electricity Generation Customer Choice and Competition Act, Act 138 of 1996, as amended by Act 129 of 2008, 66 Pa. C.S. §§ 2801-2815 (Competition Act), </w:t>
      </w:r>
      <w:r w:rsidR="000840EA">
        <w:rPr>
          <w:rFonts w:ascii="Times New Roman" w:hAnsi="Times New Roman"/>
          <w:sz w:val="26"/>
          <w:szCs w:val="26"/>
        </w:rPr>
        <w:t xml:space="preserve">the Commission’s </w:t>
      </w:r>
      <w:r w:rsidR="000840EA" w:rsidRPr="000840EA">
        <w:rPr>
          <w:rFonts w:ascii="Times New Roman" w:hAnsi="Times New Roman"/>
          <w:sz w:val="26"/>
          <w:szCs w:val="26"/>
        </w:rPr>
        <w:t>Regulations under Chapter 54</w:t>
      </w:r>
      <w:r w:rsidR="000840EA">
        <w:rPr>
          <w:rFonts w:ascii="Times New Roman" w:hAnsi="Times New Roman"/>
          <w:sz w:val="26"/>
          <w:szCs w:val="26"/>
        </w:rPr>
        <w:t xml:space="preserve"> of </w:t>
      </w:r>
      <w:r w:rsidR="000840EA" w:rsidRPr="000840EA">
        <w:rPr>
          <w:rFonts w:ascii="Times New Roman" w:hAnsi="Times New Roman"/>
          <w:sz w:val="26"/>
          <w:szCs w:val="26"/>
        </w:rPr>
        <w:t xml:space="preserve">52 Pa. Code, and prior Commission </w:t>
      </w:r>
      <w:r w:rsidR="000840EA">
        <w:rPr>
          <w:rFonts w:ascii="Times New Roman" w:hAnsi="Times New Roman"/>
          <w:sz w:val="26"/>
          <w:szCs w:val="26"/>
        </w:rPr>
        <w:t xml:space="preserve">and Court </w:t>
      </w:r>
      <w:r w:rsidR="000840EA" w:rsidRPr="000840EA">
        <w:rPr>
          <w:rFonts w:ascii="Times New Roman" w:hAnsi="Times New Roman"/>
          <w:sz w:val="26"/>
          <w:szCs w:val="26"/>
        </w:rPr>
        <w:t xml:space="preserve">Orders.  </w:t>
      </w:r>
      <w:r w:rsidR="000840EA">
        <w:rPr>
          <w:rFonts w:ascii="Times New Roman" w:hAnsi="Times New Roman"/>
          <w:sz w:val="26"/>
          <w:szCs w:val="26"/>
        </w:rPr>
        <w:t xml:space="preserve">The ALJs found that the Commission </w:t>
      </w:r>
      <w:r w:rsidR="004A02F0">
        <w:rPr>
          <w:rFonts w:ascii="Times New Roman" w:hAnsi="Times New Roman"/>
          <w:sz w:val="26"/>
          <w:szCs w:val="26"/>
        </w:rPr>
        <w:t>has</w:t>
      </w:r>
      <w:r w:rsidR="000840EA">
        <w:rPr>
          <w:rFonts w:ascii="Times New Roman" w:hAnsi="Times New Roman"/>
          <w:sz w:val="26"/>
          <w:szCs w:val="26"/>
        </w:rPr>
        <w:t xml:space="preserve"> general jurisdiction under Section 501 of the Code as well as certain provisions of the Competition Act that specifically established Commission jurisdiction over EGS standards and billing practices.  </w:t>
      </w:r>
      <w:r w:rsidR="000840EA">
        <w:rPr>
          <w:rFonts w:ascii="Times New Roman" w:hAnsi="Times New Roman"/>
          <w:i/>
          <w:sz w:val="26"/>
          <w:szCs w:val="26"/>
        </w:rPr>
        <w:t xml:space="preserve">See </w:t>
      </w:r>
      <w:r w:rsidR="000840EA">
        <w:rPr>
          <w:rFonts w:ascii="Times New Roman" w:hAnsi="Times New Roman"/>
          <w:sz w:val="26"/>
          <w:szCs w:val="26"/>
        </w:rPr>
        <w:t>Sections 2802(14), 2807, and 2809 of the Competition Act, 66 Pa. C.S. §§ 2802(14), 2807, and 2809</w:t>
      </w:r>
      <w:r w:rsidR="004A02F0">
        <w:rPr>
          <w:rFonts w:ascii="Times New Roman" w:hAnsi="Times New Roman"/>
          <w:sz w:val="26"/>
          <w:szCs w:val="26"/>
        </w:rPr>
        <w:t xml:space="preserve">; </w:t>
      </w:r>
      <w:r w:rsidR="004A02F0">
        <w:rPr>
          <w:rFonts w:ascii="Times New Roman" w:hAnsi="Times New Roman"/>
          <w:i/>
          <w:sz w:val="26"/>
          <w:szCs w:val="26"/>
        </w:rPr>
        <w:t xml:space="preserve">see also </w:t>
      </w:r>
      <w:r w:rsidR="00DC7C52" w:rsidRPr="00DE68FB">
        <w:rPr>
          <w:rFonts w:ascii="Times New Roman" w:hAnsi="Times New Roman"/>
          <w:i/>
          <w:sz w:val="26"/>
          <w:szCs w:val="26"/>
        </w:rPr>
        <w:t xml:space="preserve">Commonwealth of Pennsylvania v. Blue Pilot Energy, LLC, </w:t>
      </w:r>
      <w:r w:rsidR="00822373">
        <w:rPr>
          <w:rFonts w:ascii="Times New Roman" w:hAnsi="Times New Roman"/>
          <w:sz w:val="26"/>
          <w:szCs w:val="26"/>
        </w:rPr>
        <w:t xml:space="preserve">Docket No. </w:t>
      </w:r>
      <w:r w:rsidR="00DC7C52" w:rsidRPr="00DE68FB">
        <w:rPr>
          <w:rFonts w:ascii="Times New Roman" w:hAnsi="Times New Roman"/>
          <w:sz w:val="26"/>
          <w:szCs w:val="26"/>
        </w:rPr>
        <w:t>C-2014-2427655</w:t>
      </w:r>
      <w:r w:rsidR="00DC7C52" w:rsidRPr="00DE68FB">
        <w:rPr>
          <w:rFonts w:ascii="Times New Roman" w:hAnsi="Times New Roman"/>
          <w:i/>
          <w:sz w:val="26"/>
          <w:szCs w:val="26"/>
        </w:rPr>
        <w:t xml:space="preserve"> </w:t>
      </w:r>
      <w:r w:rsidR="00816DE7">
        <w:rPr>
          <w:rFonts w:ascii="Times New Roman" w:hAnsi="Times New Roman"/>
          <w:sz w:val="26"/>
          <w:szCs w:val="26"/>
        </w:rPr>
        <w:t>(</w:t>
      </w:r>
      <w:r w:rsidR="00DC7C52" w:rsidRPr="00DE68FB">
        <w:rPr>
          <w:rFonts w:ascii="Times New Roman" w:hAnsi="Times New Roman"/>
          <w:sz w:val="26"/>
          <w:szCs w:val="26"/>
        </w:rPr>
        <w:t>Order entered December 11, 2014</w:t>
      </w:r>
      <w:r w:rsidR="00816DE7">
        <w:rPr>
          <w:rFonts w:ascii="Times New Roman" w:hAnsi="Times New Roman"/>
          <w:sz w:val="26"/>
          <w:szCs w:val="26"/>
        </w:rPr>
        <w:t>)</w:t>
      </w:r>
      <w:r w:rsidR="00B608C7">
        <w:rPr>
          <w:rFonts w:ascii="Times New Roman" w:hAnsi="Times New Roman"/>
          <w:sz w:val="26"/>
          <w:szCs w:val="26"/>
        </w:rPr>
        <w:t xml:space="preserve"> </w:t>
      </w:r>
      <w:r w:rsidR="00822373">
        <w:rPr>
          <w:rFonts w:ascii="Times New Roman" w:hAnsi="Times New Roman"/>
          <w:sz w:val="26"/>
          <w:szCs w:val="26"/>
        </w:rPr>
        <w:t>(</w:t>
      </w:r>
      <w:r w:rsidR="00822373">
        <w:rPr>
          <w:rFonts w:ascii="Times New Roman" w:hAnsi="Times New Roman"/>
          <w:i/>
          <w:sz w:val="26"/>
          <w:szCs w:val="26"/>
        </w:rPr>
        <w:t>Blue Pilot</w:t>
      </w:r>
      <w:r w:rsidR="00CA66DB">
        <w:rPr>
          <w:rFonts w:ascii="Times New Roman" w:hAnsi="Times New Roman"/>
          <w:i/>
          <w:sz w:val="26"/>
          <w:szCs w:val="26"/>
        </w:rPr>
        <w:t xml:space="preserve"> Material Question</w:t>
      </w:r>
      <w:r w:rsidR="00822373">
        <w:rPr>
          <w:rFonts w:ascii="Times New Roman" w:hAnsi="Times New Roman"/>
          <w:i/>
          <w:sz w:val="26"/>
          <w:szCs w:val="26"/>
        </w:rPr>
        <w:t>)</w:t>
      </w:r>
      <w:r w:rsidR="004A02F0">
        <w:rPr>
          <w:rFonts w:ascii="Times New Roman" w:hAnsi="Times New Roman"/>
          <w:i/>
          <w:sz w:val="26"/>
          <w:szCs w:val="26"/>
        </w:rPr>
        <w:t xml:space="preserve">; </w:t>
      </w:r>
      <w:r w:rsidR="004A02F0" w:rsidRPr="004A02F0">
        <w:rPr>
          <w:rFonts w:ascii="Times New Roman" w:hAnsi="Times New Roman"/>
          <w:i/>
          <w:sz w:val="26"/>
          <w:szCs w:val="26"/>
        </w:rPr>
        <w:t>Coalition for Affordable Utility Services and Energy Efficiency in Pennsylvania v. Pa. PUC</w:t>
      </w:r>
      <w:r w:rsidR="004A02F0" w:rsidRPr="000769C5">
        <w:rPr>
          <w:rFonts w:ascii="Times New Roman" w:hAnsi="Times New Roman"/>
          <w:sz w:val="26"/>
          <w:szCs w:val="26"/>
        </w:rPr>
        <w:t xml:space="preserve">, 120 A.3d 1087 (Pa. </w:t>
      </w:r>
      <w:r w:rsidR="00007F5E" w:rsidRPr="000769C5">
        <w:rPr>
          <w:rFonts w:ascii="Times New Roman" w:hAnsi="Times New Roman"/>
          <w:sz w:val="26"/>
          <w:szCs w:val="26"/>
        </w:rPr>
        <w:t>Cmwlth</w:t>
      </w:r>
      <w:r w:rsidR="004A02F0" w:rsidRPr="000769C5">
        <w:rPr>
          <w:rFonts w:ascii="Times New Roman" w:hAnsi="Times New Roman"/>
          <w:sz w:val="26"/>
          <w:szCs w:val="26"/>
        </w:rPr>
        <w:t>. 2015) (</w:t>
      </w:r>
      <w:r w:rsidR="004A02F0" w:rsidRPr="004A02F0">
        <w:rPr>
          <w:rFonts w:ascii="Times New Roman" w:hAnsi="Times New Roman"/>
          <w:i/>
          <w:sz w:val="26"/>
          <w:szCs w:val="26"/>
        </w:rPr>
        <w:t>CAUSE</w:t>
      </w:r>
      <w:r w:rsidR="004A02F0" w:rsidRPr="000769C5">
        <w:rPr>
          <w:rFonts w:ascii="Times New Roman" w:hAnsi="Times New Roman"/>
          <w:sz w:val="26"/>
          <w:szCs w:val="26"/>
        </w:rPr>
        <w:t>)</w:t>
      </w:r>
      <w:r w:rsidR="004A02F0">
        <w:rPr>
          <w:rFonts w:ascii="Times New Roman" w:hAnsi="Times New Roman"/>
          <w:sz w:val="26"/>
          <w:szCs w:val="26"/>
        </w:rPr>
        <w:t>.</w:t>
      </w:r>
      <w:r w:rsidR="00FB2F77">
        <w:rPr>
          <w:rFonts w:ascii="Times New Roman" w:hAnsi="Times New Roman"/>
          <w:sz w:val="26"/>
          <w:szCs w:val="26"/>
        </w:rPr>
        <w:t xml:space="preserve">  </w:t>
      </w:r>
      <w:r w:rsidR="00585AF1" w:rsidRPr="00585AF1">
        <w:rPr>
          <w:rFonts w:ascii="Times New Roman" w:hAnsi="Times New Roman"/>
          <w:sz w:val="26"/>
          <w:szCs w:val="26"/>
        </w:rPr>
        <w:t>I.D.</w:t>
      </w:r>
      <w:r w:rsidR="00FB2F77">
        <w:rPr>
          <w:rFonts w:ascii="Times New Roman" w:hAnsi="Times New Roman"/>
          <w:i/>
          <w:sz w:val="26"/>
          <w:szCs w:val="26"/>
        </w:rPr>
        <w:t xml:space="preserve"> </w:t>
      </w:r>
      <w:r w:rsidR="00FB2F77">
        <w:rPr>
          <w:rFonts w:ascii="Times New Roman" w:hAnsi="Times New Roman"/>
          <w:sz w:val="26"/>
          <w:szCs w:val="26"/>
        </w:rPr>
        <w:t>at 27-29.</w:t>
      </w:r>
    </w:p>
    <w:p w:rsidR="00DC7C52" w:rsidRPr="005303BC" w:rsidRDefault="00DC7C52" w:rsidP="00DE68FB">
      <w:pPr>
        <w:rPr>
          <w:rFonts w:ascii="Times New Roman" w:hAnsi="Times New Roman"/>
          <w:sz w:val="26"/>
          <w:szCs w:val="26"/>
        </w:rPr>
      </w:pPr>
    </w:p>
    <w:p w:rsidR="00FB2F77" w:rsidRDefault="00DC7C52" w:rsidP="00FB2F77">
      <w:pPr>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r>
      <w:r w:rsidR="00585AF1">
        <w:rPr>
          <w:rFonts w:ascii="Times New Roman" w:hAnsi="Times New Roman"/>
          <w:sz w:val="26"/>
          <w:szCs w:val="26"/>
        </w:rPr>
        <w:t>The ALJs c</w:t>
      </w:r>
      <w:r w:rsidR="00FB2F77">
        <w:rPr>
          <w:rFonts w:ascii="Times New Roman" w:hAnsi="Times New Roman"/>
          <w:sz w:val="26"/>
          <w:szCs w:val="26"/>
        </w:rPr>
        <w:t>haracteriz</w:t>
      </w:r>
      <w:r w:rsidR="00585AF1">
        <w:rPr>
          <w:rFonts w:ascii="Times New Roman" w:hAnsi="Times New Roman"/>
          <w:sz w:val="26"/>
          <w:szCs w:val="26"/>
        </w:rPr>
        <w:t>ed</w:t>
      </w:r>
      <w:r w:rsidR="00FB2F77">
        <w:rPr>
          <w:rFonts w:ascii="Times New Roman" w:hAnsi="Times New Roman"/>
          <w:sz w:val="26"/>
          <w:szCs w:val="26"/>
        </w:rPr>
        <w:t xml:space="preserve"> the winter months of January through March 2014 as a “stress test” for the competitive market</w:t>
      </w:r>
      <w:r w:rsidR="00585AF1">
        <w:rPr>
          <w:rFonts w:ascii="Times New Roman" w:hAnsi="Times New Roman"/>
          <w:sz w:val="26"/>
          <w:szCs w:val="26"/>
        </w:rPr>
        <w:t xml:space="preserve"> and</w:t>
      </w:r>
      <w:r w:rsidR="00FB2F77">
        <w:rPr>
          <w:rFonts w:ascii="Times New Roman" w:hAnsi="Times New Roman"/>
          <w:sz w:val="26"/>
          <w:szCs w:val="26"/>
        </w:rPr>
        <w:t xml:space="preserve"> concluded that it was foreseeable that HIKO’s decision to purchase 100% of its supply through the spot market might lead to risks of a volatile market notwithstanding the relatively stable preceding </w:t>
      </w:r>
      <w:r w:rsidR="00585AF1">
        <w:rPr>
          <w:rFonts w:ascii="Times New Roman" w:hAnsi="Times New Roman"/>
          <w:sz w:val="26"/>
          <w:szCs w:val="26"/>
        </w:rPr>
        <w:t>eighteen-</w:t>
      </w:r>
      <w:r w:rsidR="00FB2F77">
        <w:rPr>
          <w:rFonts w:ascii="Times New Roman" w:hAnsi="Times New Roman"/>
          <w:sz w:val="26"/>
          <w:szCs w:val="26"/>
        </w:rPr>
        <w:t xml:space="preserve">month period immediately following HIKO’s June 2012 licensure.  </w:t>
      </w:r>
      <w:r w:rsidR="0009058D">
        <w:rPr>
          <w:rFonts w:ascii="Times New Roman" w:hAnsi="Times New Roman"/>
          <w:sz w:val="26"/>
          <w:szCs w:val="26"/>
        </w:rPr>
        <w:t xml:space="preserve">While some EGSs were able to absorb the impact of that volatility, others were not.  </w:t>
      </w:r>
      <w:r w:rsidR="00943DBD" w:rsidRPr="00943DBD">
        <w:rPr>
          <w:rFonts w:ascii="Times New Roman" w:hAnsi="Times New Roman"/>
          <w:sz w:val="26"/>
          <w:szCs w:val="26"/>
        </w:rPr>
        <w:t xml:space="preserve">Resolving perceived inconsistencies in I&amp;E’s exhibits of instances of overbilling, </w:t>
      </w:r>
      <w:r w:rsidR="00943DBD">
        <w:rPr>
          <w:rFonts w:ascii="Times New Roman" w:hAnsi="Times New Roman"/>
          <w:sz w:val="26"/>
          <w:szCs w:val="26"/>
        </w:rPr>
        <w:t>t</w:t>
      </w:r>
      <w:r w:rsidR="0009058D">
        <w:rPr>
          <w:rFonts w:ascii="Times New Roman" w:hAnsi="Times New Roman"/>
          <w:sz w:val="26"/>
          <w:szCs w:val="26"/>
        </w:rPr>
        <w:t xml:space="preserve">he ALJs found that HIKO “made a conscious decision” not to honor its price savings guarantee to customers within their 6-month introductory period, </w:t>
      </w:r>
      <w:r w:rsidR="0050037B">
        <w:rPr>
          <w:rFonts w:ascii="Times New Roman" w:hAnsi="Times New Roman"/>
          <w:sz w:val="26"/>
          <w:szCs w:val="26"/>
        </w:rPr>
        <w:t xml:space="preserve">and as a result </w:t>
      </w:r>
      <w:r w:rsidR="0009058D">
        <w:rPr>
          <w:rFonts w:ascii="Times New Roman" w:hAnsi="Times New Roman"/>
          <w:sz w:val="26"/>
          <w:szCs w:val="26"/>
        </w:rPr>
        <w:t>bill</w:t>
      </w:r>
      <w:r w:rsidR="0050037B">
        <w:rPr>
          <w:rFonts w:ascii="Times New Roman" w:hAnsi="Times New Roman"/>
          <w:sz w:val="26"/>
          <w:szCs w:val="26"/>
        </w:rPr>
        <w:t>ed</w:t>
      </w:r>
      <w:r w:rsidR="0009058D">
        <w:rPr>
          <w:rFonts w:ascii="Times New Roman" w:hAnsi="Times New Roman"/>
          <w:sz w:val="26"/>
          <w:szCs w:val="26"/>
        </w:rPr>
        <w:t xml:space="preserve"> 5,708 Pennsylvania customers in </w:t>
      </w:r>
      <w:r w:rsidR="0009058D">
        <w:rPr>
          <w:rFonts w:ascii="Times New Roman" w:hAnsi="Times New Roman"/>
          <w:sz w:val="26"/>
          <w:szCs w:val="26"/>
        </w:rPr>
        <w:lastRenderedPageBreak/>
        <w:t xml:space="preserve">6 separate EDC territories a total of 14,689 overcharges.  </w:t>
      </w:r>
      <w:r w:rsidR="0009058D">
        <w:rPr>
          <w:rFonts w:ascii="Times New Roman" w:hAnsi="Times New Roman"/>
          <w:i/>
          <w:sz w:val="26"/>
          <w:szCs w:val="26"/>
        </w:rPr>
        <w:t>Id.</w:t>
      </w:r>
      <w:r w:rsidR="00943DBD">
        <w:rPr>
          <w:rFonts w:ascii="Times New Roman" w:hAnsi="Times New Roman"/>
          <w:sz w:val="26"/>
          <w:szCs w:val="26"/>
        </w:rPr>
        <w:t xml:space="preserve"> at 30.  The ALJs were also persuaded by I&amp;E’s argument that each of the 14,689 overcharges constituted a violation of Section 54.4(a), because what was marketed and agreed to in HIKO’s welcome letter and disclosure statement was not what was billed on each of those occasions.  </w:t>
      </w:r>
      <w:r w:rsidR="00032457">
        <w:rPr>
          <w:rFonts w:ascii="Times New Roman" w:hAnsi="Times New Roman"/>
          <w:sz w:val="26"/>
          <w:szCs w:val="26"/>
        </w:rPr>
        <w:t>Noting that HIKO’s rate was variable and not capped, the ALJs concluded that nonetheless, the EGS essentially capped its own rate for the six-month introductory period through the customer information</w:t>
      </w:r>
      <w:r w:rsidR="008D2F3C">
        <w:rPr>
          <w:rStyle w:val="FootnoteReference"/>
          <w:sz w:val="26"/>
          <w:szCs w:val="26"/>
        </w:rPr>
        <w:footnoteReference w:id="3"/>
      </w:r>
      <w:r w:rsidR="00032457">
        <w:rPr>
          <w:rFonts w:ascii="Times New Roman" w:hAnsi="Times New Roman"/>
          <w:sz w:val="26"/>
          <w:szCs w:val="26"/>
        </w:rPr>
        <w:t xml:space="preserve"> it provided consumers</w:t>
      </w:r>
      <w:r w:rsidR="00293156">
        <w:rPr>
          <w:rFonts w:ascii="Times New Roman" w:hAnsi="Times New Roman"/>
          <w:sz w:val="26"/>
          <w:szCs w:val="26"/>
        </w:rPr>
        <w:t xml:space="preserve"> and “</w:t>
      </w:r>
      <w:r w:rsidR="00293156" w:rsidRPr="0068384D">
        <w:rPr>
          <w:rFonts w:ascii="Times New Roman" w:hAnsi="Times New Roman"/>
          <w:sz w:val="26"/>
          <w:szCs w:val="26"/>
        </w:rPr>
        <w:t>was obligated to make good on its promise</w:t>
      </w:r>
      <w:r w:rsidR="00293156">
        <w:rPr>
          <w:rFonts w:ascii="Times New Roman" w:hAnsi="Times New Roman"/>
          <w:sz w:val="26"/>
          <w:szCs w:val="26"/>
        </w:rPr>
        <w:t>” to save consumers at least 1% over their EDC</w:t>
      </w:r>
      <w:r w:rsidR="000769C5">
        <w:rPr>
          <w:rFonts w:ascii="Times New Roman" w:hAnsi="Times New Roman"/>
          <w:sz w:val="26"/>
          <w:szCs w:val="26"/>
        </w:rPr>
        <w:t>’</w:t>
      </w:r>
      <w:r w:rsidR="00293156">
        <w:rPr>
          <w:rFonts w:ascii="Times New Roman" w:hAnsi="Times New Roman"/>
          <w:sz w:val="26"/>
          <w:szCs w:val="26"/>
        </w:rPr>
        <w:t>s PTC</w:t>
      </w:r>
      <w:r w:rsidR="00032457">
        <w:rPr>
          <w:rFonts w:ascii="Times New Roman" w:hAnsi="Times New Roman"/>
          <w:sz w:val="26"/>
          <w:szCs w:val="26"/>
        </w:rPr>
        <w:t xml:space="preserve">.  </w:t>
      </w:r>
      <w:r w:rsidR="00943DBD">
        <w:rPr>
          <w:rFonts w:ascii="Times New Roman" w:hAnsi="Times New Roman"/>
          <w:i/>
          <w:sz w:val="26"/>
          <w:szCs w:val="26"/>
        </w:rPr>
        <w:t>Id</w:t>
      </w:r>
      <w:r w:rsidR="00943DBD">
        <w:rPr>
          <w:rFonts w:ascii="Times New Roman" w:hAnsi="Times New Roman"/>
          <w:sz w:val="26"/>
          <w:szCs w:val="26"/>
        </w:rPr>
        <w:t xml:space="preserve">. at </w:t>
      </w:r>
      <w:r w:rsidR="00032457">
        <w:rPr>
          <w:rFonts w:ascii="Times New Roman" w:hAnsi="Times New Roman"/>
          <w:sz w:val="26"/>
          <w:szCs w:val="26"/>
        </w:rPr>
        <w:t>33</w:t>
      </w:r>
      <w:r w:rsidR="00943DBD">
        <w:rPr>
          <w:rFonts w:ascii="Times New Roman" w:hAnsi="Times New Roman"/>
          <w:sz w:val="26"/>
          <w:szCs w:val="26"/>
        </w:rPr>
        <w:t>.</w:t>
      </w:r>
    </w:p>
    <w:p w:rsidR="00293156" w:rsidRDefault="00293156" w:rsidP="00FB2F77">
      <w:pPr>
        <w:rPr>
          <w:rFonts w:ascii="Times New Roman" w:hAnsi="Times New Roman"/>
          <w:sz w:val="26"/>
          <w:szCs w:val="26"/>
        </w:rPr>
      </w:pPr>
    </w:p>
    <w:p w:rsidR="00293156" w:rsidRPr="006654C5" w:rsidRDefault="006654C5" w:rsidP="00293156">
      <w:pPr>
        <w:ind w:firstLine="1440"/>
        <w:rPr>
          <w:rFonts w:ascii="Times New Roman" w:hAnsi="Times New Roman"/>
          <w:sz w:val="26"/>
          <w:szCs w:val="26"/>
        </w:rPr>
      </w:pPr>
      <w:r>
        <w:rPr>
          <w:rFonts w:ascii="Times New Roman" w:hAnsi="Times New Roman"/>
          <w:sz w:val="26"/>
          <w:szCs w:val="26"/>
        </w:rPr>
        <w:t xml:space="preserve">Although I&amp;E and HIKO agreed that the average overcharge was $124 per bill, the ALJs found no overbill to be </w:t>
      </w:r>
      <w:r>
        <w:rPr>
          <w:rFonts w:ascii="Times New Roman" w:hAnsi="Times New Roman"/>
          <w:i/>
          <w:sz w:val="26"/>
          <w:szCs w:val="26"/>
        </w:rPr>
        <w:t>de minimis</w:t>
      </w:r>
      <w:r>
        <w:rPr>
          <w:rFonts w:ascii="Times New Roman" w:hAnsi="Times New Roman"/>
          <w:sz w:val="26"/>
          <w:szCs w:val="26"/>
        </w:rPr>
        <w:t xml:space="preserve"> and agreed with </w:t>
      </w:r>
      <w:r w:rsidRPr="006654C5">
        <w:rPr>
          <w:rFonts w:ascii="Times New Roman" w:hAnsi="Times New Roman"/>
          <w:sz w:val="26"/>
          <w:szCs w:val="26"/>
        </w:rPr>
        <w:t xml:space="preserve">I&amp;E witness Mumford that each overbilling constituted an instance, </w:t>
      </w:r>
      <w:r w:rsidRPr="007A6485">
        <w:rPr>
          <w:rFonts w:ascii="Times New Roman" w:hAnsi="Times New Roman"/>
          <w:i/>
          <w:sz w:val="26"/>
          <w:szCs w:val="26"/>
        </w:rPr>
        <w:t>i.e.</w:t>
      </w:r>
      <w:r w:rsidRPr="006654C5">
        <w:rPr>
          <w:rFonts w:ascii="Times New Roman" w:hAnsi="Times New Roman"/>
          <w:sz w:val="26"/>
          <w:szCs w:val="26"/>
        </w:rPr>
        <w:t xml:space="preserve"> </w:t>
      </w:r>
      <w:r w:rsidR="007A6485">
        <w:rPr>
          <w:rFonts w:ascii="Times New Roman" w:hAnsi="Times New Roman"/>
          <w:sz w:val="26"/>
          <w:szCs w:val="26"/>
        </w:rPr>
        <w:t xml:space="preserve">a </w:t>
      </w:r>
      <w:r w:rsidRPr="006654C5">
        <w:rPr>
          <w:rFonts w:ascii="Times New Roman" w:hAnsi="Times New Roman"/>
          <w:sz w:val="26"/>
          <w:szCs w:val="26"/>
        </w:rPr>
        <w:t>violation</w:t>
      </w:r>
      <w:r>
        <w:rPr>
          <w:rFonts w:ascii="Times New Roman" w:hAnsi="Times New Roman"/>
          <w:sz w:val="26"/>
          <w:szCs w:val="26"/>
        </w:rPr>
        <w:t xml:space="preserve">.  The ALJs also found that while HIKO overcharged customers by approximately $1.8 million from January through April 2014, </w:t>
      </w:r>
      <w:r w:rsidR="0050037B">
        <w:rPr>
          <w:rFonts w:ascii="Times New Roman" w:hAnsi="Times New Roman"/>
          <w:sz w:val="26"/>
          <w:szCs w:val="26"/>
        </w:rPr>
        <w:t xml:space="preserve">the Company </w:t>
      </w:r>
      <w:r w:rsidR="007A6485">
        <w:rPr>
          <w:rFonts w:ascii="Times New Roman" w:hAnsi="Times New Roman"/>
          <w:sz w:val="26"/>
          <w:szCs w:val="26"/>
        </w:rPr>
        <w:t>not only covered its costs but also possibly made a profit during 2014</w:t>
      </w:r>
      <w:r w:rsidR="00FD44A3">
        <w:rPr>
          <w:rFonts w:ascii="Times New Roman" w:hAnsi="Times New Roman"/>
          <w:sz w:val="26"/>
          <w:szCs w:val="26"/>
        </w:rPr>
        <w:t>, though there was insufficient evidence to make a definitive finding on that latter point</w:t>
      </w:r>
      <w:r w:rsidR="007A6485">
        <w:rPr>
          <w:rFonts w:ascii="Times New Roman" w:hAnsi="Times New Roman"/>
          <w:sz w:val="26"/>
          <w:szCs w:val="26"/>
        </w:rPr>
        <w:t xml:space="preserve">.  </w:t>
      </w:r>
      <w:r w:rsidR="00FD44A3">
        <w:rPr>
          <w:rFonts w:ascii="Times New Roman" w:hAnsi="Times New Roman"/>
          <w:i/>
          <w:sz w:val="26"/>
          <w:szCs w:val="26"/>
        </w:rPr>
        <w:t>Id.</w:t>
      </w:r>
      <w:r w:rsidR="00FD44A3">
        <w:rPr>
          <w:rFonts w:ascii="Times New Roman" w:hAnsi="Times New Roman"/>
          <w:sz w:val="26"/>
          <w:szCs w:val="26"/>
        </w:rPr>
        <w:t xml:space="preserve"> at 19 (Finding of Fact No. 79), 33-34.  </w:t>
      </w:r>
      <w:r w:rsidR="007A6485">
        <w:rPr>
          <w:rFonts w:ascii="Times New Roman" w:hAnsi="Times New Roman"/>
          <w:sz w:val="26"/>
          <w:szCs w:val="26"/>
        </w:rPr>
        <w:t>Dismissing HIKO’s contention that the Commission’s Regulations forbid EGSs from abandoning service with less than ninety days’ notice, the ALJs posited other actions the Company could have taken short of conscious disregard of its customer</w:t>
      </w:r>
      <w:r w:rsidR="0050037B">
        <w:rPr>
          <w:rFonts w:ascii="Times New Roman" w:hAnsi="Times New Roman"/>
          <w:sz w:val="26"/>
          <w:szCs w:val="26"/>
        </w:rPr>
        <w:t xml:space="preserve"> information</w:t>
      </w:r>
      <w:r w:rsidR="007A6485">
        <w:rPr>
          <w:rFonts w:ascii="Times New Roman" w:hAnsi="Times New Roman"/>
          <w:sz w:val="26"/>
          <w:szCs w:val="26"/>
        </w:rPr>
        <w:t>.</w:t>
      </w:r>
    </w:p>
    <w:p w:rsidR="002C5729" w:rsidRDefault="002C5729" w:rsidP="00337172">
      <w:pPr>
        <w:ind w:firstLine="1440"/>
        <w:rPr>
          <w:rFonts w:ascii="Times New Roman" w:hAnsi="Times New Roman"/>
          <w:sz w:val="26"/>
          <w:szCs w:val="26"/>
        </w:rPr>
      </w:pPr>
    </w:p>
    <w:p w:rsidR="007A6485" w:rsidRDefault="007A6485" w:rsidP="00337172">
      <w:pPr>
        <w:ind w:firstLine="1440"/>
        <w:rPr>
          <w:rFonts w:ascii="Times New Roman" w:hAnsi="Times New Roman"/>
          <w:sz w:val="26"/>
          <w:szCs w:val="26"/>
        </w:rPr>
      </w:pPr>
      <w:r w:rsidRPr="007A6485">
        <w:rPr>
          <w:rFonts w:ascii="Times New Roman" w:hAnsi="Times New Roman"/>
          <w:sz w:val="26"/>
          <w:szCs w:val="26"/>
        </w:rPr>
        <w:t xml:space="preserve">The ALJs </w:t>
      </w:r>
      <w:r w:rsidR="00FD44A3">
        <w:rPr>
          <w:rFonts w:ascii="Times New Roman" w:hAnsi="Times New Roman"/>
          <w:sz w:val="26"/>
          <w:szCs w:val="26"/>
        </w:rPr>
        <w:t xml:space="preserve">disagreed with HIKO’s argument that I&amp;E’s proposed penalty was exaggerated because it was based on essentially one business decision, finding persuasive I&amp;E’s metaphor that finding just one violation was akin to charging a robber </w:t>
      </w:r>
      <w:r w:rsidR="00FD44A3">
        <w:rPr>
          <w:rFonts w:ascii="Times New Roman" w:hAnsi="Times New Roman"/>
          <w:sz w:val="26"/>
          <w:szCs w:val="26"/>
        </w:rPr>
        <w:lastRenderedPageBreak/>
        <w:t xml:space="preserve">with only one criminal violation even though he robbed ten banks.  Relying on </w:t>
      </w:r>
      <w:r w:rsidR="00FD44A3">
        <w:rPr>
          <w:rFonts w:ascii="Times New Roman" w:hAnsi="Times New Roman"/>
          <w:i/>
          <w:sz w:val="26"/>
          <w:szCs w:val="26"/>
        </w:rPr>
        <w:t xml:space="preserve">Newcomer Trucking, Inc. v Pa. </w:t>
      </w:r>
      <w:r w:rsidR="00FD44A3" w:rsidRPr="00FD44A3">
        <w:rPr>
          <w:rFonts w:ascii="Times New Roman" w:hAnsi="Times New Roman"/>
          <w:i/>
          <w:sz w:val="26"/>
          <w:szCs w:val="26"/>
        </w:rPr>
        <w:t>PUC</w:t>
      </w:r>
      <w:r w:rsidR="00FD44A3">
        <w:rPr>
          <w:rFonts w:ascii="Times New Roman" w:hAnsi="Times New Roman"/>
          <w:sz w:val="26"/>
          <w:szCs w:val="26"/>
        </w:rPr>
        <w:t>, 531 A.2d 85 (Pa. Cmwlth. 1987) (</w:t>
      </w:r>
      <w:r w:rsidR="00FD44A3">
        <w:rPr>
          <w:rFonts w:ascii="Times New Roman" w:hAnsi="Times New Roman"/>
          <w:i/>
          <w:sz w:val="26"/>
          <w:szCs w:val="26"/>
        </w:rPr>
        <w:t>Newcomer</w:t>
      </w:r>
      <w:r w:rsidR="00FD44A3">
        <w:rPr>
          <w:rFonts w:ascii="Times New Roman" w:hAnsi="Times New Roman"/>
          <w:sz w:val="26"/>
          <w:szCs w:val="26"/>
        </w:rPr>
        <w:t xml:space="preserve">), which held that Section 3301 of the Code authorizes the Commission to impose a penalty of up to $1,000 for each discrete violation without regard to the number of violations, the ALJs found </w:t>
      </w:r>
      <w:r w:rsidR="0050037B">
        <w:rPr>
          <w:rFonts w:ascii="Times New Roman" w:hAnsi="Times New Roman"/>
          <w:sz w:val="26"/>
          <w:szCs w:val="26"/>
        </w:rPr>
        <w:t xml:space="preserve">that </w:t>
      </w:r>
      <w:r w:rsidR="00FD44A3">
        <w:rPr>
          <w:rFonts w:ascii="Times New Roman" w:hAnsi="Times New Roman"/>
          <w:sz w:val="26"/>
          <w:szCs w:val="26"/>
        </w:rPr>
        <w:t xml:space="preserve">each of I&amp;E’s proven 14,689 discrete overcharges was subject to a separate civil penalty.  </w:t>
      </w:r>
      <w:r w:rsidR="00316D8F" w:rsidRPr="0068384D">
        <w:rPr>
          <w:rFonts w:ascii="Times New Roman" w:hAnsi="Times New Roman"/>
          <w:sz w:val="26"/>
          <w:szCs w:val="26"/>
        </w:rPr>
        <w:t>As the ALJs reasoned, had each of the individual 5,708 customers affected by the overbilling filed individual complaints, HIKO could have been held liable in each individual case</w:t>
      </w:r>
      <w:r w:rsidR="00316D8F">
        <w:rPr>
          <w:rFonts w:ascii="Times New Roman" w:hAnsi="Times New Roman"/>
          <w:sz w:val="26"/>
          <w:szCs w:val="26"/>
        </w:rPr>
        <w:t xml:space="preserve">.  </w:t>
      </w:r>
      <w:r w:rsidR="00FD44A3" w:rsidRPr="00FD44A3">
        <w:rPr>
          <w:rFonts w:ascii="Times New Roman" w:hAnsi="Times New Roman"/>
          <w:sz w:val="26"/>
          <w:szCs w:val="26"/>
        </w:rPr>
        <w:t>The</w:t>
      </w:r>
      <w:r w:rsidR="00FD44A3">
        <w:rPr>
          <w:rFonts w:ascii="Times New Roman" w:hAnsi="Times New Roman"/>
          <w:sz w:val="26"/>
          <w:szCs w:val="26"/>
        </w:rPr>
        <w:t xml:space="preserve"> ALJs a</w:t>
      </w:r>
      <w:r w:rsidRPr="007A6485">
        <w:rPr>
          <w:rFonts w:ascii="Times New Roman" w:hAnsi="Times New Roman"/>
          <w:sz w:val="26"/>
          <w:szCs w:val="26"/>
        </w:rPr>
        <w:t>greed with HIKO witness Cicchetti, however, that consideration should be given to HIKO’s efforts at mitigation</w:t>
      </w:r>
      <w:r>
        <w:rPr>
          <w:rFonts w:ascii="Times New Roman" w:hAnsi="Times New Roman"/>
          <w:sz w:val="26"/>
          <w:szCs w:val="26"/>
        </w:rPr>
        <w:t xml:space="preserve"> and factored that into their penalty analysis they conducted under </w:t>
      </w:r>
      <w:r w:rsidR="0050037B">
        <w:rPr>
          <w:rFonts w:ascii="Times New Roman" w:hAnsi="Times New Roman"/>
          <w:sz w:val="26"/>
          <w:szCs w:val="26"/>
        </w:rPr>
        <w:t xml:space="preserve">our policy statement at </w:t>
      </w:r>
      <w:r>
        <w:rPr>
          <w:rFonts w:ascii="Times New Roman" w:hAnsi="Times New Roman"/>
          <w:sz w:val="26"/>
          <w:szCs w:val="26"/>
        </w:rPr>
        <w:t>52 Pa. Code §</w:t>
      </w:r>
      <w:r w:rsidR="000769C5">
        <w:rPr>
          <w:rFonts w:ascii="Times New Roman" w:hAnsi="Times New Roman"/>
          <w:sz w:val="26"/>
          <w:szCs w:val="26"/>
        </w:rPr>
        <w:t xml:space="preserve"> </w:t>
      </w:r>
      <w:r>
        <w:rPr>
          <w:rFonts w:ascii="Times New Roman" w:hAnsi="Times New Roman"/>
          <w:sz w:val="26"/>
          <w:szCs w:val="26"/>
        </w:rPr>
        <w:t>69.1201</w:t>
      </w:r>
      <w:r w:rsidR="004C08C9">
        <w:rPr>
          <w:rFonts w:ascii="Times New Roman" w:hAnsi="Times New Roman"/>
          <w:sz w:val="26"/>
          <w:szCs w:val="26"/>
        </w:rPr>
        <w:t>.  I.D. at 34-35.</w:t>
      </w:r>
    </w:p>
    <w:p w:rsidR="004C08C9" w:rsidRDefault="004C08C9" w:rsidP="00337172">
      <w:pPr>
        <w:ind w:firstLine="1440"/>
        <w:rPr>
          <w:rFonts w:ascii="Times New Roman" w:hAnsi="Times New Roman"/>
          <w:sz w:val="26"/>
          <w:szCs w:val="26"/>
        </w:rPr>
      </w:pPr>
    </w:p>
    <w:p w:rsidR="002D790F" w:rsidRDefault="004C08C9" w:rsidP="00337172">
      <w:pPr>
        <w:ind w:firstLine="1440"/>
        <w:rPr>
          <w:rFonts w:ascii="Times New Roman" w:hAnsi="Times New Roman"/>
          <w:sz w:val="26"/>
          <w:szCs w:val="26"/>
        </w:rPr>
      </w:pPr>
      <w:r>
        <w:rPr>
          <w:rFonts w:ascii="Times New Roman" w:hAnsi="Times New Roman"/>
          <w:sz w:val="26"/>
          <w:szCs w:val="26"/>
        </w:rPr>
        <w:t xml:space="preserve">Analyzing the Commission’s authority under Section 3301 of the Code to impose civil penalties of up to $1,000 for each violation and finding jurisdiction under that section as well as specific sections of the Competition Act to impose those civil penalties on EGSs, the ALJs </w:t>
      </w:r>
      <w:r w:rsidR="00316D8F">
        <w:rPr>
          <w:rFonts w:ascii="Times New Roman" w:hAnsi="Times New Roman"/>
          <w:sz w:val="26"/>
          <w:szCs w:val="26"/>
        </w:rPr>
        <w:t>concluded</w:t>
      </w:r>
      <w:r>
        <w:rPr>
          <w:rFonts w:ascii="Times New Roman" w:hAnsi="Times New Roman"/>
          <w:sz w:val="26"/>
          <w:szCs w:val="26"/>
        </w:rPr>
        <w:t xml:space="preserve"> </w:t>
      </w:r>
      <w:r w:rsidR="0050037B">
        <w:rPr>
          <w:rFonts w:ascii="Times New Roman" w:hAnsi="Times New Roman"/>
          <w:sz w:val="26"/>
          <w:szCs w:val="26"/>
        </w:rPr>
        <w:t xml:space="preserve">that </w:t>
      </w:r>
      <w:r w:rsidR="00FC2BC5">
        <w:rPr>
          <w:rFonts w:ascii="Times New Roman" w:hAnsi="Times New Roman"/>
          <w:sz w:val="26"/>
          <w:szCs w:val="26"/>
        </w:rPr>
        <w:t xml:space="preserve">the </w:t>
      </w:r>
      <w:r w:rsidR="00316D8F">
        <w:rPr>
          <w:rFonts w:ascii="Times New Roman" w:hAnsi="Times New Roman"/>
          <w:sz w:val="26"/>
          <w:szCs w:val="26"/>
        </w:rPr>
        <w:t xml:space="preserve">Competition Act directly authorized the </w:t>
      </w:r>
      <w:r w:rsidR="00FC2BC5">
        <w:rPr>
          <w:rFonts w:ascii="Times New Roman" w:hAnsi="Times New Roman"/>
          <w:sz w:val="26"/>
          <w:szCs w:val="26"/>
        </w:rPr>
        <w:t xml:space="preserve">Commission to </w:t>
      </w:r>
      <w:r w:rsidR="00316D8F">
        <w:rPr>
          <w:rFonts w:ascii="Times New Roman" w:hAnsi="Times New Roman"/>
          <w:sz w:val="26"/>
          <w:szCs w:val="26"/>
        </w:rPr>
        <w:t xml:space="preserve">act to </w:t>
      </w:r>
      <w:r w:rsidR="00FC2BC5">
        <w:rPr>
          <w:rFonts w:ascii="Times New Roman" w:hAnsi="Times New Roman"/>
          <w:sz w:val="26"/>
          <w:szCs w:val="26"/>
        </w:rPr>
        <w:t xml:space="preserve">ensure HIKO’s compliance with requirements concerning service that protected the public.  The ALJs also noted that in </w:t>
      </w:r>
      <w:r w:rsidR="00FC2BC5">
        <w:rPr>
          <w:rFonts w:ascii="Times New Roman" w:hAnsi="Times New Roman"/>
          <w:i/>
          <w:sz w:val="26"/>
          <w:szCs w:val="26"/>
        </w:rPr>
        <w:t>OAG/OCA-HIKO Settlement</w:t>
      </w:r>
      <w:r w:rsidR="00FC2BC5">
        <w:rPr>
          <w:rFonts w:ascii="Times New Roman" w:hAnsi="Times New Roman"/>
          <w:sz w:val="26"/>
          <w:szCs w:val="26"/>
        </w:rPr>
        <w:t xml:space="preserve">, there was no provision for the imposition of a civil penalty.  </w:t>
      </w:r>
      <w:r w:rsidR="002D790F">
        <w:rPr>
          <w:rFonts w:ascii="Times New Roman" w:hAnsi="Times New Roman"/>
          <w:sz w:val="26"/>
          <w:szCs w:val="26"/>
        </w:rPr>
        <w:t>Having stated that a civil penalty in the amount of $</w:t>
      </w:r>
      <w:r w:rsidR="002D790F" w:rsidRPr="002D790F">
        <w:rPr>
          <w:rFonts w:ascii="Times New Roman" w:hAnsi="Times New Roman"/>
          <w:sz w:val="26"/>
          <w:szCs w:val="26"/>
        </w:rPr>
        <w:t xml:space="preserve">1,836,125, or $125 for each of the 14,689 violations </w:t>
      </w:r>
      <w:r w:rsidR="002D790F">
        <w:rPr>
          <w:rFonts w:ascii="Times New Roman" w:hAnsi="Times New Roman"/>
          <w:sz w:val="26"/>
          <w:szCs w:val="26"/>
        </w:rPr>
        <w:t>proven by I</w:t>
      </w:r>
      <w:r w:rsidR="002D790F" w:rsidRPr="002D790F">
        <w:rPr>
          <w:rFonts w:ascii="Times New Roman" w:hAnsi="Times New Roman"/>
          <w:sz w:val="26"/>
          <w:szCs w:val="26"/>
        </w:rPr>
        <w:t>&amp;E</w:t>
      </w:r>
      <w:r w:rsidR="002D790F">
        <w:rPr>
          <w:rFonts w:ascii="Times New Roman" w:hAnsi="Times New Roman"/>
          <w:sz w:val="26"/>
          <w:szCs w:val="26"/>
        </w:rPr>
        <w:t xml:space="preserve">, was appropriate, the </w:t>
      </w:r>
      <w:r w:rsidR="00FC2BC5">
        <w:rPr>
          <w:rFonts w:ascii="Times New Roman" w:hAnsi="Times New Roman"/>
          <w:sz w:val="26"/>
          <w:szCs w:val="26"/>
        </w:rPr>
        <w:t xml:space="preserve">ALJs </w:t>
      </w:r>
      <w:r w:rsidR="002D790F">
        <w:rPr>
          <w:rFonts w:ascii="Times New Roman" w:hAnsi="Times New Roman"/>
          <w:sz w:val="26"/>
          <w:szCs w:val="26"/>
        </w:rPr>
        <w:t xml:space="preserve">presented </w:t>
      </w:r>
      <w:r w:rsidR="00FC2BC5">
        <w:rPr>
          <w:rFonts w:ascii="Times New Roman" w:hAnsi="Times New Roman"/>
          <w:sz w:val="26"/>
          <w:szCs w:val="26"/>
        </w:rPr>
        <w:t xml:space="preserve">a point-by-point analysis of the nine specific and tenth “other relevant” factors </w:t>
      </w:r>
      <w:r w:rsidR="00C4541F">
        <w:rPr>
          <w:rFonts w:ascii="Times New Roman" w:hAnsi="Times New Roman"/>
          <w:sz w:val="26"/>
          <w:szCs w:val="26"/>
        </w:rPr>
        <w:t xml:space="preserve">and standards </w:t>
      </w:r>
      <w:r w:rsidR="00FC2BC5">
        <w:rPr>
          <w:rFonts w:ascii="Times New Roman" w:hAnsi="Times New Roman"/>
          <w:sz w:val="26"/>
          <w:szCs w:val="26"/>
        </w:rPr>
        <w:t xml:space="preserve">identified under our policy statement </w:t>
      </w:r>
      <w:r w:rsidR="002D790F">
        <w:rPr>
          <w:rFonts w:ascii="Times New Roman" w:hAnsi="Times New Roman"/>
          <w:sz w:val="26"/>
          <w:szCs w:val="26"/>
        </w:rPr>
        <w:t>justifying their</w:t>
      </w:r>
      <w:r w:rsidR="00FC2BC5">
        <w:rPr>
          <w:rFonts w:ascii="Times New Roman" w:hAnsi="Times New Roman"/>
          <w:sz w:val="26"/>
          <w:szCs w:val="26"/>
        </w:rPr>
        <w:t xml:space="preserve"> civil penalty. </w:t>
      </w:r>
      <w:r w:rsidR="00FF5A2C">
        <w:rPr>
          <w:rFonts w:ascii="Times New Roman" w:hAnsi="Times New Roman"/>
          <w:i/>
          <w:sz w:val="26"/>
          <w:szCs w:val="26"/>
        </w:rPr>
        <w:t>Id.</w:t>
      </w:r>
      <w:r w:rsidR="00FF5A2C">
        <w:rPr>
          <w:rFonts w:ascii="Times New Roman" w:hAnsi="Times New Roman"/>
          <w:sz w:val="26"/>
          <w:szCs w:val="26"/>
        </w:rPr>
        <w:t xml:space="preserve"> at 36-38.</w:t>
      </w:r>
    </w:p>
    <w:p w:rsidR="002D790F" w:rsidRDefault="002D790F" w:rsidP="00337172">
      <w:pPr>
        <w:ind w:firstLine="1440"/>
        <w:rPr>
          <w:rFonts w:ascii="Times New Roman" w:hAnsi="Times New Roman"/>
          <w:sz w:val="26"/>
          <w:szCs w:val="26"/>
        </w:rPr>
      </w:pPr>
    </w:p>
    <w:p w:rsidR="004C08C9" w:rsidRDefault="002D790F" w:rsidP="00337172">
      <w:pPr>
        <w:ind w:firstLine="1440"/>
        <w:rPr>
          <w:rFonts w:ascii="Times New Roman" w:hAnsi="Times New Roman"/>
          <w:sz w:val="26"/>
          <w:szCs w:val="26"/>
        </w:rPr>
      </w:pPr>
      <w:r>
        <w:rPr>
          <w:rFonts w:ascii="Times New Roman" w:hAnsi="Times New Roman"/>
          <w:sz w:val="26"/>
          <w:szCs w:val="26"/>
        </w:rPr>
        <w:t xml:space="preserve">The ALJs set forth the ten factors warranting </w:t>
      </w:r>
      <w:r w:rsidR="00C4541F">
        <w:rPr>
          <w:rFonts w:ascii="Times New Roman" w:hAnsi="Times New Roman"/>
          <w:sz w:val="26"/>
          <w:szCs w:val="26"/>
        </w:rPr>
        <w:t>consideration</w:t>
      </w:r>
      <w:r>
        <w:rPr>
          <w:rFonts w:ascii="Times New Roman" w:hAnsi="Times New Roman"/>
          <w:sz w:val="26"/>
          <w:szCs w:val="26"/>
        </w:rPr>
        <w:t xml:space="preserve"> of an appropriate civil penalty in our policy statement </w:t>
      </w:r>
      <w:r w:rsidR="008B3A85">
        <w:rPr>
          <w:rFonts w:ascii="Times New Roman" w:hAnsi="Times New Roman"/>
          <w:sz w:val="26"/>
          <w:szCs w:val="26"/>
        </w:rPr>
        <w:t>as follows:</w:t>
      </w:r>
    </w:p>
    <w:p w:rsidR="008B3A85" w:rsidRDefault="008B3A85" w:rsidP="00337172">
      <w:pPr>
        <w:ind w:firstLine="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(1)</w:t>
      </w:r>
      <w:r w:rsidRPr="00C4541F">
        <w:rPr>
          <w:rFonts w:ascii="Times New Roman" w:hAnsi="Times New Roman"/>
          <w:sz w:val="26"/>
          <w:szCs w:val="26"/>
        </w:rPr>
        <w:tab/>
        <w:t xml:space="preserve">Whether the conduct at issue was of a serious nature.  When conduct of a serious nature is involved, such as willful </w:t>
      </w:r>
      <w:r w:rsidRPr="00C4541F">
        <w:rPr>
          <w:rFonts w:ascii="Times New Roman" w:hAnsi="Times New Roman"/>
          <w:sz w:val="26"/>
          <w:szCs w:val="26"/>
        </w:rPr>
        <w:lastRenderedPageBreak/>
        <w:t>fraud or misrepresentation, the conduct may warrant a higher penalty.  When the conduct is less egregious, such as administrative filing or technical errors, it may warrant a lower penalty.</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(2)</w:t>
      </w:r>
      <w:r w:rsidRPr="00C4541F">
        <w:rPr>
          <w:rFonts w:ascii="Times New Roman" w:hAnsi="Times New Roman"/>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(3)</w:t>
      </w:r>
      <w:r w:rsidRPr="00C4541F">
        <w:rPr>
          <w:rFonts w:ascii="Times New Roman" w:hAnsi="Times New Roman"/>
          <w:sz w:val="26"/>
          <w:szCs w:val="26"/>
        </w:rPr>
        <w:tab/>
        <w:t>Whether the conduct at issue was deemed intentional or negligent.  This factor may only be considered in evaluating litigated cases.  When conduct has been deemed intentional, the conduct may result in a higher penalty.</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(4)</w:t>
      </w:r>
      <w:r w:rsidRPr="00C4541F">
        <w:rPr>
          <w:rFonts w:ascii="Times New Roman" w:hAnsi="Times New Roman"/>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(5)</w:t>
      </w:r>
      <w:r w:rsidRPr="00C4541F">
        <w:rPr>
          <w:rFonts w:ascii="Times New Roman" w:hAnsi="Times New Roman"/>
          <w:sz w:val="26"/>
          <w:szCs w:val="26"/>
        </w:rPr>
        <w:tab/>
        <w:t>The number of customers affected and the duration of the violation.</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(6)</w:t>
      </w:r>
      <w:r w:rsidRPr="00C4541F">
        <w:rPr>
          <w:rFonts w:ascii="Times New Roman" w:hAnsi="Times New Roman"/>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C4541F" w:rsidRPr="00C4541F" w:rsidRDefault="00C4541F" w:rsidP="00C4541F">
      <w:pPr>
        <w:suppressAutoHyphens/>
        <w:spacing w:line="240" w:lineRule="auto"/>
        <w:ind w:left="1440" w:right="1440"/>
        <w:jc w:val="both"/>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(7)</w:t>
      </w:r>
      <w:r w:rsidRPr="00C4541F">
        <w:rPr>
          <w:rFonts w:ascii="Times New Roman" w:hAnsi="Times New Roman"/>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(8)</w:t>
      </w:r>
      <w:r w:rsidRPr="00C4541F">
        <w:rPr>
          <w:rFonts w:ascii="Times New Roman" w:hAnsi="Times New Roman"/>
          <w:sz w:val="26"/>
          <w:szCs w:val="26"/>
        </w:rPr>
        <w:tab/>
        <w:t>The amount of the civil penalty or fine necessary to deter future violations.  The size of the utility may be considered to determine an appropriate penalty amount.</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lastRenderedPageBreak/>
        <w:t>(9)</w:t>
      </w:r>
      <w:r w:rsidRPr="00C4541F">
        <w:rPr>
          <w:rFonts w:ascii="Times New Roman" w:hAnsi="Times New Roman"/>
          <w:sz w:val="26"/>
          <w:szCs w:val="26"/>
        </w:rPr>
        <w:tab/>
        <w:t>Past Commission decisions in similar situations.</w:t>
      </w:r>
    </w:p>
    <w:p w:rsidR="00C4541F" w:rsidRPr="00C4541F" w:rsidRDefault="00C4541F" w:rsidP="00C4541F">
      <w:pPr>
        <w:suppressAutoHyphens/>
        <w:spacing w:line="240" w:lineRule="auto"/>
        <w:ind w:left="1440" w:right="1440"/>
        <w:rPr>
          <w:rFonts w:ascii="Times New Roman" w:hAnsi="Times New Roman"/>
          <w:sz w:val="26"/>
          <w:szCs w:val="26"/>
        </w:rPr>
      </w:pPr>
    </w:p>
    <w:p w:rsidR="008B3A85" w:rsidRPr="00C4541F" w:rsidRDefault="00C4541F" w:rsidP="00C4541F">
      <w:pPr>
        <w:suppressAutoHyphens/>
        <w:spacing w:line="240" w:lineRule="auto"/>
        <w:ind w:left="1440" w:right="1440"/>
        <w:rPr>
          <w:rFonts w:ascii="Times New Roman" w:hAnsi="Times New Roman"/>
          <w:sz w:val="26"/>
          <w:szCs w:val="26"/>
        </w:rPr>
      </w:pPr>
      <w:r w:rsidRPr="00C4541F">
        <w:rPr>
          <w:rFonts w:ascii="Times New Roman" w:hAnsi="Times New Roman"/>
          <w:sz w:val="26"/>
          <w:szCs w:val="26"/>
        </w:rPr>
        <w:t>(10)</w:t>
      </w:r>
      <w:r w:rsidRPr="00C4541F">
        <w:rPr>
          <w:rFonts w:ascii="Times New Roman" w:hAnsi="Times New Roman"/>
          <w:sz w:val="26"/>
          <w:szCs w:val="26"/>
        </w:rPr>
        <w:tab/>
        <w:t>Other relevant factors</w:t>
      </w:r>
      <w:r w:rsidRPr="00D71DD6">
        <w:t>.</w:t>
      </w:r>
    </w:p>
    <w:p w:rsidR="00C4541F" w:rsidRPr="00C4541F" w:rsidRDefault="00C4541F" w:rsidP="00C4541F">
      <w:pPr>
        <w:suppressAutoHyphens/>
        <w:spacing w:line="240" w:lineRule="auto"/>
        <w:ind w:left="1440" w:right="1440"/>
        <w:rPr>
          <w:rFonts w:ascii="Times New Roman" w:hAnsi="Times New Roman"/>
          <w:sz w:val="26"/>
          <w:szCs w:val="26"/>
        </w:rPr>
      </w:pPr>
    </w:p>
    <w:p w:rsidR="00C4541F" w:rsidRDefault="00C4541F" w:rsidP="00C4541F">
      <w:pPr>
        <w:suppressAutoHyphens/>
        <w:spacing w:line="240" w:lineRule="auto"/>
        <w:ind w:left="1440" w:right="1440"/>
        <w:rPr>
          <w:rFonts w:ascii="Times New Roman" w:hAnsi="Times New Roman"/>
          <w:sz w:val="26"/>
          <w:szCs w:val="26"/>
        </w:rPr>
      </w:pPr>
    </w:p>
    <w:p w:rsidR="008B3A85" w:rsidRDefault="008B3A85" w:rsidP="008B3A85">
      <w:pPr>
        <w:rPr>
          <w:rFonts w:ascii="Times New Roman" w:hAnsi="Times New Roman"/>
          <w:sz w:val="26"/>
          <w:szCs w:val="26"/>
        </w:rPr>
      </w:pPr>
      <w:r>
        <w:rPr>
          <w:rFonts w:ascii="Times New Roman" w:hAnsi="Times New Roman"/>
          <w:sz w:val="26"/>
          <w:szCs w:val="26"/>
        </w:rPr>
        <w:t xml:space="preserve">I.D. at 25-26, quoting 52 Pa. Code § 69.1201(c) and </w:t>
      </w:r>
      <w:r>
        <w:rPr>
          <w:rFonts w:ascii="Times New Roman" w:hAnsi="Times New Roman"/>
          <w:i/>
          <w:sz w:val="26"/>
          <w:szCs w:val="26"/>
        </w:rPr>
        <w:t>Rosi v. Bell Atlantic-Pa., Inc.</w:t>
      </w:r>
      <w:r>
        <w:rPr>
          <w:rFonts w:ascii="Times New Roman" w:hAnsi="Times New Roman"/>
          <w:sz w:val="26"/>
          <w:szCs w:val="26"/>
        </w:rPr>
        <w:t>, Docket No. C-0092409 (Final Order entered February 10, 2000).</w:t>
      </w:r>
    </w:p>
    <w:p w:rsidR="00FF5A2C" w:rsidRDefault="00FF5A2C" w:rsidP="00337172">
      <w:pPr>
        <w:ind w:firstLine="1440"/>
        <w:rPr>
          <w:rFonts w:ascii="Times New Roman" w:hAnsi="Times New Roman"/>
          <w:sz w:val="26"/>
          <w:szCs w:val="26"/>
        </w:rPr>
      </w:pPr>
    </w:p>
    <w:p w:rsidR="000A2182" w:rsidRDefault="002D790F" w:rsidP="00337172">
      <w:pPr>
        <w:ind w:firstLine="1440"/>
        <w:rPr>
          <w:rFonts w:ascii="Times New Roman" w:hAnsi="Times New Roman"/>
          <w:sz w:val="26"/>
          <w:szCs w:val="26"/>
        </w:rPr>
      </w:pPr>
      <w:r>
        <w:rPr>
          <w:rFonts w:ascii="Times New Roman" w:hAnsi="Times New Roman"/>
          <w:sz w:val="26"/>
          <w:szCs w:val="26"/>
        </w:rPr>
        <w:t>In their analysis of these factors, t</w:t>
      </w:r>
      <w:r w:rsidR="000A2182">
        <w:rPr>
          <w:rFonts w:ascii="Times New Roman" w:hAnsi="Times New Roman"/>
          <w:sz w:val="26"/>
          <w:szCs w:val="26"/>
        </w:rPr>
        <w:t xml:space="preserve">he ALJs found the first factor, HIKO’s conduct, to be serious because it was intentional rather than negligent, and not just a mere administrative error or technical glitch.  This justified a higher penalty. </w:t>
      </w:r>
      <w:r w:rsidR="000A2182">
        <w:rPr>
          <w:rFonts w:ascii="Times New Roman" w:hAnsi="Times New Roman"/>
          <w:i/>
          <w:sz w:val="26"/>
          <w:szCs w:val="26"/>
        </w:rPr>
        <w:t xml:space="preserve">Id. </w:t>
      </w:r>
      <w:r w:rsidR="000A2182">
        <w:rPr>
          <w:rFonts w:ascii="Times New Roman" w:hAnsi="Times New Roman"/>
          <w:sz w:val="26"/>
          <w:szCs w:val="26"/>
        </w:rPr>
        <w:t>at 38.</w:t>
      </w:r>
    </w:p>
    <w:p w:rsidR="000A2182" w:rsidRDefault="000A2182" w:rsidP="00337172">
      <w:pPr>
        <w:ind w:firstLine="1440"/>
        <w:rPr>
          <w:rFonts w:ascii="Times New Roman" w:hAnsi="Times New Roman"/>
          <w:sz w:val="26"/>
          <w:szCs w:val="26"/>
        </w:rPr>
      </w:pPr>
    </w:p>
    <w:p w:rsidR="00FF5A2C" w:rsidRDefault="000A2182" w:rsidP="00337172">
      <w:pPr>
        <w:ind w:firstLine="1440"/>
        <w:rPr>
          <w:rFonts w:ascii="Times New Roman" w:hAnsi="Times New Roman"/>
          <w:sz w:val="26"/>
          <w:szCs w:val="26"/>
        </w:rPr>
      </w:pPr>
      <w:r>
        <w:rPr>
          <w:rFonts w:ascii="Times New Roman" w:hAnsi="Times New Roman"/>
          <w:sz w:val="26"/>
          <w:szCs w:val="26"/>
        </w:rPr>
        <w:t xml:space="preserve">The ALJs found the second factor, addressing the resulting consequences of HIKO’s conduct, also to be serious.  While the consequences were economic and did not involve personal injury or property damage, the ALJs were not persuaded by HIKO’s reference to </w:t>
      </w:r>
      <w:r>
        <w:rPr>
          <w:rFonts w:ascii="Times New Roman" w:hAnsi="Times New Roman"/>
          <w:i/>
          <w:sz w:val="26"/>
          <w:szCs w:val="26"/>
        </w:rPr>
        <w:t>Pa. PUC v. UGI Penn Natural Gas, Inc.</w:t>
      </w:r>
      <w:r>
        <w:rPr>
          <w:rFonts w:ascii="Times New Roman" w:hAnsi="Times New Roman"/>
          <w:sz w:val="26"/>
          <w:szCs w:val="26"/>
        </w:rPr>
        <w:t>, Docket No. M-2013-2338981 (Order entered September 26, 2013).  In that case, despite involving repeated gas safety violations including ultimately deaths and property damage, the penalty imposed was only $1 million.  The ALJs found it difficult to compare a settled gas proceeding</w:t>
      </w:r>
      <w:r w:rsidR="00087406">
        <w:rPr>
          <w:rFonts w:ascii="Times New Roman" w:hAnsi="Times New Roman"/>
          <w:sz w:val="26"/>
          <w:szCs w:val="26"/>
        </w:rPr>
        <w:t>, however,</w:t>
      </w:r>
      <w:r>
        <w:rPr>
          <w:rFonts w:ascii="Times New Roman" w:hAnsi="Times New Roman"/>
          <w:sz w:val="26"/>
          <w:szCs w:val="26"/>
        </w:rPr>
        <w:t xml:space="preserve"> with a litigated proceeding involving over 14,000 overcharges</w:t>
      </w:r>
      <w:r w:rsidR="00087406">
        <w:rPr>
          <w:rFonts w:ascii="Times New Roman" w:hAnsi="Times New Roman"/>
          <w:sz w:val="26"/>
          <w:szCs w:val="26"/>
        </w:rPr>
        <w:t xml:space="preserve"> and substantial increases even though some overcharges were less than $1 dollar.  The ALJs ultimately found the conduct serious as a result of its overall magnitude</w:t>
      </w:r>
      <w:r w:rsidR="00CF60AB">
        <w:rPr>
          <w:rFonts w:ascii="Times New Roman" w:hAnsi="Times New Roman"/>
          <w:sz w:val="26"/>
          <w:szCs w:val="26"/>
        </w:rPr>
        <w:t>, justifying a higher penalty</w:t>
      </w:r>
      <w:r w:rsidR="00087406">
        <w:rPr>
          <w:rFonts w:ascii="Times New Roman" w:hAnsi="Times New Roman"/>
          <w:sz w:val="26"/>
          <w:szCs w:val="26"/>
        </w:rPr>
        <w:t xml:space="preserve">.  </w:t>
      </w:r>
      <w:r w:rsidR="0050037B">
        <w:rPr>
          <w:rFonts w:ascii="Times New Roman" w:hAnsi="Times New Roman"/>
          <w:sz w:val="26"/>
          <w:szCs w:val="26"/>
        </w:rPr>
        <w:t>I.D.</w:t>
      </w:r>
      <w:r w:rsidR="00087406">
        <w:rPr>
          <w:rFonts w:ascii="Times New Roman" w:hAnsi="Times New Roman"/>
          <w:i/>
          <w:sz w:val="26"/>
          <w:szCs w:val="26"/>
        </w:rPr>
        <w:t xml:space="preserve"> </w:t>
      </w:r>
      <w:r w:rsidR="00087406">
        <w:rPr>
          <w:rFonts w:ascii="Times New Roman" w:hAnsi="Times New Roman"/>
          <w:sz w:val="26"/>
          <w:szCs w:val="26"/>
        </w:rPr>
        <w:t>at 39-40.</w:t>
      </w:r>
    </w:p>
    <w:p w:rsidR="00087406" w:rsidRDefault="00087406" w:rsidP="00337172">
      <w:pPr>
        <w:ind w:firstLine="1440"/>
        <w:rPr>
          <w:rFonts w:ascii="Times New Roman" w:hAnsi="Times New Roman"/>
          <w:sz w:val="26"/>
          <w:szCs w:val="26"/>
        </w:rPr>
      </w:pPr>
    </w:p>
    <w:p w:rsidR="00087406" w:rsidRDefault="00087406" w:rsidP="00337172">
      <w:pPr>
        <w:ind w:firstLine="1440"/>
        <w:rPr>
          <w:rFonts w:ascii="Times New Roman" w:hAnsi="Times New Roman"/>
          <w:sz w:val="26"/>
          <w:szCs w:val="26"/>
        </w:rPr>
      </w:pPr>
      <w:r>
        <w:rPr>
          <w:rFonts w:ascii="Times New Roman" w:hAnsi="Times New Roman"/>
          <w:sz w:val="26"/>
          <w:szCs w:val="26"/>
        </w:rPr>
        <w:t>The third factor</w:t>
      </w:r>
      <w:r w:rsidR="0060037C">
        <w:rPr>
          <w:rFonts w:ascii="Times New Roman" w:hAnsi="Times New Roman"/>
          <w:sz w:val="26"/>
          <w:szCs w:val="26"/>
        </w:rPr>
        <w:t>,</w:t>
      </w:r>
      <w:r w:rsidR="0060037C" w:rsidRPr="0060037C">
        <w:rPr>
          <w:rFonts w:ascii="Times New Roman" w:hAnsi="Times New Roman"/>
          <w:sz w:val="26"/>
          <w:szCs w:val="26"/>
        </w:rPr>
        <w:t xml:space="preserve"> </w:t>
      </w:r>
      <w:r w:rsidR="0060037C">
        <w:rPr>
          <w:rFonts w:ascii="Times New Roman" w:hAnsi="Times New Roman"/>
          <w:sz w:val="26"/>
          <w:szCs w:val="26"/>
        </w:rPr>
        <w:t xml:space="preserve">reflected </w:t>
      </w:r>
      <w:r w:rsidR="0060037C" w:rsidRPr="0060037C">
        <w:rPr>
          <w:rFonts w:ascii="Times New Roman" w:hAnsi="Times New Roman"/>
          <w:sz w:val="26"/>
          <w:szCs w:val="26"/>
        </w:rPr>
        <w:t>in litigated cases</w:t>
      </w:r>
      <w:r w:rsidR="0060037C">
        <w:rPr>
          <w:rFonts w:ascii="Times New Roman" w:hAnsi="Times New Roman"/>
          <w:sz w:val="26"/>
          <w:szCs w:val="26"/>
        </w:rPr>
        <w:t xml:space="preserve"> only,</w:t>
      </w:r>
      <w:r>
        <w:rPr>
          <w:rFonts w:ascii="Times New Roman" w:hAnsi="Times New Roman"/>
          <w:sz w:val="26"/>
          <w:szCs w:val="26"/>
        </w:rPr>
        <w:t xml:space="preserve"> considers whether the conduct was intentional or negligent</w:t>
      </w:r>
      <w:r w:rsidR="0060037C">
        <w:rPr>
          <w:rFonts w:ascii="Times New Roman" w:hAnsi="Times New Roman"/>
          <w:sz w:val="26"/>
          <w:szCs w:val="26"/>
        </w:rPr>
        <w:t>.  The ALJs found substantial evidence that during January through April 2014, HIKO’s top executive and management made the “deliberate and intentional business decision to violate the terms of its agreements with customers enrolled in the 1-7% guaranteed savings plan 14,689 times” intentionally overbilling customers in order to stay in business everywhere it operated.</w:t>
      </w:r>
      <w:r>
        <w:rPr>
          <w:rFonts w:ascii="Times New Roman" w:hAnsi="Times New Roman"/>
          <w:sz w:val="26"/>
          <w:szCs w:val="26"/>
        </w:rPr>
        <w:t xml:space="preserve"> </w:t>
      </w:r>
      <w:r w:rsidR="0060037C">
        <w:rPr>
          <w:rFonts w:ascii="Times New Roman" w:hAnsi="Times New Roman"/>
          <w:sz w:val="26"/>
          <w:szCs w:val="26"/>
        </w:rPr>
        <w:t xml:space="preserve"> </w:t>
      </w:r>
      <w:r w:rsidR="0060037C">
        <w:rPr>
          <w:rFonts w:ascii="Times New Roman" w:hAnsi="Times New Roman"/>
          <w:i/>
          <w:sz w:val="26"/>
          <w:szCs w:val="26"/>
        </w:rPr>
        <w:t>Id.</w:t>
      </w:r>
      <w:r w:rsidR="0060037C">
        <w:rPr>
          <w:rFonts w:ascii="Times New Roman" w:hAnsi="Times New Roman"/>
          <w:sz w:val="26"/>
          <w:szCs w:val="26"/>
        </w:rPr>
        <w:t xml:space="preserve"> at 40-41.  </w:t>
      </w:r>
      <w:r w:rsidR="000A3714">
        <w:rPr>
          <w:rFonts w:ascii="Times New Roman" w:hAnsi="Times New Roman"/>
          <w:sz w:val="26"/>
          <w:szCs w:val="26"/>
        </w:rPr>
        <w:t xml:space="preserve">The ALJs </w:t>
      </w:r>
      <w:r w:rsidR="000A3714">
        <w:rPr>
          <w:rFonts w:ascii="Times New Roman" w:hAnsi="Times New Roman"/>
          <w:sz w:val="26"/>
          <w:szCs w:val="26"/>
        </w:rPr>
        <w:lastRenderedPageBreak/>
        <w:t>noted that t</w:t>
      </w:r>
      <w:r w:rsidR="0060037C">
        <w:rPr>
          <w:rFonts w:ascii="Times New Roman" w:hAnsi="Times New Roman"/>
          <w:sz w:val="26"/>
          <w:szCs w:val="26"/>
        </w:rPr>
        <w:t>h</w:t>
      </w:r>
      <w:r w:rsidR="000A3714">
        <w:rPr>
          <w:rFonts w:ascii="Times New Roman" w:hAnsi="Times New Roman"/>
          <w:sz w:val="26"/>
          <w:szCs w:val="26"/>
        </w:rPr>
        <w:t>e</w:t>
      </w:r>
      <w:r w:rsidR="0060037C">
        <w:rPr>
          <w:rFonts w:ascii="Times New Roman" w:hAnsi="Times New Roman"/>
          <w:sz w:val="26"/>
          <w:szCs w:val="26"/>
        </w:rPr>
        <w:t xml:space="preserve"> decision was made without evidence </w:t>
      </w:r>
      <w:r w:rsidR="000A3714">
        <w:rPr>
          <w:rFonts w:ascii="Times New Roman" w:hAnsi="Times New Roman"/>
          <w:sz w:val="26"/>
          <w:szCs w:val="26"/>
        </w:rPr>
        <w:t xml:space="preserve">to suggest </w:t>
      </w:r>
      <w:r w:rsidR="0060037C">
        <w:rPr>
          <w:rFonts w:ascii="Times New Roman" w:hAnsi="Times New Roman"/>
          <w:sz w:val="26"/>
          <w:szCs w:val="26"/>
        </w:rPr>
        <w:t xml:space="preserve">that the Company considered </w:t>
      </w:r>
      <w:r w:rsidR="000A3714">
        <w:rPr>
          <w:rFonts w:ascii="Times New Roman" w:hAnsi="Times New Roman"/>
          <w:sz w:val="26"/>
          <w:szCs w:val="26"/>
        </w:rPr>
        <w:t xml:space="preserve">options other than deliberately ignoring their customers’ guaranteed price savings, such as </w:t>
      </w:r>
      <w:r w:rsidR="0060037C">
        <w:rPr>
          <w:rFonts w:ascii="Times New Roman" w:hAnsi="Times New Roman"/>
          <w:sz w:val="26"/>
          <w:szCs w:val="26"/>
        </w:rPr>
        <w:t xml:space="preserve">exiting the Pennsylvania market by seeking </w:t>
      </w:r>
      <w:r w:rsidR="000A3714">
        <w:rPr>
          <w:rFonts w:ascii="Times New Roman" w:hAnsi="Times New Roman"/>
          <w:sz w:val="26"/>
          <w:szCs w:val="26"/>
        </w:rPr>
        <w:t xml:space="preserve">a waiver of Commission </w:t>
      </w:r>
      <w:r w:rsidR="0050037B">
        <w:rPr>
          <w:rFonts w:ascii="Times New Roman" w:hAnsi="Times New Roman"/>
          <w:sz w:val="26"/>
          <w:szCs w:val="26"/>
        </w:rPr>
        <w:t>R</w:t>
      </w:r>
      <w:r w:rsidR="000A3714">
        <w:rPr>
          <w:rFonts w:ascii="Times New Roman" w:hAnsi="Times New Roman"/>
          <w:sz w:val="26"/>
          <w:szCs w:val="26"/>
        </w:rPr>
        <w:t xml:space="preserve">egulations or bankruptcy protection.  This, the ALJs found, was serious and warranted a higher penalty.  </w:t>
      </w:r>
      <w:r w:rsidR="000A3714">
        <w:rPr>
          <w:rFonts w:ascii="Times New Roman" w:hAnsi="Times New Roman"/>
          <w:i/>
          <w:sz w:val="26"/>
          <w:szCs w:val="26"/>
        </w:rPr>
        <w:t xml:space="preserve">Id. </w:t>
      </w:r>
      <w:r w:rsidR="000A3714">
        <w:rPr>
          <w:rFonts w:ascii="Times New Roman" w:hAnsi="Times New Roman"/>
          <w:sz w:val="26"/>
          <w:szCs w:val="26"/>
        </w:rPr>
        <w:t>at 41-42.</w:t>
      </w:r>
    </w:p>
    <w:p w:rsidR="000A3714" w:rsidRDefault="000A3714" w:rsidP="00337172">
      <w:pPr>
        <w:ind w:firstLine="1440"/>
        <w:rPr>
          <w:rFonts w:ascii="Times New Roman" w:hAnsi="Times New Roman"/>
          <w:sz w:val="26"/>
          <w:szCs w:val="26"/>
        </w:rPr>
      </w:pPr>
    </w:p>
    <w:p w:rsidR="000A3714" w:rsidRDefault="000A3714" w:rsidP="00337172">
      <w:pPr>
        <w:ind w:firstLine="1440"/>
        <w:rPr>
          <w:rFonts w:ascii="Times New Roman" w:hAnsi="Times New Roman"/>
          <w:sz w:val="26"/>
          <w:szCs w:val="26"/>
        </w:rPr>
      </w:pPr>
      <w:r>
        <w:rPr>
          <w:rFonts w:ascii="Times New Roman" w:hAnsi="Times New Roman"/>
          <w:sz w:val="26"/>
          <w:szCs w:val="26"/>
        </w:rPr>
        <w:t xml:space="preserve">The fourth factor considered by the ALJs reviews efforts made by the Company to modify internal practices and procedures in order to prevent the conduct </w:t>
      </w:r>
      <w:r w:rsidR="00FF4FB3">
        <w:rPr>
          <w:rFonts w:ascii="Times New Roman" w:hAnsi="Times New Roman"/>
          <w:sz w:val="26"/>
          <w:szCs w:val="26"/>
        </w:rPr>
        <w:t xml:space="preserve">in question </w:t>
      </w:r>
      <w:r>
        <w:rPr>
          <w:rFonts w:ascii="Times New Roman" w:hAnsi="Times New Roman"/>
          <w:sz w:val="26"/>
          <w:szCs w:val="26"/>
        </w:rPr>
        <w:t xml:space="preserve">from recurring.  </w:t>
      </w:r>
      <w:r w:rsidR="00FF4FB3">
        <w:rPr>
          <w:rFonts w:ascii="Times New Roman" w:hAnsi="Times New Roman"/>
          <w:sz w:val="26"/>
          <w:szCs w:val="26"/>
        </w:rPr>
        <w:t xml:space="preserve">The ALJs found pertinent the following facts: (1) HIKO took remedial action to offer refunds only after customers complained; (2) the deliberate overbilling recurred over a period of four months even though the Company had multiple opportunities with each new billing cycle to revisit its decision; (3) although HIKO ceased offering the guaranteed saving plan at issue in February 2014 and hired additional customer service staff to handle growing complaints, the Company continues to consider inclusion of a guaranteed savings plan a part of its business model; (4) while the Company now includes six-month supply contracts for purchased power supply in addition to its previously spot-only supply, whether that is sufficient risk management remains uncertain, and; (5) the Company agreed to modify internal procedures as part of its settlement with the OAG/OCA.  </w:t>
      </w:r>
      <w:r w:rsidR="00CF60AB">
        <w:rPr>
          <w:rFonts w:ascii="Times New Roman" w:hAnsi="Times New Roman"/>
          <w:sz w:val="26"/>
          <w:szCs w:val="26"/>
        </w:rPr>
        <w:t>A</w:t>
      </w:r>
      <w:r w:rsidR="00FF4FB3">
        <w:rPr>
          <w:rFonts w:ascii="Times New Roman" w:hAnsi="Times New Roman"/>
          <w:sz w:val="26"/>
          <w:szCs w:val="26"/>
        </w:rPr>
        <w:t xml:space="preserve">pparently </w:t>
      </w:r>
      <w:r w:rsidR="00CF60AB">
        <w:rPr>
          <w:rFonts w:ascii="Times New Roman" w:hAnsi="Times New Roman"/>
          <w:sz w:val="26"/>
          <w:szCs w:val="26"/>
        </w:rPr>
        <w:t xml:space="preserve">unpersuaded </w:t>
      </w:r>
      <w:r w:rsidR="00FF4FB3">
        <w:rPr>
          <w:rFonts w:ascii="Times New Roman" w:hAnsi="Times New Roman"/>
          <w:sz w:val="26"/>
          <w:szCs w:val="26"/>
        </w:rPr>
        <w:t xml:space="preserve">that the first four facts </w:t>
      </w:r>
      <w:r w:rsidR="00CF60AB">
        <w:rPr>
          <w:rFonts w:ascii="Times New Roman" w:hAnsi="Times New Roman"/>
          <w:sz w:val="26"/>
          <w:szCs w:val="26"/>
        </w:rPr>
        <w:t xml:space="preserve">demonstrated </w:t>
      </w:r>
      <w:r w:rsidR="00FF4FB3">
        <w:rPr>
          <w:rFonts w:ascii="Times New Roman" w:hAnsi="Times New Roman"/>
          <w:sz w:val="26"/>
          <w:szCs w:val="26"/>
        </w:rPr>
        <w:t xml:space="preserve">sufficient movement by the Company to modify its internal procedures to address the conduct at issue, the ALJs </w:t>
      </w:r>
      <w:r w:rsidR="00CF60AB">
        <w:rPr>
          <w:rFonts w:ascii="Times New Roman" w:hAnsi="Times New Roman"/>
          <w:sz w:val="26"/>
          <w:szCs w:val="26"/>
        </w:rPr>
        <w:t xml:space="preserve">nonetheless, citing the </w:t>
      </w:r>
      <w:r w:rsidR="00CF60AB">
        <w:rPr>
          <w:rFonts w:ascii="Times New Roman" w:hAnsi="Times New Roman"/>
          <w:i/>
          <w:sz w:val="26"/>
          <w:szCs w:val="26"/>
        </w:rPr>
        <w:t xml:space="preserve">OAG/OCA-HIKO </w:t>
      </w:r>
      <w:r w:rsidR="00CF60AB" w:rsidRPr="00CF60AB">
        <w:rPr>
          <w:rFonts w:ascii="Times New Roman" w:hAnsi="Times New Roman"/>
          <w:i/>
          <w:sz w:val="26"/>
          <w:szCs w:val="26"/>
        </w:rPr>
        <w:t>Settlement</w:t>
      </w:r>
      <w:r w:rsidR="00CF60AB">
        <w:rPr>
          <w:rFonts w:ascii="Times New Roman" w:hAnsi="Times New Roman"/>
          <w:sz w:val="26"/>
          <w:szCs w:val="26"/>
        </w:rPr>
        <w:t xml:space="preserve">, deemed this factor supported finding that less than the maximum penalty was warranted.  </w:t>
      </w:r>
      <w:r w:rsidR="0050037B" w:rsidRPr="0050037B">
        <w:rPr>
          <w:rFonts w:ascii="Times New Roman" w:hAnsi="Times New Roman"/>
          <w:sz w:val="26"/>
          <w:szCs w:val="26"/>
        </w:rPr>
        <w:t>I.D</w:t>
      </w:r>
      <w:r w:rsidR="00CF60AB">
        <w:rPr>
          <w:rFonts w:ascii="Times New Roman" w:hAnsi="Times New Roman"/>
          <w:i/>
          <w:sz w:val="26"/>
          <w:szCs w:val="26"/>
        </w:rPr>
        <w:t xml:space="preserve">. </w:t>
      </w:r>
      <w:r w:rsidR="00CF60AB">
        <w:rPr>
          <w:rFonts w:ascii="Times New Roman" w:hAnsi="Times New Roman"/>
          <w:sz w:val="26"/>
          <w:szCs w:val="26"/>
        </w:rPr>
        <w:t>at 43-44.</w:t>
      </w:r>
    </w:p>
    <w:p w:rsidR="00CF60AB" w:rsidRDefault="00CF60AB" w:rsidP="00337172">
      <w:pPr>
        <w:ind w:firstLine="1440"/>
        <w:rPr>
          <w:rFonts w:ascii="Times New Roman" w:hAnsi="Times New Roman"/>
          <w:sz w:val="26"/>
          <w:szCs w:val="26"/>
        </w:rPr>
      </w:pPr>
    </w:p>
    <w:p w:rsidR="00CF60AB" w:rsidRDefault="00CF60AB" w:rsidP="00337172">
      <w:pPr>
        <w:ind w:firstLine="1440"/>
        <w:rPr>
          <w:rFonts w:ascii="Times New Roman" w:hAnsi="Times New Roman"/>
          <w:sz w:val="26"/>
          <w:szCs w:val="26"/>
        </w:rPr>
      </w:pPr>
      <w:r>
        <w:rPr>
          <w:rFonts w:ascii="Times New Roman" w:hAnsi="Times New Roman"/>
          <w:sz w:val="26"/>
          <w:szCs w:val="26"/>
        </w:rPr>
        <w:t>The fifth factor considers the impact of HIKO’s conduct with respect to the number of customer</w:t>
      </w:r>
      <w:r w:rsidR="000769C5">
        <w:rPr>
          <w:rFonts w:ascii="Times New Roman" w:hAnsi="Times New Roman"/>
          <w:sz w:val="26"/>
          <w:szCs w:val="26"/>
        </w:rPr>
        <w:t>s</w:t>
      </w:r>
      <w:r>
        <w:rPr>
          <w:rFonts w:ascii="Times New Roman" w:hAnsi="Times New Roman"/>
          <w:sz w:val="26"/>
          <w:szCs w:val="26"/>
        </w:rPr>
        <w:t xml:space="preserve"> affected and the duration of the impact.  Upon review of both HIKO’s and I&amp;E’s evidence of the number of customers affected and the number of overbillings charged, including the fact that HIKO doubled its Pennsylvania customer base from 5,000 to 10,000 customers from </w:t>
      </w:r>
      <w:r w:rsidR="0050037B">
        <w:rPr>
          <w:rFonts w:ascii="Times New Roman" w:hAnsi="Times New Roman"/>
          <w:sz w:val="26"/>
          <w:szCs w:val="26"/>
        </w:rPr>
        <w:t>A</w:t>
      </w:r>
      <w:r>
        <w:rPr>
          <w:rFonts w:ascii="Times New Roman" w:hAnsi="Times New Roman"/>
          <w:sz w:val="26"/>
          <w:szCs w:val="26"/>
        </w:rPr>
        <w:t xml:space="preserve">ugust 2013 to January 2014, but then lost a </w:t>
      </w:r>
      <w:r>
        <w:rPr>
          <w:rFonts w:ascii="Times New Roman" w:hAnsi="Times New Roman"/>
          <w:sz w:val="26"/>
          <w:szCs w:val="26"/>
        </w:rPr>
        <w:lastRenderedPageBreak/>
        <w:t xml:space="preserve">large number of customers when the overbillings commenced, the ALJs found a large number of customers were affected.  </w:t>
      </w:r>
      <w:r>
        <w:rPr>
          <w:rFonts w:ascii="Times New Roman" w:hAnsi="Times New Roman"/>
          <w:i/>
          <w:sz w:val="26"/>
          <w:szCs w:val="26"/>
        </w:rPr>
        <w:t xml:space="preserve">Id. </w:t>
      </w:r>
      <w:r>
        <w:rPr>
          <w:rFonts w:ascii="Times New Roman" w:hAnsi="Times New Roman"/>
          <w:sz w:val="26"/>
          <w:szCs w:val="26"/>
        </w:rPr>
        <w:t>at 44.</w:t>
      </w:r>
    </w:p>
    <w:p w:rsidR="00CF60AB" w:rsidRDefault="00CF60AB" w:rsidP="00337172">
      <w:pPr>
        <w:ind w:firstLine="1440"/>
        <w:rPr>
          <w:rFonts w:ascii="Times New Roman" w:hAnsi="Times New Roman"/>
          <w:sz w:val="26"/>
          <w:szCs w:val="26"/>
        </w:rPr>
      </w:pPr>
    </w:p>
    <w:p w:rsidR="00A60E17" w:rsidRDefault="00CF60AB" w:rsidP="00337172">
      <w:pPr>
        <w:ind w:firstLine="1440"/>
        <w:rPr>
          <w:rFonts w:ascii="Times New Roman" w:hAnsi="Times New Roman"/>
          <w:sz w:val="26"/>
          <w:szCs w:val="26"/>
        </w:rPr>
      </w:pPr>
      <w:r>
        <w:rPr>
          <w:rFonts w:ascii="Times New Roman" w:hAnsi="Times New Roman"/>
          <w:sz w:val="26"/>
          <w:szCs w:val="26"/>
        </w:rPr>
        <w:t xml:space="preserve">HIKO’s compliance history </w:t>
      </w:r>
      <w:r w:rsidR="0050037B">
        <w:rPr>
          <w:rFonts w:ascii="Times New Roman" w:hAnsi="Times New Roman"/>
          <w:sz w:val="26"/>
          <w:szCs w:val="26"/>
        </w:rPr>
        <w:t>was</w:t>
      </w:r>
      <w:r>
        <w:rPr>
          <w:rFonts w:ascii="Times New Roman" w:hAnsi="Times New Roman"/>
          <w:sz w:val="26"/>
          <w:szCs w:val="26"/>
        </w:rPr>
        <w:t xml:space="preserve"> examined in </w:t>
      </w:r>
      <w:r w:rsidR="0050037B">
        <w:rPr>
          <w:rFonts w:ascii="Times New Roman" w:hAnsi="Times New Roman"/>
          <w:sz w:val="26"/>
          <w:szCs w:val="26"/>
        </w:rPr>
        <w:t xml:space="preserve">consideration of </w:t>
      </w:r>
      <w:r>
        <w:rPr>
          <w:rFonts w:ascii="Times New Roman" w:hAnsi="Times New Roman"/>
          <w:sz w:val="26"/>
          <w:szCs w:val="26"/>
        </w:rPr>
        <w:t xml:space="preserve">the sixth factor </w:t>
      </w:r>
      <w:r w:rsidR="0050037B">
        <w:rPr>
          <w:rFonts w:ascii="Times New Roman" w:hAnsi="Times New Roman"/>
          <w:sz w:val="26"/>
          <w:szCs w:val="26"/>
        </w:rPr>
        <w:t xml:space="preserve">in order </w:t>
      </w:r>
      <w:r>
        <w:rPr>
          <w:rFonts w:ascii="Times New Roman" w:hAnsi="Times New Roman"/>
          <w:sz w:val="26"/>
          <w:szCs w:val="26"/>
        </w:rPr>
        <w:t xml:space="preserve">to determine whether the violations at issue are isolated or not.  </w:t>
      </w:r>
      <w:r w:rsidR="00186C4E">
        <w:rPr>
          <w:rFonts w:ascii="Times New Roman" w:hAnsi="Times New Roman"/>
          <w:sz w:val="26"/>
          <w:szCs w:val="26"/>
        </w:rPr>
        <w:t xml:space="preserve">The ALJs </w:t>
      </w:r>
      <w:r w:rsidR="00A60E17">
        <w:rPr>
          <w:rFonts w:ascii="Times New Roman" w:hAnsi="Times New Roman"/>
          <w:sz w:val="26"/>
          <w:szCs w:val="26"/>
        </w:rPr>
        <w:t>found</w:t>
      </w:r>
      <w:r w:rsidR="00186C4E">
        <w:rPr>
          <w:rFonts w:ascii="Times New Roman" w:hAnsi="Times New Roman"/>
          <w:sz w:val="26"/>
          <w:szCs w:val="26"/>
        </w:rPr>
        <w:t xml:space="preserve"> that HIKO</w:t>
      </w:r>
      <w:r w:rsidR="00A60E17">
        <w:rPr>
          <w:rFonts w:ascii="Times New Roman" w:hAnsi="Times New Roman"/>
          <w:sz w:val="26"/>
          <w:szCs w:val="26"/>
        </w:rPr>
        <w:t xml:space="preserve">’s </w:t>
      </w:r>
      <w:r w:rsidR="00186C4E">
        <w:rPr>
          <w:rFonts w:ascii="Times New Roman" w:hAnsi="Times New Roman"/>
          <w:sz w:val="26"/>
          <w:szCs w:val="26"/>
        </w:rPr>
        <w:t xml:space="preserve">final licensing order </w:t>
      </w:r>
      <w:r w:rsidR="00A60E17">
        <w:rPr>
          <w:rFonts w:ascii="Times New Roman" w:hAnsi="Times New Roman"/>
          <w:sz w:val="26"/>
          <w:szCs w:val="26"/>
        </w:rPr>
        <w:t xml:space="preserve">was </w:t>
      </w:r>
      <w:r w:rsidR="00186C4E">
        <w:rPr>
          <w:rFonts w:ascii="Times New Roman" w:hAnsi="Times New Roman"/>
          <w:sz w:val="26"/>
          <w:szCs w:val="26"/>
        </w:rPr>
        <w:t xml:space="preserve">effective July 2, 2013, </w:t>
      </w:r>
      <w:r w:rsidR="00A60E17">
        <w:rPr>
          <w:rFonts w:ascii="Times New Roman" w:hAnsi="Times New Roman"/>
          <w:sz w:val="26"/>
          <w:szCs w:val="26"/>
        </w:rPr>
        <w:t>its</w:t>
      </w:r>
      <w:r w:rsidR="00186C4E">
        <w:rPr>
          <w:rFonts w:ascii="Times New Roman" w:hAnsi="Times New Roman"/>
          <w:sz w:val="26"/>
          <w:szCs w:val="26"/>
        </w:rPr>
        <w:t xml:space="preserve"> conditional license was issued effective July 7, 2012, and </w:t>
      </w:r>
      <w:r w:rsidR="00A60E17">
        <w:rPr>
          <w:rFonts w:ascii="Times New Roman" w:hAnsi="Times New Roman"/>
          <w:sz w:val="26"/>
          <w:szCs w:val="26"/>
        </w:rPr>
        <w:t xml:space="preserve">its </w:t>
      </w:r>
      <w:r w:rsidR="00186C4E">
        <w:rPr>
          <w:rFonts w:ascii="Times New Roman" w:hAnsi="Times New Roman"/>
          <w:sz w:val="26"/>
          <w:szCs w:val="26"/>
        </w:rPr>
        <w:t xml:space="preserve">Pennsylvania operations commenced in December 2012 subject to </w:t>
      </w:r>
      <w:r w:rsidR="00A60E17">
        <w:rPr>
          <w:rFonts w:ascii="Times New Roman" w:hAnsi="Times New Roman"/>
          <w:sz w:val="26"/>
          <w:szCs w:val="26"/>
        </w:rPr>
        <w:t xml:space="preserve">the application of conditions on its </w:t>
      </w:r>
      <w:r w:rsidR="00186C4E">
        <w:rPr>
          <w:rFonts w:ascii="Times New Roman" w:hAnsi="Times New Roman"/>
          <w:sz w:val="26"/>
          <w:szCs w:val="26"/>
        </w:rPr>
        <w:t xml:space="preserve">license through June 2014.  </w:t>
      </w:r>
      <w:r w:rsidR="00A60E17">
        <w:rPr>
          <w:rFonts w:ascii="Times New Roman" w:hAnsi="Times New Roman"/>
          <w:sz w:val="26"/>
          <w:szCs w:val="26"/>
        </w:rPr>
        <w:t xml:space="preserve">The ALJs concluded that the license conditions were imposed because HIKO was subject to a high number of customer complaints in New York when it applied for Pennsylvania licensure.  Further the ALJs noted that it became evident during the proceeding that HIKO’s surety expired at the end of December 2014, putting the Company in violation of Section 54.40 of our Regulations, 52 Pa. Code § 54.40, which requires licensees to provide a bond or other surety, initially set at $250,000, and after one year of operations, subject to modification based upon the licensee’s reported annual gross receipts.  As HIKO explained, the increase in its surety from $250,000 to $750,000 caused a delay in implementing new surety until March 2015.  Expressing doubt that HIKO’s failure to file timely proof of new surety was an inadvertent error, and finding that HIKO deliberately overcharged over 5,700 customers over a four month period on 14,689 occasions while operating under a conditional license, the ALJs concluded that consideration of this sixth factor warranted a higher penalty.  </w:t>
      </w:r>
      <w:r w:rsidR="00A60E17">
        <w:rPr>
          <w:rFonts w:ascii="Times New Roman" w:hAnsi="Times New Roman"/>
          <w:i/>
          <w:sz w:val="26"/>
          <w:szCs w:val="26"/>
        </w:rPr>
        <w:t xml:space="preserve">Id. </w:t>
      </w:r>
      <w:r w:rsidR="00A60E17">
        <w:rPr>
          <w:rFonts w:ascii="Times New Roman" w:hAnsi="Times New Roman"/>
          <w:sz w:val="26"/>
          <w:szCs w:val="26"/>
        </w:rPr>
        <w:t>at 44-47.</w:t>
      </w:r>
    </w:p>
    <w:p w:rsidR="00A60E17" w:rsidRDefault="00A60E17" w:rsidP="00337172">
      <w:pPr>
        <w:ind w:firstLine="1440"/>
        <w:rPr>
          <w:rFonts w:ascii="Times New Roman" w:hAnsi="Times New Roman"/>
          <w:sz w:val="26"/>
          <w:szCs w:val="26"/>
        </w:rPr>
      </w:pPr>
    </w:p>
    <w:p w:rsidR="00CF60AB" w:rsidRDefault="0096597F" w:rsidP="00337172">
      <w:pPr>
        <w:ind w:firstLine="1440"/>
        <w:rPr>
          <w:rFonts w:ascii="Times New Roman" w:hAnsi="Times New Roman"/>
          <w:sz w:val="26"/>
          <w:szCs w:val="26"/>
        </w:rPr>
      </w:pPr>
      <w:r>
        <w:rPr>
          <w:rFonts w:ascii="Times New Roman" w:hAnsi="Times New Roman"/>
          <w:sz w:val="26"/>
          <w:szCs w:val="26"/>
        </w:rPr>
        <w:t xml:space="preserve">The ALJs found that HIKO cooperated with I&amp;E during its investigation, the seventh factor to be considered under our policy statement.  They concluded, however, that cooperation by itself, though mitigating, is not sufficient to warrant a minimal civil penalty if the mitigating factors do not deter possible future violations.  </w:t>
      </w:r>
      <w:r>
        <w:rPr>
          <w:rFonts w:ascii="Times New Roman" w:hAnsi="Times New Roman"/>
          <w:i/>
          <w:sz w:val="26"/>
          <w:szCs w:val="26"/>
        </w:rPr>
        <w:t xml:space="preserve">Id. </w:t>
      </w:r>
      <w:r>
        <w:rPr>
          <w:rFonts w:ascii="Times New Roman" w:hAnsi="Times New Roman"/>
          <w:sz w:val="26"/>
          <w:szCs w:val="26"/>
        </w:rPr>
        <w:t xml:space="preserve">at 48, citing </w:t>
      </w:r>
      <w:r>
        <w:rPr>
          <w:rFonts w:ascii="Times New Roman" w:hAnsi="Times New Roman"/>
          <w:i/>
          <w:sz w:val="26"/>
          <w:szCs w:val="26"/>
        </w:rPr>
        <w:t xml:space="preserve">Pa. PUC Bureau of Investigation </w:t>
      </w:r>
      <w:r w:rsidR="00813A79">
        <w:rPr>
          <w:rFonts w:ascii="Times New Roman" w:hAnsi="Times New Roman"/>
          <w:i/>
          <w:sz w:val="26"/>
          <w:szCs w:val="26"/>
        </w:rPr>
        <w:t>and</w:t>
      </w:r>
      <w:r>
        <w:rPr>
          <w:rFonts w:ascii="Times New Roman" w:hAnsi="Times New Roman"/>
          <w:i/>
          <w:sz w:val="26"/>
          <w:szCs w:val="26"/>
        </w:rPr>
        <w:t xml:space="preserve"> Enforcement v. Columbia Gas of Pennsylvania, Inc.</w:t>
      </w:r>
      <w:r>
        <w:rPr>
          <w:rFonts w:ascii="Times New Roman" w:hAnsi="Times New Roman"/>
          <w:sz w:val="26"/>
          <w:szCs w:val="26"/>
        </w:rPr>
        <w:t>, Docket No. M-2014-2306076 (Order entered December 18, 2014).</w:t>
      </w:r>
    </w:p>
    <w:p w:rsidR="0096597F" w:rsidRDefault="0096597F" w:rsidP="00337172">
      <w:pPr>
        <w:ind w:firstLine="1440"/>
        <w:rPr>
          <w:rFonts w:ascii="Times New Roman" w:hAnsi="Times New Roman"/>
          <w:sz w:val="26"/>
          <w:szCs w:val="26"/>
        </w:rPr>
      </w:pPr>
    </w:p>
    <w:p w:rsidR="003D45B2" w:rsidRDefault="008B3A85" w:rsidP="00337172">
      <w:pPr>
        <w:ind w:firstLine="1440"/>
        <w:rPr>
          <w:rFonts w:ascii="Times New Roman" w:hAnsi="Times New Roman"/>
          <w:sz w:val="26"/>
          <w:szCs w:val="26"/>
        </w:rPr>
      </w:pPr>
      <w:r>
        <w:rPr>
          <w:rFonts w:ascii="Times New Roman" w:hAnsi="Times New Roman"/>
          <w:sz w:val="26"/>
          <w:szCs w:val="26"/>
        </w:rPr>
        <w:lastRenderedPageBreak/>
        <w:t>The eighth factor our policy statement sets forth for consideration is the amount necessary to deter future violations</w:t>
      </w:r>
      <w:r w:rsidR="003D45B2">
        <w:rPr>
          <w:rFonts w:ascii="Times New Roman" w:hAnsi="Times New Roman"/>
          <w:sz w:val="26"/>
          <w:szCs w:val="26"/>
        </w:rPr>
        <w:t xml:space="preserve"> and allow</w:t>
      </w:r>
      <w:r w:rsidR="00A84258">
        <w:rPr>
          <w:rFonts w:ascii="Times New Roman" w:hAnsi="Times New Roman"/>
          <w:sz w:val="26"/>
          <w:szCs w:val="26"/>
        </w:rPr>
        <w:t>s</w:t>
      </w:r>
      <w:r w:rsidR="003D45B2">
        <w:rPr>
          <w:rFonts w:ascii="Times New Roman" w:hAnsi="Times New Roman"/>
          <w:sz w:val="26"/>
          <w:szCs w:val="26"/>
        </w:rPr>
        <w:t xml:space="preserve"> for</w:t>
      </w:r>
      <w:r w:rsidR="008A3DB5">
        <w:rPr>
          <w:rFonts w:ascii="Times New Roman" w:hAnsi="Times New Roman"/>
          <w:sz w:val="26"/>
          <w:szCs w:val="26"/>
        </w:rPr>
        <w:t xml:space="preserve"> consideration </w:t>
      </w:r>
      <w:r w:rsidR="000769C5">
        <w:rPr>
          <w:rFonts w:ascii="Times New Roman" w:hAnsi="Times New Roman"/>
          <w:sz w:val="26"/>
          <w:szCs w:val="26"/>
        </w:rPr>
        <w:t xml:space="preserve">of </w:t>
      </w:r>
      <w:r w:rsidR="008A3DB5">
        <w:rPr>
          <w:rFonts w:ascii="Times New Roman" w:hAnsi="Times New Roman"/>
          <w:sz w:val="26"/>
          <w:szCs w:val="26"/>
        </w:rPr>
        <w:t>the Company’s size</w:t>
      </w:r>
      <w:r>
        <w:rPr>
          <w:rFonts w:ascii="Times New Roman" w:hAnsi="Times New Roman"/>
          <w:sz w:val="26"/>
          <w:szCs w:val="26"/>
        </w:rPr>
        <w:t xml:space="preserve">.  </w:t>
      </w:r>
      <w:r w:rsidR="003D45B2">
        <w:rPr>
          <w:rFonts w:ascii="Times New Roman" w:hAnsi="Times New Roman"/>
          <w:sz w:val="26"/>
          <w:szCs w:val="26"/>
        </w:rPr>
        <w:t>C</w:t>
      </w:r>
      <w:r w:rsidR="008A3DB5">
        <w:rPr>
          <w:rFonts w:ascii="Times New Roman" w:hAnsi="Times New Roman"/>
          <w:sz w:val="26"/>
          <w:szCs w:val="26"/>
        </w:rPr>
        <w:t>it</w:t>
      </w:r>
      <w:r w:rsidR="003D45B2">
        <w:rPr>
          <w:rFonts w:ascii="Times New Roman" w:hAnsi="Times New Roman"/>
          <w:sz w:val="26"/>
          <w:szCs w:val="26"/>
        </w:rPr>
        <w:t>ing</w:t>
      </w:r>
      <w:r w:rsidR="008A3DB5">
        <w:rPr>
          <w:rFonts w:ascii="Times New Roman" w:hAnsi="Times New Roman"/>
          <w:sz w:val="26"/>
          <w:szCs w:val="26"/>
        </w:rPr>
        <w:t xml:space="preserve"> the testimony of I&amp;E witness Mumford that he considered a penalty of $1,000 per violation to be a significant deterrence to both HIKO and the industry in general</w:t>
      </w:r>
      <w:r w:rsidR="003D45B2" w:rsidRPr="00FF0ED5">
        <w:rPr>
          <w:rFonts w:ascii="Times New Roman" w:hAnsi="Times New Roman"/>
          <w:sz w:val="26"/>
          <w:szCs w:val="26"/>
        </w:rPr>
        <w:t>, t</w:t>
      </w:r>
      <w:r w:rsidR="00730D4C" w:rsidRPr="00FF0ED5">
        <w:rPr>
          <w:rFonts w:ascii="Times New Roman" w:hAnsi="Times New Roman"/>
          <w:sz w:val="26"/>
          <w:szCs w:val="26"/>
        </w:rPr>
        <w:t xml:space="preserve">he ALJs </w:t>
      </w:r>
      <w:r w:rsidR="003D45B2" w:rsidRPr="00FF0ED5">
        <w:rPr>
          <w:rFonts w:ascii="Times New Roman" w:hAnsi="Times New Roman"/>
          <w:sz w:val="26"/>
          <w:szCs w:val="26"/>
        </w:rPr>
        <w:t>concluded that the deterrence should be measured as it applied to HIKO specifically, and not the industry in general, because “the Commission did not expressly define the deterrence level to include such a consideration</w:t>
      </w:r>
      <w:r w:rsidR="003D45B2">
        <w:rPr>
          <w:rFonts w:ascii="Times New Roman" w:hAnsi="Times New Roman"/>
          <w:sz w:val="26"/>
          <w:szCs w:val="26"/>
        </w:rPr>
        <w:t xml:space="preserve">.”  </w:t>
      </w:r>
      <w:r w:rsidR="00FF0ED5">
        <w:rPr>
          <w:rFonts w:ascii="Times New Roman" w:hAnsi="Times New Roman"/>
          <w:sz w:val="26"/>
          <w:szCs w:val="26"/>
        </w:rPr>
        <w:t xml:space="preserve">I.D. </w:t>
      </w:r>
      <w:r w:rsidR="003D45B2">
        <w:rPr>
          <w:rFonts w:ascii="Times New Roman" w:hAnsi="Times New Roman"/>
          <w:sz w:val="26"/>
          <w:szCs w:val="26"/>
        </w:rPr>
        <w:t>at 48.</w:t>
      </w:r>
    </w:p>
    <w:p w:rsidR="003D45B2" w:rsidRDefault="003D45B2" w:rsidP="00337172">
      <w:pPr>
        <w:ind w:firstLine="1440"/>
        <w:rPr>
          <w:rFonts w:ascii="Times New Roman" w:hAnsi="Times New Roman"/>
          <w:sz w:val="26"/>
          <w:szCs w:val="26"/>
        </w:rPr>
      </w:pPr>
    </w:p>
    <w:p w:rsidR="00A84258" w:rsidRDefault="003D45B2" w:rsidP="00337172">
      <w:pPr>
        <w:ind w:firstLine="1440"/>
        <w:rPr>
          <w:rFonts w:ascii="Times New Roman" w:hAnsi="Times New Roman"/>
          <w:sz w:val="26"/>
          <w:szCs w:val="26"/>
        </w:rPr>
      </w:pPr>
      <w:r>
        <w:rPr>
          <w:rFonts w:ascii="Times New Roman" w:hAnsi="Times New Roman"/>
          <w:sz w:val="26"/>
          <w:szCs w:val="26"/>
        </w:rPr>
        <w:t xml:space="preserve">In contemplating HIKO’s size, the ALJs considered the Company’s </w:t>
      </w:r>
      <w:r w:rsidR="00A84258">
        <w:rPr>
          <w:rFonts w:ascii="Times New Roman" w:hAnsi="Times New Roman"/>
          <w:sz w:val="26"/>
          <w:szCs w:val="26"/>
        </w:rPr>
        <w:t xml:space="preserve">overall mid-Atlantic </w:t>
      </w:r>
      <w:r>
        <w:rPr>
          <w:rFonts w:ascii="Times New Roman" w:hAnsi="Times New Roman"/>
          <w:sz w:val="26"/>
          <w:szCs w:val="26"/>
        </w:rPr>
        <w:t xml:space="preserve">business footprint and </w:t>
      </w:r>
      <w:r w:rsidR="00A84258">
        <w:rPr>
          <w:rFonts w:ascii="Times New Roman" w:hAnsi="Times New Roman"/>
          <w:sz w:val="26"/>
          <w:szCs w:val="26"/>
        </w:rPr>
        <w:t xml:space="preserve">its </w:t>
      </w:r>
      <w:r>
        <w:rPr>
          <w:rFonts w:ascii="Times New Roman" w:hAnsi="Times New Roman"/>
          <w:sz w:val="26"/>
          <w:szCs w:val="26"/>
        </w:rPr>
        <w:t>Pennsylvania</w:t>
      </w:r>
      <w:r w:rsidR="00A84258">
        <w:rPr>
          <w:rFonts w:ascii="Times New Roman" w:hAnsi="Times New Roman"/>
          <w:sz w:val="26"/>
          <w:szCs w:val="26"/>
        </w:rPr>
        <w:t>-specific</w:t>
      </w:r>
      <w:r>
        <w:rPr>
          <w:rFonts w:ascii="Times New Roman" w:hAnsi="Times New Roman"/>
          <w:sz w:val="26"/>
          <w:szCs w:val="26"/>
        </w:rPr>
        <w:t xml:space="preserve"> revenues.  As to its footprint, the ALJs identified that in addition to Pennsylvania, the Company’s business extended into New York, New Jersey, Maryland, Massachusetts, Connecticut, Illinois, and Ohio, making it a large regional player.  The ALJs also considered not only the </w:t>
      </w:r>
      <w:r w:rsidR="00A84258">
        <w:rPr>
          <w:rFonts w:ascii="Times New Roman" w:hAnsi="Times New Roman"/>
          <w:sz w:val="26"/>
          <w:szCs w:val="26"/>
        </w:rPr>
        <w:t xml:space="preserve">11,000 </w:t>
      </w:r>
      <w:r>
        <w:rPr>
          <w:rFonts w:ascii="Times New Roman" w:hAnsi="Times New Roman"/>
          <w:sz w:val="26"/>
          <w:szCs w:val="26"/>
        </w:rPr>
        <w:t>customers served in Pennsylvania at its high point but also the potential number of customers the Company could serve in this region compared to the state-</w:t>
      </w:r>
      <w:r w:rsidR="00A84258">
        <w:rPr>
          <w:rFonts w:ascii="Times New Roman" w:hAnsi="Times New Roman"/>
          <w:sz w:val="26"/>
          <w:szCs w:val="26"/>
        </w:rPr>
        <w:t>bound</w:t>
      </w:r>
      <w:r>
        <w:rPr>
          <w:rFonts w:ascii="Times New Roman" w:hAnsi="Times New Roman"/>
          <w:sz w:val="26"/>
          <w:szCs w:val="26"/>
        </w:rPr>
        <w:t xml:space="preserve"> EDCs</w:t>
      </w:r>
      <w:r w:rsidR="00A84258">
        <w:rPr>
          <w:rFonts w:ascii="Times New Roman" w:hAnsi="Times New Roman"/>
          <w:sz w:val="26"/>
          <w:szCs w:val="26"/>
        </w:rPr>
        <w:t>,</w:t>
      </w:r>
      <w:r>
        <w:rPr>
          <w:rFonts w:ascii="Times New Roman" w:hAnsi="Times New Roman"/>
          <w:sz w:val="26"/>
          <w:szCs w:val="26"/>
        </w:rPr>
        <w:t xml:space="preserve"> and </w:t>
      </w:r>
      <w:r w:rsidR="00A84258">
        <w:rPr>
          <w:rFonts w:ascii="Times New Roman" w:hAnsi="Times New Roman"/>
          <w:sz w:val="26"/>
          <w:szCs w:val="26"/>
        </w:rPr>
        <w:t>the</w:t>
      </w:r>
      <w:r w:rsidR="003C32A6">
        <w:rPr>
          <w:rFonts w:ascii="Times New Roman" w:hAnsi="Times New Roman"/>
          <w:sz w:val="26"/>
          <w:szCs w:val="26"/>
        </w:rPr>
        <w:t>y</w:t>
      </w:r>
      <w:r w:rsidR="00A84258">
        <w:rPr>
          <w:rFonts w:ascii="Times New Roman" w:hAnsi="Times New Roman"/>
          <w:sz w:val="26"/>
          <w:szCs w:val="26"/>
        </w:rPr>
        <w:t xml:space="preserve"> considered that the Company also provided </w:t>
      </w:r>
      <w:r>
        <w:rPr>
          <w:rFonts w:ascii="Times New Roman" w:hAnsi="Times New Roman"/>
          <w:sz w:val="26"/>
          <w:szCs w:val="26"/>
        </w:rPr>
        <w:t>gas supply in addition to electricity.</w:t>
      </w:r>
    </w:p>
    <w:p w:rsidR="00A84258" w:rsidRDefault="00A84258" w:rsidP="00337172">
      <w:pPr>
        <w:ind w:firstLine="1440"/>
        <w:rPr>
          <w:rFonts w:ascii="Times New Roman" w:hAnsi="Times New Roman"/>
          <w:sz w:val="26"/>
          <w:szCs w:val="26"/>
        </w:rPr>
      </w:pPr>
    </w:p>
    <w:p w:rsidR="0096597F" w:rsidRPr="00AA16EC" w:rsidRDefault="003D45B2" w:rsidP="00337172">
      <w:pPr>
        <w:ind w:firstLine="1440"/>
        <w:rPr>
          <w:rFonts w:ascii="Times New Roman" w:hAnsi="Times New Roman"/>
          <w:sz w:val="26"/>
          <w:szCs w:val="26"/>
        </w:rPr>
      </w:pPr>
      <w:r>
        <w:rPr>
          <w:rFonts w:ascii="Times New Roman" w:hAnsi="Times New Roman"/>
          <w:sz w:val="26"/>
          <w:szCs w:val="26"/>
        </w:rPr>
        <w:t xml:space="preserve">As to revenues, the ALJs determined that while there was no evidence of the Company’s rate of return during the winter of January through April 2014, </w:t>
      </w:r>
      <w:r w:rsidR="00AA16EC">
        <w:rPr>
          <w:rFonts w:ascii="Times New Roman" w:hAnsi="Times New Roman"/>
          <w:sz w:val="26"/>
          <w:szCs w:val="26"/>
        </w:rPr>
        <w:t xml:space="preserve">there was evidence that the Company had income during that time.  Also because there was </w:t>
      </w:r>
      <w:r>
        <w:rPr>
          <w:rFonts w:ascii="Times New Roman" w:hAnsi="Times New Roman"/>
          <w:sz w:val="26"/>
          <w:szCs w:val="26"/>
        </w:rPr>
        <w:t>evidence that the Company’s surety was increased to $750,000</w:t>
      </w:r>
      <w:r w:rsidR="00AA16EC">
        <w:rPr>
          <w:rFonts w:ascii="Times New Roman" w:hAnsi="Times New Roman"/>
          <w:sz w:val="26"/>
          <w:szCs w:val="26"/>
        </w:rPr>
        <w:t xml:space="preserve">, the ALJs concluded that HIKO had </w:t>
      </w:r>
      <w:r>
        <w:rPr>
          <w:rFonts w:ascii="Times New Roman" w:hAnsi="Times New Roman"/>
          <w:sz w:val="26"/>
          <w:szCs w:val="26"/>
        </w:rPr>
        <w:t xml:space="preserve">2014 revenues of at least $7.5 million since the surety is measured as 10% of reported annual gross receipts.  </w:t>
      </w:r>
      <w:r w:rsidR="00AA16EC">
        <w:rPr>
          <w:rFonts w:ascii="Times New Roman" w:hAnsi="Times New Roman"/>
          <w:sz w:val="26"/>
          <w:szCs w:val="26"/>
        </w:rPr>
        <w:t xml:space="preserve">The ALJs concluded that HIKO’s loss of customers and self-motivated provision of $160,000 in refunds was insufficient deterrence. </w:t>
      </w:r>
      <w:r w:rsidR="00A84258">
        <w:rPr>
          <w:rFonts w:ascii="Times New Roman" w:hAnsi="Times New Roman"/>
          <w:sz w:val="26"/>
          <w:szCs w:val="26"/>
        </w:rPr>
        <w:t xml:space="preserve"> </w:t>
      </w:r>
      <w:r w:rsidR="00AA16EC">
        <w:rPr>
          <w:rFonts w:ascii="Times New Roman" w:hAnsi="Times New Roman"/>
          <w:sz w:val="26"/>
          <w:szCs w:val="26"/>
        </w:rPr>
        <w:t xml:space="preserve">However, the ALJs concluded that the imposition of a civil penalty of $1,836,125, representing approximately 25% of HIKO’s 2014 gross receipts, in addition to the $1.67 million in refunds agreed to in </w:t>
      </w:r>
      <w:r w:rsidR="00AA16EC">
        <w:rPr>
          <w:rFonts w:ascii="Times New Roman" w:hAnsi="Times New Roman"/>
          <w:i/>
          <w:sz w:val="26"/>
          <w:szCs w:val="26"/>
        </w:rPr>
        <w:t>OAG/OCA-HIKO Settlement</w:t>
      </w:r>
      <w:r w:rsidR="00AA16EC">
        <w:rPr>
          <w:rFonts w:ascii="Times New Roman" w:hAnsi="Times New Roman"/>
          <w:sz w:val="26"/>
          <w:szCs w:val="26"/>
        </w:rPr>
        <w:t xml:space="preserve">, together with the injunctive relief and corrective action they approved in that settlement, provided sufficient deterrence. </w:t>
      </w:r>
      <w:r>
        <w:rPr>
          <w:rFonts w:ascii="Times New Roman" w:hAnsi="Times New Roman"/>
          <w:sz w:val="26"/>
          <w:szCs w:val="26"/>
        </w:rPr>
        <w:t xml:space="preserve"> </w:t>
      </w:r>
      <w:r w:rsidR="00AA16EC">
        <w:rPr>
          <w:rFonts w:ascii="Times New Roman" w:hAnsi="Times New Roman"/>
          <w:i/>
          <w:sz w:val="26"/>
          <w:szCs w:val="26"/>
        </w:rPr>
        <w:t xml:space="preserve">Id. </w:t>
      </w:r>
      <w:r w:rsidR="00AA16EC">
        <w:rPr>
          <w:rFonts w:ascii="Times New Roman" w:hAnsi="Times New Roman"/>
          <w:sz w:val="26"/>
          <w:szCs w:val="26"/>
        </w:rPr>
        <w:t>at</w:t>
      </w:r>
      <w:r w:rsidR="00A84258">
        <w:rPr>
          <w:rFonts w:ascii="Times New Roman" w:hAnsi="Times New Roman"/>
          <w:sz w:val="26"/>
          <w:szCs w:val="26"/>
        </w:rPr>
        <w:t> </w:t>
      </w:r>
      <w:r w:rsidR="00AA16EC">
        <w:rPr>
          <w:rFonts w:ascii="Times New Roman" w:hAnsi="Times New Roman"/>
          <w:sz w:val="26"/>
          <w:szCs w:val="26"/>
        </w:rPr>
        <w:t>48-50.</w:t>
      </w:r>
    </w:p>
    <w:p w:rsidR="00AA16EC" w:rsidRDefault="00AA16EC" w:rsidP="00337172">
      <w:pPr>
        <w:ind w:firstLine="1440"/>
        <w:rPr>
          <w:rFonts w:ascii="Times New Roman" w:hAnsi="Times New Roman"/>
          <w:sz w:val="26"/>
          <w:szCs w:val="26"/>
        </w:rPr>
      </w:pPr>
    </w:p>
    <w:p w:rsidR="00AA16EC" w:rsidRDefault="00B46A63" w:rsidP="00337172">
      <w:pPr>
        <w:ind w:firstLine="1440"/>
        <w:rPr>
          <w:rFonts w:ascii="Times New Roman" w:hAnsi="Times New Roman"/>
          <w:sz w:val="26"/>
          <w:szCs w:val="26"/>
        </w:rPr>
      </w:pPr>
      <w:r>
        <w:rPr>
          <w:rFonts w:ascii="Times New Roman" w:hAnsi="Times New Roman"/>
          <w:sz w:val="26"/>
          <w:szCs w:val="26"/>
        </w:rPr>
        <w:t xml:space="preserve">In consideration of the ninth factor under our policy statement, past Commission decisions in similar cases, the ALJs essentially found few cases similar to this.  The ALJs distinguished </w:t>
      </w:r>
      <w:r>
        <w:rPr>
          <w:rFonts w:ascii="Times New Roman" w:hAnsi="Times New Roman"/>
          <w:i/>
          <w:sz w:val="26"/>
          <w:szCs w:val="26"/>
        </w:rPr>
        <w:t xml:space="preserve">Pa. PUC Bureau of Investigation </w:t>
      </w:r>
      <w:r w:rsidR="00813A79">
        <w:rPr>
          <w:rFonts w:ascii="Times New Roman" w:hAnsi="Times New Roman"/>
          <w:i/>
          <w:sz w:val="26"/>
          <w:szCs w:val="26"/>
        </w:rPr>
        <w:t>and</w:t>
      </w:r>
      <w:r>
        <w:rPr>
          <w:rFonts w:ascii="Times New Roman" w:hAnsi="Times New Roman"/>
          <w:i/>
          <w:sz w:val="26"/>
          <w:szCs w:val="26"/>
        </w:rPr>
        <w:t xml:space="preserve"> Enforcement v. MXenergy Electric Inc.</w:t>
      </w:r>
      <w:r>
        <w:rPr>
          <w:rFonts w:ascii="Times New Roman" w:hAnsi="Times New Roman"/>
          <w:sz w:val="26"/>
          <w:szCs w:val="26"/>
        </w:rPr>
        <w:t>, Docket No. M-2012-2201861</w:t>
      </w:r>
      <w:r w:rsidR="00F36D95">
        <w:rPr>
          <w:rFonts w:ascii="Times New Roman" w:hAnsi="Times New Roman"/>
          <w:sz w:val="26"/>
          <w:szCs w:val="26"/>
        </w:rPr>
        <w:t xml:space="preserve"> (Order entered May 3, 2012)</w:t>
      </w:r>
      <w:r w:rsidR="00A57495">
        <w:rPr>
          <w:rFonts w:ascii="Times New Roman" w:hAnsi="Times New Roman"/>
          <w:sz w:val="26"/>
          <w:szCs w:val="26"/>
        </w:rPr>
        <w:t xml:space="preserve"> (</w:t>
      </w:r>
      <w:r w:rsidR="00A57495" w:rsidRPr="00A57495">
        <w:rPr>
          <w:rFonts w:ascii="Times New Roman" w:hAnsi="Times New Roman"/>
          <w:i/>
          <w:sz w:val="26"/>
          <w:szCs w:val="26"/>
        </w:rPr>
        <w:t>MXenergy</w:t>
      </w:r>
      <w:r w:rsidR="00A57495">
        <w:rPr>
          <w:rFonts w:ascii="Times New Roman" w:hAnsi="Times New Roman"/>
          <w:sz w:val="26"/>
          <w:szCs w:val="26"/>
        </w:rPr>
        <w:t>)</w:t>
      </w:r>
      <w:r>
        <w:rPr>
          <w:rFonts w:ascii="Times New Roman" w:hAnsi="Times New Roman"/>
          <w:sz w:val="26"/>
          <w:szCs w:val="26"/>
        </w:rPr>
        <w:t xml:space="preserve">, </w:t>
      </w:r>
      <w:r w:rsidR="00A57495">
        <w:rPr>
          <w:rFonts w:ascii="Times New Roman" w:hAnsi="Times New Roman"/>
          <w:sz w:val="26"/>
          <w:szCs w:val="26"/>
        </w:rPr>
        <w:t xml:space="preserve">a settled case </w:t>
      </w:r>
      <w:r>
        <w:rPr>
          <w:rFonts w:ascii="Times New Roman" w:hAnsi="Times New Roman"/>
          <w:sz w:val="26"/>
          <w:szCs w:val="26"/>
        </w:rPr>
        <w:t>relie</w:t>
      </w:r>
      <w:r w:rsidR="00A57495">
        <w:rPr>
          <w:rFonts w:ascii="Times New Roman" w:hAnsi="Times New Roman"/>
          <w:sz w:val="26"/>
          <w:szCs w:val="26"/>
        </w:rPr>
        <w:t>d</w:t>
      </w:r>
      <w:r>
        <w:rPr>
          <w:rFonts w:ascii="Times New Roman" w:hAnsi="Times New Roman"/>
          <w:sz w:val="26"/>
          <w:szCs w:val="26"/>
        </w:rPr>
        <w:t xml:space="preserve"> upon by I&amp;E for its proposed imposition of $1,000 per violation</w:t>
      </w:r>
      <w:r w:rsidR="00A57495">
        <w:rPr>
          <w:rFonts w:ascii="Times New Roman" w:hAnsi="Times New Roman"/>
          <w:sz w:val="26"/>
          <w:szCs w:val="26"/>
        </w:rPr>
        <w:t>,</w:t>
      </w:r>
      <w:r>
        <w:rPr>
          <w:rFonts w:ascii="Times New Roman" w:hAnsi="Times New Roman"/>
          <w:sz w:val="26"/>
          <w:szCs w:val="26"/>
        </w:rPr>
        <w:t xml:space="preserve"> because it involved s</w:t>
      </w:r>
      <w:r w:rsidR="00A57495">
        <w:rPr>
          <w:rFonts w:ascii="Times New Roman" w:hAnsi="Times New Roman"/>
          <w:sz w:val="26"/>
          <w:szCs w:val="26"/>
        </w:rPr>
        <w:t xml:space="preserve">lamming of twenty-two customers and, unlike in </w:t>
      </w:r>
      <w:r w:rsidR="00A57495">
        <w:rPr>
          <w:rFonts w:ascii="Times New Roman" w:hAnsi="Times New Roman"/>
          <w:i/>
          <w:sz w:val="26"/>
          <w:szCs w:val="26"/>
        </w:rPr>
        <w:t>MXenergy</w:t>
      </w:r>
      <w:r w:rsidR="00A57495">
        <w:rPr>
          <w:rFonts w:ascii="Times New Roman" w:hAnsi="Times New Roman"/>
          <w:sz w:val="26"/>
          <w:szCs w:val="26"/>
        </w:rPr>
        <w:t xml:space="preserve">, there was no evidence in this proceeding that HIKO intended to defraud customers in </w:t>
      </w:r>
      <w:r w:rsidR="00A14713">
        <w:rPr>
          <w:rFonts w:ascii="Times New Roman" w:hAnsi="Times New Roman"/>
          <w:sz w:val="26"/>
          <w:szCs w:val="26"/>
        </w:rPr>
        <w:t xml:space="preserve">making </w:t>
      </w:r>
      <w:r w:rsidR="00A57495">
        <w:rPr>
          <w:rFonts w:ascii="Times New Roman" w:hAnsi="Times New Roman"/>
          <w:sz w:val="26"/>
          <w:szCs w:val="26"/>
        </w:rPr>
        <w:t xml:space="preserve">its offering.  </w:t>
      </w:r>
      <w:r w:rsidR="00A14713">
        <w:rPr>
          <w:rFonts w:ascii="Times New Roman" w:hAnsi="Times New Roman"/>
          <w:sz w:val="26"/>
          <w:szCs w:val="26"/>
        </w:rPr>
        <w:t xml:space="preserve">The ALJs also discussed </w:t>
      </w:r>
      <w:r w:rsidR="00A14713">
        <w:rPr>
          <w:rFonts w:ascii="Times New Roman" w:hAnsi="Times New Roman"/>
          <w:i/>
          <w:sz w:val="26"/>
          <w:szCs w:val="26"/>
        </w:rPr>
        <w:t>Towne v Great American Power, LLC</w:t>
      </w:r>
      <w:r w:rsidR="00A14713">
        <w:rPr>
          <w:rFonts w:ascii="Times New Roman" w:hAnsi="Times New Roman"/>
          <w:sz w:val="26"/>
          <w:szCs w:val="26"/>
        </w:rPr>
        <w:t>, Docket No. C-2012-2307991 (</w:t>
      </w:r>
      <w:r w:rsidR="00A14713" w:rsidRPr="00A14713">
        <w:rPr>
          <w:rFonts w:ascii="Times New Roman" w:hAnsi="Times New Roman"/>
          <w:i/>
          <w:sz w:val="26"/>
          <w:szCs w:val="26"/>
        </w:rPr>
        <w:t>Towne</w:t>
      </w:r>
      <w:r w:rsidR="00A14713" w:rsidRPr="00A14713">
        <w:rPr>
          <w:rFonts w:ascii="Times New Roman" w:hAnsi="Times New Roman"/>
          <w:sz w:val="26"/>
          <w:szCs w:val="26"/>
        </w:rPr>
        <w:t>)</w:t>
      </w:r>
      <w:r w:rsidR="00A14713">
        <w:rPr>
          <w:rFonts w:ascii="Times New Roman" w:hAnsi="Times New Roman"/>
          <w:sz w:val="26"/>
          <w:szCs w:val="26"/>
        </w:rPr>
        <w:t>, in which we increased the ALJ’s recommended civil penalty from $5,000 to $10,000 for an EGS found to have engaged in aggressive telemarketing and slamming, contacting a prospective customer fourteen times over twenty-six days despite being told to stop.  In both of these cases, however, the ALJs noted our concern over the impact such conduct would have upon the development of our competitive market.  I.D. at 50-52.</w:t>
      </w:r>
    </w:p>
    <w:p w:rsidR="00A14713" w:rsidRDefault="00A14713" w:rsidP="00337172">
      <w:pPr>
        <w:ind w:firstLine="1440"/>
        <w:rPr>
          <w:rFonts w:ascii="Times New Roman" w:hAnsi="Times New Roman"/>
          <w:sz w:val="26"/>
          <w:szCs w:val="26"/>
        </w:rPr>
      </w:pPr>
    </w:p>
    <w:p w:rsidR="00637592" w:rsidRDefault="00A14713" w:rsidP="00A14713">
      <w:pPr>
        <w:ind w:firstLine="1440"/>
        <w:rPr>
          <w:rFonts w:ascii="Times New Roman" w:hAnsi="Times New Roman"/>
          <w:sz w:val="26"/>
          <w:szCs w:val="26"/>
        </w:rPr>
      </w:pPr>
      <w:r>
        <w:rPr>
          <w:rFonts w:ascii="Times New Roman" w:hAnsi="Times New Roman"/>
          <w:sz w:val="26"/>
          <w:szCs w:val="26"/>
        </w:rPr>
        <w:t xml:space="preserve">The ALJs distinguished cases relied upon by HIKO for a lower civil penalty of $1 million or less on the basis that those cases were achieved by settlement, which </w:t>
      </w:r>
      <w:r w:rsidR="00062B27">
        <w:rPr>
          <w:rFonts w:ascii="Times New Roman" w:hAnsi="Times New Roman"/>
          <w:sz w:val="26"/>
          <w:szCs w:val="26"/>
        </w:rPr>
        <w:t xml:space="preserve">the ALJs found incomparable in the evidentiary </w:t>
      </w:r>
      <w:r>
        <w:rPr>
          <w:rFonts w:ascii="Times New Roman" w:hAnsi="Times New Roman"/>
          <w:sz w:val="26"/>
          <w:szCs w:val="26"/>
        </w:rPr>
        <w:t>records created</w:t>
      </w:r>
      <w:r w:rsidR="00062B27">
        <w:rPr>
          <w:rFonts w:ascii="Times New Roman" w:hAnsi="Times New Roman"/>
          <w:sz w:val="26"/>
          <w:szCs w:val="26"/>
        </w:rPr>
        <w:t xml:space="preserve">, including generally the lack of admissions of wrongdoing, and </w:t>
      </w:r>
      <w:r>
        <w:rPr>
          <w:rFonts w:ascii="Times New Roman" w:hAnsi="Times New Roman"/>
          <w:sz w:val="26"/>
          <w:szCs w:val="26"/>
        </w:rPr>
        <w:t>the</w:t>
      </w:r>
      <w:r w:rsidR="00062B27">
        <w:rPr>
          <w:rFonts w:ascii="Times New Roman" w:hAnsi="Times New Roman"/>
          <w:sz w:val="26"/>
          <w:szCs w:val="26"/>
        </w:rPr>
        <w:t>ir intended lack of</w:t>
      </w:r>
      <w:r>
        <w:rPr>
          <w:rFonts w:ascii="Times New Roman" w:hAnsi="Times New Roman"/>
          <w:sz w:val="26"/>
          <w:szCs w:val="26"/>
        </w:rPr>
        <w:t xml:space="preserve"> precedent</w:t>
      </w:r>
      <w:r w:rsidR="00A84258">
        <w:rPr>
          <w:rFonts w:ascii="Times New Roman" w:hAnsi="Times New Roman"/>
          <w:sz w:val="26"/>
          <w:szCs w:val="26"/>
        </w:rPr>
        <w:t>ial value</w:t>
      </w:r>
      <w:r>
        <w:rPr>
          <w:rFonts w:ascii="Times New Roman" w:hAnsi="Times New Roman"/>
          <w:sz w:val="26"/>
          <w:szCs w:val="26"/>
        </w:rPr>
        <w:t>.</w:t>
      </w:r>
      <w:r w:rsidR="00062B27">
        <w:rPr>
          <w:rFonts w:ascii="Times New Roman" w:hAnsi="Times New Roman"/>
          <w:sz w:val="26"/>
          <w:szCs w:val="26"/>
        </w:rPr>
        <w:t xml:space="preserve">  Moreover, in those cases there were generally far fewer customer accounts impacted by the wrongdoing.</w:t>
      </w:r>
    </w:p>
    <w:p w:rsidR="00062B27" w:rsidRDefault="00062B27" w:rsidP="00A14713">
      <w:pPr>
        <w:ind w:firstLine="1440"/>
        <w:rPr>
          <w:rFonts w:ascii="Times New Roman" w:hAnsi="Times New Roman"/>
          <w:sz w:val="26"/>
          <w:szCs w:val="26"/>
        </w:rPr>
      </w:pPr>
    </w:p>
    <w:p w:rsidR="00062B27" w:rsidRDefault="002D790F" w:rsidP="00A14713">
      <w:pPr>
        <w:ind w:firstLine="1440"/>
        <w:rPr>
          <w:rFonts w:ascii="Times New Roman" w:hAnsi="Times New Roman"/>
          <w:sz w:val="26"/>
          <w:szCs w:val="26"/>
        </w:rPr>
      </w:pPr>
      <w:r>
        <w:rPr>
          <w:rFonts w:ascii="Times New Roman" w:hAnsi="Times New Roman"/>
          <w:sz w:val="26"/>
          <w:szCs w:val="26"/>
        </w:rPr>
        <w:t>T</w:t>
      </w:r>
      <w:r w:rsidR="00062B27">
        <w:rPr>
          <w:rFonts w:ascii="Times New Roman" w:hAnsi="Times New Roman"/>
          <w:sz w:val="26"/>
          <w:szCs w:val="26"/>
        </w:rPr>
        <w:t xml:space="preserve">he ALJs </w:t>
      </w:r>
      <w:r>
        <w:rPr>
          <w:rFonts w:ascii="Times New Roman" w:hAnsi="Times New Roman"/>
          <w:sz w:val="26"/>
          <w:szCs w:val="26"/>
        </w:rPr>
        <w:t xml:space="preserve">also </w:t>
      </w:r>
      <w:r w:rsidR="00C5011F">
        <w:rPr>
          <w:rFonts w:ascii="Times New Roman" w:hAnsi="Times New Roman"/>
          <w:sz w:val="26"/>
          <w:szCs w:val="26"/>
        </w:rPr>
        <w:t>discussed</w:t>
      </w:r>
      <w:r w:rsidR="00062B27">
        <w:rPr>
          <w:rFonts w:ascii="Times New Roman" w:hAnsi="Times New Roman"/>
          <w:sz w:val="26"/>
          <w:szCs w:val="26"/>
        </w:rPr>
        <w:t xml:space="preserve"> recent Commission </w:t>
      </w:r>
      <w:r>
        <w:rPr>
          <w:rFonts w:ascii="Times New Roman" w:hAnsi="Times New Roman"/>
          <w:sz w:val="26"/>
          <w:szCs w:val="26"/>
        </w:rPr>
        <w:t xml:space="preserve">rulings </w:t>
      </w:r>
      <w:r w:rsidR="00062B27">
        <w:rPr>
          <w:rFonts w:ascii="Times New Roman" w:hAnsi="Times New Roman"/>
          <w:sz w:val="26"/>
          <w:szCs w:val="26"/>
        </w:rPr>
        <w:t xml:space="preserve">in </w:t>
      </w:r>
      <w:r w:rsidR="00062B27">
        <w:rPr>
          <w:rFonts w:ascii="Times New Roman" w:hAnsi="Times New Roman"/>
          <w:i/>
          <w:sz w:val="26"/>
          <w:szCs w:val="26"/>
        </w:rPr>
        <w:t>Kiback v. IDT Energy, Inc.</w:t>
      </w:r>
      <w:r w:rsidR="00062B27">
        <w:rPr>
          <w:rFonts w:ascii="Times New Roman" w:hAnsi="Times New Roman"/>
          <w:sz w:val="26"/>
          <w:szCs w:val="26"/>
        </w:rPr>
        <w:t>, Docket No. C-2014-2409676 (Order entered August 20, 2015) (</w:t>
      </w:r>
      <w:r w:rsidR="00062B27">
        <w:rPr>
          <w:rFonts w:ascii="Times New Roman" w:hAnsi="Times New Roman"/>
          <w:i/>
          <w:sz w:val="26"/>
          <w:szCs w:val="26"/>
        </w:rPr>
        <w:t>Kiback</w:t>
      </w:r>
      <w:r w:rsidR="00062B27">
        <w:rPr>
          <w:rFonts w:ascii="Times New Roman" w:hAnsi="Times New Roman"/>
          <w:sz w:val="26"/>
          <w:szCs w:val="26"/>
        </w:rPr>
        <w:t xml:space="preserve">) and </w:t>
      </w:r>
      <w:r w:rsidR="00A84258">
        <w:rPr>
          <w:rFonts w:ascii="Times New Roman" w:hAnsi="Times New Roman"/>
          <w:sz w:val="26"/>
          <w:szCs w:val="26"/>
        </w:rPr>
        <w:t xml:space="preserve">serial </w:t>
      </w:r>
      <w:r w:rsidR="00062B27">
        <w:rPr>
          <w:rFonts w:ascii="Times New Roman" w:hAnsi="Times New Roman"/>
          <w:sz w:val="26"/>
          <w:szCs w:val="26"/>
        </w:rPr>
        <w:t xml:space="preserve">orders entered in </w:t>
      </w:r>
      <w:r w:rsidR="00062B27">
        <w:rPr>
          <w:rFonts w:ascii="Times New Roman" w:hAnsi="Times New Roman"/>
          <w:i/>
          <w:sz w:val="26"/>
          <w:szCs w:val="26"/>
        </w:rPr>
        <w:t xml:space="preserve">MacLuckie v. PALMCO </w:t>
      </w:r>
      <w:r w:rsidR="00A84258">
        <w:rPr>
          <w:rFonts w:ascii="Times New Roman" w:hAnsi="Times New Roman"/>
          <w:i/>
          <w:sz w:val="26"/>
          <w:szCs w:val="26"/>
        </w:rPr>
        <w:t>E</w:t>
      </w:r>
      <w:r w:rsidR="00062B27">
        <w:rPr>
          <w:rFonts w:ascii="Times New Roman" w:hAnsi="Times New Roman"/>
          <w:i/>
          <w:sz w:val="26"/>
          <w:szCs w:val="26"/>
        </w:rPr>
        <w:t>nergy PA, LLC</w:t>
      </w:r>
      <w:r w:rsidR="00062B27">
        <w:rPr>
          <w:rFonts w:ascii="Times New Roman" w:hAnsi="Times New Roman"/>
          <w:sz w:val="26"/>
          <w:szCs w:val="26"/>
        </w:rPr>
        <w:t>, Docket No. C-2014-2402558 (Order entered December 4, 2014) (</w:t>
      </w:r>
      <w:r w:rsidR="00C5011F">
        <w:rPr>
          <w:rFonts w:ascii="Times New Roman" w:hAnsi="Times New Roman"/>
          <w:i/>
          <w:sz w:val="26"/>
          <w:szCs w:val="26"/>
        </w:rPr>
        <w:t xml:space="preserve">MacLuckie </w:t>
      </w:r>
      <w:r w:rsidR="00062B27">
        <w:rPr>
          <w:rFonts w:ascii="Times New Roman" w:hAnsi="Times New Roman"/>
          <w:i/>
          <w:sz w:val="26"/>
          <w:szCs w:val="26"/>
        </w:rPr>
        <w:t>Order on Remand</w:t>
      </w:r>
      <w:r w:rsidR="00062B27">
        <w:rPr>
          <w:rFonts w:ascii="Times New Roman" w:hAnsi="Times New Roman"/>
          <w:sz w:val="26"/>
          <w:szCs w:val="26"/>
        </w:rPr>
        <w:t>), the ALJ’s April 30, 2015 Initial Decision following remand (</w:t>
      </w:r>
      <w:r w:rsidR="00C5011F">
        <w:rPr>
          <w:rFonts w:ascii="Times New Roman" w:hAnsi="Times New Roman"/>
          <w:i/>
          <w:sz w:val="26"/>
          <w:szCs w:val="26"/>
        </w:rPr>
        <w:t xml:space="preserve">MacLuckie </w:t>
      </w:r>
      <w:r w:rsidR="00062B27" w:rsidRPr="00062B27">
        <w:rPr>
          <w:rFonts w:ascii="Times New Roman" w:hAnsi="Times New Roman"/>
          <w:i/>
          <w:sz w:val="26"/>
          <w:szCs w:val="26"/>
        </w:rPr>
        <w:t>Initial Decision on Remand</w:t>
      </w:r>
      <w:r w:rsidR="00062B27">
        <w:rPr>
          <w:rFonts w:ascii="Times New Roman" w:hAnsi="Times New Roman"/>
          <w:sz w:val="26"/>
          <w:szCs w:val="26"/>
        </w:rPr>
        <w:t xml:space="preserve">), and the final order entered by operation of law on June 20, 2015, following the </w:t>
      </w:r>
      <w:r w:rsidR="00062B27">
        <w:rPr>
          <w:rFonts w:ascii="Times New Roman" w:hAnsi="Times New Roman"/>
          <w:sz w:val="26"/>
          <w:szCs w:val="26"/>
        </w:rPr>
        <w:lastRenderedPageBreak/>
        <w:t xml:space="preserve">issuance of </w:t>
      </w:r>
      <w:r w:rsidR="00062B27" w:rsidRPr="00062B27">
        <w:rPr>
          <w:rFonts w:ascii="Times New Roman" w:hAnsi="Times New Roman"/>
          <w:i/>
          <w:sz w:val="26"/>
          <w:szCs w:val="26"/>
        </w:rPr>
        <w:t>Initial Decision on Remand</w:t>
      </w:r>
      <w:r w:rsidR="00062B27">
        <w:rPr>
          <w:rFonts w:ascii="Times New Roman" w:hAnsi="Times New Roman"/>
          <w:sz w:val="26"/>
          <w:szCs w:val="26"/>
        </w:rPr>
        <w:t xml:space="preserve"> to which no exceptions were taken. </w:t>
      </w:r>
      <w:r w:rsidR="00C5011F">
        <w:rPr>
          <w:rFonts w:ascii="Times New Roman" w:hAnsi="Times New Roman"/>
          <w:sz w:val="26"/>
          <w:szCs w:val="26"/>
        </w:rPr>
        <w:t>E</w:t>
      </w:r>
      <w:r w:rsidR="00062B27">
        <w:rPr>
          <w:rFonts w:ascii="Times New Roman" w:hAnsi="Times New Roman"/>
          <w:sz w:val="26"/>
          <w:szCs w:val="26"/>
        </w:rPr>
        <w:t xml:space="preserve">ach of those cases involved </w:t>
      </w:r>
      <w:r w:rsidR="00C5011F">
        <w:rPr>
          <w:rFonts w:ascii="Times New Roman" w:hAnsi="Times New Roman"/>
          <w:sz w:val="26"/>
          <w:szCs w:val="26"/>
        </w:rPr>
        <w:t xml:space="preserve">a single complainant, deceptive marketing by an EGS or natural gas equivalent, a </w:t>
      </w:r>
      <w:r w:rsidR="00062B27">
        <w:rPr>
          <w:rFonts w:ascii="Times New Roman" w:hAnsi="Times New Roman"/>
          <w:sz w:val="26"/>
          <w:szCs w:val="26"/>
        </w:rPr>
        <w:t>violation of Section 54.4(a) of our Regulations</w:t>
      </w:r>
      <w:r w:rsidR="00C5011F">
        <w:rPr>
          <w:rFonts w:ascii="Times New Roman" w:hAnsi="Times New Roman"/>
          <w:sz w:val="26"/>
          <w:szCs w:val="26"/>
        </w:rPr>
        <w:t xml:space="preserve"> and another provision</w:t>
      </w:r>
      <w:r w:rsidR="00062B27">
        <w:rPr>
          <w:rFonts w:ascii="Times New Roman" w:hAnsi="Times New Roman"/>
          <w:sz w:val="26"/>
          <w:szCs w:val="26"/>
        </w:rPr>
        <w:t xml:space="preserve">, </w:t>
      </w:r>
      <w:r w:rsidR="00C5011F">
        <w:rPr>
          <w:rFonts w:ascii="Times New Roman" w:hAnsi="Times New Roman"/>
          <w:sz w:val="26"/>
          <w:szCs w:val="26"/>
        </w:rPr>
        <w:t xml:space="preserve">and the imposition of a penalty of $2,000 in addition to directed refunds.  </w:t>
      </w:r>
      <w:r w:rsidR="00A84258">
        <w:rPr>
          <w:rFonts w:ascii="Times New Roman" w:hAnsi="Times New Roman"/>
          <w:sz w:val="26"/>
          <w:szCs w:val="26"/>
        </w:rPr>
        <w:t>I.D.</w:t>
      </w:r>
      <w:r w:rsidR="00F05C07">
        <w:rPr>
          <w:rFonts w:ascii="Times New Roman" w:hAnsi="Times New Roman"/>
          <w:sz w:val="26"/>
          <w:szCs w:val="26"/>
        </w:rPr>
        <w:t xml:space="preserve"> at 54-56.</w:t>
      </w:r>
    </w:p>
    <w:p w:rsidR="00F05C07" w:rsidRDefault="00F05C07" w:rsidP="00A14713">
      <w:pPr>
        <w:ind w:firstLine="1440"/>
        <w:rPr>
          <w:rFonts w:ascii="Times New Roman" w:hAnsi="Times New Roman"/>
          <w:sz w:val="26"/>
          <w:szCs w:val="26"/>
        </w:rPr>
      </w:pPr>
    </w:p>
    <w:p w:rsidR="00F05C07" w:rsidRDefault="00F05C07" w:rsidP="00A14713">
      <w:pPr>
        <w:ind w:firstLine="1440"/>
        <w:rPr>
          <w:rFonts w:ascii="Times New Roman" w:hAnsi="Times New Roman"/>
          <w:sz w:val="26"/>
          <w:szCs w:val="26"/>
        </w:rPr>
      </w:pPr>
      <w:r>
        <w:rPr>
          <w:rFonts w:ascii="Times New Roman" w:hAnsi="Times New Roman"/>
          <w:sz w:val="26"/>
          <w:szCs w:val="26"/>
        </w:rPr>
        <w:t xml:space="preserve">Finally the ALJs addressed </w:t>
      </w:r>
      <w:r>
        <w:rPr>
          <w:rFonts w:ascii="Times New Roman" w:hAnsi="Times New Roman"/>
          <w:i/>
          <w:sz w:val="26"/>
          <w:szCs w:val="26"/>
        </w:rPr>
        <w:t>OAG/OCA-HIKO Settlement</w:t>
      </w:r>
      <w:r>
        <w:rPr>
          <w:rFonts w:ascii="Times New Roman" w:hAnsi="Times New Roman"/>
          <w:sz w:val="26"/>
          <w:szCs w:val="26"/>
        </w:rPr>
        <w:t xml:space="preserve">.  With respect to that proceeding, the ALJs concluded that inasmuch as this proceeding and that settlement involved similar parties, </w:t>
      </w:r>
      <w:r w:rsidR="00EB590F">
        <w:rPr>
          <w:rFonts w:ascii="Times New Roman" w:hAnsi="Times New Roman"/>
          <w:sz w:val="26"/>
          <w:szCs w:val="26"/>
        </w:rPr>
        <w:t xml:space="preserve">facts, and requests for relief, but which were not consolidated due to I&amp;E’s objection, “neither decision is being made in a vacuum without consideration for the impact each case has upon the other.”  </w:t>
      </w:r>
      <w:r w:rsidR="00A84258">
        <w:rPr>
          <w:rFonts w:ascii="Times New Roman" w:hAnsi="Times New Roman"/>
          <w:sz w:val="26"/>
          <w:szCs w:val="26"/>
        </w:rPr>
        <w:t>I.D.</w:t>
      </w:r>
      <w:r w:rsidR="00EB590F">
        <w:rPr>
          <w:rFonts w:ascii="Times New Roman" w:hAnsi="Times New Roman"/>
          <w:sz w:val="26"/>
          <w:szCs w:val="26"/>
        </w:rPr>
        <w:t xml:space="preserve"> at 56.  Rather, as the ALJs opined, the rulings in both “should be consistent and in the public interest as a whole.”  </w:t>
      </w:r>
      <w:r w:rsidR="00EB590F">
        <w:rPr>
          <w:rFonts w:ascii="Times New Roman" w:hAnsi="Times New Roman"/>
          <w:i/>
          <w:sz w:val="26"/>
          <w:szCs w:val="26"/>
        </w:rPr>
        <w:t>Id.</w:t>
      </w:r>
      <w:r w:rsidR="00EB590F">
        <w:rPr>
          <w:rFonts w:ascii="Times New Roman" w:hAnsi="Times New Roman"/>
          <w:sz w:val="26"/>
          <w:szCs w:val="26"/>
        </w:rPr>
        <w:t xml:space="preserve">  The ALJs stated that “the reasonableness of a lack of a civil penalty in the Settlement [was] evaluated considering the fully litigated record in the instant case” including the testimony of both parties</w:t>
      </w:r>
      <w:r w:rsidR="00D023DC">
        <w:rPr>
          <w:rFonts w:ascii="Times New Roman" w:hAnsi="Times New Roman"/>
          <w:sz w:val="26"/>
          <w:szCs w:val="26"/>
        </w:rPr>
        <w:t xml:space="preserve">.  </w:t>
      </w:r>
      <w:r w:rsidR="00D023DC">
        <w:rPr>
          <w:rFonts w:ascii="Times New Roman" w:hAnsi="Times New Roman"/>
          <w:i/>
          <w:sz w:val="26"/>
          <w:szCs w:val="26"/>
        </w:rPr>
        <w:t>Id.</w:t>
      </w:r>
      <w:r w:rsidR="00D023DC">
        <w:rPr>
          <w:rFonts w:ascii="Times New Roman" w:hAnsi="Times New Roman"/>
          <w:sz w:val="26"/>
          <w:szCs w:val="26"/>
        </w:rPr>
        <w:t xml:space="preserve">  In concluding their consideration of this ninth factor, the ALJs determined that it “</w:t>
      </w:r>
      <w:r w:rsidR="00BD77D3">
        <w:rPr>
          <w:rFonts w:ascii="Times New Roman" w:hAnsi="Times New Roman"/>
          <w:sz w:val="26"/>
          <w:szCs w:val="26"/>
        </w:rPr>
        <w:t>weighed in favor of</w:t>
      </w:r>
      <w:r w:rsidR="00EB590F">
        <w:rPr>
          <w:rFonts w:ascii="Times New Roman" w:hAnsi="Times New Roman"/>
          <w:sz w:val="26"/>
          <w:szCs w:val="26"/>
        </w:rPr>
        <w:t xml:space="preserve"> a moderate per occurrence/violation civil penalty, but a substantial total civil penalty higher than $1,000,000 in the instant case given the high number of admitted intentional occurrences of overcharging.</w:t>
      </w:r>
      <w:r w:rsidR="00D023DC">
        <w:rPr>
          <w:rFonts w:ascii="Times New Roman" w:hAnsi="Times New Roman"/>
          <w:sz w:val="26"/>
          <w:szCs w:val="26"/>
        </w:rPr>
        <w:t>”</w:t>
      </w:r>
      <w:r w:rsidR="00EB590F">
        <w:rPr>
          <w:rFonts w:ascii="Times New Roman" w:hAnsi="Times New Roman"/>
          <w:sz w:val="26"/>
          <w:szCs w:val="26"/>
        </w:rPr>
        <w:t xml:space="preserve">  </w:t>
      </w:r>
      <w:r w:rsidR="00EB590F">
        <w:rPr>
          <w:rFonts w:ascii="Times New Roman" w:hAnsi="Times New Roman"/>
          <w:i/>
          <w:sz w:val="26"/>
          <w:szCs w:val="26"/>
        </w:rPr>
        <w:t>Id.</w:t>
      </w:r>
    </w:p>
    <w:p w:rsidR="00D023DC" w:rsidRDefault="00D023DC" w:rsidP="00A14713">
      <w:pPr>
        <w:ind w:firstLine="1440"/>
        <w:rPr>
          <w:rFonts w:ascii="Times New Roman" w:hAnsi="Times New Roman"/>
          <w:sz w:val="26"/>
          <w:szCs w:val="26"/>
        </w:rPr>
      </w:pPr>
    </w:p>
    <w:p w:rsidR="00D023DC" w:rsidRDefault="00D023DC" w:rsidP="00A14713">
      <w:pPr>
        <w:ind w:firstLine="1440"/>
        <w:rPr>
          <w:rFonts w:ascii="Times New Roman" w:hAnsi="Times New Roman"/>
          <w:sz w:val="26"/>
          <w:szCs w:val="26"/>
        </w:rPr>
      </w:pPr>
      <w:r>
        <w:rPr>
          <w:rFonts w:ascii="Times New Roman" w:hAnsi="Times New Roman"/>
          <w:sz w:val="26"/>
          <w:szCs w:val="26"/>
        </w:rPr>
        <w:t xml:space="preserve">In consideration of the final factor under our policy statement, </w:t>
      </w:r>
      <w:r w:rsidR="00F64BF1">
        <w:rPr>
          <w:rFonts w:ascii="Times New Roman" w:hAnsi="Times New Roman"/>
          <w:sz w:val="26"/>
          <w:szCs w:val="26"/>
        </w:rPr>
        <w:t xml:space="preserve">the </w:t>
      </w:r>
      <w:r>
        <w:rPr>
          <w:rFonts w:ascii="Times New Roman" w:hAnsi="Times New Roman"/>
          <w:sz w:val="26"/>
          <w:szCs w:val="26"/>
        </w:rPr>
        <w:t xml:space="preserve">catchall “other relevant factors,” the ALJs addressed the weather effects caused by the polar vortex as requested by HIKO.  </w:t>
      </w:r>
      <w:r w:rsidR="00F64BF1">
        <w:rPr>
          <w:rFonts w:ascii="Times New Roman" w:hAnsi="Times New Roman"/>
          <w:sz w:val="26"/>
          <w:szCs w:val="26"/>
        </w:rPr>
        <w:t xml:space="preserve">As </w:t>
      </w:r>
      <w:r w:rsidR="00A84258">
        <w:rPr>
          <w:rFonts w:ascii="Times New Roman" w:hAnsi="Times New Roman"/>
          <w:sz w:val="26"/>
          <w:szCs w:val="26"/>
        </w:rPr>
        <w:t>pleaded</w:t>
      </w:r>
      <w:r w:rsidR="00F64BF1">
        <w:rPr>
          <w:rFonts w:ascii="Times New Roman" w:hAnsi="Times New Roman"/>
          <w:sz w:val="26"/>
          <w:szCs w:val="26"/>
        </w:rPr>
        <w:t xml:space="preserve"> by HIKO, the Company’s loss of customers and plans to make restitution following that weather impact were sufficient and warranted against the imposition of a</w:t>
      </w:r>
      <w:r w:rsidR="00A84258">
        <w:rPr>
          <w:rFonts w:ascii="Times New Roman" w:hAnsi="Times New Roman"/>
          <w:sz w:val="26"/>
          <w:szCs w:val="26"/>
        </w:rPr>
        <w:t>ny civil</w:t>
      </w:r>
      <w:r w:rsidR="00F64BF1">
        <w:rPr>
          <w:rFonts w:ascii="Times New Roman" w:hAnsi="Times New Roman"/>
          <w:sz w:val="26"/>
          <w:szCs w:val="26"/>
        </w:rPr>
        <w:t xml:space="preserve"> penalty.  The ALJs disagreed and found that the weather brought about by the polar vortex and other conditions that caused exponential increases in the spot market prices upon which HIKO </w:t>
      </w:r>
      <w:r w:rsidR="00A84258">
        <w:rPr>
          <w:rFonts w:ascii="Times New Roman" w:hAnsi="Times New Roman"/>
          <w:sz w:val="26"/>
          <w:szCs w:val="26"/>
        </w:rPr>
        <w:t xml:space="preserve">exclusively </w:t>
      </w:r>
      <w:r w:rsidR="00F64BF1">
        <w:rPr>
          <w:rFonts w:ascii="Times New Roman" w:hAnsi="Times New Roman"/>
          <w:sz w:val="26"/>
          <w:szCs w:val="26"/>
        </w:rPr>
        <w:t>relied were insufficient grounds for HIKO to have deliberately breached their guarantee</w:t>
      </w:r>
      <w:r w:rsidR="00A84258">
        <w:rPr>
          <w:rFonts w:ascii="Times New Roman" w:hAnsi="Times New Roman"/>
          <w:sz w:val="26"/>
          <w:szCs w:val="26"/>
        </w:rPr>
        <w:t>d saving</w:t>
      </w:r>
      <w:r w:rsidR="00F64BF1">
        <w:rPr>
          <w:rFonts w:ascii="Times New Roman" w:hAnsi="Times New Roman"/>
          <w:sz w:val="26"/>
          <w:szCs w:val="26"/>
        </w:rPr>
        <w:t xml:space="preserve">s to customers.  As the ALJs noted, quoting from our Order following review of the variable rate market </w:t>
      </w:r>
      <w:r w:rsidR="00F64BF1">
        <w:rPr>
          <w:rFonts w:ascii="Times New Roman" w:hAnsi="Times New Roman"/>
          <w:sz w:val="26"/>
          <w:szCs w:val="26"/>
        </w:rPr>
        <w:lastRenderedPageBreak/>
        <w:t>after the polar vortex impact,</w:t>
      </w:r>
      <w:r w:rsidR="00F64BF1">
        <w:rPr>
          <w:rStyle w:val="FootnoteReference"/>
          <w:sz w:val="26"/>
          <w:szCs w:val="26"/>
        </w:rPr>
        <w:footnoteReference w:id="4"/>
      </w:r>
      <w:r w:rsidR="00F64BF1">
        <w:rPr>
          <w:rFonts w:ascii="Times New Roman" w:hAnsi="Times New Roman"/>
          <w:sz w:val="26"/>
          <w:szCs w:val="26"/>
        </w:rPr>
        <w:t xml:space="preserve"> some competitive supply providers simply absorbed the price increases.  While acknowledging that the weather was outside HIKO’s control, the ALJs noted several factors within the Company’s control, including its marketing and sales customer information, the composition of its supply portfolio, </w:t>
      </w:r>
      <w:r w:rsidR="006F6C90">
        <w:rPr>
          <w:rFonts w:ascii="Times New Roman" w:hAnsi="Times New Roman"/>
          <w:sz w:val="26"/>
          <w:szCs w:val="26"/>
        </w:rPr>
        <w:t xml:space="preserve">its executive decision to borrow $20 million in order to stay in business, and its decision to ignore its guaranteed savings contracts by recovering those increased costs from those customers through price increases without regard to refunds absent customer complaints.  </w:t>
      </w:r>
      <w:r w:rsidR="006F6C90">
        <w:rPr>
          <w:rFonts w:ascii="Times New Roman" w:hAnsi="Times New Roman"/>
          <w:i/>
          <w:sz w:val="26"/>
          <w:szCs w:val="26"/>
        </w:rPr>
        <w:t xml:space="preserve">Id. </w:t>
      </w:r>
      <w:r w:rsidR="006F6C90">
        <w:rPr>
          <w:rFonts w:ascii="Times New Roman" w:hAnsi="Times New Roman"/>
          <w:sz w:val="26"/>
          <w:szCs w:val="26"/>
        </w:rPr>
        <w:t>at 58.</w:t>
      </w:r>
    </w:p>
    <w:p w:rsidR="006F6C90" w:rsidRDefault="006F6C90" w:rsidP="00A14713">
      <w:pPr>
        <w:ind w:firstLine="1440"/>
        <w:rPr>
          <w:rFonts w:ascii="Times New Roman" w:hAnsi="Times New Roman"/>
          <w:sz w:val="26"/>
          <w:szCs w:val="26"/>
        </w:rPr>
      </w:pPr>
    </w:p>
    <w:p w:rsidR="00585185" w:rsidRDefault="002D790F" w:rsidP="00A14713">
      <w:pPr>
        <w:ind w:firstLine="1440"/>
        <w:rPr>
          <w:rFonts w:ascii="Times New Roman" w:hAnsi="Times New Roman"/>
          <w:sz w:val="26"/>
          <w:szCs w:val="26"/>
        </w:rPr>
      </w:pPr>
      <w:r>
        <w:rPr>
          <w:rFonts w:ascii="Times New Roman" w:hAnsi="Times New Roman"/>
          <w:sz w:val="26"/>
          <w:szCs w:val="26"/>
        </w:rPr>
        <w:t>In consideration of other relevant factors, t</w:t>
      </w:r>
      <w:r w:rsidR="006F6C90">
        <w:rPr>
          <w:rFonts w:ascii="Times New Roman" w:hAnsi="Times New Roman"/>
          <w:sz w:val="26"/>
          <w:szCs w:val="26"/>
        </w:rPr>
        <w:t xml:space="preserve">he ALJs also again considered their proposed disposition in </w:t>
      </w:r>
      <w:r w:rsidR="006F6C90">
        <w:rPr>
          <w:rFonts w:ascii="Times New Roman" w:hAnsi="Times New Roman"/>
          <w:i/>
          <w:sz w:val="26"/>
          <w:szCs w:val="26"/>
        </w:rPr>
        <w:t>OAG/OCA-HIKO Settlement</w:t>
      </w:r>
      <w:r w:rsidR="006F6C90">
        <w:rPr>
          <w:rFonts w:ascii="Times New Roman" w:hAnsi="Times New Roman"/>
          <w:sz w:val="26"/>
          <w:szCs w:val="26"/>
        </w:rPr>
        <w:t xml:space="preserve"> as well as settlements HIKO agreed to in neighboring New York and New Jersey.  In the pending Pennsylvania settlement, the ALJs described the conditions agreed to as the establishment of a refund pool in the amount of $2,025,383.85, </w:t>
      </w:r>
      <w:r w:rsidR="00585185">
        <w:rPr>
          <w:rFonts w:ascii="Times New Roman" w:hAnsi="Times New Roman"/>
          <w:sz w:val="26"/>
          <w:szCs w:val="26"/>
        </w:rPr>
        <w:t xml:space="preserve">which </w:t>
      </w:r>
      <w:r w:rsidR="006F6C90">
        <w:rPr>
          <w:rFonts w:ascii="Times New Roman" w:hAnsi="Times New Roman"/>
          <w:sz w:val="26"/>
          <w:szCs w:val="26"/>
        </w:rPr>
        <w:t>compris</w:t>
      </w:r>
      <w:r w:rsidR="00585185">
        <w:rPr>
          <w:rFonts w:ascii="Times New Roman" w:hAnsi="Times New Roman"/>
          <w:sz w:val="26"/>
          <w:szCs w:val="26"/>
        </w:rPr>
        <w:t>es</w:t>
      </w:r>
      <w:r w:rsidR="006F6C90">
        <w:rPr>
          <w:rFonts w:ascii="Times New Roman" w:hAnsi="Times New Roman"/>
          <w:sz w:val="26"/>
          <w:szCs w:val="26"/>
        </w:rPr>
        <w:t xml:space="preserve"> the total refund less the $159,320.15 in refunds already provided by HIKO.  This refund pool assures that all customers on the 1%-7% guaranteed savings plan will receive a refund reflecting an average savings of 3.5% for the period January through March 2014.  The refund pool also reflects $352,860.75 to be allocated as refunds </w:t>
      </w:r>
      <w:r w:rsidR="00585185">
        <w:rPr>
          <w:rFonts w:ascii="Times New Roman" w:hAnsi="Times New Roman"/>
          <w:sz w:val="26"/>
          <w:szCs w:val="26"/>
        </w:rPr>
        <w:t xml:space="preserve">to customers on HIKO’s variable rate plans but not in the guaranteed savings plan, less the $42,139.24 again already refunded by HIKO.  In addition to the refunds, HIKO also agreed to pay up to $50,000 in the cost of administering the refunds plus a $25,000 contribution to the EDCs’ hardship funds.  In addition to those monetary agreements, HIKO also agreed to forbear marketing a variable rate product in Pennsylvania before July 1, 2016, and to implement a broad range of consumer protections in its operations and marketing.  </w:t>
      </w:r>
      <w:r w:rsidR="00585185">
        <w:rPr>
          <w:rFonts w:ascii="Times New Roman" w:hAnsi="Times New Roman"/>
          <w:i/>
          <w:sz w:val="26"/>
          <w:szCs w:val="26"/>
        </w:rPr>
        <w:t>Id.</w:t>
      </w:r>
      <w:r w:rsidR="00585185">
        <w:rPr>
          <w:rFonts w:ascii="Times New Roman" w:hAnsi="Times New Roman"/>
          <w:sz w:val="26"/>
          <w:szCs w:val="26"/>
        </w:rPr>
        <w:t xml:space="preserve"> at</w:t>
      </w:r>
      <w:r w:rsidR="0068384D">
        <w:rPr>
          <w:rFonts w:ascii="Times New Roman" w:hAnsi="Times New Roman"/>
          <w:sz w:val="26"/>
          <w:szCs w:val="26"/>
        </w:rPr>
        <w:t> </w:t>
      </w:r>
      <w:r w:rsidR="00585185">
        <w:rPr>
          <w:rFonts w:ascii="Times New Roman" w:hAnsi="Times New Roman"/>
          <w:sz w:val="26"/>
          <w:szCs w:val="26"/>
        </w:rPr>
        <w:t>58-59.</w:t>
      </w:r>
    </w:p>
    <w:p w:rsidR="00585185" w:rsidRDefault="00585185" w:rsidP="00A14713">
      <w:pPr>
        <w:ind w:firstLine="1440"/>
        <w:rPr>
          <w:rFonts w:ascii="Times New Roman" w:hAnsi="Times New Roman"/>
          <w:sz w:val="26"/>
          <w:szCs w:val="26"/>
        </w:rPr>
      </w:pPr>
    </w:p>
    <w:p w:rsidR="006F6C90" w:rsidRPr="00585185" w:rsidRDefault="00585185" w:rsidP="00A14713">
      <w:pPr>
        <w:ind w:firstLine="1440"/>
        <w:rPr>
          <w:rFonts w:ascii="Times New Roman" w:hAnsi="Times New Roman"/>
          <w:sz w:val="26"/>
          <w:szCs w:val="26"/>
        </w:rPr>
      </w:pPr>
      <w:r>
        <w:rPr>
          <w:rFonts w:ascii="Times New Roman" w:hAnsi="Times New Roman"/>
          <w:sz w:val="26"/>
          <w:szCs w:val="26"/>
        </w:rPr>
        <w:t xml:space="preserve">The ALJs described the New York settlement, where HIKO served approximately ten times more customers than in Pennsylvania, as providing for a $2.1 </w:t>
      </w:r>
      <w:r>
        <w:rPr>
          <w:rFonts w:ascii="Times New Roman" w:hAnsi="Times New Roman"/>
          <w:sz w:val="26"/>
          <w:szCs w:val="26"/>
        </w:rPr>
        <w:lastRenderedPageBreak/>
        <w:t xml:space="preserve">million settlement, comprising $1.85 million in restitution, $100,000 in civil penalties, $150,000 in attorney fees and investigative costs, and a promise not to market but then fail to deliver a guaranteed savings plan.  Similarly, in the New Jersey settlement, which impacted two to three times the number of customers as affected in Pennsylvania, HIKO agreed to restitution in the amount of $1.25 million and administrative costs.  The ALJs found noteworthy that HIKO engaged in similar practices and settlements in those neighboring states, but did not find </w:t>
      </w:r>
      <w:r w:rsidR="002D790F">
        <w:rPr>
          <w:rFonts w:ascii="Times New Roman" w:hAnsi="Times New Roman"/>
          <w:sz w:val="26"/>
          <w:szCs w:val="26"/>
        </w:rPr>
        <w:t>those settlements to be</w:t>
      </w:r>
      <w:r>
        <w:rPr>
          <w:rFonts w:ascii="Times New Roman" w:hAnsi="Times New Roman"/>
          <w:sz w:val="26"/>
          <w:szCs w:val="26"/>
        </w:rPr>
        <w:t xml:space="preserve"> controlling in </w:t>
      </w:r>
      <w:r w:rsidR="002D790F">
        <w:rPr>
          <w:rFonts w:ascii="Times New Roman" w:hAnsi="Times New Roman"/>
          <w:sz w:val="26"/>
          <w:szCs w:val="26"/>
        </w:rPr>
        <w:t xml:space="preserve">terms of </w:t>
      </w:r>
      <w:r>
        <w:rPr>
          <w:rFonts w:ascii="Times New Roman" w:hAnsi="Times New Roman"/>
          <w:sz w:val="26"/>
          <w:szCs w:val="26"/>
        </w:rPr>
        <w:t xml:space="preserve">imposing a lower civil penalty in this fully litigated </w:t>
      </w:r>
      <w:r w:rsidR="002D790F">
        <w:rPr>
          <w:rFonts w:ascii="Times New Roman" w:hAnsi="Times New Roman"/>
          <w:sz w:val="26"/>
          <w:szCs w:val="26"/>
        </w:rPr>
        <w:t xml:space="preserve">Pennsylvania </w:t>
      </w:r>
      <w:r>
        <w:rPr>
          <w:rFonts w:ascii="Times New Roman" w:hAnsi="Times New Roman"/>
          <w:sz w:val="26"/>
          <w:szCs w:val="26"/>
        </w:rPr>
        <w:t xml:space="preserve">proceeding. </w:t>
      </w:r>
      <w:r w:rsidR="00F91817">
        <w:rPr>
          <w:rFonts w:ascii="Times New Roman" w:hAnsi="Times New Roman"/>
          <w:sz w:val="26"/>
          <w:szCs w:val="26"/>
        </w:rPr>
        <w:t xml:space="preserve"> </w:t>
      </w:r>
      <w:r w:rsidR="00F91817" w:rsidRPr="00F91817">
        <w:rPr>
          <w:rFonts w:ascii="Times New Roman" w:hAnsi="Times New Roman"/>
          <w:i/>
          <w:sz w:val="26"/>
          <w:szCs w:val="26"/>
        </w:rPr>
        <w:t>Id</w:t>
      </w:r>
      <w:r w:rsidR="00F91817" w:rsidRPr="00F91817">
        <w:rPr>
          <w:rFonts w:ascii="Times New Roman" w:hAnsi="Times New Roman"/>
          <w:sz w:val="26"/>
          <w:szCs w:val="26"/>
        </w:rPr>
        <w:t>. at</w:t>
      </w:r>
      <w:r w:rsidR="00F91817">
        <w:rPr>
          <w:rFonts w:ascii="Times New Roman" w:hAnsi="Times New Roman"/>
          <w:sz w:val="26"/>
          <w:szCs w:val="26"/>
        </w:rPr>
        <w:t> </w:t>
      </w:r>
      <w:r w:rsidR="00F91817" w:rsidRPr="00F91817">
        <w:rPr>
          <w:rFonts w:ascii="Times New Roman" w:hAnsi="Times New Roman"/>
          <w:sz w:val="26"/>
          <w:szCs w:val="26"/>
        </w:rPr>
        <w:t>59</w:t>
      </w:r>
      <w:r w:rsidR="00F91817">
        <w:rPr>
          <w:rFonts w:ascii="Times New Roman" w:hAnsi="Times New Roman"/>
          <w:sz w:val="26"/>
          <w:szCs w:val="26"/>
        </w:rPr>
        <w:noBreakHyphen/>
      </w:r>
      <w:r w:rsidR="00F91817" w:rsidRPr="00F91817">
        <w:rPr>
          <w:rFonts w:ascii="Times New Roman" w:hAnsi="Times New Roman"/>
          <w:sz w:val="26"/>
          <w:szCs w:val="26"/>
        </w:rPr>
        <w:t>60.</w:t>
      </w:r>
    </w:p>
    <w:p w:rsidR="00F64BF1" w:rsidRDefault="00F64BF1" w:rsidP="00A14713">
      <w:pPr>
        <w:ind w:firstLine="1440"/>
        <w:rPr>
          <w:rFonts w:ascii="Times New Roman" w:hAnsi="Times New Roman"/>
          <w:sz w:val="26"/>
          <w:szCs w:val="26"/>
        </w:rPr>
      </w:pPr>
    </w:p>
    <w:p w:rsidR="003C28E4" w:rsidRDefault="002D790F" w:rsidP="00A14713">
      <w:pPr>
        <w:ind w:firstLine="1440"/>
        <w:rPr>
          <w:rFonts w:ascii="Times New Roman" w:hAnsi="Times New Roman"/>
          <w:sz w:val="26"/>
          <w:szCs w:val="26"/>
        </w:rPr>
      </w:pPr>
      <w:r>
        <w:rPr>
          <w:rFonts w:ascii="Times New Roman" w:hAnsi="Times New Roman"/>
          <w:sz w:val="26"/>
          <w:szCs w:val="26"/>
        </w:rPr>
        <w:t xml:space="preserve">Following completion of the ALJs’ analysis of their determination of a civil penalty, they turned attention to the other relief requested by I&amp;E, </w:t>
      </w:r>
      <w:r w:rsidR="003C28E4">
        <w:rPr>
          <w:rFonts w:ascii="Times New Roman" w:hAnsi="Times New Roman"/>
          <w:sz w:val="26"/>
          <w:szCs w:val="26"/>
        </w:rPr>
        <w:t>suspension or revocation of</w:t>
      </w:r>
      <w:r>
        <w:rPr>
          <w:rFonts w:ascii="Times New Roman" w:hAnsi="Times New Roman"/>
          <w:sz w:val="26"/>
          <w:szCs w:val="26"/>
        </w:rPr>
        <w:t xml:space="preserve"> HIKO’s license</w:t>
      </w:r>
      <w:r w:rsidR="00F91817">
        <w:rPr>
          <w:rFonts w:ascii="Times New Roman" w:hAnsi="Times New Roman"/>
          <w:sz w:val="26"/>
          <w:szCs w:val="26"/>
        </w:rPr>
        <w:t xml:space="preserve">. </w:t>
      </w:r>
      <w:r>
        <w:rPr>
          <w:rFonts w:ascii="Times New Roman" w:hAnsi="Times New Roman"/>
          <w:sz w:val="26"/>
          <w:szCs w:val="26"/>
        </w:rPr>
        <w:t xml:space="preserve"> </w:t>
      </w:r>
      <w:r w:rsidR="003C28E4">
        <w:rPr>
          <w:rFonts w:ascii="Times New Roman" w:hAnsi="Times New Roman"/>
          <w:sz w:val="26"/>
          <w:szCs w:val="26"/>
        </w:rPr>
        <w:t xml:space="preserve">Noting that I&amp;E’s primary concern in argument appeared to be the level of the civil penalty, the ALJs agreed that HIKO’s conduct was egregious.  However, the ALJs denied I&amp;E’s request to revoke HIKO’s license because the Company agreed in </w:t>
      </w:r>
      <w:r w:rsidR="003C28E4">
        <w:rPr>
          <w:rFonts w:ascii="Times New Roman" w:hAnsi="Times New Roman"/>
          <w:i/>
          <w:sz w:val="26"/>
          <w:szCs w:val="26"/>
        </w:rPr>
        <w:t xml:space="preserve">OAG/OCA-HIKO Settlement </w:t>
      </w:r>
      <w:r w:rsidR="003C28E4">
        <w:rPr>
          <w:rFonts w:ascii="Times New Roman" w:hAnsi="Times New Roman"/>
          <w:sz w:val="26"/>
          <w:szCs w:val="26"/>
        </w:rPr>
        <w:t>to substantial consumer relief.  The ALJs restated the establishment of the refund pool, noting that the 3.5% savings is more than the minimum 1% savings that was guaranteed.  Although the OAG/OCA complaint addressed the period January through March 2014</w:t>
      </w:r>
      <w:r w:rsidR="00A84258">
        <w:rPr>
          <w:rFonts w:ascii="Times New Roman" w:hAnsi="Times New Roman"/>
          <w:sz w:val="26"/>
          <w:szCs w:val="26"/>
        </w:rPr>
        <w:t xml:space="preserve"> as compared to the </w:t>
      </w:r>
      <w:r w:rsidR="003C28E4">
        <w:rPr>
          <w:rFonts w:ascii="Times New Roman" w:hAnsi="Times New Roman"/>
          <w:sz w:val="26"/>
          <w:szCs w:val="26"/>
        </w:rPr>
        <w:t xml:space="preserve">January through April 2014 </w:t>
      </w:r>
      <w:r w:rsidR="00A84258">
        <w:rPr>
          <w:rFonts w:ascii="Times New Roman" w:hAnsi="Times New Roman"/>
          <w:sz w:val="26"/>
          <w:szCs w:val="26"/>
        </w:rPr>
        <w:t>period</w:t>
      </w:r>
      <w:r w:rsidR="003C28E4">
        <w:rPr>
          <w:rFonts w:ascii="Times New Roman" w:hAnsi="Times New Roman"/>
          <w:sz w:val="26"/>
          <w:szCs w:val="26"/>
        </w:rPr>
        <w:t xml:space="preserve"> addressed by I&amp;E, the ALJs </w:t>
      </w:r>
      <w:r w:rsidR="00A84258">
        <w:rPr>
          <w:rFonts w:ascii="Times New Roman" w:hAnsi="Times New Roman"/>
          <w:sz w:val="26"/>
          <w:szCs w:val="26"/>
        </w:rPr>
        <w:t>opined</w:t>
      </w:r>
      <w:r w:rsidR="003C28E4">
        <w:rPr>
          <w:rFonts w:ascii="Times New Roman" w:hAnsi="Times New Roman"/>
          <w:sz w:val="26"/>
          <w:szCs w:val="26"/>
        </w:rPr>
        <w:t xml:space="preserve"> that the savings guaranteed by the 3.5% overcame that one month difference.  This and the other factors in the settlement warranted against revocation of HIKO’s license, concluded the ALJs.</w:t>
      </w:r>
    </w:p>
    <w:p w:rsidR="003C28E4" w:rsidRDefault="003C28E4" w:rsidP="00A14713">
      <w:pPr>
        <w:ind w:firstLine="1440"/>
        <w:rPr>
          <w:rFonts w:ascii="Times New Roman" w:hAnsi="Times New Roman"/>
          <w:sz w:val="26"/>
          <w:szCs w:val="26"/>
        </w:rPr>
      </w:pPr>
    </w:p>
    <w:p w:rsidR="002D790F" w:rsidRPr="004C2821" w:rsidRDefault="003C28E4" w:rsidP="00A14713">
      <w:pPr>
        <w:ind w:firstLine="1440"/>
        <w:rPr>
          <w:rFonts w:ascii="Times New Roman" w:hAnsi="Times New Roman"/>
          <w:sz w:val="26"/>
          <w:szCs w:val="26"/>
        </w:rPr>
      </w:pPr>
      <w:r>
        <w:rPr>
          <w:rFonts w:ascii="Times New Roman" w:hAnsi="Times New Roman"/>
          <w:sz w:val="26"/>
          <w:szCs w:val="26"/>
        </w:rPr>
        <w:t xml:space="preserve">Moreover, the ALJs </w:t>
      </w:r>
      <w:r w:rsidR="00FD07CB">
        <w:rPr>
          <w:rFonts w:ascii="Times New Roman" w:hAnsi="Times New Roman"/>
          <w:sz w:val="26"/>
          <w:szCs w:val="26"/>
        </w:rPr>
        <w:t xml:space="preserve">concluded that declining to revoke HIKO’s license was supported by two decisions involving another EGS, one </w:t>
      </w:r>
      <w:r w:rsidR="005515D7">
        <w:rPr>
          <w:rFonts w:ascii="Times New Roman" w:hAnsi="Times New Roman"/>
          <w:sz w:val="26"/>
          <w:szCs w:val="26"/>
        </w:rPr>
        <w:t>completed</w:t>
      </w:r>
      <w:r w:rsidR="00FD07CB">
        <w:rPr>
          <w:rFonts w:ascii="Times New Roman" w:hAnsi="Times New Roman"/>
          <w:sz w:val="26"/>
          <w:szCs w:val="26"/>
        </w:rPr>
        <w:t xml:space="preserve"> before the Commission and one </w:t>
      </w:r>
      <w:r w:rsidR="005515D7">
        <w:rPr>
          <w:rFonts w:ascii="Times New Roman" w:hAnsi="Times New Roman"/>
          <w:sz w:val="26"/>
          <w:szCs w:val="26"/>
        </w:rPr>
        <w:t>that remained</w:t>
      </w:r>
      <w:r w:rsidR="00FD07CB">
        <w:rPr>
          <w:rFonts w:ascii="Times New Roman" w:hAnsi="Times New Roman"/>
          <w:sz w:val="26"/>
          <w:szCs w:val="26"/>
        </w:rPr>
        <w:t xml:space="preserve"> pending.  The ALJs first addressed </w:t>
      </w:r>
      <w:r>
        <w:rPr>
          <w:rFonts w:ascii="Times New Roman" w:hAnsi="Times New Roman"/>
          <w:sz w:val="26"/>
          <w:szCs w:val="26"/>
        </w:rPr>
        <w:t xml:space="preserve">the settlement adopted by the Commission in </w:t>
      </w:r>
      <w:r>
        <w:rPr>
          <w:rFonts w:ascii="Times New Roman" w:hAnsi="Times New Roman"/>
          <w:i/>
          <w:sz w:val="26"/>
          <w:szCs w:val="26"/>
        </w:rPr>
        <w:t xml:space="preserve">Pa. PUC Bureau of Investigation </w:t>
      </w:r>
      <w:r w:rsidR="00813A79">
        <w:rPr>
          <w:rFonts w:ascii="Times New Roman" w:hAnsi="Times New Roman"/>
          <w:i/>
          <w:sz w:val="26"/>
          <w:szCs w:val="26"/>
        </w:rPr>
        <w:t>and</w:t>
      </w:r>
      <w:r>
        <w:rPr>
          <w:rFonts w:ascii="Times New Roman" w:hAnsi="Times New Roman"/>
          <w:i/>
          <w:sz w:val="26"/>
          <w:szCs w:val="26"/>
        </w:rPr>
        <w:t xml:space="preserve"> Enforcement v. Energy Services Providers, Inc. d/b/a Pennsylvania Gas and Electric and U.S. Gas and Electric d/b/a Pennsylvania Gas and </w:t>
      </w:r>
      <w:r w:rsidRPr="003C28E4">
        <w:rPr>
          <w:rFonts w:ascii="Times New Roman" w:hAnsi="Times New Roman"/>
          <w:i/>
          <w:sz w:val="26"/>
          <w:szCs w:val="26"/>
        </w:rPr>
        <w:t>Electric</w:t>
      </w:r>
      <w:r>
        <w:rPr>
          <w:rFonts w:ascii="Times New Roman" w:hAnsi="Times New Roman"/>
          <w:sz w:val="26"/>
          <w:szCs w:val="26"/>
        </w:rPr>
        <w:t xml:space="preserve">, Docket </w:t>
      </w:r>
      <w:r w:rsidR="00FD07CB">
        <w:rPr>
          <w:rFonts w:ascii="Times New Roman" w:hAnsi="Times New Roman"/>
          <w:sz w:val="26"/>
          <w:szCs w:val="26"/>
        </w:rPr>
        <w:t xml:space="preserve">No. M-2013-2325122 (Order </w:t>
      </w:r>
      <w:r w:rsidR="00FD07CB">
        <w:rPr>
          <w:rFonts w:ascii="Times New Roman" w:hAnsi="Times New Roman"/>
          <w:sz w:val="26"/>
          <w:szCs w:val="26"/>
        </w:rPr>
        <w:lastRenderedPageBreak/>
        <w:t>entered October 2, 2014) (</w:t>
      </w:r>
      <w:r w:rsidR="00FD07CB">
        <w:rPr>
          <w:rFonts w:ascii="Times New Roman" w:hAnsi="Times New Roman"/>
          <w:i/>
          <w:sz w:val="26"/>
          <w:szCs w:val="26"/>
        </w:rPr>
        <w:t>PaG&amp;E 2014 Settlement</w:t>
      </w:r>
      <w:r w:rsidR="00FD07CB">
        <w:rPr>
          <w:rFonts w:ascii="Times New Roman" w:hAnsi="Times New Roman"/>
          <w:sz w:val="26"/>
          <w:szCs w:val="26"/>
        </w:rPr>
        <w:t xml:space="preserve">), in which the Commission approved a civil penalty of approximately $150,000 and full refunds of over $67,000 for 10 customers with 108 slammed accounts.  In another PaG&amp;E settlement approved by the ALJs but still </w:t>
      </w:r>
      <w:r w:rsidR="00F36D95">
        <w:rPr>
          <w:rFonts w:ascii="Times New Roman" w:hAnsi="Times New Roman"/>
          <w:sz w:val="26"/>
          <w:szCs w:val="26"/>
        </w:rPr>
        <w:t xml:space="preserve">pending </w:t>
      </w:r>
      <w:r w:rsidR="00FD07CB">
        <w:rPr>
          <w:rFonts w:ascii="Times New Roman" w:hAnsi="Times New Roman"/>
          <w:sz w:val="26"/>
          <w:szCs w:val="26"/>
        </w:rPr>
        <w:t xml:space="preserve">before the Commission the EGS agreed to pay approximately $6 million into a refund pool.  Neither the </w:t>
      </w:r>
      <w:r w:rsidR="00FD07CB">
        <w:rPr>
          <w:rFonts w:ascii="Times New Roman" w:hAnsi="Times New Roman"/>
          <w:i/>
          <w:sz w:val="26"/>
          <w:szCs w:val="26"/>
        </w:rPr>
        <w:t xml:space="preserve">PaG&amp;E 2014 </w:t>
      </w:r>
      <w:r w:rsidR="00FD07CB" w:rsidRPr="00FD07CB">
        <w:rPr>
          <w:rFonts w:ascii="Times New Roman" w:hAnsi="Times New Roman"/>
          <w:i/>
          <w:sz w:val="26"/>
          <w:szCs w:val="26"/>
        </w:rPr>
        <w:t>Settlement</w:t>
      </w:r>
      <w:r w:rsidR="00FD07CB">
        <w:rPr>
          <w:rFonts w:ascii="Times New Roman" w:hAnsi="Times New Roman"/>
          <w:sz w:val="26"/>
          <w:szCs w:val="26"/>
        </w:rPr>
        <w:t xml:space="preserve"> approved by the Commission nor the second </w:t>
      </w:r>
      <w:r w:rsidR="005515D7">
        <w:rPr>
          <w:rFonts w:ascii="Times New Roman" w:hAnsi="Times New Roman"/>
          <w:sz w:val="26"/>
          <w:szCs w:val="26"/>
        </w:rPr>
        <w:t xml:space="preserve">pending </w:t>
      </w:r>
      <w:r w:rsidR="00FD07CB">
        <w:rPr>
          <w:rFonts w:ascii="Times New Roman" w:hAnsi="Times New Roman"/>
          <w:sz w:val="26"/>
          <w:szCs w:val="26"/>
        </w:rPr>
        <w:t>settlement required revocation of the EGS’ license</w:t>
      </w:r>
      <w:r>
        <w:rPr>
          <w:rFonts w:ascii="Times New Roman" w:hAnsi="Times New Roman"/>
          <w:sz w:val="26"/>
          <w:szCs w:val="26"/>
        </w:rPr>
        <w:t xml:space="preserve">. </w:t>
      </w:r>
      <w:r w:rsidR="004C2821">
        <w:rPr>
          <w:rFonts w:ascii="Times New Roman" w:hAnsi="Times New Roman"/>
          <w:sz w:val="26"/>
          <w:szCs w:val="26"/>
        </w:rPr>
        <w:t xml:space="preserve"> I.D. at</w:t>
      </w:r>
      <w:r w:rsidR="0068384D">
        <w:rPr>
          <w:rFonts w:ascii="Times New Roman" w:hAnsi="Times New Roman"/>
          <w:sz w:val="26"/>
          <w:szCs w:val="26"/>
        </w:rPr>
        <w:t> </w:t>
      </w:r>
      <w:r w:rsidR="004C2821">
        <w:rPr>
          <w:rFonts w:ascii="Times New Roman" w:hAnsi="Times New Roman"/>
          <w:sz w:val="26"/>
          <w:szCs w:val="26"/>
        </w:rPr>
        <w:t>60-62.</w:t>
      </w:r>
    </w:p>
    <w:p w:rsidR="00FD07CB" w:rsidRDefault="00FD07CB" w:rsidP="00A14713">
      <w:pPr>
        <w:ind w:firstLine="1440"/>
        <w:rPr>
          <w:rFonts w:ascii="Times New Roman" w:hAnsi="Times New Roman"/>
          <w:sz w:val="26"/>
          <w:szCs w:val="26"/>
        </w:rPr>
      </w:pPr>
    </w:p>
    <w:p w:rsidR="00FD07CB" w:rsidRDefault="00FD07CB" w:rsidP="00A14713">
      <w:pPr>
        <w:ind w:firstLine="1440"/>
        <w:rPr>
          <w:rFonts w:ascii="Times New Roman" w:hAnsi="Times New Roman"/>
          <w:sz w:val="26"/>
          <w:szCs w:val="26"/>
        </w:rPr>
      </w:pPr>
      <w:r>
        <w:rPr>
          <w:rFonts w:ascii="Times New Roman" w:hAnsi="Times New Roman"/>
          <w:sz w:val="26"/>
          <w:szCs w:val="26"/>
        </w:rPr>
        <w:t xml:space="preserve">The ALJs concluded that EGSs enjoyed a unique position to market competitive supply across multiple jurisdictions to a customer base larger than the EDCs without regulatory oversight of the rates offered.  </w:t>
      </w:r>
      <w:r w:rsidR="00443054">
        <w:rPr>
          <w:rFonts w:ascii="Times New Roman" w:hAnsi="Times New Roman"/>
          <w:sz w:val="26"/>
          <w:szCs w:val="26"/>
        </w:rPr>
        <w:t xml:space="preserve">The ALJs found, however, that HIKO’s determination </w:t>
      </w:r>
      <w:r w:rsidR="004C2821">
        <w:rPr>
          <w:rFonts w:ascii="Times New Roman" w:hAnsi="Times New Roman"/>
          <w:sz w:val="26"/>
          <w:szCs w:val="26"/>
        </w:rPr>
        <w:t xml:space="preserve">to stay in business </w:t>
      </w:r>
      <w:r w:rsidR="00443054">
        <w:rPr>
          <w:rFonts w:ascii="Times New Roman" w:hAnsi="Times New Roman"/>
          <w:sz w:val="26"/>
          <w:szCs w:val="26"/>
        </w:rPr>
        <w:t>by</w:t>
      </w:r>
      <w:r w:rsidR="004C2821">
        <w:rPr>
          <w:rFonts w:ascii="Times New Roman" w:hAnsi="Times New Roman"/>
          <w:sz w:val="26"/>
          <w:szCs w:val="26"/>
        </w:rPr>
        <w:t xml:space="preserve"> violating Section 54.4(a) for 5,708 customer accounts over a 4-month period of time warranted a civil penalty of $1,836,125, </w:t>
      </w:r>
      <w:r w:rsidR="00443054">
        <w:rPr>
          <w:rFonts w:ascii="Times New Roman" w:hAnsi="Times New Roman"/>
          <w:sz w:val="26"/>
          <w:szCs w:val="26"/>
        </w:rPr>
        <w:t>or a p</w:t>
      </w:r>
      <w:r w:rsidR="004C2821">
        <w:rPr>
          <w:rFonts w:ascii="Times New Roman" w:hAnsi="Times New Roman"/>
          <w:sz w:val="26"/>
          <w:szCs w:val="26"/>
        </w:rPr>
        <w:t>enalty of $125 multiplied by the 14,689 times HIKO billed customers an amount that did not match the Company’s customer information promising guaranteed savings.</w:t>
      </w:r>
    </w:p>
    <w:p w:rsidR="004C2821" w:rsidRDefault="004C2821" w:rsidP="00A14713">
      <w:pPr>
        <w:ind w:firstLine="1440"/>
        <w:rPr>
          <w:rFonts w:ascii="Times New Roman" w:hAnsi="Times New Roman"/>
          <w:sz w:val="26"/>
          <w:szCs w:val="26"/>
        </w:rPr>
      </w:pPr>
    </w:p>
    <w:p w:rsidR="004C2821" w:rsidRPr="004C2821" w:rsidRDefault="004C2821" w:rsidP="00A14713">
      <w:pPr>
        <w:ind w:firstLine="1440"/>
        <w:rPr>
          <w:rFonts w:ascii="Times New Roman" w:hAnsi="Times New Roman"/>
          <w:sz w:val="26"/>
          <w:szCs w:val="26"/>
        </w:rPr>
      </w:pPr>
      <w:r>
        <w:rPr>
          <w:rFonts w:ascii="Times New Roman" w:hAnsi="Times New Roman"/>
          <w:sz w:val="26"/>
          <w:szCs w:val="26"/>
        </w:rPr>
        <w:t xml:space="preserve">Agreeing with I&amp;E’s calculation of the number of violations, the ALJs found mitigation in HIKO’s voluntary refund of $160,000 in addition to the refunds of $1.67 million agreed to in </w:t>
      </w:r>
      <w:r>
        <w:rPr>
          <w:rFonts w:ascii="Times New Roman" w:hAnsi="Times New Roman"/>
          <w:i/>
          <w:sz w:val="26"/>
          <w:szCs w:val="26"/>
        </w:rPr>
        <w:t>OAG/OCA-HIKO Settlement</w:t>
      </w:r>
      <w:r>
        <w:rPr>
          <w:rFonts w:ascii="Times New Roman" w:hAnsi="Times New Roman"/>
          <w:sz w:val="26"/>
          <w:szCs w:val="26"/>
        </w:rPr>
        <w:t xml:space="preserve"> </w:t>
      </w:r>
      <w:r w:rsidR="005515D7">
        <w:rPr>
          <w:rFonts w:ascii="Times New Roman" w:hAnsi="Times New Roman"/>
          <w:sz w:val="26"/>
          <w:szCs w:val="26"/>
        </w:rPr>
        <w:t xml:space="preserve">for the guaranteed savings customers </w:t>
      </w:r>
      <w:r>
        <w:rPr>
          <w:rFonts w:ascii="Times New Roman" w:hAnsi="Times New Roman"/>
          <w:sz w:val="26"/>
          <w:szCs w:val="26"/>
        </w:rPr>
        <w:t>and the other conditions in that settlement, including a moratorium on marketing of variable rate products until June</w:t>
      </w:r>
      <w:r w:rsidR="00443054">
        <w:rPr>
          <w:rFonts w:ascii="Times New Roman" w:hAnsi="Times New Roman"/>
          <w:sz w:val="26"/>
          <w:szCs w:val="26"/>
        </w:rPr>
        <w:t> </w:t>
      </w:r>
      <w:r>
        <w:rPr>
          <w:rFonts w:ascii="Times New Roman" w:hAnsi="Times New Roman"/>
          <w:sz w:val="26"/>
          <w:szCs w:val="26"/>
        </w:rPr>
        <w:t xml:space="preserve">2016, the agreement to correct business practices, and the fact that the violations did not include slamming.  The ALJs also found the penalty would serve as a deterrent because it represented 25% of HIKO’s reported annual gross receipts for </w:t>
      </w:r>
      <w:r w:rsidR="00443054">
        <w:rPr>
          <w:rFonts w:ascii="Times New Roman" w:hAnsi="Times New Roman"/>
          <w:sz w:val="26"/>
          <w:szCs w:val="26"/>
        </w:rPr>
        <w:t xml:space="preserve">the year </w:t>
      </w:r>
      <w:r>
        <w:rPr>
          <w:rFonts w:ascii="Times New Roman" w:hAnsi="Times New Roman"/>
          <w:sz w:val="26"/>
          <w:szCs w:val="26"/>
        </w:rPr>
        <w:t xml:space="preserve">2014.  </w:t>
      </w:r>
      <w:r w:rsidR="00443054">
        <w:rPr>
          <w:rFonts w:ascii="Times New Roman" w:hAnsi="Times New Roman"/>
          <w:sz w:val="26"/>
          <w:szCs w:val="26"/>
        </w:rPr>
        <w:t>T</w:t>
      </w:r>
      <w:r>
        <w:rPr>
          <w:rFonts w:ascii="Times New Roman" w:hAnsi="Times New Roman"/>
          <w:sz w:val="26"/>
          <w:szCs w:val="26"/>
        </w:rPr>
        <w:t>he ALJs found th</w:t>
      </w:r>
      <w:r w:rsidR="00443054">
        <w:rPr>
          <w:rFonts w:ascii="Times New Roman" w:hAnsi="Times New Roman"/>
          <w:sz w:val="26"/>
          <w:szCs w:val="26"/>
        </w:rPr>
        <w:t>is</w:t>
      </w:r>
      <w:r>
        <w:rPr>
          <w:rFonts w:ascii="Times New Roman" w:hAnsi="Times New Roman"/>
          <w:sz w:val="26"/>
          <w:szCs w:val="26"/>
        </w:rPr>
        <w:t xml:space="preserve"> penalty to be substantial and supported by the facts of this case as well as the agreement reached in </w:t>
      </w:r>
      <w:r w:rsidRPr="004C2821">
        <w:rPr>
          <w:rFonts w:ascii="Times New Roman" w:hAnsi="Times New Roman"/>
          <w:i/>
          <w:sz w:val="26"/>
          <w:szCs w:val="26"/>
        </w:rPr>
        <w:t>OAG/OCA-HIKO Settlement</w:t>
      </w:r>
      <w:r>
        <w:rPr>
          <w:rFonts w:ascii="Times New Roman" w:hAnsi="Times New Roman"/>
          <w:sz w:val="26"/>
          <w:szCs w:val="26"/>
        </w:rPr>
        <w:t xml:space="preserve">, </w:t>
      </w:r>
      <w:r w:rsidR="00443054">
        <w:rPr>
          <w:rFonts w:ascii="Times New Roman" w:hAnsi="Times New Roman"/>
          <w:sz w:val="26"/>
          <w:szCs w:val="26"/>
        </w:rPr>
        <w:t xml:space="preserve">absent </w:t>
      </w:r>
      <w:r>
        <w:rPr>
          <w:rFonts w:ascii="Times New Roman" w:hAnsi="Times New Roman"/>
          <w:sz w:val="26"/>
          <w:szCs w:val="26"/>
        </w:rPr>
        <w:t xml:space="preserve">which the ALJs would have revoked HIKO’s license.  As the ALJs concluded, since “HIKO is showing a willingness to correct its business practices and comply with regulations in the future regarding its retail market activities, HIKO shall retain a conditional authority to operate in Pennsylvania provided the EGS brings </w:t>
      </w:r>
      <w:r>
        <w:rPr>
          <w:rFonts w:ascii="Times New Roman" w:hAnsi="Times New Roman"/>
          <w:sz w:val="26"/>
          <w:szCs w:val="26"/>
        </w:rPr>
        <w:lastRenderedPageBreak/>
        <w:t>itself into compliance and remains compl</w:t>
      </w:r>
      <w:r w:rsidR="003C32A6">
        <w:rPr>
          <w:rFonts w:ascii="Times New Roman" w:hAnsi="Times New Roman"/>
          <w:sz w:val="26"/>
          <w:szCs w:val="26"/>
        </w:rPr>
        <w:t>i</w:t>
      </w:r>
      <w:r>
        <w:rPr>
          <w:rFonts w:ascii="Times New Roman" w:hAnsi="Times New Roman"/>
          <w:sz w:val="26"/>
          <w:szCs w:val="26"/>
        </w:rPr>
        <w:t>ant” with Pennsylvania law, including “timely, continuous, and uninterrupted provision of proof of security as well as the timely filing of annual reports</w:t>
      </w:r>
      <w:r w:rsidR="00E52704">
        <w:rPr>
          <w:rFonts w:ascii="Times New Roman" w:hAnsi="Times New Roman"/>
          <w:sz w:val="26"/>
          <w:szCs w:val="26"/>
        </w:rPr>
        <w:t xml:space="preserve"> at the Commission and payment of gross receipts taxes to the Pennsylvania Department of Revenue.”  I.D. at 63.</w:t>
      </w:r>
    </w:p>
    <w:p w:rsidR="004C2821" w:rsidRPr="004C2821" w:rsidRDefault="004C2821" w:rsidP="00A14713">
      <w:pPr>
        <w:ind w:firstLine="1440"/>
        <w:rPr>
          <w:rFonts w:ascii="Times New Roman" w:hAnsi="Times New Roman"/>
          <w:sz w:val="26"/>
          <w:szCs w:val="26"/>
        </w:rPr>
      </w:pPr>
    </w:p>
    <w:p w:rsidR="00662061" w:rsidRDefault="002D790F" w:rsidP="002D790F">
      <w:pPr>
        <w:rPr>
          <w:rFonts w:ascii="Times New Roman" w:hAnsi="Times New Roman"/>
          <w:b/>
          <w:sz w:val="26"/>
          <w:szCs w:val="26"/>
        </w:rPr>
      </w:pPr>
      <w:r>
        <w:rPr>
          <w:rFonts w:ascii="Times New Roman" w:hAnsi="Times New Roman"/>
          <w:b/>
          <w:sz w:val="26"/>
          <w:szCs w:val="26"/>
        </w:rPr>
        <w:t>C.</w:t>
      </w:r>
      <w:r>
        <w:rPr>
          <w:rFonts w:ascii="Times New Roman" w:hAnsi="Times New Roman"/>
          <w:b/>
          <w:sz w:val="26"/>
          <w:szCs w:val="26"/>
        </w:rPr>
        <w:tab/>
      </w:r>
      <w:r w:rsidR="00647D3E">
        <w:rPr>
          <w:rFonts w:ascii="Times New Roman" w:hAnsi="Times New Roman"/>
          <w:b/>
          <w:sz w:val="26"/>
          <w:szCs w:val="26"/>
        </w:rPr>
        <w:t>Exceptions</w:t>
      </w:r>
      <w:r w:rsidR="00DD32E2">
        <w:rPr>
          <w:rFonts w:ascii="Times New Roman" w:hAnsi="Times New Roman"/>
          <w:b/>
          <w:sz w:val="26"/>
          <w:szCs w:val="26"/>
        </w:rPr>
        <w:t>, Replies,</w:t>
      </w:r>
      <w:r w:rsidR="00647D3E">
        <w:rPr>
          <w:rFonts w:ascii="Times New Roman" w:hAnsi="Times New Roman"/>
          <w:b/>
          <w:sz w:val="26"/>
          <w:szCs w:val="26"/>
        </w:rPr>
        <w:t xml:space="preserve"> and </w:t>
      </w:r>
      <w:r w:rsidR="00DD32E2">
        <w:rPr>
          <w:rFonts w:ascii="Times New Roman" w:hAnsi="Times New Roman"/>
          <w:b/>
          <w:sz w:val="26"/>
          <w:szCs w:val="26"/>
        </w:rPr>
        <w:t>Disposition</w:t>
      </w:r>
    </w:p>
    <w:p w:rsidR="002D790F" w:rsidRPr="00A7171F" w:rsidRDefault="002D790F" w:rsidP="002D790F">
      <w:pPr>
        <w:rPr>
          <w:rFonts w:ascii="Times New Roman" w:hAnsi="Times New Roman"/>
          <w:sz w:val="26"/>
          <w:szCs w:val="26"/>
        </w:rPr>
      </w:pPr>
    </w:p>
    <w:p w:rsidR="003C28E4" w:rsidRDefault="002D790F" w:rsidP="00BD77D3">
      <w:pPr>
        <w:pStyle w:val="ListParagraph"/>
        <w:tabs>
          <w:tab w:val="left" w:pos="1440"/>
        </w:tabs>
        <w:ind w:left="0"/>
        <w:rPr>
          <w:rFonts w:ascii="Times New Roman" w:hAnsi="Times New Roman"/>
          <w:sz w:val="26"/>
          <w:szCs w:val="26"/>
        </w:rPr>
      </w:pPr>
      <w:r>
        <w:rPr>
          <w:rFonts w:ascii="Times New Roman" w:hAnsi="Times New Roman"/>
          <w:sz w:val="26"/>
          <w:szCs w:val="26"/>
        </w:rPr>
        <w:tab/>
      </w:r>
      <w:r w:rsidR="00EB590F" w:rsidRPr="00EB590F">
        <w:rPr>
          <w:rFonts w:ascii="Times New Roman" w:hAnsi="Times New Roman"/>
          <w:sz w:val="26"/>
          <w:szCs w:val="26"/>
        </w:rPr>
        <w:t xml:space="preserve">As previously stated, the ALJs constructed their proposed resolution in this proceeding such that it comported with the scope of their proposed resolution of the OAG/OCA complaint in </w:t>
      </w:r>
      <w:r w:rsidR="00EB590F" w:rsidRPr="00EB590F">
        <w:rPr>
          <w:rFonts w:ascii="Times New Roman" w:hAnsi="Times New Roman"/>
          <w:i/>
          <w:sz w:val="26"/>
          <w:szCs w:val="26"/>
        </w:rPr>
        <w:t>OAG/OCA-HIKO Settlement</w:t>
      </w:r>
      <w:r w:rsidR="00EB590F" w:rsidRPr="00EB590F">
        <w:rPr>
          <w:rFonts w:ascii="Times New Roman" w:hAnsi="Times New Roman"/>
          <w:sz w:val="26"/>
          <w:szCs w:val="26"/>
        </w:rPr>
        <w:t>.  As noted</w:t>
      </w:r>
      <w:r w:rsidR="0019048B">
        <w:rPr>
          <w:rFonts w:ascii="Times New Roman" w:hAnsi="Times New Roman"/>
          <w:sz w:val="26"/>
          <w:szCs w:val="26"/>
        </w:rPr>
        <w:t xml:space="preserve"> </w:t>
      </w:r>
      <w:r w:rsidR="0019048B">
        <w:rPr>
          <w:rFonts w:ascii="Times New Roman" w:hAnsi="Times New Roman"/>
          <w:i/>
          <w:sz w:val="26"/>
          <w:szCs w:val="26"/>
        </w:rPr>
        <w:t>supra</w:t>
      </w:r>
      <w:r w:rsidR="0019048B">
        <w:rPr>
          <w:rFonts w:ascii="Times New Roman" w:hAnsi="Times New Roman"/>
          <w:sz w:val="26"/>
          <w:szCs w:val="26"/>
        </w:rPr>
        <w:t>,</w:t>
      </w:r>
      <w:r w:rsidR="00EB590F" w:rsidRPr="00EB590F">
        <w:rPr>
          <w:rFonts w:ascii="Times New Roman" w:hAnsi="Times New Roman"/>
          <w:sz w:val="26"/>
          <w:szCs w:val="26"/>
        </w:rPr>
        <w:t xml:space="preserve"> </w:t>
      </w:r>
      <w:r w:rsidR="00BD77D3">
        <w:rPr>
          <w:rFonts w:ascii="Times New Roman" w:hAnsi="Times New Roman"/>
          <w:sz w:val="26"/>
          <w:szCs w:val="26"/>
        </w:rPr>
        <w:t xml:space="preserve">the ALJs in this proceeding, </w:t>
      </w:r>
      <w:r w:rsidR="00EB590F" w:rsidRPr="00EB590F">
        <w:rPr>
          <w:rFonts w:ascii="Times New Roman" w:hAnsi="Times New Roman"/>
          <w:sz w:val="26"/>
          <w:szCs w:val="26"/>
        </w:rPr>
        <w:t xml:space="preserve">who also presided over the OAG/OCA </w:t>
      </w:r>
      <w:r w:rsidR="00BD77D3">
        <w:rPr>
          <w:rFonts w:ascii="Times New Roman" w:hAnsi="Times New Roman"/>
          <w:sz w:val="26"/>
          <w:szCs w:val="26"/>
        </w:rPr>
        <w:t>c</w:t>
      </w:r>
      <w:r w:rsidR="00EB590F" w:rsidRPr="00EB590F">
        <w:rPr>
          <w:rFonts w:ascii="Times New Roman" w:hAnsi="Times New Roman"/>
          <w:sz w:val="26"/>
          <w:szCs w:val="26"/>
        </w:rPr>
        <w:t>omplaint</w:t>
      </w:r>
      <w:r w:rsidR="00BD77D3">
        <w:rPr>
          <w:rFonts w:ascii="Times New Roman" w:hAnsi="Times New Roman"/>
          <w:sz w:val="26"/>
          <w:szCs w:val="26"/>
        </w:rPr>
        <w:t xml:space="preserve">, concluded that </w:t>
      </w:r>
      <w:r w:rsidR="00BD77D3" w:rsidRPr="00BD77D3">
        <w:rPr>
          <w:rFonts w:ascii="Times New Roman" w:hAnsi="Times New Roman"/>
          <w:sz w:val="26"/>
          <w:szCs w:val="26"/>
        </w:rPr>
        <w:t xml:space="preserve">neither decision </w:t>
      </w:r>
      <w:r w:rsidR="00BD77D3">
        <w:rPr>
          <w:rFonts w:ascii="Times New Roman" w:hAnsi="Times New Roman"/>
          <w:sz w:val="26"/>
          <w:szCs w:val="26"/>
        </w:rPr>
        <w:t xml:space="preserve">should be </w:t>
      </w:r>
      <w:r w:rsidR="00BD77D3" w:rsidRPr="00BD77D3">
        <w:rPr>
          <w:rFonts w:ascii="Times New Roman" w:hAnsi="Times New Roman"/>
          <w:sz w:val="26"/>
          <w:szCs w:val="26"/>
        </w:rPr>
        <w:t xml:space="preserve">made in a vacuum without consideration for </w:t>
      </w:r>
      <w:r w:rsidR="00BD77D3">
        <w:rPr>
          <w:rFonts w:ascii="Times New Roman" w:hAnsi="Times New Roman"/>
          <w:sz w:val="26"/>
          <w:szCs w:val="26"/>
        </w:rPr>
        <w:t>the other, and both decisions as a whole should be consistent and benefit the public interest.</w:t>
      </w:r>
    </w:p>
    <w:p w:rsidR="003C28E4" w:rsidRDefault="003C28E4" w:rsidP="002D790F">
      <w:pPr>
        <w:pStyle w:val="ListParagraph"/>
        <w:ind w:left="0" w:firstLine="1440"/>
        <w:rPr>
          <w:rFonts w:ascii="Times New Roman" w:hAnsi="Times New Roman"/>
          <w:sz w:val="26"/>
          <w:szCs w:val="26"/>
        </w:rPr>
      </w:pPr>
    </w:p>
    <w:p w:rsidR="00EB590F" w:rsidRPr="00EB590F" w:rsidRDefault="00BD77D3" w:rsidP="00B036F1">
      <w:pPr>
        <w:pStyle w:val="ListParagraph"/>
        <w:ind w:left="0" w:firstLine="1440"/>
        <w:rPr>
          <w:rFonts w:ascii="Times New Roman" w:hAnsi="Times New Roman"/>
          <w:sz w:val="26"/>
          <w:szCs w:val="26"/>
        </w:rPr>
      </w:pPr>
      <w:r>
        <w:rPr>
          <w:rFonts w:ascii="Times New Roman" w:hAnsi="Times New Roman"/>
          <w:sz w:val="26"/>
          <w:szCs w:val="26"/>
        </w:rPr>
        <w:t>We agree, and f</w:t>
      </w:r>
      <w:r w:rsidR="00EB590F" w:rsidRPr="00EB590F">
        <w:rPr>
          <w:rFonts w:ascii="Times New Roman" w:hAnsi="Times New Roman"/>
          <w:sz w:val="26"/>
          <w:szCs w:val="26"/>
        </w:rPr>
        <w:t xml:space="preserve">or that reason </w:t>
      </w:r>
      <w:r>
        <w:rPr>
          <w:rFonts w:ascii="Times New Roman" w:hAnsi="Times New Roman"/>
          <w:sz w:val="26"/>
          <w:szCs w:val="26"/>
        </w:rPr>
        <w:t xml:space="preserve">but </w:t>
      </w:r>
      <w:r w:rsidR="00EB590F" w:rsidRPr="00EB590F">
        <w:rPr>
          <w:rFonts w:ascii="Times New Roman" w:hAnsi="Times New Roman"/>
          <w:sz w:val="26"/>
          <w:szCs w:val="26"/>
        </w:rPr>
        <w:t>without ruling on that proceeding here</w:t>
      </w:r>
      <w:r w:rsidR="00EB590F">
        <w:rPr>
          <w:rFonts w:ascii="Times New Roman" w:hAnsi="Times New Roman"/>
          <w:sz w:val="26"/>
          <w:szCs w:val="26"/>
        </w:rPr>
        <w:t xml:space="preserve"> as it remains procedurally separate from this, we also note that our disposition of Exceptions herein </w:t>
      </w:r>
      <w:r w:rsidR="0019048B">
        <w:rPr>
          <w:rFonts w:ascii="Times New Roman" w:hAnsi="Times New Roman"/>
          <w:sz w:val="26"/>
          <w:szCs w:val="26"/>
        </w:rPr>
        <w:t>is arrived at wi</w:t>
      </w:r>
      <w:r w:rsidR="00EB590F">
        <w:rPr>
          <w:rFonts w:ascii="Times New Roman" w:hAnsi="Times New Roman"/>
          <w:sz w:val="26"/>
          <w:szCs w:val="26"/>
        </w:rPr>
        <w:t xml:space="preserve">th consideration of </w:t>
      </w:r>
      <w:r w:rsidR="0019048B">
        <w:rPr>
          <w:rFonts w:ascii="Times New Roman" w:hAnsi="Times New Roman"/>
          <w:sz w:val="26"/>
          <w:szCs w:val="26"/>
        </w:rPr>
        <w:t>our</w:t>
      </w:r>
      <w:r w:rsidR="00EB590F">
        <w:rPr>
          <w:rFonts w:ascii="Times New Roman" w:hAnsi="Times New Roman"/>
          <w:sz w:val="26"/>
          <w:szCs w:val="26"/>
        </w:rPr>
        <w:t xml:space="preserve"> disposition of </w:t>
      </w:r>
      <w:r w:rsidR="00EB590F" w:rsidRPr="00EB590F">
        <w:rPr>
          <w:rFonts w:ascii="Times New Roman" w:hAnsi="Times New Roman"/>
          <w:i/>
          <w:sz w:val="26"/>
          <w:szCs w:val="26"/>
        </w:rPr>
        <w:t>OAG/OCA-HIKO Settlement</w:t>
      </w:r>
      <w:r w:rsidR="00EB590F" w:rsidRPr="00EB590F">
        <w:rPr>
          <w:rFonts w:ascii="Times New Roman" w:hAnsi="Times New Roman"/>
          <w:sz w:val="26"/>
          <w:szCs w:val="26"/>
        </w:rPr>
        <w:t xml:space="preserve">, </w:t>
      </w:r>
      <w:r w:rsidR="00EB590F">
        <w:rPr>
          <w:rFonts w:ascii="Times New Roman" w:hAnsi="Times New Roman"/>
          <w:sz w:val="26"/>
          <w:szCs w:val="26"/>
        </w:rPr>
        <w:t xml:space="preserve">which is before us </w:t>
      </w:r>
      <w:r>
        <w:rPr>
          <w:rFonts w:ascii="Times New Roman" w:hAnsi="Times New Roman"/>
          <w:sz w:val="26"/>
          <w:szCs w:val="26"/>
        </w:rPr>
        <w:t xml:space="preserve">upon the ALJs’ Initial Decision recommending adoption of the </w:t>
      </w:r>
      <w:r w:rsidR="00EB590F">
        <w:rPr>
          <w:rFonts w:ascii="Times New Roman" w:hAnsi="Times New Roman"/>
          <w:sz w:val="26"/>
          <w:szCs w:val="26"/>
        </w:rPr>
        <w:t>settlement without modification</w:t>
      </w:r>
      <w:r w:rsidR="00B036F1">
        <w:rPr>
          <w:rFonts w:ascii="Times New Roman" w:hAnsi="Times New Roman"/>
          <w:sz w:val="26"/>
          <w:szCs w:val="26"/>
        </w:rPr>
        <w:t xml:space="preserve"> and without any party’s having filed exceptions or replies</w:t>
      </w:r>
      <w:r w:rsidR="00EB590F">
        <w:rPr>
          <w:rFonts w:ascii="Times New Roman" w:hAnsi="Times New Roman"/>
          <w:sz w:val="26"/>
          <w:szCs w:val="26"/>
        </w:rPr>
        <w:t>.</w:t>
      </w:r>
    </w:p>
    <w:p w:rsidR="00EB590F" w:rsidRPr="00A7171F" w:rsidRDefault="00EB590F" w:rsidP="002D790F">
      <w:pPr>
        <w:pStyle w:val="ListParagraph"/>
        <w:tabs>
          <w:tab w:val="left" w:pos="1440"/>
        </w:tabs>
        <w:ind w:left="0"/>
        <w:rPr>
          <w:rFonts w:ascii="Times New Roman" w:hAnsi="Times New Roman"/>
          <w:sz w:val="26"/>
          <w:szCs w:val="26"/>
        </w:rPr>
      </w:pPr>
    </w:p>
    <w:p w:rsidR="00E57EFA" w:rsidRPr="00A7171F" w:rsidRDefault="005A54C7" w:rsidP="0019048B">
      <w:pPr>
        <w:pStyle w:val="ListParagraph"/>
        <w:keepNext/>
        <w:tabs>
          <w:tab w:val="left" w:pos="1440"/>
        </w:tabs>
        <w:spacing w:line="240" w:lineRule="auto"/>
        <w:ind w:left="1440" w:hanging="720"/>
        <w:rPr>
          <w:rFonts w:ascii="Times New Roman" w:hAnsi="Times New Roman"/>
          <w:sz w:val="26"/>
          <w:szCs w:val="26"/>
        </w:rPr>
      </w:pPr>
      <w:r>
        <w:rPr>
          <w:rFonts w:ascii="Times New Roman" w:hAnsi="Times New Roman"/>
          <w:b/>
          <w:sz w:val="26"/>
          <w:szCs w:val="26"/>
        </w:rPr>
        <w:t>1.</w:t>
      </w:r>
      <w:r w:rsidR="00443054">
        <w:rPr>
          <w:rFonts w:ascii="Times New Roman" w:hAnsi="Times New Roman"/>
          <w:b/>
          <w:sz w:val="26"/>
          <w:szCs w:val="26"/>
        </w:rPr>
        <w:tab/>
      </w:r>
      <w:r>
        <w:rPr>
          <w:rFonts w:ascii="Times New Roman" w:hAnsi="Times New Roman"/>
          <w:b/>
          <w:sz w:val="26"/>
          <w:szCs w:val="26"/>
        </w:rPr>
        <w:t>HIKO</w:t>
      </w:r>
      <w:r w:rsidR="00E57EFA">
        <w:rPr>
          <w:rFonts w:ascii="Times New Roman" w:hAnsi="Times New Roman"/>
          <w:b/>
          <w:sz w:val="26"/>
          <w:szCs w:val="26"/>
        </w:rPr>
        <w:t xml:space="preserve"> Exception No. 1 – </w:t>
      </w:r>
      <w:r w:rsidR="00DC3C64">
        <w:rPr>
          <w:rFonts w:ascii="Times New Roman" w:hAnsi="Times New Roman"/>
          <w:b/>
          <w:sz w:val="26"/>
          <w:szCs w:val="26"/>
        </w:rPr>
        <w:t>The Method for Calculating</w:t>
      </w:r>
      <w:r w:rsidR="00443054">
        <w:rPr>
          <w:rFonts w:ascii="Times New Roman" w:hAnsi="Times New Roman"/>
          <w:b/>
          <w:sz w:val="26"/>
          <w:szCs w:val="26"/>
        </w:rPr>
        <w:t xml:space="preserve"> the Number of Violations under Section 54.4(a)</w:t>
      </w:r>
    </w:p>
    <w:p w:rsidR="005A54C7" w:rsidRDefault="005A54C7" w:rsidP="0019048B">
      <w:pPr>
        <w:keepNext/>
        <w:ind w:left="720"/>
        <w:rPr>
          <w:rFonts w:ascii="Times New Roman" w:hAnsi="Times New Roman"/>
          <w:sz w:val="26"/>
          <w:szCs w:val="26"/>
        </w:rPr>
      </w:pPr>
    </w:p>
    <w:p w:rsidR="005930FC" w:rsidRPr="005930FC" w:rsidRDefault="005930FC" w:rsidP="0019048B">
      <w:pPr>
        <w:keepNext/>
        <w:ind w:left="720"/>
        <w:rPr>
          <w:rFonts w:ascii="Times New Roman" w:hAnsi="Times New Roman"/>
          <w:b/>
          <w:sz w:val="26"/>
          <w:szCs w:val="26"/>
        </w:rPr>
      </w:pPr>
      <w:r w:rsidRPr="005930FC">
        <w:rPr>
          <w:rFonts w:ascii="Times New Roman" w:hAnsi="Times New Roman"/>
          <w:sz w:val="26"/>
          <w:szCs w:val="26"/>
        </w:rPr>
        <w:tab/>
      </w:r>
      <w:r w:rsidRPr="005930FC">
        <w:rPr>
          <w:rFonts w:ascii="Times New Roman" w:hAnsi="Times New Roman"/>
          <w:b/>
          <w:sz w:val="26"/>
          <w:szCs w:val="26"/>
        </w:rPr>
        <w:t>a.</w:t>
      </w:r>
      <w:r w:rsidRPr="005930FC">
        <w:rPr>
          <w:rFonts w:ascii="Times New Roman" w:hAnsi="Times New Roman"/>
          <w:b/>
          <w:sz w:val="26"/>
          <w:szCs w:val="26"/>
        </w:rPr>
        <w:tab/>
        <w:t>HIKO</w:t>
      </w:r>
      <w:r>
        <w:rPr>
          <w:rFonts w:ascii="Times New Roman" w:hAnsi="Times New Roman"/>
          <w:b/>
          <w:sz w:val="26"/>
          <w:szCs w:val="26"/>
        </w:rPr>
        <w:t>’s</w:t>
      </w:r>
      <w:r w:rsidRPr="005930FC">
        <w:rPr>
          <w:rFonts w:ascii="Times New Roman" w:hAnsi="Times New Roman"/>
          <w:b/>
          <w:sz w:val="26"/>
          <w:szCs w:val="26"/>
        </w:rPr>
        <w:t xml:space="preserve"> Position</w:t>
      </w:r>
    </w:p>
    <w:p w:rsidR="005930FC" w:rsidRDefault="005930FC" w:rsidP="0019048B">
      <w:pPr>
        <w:keepNext/>
        <w:ind w:left="720"/>
        <w:rPr>
          <w:rFonts w:ascii="Times New Roman" w:hAnsi="Times New Roman"/>
          <w:sz w:val="26"/>
          <w:szCs w:val="26"/>
        </w:rPr>
      </w:pPr>
    </w:p>
    <w:p w:rsidR="00443054" w:rsidRDefault="00443054" w:rsidP="00443054">
      <w:pPr>
        <w:ind w:firstLine="1440"/>
        <w:rPr>
          <w:rFonts w:ascii="Times New Roman" w:hAnsi="Times New Roman"/>
          <w:sz w:val="26"/>
          <w:szCs w:val="26"/>
        </w:rPr>
      </w:pPr>
      <w:r>
        <w:rPr>
          <w:rFonts w:ascii="Times New Roman" w:hAnsi="Times New Roman"/>
          <w:sz w:val="26"/>
          <w:szCs w:val="26"/>
        </w:rPr>
        <w:t xml:space="preserve">In its first Exception, HIKO contests the ALJs’ acceptance of I&amp;E’s calculation of the number of violations of Section 54.4(a) based upon the number of customer invoices on which HIKO billed a customer a rate higher than what was </w:t>
      </w:r>
      <w:r>
        <w:rPr>
          <w:rFonts w:ascii="Times New Roman" w:hAnsi="Times New Roman"/>
          <w:sz w:val="26"/>
          <w:szCs w:val="26"/>
        </w:rPr>
        <w:lastRenderedPageBreak/>
        <w:t xml:space="preserve">promised in the </w:t>
      </w:r>
      <w:r w:rsidR="0019048B">
        <w:rPr>
          <w:rFonts w:ascii="Times New Roman" w:hAnsi="Times New Roman"/>
          <w:sz w:val="26"/>
          <w:szCs w:val="26"/>
        </w:rPr>
        <w:t>customer information</w:t>
      </w:r>
      <w:r w:rsidR="00942352">
        <w:rPr>
          <w:rFonts w:ascii="Times New Roman" w:hAnsi="Times New Roman"/>
          <w:sz w:val="26"/>
          <w:szCs w:val="26"/>
        </w:rPr>
        <w:t xml:space="preserve"> rather than the number of customer accounts affected or the dates the invoices were sent (FOF Nos. 64 and 67; COL Nos. 8 and 12).</w:t>
      </w:r>
      <w:r>
        <w:rPr>
          <w:rFonts w:ascii="Times New Roman" w:hAnsi="Times New Roman"/>
          <w:sz w:val="26"/>
          <w:szCs w:val="26"/>
        </w:rPr>
        <w:t xml:space="preserve">  </w:t>
      </w:r>
      <w:r w:rsidR="00942352">
        <w:rPr>
          <w:rFonts w:ascii="Times New Roman" w:hAnsi="Times New Roman"/>
          <w:sz w:val="26"/>
          <w:szCs w:val="26"/>
        </w:rPr>
        <w:t xml:space="preserve">HIKO claims that </w:t>
      </w:r>
      <w:r w:rsidR="0019048B">
        <w:rPr>
          <w:rFonts w:ascii="Times New Roman" w:hAnsi="Times New Roman"/>
          <w:sz w:val="26"/>
          <w:szCs w:val="26"/>
        </w:rPr>
        <w:t xml:space="preserve">even though </w:t>
      </w:r>
      <w:r w:rsidR="00942352">
        <w:rPr>
          <w:rFonts w:ascii="Times New Roman" w:hAnsi="Times New Roman"/>
          <w:sz w:val="26"/>
          <w:szCs w:val="26"/>
        </w:rPr>
        <w:t>the ALJs acknowledged that I&amp;E’s evidence of the number of invoices was potentially inaccurate</w:t>
      </w:r>
      <w:r w:rsidR="00CB7F02">
        <w:rPr>
          <w:rFonts w:ascii="Times New Roman" w:hAnsi="Times New Roman"/>
          <w:sz w:val="26"/>
          <w:szCs w:val="26"/>
        </w:rPr>
        <w:t xml:space="preserve">, </w:t>
      </w:r>
      <w:r w:rsidR="0019048B">
        <w:rPr>
          <w:rFonts w:ascii="Times New Roman" w:hAnsi="Times New Roman"/>
          <w:sz w:val="26"/>
          <w:szCs w:val="26"/>
        </w:rPr>
        <w:t xml:space="preserve">they </w:t>
      </w:r>
      <w:r w:rsidR="00CB7F02">
        <w:rPr>
          <w:rFonts w:ascii="Times New Roman" w:hAnsi="Times New Roman"/>
          <w:sz w:val="26"/>
          <w:szCs w:val="26"/>
        </w:rPr>
        <w:t>accepted it anyway</w:t>
      </w:r>
      <w:r w:rsidR="00942352">
        <w:rPr>
          <w:rFonts w:ascii="Times New Roman" w:hAnsi="Times New Roman"/>
          <w:sz w:val="26"/>
          <w:szCs w:val="26"/>
        </w:rPr>
        <w:t xml:space="preserve">.  HIKO </w:t>
      </w:r>
      <w:r w:rsidR="00CB7F02">
        <w:rPr>
          <w:rFonts w:ascii="Times New Roman" w:hAnsi="Times New Roman"/>
          <w:sz w:val="26"/>
          <w:szCs w:val="26"/>
        </w:rPr>
        <w:t>argues</w:t>
      </w:r>
      <w:r w:rsidR="00942352">
        <w:rPr>
          <w:rFonts w:ascii="Times New Roman" w:hAnsi="Times New Roman"/>
          <w:sz w:val="26"/>
          <w:szCs w:val="26"/>
        </w:rPr>
        <w:t xml:space="preserve"> that Section 54.4(a), </w:t>
      </w:r>
      <w:r w:rsidR="00942352" w:rsidRPr="00942352">
        <w:rPr>
          <w:rFonts w:ascii="Times New Roman" w:hAnsi="Times New Roman"/>
          <w:sz w:val="26"/>
          <w:szCs w:val="26"/>
        </w:rPr>
        <w:t xml:space="preserve">which requires that prices billed match prices marketed and </w:t>
      </w:r>
      <w:r w:rsidR="00942352">
        <w:rPr>
          <w:rFonts w:ascii="Times New Roman" w:hAnsi="Times New Roman"/>
          <w:sz w:val="26"/>
          <w:szCs w:val="26"/>
        </w:rPr>
        <w:t>agreed to in disclosure</w:t>
      </w:r>
      <w:r w:rsidR="00942352" w:rsidRPr="00942352">
        <w:rPr>
          <w:rFonts w:ascii="Times New Roman" w:hAnsi="Times New Roman"/>
          <w:sz w:val="26"/>
          <w:szCs w:val="26"/>
        </w:rPr>
        <w:t>,</w:t>
      </w:r>
      <w:r w:rsidR="00942352">
        <w:rPr>
          <w:rFonts w:ascii="Times New Roman" w:hAnsi="Times New Roman"/>
          <w:sz w:val="26"/>
          <w:szCs w:val="26"/>
        </w:rPr>
        <w:t xml:space="preserve"> does not require each invoice to conform to the marketed price.  Invoiced amounts and billed amounts may differ, contends HIKO, as proven by I&amp;E’s agreement to remove from its calculations amounts that appeared to be re-bills.  Counting invoices also ignores </w:t>
      </w:r>
      <w:r w:rsidR="0019048B">
        <w:rPr>
          <w:rFonts w:ascii="Times New Roman" w:hAnsi="Times New Roman"/>
          <w:sz w:val="26"/>
          <w:szCs w:val="26"/>
        </w:rPr>
        <w:t xml:space="preserve">the fact </w:t>
      </w:r>
      <w:r w:rsidR="00942352">
        <w:rPr>
          <w:rFonts w:ascii="Times New Roman" w:hAnsi="Times New Roman"/>
          <w:sz w:val="26"/>
          <w:szCs w:val="26"/>
        </w:rPr>
        <w:t xml:space="preserve">that these customers will receive refunds in </w:t>
      </w:r>
      <w:r w:rsidR="00942352">
        <w:rPr>
          <w:rFonts w:ascii="Times New Roman" w:hAnsi="Times New Roman"/>
          <w:i/>
          <w:sz w:val="26"/>
          <w:szCs w:val="26"/>
        </w:rPr>
        <w:t>OAG/OCA-HIKO Settlement</w:t>
      </w:r>
      <w:r w:rsidR="00942352">
        <w:rPr>
          <w:rFonts w:ascii="Times New Roman" w:hAnsi="Times New Roman"/>
          <w:sz w:val="26"/>
          <w:szCs w:val="26"/>
        </w:rPr>
        <w:t xml:space="preserve">, contends HIKO.  </w:t>
      </w:r>
      <w:r w:rsidR="00CB7F02">
        <w:rPr>
          <w:rFonts w:ascii="Times New Roman" w:hAnsi="Times New Roman"/>
          <w:sz w:val="26"/>
          <w:szCs w:val="26"/>
        </w:rPr>
        <w:t xml:space="preserve">HIKO also argues that using an invoice-based rather than customer-based </w:t>
      </w:r>
      <w:r w:rsidR="00CB7F02" w:rsidRPr="00CB7F02">
        <w:rPr>
          <w:rFonts w:ascii="Times New Roman" w:hAnsi="Times New Roman"/>
          <w:sz w:val="26"/>
          <w:szCs w:val="26"/>
        </w:rPr>
        <w:t xml:space="preserve">calculation </w:t>
      </w:r>
      <w:r w:rsidR="00CB7F02">
        <w:rPr>
          <w:rFonts w:ascii="Times New Roman" w:hAnsi="Times New Roman"/>
          <w:sz w:val="26"/>
          <w:szCs w:val="26"/>
        </w:rPr>
        <w:t>ignores the fact that many customers received savings prior to the price hikes beginning in January 2014.  HIKO Exc. at 11-13.</w:t>
      </w:r>
    </w:p>
    <w:p w:rsidR="00CB7F02" w:rsidRDefault="00CB7F02" w:rsidP="00443054">
      <w:pPr>
        <w:ind w:firstLine="1440"/>
        <w:rPr>
          <w:rFonts w:ascii="Times New Roman" w:hAnsi="Times New Roman"/>
          <w:sz w:val="26"/>
          <w:szCs w:val="26"/>
        </w:rPr>
      </w:pPr>
    </w:p>
    <w:p w:rsidR="00AA4457" w:rsidRDefault="00CB7F02" w:rsidP="00443054">
      <w:pPr>
        <w:ind w:firstLine="1440"/>
        <w:rPr>
          <w:rFonts w:ascii="Times New Roman" w:hAnsi="Times New Roman"/>
          <w:sz w:val="26"/>
          <w:szCs w:val="26"/>
        </w:rPr>
      </w:pPr>
      <w:r>
        <w:rPr>
          <w:rFonts w:ascii="Times New Roman" w:hAnsi="Times New Roman"/>
          <w:sz w:val="26"/>
          <w:szCs w:val="26"/>
        </w:rPr>
        <w:t xml:space="preserve">Using the date of the invoice as a basis for the calculation is also supported under the Initial Decision, claims HIKO.  Because the ALJs determined that HIKO made a conscious decision to overbill customers each day invoicing occurred, under this analysis at most 120 violations occurred, once </w:t>
      </w:r>
      <w:r w:rsidR="0019048B">
        <w:rPr>
          <w:rFonts w:ascii="Times New Roman" w:hAnsi="Times New Roman"/>
          <w:sz w:val="26"/>
          <w:szCs w:val="26"/>
        </w:rPr>
        <w:t xml:space="preserve">for </w:t>
      </w:r>
      <w:r>
        <w:rPr>
          <w:rFonts w:ascii="Times New Roman" w:hAnsi="Times New Roman"/>
          <w:sz w:val="26"/>
          <w:szCs w:val="26"/>
        </w:rPr>
        <w:t xml:space="preserve">each day </w:t>
      </w:r>
      <w:r w:rsidR="0019048B">
        <w:rPr>
          <w:rFonts w:ascii="Times New Roman" w:hAnsi="Times New Roman"/>
          <w:sz w:val="26"/>
          <w:szCs w:val="26"/>
        </w:rPr>
        <w:t xml:space="preserve">in </w:t>
      </w:r>
      <w:r>
        <w:rPr>
          <w:rFonts w:ascii="Times New Roman" w:hAnsi="Times New Roman"/>
          <w:sz w:val="26"/>
          <w:szCs w:val="26"/>
        </w:rPr>
        <w:t>January through April 2014.  Th</w:t>
      </w:r>
      <w:r w:rsidR="00D852A6">
        <w:rPr>
          <w:rFonts w:ascii="Times New Roman" w:hAnsi="Times New Roman"/>
          <w:sz w:val="26"/>
          <w:szCs w:val="26"/>
        </w:rPr>
        <w:t>u</w:t>
      </w:r>
      <w:r>
        <w:rPr>
          <w:rFonts w:ascii="Times New Roman" w:hAnsi="Times New Roman"/>
          <w:sz w:val="26"/>
          <w:szCs w:val="26"/>
        </w:rPr>
        <w:t xml:space="preserve">s, contends HIKO, </w:t>
      </w:r>
      <w:r w:rsidR="00D852A6">
        <w:rPr>
          <w:rFonts w:ascii="Times New Roman" w:hAnsi="Times New Roman"/>
          <w:sz w:val="26"/>
          <w:szCs w:val="26"/>
        </w:rPr>
        <w:t xml:space="preserve">even accepting I&amp;E’s proposed $1,000 per violation </w:t>
      </w:r>
      <w:r>
        <w:rPr>
          <w:rFonts w:ascii="Times New Roman" w:hAnsi="Times New Roman"/>
          <w:sz w:val="26"/>
          <w:szCs w:val="26"/>
        </w:rPr>
        <w:t>would support at most a penalty of $120,000</w:t>
      </w:r>
      <w:r w:rsidR="00D852A6">
        <w:rPr>
          <w:rFonts w:ascii="Times New Roman" w:hAnsi="Times New Roman"/>
          <w:sz w:val="26"/>
          <w:szCs w:val="26"/>
        </w:rPr>
        <w:t xml:space="preserve">, a penalty HIKO characterizes as “well within the range of penalties that the Commission approved for other EGS companies for similar violations during the same time period.”  </w:t>
      </w:r>
      <w:r w:rsidR="00D852A6">
        <w:rPr>
          <w:rFonts w:ascii="Times New Roman" w:hAnsi="Times New Roman"/>
          <w:i/>
          <w:sz w:val="26"/>
          <w:szCs w:val="26"/>
        </w:rPr>
        <w:t>Id.</w:t>
      </w:r>
      <w:r w:rsidR="00D852A6">
        <w:rPr>
          <w:rFonts w:ascii="Times New Roman" w:hAnsi="Times New Roman"/>
          <w:sz w:val="26"/>
          <w:szCs w:val="26"/>
        </w:rPr>
        <w:t xml:space="preserve"> at 13, citing, </w:t>
      </w:r>
      <w:r w:rsidR="00D852A6">
        <w:rPr>
          <w:rFonts w:ascii="Times New Roman" w:hAnsi="Times New Roman"/>
          <w:i/>
          <w:sz w:val="26"/>
          <w:szCs w:val="26"/>
        </w:rPr>
        <w:t>inter alia</w:t>
      </w:r>
      <w:r w:rsidR="00D852A6">
        <w:rPr>
          <w:rFonts w:ascii="Times New Roman" w:hAnsi="Times New Roman"/>
          <w:sz w:val="26"/>
          <w:szCs w:val="26"/>
        </w:rPr>
        <w:t xml:space="preserve">, </w:t>
      </w:r>
      <w:r w:rsidR="00957320">
        <w:rPr>
          <w:rFonts w:ascii="Times New Roman" w:hAnsi="Times New Roman"/>
          <w:i/>
          <w:sz w:val="26"/>
          <w:szCs w:val="26"/>
        </w:rPr>
        <w:t>PaG&amp;E</w:t>
      </w:r>
      <w:r w:rsidR="00592F19">
        <w:rPr>
          <w:rFonts w:ascii="Times New Roman" w:hAnsi="Times New Roman"/>
          <w:i/>
          <w:sz w:val="26"/>
          <w:szCs w:val="26"/>
        </w:rPr>
        <w:t xml:space="preserve"> 2014 Settlement</w:t>
      </w:r>
      <w:r w:rsidR="00957320">
        <w:rPr>
          <w:rStyle w:val="FootnoteReference"/>
          <w:sz w:val="26"/>
          <w:szCs w:val="26"/>
        </w:rPr>
        <w:footnoteReference w:id="5"/>
      </w:r>
      <w:r w:rsidR="00592F19">
        <w:rPr>
          <w:rFonts w:ascii="Times New Roman" w:hAnsi="Times New Roman"/>
          <w:sz w:val="26"/>
          <w:szCs w:val="26"/>
        </w:rPr>
        <w:t xml:space="preserve"> and</w:t>
      </w:r>
      <w:r w:rsidR="00D852A6">
        <w:rPr>
          <w:rFonts w:ascii="Times New Roman" w:hAnsi="Times New Roman"/>
          <w:sz w:val="26"/>
          <w:szCs w:val="26"/>
        </w:rPr>
        <w:t xml:space="preserve"> </w:t>
      </w:r>
      <w:r w:rsidR="00D852A6" w:rsidRPr="00D852A6">
        <w:rPr>
          <w:rFonts w:ascii="Times New Roman" w:hAnsi="Times New Roman"/>
          <w:i/>
          <w:sz w:val="26"/>
          <w:szCs w:val="26"/>
        </w:rPr>
        <w:t xml:space="preserve">Pa. PUC Bureau of Investigation </w:t>
      </w:r>
      <w:r w:rsidR="00813A79">
        <w:rPr>
          <w:rFonts w:ascii="Times New Roman" w:hAnsi="Times New Roman"/>
          <w:i/>
          <w:sz w:val="26"/>
          <w:szCs w:val="26"/>
        </w:rPr>
        <w:t>and</w:t>
      </w:r>
      <w:r w:rsidR="00D852A6" w:rsidRPr="00D852A6">
        <w:rPr>
          <w:rFonts w:ascii="Times New Roman" w:hAnsi="Times New Roman"/>
          <w:i/>
          <w:sz w:val="26"/>
          <w:szCs w:val="26"/>
        </w:rPr>
        <w:t xml:space="preserve"> Enforcement v.</w:t>
      </w:r>
      <w:r w:rsidR="00D852A6">
        <w:rPr>
          <w:rFonts w:ascii="Times New Roman" w:hAnsi="Times New Roman"/>
          <w:i/>
          <w:sz w:val="26"/>
          <w:szCs w:val="26"/>
        </w:rPr>
        <w:t xml:space="preserve"> Public Power, LLC</w:t>
      </w:r>
      <w:r w:rsidR="00D852A6">
        <w:rPr>
          <w:rFonts w:ascii="Times New Roman" w:hAnsi="Times New Roman"/>
          <w:sz w:val="26"/>
          <w:szCs w:val="26"/>
        </w:rPr>
        <w:t>, Docket No. M-2012-2257858 (Final Order entered December 19, 2013)</w:t>
      </w:r>
      <w:r w:rsidR="00E67091">
        <w:rPr>
          <w:rFonts w:ascii="Times New Roman" w:hAnsi="Times New Roman"/>
          <w:sz w:val="26"/>
          <w:szCs w:val="26"/>
        </w:rPr>
        <w:t xml:space="preserve"> (</w:t>
      </w:r>
      <w:r w:rsidR="00E67091">
        <w:rPr>
          <w:rFonts w:ascii="Times New Roman" w:hAnsi="Times New Roman"/>
          <w:i/>
          <w:sz w:val="26"/>
          <w:szCs w:val="26"/>
        </w:rPr>
        <w:t>Public Power</w:t>
      </w:r>
      <w:r w:rsidR="00E67091">
        <w:rPr>
          <w:rFonts w:ascii="Times New Roman" w:hAnsi="Times New Roman"/>
          <w:sz w:val="26"/>
          <w:szCs w:val="26"/>
        </w:rPr>
        <w:t>)</w:t>
      </w:r>
      <w:r w:rsidR="00D852A6">
        <w:rPr>
          <w:rFonts w:ascii="Times New Roman" w:hAnsi="Times New Roman"/>
          <w:sz w:val="26"/>
          <w:szCs w:val="26"/>
        </w:rPr>
        <w:t>.</w:t>
      </w:r>
    </w:p>
    <w:p w:rsidR="00AA4457" w:rsidRDefault="00AA4457" w:rsidP="00443054">
      <w:pPr>
        <w:ind w:firstLine="1440"/>
        <w:rPr>
          <w:rFonts w:ascii="Times New Roman" w:hAnsi="Times New Roman"/>
          <w:sz w:val="26"/>
          <w:szCs w:val="26"/>
        </w:rPr>
      </w:pPr>
    </w:p>
    <w:p w:rsidR="00CB7F02" w:rsidRPr="00942352" w:rsidRDefault="00AA4457" w:rsidP="00443054">
      <w:pPr>
        <w:ind w:firstLine="1440"/>
        <w:rPr>
          <w:rFonts w:ascii="Times New Roman" w:hAnsi="Times New Roman"/>
          <w:sz w:val="26"/>
          <w:szCs w:val="26"/>
        </w:rPr>
      </w:pPr>
      <w:r>
        <w:rPr>
          <w:rFonts w:ascii="Times New Roman" w:hAnsi="Times New Roman"/>
          <w:sz w:val="26"/>
          <w:szCs w:val="26"/>
        </w:rPr>
        <w:lastRenderedPageBreak/>
        <w:t xml:space="preserve">HIKO also contends that the ALJs’ calculation of the number of violations based upon the number of customer invoices with prices that exceeded the guaranteed savings required an interpretation of HIKO’s contract, a matter outside the Commission’s jurisdiction.  According to HIKO, “it was not up to the ALJ (or complainant) to decide that each month’s billing rate over the PTC was a separate breach of contract” </w:t>
      </w:r>
      <w:r w:rsidR="005930FC">
        <w:rPr>
          <w:rFonts w:ascii="Times New Roman" w:hAnsi="Times New Roman"/>
          <w:sz w:val="26"/>
          <w:szCs w:val="26"/>
        </w:rPr>
        <w:t xml:space="preserve">and a penalty based upon the number of invoice entries “relies on an interpretation of HIKO’s terms and conditions with its customers and ultimately involves double (or triple) counting of what is” one violation of Section 54.4(a).  </w:t>
      </w:r>
      <w:r w:rsidR="005930FC">
        <w:rPr>
          <w:rFonts w:ascii="Times New Roman" w:hAnsi="Times New Roman"/>
          <w:i/>
          <w:sz w:val="26"/>
          <w:szCs w:val="26"/>
        </w:rPr>
        <w:t>Id</w:t>
      </w:r>
      <w:r w:rsidR="005930FC">
        <w:rPr>
          <w:rFonts w:ascii="Times New Roman" w:hAnsi="Times New Roman"/>
          <w:sz w:val="26"/>
          <w:szCs w:val="26"/>
        </w:rPr>
        <w:t xml:space="preserve">. at 14-15.  Thus, HIKO concludes, calculation of the number of violations should be based on the number of customers affected or the dates the invoices were sent, but not the number of invoices </w:t>
      </w:r>
      <w:r w:rsidR="0018271A">
        <w:rPr>
          <w:rFonts w:ascii="Times New Roman" w:hAnsi="Times New Roman"/>
          <w:sz w:val="26"/>
          <w:szCs w:val="26"/>
        </w:rPr>
        <w:t>that</w:t>
      </w:r>
      <w:r w:rsidR="005930FC">
        <w:rPr>
          <w:rFonts w:ascii="Times New Roman" w:hAnsi="Times New Roman"/>
          <w:sz w:val="26"/>
          <w:szCs w:val="26"/>
        </w:rPr>
        <w:t xml:space="preserve"> allegedly overbilled guaranteed-price customers.</w:t>
      </w:r>
    </w:p>
    <w:p w:rsidR="00FD0D50" w:rsidRDefault="00FD0D50" w:rsidP="00443054">
      <w:pPr>
        <w:ind w:firstLine="1440"/>
        <w:rPr>
          <w:rFonts w:ascii="Times New Roman" w:hAnsi="Times New Roman"/>
          <w:sz w:val="26"/>
          <w:szCs w:val="26"/>
        </w:rPr>
      </w:pPr>
    </w:p>
    <w:p w:rsidR="005A54C7" w:rsidRPr="0018271A" w:rsidRDefault="005A54C7" w:rsidP="002D790F">
      <w:pPr>
        <w:rPr>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b/>
          <w:sz w:val="26"/>
          <w:szCs w:val="26"/>
        </w:rPr>
        <w:tab/>
      </w:r>
      <w:r w:rsidRPr="005A54C7">
        <w:rPr>
          <w:b/>
          <w:sz w:val="26"/>
          <w:szCs w:val="26"/>
        </w:rPr>
        <w:t>I&amp;E’s Reply</w:t>
      </w:r>
    </w:p>
    <w:p w:rsidR="005A54C7" w:rsidRDefault="005A54C7" w:rsidP="002D790F">
      <w:pPr>
        <w:ind w:left="720"/>
        <w:rPr>
          <w:rFonts w:ascii="Times New Roman" w:hAnsi="Times New Roman"/>
          <w:sz w:val="26"/>
          <w:szCs w:val="26"/>
        </w:rPr>
      </w:pPr>
    </w:p>
    <w:p w:rsidR="0018271A" w:rsidRDefault="000B2B80" w:rsidP="0018271A">
      <w:pPr>
        <w:ind w:firstLine="1440"/>
        <w:rPr>
          <w:rFonts w:ascii="Times New Roman" w:hAnsi="Times New Roman"/>
          <w:sz w:val="26"/>
          <w:szCs w:val="26"/>
        </w:rPr>
      </w:pPr>
      <w:r>
        <w:rPr>
          <w:rFonts w:ascii="Times New Roman" w:hAnsi="Times New Roman"/>
          <w:sz w:val="26"/>
          <w:szCs w:val="26"/>
        </w:rPr>
        <w:t xml:space="preserve">Addressing HIKO’s claim that the evidence does not support the 14,689 number of violations based on the invoices, as revised by I&amp;E and accepted by the ALJs, I&amp;E responds that its Exhibits 6A through 11A contain spreadsheets of HIKO’s own billing data, with each highlighted entry representing an overcharged invoiced amount.  I&amp;E R. Exc. at 3.  </w:t>
      </w:r>
      <w:r w:rsidR="00376F5B" w:rsidRPr="00376F5B">
        <w:rPr>
          <w:rFonts w:ascii="Times New Roman" w:hAnsi="Times New Roman"/>
          <w:sz w:val="26"/>
          <w:szCs w:val="26"/>
        </w:rPr>
        <w:t xml:space="preserve">As for the two potential inconsistencies noted by the ALJs, I&amp;E explains that in revising its original calculation of invoices downward </w:t>
      </w:r>
      <w:r w:rsidR="0086684B">
        <w:rPr>
          <w:rFonts w:ascii="Times New Roman" w:hAnsi="Times New Roman"/>
          <w:sz w:val="26"/>
          <w:szCs w:val="26"/>
        </w:rPr>
        <w:t>it</w:t>
      </w:r>
      <w:r w:rsidR="00376F5B" w:rsidRPr="00376F5B">
        <w:rPr>
          <w:rFonts w:ascii="Times New Roman" w:hAnsi="Times New Roman"/>
          <w:sz w:val="26"/>
          <w:szCs w:val="26"/>
        </w:rPr>
        <w:t xml:space="preserve"> remov</w:t>
      </w:r>
      <w:r w:rsidR="0086684B">
        <w:rPr>
          <w:rFonts w:ascii="Times New Roman" w:hAnsi="Times New Roman"/>
          <w:sz w:val="26"/>
          <w:szCs w:val="26"/>
        </w:rPr>
        <w:t>ed</w:t>
      </w:r>
      <w:r w:rsidR="00376F5B" w:rsidRPr="00376F5B">
        <w:rPr>
          <w:rFonts w:ascii="Times New Roman" w:hAnsi="Times New Roman"/>
          <w:sz w:val="26"/>
          <w:szCs w:val="26"/>
        </w:rPr>
        <w:t xml:space="preserve"> </w:t>
      </w:r>
      <w:r w:rsidR="0086684B">
        <w:rPr>
          <w:rFonts w:ascii="Times New Roman" w:hAnsi="Times New Roman"/>
          <w:sz w:val="26"/>
          <w:szCs w:val="26"/>
        </w:rPr>
        <w:t>sixty-eight</w:t>
      </w:r>
      <w:r w:rsidR="00376F5B" w:rsidRPr="00376F5B">
        <w:rPr>
          <w:rFonts w:ascii="Times New Roman" w:hAnsi="Times New Roman"/>
          <w:sz w:val="26"/>
          <w:szCs w:val="26"/>
        </w:rPr>
        <w:t xml:space="preserve"> entries where the billing data reflected no energy consumption.  </w:t>
      </w:r>
      <w:r w:rsidR="00376F5B">
        <w:rPr>
          <w:rFonts w:ascii="Times New Roman" w:hAnsi="Times New Roman"/>
          <w:sz w:val="26"/>
          <w:szCs w:val="26"/>
        </w:rPr>
        <w:t>I&amp;E asserts that while characterizing the methodology adopted by the ALJs as “</w:t>
      </w:r>
      <w:r w:rsidR="00376F5B" w:rsidRPr="00592F19">
        <w:rPr>
          <w:rFonts w:ascii="Times New Roman" w:hAnsi="Times New Roman"/>
          <w:i/>
          <w:sz w:val="26"/>
          <w:szCs w:val="26"/>
        </w:rPr>
        <w:t>potentially</w:t>
      </w:r>
      <w:r w:rsidR="00376F5B">
        <w:rPr>
          <w:rFonts w:ascii="Times New Roman" w:hAnsi="Times New Roman"/>
          <w:sz w:val="26"/>
          <w:szCs w:val="26"/>
        </w:rPr>
        <w:t xml:space="preserve"> inaccurate,” nowhere does HIKO provide what it contends is a correct number of instances where the customers’ bills do not honor the guaranteed savings price marketed by HIKO and agreed to by the parties.  </w:t>
      </w:r>
      <w:r w:rsidR="00376F5B">
        <w:rPr>
          <w:rFonts w:ascii="Times New Roman" w:hAnsi="Times New Roman"/>
          <w:i/>
          <w:sz w:val="26"/>
          <w:szCs w:val="26"/>
        </w:rPr>
        <w:t xml:space="preserve">Id. </w:t>
      </w:r>
      <w:r w:rsidR="00376F5B">
        <w:rPr>
          <w:rFonts w:ascii="Times New Roman" w:hAnsi="Times New Roman"/>
          <w:sz w:val="26"/>
          <w:szCs w:val="26"/>
        </w:rPr>
        <w:t>at 6 (emphasis in original).</w:t>
      </w:r>
    </w:p>
    <w:p w:rsidR="0086684B" w:rsidRDefault="0086684B" w:rsidP="0018271A">
      <w:pPr>
        <w:ind w:firstLine="1440"/>
        <w:rPr>
          <w:rFonts w:ascii="Times New Roman" w:hAnsi="Times New Roman"/>
          <w:sz w:val="26"/>
          <w:szCs w:val="26"/>
        </w:rPr>
      </w:pPr>
    </w:p>
    <w:p w:rsidR="0086684B" w:rsidRDefault="0086684B" w:rsidP="0018271A">
      <w:pPr>
        <w:ind w:firstLine="1440"/>
        <w:rPr>
          <w:rFonts w:ascii="Times New Roman" w:hAnsi="Times New Roman"/>
          <w:sz w:val="26"/>
          <w:szCs w:val="26"/>
        </w:rPr>
      </w:pPr>
      <w:r>
        <w:rPr>
          <w:rFonts w:ascii="Times New Roman" w:hAnsi="Times New Roman"/>
          <w:sz w:val="26"/>
          <w:szCs w:val="26"/>
        </w:rPr>
        <w:t xml:space="preserve">Rejecting HIKO’s proposal to calculate the number of violations on the basis of the number of customers affected, I&amp;E asserts that this is not only contrary to Section 54.4(a), which is based upon billing, but also would ignore the fact that some </w:t>
      </w:r>
      <w:r>
        <w:rPr>
          <w:rFonts w:ascii="Times New Roman" w:hAnsi="Times New Roman"/>
          <w:sz w:val="26"/>
          <w:szCs w:val="26"/>
        </w:rPr>
        <w:lastRenderedPageBreak/>
        <w:t xml:space="preserve">customers experienced repeated overbilling between January and April 2014.  </w:t>
      </w:r>
      <w:r>
        <w:rPr>
          <w:rFonts w:ascii="Times New Roman" w:hAnsi="Times New Roman"/>
          <w:i/>
          <w:sz w:val="26"/>
          <w:szCs w:val="26"/>
        </w:rPr>
        <w:t>Id</w:t>
      </w:r>
      <w:r>
        <w:rPr>
          <w:rFonts w:ascii="Times New Roman" w:hAnsi="Times New Roman"/>
          <w:sz w:val="26"/>
          <w:szCs w:val="26"/>
        </w:rPr>
        <w:t xml:space="preserve">. at 7-8.  I&amp;E also rejects HIKO’s alternate calculation, based upon the number of days each overbilling occurred, arguing that in </w:t>
      </w:r>
      <w:r w:rsidRPr="0086684B">
        <w:rPr>
          <w:rFonts w:ascii="Times New Roman" w:hAnsi="Times New Roman"/>
          <w:i/>
          <w:sz w:val="26"/>
          <w:szCs w:val="26"/>
        </w:rPr>
        <w:t>Newcomer</w:t>
      </w:r>
      <w:r>
        <w:rPr>
          <w:rFonts w:ascii="Times New Roman" w:hAnsi="Times New Roman"/>
          <w:sz w:val="26"/>
          <w:szCs w:val="26"/>
        </w:rPr>
        <w:t xml:space="preserve">, </w:t>
      </w:r>
      <w:r w:rsidR="007E4F1D">
        <w:rPr>
          <w:rFonts w:ascii="Times New Roman" w:hAnsi="Times New Roman"/>
          <w:sz w:val="26"/>
          <w:szCs w:val="26"/>
        </w:rPr>
        <w:t xml:space="preserve">relied on by the ALJs in their Conclusion of Law No. 11, </w:t>
      </w:r>
      <w:r w:rsidRPr="0086684B">
        <w:rPr>
          <w:rFonts w:ascii="Times New Roman" w:hAnsi="Times New Roman"/>
          <w:sz w:val="26"/>
          <w:szCs w:val="26"/>
        </w:rPr>
        <w:t>Co</w:t>
      </w:r>
      <w:r>
        <w:rPr>
          <w:rFonts w:ascii="Times New Roman" w:hAnsi="Times New Roman"/>
          <w:sz w:val="26"/>
          <w:szCs w:val="26"/>
        </w:rPr>
        <w:t xml:space="preserve">mmonwealth Court affirmed the Commission’s authority to impose a penalty of up to $1,000 for each discrete violation </w:t>
      </w:r>
      <w:r w:rsidR="007E4F1D">
        <w:rPr>
          <w:rFonts w:ascii="Times New Roman" w:hAnsi="Times New Roman"/>
          <w:sz w:val="26"/>
          <w:szCs w:val="26"/>
        </w:rPr>
        <w:t xml:space="preserve">even if that calculation results in multiple violations for </w:t>
      </w:r>
      <w:r>
        <w:rPr>
          <w:rFonts w:ascii="Times New Roman" w:hAnsi="Times New Roman"/>
          <w:sz w:val="26"/>
          <w:szCs w:val="26"/>
        </w:rPr>
        <w:t xml:space="preserve">a “continuing offense.”  </w:t>
      </w:r>
      <w:r>
        <w:rPr>
          <w:rFonts w:ascii="Times New Roman" w:hAnsi="Times New Roman"/>
          <w:i/>
          <w:sz w:val="26"/>
          <w:szCs w:val="26"/>
        </w:rPr>
        <w:t>Id.</w:t>
      </w:r>
      <w:r>
        <w:rPr>
          <w:rFonts w:ascii="Times New Roman" w:hAnsi="Times New Roman"/>
          <w:sz w:val="26"/>
          <w:szCs w:val="26"/>
        </w:rPr>
        <w:t xml:space="preserve"> at 8.  </w:t>
      </w:r>
      <w:r w:rsidR="007E4F1D">
        <w:rPr>
          <w:rFonts w:ascii="Times New Roman" w:hAnsi="Times New Roman"/>
          <w:sz w:val="26"/>
          <w:szCs w:val="26"/>
        </w:rPr>
        <w:t xml:space="preserve">I&amp;E concludes that the number of overcharges billed by HIKO over that </w:t>
      </w:r>
      <w:r w:rsidR="008A4B92">
        <w:rPr>
          <w:rFonts w:ascii="Times New Roman" w:hAnsi="Times New Roman"/>
          <w:sz w:val="26"/>
          <w:szCs w:val="26"/>
        </w:rPr>
        <w:t>4-</w:t>
      </w:r>
      <w:r w:rsidR="007E4F1D">
        <w:rPr>
          <w:rFonts w:ascii="Times New Roman" w:hAnsi="Times New Roman"/>
          <w:sz w:val="26"/>
          <w:szCs w:val="26"/>
        </w:rPr>
        <w:t>month period can be segregated into 14,689 discrete violations subject to a separate civil penalty.</w:t>
      </w:r>
    </w:p>
    <w:p w:rsidR="00214407" w:rsidRDefault="00214407" w:rsidP="0018271A">
      <w:pPr>
        <w:ind w:firstLine="1440"/>
        <w:rPr>
          <w:rFonts w:ascii="Times New Roman" w:hAnsi="Times New Roman"/>
          <w:sz w:val="26"/>
          <w:szCs w:val="26"/>
        </w:rPr>
      </w:pPr>
    </w:p>
    <w:p w:rsidR="00376F5B" w:rsidRDefault="00214407" w:rsidP="0018271A">
      <w:pPr>
        <w:ind w:firstLine="1440"/>
        <w:rPr>
          <w:rFonts w:ascii="Times New Roman" w:hAnsi="Times New Roman"/>
          <w:sz w:val="26"/>
          <w:szCs w:val="26"/>
        </w:rPr>
      </w:pPr>
      <w:r>
        <w:rPr>
          <w:rFonts w:ascii="Times New Roman" w:hAnsi="Times New Roman"/>
          <w:sz w:val="26"/>
          <w:szCs w:val="26"/>
        </w:rPr>
        <w:t xml:space="preserve">As for other cases relied on by HIKO, I&amp;E first notes that the Initial Decision purportedly entered August 26, 2015 in </w:t>
      </w:r>
      <w:r>
        <w:rPr>
          <w:rFonts w:ascii="Times New Roman" w:hAnsi="Times New Roman"/>
          <w:i/>
          <w:sz w:val="26"/>
          <w:szCs w:val="26"/>
        </w:rPr>
        <w:t xml:space="preserve">Pa. PUC Bureau of Investigation </w:t>
      </w:r>
      <w:r w:rsidR="00813A79">
        <w:rPr>
          <w:rFonts w:ascii="Times New Roman" w:hAnsi="Times New Roman"/>
          <w:i/>
          <w:sz w:val="26"/>
          <w:szCs w:val="26"/>
        </w:rPr>
        <w:t>and</w:t>
      </w:r>
      <w:r>
        <w:rPr>
          <w:rFonts w:ascii="Times New Roman" w:hAnsi="Times New Roman"/>
          <w:i/>
          <w:sz w:val="26"/>
          <w:szCs w:val="26"/>
        </w:rPr>
        <w:t xml:space="preserve"> Enforcement v. Respond Power</w:t>
      </w:r>
      <w:r>
        <w:rPr>
          <w:rFonts w:ascii="Times New Roman" w:hAnsi="Times New Roman"/>
          <w:sz w:val="26"/>
          <w:szCs w:val="26"/>
        </w:rPr>
        <w:t xml:space="preserve">, Docket No. C-2014-2438640 “is a decision that simply does not exist.”  The </w:t>
      </w:r>
      <w:r>
        <w:rPr>
          <w:rFonts w:ascii="Times New Roman" w:hAnsi="Times New Roman"/>
          <w:i/>
          <w:sz w:val="26"/>
          <w:szCs w:val="26"/>
        </w:rPr>
        <w:t xml:space="preserve">PaG&amp;E </w:t>
      </w:r>
      <w:r>
        <w:rPr>
          <w:rFonts w:ascii="Times New Roman" w:hAnsi="Times New Roman"/>
          <w:sz w:val="26"/>
          <w:szCs w:val="26"/>
        </w:rPr>
        <w:t xml:space="preserve">and </w:t>
      </w:r>
      <w:r>
        <w:rPr>
          <w:rFonts w:ascii="Times New Roman" w:hAnsi="Times New Roman"/>
          <w:i/>
          <w:sz w:val="26"/>
          <w:szCs w:val="26"/>
        </w:rPr>
        <w:t xml:space="preserve">Public Power </w:t>
      </w:r>
      <w:r>
        <w:rPr>
          <w:rFonts w:ascii="Times New Roman" w:hAnsi="Times New Roman"/>
          <w:sz w:val="26"/>
          <w:szCs w:val="26"/>
        </w:rPr>
        <w:t xml:space="preserve">cases, contends I&amp;E, are dissimilar in facts and resulted in settlements.  Citing </w:t>
      </w:r>
      <w:r>
        <w:rPr>
          <w:rFonts w:ascii="Times New Roman" w:hAnsi="Times New Roman"/>
          <w:i/>
          <w:sz w:val="26"/>
          <w:szCs w:val="26"/>
        </w:rPr>
        <w:t>Pa. PUC v. Bell Telephone Co. of Pa.</w:t>
      </w:r>
      <w:r>
        <w:rPr>
          <w:rFonts w:ascii="Times New Roman" w:hAnsi="Times New Roman"/>
          <w:sz w:val="26"/>
          <w:szCs w:val="26"/>
        </w:rPr>
        <w:t>, Docket No. R-811819 (Order entered November 10, 1988)</w:t>
      </w:r>
      <w:r w:rsidR="00E5382F">
        <w:rPr>
          <w:rFonts w:ascii="Times New Roman" w:hAnsi="Times New Roman"/>
          <w:sz w:val="26"/>
          <w:szCs w:val="26"/>
        </w:rPr>
        <w:t xml:space="preserve"> (</w:t>
      </w:r>
      <w:r w:rsidR="00E5382F">
        <w:rPr>
          <w:rFonts w:ascii="Times New Roman" w:hAnsi="Times New Roman"/>
          <w:i/>
          <w:sz w:val="26"/>
          <w:szCs w:val="26"/>
        </w:rPr>
        <w:t>Bell</w:t>
      </w:r>
      <w:r w:rsidR="00E5382F">
        <w:rPr>
          <w:rFonts w:ascii="Times New Roman" w:hAnsi="Times New Roman"/>
          <w:sz w:val="26"/>
          <w:szCs w:val="26"/>
        </w:rPr>
        <w:t>)</w:t>
      </w:r>
      <w:r>
        <w:rPr>
          <w:rFonts w:ascii="Times New Roman" w:hAnsi="Times New Roman"/>
          <w:sz w:val="26"/>
          <w:szCs w:val="26"/>
        </w:rPr>
        <w:t xml:space="preserve">, </w:t>
      </w:r>
      <w:r w:rsidR="00592F19">
        <w:rPr>
          <w:rFonts w:ascii="Times New Roman" w:hAnsi="Times New Roman"/>
          <w:sz w:val="26"/>
          <w:szCs w:val="26"/>
        </w:rPr>
        <w:t xml:space="preserve">also relied on by the ALJs, </w:t>
      </w:r>
      <w:r>
        <w:rPr>
          <w:rFonts w:ascii="Times New Roman" w:hAnsi="Times New Roman"/>
          <w:sz w:val="26"/>
          <w:szCs w:val="26"/>
        </w:rPr>
        <w:t>I&amp;E argues that settlements unequivocally do not serve as precedent in any proceeding.</w:t>
      </w:r>
    </w:p>
    <w:p w:rsidR="0068384D" w:rsidRPr="0018271A" w:rsidRDefault="0068384D" w:rsidP="0018271A">
      <w:pPr>
        <w:ind w:firstLine="1440"/>
        <w:rPr>
          <w:rFonts w:ascii="Times New Roman" w:hAnsi="Times New Roman"/>
          <w:sz w:val="26"/>
          <w:szCs w:val="26"/>
        </w:rPr>
      </w:pPr>
    </w:p>
    <w:p w:rsidR="005A54C7" w:rsidRPr="005A54C7" w:rsidRDefault="005A54C7" w:rsidP="002D790F">
      <w:pPr>
        <w:ind w:left="720"/>
        <w:rPr>
          <w:rFonts w:ascii="Times New Roman" w:hAnsi="Times New Roman"/>
          <w:b/>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b/>
          <w:sz w:val="26"/>
          <w:szCs w:val="26"/>
        </w:rPr>
        <w:tab/>
        <w:t>Disposition</w:t>
      </w:r>
    </w:p>
    <w:p w:rsidR="005A54C7" w:rsidRDefault="005A54C7" w:rsidP="002D790F">
      <w:pPr>
        <w:rPr>
          <w:rFonts w:ascii="Times New Roman" w:hAnsi="Times New Roman"/>
          <w:sz w:val="26"/>
          <w:szCs w:val="26"/>
        </w:rPr>
      </w:pPr>
    </w:p>
    <w:p w:rsidR="002B46EB" w:rsidRDefault="00214407" w:rsidP="00214407">
      <w:pPr>
        <w:ind w:firstLine="1440"/>
        <w:rPr>
          <w:rFonts w:ascii="Times New Roman" w:hAnsi="Times New Roman"/>
          <w:sz w:val="26"/>
          <w:szCs w:val="26"/>
        </w:rPr>
      </w:pPr>
      <w:r w:rsidRPr="00214407">
        <w:rPr>
          <w:rFonts w:ascii="Times New Roman" w:hAnsi="Times New Roman"/>
          <w:sz w:val="26"/>
          <w:szCs w:val="26"/>
        </w:rPr>
        <w:t>We find the ALJs</w:t>
      </w:r>
      <w:r w:rsidR="00592F19">
        <w:rPr>
          <w:rFonts w:ascii="Times New Roman" w:hAnsi="Times New Roman"/>
          <w:sz w:val="26"/>
          <w:szCs w:val="26"/>
        </w:rPr>
        <w:t>’</w:t>
      </w:r>
      <w:r w:rsidRPr="00214407">
        <w:rPr>
          <w:rFonts w:ascii="Times New Roman" w:hAnsi="Times New Roman"/>
          <w:sz w:val="26"/>
          <w:szCs w:val="26"/>
        </w:rPr>
        <w:t xml:space="preserve"> decision to calculate the number of violations of Section 54.4(a) on the basis of the number of invoices in which the price billed did not match the customer information to be supported under our policy statement</w:t>
      </w:r>
      <w:r w:rsidR="00712DBD">
        <w:rPr>
          <w:rFonts w:ascii="Times New Roman" w:hAnsi="Times New Roman"/>
          <w:sz w:val="26"/>
          <w:szCs w:val="26"/>
        </w:rPr>
        <w:t xml:space="preserve"> and case law</w:t>
      </w:r>
      <w:r w:rsidR="002B46EB">
        <w:rPr>
          <w:rFonts w:ascii="Times New Roman" w:hAnsi="Times New Roman"/>
          <w:sz w:val="26"/>
          <w:szCs w:val="26"/>
        </w:rPr>
        <w:t xml:space="preserve"> and adopt the ALJs’ decision on this point</w:t>
      </w:r>
      <w:r w:rsidR="0024291B">
        <w:rPr>
          <w:rFonts w:ascii="Times New Roman" w:hAnsi="Times New Roman"/>
          <w:sz w:val="26"/>
          <w:szCs w:val="26"/>
        </w:rPr>
        <w:t>.</w:t>
      </w:r>
    </w:p>
    <w:p w:rsidR="00DC3C64" w:rsidRDefault="00DC3C64" w:rsidP="00214407">
      <w:pPr>
        <w:ind w:firstLine="1440"/>
        <w:rPr>
          <w:rFonts w:ascii="Times New Roman" w:hAnsi="Times New Roman"/>
          <w:sz w:val="26"/>
          <w:szCs w:val="26"/>
        </w:rPr>
      </w:pPr>
    </w:p>
    <w:p w:rsidR="00214407" w:rsidRDefault="00214407" w:rsidP="00214407">
      <w:pPr>
        <w:ind w:firstLine="1440"/>
        <w:rPr>
          <w:rFonts w:ascii="Times New Roman" w:hAnsi="Times New Roman"/>
          <w:sz w:val="26"/>
          <w:szCs w:val="26"/>
        </w:rPr>
      </w:pPr>
      <w:r w:rsidRPr="00214407">
        <w:rPr>
          <w:rFonts w:ascii="Times New Roman" w:hAnsi="Times New Roman"/>
          <w:sz w:val="26"/>
          <w:szCs w:val="26"/>
        </w:rPr>
        <w:t xml:space="preserve">Although HIKO argues that Section 54.4(a) “does </w:t>
      </w:r>
      <w:r w:rsidRPr="00214407">
        <w:rPr>
          <w:rFonts w:ascii="Times New Roman" w:hAnsi="Times New Roman"/>
          <w:i/>
          <w:sz w:val="26"/>
          <w:szCs w:val="26"/>
        </w:rPr>
        <w:t xml:space="preserve">not </w:t>
      </w:r>
      <w:r w:rsidRPr="00214407">
        <w:rPr>
          <w:rFonts w:ascii="Times New Roman" w:hAnsi="Times New Roman"/>
          <w:sz w:val="26"/>
          <w:szCs w:val="26"/>
        </w:rPr>
        <w:t>state that each EGS invoice must conform to the marketed price” but rather contains a “general” statement that “</w:t>
      </w:r>
      <w:r w:rsidRPr="00214407">
        <w:rPr>
          <w:rFonts w:ascii="Times New Roman" w:hAnsi="Times New Roman"/>
          <w:b/>
          <w:sz w:val="26"/>
          <w:szCs w:val="26"/>
        </w:rPr>
        <w:t>prices billed</w:t>
      </w:r>
      <w:r w:rsidRPr="00214407">
        <w:rPr>
          <w:rFonts w:ascii="Times New Roman" w:hAnsi="Times New Roman"/>
          <w:sz w:val="26"/>
          <w:szCs w:val="26"/>
        </w:rPr>
        <w:t xml:space="preserve"> must reflect the marketed price and the agreed upon prices in the disclosure statement” we find that distinction to be one without a difference.  HIKO Exc. at 12 (emphasis in original).  The prices in HIKO’s invoices did not match the customer </w:t>
      </w:r>
      <w:r w:rsidRPr="00214407">
        <w:rPr>
          <w:rFonts w:ascii="Times New Roman" w:hAnsi="Times New Roman"/>
          <w:sz w:val="26"/>
          <w:szCs w:val="26"/>
        </w:rPr>
        <w:lastRenderedPageBreak/>
        <w:t xml:space="preserve">information provided, which guaranteed savings of between 1% and 7%.  We find no basis to adopt an analysis that Section 54.4(a) demands anything more </w:t>
      </w:r>
      <w:r w:rsidR="00490208">
        <w:rPr>
          <w:rFonts w:ascii="Times New Roman" w:hAnsi="Times New Roman"/>
          <w:sz w:val="26"/>
          <w:szCs w:val="26"/>
        </w:rPr>
        <w:t xml:space="preserve">than disparate pricing </w:t>
      </w:r>
      <w:r w:rsidRPr="00214407">
        <w:rPr>
          <w:rFonts w:ascii="Times New Roman" w:hAnsi="Times New Roman"/>
          <w:sz w:val="26"/>
          <w:szCs w:val="26"/>
        </w:rPr>
        <w:t xml:space="preserve">in order for us to adopt the ALJs’ conclusion that HIKO </w:t>
      </w:r>
      <w:r w:rsidRPr="008A4B92">
        <w:rPr>
          <w:rFonts w:ascii="Times New Roman" w:hAnsi="Times New Roman"/>
          <w:b/>
          <w:sz w:val="26"/>
          <w:szCs w:val="26"/>
        </w:rPr>
        <w:t>billed</w:t>
      </w:r>
      <w:r w:rsidRPr="00214407">
        <w:rPr>
          <w:rFonts w:ascii="Times New Roman" w:hAnsi="Times New Roman"/>
          <w:sz w:val="26"/>
          <w:szCs w:val="26"/>
        </w:rPr>
        <w:t xml:space="preserve"> prices that did not </w:t>
      </w:r>
      <w:r w:rsidR="00490208">
        <w:rPr>
          <w:rFonts w:ascii="Times New Roman" w:hAnsi="Times New Roman"/>
          <w:sz w:val="26"/>
          <w:szCs w:val="26"/>
        </w:rPr>
        <w:t>match its customer</w:t>
      </w:r>
      <w:r w:rsidRPr="00214407">
        <w:rPr>
          <w:rFonts w:ascii="Times New Roman" w:hAnsi="Times New Roman"/>
          <w:sz w:val="26"/>
          <w:szCs w:val="26"/>
        </w:rPr>
        <w:t xml:space="preserve"> information.</w:t>
      </w:r>
    </w:p>
    <w:p w:rsidR="00214407" w:rsidRPr="00214407" w:rsidRDefault="00214407" w:rsidP="00214407">
      <w:pPr>
        <w:ind w:firstLine="1440"/>
        <w:rPr>
          <w:rFonts w:ascii="Times New Roman" w:hAnsi="Times New Roman"/>
          <w:sz w:val="26"/>
          <w:szCs w:val="26"/>
        </w:rPr>
      </w:pPr>
    </w:p>
    <w:p w:rsidR="00490208" w:rsidRDefault="00214407" w:rsidP="00214407">
      <w:pPr>
        <w:ind w:firstLine="1440"/>
        <w:rPr>
          <w:rFonts w:ascii="Times New Roman" w:hAnsi="Times New Roman"/>
          <w:sz w:val="26"/>
          <w:szCs w:val="26"/>
        </w:rPr>
      </w:pPr>
      <w:r w:rsidRPr="00214407">
        <w:rPr>
          <w:rFonts w:ascii="Times New Roman" w:hAnsi="Times New Roman"/>
          <w:sz w:val="26"/>
          <w:szCs w:val="26"/>
        </w:rPr>
        <w:t xml:space="preserve">With respect to the cases cited by HIKO, </w:t>
      </w:r>
      <w:r w:rsidR="002B46EB">
        <w:rPr>
          <w:rFonts w:ascii="Times New Roman" w:hAnsi="Times New Roman"/>
          <w:sz w:val="26"/>
          <w:szCs w:val="26"/>
        </w:rPr>
        <w:t xml:space="preserve">we agree with both </w:t>
      </w:r>
      <w:r w:rsidRPr="00214407">
        <w:rPr>
          <w:rFonts w:ascii="Times New Roman" w:hAnsi="Times New Roman"/>
          <w:sz w:val="26"/>
          <w:szCs w:val="26"/>
        </w:rPr>
        <w:t xml:space="preserve">the ALJs </w:t>
      </w:r>
      <w:r w:rsidR="002B46EB">
        <w:rPr>
          <w:rFonts w:ascii="Times New Roman" w:hAnsi="Times New Roman"/>
          <w:sz w:val="26"/>
          <w:szCs w:val="26"/>
        </w:rPr>
        <w:t xml:space="preserve">and I&amp;E that </w:t>
      </w:r>
      <w:r w:rsidRPr="00214407">
        <w:rPr>
          <w:rFonts w:ascii="Times New Roman" w:hAnsi="Times New Roman"/>
          <w:i/>
          <w:sz w:val="26"/>
          <w:szCs w:val="26"/>
        </w:rPr>
        <w:t xml:space="preserve">Public Power </w:t>
      </w:r>
      <w:r w:rsidRPr="00214407">
        <w:rPr>
          <w:rFonts w:ascii="Times New Roman" w:hAnsi="Times New Roman"/>
          <w:sz w:val="26"/>
          <w:szCs w:val="26"/>
        </w:rPr>
        <w:t xml:space="preserve">and </w:t>
      </w:r>
      <w:r w:rsidRPr="00214407">
        <w:rPr>
          <w:rFonts w:ascii="Times New Roman" w:hAnsi="Times New Roman"/>
          <w:i/>
          <w:sz w:val="26"/>
          <w:szCs w:val="26"/>
        </w:rPr>
        <w:t>PaG&amp;E</w:t>
      </w:r>
      <w:r w:rsidR="0024291B">
        <w:rPr>
          <w:rFonts w:ascii="Times New Roman" w:hAnsi="Times New Roman"/>
          <w:i/>
          <w:sz w:val="26"/>
          <w:szCs w:val="26"/>
        </w:rPr>
        <w:t xml:space="preserve"> 2014 Settlement</w:t>
      </w:r>
      <w:r w:rsidRPr="00214407">
        <w:rPr>
          <w:rFonts w:ascii="Times New Roman" w:hAnsi="Times New Roman"/>
          <w:sz w:val="26"/>
          <w:szCs w:val="26"/>
        </w:rPr>
        <w:t xml:space="preserve"> are settled cases with incomparable records and findings</w:t>
      </w:r>
      <w:r w:rsidR="002B46EB">
        <w:rPr>
          <w:rFonts w:ascii="Times New Roman" w:hAnsi="Times New Roman"/>
          <w:sz w:val="26"/>
          <w:szCs w:val="26"/>
        </w:rPr>
        <w:t xml:space="preserve"> that do not serve as precedent</w:t>
      </w:r>
      <w:r w:rsidRPr="00214407">
        <w:rPr>
          <w:rFonts w:ascii="Times New Roman" w:hAnsi="Times New Roman"/>
          <w:sz w:val="26"/>
          <w:szCs w:val="26"/>
        </w:rPr>
        <w:t xml:space="preserve">.  </w:t>
      </w:r>
      <w:r w:rsidR="00490208">
        <w:rPr>
          <w:rFonts w:ascii="Times New Roman" w:hAnsi="Times New Roman"/>
          <w:sz w:val="26"/>
          <w:szCs w:val="26"/>
        </w:rPr>
        <w:t xml:space="preserve">As the ALJs stated, </w:t>
      </w:r>
      <w:r w:rsidRPr="00214407">
        <w:rPr>
          <w:rFonts w:ascii="Times New Roman" w:hAnsi="Times New Roman"/>
          <w:i/>
          <w:sz w:val="26"/>
          <w:szCs w:val="26"/>
        </w:rPr>
        <w:t xml:space="preserve">Public </w:t>
      </w:r>
      <w:r w:rsidR="003C32A6">
        <w:rPr>
          <w:rFonts w:ascii="Times New Roman" w:hAnsi="Times New Roman"/>
          <w:i/>
          <w:sz w:val="26"/>
          <w:szCs w:val="26"/>
        </w:rPr>
        <w:t>Power</w:t>
      </w:r>
      <w:r w:rsidRPr="00214407">
        <w:rPr>
          <w:rFonts w:ascii="Times New Roman" w:hAnsi="Times New Roman"/>
          <w:i/>
          <w:sz w:val="26"/>
          <w:szCs w:val="26"/>
        </w:rPr>
        <w:t xml:space="preserve"> </w:t>
      </w:r>
      <w:r w:rsidRPr="00214407">
        <w:rPr>
          <w:rFonts w:ascii="Times New Roman" w:hAnsi="Times New Roman"/>
          <w:sz w:val="26"/>
          <w:szCs w:val="26"/>
        </w:rPr>
        <w:t>involv</w:t>
      </w:r>
      <w:r w:rsidR="00490208">
        <w:rPr>
          <w:rFonts w:ascii="Times New Roman" w:hAnsi="Times New Roman"/>
          <w:sz w:val="26"/>
          <w:szCs w:val="26"/>
        </w:rPr>
        <w:t>ed</w:t>
      </w:r>
      <w:r w:rsidRPr="00214407">
        <w:rPr>
          <w:rFonts w:ascii="Times New Roman" w:hAnsi="Times New Roman"/>
          <w:sz w:val="26"/>
          <w:szCs w:val="26"/>
        </w:rPr>
        <w:t xml:space="preserve"> unintentional conduct in which “the EGS did not premeditate a conspiracy to slam 2,937 customers.  Rather, the case involved the transmission by a third-party vendor of mistaken enrollments[,]” as addressed directly in the parties’ settlement.  I.D. at 53.</w:t>
      </w:r>
      <w:r w:rsidR="00490208">
        <w:rPr>
          <w:rFonts w:ascii="Times New Roman" w:hAnsi="Times New Roman"/>
          <w:sz w:val="26"/>
          <w:szCs w:val="26"/>
        </w:rPr>
        <w:t xml:space="preserve">  </w:t>
      </w:r>
      <w:r w:rsidRPr="00214407">
        <w:rPr>
          <w:rFonts w:ascii="Times New Roman" w:hAnsi="Times New Roman"/>
          <w:sz w:val="26"/>
          <w:szCs w:val="26"/>
        </w:rPr>
        <w:t xml:space="preserve">In </w:t>
      </w:r>
      <w:r w:rsidRPr="00214407">
        <w:rPr>
          <w:rFonts w:ascii="Times New Roman" w:hAnsi="Times New Roman"/>
          <w:i/>
          <w:sz w:val="26"/>
          <w:szCs w:val="26"/>
        </w:rPr>
        <w:t>PaG&amp;E</w:t>
      </w:r>
      <w:r w:rsidR="0024291B">
        <w:rPr>
          <w:rFonts w:ascii="Times New Roman" w:hAnsi="Times New Roman"/>
          <w:i/>
          <w:sz w:val="26"/>
          <w:szCs w:val="26"/>
        </w:rPr>
        <w:t xml:space="preserve"> 2014 Settlement</w:t>
      </w:r>
      <w:r w:rsidRPr="00214407">
        <w:rPr>
          <w:rFonts w:ascii="Times New Roman" w:hAnsi="Times New Roman"/>
          <w:i/>
          <w:sz w:val="26"/>
          <w:szCs w:val="26"/>
        </w:rPr>
        <w:t>,</w:t>
      </w:r>
      <w:r w:rsidRPr="00214407">
        <w:rPr>
          <w:rFonts w:ascii="Times New Roman" w:hAnsi="Times New Roman"/>
          <w:sz w:val="26"/>
          <w:szCs w:val="26"/>
        </w:rPr>
        <w:t xml:space="preserve"> </w:t>
      </w:r>
      <w:r w:rsidR="00490208">
        <w:rPr>
          <w:rFonts w:ascii="Times New Roman" w:hAnsi="Times New Roman"/>
          <w:sz w:val="26"/>
          <w:szCs w:val="26"/>
        </w:rPr>
        <w:t>we</w:t>
      </w:r>
      <w:r w:rsidRPr="00214407">
        <w:rPr>
          <w:rFonts w:ascii="Times New Roman" w:hAnsi="Times New Roman"/>
          <w:sz w:val="26"/>
          <w:szCs w:val="26"/>
        </w:rPr>
        <w:t xml:space="preserve"> reject</w:t>
      </w:r>
      <w:r w:rsidR="00490208">
        <w:rPr>
          <w:rFonts w:ascii="Times New Roman" w:hAnsi="Times New Roman"/>
          <w:sz w:val="26"/>
          <w:szCs w:val="26"/>
        </w:rPr>
        <w:t>ed</w:t>
      </w:r>
      <w:r w:rsidRPr="00214407">
        <w:rPr>
          <w:rFonts w:ascii="Times New Roman" w:hAnsi="Times New Roman"/>
          <w:sz w:val="26"/>
          <w:szCs w:val="26"/>
        </w:rPr>
        <w:t xml:space="preserve"> the initial settlement because we found the proposed $75,000 civil penalty insufficient to act as a deterrence</w:t>
      </w:r>
      <w:r w:rsidR="00490208">
        <w:rPr>
          <w:rFonts w:ascii="Times New Roman" w:hAnsi="Times New Roman"/>
          <w:sz w:val="26"/>
          <w:szCs w:val="26"/>
        </w:rPr>
        <w:t xml:space="preserve"> and</w:t>
      </w:r>
      <w:r w:rsidRPr="00214407">
        <w:rPr>
          <w:rFonts w:ascii="Times New Roman" w:hAnsi="Times New Roman"/>
          <w:sz w:val="26"/>
          <w:szCs w:val="26"/>
        </w:rPr>
        <w:t xml:space="preserve"> ultimately accepted a revised settlement that doubled the initial civil penalty to $150,200 for intentional slamming of 108 accounts of 10 customers.</w:t>
      </w:r>
    </w:p>
    <w:p w:rsidR="00490208" w:rsidRDefault="00490208" w:rsidP="00214407">
      <w:pPr>
        <w:ind w:firstLine="1440"/>
        <w:rPr>
          <w:rFonts w:ascii="Times New Roman" w:hAnsi="Times New Roman"/>
          <w:sz w:val="26"/>
          <w:szCs w:val="26"/>
        </w:rPr>
      </w:pPr>
    </w:p>
    <w:p w:rsidR="00214407" w:rsidRPr="00214407" w:rsidRDefault="0024291B" w:rsidP="00214407">
      <w:pPr>
        <w:ind w:firstLine="1440"/>
        <w:rPr>
          <w:rFonts w:ascii="Times New Roman" w:hAnsi="Times New Roman"/>
          <w:sz w:val="26"/>
          <w:szCs w:val="26"/>
        </w:rPr>
      </w:pPr>
      <w:r>
        <w:rPr>
          <w:rFonts w:ascii="Times New Roman" w:hAnsi="Times New Roman"/>
          <w:sz w:val="26"/>
          <w:szCs w:val="26"/>
        </w:rPr>
        <w:t>A</w:t>
      </w:r>
      <w:r w:rsidR="00214407" w:rsidRPr="00214407">
        <w:rPr>
          <w:rFonts w:ascii="Times New Roman" w:hAnsi="Times New Roman"/>
          <w:sz w:val="26"/>
          <w:szCs w:val="26"/>
        </w:rPr>
        <w:t xml:space="preserve">s the ALJs noted, these cases address settlements where the supporting record and positions adopted by parties are often not comparable.  Moreover, by the express terms of our own policy statement addressing the standards we employ in considering an appropriate civil penalty, we do not apply the standards as strictly in settled cases as they are in litigated proceedings such as is before us currently.  </w:t>
      </w:r>
      <w:r w:rsidR="00214407" w:rsidRPr="00214407">
        <w:rPr>
          <w:rFonts w:ascii="Times New Roman" w:hAnsi="Times New Roman"/>
          <w:i/>
          <w:sz w:val="26"/>
          <w:szCs w:val="26"/>
        </w:rPr>
        <w:t xml:space="preserve">See </w:t>
      </w:r>
      <w:r w:rsidR="00214407" w:rsidRPr="00214407">
        <w:rPr>
          <w:rFonts w:ascii="Times New Roman" w:hAnsi="Times New Roman"/>
          <w:sz w:val="26"/>
          <w:szCs w:val="26"/>
        </w:rPr>
        <w:t>52 Pa. Code §</w:t>
      </w:r>
      <w:r w:rsidR="003C32A6">
        <w:rPr>
          <w:rFonts w:ascii="Times New Roman" w:hAnsi="Times New Roman"/>
          <w:sz w:val="26"/>
          <w:szCs w:val="26"/>
        </w:rPr>
        <w:t xml:space="preserve"> </w:t>
      </w:r>
      <w:r w:rsidR="00214407" w:rsidRPr="00214407">
        <w:rPr>
          <w:rFonts w:ascii="Times New Roman" w:hAnsi="Times New Roman"/>
          <w:sz w:val="26"/>
          <w:szCs w:val="26"/>
        </w:rPr>
        <w:t xml:space="preserve">69.1201(b).  </w:t>
      </w:r>
      <w:r>
        <w:rPr>
          <w:rFonts w:ascii="Times New Roman" w:hAnsi="Times New Roman"/>
          <w:sz w:val="26"/>
          <w:szCs w:val="26"/>
        </w:rPr>
        <w:t xml:space="preserve">We also </w:t>
      </w:r>
      <w:r w:rsidR="00214407" w:rsidRPr="00214407">
        <w:rPr>
          <w:rFonts w:ascii="Times New Roman" w:hAnsi="Times New Roman"/>
          <w:sz w:val="26"/>
          <w:szCs w:val="26"/>
        </w:rPr>
        <w:t xml:space="preserve">agree with the ALJs that the conduct at issue in both those cases was distinguishable.  </w:t>
      </w:r>
      <w:r w:rsidR="00214407" w:rsidRPr="00214407">
        <w:rPr>
          <w:rFonts w:ascii="Times New Roman" w:hAnsi="Times New Roman"/>
          <w:i/>
          <w:sz w:val="26"/>
          <w:szCs w:val="26"/>
        </w:rPr>
        <w:t>PaG&amp;E</w:t>
      </w:r>
      <w:r>
        <w:rPr>
          <w:rFonts w:ascii="Times New Roman" w:hAnsi="Times New Roman"/>
          <w:i/>
          <w:sz w:val="26"/>
          <w:szCs w:val="26"/>
        </w:rPr>
        <w:t xml:space="preserve"> 2014 Settlement</w:t>
      </w:r>
      <w:r w:rsidR="00214407" w:rsidRPr="00214407">
        <w:rPr>
          <w:rFonts w:ascii="Times New Roman" w:hAnsi="Times New Roman"/>
          <w:sz w:val="26"/>
          <w:szCs w:val="26"/>
        </w:rPr>
        <w:t>, for example,</w:t>
      </w:r>
      <w:r w:rsidR="00214407" w:rsidRPr="00214407">
        <w:rPr>
          <w:rFonts w:ascii="Times New Roman" w:hAnsi="Times New Roman"/>
          <w:i/>
          <w:sz w:val="26"/>
          <w:szCs w:val="26"/>
        </w:rPr>
        <w:t xml:space="preserve"> </w:t>
      </w:r>
      <w:r w:rsidR="00214407" w:rsidRPr="00214407">
        <w:rPr>
          <w:rFonts w:ascii="Times New Roman" w:hAnsi="Times New Roman"/>
          <w:sz w:val="26"/>
          <w:szCs w:val="26"/>
        </w:rPr>
        <w:t xml:space="preserve">involved the conduct of </w:t>
      </w:r>
      <w:r>
        <w:rPr>
          <w:rFonts w:ascii="Times New Roman" w:hAnsi="Times New Roman"/>
          <w:sz w:val="26"/>
          <w:szCs w:val="26"/>
        </w:rPr>
        <w:t>1</w:t>
      </w:r>
      <w:r w:rsidR="00214407" w:rsidRPr="00214407">
        <w:rPr>
          <w:rFonts w:ascii="Times New Roman" w:hAnsi="Times New Roman"/>
          <w:sz w:val="26"/>
          <w:szCs w:val="26"/>
        </w:rPr>
        <w:t xml:space="preserve"> telephone sales representative </w:t>
      </w:r>
      <w:r>
        <w:rPr>
          <w:rFonts w:ascii="Times New Roman" w:hAnsi="Times New Roman"/>
          <w:sz w:val="26"/>
          <w:szCs w:val="26"/>
        </w:rPr>
        <w:t xml:space="preserve">that </w:t>
      </w:r>
      <w:r w:rsidR="00214407" w:rsidRPr="00214407">
        <w:rPr>
          <w:rFonts w:ascii="Times New Roman" w:hAnsi="Times New Roman"/>
          <w:sz w:val="26"/>
          <w:szCs w:val="26"/>
        </w:rPr>
        <w:t>impact</w:t>
      </w:r>
      <w:r>
        <w:rPr>
          <w:rFonts w:ascii="Times New Roman" w:hAnsi="Times New Roman"/>
          <w:sz w:val="26"/>
          <w:szCs w:val="26"/>
        </w:rPr>
        <w:t>ed</w:t>
      </w:r>
      <w:r w:rsidR="00214407" w:rsidRPr="00214407">
        <w:rPr>
          <w:rFonts w:ascii="Times New Roman" w:hAnsi="Times New Roman"/>
          <w:sz w:val="26"/>
          <w:szCs w:val="26"/>
        </w:rPr>
        <w:t xml:space="preserve"> 108 accounts and 10 customers, not an executive-level decision to intentionally overcharge the accounts of over 5,700 customers over a 4-month period in order to </w:t>
      </w:r>
      <w:r w:rsidR="008A4B92">
        <w:rPr>
          <w:rFonts w:ascii="Times New Roman" w:hAnsi="Times New Roman"/>
          <w:sz w:val="26"/>
          <w:szCs w:val="26"/>
        </w:rPr>
        <w:t xml:space="preserve">recover unexpected costs associated with </w:t>
      </w:r>
      <w:r w:rsidR="00214407" w:rsidRPr="00214407">
        <w:rPr>
          <w:rFonts w:ascii="Times New Roman" w:hAnsi="Times New Roman"/>
          <w:sz w:val="26"/>
          <w:szCs w:val="26"/>
        </w:rPr>
        <w:t>unanticipated weather.</w:t>
      </w:r>
    </w:p>
    <w:p w:rsidR="00214407" w:rsidRDefault="00214407" w:rsidP="00214407">
      <w:pPr>
        <w:ind w:firstLine="1440"/>
        <w:rPr>
          <w:rFonts w:ascii="Times New Roman" w:hAnsi="Times New Roman"/>
          <w:sz w:val="26"/>
          <w:szCs w:val="26"/>
        </w:rPr>
      </w:pPr>
    </w:p>
    <w:p w:rsidR="00214407" w:rsidRDefault="00214407" w:rsidP="00214407">
      <w:pPr>
        <w:ind w:firstLine="1440"/>
        <w:rPr>
          <w:rFonts w:ascii="Times New Roman" w:hAnsi="Times New Roman"/>
          <w:sz w:val="26"/>
          <w:szCs w:val="26"/>
        </w:rPr>
      </w:pPr>
      <w:r w:rsidRPr="00214407">
        <w:rPr>
          <w:rFonts w:ascii="Times New Roman" w:hAnsi="Times New Roman"/>
          <w:sz w:val="26"/>
          <w:szCs w:val="26"/>
        </w:rPr>
        <w:lastRenderedPageBreak/>
        <w:t xml:space="preserve">Further, we also note that in </w:t>
      </w:r>
      <w:r w:rsidRPr="00214407">
        <w:rPr>
          <w:rFonts w:ascii="Times New Roman" w:hAnsi="Times New Roman"/>
          <w:i/>
          <w:sz w:val="26"/>
          <w:szCs w:val="26"/>
        </w:rPr>
        <w:t>PaG&amp;E</w:t>
      </w:r>
      <w:r w:rsidR="00DC3C64">
        <w:rPr>
          <w:rFonts w:ascii="Times New Roman" w:hAnsi="Times New Roman"/>
          <w:i/>
          <w:sz w:val="26"/>
          <w:szCs w:val="26"/>
        </w:rPr>
        <w:t xml:space="preserve"> 2014 Settlement</w:t>
      </w:r>
      <w:r w:rsidRPr="00214407">
        <w:rPr>
          <w:rFonts w:ascii="Times New Roman" w:hAnsi="Times New Roman"/>
          <w:sz w:val="26"/>
          <w:szCs w:val="26"/>
        </w:rPr>
        <w:t>, we applied as the standard for calculating the number of violations the number of customer accounts affected, 108, and imposed the full</w:t>
      </w:r>
      <w:r w:rsidR="00490208">
        <w:rPr>
          <w:rFonts w:ascii="Times New Roman" w:hAnsi="Times New Roman"/>
          <w:sz w:val="26"/>
          <w:szCs w:val="26"/>
        </w:rPr>
        <w:t>est monetary penalty per violation allowed,</w:t>
      </w:r>
      <w:r w:rsidRPr="00214407">
        <w:rPr>
          <w:rFonts w:ascii="Times New Roman" w:hAnsi="Times New Roman"/>
          <w:sz w:val="26"/>
          <w:szCs w:val="26"/>
        </w:rPr>
        <w:t xml:space="preserve"> $1,000, </w:t>
      </w:r>
      <w:r w:rsidR="00490208">
        <w:rPr>
          <w:rFonts w:ascii="Times New Roman" w:hAnsi="Times New Roman"/>
          <w:sz w:val="26"/>
          <w:szCs w:val="26"/>
        </w:rPr>
        <w:t>in</w:t>
      </w:r>
      <w:r w:rsidRPr="00214407">
        <w:rPr>
          <w:rFonts w:ascii="Times New Roman" w:hAnsi="Times New Roman"/>
          <w:sz w:val="26"/>
          <w:szCs w:val="26"/>
        </w:rPr>
        <w:t xml:space="preserve"> arriving at a penalty of $108,000 (plus an additional $42,000 for accounts in the process but not fully switched).  Were we to apply as an alternative standard argued by HIKO in this case the number of customers affected, and apply the same level of penalty per violation as we did in </w:t>
      </w:r>
      <w:r w:rsidRPr="00214407">
        <w:rPr>
          <w:rFonts w:ascii="Times New Roman" w:hAnsi="Times New Roman"/>
          <w:i/>
          <w:sz w:val="26"/>
          <w:szCs w:val="26"/>
        </w:rPr>
        <w:t>PaG&amp;E</w:t>
      </w:r>
      <w:r w:rsidR="00DC3C64">
        <w:rPr>
          <w:rFonts w:ascii="Times New Roman" w:hAnsi="Times New Roman"/>
          <w:i/>
          <w:sz w:val="26"/>
          <w:szCs w:val="26"/>
        </w:rPr>
        <w:t xml:space="preserve"> 2014 Settlement</w:t>
      </w:r>
      <w:r w:rsidR="00490208">
        <w:rPr>
          <w:rFonts w:ascii="Times New Roman" w:hAnsi="Times New Roman"/>
          <w:sz w:val="26"/>
          <w:szCs w:val="26"/>
        </w:rPr>
        <w:t xml:space="preserve"> due to the fact that the conduct at issue was an intentional decision by a top HIKO executive,</w:t>
      </w:r>
      <w:r w:rsidRPr="00214407">
        <w:rPr>
          <w:rFonts w:ascii="Times New Roman" w:hAnsi="Times New Roman"/>
          <w:sz w:val="26"/>
          <w:szCs w:val="26"/>
        </w:rPr>
        <w:t xml:space="preserve"> a civil penalty </w:t>
      </w:r>
      <w:r w:rsidR="003E5E4E">
        <w:rPr>
          <w:rFonts w:ascii="Times New Roman" w:hAnsi="Times New Roman"/>
          <w:sz w:val="26"/>
          <w:szCs w:val="26"/>
        </w:rPr>
        <w:t xml:space="preserve">in the range of </w:t>
      </w:r>
      <w:r w:rsidRPr="00214407">
        <w:rPr>
          <w:rFonts w:ascii="Times New Roman" w:hAnsi="Times New Roman"/>
          <w:sz w:val="26"/>
          <w:szCs w:val="26"/>
        </w:rPr>
        <w:t>$5,700,000 in lieu of the $1.8 million proposed by the ALJs</w:t>
      </w:r>
      <w:r w:rsidR="003E5E4E">
        <w:rPr>
          <w:rFonts w:ascii="Times New Roman" w:hAnsi="Times New Roman"/>
          <w:sz w:val="26"/>
          <w:szCs w:val="26"/>
        </w:rPr>
        <w:t xml:space="preserve"> could be </w:t>
      </w:r>
      <w:r w:rsidR="00DC3C64">
        <w:rPr>
          <w:rFonts w:ascii="Times New Roman" w:hAnsi="Times New Roman"/>
          <w:sz w:val="26"/>
          <w:szCs w:val="26"/>
        </w:rPr>
        <w:t>sustained</w:t>
      </w:r>
      <w:r w:rsidRPr="00214407">
        <w:rPr>
          <w:rFonts w:ascii="Times New Roman" w:hAnsi="Times New Roman"/>
          <w:sz w:val="26"/>
          <w:szCs w:val="26"/>
        </w:rPr>
        <w:t xml:space="preserve">.  </w:t>
      </w:r>
      <w:r w:rsidR="003E5E4E">
        <w:rPr>
          <w:rFonts w:ascii="Times New Roman" w:hAnsi="Times New Roman"/>
          <w:sz w:val="26"/>
          <w:szCs w:val="26"/>
        </w:rPr>
        <w:t xml:space="preserve">While, as discussed below, we decline to do that, we believe that the intentional </w:t>
      </w:r>
      <w:r w:rsidR="00DC3C64">
        <w:rPr>
          <w:rFonts w:ascii="Times New Roman" w:hAnsi="Times New Roman"/>
          <w:sz w:val="26"/>
          <w:szCs w:val="26"/>
        </w:rPr>
        <w:t>decision by top management</w:t>
      </w:r>
      <w:r w:rsidR="003E5E4E">
        <w:rPr>
          <w:rFonts w:ascii="Times New Roman" w:hAnsi="Times New Roman"/>
          <w:sz w:val="26"/>
          <w:szCs w:val="26"/>
        </w:rPr>
        <w:t xml:space="preserve"> and the broad scope of HIKO’s violations </w:t>
      </w:r>
      <w:r w:rsidR="00DC3C64">
        <w:rPr>
          <w:rFonts w:ascii="Times New Roman" w:hAnsi="Times New Roman"/>
          <w:sz w:val="26"/>
          <w:szCs w:val="26"/>
        </w:rPr>
        <w:t>substantially</w:t>
      </w:r>
      <w:r w:rsidR="003E5E4E">
        <w:rPr>
          <w:rFonts w:ascii="Times New Roman" w:hAnsi="Times New Roman"/>
          <w:sz w:val="26"/>
          <w:szCs w:val="26"/>
        </w:rPr>
        <w:t xml:space="preserve"> distinguish it from the cases upon which HIKO relies.</w:t>
      </w:r>
    </w:p>
    <w:p w:rsidR="00214407" w:rsidRDefault="00214407" w:rsidP="00214407">
      <w:pPr>
        <w:ind w:firstLine="1440"/>
        <w:rPr>
          <w:rFonts w:ascii="Times New Roman" w:hAnsi="Times New Roman"/>
          <w:sz w:val="26"/>
          <w:szCs w:val="26"/>
        </w:rPr>
      </w:pPr>
    </w:p>
    <w:p w:rsidR="002B46EB" w:rsidRDefault="002B46EB" w:rsidP="00214407">
      <w:pPr>
        <w:ind w:firstLine="1440"/>
        <w:rPr>
          <w:rFonts w:ascii="Times New Roman" w:hAnsi="Times New Roman"/>
          <w:sz w:val="26"/>
          <w:szCs w:val="26"/>
        </w:rPr>
      </w:pPr>
      <w:r w:rsidRPr="002B46EB">
        <w:rPr>
          <w:rFonts w:ascii="Times New Roman" w:hAnsi="Times New Roman"/>
          <w:sz w:val="26"/>
          <w:szCs w:val="26"/>
        </w:rPr>
        <w:t xml:space="preserve">With respect to the complaint proceeding involving Respond Power at Docket No. C-2014-2438640, </w:t>
      </w:r>
      <w:r>
        <w:rPr>
          <w:rFonts w:ascii="Times New Roman" w:hAnsi="Times New Roman"/>
          <w:sz w:val="26"/>
          <w:szCs w:val="26"/>
        </w:rPr>
        <w:t xml:space="preserve">we agree with I&amp;E that no such decision exists.  </w:t>
      </w:r>
      <w:r w:rsidR="001B6B5A">
        <w:rPr>
          <w:rFonts w:ascii="Times New Roman" w:hAnsi="Times New Roman"/>
          <w:sz w:val="26"/>
          <w:szCs w:val="26"/>
        </w:rPr>
        <w:t xml:space="preserve">Commission </w:t>
      </w:r>
      <w:r>
        <w:rPr>
          <w:rFonts w:ascii="Times New Roman" w:hAnsi="Times New Roman"/>
          <w:sz w:val="26"/>
          <w:szCs w:val="26"/>
        </w:rPr>
        <w:t xml:space="preserve">records reveal </w:t>
      </w:r>
      <w:r w:rsidRPr="002B46EB">
        <w:rPr>
          <w:rFonts w:ascii="Times New Roman" w:hAnsi="Times New Roman"/>
          <w:sz w:val="26"/>
          <w:szCs w:val="26"/>
        </w:rPr>
        <w:t xml:space="preserve">a settlement agreement entered by the parties on August 26, 2015, </w:t>
      </w:r>
      <w:r w:rsidR="003E5E4E">
        <w:rPr>
          <w:rFonts w:ascii="Times New Roman" w:hAnsi="Times New Roman"/>
          <w:sz w:val="26"/>
          <w:szCs w:val="26"/>
        </w:rPr>
        <w:t xml:space="preserve">which agreement was </w:t>
      </w:r>
      <w:r w:rsidRPr="002B46EB">
        <w:rPr>
          <w:rFonts w:ascii="Times New Roman" w:hAnsi="Times New Roman"/>
          <w:sz w:val="26"/>
          <w:szCs w:val="26"/>
        </w:rPr>
        <w:t>subject to further modification on September 18, 2015.</w:t>
      </w:r>
      <w:r>
        <w:rPr>
          <w:rFonts w:ascii="Times New Roman" w:hAnsi="Times New Roman"/>
          <w:sz w:val="26"/>
          <w:szCs w:val="26"/>
        </w:rPr>
        <w:t xml:space="preserve">  Eve</w:t>
      </w:r>
      <w:r w:rsidR="001B6B5A">
        <w:rPr>
          <w:rFonts w:ascii="Times New Roman" w:hAnsi="Times New Roman"/>
          <w:sz w:val="26"/>
          <w:szCs w:val="26"/>
        </w:rPr>
        <w:t>n</w:t>
      </w:r>
      <w:r>
        <w:rPr>
          <w:rFonts w:ascii="Times New Roman" w:hAnsi="Times New Roman"/>
          <w:sz w:val="26"/>
          <w:szCs w:val="26"/>
        </w:rPr>
        <w:t xml:space="preserve"> were an initial decision </w:t>
      </w:r>
      <w:r w:rsidR="001B6B5A">
        <w:rPr>
          <w:rFonts w:ascii="Times New Roman" w:hAnsi="Times New Roman"/>
          <w:sz w:val="26"/>
          <w:szCs w:val="26"/>
        </w:rPr>
        <w:t>issued</w:t>
      </w:r>
      <w:r>
        <w:rPr>
          <w:rFonts w:ascii="Times New Roman" w:hAnsi="Times New Roman"/>
          <w:sz w:val="26"/>
          <w:szCs w:val="26"/>
        </w:rPr>
        <w:t xml:space="preserve">, </w:t>
      </w:r>
      <w:r w:rsidR="001B6B5A">
        <w:rPr>
          <w:rFonts w:ascii="Times New Roman" w:hAnsi="Times New Roman"/>
          <w:sz w:val="26"/>
          <w:szCs w:val="26"/>
        </w:rPr>
        <w:t>however, we note that initial d</w:t>
      </w:r>
      <w:r>
        <w:rPr>
          <w:rFonts w:ascii="Times New Roman" w:hAnsi="Times New Roman"/>
          <w:sz w:val="26"/>
          <w:szCs w:val="26"/>
        </w:rPr>
        <w:t>ecision</w:t>
      </w:r>
      <w:r w:rsidR="001B6B5A">
        <w:rPr>
          <w:rFonts w:ascii="Times New Roman" w:hAnsi="Times New Roman"/>
          <w:sz w:val="26"/>
          <w:szCs w:val="26"/>
        </w:rPr>
        <w:t>s</w:t>
      </w:r>
      <w:r>
        <w:rPr>
          <w:rFonts w:ascii="Times New Roman" w:hAnsi="Times New Roman"/>
          <w:sz w:val="26"/>
          <w:szCs w:val="26"/>
        </w:rPr>
        <w:t xml:space="preserve"> </w:t>
      </w:r>
      <w:r w:rsidR="001B6B5A">
        <w:rPr>
          <w:rFonts w:ascii="Times New Roman" w:hAnsi="Times New Roman"/>
          <w:sz w:val="26"/>
          <w:szCs w:val="26"/>
        </w:rPr>
        <w:t>are</w:t>
      </w:r>
      <w:r>
        <w:rPr>
          <w:rFonts w:ascii="Times New Roman" w:hAnsi="Times New Roman"/>
          <w:sz w:val="26"/>
          <w:szCs w:val="26"/>
        </w:rPr>
        <w:t xml:space="preserve"> not</w:t>
      </w:r>
      <w:r w:rsidR="008A4B92">
        <w:rPr>
          <w:rFonts w:ascii="Times New Roman" w:hAnsi="Times New Roman"/>
          <w:sz w:val="26"/>
          <w:szCs w:val="26"/>
        </w:rPr>
        <w:t>,</w:t>
      </w:r>
      <w:r>
        <w:rPr>
          <w:rFonts w:ascii="Times New Roman" w:hAnsi="Times New Roman"/>
          <w:sz w:val="26"/>
          <w:szCs w:val="26"/>
        </w:rPr>
        <w:t xml:space="preserve"> </w:t>
      </w:r>
      <w:r w:rsidR="002D0587">
        <w:rPr>
          <w:rFonts w:ascii="Times New Roman" w:hAnsi="Times New Roman"/>
          <w:sz w:val="26"/>
          <w:szCs w:val="26"/>
        </w:rPr>
        <w:t>and do not carry the weight of</w:t>
      </w:r>
      <w:r w:rsidR="008A4B92">
        <w:rPr>
          <w:rFonts w:ascii="Times New Roman" w:hAnsi="Times New Roman"/>
          <w:sz w:val="26"/>
          <w:szCs w:val="26"/>
        </w:rPr>
        <w:t>,</w:t>
      </w:r>
      <w:r w:rsidR="002D0587">
        <w:rPr>
          <w:rFonts w:ascii="Times New Roman" w:hAnsi="Times New Roman"/>
          <w:sz w:val="26"/>
          <w:szCs w:val="26"/>
        </w:rPr>
        <w:t xml:space="preserve"> </w:t>
      </w:r>
      <w:r w:rsidR="001B6B5A">
        <w:rPr>
          <w:rFonts w:ascii="Times New Roman" w:hAnsi="Times New Roman"/>
          <w:sz w:val="26"/>
          <w:szCs w:val="26"/>
        </w:rPr>
        <w:t xml:space="preserve">final </w:t>
      </w:r>
      <w:r w:rsidR="002D0587">
        <w:rPr>
          <w:rFonts w:ascii="Times New Roman" w:hAnsi="Times New Roman"/>
          <w:sz w:val="26"/>
          <w:szCs w:val="26"/>
        </w:rPr>
        <w:t>Commission Orders</w:t>
      </w:r>
      <w:r w:rsidR="001B6B5A">
        <w:rPr>
          <w:rFonts w:ascii="Times New Roman" w:hAnsi="Times New Roman"/>
          <w:sz w:val="26"/>
          <w:szCs w:val="26"/>
        </w:rPr>
        <w:t>.</w:t>
      </w:r>
    </w:p>
    <w:p w:rsidR="00DD350D" w:rsidRDefault="00DD350D" w:rsidP="00214407">
      <w:pPr>
        <w:ind w:firstLine="1440"/>
        <w:rPr>
          <w:rFonts w:ascii="Times New Roman" w:hAnsi="Times New Roman"/>
          <w:sz w:val="26"/>
          <w:szCs w:val="26"/>
        </w:rPr>
      </w:pPr>
    </w:p>
    <w:p w:rsidR="00DD350D" w:rsidRPr="00DD350D" w:rsidRDefault="00DD350D" w:rsidP="00DD350D">
      <w:pPr>
        <w:ind w:firstLine="1440"/>
        <w:rPr>
          <w:rFonts w:ascii="Times New Roman" w:hAnsi="Times New Roman"/>
          <w:sz w:val="26"/>
          <w:szCs w:val="26"/>
        </w:rPr>
      </w:pPr>
      <w:r w:rsidRPr="00DD350D">
        <w:rPr>
          <w:rFonts w:ascii="Times New Roman" w:hAnsi="Times New Roman"/>
          <w:sz w:val="26"/>
          <w:szCs w:val="26"/>
        </w:rPr>
        <w:t xml:space="preserve">Consequently, we </w:t>
      </w:r>
      <w:r w:rsidR="00B05A12" w:rsidRPr="00B05A12">
        <w:rPr>
          <w:rFonts w:ascii="Times New Roman" w:hAnsi="Times New Roman"/>
          <w:sz w:val="26"/>
          <w:szCs w:val="26"/>
        </w:rPr>
        <w:t xml:space="preserve">deny HIKO’s Exception No. </w:t>
      </w:r>
      <w:r w:rsidR="00B05A12">
        <w:rPr>
          <w:rFonts w:ascii="Times New Roman" w:hAnsi="Times New Roman"/>
          <w:sz w:val="26"/>
          <w:szCs w:val="26"/>
        </w:rPr>
        <w:t>1</w:t>
      </w:r>
      <w:r w:rsidR="00B05A12" w:rsidRPr="00B05A12">
        <w:rPr>
          <w:rFonts w:ascii="Times New Roman" w:hAnsi="Times New Roman"/>
          <w:sz w:val="26"/>
          <w:szCs w:val="26"/>
        </w:rPr>
        <w:t xml:space="preserve"> and adopt the ALJs’ </w:t>
      </w:r>
      <w:r w:rsidRPr="00DD350D">
        <w:rPr>
          <w:rFonts w:ascii="Times New Roman" w:hAnsi="Times New Roman"/>
          <w:sz w:val="26"/>
          <w:szCs w:val="26"/>
        </w:rPr>
        <w:t xml:space="preserve">conclusion that HIKO violated Section 54.4(a) of our Regulations each time it </w:t>
      </w:r>
      <w:r w:rsidR="00B05A12">
        <w:rPr>
          <w:rFonts w:ascii="Times New Roman" w:hAnsi="Times New Roman"/>
          <w:sz w:val="26"/>
          <w:szCs w:val="26"/>
        </w:rPr>
        <w:t>issued an invoice that billed</w:t>
      </w:r>
      <w:r w:rsidRPr="00DD350D">
        <w:rPr>
          <w:rFonts w:ascii="Times New Roman" w:hAnsi="Times New Roman"/>
          <w:sz w:val="26"/>
          <w:szCs w:val="26"/>
        </w:rPr>
        <w:t xml:space="preserve"> a price that did not match its customer information.</w:t>
      </w:r>
      <w:r w:rsidR="00DC3C64">
        <w:rPr>
          <w:rFonts w:ascii="Times New Roman" w:hAnsi="Times New Roman"/>
          <w:sz w:val="26"/>
          <w:szCs w:val="26"/>
        </w:rPr>
        <w:t xml:space="preserve">  We also dismiss out of hand </w:t>
      </w:r>
      <w:r w:rsidR="00DC3C64" w:rsidRPr="00DC3C64">
        <w:rPr>
          <w:rFonts w:ascii="Times New Roman" w:hAnsi="Times New Roman"/>
          <w:sz w:val="26"/>
          <w:szCs w:val="26"/>
        </w:rPr>
        <w:t xml:space="preserve">HIKO’s bald assertion that doing so requires us to engage in an </w:t>
      </w:r>
      <w:r w:rsidR="00DC3C64" w:rsidRPr="00DC3C64">
        <w:rPr>
          <w:rFonts w:ascii="Times New Roman" w:hAnsi="Times New Roman"/>
          <w:i/>
          <w:sz w:val="26"/>
          <w:szCs w:val="26"/>
        </w:rPr>
        <w:t xml:space="preserve">ultra vires </w:t>
      </w:r>
      <w:r w:rsidR="00DC3C64" w:rsidRPr="00DC3C64">
        <w:rPr>
          <w:rFonts w:ascii="Times New Roman" w:hAnsi="Times New Roman"/>
          <w:sz w:val="26"/>
          <w:szCs w:val="26"/>
        </w:rPr>
        <w:t xml:space="preserve">contract interpretation.  We do not need to interpret a contract in order to count </w:t>
      </w:r>
      <w:r w:rsidR="00DC3C64">
        <w:rPr>
          <w:rFonts w:ascii="Times New Roman" w:hAnsi="Times New Roman"/>
          <w:sz w:val="26"/>
          <w:szCs w:val="26"/>
        </w:rPr>
        <w:t xml:space="preserve">the number of </w:t>
      </w:r>
      <w:r w:rsidR="00DC3C64" w:rsidRPr="00DC3C64">
        <w:rPr>
          <w:rFonts w:ascii="Times New Roman" w:hAnsi="Times New Roman"/>
          <w:sz w:val="26"/>
          <w:szCs w:val="26"/>
        </w:rPr>
        <w:t>overbilled invoices</w:t>
      </w:r>
      <w:r w:rsidR="00DC3C64">
        <w:rPr>
          <w:rFonts w:ascii="Times New Roman" w:hAnsi="Times New Roman"/>
          <w:sz w:val="26"/>
          <w:szCs w:val="26"/>
        </w:rPr>
        <w:t xml:space="preserve"> HIKO issued</w:t>
      </w:r>
      <w:r w:rsidR="00DC3C64" w:rsidRPr="00DC3C64">
        <w:rPr>
          <w:rFonts w:ascii="Times New Roman" w:hAnsi="Times New Roman"/>
          <w:sz w:val="26"/>
          <w:szCs w:val="26"/>
        </w:rPr>
        <w:t xml:space="preserve">, invoices we point out </w:t>
      </w:r>
      <w:r w:rsidR="00DC3C64">
        <w:rPr>
          <w:rFonts w:ascii="Times New Roman" w:hAnsi="Times New Roman"/>
          <w:sz w:val="26"/>
          <w:szCs w:val="26"/>
        </w:rPr>
        <w:t xml:space="preserve">that </w:t>
      </w:r>
      <w:r w:rsidR="00DC3C64" w:rsidRPr="00DC3C64">
        <w:rPr>
          <w:rFonts w:ascii="Times New Roman" w:hAnsi="Times New Roman"/>
          <w:sz w:val="26"/>
          <w:szCs w:val="26"/>
        </w:rPr>
        <w:t>were provided by HIKO.</w:t>
      </w:r>
    </w:p>
    <w:p w:rsidR="001B6B5A" w:rsidRDefault="001B6B5A" w:rsidP="00214407">
      <w:pPr>
        <w:ind w:firstLine="1440"/>
        <w:rPr>
          <w:rFonts w:ascii="Times New Roman" w:hAnsi="Times New Roman"/>
          <w:sz w:val="26"/>
          <w:szCs w:val="26"/>
        </w:rPr>
      </w:pPr>
    </w:p>
    <w:p w:rsidR="00DD350D" w:rsidRPr="00DD350D" w:rsidRDefault="00DD350D" w:rsidP="00DC3C64">
      <w:pPr>
        <w:spacing w:line="240" w:lineRule="auto"/>
        <w:ind w:left="2160" w:hanging="720"/>
        <w:rPr>
          <w:rFonts w:ascii="Times New Roman" w:hAnsi="Times New Roman"/>
          <w:sz w:val="26"/>
          <w:szCs w:val="26"/>
        </w:rPr>
      </w:pPr>
      <w:r w:rsidRPr="00DD350D">
        <w:rPr>
          <w:rFonts w:ascii="Times New Roman" w:hAnsi="Times New Roman"/>
          <w:b/>
          <w:sz w:val="26"/>
          <w:szCs w:val="26"/>
        </w:rPr>
        <w:lastRenderedPageBreak/>
        <w:t>2.</w:t>
      </w:r>
      <w:r w:rsidRPr="00DD350D">
        <w:rPr>
          <w:rFonts w:ascii="Times New Roman" w:hAnsi="Times New Roman"/>
          <w:b/>
          <w:sz w:val="26"/>
          <w:szCs w:val="26"/>
        </w:rPr>
        <w:tab/>
        <w:t>HIKO Exception No. 2</w:t>
      </w:r>
      <w:r w:rsidR="00DC3C64">
        <w:rPr>
          <w:rFonts w:ascii="Times New Roman" w:hAnsi="Times New Roman"/>
          <w:b/>
          <w:sz w:val="26"/>
          <w:szCs w:val="26"/>
        </w:rPr>
        <w:t xml:space="preserve"> – The Number of Invoices That Violated Section 54.4(a)</w:t>
      </w:r>
    </w:p>
    <w:p w:rsidR="00DD350D" w:rsidRPr="00DD350D" w:rsidRDefault="00DD350D" w:rsidP="00DD350D">
      <w:pPr>
        <w:ind w:firstLine="1440"/>
        <w:rPr>
          <w:rFonts w:ascii="Times New Roman" w:hAnsi="Times New Roman"/>
          <w:sz w:val="26"/>
          <w:szCs w:val="26"/>
        </w:rPr>
      </w:pPr>
    </w:p>
    <w:p w:rsidR="00DD350D" w:rsidRPr="00DD350D" w:rsidRDefault="00DD350D" w:rsidP="00DD350D">
      <w:pPr>
        <w:ind w:firstLine="1440"/>
        <w:rPr>
          <w:rFonts w:ascii="Times New Roman" w:hAnsi="Times New Roman"/>
          <w:b/>
          <w:sz w:val="26"/>
          <w:szCs w:val="26"/>
        </w:rPr>
      </w:pPr>
      <w:r w:rsidRPr="00DD350D">
        <w:rPr>
          <w:rFonts w:ascii="Times New Roman" w:hAnsi="Times New Roman"/>
          <w:sz w:val="26"/>
          <w:szCs w:val="26"/>
        </w:rPr>
        <w:tab/>
      </w:r>
      <w:r w:rsidRPr="00DD350D">
        <w:rPr>
          <w:rFonts w:ascii="Times New Roman" w:hAnsi="Times New Roman"/>
          <w:b/>
          <w:sz w:val="26"/>
          <w:szCs w:val="26"/>
        </w:rPr>
        <w:t>a.</w:t>
      </w:r>
      <w:r w:rsidRPr="00DD350D">
        <w:rPr>
          <w:rFonts w:ascii="Times New Roman" w:hAnsi="Times New Roman"/>
          <w:b/>
          <w:sz w:val="26"/>
          <w:szCs w:val="26"/>
        </w:rPr>
        <w:tab/>
        <w:t>HIKO’s Position</w:t>
      </w:r>
    </w:p>
    <w:p w:rsidR="00DD350D" w:rsidRDefault="00DD350D" w:rsidP="00DD350D">
      <w:pPr>
        <w:ind w:firstLine="1440"/>
        <w:rPr>
          <w:rFonts w:ascii="Times New Roman" w:hAnsi="Times New Roman"/>
          <w:sz w:val="26"/>
          <w:szCs w:val="26"/>
        </w:rPr>
      </w:pPr>
    </w:p>
    <w:p w:rsidR="00264F85" w:rsidRDefault="00E86DD6" w:rsidP="00DD350D">
      <w:pPr>
        <w:ind w:firstLine="1440"/>
        <w:rPr>
          <w:rFonts w:ascii="Times New Roman" w:hAnsi="Times New Roman"/>
          <w:sz w:val="26"/>
          <w:szCs w:val="26"/>
        </w:rPr>
      </w:pPr>
      <w:r>
        <w:rPr>
          <w:rFonts w:ascii="Times New Roman" w:hAnsi="Times New Roman"/>
          <w:sz w:val="26"/>
          <w:szCs w:val="26"/>
        </w:rPr>
        <w:t xml:space="preserve">In its second Exception, HIKO contends that even if the Commission agrees with I&amp;E’s </w:t>
      </w:r>
      <w:r w:rsidR="00DC3C64">
        <w:rPr>
          <w:rFonts w:ascii="Times New Roman" w:hAnsi="Times New Roman"/>
          <w:sz w:val="26"/>
          <w:szCs w:val="26"/>
        </w:rPr>
        <w:t xml:space="preserve">method for calculating </w:t>
      </w:r>
      <w:r>
        <w:rPr>
          <w:rFonts w:ascii="Times New Roman" w:hAnsi="Times New Roman"/>
          <w:sz w:val="26"/>
          <w:szCs w:val="26"/>
        </w:rPr>
        <w:t xml:space="preserve">the civil penalty </w:t>
      </w:r>
      <w:r w:rsidR="00DC3C64">
        <w:rPr>
          <w:rFonts w:ascii="Times New Roman" w:hAnsi="Times New Roman"/>
          <w:sz w:val="26"/>
          <w:szCs w:val="26"/>
        </w:rPr>
        <w:t xml:space="preserve">based </w:t>
      </w:r>
      <w:r>
        <w:rPr>
          <w:rFonts w:ascii="Times New Roman" w:hAnsi="Times New Roman"/>
          <w:sz w:val="26"/>
          <w:szCs w:val="26"/>
        </w:rPr>
        <w:t>on the number of invoices, the ALJs erred by accepting I&amp;E’s revised figure that those invoices numbered 14,689.  HIKO points to the first inconsistency in I&amp;E’s numbers</w:t>
      </w:r>
      <w:r w:rsidR="004358A9">
        <w:rPr>
          <w:rFonts w:ascii="Times New Roman" w:hAnsi="Times New Roman"/>
          <w:sz w:val="26"/>
          <w:szCs w:val="26"/>
        </w:rPr>
        <w:t xml:space="preserve">, that </w:t>
      </w:r>
      <w:r>
        <w:rPr>
          <w:rFonts w:ascii="Times New Roman" w:hAnsi="Times New Roman"/>
          <w:sz w:val="26"/>
          <w:szCs w:val="26"/>
        </w:rPr>
        <w:t xml:space="preserve">approximately sixty </w:t>
      </w:r>
      <w:r w:rsidR="004248A1">
        <w:rPr>
          <w:rFonts w:ascii="Times New Roman" w:hAnsi="Times New Roman"/>
          <w:sz w:val="26"/>
          <w:szCs w:val="26"/>
        </w:rPr>
        <w:t xml:space="preserve">anomalous </w:t>
      </w:r>
      <w:r>
        <w:rPr>
          <w:rFonts w:ascii="Times New Roman" w:hAnsi="Times New Roman"/>
          <w:sz w:val="26"/>
          <w:szCs w:val="26"/>
        </w:rPr>
        <w:t xml:space="preserve">entries were questionable because they involved the same account, </w:t>
      </w:r>
      <w:r w:rsidR="004358A9">
        <w:rPr>
          <w:rFonts w:ascii="Times New Roman" w:hAnsi="Times New Roman"/>
          <w:sz w:val="26"/>
          <w:szCs w:val="26"/>
        </w:rPr>
        <w:t>time period, rates, and PTC, but were different invoices with different invoice numbers, amounts</w:t>
      </w:r>
      <w:r w:rsidR="004248A1">
        <w:rPr>
          <w:rFonts w:ascii="Times New Roman" w:hAnsi="Times New Roman"/>
          <w:sz w:val="26"/>
          <w:szCs w:val="26"/>
        </w:rPr>
        <w:t>,</w:t>
      </w:r>
      <w:r w:rsidR="004358A9">
        <w:rPr>
          <w:rFonts w:ascii="Times New Roman" w:hAnsi="Times New Roman"/>
          <w:sz w:val="26"/>
          <w:szCs w:val="26"/>
        </w:rPr>
        <w:t xml:space="preserve"> and usage.  HIKO asserts that its witness Cicchetti discovered “probably at least 300 instances where it was one of these bills dated one day, and then two days later it was modified and it was another bill.”  HIKO Exc. at 16, quoting Tr. at 211.  </w:t>
      </w:r>
      <w:r w:rsidR="004248A1">
        <w:rPr>
          <w:rFonts w:ascii="Times New Roman" w:hAnsi="Times New Roman"/>
          <w:sz w:val="26"/>
          <w:szCs w:val="26"/>
        </w:rPr>
        <w:t xml:space="preserve">Contending that these anomalous entries were not consistent with the Company’s normal billing and likely represented contested or erroneous billing later corrected or replaced, HIKO contends I&amp;E’s calculation “almost certainly included invoice amounts that were never actually billed to the customer.”  </w:t>
      </w:r>
      <w:r w:rsidR="004248A1">
        <w:rPr>
          <w:rFonts w:ascii="Times New Roman" w:hAnsi="Times New Roman"/>
          <w:i/>
          <w:sz w:val="26"/>
          <w:szCs w:val="26"/>
        </w:rPr>
        <w:t>Id.</w:t>
      </w:r>
      <w:r w:rsidR="004248A1">
        <w:rPr>
          <w:rFonts w:ascii="Times New Roman" w:hAnsi="Times New Roman"/>
          <w:sz w:val="26"/>
          <w:szCs w:val="26"/>
        </w:rPr>
        <w:t xml:space="preserve">  </w:t>
      </w:r>
    </w:p>
    <w:p w:rsidR="00264F85" w:rsidRDefault="00264F85" w:rsidP="00DD350D">
      <w:pPr>
        <w:ind w:firstLine="1440"/>
        <w:rPr>
          <w:rFonts w:ascii="Times New Roman" w:hAnsi="Times New Roman"/>
          <w:sz w:val="26"/>
          <w:szCs w:val="26"/>
        </w:rPr>
      </w:pPr>
    </w:p>
    <w:p w:rsidR="00913F27" w:rsidRDefault="00264F85" w:rsidP="00DD350D">
      <w:pPr>
        <w:ind w:firstLine="1440"/>
        <w:rPr>
          <w:rFonts w:ascii="Times New Roman" w:hAnsi="Times New Roman"/>
          <w:sz w:val="26"/>
          <w:szCs w:val="26"/>
        </w:rPr>
      </w:pPr>
      <w:r>
        <w:rPr>
          <w:rFonts w:ascii="Times New Roman" w:hAnsi="Times New Roman"/>
          <w:sz w:val="26"/>
          <w:szCs w:val="26"/>
        </w:rPr>
        <w:t xml:space="preserve">In further challenging the evidence supporting the number of invoices, </w:t>
      </w:r>
      <w:r w:rsidR="00FD0026">
        <w:rPr>
          <w:rFonts w:ascii="Times New Roman" w:hAnsi="Times New Roman"/>
          <w:sz w:val="26"/>
          <w:szCs w:val="26"/>
        </w:rPr>
        <w:t xml:space="preserve">HIKO ascribes to the ALJs the conclusion that I&amp;E’s witness Mumford “‘was unspecific about which line items were incorrectly included in the calculations’ and that the meaning and effect of those entries was ‘conjecture.’” </w:t>
      </w:r>
      <w:r w:rsidR="00FD0026">
        <w:rPr>
          <w:rFonts w:ascii="Times New Roman" w:hAnsi="Times New Roman"/>
          <w:i/>
          <w:sz w:val="26"/>
          <w:szCs w:val="26"/>
        </w:rPr>
        <w:t>Id.</w:t>
      </w:r>
      <w:r w:rsidR="00FD0026">
        <w:rPr>
          <w:rFonts w:ascii="Times New Roman" w:hAnsi="Times New Roman"/>
          <w:sz w:val="26"/>
          <w:szCs w:val="26"/>
        </w:rPr>
        <w:t xml:space="preserve">  Contending </w:t>
      </w:r>
      <w:r>
        <w:rPr>
          <w:rFonts w:ascii="Times New Roman" w:hAnsi="Times New Roman"/>
          <w:sz w:val="26"/>
          <w:szCs w:val="26"/>
        </w:rPr>
        <w:t xml:space="preserve">that </w:t>
      </w:r>
      <w:r w:rsidR="00FD0026">
        <w:rPr>
          <w:rFonts w:ascii="Times New Roman" w:hAnsi="Times New Roman"/>
          <w:sz w:val="26"/>
          <w:szCs w:val="26"/>
        </w:rPr>
        <w:t>the ALJs determined I&amp;E met its burden of proof</w:t>
      </w:r>
      <w:r w:rsidR="00C31BCC">
        <w:rPr>
          <w:rFonts w:ascii="Times New Roman" w:hAnsi="Times New Roman"/>
          <w:sz w:val="26"/>
          <w:szCs w:val="26"/>
        </w:rPr>
        <w:t xml:space="preserve"> </w:t>
      </w:r>
      <w:r w:rsidR="00C31BCC" w:rsidRPr="00C31BCC">
        <w:rPr>
          <w:rFonts w:ascii="Times New Roman" w:hAnsi="Times New Roman"/>
          <w:sz w:val="26"/>
          <w:szCs w:val="26"/>
        </w:rPr>
        <w:t>“[d]espite this conclusion</w:t>
      </w:r>
      <w:r w:rsidR="00C31BCC">
        <w:rPr>
          <w:rFonts w:ascii="Times New Roman" w:hAnsi="Times New Roman"/>
          <w:sz w:val="26"/>
          <w:szCs w:val="26"/>
        </w:rPr>
        <w:t>,</w:t>
      </w:r>
      <w:r w:rsidR="00C31BCC" w:rsidRPr="00C31BCC">
        <w:rPr>
          <w:rFonts w:ascii="Times New Roman" w:hAnsi="Times New Roman"/>
          <w:sz w:val="26"/>
          <w:szCs w:val="26"/>
        </w:rPr>
        <w:t>”</w:t>
      </w:r>
      <w:r w:rsidR="00FD0026">
        <w:rPr>
          <w:rFonts w:ascii="Times New Roman" w:hAnsi="Times New Roman"/>
          <w:sz w:val="26"/>
          <w:szCs w:val="26"/>
        </w:rPr>
        <w:t xml:space="preserve"> HIK</w:t>
      </w:r>
      <w:r w:rsidR="00C31BCC">
        <w:rPr>
          <w:rFonts w:ascii="Times New Roman" w:hAnsi="Times New Roman"/>
          <w:sz w:val="26"/>
          <w:szCs w:val="26"/>
        </w:rPr>
        <w:t>O</w:t>
      </w:r>
      <w:r w:rsidR="00FD0026">
        <w:rPr>
          <w:rFonts w:ascii="Times New Roman" w:hAnsi="Times New Roman"/>
          <w:sz w:val="26"/>
          <w:szCs w:val="26"/>
        </w:rPr>
        <w:t xml:space="preserve"> argues the ALJs</w:t>
      </w:r>
      <w:r w:rsidR="00C31BCC">
        <w:rPr>
          <w:rFonts w:ascii="Times New Roman" w:hAnsi="Times New Roman"/>
          <w:sz w:val="26"/>
          <w:szCs w:val="26"/>
        </w:rPr>
        <w:t>’</w:t>
      </w:r>
      <w:r w:rsidR="00FD0026">
        <w:rPr>
          <w:rFonts w:ascii="Times New Roman" w:hAnsi="Times New Roman"/>
          <w:sz w:val="26"/>
          <w:szCs w:val="26"/>
        </w:rPr>
        <w:t xml:space="preserve"> </w:t>
      </w:r>
      <w:r w:rsidR="00C31BCC">
        <w:rPr>
          <w:rFonts w:ascii="Times New Roman" w:hAnsi="Times New Roman"/>
          <w:sz w:val="26"/>
          <w:szCs w:val="26"/>
        </w:rPr>
        <w:t>determination was</w:t>
      </w:r>
      <w:r w:rsidR="00FD0026">
        <w:rPr>
          <w:rFonts w:ascii="Times New Roman" w:hAnsi="Times New Roman"/>
          <w:sz w:val="26"/>
          <w:szCs w:val="26"/>
        </w:rPr>
        <w:t xml:space="preserve"> “</w:t>
      </w:r>
      <w:r w:rsidR="004248A1">
        <w:rPr>
          <w:rFonts w:ascii="Times New Roman" w:hAnsi="Times New Roman"/>
          <w:sz w:val="26"/>
          <w:szCs w:val="26"/>
        </w:rPr>
        <w:t>plain error.</w:t>
      </w:r>
      <w:r w:rsidR="00FD0026">
        <w:rPr>
          <w:rFonts w:ascii="Times New Roman" w:hAnsi="Times New Roman"/>
          <w:sz w:val="26"/>
          <w:szCs w:val="26"/>
        </w:rPr>
        <w:t>”</w:t>
      </w:r>
      <w:r w:rsidR="004248A1">
        <w:rPr>
          <w:rFonts w:ascii="Times New Roman" w:hAnsi="Times New Roman"/>
          <w:sz w:val="26"/>
          <w:szCs w:val="26"/>
        </w:rPr>
        <w:t xml:space="preserve">  </w:t>
      </w:r>
      <w:r w:rsidR="004248A1">
        <w:rPr>
          <w:rFonts w:ascii="Times New Roman" w:hAnsi="Times New Roman"/>
          <w:i/>
          <w:sz w:val="26"/>
          <w:szCs w:val="26"/>
        </w:rPr>
        <w:t>Id.</w:t>
      </w:r>
      <w:r w:rsidR="00FD0026">
        <w:rPr>
          <w:rFonts w:ascii="Times New Roman" w:hAnsi="Times New Roman"/>
          <w:sz w:val="26"/>
          <w:szCs w:val="26"/>
        </w:rPr>
        <w:t xml:space="preserve">  HIKO illustrates several ways in which I&amp;E could have clarified any confusion over its </w:t>
      </w:r>
      <w:r w:rsidR="00C31BCC">
        <w:rPr>
          <w:rFonts w:ascii="Times New Roman" w:hAnsi="Times New Roman"/>
          <w:sz w:val="26"/>
          <w:szCs w:val="26"/>
        </w:rPr>
        <w:t xml:space="preserve">invoice </w:t>
      </w:r>
      <w:r w:rsidR="00FD0026">
        <w:rPr>
          <w:rFonts w:ascii="Times New Roman" w:hAnsi="Times New Roman"/>
          <w:sz w:val="26"/>
          <w:szCs w:val="26"/>
        </w:rPr>
        <w:t xml:space="preserve">exhibits, including the conduct of further discovery or cross-examination.  </w:t>
      </w:r>
      <w:r w:rsidR="00C31BCC">
        <w:rPr>
          <w:rFonts w:ascii="Times New Roman" w:hAnsi="Times New Roman"/>
          <w:sz w:val="26"/>
          <w:szCs w:val="26"/>
        </w:rPr>
        <w:t xml:space="preserve">Having failed to do that, HIKO argues that “[n]either I&amp;E nor the ALJs have identified any principle of law that says that a defendant bears the risk of greater penalties when I&amp;E presents plainly inconsistent, </w:t>
      </w:r>
      <w:r w:rsidR="00C31BCC">
        <w:rPr>
          <w:rFonts w:ascii="Times New Roman" w:hAnsi="Times New Roman"/>
          <w:sz w:val="26"/>
          <w:szCs w:val="26"/>
        </w:rPr>
        <w:lastRenderedPageBreak/>
        <w:t xml:space="preserve">incomplete, or ambiguous proof.”  </w:t>
      </w:r>
      <w:r w:rsidR="00C31BCC">
        <w:rPr>
          <w:rFonts w:ascii="Times New Roman" w:hAnsi="Times New Roman"/>
          <w:i/>
          <w:sz w:val="26"/>
          <w:szCs w:val="26"/>
        </w:rPr>
        <w:t>Id.</w:t>
      </w:r>
      <w:r w:rsidR="00C31BCC">
        <w:rPr>
          <w:rFonts w:ascii="Times New Roman" w:hAnsi="Times New Roman"/>
          <w:sz w:val="26"/>
          <w:szCs w:val="26"/>
        </w:rPr>
        <w:t xml:space="preserve"> at 17.  Thus, concludes HIKO, I&amp;E failed to prove 14,689 violations because it “failed to offer any evidence proving that these partial, duplicative, or corrected invoice entries actually amounted to a violation of Commission regulations.”  </w:t>
      </w:r>
      <w:r w:rsidR="00C31BCC">
        <w:rPr>
          <w:rFonts w:ascii="Times New Roman" w:hAnsi="Times New Roman"/>
          <w:i/>
          <w:sz w:val="26"/>
          <w:szCs w:val="26"/>
        </w:rPr>
        <w:t>Id.</w:t>
      </w:r>
    </w:p>
    <w:p w:rsidR="00C31BCC" w:rsidRDefault="00C31BCC" w:rsidP="00DD350D">
      <w:pPr>
        <w:ind w:firstLine="1440"/>
        <w:rPr>
          <w:rFonts w:ascii="Times New Roman" w:hAnsi="Times New Roman"/>
          <w:sz w:val="26"/>
          <w:szCs w:val="26"/>
        </w:rPr>
      </w:pPr>
    </w:p>
    <w:p w:rsidR="00C31BCC" w:rsidRPr="00610C32" w:rsidRDefault="00CA5035" w:rsidP="00DD350D">
      <w:pPr>
        <w:ind w:firstLine="1440"/>
        <w:rPr>
          <w:rFonts w:ascii="Times New Roman" w:hAnsi="Times New Roman"/>
          <w:i/>
          <w:sz w:val="26"/>
          <w:szCs w:val="26"/>
        </w:rPr>
      </w:pPr>
      <w:r>
        <w:rPr>
          <w:rFonts w:ascii="Times New Roman" w:hAnsi="Times New Roman"/>
          <w:sz w:val="26"/>
          <w:szCs w:val="26"/>
        </w:rPr>
        <w:t>Next HIKO takes exception to I&amp;E’s inclusion</w:t>
      </w:r>
      <w:r w:rsidRPr="00CA5035">
        <w:rPr>
          <w:rFonts w:ascii="Times New Roman" w:hAnsi="Times New Roman"/>
          <w:sz w:val="26"/>
          <w:szCs w:val="26"/>
        </w:rPr>
        <w:t xml:space="preserve"> within the total 14,689 invoices</w:t>
      </w:r>
      <w:r>
        <w:rPr>
          <w:rFonts w:ascii="Times New Roman" w:hAnsi="Times New Roman"/>
          <w:sz w:val="26"/>
          <w:szCs w:val="26"/>
        </w:rPr>
        <w:t xml:space="preserve">, accepted by the ALJs, 1,421 invoices with usage of less than 150 kWhs, when the average monthly residential usage is approximately 867 kWhs.  HIKO refers to its witness’ explanation that these invoices </w:t>
      </w:r>
      <w:r w:rsidRPr="00CA5035">
        <w:rPr>
          <w:rFonts w:ascii="Times New Roman" w:hAnsi="Times New Roman"/>
          <w:sz w:val="26"/>
          <w:szCs w:val="26"/>
        </w:rPr>
        <w:t xml:space="preserve">“likely” </w:t>
      </w:r>
      <w:r>
        <w:rPr>
          <w:rFonts w:ascii="Times New Roman" w:hAnsi="Times New Roman"/>
          <w:sz w:val="26"/>
          <w:szCs w:val="26"/>
        </w:rPr>
        <w:t>were for empty or seasonal homes</w:t>
      </w:r>
      <w:r w:rsidR="00342BAF">
        <w:rPr>
          <w:rFonts w:ascii="Times New Roman" w:hAnsi="Times New Roman"/>
          <w:sz w:val="26"/>
          <w:szCs w:val="26"/>
        </w:rPr>
        <w:t xml:space="preserve"> unoccupied during the winter</w:t>
      </w:r>
      <w:r>
        <w:rPr>
          <w:rFonts w:ascii="Times New Roman" w:hAnsi="Times New Roman"/>
          <w:sz w:val="26"/>
          <w:szCs w:val="26"/>
        </w:rPr>
        <w:t xml:space="preserve">.  </w:t>
      </w:r>
      <w:r w:rsidR="00342BAF" w:rsidRPr="00342BAF">
        <w:rPr>
          <w:rFonts w:ascii="Times New Roman" w:hAnsi="Times New Roman"/>
          <w:i/>
          <w:sz w:val="26"/>
          <w:szCs w:val="26"/>
        </w:rPr>
        <w:t xml:space="preserve">Id. </w:t>
      </w:r>
      <w:r w:rsidR="00342BAF" w:rsidRPr="00342BAF">
        <w:rPr>
          <w:rFonts w:ascii="Times New Roman" w:hAnsi="Times New Roman"/>
          <w:sz w:val="26"/>
          <w:szCs w:val="26"/>
        </w:rPr>
        <w:t>at 17</w:t>
      </w:r>
      <w:r w:rsidR="00342BAF">
        <w:rPr>
          <w:rFonts w:ascii="Times New Roman" w:hAnsi="Times New Roman"/>
          <w:sz w:val="26"/>
          <w:szCs w:val="26"/>
        </w:rPr>
        <w:t xml:space="preserve">.  </w:t>
      </w:r>
      <w:r>
        <w:rPr>
          <w:rFonts w:ascii="Times New Roman" w:hAnsi="Times New Roman"/>
          <w:sz w:val="26"/>
          <w:szCs w:val="26"/>
        </w:rPr>
        <w:t xml:space="preserve">More significant to HIKO, however, </w:t>
      </w:r>
      <w:r w:rsidR="00342BAF">
        <w:rPr>
          <w:rFonts w:ascii="Times New Roman" w:hAnsi="Times New Roman"/>
          <w:sz w:val="26"/>
          <w:szCs w:val="26"/>
        </w:rPr>
        <w:t xml:space="preserve">is its contention </w:t>
      </w:r>
      <w:r>
        <w:rPr>
          <w:rFonts w:ascii="Times New Roman" w:hAnsi="Times New Roman"/>
          <w:sz w:val="26"/>
          <w:szCs w:val="26"/>
        </w:rPr>
        <w:t>that small usage equated to a small overcharge “far below the $125 per violation recommended by the ALJs</w:t>
      </w:r>
      <w:r w:rsidR="00610C32">
        <w:rPr>
          <w:rFonts w:ascii="Times New Roman" w:hAnsi="Times New Roman"/>
          <w:sz w:val="26"/>
          <w:szCs w:val="26"/>
        </w:rPr>
        <w:t>.</w:t>
      </w:r>
      <w:r>
        <w:rPr>
          <w:rFonts w:ascii="Times New Roman" w:hAnsi="Times New Roman"/>
          <w:sz w:val="26"/>
          <w:szCs w:val="26"/>
        </w:rPr>
        <w:t>”</w:t>
      </w:r>
      <w:r w:rsidR="00342BAF">
        <w:rPr>
          <w:rFonts w:ascii="Times New Roman" w:hAnsi="Times New Roman"/>
          <w:sz w:val="26"/>
          <w:szCs w:val="26"/>
        </w:rPr>
        <w:t xml:space="preserve"> </w:t>
      </w:r>
      <w:r w:rsidR="00610C32">
        <w:rPr>
          <w:rFonts w:ascii="Times New Roman" w:hAnsi="Times New Roman"/>
          <w:sz w:val="26"/>
          <w:szCs w:val="26"/>
        </w:rPr>
        <w:t xml:space="preserve"> </w:t>
      </w:r>
      <w:r w:rsidR="00610C32" w:rsidRPr="00610C32">
        <w:rPr>
          <w:rFonts w:ascii="Times New Roman" w:hAnsi="Times New Roman"/>
          <w:i/>
          <w:sz w:val="26"/>
          <w:szCs w:val="26"/>
        </w:rPr>
        <w:t xml:space="preserve">Id. </w:t>
      </w:r>
      <w:r w:rsidR="00610C32" w:rsidRPr="00610C32">
        <w:rPr>
          <w:rFonts w:ascii="Times New Roman" w:hAnsi="Times New Roman"/>
          <w:sz w:val="26"/>
          <w:szCs w:val="26"/>
        </w:rPr>
        <w:t>at 18.</w:t>
      </w:r>
      <w:r w:rsidR="00610C32">
        <w:rPr>
          <w:rFonts w:ascii="Times New Roman" w:hAnsi="Times New Roman"/>
          <w:sz w:val="26"/>
          <w:szCs w:val="26"/>
        </w:rPr>
        <w:t xml:space="preserve">  According to HIKO, </w:t>
      </w:r>
      <w:r w:rsidR="00610C32" w:rsidRPr="00610C32">
        <w:rPr>
          <w:rFonts w:ascii="Times New Roman" w:hAnsi="Times New Roman"/>
          <w:sz w:val="26"/>
          <w:szCs w:val="26"/>
        </w:rPr>
        <w:t xml:space="preserve">notwithstanding the ALJs’ acknowledgement of that factor’s weighing in favor of a lower penalty, </w:t>
      </w:r>
      <w:r w:rsidR="00342BAF">
        <w:rPr>
          <w:rFonts w:ascii="Times New Roman" w:hAnsi="Times New Roman"/>
          <w:sz w:val="26"/>
          <w:szCs w:val="26"/>
        </w:rPr>
        <w:t xml:space="preserve">the ALJs’ proposed penalty was “overly punitive” </w:t>
      </w:r>
      <w:r w:rsidR="00610C32">
        <w:rPr>
          <w:rFonts w:ascii="Times New Roman" w:hAnsi="Times New Roman"/>
          <w:sz w:val="26"/>
          <w:szCs w:val="26"/>
        </w:rPr>
        <w:t xml:space="preserve">because </w:t>
      </w:r>
      <w:r w:rsidR="00342BAF">
        <w:rPr>
          <w:rFonts w:ascii="Times New Roman" w:hAnsi="Times New Roman"/>
          <w:sz w:val="26"/>
          <w:szCs w:val="26"/>
        </w:rPr>
        <w:t xml:space="preserve">the </w:t>
      </w:r>
      <w:r w:rsidR="00342BAF">
        <w:rPr>
          <w:rFonts w:ascii="Times New Roman" w:hAnsi="Times New Roman"/>
          <w:i/>
          <w:sz w:val="26"/>
          <w:szCs w:val="26"/>
        </w:rPr>
        <w:t xml:space="preserve">de minimis </w:t>
      </w:r>
      <w:r w:rsidR="00342BAF">
        <w:rPr>
          <w:rFonts w:ascii="Times New Roman" w:hAnsi="Times New Roman"/>
          <w:sz w:val="26"/>
          <w:szCs w:val="26"/>
        </w:rPr>
        <w:t>overcharges should have been excluded</w:t>
      </w:r>
      <w:r w:rsidR="00610C32">
        <w:rPr>
          <w:rFonts w:ascii="Times New Roman" w:hAnsi="Times New Roman"/>
          <w:sz w:val="26"/>
          <w:szCs w:val="26"/>
        </w:rPr>
        <w:t xml:space="preserve"> in total</w:t>
      </w:r>
      <w:r w:rsidR="00342BAF">
        <w:rPr>
          <w:rFonts w:ascii="Times New Roman" w:hAnsi="Times New Roman"/>
          <w:sz w:val="26"/>
          <w:szCs w:val="26"/>
        </w:rPr>
        <w:t xml:space="preserve">.  </w:t>
      </w:r>
      <w:r w:rsidR="00610C32">
        <w:rPr>
          <w:rFonts w:ascii="Times New Roman" w:hAnsi="Times New Roman"/>
          <w:i/>
          <w:sz w:val="26"/>
          <w:szCs w:val="26"/>
        </w:rPr>
        <w:t>Id.</w:t>
      </w:r>
    </w:p>
    <w:p w:rsidR="004358A9" w:rsidRPr="00DD350D" w:rsidRDefault="004358A9" w:rsidP="00DD350D">
      <w:pPr>
        <w:ind w:firstLine="1440"/>
        <w:rPr>
          <w:rFonts w:ascii="Times New Roman" w:hAnsi="Times New Roman"/>
          <w:sz w:val="26"/>
          <w:szCs w:val="26"/>
        </w:rPr>
      </w:pPr>
    </w:p>
    <w:p w:rsidR="00DD350D" w:rsidRPr="00DD350D" w:rsidRDefault="00DD350D" w:rsidP="00DD350D">
      <w:pPr>
        <w:ind w:firstLine="1440"/>
        <w:rPr>
          <w:rFonts w:ascii="Times New Roman" w:hAnsi="Times New Roman"/>
          <w:b/>
          <w:sz w:val="26"/>
          <w:szCs w:val="26"/>
        </w:rPr>
      </w:pPr>
      <w:r w:rsidRPr="00DD350D">
        <w:rPr>
          <w:rFonts w:ascii="Times New Roman" w:hAnsi="Times New Roman"/>
          <w:sz w:val="26"/>
          <w:szCs w:val="26"/>
        </w:rPr>
        <w:tab/>
      </w:r>
      <w:r w:rsidRPr="00DD350D">
        <w:rPr>
          <w:rFonts w:ascii="Times New Roman" w:hAnsi="Times New Roman"/>
          <w:b/>
          <w:sz w:val="26"/>
          <w:szCs w:val="26"/>
        </w:rPr>
        <w:t>b.</w:t>
      </w:r>
      <w:r w:rsidRPr="00DD350D">
        <w:rPr>
          <w:rFonts w:ascii="Times New Roman" w:hAnsi="Times New Roman"/>
          <w:b/>
          <w:sz w:val="26"/>
          <w:szCs w:val="26"/>
        </w:rPr>
        <w:tab/>
        <w:t>I&amp;E’s Reply</w:t>
      </w:r>
    </w:p>
    <w:p w:rsidR="00DD350D" w:rsidRPr="008B2A5A" w:rsidRDefault="00DD350D" w:rsidP="00DD350D">
      <w:pPr>
        <w:ind w:firstLine="1440"/>
        <w:rPr>
          <w:rFonts w:ascii="Times New Roman" w:hAnsi="Times New Roman"/>
          <w:sz w:val="26"/>
          <w:szCs w:val="26"/>
        </w:rPr>
      </w:pPr>
    </w:p>
    <w:p w:rsidR="00B25BE1" w:rsidRPr="00B25BE1" w:rsidRDefault="008E1381" w:rsidP="00DD350D">
      <w:pPr>
        <w:ind w:firstLine="1440"/>
        <w:rPr>
          <w:rFonts w:ascii="Times New Roman" w:hAnsi="Times New Roman"/>
          <w:sz w:val="26"/>
          <w:szCs w:val="26"/>
        </w:rPr>
      </w:pPr>
      <w:r>
        <w:rPr>
          <w:rFonts w:ascii="Times New Roman" w:hAnsi="Times New Roman"/>
          <w:sz w:val="26"/>
          <w:szCs w:val="26"/>
        </w:rPr>
        <w:t xml:space="preserve">I&amp;E contends that the ALJs correctly determined that it met its burden of proof because it presented evidence that was more convincing by </w:t>
      </w:r>
      <w:r w:rsidR="00B25BE1">
        <w:rPr>
          <w:rFonts w:ascii="Times New Roman" w:hAnsi="Times New Roman"/>
          <w:sz w:val="26"/>
          <w:szCs w:val="26"/>
        </w:rPr>
        <w:t xml:space="preserve">more than just the </w:t>
      </w:r>
      <w:r>
        <w:rPr>
          <w:rFonts w:ascii="Times New Roman" w:hAnsi="Times New Roman"/>
          <w:sz w:val="26"/>
          <w:szCs w:val="26"/>
        </w:rPr>
        <w:t>slightest degree</w:t>
      </w:r>
      <w:r w:rsidR="00B25BE1">
        <w:rPr>
          <w:rFonts w:ascii="Times New Roman" w:hAnsi="Times New Roman"/>
          <w:sz w:val="26"/>
          <w:szCs w:val="26"/>
        </w:rPr>
        <w:t xml:space="preserve"> required</w:t>
      </w:r>
      <w:r>
        <w:rPr>
          <w:rFonts w:ascii="Times New Roman" w:hAnsi="Times New Roman"/>
          <w:sz w:val="26"/>
          <w:szCs w:val="26"/>
        </w:rPr>
        <w:t xml:space="preserve">.  </w:t>
      </w:r>
      <w:r w:rsidR="00B25BE1">
        <w:rPr>
          <w:rFonts w:ascii="Times New Roman" w:hAnsi="Times New Roman"/>
          <w:sz w:val="26"/>
          <w:szCs w:val="26"/>
        </w:rPr>
        <w:t>Pointing to its Exhibits 6A to 11A, I&amp;E describes its evidence as “yellow highlight[ed] 14,689 individual invoice entries over 1,115 pages of spreadsheet data provided by HIKO that were billed contrary to the terms” of the guaranteed savings from January through April 2014.  I&amp;E R. Exc. at 11.  Correcting HIKO’s claim</w:t>
      </w:r>
      <w:r w:rsidR="00264F85">
        <w:rPr>
          <w:rFonts w:ascii="Times New Roman" w:hAnsi="Times New Roman"/>
          <w:sz w:val="26"/>
          <w:szCs w:val="26"/>
        </w:rPr>
        <w:t xml:space="preserve"> in Exceptions that the ALJs’ characterized its witness Mumford’s testimony</w:t>
      </w:r>
      <w:r w:rsidR="00B25BE1">
        <w:rPr>
          <w:rFonts w:ascii="Times New Roman" w:hAnsi="Times New Roman"/>
          <w:sz w:val="26"/>
          <w:szCs w:val="26"/>
        </w:rPr>
        <w:t xml:space="preserve"> </w:t>
      </w:r>
      <w:r w:rsidR="00264F85">
        <w:rPr>
          <w:rFonts w:ascii="Times New Roman" w:hAnsi="Times New Roman"/>
          <w:sz w:val="26"/>
          <w:szCs w:val="26"/>
        </w:rPr>
        <w:t xml:space="preserve">as conjecture, </w:t>
      </w:r>
      <w:r w:rsidR="00B25BE1">
        <w:rPr>
          <w:rFonts w:ascii="Times New Roman" w:hAnsi="Times New Roman"/>
          <w:sz w:val="26"/>
          <w:szCs w:val="26"/>
        </w:rPr>
        <w:t xml:space="preserve">I&amp;E notes that it was the evidence of </w:t>
      </w:r>
      <w:r w:rsidR="00B25BE1">
        <w:rPr>
          <w:rFonts w:ascii="Times New Roman" w:hAnsi="Times New Roman"/>
          <w:i/>
          <w:sz w:val="26"/>
          <w:szCs w:val="26"/>
        </w:rPr>
        <w:t xml:space="preserve">HIKO’s </w:t>
      </w:r>
      <w:r w:rsidR="00264F85">
        <w:rPr>
          <w:rFonts w:ascii="Times New Roman" w:hAnsi="Times New Roman"/>
          <w:i/>
          <w:sz w:val="26"/>
          <w:szCs w:val="26"/>
        </w:rPr>
        <w:t xml:space="preserve">own </w:t>
      </w:r>
      <w:r w:rsidR="00B25BE1">
        <w:rPr>
          <w:rFonts w:ascii="Times New Roman" w:hAnsi="Times New Roman"/>
          <w:i/>
          <w:sz w:val="26"/>
          <w:szCs w:val="26"/>
        </w:rPr>
        <w:t xml:space="preserve">witness </w:t>
      </w:r>
      <w:r w:rsidR="00B25BE1" w:rsidRPr="00264F85">
        <w:rPr>
          <w:rFonts w:ascii="Times New Roman" w:hAnsi="Times New Roman"/>
          <w:i/>
          <w:sz w:val="26"/>
          <w:szCs w:val="26"/>
        </w:rPr>
        <w:t>Cicchetti</w:t>
      </w:r>
      <w:r w:rsidR="00B25BE1">
        <w:rPr>
          <w:rFonts w:ascii="Times New Roman" w:hAnsi="Times New Roman"/>
          <w:sz w:val="26"/>
          <w:szCs w:val="26"/>
        </w:rPr>
        <w:t xml:space="preserve">, not I&amp;E’s witness Mumford, that the ALJs </w:t>
      </w:r>
      <w:r w:rsidR="00264F85">
        <w:rPr>
          <w:rFonts w:ascii="Times New Roman" w:hAnsi="Times New Roman"/>
          <w:sz w:val="26"/>
          <w:szCs w:val="26"/>
        </w:rPr>
        <w:t xml:space="preserve">so </w:t>
      </w:r>
      <w:r w:rsidR="00B25BE1">
        <w:rPr>
          <w:rFonts w:ascii="Times New Roman" w:hAnsi="Times New Roman"/>
          <w:sz w:val="26"/>
          <w:szCs w:val="26"/>
        </w:rPr>
        <w:t xml:space="preserve">characterized.  I&amp;E claims that it was HIKO’s responsibility to refute I&amp;E’s evidence, but at no point did HIKO identify any specific invoice entry that was incorrect.  Therefore I&amp;E met its burden of proof </w:t>
      </w:r>
      <w:r w:rsidR="00B25BE1">
        <w:rPr>
          <w:rFonts w:ascii="Times New Roman" w:hAnsi="Times New Roman"/>
          <w:sz w:val="26"/>
          <w:szCs w:val="26"/>
        </w:rPr>
        <w:lastRenderedPageBreak/>
        <w:t>through a preponderance of the evidence.  As to HIKO’s “</w:t>
      </w:r>
      <w:r w:rsidR="00B25BE1">
        <w:rPr>
          <w:rFonts w:ascii="Times New Roman" w:hAnsi="Times New Roman"/>
          <w:i/>
          <w:sz w:val="26"/>
          <w:szCs w:val="26"/>
        </w:rPr>
        <w:t>de minimis</w:t>
      </w:r>
      <w:r w:rsidR="00B25BE1">
        <w:rPr>
          <w:rFonts w:ascii="Times New Roman" w:hAnsi="Times New Roman"/>
          <w:sz w:val="26"/>
          <w:szCs w:val="26"/>
        </w:rPr>
        <w:t xml:space="preserve">” claims, I&amp;E responds that the level of the overcharge is not relevant to a determination whether a violation occurred.  </w:t>
      </w:r>
      <w:r w:rsidR="00B25BE1">
        <w:rPr>
          <w:rFonts w:ascii="Times New Roman" w:hAnsi="Times New Roman"/>
          <w:i/>
          <w:sz w:val="26"/>
          <w:szCs w:val="26"/>
        </w:rPr>
        <w:t>Id</w:t>
      </w:r>
      <w:r w:rsidR="00B25BE1">
        <w:rPr>
          <w:rFonts w:ascii="Times New Roman" w:hAnsi="Times New Roman"/>
          <w:sz w:val="26"/>
          <w:szCs w:val="26"/>
        </w:rPr>
        <w:t>. at 12-13.</w:t>
      </w:r>
    </w:p>
    <w:p w:rsidR="008E1381" w:rsidRPr="008B2A5A" w:rsidRDefault="008E1381" w:rsidP="00DD350D">
      <w:pPr>
        <w:ind w:firstLine="1440"/>
        <w:rPr>
          <w:rFonts w:ascii="Times New Roman" w:hAnsi="Times New Roman"/>
          <w:sz w:val="26"/>
          <w:szCs w:val="26"/>
        </w:rPr>
      </w:pPr>
    </w:p>
    <w:p w:rsidR="00DD350D" w:rsidRPr="00DD350D" w:rsidRDefault="00DD350D" w:rsidP="00DD350D">
      <w:pPr>
        <w:ind w:firstLine="1440"/>
        <w:rPr>
          <w:rFonts w:ascii="Times New Roman" w:hAnsi="Times New Roman"/>
          <w:b/>
          <w:sz w:val="26"/>
          <w:szCs w:val="26"/>
        </w:rPr>
      </w:pPr>
      <w:r w:rsidRPr="00DD350D">
        <w:rPr>
          <w:rFonts w:ascii="Times New Roman" w:hAnsi="Times New Roman"/>
          <w:sz w:val="26"/>
          <w:szCs w:val="26"/>
        </w:rPr>
        <w:tab/>
      </w:r>
      <w:r w:rsidRPr="00DD350D">
        <w:rPr>
          <w:rFonts w:ascii="Times New Roman" w:hAnsi="Times New Roman"/>
          <w:b/>
          <w:sz w:val="26"/>
          <w:szCs w:val="26"/>
        </w:rPr>
        <w:t>c.</w:t>
      </w:r>
      <w:r w:rsidRPr="00DD350D">
        <w:rPr>
          <w:rFonts w:ascii="Times New Roman" w:hAnsi="Times New Roman"/>
          <w:b/>
          <w:sz w:val="26"/>
          <w:szCs w:val="26"/>
        </w:rPr>
        <w:tab/>
        <w:t>Disposition</w:t>
      </w:r>
    </w:p>
    <w:p w:rsidR="00DD350D" w:rsidRDefault="00DD350D" w:rsidP="00DD350D">
      <w:pPr>
        <w:ind w:firstLine="1440"/>
        <w:rPr>
          <w:rFonts w:ascii="Times New Roman" w:hAnsi="Times New Roman"/>
          <w:sz w:val="26"/>
          <w:szCs w:val="26"/>
        </w:rPr>
      </w:pPr>
    </w:p>
    <w:p w:rsidR="001B6B5A" w:rsidRDefault="001B6B5A" w:rsidP="00214407">
      <w:pPr>
        <w:ind w:firstLine="1440"/>
        <w:rPr>
          <w:rFonts w:ascii="Times New Roman" w:hAnsi="Times New Roman"/>
          <w:sz w:val="26"/>
          <w:szCs w:val="26"/>
        </w:rPr>
      </w:pPr>
      <w:r>
        <w:rPr>
          <w:rFonts w:ascii="Times New Roman" w:hAnsi="Times New Roman"/>
          <w:sz w:val="26"/>
          <w:szCs w:val="26"/>
        </w:rPr>
        <w:t xml:space="preserve">Regarding the number of violations </w:t>
      </w:r>
      <w:r w:rsidR="00264F85">
        <w:rPr>
          <w:rFonts w:ascii="Times New Roman" w:hAnsi="Times New Roman"/>
          <w:sz w:val="26"/>
          <w:szCs w:val="26"/>
        </w:rPr>
        <w:t>found</w:t>
      </w:r>
      <w:r>
        <w:rPr>
          <w:rFonts w:ascii="Times New Roman" w:hAnsi="Times New Roman"/>
          <w:sz w:val="26"/>
          <w:szCs w:val="26"/>
        </w:rPr>
        <w:t xml:space="preserve"> by the ALJs, we </w:t>
      </w:r>
      <w:r w:rsidR="00264F85">
        <w:rPr>
          <w:rFonts w:ascii="Times New Roman" w:hAnsi="Times New Roman"/>
          <w:sz w:val="26"/>
          <w:szCs w:val="26"/>
        </w:rPr>
        <w:t xml:space="preserve">adopt the </w:t>
      </w:r>
      <w:r w:rsidR="00052F45" w:rsidRPr="00052F45">
        <w:rPr>
          <w:rFonts w:ascii="Times New Roman" w:hAnsi="Times New Roman"/>
          <w:sz w:val="26"/>
          <w:szCs w:val="26"/>
        </w:rPr>
        <w:t xml:space="preserve">ALJs’ analysis of the </w:t>
      </w:r>
      <w:r w:rsidR="00B25BE1">
        <w:rPr>
          <w:rFonts w:ascii="Times New Roman" w:hAnsi="Times New Roman"/>
          <w:sz w:val="26"/>
          <w:szCs w:val="26"/>
        </w:rPr>
        <w:t>record</w:t>
      </w:r>
      <w:r w:rsidR="00052F45" w:rsidRPr="00052F45">
        <w:rPr>
          <w:rFonts w:ascii="Times New Roman" w:hAnsi="Times New Roman"/>
          <w:sz w:val="26"/>
          <w:szCs w:val="26"/>
        </w:rPr>
        <w:t xml:space="preserve"> </w:t>
      </w:r>
      <w:r w:rsidR="00264F85">
        <w:rPr>
          <w:rFonts w:ascii="Times New Roman" w:hAnsi="Times New Roman"/>
          <w:sz w:val="26"/>
          <w:szCs w:val="26"/>
        </w:rPr>
        <w:t>as</w:t>
      </w:r>
      <w:r w:rsidR="00052F45" w:rsidRPr="00052F45">
        <w:rPr>
          <w:rFonts w:ascii="Times New Roman" w:hAnsi="Times New Roman"/>
          <w:sz w:val="26"/>
          <w:szCs w:val="26"/>
        </w:rPr>
        <w:t xml:space="preserve"> sound</w:t>
      </w:r>
      <w:r w:rsidR="00052F45">
        <w:rPr>
          <w:rFonts w:ascii="Times New Roman" w:hAnsi="Times New Roman"/>
          <w:sz w:val="26"/>
          <w:szCs w:val="26"/>
        </w:rPr>
        <w:t xml:space="preserve"> and supported by the evidence.  </w:t>
      </w:r>
      <w:r w:rsidR="00B25BE1">
        <w:rPr>
          <w:rFonts w:ascii="Times New Roman" w:hAnsi="Times New Roman"/>
          <w:sz w:val="26"/>
          <w:szCs w:val="26"/>
        </w:rPr>
        <w:t>The ALJs’ analysis is succinctly described in the following passage</w:t>
      </w:r>
      <w:r>
        <w:rPr>
          <w:rFonts w:ascii="Times New Roman" w:hAnsi="Times New Roman"/>
          <w:sz w:val="26"/>
          <w:szCs w:val="26"/>
        </w:rPr>
        <w:t>:</w:t>
      </w:r>
    </w:p>
    <w:p w:rsidR="001B6B5A" w:rsidRDefault="001B6B5A" w:rsidP="001B6B5A">
      <w:pPr>
        <w:rPr>
          <w:rFonts w:ascii="Times New Roman" w:hAnsi="Times New Roman"/>
          <w:sz w:val="26"/>
          <w:szCs w:val="26"/>
        </w:rPr>
      </w:pPr>
    </w:p>
    <w:p w:rsidR="001B6B5A" w:rsidRPr="00052F45" w:rsidRDefault="001B6B5A" w:rsidP="00712DBD">
      <w:pPr>
        <w:pStyle w:val="FootnoteText"/>
        <w:ind w:left="1440" w:right="1440"/>
      </w:pPr>
      <w:r w:rsidRPr="00052F45">
        <w:t xml:space="preserve">HIKO made 14,689 separate and distinct overcharges to 5,708 Pennsylvania customer accounts from January through April 2014.  Based on the invoice entries set forth in I&amp;E Exhibits 6A through 11A, and as summarized in I&amp;E Exhibit 14, the evidence shows a total of 14,689 overcharges disaggregated as follows: 264 in Duquesne Light service territory, 1,624 in Met-Ed service territory, 1,599 in PECO service territory, 1,782 in Penelec service territory, 8,018 in PPL service territory and 1,402 in West Penn service territory. </w:t>
      </w:r>
    </w:p>
    <w:p w:rsidR="001B6B5A" w:rsidRPr="00D71DD6" w:rsidRDefault="001B6B5A" w:rsidP="00712DBD">
      <w:pPr>
        <w:pStyle w:val="FootnoteText"/>
      </w:pPr>
    </w:p>
    <w:p w:rsidR="001B6B5A" w:rsidRPr="00052F45" w:rsidRDefault="001B6B5A" w:rsidP="00052F45">
      <w:pPr>
        <w:spacing w:line="240" w:lineRule="auto"/>
        <w:ind w:left="1440" w:right="1440" w:hanging="1440"/>
        <w:rPr>
          <w:rFonts w:ascii="Times New Roman" w:hAnsi="Times New Roman"/>
          <w:sz w:val="26"/>
          <w:szCs w:val="26"/>
        </w:rPr>
      </w:pPr>
      <w:r w:rsidRPr="00D71DD6">
        <w:tab/>
      </w:r>
      <w:r w:rsidRPr="00D71DD6">
        <w:tab/>
      </w:r>
      <w:r w:rsidRPr="00052F45">
        <w:rPr>
          <w:rFonts w:ascii="Times New Roman" w:hAnsi="Times New Roman"/>
          <w:sz w:val="26"/>
          <w:szCs w:val="26"/>
        </w:rPr>
        <w:t>We question two inconsistencies in I&amp;E’s exhibits.  First, I&amp;E Exhibit 14 Revised shows that the total number of overcharged invoices under rate class [EDC] E-SAV1-7 increased by one instead of remaining the same, or decreasing.  The reason given for the revision was that Mr.</w:t>
      </w:r>
      <w:r w:rsidR="00A07246">
        <w:rPr>
          <w:rFonts w:ascii="Times New Roman" w:hAnsi="Times New Roman"/>
          <w:sz w:val="26"/>
          <w:szCs w:val="26"/>
        </w:rPr>
        <w:t> </w:t>
      </w:r>
      <w:r w:rsidRPr="00052F45">
        <w:rPr>
          <w:rFonts w:ascii="Times New Roman" w:hAnsi="Times New Roman"/>
          <w:sz w:val="26"/>
          <w:szCs w:val="26"/>
        </w:rPr>
        <w:t>Mumford was removing 68 violations from his prior calculation of number of violation occurrences due to “zero usage.”  Thus, we do not understand why this total would increase by 1.  We further question the fact that approximately sixty times, there were two entries in the I&amp;E Exhibit 8A, both labeled as “energy charges” for the same account, for the same time period, with the same rates and PTC, but with differing invoice numbers, amounts, and usage.  It could be that there were two invoices issued and that neither one was a re-bill, but it is not entirely clear whether these violations should be viewed as one violation for that one time period, or two violations for that same time period.</w:t>
      </w:r>
    </w:p>
    <w:p w:rsidR="00052F45" w:rsidRDefault="00052F45" w:rsidP="001B6B5A"/>
    <w:p w:rsidR="00052F45" w:rsidRDefault="00052F45" w:rsidP="00052F45">
      <w:pPr>
        <w:jc w:val="center"/>
      </w:pPr>
      <w:r>
        <w:t>*</w:t>
      </w:r>
      <w:r>
        <w:tab/>
        <w:t>*</w:t>
      </w:r>
      <w:r>
        <w:tab/>
        <w:t>*</w:t>
      </w:r>
    </w:p>
    <w:p w:rsidR="00052F45" w:rsidRDefault="00052F45" w:rsidP="001B6B5A"/>
    <w:p w:rsidR="00052F45" w:rsidRPr="00D71DD6" w:rsidRDefault="00052F45" w:rsidP="00712DBD">
      <w:pPr>
        <w:pStyle w:val="FootnoteText"/>
        <w:ind w:left="1440" w:right="1440"/>
      </w:pPr>
      <w:r w:rsidRPr="00D71DD6">
        <w:t>In Exhibits 6A, 7A, 9A, 10A and 11A, the number of violations appears to be accurately highlighted.  Where there is a re-bill in these exhibits, it is clearly marked “Rebilled Energy Charge” and these charges do not appear to be highlighted or included in the total number of violations, i.e. Exhibit 7A, at 1.  However the PECO exhibit does not have any line-itemed re-bill charges expressly stating such.  Mr.</w:t>
      </w:r>
      <w:r>
        <w:t> </w:t>
      </w:r>
      <w:r w:rsidRPr="00D71DD6">
        <w:t>Cicchetti testified as follows:</w:t>
      </w:r>
    </w:p>
    <w:p w:rsidR="00052F45" w:rsidRPr="00D71DD6" w:rsidRDefault="00052F45" w:rsidP="00712DBD">
      <w:pPr>
        <w:pStyle w:val="FootnoteText"/>
        <w:ind w:left="1440" w:right="1440" w:hanging="720"/>
      </w:pPr>
    </w:p>
    <w:p w:rsidR="00052F45" w:rsidRPr="00D71DD6" w:rsidRDefault="00052F45" w:rsidP="00712DBD">
      <w:pPr>
        <w:pStyle w:val="FootnoteText"/>
        <w:ind w:left="2160" w:right="2160"/>
      </w:pPr>
      <w:r w:rsidRPr="00D71DD6">
        <w:t xml:space="preserve">There were a lot of overcharges where, if you look at the data, there were probably at least 300 instances where it was one of these bills dated one day, and then two days later it was modified and it was another bill.  And I’m not sure the customer even saw that.  It may have just been between HIKO and the utility.  </w:t>
      </w:r>
    </w:p>
    <w:p w:rsidR="00052F45" w:rsidRPr="00D71DD6" w:rsidRDefault="00052F45" w:rsidP="00712DBD">
      <w:pPr>
        <w:pStyle w:val="FootnoteText"/>
      </w:pPr>
    </w:p>
    <w:p w:rsidR="00052F45" w:rsidRPr="00D71DD6" w:rsidRDefault="00052F45" w:rsidP="00712DBD">
      <w:pPr>
        <w:pStyle w:val="FootnoteText"/>
      </w:pPr>
    </w:p>
    <w:p w:rsidR="00052F45" w:rsidRPr="00D71DD6" w:rsidRDefault="00052F45" w:rsidP="00712DBD">
      <w:pPr>
        <w:pStyle w:val="FootnoteText"/>
        <w:ind w:left="1440" w:right="1440" w:hanging="720"/>
      </w:pPr>
      <w:r w:rsidRPr="00D71DD6">
        <w:tab/>
      </w:r>
      <w:r w:rsidR="00712DBD">
        <w:tab/>
      </w:r>
      <w:r w:rsidRPr="00B05A12">
        <w:rPr>
          <w:i/>
        </w:rPr>
        <w:t>Mr. Cicchetti was unspecific about which line items were incorrectly included in the calculations.  He also seemed unsure whether the customer was billed the re-bill or not.  As his testimony contains conjecture, we find I&amp;E carried its burden of proving 14,689 violations did occur during the four month period in question</w:t>
      </w:r>
      <w:r w:rsidRPr="00D71DD6">
        <w:t>.</w:t>
      </w:r>
    </w:p>
    <w:p w:rsidR="00052F45" w:rsidRDefault="00052F45" w:rsidP="00712DBD">
      <w:pPr>
        <w:ind w:left="1440" w:right="1440" w:hanging="720"/>
        <w:rPr>
          <w:rFonts w:ascii="Times New Roman" w:hAnsi="Times New Roman"/>
          <w:sz w:val="26"/>
          <w:szCs w:val="26"/>
        </w:rPr>
      </w:pPr>
    </w:p>
    <w:p w:rsidR="00052F45" w:rsidRDefault="00052F45" w:rsidP="00712DBD">
      <w:pPr>
        <w:ind w:left="1440" w:right="1440" w:hanging="720"/>
        <w:jc w:val="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w:t>
      </w:r>
      <w:r>
        <w:rPr>
          <w:rFonts w:ascii="Times New Roman" w:hAnsi="Times New Roman"/>
          <w:sz w:val="26"/>
          <w:szCs w:val="26"/>
        </w:rPr>
        <w:tab/>
        <w:t>*</w:t>
      </w:r>
    </w:p>
    <w:p w:rsidR="00052F45" w:rsidRDefault="00052F45" w:rsidP="00712DBD">
      <w:pPr>
        <w:ind w:left="1440" w:right="1440" w:hanging="720"/>
        <w:rPr>
          <w:rFonts w:ascii="Times New Roman" w:hAnsi="Times New Roman"/>
          <w:sz w:val="26"/>
          <w:szCs w:val="26"/>
        </w:rPr>
      </w:pPr>
    </w:p>
    <w:p w:rsidR="00052F45" w:rsidRPr="00D71DD6" w:rsidRDefault="00052F45" w:rsidP="00712DBD">
      <w:pPr>
        <w:pStyle w:val="FootnoteText"/>
        <w:ind w:left="1440" w:right="1440"/>
      </w:pPr>
      <w:r w:rsidRPr="00D71DD6">
        <w:t>HIKO does not dispute that it failed to honor the guaranteed discounted rate during the winter of 2014.  HIKO admits that from January 2014 through April 2014, HIKO billed a large number of customers within the service territories of Duquesne Light, Met-Ed, PECO, Penelec, PPL and West Penn a unit rate for electricity supply during the customers’ introductory periods that exceeded, and sometimes far exceeded, the discounted introductory rate that was guaranteed at the time of each customer’s enrollment as a HIKO supply customer.</w:t>
      </w:r>
    </w:p>
    <w:p w:rsidR="00052F45" w:rsidRPr="00D71DD6" w:rsidRDefault="00052F45" w:rsidP="00712DBD">
      <w:pPr>
        <w:ind w:left="1440" w:right="1440" w:hanging="720"/>
      </w:pPr>
    </w:p>
    <w:p w:rsidR="00052F45" w:rsidRPr="00D71DD6" w:rsidRDefault="00052F45" w:rsidP="00712DBD">
      <w:pPr>
        <w:pStyle w:val="FootnoteText"/>
        <w:ind w:left="1440" w:right="1440" w:hanging="720"/>
      </w:pPr>
      <w:r w:rsidRPr="00D71DD6">
        <w:tab/>
      </w:r>
      <w:r w:rsidR="00712DBD">
        <w:tab/>
      </w:r>
      <w:r w:rsidRPr="00D71DD6">
        <w:t xml:space="preserve">I&amp;E Exhibits 6A through 11A show the highlighted number of violations.  HIKO’s witness, Mr. Klein, confirmed that the spreadsheets were true and correct business records representing billing data for HIKO customers of this price guarantee for January through April 2014 in each EDC service territory.  Mr. Klein testified that each row of data set forth in the spreadsheets represents a single invoice entry.  Mr. Klein confirmed the meaning of each column heading.  Mr. Klein confirmed the process for determining whether an invoice entry was deemed to be an overcharge under the terms of the Price Offering.  </w:t>
      </w:r>
    </w:p>
    <w:p w:rsidR="00052F45" w:rsidRPr="00D71DD6" w:rsidRDefault="00052F45" w:rsidP="00712DBD">
      <w:pPr>
        <w:pStyle w:val="FootnoteText"/>
      </w:pPr>
    </w:p>
    <w:p w:rsidR="00052F45" w:rsidRPr="00052F45" w:rsidRDefault="00052F45" w:rsidP="00052F45">
      <w:pPr>
        <w:spacing w:line="240" w:lineRule="auto"/>
        <w:ind w:left="1440" w:right="1440" w:hanging="1440"/>
        <w:rPr>
          <w:rFonts w:ascii="Times New Roman" w:hAnsi="Times New Roman"/>
          <w:sz w:val="26"/>
          <w:szCs w:val="26"/>
        </w:rPr>
      </w:pPr>
      <w:r w:rsidRPr="00D71DD6">
        <w:tab/>
      </w:r>
      <w:r w:rsidRPr="00D71DD6">
        <w:tab/>
      </w:r>
      <w:r w:rsidRPr="00052F45">
        <w:rPr>
          <w:rFonts w:ascii="Times New Roman" w:hAnsi="Times New Roman"/>
          <w:sz w:val="26"/>
          <w:szCs w:val="26"/>
        </w:rPr>
        <w:t>The testimony of I&amp;E’s witness Daniel Mumford, Manager of the Informal Compliance and Competition Unit of BCS, is persuasive and supports a finding that these spreadsheets show 14,689 occurrences of HIKO’s overbilling over 99% of the price to compare rate of the EDC in six EDCs’ territories.  Although we note that in the PECO Exhibit 8A there are approximately 60 highlighted charges that appear to involve thirty double billings (the same account number, the same time period, and different usage amounts and billed amounts), since the line items are labeled Energy Charge instead of Rebilled, we are willing to accept these also as violations of 52 Pa.</w:t>
      </w:r>
      <w:r w:rsidR="00E65395">
        <w:rPr>
          <w:rFonts w:ascii="Times New Roman" w:hAnsi="Times New Roman"/>
          <w:sz w:val="26"/>
          <w:szCs w:val="26"/>
        </w:rPr>
        <w:t xml:space="preserve"> </w:t>
      </w:r>
      <w:r w:rsidRPr="00052F45">
        <w:rPr>
          <w:rFonts w:ascii="Times New Roman" w:hAnsi="Times New Roman"/>
          <w:sz w:val="26"/>
          <w:szCs w:val="26"/>
        </w:rPr>
        <w:t>Code 54.4(a).</w:t>
      </w:r>
    </w:p>
    <w:p w:rsidR="00052F45" w:rsidRDefault="00052F45" w:rsidP="001B6B5A">
      <w:pPr>
        <w:rPr>
          <w:rFonts w:ascii="Times New Roman" w:hAnsi="Times New Roman"/>
          <w:sz w:val="26"/>
          <w:szCs w:val="26"/>
        </w:rPr>
      </w:pPr>
    </w:p>
    <w:p w:rsidR="001B6B5A" w:rsidRDefault="00052F45" w:rsidP="001B6B5A">
      <w:pPr>
        <w:rPr>
          <w:rFonts w:ascii="Times New Roman" w:hAnsi="Times New Roman"/>
          <w:sz w:val="26"/>
          <w:szCs w:val="26"/>
        </w:rPr>
      </w:pPr>
      <w:r>
        <w:rPr>
          <w:rFonts w:ascii="Times New Roman" w:hAnsi="Times New Roman"/>
          <w:sz w:val="26"/>
          <w:szCs w:val="26"/>
        </w:rPr>
        <w:t>Initial Decision at 30-33 (citations omitted)</w:t>
      </w:r>
      <w:r w:rsidR="00B05A12">
        <w:rPr>
          <w:rFonts w:ascii="Times New Roman" w:hAnsi="Times New Roman"/>
          <w:sz w:val="26"/>
          <w:szCs w:val="26"/>
        </w:rPr>
        <w:t xml:space="preserve"> (emphasis added)</w:t>
      </w:r>
      <w:r>
        <w:rPr>
          <w:rFonts w:ascii="Times New Roman" w:hAnsi="Times New Roman"/>
          <w:sz w:val="26"/>
          <w:szCs w:val="26"/>
        </w:rPr>
        <w:t>.</w:t>
      </w:r>
    </w:p>
    <w:p w:rsidR="000A3419" w:rsidRDefault="000A3419" w:rsidP="001B6B5A">
      <w:pPr>
        <w:rPr>
          <w:rFonts w:ascii="Times New Roman" w:hAnsi="Times New Roman"/>
          <w:sz w:val="26"/>
          <w:szCs w:val="26"/>
        </w:rPr>
      </w:pPr>
    </w:p>
    <w:p w:rsidR="000A3419" w:rsidRDefault="000A3419" w:rsidP="001B6B5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As I&amp;E stated</w:t>
      </w:r>
      <w:r w:rsidR="00A07246">
        <w:rPr>
          <w:rFonts w:ascii="Times New Roman" w:hAnsi="Times New Roman"/>
          <w:sz w:val="26"/>
          <w:szCs w:val="26"/>
        </w:rPr>
        <w:t xml:space="preserve">, HIKO had the opportunity to correct mistakes in I&amp;E’s calculation.  </w:t>
      </w:r>
      <w:r w:rsidR="006E7780">
        <w:rPr>
          <w:rFonts w:ascii="Times New Roman" w:hAnsi="Times New Roman"/>
          <w:sz w:val="26"/>
          <w:szCs w:val="26"/>
        </w:rPr>
        <w:t xml:space="preserve">HIKO witness </w:t>
      </w:r>
      <w:r w:rsidR="00A07246">
        <w:rPr>
          <w:rFonts w:ascii="Times New Roman" w:hAnsi="Times New Roman"/>
          <w:sz w:val="26"/>
          <w:szCs w:val="26"/>
        </w:rPr>
        <w:t xml:space="preserve">Klein, </w:t>
      </w:r>
      <w:r w:rsidR="006E7780">
        <w:rPr>
          <w:rFonts w:ascii="Times New Roman" w:hAnsi="Times New Roman"/>
          <w:sz w:val="26"/>
          <w:szCs w:val="26"/>
        </w:rPr>
        <w:t xml:space="preserve">however, </w:t>
      </w:r>
      <w:r w:rsidR="00A07246">
        <w:rPr>
          <w:rFonts w:ascii="Times New Roman" w:hAnsi="Times New Roman"/>
          <w:sz w:val="26"/>
          <w:szCs w:val="26"/>
        </w:rPr>
        <w:t>the Company’s Chief Executive Officer</w:t>
      </w:r>
      <w:r w:rsidR="00E07C20">
        <w:rPr>
          <w:rFonts w:ascii="Times New Roman" w:hAnsi="Times New Roman"/>
          <w:sz w:val="26"/>
          <w:szCs w:val="26"/>
        </w:rPr>
        <w:t xml:space="preserve"> and President</w:t>
      </w:r>
      <w:r w:rsidR="00A07246">
        <w:rPr>
          <w:rFonts w:ascii="Times New Roman" w:hAnsi="Times New Roman"/>
          <w:sz w:val="26"/>
          <w:szCs w:val="26"/>
        </w:rPr>
        <w:t>,</w:t>
      </w:r>
      <w:r w:rsidR="00E07C20">
        <w:rPr>
          <w:rStyle w:val="FootnoteReference"/>
          <w:sz w:val="26"/>
          <w:szCs w:val="26"/>
        </w:rPr>
        <w:footnoteReference w:id="6"/>
      </w:r>
      <w:r w:rsidR="00A07246">
        <w:rPr>
          <w:rFonts w:ascii="Times New Roman" w:hAnsi="Times New Roman"/>
          <w:sz w:val="26"/>
          <w:szCs w:val="26"/>
        </w:rPr>
        <w:t xml:space="preserve"> confirmed </w:t>
      </w:r>
      <w:r w:rsidR="00E07C20">
        <w:rPr>
          <w:rFonts w:ascii="Times New Roman" w:hAnsi="Times New Roman"/>
          <w:sz w:val="26"/>
          <w:szCs w:val="26"/>
        </w:rPr>
        <w:t xml:space="preserve">that </w:t>
      </w:r>
      <w:r w:rsidR="00A07246">
        <w:rPr>
          <w:rFonts w:ascii="Times New Roman" w:hAnsi="Times New Roman"/>
          <w:sz w:val="26"/>
          <w:szCs w:val="26"/>
        </w:rPr>
        <w:t>the data presented in I&amp;E’s exhibits were “</w:t>
      </w:r>
      <w:r w:rsidR="00A07246" w:rsidRPr="00A07246">
        <w:rPr>
          <w:rFonts w:ascii="Times New Roman" w:hAnsi="Times New Roman"/>
          <w:sz w:val="26"/>
          <w:szCs w:val="26"/>
        </w:rPr>
        <w:t>true and correct business records representing billing data for HIKO customers of this price guarantee for January through April 2014 in each EDC service territory</w:t>
      </w:r>
      <w:r w:rsidR="00E07C20">
        <w:rPr>
          <w:rFonts w:ascii="Times New Roman" w:hAnsi="Times New Roman"/>
          <w:sz w:val="26"/>
          <w:szCs w:val="26"/>
        </w:rPr>
        <w:t>[.]</w:t>
      </w:r>
      <w:r w:rsidR="00A07246">
        <w:rPr>
          <w:rFonts w:ascii="Times New Roman" w:hAnsi="Times New Roman"/>
          <w:sz w:val="26"/>
          <w:szCs w:val="26"/>
        </w:rPr>
        <w:t xml:space="preserve">” I.D. at </w:t>
      </w:r>
      <w:r w:rsidR="00E07C20">
        <w:rPr>
          <w:rFonts w:ascii="Times New Roman" w:hAnsi="Times New Roman"/>
          <w:sz w:val="26"/>
          <w:szCs w:val="26"/>
        </w:rPr>
        <w:t>32-33.  While HIKO c</w:t>
      </w:r>
      <w:r w:rsidR="00D42307">
        <w:rPr>
          <w:rFonts w:ascii="Times New Roman" w:hAnsi="Times New Roman"/>
          <w:sz w:val="26"/>
          <w:szCs w:val="26"/>
        </w:rPr>
        <w:t>riticizes</w:t>
      </w:r>
      <w:r w:rsidR="00E07C20">
        <w:rPr>
          <w:rFonts w:ascii="Times New Roman" w:hAnsi="Times New Roman"/>
          <w:sz w:val="26"/>
          <w:szCs w:val="26"/>
        </w:rPr>
        <w:t xml:space="preserve"> I&amp;E for not questioning Mr. Klein about entries HIKO contested, </w:t>
      </w:r>
      <w:r w:rsidR="006E7780">
        <w:rPr>
          <w:rFonts w:ascii="Times New Roman" w:hAnsi="Times New Roman"/>
          <w:sz w:val="26"/>
          <w:szCs w:val="26"/>
        </w:rPr>
        <w:t xml:space="preserve">neither did HIKO present any </w:t>
      </w:r>
      <w:r w:rsidR="00B05A12">
        <w:rPr>
          <w:rFonts w:ascii="Times New Roman" w:hAnsi="Times New Roman"/>
          <w:sz w:val="26"/>
          <w:szCs w:val="26"/>
        </w:rPr>
        <w:t xml:space="preserve">clear </w:t>
      </w:r>
      <w:r w:rsidR="006E7780">
        <w:rPr>
          <w:rFonts w:ascii="Times New Roman" w:hAnsi="Times New Roman"/>
          <w:sz w:val="26"/>
          <w:szCs w:val="26"/>
        </w:rPr>
        <w:t>evidence of errors</w:t>
      </w:r>
      <w:r w:rsidR="00B05A12">
        <w:rPr>
          <w:rFonts w:ascii="Times New Roman" w:hAnsi="Times New Roman"/>
          <w:sz w:val="26"/>
          <w:szCs w:val="26"/>
        </w:rPr>
        <w:t xml:space="preserve"> that would affect this outcome</w:t>
      </w:r>
      <w:r w:rsidR="006E7780">
        <w:rPr>
          <w:rFonts w:ascii="Times New Roman" w:hAnsi="Times New Roman"/>
          <w:sz w:val="26"/>
          <w:szCs w:val="26"/>
        </w:rPr>
        <w:t xml:space="preserve">.  </w:t>
      </w:r>
      <w:r w:rsidR="00E07C20" w:rsidRPr="00E07C20">
        <w:rPr>
          <w:rFonts w:ascii="Times New Roman" w:hAnsi="Times New Roman"/>
          <w:sz w:val="26"/>
          <w:szCs w:val="26"/>
        </w:rPr>
        <w:t>HIKO offered</w:t>
      </w:r>
      <w:r w:rsidR="00E07C20">
        <w:rPr>
          <w:rFonts w:ascii="Times New Roman" w:hAnsi="Times New Roman"/>
          <w:sz w:val="26"/>
          <w:szCs w:val="26"/>
        </w:rPr>
        <w:t xml:space="preserve"> </w:t>
      </w:r>
      <w:r w:rsidR="00B05A12">
        <w:rPr>
          <w:rFonts w:ascii="Times New Roman" w:hAnsi="Times New Roman"/>
          <w:sz w:val="26"/>
          <w:szCs w:val="26"/>
        </w:rPr>
        <w:lastRenderedPageBreak/>
        <w:t xml:space="preserve">only </w:t>
      </w:r>
      <w:r w:rsidR="00E07C20">
        <w:rPr>
          <w:rFonts w:ascii="Times New Roman" w:hAnsi="Times New Roman"/>
          <w:sz w:val="26"/>
          <w:szCs w:val="26"/>
        </w:rPr>
        <w:t xml:space="preserve">the testimony of its witness Cicchetti, </w:t>
      </w:r>
      <w:r w:rsidR="006E7780">
        <w:rPr>
          <w:rFonts w:ascii="Times New Roman" w:hAnsi="Times New Roman"/>
          <w:sz w:val="26"/>
          <w:szCs w:val="26"/>
        </w:rPr>
        <w:t>a s</w:t>
      </w:r>
      <w:r w:rsidR="006E7780" w:rsidRPr="006E7780">
        <w:rPr>
          <w:rFonts w:ascii="Times New Roman" w:hAnsi="Times New Roman"/>
          <w:sz w:val="26"/>
          <w:szCs w:val="26"/>
        </w:rPr>
        <w:t xml:space="preserve">enior </w:t>
      </w:r>
      <w:r w:rsidR="006E7780">
        <w:rPr>
          <w:rFonts w:ascii="Times New Roman" w:hAnsi="Times New Roman"/>
          <w:sz w:val="26"/>
          <w:szCs w:val="26"/>
        </w:rPr>
        <w:t>a</w:t>
      </w:r>
      <w:r w:rsidR="006E7780" w:rsidRPr="006E7780">
        <w:rPr>
          <w:rFonts w:ascii="Times New Roman" w:hAnsi="Times New Roman"/>
          <w:sz w:val="26"/>
          <w:szCs w:val="26"/>
        </w:rPr>
        <w:t xml:space="preserve">dvisor to Navigant Consulting, Inc. </w:t>
      </w:r>
      <w:r w:rsidR="006E7780">
        <w:rPr>
          <w:rFonts w:ascii="Times New Roman" w:hAnsi="Times New Roman"/>
          <w:sz w:val="26"/>
          <w:szCs w:val="26"/>
        </w:rPr>
        <w:t xml:space="preserve">testifying for HIKO </w:t>
      </w:r>
      <w:r w:rsidR="006E7780" w:rsidRPr="006E7780">
        <w:rPr>
          <w:rFonts w:ascii="Times New Roman" w:hAnsi="Times New Roman"/>
          <w:sz w:val="26"/>
          <w:szCs w:val="26"/>
        </w:rPr>
        <w:t xml:space="preserve">as an </w:t>
      </w:r>
      <w:r w:rsidR="006E7780">
        <w:rPr>
          <w:rFonts w:ascii="Times New Roman" w:hAnsi="Times New Roman"/>
          <w:sz w:val="26"/>
          <w:szCs w:val="26"/>
        </w:rPr>
        <w:t>i</w:t>
      </w:r>
      <w:r w:rsidR="006E7780" w:rsidRPr="006E7780">
        <w:rPr>
          <w:rFonts w:ascii="Times New Roman" w:hAnsi="Times New Roman"/>
          <w:sz w:val="26"/>
          <w:szCs w:val="26"/>
        </w:rPr>
        <w:t xml:space="preserve">ndependent </w:t>
      </w:r>
      <w:r w:rsidR="006E7780">
        <w:rPr>
          <w:rFonts w:ascii="Times New Roman" w:hAnsi="Times New Roman"/>
          <w:sz w:val="26"/>
          <w:szCs w:val="26"/>
        </w:rPr>
        <w:t>c</w:t>
      </w:r>
      <w:r w:rsidR="006E7780" w:rsidRPr="006E7780">
        <w:rPr>
          <w:rFonts w:ascii="Times New Roman" w:hAnsi="Times New Roman"/>
          <w:sz w:val="26"/>
          <w:szCs w:val="26"/>
        </w:rPr>
        <w:t>onsultant</w:t>
      </w:r>
      <w:r w:rsidR="00B05A12">
        <w:rPr>
          <w:rFonts w:ascii="Times New Roman" w:hAnsi="Times New Roman"/>
          <w:sz w:val="26"/>
          <w:szCs w:val="26"/>
        </w:rPr>
        <w:t>.</w:t>
      </w:r>
      <w:r w:rsidR="006E7780">
        <w:rPr>
          <w:rStyle w:val="FootnoteReference"/>
          <w:sz w:val="26"/>
          <w:szCs w:val="26"/>
        </w:rPr>
        <w:footnoteReference w:id="7"/>
      </w:r>
      <w:r w:rsidR="006E7780">
        <w:rPr>
          <w:rFonts w:ascii="Times New Roman" w:hAnsi="Times New Roman"/>
          <w:sz w:val="26"/>
          <w:szCs w:val="26"/>
        </w:rPr>
        <w:t xml:space="preserve"> </w:t>
      </w:r>
      <w:r w:rsidR="00B05A12">
        <w:rPr>
          <w:rFonts w:ascii="Times New Roman" w:hAnsi="Times New Roman"/>
          <w:sz w:val="26"/>
          <w:szCs w:val="26"/>
        </w:rPr>
        <w:t xml:space="preserve"> However, Mr. Cicchetti</w:t>
      </w:r>
      <w:r w:rsidR="00D42307">
        <w:rPr>
          <w:rFonts w:ascii="Times New Roman" w:hAnsi="Times New Roman"/>
          <w:sz w:val="26"/>
          <w:szCs w:val="26"/>
        </w:rPr>
        <w:t>, an outside consultant,</w:t>
      </w:r>
      <w:r w:rsidR="00B05A12">
        <w:rPr>
          <w:rFonts w:ascii="Times New Roman" w:hAnsi="Times New Roman"/>
          <w:sz w:val="26"/>
          <w:szCs w:val="26"/>
        </w:rPr>
        <w:t xml:space="preserve"> </w:t>
      </w:r>
      <w:r w:rsidR="006E7780">
        <w:rPr>
          <w:rFonts w:ascii="Times New Roman" w:hAnsi="Times New Roman"/>
          <w:sz w:val="26"/>
          <w:szCs w:val="26"/>
        </w:rPr>
        <w:t>testi</w:t>
      </w:r>
      <w:r w:rsidR="00B05A12">
        <w:rPr>
          <w:rFonts w:ascii="Times New Roman" w:hAnsi="Times New Roman"/>
          <w:sz w:val="26"/>
          <w:szCs w:val="26"/>
        </w:rPr>
        <w:t xml:space="preserve">fied that these contested entries “likely represented” contested billing that was later corrected or replaced, HIKO Exc. at 16, testimony </w:t>
      </w:r>
      <w:r w:rsidR="006E7780">
        <w:rPr>
          <w:rFonts w:ascii="Times New Roman" w:hAnsi="Times New Roman"/>
          <w:sz w:val="26"/>
          <w:szCs w:val="26"/>
        </w:rPr>
        <w:t>that the ALJs found to be conjecture.</w:t>
      </w:r>
      <w:r w:rsidR="00B05A12">
        <w:rPr>
          <w:rStyle w:val="FootnoteReference"/>
          <w:sz w:val="26"/>
          <w:szCs w:val="26"/>
        </w:rPr>
        <w:footnoteReference w:id="8"/>
      </w:r>
    </w:p>
    <w:p w:rsidR="000A3419" w:rsidRDefault="000A3419" w:rsidP="001B6B5A">
      <w:pPr>
        <w:rPr>
          <w:rFonts w:ascii="Times New Roman" w:hAnsi="Times New Roman"/>
          <w:sz w:val="26"/>
          <w:szCs w:val="26"/>
        </w:rPr>
      </w:pPr>
    </w:p>
    <w:p w:rsidR="000A3419" w:rsidRDefault="000A3419" w:rsidP="001B6B5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E7780">
        <w:rPr>
          <w:rFonts w:ascii="Times New Roman" w:hAnsi="Times New Roman"/>
          <w:sz w:val="26"/>
          <w:szCs w:val="26"/>
        </w:rPr>
        <w:t>On this point</w:t>
      </w:r>
      <w:r>
        <w:rPr>
          <w:rFonts w:ascii="Times New Roman" w:hAnsi="Times New Roman"/>
          <w:sz w:val="26"/>
          <w:szCs w:val="26"/>
        </w:rPr>
        <w:t xml:space="preserve">, HIKO misattributes the ALJs’ finding of “conjecture” to I&amp;E witness Mumford when in reality it was </w:t>
      </w:r>
      <w:r w:rsidR="004B5A74">
        <w:rPr>
          <w:rFonts w:ascii="Times New Roman" w:hAnsi="Times New Roman"/>
          <w:sz w:val="26"/>
          <w:szCs w:val="26"/>
        </w:rPr>
        <w:t xml:space="preserve">in response </w:t>
      </w:r>
      <w:r>
        <w:rPr>
          <w:rFonts w:ascii="Times New Roman" w:hAnsi="Times New Roman"/>
          <w:sz w:val="26"/>
          <w:szCs w:val="26"/>
        </w:rPr>
        <w:t xml:space="preserve">to </w:t>
      </w:r>
      <w:r w:rsidR="004B5A74">
        <w:rPr>
          <w:rFonts w:ascii="Times New Roman" w:hAnsi="Times New Roman"/>
          <w:sz w:val="26"/>
          <w:szCs w:val="26"/>
        </w:rPr>
        <w:t xml:space="preserve">the testimony of </w:t>
      </w:r>
      <w:r>
        <w:rPr>
          <w:rFonts w:ascii="Times New Roman" w:hAnsi="Times New Roman"/>
          <w:sz w:val="26"/>
          <w:szCs w:val="26"/>
        </w:rPr>
        <w:t>HIKO’s own witness Cic</w:t>
      </w:r>
      <w:r w:rsidR="004B5A74">
        <w:rPr>
          <w:rFonts w:ascii="Times New Roman" w:hAnsi="Times New Roman"/>
          <w:sz w:val="26"/>
          <w:szCs w:val="26"/>
        </w:rPr>
        <w:t>c</w:t>
      </w:r>
      <w:r>
        <w:rPr>
          <w:rFonts w:ascii="Times New Roman" w:hAnsi="Times New Roman"/>
          <w:sz w:val="26"/>
          <w:szCs w:val="26"/>
        </w:rPr>
        <w:t xml:space="preserve">hetti that the ALJs </w:t>
      </w:r>
      <w:r w:rsidR="004B5A74">
        <w:rPr>
          <w:rFonts w:ascii="Times New Roman" w:hAnsi="Times New Roman"/>
          <w:sz w:val="26"/>
          <w:szCs w:val="26"/>
        </w:rPr>
        <w:t>made t</w:t>
      </w:r>
      <w:r>
        <w:rPr>
          <w:rFonts w:ascii="Times New Roman" w:hAnsi="Times New Roman"/>
          <w:sz w:val="26"/>
          <w:szCs w:val="26"/>
        </w:rPr>
        <w:t xml:space="preserve">hat </w:t>
      </w:r>
      <w:r w:rsidR="004B5A74">
        <w:rPr>
          <w:rFonts w:ascii="Times New Roman" w:hAnsi="Times New Roman"/>
          <w:sz w:val="26"/>
          <w:szCs w:val="26"/>
        </w:rPr>
        <w:t xml:space="preserve">finding, rendering </w:t>
      </w:r>
      <w:r>
        <w:rPr>
          <w:rFonts w:ascii="Times New Roman" w:hAnsi="Times New Roman"/>
          <w:sz w:val="26"/>
          <w:szCs w:val="26"/>
        </w:rPr>
        <w:t xml:space="preserve">HIKO’s </w:t>
      </w:r>
      <w:r w:rsidR="004B5A74">
        <w:rPr>
          <w:rFonts w:ascii="Times New Roman" w:hAnsi="Times New Roman"/>
          <w:sz w:val="26"/>
          <w:szCs w:val="26"/>
        </w:rPr>
        <w:t xml:space="preserve">attribution </w:t>
      </w:r>
      <w:r>
        <w:rPr>
          <w:rFonts w:ascii="Times New Roman" w:hAnsi="Times New Roman"/>
          <w:sz w:val="26"/>
          <w:szCs w:val="26"/>
        </w:rPr>
        <w:t xml:space="preserve">of “plain error” by the ALJs itself </w:t>
      </w:r>
      <w:r w:rsidR="004B5A74">
        <w:rPr>
          <w:rFonts w:ascii="Times New Roman" w:hAnsi="Times New Roman"/>
          <w:sz w:val="26"/>
          <w:szCs w:val="26"/>
        </w:rPr>
        <w:t>plainly</w:t>
      </w:r>
      <w:r>
        <w:rPr>
          <w:rFonts w:ascii="Times New Roman" w:hAnsi="Times New Roman"/>
          <w:sz w:val="26"/>
          <w:szCs w:val="26"/>
        </w:rPr>
        <w:t xml:space="preserve"> erroneous.  Once I&amp;E presented evidence of HIKO’s billing invoices, information </w:t>
      </w:r>
      <w:r w:rsidRPr="000A3419">
        <w:rPr>
          <w:rFonts w:ascii="Times New Roman" w:hAnsi="Times New Roman"/>
          <w:sz w:val="26"/>
          <w:szCs w:val="26"/>
        </w:rPr>
        <w:t>based on data provided by HIKO</w:t>
      </w:r>
      <w:r>
        <w:rPr>
          <w:rFonts w:ascii="Times New Roman" w:hAnsi="Times New Roman"/>
          <w:sz w:val="26"/>
          <w:szCs w:val="26"/>
        </w:rPr>
        <w:t xml:space="preserve">, it was incumbent upon HIKO, particularly as the party in control of the information, to provide </w:t>
      </w:r>
      <w:r w:rsidR="004B5A74">
        <w:rPr>
          <w:rFonts w:ascii="Times New Roman" w:hAnsi="Times New Roman"/>
          <w:sz w:val="26"/>
          <w:szCs w:val="26"/>
        </w:rPr>
        <w:t>clear and convincing</w:t>
      </w:r>
      <w:r>
        <w:rPr>
          <w:rFonts w:ascii="Times New Roman" w:hAnsi="Times New Roman"/>
          <w:sz w:val="26"/>
          <w:szCs w:val="26"/>
        </w:rPr>
        <w:t xml:space="preserve"> </w:t>
      </w:r>
      <w:r w:rsidR="00610C32">
        <w:rPr>
          <w:rFonts w:ascii="Times New Roman" w:hAnsi="Times New Roman"/>
          <w:sz w:val="26"/>
          <w:szCs w:val="26"/>
        </w:rPr>
        <w:t xml:space="preserve">evidence to refute I&amp;E’s </w:t>
      </w:r>
      <w:r w:rsidR="004B5A74">
        <w:rPr>
          <w:rFonts w:ascii="Times New Roman" w:hAnsi="Times New Roman"/>
          <w:sz w:val="26"/>
          <w:szCs w:val="26"/>
        </w:rPr>
        <w:t xml:space="preserve">evidence. </w:t>
      </w:r>
      <w:r>
        <w:rPr>
          <w:rFonts w:ascii="Times New Roman" w:hAnsi="Times New Roman"/>
          <w:sz w:val="26"/>
          <w:szCs w:val="26"/>
        </w:rPr>
        <w:t xml:space="preserve"> </w:t>
      </w:r>
      <w:r w:rsidR="004B5A74">
        <w:rPr>
          <w:rFonts w:ascii="Times New Roman" w:hAnsi="Times New Roman"/>
          <w:sz w:val="26"/>
          <w:szCs w:val="26"/>
        </w:rPr>
        <w:t>HIKO’s f</w:t>
      </w:r>
      <w:r w:rsidR="00610C32">
        <w:rPr>
          <w:rFonts w:ascii="Times New Roman" w:hAnsi="Times New Roman"/>
          <w:sz w:val="26"/>
          <w:szCs w:val="26"/>
        </w:rPr>
        <w:t xml:space="preserve">ailure to do so </w:t>
      </w:r>
      <w:r w:rsidR="004B5A74">
        <w:rPr>
          <w:rFonts w:ascii="Times New Roman" w:hAnsi="Times New Roman"/>
          <w:sz w:val="26"/>
          <w:szCs w:val="26"/>
        </w:rPr>
        <w:t>resulted in</w:t>
      </w:r>
      <w:r w:rsidR="00610C32">
        <w:rPr>
          <w:rFonts w:ascii="Times New Roman" w:hAnsi="Times New Roman"/>
          <w:sz w:val="26"/>
          <w:szCs w:val="26"/>
        </w:rPr>
        <w:t xml:space="preserve"> its failure to carry its burden of persuasion once that burden shifted from I&amp;E to the Company.</w:t>
      </w:r>
      <w:r w:rsidR="00D42307">
        <w:rPr>
          <w:rFonts w:ascii="Times New Roman" w:hAnsi="Times New Roman"/>
          <w:sz w:val="26"/>
          <w:szCs w:val="26"/>
        </w:rPr>
        <w:t xml:space="preserve">  I&amp;E carried its </w:t>
      </w:r>
      <w:r w:rsidR="00D42307" w:rsidRPr="00D42307">
        <w:rPr>
          <w:rFonts w:ascii="Times New Roman" w:hAnsi="Times New Roman"/>
          <w:sz w:val="26"/>
          <w:szCs w:val="26"/>
        </w:rPr>
        <w:t xml:space="preserve">burden of proof by </w:t>
      </w:r>
      <w:r w:rsidR="00D42307">
        <w:rPr>
          <w:rFonts w:ascii="Times New Roman" w:hAnsi="Times New Roman"/>
          <w:sz w:val="26"/>
          <w:szCs w:val="26"/>
        </w:rPr>
        <w:t xml:space="preserve">providing </w:t>
      </w:r>
      <w:r w:rsidR="00D42307" w:rsidRPr="00D42307">
        <w:rPr>
          <w:rFonts w:ascii="Times New Roman" w:hAnsi="Times New Roman"/>
          <w:sz w:val="26"/>
          <w:szCs w:val="26"/>
        </w:rPr>
        <w:t xml:space="preserve">a preponderance of evidence </w:t>
      </w:r>
      <w:r w:rsidR="00D42307">
        <w:rPr>
          <w:rFonts w:ascii="Times New Roman" w:hAnsi="Times New Roman"/>
          <w:sz w:val="26"/>
          <w:szCs w:val="26"/>
        </w:rPr>
        <w:t xml:space="preserve">that </w:t>
      </w:r>
      <w:r w:rsidR="00D42307" w:rsidRPr="00D42307">
        <w:rPr>
          <w:rFonts w:ascii="Times New Roman" w:hAnsi="Times New Roman"/>
          <w:sz w:val="26"/>
          <w:szCs w:val="26"/>
        </w:rPr>
        <w:t>is substantial and legally credible</w:t>
      </w:r>
      <w:r w:rsidR="00D42307">
        <w:rPr>
          <w:rFonts w:ascii="Times New Roman" w:hAnsi="Times New Roman"/>
          <w:sz w:val="26"/>
          <w:szCs w:val="26"/>
        </w:rPr>
        <w:t>, which HIKO failed to refute by providing evidence of at least co-equal value or weight.</w:t>
      </w:r>
    </w:p>
    <w:p w:rsidR="000A3419" w:rsidRDefault="000A3419" w:rsidP="001B6B5A">
      <w:pPr>
        <w:rPr>
          <w:rFonts w:ascii="Times New Roman" w:hAnsi="Times New Roman"/>
          <w:sz w:val="26"/>
          <w:szCs w:val="26"/>
        </w:rPr>
      </w:pPr>
    </w:p>
    <w:p w:rsidR="000A3419" w:rsidRDefault="000A3419" w:rsidP="001B6B5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Finally, </w:t>
      </w:r>
      <w:r w:rsidR="008B2A5A">
        <w:rPr>
          <w:rFonts w:ascii="Times New Roman" w:hAnsi="Times New Roman"/>
          <w:sz w:val="26"/>
          <w:szCs w:val="26"/>
        </w:rPr>
        <w:t>a</w:t>
      </w:r>
      <w:r w:rsidRPr="000A3419">
        <w:rPr>
          <w:rFonts w:ascii="Times New Roman" w:hAnsi="Times New Roman"/>
          <w:sz w:val="26"/>
          <w:szCs w:val="26"/>
        </w:rPr>
        <w:t xml:space="preserve">s HIKO acknowledged, in analyzing the factors and standards for calculation of an appropriate penalty as set forth in our policy statement, the ALJs determined that a lower level of overcharge mitigates in favor of less than the maximum penalty per violation authorized under the law.  In light of this and the other factors considered in their analysis, the ALJs calculated a per violation penalty of $125 that was close to the average monthly overcharge of $124 and only 12.5% of the highest possible </w:t>
      </w:r>
      <w:r w:rsidRPr="000A3419">
        <w:rPr>
          <w:rFonts w:ascii="Times New Roman" w:hAnsi="Times New Roman"/>
          <w:sz w:val="26"/>
          <w:szCs w:val="26"/>
        </w:rPr>
        <w:lastRenderedPageBreak/>
        <w:t>per violation penalty requested by I&amp;E.  We have the discretion to craft a penalty in consideration of a number of factors and standards, and to that end, agree with the ALJs’ determination of a penalty of $125</w:t>
      </w:r>
      <w:r w:rsidR="00D42307">
        <w:rPr>
          <w:rFonts w:ascii="Times New Roman" w:hAnsi="Times New Roman"/>
          <w:sz w:val="26"/>
          <w:szCs w:val="26"/>
        </w:rPr>
        <w:t xml:space="preserve"> per </w:t>
      </w:r>
      <w:r w:rsidRPr="000A3419">
        <w:rPr>
          <w:rFonts w:ascii="Times New Roman" w:hAnsi="Times New Roman"/>
          <w:sz w:val="26"/>
          <w:szCs w:val="26"/>
        </w:rPr>
        <w:t>violation.  While we can and do consider the fact that some overcharges were relatively small, there is no “</w:t>
      </w:r>
      <w:r w:rsidRPr="000A3419">
        <w:rPr>
          <w:rFonts w:ascii="Times New Roman" w:hAnsi="Times New Roman"/>
          <w:i/>
          <w:sz w:val="26"/>
          <w:szCs w:val="26"/>
        </w:rPr>
        <w:t>de minimis</w:t>
      </w:r>
      <w:r w:rsidRPr="000A3419">
        <w:rPr>
          <w:rFonts w:ascii="Times New Roman" w:hAnsi="Times New Roman"/>
          <w:sz w:val="26"/>
          <w:szCs w:val="26"/>
        </w:rPr>
        <w:t xml:space="preserve">” exception under our Regulation </w:t>
      </w:r>
      <w:r w:rsidR="008B2A5A">
        <w:rPr>
          <w:rFonts w:ascii="Times New Roman" w:hAnsi="Times New Roman"/>
          <w:sz w:val="26"/>
          <w:szCs w:val="26"/>
        </w:rPr>
        <w:t xml:space="preserve">requiring </w:t>
      </w:r>
      <w:r w:rsidRPr="000A3419">
        <w:rPr>
          <w:rFonts w:ascii="Times New Roman" w:hAnsi="Times New Roman"/>
          <w:sz w:val="26"/>
          <w:szCs w:val="26"/>
        </w:rPr>
        <w:t>us to ignore violations “likely” affecting seasonal homeowners</w:t>
      </w:r>
      <w:r w:rsidR="004B5A74">
        <w:rPr>
          <w:rFonts w:ascii="Times New Roman" w:hAnsi="Times New Roman"/>
          <w:sz w:val="26"/>
          <w:szCs w:val="26"/>
        </w:rPr>
        <w:t xml:space="preserve"> or, as I&amp;E contends, rendering them irrelevant to a determination whether a violation occurred</w:t>
      </w:r>
      <w:r w:rsidRPr="000A3419">
        <w:rPr>
          <w:rFonts w:ascii="Times New Roman" w:hAnsi="Times New Roman"/>
          <w:sz w:val="26"/>
          <w:szCs w:val="26"/>
        </w:rPr>
        <w:t xml:space="preserve">.  </w:t>
      </w:r>
      <w:r w:rsidR="00D42307">
        <w:rPr>
          <w:rFonts w:ascii="Times New Roman" w:hAnsi="Times New Roman"/>
          <w:sz w:val="26"/>
          <w:szCs w:val="26"/>
        </w:rPr>
        <w:t xml:space="preserve">Moreover, HIKO </w:t>
      </w:r>
      <w:r w:rsidRPr="000A3419">
        <w:rPr>
          <w:rFonts w:ascii="Times New Roman" w:hAnsi="Times New Roman"/>
          <w:sz w:val="26"/>
          <w:szCs w:val="26"/>
        </w:rPr>
        <w:t xml:space="preserve">cannot </w:t>
      </w:r>
      <w:r w:rsidR="008B2A5A">
        <w:rPr>
          <w:rFonts w:ascii="Times New Roman" w:hAnsi="Times New Roman"/>
          <w:sz w:val="26"/>
          <w:szCs w:val="26"/>
        </w:rPr>
        <w:t xml:space="preserve">escape the fact </w:t>
      </w:r>
      <w:r w:rsidRPr="000A3419">
        <w:rPr>
          <w:rFonts w:ascii="Times New Roman" w:hAnsi="Times New Roman"/>
          <w:sz w:val="26"/>
          <w:szCs w:val="26"/>
        </w:rPr>
        <w:t xml:space="preserve">that </w:t>
      </w:r>
      <w:r w:rsidR="00D42307">
        <w:rPr>
          <w:rFonts w:ascii="Times New Roman" w:hAnsi="Times New Roman"/>
          <w:sz w:val="26"/>
          <w:szCs w:val="26"/>
        </w:rPr>
        <w:t>its</w:t>
      </w:r>
      <w:r w:rsidRPr="000A3419">
        <w:rPr>
          <w:rFonts w:ascii="Times New Roman" w:hAnsi="Times New Roman"/>
          <w:sz w:val="26"/>
          <w:szCs w:val="26"/>
        </w:rPr>
        <w:t xml:space="preserve"> decision to violate its promised guaranteed savings </w:t>
      </w:r>
      <w:r w:rsidR="008B2A5A">
        <w:rPr>
          <w:rFonts w:ascii="Times New Roman" w:hAnsi="Times New Roman"/>
          <w:sz w:val="26"/>
          <w:szCs w:val="26"/>
        </w:rPr>
        <w:t xml:space="preserve">was </w:t>
      </w:r>
      <w:r w:rsidR="00D42307">
        <w:rPr>
          <w:rFonts w:ascii="Times New Roman" w:hAnsi="Times New Roman"/>
          <w:sz w:val="26"/>
          <w:szCs w:val="26"/>
        </w:rPr>
        <w:t xml:space="preserve">a </w:t>
      </w:r>
      <w:r w:rsidR="008B2A5A">
        <w:rPr>
          <w:rFonts w:ascii="Times New Roman" w:hAnsi="Times New Roman"/>
          <w:sz w:val="26"/>
          <w:szCs w:val="26"/>
        </w:rPr>
        <w:t xml:space="preserve">deliberate </w:t>
      </w:r>
      <w:r w:rsidR="00D42307">
        <w:rPr>
          <w:rFonts w:ascii="Times New Roman" w:hAnsi="Times New Roman"/>
          <w:sz w:val="26"/>
          <w:szCs w:val="26"/>
        </w:rPr>
        <w:t xml:space="preserve">choice of top management that </w:t>
      </w:r>
      <w:r w:rsidRPr="000A3419">
        <w:rPr>
          <w:rFonts w:ascii="Times New Roman" w:hAnsi="Times New Roman"/>
          <w:sz w:val="26"/>
          <w:szCs w:val="26"/>
        </w:rPr>
        <w:t>affected over 5,700 customers</w:t>
      </w:r>
      <w:r w:rsidR="004B5A74">
        <w:rPr>
          <w:rFonts w:ascii="Times New Roman" w:hAnsi="Times New Roman"/>
          <w:sz w:val="26"/>
          <w:szCs w:val="26"/>
        </w:rPr>
        <w:t xml:space="preserve">, factors that figure </w:t>
      </w:r>
      <w:r w:rsidR="00D42307">
        <w:rPr>
          <w:rFonts w:ascii="Times New Roman" w:hAnsi="Times New Roman"/>
          <w:sz w:val="26"/>
          <w:szCs w:val="26"/>
        </w:rPr>
        <w:t xml:space="preserve">prominently </w:t>
      </w:r>
      <w:r w:rsidR="004B5A74">
        <w:rPr>
          <w:rFonts w:ascii="Times New Roman" w:hAnsi="Times New Roman"/>
          <w:sz w:val="26"/>
          <w:szCs w:val="26"/>
        </w:rPr>
        <w:t xml:space="preserve">into our determination of the appropriate level of penalty </w:t>
      </w:r>
      <w:r w:rsidR="00D42307">
        <w:rPr>
          <w:rFonts w:ascii="Times New Roman" w:hAnsi="Times New Roman"/>
          <w:sz w:val="26"/>
          <w:szCs w:val="26"/>
        </w:rPr>
        <w:t xml:space="preserve">in addition to </w:t>
      </w:r>
      <w:r w:rsidR="004B5A74">
        <w:rPr>
          <w:rFonts w:ascii="Times New Roman" w:hAnsi="Times New Roman"/>
          <w:sz w:val="26"/>
          <w:szCs w:val="26"/>
        </w:rPr>
        <w:t>the number of violations</w:t>
      </w:r>
      <w:r w:rsidRPr="000A3419">
        <w:rPr>
          <w:rFonts w:ascii="Times New Roman" w:hAnsi="Times New Roman"/>
          <w:sz w:val="26"/>
          <w:szCs w:val="26"/>
        </w:rPr>
        <w:t>.</w:t>
      </w:r>
    </w:p>
    <w:p w:rsidR="004B5A74" w:rsidRDefault="004B5A74" w:rsidP="001B6B5A">
      <w:pPr>
        <w:rPr>
          <w:rFonts w:ascii="Times New Roman" w:hAnsi="Times New Roman"/>
          <w:sz w:val="26"/>
          <w:szCs w:val="26"/>
        </w:rPr>
      </w:pPr>
    </w:p>
    <w:p w:rsidR="004B5A74" w:rsidRDefault="004B5A74" w:rsidP="001B6B5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We deny HIKO’s Exception No. 2 and adopt the ALJs’ determination that the evidence supports a finding that HIKO violated Section 54.4(a) of our Regulations 14,689 times by issuing invoices that failed to comport with its customer information.</w:t>
      </w:r>
    </w:p>
    <w:p w:rsidR="00052F45" w:rsidRDefault="00052F45" w:rsidP="001B6B5A">
      <w:pPr>
        <w:rPr>
          <w:rFonts w:ascii="Times New Roman" w:hAnsi="Times New Roman"/>
          <w:sz w:val="26"/>
          <w:szCs w:val="26"/>
        </w:rPr>
      </w:pPr>
    </w:p>
    <w:p w:rsidR="005A54C7" w:rsidRPr="005A54C7" w:rsidRDefault="005A54C7" w:rsidP="000D612B">
      <w:pPr>
        <w:spacing w:line="240" w:lineRule="auto"/>
        <w:ind w:left="1440" w:hanging="720"/>
        <w:rPr>
          <w:rFonts w:ascii="Times New Roman" w:hAnsi="Times New Roman"/>
          <w:b/>
          <w:sz w:val="26"/>
          <w:szCs w:val="26"/>
        </w:rPr>
      </w:pPr>
      <w:r>
        <w:rPr>
          <w:rFonts w:ascii="Times New Roman" w:hAnsi="Times New Roman"/>
          <w:b/>
          <w:sz w:val="26"/>
          <w:szCs w:val="26"/>
        </w:rPr>
        <w:t>3.</w:t>
      </w:r>
      <w:r>
        <w:rPr>
          <w:rFonts w:ascii="Times New Roman" w:hAnsi="Times New Roman"/>
          <w:b/>
          <w:sz w:val="26"/>
          <w:szCs w:val="26"/>
        </w:rPr>
        <w:tab/>
        <w:t xml:space="preserve">HIKO Exception No. 3; I&amp;E Exception No. 1 – </w:t>
      </w:r>
      <w:r w:rsidR="000D612B">
        <w:rPr>
          <w:rFonts w:ascii="Times New Roman" w:hAnsi="Times New Roman"/>
          <w:b/>
          <w:sz w:val="26"/>
          <w:szCs w:val="26"/>
        </w:rPr>
        <w:t xml:space="preserve">The Appropriate Civil </w:t>
      </w:r>
      <w:r>
        <w:rPr>
          <w:rFonts w:ascii="Times New Roman" w:hAnsi="Times New Roman"/>
          <w:b/>
          <w:sz w:val="26"/>
          <w:szCs w:val="26"/>
        </w:rPr>
        <w:t xml:space="preserve">Penalty </w:t>
      </w:r>
    </w:p>
    <w:p w:rsidR="00C133EA" w:rsidRDefault="00C133EA" w:rsidP="00965EBB">
      <w:pPr>
        <w:pStyle w:val="BodyFirst1SS"/>
        <w:spacing w:line="360" w:lineRule="auto"/>
        <w:ind w:firstLine="1440"/>
        <w:jc w:val="left"/>
        <w:rPr>
          <w:sz w:val="26"/>
          <w:szCs w:val="26"/>
        </w:rPr>
      </w:pPr>
    </w:p>
    <w:p w:rsidR="008E1D92" w:rsidRDefault="00543DE1" w:rsidP="00965EBB">
      <w:pPr>
        <w:pStyle w:val="BodyFirst1SS"/>
        <w:spacing w:line="360" w:lineRule="auto"/>
        <w:ind w:firstLine="1440"/>
        <w:jc w:val="left"/>
        <w:rPr>
          <w:sz w:val="26"/>
          <w:szCs w:val="26"/>
        </w:rPr>
      </w:pPr>
      <w:r>
        <w:rPr>
          <w:sz w:val="26"/>
          <w:szCs w:val="26"/>
        </w:rPr>
        <w:t xml:space="preserve">Both HIKO and I&amp;E take exception to </w:t>
      </w:r>
      <w:r w:rsidR="003C32A6">
        <w:rPr>
          <w:sz w:val="26"/>
          <w:szCs w:val="26"/>
        </w:rPr>
        <w:t xml:space="preserve">the </w:t>
      </w:r>
      <w:r>
        <w:rPr>
          <w:sz w:val="26"/>
          <w:szCs w:val="26"/>
        </w:rPr>
        <w:t xml:space="preserve">level of penalty determined by the ALJs to be appropriate.  </w:t>
      </w:r>
      <w:r w:rsidR="00965EBB">
        <w:rPr>
          <w:sz w:val="26"/>
          <w:szCs w:val="26"/>
        </w:rPr>
        <w:t>Each party’s Exception and Reply is addressed below</w:t>
      </w:r>
      <w:r w:rsidR="003C32A6">
        <w:rPr>
          <w:sz w:val="26"/>
          <w:szCs w:val="26"/>
        </w:rPr>
        <w:t>.</w:t>
      </w:r>
    </w:p>
    <w:p w:rsidR="00543DE1" w:rsidRPr="00543DE1" w:rsidRDefault="00965EBB" w:rsidP="00965EBB">
      <w:pPr>
        <w:pStyle w:val="BodyFirst1SS"/>
        <w:spacing w:line="360" w:lineRule="auto"/>
        <w:ind w:firstLine="1440"/>
        <w:jc w:val="left"/>
        <w:rPr>
          <w:sz w:val="26"/>
          <w:szCs w:val="26"/>
        </w:rPr>
      </w:pPr>
      <w:r>
        <w:rPr>
          <w:sz w:val="26"/>
          <w:szCs w:val="26"/>
        </w:rPr>
        <w:t>.</w:t>
      </w:r>
    </w:p>
    <w:p w:rsidR="005A54C7" w:rsidRPr="005A54C7" w:rsidRDefault="005A54C7" w:rsidP="00D42307">
      <w:pPr>
        <w:pStyle w:val="BodyFirst1SS"/>
        <w:keepNext/>
        <w:spacing w:line="360" w:lineRule="auto"/>
        <w:rPr>
          <w:b/>
          <w:sz w:val="26"/>
          <w:szCs w:val="26"/>
        </w:rPr>
      </w:pPr>
      <w:r w:rsidRPr="005A54C7">
        <w:rPr>
          <w:sz w:val="26"/>
          <w:szCs w:val="26"/>
        </w:rPr>
        <w:tab/>
      </w:r>
      <w:r w:rsidRPr="005A54C7">
        <w:rPr>
          <w:b/>
          <w:sz w:val="26"/>
          <w:szCs w:val="26"/>
        </w:rPr>
        <w:t>a.</w:t>
      </w:r>
      <w:r w:rsidRPr="005A54C7">
        <w:rPr>
          <w:b/>
          <w:sz w:val="26"/>
          <w:szCs w:val="26"/>
        </w:rPr>
        <w:tab/>
        <w:t>HIKO</w:t>
      </w:r>
      <w:r>
        <w:rPr>
          <w:b/>
          <w:sz w:val="26"/>
          <w:szCs w:val="26"/>
        </w:rPr>
        <w:t>’s</w:t>
      </w:r>
      <w:r w:rsidRPr="005A54C7">
        <w:rPr>
          <w:b/>
          <w:sz w:val="26"/>
          <w:szCs w:val="26"/>
        </w:rPr>
        <w:t xml:space="preserve"> </w:t>
      </w:r>
      <w:r w:rsidR="008C48FE">
        <w:rPr>
          <w:b/>
          <w:sz w:val="26"/>
          <w:szCs w:val="26"/>
        </w:rPr>
        <w:t>Exception and I&amp;E’s Reply</w:t>
      </w:r>
    </w:p>
    <w:p w:rsidR="00CC2DC6" w:rsidRDefault="00CC2DC6" w:rsidP="00D42307">
      <w:pPr>
        <w:pStyle w:val="BodyFirst1SS"/>
        <w:keepNext/>
        <w:spacing w:line="360" w:lineRule="auto"/>
        <w:jc w:val="left"/>
        <w:rPr>
          <w:sz w:val="26"/>
          <w:szCs w:val="26"/>
        </w:rPr>
      </w:pPr>
    </w:p>
    <w:p w:rsidR="008E1D92" w:rsidRPr="008E1D92" w:rsidRDefault="008E1D92" w:rsidP="00965EBB">
      <w:pPr>
        <w:pStyle w:val="BodyFirst1SS"/>
        <w:spacing w:line="360" w:lineRule="auto"/>
        <w:jc w:val="left"/>
        <w:rPr>
          <w:b/>
          <w:sz w:val="26"/>
          <w:szCs w:val="26"/>
        </w:rPr>
      </w:pPr>
      <w:r>
        <w:rPr>
          <w:sz w:val="26"/>
          <w:szCs w:val="26"/>
        </w:rPr>
        <w:tab/>
      </w:r>
      <w:r>
        <w:rPr>
          <w:sz w:val="26"/>
          <w:szCs w:val="26"/>
        </w:rPr>
        <w:tab/>
      </w:r>
      <w:r>
        <w:rPr>
          <w:b/>
          <w:sz w:val="26"/>
          <w:szCs w:val="26"/>
        </w:rPr>
        <w:t>i.</w:t>
      </w:r>
      <w:r>
        <w:rPr>
          <w:b/>
          <w:sz w:val="26"/>
          <w:szCs w:val="26"/>
        </w:rPr>
        <w:tab/>
        <w:t>HIKO’s Exception</w:t>
      </w:r>
    </w:p>
    <w:p w:rsidR="008E1D92" w:rsidRDefault="008E1D92" w:rsidP="00965EBB">
      <w:pPr>
        <w:pStyle w:val="BodyFirst1SS"/>
        <w:spacing w:line="360" w:lineRule="auto"/>
        <w:jc w:val="left"/>
        <w:rPr>
          <w:sz w:val="26"/>
          <w:szCs w:val="26"/>
        </w:rPr>
      </w:pPr>
    </w:p>
    <w:p w:rsidR="005A54C7" w:rsidRDefault="00543DE1" w:rsidP="00965EBB">
      <w:pPr>
        <w:pStyle w:val="BodyFirst1SS"/>
        <w:spacing w:line="360" w:lineRule="auto"/>
        <w:jc w:val="left"/>
        <w:rPr>
          <w:sz w:val="26"/>
          <w:szCs w:val="26"/>
        </w:rPr>
      </w:pPr>
      <w:r>
        <w:rPr>
          <w:sz w:val="26"/>
          <w:szCs w:val="26"/>
        </w:rPr>
        <w:tab/>
        <w:t>HIKO contends that in recommending an approximate $1.8 million penalty, the ALJs failed to apply our criteria in our Section 69.1201 policy statement properly</w:t>
      </w:r>
      <w:r w:rsidR="00965EBB">
        <w:rPr>
          <w:sz w:val="26"/>
          <w:szCs w:val="26"/>
        </w:rPr>
        <w:t xml:space="preserve">.  This is </w:t>
      </w:r>
      <w:r>
        <w:rPr>
          <w:sz w:val="26"/>
          <w:szCs w:val="26"/>
        </w:rPr>
        <w:t xml:space="preserve">especially </w:t>
      </w:r>
      <w:r w:rsidR="00965EBB">
        <w:rPr>
          <w:sz w:val="26"/>
          <w:szCs w:val="26"/>
        </w:rPr>
        <w:t>so, contends HIKO, because the ALJs did</w:t>
      </w:r>
      <w:r>
        <w:rPr>
          <w:sz w:val="26"/>
          <w:szCs w:val="26"/>
        </w:rPr>
        <w:t xml:space="preserve"> not consider mitigatin</w:t>
      </w:r>
      <w:r w:rsidR="00965EBB">
        <w:rPr>
          <w:sz w:val="26"/>
          <w:szCs w:val="26"/>
        </w:rPr>
        <w:t>g circumstances</w:t>
      </w:r>
      <w:r>
        <w:rPr>
          <w:sz w:val="26"/>
          <w:szCs w:val="26"/>
        </w:rPr>
        <w:t xml:space="preserve">, including </w:t>
      </w:r>
      <w:r w:rsidR="00965EBB">
        <w:rPr>
          <w:sz w:val="26"/>
          <w:szCs w:val="26"/>
        </w:rPr>
        <w:t xml:space="preserve">the fact </w:t>
      </w:r>
      <w:r>
        <w:rPr>
          <w:sz w:val="26"/>
          <w:szCs w:val="26"/>
        </w:rPr>
        <w:t xml:space="preserve">that the Company’s violations occurred during </w:t>
      </w:r>
      <w:r>
        <w:rPr>
          <w:sz w:val="26"/>
          <w:szCs w:val="26"/>
        </w:rPr>
        <w:lastRenderedPageBreak/>
        <w:t>unprecedented polar vortex weather effects</w:t>
      </w:r>
      <w:r w:rsidR="00965EBB">
        <w:rPr>
          <w:sz w:val="26"/>
          <w:szCs w:val="26"/>
        </w:rPr>
        <w:t xml:space="preserve"> and the Company has since agreed to refunds in </w:t>
      </w:r>
      <w:r w:rsidR="00965EBB">
        <w:rPr>
          <w:i/>
          <w:sz w:val="26"/>
          <w:szCs w:val="26"/>
        </w:rPr>
        <w:t xml:space="preserve">OAG/OCA-HIKO </w:t>
      </w:r>
      <w:r w:rsidR="00965EBB" w:rsidRPr="00965EBB">
        <w:rPr>
          <w:i/>
          <w:sz w:val="26"/>
          <w:szCs w:val="26"/>
        </w:rPr>
        <w:t>Settlement</w:t>
      </w:r>
      <w:r w:rsidR="00965EBB">
        <w:rPr>
          <w:sz w:val="26"/>
          <w:szCs w:val="26"/>
        </w:rPr>
        <w:t>.</w:t>
      </w:r>
    </w:p>
    <w:p w:rsidR="00965EBB" w:rsidRDefault="00965EBB" w:rsidP="00965EBB">
      <w:pPr>
        <w:pStyle w:val="BodyFirst1SS"/>
        <w:spacing w:line="360" w:lineRule="auto"/>
        <w:jc w:val="left"/>
        <w:rPr>
          <w:sz w:val="26"/>
          <w:szCs w:val="26"/>
        </w:rPr>
      </w:pPr>
    </w:p>
    <w:p w:rsidR="00965EBB" w:rsidRDefault="00965EBB" w:rsidP="00965EBB">
      <w:pPr>
        <w:pStyle w:val="BodyFirst1SS"/>
        <w:spacing w:line="360" w:lineRule="auto"/>
        <w:jc w:val="left"/>
        <w:rPr>
          <w:sz w:val="26"/>
          <w:szCs w:val="26"/>
        </w:rPr>
      </w:pPr>
      <w:r>
        <w:rPr>
          <w:sz w:val="26"/>
          <w:szCs w:val="26"/>
        </w:rPr>
        <w:tab/>
      </w:r>
      <w:r w:rsidR="00CC2DC6">
        <w:rPr>
          <w:sz w:val="26"/>
          <w:szCs w:val="26"/>
        </w:rPr>
        <w:t xml:space="preserve">HIKO argues that the extreme cold in the months during 2014, an unexpected and abrupt change in the regulation of the TransCanada Pipeline (TCP), and tight </w:t>
      </w:r>
      <w:r w:rsidR="002774D7">
        <w:rPr>
          <w:sz w:val="26"/>
          <w:szCs w:val="26"/>
        </w:rPr>
        <w:t>o</w:t>
      </w:r>
      <w:r w:rsidR="00CC2DC6">
        <w:rPr>
          <w:sz w:val="26"/>
          <w:szCs w:val="26"/>
        </w:rPr>
        <w:t>perating conditions in January 201</w:t>
      </w:r>
      <w:r w:rsidR="002774D7">
        <w:rPr>
          <w:sz w:val="26"/>
          <w:szCs w:val="26"/>
        </w:rPr>
        <w:t>4</w:t>
      </w:r>
      <w:r w:rsidR="00CC2DC6">
        <w:rPr>
          <w:sz w:val="26"/>
          <w:szCs w:val="26"/>
        </w:rPr>
        <w:t xml:space="preserve"> </w:t>
      </w:r>
      <w:r w:rsidR="002774D7">
        <w:rPr>
          <w:sz w:val="26"/>
          <w:szCs w:val="26"/>
        </w:rPr>
        <w:t xml:space="preserve">at the applicable regional transmission organization, PJM Interconnection, LLC (PJM), </w:t>
      </w:r>
      <w:r w:rsidR="00CC2DC6">
        <w:rPr>
          <w:sz w:val="26"/>
          <w:szCs w:val="26"/>
        </w:rPr>
        <w:t>were all conditions it could not have anticipated.  Rather, the Company states that it studied pricing and supply costs over the eighteen months the Company was in existence before it offered those guarantees and met those guarantees until those exceptional circumstances arose</w:t>
      </w:r>
      <w:r w:rsidR="002774D7">
        <w:rPr>
          <w:sz w:val="26"/>
          <w:szCs w:val="26"/>
        </w:rPr>
        <w:t>, during which its wholesale costs jumped nearly 300%</w:t>
      </w:r>
      <w:r w:rsidR="00CC2DC6">
        <w:rPr>
          <w:sz w:val="26"/>
          <w:szCs w:val="26"/>
        </w:rPr>
        <w:t xml:space="preserve">.  </w:t>
      </w:r>
      <w:r w:rsidR="002774D7">
        <w:rPr>
          <w:sz w:val="26"/>
          <w:szCs w:val="26"/>
        </w:rPr>
        <w:t xml:space="preserve">Moreover, during that time period HIKO claims it was also required to satisfy increasing PJM collateral requirements or risk losing its ability to participate in PJM, effectively losing its business.  </w:t>
      </w:r>
      <w:r w:rsidR="002774D7" w:rsidRPr="002774D7">
        <w:rPr>
          <w:sz w:val="26"/>
          <w:szCs w:val="26"/>
        </w:rPr>
        <w:t>HIKO Exc. at 18-</w:t>
      </w:r>
      <w:r w:rsidR="002774D7">
        <w:rPr>
          <w:sz w:val="26"/>
          <w:szCs w:val="26"/>
        </w:rPr>
        <w:t>22</w:t>
      </w:r>
      <w:r w:rsidR="002774D7" w:rsidRPr="002774D7">
        <w:rPr>
          <w:sz w:val="26"/>
          <w:szCs w:val="26"/>
        </w:rPr>
        <w:t>.</w:t>
      </w:r>
    </w:p>
    <w:p w:rsidR="002774D7" w:rsidRDefault="002774D7" w:rsidP="00965EBB">
      <w:pPr>
        <w:pStyle w:val="BodyFirst1SS"/>
        <w:spacing w:line="360" w:lineRule="auto"/>
        <w:jc w:val="left"/>
        <w:rPr>
          <w:sz w:val="26"/>
          <w:szCs w:val="26"/>
        </w:rPr>
      </w:pPr>
    </w:p>
    <w:p w:rsidR="002774D7" w:rsidRDefault="002774D7" w:rsidP="00965EBB">
      <w:pPr>
        <w:pStyle w:val="BodyFirst1SS"/>
        <w:spacing w:line="360" w:lineRule="auto"/>
        <w:jc w:val="left"/>
        <w:rPr>
          <w:sz w:val="26"/>
          <w:szCs w:val="26"/>
        </w:rPr>
      </w:pPr>
      <w:r>
        <w:rPr>
          <w:sz w:val="26"/>
          <w:szCs w:val="26"/>
        </w:rPr>
        <w:tab/>
        <w:t xml:space="preserve">HIKO explains that </w:t>
      </w:r>
      <w:r w:rsidR="00F374DF" w:rsidRPr="00F374DF">
        <w:rPr>
          <w:sz w:val="26"/>
          <w:szCs w:val="26"/>
        </w:rPr>
        <w:t>in order to survive</w:t>
      </w:r>
      <w:r w:rsidR="00B57EC3">
        <w:rPr>
          <w:sz w:val="26"/>
          <w:szCs w:val="26"/>
        </w:rPr>
        <w:t>,</w:t>
      </w:r>
      <w:r w:rsidR="00F374DF" w:rsidRPr="00F374DF">
        <w:rPr>
          <w:sz w:val="26"/>
          <w:szCs w:val="26"/>
        </w:rPr>
        <w:t xml:space="preserve"> </w:t>
      </w:r>
      <w:r>
        <w:rPr>
          <w:sz w:val="26"/>
          <w:szCs w:val="26"/>
        </w:rPr>
        <w:t xml:space="preserve">its CEO </w:t>
      </w:r>
      <w:r w:rsidR="00B57EC3">
        <w:rPr>
          <w:sz w:val="26"/>
          <w:szCs w:val="26"/>
        </w:rPr>
        <w:t xml:space="preserve">placed personal assets at significant risk by </w:t>
      </w:r>
      <w:r>
        <w:rPr>
          <w:sz w:val="26"/>
          <w:szCs w:val="26"/>
        </w:rPr>
        <w:t>personally guarantee</w:t>
      </w:r>
      <w:r w:rsidR="00B57EC3">
        <w:rPr>
          <w:sz w:val="26"/>
          <w:szCs w:val="26"/>
        </w:rPr>
        <w:t>ing</w:t>
      </w:r>
      <w:r>
        <w:rPr>
          <w:sz w:val="26"/>
          <w:szCs w:val="26"/>
        </w:rPr>
        <w:t xml:space="preserve"> a $20 million loan but could not </w:t>
      </w:r>
      <w:r w:rsidR="0071668C">
        <w:rPr>
          <w:sz w:val="26"/>
          <w:szCs w:val="26"/>
        </w:rPr>
        <w:t xml:space="preserve">also </w:t>
      </w:r>
      <w:r>
        <w:rPr>
          <w:sz w:val="26"/>
          <w:szCs w:val="26"/>
        </w:rPr>
        <w:t xml:space="preserve">continue to honor its </w:t>
      </w:r>
      <w:r w:rsidR="00B57EC3">
        <w:rPr>
          <w:sz w:val="26"/>
          <w:szCs w:val="26"/>
        </w:rPr>
        <w:t>consumer contracts</w:t>
      </w:r>
      <w:r>
        <w:rPr>
          <w:sz w:val="26"/>
          <w:szCs w:val="26"/>
        </w:rPr>
        <w:t xml:space="preserve">.  </w:t>
      </w:r>
      <w:r w:rsidR="0071668C">
        <w:rPr>
          <w:sz w:val="26"/>
          <w:szCs w:val="26"/>
        </w:rPr>
        <w:t>HIKO asserts that t</w:t>
      </w:r>
      <w:r>
        <w:rPr>
          <w:sz w:val="26"/>
          <w:szCs w:val="26"/>
        </w:rPr>
        <w:t>he decision to exit the market, even with a requested waiver of the required ninety-day notice to do so as suggested by the ALJs, is not required by precedent</w:t>
      </w:r>
      <w:r w:rsidR="00F374DF">
        <w:rPr>
          <w:sz w:val="26"/>
          <w:szCs w:val="26"/>
        </w:rPr>
        <w:t>,</w:t>
      </w:r>
      <w:r>
        <w:rPr>
          <w:sz w:val="26"/>
          <w:szCs w:val="26"/>
        </w:rPr>
        <w:t xml:space="preserve"> would </w:t>
      </w:r>
      <w:r w:rsidR="00F374DF">
        <w:rPr>
          <w:sz w:val="26"/>
          <w:szCs w:val="26"/>
        </w:rPr>
        <w:t xml:space="preserve">still </w:t>
      </w:r>
      <w:r>
        <w:rPr>
          <w:sz w:val="26"/>
          <w:szCs w:val="26"/>
        </w:rPr>
        <w:t xml:space="preserve">have caused at least some </w:t>
      </w:r>
      <w:r w:rsidR="00F374DF">
        <w:rPr>
          <w:sz w:val="26"/>
          <w:szCs w:val="26"/>
        </w:rPr>
        <w:t xml:space="preserve">customer </w:t>
      </w:r>
      <w:r>
        <w:rPr>
          <w:sz w:val="26"/>
          <w:szCs w:val="26"/>
        </w:rPr>
        <w:t>uncertainty and potential disruption</w:t>
      </w:r>
      <w:r w:rsidR="00F374DF">
        <w:rPr>
          <w:sz w:val="26"/>
          <w:szCs w:val="26"/>
        </w:rPr>
        <w:t>, and also would have taken time during which the Company could not have honored the guaranteed savings.</w:t>
      </w:r>
      <w:r>
        <w:rPr>
          <w:sz w:val="26"/>
          <w:szCs w:val="26"/>
        </w:rPr>
        <w:t xml:space="preserve">  </w:t>
      </w:r>
      <w:r w:rsidR="00B57EC3">
        <w:rPr>
          <w:sz w:val="26"/>
          <w:szCs w:val="26"/>
        </w:rPr>
        <w:t>However, contends HIKO, t</w:t>
      </w:r>
      <w:r w:rsidR="00F374DF">
        <w:rPr>
          <w:sz w:val="26"/>
          <w:szCs w:val="26"/>
        </w:rPr>
        <w:t xml:space="preserve">he ALJs considered </w:t>
      </w:r>
      <w:r w:rsidR="00B57EC3">
        <w:rPr>
          <w:sz w:val="26"/>
          <w:szCs w:val="26"/>
        </w:rPr>
        <w:t>its</w:t>
      </w:r>
      <w:r w:rsidR="00F374DF">
        <w:rPr>
          <w:sz w:val="26"/>
          <w:szCs w:val="26"/>
        </w:rPr>
        <w:t xml:space="preserve"> decisions to be purely voluntary and</w:t>
      </w:r>
      <w:r w:rsidR="00B57EC3">
        <w:rPr>
          <w:sz w:val="26"/>
          <w:szCs w:val="26"/>
        </w:rPr>
        <w:t>,</w:t>
      </w:r>
      <w:r w:rsidR="00F374DF">
        <w:rPr>
          <w:sz w:val="26"/>
          <w:szCs w:val="26"/>
        </w:rPr>
        <w:t xml:space="preserve"> therefore</w:t>
      </w:r>
      <w:r w:rsidR="00B57EC3">
        <w:rPr>
          <w:sz w:val="26"/>
          <w:szCs w:val="26"/>
        </w:rPr>
        <w:t>,</w:t>
      </w:r>
      <w:r w:rsidR="00F374DF">
        <w:rPr>
          <w:sz w:val="26"/>
          <w:szCs w:val="26"/>
        </w:rPr>
        <w:t xml:space="preserve"> failed to afford sufficient weight to forces beyond HIKO’s foresight and control.  </w:t>
      </w:r>
      <w:r w:rsidR="00F374DF">
        <w:rPr>
          <w:i/>
          <w:sz w:val="26"/>
          <w:szCs w:val="26"/>
        </w:rPr>
        <w:t xml:space="preserve">Id. </w:t>
      </w:r>
      <w:r w:rsidR="00F374DF">
        <w:rPr>
          <w:sz w:val="26"/>
          <w:szCs w:val="26"/>
        </w:rPr>
        <w:t>at 22-23.</w:t>
      </w:r>
    </w:p>
    <w:p w:rsidR="00C3146F" w:rsidRDefault="00C3146F" w:rsidP="00965EBB">
      <w:pPr>
        <w:pStyle w:val="BodyFirst1SS"/>
        <w:spacing w:line="360" w:lineRule="auto"/>
        <w:jc w:val="left"/>
        <w:rPr>
          <w:sz w:val="26"/>
          <w:szCs w:val="26"/>
        </w:rPr>
      </w:pPr>
    </w:p>
    <w:p w:rsidR="00CC2DC6" w:rsidRDefault="00B57EC3" w:rsidP="009A4D65">
      <w:pPr>
        <w:pStyle w:val="BodyFirst1SS"/>
        <w:spacing w:line="360" w:lineRule="auto"/>
        <w:ind w:firstLine="1440"/>
        <w:jc w:val="left"/>
        <w:rPr>
          <w:sz w:val="26"/>
          <w:szCs w:val="26"/>
        </w:rPr>
      </w:pPr>
      <w:r>
        <w:rPr>
          <w:sz w:val="26"/>
          <w:szCs w:val="26"/>
        </w:rPr>
        <w:t xml:space="preserve">HIKO also </w:t>
      </w:r>
      <w:r w:rsidR="009A4D65">
        <w:rPr>
          <w:sz w:val="26"/>
          <w:szCs w:val="26"/>
        </w:rPr>
        <w:t>challenges the ALJs’ determination as excessive because nearly 65% of the overcharges were less than $100, the Company voluntarily refunded $160,000 before any regulator</w:t>
      </w:r>
      <w:r w:rsidR="002C04C4">
        <w:rPr>
          <w:sz w:val="26"/>
          <w:szCs w:val="26"/>
        </w:rPr>
        <w:t xml:space="preserve">s became </w:t>
      </w:r>
      <w:r w:rsidR="009A4D65">
        <w:rPr>
          <w:sz w:val="26"/>
          <w:szCs w:val="26"/>
        </w:rPr>
        <w:t>involve</w:t>
      </w:r>
      <w:r w:rsidR="002C04C4">
        <w:rPr>
          <w:sz w:val="26"/>
          <w:szCs w:val="26"/>
        </w:rPr>
        <w:t>d</w:t>
      </w:r>
      <w:r w:rsidR="009A4D65">
        <w:rPr>
          <w:sz w:val="26"/>
          <w:szCs w:val="26"/>
        </w:rPr>
        <w:t xml:space="preserve">, and it agreed to </w:t>
      </w:r>
      <w:r w:rsidR="009A4D65" w:rsidRPr="0071668C">
        <w:rPr>
          <w:sz w:val="26"/>
          <w:szCs w:val="26"/>
        </w:rPr>
        <w:t>full</w:t>
      </w:r>
      <w:r w:rsidR="009A4D65">
        <w:rPr>
          <w:sz w:val="26"/>
          <w:szCs w:val="26"/>
        </w:rPr>
        <w:t xml:space="preserve"> </w:t>
      </w:r>
      <w:r w:rsidR="009A4D65" w:rsidRPr="009A4D65">
        <w:rPr>
          <w:sz w:val="26"/>
          <w:szCs w:val="26"/>
        </w:rPr>
        <w:t>restitution</w:t>
      </w:r>
      <w:r w:rsidR="009A4D65">
        <w:rPr>
          <w:sz w:val="26"/>
          <w:szCs w:val="26"/>
        </w:rPr>
        <w:t xml:space="preserve"> in </w:t>
      </w:r>
      <w:r w:rsidR="009A4D65">
        <w:rPr>
          <w:i/>
          <w:sz w:val="26"/>
          <w:szCs w:val="26"/>
        </w:rPr>
        <w:t xml:space="preserve">OAG/OCA-HIKO </w:t>
      </w:r>
      <w:r w:rsidR="009A4D65" w:rsidRPr="009A4D65">
        <w:rPr>
          <w:i/>
          <w:sz w:val="26"/>
          <w:szCs w:val="26"/>
        </w:rPr>
        <w:t>Settlement</w:t>
      </w:r>
      <w:r w:rsidR="009A4D65">
        <w:rPr>
          <w:sz w:val="26"/>
          <w:szCs w:val="26"/>
        </w:rPr>
        <w:t xml:space="preserve">, under which aggrieved customers will receive an average 3.5% savings </w:t>
      </w:r>
      <w:r w:rsidR="009A4D65">
        <w:rPr>
          <w:sz w:val="26"/>
          <w:szCs w:val="26"/>
        </w:rPr>
        <w:lastRenderedPageBreak/>
        <w:t>compared to the PTC rather than the baseline 1%.</w:t>
      </w:r>
      <w:r w:rsidR="002C04C4">
        <w:rPr>
          <w:rStyle w:val="FootnoteReference"/>
          <w:sz w:val="26"/>
          <w:szCs w:val="26"/>
        </w:rPr>
        <w:footnoteReference w:id="9"/>
      </w:r>
      <w:r w:rsidR="009A4D65">
        <w:rPr>
          <w:sz w:val="26"/>
          <w:szCs w:val="26"/>
        </w:rPr>
        <w:t xml:space="preserve">  </w:t>
      </w:r>
      <w:r w:rsidR="002C04C4">
        <w:rPr>
          <w:sz w:val="26"/>
          <w:szCs w:val="26"/>
        </w:rPr>
        <w:t>Further, the ALJs</w:t>
      </w:r>
      <w:r w:rsidR="003C32A6">
        <w:rPr>
          <w:sz w:val="26"/>
          <w:szCs w:val="26"/>
        </w:rPr>
        <w:t>’</w:t>
      </w:r>
      <w:r w:rsidR="002C04C4">
        <w:rPr>
          <w:sz w:val="26"/>
          <w:szCs w:val="26"/>
        </w:rPr>
        <w:t xml:space="preserve"> determination that customer</w:t>
      </w:r>
      <w:r w:rsidR="0071668C">
        <w:rPr>
          <w:sz w:val="26"/>
          <w:szCs w:val="26"/>
        </w:rPr>
        <w:t>s</w:t>
      </w:r>
      <w:r w:rsidR="002C04C4">
        <w:rPr>
          <w:sz w:val="26"/>
          <w:szCs w:val="26"/>
        </w:rPr>
        <w:t xml:space="preserve"> experienced financial hardship was </w:t>
      </w:r>
      <w:r w:rsidR="007D55A4">
        <w:rPr>
          <w:sz w:val="26"/>
          <w:szCs w:val="26"/>
        </w:rPr>
        <w:t xml:space="preserve">based upon </w:t>
      </w:r>
      <w:r w:rsidR="002C04C4">
        <w:rPr>
          <w:sz w:val="26"/>
          <w:szCs w:val="26"/>
        </w:rPr>
        <w:t xml:space="preserve">inference unsupported by any evidence.  </w:t>
      </w:r>
      <w:r w:rsidR="0071668C">
        <w:rPr>
          <w:i/>
          <w:sz w:val="26"/>
          <w:szCs w:val="26"/>
        </w:rPr>
        <w:t>Id</w:t>
      </w:r>
      <w:r w:rsidR="002C04C4">
        <w:rPr>
          <w:sz w:val="26"/>
          <w:szCs w:val="26"/>
        </w:rPr>
        <w:t>. at 23-25.</w:t>
      </w:r>
    </w:p>
    <w:p w:rsidR="002C04C4" w:rsidRDefault="002C04C4" w:rsidP="009A4D65">
      <w:pPr>
        <w:pStyle w:val="BodyFirst1SS"/>
        <w:spacing w:line="360" w:lineRule="auto"/>
        <w:ind w:firstLine="1440"/>
        <w:jc w:val="left"/>
        <w:rPr>
          <w:sz w:val="26"/>
          <w:szCs w:val="26"/>
        </w:rPr>
      </w:pPr>
    </w:p>
    <w:p w:rsidR="002C04C4" w:rsidRPr="002C324C" w:rsidRDefault="002C04C4" w:rsidP="009A4D65">
      <w:pPr>
        <w:pStyle w:val="BodyFirst1SS"/>
        <w:spacing w:line="360" w:lineRule="auto"/>
        <w:ind w:firstLine="1440"/>
        <w:jc w:val="left"/>
        <w:rPr>
          <w:sz w:val="26"/>
          <w:szCs w:val="26"/>
        </w:rPr>
      </w:pPr>
      <w:r>
        <w:rPr>
          <w:sz w:val="26"/>
          <w:szCs w:val="26"/>
        </w:rPr>
        <w:t>Next HIKO accuses the ALJs of failing to consider that the Company did, in fact, modify its internal practices to address the conduct.  The Company contends that as early as January 2014 it ceased offering the guaranteed price savings, causing the Company’s customer base to fall from about 10,000 to about 3</w:t>
      </w:r>
      <w:r w:rsidR="00F14541">
        <w:rPr>
          <w:sz w:val="26"/>
          <w:szCs w:val="26"/>
        </w:rPr>
        <w:t>,</w:t>
      </w:r>
      <w:r>
        <w:rPr>
          <w:sz w:val="26"/>
          <w:szCs w:val="26"/>
        </w:rPr>
        <w:t>000</w:t>
      </w:r>
      <w:r w:rsidR="00972E02">
        <w:rPr>
          <w:sz w:val="26"/>
          <w:szCs w:val="26"/>
        </w:rPr>
        <w:t xml:space="preserve"> and</w:t>
      </w:r>
      <w:r>
        <w:rPr>
          <w:sz w:val="26"/>
          <w:szCs w:val="26"/>
        </w:rPr>
        <w:t xml:space="preserve"> making financial recovery even more difficult.  Plus, contends HIKO, the Company hired additional customer service staff, started issuing refunds as early as February 2014, and instituted changes to its supply policy to include some long-term purchases as a hedge against sudden volatility.  </w:t>
      </w:r>
      <w:r w:rsidRPr="002C04C4">
        <w:rPr>
          <w:sz w:val="26"/>
          <w:szCs w:val="26"/>
        </w:rPr>
        <w:t xml:space="preserve">Finally the Company cites to </w:t>
      </w:r>
      <w:r w:rsidR="0071668C">
        <w:rPr>
          <w:sz w:val="26"/>
          <w:szCs w:val="26"/>
        </w:rPr>
        <w:t xml:space="preserve">the </w:t>
      </w:r>
      <w:r w:rsidRPr="002C04C4">
        <w:rPr>
          <w:sz w:val="26"/>
          <w:szCs w:val="26"/>
        </w:rPr>
        <w:t xml:space="preserve">consumer protection measures in operations and marketing that it agreed to in </w:t>
      </w:r>
      <w:r w:rsidRPr="002C04C4">
        <w:rPr>
          <w:i/>
          <w:sz w:val="26"/>
          <w:szCs w:val="26"/>
        </w:rPr>
        <w:t>OAG/OCA-HIKO Settlement</w:t>
      </w:r>
      <w:r w:rsidRPr="002C04C4">
        <w:rPr>
          <w:sz w:val="26"/>
          <w:szCs w:val="26"/>
        </w:rPr>
        <w:t>.</w:t>
      </w:r>
      <w:r w:rsidR="002C324C">
        <w:rPr>
          <w:sz w:val="26"/>
          <w:szCs w:val="26"/>
        </w:rPr>
        <w:t xml:space="preserve">  Had the ALJs considered all these modifications, and not just those agreed to in </w:t>
      </w:r>
      <w:r w:rsidR="002C324C" w:rsidRPr="002C324C">
        <w:rPr>
          <w:i/>
          <w:sz w:val="26"/>
          <w:szCs w:val="26"/>
        </w:rPr>
        <w:t>OAG/OCA-HIKO Settlement</w:t>
      </w:r>
      <w:r w:rsidR="002C324C">
        <w:rPr>
          <w:sz w:val="26"/>
          <w:szCs w:val="26"/>
        </w:rPr>
        <w:t>, the proposed penalty would have been significantly reduced</w:t>
      </w:r>
      <w:r w:rsidR="0071668C">
        <w:rPr>
          <w:sz w:val="26"/>
          <w:szCs w:val="26"/>
        </w:rPr>
        <w:t>, the Company contends</w:t>
      </w:r>
      <w:r w:rsidR="002C324C">
        <w:rPr>
          <w:sz w:val="26"/>
          <w:szCs w:val="26"/>
        </w:rPr>
        <w:t>.</w:t>
      </w:r>
      <w:r w:rsidR="002C324C" w:rsidRPr="002C324C">
        <w:rPr>
          <w:sz w:val="26"/>
          <w:szCs w:val="26"/>
        </w:rPr>
        <w:t xml:space="preserve">  </w:t>
      </w:r>
      <w:r w:rsidR="002C324C" w:rsidRPr="002C324C">
        <w:rPr>
          <w:i/>
          <w:sz w:val="26"/>
          <w:szCs w:val="26"/>
        </w:rPr>
        <w:t>Id</w:t>
      </w:r>
      <w:r w:rsidR="002C324C" w:rsidRPr="002C324C">
        <w:rPr>
          <w:sz w:val="26"/>
          <w:szCs w:val="26"/>
        </w:rPr>
        <w:t>. at 25-27.</w:t>
      </w:r>
    </w:p>
    <w:p w:rsidR="002C04C4" w:rsidRDefault="002C04C4" w:rsidP="009A4D65">
      <w:pPr>
        <w:pStyle w:val="BodyFirst1SS"/>
        <w:spacing w:line="360" w:lineRule="auto"/>
        <w:ind w:firstLine="1440"/>
        <w:jc w:val="left"/>
        <w:rPr>
          <w:sz w:val="26"/>
          <w:szCs w:val="26"/>
        </w:rPr>
      </w:pPr>
    </w:p>
    <w:p w:rsidR="002C324C" w:rsidRDefault="00303E50" w:rsidP="009A4D65">
      <w:pPr>
        <w:pStyle w:val="BodyFirst1SS"/>
        <w:spacing w:line="360" w:lineRule="auto"/>
        <w:ind w:firstLine="1440"/>
        <w:jc w:val="left"/>
        <w:rPr>
          <w:sz w:val="26"/>
          <w:szCs w:val="26"/>
        </w:rPr>
      </w:pPr>
      <w:r>
        <w:rPr>
          <w:sz w:val="26"/>
          <w:szCs w:val="26"/>
        </w:rPr>
        <w:t>HIKO also disagrees with the ALJs’ finding that the Company had a history of noncompliance</w:t>
      </w:r>
      <w:r w:rsidR="00040D6E">
        <w:rPr>
          <w:sz w:val="26"/>
          <w:szCs w:val="26"/>
        </w:rPr>
        <w:t xml:space="preserve">, challenging </w:t>
      </w:r>
      <w:r w:rsidR="00DF0D32">
        <w:rPr>
          <w:sz w:val="26"/>
          <w:szCs w:val="26"/>
        </w:rPr>
        <w:t xml:space="preserve">as unsupported by the evidence </w:t>
      </w:r>
      <w:r w:rsidR="00040D6E">
        <w:rPr>
          <w:sz w:val="26"/>
          <w:szCs w:val="26"/>
        </w:rPr>
        <w:t>the ALJs’ conclusion that the Company failed to have surety in effect at the Commission at the time of the violations</w:t>
      </w:r>
      <w:r>
        <w:rPr>
          <w:sz w:val="26"/>
          <w:szCs w:val="26"/>
        </w:rPr>
        <w:t xml:space="preserve">.  </w:t>
      </w:r>
      <w:r w:rsidR="00DF0D32">
        <w:rPr>
          <w:sz w:val="26"/>
          <w:szCs w:val="26"/>
        </w:rPr>
        <w:t>To support its</w:t>
      </w:r>
      <w:r w:rsidR="00525E6B">
        <w:rPr>
          <w:sz w:val="26"/>
          <w:szCs w:val="26"/>
        </w:rPr>
        <w:t xml:space="preserve"> contention that </w:t>
      </w:r>
      <w:r w:rsidR="00DF0D32">
        <w:rPr>
          <w:sz w:val="26"/>
          <w:szCs w:val="26"/>
        </w:rPr>
        <w:t xml:space="preserve">it </w:t>
      </w:r>
      <w:r w:rsidR="00525E6B">
        <w:rPr>
          <w:sz w:val="26"/>
          <w:szCs w:val="26"/>
        </w:rPr>
        <w:t xml:space="preserve">at all times had the minimum-required security bond in place, HIKO requests the Commission to take </w:t>
      </w:r>
      <w:r w:rsidR="00EC5E48">
        <w:rPr>
          <w:sz w:val="26"/>
          <w:szCs w:val="26"/>
        </w:rPr>
        <w:t>judicial</w:t>
      </w:r>
      <w:r w:rsidR="00525E6B">
        <w:rPr>
          <w:sz w:val="26"/>
          <w:szCs w:val="26"/>
        </w:rPr>
        <w:t xml:space="preserve"> notice of documents </w:t>
      </w:r>
      <w:r w:rsidR="00EC5E48">
        <w:rPr>
          <w:sz w:val="26"/>
          <w:szCs w:val="26"/>
        </w:rPr>
        <w:t xml:space="preserve">attached to its Exceptions that the Company claims </w:t>
      </w:r>
      <w:r w:rsidR="00B50C64">
        <w:rPr>
          <w:sz w:val="26"/>
          <w:szCs w:val="26"/>
        </w:rPr>
        <w:t xml:space="preserve">prove the continued effectiveness of a surety bond during the </w:t>
      </w:r>
      <w:r w:rsidR="00DA4536">
        <w:rPr>
          <w:sz w:val="26"/>
          <w:szCs w:val="26"/>
        </w:rPr>
        <w:t xml:space="preserve">2014 calendar year, which would have </w:t>
      </w:r>
      <w:r w:rsidR="00DA4536">
        <w:rPr>
          <w:sz w:val="26"/>
          <w:szCs w:val="26"/>
        </w:rPr>
        <w:lastRenderedPageBreak/>
        <w:t xml:space="preserve">encompassed the </w:t>
      </w:r>
      <w:r w:rsidR="00B50C64">
        <w:rPr>
          <w:sz w:val="26"/>
          <w:szCs w:val="26"/>
        </w:rPr>
        <w:t xml:space="preserve">January through April 2014 </w:t>
      </w:r>
      <w:r w:rsidR="00DA4536">
        <w:rPr>
          <w:sz w:val="26"/>
          <w:szCs w:val="26"/>
        </w:rPr>
        <w:t xml:space="preserve">violation </w:t>
      </w:r>
      <w:r w:rsidR="00B50C64">
        <w:rPr>
          <w:sz w:val="26"/>
          <w:szCs w:val="26"/>
        </w:rPr>
        <w:t>time-frame</w:t>
      </w:r>
      <w:r w:rsidR="00525E6B">
        <w:rPr>
          <w:sz w:val="26"/>
          <w:szCs w:val="26"/>
        </w:rPr>
        <w:t>.</w:t>
      </w:r>
      <w:r w:rsidR="00EC5E48">
        <w:rPr>
          <w:rStyle w:val="FootnoteReference"/>
          <w:sz w:val="26"/>
          <w:szCs w:val="26"/>
        </w:rPr>
        <w:footnoteReference w:id="10"/>
      </w:r>
      <w:r w:rsidR="00525E6B">
        <w:rPr>
          <w:sz w:val="26"/>
          <w:szCs w:val="26"/>
        </w:rPr>
        <w:t xml:space="preserve">  </w:t>
      </w:r>
      <w:r w:rsidR="00DA4536">
        <w:rPr>
          <w:sz w:val="26"/>
          <w:szCs w:val="26"/>
        </w:rPr>
        <w:t xml:space="preserve">HIKO characterizes the purported failure in surety as a “minor procedural mistake” and concludes that its “inadvertent failure to submit a renewal of the surety bond for 2014 was promptly rectified without prejudice to the Commission and consumers.”  HIKO Exc. at 27.  </w:t>
      </w:r>
      <w:r w:rsidR="00525E6B">
        <w:rPr>
          <w:sz w:val="26"/>
          <w:szCs w:val="26"/>
        </w:rPr>
        <w:t xml:space="preserve">HIKO contends that the ALJs’ determination that it has a history of noncompliance is erroneous and highly prejudicial, </w:t>
      </w:r>
      <w:r w:rsidR="00B50C64">
        <w:rPr>
          <w:sz w:val="26"/>
          <w:szCs w:val="26"/>
        </w:rPr>
        <w:t xml:space="preserve">and </w:t>
      </w:r>
      <w:r w:rsidR="00525E6B">
        <w:rPr>
          <w:sz w:val="26"/>
          <w:szCs w:val="26"/>
        </w:rPr>
        <w:t>unduly rais</w:t>
      </w:r>
      <w:r w:rsidR="00B50C64">
        <w:rPr>
          <w:sz w:val="26"/>
          <w:szCs w:val="26"/>
        </w:rPr>
        <w:t>ed</w:t>
      </w:r>
      <w:r w:rsidR="00525E6B">
        <w:rPr>
          <w:sz w:val="26"/>
          <w:szCs w:val="26"/>
        </w:rPr>
        <w:t xml:space="preserve"> the level of civil penalty.  HIKO Exc. at 27-29.</w:t>
      </w:r>
    </w:p>
    <w:p w:rsidR="00C403CA" w:rsidRDefault="00C403CA" w:rsidP="009A4D65">
      <w:pPr>
        <w:pStyle w:val="BodyFirst1SS"/>
        <w:spacing w:line="360" w:lineRule="auto"/>
        <w:ind w:firstLine="1440"/>
        <w:jc w:val="left"/>
        <w:rPr>
          <w:sz w:val="26"/>
          <w:szCs w:val="26"/>
        </w:rPr>
      </w:pPr>
    </w:p>
    <w:p w:rsidR="00303E50" w:rsidRDefault="007D55A4" w:rsidP="009A4D65">
      <w:pPr>
        <w:pStyle w:val="BodyFirst1SS"/>
        <w:spacing w:line="360" w:lineRule="auto"/>
        <w:ind w:firstLine="1440"/>
        <w:jc w:val="left"/>
        <w:rPr>
          <w:sz w:val="26"/>
          <w:szCs w:val="26"/>
        </w:rPr>
      </w:pPr>
      <w:r>
        <w:rPr>
          <w:sz w:val="26"/>
          <w:szCs w:val="26"/>
        </w:rPr>
        <w:t>A</w:t>
      </w:r>
      <w:r w:rsidR="00DF0D32">
        <w:rPr>
          <w:sz w:val="26"/>
          <w:szCs w:val="26"/>
        </w:rPr>
        <w:t>gain a</w:t>
      </w:r>
      <w:r>
        <w:rPr>
          <w:sz w:val="26"/>
          <w:szCs w:val="26"/>
        </w:rPr>
        <w:t xml:space="preserve">sserting lack of supporting evidence, </w:t>
      </w:r>
      <w:r w:rsidR="00C403CA">
        <w:rPr>
          <w:sz w:val="26"/>
          <w:szCs w:val="26"/>
        </w:rPr>
        <w:t xml:space="preserve">HIKO </w:t>
      </w:r>
      <w:r w:rsidR="00DF0D32">
        <w:rPr>
          <w:sz w:val="26"/>
          <w:szCs w:val="26"/>
        </w:rPr>
        <w:t xml:space="preserve">also </w:t>
      </w:r>
      <w:r w:rsidR="00C403CA">
        <w:rPr>
          <w:sz w:val="26"/>
          <w:szCs w:val="26"/>
        </w:rPr>
        <w:t>challenges the ALJs’ determination that it was not a small company.  HIKO contends that there is no record support for the ALJs’ inference</w:t>
      </w:r>
      <w:r>
        <w:rPr>
          <w:sz w:val="26"/>
          <w:szCs w:val="26"/>
        </w:rPr>
        <w:t xml:space="preserve"> </w:t>
      </w:r>
      <w:r w:rsidR="00C403CA">
        <w:rPr>
          <w:sz w:val="26"/>
          <w:szCs w:val="26"/>
        </w:rPr>
        <w:t>that the Company had at least $7.5 million in annual gross receipts in Pennsylvania</w:t>
      </w:r>
      <w:r w:rsidR="00EC68FE">
        <w:rPr>
          <w:sz w:val="26"/>
          <w:szCs w:val="26"/>
        </w:rPr>
        <w:t xml:space="preserve">.  HIKO also contests the ALJs’ conclusion </w:t>
      </w:r>
      <w:r>
        <w:rPr>
          <w:sz w:val="26"/>
          <w:szCs w:val="26"/>
        </w:rPr>
        <w:t>that it was not small because it serves c</w:t>
      </w:r>
      <w:r w:rsidR="00C403CA">
        <w:rPr>
          <w:sz w:val="26"/>
          <w:szCs w:val="26"/>
        </w:rPr>
        <w:t xml:space="preserve">ustomers elsewhere where it is licensed, </w:t>
      </w:r>
      <w:r w:rsidR="00EC68FE">
        <w:rPr>
          <w:sz w:val="26"/>
          <w:szCs w:val="26"/>
        </w:rPr>
        <w:t xml:space="preserve">claiming there was not even evidence </w:t>
      </w:r>
      <w:r>
        <w:rPr>
          <w:sz w:val="26"/>
          <w:szCs w:val="26"/>
        </w:rPr>
        <w:t xml:space="preserve">it had measurable </w:t>
      </w:r>
      <w:r w:rsidR="00C403CA">
        <w:rPr>
          <w:sz w:val="26"/>
          <w:szCs w:val="26"/>
        </w:rPr>
        <w:t>profit margins.  To the contrary, HIKO argues that the record demonstrates it was a young company rapidly growing but still relative</w:t>
      </w:r>
      <w:r w:rsidR="004A6C2B">
        <w:rPr>
          <w:sz w:val="26"/>
          <w:szCs w:val="26"/>
        </w:rPr>
        <w:t>ly</w:t>
      </w:r>
      <w:r w:rsidR="00C403CA">
        <w:rPr>
          <w:sz w:val="26"/>
          <w:szCs w:val="26"/>
        </w:rPr>
        <w:t xml:space="preserve"> small and even smaller after it “</w:t>
      </w:r>
      <w:r w:rsidR="00C403CA">
        <w:rPr>
          <w:b/>
          <w:i/>
          <w:sz w:val="26"/>
          <w:szCs w:val="26"/>
        </w:rPr>
        <w:t>voluntarily</w:t>
      </w:r>
      <w:r w:rsidR="00C403CA">
        <w:rPr>
          <w:sz w:val="26"/>
          <w:szCs w:val="26"/>
        </w:rPr>
        <w:t xml:space="preserve"> terminated its marketing which led to a precipitous drop in customer enrollment” and agreed to pay millions in refunds.  </w:t>
      </w:r>
      <w:r w:rsidR="00C403CA">
        <w:rPr>
          <w:i/>
          <w:sz w:val="26"/>
          <w:szCs w:val="26"/>
        </w:rPr>
        <w:t xml:space="preserve">Id. </w:t>
      </w:r>
      <w:r w:rsidR="00C403CA">
        <w:rPr>
          <w:sz w:val="26"/>
          <w:szCs w:val="26"/>
        </w:rPr>
        <w:t>at 30</w:t>
      </w:r>
      <w:r w:rsidR="00EC68FE">
        <w:rPr>
          <w:sz w:val="26"/>
          <w:szCs w:val="26"/>
        </w:rPr>
        <w:t xml:space="preserve"> (emphasis in original)</w:t>
      </w:r>
      <w:r w:rsidR="00C403CA">
        <w:rPr>
          <w:sz w:val="26"/>
          <w:szCs w:val="26"/>
        </w:rPr>
        <w:t xml:space="preserve">.  The Company again points to the disparity in the level of civil penalty the ALJs assessed it compared to the penalties imposed in </w:t>
      </w:r>
      <w:r w:rsidR="00E5382F">
        <w:rPr>
          <w:sz w:val="26"/>
          <w:szCs w:val="26"/>
        </w:rPr>
        <w:t xml:space="preserve">other settled cases.  </w:t>
      </w:r>
      <w:r w:rsidR="00E5382F">
        <w:rPr>
          <w:i/>
          <w:sz w:val="26"/>
          <w:szCs w:val="26"/>
        </w:rPr>
        <w:t>Id</w:t>
      </w:r>
      <w:r w:rsidR="00E5382F">
        <w:rPr>
          <w:sz w:val="26"/>
          <w:szCs w:val="26"/>
        </w:rPr>
        <w:t>. at 31-32.</w:t>
      </w:r>
    </w:p>
    <w:p w:rsidR="00E5382F" w:rsidRDefault="00E5382F" w:rsidP="009A4D65">
      <w:pPr>
        <w:pStyle w:val="BodyFirst1SS"/>
        <w:spacing w:line="360" w:lineRule="auto"/>
        <w:ind w:firstLine="1440"/>
        <w:jc w:val="left"/>
        <w:rPr>
          <w:sz w:val="26"/>
          <w:szCs w:val="26"/>
        </w:rPr>
      </w:pPr>
    </w:p>
    <w:p w:rsidR="00E5382F" w:rsidRPr="00187233" w:rsidRDefault="00E5382F" w:rsidP="009A4D65">
      <w:pPr>
        <w:pStyle w:val="BodyFirst1SS"/>
        <w:spacing w:line="360" w:lineRule="auto"/>
        <w:ind w:firstLine="1440"/>
        <w:jc w:val="left"/>
        <w:rPr>
          <w:sz w:val="26"/>
          <w:szCs w:val="26"/>
        </w:rPr>
      </w:pPr>
      <w:r>
        <w:rPr>
          <w:sz w:val="26"/>
          <w:szCs w:val="26"/>
        </w:rPr>
        <w:t xml:space="preserve">Finally, HIKO argues that the ALJs failed to consider the level of penalty approved against other EGSs.  </w:t>
      </w:r>
      <w:r>
        <w:rPr>
          <w:i/>
          <w:sz w:val="26"/>
          <w:szCs w:val="26"/>
        </w:rPr>
        <w:t>Id</w:t>
      </w:r>
      <w:r>
        <w:rPr>
          <w:sz w:val="26"/>
          <w:szCs w:val="26"/>
        </w:rPr>
        <w:t xml:space="preserve">. at 32.  First HIKO challenges the premise that it is inappropriate to consider a settlement as precedent in subsequent litigated proceedings, arguing that the 1988 </w:t>
      </w:r>
      <w:r>
        <w:rPr>
          <w:i/>
          <w:sz w:val="26"/>
          <w:szCs w:val="26"/>
        </w:rPr>
        <w:t xml:space="preserve">Bell </w:t>
      </w:r>
      <w:r>
        <w:rPr>
          <w:sz w:val="26"/>
          <w:szCs w:val="26"/>
        </w:rPr>
        <w:t>case cited by the ALJs is distinguishable on its facts because it had nothing to do with EGS billing practices.  HIKO distinguishes what it refers to as the few litigated cases relied on by the ALJs as involving a single customer “rather than the thousands of customer</w:t>
      </w:r>
      <w:r w:rsidR="004A6C2B">
        <w:rPr>
          <w:sz w:val="26"/>
          <w:szCs w:val="26"/>
        </w:rPr>
        <w:t>s</w:t>
      </w:r>
      <w:r>
        <w:rPr>
          <w:sz w:val="26"/>
          <w:szCs w:val="26"/>
        </w:rPr>
        <w:t xml:space="preserve"> as alleged here.”  </w:t>
      </w:r>
      <w:r>
        <w:rPr>
          <w:i/>
          <w:sz w:val="26"/>
          <w:szCs w:val="26"/>
        </w:rPr>
        <w:t>Id.</w:t>
      </w:r>
      <w:r>
        <w:rPr>
          <w:sz w:val="26"/>
          <w:szCs w:val="26"/>
        </w:rPr>
        <w:t xml:space="preserve"> at 33.  HIKO also contends that </w:t>
      </w:r>
      <w:r w:rsidR="00F36D95">
        <w:rPr>
          <w:sz w:val="26"/>
          <w:szCs w:val="26"/>
        </w:rPr>
        <w:t xml:space="preserve">with the exception of the factor assessing whether an entity’s action was intentional or negligent, </w:t>
      </w:r>
      <w:r>
        <w:rPr>
          <w:sz w:val="26"/>
          <w:szCs w:val="26"/>
        </w:rPr>
        <w:t xml:space="preserve">the Commission’s policy statement at Section 69.1201 “explicitly states that the factors evaluated in a litigated proceeding are the very same factors that are considered in approving a settled proceeding.”  </w:t>
      </w:r>
      <w:r>
        <w:rPr>
          <w:i/>
          <w:sz w:val="26"/>
          <w:szCs w:val="26"/>
        </w:rPr>
        <w:t>Id.</w:t>
      </w:r>
      <w:r>
        <w:rPr>
          <w:sz w:val="26"/>
          <w:szCs w:val="26"/>
        </w:rPr>
        <w:t xml:space="preserve">  </w:t>
      </w:r>
      <w:r w:rsidR="00F36D95">
        <w:rPr>
          <w:sz w:val="26"/>
          <w:szCs w:val="26"/>
        </w:rPr>
        <w:t xml:space="preserve">Moreover, claims HIKO, “the fact that the Commission is reviewing these factors in a settled proceeding is not a reason to discount the Commission’s own prior statements about the penalty factors.”  </w:t>
      </w:r>
      <w:r w:rsidR="00F36D95">
        <w:rPr>
          <w:i/>
          <w:sz w:val="26"/>
          <w:szCs w:val="26"/>
        </w:rPr>
        <w:t>Id.</w:t>
      </w:r>
      <w:r w:rsidR="00F36D95">
        <w:rPr>
          <w:sz w:val="26"/>
          <w:szCs w:val="26"/>
        </w:rPr>
        <w:t xml:space="preserve">  </w:t>
      </w:r>
      <w:r w:rsidR="00187233">
        <w:rPr>
          <w:sz w:val="26"/>
          <w:szCs w:val="26"/>
        </w:rPr>
        <w:t xml:space="preserve">Relying on </w:t>
      </w:r>
      <w:r w:rsidR="00187233">
        <w:rPr>
          <w:i/>
          <w:sz w:val="26"/>
          <w:szCs w:val="26"/>
        </w:rPr>
        <w:t>MXenergy</w:t>
      </w:r>
      <w:r w:rsidR="00187233">
        <w:rPr>
          <w:sz w:val="26"/>
          <w:szCs w:val="26"/>
        </w:rPr>
        <w:t xml:space="preserve">, </w:t>
      </w:r>
      <w:r w:rsidR="00187233">
        <w:rPr>
          <w:i/>
          <w:sz w:val="26"/>
          <w:szCs w:val="26"/>
        </w:rPr>
        <w:t>PaG&amp;E</w:t>
      </w:r>
      <w:r w:rsidR="00EC68FE">
        <w:rPr>
          <w:i/>
          <w:sz w:val="26"/>
          <w:szCs w:val="26"/>
        </w:rPr>
        <w:t xml:space="preserve"> 2014 Settlement</w:t>
      </w:r>
      <w:r w:rsidR="00187233">
        <w:rPr>
          <w:sz w:val="26"/>
          <w:szCs w:val="26"/>
        </w:rPr>
        <w:t xml:space="preserve">, </w:t>
      </w:r>
      <w:r w:rsidR="00187233">
        <w:rPr>
          <w:i/>
          <w:sz w:val="26"/>
          <w:szCs w:val="26"/>
        </w:rPr>
        <w:t xml:space="preserve">Public </w:t>
      </w:r>
      <w:r w:rsidR="00187233" w:rsidRPr="00187233">
        <w:rPr>
          <w:i/>
          <w:sz w:val="26"/>
          <w:szCs w:val="26"/>
        </w:rPr>
        <w:t>Power</w:t>
      </w:r>
      <w:r w:rsidR="00187233">
        <w:rPr>
          <w:sz w:val="26"/>
          <w:szCs w:val="26"/>
        </w:rPr>
        <w:t xml:space="preserve">, </w:t>
      </w:r>
      <w:r w:rsidR="00187233" w:rsidRPr="00187233">
        <w:rPr>
          <w:sz w:val="26"/>
          <w:szCs w:val="26"/>
        </w:rPr>
        <w:t>and</w:t>
      </w:r>
      <w:r w:rsidR="00187233">
        <w:rPr>
          <w:sz w:val="26"/>
          <w:szCs w:val="26"/>
        </w:rPr>
        <w:t xml:space="preserve"> </w:t>
      </w:r>
      <w:r w:rsidR="00187233">
        <w:rPr>
          <w:i/>
          <w:sz w:val="26"/>
          <w:szCs w:val="26"/>
        </w:rPr>
        <w:t>Bennett v. Verizon Pa., Inc.</w:t>
      </w:r>
      <w:r w:rsidR="00187233">
        <w:rPr>
          <w:sz w:val="26"/>
          <w:szCs w:val="26"/>
        </w:rPr>
        <w:t xml:space="preserve">, Docket No. C-2010-2190280 (Order entered January 27, 2012), HIKO concludes that the ALJs failed to properly consider the level of civil penalty imposed in those cases when determining that a $1.8 million penalty was appropriate here. </w:t>
      </w:r>
    </w:p>
    <w:p w:rsidR="00303E50" w:rsidRDefault="00303E50" w:rsidP="009A4D65">
      <w:pPr>
        <w:pStyle w:val="BodyFirst1SS"/>
        <w:spacing w:line="360" w:lineRule="auto"/>
        <w:ind w:firstLine="1440"/>
        <w:jc w:val="left"/>
        <w:rPr>
          <w:sz w:val="26"/>
          <w:szCs w:val="26"/>
        </w:rPr>
      </w:pPr>
    </w:p>
    <w:p w:rsidR="008E1D92" w:rsidRDefault="008E1D92" w:rsidP="00EC68FE">
      <w:pPr>
        <w:pStyle w:val="BodyFirst1SS"/>
        <w:keepNext/>
        <w:spacing w:line="360" w:lineRule="auto"/>
        <w:ind w:firstLine="1440"/>
        <w:jc w:val="left"/>
        <w:rPr>
          <w:sz w:val="26"/>
          <w:szCs w:val="26"/>
        </w:rPr>
      </w:pPr>
      <w:r>
        <w:rPr>
          <w:sz w:val="26"/>
          <w:szCs w:val="26"/>
        </w:rPr>
        <w:tab/>
      </w:r>
      <w:r>
        <w:rPr>
          <w:b/>
          <w:sz w:val="26"/>
          <w:szCs w:val="26"/>
        </w:rPr>
        <w:t>ii.</w:t>
      </w:r>
      <w:r>
        <w:rPr>
          <w:b/>
          <w:sz w:val="26"/>
          <w:szCs w:val="26"/>
        </w:rPr>
        <w:tab/>
        <w:t>I&amp;E’s Reply</w:t>
      </w:r>
    </w:p>
    <w:p w:rsidR="008E1D92" w:rsidRDefault="008E1D92" w:rsidP="00EC68FE">
      <w:pPr>
        <w:pStyle w:val="BodyFirst1SS"/>
        <w:keepNext/>
        <w:spacing w:line="360" w:lineRule="auto"/>
        <w:ind w:firstLine="1440"/>
        <w:jc w:val="left"/>
        <w:rPr>
          <w:sz w:val="26"/>
          <w:szCs w:val="26"/>
        </w:rPr>
      </w:pPr>
    </w:p>
    <w:p w:rsidR="008E1D92" w:rsidRDefault="007D55A4" w:rsidP="009A4D65">
      <w:pPr>
        <w:pStyle w:val="BodyFirst1SS"/>
        <w:spacing w:line="360" w:lineRule="auto"/>
        <w:ind w:firstLine="1440"/>
        <w:jc w:val="left"/>
        <w:rPr>
          <w:sz w:val="26"/>
          <w:szCs w:val="26"/>
        </w:rPr>
      </w:pPr>
      <w:r>
        <w:rPr>
          <w:sz w:val="26"/>
          <w:szCs w:val="26"/>
        </w:rPr>
        <w:t>I&amp;E dismisses HIKO’s Exception as lacking merit.  Responding to HIKO’s claim that the ALJs disregarded the mitigating circumstance</w:t>
      </w:r>
      <w:r w:rsidR="00050912">
        <w:rPr>
          <w:sz w:val="26"/>
          <w:szCs w:val="26"/>
        </w:rPr>
        <w:t>s</w:t>
      </w:r>
      <w:r>
        <w:rPr>
          <w:sz w:val="26"/>
          <w:szCs w:val="26"/>
        </w:rPr>
        <w:t xml:space="preserve"> of the polar vortex effect on weather</w:t>
      </w:r>
      <w:r w:rsidR="00050912">
        <w:rPr>
          <w:sz w:val="26"/>
          <w:szCs w:val="26"/>
        </w:rPr>
        <w:t>, the TCP, or PJM’s operational restraints</w:t>
      </w:r>
      <w:r>
        <w:rPr>
          <w:sz w:val="26"/>
          <w:szCs w:val="26"/>
        </w:rPr>
        <w:t xml:space="preserve">, I&amp;E </w:t>
      </w:r>
      <w:r w:rsidR="00050912">
        <w:rPr>
          <w:sz w:val="26"/>
          <w:szCs w:val="26"/>
        </w:rPr>
        <w:t xml:space="preserve">asserts </w:t>
      </w:r>
      <w:r>
        <w:rPr>
          <w:sz w:val="26"/>
          <w:szCs w:val="26"/>
        </w:rPr>
        <w:t xml:space="preserve">the ALJs </w:t>
      </w:r>
      <w:r w:rsidR="00050912">
        <w:rPr>
          <w:sz w:val="26"/>
          <w:szCs w:val="26"/>
        </w:rPr>
        <w:t xml:space="preserve">specifically considered </w:t>
      </w:r>
      <w:r w:rsidR="00A003CC">
        <w:rPr>
          <w:sz w:val="26"/>
          <w:szCs w:val="26"/>
        </w:rPr>
        <w:t xml:space="preserve">but rejected </w:t>
      </w:r>
      <w:r w:rsidR="00050912">
        <w:rPr>
          <w:sz w:val="26"/>
          <w:szCs w:val="26"/>
        </w:rPr>
        <w:t xml:space="preserve">those </w:t>
      </w:r>
      <w:r>
        <w:rPr>
          <w:sz w:val="26"/>
          <w:szCs w:val="26"/>
        </w:rPr>
        <w:t xml:space="preserve">circumstances </w:t>
      </w:r>
      <w:r w:rsidR="00A003CC">
        <w:rPr>
          <w:sz w:val="26"/>
          <w:szCs w:val="26"/>
        </w:rPr>
        <w:t xml:space="preserve">as an </w:t>
      </w:r>
      <w:r w:rsidR="00050912">
        <w:rPr>
          <w:sz w:val="26"/>
          <w:szCs w:val="26"/>
        </w:rPr>
        <w:t>excus</w:t>
      </w:r>
      <w:r w:rsidR="00A003CC">
        <w:rPr>
          <w:sz w:val="26"/>
          <w:szCs w:val="26"/>
        </w:rPr>
        <w:t>e for</w:t>
      </w:r>
      <w:r w:rsidR="00050912">
        <w:rPr>
          <w:sz w:val="26"/>
          <w:szCs w:val="26"/>
        </w:rPr>
        <w:t xml:space="preserve"> the Company’s actions, </w:t>
      </w:r>
      <w:r w:rsidR="00A003CC">
        <w:rPr>
          <w:sz w:val="26"/>
          <w:szCs w:val="26"/>
        </w:rPr>
        <w:t>e</w:t>
      </w:r>
      <w:r w:rsidR="00050912">
        <w:rPr>
          <w:sz w:val="26"/>
          <w:szCs w:val="26"/>
        </w:rPr>
        <w:t xml:space="preserve">specially </w:t>
      </w:r>
      <w:r w:rsidR="00A003CC">
        <w:rPr>
          <w:sz w:val="26"/>
          <w:szCs w:val="26"/>
        </w:rPr>
        <w:t>because they were not included as reservations in</w:t>
      </w:r>
      <w:r w:rsidR="00050912">
        <w:rPr>
          <w:sz w:val="26"/>
          <w:szCs w:val="26"/>
        </w:rPr>
        <w:t xml:space="preserve"> the </w:t>
      </w:r>
      <w:r>
        <w:rPr>
          <w:sz w:val="26"/>
          <w:szCs w:val="26"/>
        </w:rPr>
        <w:t xml:space="preserve">customer information </w:t>
      </w:r>
      <w:r w:rsidR="00050912">
        <w:rPr>
          <w:sz w:val="26"/>
          <w:szCs w:val="26"/>
        </w:rPr>
        <w:t xml:space="preserve">the Company </w:t>
      </w:r>
      <w:r w:rsidR="00A003CC">
        <w:rPr>
          <w:sz w:val="26"/>
          <w:szCs w:val="26"/>
        </w:rPr>
        <w:t xml:space="preserve">provided </w:t>
      </w:r>
      <w:r>
        <w:rPr>
          <w:sz w:val="26"/>
          <w:szCs w:val="26"/>
        </w:rPr>
        <w:t>customers</w:t>
      </w:r>
      <w:r w:rsidR="00A003CC">
        <w:rPr>
          <w:sz w:val="26"/>
          <w:szCs w:val="26"/>
        </w:rPr>
        <w:t>.</w:t>
      </w:r>
      <w:r w:rsidR="0015766A">
        <w:rPr>
          <w:sz w:val="26"/>
          <w:szCs w:val="26"/>
        </w:rPr>
        <w:t xml:space="preserve">  I&amp;E R. Exc. at 13-14.</w:t>
      </w:r>
    </w:p>
    <w:p w:rsidR="00A003CC" w:rsidRDefault="00A003CC" w:rsidP="009A4D65">
      <w:pPr>
        <w:pStyle w:val="BodyFirst1SS"/>
        <w:spacing w:line="360" w:lineRule="auto"/>
        <w:ind w:firstLine="1440"/>
        <w:jc w:val="left"/>
        <w:rPr>
          <w:sz w:val="26"/>
          <w:szCs w:val="26"/>
        </w:rPr>
      </w:pPr>
    </w:p>
    <w:p w:rsidR="00A003CC" w:rsidRDefault="00A003CC" w:rsidP="009A4D65">
      <w:pPr>
        <w:pStyle w:val="BodyFirst1SS"/>
        <w:spacing w:line="360" w:lineRule="auto"/>
        <w:ind w:firstLine="1440"/>
        <w:jc w:val="left"/>
        <w:rPr>
          <w:sz w:val="26"/>
          <w:szCs w:val="26"/>
        </w:rPr>
      </w:pPr>
      <w:r>
        <w:rPr>
          <w:sz w:val="26"/>
          <w:szCs w:val="26"/>
        </w:rPr>
        <w:lastRenderedPageBreak/>
        <w:t xml:space="preserve">I&amp;E also notes the ALJs’ finding </w:t>
      </w:r>
      <w:r w:rsidR="00EC68FE">
        <w:rPr>
          <w:sz w:val="26"/>
          <w:szCs w:val="26"/>
        </w:rPr>
        <w:t xml:space="preserve">several </w:t>
      </w:r>
      <w:r w:rsidR="00467A89">
        <w:rPr>
          <w:sz w:val="26"/>
          <w:szCs w:val="26"/>
        </w:rPr>
        <w:t xml:space="preserve">internal factors </w:t>
      </w:r>
      <w:r w:rsidR="0015766A">
        <w:rPr>
          <w:sz w:val="26"/>
          <w:szCs w:val="26"/>
        </w:rPr>
        <w:t xml:space="preserve">that were </w:t>
      </w:r>
      <w:r w:rsidR="00467A89">
        <w:rPr>
          <w:sz w:val="26"/>
          <w:szCs w:val="26"/>
        </w:rPr>
        <w:t xml:space="preserve">within the Company’s control, including the language in its customer information, its supply portfolio, the CEO’s personal assumption of a $20 million loan, and the Company’s decisions purposefully to violate guaranteed savings contracts </w:t>
      </w:r>
      <w:r w:rsidR="0015766A">
        <w:rPr>
          <w:sz w:val="26"/>
          <w:szCs w:val="26"/>
        </w:rPr>
        <w:t>while</w:t>
      </w:r>
      <w:r w:rsidR="00467A89">
        <w:rPr>
          <w:sz w:val="26"/>
          <w:szCs w:val="26"/>
        </w:rPr>
        <w:t xml:space="preserve"> </w:t>
      </w:r>
      <w:r w:rsidR="0015766A">
        <w:rPr>
          <w:sz w:val="26"/>
          <w:szCs w:val="26"/>
        </w:rPr>
        <w:t xml:space="preserve">initially </w:t>
      </w:r>
      <w:r w:rsidR="00467A89">
        <w:rPr>
          <w:sz w:val="26"/>
          <w:szCs w:val="26"/>
        </w:rPr>
        <w:t>offer</w:t>
      </w:r>
      <w:r w:rsidR="0015766A">
        <w:rPr>
          <w:sz w:val="26"/>
          <w:szCs w:val="26"/>
        </w:rPr>
        <w:t>ing</w:t>
      </w:r>
      <w:r w:rsidR="00467A89">
        <w:rPr>
          <w:sz w:val="26"/>
          <w:szCs w:val="26"/>
        </w:rPr>
        <w:t xml:space="preserve"> redress </w:t>
      </w:r>
      <w:r w:rsidR="0015766A">
        <w:rPr>
          <w:sz w:val="26"/>
          <w:szCs w:val="26"/>
        </w:rPr>
        <w:t xml:space="preserve">only </w:t>
      </w:r>
      <w:r w:rsidR="00467A89">
        <w:rPr>
          <w:sz w:val="26"/>
          <w:szCs w:val="26"/>
        </w:rPr>
        <w:t xml:space="preserve">to customers who complained.  I&amp;E </w:t>
      </w:r>
      <w:r w:rsidR="0015766A">
        <w:rPr>
          <w:sz w:val="26"/>
          <w:szCs w:val="26"/>
        </w:rPr>
        <w:t xml:space="preserve">repeats the testimony of its witness Mumford, which </w:t>
      </w:r>
      <w:r w:rsidR="00467A89">
        <w:rPr>
          <w:sz w:val="26"/>
          <w:szCs w:val="26"/>
        </w:rPr>
        <w:t>summarize</w:t>
      </w:r>
      <w:r w:rsidR="0015766A">
        <w:rPr>
          <w:sz w:val="26"/>
          <w:szCs w:val="26"/>
        </w:rPr>
        <w:t>d</w:t>
      </w:r>
      <w:r w:rsidR="00467A89">
        <w:rPr>
          <w:sz w:val="26"/>
          <w:szCs w:val="26"/>
        </w:rPr>
        <w:t xml:space="preserve"> the Company’s design of a guaranteed savings plan backed up exclusively by wholesale spot purchases</w:t>
      </w:r>
      <w:r w:rsidR="0015766A">
        <w:rPr>
          <w:sz w:val="26"/>
          <w:szCs w:val="26"/>
        </w:rPr>
        <w:t>, as a “wholesale electric supply procurement strategy and [a] product offering to [the Company’s] retail customers [that] did not properly align.”  I&amp;E R</w:t>
      </w:r>
      <w:r w:rsidR="00FB3483">
        <w:rPr>
          <w:sz w:val="26"/>
          <w:szCs w:val="26"/>
        </w:rPr>
        <w:t>.</w:t>
      </w:r>
      <w:r w:rsidR="0015766A">
        <w:rPr>
          <w:sz w:val="26"/>
          <w:szCs w:val="26"/>
        </w:rPr>
        <w:t xml:space="preserve"> Exc. at 14, quoting I&amp;E St. 1-SR at 3-4.  I&amp;E also refutes HIKO’s claim that a strategy that included exiting the market would have caused customer disruption, asserting that customers would have been “seamlessly transferred” to their EDC and not deprived of electric service.  </w:t>
      </w:r>
      <w:r w:rsidR="00EC68FE" w:rsidRPr="00EC68FE">
        <w:rPr>
          <w:sz w:val="26"/>
          <w:szCs w:val="26"/>
        </w:rPr>
        <w:t>I</w:t>
      </w:r>
      <w:r w:rsidR="00FB3483">
        <w:rPr>
          <w:sz w:val="26"/>
          <w:szCs w:val="26"/>
        </w:rPr>
        <w:t>&amp;E R. Exc</w:t>
      </w:r>
      <w:r w:rsidR="0015766A">
        <w:rPr>
          <w:i/>
          <w:sz w:val="26"/>
          <w:szCs w:val="26"/>
        </w:rPr>
        <w:t>.</w:t>
      </w:r>
      <w:r w:rsidR="0015766A">
        <w:rPr>
          <w:sz w:val="26"/>
          <w:szCs w:val="26"/>
        </w:rPr>
        <w:t xml:space="preserve"> at 15.</w:t>
      </w:r>
    </w:p>
    <w:p w:rsidR="0015766A" w:rsidRDefault="0015766A" w:rsidP="009A4D65">
      <w:pPr>
        <w:pStyle w:val="BodyFirst1SS"/>
        <w:spacing w:line="360" w:lineRule="auto"/>
        <w:ind w:firstLine="1440"/>
        <w:jc w:val="left"/>
        <w:rPr>
          <w:sz w:val="26"/>
          <w:szCs w:val="26"/>
        </w:rPr>
      </w:pPr>
    </w:p>
    <w:p w:rsidR="0015766A" w:rsidRPr="00101587" w:rsidRDefault="0015766A" w:rsidP="00101587">
      <w:pPr>
        <w:pStyle w:val="BodyFirst1SS"/>
        <w:spacing w:line="360" w:lineRule="auto"/>
        <w:ind w:firstLine="1440"/>
        <w:jc w:val="left"/>
        <w:rPr>
          <w:i/>
          <w:sz w:val="26"/>
          <w:szCs w:val="26"/>
        </w:rPr>
      </w:pPr>
      <w:r>
        <w:rPr>
          <w:sz w:val="26"/>
          <w:szCs w:val="26"/>
        </w:rPr>
        <w:t xml:space="preserve">Incorporating its own Exception to the ALJs’ determination of a civil penalty of $125 per violation, I&amp;E responds that the penalty imposed upon HIKO by the ALJs is minimal given the seriousness of its conduct.  Responding </w:t>
      </w:r>
      <w:r w:rsidR="00EC68FE">
        <w:rPr>
          <w:sz w:val="26"/>
          <w:szCs w:val="26"/>
        </w:rPr>
        <w:t>to</w:t>
      </w:r>
      <w:r>
        <w:rPr>
          <w:sz w:val="26"/>
          <w:szCs w:val="26"/>
        </w:rPr>
        <w:t xml:space="preserve"> HIKO’s claim that the assessment of that penalty fails to consider the Company’s agreement to refunds and th</w:t>
      </w:r>
      <w:r w:rsidR="00EC68FE">
        <w:rPr>
          <w:sz w:val="26"/>
          <w:szCs w:val="26"/>
        </w:rPr>
        <w:t xml:space="preserve">e nominal nature of </w:t>
      </w:r>
      <w:r>
        <w:rPr>
          <w:sz w:val="26"/>
          <w:szCs w:val="26"/>
        </w:rPr>
        <w:t xml:space="preserve">some overcharges, I&amp;E argues that the policy statement at 52 Pa. Code § 69.1201 </w:t>
      </w:r>
      <w:r w:rsidR="000A0F04">
        <w:rPr>
          <w:sz w:val="26"/>
          <w:szCs w:val="26"/>
        </w:rPr>
        <w:t xml:space="preserve">correctly excludes </w:t>
      </w:r>
      <w:r>
        <w:rPr>
          <w:sz w:val="26"/>
          <w:szCs w:val="26"/>
        </w:rPr>
        <w:t>the issuance of refunds as a factor to be considered</w:t>
      </w:r>
      <w:r w:rsidR="000A0F04">
        <w:rPr>
          <w:sz w:val="26"/>
          <w:szCs w:val="26"/>
        </w:rPr>
        <w:t xml:space="preserve"> because refunds are </w:t>
      </w:r>
      <w:r>
        <w:rPr>
          <w:sz w:val="26"/>
          <w:szCs w:val="26"/>
        </w:rPr>
        <w:t xml:space="preserve">no more than the rightful return to customers of money HIKO had no entitlement to in the first instance.  </w:t>
      </w:r>
      <w:r w:rsidR="000A0F04">
        <w:rPr>
          <w:sz w:val="26"/>
          <w:szCs w:val="26"/>
        </w:rPr>
        <w:t xml:space="preserve">Similarly irrelevant, contends I&amp;E, is </w:t>
      </w:r>
      <w:r>
        <w:rPr>
          <w:sz w:val="26"/>
          <w:szCs w:val="26"/>
        </w:rPr>
        <w:t xml:space="preserve">the amount of the overcharge.  </w:t>
      </w:r>
      <w:r w:rsidR="000A0F04" w:rsidRPr="000A0F04">
        <w:rPr>
          <w:sz w:val="26"/>
          <w:szCs w:val="26"/>
        </w:rPr>
        <w:t>Given that customers were expecting to receive a rate guaranteed to be lower than their EDC’s rate</w:t>
      </w:r>
      <w:r w:rsidR="000A0F04">
        <w:rPr>
          <w:sz w:val="26"/>
          <w:szCs w:val="26"/>
        </w:rPr>
        <w:t>, I</w:t>
      </w:r>
      <w:r w:rsidR="000A0F04" w:rsidRPr="00D73060">
        <w:rPr>
          <w:sz w:val="26"/>
          <w:szCs w:val="26"/>
        </w:rPr>
        <w:t>&amp;E asserts that t</w:t>
      </w:r>
      <w:r w:rsidRPr="00D73060">
        <w:rPr>
          <w:sz w:val="26"/>
          <w:szCs w:val="26"/>
        </w:rPr>
        <w:t>he ALJs’ inference of customer hardship from the overcharge</w:t>
      </w:r>
      <w:r w:rsidR="000A0F04" w:rsidRPr="00D73060">
        <w:rPr>
          <w:sz w:val="26"/>
          <w:szCs w:val="26"/>
        </w:rPr>
        <w:t xml:space="preserve"> was correct and logical</w:t>
      </w:r>
      <w:r w:rsidR="000A0F04">
        <w:rPr>
          <w:sz w:val="26"/>
          <w:szCs w:val="26"/>
        </w:rPr>
        <w:t>.</w:t>
      </w:r>
      <w:r w:rsidR="00101587">
        <w:rPr>
          <w:sz w:val="26"/>
          <w:szCs w:val="26"/>
        </w:rPr>
        <w:t xml:space="preserve">  </w:t>
      </w:r>
      <w:r w:rsidR="00FB3483">
        <w:rPr>
          <w:i/>
          <w:sz w:val="26"/>
          <w:szCs w:val="26"/>
        </w:rPr>
        <w:t>Id.</w:t>
      </w:r>
      <w:r w:rsidR="00101587">
        <w:rPr>
          <w:sz w:val="26"/>
          <w:szCs w:val="26"/>
        </w:rPr>
        <w:t xml:space="preserve"> at 15-16.</w:t>
      </w:r>
    </w:p>
    <w:p w:rsidR="000A0F04" w:rsidRDefault="000A0F04" w:rsidP="009A4D65">
      <w:pPr>
        <w:pStyle w:val="BodyFirst1SS"/>
        <w:spacing w:line="360" w:lineRule="auto"/>
        <w:ind w:firstLine="1440"/>
        <w:jc w:val="left"/>
        <w:rPr>
          <w:sz w:val="26"/>
          <w:szCs w:val="26"/>
        </w:rPr>
      </w:pPr>
    </w:p>
    <w:p w:rsidR="000A0F04" w:rsidRDefault="000A0F04" w:rsidP="009A4D65">
      <w:pPr>
        <w:pStyle w:val="BodyFirst1SS"/>
        <w:spacing w:line="360" w:lineRule="auto"/>
        <w:ind w:firstLine="1440"/>
        <w:jc w:val="left"/>
        <w:rPr>
          <w:sz w:val="26"/>
          <w:szCs w:val="26"/>
        </w:rPr>
      </w:pPr>
      <w:r>
        <w:rPr>
          <w:sz w:val="26"/>
          <w:szCs w:val="26"/>
        </w:rPr>
        <w:t xml:space="preserve">I&amp;E also disputes HIKO’s contention that it modified its internal practices in ways </w:t>
      </w:r>
      <w:r w:rsidR="00EC68FE">
        <w:rPr>
          <w:sz w:val="26"/>
          <w:szCs w:val="26"/>
        </w:rPr>
        <w:t>not considered</w:t>
      </w:r>
      <w:r>
        <w:rPr>
          <w:sz w:val="26"/>
          <w:szCs w:val="26"/>
        </w:rPr>
        <w:t xml:space="preserve"> by the ALJs.  According to I&amp;E, the </w:t>
      </w:r>
      <w:r w:rsidR="00DE452D">
        <w:rPr>
          <w:sz w:val="26"/>
          <w:szCs w:val="26"/>
        </w:rPr>
        <w:t>internal</w:t>
      </w:r>
      <w:r>
        <w:rPr>
          <w:sz w:val="26"/>
          <w:szCs w:val="26"/>
        </w:rPr>
        <w:t xml:space="preserve"> </w:t>
      </w:r>
      <w:r w:rsidR="00DE452D">
        <w:rPr>
          <w:sz w:val="26"/>
          <w:szCs w:val="26"/>
        </w:rPr>
        <w:t xml:space="preserve">practice </w:t>
      </w:r>
      <w:r>
        <w:rPr>
          <w:sz w:val="26"/>
          <w:szCs w:val="26"/>
        </w:rPr>
        <w:t xml:space="preserve">HIKO </w:t>
      </w:r>
      <w:r w:rsidR="00101587">
        <w:rPr>
          <w:sz w:val="26"/>
          <w:szCs w:val="26"/>
        </w:rPr>
        <w:t>should have focused on fixing was the deliberate overcharging</w:t>
      </w:r>
      <w:r w:rsidR="00DE452D">
        <w:rPr>
          <w:sz w:val="26"/>
          <w:szCs w:val="26"/>
        </w:rPr>
        <w:t xml:space="preserve"> of customers</w:t>
      </w:r>
      <w:r w:rsidR="00101587">
        <w:rPr>
          <w:sz w:val="26"/>
          <w:szCs w:val="26"/>
        </w:rPr>
        <w:t xml:space="preserve">, something HIKO failed to address for four consecutive months.  </w:t>
      </w:r>
      <w:r w:rsidR="00DE452D">
        <w:rPr>
          <w:sz w:val="26"/>
          <w:szCs w:val="26"/>
        </w:rPr>
        <w:t>I&amp;E asserts that t</w:t>
      </w:r>
      <w:r w:rsidR="00101587">
        <w:rPr>
          <w:sz w:val="26"/>
          <w:szCs w:val="26"/>
        </w:rPr>
        <w:t>h</w:t>
      </w:r>
      <w:r w:rsidR="00DE452D">
        <w:rPr>
          <w:sz w:val="26"/>
          <w:szCs w:val="26"/>
        </w:rPr>
        <w:t xml:space="preserve">is </w:t>
      </w:r>
      <w:r w:rsidR="00101587">
        <w:rPr>
          <w:sz w:val="26"/>
          <w:szCs w:val="26"/>
        </w:rPr>
        <w:t>overcharg</w:t>
      </w:r>
      <w:r w:rsidR="00DE452D">
        <w:rPr>
          <w:sz w:val="26"/>
          <w:szCs w:val="26"/>
        </w:rPr>
        <w:t xml:space="preserve">ing, </w:t>
      </w:r>
      <w:r w:rsidR="00DE452D">
        <w:rPr>
          <w:sz w:val="26"/>
          <w:szCs w:val="26"/>
        </w:rPr>
        <w:lastRenderedPageBreak/>
        <w:t xml:space="preserve">coupled with the issuance of </w:t>
      </w:r>
      <w:r w:rsidR="00101587">
        <w:rPr>
          <w:sz w:val="26"/>
          <w:szCs w:val="26"/>
        </w:rPr>
        <w:t>refunds only to customers who complained</w:t>
      </w:r>
      <w:r w:rsidR="00DE452D">
        <w:rPr>
          <w:sz w:val="26"/>
          <w:szCs w:val="26"/>
        </w:rPr>
        <w:t>,</w:t>
      </w:r>
      <w:r w:rsidR="00101587">
        <w:rPr>
          <w:sz w:val="26"/>
          <w:szCs w:val="26"/>
        </w:rPr>
        <w:t xml:space="preserve"> counters HIKO’s assertion that the practices it modified, such as hiring additional customer service employees, warranted any different consideration by the ALJs.  </w:t>
      </w:r>
      <w:r w:rsidR="00101587">
        <w:rPr>
          <w:i/>
          <w:sz w:val="26"/>
          <w:szCs w:val="26"/>
        </w:rPr>
        <w:t>Id.</w:t>
      </w:r>
      <w:r w:rsidR="00101587">
        <w:rPr>
          <w:sz w:val="26"/>
          <w:szCs w:val="26"/>
        </w:rPr>
        <w:t xml:space="preserve"> at 16-17.</w:t>
      </w:r>
    </w:p>
    <w:p w:rsidR="00101587" w:rsidRDefault="00101587" w:rsidP="009A4D65">
      <w:pPr>
        <w:pStyle w:val="BodyFirst1SS"/>
        <w:spacing w:line="360" w:lineRule="auto"/>
        <w:ind w:firstLine="1440"/>
        <w:jc w:val="left"/>
        <w:rPr>
          <w:sz w:val="26"/>
          <w:szCs w:val="26"/>
        </w:rPr>
      </w:pPr>
    </w:p>
    <w:p w:rsidR="00101587" w:rsidRDefault="00101587" w:rsidP="009A4D65">
      <w:pPr>
        <w:pStyle w:val="BodyFirst1SS"/>
        <w:spacing w:line="360" w:lineRule="auto"/>
        <w:ind w:firstLine="1440"/>
        <w:jc w:val="left"/>
        <w:rPr>
          <w:sz w:val="26"/>
          <w:szCs w:val="26"/>
        </w:rPr>
      </w:pPr>
      <w:r>
        <w:rPr>
          <w:sz w:val="26"/>
          <w:szCs w:val="26"/>
        </w:rPr>
        <w:t xml:space="preserve">Responding to HIKO’s explanation </w:t>
      </w:r>
      <w:r w:rsidR="001B73A7">
        <w:rPr>
          <w:sz w:val="26"/>
          <w:szCs w:val="26"/>
        </w:rPr>
        <w:t>to counter</w:t>
      </w:r>
      <w:r>
        <w:rPr>
          <w:sz w:val="26"/>
          <w:szCs w:val="26"/>
        </w:rPr>
        <w:t xml:space="preserve"> the ALJs’ finding that HIKO </w:t>
      </w:r>
      <w:r w:rsidR="00DA4536">
        <w:rPr>
          <w:sz w:val="26"/>
          <w:szCs w:val="26"/>
        </w:rPr>
        <w:t xml:space="preserve">was out of compliance with respect to its required </w:t>
      </w:r>
      <w:r>
        <w:rPr>
          <w:sz w:val="26"/>
          <w:szCs w:val="26"/>
        </w:rPr>
        <w:t xml:space="preserve">surety, I&amp;E </w:t>
      </w:r>
      <w:r w:rsidR="001B73A7">
        <w:rPr>
          <w:sz w:val="26"/>
          <w:szCs w:val="26"/>
        </w:rPr>
        <w:t>emphasizes th</w:t>
      </w:r>
      <w:r w:rsidR="00493B44">
        <w:rPr>
          <w:sz w:val="26"/>
          <w:szCs w:val="26"/>
        </w:rPr>
        <w:t xml:space="preserve">at the Company’s license remained </w:t>
      </w:r>
      <w:r w:rsidR="001B73A7">
        <w:rPr>
          <w:sz w:val="26"/>
          <w:szCs w:val="26"/>
        </w:rPr>
        <w:t xml:space="preserve">“probationary” at the time the violations occurred.  </w:t>
      </w:r>
      <w:r w:rsidR="001B73A7">
        <w:rPr>
          <w:i/>
          <w:sz w:val="26"/>
          <w:szCs w:val="26"/>
        </w:rPr>
        <w:t>Id.</w:t>
      </w:r>
      <w:r w:rsidR="001B73A7">
        <w:rPr>
          <w:sz w:val="26"/>
          <w:szCs w:val="26"/>
        </w:rPr>
        <w:t xml:space="preserve"> at</w:t>
      </w:r>
      <w:r w:rsidR="00EC68FE">
        <w:rPr>
          <w:sz w:val="26"/>
          <w:szCs w:val="26"/>
        </w:rPr>
        <w:t> </w:t>
      </w:r>
      <w:r w:rsidR="001B73A7">
        <w:rPr>
          <w:sz w:val="26"/>
          <w:szCs w:val="26"/>
        </w:rPr>
        <w:t>17.</w:t>
      </w:r>
      <w:r w:rsidR="00EC5E48">
        <w:rPr>
          <w:sz w:val="26"/>
          <w:szCs w:val="26"/>
        </w:rPr>
        <w:t xml:space="preserve">  </w:t>
      </w:r>
      <w:r w:rsidR="00DA4536">
        <w:rPr>
          <w:sz w:val="26"/>
          <w:szCs w:val="26"/>
        </w:rPr>
        <w:t>Further, r</w:t>
      </w:r>
      <w:r w:rsidR="00EC5E48">
        <w:rPr>
          <w:sz w:val="26"/>
          <w:szCs w:val="26"/>
        </w:rPr>
        <w:t>eferring to the February 20, 2015 Secretarial Letter of which the ALJs t</w:t>
      </w:r>
      <w:r w:rsidR="00DA4536">
        <w:rPr>
          <w:sz w:val="26"/>
          <w:szCs w:val="26"/>
        </w:rPr>
        <w:t>ook</w:t>
      </w:r>
      <w:r w:rsidR="00EC5E48">
        <w:rPr>
          <w:sz w:val="26"/>
          <w:szCs w:val="26"/>
        </w:rPr>
        <w:t xml:space="preserve"> judicial notice</w:t>
      </w:r>
      <w:r w:rsidR="00493B44">
        <w:rPr>
          <w:sz w:val="26"/>
          <w:szCs w:val="26"/>
        </w:rPr>
        <w:t>, which</w:t>
      </w:r>
      <w:r w:rsidR="00DA4536">
        <w:rPr>
          <w:sz w:val="26"/>
          <w:szCs w:val="26"/>
        </w:rPr>
        <w:t xml:space="preserve"> indicated </w:t>
      </w:r>
      <w:r w:rsidR="00493B44">
        <w:rPr>
          <w:sz w:val="26"/>
          <w:szCs w:val="26"/>
        </w:rPr>
        <w:t>HIKO had not yet provided evidence of continuation of its surety beyond 2014, I&amp;E contends that HIKO’s assertions that it continually maintained a certification of surety in the minimal amount is not supported by publicly available documents, which</w:t>
      </w:r>
      <w:r w:rsidR="001773ED">
        <w:rPr>
          <w:sz w:val="26"/>
          <w:szCs w:val="26"/>
        </w:rPr>
        <w:t xml:space="preserve"> lack </w:t>
      </w:r>
      <w:r w:rsidR="00493B44">
        <w:rPr>
          <w:sz w:val="26"/>
          <w:szCs w:val="26"/>
        </w:rPr>
        <w:t xml:space="preserve">evidence that </w:t>
      </w:r>
      <w:r w:rsidR="00170075">
        <w:rPr>
          <w:sz w:val="26"/>
          <w:szCs w:val="26"/>
        </w:rPr>
        <w:t xml:space="preserve">a “certificate or other </w:t>
      </w:r>
      <w:r w:rsidR="00493B44">
        <w:rPr>
          <w:sz w:val="26"/>
          <w:szCs w:val="26"/>
        </w:rPr>
        <w:t xml:space="preserve">proof of security was provided </w:t>
      </w:r>
      <w:r w:rsidR="001773ED">
        <w:rPr>
          <w:sz w:val="26"/>
          <w:szCs w:val="26"/>
        </w:rPr>
        <w:t xml:space="preserve">to the Commission </w:t>
      </w:r>
      <w:r w:rsidR="00493B44">
        <w:rPr>
          <w:sz w:val="26"/>
          <w:szCs w:val="26"/>
        </w:rPr>
        <w:t>prior to the expiration of HIKO’s bond on Decembe</w:t>
      </w:r>
      <w:r w:rsidR="001773ED">
        <w:rPr>
          <w:sz w:val="26"/>
          <w:szCs w:val="26"/>
        </w:rPr>
        <w:t>r</w:t>
      </w:r>
      <w:r w:rsidR="00170075">
        <w:rPr>
          <w:sz w:val="26"/>
          <w:szCs w:val="26"/>
        </w:rPr>
        <w:t> 2</w:t>
      </w:r>
      <w:r w:rsidR="001773ED">
        <w:rPr>
          <w:sz w:val="26"/>
          <w:szCs w:val="26"/>
        </w:rPr>
        <w:t>2, 2014.</w:t>
      </w:r>
      <w:r w:rsidR="00170075">
        <w:rPr>
          <w:sz w:val="26"/>
          <w:szCs w:val="26"/>
        </w:rPr>
        <w:t xml:space="preserve">” </w:t>
      </w:r>
      <w:r w:rsidR="00170075">
        <w:rPr>
          <w:i/>
          <w:sz w:val="26"/>
          <w:szCs w:val="26"/>
        </w:rPr>
        <w:t>Id.</w:t>
      </w:r>
      <w:r w:rsidR="00170075">
        <w:rPr>
          <w:sz w:val="26"/>
          <w:szCs w:val="26"/>
        </w:rPr>
        <w:t xml:space="preserve"> at 18.</w:t>
      </w:r>
    </w:p>
    <w:p w:rsidR="00170075" w:rsidRDefault="00170075" w:rsidP="009A4D65">
      <w:pPr>
        <w:pStyle w:val="BodyFirst1SS"/>
        <w:spacing w:line="360" w:lineRule="auto"/>
        <w:ind w:firstLine="1440"/>
        <w:jc w:val="left"/>
        <w:rPr>
          <w:sz w:val="26"/>
          <w:szCs w:val="26"/>
        </w:rPr>
      </w:pPr>
    </w:p>
    <w:p w:rsidR="00170075" w:rsidRDefault="00170075" w:rsidP="009A4D65">
      <w:pPr>
        <w:pStyle w:val="BodyFirst1SS"/>
        <w:spacing w:line="360" w:lineRule="auto"/>
        <w:ind w:firstLine="1440"/>
        <w:jc w:val="left"/>
        <w:rPr>
          <w:sz w:val="26"/>
          <w:szCs w:val="26"/>
        </w:rPr>
      </w:pPr>
      <w:r>
        <w:rPr>
          <w:sz w:val="26"/>
          <w:szCs w:val="26"/>
        </w:rPr>
        <w:t xml:space="preserve">As for HIKO’s contention that the evidence does not support the ALJs’ finding that it is not a small company, I&amp;E </w:t>
      </w:r>
      <w:r w:rsidR="00251D60">
        <w:rPr>
          <w:sz w:val="26"/>
          <w:szCs w:val="26"/>
        </w:rPr>
        <w:t xml:space="preserve">contends that the ALJs’ inference of gross receipts of at least $7.5 million based upon the Commission’s proposed increase in its surety bond to $750,000, is appropriate.  Further, contends I&amp;E, the Company provided no evidence to demonstrate it has a small customer base despite operating in seven states plus Pennsylvania.  </w:t>
      </w:r>
      <w:r w:rsidR="00251D60">
        <w:rPr>
          <w:i/>
          <w:sz w:val="26"/>
          <w:szCs w:val="26"/>
        </w:rPr>
        <w:t>Id.</w:t>
      </w:r>
      <w:r w:rsidR="00251D60">
        <w:rPr>
          <w:sz w:val="26"/>
          <w:szCs w:val="26"/>
        </w:rPr>
        <w:t xml:space="preserve"> at 18-19.</w:t>
      </w:r>
    </w:p>
    <w:p w:rsidR="00251D60" w:rsidRDefault="00251D60" w:rsidP="009A4D65">
      <w:pPr>
        <w:pStyle w:val="BodyFirst1SS"/>
        <w:spacing w:line="360" w:lineRule="auto"/>
        <w:ind w:firstLine="1440"/>
        <w:jc w:val="left"/>
        <w:rPr>
          <w:sz w:val="26"/>
          <w:szCs w:val="26"/>
        </w:rPr>
      </w:pPr>
    </w:p>
    <w:p w:rsidR="00251D60" w:rsidRPr="00251D60" w:rsidRDefault="00251D60" w:rsidP="00BF1AB6">
      <w:pPr>
        <w:pStyle w:val="BodyFirst1SS"/>
        <w:spacing w:line="360" w:lineRule="auto"/>
        <w:ind w:firstLine="1440"/>
        <w:jc w:val="left"/>
        <w:rPr>
          <w:sz w:val="26"/>
          <w:szCs w:val="26"/>
        </w:rPr>
      </w:pPr>
      <w:r>
        <w:rPr>
          <w:sz w:val="26"/>
          <w:szCs w:val="26"/>
        </w:rPr>
        <w:t>Finally, with respect to HIKO’s contention that the ALJs erred by failing to consider settlement agreements achieved in other proceedings for violations during the same time period, I&amp;E replies that those proceedings were amicably resolved by settlement, which are properly not considered precedent in other proceedings.</w:t>
      </w:r>
      <w:r w:rsidR="009703E2">
        <w:rPr>
          <w:rStyle w:val="FootnoteReference"/>
          <w:sz w:val="26"/>
          <w:szCs w:val="26"/>
        </w:rPr>
        <w:footnoteReference w:id="11"/>
      </w:r>
      <w:r>
        <w:rPr>
          <w:sz w:val="26"/>
          <w:szCs w:val="26"/>
        </w:rPr>
        <w:t xml:space="preserve">  Further, none contained “a factual pattern similar to HIKO’s intentional, egregious misconduct” in </w:t>
      </w:r>
      <w:r>
        <w:rPr>
          <w:sz w:val="26"/>
          <w:szCs w:val="26"/>
        </w:rPr>
        <w:lastRenderedPageBreak/>
        <w:t xml:space="preserve">this case, quoting the testimony of its witness Mumford that he was unaware of any case where so many customers were deliberately overcharged.  </w:t>
      </w:r>
      <w:r w:rsidRPr="00251D60">
        <w:rPr>
          <w:i/>
          <w:sz w:val="26"/>
          <w:szCs w:val="26"/>
        </w:rPr>
        <w:t>Id.</w:t>
      </w:r>
      <w:r w:rsidRPr="00251D60">
        <w:rPr>
          <w:sz w:val="26"/>
          <w:szCs w:val="26"/>
        </w:rPr>
        <w:t xml:space="preserve"> at 19</w:t>
      </w:r>
      <w:r w:rsidR="009703E2">
        <w:rPr>
          <w:sz w:val="26"/>
          <w:szCs w:val="26"/>
        </w:rPr>
        <w:t>-20</w:t>
      </w:r>
      <w:r w:rsidRPr="00251D60">
        <w:rPr>
          <w:sz w:val="26"/>
          <w:szCs w:val="26"/>
        </w:rPr>
        <w:t>.</w:t>
      </w:r>
    </w:p>
    <w:p w:rsidR="008E1D92" w:rsidRDefault="008E1D92" w:rsidP="00BF1AB6">
      <w:pPr>
        <w:pStyle w:val="BodyFirst1SS"/>
        <w:spacing w:line="360" w:lineRule="auto"/>
        <w:ind w:firstLine="1440"/>
        <w:jc w:val="left"/>
        <w:rPr>
          <w:sz w:val="26"/>
          <w:szCs w:val="26"/>
        </w:rPr>
      </w:pPr>
    </w:p>
    <w:p w:rsidR="005A54C7" w:rsidRPr="005A54C7" w:rsidRDefault="005A54C7" w:rsidP="00143D6E">
      <w:pPr>
        <w:pStyle w:val="BodyFirst1SS"/>
        <w:spacing w:line="360" w:lineRule="auto"/>
        <w:jc w:val="left"/>
        <w:rPr>
          <w:b/>
          <w:sz w:val="26"/>
          <w:szCs w:val="26"/>
        </w:rPr>
      </w:pPr>
      <w:r w:rsidRPr="005A54C7">
        <w:rPr>
          <w:sz w:val="26"/>
          <w:szCs w:val="26"/>
        </w:rPr>
        <w:tab/>
      </w:r>
      <w:r w:rsidRPr="005A54C7">
        <w:rPr>
          <w:b/>
          <w:sz w:val="26"/>
          <w:szCs w:val="26"/>
        </w:rPr>
        <w:t>b.</w:t>
      </w:r>
      <w:r w:rsidRPr="005A54C7">
        <w:rPr>
          <w:b/>
          <w:sz w:val="26"/>
          <w:szCs w:val="26"/>
        </w:rPr>
        <w:tab/>
        <w:t xml:space="preserve">I&amp;E’s </w:t>
      </w:r>
      <w:r w:rsidR="008C48FE">
        <w:rPr>
          <w:b/>
          <w:sz w:val="26"/>
          <w:szCs w:val="26"/>
        </w:rPr>
        <w:t>Exception and HIKO’s Reply</w:t>
      </w:r>
    </w:p>
    <w:p w:rsidR="000D612B" w:rsidRDefault="000D612B" w:rsidP="00143D6E">
      <w:pPr>
        <w:pStyle w:val="BodyFirst1SS"/>
        <w:spacing w:line="360" w:lineRule="auto"/>
        <w:jc w:val="left"/>
        <w:rPr>
          <w:sz w:val="26"/>
          <w:szCs w:val="26"/>
        </w:rPr>
      </w:pPr>
    </w:p>
    <w:p w:rsidR="000D612B" w:rsidRPr="000D612B" w:rsidRDefault="000D612B" w:rsidP="00143D6E">
      <w:pPr>
        <w:pStyle w:val="BodyFirst1SS"/>
        <w:spacing w:line="360" w:lineRule="auto"/>
        <w:jc w:val="left"/>
        <w:rPr>
          <w:b/>
          <w:sz w:val="26"/>
          <w:szCs w:val="26"/>
        </w:rPr>
      </w:pPr>
      <w:r w:rsidRPr="000D612B">
        <w:rPr>
          <w:sz w:val="26"/>
          <w:szCs w:val="26"/>
        </w:rPr>
        <w:tab/>
      </w:r>
      <w:r w:rsidRPr="000D612B">
        <w:rPr>
          <w:sz w:val="26"/>
          <w:szCs w:val="26"/>
        </w:rPr>
        <w:tab/>
      </w:r>
      <w:r w:rsidRPr="000D612B">
        <w:rPr>
          <w:b/>
          <w:sz w:val="26"/>
          <w:szCs w:val="26"/>
        </w:rPr>
        <w:t>i.</w:t>
      </w:r>
      <w:r w:rsidRPr="000D612B">
        <w:rPr>
          <w:b/>
          <w:sz w:val="26"/>
          <w:szCs w:val="26"/>
        </w:rPr>
        <w:tab/>
      </w:r>
      <w:r>
        <w:rPr>
          <w:b/>
          <w:sz w:val="26"/>
          <w:szCs w:val="26"/>
        </w:rPr>
        <w:t>I&amp;E</w:t>
      </w:r>
      <w:r w:rsidRPr="000D612B">
        <w:rPr>
          <w:b/>
          <w:sz w:val="26"/>
          <w:szCs w:val="26"/>
        </w:rPr>
        <w:t>’s Exception</w:t>
      </w:r>
    </w:p>
    <w:p w:rsidR="005A54C7" w:rsidRDefault="005A54C7" w:rsidP="00143D6E">
      <w:pPr>
        <w:pStyle w:val="BodyFirst1SS"/>
        <w:spacing w:line="360" w:lineRule="auto"/>
        <w:jc w:val="left"/>
        <w:rPr>
          <w:sz w:val="26"/>
          <w:szCs w:val="26"/>
        </w:rPr>
      </w:pPr>
    </w:p>
    <w:p w:rsidR="00831486" w:rsidRDefault="00831486" w:rsidP="00143D6E">
      <w:pPr>
        <w:pStyle w:val="BodyFirst1SS"/>
        <w:spacing w:line="360" w:lineRule="auto"/>
        <w:ind w:firstLine="1440"/>
        <w:jc w:val="left"/>
        <w:rPr>
          <w:sz w:val="26"/>
          <w:szCs w:val="26"/>
        </w:rPr>
      </w:pPr>
      <w:r>
        <w:rPr>
          <w:sz w:val="26"/>
          <w:szCs w:val="26"/>
        </w:rPr>
        <w:t>I&amp;E takes one exception to the ALJs’ Initial Decision.  Contending that the ALJs</w:t>
      </w:r>
      <w:r w:rsidR="00DF50D4">
        <w:rPr>
          <w:sz w:val="26"/>
          <w:szCs w:val="26"/>
        </w:rPr>
        <w:t>’</w:t>
      </w:r>
      <w:r>
        <w:rPr>
          <w:sz w:val="26"/>
          <w:szCs w:val="26"/>
        </w:rPr>
        <w:t xml:space="preserve"> f</w:t>
      </w:r>
      <w:r w:rsidR="00DF50D4">
        <w:rPr>
          <w:sz w:val="26"/>
          <w:szCs w:val="26"/>
        </w:rPr>
        <w:t xml:space="preserve">inding </w:t>
      </w:r>
      <w:r>
        <w:rPr>
          <w:sz w:val="26"/>
          <w:szCs w:val="26"/>
        </w:rPr>
        <w:t xml:space="preserve">that HIKO’s top </w:t>
      </w:r>
      <w:r w:rsidR="00DF50D4">
        <w:rPr>
          <w:sz w:val="26"/>
          <w:szCs w:val="26"/>
        </w:rPr>
        <w:t>m</w:t>
      </w:r>
      <w:r>
        <w:rPr>
          <w:sz w:val="26"/>
          <w:szCs w:val="26"/>
        </w:rPr>
        <w:t>anagement deliberate</w:t>
      </w:r>
      <w:r w:rsidR="00DF50D4">
        <w:rPr>
          <w:sz w:val="26"/>
          <w:szCs w:val="26"/>
        </w:rPr>
        <w:t>ly chose</w:t>
      </w:r>
      <w:r>
        <w:rPr>
          <w:sz w:val="26"/>
          <w:szCs w:val="26"/>
        </w:rPr>
        <w:t xml:space="preserve"> to overcharge customers on 14,689 occasions</w:t>
      </w:r>
      <w:r w:rsidR="00DF50D4">
        <w:rPr>
          <w:sz w:val="26"/>
          <w:szCs w:val="26"/>
        </w:rPr>
        <w:t xml:space="preserve"> warranted a higher penalty</w:t>
      </w:r>
      <w:r>
        <w:rPr>
          <w:sz w:val="26"/>
          <w:szCs w:val="26"/>
        </w:rPr>
        <w:t xml:space="preserve">, </w:t>
      </w:r>
      <w:r w:rsidR="00DF50D4">
        <w:rPr>
          <w:sz w:val="26"/>
          <w:szCs w:val="26"/>
        </w:rPr>
        <w:t xml:space="preserve">I&amp;E argues that </w:t>
      </w:r>
      <w:r>
        <w:rPr>
          <w:sz w:val="26"/>
          <w:szCs w:val="26"/>
        </w:rPr>
        <w:t>the total civil penalty assess</w:t>
      </w:r>
      <w:r w:rsidR="00DF50D4">
        <w:rPr>
          <w:sz w:val="26"/>
          <w:szCs w:val="26"/>
        </w:rPr>
        <w:t>ed</w:t>
      </w:r>
      <w:r>
        <w:rPr>
          <w:sz w:val="26"/>
          <w:szCs w:val="26"/>
        </w:rPr>
        <w:t xml:space="preserve"> should have been </w:t>
      </w:r>
      <w:r w:rsidR="00DF50D4">
        <w:rPr>
          <w:sz w:val="26"/>
          <w:szCs w:val="26"/>
        </w:rPr>
        <w:t xml:space="preserve">closer to </w:t>
      </w:r>
      <w:r>
        <w:rPr>
          <w:sz w:val="26"/>
          <w:szCs w:val="26"/>
        </w:rPr>
        <w:t>the maximum</w:t>
      </w:r>
      <w:r w:rsidR="00DF50D4">
        <w:rPr>
          <w:sz w:val="26"/>
          <w:szCs w:val="26"/>
        </w:rPr>
        <w:t xml:space="preserve"> rather than the $125 per violation, or 12.5% of the maximum, imposed.</w:t>
      </w:r>
    </w:p>
    <w:p w:rsidR="00DF50D4" w:rsidRDefault="00DF50D4" w:rsidP="00143D6E">
      <w:pPr>
        <w:pStyle w:val="BodyFirst1SS"/>
        <w:spacing w:line="360" w:lineRule="auto"/>
        <w:ind w:firstLine="1440"/>
        <w:jc w:val="left"/>
        <w:rPr>
          <w:sz w:val="26"/>
          <w:szCs w:val="26"/>
        </w:rPr>
      </w:pPr>
    </w:p>
    <w:p w:rsidR="00DF50D4" w:rsidRDefault="00DF50D4" w:rsidP="00143D6E">
      <w:pPr>
        <w:pStyle w:val="BodyFirst1SS"/>
        <w:spacing w:line="360" w:lineRule="auto"/>
        <w:ind w:firstLine="1440"/>
        <w:jc w:val="left"/>
        <w:rPr>
          <w:sz w:val="26"/>
          <w:szCs w:val="26"/>
        </w:rPr>
      </w:pPr>
      <w:r>
        <w:rPr>
          <w:sz w:val="26"/>
          <w:szCs w:val="26"/>
        </w:rPr>
        <w:t xml:space="preserve">Summarizing the results of the ALJs’ analysis of factors to be considered under the Commission’s policy statement, I&amp;E contends that </w:t>
      </w:r>
      <w:r w:rsidR="00EC68FE">
        <w:rPr>
          <w:sz w:val="26"/>
          <w:szCs w:val="26"/>
        </w:rPr>
        <w:t>under</w:t>
      </w:r>
      <w:r>
        <w:rPr>
          <w:sz w:val="26"/>
          <w:szCs w:val="26"/>
        </w:rPr>
        <w:t xml:space="preserve"> the majority of these factors the ALJs found that HIKO’s conduct warranted a higher civil penalty.  I&amp;E concludes that if all of the ALJs’ analyses of each individual factors are read together, “HIKO’s misconduct is more deserving of a higher civil penalty, even if the civil penalty is less than the maximum amount per violation.”  I&amp;E Exc. at 11.  I&amp;E faults the ALJs for appearing </w:t>
      </w:r>
      <w:r w:rsidR="000D612B">
        <w:rPr>
          <w:sz w:val="26"/>
          <w:szCs w:val="26"/>
        </w:rPr>
        <w:t xml:space="preserve">in their analysis </w:t>
      </w:r>
      <w:r>
        <w:rPr>
          <w:sz w:val="26"/>
          <w:szCs w:val="26"/>
        </w:rPr>
        <w:t xml:space="preserve">to be affected by two concepts that are outside our policy considerations, first that </w:t>
      </w:r>
      <w:r w:rsidR="000D612B">
        <w:rPr>
          <w:sz w:val="26"/>
          <w:szCs w:val="26"/>
        </w:rPr>
        <w:t xml:space="preserve">their recommended $1.8 million penalty is approximately 25% of HIKO’s 2014 gross receipts, and second that the $1.8 </w:t>
      </w:r>
      <w:r w:rsidR="004A6C2B">
        <w:rPr>
          <w:sz w:val="26"/>
          <w:szCs w:val="26"/>
        </w:rPr>
        <w:t xml:space="preserve">million </w:t>
      </w:r>
      <w:r w:rsidR="000D612B">
        <w:rPr>
          <w:sz w:val="26"/>
          <w:szCs w:val="26"/>
        </w:rPr>
        <w:t xml:space="preserve">aligns closely to the amount of overcharges that HIKO billed.  </w:t>
      </w:r>
      <w:r w:rsidR="000D612B">
        <w:rPr>
          <w:i/>
          <w:sz w:val="26"/>
          <w:szCs w:val="26"/>
        </w:rPr>
        <w:t>Id.</w:t>
      </w:r>
      <w:r w:rsidR="000D612B">
        <w:rPr>
          <w:sz w:val="26"/>
          <w:szCs w:val="26"/>
        </w:rPr>
        <w:t xml:space="preserve">  While facially a large penalty, I&amp;E contends that the ALJs’ recommended penalty is actually conservative when viewed on a per violation basis.  Because of the scope and severity of the violations found, resulting from a “deliberate and intentional decision to overcharge customers,” I&amp;E requests a larger per violation civil penalty.  </w:t>
      </w:r>
      <w:r w:rsidR="000D612B">
        <w:rPr>
          <w:i/>
          <w:sz w:val="26"/>
          <w:szCs w:val="26"/>
        </w:rPr>
        <w:t xml:space="preserve">Id. </w:t>
      </w:r>
      <w:r w:rsidR="000D612B">
        <w:rPr>
          <w:sz w:val="26"/>
          <w:szCs w:val="26"/>
        </w:rPr>
        <w:t>at 12.</w:t>
      </w:r>
    </w:p>
    <w:p w:rsidR="00BF1AB6" w:rsidRDefault="00BF1AB6" w:rsidP="00143D6E">
      <w:pPr>
        <w:pStyle w:val="BodyFirst1SS"/>
        <w:spacing w:line="360" w:lineRule="auto"/>
        <w:ind w:firstLine="1440"/>
        <w:jc w:val="left"/>
        <w:rPr>
          <w:sz w:val="26"/>
          <w:szCs w:val="26"/>
        </w:rPr>
      </w:pPr>
    </w:p>
    <w:p w:rsidR="00BF1AB6" w:rsidRPr="00BF1AB6" w:rsidRDefault="00BF1AB6" w:rsidP="004A6C2B">
      <w:pPr>
        <w:pStyle w:val="BodyFirst1SS"/>
        <w:keepNext/>
        <w:spacing w:line="360" w:lineRule="auto"/>
        <w:ind w:firstLine="1440"/>
        <w:jc w:val="left"/>
        <w:rPr>
          <w:b/>
          <w:sz w:val="26"/>
          <w:szCs w:val="26"/>
        </w:rPr>
      </w:pPr>
      <w:r w:rsidRPr="00BF1AB6">
        <w:rPr>
          <w:sz w:val="26"/>
          <w:szCs w:val="26"/>
        </w:rPr>
        <w:lastRenderedPageBreak/>
        <w:tab/>
      </w:r>
      <w:r w:rsidRPr="00BF1AB6">
        <w:rPr>
          <w:b/>
          <w:sz w:val="26"/>
          <w:szCs w:val="26"/>
        </w:rPr>
        <w:t>i</w:t>
      </w:r>
      <w:r>
        <w:rPr>
          <w:b/>
          <w:sz w:val="26"/>
          <w:szCs w:val="26"/>
        </w:rPr>
        <w:t>i</w:t>
      </w:r>
      <w:r w:rsidRPr="00BF1AB6">
        <w:rPr>
          <w:b/>
          <w:sz w:val="26"/>
          <w:szCs w:val="26"/>
        </w:rPr>
        <w:t>.</w:t>
      </w:r>
      <w:r w:rsidRPr="00BF1AB6">
        <w:rPr>
          <w:b/>
          <w:sz w:val="26"/>
          <w:szCs w:val="26"/>
        </w:rPr>
        <w:tab/>
        <w:t xml:space="preserve">HIKO’s </w:t>
      </w:r>
      <w:r>
        <w:rPr>
          <w:b/>
          <w:sz w:val="26"/>
          <w:szCs w:val="26"/>
        </w:rPr>
        <w:t>Reply</w:t>
      </w:r>
    </w:p>
    <w:p w:rsidR="00BF1AB6" w:rsidRPr="000D612B" w:rsidRDefault="00BF1AB6" w:rsidP="004A6C2B">
      <w:pPr>
        <w:pStyle w:val="BodyFirst1SS"/>
        <w:keepNext/>
        <w:spacing w:line="360" w:lineRule="auto"/>
        <w:ind w:firstLine="1440"/>
        <w:jc w:val="left"/>
        <w:rPr>
          <w:sz w:val="26"/>
          <w:szCs w:val="26"/>
        </w:rPr>
      </w:pPr>
    </w:p>
    <w:p w:rsidR="004A35F1" w:rsidRDefault="00BF1AB6" w:rsidP="00143D6E">
      <w:pPr>
        <w:pStyle w:val="BodyFirst1SS"/>
        <w:spacing w:line="360" w:lineRule="auto"/>
        <w:ind w:firstLine="1440"/>
        <w:jc w:val="left"/>
        <w:rPr>
          <w:sz w:val="26"/>
          <w:szCs w:val="26"/>
        </w:rPr>
      </w:pPr>
      <w:r>
        <w:rPr>
          <w:sz w:val="26"/>
          <w:szCs w:val="26"/>
        </w:rPr>
        <w:t xml:space="preserve">HIKO responds that the fact that the ALJs found that consideration of certain factors supported the imposition of a higher penalty does not mean that the maximum of $1,000 per violation or anything close to that level is warranted.  Claiming that I&amp;E acknowledged that a penalty should fall somewhere in the range of $0 to $1,000, HIKO contends that “a ‘higher penalty’ can only be considered in relation to what the ALJs consider a low civil penalty given the ‘facts and circumstances’ of the case[.]”  HIKO R. Exc. at 4.  HIKO faults I&amp;E for criticizing the ALJs’ imposition of the $1.8 million penalty </w:t>
      </w:r>
      <w:r w:rsidR="004A35F1">
        <w:rPr>
          <w:sz w:val="26"/>
          <w:szCs w:val="26"/>
        </w:rPr>
        <w:t xml:space="preserve">and seeking a higher number </w:t>
      </w:r>
      <w:r>
        <w:rPr>
          <w:sz w:val="26"/>
          <w:szCs w:val="26"/>
        </w:rPr>
        <w:t xml:space="preserve">without suggesting what other </w:t>
      </w:r>
      <w:r w:rsidR="004A35F1">
        <w:rPr>
          <w:sz w:val="26"/>
          <w:szCs w:val="26"/>
        </w:rPr>
        <w:t>level of penalty,</w:t>
      </w:r>
      <w:r>
        <w:rPr>
          <w:sz w:val="26"/>
          <w:szCs w:val="26"/>
        </w:rPr>
        <w:t xml:space="preserve"> other than its originally-asserted $1,000 per violation</w:t>
      </w:r>
      <w:r w:rsidR="004A35F1">
        <w:rPr>
          <w:sz w:val="26"/>
          <w:szCs w:val="26"/>
        </w:rPr>
        <w:t>,</w:t>
      </w:r>
      <w:r>
        <w:rPr>
          <w:sz w:val="26"/>
          <w:szCs w:val="26"/>
        </w:rPr>
        <w:t xml:space="preserve"> would be appropriate.  </w:t>
      </w:r>
      <w:r w:rsidR="004A35F1">
        <w:rPr>
          <w:sz w:val="26"/>
          <w:szCs w:val="26"/>
        </w:rPr>
        <w:t xml:space="preserve">HIKO also repeats the challenge it made to I&amp;E’s evidence in its Exceptions, claiming I&amp;E “offered no documentary evidence other than HIKO’s own customer records” to support the alleged violations.  </w:t>
      </w:r>
      <w:r w:rsidR="004A35F1">
        <w:rPr>
          <w:i/>
          <w:sz w:val="26"/>
          <w:szCs w:val="26"/>
        </w:rPr>
        <w:t>Id.</w:t>
      </w:r>
      <w:r w:rsidR="004A35F1">
        <w:rPr>
          <w:sz w:val="26"/>
          <w:szCs w:val="26"/>
        </w:rPr>
        <w:t xml:space="preserve"> at 5.</w:t>
      </w:r>
    </w:p>
    <w:p w:rsidR="004A35F1" w:rsidRDefault="004A35F1" w:rsidP="00143D6E">
      <w:pPr>
        <w:pStyle w:val="BodyFirst1SS"/>
        <w:spacing w:line="360" w:lineRule="auto"/>
        <w:ind w:firstLine="1440"/>
        <w:jc w:val="left"/>
        <w:rPr>
          <w:sz w:val="26"/>
          <w:szCs w:val="26"/>
        </w:rPr>
      </w:pPr>
    </w:p>
    <w:p w:rsidR="00831486" w:rsidRDefault="004A35F1" w:rsidP="00143D6E">
      <w:pPr>
        <w:pStyle w:val="BodyFirst1SS"/>
        <w:spacing w:line="360" w:lineRule="auto"/>
        <w:ind w:firstLine="1440"/>
        <w:jc w:val="left"/>
        <w:rPr>
          <w:sz w:val="26"/>
          <w:szCs w:val="26"/>
        </w:rPr>
      </w:pPr>
      <w:r>
        <w:rPr>
          <w:sz w:val="26"/>
          <w:szCs w:val="26"/>
        </w:rPr>
        <w:t xml:space="preserve">HIKO levels against I&amp;E the same criticism it made of the ALJs’ decision, </w:t>
      </w:r>
      <w:r w:rsidR="00143D6E">
        <w:rPr>
          <w:sz w:val="26"/>
          <w:szCs w:val="26"/>
        </w:rPr>
        <w:t xml:space="preserve">namely </w:t>
      </w:r>
      <w:r>
        <w:rPr>
          <w:sz w:val="26"/>
          <w:szCs w:val="26"/>
        </w:rPr>
        <w:t xml:space="preserve">that both parties failed to consider the “facts and circumstances” of this case, including the unforeseen weather and wholesale price spikes, the significant number of customers whose overcharge was less than $100, and the terms contained in </w:t>
      </w:r>
      <w:r>
        <w:rPr>
          <w:i/>
          <w:sz w:val="26"/>
          <w:szCs w:val="26"/>
        </w:rPr>
        <w:t xml:space="preserve">OAG/OCA-HIKO </w:t>
      </w:r>
      <w:r w:rsidRPr="004A35F1">
        <w:rPr>
          <w:i/>
          <w:sz w:val="26"/>
          <w:szCs w:val="26"/>
        </w:rPr>
        <w:t>Settlement</w:t>
      </w:r>
      <w:r>
        <w:rPr>
          <w:sz w:val="26"/>
          <w:szCs w:val="26"/>
        </w:rPr>
        <w:t xml:space="preserve">.  </w:t>
      </w:r>
      <w:r w:rsidR="00143D6E">
        <w:rPr>
          <w:sz w:val="26"/>
          <w:szCs w:val="26"/>
        </w:rPr>
        <w:t xml:space="preserve">On that last point, HIKO asserts that its settlement with the </w:t>
      </w:r>
      <w:r w:rsidR="0042067D">
        <w:rPr>
          <w:sz w:val="26"/>
          <w:szCs w:val="26"/>
        </w:rPr>
        <w:t>OAG/O</w:t>
      </w:r>
      <w:r w:rsidR="004A6C2B">
        <w:rPr>
          <w:sz w:val="26"/>
          <w:szCs w:val="26"/>
        </w:rPr>
        <w:t>C</w:t>
      </w:r>
      <w:r w:rsidR="0042067D">
        <w:rPr>
          <w:sz w:val="26"/>
          <w:szCs w:val="26"/>
        </w:rPr>
        <w:t>A</w:t>
      </w:r>
      <w:r w:rsidR="00143D6E">
        <w:rPr>
          <w:sz w:val="26"/>
          <w:szCs w:val="26"/>
        </w:rPr>
        <w:t xml:space="preserve"> impose</w:t>
      </w:r>
      <w:r w:rsidR="0042067D">
        <w:rPr>
          <w:sz w:val="26"/>
          <w:szCs w:val="26"/>
        </w:rPr>
        <w:t>s</w:t>
      </w:r>
      <w:r w:rsidR="00143D6E">
        <w:rPr>
          <w:sz w:val="26"/>
          <w:szCs w:val="26"/>
        </w:rPr>
        <w:t xml:space="preserve"> significant restrictions on HIKO’s marketing and business practices and provide</w:t>
      </w:r>
      <w:r w:rsidR="0042067D">
        <w:rPr>
          <w:sz w:val="26"/>
          <w:szCs w:val="26"/>
        </w:rPr>
        <w:t>s</w:t>
      </w:r>
      <w:r w:rsidR="00143D6E">
        <w:rPr>
          <w:sz w:val="26"/>
          <w:szCs w:val="26"/>
        </w:rPr>
        <w:t xml:space="preserve"> full restitution to all affected customers, and </w:t>
      </w:r>
      <w:r w:rsidR="0042067D">
        <w:rPr>
          <w:sz w:val="26"/>
          <w:szCs w:val="26"/>
        </w:rPr>
        <w:t xml:space="preserve">that the ALJs should have afforded greater consideration to </w:t>
      </w:r>
      <w:r w:rsidR="00143D6E">
        <w:rPr>
          <w:sz w:val="26"/>
          <w:szCs w:val="26"/>
        </w:rPr>
        <w:t>th</w:t>
      </w:r>
      <w:r w:rsidR="0042067D">
        <w:rPr>
          <w:sz w:val="26"/>
          <w:szCs w:val="26"/>
        </w:rPr>
        <w:t>at</w:t>
      </w:r>
      <w:r w:rsidR="00143D6E">
        <w:rPr>
          <w:sz w:val="26"/>
          <w:szCs w:val="26"/>
        </w:rPr>
        <w:t xml:space="preserve"> settlement </w:t>
      </w:r>
      <w:r w:rsidR="0042067D">
        <w:rPr>
          <w:sz w:val="26"/>
          <w:szCs w:val="26"/>
        </w:rPr>
        <w:t xml:space="preserve">in deriving a civil penalty </w:t>
      </w:r>
      <w:r w:rsidR="00143D6E">
        <w:rPr>
          <w:sz w:val="26"/>
          <w:szCs w:val="26"/>
        </w:rPr>
        <w:t xml:space="preserve">in this proceeding.  As HIKO states, “I&amp;E did not at the hearing (and does not now) offer any compelling justification for why – in view of these mitigating circumstances – a multi-million dollar civil penalty is nevertheless needed to deter HIKO from committing future violations.”  </w:t>
      </w:r>
      <w:r w:rsidR="00143D6E">
        <w:rPr>
          <w:i/>
          <w:sz w:val="26"/>
          <w:szCs w:val="26"/>
        </w:rPr>
        <w:t>Id.</w:t>
      </w:r>
      <w:r w:rsidR="00143D6E">
        <w:rPr>
          <w:sz w:val="26"/>
          <w:szCs w:val="26"/>
        </w:rPr>
        <w:t xml:space="preserve"> at 6.</w:t>
      </w:r>
    </w:p>
    <w:p w:rsidR="00143D6E" w:rsidRDefault="00143D6E" w:rsidP="00143D6E">
      <w:pPr>
        <w:pStyle w:val="BodyFirst1SS"/>
        <w:spacing w:line="360" w:lineRule="auto"/>
        <w:ind w:firstLine="1440"/>
        <w:jc w:val="left"/>
        <w:rPr>
          <w:sz w:val="26"/>
          <w:szCs w:val="26"/>
        </w:rPr>
      </w:pPr>
    </w:p>
    <w:p w:rsidR="00143D6E" w:rsidRDefault="00143D6E" w:rsidP="00143D6E">
      <w:pPr>
        <w:pStyle w:val="BodyFirst1SS"/>
        <w:spacing w:line="360" w:lineRule="auto"/>
        <w:ind w:firstLine="1440"/>
        <w:jc w:val="left"/>
        <w:rPr>
          <w:sz w:val="26"/>
          <w:szCs w:val="26"/>
        </w:rPr>
      </w:pPr>
      <w:r>
        <w:rPr>
          <w:sz w:val="26"/>
          <w:szCs w:val="26"/>
        </w:rPr>
        <w:lastRenderedPageBreak/>
        <w:t xml:space="preserve">The remainder of HIKO’s reply </w:t>
      </w:r>
      <w:r w:rsidR="00B036F1">
        <w:rPr>
          <w:sz w:val="26"/>
          <w:szCs w:val="26"/>
        </w:rPr>
        <w:t>e</w:t>
      </w:r>
      <w:r>
        <w:rPr>
          <w:sz w:val="26"/>
          <w:szCs w:val="26"/>
        </w:rPr>
        <w:t xml:space="preserve">ssentially reargues the points HIKO made in its own Exceptions, including criticism of the ALJs’ finding that customers experienced financial hardship because of the overcharges, that HIKO is not a small company, that prior decisions imposed a lower penalty for similar or more egregious conduct, </w:t>
      </w:r>
      <w:r w:rsidR="00F84831">
        <w:rPr>
          <w:sz w:val="26"/>
          <w:szCs w:val="26"/>
        </w:rPr>
        <w:t>that HIKO modified its internal procedures in more ways tha</w:t>
      </w:r>
      <w:r w:rsidR="004A6C2B">
        <w:rPr>
          <w:sz w:val="26"/>
          <w:szCs w:val="26"/>
        </w:rPr>
        <w:t>n</w:t>
      </w:r>
      <w:r w:rsidR="00F84831">
        <w:rPr>
          <w:sz w:val="26"/>
          <w:szCs w:val="26"/>
        </w:rPr>
        <w:t xml:space="preserve"> the ALJs or I&amp;E acknowledge, and that both the ALJs and I&amp;E mischaracterize HIKO’s compliance history because HIKO at all times had surety in place.  </w:t>
      </w:r>
      <w:r w:rsidR="00F84831">
        <w:rPr>
          <w:i/>
          <w:sz w:val="26"/>
          <w:szCs w:val="26"/>
        </w:rPr>
        <w:t>Id.</w:t>
      </w:r>
      <w:r w:rsidR="00F84831">
        <w:rPr>
          <w:sz w:val="26"/>
          <w:szCs w:val="26"/>
        </w:rPr>
        <w:t xml:space="preserve"> at 6-15.</w:t>
      </w:r>
    </w:p>
    <w:p w:rsidR="00417BB7" w:rsidRDefault="00417BB7" w:rsidP="00143D6E">
      <w:pPr>
        <w:pStyle w:val="BodyFirst1SS"/>
        <w:spacing w:line="360" w:lineRule="auto"/>
        <w:ind w:firstLine="1440"/>
        <w:jc w:val="left"/>
        <w:rPr>
          <w:sz w:val="26"/>
          <w:szCs w:val="26"/>
        </w:rPr>
      </w:pPr>
    </w:p>
    <w:p w:rsidR="00417BB7" w:rsidRPr="00417BB7" w:rsidRDefault="00417BB7" w:rsidP="00143D6E">
      <w:pPr>
        <w:pStyle w:val="BodyFirst1SS"/>
        <w:spacing w:line="360" w:lineRule="auto"/>
        <w:ind w:firstLine="1440"/>
        <w:jc w:val="left"/>
        <w:rPr>
          <w:sz w:val="26"/>
          <w:szCs w:val="26"/>
        </w:rPr>
      </w:pPr>
      <w:r>
        <w:rPr>
          <w:sz w:val="26"/>
          <w:szCs w:val="26"/>
        </w:rPr>
        <w:t xml:space="preserve">HIKO concludes that I&amp;E’s request for a higher civil penalty would not serve the public interest or public policy.  Even without an “enormous” civil penalty, HIKO </w:t>
      </w:r>
      <w:r w:rsidR="0042067D">
        <w:rPr>
          <w:sz w:val="26"/>
          <w:szCs w:val="26"/>
        </w:rPr>
        <w:t xml:space="preserve">claims that it </w:t>
      </w:r>
      <w:r>
        <w:rPr>
          <w:sz w:val="26"/>
          <w:szCs w:val="26"/>
        </w:rPr>
        <w:t>is already working with other Pennsylvania regulators</w:t>
      </w:r>
      <w:r w:rsidR="00B036F1">
        <w:rPr>
          <w:sz w:val="26"/>
          <w:szCs w:val="26"/>
        </w:rPr>
        <w:t>,</w:t>
      </w:r>
      <w:r>
        <w:rPr>
          <w:sz w:val="26"/>
          <w:szCs w:val="26"/>
        </w:rPr>
        <w:t xml:space="preserve"> and a “grossly excessive civil penalty” would be punitive.</w:t>
      </w:r>
      <w:r>
        <w:rPr>
          <w:rStyle w:val="FootnoteReference"/>
          <w:sz w:val="26"/>
          <w:szCs w:val="26"/>
        </w:rPr>
        <w:footnoteReference w:id="12"/>
      </w:r>
      <w:r>
        <w:rPr>
          <w:sz w:val="26"/>
          <w:szCs w:val="26"/>
        </w:rPr>
        <w:t xml:space="preserve">  </w:t>
      </w:r>
      <w:r>
        <w:rPr>
          <w:i/>
          <w:sz w:val="26"/>
          <w:szCs w:val="26"/>
        </w:rPr>
        <w:t>Id.</w:t>
      </w:r>
      <w:r>
        <w:rPr>
          <w:sz w:val="26"/>
          <w:szCs w:val="26"/>
        </w:rPr>
        <w:t xml:space="preserve"> at 16-17.</w:t>
      </w:r>
    </w:p>
    <w:p w:rsidR="005322B3" w:rsidRPr="005322B3" w:rsidRDefault="005322B3" w:rsidP="00143D6E">
      <w:pPr>
        <w:pStyle w:val="BodyFirst1SS"/>
        <w:spacing w:line="360" w:lineRule="auto"/>
        <w:jc w:val="left"/>
        <w:rPr>
          <w:sz w:val="26"/>
          <w:szCs w:val="26"/>
        </w:rPr>
      </w:pPr>
    </w:p>
    <w:p w:rsidR="005A54C7" w:rsidRPr="005A54C7" w:rsidRDefault="005A54C7" w:rsidP="0042067D">
      <w:pPr>
        <w:pStyle w:val="BodyFirst1SS"/>
        <w:keepNext/>
        <w:spacing w:line="360" w:lineRule="auto"/>
        <w:jc w:val="left"/>
        <w:rPr>
          <w:b/>
          <w:sz w:val="26"/>
          <w:szCs w:val="26"/>
        </w:rPr>
      </w:pPr>
      <w:r w:rsidRPr="005A54C7">
        <w:rPr>
          <w:sz w:val="26"/>
          <w:szCs w:val="26"/>
        </w:rPr>
        <w:tab/>
      </w:r>
      <w:r w:rsidRPr="005A54C7">
        <w:rPr>
          <w:b/>
          <w:sz w:val="26"/>
          <w:szCs w:val="26"/>
        </w:rPr>
        <w:t>c.</w:t>
      </w:r>
      <w:r w:rsidRPr="005A54C7">
        <w:rPr>
          <w:b/>
          <w:sz w:val="26"/>
          <w:szCs w:val="26"/>
        </w:rPr>
        <w:tab/>
        <w:t>Disposition</w:t>
      </w:r>
    </w:p>
    <w:p w:rsidR="00EF4A77" w:rsidRDefault="005A54C7" w:rsidP="0042067D">
      <w:pPr>
        <w:pStyle w:val="BodyFirst1SS"/>
        <w:keepNext/>
        <w:spacing w:line="360" w:lineRule="auto"/>
        <w:jc w:val="left"/>
        <w:rPr>
          <w:sz w:val="26"/>
          <w:szCs w:val="26"/>
        </w:rPr>
      </w:pPr>
      <w:r w:rsidRPr="005A54C7">
        <w:rPr>
          <w:sz w:val="26"/>
          <w:szCs w:val="26"/>
        </w:rPr>
        <w:tab/>
      </w:r>
    </w:p>
    <w:p w:rsidR="00B036F1" w:rsidRDefault="00F374DF" w:rsidP="00BF1AB6">
      <w:pPr>
        <w:pStyle w:val="BodyFirst1SS"/>
        <w:spacing w:line="360" w:lineRule="auto"/>
        <w:jc w:val="left"/>
        <w:rPr>
          <w:sz w:val="26"/>
          <w:szCs w:val="26"/>
        </w:rPr>
      </w:pPr>
      <w:r>
        <w:rPr>
          <w:sz w:val="26"/>
          <w:szCs w:val="26"/>
        </w:rPr>
        <w:tab/>
        <w:t xml:space="preserve">We reject both HIKO’s and I&amp;E’s Exceptions on the issue of the appropriate </w:t>
      </w:r>
      <w:r w:rsidR="0042067D">
        <w:rPr>
          <w:sz w:val="26"/>
          <w:szCs w:val="26"/>
        </w:rPr>
        <w:t>level</w:t>
      </w:r>
      <w:r w:rsidR="009703E2">
        <w:rPr>
          <w:sz w:val="26"/>
          <w:szCs w:val="26"/>
        </w:rPr>
        <w:t xml:space="preserve"> of the </w:t>
      </w:r>
      <w:r>
        <w:rPr>
          <w:sz w:val="26"/>
          <w:szCs w:val="26"/>
        </w:rPr>
        <w:t>civil penalty</w:t>
      </w:r>
      <w:r w:rsidR="0042067D">
        <w:rPr>
          <w:sz w:val="26"/>
          <w:szCs w:val="26"/>
        </w:rPr>
        <w:t>.  F</w:t>
      </w:r>
      <w:r w:rsidR="00B036F1">
        <w:rPr>
          <w:sz w:val="26"/>
          <w:szCs w:val="26"/>
        </w:rPr>
        <w:t xml:space="preserve">inding the ALJs’ </w:t>
      </w:r>
      <w:r w:rsidR="0042067D">
        <w:rPr>
          <w:sz w:val="26"/>
          <w:szCs w:val="26"/>
        </w:rPr>
        <w:t>analysis</w:t>
      </w:r>
      <w:r w:rsidR="00B036F1">
        <w:rPr>
          <w:sz w:val="26"/>
          <w:szCs w:val="26"/>
        </w:rPr>
        <w:t xml:space="preserve"> amply supports the imposition of a civil penalty of $1,836,125, </w:t>
      </w:r>
      <w:r w:rsidR="0042067D">
        <w:rPr>
          <w:sz w:val="26"/>
          <w:szCs w:val="26"/>
        </w:rPr>
        <w:t xml:space="preserve">we </w:t>
      </w:r>
      <w:r>
        <w:rPr>
          <w:sz w:val="26"/>
          <w:szCs w:val="26"/>
        </w:rPr>
        <w:t xml:space="preserve">adopt the ALJs’ recommendation.  </w:t>
      </w:r>
      <w:r w:rsidR="009703E2">
        <w:rPr>
          <w:sz w:val="26"/>
          <w:szCs w:val="26"/>
        </w:rPr>
        <w:t xml:space="preserve">While we disagree with </w:t>
      </w:r>
      <w:r w:rsidR="00B036F1">
        <w:rPr>
          <w:sz w:val="26"/>
          <w:szCs w:val="26"/>
        </w:rPr>
        <w:t>a few individual piece-</w:t>
      </w:r>
      <w:r w:rsidR="009703E2">
        <w:rPr>
          <w:sz w:val="26"/>
          <w:szCs w:val="26"/>
        </w:rPr>
        <w:t>parts of the ALJs’ supporting analysis of factors to consider when arriving at an appropriate civil penalty under our policy statement at 52 Pa. Code § 69.1201, none of those areas of disagreement, as discussed below, rise</w:t>
      </w:r>
      <w:r w:rsidR="0042067D">
        <w:rPr>
          <w:sz w:val="26"/>
          <w:szCs w:val="26"/>
        </w:rPr>
        <w:t>s</w:t>
      </w:r>
      <w:r w:rsidR="009703E2">
        <w:rPr>
          <w:sz w:val="26"/>
          <w:szCs w:val="26"/>
        </w:rPr>
        <w:t xml:space="preserve"> to such a level as to persuade us that </w:t>
      </w:r>
      <w:r w:rsidR="00B036F1">
        <w:rPr>
          <w:sz w:val="26"/>
          <w:szCs w:val="26"/>
        </w:rPr>
        <w:t>the proposed ci</w:t>
      </w:r>
      <w:r w:rsidR="009703E2">
        <w:rPr>
          <w:sz w:val="26"/>
          <w:szCs w:val="26"/>
        </w:rPr>
        <w:t xml:space="preserve">vil penalty is </w:t>
      </w:r>
      <w:r w:rsidR="0042067D">
        <w:rPr>
          <w:sz w:val="26"/>
          <w:szCs w:val="26"/>
        </w:rPr>
        <w:t>in</w:t>
      </w:r>
      <w:r w:rsidR="009703E2">
        <w:rPr>
          <w:sz w:val="26"/>
          <w:szCs w:val="26"/>
        </w:rPr>
        <w:t>appropriate</w:t>
      </w:r>
      <w:r w:rsidR="00FF0458">
        <w:rPr>
          <w:sz w:val="26"/>
          <w:szCs w:val="26"/>
        </w:rPr>
        <w:t xml:space="preserve"> or </w:t>
      </w:r>
      <w:r w:rsidR="0042067D">
        <w:rPr>
          <w:sz w:val="26"/>
          <w:szCs w:val="26"/>
        </w:rPr>
        <w:t>un</w:t>
      </w:r>
      <w:r w:rsidR="00FF0458">
        <w:rPr>
          <w:sz w:val="26"/>
          <w:szCs w:val="26"/>
        </w:rPr>
        <w:t>supported</w:t>
      </w:r>
      <w:r w:rsidR="009703E2">
        <w:rPr>
          <w:sz w:val="26"/>
          <w:szCs w:val="26"/>
        </w:rPr>
        <w:t xml:space="preserve">.  Rather, we conclude, based upon our review of the totality of the evidence </w:t>
      </w:r>
      <w:r w:rsidR="009703E2">
        <w:rPr>
          <w:sz w:val="26"/>
          <w:szCs w:val="26"/>
        </w:rPr>
        <w:lastRenderedPageBreak/>
        <w:t xml:space="preserve">analyzed under that policy statement, that </w:t>
      </w:r>
      <w:r w:rsidR="00B036F1">
        <w:rPr>
          <w:sz w:val="26"/>
          <w:szCs w:val="26"/>
        </w:rPr>
        <w:t>the recommended penalty is appropriate</w:t>
      </w:r>
      <w:r w:rsidR="00FF0458">
        <w:rPr>
          <w:sz w:val="26"/>
          <w:szCs w:val="26"/>
        </w:rPr>
        <w:t xml:space="preserve"> and supported by the record</w:t>
      </w:r>
      <w:r w:rsidR="00B036F1">
        <w:rPr>
          <w:sz w:val="26"/>
          <w:szCs w:val="26"/>
        </w:rPr>
        <w:t>.</w:t>
      </w:r>
    </w:p>
    <w:p w:rsidR="00B036F1" w:rsidRDefault="00B036F1" w:rsidP="00BF1AB6">
      <w:pPr>
        <w:pStyle w:val="BodyFirst1SS"/>
        <w:spacing w:line="360" w:lineRule="auto"/>
        <w:jc w:val="left"/>
        <w:rPr>
          <w:sz w:val="26"/>
          <w:szCs w:val="26"/>
        </w:rPr>
      </w:pPr>
    </w:p>
    <w:p w:rsidR="00F374DF" w:rsidRDefault="00B036F1" w:rsidP="00B036F1">
      <w:pPr>
        <w:pStyle w:val="BodyFirst1SS"/>
        <w:spacing w:line="360" w:lineRule="auto"/>
        <w:ind w:firstLine="1440"/>
        <w:jc w:val="left"/>
        <w:rPr>
          <w:sz w:val="26"/>
          <w:szCs w:val="26"/>
        </w:rPr>
      </w:pPr>
      <w:r>
        <w:rPr>
          <w:sz w:val="26"/>
          <w:szCs w:val="26"/>
        </w:rPr>
        <w:t xml:space="preserve">We agree with I&amp;E that </w:t>
      </w:r>
      <w:r w:rsidR="009703E2">
        <w:rPr>
          <w:sz w:val="26"/>
          <w:szCs w:val="26"/>
        </w:rPr>
        <w:t>HIKO knowing</w:t>
      </w:r>
      <w:r>
        <w:rPr>
          <w:sz w:val="26"/>
          <w:szCs w:val="26"/>
        </w:rPr>
        <w:t>ly</w:t>
      </w:r>
      <w:r w:rsidR="009703E2">
        <w:rPr>
          <w:sz w:val="26"/>
          <w:szCs w:val="26"/>
        </w:rPr>
        <w:t xml:space="preserve"> and deliberate</w:t>
      </w:r>
      <w:r>
        <w:rPr>
          <w:sz w:val="26"/>
          <w:szCs w:val="26"/>
        </w:rPr>
        <w:t xml:space="preserve">ly chose to </w:t>
      </w:r>
      <w:r w:rsidR="009703E2">
        <w:rPr>
          <w:sz w:val="26"/>
          <w:szCs w:val="26"/>
        </w:rPr>
        <w:t xml:space="preserve">dishonor its promised </w:t>
      </w:r>
      <w:r w:rsidR="00006024">
        <w:rPr>
          <w:sz w:val="26"/>
          <w:szCs w:val="26"/>
        </w:rPr>
        <w:t xml:space="preserve">and contracted-for </w:t>
      </w:r>
      <w:r w:rsidR="009703E2">
        <w:rPr>
          <w:sz w:val="26"/>
          <w:szCs w:val="26"/>
        </w:rPr>
        <w:t>savings of 1% to 7% on 14,689 occasions to 5,708 customers, in direct violation of Section 54.4(a) of our Regulations</w:t>
      </w:r>
      <w:r>
        <w:rPr>
          <w:sz w:val="26"/>
          <w:szCs w:val="26"/>
        </w:rPr>
        <w:t xml:space="preserve">.  We find that in so doing, HIKO </w:t>
      </w:r>
      <w:r w:rsidR="009703E2">
        <w:rPr>
          <w:sz w:val="26"/>
          <w:szCs w:val="26"/>
        </w:rPr>
        <w:t xml:space="preserve">effectively </w:t>
      </w:r>
      <w:r>
        <w:rPr>
          <w:sz w:val="26"/>
          <w:szCs w:val="26"/>
        </w:rPr>
        <w:t xml:space="preserve">treated </w:t>
      </w:r>
      <w:r w:rsidR="009703E2">
        <w:rPr>
          <w:sz w:val="26"/>
          <w:szCs w:val="26"/>
        </w:rPr>
        <w:t xml:space="preserve">its </w:t>
      </w:r>
      <w:r>
        <w:rPr>
          <w:sz w:val="26"/>
          <w:szCs w:val="26"/>
        </w:rPr>
        <w:t xml:space="preserve">own </w:t>
      </w:r>
      <w:r w:rsidR="009703E2">
        <w:rPr>
          <w:sz w:val="26"/>
          <w:szCs w:val="26"/>
        </w:rPr>
        <w:t xml:space="preserve">customers </w:t>
      </w:r>
      <w:r>
        <w:rPr>
          <w:sz w:val="26"/>
          <w:szCs w:val="26"/>
        </w:rPr>
        <w:t xml:space="preserve">as </w:t>
      </w:r>
      <w:r w:rsidR="009703E2">
        <w:rPr>
          <w:sz w:val="26"/>
          <w:szCs w:val="26"/>
        </w:rPr>
        <w:t>the financial guarantor</w:t>
      </w:r>
      <w:r>
        <w:rPr>
          <w:sz w:val="26"/>
          <w:szCs w:val="26"/>
        </w:rPr>
        <w:t>s</w:t>
      </w:r>
      <w:r w:rsidR="009703E2">
        <w:rPr>
          <w:sz w:val="26"/>
          <w:szCs w:val="26"/>
        </w:rPr>
        <w:t xml:space="preserve"> </w:t>
      </w:r>
      <w:r>
        <w:rPr>
          <w:sz w:val="26"/>
          <w:szCs w:val="26"/>
        </w:rPr>
        <w:t>of</w:t>
      </w:r>
      <w:r w:rsidR="009703E2">
        <w:rPr>
          <w:sz w:val="26"/>
          <w:szCs w:val="26"/>
        </w:rPr>
        <w:t xml:space="preserve"> its own business plan</w:t>
      </w:r>
      <w:r>
        <w:rPr>
          <w:sz w:val="26"/>
          <w:szCs w:val="26"/>
        </w:rPr>
        <w:t xml:space="preserve">, which </w:t>
      </w:r>
      <w:r w:rsidR="001A20FD">
        <w:rPr>
          <w:sz w:val="26"/>
          <w:szCs w:val="26"/>
        </w:rPr>
        <w:t xml:space="preserve">backed </w:t>
      </w:r>
      <w:r>
        <w:rPr>
          <w:sz w:val="26"/>
          <w:szCs w:val="26"/>
        </w:rPr>
        <w:t xml:space="preserve">contracts offering customers </w:t>
      </w:r>
      <w:r w:rsidR="009703E2">
        <w:rPr>
          <w:sz w:val="26"/>
          <w:szCs w:val="26"/>
        </w:rPr>
        <w:t xml:space="preserve">guaranteed savings with </w:t>
      </w:r>
      <w:r>
        <w:rPr>
          <w:sz w:val="26"/>
          <w:szCs w:val="26"/>
        </w:rPr>
        <w:t xml:space="preserve">what was </w:t>
      </w:r>
      <w:r w:rsidR="001A20FD">
        <w:rPr>
          <w:sz w:val="26"/>
          <w:szCs w:val="26"/>
        </w:rPr>
        <w:t xml:space="preserve">essentially a speculative supply portfolio based exclusively on </w:t>
      </w:r>
      <w:r w:rsidR="009703E2">
        <w:rPr>
          <w:sz w:val="26"/>
          <w:szCs w:val="26"/>
        </w:rPr>
        <w:t>spot market purchases.</w:t>
      </w:r>
      <w:r>
        <w:rPr>
          <w:sz w:val="26"/>
          <w:szCs w:val="26"/>
        </w:rPr>
        <w:t xml:space="preserve">  We also agree, however, that </w:t>
      </w:r>
      <w:r w:rsidR="008B37B3">
        <w:rPr>
          <w:sz w:val="26"/>
          <w:szCs w:val="26"/>
        </w:rPr>
        <w:t xml:space="preserve">in consideration of </w:t>
      </w:r>
      <w:r w:rsidR="008B37B3">
        <w:rPr>
          <w:i/>
          <w:sz w:val="26"/>
          <w:szCs w:val="26"/>
        </w:rPr>
        <w:t xml:space="preserve">OAG/OCA-HIKO </w:t>
      </w:r>
      <w:r w:rsidR="008B37B3" w:rsidRPr="008B37B3">
        <w:rPr>
          <w:i/>
          <w:sz w:val="26"/>
          <w:szCs w:val="26"/>
        </w:rPr>
        <w:t>Settlement</w:t>
      </w:r>
      <w:r w:rsidR="008B37B3">
        <w:rPr>
          <w:sz w:val="26"/>
          <w:szCs w:val="26"/>
        </w:rPr>
        <w:t xml:space="preserve">, </w:t>
      </w:r>
      <w:r w:rsidRPr="008B37B3">
        <w:rPr>
          <w:sz w:val="26"/>
          <w:szCs w:val="26"/>
        </w:rPr>
        <w:t>HIKO</w:t>
      </w:r>
      <w:r>
        <w:rPr>
          <w:sz w:val="26"/>
          <w:szCs w:val="26"/>
        </w:rPr>
        <w:t xml:space="preserve"> does not escape the consequences of its executive-level decisions unscathed</w:t>
      </w:r>
      <w:r w:rsidR="008B37B3">
        <w:rPr>
          <w:sz w:val="26"/>
          <w:szCs w:val="26"/>
        </w:rPr>
        <w:t xml:space="preserve">.  Therefore </w:t>
      </w:r>
      <w:r w:rsidR="00E33AE9">
        <w:rPr>
          <w:sz w:val="26"/>
          <w:szCs w:val="26"/>
        </w:rPr>
        <w:t xml:space="preserve">we do not believe it necessary to impose </w:t>
      </w:r>
      <w:r w:rsidR="008B37B3">
        <w:rPr>
          <w:sz w:val="26"/>
          <w:szCs w:val="26"/>
        </w:rPr>
        <w:t xml:space="preserve">the maximum penalty sought by I&amp;E to deter </w:t>
      </w:r>
      <w:r w:rsidR="00E33AE9">
        <w:rPr>
          <w:sz w:val="26"/>
          <w:szCs w:val="26"/>
        </w:rPr>
        <w:t xml:space="preserve">either </w:t>
      </w:r>
      <w:r w:rsidR="008B37B3">
        <w:rPr>
          <w:sz w:val="26"/>
          <w:szCs w:val="26"/>
        </w:rPr>
        <w:t>this particular company</w:t>
      </w:r>
      <w:r w:rsidR="00E33AE9">
        <w:rPr>
          <w:sz w:val="26"/>
          <w:szCs w:val="26"/>
        </w:rPr>
        <w:t>,</w:t>
      </w:r>
      <w:r w:rsidR="008B37B3">
        <w:rPr>
          <w:sz w:val="26"/>
          <w:szCs w:val="26"/>
        </w:rPr>
        <w:t xml:space="preserve"> or the EGS industry as a whole,</w:t>
      </w:r>
      <w:r w:rsidR="008B37B3">
        <w:rPr>
          <w:rStyle w:val="FootnoteReference"/>
          <w:sz w:val="26"/>
          <w:szCs w:val="26"/>
        </w:rPr>
        <w:footnoteReference w:id="13"/>
      </w:r>
      <w:r w:rsidR="008B37B3">
        <w:rPr>
          <w:sz w:val="26"/>
          <w:szCs w:val="26"/>
        </w:rPr>
        <w:t xml:space="preserve"> from violating customers’ rights and our Regulations in order to </w:t>
      </w:r>
      <w:r w:rsidR="0042067D">
        <w:rPr>
          <w:sz w:val="26"/>
          <w:szCs w:val="26"/>
        </w:rPr>
        <w:t>shield themselves from</w:t>
      </w:r>
      <w:r w:rsidR="008B37B3">
        <w:rPr>
          <w:sz w:val="26"/>
          <w:szCs w:val="26"/>
        </w:rPr>
        <w:t xml:space="preserve"> the adverse effects of their own unsound decisions</w:t>
      </w:r>
      <w:r w:rsidR="00006024">
        <w:rPr>
          <w:sz w:val="26"/>
          <w:szCs w:val="26"/>
        </w:rPr>
        <w:t>.</w:t>
      </w:r>
    </w:p>
    <w:p w:rsidR="00006024" w:rsidRDefault="00006024" w:rsidP="00B036F1">
      <w:pPr>
        <w:pStyle w:val="BodyFirst1SS"/>
        <w:spacing w:line="360" w:lineRule="auto"/>
        <w:ind w:firstLine="1440"/>
        <w:jc w:val="left"/>
        <w:rPr>
          <w:sz w:val="26"/>
          <w:szCs w:val="26"/>
        </w:rPr>
      </w:pPr>
    </w:p>
    <w:p w:rsidR="00517BFF" w:rsidRDefault="00006024" w:rsidP="00B036F1">
      <w:pPr>
        <w:pStyle w:val="BodyFirst1SS"/>
        <w:spacing w:line="360" w:lineRule="auto"/>
        <w:ind w:firstLine="1440"/>
        <w:jc w:val="left"/>
        <w:rPr>
          <w:sz w:val="26"/>
          <w:szCs w:val="26"/>
        </w:rPr>
      </w:pPr>
      <w:r>
        <w:rPr>
          <w:sz w:val="26"/>
          <w:szCs w:val="26"/>
        </w:rPr>
        <w:t xml:space="preserve">As we noted in </w:t>
      </w:r>
      <w:r w:rsidR="00E33AE9">
        <w:rPr>
          <w:sz w:val="26"/>
          <w:szCs w:val="26"/>
        </w:rPr>
        <w:t xml:space="preserve">commencing </w:t>
      </w:r>
      <w:r>
        <w:rPr>
          <w:sz w:val="26"/>
          <w:szCs w:val="26"/>
        </w:rPr>
        <w:t>our review in this proceeding, while not formally consolidated, we do not consider and render a disposition of the parties</w:t>
      </w:r>
      <w:r w:rsidR="004A6C2B">
        <w:rPr>
          <w:sz w:val="26"/>
          <w:szCs w:val="26"/>
        </w:rPr>
        <w:t>’</w:t>
      </w:r>
      <w:r>
        <w:rPr>
          <w:sz w:val="26"/>
          <w:szCs w:val="26"/>
        </w:rPr>
        <w:t xml:space="preserve"> E</w:t>
      </w:r>
      <w:r w:rsidRPr="00006024">
        <w:rPr>
          <w:sz w:val="26"/>
          <w:szCs w:val="26"/>
        </w:rPr>
        <w:t xml:space="preserve">xceptions and </w:t>
      </w:r>
      <w:r>
        <w:rPr>
          <w:sz w:val="26"/>
          <w:szCs w:val="26"/>
        </w:rPr>
        <w:t>R</w:t>
      </w:r>
      <w:r w:rsidRPr="00006024">
        <w:rPr>
          <w:sz w:val="26"/>
          <w:szCs w:val="26"/>
        </w:rPr>
        <w:t>eplies</w:t>
      </w:r>
      <w:r>
        <w:rPr>
          <w:sz w:val="26"/>
          <w:szCs w:val="26"/>
        </w:rPr>
        <w:t xml:space="preserve"> in this proceeding in isolation and without regard to the settlement achieved by the OAG/OCA and HIKO in </w:t>
      </w:r>
      <w:r w:rsidR="00E33AE9">
        <w:rPr>
          <w:i/>
          <w:sz w:val="26"/>
          <w:szCs w:val="26"/>
        </w:rPr>
        <w:t>OAG/OCA-HIKO Settlement</w:t>
      </w:r>
      <w:r>
        <w:rPr>
          <w:sz w:val="26"/>
          <w:szCs w:val="26"/>
        </w:rPr>
        <w:t xml:space="preserve">.  As noted throughout the ALJs’ Initial Decision here, in that proceeding, HIKO agreed to </w:t>
      </w:r>
      <w:r w:rsidR="00BB6C02">
        <w:rPr>
          <w:sz w:val="26"/>
          <w:szCs w:val="26"/>
        </w:rPr>
        <w:t xml:space="preserve">a comprehensive settlement that addressed refunds, contributions to the EDCs’ hardship funds, and </w:t>
      </w:r>
      <w:r w:rsidR="00517BFF">
        <w:rPr>
          <w:sz w:val="26"/>
          <w:szCs w:val="26"/>
        </w:rPr>
        <w:t>reformation of the Company</w:t>
      </w:r>
      <w:r w:rsidR="00BB6C02">
        <w:rPr>
          <w:sz w:val="26"/>
          <w:szCs w:val="26"/>
        </w:rPr>
        <w:t>’s business practices.  On refunds, the settlement provides for a refund pool of approximately $2 million</w:t>
      </w:r>
      <w:r w:rsidR="00E33AE9">
        <w:rPr>
          <w:sz w:val="26"/>
          <w:szCs w:val="26"/>
        </w:rPr>
        <w:t xml:space="preserve">, which </w:t>
      </w:r>
      <w:r w:rsidR="00BB6C02">
        <w:rPr>
          <w:sz w:val="26"/>
          <w:szCs w:val="26"/>
        </w:rPr>
        <w:t xml:space="preserve">includes the </w:t>
      </w:r>
      <w:r w:rsidR="00E33AE9">
        <w:rPr>
          <w:sz w:val="26"/>
          <w:szCs w:val="26"/>
        </w:rPr>
        <w:t xml:space="preserve">value of </w:t>
      </w:r>
      <w:r w:rsidR="00BB6C02">
        <w:rPr>
          <w:sz w:val="26"/>
          <w:szCs w:val="26"/>
        </w:rPr>
        <w:t xml:space="preserve">refunds the Company had already issued to </w:t>
      </w:r>
      <w:r w:rsidR="00E33AE9">
        <w:rPr>
          <w:sz w:val="26"/>
          <w:szCs w:val="26"/>
        </w:rPr>
        <w:t xml:space="preserve">all </w:t>
      </w:r>
      <w:r w:rsidR="00BB6C02">
        <w:rPr>
          <w:sz w:val="26"/>
          <w:szCs w:val="26"/>
        </w:rPr>
        <w:t>complaining customers</w:t>
      </w:r>
      <w:r w:rsidR="00E33AE9">
        <w:rPr>
          <w:sz w:val="26"/>
          <w:szCs w:val="26"/>
        </w:rPr>
        <w:t xml:space="preserve">.  </w:t>
      </w:r>
      <w:r w:rsidR="00622951">
        <w:rPr>
          <w:sz w:val="26"/>
          <w:szCs w:val="26"/>
        </w:rPr>
        <w:t>C</w:t>
      </w:r>
      <w:r w:rsidR="00E33AE9">
        <w:rPr>
          <w:sz w:val="26"/>
          <w:szCs w:val="26"/>
        </w:rPr>
        <w:t xml:space="preserve">ustomers who were guaranteed savings of 1% to 7% will realize </w:t>
      </w:r>
      <w:r w:rsidR="00BB6C02">
        <w:rPr>
          <w:sz w:val="26"/>
          <w:szCs w:val="26"/>
        </w:rPr>
        <w:t xml:space="preserve">a savings of 3.5% over their EDCs’ PTCs.  HIKO also agreed to several modifications to its business plan, including limitations on its solicitation of and offerings to new customers, limitations on the </w:t>
      </w:r>
      <w:r w:rsidR="00517BFF">
        <w:rPr>
          <w:sz w:val="26"/>
          <w:szCs w:val="26"/>
        </w:rPr>
        <w:t xml:space="preserve">imposition of </w:t>
      </w:r>
      <w:r w:rsidR="00BB6C02">
        <w:rPr>
          <w:sz w:val="26"/>
          <w:szCs w:val="26"/>
        </w:rPr>
        <w:t xml:space="preserve">cancellation or termination fees for variable rate products, </w:t>
      </w:r>
      <w:r w:rsidR="00517BFF">
        <w:rPr>
          <w:sz w:val="26"/>
          <w:szCs w:val="26"/>
        </w:rPr>
        <w:t xml:space="preserve">and tighter </w:t>
      </w:r>
      <w:r w:rsidR="00BB6C02">
        <w:rPr>
          <w:sz w:val="26"/>
          <w:szCs w:val="26"/>
        </w:rPr>
        <w:t xml:space="preserve">restrictions on </w:t>
      </w:r>
      <w:r w:rsidR="00517BFF">
        <w:rPr>
          <w:sz w:val="26"/>
          <w:szCs w:val="26"/>
        </w:rPr>
        <w:t xml:space="preserve">its </w:t>
      </w:r>
      <w:r w:rsidR="00BB6C02">
        <w:rPr>
          <w:sz w:val="26"/>
          <w:szCs w:val="26"/>
        </w:rPr>
        <w:t>marketing</w:t>
      </w:r>
      <w:r w:rsidR="00517BFF">
        <w:rPr>
          <w:sz w:val="26"/>
          <w:szCs w:val="26"/>
        </w:rPr>
        <w:t xml:space="preserve"> practices and </w:t>
      </w:r>
      <w:r w:rsidR="00622951">
        <w:rPr>
          <w:sz w:val="26"/>
          <w:szCs w:val="26"/>
        </w:rPr>
        <w:t>marketing</w:t>
      </w:r>
      <w:r w:rsidR="00517BFF">
        <w:rPr>
          <w:sz w:val="26"/>
          <w:szCs w:val="26"/>
        </w:rPr>
        <w:t xml:space="preserve"> and customer service</w:t>
      </w:r>
      <w:r w:rsidR="00622951">
        <w:rPr>
          <w:sz w:val="26"/>
          <w:szCs w:val="26"/>
        </w:rPr>
        <w:t xml:space="preserve"> staff</w:t>
      </w:r>
      <w:r w:rsidR="00517BFF">
        <w:rPr>
          <w:sz w:val="26"/>
          <w:szCs w:val="26"/>
        </w:rPr>
        <w:t>, including Pennsylvania-specific training and stricter oversight and monitoring.</w:t>
      </w:r>
    </w:p>
    <w:p w:rsidR="00517BFF" w:rsidRDefault="00517BFF" w:rsidP="00B036F1">
      <w:pPr>
        <w:pStyle w:val="BodyFirst1SS"/>
        <w:spacing w:line="360" w:lineRule="auto"/>
        <w:ind w:firstLine="1440"/>
        <w:jc w:val="left"/>
        <w:rPr>
          <w:sz w:val="26"/>
          <w:szCs w:val="26"/>
        </w:rPr>
      </w:pPr>
    </w:p>
    <w:p w:rsidR="0055281E" w:rsidRDefault="00006024" w:rsidP="0055281E">
      <w:pPr>
        <w:pStyle w:val="BodyFirst1SS"/>
        <w:spacing w:line="360" w:lineRule="auto"/>
        <w:ind w:firstLine="1440"/>
        <w:jc w:val="left"/>
        <w:rPr>
          <w:sz w:val="26"/>
          <w:szCs w:val="26"/>
        </w:rPr>
      </w:pPr>
      <w:r>
        <w:rPr>
          <w:sz w:val="26"/>
          <w:szCs w:val="26"/>
        </w:rPr>
        <w:t xml:space="preserve">Notably absent from that agreement, but entirely appropriate to a full and fair disposition of both the OAG/OCA’s and I&amp;E’s complaints against HIKO’s behavior towards customers in January through April of 2014, </w:t>
      </w:r>
      <w:r w:rsidR="00121213">
        <w:rPr>
          <w:sz w:val="26"/>
          <w:szCs w:val="26"/>
        </w:rPr>
        <w:t>is</w:t>
      </w:r>
      <w:r>
        <w:rPr>
          <w:sz w:val="26"/>
          <w:szCs w:val="26"/>
        </w:rPr>
        <w:t xml:space="preserve"> the imposition of a civil penalty</w:t>
      </w:r>
      <w:r w:rsidR="00622951">
        <w:rPr>
          <w:sz w:val="26"/>
          <w:szCs w:val="26"/>
        </w:rPr>
        <w:t xml:space="preserve"> as addressed here</w:t>
      </w:r>
      <w:r>
        <w:rPr>
          <w:sz w:val="26"/>
          <w:szCs w:val="26"/>
        </w:rPr>
        <w:t xml:space="preserve">.  </w:t>
      </w:r>
      <w:r w:rsidR="00517BFF">
        <w:rPr>
          <w:sz w:val="26"/>
          <w:szCs w:val="26"/>
        </w:rPr>
        <w:t xml:space="preserve">Additionally, the ALJs declined to suspend or revoke HIKO’s license in this proceeding as </w:t>
      </w:r>
      <w:r w:rsidR="00975555">
        <w:rPr>
          <w:sz w:val="26"/>
          <w:szCs w:val="26"/>
        </w:rPr>
        <w:t xml:space="preserve">I&amp;E </w:t>
      </w:r>
      <w:r w:rsidR="00517BFF">
        <w:rPr>
          <w:sz w:val="26"/>
          <w:szCs w:val="26"/>
        </w:rPr>
        <w:t xml:space="preserve">requested because </w:t>
      </w:r>
      <w:r w:rsidR="00121213">
        <w:rPr>
          <w:sz w:val="26"/>
          <w:szCs w:val="26"/>
        </w:rPr>
        <w:t xml:space="preserve">of the substantial consumer protections </w:t>
      </w:r>
      <w:r w:rsidR="00975555">
        <w:rPr>
          <w:sz w:val="26"/>
          <w:szCs w:val="26"/>
        </w:rPr>
        <w:t xml:space="preserve">HIKO </w:t>
      </w:r>
      <w:r w:rsidR="00121213">
        <w:rPr>
          <w:sz w:val="26"/>
          <w:szCs w:val="26"/>
        </w:rPr>
        <w:t xml:space="preserve">agreed to in </w:t>
      </w:r>
      <w:r w:rsidR="00121213">
        <w:rPr>
          <w:i/>
          <w:sz w:val="26"/>
          <w:szCs w:val="26"/>
        </w:rPr>
        <w:t>OAG/OCA-HIKO Settlement</w:t>
      </w:r>
      <w:r w:rsidR="00975555">
        <w:rPr>
          <w:sz w:val="26"/>
          <w:szCs w:val="26"/>
        </w:rPr>
        <w:t>,</w:t>
      </w:r>
      <w:r w:rsidR="00121213">
        <w:rPr>
          <w:sz w:val="26"/>
          <w:szCs w:val="26"/>
        </w:rPr>
        <w:t xml:space="preserve"> allowing the Company to continue to operate in Pennsylvania under strict conditions requiring it to come into and remain in compliance with our Statutes, Regulations, and Orders</w:t>
      </w:r>
      <w:r w:rsidR="00121213">
        <w:rPr>
          <w:i/>
          <w:sz w:val="26"/>
          <w:szCs w:val="26"/>
        </w:rPr>
        <w:t>.</w:t>
      </w:r>
      <w:r w:rsidR="00121213">
        <w:rPr>
          <w:sz w:val="26"/>
          <w:szCs w:val="26"/>
        </w:rPr>
        <w:t xml:space="preserve">  As the ALJs noted, but for that settlement, revocation of HIKO’s license likely would have been recommended.</w:t>
      </w:r>
      <w:r w:rsidR="0055281E">
        <w:rPr>
          <w:sz w:val="26"/>
          <w:szCs w:val="26"/>
        </w:rPr>
        <w:t xml:space="preserve">  </w:t>
      </w:r>
      <w:r w:rsidR="00121213">
        <w:rPr>
          <w:sz w:val="26"/>
          <w:szCs w:val="26"/>
        </w:rPr>
        <w:t xml:space="preserve">We agree with the ALJs’ relief ordered here as it dovetails with the comprehensive settlement reached by the </w:t>
      </w:r>
      <w:r w:rsidR="00975555">
        <w:rPr>
          <w:sz w:val="26"/>
          <w:szCs w:val="26"/>
        </w:rPr>
        <w:t xml:space="preserve">parties in </w:t>
      </w:r>
      <w:r w:rsidR="00121213" w:rsidRPr="00975555">
        <w:rPr>
          <w:i/>
          <w:sz w:val="26"/>
          <w:szCs w:val="26"/>
        </w:rPr>
        <w:t>OAG/OCA</w:t>
      </w:r>
      <w:r w:rsidR="00975555">
        <w:rPr>
          <w:i/>
          <w:sz w:val="26"/>
          <w:szCs w:val="26"/>
        </w:rPr>
        <w:t>-</w:t>
      </w:r>
      <w:r w:rsidR="00121213" w:rsidRPr="00975555">
        <w:rPr>
          <w:i/>
          <w:sz w:val="26"/>
          <w:szCs w:val="26"/>
        </w:rPr>
        <w:t>HIKO</w:t>
      </w:r>
      <w:r w:rsidR="00975555">
        <w:rPr>
          <w:i/>
          <w:sz w:val="26"/>
          <w:szCs w:val="26"/>
        </w:rPr>
        <w:t xml:space="preserve"> Settlement</w:t>
      </w:r>
      <w:r w:rsidR="00121213">
        <w:rPr>
          <w:sz w:val="26"/>
          <w:szCs w:val="26"/>
        </w:rPr>
        <w:t>.  The only issue</w:t>
      </w:r>
      <w:r w:rsidR="00975555">
        <w:rPr>
          <w:sz w:val="26"/>
          <w:szCs w:val="26"/>
        </w:rPr>
        <w:t xml:space="preserve"> remaining</w:t>
      </w:r>
      <w:r w:rsidR="00121213">
        <w:rPr>
          <w:sz w:val="26"/>
          <w:szCs w:val="26"/>
        </w:rPr>
        <w:t xml:space="preserve">, therefore, is the level of </w:t>
      </w:r>
      <w:r w:rsidR="003F7F23">
        <w:rPr>
          <w:sz w:val="26"/>
          <w:szCs w:val="26"/>
        </w:rPr>
        <w:t>civil penalty</w:t>
      </w:r>
      <w:r w:rsidR="00121213">
        <w:rPr>
          <w:sz w:val="26"/>
          <w:szCs w:val="26"/>
        </w:rPr>
        <w:t xml:space="preserve"> that is </w:t>
      </w:r>
      <w:r w:rsidR="00121213" w:rsidRPr="00121213">
        <w:rPr>
          <w:sz w:val="26"/>
          <w:szCs w:val="26"/>
        </w:rPr>
        <w:t>appropriate</w:t>
      </w:r>
      <w:r w:rsidR="00121213">
        <w:rPr>
          <w:sz w:val="26"/>
          <w:szCs w:val="26"/>
        </w:rPr>
        <w:t xml:space="preserve"> under our policy statement.</w:t>
      </w:r>
    </w:p>
    <w:p w:rsidR="0055281E" w:rsidRDefault="0055281E" w:rsidP="0055281E">
      <w:pPr>
        <w:pStyle w:val="BodyFirst1SS"/>
        <w:spacing w:line="360" w:lineRule="auto"/>
        <w:ind w:firstLine="1440"/>
        <w:jc w:val="left"/>
        <w:rPr>
          <w:sz w:val="26"/>
          <w:szCs w:val="26"/>
        </w:rPr>
      </w:pPr>
    </w:p>
    <w:p w:rsidR="00C71A15" w:rsidRDefault="0055281E" w:rsidP="0055281E">
      <w:pPr>
        <w:pStyle w:val="BodyFirst1SS"/>
        <w:spacing w:line="360" w:lineRule="auto"/>
        <w:ind w:firstLine="1440"/>
        <w:jc w:val="left"/>
        <w:rPr>
          <w:sz w:val="26"/>
          <w:szCs w:val="26"/>
        </w:rPr>
      </w:pPr>
      <w:r>
        <w:rPr>
          <w:sz w:val="26"/>
          <w:szCs w:val="26"/>
        </w:rPr>
        <w:t>W</w:t>
      </w:r>
      <w:r w:rsidR="003F7F23">
        <w:rPr>
          <w:sz w:val="26"/>
          <w:szCs w:val="26"/>
        </w:rPr>
        <w:t>e a</w:t>
      </w:r>
      <w:r w:rsidR="001A20FD">
        <w:rPr>
          <w:sz w:val="26"/>
          <w:szCs w:val="26"/>
        </w:rPr>
        <w:t xml:space="preserve">ddress </w:t>
      </w:r>
      <w:r w:rsidR="001A20FD" w:rsidRPr="001A20FD">
        <w:rPr>
          <w:i/>
          <w:sz w:val="26"/>
          <w:szCs w:val="26"/>
        </w:rPr>
        <w:t>seriatim</w:t>
      </w:r>
      <w:r w:rsidR="00F84831">
        <w:rPr>
          <w:sz w:val="26"/>
          <w:szCs w:val="26"/>
        </w:rPr>
        <w:t xml:space="preserve"> the factors as they appear in our policy statement and as argued by the parties</w:t>
      </w:r>
      <w:r w:rsidR="003F7F23">
        <w:rPr>
          <w:sz w:val="26"/>
          <w:szCs w:val="26"/>
        </w:rPr>
        <w:t xml:space="preserve">.  In so doing, we are </w:t>
      </w:r>
      <w:r w:rsidR="00975555">
        <w:rPr>
          <w:sz w:val="26"/>
          <w:szCs w:val="26"/>
        </w:rPr>
        <w:t>particularly</w:t>
      </w:r>
      <w:r w:rsidR="003F7F23">
        <w:rPr>
          <w:sz w:val="26"/>
          <w:szCs w:val="26"/>
        </w:rPr>
        <w:t xml:space="preserve"> compelled by</w:t>
      </w:r>
      <w:r w:rsidR="00975555">
        <w:rPr>
          <w:sz w:val="26"/>
          <w:szCs w:val="26"/>
        </w:rPr>
        <w:t xml:space="preserve"> one observation of the ALJs.  A</w:t>
      </w:r>
      <w:r w:rsidR="003F7F23">
        <w:rPr>
          <w:sz w:val="26"/>
          <w:szCs w:val="26"/>
        </w:rPr>
        <w:t>s the ALJs described it, HIKO</w:t>
      </w:r>
      <w:r w:rsidR="00975555">
        <w:rPr>
          <w:sz w:val="26"/>
          <w:szCs w:val="26"/>
        </w:rPr>
        <w:t xml:space="preserve"> </w:t>
      </w:r>
      <w:r w:rsidR="006521CF">
        <w:rPr>
          <w:sz w:val="26"/>
          <w:szCs w:val="26"/>
        </w:rPr>
        <w:t>was obliged</w:t>
      </w:r>
      <w:r w:rsidR="003F7F23">
        <w:rPr>
          <w:sz w:val="26"/>
          <w:szCs w:val="26"/>
        </w:rPr>
        <w:t xml:space="preserve"> “to make good on its promise” to save consumers at least 1% over the effective PTC of their EDC, and had each of the 5,708 individual customers affected by HIKO’s breach of that promise individually pursued his or her individual complaint, the Company could have faced this same analysis over 5,700 times</w:t>
      </w:r>
      <w:r w:rsidR="00C71A15">
        <w:rPr>
          <w:sz w:val="26"/>
          <w:szCs w:val="26"/>
        </w:rPr>
        <w:t>, with a penalty, which is separate and distinct from restitution, of up to $1,000 for each of those individual complaints</w:t>
      </w:r>
      <w:r w:rsidR="003F7F23">
        <w:rPr>
          <w:sz w:val="26"/>
          <w:szCs w:val="26"/>
        </w:rPr>
        <w:t xml:space="preserve">.  I.D. at 33-35.  </w:t>
      </w:r>
      <w:r w:rsidR="00C71A15">
        <w:rPr>
          <w:sz w:val="26"/>
          <w:szCs w:val="26"/>
        </w:rPr>
        <w:t xml:space="preserve">It is from that perspective, and in consideration of the actions taken and remedies agreed to in </w:t>
      </w:r>
      <w:r w:rsidR="00C71A15">
        <w:rPr>
          <w:i/>
          <w:sz w:val="26"/>
          <w:szCs w:val="26"/>
        </w:rPr>
        <w:t xml:space="preserve">OAG/OCA-HIKO </w:t>
      </w:r>
      <w:r w:rsidR="00C71A15" w:rsidRPr="00C71A15">
        <w:rPr>
          <w:i/>
          <w:sz w:val="26"/>
          <w:szCs w:val="26"/>
        </w:rPr>
        <w:t>Settlement</w:t>
      </w:r>
      <w:r w:rsidR="00C71A15">
        <w:rPr>
          <w:sz w:val="26"/>
          <w:szCs w:val="26"/>
        </w:rPr>
        <w:t>, that we approach our disposition of HIKO’s and I&amp;E’s Exceptions and Replies.</w:t>
      </w:r>
    </w:p>
    <w:p w:rsidR="00C71A15" w:rsidRDefault="00C71A15" w:rsidP="00965EBB">
      <w:pPr>
        <w:pStyle w:val="BodyFirst1SS"/>
        <w:spacing w:line="360" w:lineRule="auto"/>
        <w:jc w:val="left"/>
        <w:rPr>
          <w:sz w:val="26"/>
          <w:szCs w:val="26"/>
        </w:rPr>
      </w:pPr>
    </w:p>
    <w:p w:rsidR="00F374DF" w:rsidRDefault="00C71A15" w:rsidP="00C71A15">
      <w:pPr>
        <w:pStyle w:val="BodyFirst1SS"/>
        <w:spacing w:line="360" w:lineRule="auto"/>
        <w:ind w:firstLine="1440"/>
        <w:jc w:val="left"/>
        <w:rPr>
          <w:sz w:val="26"/>
          <w:szCs w:val="26"/>
        </w:rPr>
      </w:pPr>
      <w:r>
        <w:rPr>
          <w:sz w:val="26"/>
          <w:szCs w:val="26"/>
        </w:rPr>
        <w:t>In consideration of HIKO’s general defense that the ALJs failed to consider the weather, the TCP, PJM, and other dynamics HIKO considers outside its control, we</w:t>
      </w:r>
      <w:r w:rsidR="008C48FE">
        <w:rPr>
          <w:sz w:val="26"/>
          <w:szCs w:val="26"/>
        </w:rPr>
        <w:t xml:space="preserve"> </w:t>
      </w:r>
      <w:r>
        <w:rPr>
          <w:sz w:val="26"/>
          <w:szCs w:val="26"/>
        </w:rPr>
        <w:t>reject</w:t>
      </w:r>
      <w:r w:rsidR="008C48FE">
        <w:rPr>
          <w:sz w:val="26"/>
          <w:szCs w:val="26"/>
        </w:rPr>
        <w:t xml:space="preserve"> </w:t>
      </w:r>
      <w:r w:rsidR="00F374DF">
        <w:rPr>
          <w:sz w:val="26"/>
          <w:szCs w:val="26"/>
        </w:rPr>
        <w:t>HIKO’s argument that the ALJs wrongly considered HIKO’s actions to be purely voluntary and failed to consider th</w:t>
      </w:r>
      <w:r>
        <w:rPr>
          <w:sz w:val="26"/>
          <w:szCs w:val="26"/>
        </w:rPr>
        <w:t>e circumstances in which HIKO found itself in the winter of 2014.</w:t>
      </w:r>
      <w:r w:rsidR="00F374DF">
        <w:rPr>
          <w:sz w:val="26"/>
          <w:szCs w:val="26"/>
        </w:rPr>
        <w:t xml:space="preserve">  </w:t>
      </w:r>
      <w:r>
        <w:rPr>
          <w:sz w:val="26"/>
          <w:szCs w:val="26"/>
        </w:rPr>
        <w:t xml:space="preserve">The ALJs commented upon </w:t>
      </w:r>
      <w:r w:rsidR="00F374DF">
        <w:rPr>
          <w:sz w:val="26"/>
          <w:szCs w:val="26"/>
        </w:rPr>
        <w:t xml:space="preserve">HIKO’s </w:t>
      </w:r>
      <w:r w:rsidR="001A20FD">
        <w:rPr>
          <w:sz w:val="26"/>
          <w:szCs w:val="26"/>
        </w:rPr>
        <w:t xml:space="preserve">reliance on </w:t>
      </w:r>
      <w:r w:rsidR="00F374DF">
        <w:rPr>
          <w:sz w:val="26"/>
          <w:szCs w:val="26"/>
        </w:rPr>
        <w:t>an eighteen-</w:t>
      </w:r>
      <w:r w:rsidR="00972E02">
        <w:rPr>
          <w:sz w:val="26"/>
          <w:szCs w:val="26"/>
        </w:rPr>
        <w:t>month</w:t>
      </w:r>
      <w:r w:rsidR="00F374DF">
        <w:rPr>
          <w:sz w:val="26"/>
          <w:szCs w:val="26"/>
        </w:rPr>
        <w:t xml:space="preserve"> pricing history as an adequate basis upon which to </w:t>
      </w:r>
      <w:r w:rsidR="001A20FD">
        <w:rPr>
          <w:sz w:val="26"/>
          <w:szCs w:val="26"/>
        </w:rPr>
        <w:t>guarantee</w:t>
      </w:r>
      <w:r w:rsidR="00F374DF">
        <w:rPr>
          <w:sz w:val="26"/>
          <w:szCs w:val="26"/>
        </w:rPr>
        <w:t xml:space="preserve"> </w:t>
      </w:r>
      <w:r>
        <w:rPr>
          <w:sz w:val="26"/>
          <w:szCs w:val="26"/>
        </w:rPr>
        <w:t xml:space="preserve">for an initial six-month period </w:t>
      </w:r>
      <w:r w:rsidR="00F374DF">
        <w:rPr>
          <w:sz w:val="26"/>
          <w:szCs w:val="26"/>
        </w:rPr>
        <w:t xml:space="preserve">unconditional pricing </w:t>
      </w:r>
      <w:r w:rsidR="001A20FD">
        <w:rPr>
          <w:sz w:val="26"/>
          <w:szCs w:val="26"/>
        </w:rPr>
        <w:t xml:space="preserve">savings </w:t>
      </w:r>
      <w:r>
        <w:rPr>
          <w:sz w:val="26"/>
          <w:szCs w:val="26"/>
        </w:rPr>
        <w:t xml:space="preserve">of </w:t>
      </w:r>
      <w:r w:rsidR="001A20FD">
        <w:rPr>
          <w:sz w:val="26"/>
          <w:szCs w:val="26"/>
        </w:rPr>
        <w:t xml:space="preserve">up to </w:t>
      </w:r>
      <w:r w:rsidR="00F374DF">
        <w:rPr>
          <w:sz w:val="26"/>
          <w:szCs w:val="26"/>
        </w:rPr>
        <w:t>7% as follows:</w:t>
      </w:r>
    </w:p>
    <w:p w:rsidR="00F374DF" w:rsidRDefault="00F374DF" w:rsidP="00BB43F5">
      <w:pPr>
        <w:pStyle w:val="BodyFirst1SS"/>
        <w:spacing w:line="360" w:lineRule="auto"/>
        <w:ind w:firstLine="0"/>
        <w:jc w:val="left"/>
        <w:rPr>
          <w:sz w:val="26"/>
          <w:szCs w:val="26"/>
        </w:rPr>
      </w:pPr>
    </w:p>
    <w:p w:rsidR="00BB43F5" w:rsidRDefault="00BB43F5" w:rsidP="00BB43F5">
      <w:pPr>
        <w:pStyle w:val="BodyFirst1SS"/>
        <w:spacing w:line="240" w:lineRule="auto"/>
        <w:ind w:left="1440" w:right="1440"/>
        <w:jc w:val="left"/>
        <w:rPr>
          <w:sz w:val="26"/>
          <w:szCs w:val="26"/>
        </w:rPr>
      </w:pPr>
      <w:r w:rsidRPr="00BB43F5">
        <w:rPr>
          <w:sz w:val="26"/>
          <w:szCs w:val="26"/>
        </w:rPr>
        <w:t>It is not entirely unforeseeable that although a company may be seeing relatively stable and elastic market prices historically for 18 months, given 100% of its power purchases were being made on the spot market, this practice assumed certain risks regarding the volatility of the wholesale market price.  Even giving HIKO witness Klein the benefit of the doubt that he did not foresee at the time of enrollment of customers in the 1-7% guaranteed savings plans the high risk HIKO or its variable rate customers were assuming because of the impending on-the-spot wholesale market price increases that were about to occur in January</w:t>
      </w:r>
      <w:r w:rsidR="006F6029">
        <w:rPr>
          <w:sz w:val="26"/>
          <w:szCs w:val="26"/>
        </w:rPr>
        <w:t xml:space="preserve"> []</w:t>
      </w:r>
      <w:r w:rsidR="006521CF">
        <w:rPr>
          <w:sz w:val="26"/>
          <w:szCs w:val="26"/>
        </w:rPr>
        <w:t xml:space="preserve"> </w:t>
      </w:r>
      <w:r w:rsidRPr="00BB43F5">
        <w:rPr>
          <w:sz w:val="26"/>
          <w:szCs w:val="26"/>
        </w:rPr>
        <w:t xml:space="preserve">2014, the </w:t>
      </w:r>
      <w:r w:rsidRPr="00BB43F5">
        <w:rPr>
          <w:sz w:val="26"/>
          <w:szCs w:val="26"/>
        </w:rPr>
        <w:lastRenderedPageBreak/>
        <w:t>surprise does not justify the fact that the end-user customers enrolled in guaranteed savings plans are shouldering a substantial portion of the burden of the increase in wholesale rates.</w:t>
      </w:r>
    </w:p>
    <w:p w:rsidR="00BB43F5" w:rsidRDefault="00BB43F5" w:rsidP="00BB43F5">
      <w:pPr>
        <w:pStyle w:val="BodyFirst1SS"/>
        <w:spacing w:line="240" w:lineRule="auto"/>
        <w:ind w:firstLine="0"/>
        <w:jc w:val="left"/>
        <w:rPr>
          <w:sz w:val="26"/>
          <w:szCs w:val="26"/>
        </w:rPr>
      </w:pPr>
    </w:p>
    <w:p w:rsidR="00BB43F5" w:rsidRDefault="00BB43F5" w:rsidP="00BB43F5">
      <w:pPr>
        <w:pStyle w:val="BodyFirst1SS"/>
        <w:spacing w:line="240" w:lineRule="auto"/>
        <w:ind w:firstLine="0"/>
        <w:jc w:val="left"/>
        <w:rPr>
          <w:sz w:val="26"/>
          <w:szCs w:val="26"/>
        </w:rPr>
      </w:pPr>
    </w:p>
    <w:p w:rsidR="00F24059" w:rsidRDefault="00BB43F5" w:rsidP="00050912">
      <w:pPr>
        <w:pStyle w:val="BodyFirst1SS"/>
        <w:spacing w:line="360" w:lineRule="auto"/>
        <w:ind w:firstLine="0"/>
        <w:jc w:val="left"/>
        <w:rPr>
          <w:sz w:val="26"/>
          <w:szCs w:val="26"/>
        </w:rPr>
      </w:pPr>
      <w:r>
        <w:rPr>
          <w:sz w:val="26"/>
          <w:szCs w:val="26"/>
        </w:rPr>
        <w:t>I</w:t>
      </w:r>
      <w:r w:rsidR="00F84831">
        <w:rPr>
          <w:sz w:val="26"/>
          <w:szCs w:val="26"/>
        </w:rPr>
        <w:t>.</w:t>
      </w:r>
      <w:r>
        <w:rPr>
          <w:sz w:val="26"/>
          <w:szCs w:val="26"/>
        </w:rPr>
        <w:t>D</w:t>
      </w:r>
      <w:r w:rsidR="00F84831">
        <w:rPr>
          <w:sz w:val="26"/>
          <w:szCs w:val="26"/>
        </w:rPr>
        <w:t>.</w:t>
      </w:r>
      <w:r>
        <w:rPr>
          <w:sz w:val="26"/>
          <w:szCs w:val="26"/>
        </w:rPr>
        <w:t xml:space="preserve"> at 29-30.  </w:t>
      </w:r>
      <w:r w:rsidR="00050912">
        <w:rPr>
          <w:sz w:val="26"/>
          <w:szCs w:val="26"/>
        </w:rPr>
        <w:t xml:space="preserve">Further, as I&amp;E noted, the ALJs specifically </w:t>
      </w:r>
      <w:r w:rsidR="006521CF">
        <w:rPr>
          <w:sz w:val="26"/>
          <w:szCs w:val="26"/>
        </w:rPr>
        <w:t xml:space="preserve">gave consideration to </w:t>
      </w:r>
      <w:r w:rsidR="00050912">
        <w:rPr>
          <w:sz w:val="26"/>
          <w:szCs w:val="26"/>
        </w:rPr>
        <w:t xml:space="preserve">those circumstances, but found they provided no excuse, particularly </w:t>
      </w:r>
      <w:r w:rsidR="00A003CC">
        <w:rPr>
          <w:sz w:val="26"/>
          <w:szCs w:val="26"/>
        </w:rPr>
        <w:t xml:space="preserve">because </w:t>
      </w:r>
      <w:r w:rsidR="00050912">
        <w:rPr>
          <w:sz w:val="26"/>
          <w:szCs w:val="26"/>
        </w:rPr>
        <w:t>the customer information</w:t>
      </w:r>
      <w:r w:rsidR="00A003CC">
        <w:rPr>
          <w:sz w:val="26"/>
          <w:szCs w:val="26"/>
        </w:rPr>
        <w:t xml:space="preserve"> the Company </w:t>
      </w:r>
      <w:r w:rsidR="006521CF">
        <w:rPr>
          <w:sz w:val="26"/>
          <w:szCs w:val="26"/>
        </w:rPr>
        <w:t>provided</w:t>
      </w:r>
      <w:r w:rsidR="00A003CC">
        <w:rPr>
          <w:sz w:val="26"/>
          <w:szCs w:val="26"/>
        </w:rPr>
        <w:t xml:space="preserve"> with the guaranteed savings rate </w:t>
      </w:r>
      <w:r w:rsidR="006521CF">
        <w:rPr>
          <w:sz w:val="26"/>
          <w:szCs w:val="26"/>
        </w:rPr>
        <w:t xml:space="preserve">plan </w:t>
      </w:r>
      <w:r w:rsidR="00050912">
        <w:rPr>
          <w:sz w:val="26"/>
          <w:szCs w:val="26"/>
        </w:rPr>
        <w:t>contained no reservations due to outside circumstances.  As the ALJs concluded:</w:t>
      </w:r>
    </w:p>
    <w:p w:rsidR="00050912" w:rsidRDefault="00050912" w:rsidP="00050912">
      <w:pPr>
        <w:pStyle w:val="BodyFirst1SS"/>
        <w:spacing w:line="360" w:lineRule="auto"/>
        <w:ind w:firstLine="0"/>
        <w:jc w:val="left"/>
        <w:rPr>
          <w:sz w:val="26"/>
          <w:szCs w:val="26"/>
        </w:rPr>
      </w:pPr>
    </w:p>
    <w:p w:rsidR="00050912" w:rsidRPr="00050912" w:rsidRDefault="00050912" w:rsidP="00050912">
      <w:pPr>
        <w:pStyle w:val="BodyFirst1SS"/>
        <w:spacing w:line="240" w:lineRule="auto"/>
        <w:ind w:left="1440" w:right="1440"/>
        <w:jc w:val="left"/>
        <w:rPr>
          <w:sz w:val="26"/>
          <w:szCs w:val="26"/>
        </w:rPr>
      </w:pPr>
      <w:r w:rsidRPr="00050912">
        <w:rPr>
          <w:sz w:val="26"/>
          <w:szCs w:val="26"/>
        </w:rPr>
        <w:t xml:space="preserve">We find that the polar vortex weather condition, the increase in natural gas prices due to the Canadian regulatory change, the increase in demand because of the weather, PJM’s operational requirements, and/or the resulting spot market energy prices do not constitute a good excuse for HIKO’s business decision to not honor a guaranteed discount under the terms and conditions of its Price Offering nor mitigate the warranted imposition of a civil penalty in this case.  </w:t>
      </w:r>
    </w:p>
    <w:p w:rsidR="00050912" w:rsidRPr="00050912" w:rsidRDefault="00050912" w:rsidP="00050912">
      <w:pPr>
        <w:pStyle w:val="BodyFirst1SS"/>
        <w:spacing w:line="240" w:lineRule="auto"/>
        <w:ind w:left="1440" w:right="1440"/>
        <w:jc w:val="left"/>
        <w:rPr>
          <w:sz w:val="26"/>
          <w:szCs w:val="26"/>
        </w:rPr>
      </w:pPr>
    </w:p>
    <w:p w:rsidR="00050912" w:rsidRDefault="00050912" w:rsidP="00050912">
      <w:pPr>
        <w:pStyle w:val="BodyFirst1SS"/>
        <w:spacing w:line="240" w:lineRule="auto"/>
        <w:ind w:left="1440" w:right="1440"/>
        <w:jc w:val="left"/>
        <w:rPr>
          <w:sz w:val="26"/>
          <w:szCs w:val="26"/>
        </w:rPr>
      </w:pPr>
      <w:r w:rsidRPr="00050912">
        <w:rPr>
          <w:sz w:val="26"/>
          <w:szCs w:val="26"/>
        </w:rPr>
        <w:t>There is no evidence to suggest that HIKO’s disclosure statement or welcome letter indicated to the customer that its introductory rate would be dependent upon any of these aforementioned factors.  The company had other variable rate plan customers not on the guaranteed savings plan during those months.  The relevance of such testimony might be plausible in a proceeding regarding the extent to which those variable rates could have increased given the terms and conditions of those disclosure statements.  However, that is not the case here</w:t>
      </w:r>
      <w:r w:rsidR="0068384D">
        <w:rPr>
          <w:sz w:val="26"/>
          <w:szCs w:val="26"/>
        </w:rPr>
        <w:t>.</w:t>
      </w:r>
    </w:p>
    <w:p w:rsidR="00050912" w:rsidRDefault="00050912" w:rsidP="00BB43F5">
      <w:pPr>
        <w:pStyle w:val="BodyFirst1SS"/>
        <w:spacing w:line="360" w:lineRule="auto"/>
        <w:ind w:firstLine="0"/>
        <w:jc w:val="left"/>
        <w:rPr>
          <w:sz w:val="26"/>
          <w:szCs w:val="26"/>
        </w:rPr>
      </w:pPr>
    </w:p>
    <w:p w:rsidR="00050912" w:rsidRDefault="00050912" w:rsidP="00BB43F5">
      <w:pPr>
        <w:pStyle w:val="BodyFirst1SS"/>
        <w:spacing w:line="360" w:lineRule="auto"/>
        <w:ind w:firstLine="0"/>
        <w:jc w:val="left"/>
        <w:rPr>
          <w:sz w:val="26"/>
          <w:szCs w:val="26"/>
        </w:rPr>
      </w:pPr>
      <w:r>
        <w:rPr>
          <w:sz w:val="26"/>
          <w:szCs w:val="26"/>
        </w:rPr>
        <w:t>I.D. at 57; I&amp;E R. Exc. at 14.</w:t>
      </w:r>
    </w:p>
    <w:p w:rsidR="00F24059" w:rsidRDefault="00F24059" w:rsidP="00BB43F5">
      <w:pPr>
        <w:pStyle w:val="BodyFirst1SS"/>
        <w:spacing w:line="360" w:lineRule="auto"/>
        <w:ind w:firstLine="0"/>
        <w:jc w:val="left"/>
        <w:rPr>
          <w:sz w:val="26"/>
          <w:szCs w:val="26"/>
        </w:rPr>
      </w:pPr>
    </w:p>
    <w:p w:rsidR="00BB43F5" w:rsidRDefault="00BB43F5" w:rsidP="00F24059">
      <w:pPr>
        <w:pStyle w:val="BodyFirst1SS"/>
        <w:spacing w:line="360" w:lineRule="auto"/>
        <w:ind w:firstLine="1440"/>
        <w:jc w:val="left"/>
        <w:rPr>
          <w:sz w:val="26"/>
          <w:szCs w:val="26"/>
        </w:rPr>
      </w:pPr>
      <w:r>
        <w:rPr>
          <w:sz w:val="26"/>
          <w:szCs w:val="26"/>
        </w:rPr>
        <w:t xml:space="preserve">We agree </w:t>
      </w:r>
      <w:r w:rsidR="008C48FE">
        <w:rPr>
          <w:sz w:val="26"/>
          <w:szCs w:val="26"/>
        </w:rPr>
        <w:t>with the ALJs</w:t>
      </w:r>
      <w:r w:rsidR="00F24059">
        <w:rPr>
          <w:sz w:val="26"/>
          <w:szCs w:val="26"/>
        </w:rPr>
        <w:t xml:space="preserve"> that </w:t>
      </w:r>
      <w:r>
        <w:rPr>
          <w:sz w:val="26"/>
          <w:szCs w:val="26"/>
        </w:rPr>
        <w:t xml:space="preserve">relying on the spot market for 100% of its supply exposed HIKO to </w:t>
      </w:r>
      <w:r w:rsidR="00F84831">
        <w:rPr>
          <w:sz w:val="26"/>
          <w:szCs w:val="26"/>
        </w:rPr>
        <w:t xml:space="preserve">known </w:t>
      </w:r>
      <w:r w:rsidR="008C48FE">
        <w:rPr>
          <w:sz w:val="26"/>
          <w:szCs w:val="26"/>
        </w:rPr>
        <w:t>risk</w:t>
      </w:r>
      <w:r w:rsidR="00F24059">
        <w:rPr>
          <w:sz w:val="26"/>
          <w:szCs w:val="26"/>
        </w:rPr>
        <w:t>s</w:t>
      </w:r>
      <w:r w:rsidR="006521CF">
        <w:rPr>
          <w:sz w:val="26"/>
          <w:szCs w:val="26"/>
        </w:rPr>
        <w:t>, if not foreseeable events,</w:t>
      </w:r>
      <w:r w:rsidR="00F24059">
        <w:rPr>
          <w:sz w:val="26"/>
          <w:szCs w:val="26"/>
        </w:rPr>
        <w:t xml:space="preserve"> </w:t>
      </w:r>
      <w:r w:rsidR="006521CF">
        <w:rPr>
          <w:sz w:val="26"/>
          <w:szCs w:val="26"/>
        </w:rPr>
        <w:t xml:space="preserve">simply because so many factors upon which the wholesale market depends were outside the Company’s control.  </w:t>
      </w:r>
      <w:r w:rsidR="00F84831">
        <w:rPr>
          <w:sz w:val="26"/>
          <w:szCs w:val="26"/>
        </w:rPr>
        <w:lastRenderedPageBreak/>
        <w:t xml:space="preserve">HIKO cannot credibly </w:t>
      </w:r>
      <w:r w:rsidR="006F2A17">
        <w:rPr>
          <w:sz w:val="26"/>
          <w:szCs w:val="26"/>
        </w:rPr>
        <w:t>maintain</w:t>
      </w:r>
      <w:r w:rsidR="00F84831">
        <w:rPr>
          <w:sz w:val="26"/>
          <w:szCs w:val="26"/>
        </w:rPr>
        <w:t xml:space="preserve"> that relying on a market subject to so many known exposures </w:t>
      </w:r>
      <w:r w:rsidR="006F2A17">
        <w:rPr>
          <w:sz w:val="26"/>
          <w:szCs w:val="26"/>
        </w:rPr>
        <w:t xml:space="preserve">is </w:t>
      </w:r>
      <w:r w:rsidR="00F84831">
        <w:rPr>
          <w:sz w:val="26"/>
          <w:szCs w:val="26"/>
        </w:rPr>
        <w:t>not inherently risky</w:t>
      </w:r>
      <w:r w:rsidR="006F2A17">
        <w:rPr>
          <w:sz w:val="26"/>
          <w:szCs w:val="26"/>
        </w:rPr>
        <w:t xml:space="preserve">, </w:t>
      </w:r>
      <w:r w:rsidR="006F2A17" w:rsidRPr="006F2A17">
        <w:rPr>
          <w:sz w:val="26"/>
          <w:szCs w:val="26"/>
        </w:rPr>
        <w:t>such</w:t>
      </w:r>
      <w:r w:rsidR="006F2A17">
        <w:rPr>
          <w:sz w:val="26"/>
          <w:szCs w:val="26"/>
        </w:rPr>
        <w:t xml:space="preserve"> that</w:t>
      </w:r>
      <w:r w:rsidR="006F2A17" w:rsidRPr="006F2A17">
        <w:rPr>
          <w:sz w:val="26"/>
          <w:szCs w:val="26"/>
        </w:rPr>
        <w:t xml:space="preserve"> they were risks the Company </w:t>
      </w:r>
      <w:r w:rsidR="006F2A17">
        <w:rPr>
          <w:sz w:val="26"/>
          <w:szCs w:val="26"/>
        </w:rPr>
        <w:t xml:space="preserve">apparently </w:t>
      </w:r>
      <w:r w:rsidR="006F2A17" w:rsidRPr="006F2A17">
        <w:rPr>
          <w:sz w:val="26"/>
          <w:szCs w:val="26"/>
        </w:rPr>
        <w:t xml:space="preserve">was willing to assume.  </w:t>
      </w:r>
      <w:r w:rsidR="00F24059">
        <w:rPr>
          <w:sz w:val="26"/>
          <w:szCs w:val="26"/>
        </w:rPr>
        <w:t xml:space="preserve">Stated differently, </w:t>
      </w:r>
      <w:r>
        <w:rPr>
          <w:sz w:val="26"/>
          <w:szCs w:val="26"/>
        </w:rPr>
        <w:t>it</w:t>
      </w:r>
      <w:r w:rsidR="006F2A17">
        <w:rPr>
          <w:sz w:val="26"/>
          <w:szCs w:val="26"/>
        </w:rPr>
        <w:t xml:space="preserve"> was or should have been </w:t>
      </w:r>
      <w:r>
        <w:rPr>
          <w:sz w:val="26"/>
          <w:szCs w:val="26"/>
        </w:rPr>
        <w:t xml:space="preserve">foreseeable that </w:t>
      </w:r>
      <w:r w:rsidR="006F2A17">
        <w:rPr>
          <w:sz w:val="26"/>
          <w:szCs w:val="26"/>
        </w:rPr>
        <w:t xml:space="preserve">exclusive reliance on </w:t>
      </w:r>
      <w:r w:rsidR="008C48FE">
        <w:rPr>
          <w:sz w:val="26"/>
          <w:szCs w:val="26"/>
        </w:rPr>
        <w:t xml:space="preserve">the wholesale </w:t>
      </w:r>
      <w:r w:rsidR="006F2A17">
        <w:rPr>
          <w:sz w:val="26"/>
          <w:szCs w:val="26"/>
        </w:rPr>
        <w:t xml:space="preserve">spot </w:t>
      </w:r>
      <w:r w:rsidR="008C48FE">
        <w:rPr>
          <w:sz w:val="26"/>
          <w:szCs w:val="26"/>
        </w:rPr>
        <w:t xml:space="preserve">market </w:t>
      </w:r>
      <w:r w:rsidR="006F2A17">
        <w:rPr>
          <w:sz w:val="26"/>
          <w:szCs w:val="26"/>
        </w:rPr>
        <w:t xml:space="preserve">could, depending on the confluence of several independent factors at any one time, </w:t>
      </w:r>
      <w:r w:rsidR="00F24059">
        <w:rPr>
          <w:sz w:val="26"/>
          <w:szCs w:val="26"/>
        </w:rPr>
        <w:t xml:space="preserve">produce </w:t>
      </w:r>
      <w:r w:rsidR="006F2A17">
        <w:rPr>
          <w:sz w:val="26"/>
          <w:szCs w:val="26"/>
        </w:rPr>
        <w:t xml:space="preserve">less than </w:t>
      </w:r>
      <w:r w:rsidR="00F24059">
        <w:rPr>
          <w:sz w:val="26"/>
          <w:szCs w:val="26"/>
        </w:rPr>
        <w:t>f</w:t>
      </w:r>
      <w:r w:rsidR="00C3146F">
        <w:rPr>
          <w:sz w:val="26"/>
          <w:szCs w:val="26"/>
        </w:rPr>
        <w:t xml:space="preserve">avorable pricing </w:t>
      </w:r>
      <w:r w:rsidR="006F2A17">
        <w:rPr>
          <w:sz w:val="26"/>
          <w:szCs w:val="26"/>
        </w:rPr>
        <w:t>conditions</w:t>
      </w:r>
      <w:r>
        <w:rPr>
          <w:sz w:val="26"/>
          <w:szCs w:val="26"/>
        </w:rPr>
        <w:t xml:space="preserve">.  </w:t>
      </w:r>
      <w:r w:rsidR="00C3146F">
        <w:rPr>
          <w:sz w:val="26"/>
          <w:szCs w:val="26"/>
        </w:rPr>
        <w:t xml:space="preserve">In addition to </w:t>
      </w:r>
      <w:r w:rsidR="00B57EC3">
        <w:rPr>
          <w:sz w:val="26"/>
          <w:szCs w:val="26"/>
        </w:rPr>
        <w:t xml:space="preserve">the fact that HIKO knew or </w:t>
      </w:r>
      <w:r w:rsidR="00C3146F">
        <w:rPr>
          <w:sz w:val="26"/>
          <w:szCs w:val="26"/>
        </w:rPr>
        <w:t xml:space="preserve">clearly </w:t>
      </w:r>
      <w:r w:rsidR="00B57EC3">
        <w:rPr>
          <w:sz w:val="26"/>
          <w:szCs w:val="26"/>
        </w:rPr>
        <w:t xml:space="preserve">should have known </w:t>
      </w:r>
      <w:r w:rsidR="00C3146F">
        <w:rPr>
          <w:sz w:val="26"/>
          <w:szCs w:val="26"/>
        </w:rPr>
        <w:t xml:space="preserve">that many moving pieces </w:t>
      </w:r>
      <w:r w:rsidR="00B57EC3">
        <w:rPr>
          <w:sz w:val="26"/>
          <w:szCs w:val="26"/>
        </w:rPr>
        <w:t xml:space="preserve">affecting the wholesale spot market </w:t>
      </w:r>
      <w:r w:rsidR="00C3146F">
        <w:rPr>
          <w:sz w:val="26"/>
          <w:szCs w:val="26"/>
        </w:rPr>
        <w:t xml:space="preserve">were outside its control, the Company also should have been able to foresee that </w:t>
      </w:r>
      <w:r w:rsidR="008C48FE">
        <w:rPr>
          <w:sz w:val="26"/>
          <w:szCs w:val="26"/>
        </w:rPr>
        <w:t xml:space="preserve">relying </w:t>
      </w:r>
      <w:r>
        <w:rPr>
          <w:sz w:val="26"/>
          <w:szCs w:val="26"/>
        </w:rPr>
        <w:t>on its customers as financial guarantors</w:t>
      </w:r>
      <w:r w:rsidR="00B57EC3">
        <w:rPr>
          <w:sz w:val="26"/>
          <w:szCs w:val="26"/>
        </w:rPr>
        <w:t>,</w:t>
      </w:r>
      <w:r>
        <w:rPr>
          <w:sz w:val="26"/>
          <w:szCs w:val="26"/>
        </w:rPr>
        <w:t xml:space="preserve"> when its finances were stretched because of </w:t>
      </w:r>
      <w:r w:rsidR="00C3146F">
        <w:rPr>
          <w:sz w:val="26"/>
          <w:szCs w:val="26"/>
        </w:rPr>
        <w:t>th</w:t>
      </w:r>
      <w:r w:rsidR="00B57EC3">
        <w:rPr>
          <w:sz w:val="26"/>
          <w:szCs w:val="26"/>
        </w:rPr>
        <w:t>o</w:t>
      </w:r>
      <w:r w:rsidR="00C3146F">
        <w:rPr>
          <w:sz w:val="26"/>
          <w:szCs w:val="26"/>
        </w:rPr>
        <w:t xml:space="preserve">se </w:t>
      </w:r>
      <w:r w:rsidR="008C48FE">
        <w:rPr>
          <w:sz w:val="26"/>
          <w:szCs w:val="26"/>
        </w:rPr>
        <w:t xml:space="preserve">many </w:t>
      </w:r>
      <w:r>
        <w:rPr>
          <w:sz w:val="26"/>
          <w:szCs w:val="26"/>
        </w:rPr>
        <w:t xml:space="preserve">circumstances </w:t>
      </w:r>
      <w:r w:rsidR="00C3146F">
        <w:rPr>
          <w:sz w:val="26"/>
          <w:szCs w:val="26"/>
        </w:rPr>
        <w:t>outside its control</w:t>
      </w:r>
      <w:r w:rsidR="00B57EC3">
        <w:rPr>
          <w:sz w:val="26"/>
          <w:szCs w:val="26"/>
        </w:rPr>
        <w:t>,</w:t>
      </w:r>
      <w:r w:rsidR="00C3146F">
        <w:rPr>
          <w:sz w:val="26"/>
          <w:szCs w:val="26"/>
        </w:rPr>
        <w:t xml:space="preserve"> </w:t>
      </w:r>
      <w:r>
        <w:rPr>
          <w:sz w:val="26"/>
          <w:szCs w:val="26"/>
        </w:rPr>
        <w:t xml:space="preserve">was </w:t>
      </w:r>
      <w:r>
        <w:rPr>
          <w:i/>
          <w:sz w:val="26"/>
          <w:szCs w:val="26"/>
        </w:rPr>
        <w:t xml:space="preserve">not </w:t>
      </w:r>
      <w:r>
        <w:rPr>
          <w:sz w:val="26"/>
          <w:szCs w:val="26"/>
        </w:rPr>
        <w:t>a</w:t>
      </w:r>
      <w:r w:rsidR="006F2A17">
        <w:rPr>
          <w:sz w:val="26"/>
          <w:szCs w:val="26"/>
        </w:rPr>
        <w:t xml:space="preserve"> valid </w:t>
      </w:r>
      <w:r>
        <w:rPr>
          <w:sz w:val="26"/>
          <w:szCs w:val="26"/>
        </w:rPr>
        <w:t>option</w:t>
      </w:r>
      <w:r w:rsidR="00C3146F">
        <w:rPr>
          <w:sz w:val="26"/>
          <w:szCs w:val="26"/>
        </w:rPr>
        <w:t xml:space="preserve"> in the face of </w:t>
      </w:r>
      <w:r w:rsidR="00B57EC3">
        <w:rPr>
          <w:sz w:val="26"/>
          <w:szCs w:val="26"/>
        </w:rPr>
        <w:t xml:space="preserve">its </w:t>
      </w:r>
      <w:r w:rsidR="00C3146F">
        <w:rPr>
          <w:sz w:val="26"/>
          <w:szCs w:val="26"/>
        </w:rPr>
        <w:t>contractual guarantees</w:t>
      </w:r>
      <w:r w:rsidR="00B57EC3">
        <w:rPr>
          <w:sz w:val="26"/>
          <w:szCs w:val="26"/>
        </w:rPr>
        <w:t xml:space="preserve"> and </w:t>
      </w:r>
      <w:r w:rsidR="00F24059">
        <w:rPr>
          <w:sz w:val="26"/>
          <w:szCs w:val="26"/>
        </w:rPr>
        <w:t>existing regulatory protections</w:t>
      </w:r>
      <w:r>
        <w:rPr>
          <w:sz w:val="26"/>
          <w:szCs w:val="26"/>
        </w:rPr>
        <w:t>.</w:t>
      </w:r>
      <w:r w:rsidR="006F2A17">
        <w:rPr>
          <w:sz w:val="26"/>
          <w:szCs w:val="26"/>
        </w:rPr>
        <w:t xml:space="preserve">  It was the Company’s sole decision how to structure a compatible price and supply scheme.</w:t>
      </w:r>
    </w:p>
    <w:p w:rsidR="00BB43F5" w:rsidRDefault="00BB43F5" w:rsidP="00BB43F5">
      <w:pPr>
        <w:pStyle w:val="BodyFirst1SS"/>
        <w:spacing w:line="360" w:lineRule="auto"/>
        <w:ind w:firstLine="0"/>
        <w:jc w:val="left"/>
        <w:rPr>
          <w:sz w:val="26"/>
          <w:szCs w:val="26"/>
        </w:rPr>
      </w:pPr>
    </w:p>
    <w:p w:rsidR="00BB43F5" w:rsidRDefault="00F24059" w:rsidP="00F24059">
      <w:pPr>
        <w:pStyle w:val="BodyFirst1SS"/>
        <w:spacing w:line="360" w:lineRule="auto"/>
        <w:ind w:firstLine="1440"/>
        <w:jc w:val="left"/>
        <w:rPr>
          <w:sz w:val="26"/>
          <w:szCs w:val="26"/>
        </w:rPr>
      </w:pPr>
      <w:r>
        <w:rPr>
          <w:sz w:val="26"/>
          <w:szCs w:val="26"/>
        </w:rPr>
        <w:t xml:space="preserve">HIKO’s argument that the ALJs overstated the civil penalty because two-thirds of the </w:t>
      </w:r>
      <w:r w:rsidR="006F2A17">
        <w:rPr>
          <w:sz w:val="26"/>
          <w:szCs w:val="26"/>
        </w:rPr>
        <w:t xml:space="preserve">overbilled </w:t>
      </w:r>
      <w:r>
        <w:rPr>
          <w:sz w:val="26"/>
          <w:szCs w:val="26"/>
        </w:rPr>
        <w:t>customers were over</w:t>
      </w:r>
      <w:r w:rsidR="006F2A17">
        <w:rPr>
          <w:sz w:val="26"/>
          <w:szCs w:val="26"/>
        </w:rPr>
        <w:t xml:space="preserve">charged </w:t>
      </w:r>
      <w:r>
        <w:rPr>
          <w:sz w:val="26"/>
          <w:szCs w:val="26"/>
        </w:rPr>
        <w:t>by less than $100</w:t>
      </w:r>
      <w:r w:rsidR="00F14541">
        <w:rPr>
          <w:sz w:val="26"/>
          <w:szCs w:val="26"/>
        </w:rPr>
        <w:t xml:space="preserve"> is </w:t>
      </w:r>
      <w:r w:rsidR="00DA3910">
        <w:rPr>
          <w:sz w:val="26"/>
          <w:szCs w:val="26"/>
        </w:rPr>
        <w:t>insufficient to cause us to adjust the ALJs’ finding</w:t>
      </w:r>
      <w:r>
        <w:rPr>
          <w:sz w:val="26"/>
          <w:szCs w:val="26"/>
        </w:rPr>
        <w:t xml:space="preserve">.  </w:t>
      </w:r>
      <w:r w:rsidR="00DA3910">
        <w:rPr>
          <w:sz w:val="26"/>
          <w:szCs w:val="26"/>
        </w:rPr>
        <w:t>T</w:t>
      </w:r>
      <w:r w:rsidR="00F14541">
        <w:rPr>
          <w:sz w:val="26"/>
          <w:szCs w:val="26"/>
        </w:rPr>
        <w:t xml:space="preserve">he $125 per violation determined by the ALJs approximates the </w:t>
      </w:r>
      <w:r w:rsidR="00DA3910">
        <w:rPr>
          <w:sz w:val="26"/>
          <w:szCs w:val="26"/>
        </w:rPr>
        <w:t xml:space="preserve">Company’s </w:t>
      </w:r>
      <w:r w:rsidR="00F14541">
        <w:rPr>
          <w:sz w:val="26"/>
          <w:szCs w:val="26"/>
        </w:rPr>
        <w:t>average overbilling of $124</w:t>
      </w:r>
      <w:r w:rsidR="00DA3910">
        <w:rPr>
          <w:sz w:val="26"/>
          <w:szCs w:val="26"/>
        </w:rPr>
        <w:t>.  It is thus</w:t>
      </w:r>
      <w:r w:rsidR="006F2A17">
        <w:rPr>
          <w:sz w:val="26"/>
          <w:szCs w:val="26"/>
        </w:rPr>
        <w:t xml:space="preserve"> </w:t>
      </w:r>
      <w:r w:rsidR="00F14541">
        <w:rPr>
          <w:sz w:val="26"/>
          <w:szCs w:val="26"/>
        </w:rPr>
        <w:t>comparable to the overbilling</w:t>
      </w:r>
      <w:r w:rsidR="001A20FD">
        <w:rPr>
          <w:sz w:val="26"/>
          <w:szCs w:val="26"/>
        </w:rPr>
        <w:t xml:space="preserve">s </w:t>
      </w:r>
      <w:r w:rsidR="00DA3910">
        <w:rPr>
          <w:sz w:val="26"/>
          <w:szCs w:val="26"/>
        </w:rPr>
        <w:t>no</w:t>
      </w:r>
      <w:r w:rsidR="006F2A17">
        <w:rPr>
          <w:sz w:val="26"/>
          <w:szCs w:val="26"/>
        </w:rPr>
        <w:t xml:space="preserve">twithstanding any </w:t>
      </w:r>
      <w:r w:rsidR="001A20FD">
        <w:rPr>
          <w:sz w:val="26"/>
          <w:szCs w:val="26"/>
        </w:rPr>
        <w:t>number above or below that average</w:t>
      </w:r>
      <w:r w:rsidR="00F14541">
        <w:rPr>
          <w:sz w:val="26"/>
          <w:szCs w:val="26"/>
        </w:rPr>
        <w:t>.</w:t>
      </w:r>
      <w:r w:rsidR="0055281E">
        <w:rPr>
          <w:sz w:val="26"/>
          <w:szCs w:val="26"/>
        </w:rPr>
        <w:t xml:space="preserve">  </w:t>
      </w:r>
      <w:r w:rsidR="00DA3910">
        <w:rPr>
          <w:sz w:val="26"/>
          <w:szCs w:val="26"/>
        </w:rPr>
        <w:t xml:space="preserve">While comparability in and of itself does not justify the $125 as an appropriate amount for a penalty for each violation, we find the correlation between the two to temper HIKO’s claim that the determination is too high.  Also, although </w:t>
      </w:r>
      <w:r w:rsidR="0055281E">
        <w:rPr>
          <w:sz w:val="26"/>
          <w:szCs w:val="26"/>
        </w:rPr>
        <w:t xml:space="preserve">we find the support for the ALJs’ conclusion that customers suffered financial hardship lacking on this record, </w:t>
      </w:r>
      <w:r w:rsidR="00D73060">
        <w:rPr>
          <w:sz w:val="26"/>
          <w:szCs w:val="26"/>
        </w:rPr>
        <w:t>consumer testimony admitted into the record to support the</w:t>
      </w:r>
      <w:r w:rsidR="006F2A17">
        <w:rPr>
          <w:sz w:val="26"/>
          <w:szCs w:val="26"/>
        </w:rPr>
        <w:t xml:space="preserve"> parties’ agreement in</w:t>
      </w:r>
      <w:r w:rsidR="00D73060">
        <w:rPr>
          <w:sz w:val="26"/>
          <w:szCs w:val="26"/>
        </w:rPr>
        <w:t xml:space="preserve"> </w:t>
      </w:r>
      <w:r w:rsidR="00D73060">
        <w:rPr>
          <w:i/>
          <w:sz w:val="26"/>
          <w:szCs w:val="26"/>
        </w:rPr>
        <w:t xml:space="preserve">OAG/OCA-HIKO </w:t>
      </w:r>
      <w:r w:rsidR="00D73060" w:rsidRPr="00D73060">
        <w:rPr>
          <w:i/>
          <w:sz w:val="26"/>
          <w:szCs w:val="26"/>
        </w:rPr>
        <w:t>Settlement</w:t>
      </w:r>
      <w:r w:rsidR="00D73060">
        <w:rPr>
          <w:sz w:val="26"/>
          <w:szCs w:val="26"/>
        </w:rPr>
        <w:t xml:space="preserve"> addresses that issue.</w:t>
      </w:r>
      <w:r w:rsidR="00D73060">
        <w:rPr>
          <w:rStyle w:val="FootnoteReference"/>
          <w:sz w:val="26"/>
          <w:szCs w:val="26"/>
        </w:rPr>
        <w:footnoteReference w:id="14"/>
      </w:r>
      <w:r w:rsidR="00D73060">
        <w:rPr>
          <w:sz w:val="26"/>
          <w:szCs w:val="26"/>
        </w:rPr>
        <w:t xml:space="preserve">  </w:t>
      </w:r>
      <w:r w:rsidR="00DA3910">
        <w:rPr>
          <w:sz w:val="26"/>
          <w:szCs w:val="26"/>
        </w:rPr>
        <w:t>P</w:t>
      </w:r>
      <w:r w:rsidR="00D73060">
        <w:rPr>
          <w:sz w:val="26"/>
          <w:szCs w:val="26"/>
        </w:rPr>
        <w:t xml:space="preserve">lacing little </w:t>
      </w:r>
      <w:r w:rsidR="00DA3910">
        <w:rPr>
          <w:sz w:val="26"/>
          <w:szCs w:val="26"/>
        </w:rPr>
        <w:t xml:space="preserve">or no </w:t>
      </w:r>
      <w:r w:rsidR="00D73060">
        <w:rPr>
          <w:sz w:val="26"/>
          <w:szCs w:val="26"/>
        </w:rPr>
        <w:t>weight on this particular finding by the ALJs, however, does not disturb our conclusion that the civil penalty recommended by the ALJs on the whole is appropriate.</w:t>
      </w:r>
      <w:r w:rsidR="00442E25">
        <w:rPr>
          <w:sz w:val="26"/>
          <w:szCs w:val="26"/>
        </w:rPr>
        <w:t xml:space="preserve"> </w:t>
      </w:r>
    </w:p>
    <w:p w:rsidR="00F14541" w:rsidRDefault="00F14541" w:rsidP="00F24059">
      <w:pPr>
        <w:pStyle w:val="BodyFirst1SS"/>
        <w:spacing w:line="360" w:lineRule="auto"/>
        <w:ind w:firstLine="1440"/>
        <w:jc w:val="left"/>
        <w:rPr>
          <w:sz w:val="26"/>
          <w:szCs w:val="26"/>
        </w:rPr>
      </w:pPr>
    </w:p>
    <w:p w:rsidR="00F14541" w:rsidRDefault="00F14541" w:rsidP="00F24059">
      <w:pPr>
        <w:pStyle w:val="BodyFirst1SS"/>
        <w:spacing w:line="360" w:lineRule="auto"/>
        <w:ind w:firstLine="1440"/>
        <w:jc w:val="left"/>
        <w:rPr>
          <w:sz w:val="26"/>
          <w:szCs w:val="26"/>
        </w:rPr>
      </w:pPr>
      <w:r>
        <w:rPr>
          <w:sz w:val="26"/>
          <w:szCs w:val="26"/>
        </w:rPr>
        <w:lastRenderedPageBreak/>
        <w:t xml:space="preserve">We also disagree with HIKO that </w:t>
      </w:r>
      <w:r w:rsidR="001A20FD">
        <w:rPr>
          <w:sz w:val="26"/>
          <w:szCs w:val="26"/>
        </w:rPr>
        <w:t xml:space="preserve">in developing the penalty </w:t>
      </w:r>
      <w:r>
        <w:rPr>
          <w:sz w:val="26"/>
          <w:szCs w:val="26"/>
        </w:rPr>
        <w:t xml:space="preserve">the ALJs </w:t>
      </w:r>
      <w:r w:rsidR="00672042">
        <w:rPr>
          <w:sz w:val="26"/>
          <w:szCs w:val="26"/>
        </w:rPr>
        <w:t xml:space="preserve">failed to </w:t>
      </w:r>
      <w:r w:rsidR="001A20FD">
        <w:rPr>
          <w:sz w:val="26"/>
          <w:szCs w:val="26"/>
        </w:rPr>
        <w:t xml:space="preserve">consider </w:t>
      </w:r>
      <w:r w:rsidR="00672042">
        <w:rPr>
          <w:sz w:val="26"/>
          <w:szCs w:val="26"/>
        </w:rPr>
        <w:t xml:space="preserve">all </w:t>
      </w:r>
      <w:r>
        <w:rPr>
          <w:sz w:val="26"/>
          <w:szCs w:val="26"/>
        </w:rPr>
        <w:t>modifications HIKO</w:t>
      </w:r>
      <w:r w:rsidR="009D4EE0">
        <w:rPr>
          <w:sz w:val="26"/>
          <w:szCs w:val="26"/>
        </w:rPr>
        <w:t xml:space="preserve"> made to its</w:t>
      </w:r>
      <w:r>
        <w:rPr>
          <w:sz w:val="26"/>
          <w:szCs w:val="26"/>
        </w:rPr>
        <w:t xml:space="preserve"> internal practices.  </w:t>
      </w:r>
      <w:r w:rsidR="00672042">
        <w:rPr>
          <w:sz w:val="26"/>
          <w:szCs w:val="26"/>
        </w:rPr>
        <w:t>On this point th</w:t>
      </w:r>
      <w:r>
        <w:rPr>
          <w:sz w:val="26"/>
          <w:szCs w:val="26"/>
        </w:rPr>
        <w:t xml:space="preserve">e ALJs found that HIKO’s agreement to </w:t>
      </w:r>
      <w:r w:rsidR="009D4EE0">
        <w:rPr>
          <w:sz w:val="26"/>
          <w:szCs w:val="26"/>
        </w:rPr>
        <w:t xml:space="preserve">implement </w:t>
      </w:r>
      <w:r>
        <w:rPr>
          <w:sz w:val="26"/>
          <w:szCs w:val="26"/>
        </w:rPr>
        <w:t xml:space="preserve">internal procedural changes adopted in </w:t>
      </w:r>
      <w:r>
        <w:rPr>
          <w:i/>
          <w:sz w:val="26"/>
          <w:szCs w:val="26"/>
        </w:rPr>
        <w:t>OAG/OCA-HIKO Settlement</w:t>
      </w:r>
      <w:r>
        <w:rPr>
          <w:sz w:val="26"/>
          <w:szCs w:val="26"/>
        </w:rPr>
        <w:t xml:space="preserve"> warranted in favor of a lower penalty.  As for the changes HIKO asserts it made outside that settlement, the ALJs found that “in the early phases of HIKO’s overbilling, the Company made no effort to voluntarily cease the overbilling[,]” but instead deliberately chose to continue the overbilling for four consecutive months while offering refunds only to customers who complained.  I.D. at </w:t>
      </w:r>
      <w:r w:rsidR="009D4EE0">
        <w:rPr>
          <w:sz w:val="26"/>
          <w:szCs w:val="26"/>
        </w:rPr>
        <w:t xml:space="preserve">43.  The ALJs also expressed concern that HIKO’s inclusion of six-month contracts in its supply portfolio may not provide sufficient risk management, particularly in face of the Company’s continued desire to offer guaranteed savings contracts.  </w:t>
      </w:r>
      <w:r w:rsidR="00303E50">
        <w:rPr>
          <w:sz w:val="26"/>
          <w:szCs w:val="26"/>
        </w:rPr>
        <w:t xml:space="preserve">The ALJs were unpersuaded that HIKO’s actions outside of those agreed to in </w:t>
      </w:r>
      <w:r w:rsidR="00303E50" w:rsidRPr="00303E50">
        <w:rPr>
          <w:i/>
          <w:sz w:val="26"/>
          <w:szCs w:val="26"/>
        </w:rPr>
        <w:t>OAG/OCA-HIKO Settlement</w:t>
      </w:r>
      <w:r w:rsidR="00303E50">
        <w:rPr>
          <w:sz w:val="26"/>
          <w:szCs w:val="26"/>
        </w:rPr>
        <w:t xml:space="preserve"> warranted consideration of a lower penalty</w:t>
      </w:r>
      <w:r w:rsidR="00672042">
        <w:rPr>
          <w:sz w:val="26"/>
          <w:szCs w:val="26"/>
        </w:rPr>
        <w:t>.  W</w:t>
      </w:r>
      <w:r w:rsidR="00303E50">
        <w:rPr>
          <w:sz w:val="26"/>
          <w:szCs w:val="26"/>
        </w:rPr>
        <w:t>e agree</w:t>
      </w:r>
      <w:r w:rsidR="00672042">
        <w:rPr>
          <w:sz w:val="26"/>
          <w:szCs w:val="26"/>
        </w:rPr>
        <w:t xml:space="preserve"> and find</w:t>
      </w:r>
      <w:r w:rsidR="00303E50">
        <w:rPr>
          <w:sz w:val="26"/>
          <w:szCs w:val="26"/>
        </w:rPr>
        <w:t xml:space="preserve"> most </w:t>
      </w:r>
      <w:r w:rsidR="009D4EE0">
        <w:rPr>
          <w:sz w:val="26"/>
          <w:szCs w:val="26"/>
        </w:rPr>
        <w:t xml:space="preserve">compelling the ALJs’ conclusion that HIKO’s illegal billing practices continued for four consecutive months </w:t>
      </w:r>
      <w:r w:rsidR="00303E50">
        <w:rPr>
          <w:sz w:val="26"/>
          <w:szCs w:val="26"/>
        </w:rPr>
        <w:t xml:space="preserve">with </w:t>
      </w:r>
      <w:r w:rsidR="009D4EE0">
        <w:rPr>
          <w:sz w:val="26"/>
          <w:szCs w:val="26"/>
        </w:rPr>
        <w:t>the Company beg</w:t>
      </w:r>
      <w:r w:rsidR="00303E50">
        <w:rPr>
          <w:sz w:val="26"/>
          <w:szCs w:val="26"/>
        </w:rPr>
        <w:t xml:space="preserve">inning to </w:t>
      </w:r>
      <w:r w:rsidR="009D4EE0">
        <w:rPr>
          <w:sz w:val="26"/>
          <w:szCs w:val="26"/>
        </w:rPr>
        <w:t>issu</w:t>
      </w:r>
      <w:r w:rsidR="00303E50">
        <w:rPr>
          <w:sz w:val="26"/>
          <w:szCs w:val="26"/>
        </w:rPr>
        <w:t>e</w:t>
      </w:r>
      <w:r w:rsidR="009D4EE0">
        <w:rPr>
          <w:sz w:val="26"/>
          <w:szCs w:val="26"/>
        </w:rPr>
        <w:t xml:space="preserve"> refunds </w:t>
      </w:r>
      <w:r w:rsidR="00303E50">
        <w:rPr>
          <w:sz w:val="26"/>
          <w:szCs w:val="26"/>
        </w:rPr>
        <w:t xml:space="preserve">only </w:t>
      </w:r>
      <w:r w:rsidR="009D4EE0">
        <w:rPr>
          <w:sz w:val="26"/>
          <w:szCs w:val="26"/>
        </w:rPr>
        <w:t>after customers filed informal complaints with our Bureau of Consumer Services (BCS).</w:t>
      </w:r>
    </w:p>
    <w:p w:rsidR="008E1D92" w:rsidRDefault="008E1D92" w:rsidP="00F24059">
      <w:pPr>
        <w:pStyle w:val="BodyFirst1SS"/>
        <w:spacing w:line="360" w:lineRule="auto"/>
        <w:ind w:firstLine="1440"/>
        <w:jc w:val="left"/>
        <w:rPr>
          <w:sz w:val="26"/>
          <w:szCs w:val="26"/>
        </w:rPr>
      </w:pPr>
    </w:p>
    <w:p w:rsidR="00417BB7" w:rsidRDefault="001773ED" w:rsidP="001A20FD">
      <w:pPr>
        <w:pStyle w:val="BodyFirst1SS"/>
        <w:spacing w:line="360" w:lineRule="auto"/>
        <w:ind w:firstLine="1440"/>
        <w:jc w:val="left"/>
        <w:rPr>
          <w:sz w:val="26"/>
          <w:szCs w:val="26"/>
        </w:rPr>
      </w:pPr>
      <w:r>
        <w:rPr>
          <w:sz w:val="26"/>
          <w:szCs w:val="26"/>
        </w:rPr>
        <w:t xml:space="preserve">The </w:t>
      </w:r>
      <w:r w:rsidR="001A20FD">
        <w:rPr>
          <w:sz w:val="26"/>
          <w:szCs w:val="26"/>
        </w:rPr>
        <w:t xml:space="preserve">next issue raised by HIKO, </w:t>
      </w:r>
      <w:r>
        <w:rPr>
          <w:sz w:val="26"/>
          <w:szCs w:val="26"/>
        </w:rPr>
        <w:t>evidence of HIKO’s compliance with our surety requirements</w:t>
      </w:r>
      <w:r w:rsidR="001A20FD">
        <w:rPr>
          <w:sz w:val="26"/>
          <w:szCs w:val="26"/>
        </w:rPr>
        <w:t>,</w:t>
      </w:r>
      <w:r>
        <w:rPr>
          <w:sz w:val="26"/>
          <w:szCs w:val="26"/>
        </w:rPr>
        <w:t xml:space="preserve"> is unclear at best, rendering us unable to reach any conclusion on this point.  HIKO contends that I&amp;E never raised this issue and presented no evidence with respect to the Company’s compliance</w:t>
      </w:r>
      <w:r w:rsidR="0057061A">
        <w:rPr>
          <w:sz w:val="26"/>
          <w:szCs w:val="26"/>
        </w:rPr>
        <w:t>.  R</w:t>
      </w:r>
      <w:r>
        <w:rPr>
          <w:sz w:val="26"/>
          <w:szCs w:val="26"/>
        </w:rPr>
        <w:t xml:space="preserve">ather I&amp;E addressed untimely compliance with the bond renewal in its brief, but </w:t>
      </w:r>
      <w:r w:rsidR="0057061A">
        <w:rPr>
          <w:sz w:val="26"/>
          <w:szCs w:val="26"/>
        </w:rPr>
        <w:t xml:space="preserve">even then </w:t>
      </w:r>
      <w:r>
        <w:rPr>
          <w:sz w:val="26"/>
          <w:szCs w:val="26"/>
        </w:rPr>
        <w:t xml:space="preserve">focused instead on the probationary nature of HIKO’s license.  </w:t>
      </w:r>
      <w:r w:rsidR="001A20FD">
        <w:rPr>
          <w:sz w:val="26"/>
          <w:szCs w:val="26"/>
        </w:rPr>
        <w:t xml:space="preserve">HIKO Exc. at 27.  </w:t>
      </w:r>
      <w:r>
        <w:rPr>
          <w:sz w:val="26"/>
          <w:szCs w:val="26"/>
        </w:rPr>
        <w:t xml:space="preserve">Attempting to </w:t>
      </w:r>
      <w:r w:rsidR="0057061A">
        <w:rPr>
          <w:sz w:val="26"/>
          <w:szCs w:val="26"/>
        </w:rPr>
        <w:t>dis</w:t>
      </w:r>
      <w:r>
        <w:rPr>
          <w:sz w:val="26"/>
          <w:szCs w:val="26"/>
        </w:rPr>
        <w:t xml:space="preserve">prove the ALJs’ finding that HIKO’s surety had </w:t>
      </w:r>
      <w:r w:rsidR="0057061A">
        <w:rPr>
          <w:sz w:val="26"/>
          <w:szCs w:val="26"/>
        </w:rPr>
        <w:t xml:space="preserve">been </w:t>
      </w:r>
      <w:r>
        <w:rPr>
          <w:sz w:val="26"/>
          <w:szCs w:val="26"/>
        </w:rPr>
        <w:t xml:space="preserve">expired during the January through March 2014 </w:t>
      </w:r>
      <w:r w:rsidR="00672042">
        <w:rPr>
          <w:sz w:val="26"/>
          <w:szCs w:val="26"/>
        </w:rPr>
        <w:t xml:space="preserve">violation </w:t>
      </w:r>
      <w:r>
        <w:rPr>
          <w:sz w:val="26"/>
          <w:szCs w:val="26"/>
        </w:rPr>
        <w:t>period and was only renewed in April</w:t>
      </w:r>
      <w:r w:rsidR="0057061A">
        <w:rPr>
          <w:sz w:val="26"/>
          <w:szCs w:val="26"/>
        </w:rPr>
        <w:t> </w:t>
      </w:r>
      <w:r>
        <w:rPr>
          <w:sz w:val="26"/>
          <w:szCs w:val="26"/>
        </w:rPr>
        <w:t>2015</w:t>
      </w:r>
      <w:r w:rsidR="0057061A">
        <w:rPr>
          <w:sz w:val="26"/>
          <w:szCs w:val="26"/>
        </w:rPr>
        <w:t xml:space="preserve"> (FOF No. 80, I.D. at 19, 47)</w:t>
      </w:r>
      <w:r>
        <w:rPr>
          <w:sz w:val="26"/>
          <w:szCs w:val="26"/>
        </w:rPr>
        <w:t xml:space="preserve">, </w:t>
      </w:r>
      <w:r w:rsidR="0057061A">
        <w:rPr>
          <w:sz w:val="26"/>
          <w:szCs w:val="26"/>
        </w:rPr>
        <w:t xml:space="preserve">HIKO attaches to its Exceptions letters between our staff </w:t>
      </w:r>
      <w:r w:rsidR="00672042">
        <w:rPr>
          <w:sz w:val="26"/>
          <w:szCs w:val="26"/>
        </w:rPr>
        <w:t>a</w:t>
      </w:r>
      <w:r w:rsidR="0057061A">
        <w:rPr>
          <w:sz w:val="26"/>
          <w:szCs w:val="26"/>
        </w:rPr>
        <w:t>nd the Company</w:t>
      </w:r>
      <w:r w:rsidR="00EB0968">
        <w:rPr>
          <w:sz w:val="26"/>
          <w:szCs w:val="26"/>
        </w:rPr>
        <w:t>,</w:t>
      </w:r>
      <w:r w:rsidR="0057061A">
        <w:rPr>
          <w:sz w:val="26"/>
          <w:szCs w:val="26"/>
        </w:rPr>
        <w:t xml:space="preserve"> contending </w:t>
      </w:r>
      <w:r w:rsidR="00EB0968">
        <w:rPr>
          <w:sz w:val="26"/>
          <w:szCs w:val="26"/>
        </w:rPr>
        <w:t xml:space="preserve">that </w:t>
      </w:r>
      <w:r w:rsidR="00672042">
        <w:rPr>
          <w:sz w:val="26"/>
          <w:szCs w:val="26"/>
        </w:rPr>
        <w:t xml:space="preserve">the </w:t>
      </w:r>
      <w:r w:rsidR="00EB0968">
        <w:rPr>
          <w:sz w:val="26"/>
          <w:szCs w:val="26"/>
        </w:rPr>
        <w:t>correspondence</w:t>
      </w:r>
      <w:r w:rsidR="0057061A">
        <w:rPr>
          <w:sz w:val="26"/>
          <w:szCs w:val="26"/>
        </w:rPr>
        <w:t xml:space="preserve"> demonstrate</w:t>
      </w:r>
      <w:r w:rsidR="00EB0968">
        <w:rPr>
          <w:sz w:val="26"/>
          <w:szCs w:val="26"/>
        </w:rPr>
        <w:t>s</w:t>
      </w:r>
      <w:r w:rsidR="0057061A">
        <w:rPr>
          <w:sz w:val="26"/>
          <w:szCs w:val="26"/>
        </w:rPr>
        <w:t xml:space="preserve"> that HIKO had the requisite surety in place during the time of the violations.</w:t>
      </w:r>
    </w:p>
    <w:p w:rsidR="00417BB7" w:rsidRDefault="00417BB7" w:rsidP="001A20FD">
      <w:pPr>
        <w:pStyle w:val="BodyFirst1SS"/>
        <w:spacing w:line="360" w:lineRule="auto"/>
        <w:ind w:firstLine="1440"/>
        <w:jc w:val="left"/>
        <w:rPr>
          <w:sz w:val="26"/>
          <w:szCs w:val="26"/>
        </w:rPr>
      </w:pPr>
    </w:p>
    <w:p w:rsidR="00EB0968" w:rsidRDefault="0057061A" w:rsidP="001A20FD">
      <w:pPr>
        <w:pStyle w:val="BodyFirst1SS"/>
        <w:spacing w:line="360" w:lineRule="auto"/>
        <w:ind w:firstLine="1440"/>
        <w:jc w:val="left"/>
        <w:rPr>
          <w:sz w:val="26"/>
          <w:szCs w:val="26"/>
        </w:rPr>
      </w:pPr>
      <w:r>
        <w:rPr>
          <w:sz w:val="26"/>
          <w:szCs w:val="26"/>
        </w:rPr>
        <w:lastRenderedPageBreak/>
        <w:t xml:space="preserve">I&amp;E on the other hand contends that no public documents </w:t>
      </w:r>
      <w:r w:rsidR="00417BB7">
        <w:rPr>
          <w:sz w:val="26"/>
          <w:szCs w:val="26"/>
        </w:rPr>
        <w:t>support HIKO’s claim that it</w:t>
      </w:r>
      <w:r>
        <w:rPr>
          <w:sz w:val="26"/>
          <w:szCs w:val="26"/>
        </w:rPr>
        <w:t xml:space="preserve"> complied with our staff’s October 21, 2014 sixty-day bond renewal notice </w:t>
      </w:r>
      <w:r w:rsidR="00EB0968">
        <w:rPr>
          <w:sz w:val="26"/>
          <w:szCs w:val="26"/>
        </w:rPr>
        <w:t xml:space="preserve">for calendar year </w:t>
      </w:r>
      <w:r w:rsidR="00143204" w:rsidRPr="00143204">
        <w:rPr>
          <w:sz w:val="26"/>
          <w:szCs w:val="26"/>
        </w:rPr>
        <w:t xml:space="preserve">(CY) </w:t>
      </w:r>
      <w:r w:rsidR="00EB0968" w:rsidRPr="00672042">
        <w:rPr>
          <w:b/>
          <w:sz w:val="26"/>
          <w:szCs w:val="26"/>
        </w:rPr>
        <w:t>2015</w:t>
      </w:r>
      <w:r w:rsidR="00143204">
        <w:rPr>
          <w:sz w:val="26"/>
          <w:szCs w:val="26"/>
        </w:rPr>
        <w:t xml:space="preserve"> </w:t>
      </w:r>
      <w:r w:rsidR="00672042">
        <w:rPr>
          <w:sz w:val="26"/>
          <w:szCs w:val="26"/>
        </w:rPr>
        <w:t xml:space="preserve">(the CY following the violations) </w:t>
      </w:r>
      <w:r w:rsidR="00EB0968">
        <w:rPr>
          <w:sz w:val="26"/>
          <w:szCs w:val="26"/>
        </w:rPr>
        <w:t xml:space="preserve">as evidenced by the February 20, 2015 Secretarial Letter.  </w:t>
      </w:r>
      <w:r>
        <w:rPr>
          <w:sz w:val="26"/>
          <w:szCs w:val="26"/>
        </w:rPr>
        <w:t>However, we find inconsistencies in what HIKO purports these documents represent</w:t>
      </w:r>
      <w:r w:rsidR="00EB0968">
        <w:rPr>
          <w:sz w:val="26"/>
          <w:szCs w:val="26"/>
        </w:rPr>
        <w:t xml:space="preserve"> as well as inconsistencies between the time-frame during which the surety had allegedly lapsed, January through March 2014 and the time-frame addressed in the February 20, 2015 Secretarial Letter, the surety for </w:t>
      </w:r>
      <w:r w:rsidR="00143204" w:rsidRPr="00143204">
        <w:rPr>
          <w:sz w:val="26"/>
          <w:szCs w:val="26"/>
        </w:rPr>
        <w:t xml:space="preserve">CY </w:t>
      </w:r>
      <w:r w:rsidR="00EB0968">
        <w:rPr>
          <w:sz w:val="26"/>
          <w:szCs w:val="26"/>
        </w:rPr>
        <w:t>2015.</w:t>
      </w:r>
    </w:p>
    <w:p w:rsidR="00EB0968" w:rsidRDefault="00EB0968" w:rsidP="00F24059">
      <w:pPr>
        <w:pStyle w:val="BodyFirst1SS"/>
        <w:spacing w:line="360" w:lineRule="auto"/>
        <w:ind w:firstLine="1440"/>
        <w:jc w:val="left"/>
        <w:rPr>
          <w:sz w:val="26"/>
          <w:szCs w:val="26"/>
        </w:rPr>
      </w:pPr>
    </w:p>
    <w:p w:rsidR="002D7FC7" w:rsidRDefault="0057061A" w:rsidP="00F24059">
      <w:pPr>
        <w:pStyle w:val="BodyFirst1SS"/>
        <w:spacing w:line="360" w:lineRule="auto"/>
        <w:ind w:firstLine="1440"/>
        <w:jc w:val="left"/>
        <w:rPr>
          <w:sz w:val="26"/>
          <w:szCs w:val="26"/>
        </w:rPr>
      </w:pPr>
      <w:r>
        <w:rPr>
          <w:sz w:val="26"/>
          <w:szCs w:val="26"/>
        </w:rPr>
        <w:t xml:space="preserve">HIKO </w:t>
      </w:r>
      <w:r w:rsidR="00143204">
        <w:rPr>
          <w:sz w:val="26"/>
          <w:szCs w:val="26"/>
        </w:rPr>
        <w:t xml:space="preserve">attaches as </w:t>
      </w:r>
      <w:r w:rsidR="00EB0968">
        <w:rPr>
          <w:sz w:val="26"/>
          <w:szCs w:val="26"/>
        </w:rPr>
        <w:t xml:space="preserve">Exhibit </w:t>
      </w:r>
      <w:r w:rsidR="00143204">
        <w:rPr>
          <w:sz w:val="26"/>
          <w:szCs w:val="26"/>
        </w:rPr>
        <w:t xml:space="preserve">A </w:t>
      </w:r>
      <w:r w:rsidR="00672042" w:rsidRPr="00672042">
        <w:rPr>
          <w:sz w:val="26"/>
          <w:szCs w:val="26"/>
        </w:rPr>
        <w:t xml:space="preserve">to its Exceptions </w:t>
      </w:r>
      <w:r w:rsidR="00143204">
        <w:rPr>
          <w:sz w:val="26"/>
          <w:szCs w:val="26"/>
        </w:rPr>
        <w:t xml:space="preserve">an October 31, </w:t>
      </w:r>
      <w:r w:rsidR="00143204" w:rsidRPr="00143204">
        <w:rPr>
          <w:b/>
          <w:sz w:val="26"/>
          <w:szCs w:val="26"/>
        </w:rPr>
        <w:t>2013</w:t>
      </w:r>
      <w:r w:rsidR="00143204">
        <w:rPr>
          <w:sz w:val="26"/>
          <w:szCs w:val="26"/>
        </w:rPr>
        <w:t xml:space="preserve"> sixty-day bond renewal notice for CY 2014, which it contends </w:t>
      </w:r>
      <w:r w:rsidR="002D7FC7">
        <w:rPr>
          <w:sz w:val="26"/>
          <w:szCs w:val="26"/>
        </w:rPr>
        <w:t xml:space="preserve">it </w:t>
      </w:r>
      <w:r w:rsidR="00143204">
        <w:rPr>
          <w:sz w:val="26"/>
          <w:szCs w:val="26"/>
        </w:rPr>
        <w:t xml:space="preserve">responded to in Exhibit </w:t>
      </w:r>
      <w:r w:rsidR="00EB0968">
        <w:rPr>
          <w:sz w:val="26"/>
          <w:szCs w:val="26"/>
        </w:rPr>
        <w:t>B</w:t>
      </w:r>
      <w:r w:rsidR="00143204">
        <w:rPr>
          <w:sz w:val="26"/>
          <w:szCs w:val="26"/>
        </w:rPr>
        <w:t xml:space="preserve">, described </w:t>
      </w:r>
      <w:r w:rsidR="00EB0968">
        <w:rPr>
          <w:sz w:val="26"/>
          <w:szCs w:val="26"/>
        </w:rPr>
        <w:t xml:space="preserve">as a November 5, 2013 letter notifying the Commission that it had requested a continuation certificate (for CY 2014), which would be filed upon receipt.  That Exhibit B, however, is a letter dated November 5, </w:t>
      </w:r>
      <w:r w:rsidR="00EB0968">
        <w:rPr>
          <w:b/>
          <w:sz w:val="26"/>
          <w:szCs w:val="26"/>
        </w:rPr>
        <w:t>2014</w:t>
      </w:r>
      <w:r w:rsidR="00EB0968">
        <w:rPr>
          <w:sz w:val="26"/>
          <w:szCs w:val="26"/>
        </w:rPr>
        <w:t xml:space="preserve">, </w:t>
      </w:r>
      <w:r w:rsidR="00143204">
        <w:rPr>
          <w:sz w:val="26"/>
          <w:szCs w:val="26"/>
        </w:rPr>
        <w:t>which may or may not have been intended to address the October 21, 2014 letter advising of the expiration of the 2014 surety</w:t>
      </w:r>
      <w:r w:rsidR="002D7FC7">
        <w:rPr>
          <w:sz w:val="26"/>
          <w:szCs w:val="26"/>
        </w:rPr>
        <w:t xml:space="preserve"> on December 22, 2014</w:t>
      </w:r>
      <w:r w:rsidR="00143204">
        <w:rPr>
          <w:sz w:val="26"/>
          <w:szCs w:val="26"/>
        </w:rPr>
        <w:t xml:space="preserve">, the </w:t>
      </w:r>
      <w:r w:rsidR="002D7FC7">
        <w:rPr>
          <w:sz w:val="26"/>
          <w:szCs w:val="26"/>
        </w:rPr>
        <w:t xml:space="preserve">effective </w:t>
      </w:r>
      <w:r w:rsidR="00143204">
        <w:rPr>
          <w:sz w:val="26"/>
          <w:szCs w:val="26"/>
        </w:rPr>
        <w:t xml:space="preserve">expiration referred to in the February 20, 2015 Secretarial Letter, and </w:t>
      </w:r>
      <w:r w:rsidR="00672042">
        <w:rPr>
          <w:sz w:val="26"/>
          <w:szCs w:val="26"/>
        </w:rPr>
        <w:t>testified to</w:t>
      </w:r>
      <w:r w:rsidR="00143204">
        <w:rPr>
          <w:sz w:val="26"/>
          <w:szCs w:val="26"/>
        </w:rPr>
        <w:t xml:space="preserve"> by HIKO</w:t>
      </w:r>
      <w:r w:rsidR="00672042">
        <w:rPr>
          <w:sz w:val="26"/>
          <w:szCs w:val="26"/>
        </w:rPr>
        <w:t>’s</w:t>
      </w:r>
      <w:r w:rsidR="00143204">
        <w:rPr>
          <w:sz w:val="26"/>
          <w:szCs w:val="26"/>
        </w:rPr>
        <w:t xml:space="preserve"> witness as satisfied in April 2015.  Tr. at 170-71.  Thus, Exhibit B does not represent what </w:t>
      </w:r>
      <w:r w:rsidR="00672042">
        <w:rPr>
          <w:sz w:val="26"/>
          <w:szCs w:val="26"/>
        </w:rPr>
        <w:t>HIKO</w:t>
      </w:r>
      <w:r w:rsidR="00143204">
        <w:rPr>
          <w:sz w:val="26"/>
          <w:szCs w:val="26"/>
        </w:rPr>
        <w:t xml:space="preserve"> purports </w:t>
      </w:r>
      <w:r w:rsidR="00672042">
        <w:rPr>
          <w:sz w:val="26"/>
          <w:szCs w:val="26"/>
        </w:rPr>
        <w:t>it</w:t>
      </w:r>
      <w:r w:rsidR="00143204">
        <w:rPr>
          <w:sz w:val="26"/>
          <w:szCs w:val="26"/>
        </w:rPr>
        <w:t xml:space="preserve"> represent</w:t>
      </w:r>
      <w:r w:rsidR="00672042">
        <w:rPr>
          <w:sz w:val="26"/>
          <w:szCs w:val="26"/>
        </w:rPr>
        <w:t>s</w:t>
      </w:r>
      <w:r w:rsidR="00143204">
        <w:rPr>
          <w:sz w:val="26"/>
          <w:szCs w:val="26"/>
        </w:rPr>
        <w:t>.</w:t>
      </w:r>
      <w:r w:rsidR="00417BB7">
        <w:rPr>
          <w:rStyle w:val="FootnoteReference"/>
          <w:sz w:val="26"/>
          <w:szCs w:val="26"/>
        </w:rPr>
        <w:footnoteReference w:id="15"/>
      </w:r>
      <w:r w:rsidR="00143204">
        <w:rPr>
          <w:sz w:val="26"/>
          <w:szCs w:val="26"/>
        </w:rPr>
        <w:t xml:space="preserve"> </w:t>
      </w:r>
      <w:r w:rsidR="00903E79">
        <w:rPr>
          <w:sz w:val="26"/>
          <w:szCs w:val="26"/>
        </w:rPr>
        <w:t xml:space="preserve"> </w:t>
      </w:r>
      <w:r w:rsidR="00672042">
        <w:rPr>
          <w:sz w:val="26"/>
          <w:szCs w:val="26"/>
        </w:rPr>
        <w:t xml:space="preserve">Notwithstanding the </w:t>
      </w:r>
      <w:r w:rsidR="00672042" w:rsidRPr="00672042">
        <w:rPr>
          <w:b/>
          <w:sz w:val="26"/>
          <w:szCs w:val="26"/>
        </w:rPr>
        <w:t>2014</w:t>
      </w:r>
      <w:r w:rsidR="00672042">
        <w:rPr>
          <w:sz w:val="26"/>
          <w:szCs w:val="26"/>
        </w:rPr>
        <w:t xml:space="preserve"> date of Exhibit B, </w:t>
      </w:r>
      <w:r w:rsidR="00143204">
        <w:rPr>
          <w:sz w:val="26"/>
          <w:szCs w:val="26"/>
        </w:rPr>
        <w:t xml:space="preserve">HIKO </w:t>
      </w:r>
      <w:r w:rsidR="00903E79">
        <w:rPr>
          <w:sz w:val="26"/>
          <w:szCs w:val="26"/>
        </w:rPr>
        <w:t xml:space="preserve">then contends that two days later, on November 7, </w:t>
      </w:r>
      <w:r w:rsidR="00903E79" w:rsidRPr="00672042">
        <w:rPr>
          <w:b/>
          <w:sz w:val="26"/>
          <w:szCs w:val="26"/>
        </w:rPr>
        <w:t>2013</w:t>
      </w:r>
      <w:r w:rsidR="00903E79">
        <w:rPr>
          <w:sz w:val="26"/>
          <w:szCs w:val="26"/>
        </w:rPr>
        <w:t xml:space="preserve">, the Company filed </w:t>
      </w:r>
      <w:r w:rsidR="00143204">
        <w:rPr>
          <w:sz w:val="26"/>
          <w:szCs w:val="26"/>
        </w:rPr>
        <w:t xml:space="preserve">Exhibit C, which </w:t>
      </w:r>
      <w:r w:rsidR="00903E79">
        <w:rPr>
          <w:sz w:val="26"/>
          <w:szCs w:val="26"/>
        </w:rPr>
        <w:t xml:space="preserve">purports to represent the continuation certificate for CY 2014, which would have been evidence of the existence of surety for CY 2014, </w:t>
      </w:r>
      <w:r w:rsidR="00672042">
        <w:rPr>
          <w:sz w:val="26"/>
          <w:szCs w:val="26"/>
        </w:rPr>
        <w:t xml:space="preserve">covering </w:t>
      </w:r>
      <w:r w:rsidR="00903E79">
        <w:rPr>
          <w:sz w:val="26"/>
          <w:szCs w:val="26"/>
        </w:rPr>
        <w:t>the period January through April 2014 when the violations occurred.  However, none of the three pages of documents comprising Exhibit C contains the “RECEIVED” stamp of our Secretary’s Bureau (as did, for example, the November 2014 letter in Exhibit B), and none appear</w:t>
      </w:r>
      <w:r w:rsidR="00672042">
        <w:rPr>
          <w:sz w:val="26"/>
          <w:szCs w:val="26"/>
        </w:rPr>
        <w:t>s</w:t>
      </w:r>
      <w:r w:rsidR="00903E79">
        <w:rPr>
          <w:sz w:val="26"/>
          <w:szCs w:val="26"/>
        </w:rPr>
        <w:t xml:space="preserve"> in our records.  Moreover, the last two pages of Exhibit C, the purported continuation certificate, not only bear no evidence of receipt in Pennsylvania but also reference “Power Certificate No. NJ 063,” New Jersey being another jurisdiction in which HIKO was a licensed EGS.</w:t>
      </w:r>
    </w:p>
    <w:p w:rsidR="002D7FC7" w:rsidRDefault="002D7FC7" w:rsidP="00F24059">
      <w:pPr>
        <w:pStyle w:val="BodyFirst1SS"/>
        <w:spacing w:line="360" w:lineRule="auto"/>
        <w:ind w:firstLine="1440"/>
        <w:jc w:val="left"/>
        <w:rPr>
          <w:sz w:val="26"/>
          <w:szCs w:val="26"/>
        </w:rPr>
      </w:pPr>
    </w:p>
    <w:p w:rsidR="00280B47" w:rsidRDefault="00672042" w:rsidP="00F24059">
      <w:pPr>
        <w:pStyle w:val="BodyFirst1SS"/>
        <w:spacing w:line="360" w:lineRule="auto"/>
        <w:ind w:firstLine="1440"/>
        <w:jc w:val="left"/>
        <w:rPr>
          <w:sz w:val="26"/>
          <w:szCs w:val="26"/>
        </w:rPr>
      </w:pPr>
      <w:r>
        <w:rPr>
          <w:sz w:val="26"/>
          <w:szCs w:val="26"/>
        </w:rPr>
        <w:t>To add to this confusion</w:t>
      </w:r>
      <w:r w:rsidR="001A20FD">
        <w:rPr>
          <w:sz w:val="26"/>
          <w:szCs w:val="26"/>
        </w:rPr>
        <w:t xml:space="preserve">, </w:t>
      </w:r>
      <w:r w:rsidR="002D7FC7">
        <w:rPr>
          <w:sz w:val="26"/>
          <w:szCs w:val="26"/>
        </w:rPr>
        <w:t>while the ALJs cite to Mr. Klein’s testimony and the February</w:t>
      </w:r>
      <w:r w:rsidR="001A20FD">
        <w:rPr>
          <w:sz w:val="26"/>
          <w:szCs w:val="26"/>
        </w:rPr>
        <w:t> </w:t>
      </w:r>
      <w:r w:rsidR="002D7FC7">
        <w:rPr>
          <w:sz w:val="26"/>
          <w:szCs w:val="26"/>
        </w:rPr>
        <w:t xml:space="preserve">20, 2015 Secretarial Letter </w:t>
      </w:r>
      <w:r w:rsidR="001A20FD">
        <w:rPr>
          <w:sz w:val="26"/>
          <w:szCs w:val="26"/>
        </w:rPr>
        <w:t>as</w:t>
      </w:r>
      <w:r w:rsidR="002D7FC7">
        <w:rPr>
          <w:sz w:val="26"/>
          <w:szCs w:val="26"/>
        </w:rPr>
        <w:t xml:space="preserve"> evidence of a failure of security </w:t>
      </w:r>
      <w:r w:rsidR="00280B47">
        <w:rPr>
          <w:sz w:val="26"/>
          <w:szCs w:val="26"/>
        </w:rPr>
        <w:t xml:space="preserve">in </w:t>
      </w:r>
      <w:r w:rsidR="002D7FC7">
        <w:rPr>
          <w:sz w:val="26"/>
          <w:szCs w:val="26"/>
        </w:rPr>
        <w:t>CY 2014, in fact</w:t>
      </w:r>
      <w:r>
        <w:rPr>
          <w:sz w:val="26"/>
          <w:szCs w:val="26"/>
        </w:rPr>
        <w:t xml:space="preserve"> those letters appear to reference HIKO’s need to continue the security into 2015, the noncompliant year apparently referred to by I&amp;E</w:t>
      </w:r>
      <w:r w:rsidR="00280B47">
        <w:rPr>
          <w:sz w:val="26"/>
          <w:szCs w:val="26"/>
        </w:rPr>
        <w:t xml:space="preserve">.  </w:t>
      </w:r>
      <w:r w:rsidR="00280B47">
        <w:rPr>
          <w:i/>
          <w:sz w:val="26"/>
          <w:szCs w:val="26"/>
        </w:rPr>
        <w:t xml:space="preserve">See </w:t>
      </w:r>
      <w:r w:rsidR="00280B47">
        <w:rPr>
          <w:sz w:val="26"/>
          <w:szCs w:val="26"/>
        </w:rPr>
        <w:t>I&amp;E R. Exc. at 18 (the Commission’s public documents fail to evidence the provision of security “prior to the expiration of HIKO’s bond on December 22, 2014.”).</w:t>
      </w:r>
      <w:r>
        <w:rPr>
          <w:sz w:val="26"/>
          <w:szCs w:val="26"/>
        </w:rPr>
        <w:t xml:space="preserve">  </w:t>
      </w:r>
      <w:r w:rsidR="00280B47">
        <w:rPr>
          <w:sz w:val="26"/>
          <w:szCs w:val="26"/>
        </w:rPr>
        <w:t>Additionally, t</w:t>
      </w:r>
      <w:r w:rsidR="002D7FC7">
        <w:rPr>
          <w:sz w:val="26"/>
          <w:szCs w:val="26"/>
        </w:rPr>
        <w:t>he October 21, 2014 sixty-day bond renewal notice letter states that “[t]he Commission’s records indicate that the expiration of the bond or other approved security provided by Hiko Energy LLC occurs on December 22, 2014[,]” presumably indicating th</w:t>
      </w:r>
      <w:r w:rsidR="00A64EF1">
        <w:rPr>
          <w:sz w:val="26"/>
          <w:szCs w:val="26"/>
        </w:rPr>
        <w:t xml:space="preserve">e existence of </w:t>
      </w:r>
      <w:r w:rsidR="002D7FC7">
        <w:rPr>
          <w:sz w:val="26"/>
          <w:szCs w:val="26"/>
        </w:rPr>
        <w:t xml:space="preserve">surety during CY 2014.  </w:t>
      </w:r>
      <w:r w:rsidR="00A64EF1">
        <w:rPr>
          <w:sz w:val="26"/>
          <w:szCs w:val="26"/>
        </w:rPr>
        <w:t xml:space="preserve">While HIKO’s renewed security for CY </w:t>
      </w:r>
      <w:r w:rsidR="00A64EF1" w:rsidRPr="001A20FD">
        <w:rPr>
          <w:b/>
          <w:sz w:val="26"/>
          <w:szCs w:val="26"/>
        </w:rPr>
        <w:t>2015</w:t>
      </w:r>
      <w:r w:rsidR="00A64EF1">
        <w:rPr>
          <w:sz w:val="26"/>
          <w:szCs w:val="26"/>
        </w:rPr>
        <w:t xml:space="preserve"> was not timely, </w:t>
      </w:r>
      <w:r w:rsidR="001A20FD">
        <w:rPr>
          <w:sz w:val="26"/>
          <w:szCs w:val="26"/>
        </w:rPr>
        <w:t xml:space="preserve">as evidenced by the Secretarial Letter, </w:t>
      </w:r>
      <w:r w:rsidR="00A64EF1">
        <w:rPr>
          <w:sz w:val="26"/>
          <w:szCs w:val="26"/>
        </w:rPr>
        <w:t>the ALJs</w:t>
      </w:r>
      <w:r w:rsidR="00280B47">
        <w:rPr>
          <w:sz w:val="26"/>
          <w:szCs w:val="26"/>
        </w:rPr>
        <w:t>’</w:t>
      </w:r>
      <w:r w:rsidR="00A64EF1">
        <w:rPr>
          <w:sz w:val="26"/>
          <w:szCs w:val="26"/>
        </w:rPr>
        <w:t xml:space="preserve"> </w:t>
      </w:r>
      <w:r w:rsidR="00280B47">
        <w:rPr>
          <w:sz w:val="26"/>
          <w:szCs w:val="26"/>
        </w:rPr>
        <w:t xml:space="preserve">noncompliance </w:t>
      </w:r>
      <w:r w:rsidR="00A64EF1">
        <w:rPr>
          <w:sz w:val="26"/>
          <w:szCs w:val="26"/>
        </w:rPr>
        <w:t xml:space="preserve">finding rests on </w:t>
      </w:r>
      <w:r w:rsidR="00C51A94">
        <w:rPr>
          <w:sz w:val="26"/>
          <w:szCs w:val="26"/>
        </w:rPr>
        <w:t xml:space="preserve">their conclusion that there was </w:t>
      </w:r>
      <w:r w:rsidR="00A64EF1">
        <w:rPr>
          <w:sz w:val="26"/>
          <w:szCs w:val="26"/>
        </w:rPr>
        <w:t xml:space="preserve">a failure of security for CY </w:t>
      </w:r>
      <w:r w:rsidR="00A64EF1" w:rsidRPr="001A20FD">
        <w:rPr>
          <w:b/>
          <w:sz w:val="26"/>
          <w:szCs w:val="26"/>
        </w:rPr>
        <w:t>2014</w:t>
      </w:r>
      <w:r w:rsidR="00A64EF1">
        <w:rPr>
          <w:sz w:val="26"/>
          <w:szCs w:val="26"/>
        </w:rPr>
        <w:t>.</w:t>
      </w:r>
      <w:r w:rsidR="00C51A94">
        <w:rPr>
          <w:rStyle w:val="FootnoteReference"/>
          <w:sz w:val="26"/>
          <w:szCs w:val="26"/>
        </w:rPr>
        <w:footnoteReference w:id="16"/>
      </w:r>
      <w:r w:rsidR="00A64EF1">
        <w:rPr>
          <w:sz w:val="26"/>
          <w:szCs w:val="26"/>
        </w:rPr>
        <w:t xml:space="preserve">  </w:t>
      </w:r>
      <w:r w:rsidR="00280B47">
        <w:rPr>
          <w:sz w:val="26"/>
          <w:szCs w:val="26"/>
        </w:rPr>
        <w:t xml:space="preserve">However, </w:t>
      </w:r>
      <w:r w:rsidR="002D7FC7">
        <w:rPr>
          <w:sz w:val="26"/>
          <w:szCs w:val="26"/>
        </w:rPr>
        <w:t xml:space="preserve">HIKO itself </w:t>
      </w:r>
      <w:r w:rsidR="00280B47">
        <w:rPr>
          <w:sz w:val="26"/>
          <w:szCs w:val="26"/>
        </w:rPr>
        <w:t xml:space="preserve">also </w:t>
      </w:r>
      <w:r w:rsidR="002D7FC7">
        <w:rPr>
          <w:sz w:val="26"/>
          <w:szCs w:val="26"/>
        </w:rPr>
        <w:t>describe</w:t>
      </w:r>
      <w:r w:rsidR="00280B47">
        <w:rPr>
          <w:sz w:val="26"/>
          <w:szCs w:val="26"/>
        </w:rPr>
        <w:t>s</w:t>
      </w:r>
      <w:r w:rsidR="002D7FC7">
        <w:rPr>
          <w:sz w:val="26"/>
          <w:szCs w:val="26"/>
        </w:rPr>
        <w:t xml:space="preserve"> the ALJs’ conclusion of </w:t>
      </w:r>
      <w:r w:rsidR="00280B47">
        <w:rPr>
          <w:sz w:val="26"/>
          <w:szCs w:val="26"/>
        </w:rPr>
        <w:t xml:space="preserve">2014 security </w:t>
      </w:r>
      <w:r w:rsidR="002D7FC7">
        <w:rPr>
          <w:sz w:val="26"/>
          <w:szCs w:val="26"/>
        </w:rPr>
        <w:t xml:space="preserve">noncompliance </w:t>
      </w:r>
      <w:r w:rsidR="002D7FC7" w:rsidRPr="002D7FC7">
        <w:rPr>
          <w:sz w:val="26"/>
          <w:szCs w:val="26"/>
        </w:rPr>
        <w:t>(the period of the violations) as a “minor procedural mistake” and “inadvertent failure to submit a renewal of the surety bond for 2014” that was promptly rectified without prejudice</w:t>
      </w:r>
      <w:r w:rsidR="00A64EF1">
        <w:rPr>
          <w:sz w:val="26"/>
          <w:szCs w:val="26"/>
        </w:rPr>
        <w:t xml:space="preserve">, </w:t>
      </w:r>
      <w:r w:rsidR="00280B47">
        <w:rPr>
          <w:sz w:val="26"/>
          <w:szCs w:val="26"/>
        </w:rPr>
        <w:t xml:space="preserve">further </w:t>
      </w:r>
      <w:r w:rsidR="00A64EF1">
        <w:rPr>
          <w:sz w:val="26"/>
          <w:szCs w:val="26"/>
        </w:rPr>
        <w:t>clouding the Company’s compliance history</w:t>
      </w:r>
      <w:r w:rsidR="002D7FC7">
        <w:rPr>
          <w:sz w:val="26"/>
          <w:szCs w:val="26"/>
        </w:rPr>
        <w:t xml:space="preserve">. </w:t>
      </w:r>
      <w:r w:rsidR="002D7FC7" w:rsidRPr="002D7FC7">
        <w:rPr>
          <w:sz w:val="26"/>
          <w:szCs w:val="26"/>
        </w:rPr>
        <w:t xml:space="preserve"> HIKO Exc. at 27</w:t>
      </w:r>
      <w:r w:rsidR="002D7FC7">
        <w:rPr>
          <w:sz w:val="26"/>
          <w:szCs w:val="26"/>
        </w:rPr>
        <w:t>.</w:t>
      </w:r>
    </w:p>
    <w:p w:rsidR="00280B47" w:rsidRDefault="00280B47" w:rsidP="00F24059">
      <w:pPr>
        <w:pStyle w:val="BodyFirst1SS"/>
        <w:spacing w:line="360" w:lineRule="auto"/>
        <w:ind w:firstLine="1440"/>
        <w:jc w:val="left"/>
        <w:rPr>
          <w:sz w:val="26"/>
          <w:szCs w:val="26"/>
        </w:rPr>
      </w:pPr>
    </w:p>
    <w:p w:rsidR="008E1D92" w:rsidRPr="002D7FC7" w:rsidRDefault="00903E79" w:rsidP="00F24059">
      <w:pPr>
        <w:pStyle w:val="BodyFirst1SS"/>
        <w:spacing w:line="360" w:lineRule="auto"/>
        <w:ind w:firstLine="1440"/>
        <w:jc w:val="left"/>
        <w:rPr>
          <w:sz w:val="26"/>
          <w:szCs w:val="26"/>
        </w:rPr>
      </w:pPr>
      <w:r>
        <w:rPr>
          <w:sz w:val="26"/>
          <w:szCs w:val="26"/>
        </w:rPr>
        <w:t xml:space="preserve">Given these </w:t>
      </w:r>
      <w:r w:rsidR="00A64EF1">
        <w:rPr>
          <w:sz w:val="26"/>
          <w:szCs w:val="26"/>
        </w:rPr>
        <w:t xml:space="preserve">myriad </w:t>
      </w:r>
      <w:r>
        <w:rPr>
          <w:sz w:val="26"/>
          <w:szCs w:val="26"/>
        </w:rPr>
        <w:t>discrepancies</w:t>
      </w:r>
      <w:r w:rsidR="001A20FD">
        <w:rPr>
          <w:sz w:val="26"/>
          <w:szCs w:val="26"/>
        </w:rPr>
        <w:t xml:space="preserve"> and lack of clarity in the documents reviewed under judicial notice, </w:t>
      </w:r>
      <w:r w:rsidR="00A64EF1">
        <w:rPr>
          <w:sz w:val="26"/>
          <w:szCs w:val="26"/>
        </w:rPr>
        <w:t>w</w:t>
      </w:r>
      <w:r w:rsidR="002D7FC7">
        <w:rPr>
          <w:sz w:val="26"/>
          <w:szCs w:val="26"/>
        </w:rPr>
        <w:t xml:space="preserve">e </w:t>
      </w:r>
      <w:r w:rsidR="00A64EF1">
        <w:rPr>
          <w:sz w:val="26"/>
          <w:szCs w:val="26"/>
        </w:rPr>
        <w:t xml:space="preserve">are reluctant to </w:t>
      </w:r>
      <w:r w:rsidR="00C51A94">
        <w:rPr>
          <w:sz w:val="26"/>
          <w:szCs w:val="26"/>
        </w:rPr>
        <w:t>place much weight on the ALJs’ conclusion that HIKO</w:t>
      </w:r>
      <w:r w:rsidR="00280B47">
        <w:rPr>
          <w:sz w:val="26"/>
          <w:szCs w:val="26"/>
        </w:rPr>
        <w:t>’s security was expired at the time of the violations in CY 2014, a</w:t>
      </w:r>
      <w:r w:rsidR="00C51A94">
        <w:rPr>
          <w:sz w:val="26"/>
          <w:szCs w:val="26"/>
        </w:rPr>
        <w:t xml:space="preserve">lthough </w:t>
      </w:r>
      <w:r w:rsidR="00280B47">
        <w:rPr>
          <w:sz w:val="26"/>
          <w:szCs w:val="26"/>
        </w:rPr>
        <w:t>the Company</w:t>
      </w:r>
      <w:r w:rsidR="00C51A94">
        <w:rPr>
          <w:sz w:val="26"/>
          <w:szCs w:val="26"/>
        </w:rPr>
        <w:t xml:space="preserve"> clearly did not timely file such evidence</w:t>
      </w:r>
      <w:r w:rsidR="00170075">
        <w:rPr>
          <w:sz w:val="26"/>
          <w:szCs w:val="26"/>
        </w:rPr>
        <w:t xml:space="preserve"> for CY 2015.  </w:t>
      </w:r>
      <w:r w:rsidR="00A64EF1">
        <w:rPr>
          <w:sz w:val="26"/>
          <w:szCs w:val="26"/>
        </w:rPr>
        <w:t>I</w:t>
      </w:r>
      <w:r w:rsidR="00170075">
        <w:rPr>
          <w:sz w:val="26"/>
          <w:szCs w:val="26"/>
        </w:rPr>
        <w:t>n</w:t>
      </w:r>
      <w:r w:rsidR="00A64EF1">
        <w:rPr>
          <w:sz w:val="26"/>
          <w:szCs w:val="26"/>
        </w:rPr>
        <w:t xml:space="preserve"> light of our resolution of the parties’ other </w:t>
      </w:r>
      <w:r w:rsidR="00170075">
        <w:rPr>
          <w:sz w:val="26"/>
          <w:szCs w:val="26"/>
        </w:rPr>
        <w:t xml:space="preserve">challenges </w:t>
      </w:r>
      <w:r w:rsidR="00A64EF1">
        <w:rPr>
          <w:sz w:val="26"/>
          <w:szCs w:val="26"/>
        </w:rPr>
        <w:t xml:space="preserve">to the level of civil penalty recommended </w:t>
      </w:r>
      <w:r w:rsidR="00A64EF1">
        <w:rPr>
          <w:sz w:val="26"/>
          <w:szCs w:val="26"/>
        </w:rPr>
        <w:lastRenderedPageBreak/>
        <w:t xml:space="preserve">by the ALJs, </w:t>
      </w:r>
      <w:r w:rsidR="00170075">
        <w:rPr>
          <w:sz w:val="26"/>
          <w:szCs w:val="26"/>
        </w:rPr>
        <w:t xml:space="preserve">however, our </w:t>
      </w:r>
      <w:r w:rsidR="007179EF">
        <w:rPr>
          <w:sz w:val="26"/>
          <w:szCs w:val="26"/>
        </w:rPr>
        <w:t>hesitation to fully embrace the ALJs’ analysis</w:t>
      </w:r>
      <w:r w:rsidR="00170075">
        <w:rPr>
          <w:sz w:val="26"/>
          <w:szCs w:val="26"/>
        </w:rPr>
        <w:t xml:space="preserve"> with respect to this one factor doe</w:t>
      </w:r>
      <w:r w:rsidR="00A64EF1">
        <w:rPr>
          <w:sz w:val="26"/>
          <w:szCs w:val="26"/>
        </w:rPr>
        <w:t xml:space="preserve">s not affect our disposition because </w:t>
      </w:r>
      <w:r w:rsidR="00170075">
        <w:rPr>
          <w:sz w:val="26"/>
          <w:szCs w:val="26"/>
        </w:rPr>
        <w:t xml:space="preserve">we find that </w:t>
      </w:r>
      <w:r w:rsidR="00A64EF1">
        <w:rPr>
          <w:sz w:val="26"/>
          <w:szCs w:val="26"/>
        </w:rPr>
        <w:t xml:space="preserve">consideration of the remaining factors </w:t>
      </w:r>
      <w:r w:rsidR="00170075">
        <w:rPr>
          <w:sz w:val="26"/>
          <w:szCs w:val="26"/>
        </w:rPr>
        <w:t>as a</w:t>
      </w:r>
      <w:r w:rsidR="00A64EF1">
        <w:rPr>
          <w:sz w:val="26"/>
          <w:szCs w:val="26"/>
        </w:rPr>
        <w:t xml:space="preserve"> whole supports the </w:t>
      </w:r>
      <w:r w:rsidR="00170075">
        <w:rPr>
          <w:sz w:val="26"/>
          <w:szCs w:val="26"/>
        </w:rPr>
        <w:t xml:space="preserve">recommended </w:t>
      </w:r>
      <w:r w:rsidR="00A64EF1">
        <w:rPr>
          <w:sz w:val="26"/>
          <w:szCs w:val="26"/>
        </w:rPr>
        <w:t>penalty</w:t>
      </w:r>
      <w:r w:rsidR="00170075">
        <w:rPr>
          <w:sz w:val="26"/>
          <w:szCs w:val="26"/>
        </w:rPr>
        <w:t>.</w:t>
      </w:r>
      <w:r w:rsidR="00280B47">
        <w:rPr>
          <w:sz w:val="26"/>
          <w:szCs w:val="26"/>
        </w:rPr>
        <w:t xml:space="preserve">  Moreover, the point made by I&amp;E when raising this issue in brief remains valid, namely that </w:t>
      </w:r>
      <w:r w:rsidR="00FB3483">
        <w:rPr>
          <w:sz w:val="26"/>
          <w:szCs w:val="26"/>
        </w:rPr>
        <w:t>at the time of the January through April 2014 violations, HIKO was still operating in a “probationary” period of its licensure.</w:t>
      </w:r>
    </w:p>
    <w:p w:rsidR="008E1D92" w:rsidRDefault="008E1D92" w:rsidP="00F24059">
      <w:pPr>
        <w:pStyle w:val="BodyFirst1SS"/>
        <w:spacing w:line="360" w:lineRule="auto"/>
        <w:ind w:firstLine="1440"/>
        <w:jc w:val="left"/>
        <w:rPr>
          <w:sz w:val="26"/>
          <w:szCs w:val="26"/>
        </w:rPr>
      </w:pPr>
    </w:p>
    <w:p w:rsidR="008E1D92" w:rsidRDefault="00280B47" w:rsidP="00F24059">
      <w:pPr>
        <w:pStyle w:val="BodyFirst1SS"/>
        <w:spacing w:line="360" w:lineRule="auto"/>
        <w:ind w:firstLine="1440"/>
        <w:jc w:val="left"/>
        <w:rPr>
          <w:sz w:val="26"/>
          <w:szCs w:val="26"/>
        </w:rPr>
      </w:pPr>
      <w:r>
        <w:rPr>
          <w:sz w:val="26"/>
          <w:szCs w:val="26"/>
        </w:rPr>
        <w:t>W</w:t>
      </w:r>
      <w:r w:rsidR="007179EF">
        <w:rPr>
          <w:sz w:val="26"/>
          <w:szCs w:val="26"/>
        </w:rPr>
        <w:t>e are also reluctant to place much weight on the ALJs’ analysis of the Company’s size.  We agree with the ALJs’ conclusion that as a supplier licensed in eight states, the Company certainly has an opportunity to acquire a combined customer base, if not also economies of scale and scope, that may exceed that of any one individual EDC</w:t>
      </w:r>
      <w:r>
        <w:rPr>
          <w:sz w:val="26"/>
          <w:szCs w:val="26"/>
        </w:rPr>
        <w:t xml:space="preserve"> in Pennsylvania</w:t>
      </w:r>
      <w:r w:rsidR="007179EF">
        <w:rPr>
          <w:sz w:val="26"/>
          <w:szCs w:val="26"/>
        </w:rPr>
        <w:t xml:space="preserve">.  However, we believe there is </w:t>
      </w:r>
      <w:r w:rsidR="00106208">
        <w:rPr>
          <w:sz w:val="26"/>
          <w:szCs w:val="26"/>
        </w:rPr>
        <w:t>insufficient ev</w:t>
      </w:r>
      <w:r w:rsidR="007179EF">
        <w:rPr>
          <w:sz w:val="26"/>
          <w:szCs w:val="26"/>
        </w:rPr>
        <w:t xml:space="preserve">idence on this point, and therefore </w:t>
      </w:r>
      <w:r w:rsidR="00106208">
        <w:rPr>
          <w:sz w:val="26"/>
          <w:szCs w:val="26"/>
        </w:rPr>
        <w:t xml:space="preserve">we </w:t>
      </w:r>
      <w:r w:rsidR="007179EF">
        <w:rPr>
          <w:sz w:val="26"/>
          <w:szCs w:val="26"/>
        </w:rPr>
        <w:t xml:space="preserve">place little emphasis on its value.  Again, however, we find ample support in the remainder of the ALJs’ analysis to adopt the recommended $1.8 million civil penalty. </w:t>
      </w:r>
    </w:p>
    <w:p w:rsidR="008E1D92" w:rsidRDefault="008E1D92" w:rsidP="00F24059">
      <w:pPr>
        <w:pStyle w:val="BodyFirst1SS"/>
        <w:spacing w:line="360" w:lineRule="auto"/>
        <w:ind w:firstLine="1440"/>
        <w:jc w:val="left"/>
        <w:rPr>
          <w:sz w:val="26"/>
          <w:szCs w:val="26"/>
        </w:rPr>
      </w:pPr>
    </w:p>
    <w:p w:rsidR="008E1D92" w:rsidRDefault="008E1D92" w:rsidP="00F24059">
      <w:pPr>
        <w:pStyle w:val="BodyFirst1SS"/>
        <w:spacing w:line="360" w:lineRule="auto"/>
        <w:ind w:firstLine="1440"/>
        <w:jc w:val="left"/>
        <w:rPr>
          <w:sz w:val="26"/>
          <w:szCs w:val="26"/>
        </w:rPr>
      </w:pPr>
      <w:r>
        <w:rPr>
          <w:sz w:val="26"/>
          <w:szCs w:val="26"/>
        </w:rPr>
        <w:t xml:space="preserve">With respect to HIKO’s claims that the ALJs did not properly consider the level of civil penalties approved against other EGSs, </w:t>
      </w:r>
      <w:r w:rsidR="00CF140F">
        <w:rPr>
          <w:sz w:val="26"/>
          <w:szCs w:val="26"/>
        </w:rPr>
        <w:t xml:space="preserve">including those in settled cases, </w:t>
      </w:r>
      <w:r>
        <w:rPr>
          <w:sz w:val="26"/>
          <w:szCs w:val="26"/>
        </w:rPr>
        <w:t xml:space="preserve">we </w:t>
      </w:r>
      <w:r w:rsidR="00CF140F">
        <w:rPr>
          <w:sz w:val="26"/>
          <w:szCs w:val="26"/>
        </w:rPr>
        <w:t xml:space="preserve">find </w:t>
      </w:r>
      <w:r>
        <w:rPr>
          <w:sz w:val="26"/>
          <w:szCs w:val="26"/>
        </w:rPr>
        <w:t xml:space="preserve">HIKO’s argument </w:t>
      </w:r>
      <w:r w:rsidR="004F346D">
        <w:rPr>
          <w:sz w:val="26"/>
          <w:szCs w:val="26"/>
        </w:rPr>
        <w:t>to be erroneous</w:t>
      </w:r>
      <w:r>
        <w:rPr>
          <w:sz w:val="26"/>
          <w:szCs w:val="26"/>
        </w:rPr>
        <w:t xml:space="preserve">.  </w:t>
      </w:r>
      <w:r w:rsidR="004F346D">
        <w:rPr>
          <w:sz w:val="26"/>
          <w:szCs w:val="26"/>
        </w:rPr>
        <w:t>First, as to the precedential value of settlements, w</w:t>
      </w:r>
      <w:r w:rsidR="006F48AE">
        <w:rPr>
          <w:sz w:val="26"/>
          <w:szCs w:val="26"/>
        </w:rPr>
        <w:t xml:space="preserve">hile </w:t>
      </w:r>
      <w:r w:rsidR="002A6987">
        <w:rPr>
          <w:sz w:val="26"/>
          <w:szCs w:val="26"/>
        </w:rPr>
        <w:t xml:space="preserve">the facts in </w:t>
      </w:r>
      <w:r w:rsidR="006F48AE">
        <w:rPr>
          <w:i/>
          <w:sz w:val="26"/>
          <w:szCs w:val="26"/>
        </w:rPr>
        <w:t xml:space="preserve">Bell </w:t>
      </w:r>
      <w:r w:rsidR="002A6987">
        <w:rPr>
          <w:sz w:val="26"/>
          <w:szCs w:val="26"/>
        </w:rPr>
        <w:t xml:space="preserve">are different, </w:t>
      </w:r>
      <w:r w:rsidR="00CF140F">
        <w:rPr>
          <w:sz w:val="26"/>
          <w:szCs w:val="26"/>
        </w:rPr>
        <w:t xml:space="preserve">that does not diminish </w:t>
      </w:r>
      <w:r w:rsidR="002A6987">
        <w:rPr>
          <w:sz w:val="26"/>
          <w:szCs w:val="26"/>
        </w:rPr>
        <w:t xml:space="preserve">the </w:t>
      </w:r>
      <w:r w:rsidR="005971BC">
        <w:rPr>
          <w:sz w:val="26"/>
          <w:szCs w:val="26"/>
        </w:rPr>
        <w:t xml:space="preserve">well-established </w:t>
      </w:r>
      <w:r w:rsidR="002A6987">
        <w:rPr>
          <w:sz w:val="26"/>
          <w:szCs w:val="26"/>
        </w:rPr>
        <w:t xml:space="preserve">legal principle </w:t>
      </w:r>
      <w:r w:rsidR="00CF140F">
        <w:rPr>
          <w:sz w:val="26"/>
          <w:szCs w:val="26"/>
        </w:rPr>
        <w:t xml:space="preserve">often invoked by and before this Commission </w:t>
      </w:r>
      <w:r w:rsidR="002A6987">
        <w:rPr>
          <w:sz w:val="26"/>
          <w:szCs w:val="26"/>
        </w:rPr>
        <w:t>that settlements do not set precedent</w:t>
      </w:r>
      <w:r w:rsidR="007179EF">
        <w:rPr>
          <w:sz w:val="26"/>
          <w:szCs w:val="26"/>
        </w:rPr>
        <w:t>.</w:t>
      </w:r>
      <w:r w:rsidR="00EF14B3">
        <w:rPr>
          <w:rStyle w:val="FootnoteReference"/>
          <w:sz w:val="26"/>
          <w:szCs w:val="26"/>
        </w:rPr>
        <w:footnoteReference w:id="17"/>
      </w:r>
      <w:r w:rsidR="002A6987">
        <w:rPr>
          <w:sz w:val="26"/>
          <w:szCs w:val="26"/>
        </w:rPr>
        <w:t xml:space="preserve">  </w:t>
      </w:r>
      <w:r w:rsidR="004F346D">
        <w:rPr>
          <w:sz w:val="26"/>
          <w:szCs w:val="26"/>
        </w:rPr>
        <w:t xml:space="preserve">Cases that proceed to a settled conclusion are often incomparable in many </w:t>
      </w:r>
      <w:r w:rsidR="004F346D">
        <w:rPr>
          <w:sz w:val="26"/>
          <w:szCs w:val="26"/>
        </w:rPr>
        <w:lastRenderedPageBreak/>
        <w:t xml:space="preserve">ways.  For example, </w:t>
      </w:r>
      <w:r w:rsidR="00FF0458">
        <w:rPr>
          <w:sz w:val="26"/>
          <w:szCs w:val="26"/>
        </w:rPr>
        <w:t xml:space="preserve">in </w:t>
      </w:r>
      <w:r w:rsidR="004F346D">
        <w:rPr>
          <w:i/>
          <w:sz w:val="26"/>
          <w:szCs w:val="26"/>
        </w:rPr>
        <w:t xml:space="preserve">Public </w:t>
      </w:r>
      <w:r w:rsidR="004F346D" w:rsidRPr="004F346D">
        <w:rPr>
          <w:i/>
          <w:sz w:val="26"/>
          <w:szCs w:val="26"/>
        </w:rPr>
        <w:t>Power</w:t>
      </w:r>
      <w:r w:rsidR="004F346D">
        <w:rPr>
          <w:sz w:val="26"/>
          <w:szCs w:val="26"/>
        </w:rPr>
        <w:t xml:space="preserve">, cited often by HIKO, </w:t>
      </w:r>
      <w:r w:rsidR="00FF0458">
        <w:rPr>
          <w:sz w:val="26"/>
          <w:szCs w:val="26"/>
        </w:rPr>
        <w:t xml:space="preserve">the parties agreed to a </w:t>
      </w:r>
      <w:r w:rsidR="004F346D">
        <w:rPr>
          <w:sz w:val="26"/>
          <w:szCs w:val="26"/>
        </w:rPr>
        <w:t xml:space="preserve">settlement </w:t>
      </w:r>
      <w:r w:rsidR="00FF0458">
        <w:rPr>
          <w:sz w:val="26"/>
          <w:szCs w:val="26"/>
        </w:rPr>
        <w:t xml:space="preserve">following </w:t>
      </w:r>
      <w:r w:rsidR="004F346D">
        <w:rPr>
          <w:sz w:val="26"/>
          <w:szCs w:val="26"/>
        </w:rPr>
        <w:t>an informal investigation by I&amp;E, not the filing and full prosecution of a formal complaint as is the case here.  Further, the settlement document itself in that proceeding, as is typical in settlements, stated that because settlements avoid the necessity of full litigation, all parties compromised their positions, and the investigated party, without admitting culpability, agreed to a lower penalty that avoid</w:t>
      </w:r>
      <w:r w:rsidR="00FF0458">
        <w:rPr>
          <w:sz w:val="26"/>
          <w:szCs w:val="26"/>
        </w:rPr>
        <w:t>ed</w:t>
      </w:r>
      <w:r w:rsidR="004F346D">
        <w:rPr>
          <w:sz w:val="26"/>
          <w:szCs w:val="26"/>
        </w:rPr>
        <w:t xml:space="preserve"> the possibility of more adverse consequences, including a higher fine.  </w:t>
      </w:r>
      <w:r w:rsidR="00FF0458">
        <w:rPr>
          <w:i/>
          <w:sz w:val="26"/>
          <w:szCs w:val="26"/>
        </w:rPr>
        <w:t xml:space="preserve">See Pa. PUC Bureau of Investigation </w:t>
      </w:r>
      <w:r w:rsidR="00813A79">
        <w:rPr>
          <w:i/>
          <w:sz w:val="26"/>
          <w:szCs w:val="26"/>
        </w:rPr>
        <w:t>and</w:t>
      </w:r>
      <w:r w:rsidR="00FF0458">
        <w:rPr>
          <w:i/>
          <w:sz w:val="26"/>
          <w:szCs w:val="26"/>
        </w:rPr>
        <w:t xml:space="preserve"> </w:t>
      </w:r>
      <w:r w:rsidR="00FF0458" w:rsidRPr="00FF0458">
        <w:rPr>
          <w:i/>
          <w:sz w:val="26"/>
          <w:szCs w:val="26"/>
        </w:rPr>
        <w:t>Enforcement</w:t>
      </w:r>
      <w:r w:rsidR="00050805">
        <w:rPr>
          <w:i/>
          <w:sz w:val="26"/>
          <w:szCs w:val="26"/>
        </w:rPr>
        <w:t xml:space="preserve"> v. Public Power, LLC</w:t>
      </w:r>
      <w:r w:rsidR="00FF0458">
        <w:rPr>
          <w:sz w:val="26"/>
          <w:szCs w:val="26"/>
        </w:rPr>
        <w:t>, Docket No. M-2012-2257858 (Order entered August 29, 2013), Attached Settlement Agreement at 15, ¶ 36.</w:t>
      </w:r>
    </w:p>
    <w:p w:rsidR="002A6987" w:rsidRDefault="002A6987" w:rsidP="00F24059">
      <w:pPr>
        <w:pStyle w:val="BodyFirst1SS"/>
        <w:spacing w:line="360" w:lineRule="auto"/>
        <w:ind w:firstLine="1440"/>
        <w:jc w:val="left"/>
        <w:rPr>
          <w:sz w:val="26"/>
          <w:szCs w:val="26"/>
        </w:rPr>
      </w:pPr>
    </w:p>
    <w:p w:rsidR="002A6987" w:rsidRDefault="00FF0458" w:rsidP="00F24059">
      <w:pPr>
        <w:pStyle w:val="BodyFirst1SS"/>
        <w:spacing w:line="360" w:lineRule="auto"/>
        <w:ind w:firstLine="1440"/>
        <w:jc w:val="left"/>
        <w:rPr>
          <w:sz w:val="26"/>
          <w:szCs w:val="26"/>
        </w:rPr>
      </w:pPr>
      <w:r>
        <w:rPr>
          <w:sz w:val="26"/>
          <w:szCs w:val="26"/>
        </w:rPr>
        <w:t xml:space="preserve">HIKO also misstates the distinction between settled and litigated proceedings under our policy statement.  While </w:t>
      </w:r>
      <w:r w:rsidR="002A6987">
        <w:rPr>
          <w:sz w:val="26"/>
          <w:szCs w:val="26"/>
        </w:rPr>
        <w:t>HIKO</w:t>
      </w:r>
      <w:r>
        <w:rPr>
          <w:sz w:val="26"/>
          <w:szCs w:val="26"/>
        </w:rPr>
        <w:t xml:space="preserve"> contends </w:t>
      </w:r>
      <w:r w:rsidR="007179EF">
        <w:rPr>
          <w:sz w:val="26"/>
          <w:szCs w:val="26"/>
        </w:rPr>
        <w:t xml:space="preserve">that our policy statement “explicitly states” that the factors to be considered in both litigated and settled proceedings are the same, </w:t>
      </w:r>
      <w:r w:rsidR="002A6987">
        <w:rPr>
          <w:sz w:val="26"/>
          <w:szCs w:val="26"/>
        </w:rPr>
        <w:t xml:space="preserve">that </w:t>
      </w:r>
      <w:r>
        <w:rPr>
          <w:sz w:val="26"/>
          <w:szCs w:val="26"/>
        </w:rPr>
        <w:t xml:space="preserve">oversimplifies the requisite analysis, which </w:t>
      </w:r>
      <w:r w:rsidR="001256D8">
        <w:rPr>
          <w:sz w:val="26"/>
          <w:szCs w:val="26"/>
        </w:rPr>
        <w:t xml:space="preserve">also </w:t>
      </w:r>
      <w:r w:rsidR="007179EF">
        <w:rPr>
          <w:sz w:val="26"/>
          <w:szCs w:val="26"/>
        </w:rPr>
        <w:t xml:space="preserve">explicitly </w:t>
      </w:r>
      <w:r w:rsidR="002A6987">
        <w:rPr>
          <w:sz w:val="26"/>
          <w:szCs w:val="26"/>
        </w:rPr>
        <w:t>provides that consideration of the factors will be applied more strictly in litigated cases</w:t>
      </w:r>
      <w:r w:rsidR="001256D8">
        <w:rPr>
          <w:sz w:val="26"/>
          <w:szCs w:val="26"/>
        </w:rPr>
        <w:t>, a provision overlooked by HIKO</w:t>
      </w:r>
      <w:r w:rsidR="002A6987">
        <w:rPr>
          <w:sz w:val="26"/>
          <w:szCs w:val="26"/>
        </w:rPr>
        <w:t xml:space="preserve">.  </w:t>
      </w:r>
      <w:r w:rsidR="001256D8">
        <w:rPr>
          <w:i/>
          <w:sz w:val="26"/>
          <w:szCs w:val="26"/>
        </w:rPr>
        <w:t xml:space="preserve">See </w:t>
      </w:r>
      <w:r w:rsidR="001256D8">
        <w:rPr>
          <w:sz w:val="26"/>
          <w:szCs w:val="26"/>
        </w:rPr>
        <w:t xml:space="preserve">52 Pa. Code § 69.1201(b).  </w:t>
      </w:r>
      <w:r w:rsidR="007179EF">
        <w:rPr>
          <w:sz w:val="26"/>
          <w:szCs w:val="26"/>
        </w:rPr>
        <w:t>While we may consider the same factors, we do not consider them as strictly in settled cases.  This is not only because we encourage settlements but also</w:t>
      </w:r>
      <w:r w:rsidR="001256D8">
        <w:rPr>
          <w:sz w:val="26"/>
          <w:szCs w:val="26"/>
        </w:rPr>
        <w:t>,</w:t>
      </w:r>
      <w:r w:rsidR="007179EF">
        <w:rPr>
          <w:sz w:val="26"/>
          <w:szCs w:val="26"/>
        </w:rPr>
        <w:t xml:space="preserve"> as the ALJs </w:t>
      </w:r>
      <w:r w:rsidR="001256D8">
        <w:rPr>
          <w:sz w:val="26"/>
          <w:szCs w:val="26"/>
        </w:rPr>
        <w:t xml:space="preserve">and I&amp;E </w:t>
      </w:r>
      <w:r w:rsidR="007179EF">
        <w:rPr>
          <w:sz w:val="26"/>
          <w:szCs w:val="26"/>
        </w:rPr>
        <w:t xml:space="preserve">noted, </w:t>
      </w:r>
      <w:r w:rsidR="001256D8">
        <w:rPr>
          <w:sz w:val="26"/>
          <w:szCs w:val="26"/>
        </w:rPr>
        <w:t xml:space="preserve">the records in settled cases often contain substantially </w:t>
      </w:r>
      <w:r w:rsidR="00FB3483">
        <w:rPr>
          <w:sz w:val="26"/>
          <w:szCs w:val="26"/>
        </w:rPr>
        <w:t xml:space="preserve">different </w:t>
      </w:r>
      <w:r w:rsidR="001256D8">
        <w:rPr>
          <w:sz w:val="26"/>
          <w:szCs w:val="26"/>
        </w:rPr>
        <w:t>evidence and no admission of wrongdoing.  I.D. at 52; I&amp;E R. Exc. at 20.  We also note that the third factor we consider, whether the conduct was intentional or negligent, is as HIKO asserted only considered in evaluating litigated cases</w:t>
      </w:r>
      <w:r w:rsidR="00FB3483">
        <w:rPr>
          <w:sz w:val="26"/>
          <w:szCs w:val="26"/>
        </w:rPr>
        <w:t>.  In</w:t>
      </w:r>
      <w:r w:rsidR="001256D8">
        <w:rPr>
          <w:sz w:val="26"/>
          <w:szCs w:val="26"/>
        </w:rPr>
        <w:t xml:space="preserve"> this case, </w:t>
      </w:r>
      <w:r w:rsidR="00FB3483">
        <w:rPr>
          <w:sz w:val="26"/>
          <w:szCs w:val="26"/>
        </w:rPr>
        <w:t xml:space="preserve">however, the intentional nature of the conduct, from the Company’s top management, combined </w:t>
      </w:r>
      <w:r w:rsidR="001256D8">
        <w:rPr>
          <w:sz w:val="26"/>
          <w:szCs w:val="26"/>
        </w:rPr>
        <w:t xml:space="preserve">with the magnitude of the violation, </w:t>
      </w:r>
      <w:r w:rsidR="00FB3483">
        <w:rPr>
          <w:sz w:val="26"/>
          <w:szCs w:val="26"/>
        </w:rPr>
        <w:t xml:space="preserve">are </w:t>
      </w:r>
      <w:r w:rsidR="001256D8">
        <w:rPr>
          <w:sz w:val="26"/>
          <w:szCs w:val="26"/>
        </w:rPr>
        <w:t xml:space="preserve">perhaps the two factors that most underscore the egregious nature of the violation and support </w:t>
      </w:r>
      <w:r w:rsidR="00FB3483">
        <w:rPr>
          <w:sz w:val="26"/>
          <w:szCs w:val="26"/>
        </w:rPr>
        <w:t xml:space="preserve">as a minimum </w:t>
      </w:r>
      <w:r w:rsidR="001256D8">
        <w:rPr>
          <w:sz w:val="26"/>
          <w:szCs w:val="26"/>
        </w:rPr>
        <w:t>the penalty</w:t>
      </w:r>
      <w:r w:rsidR="00FB3483">
        <w:rPr>
          <w:sz w:val="26"/>
          <w:szCs w:val="26"/>
        </w:rPr>
        <w:t xml:space="preserve"> recommended by the ALJs</w:t>
      </w:r>
      <w:r w:rsidR="001256D8">
        <w:rPr>
          <w:sz w:val="26"/>
          <w:szCs w:val="26"/>
        </w:rPr>
        <w:t>.</w:t>
      </w:r>
    </w:p>
    <w:p w:rsidR="00FB3483" w:rsidRDefault="00FB3483" w:rsidP="00F24059">
      <w:pPr>
        <w:pStyle w:val="BodyFirst1SS"/>
        <w:spacing w:line="360" w:lineRule="auto"/>
        <w:ind w:firstLine="1440"/>
        <w:jc w:val="left"/>
        <w:rPr>
          <w:sz w:val="26"/>
          <w:szCs w:val="26"/>
        </w:rPr>
      </w:pPr>
    </w:p>
    <w:p w:rsidR="00FB3483" w:rsidRDefault="00BE5111" w:rsidP="00F24059">
      <w:pPr>
        <w:pStyle w:val="BodyFirst1SS"/>
        <w:spacing w:line="360" w:lineRule="auto"/>
        <w:ind w:firstLine="1440"/>
        <w:jc w:val="left"/>
        <w:rPr>
          <w:sz w:val="26"/>
          <w:szCs w:val="26"/>
        </w:rPr>
      </w:pPr>
      <w:r>
        <w:rPr>
          <w:sz w:val="26"/>
          <w:szCs w:val="26"/>
        </w:rPr>
        <w:lastRenderedPageBreak/>
        <w:t>Accordingly, w</w:t>
      </w:r>
      <w:r w:rsidR="00FB3483">
        <w:rPr>
          <w:sz w:val="26"/>
          <w:szCs w:val="26"/>
        </w:rPr>
        <w:t xml:space="preserve">e deny HIKO’s Exception No. 3 and I&amp;E’s Exception No. 1 and adopt the ALJs’ recommendation that a civil penalty in the amount of $1,836,125 be assessed against HIKO. </w:t>
      </w:r>
    </w:p>
    <w:p w:rsidR="00303E50" w:rsidRPr="00F14541" w:rsidRDefault="00303E50" w:rsidP="00F24059">
      <w:pPr>
        <w:pStyle w:val="BodyFirst1SS"/>
        <w:spacing w:line="360" w:lineRule="auto"/>
        <w:ind w:firstLine="1440"/>
        <w:jc w:val="left"/>
        <w:rPr>
          <w:sz w:val="26"/>
          <w:szCs w:val="26"/>
        </w:rPr>
      </w:pPr>
    </w:p>
    <w:p w:rsidR="00B67540" w:rsidRPr="008E511A" w:rsidRDefault="00E5450C" w:rsidP="00965EBB">
      <w:pPr>
        <w:rPr>
          <w:rFonts w:ascii="Times New Roman" w:hAnsi="Times New Roman"/>
          <w:sz w:val="26"/>
          <w:szCs w:val="26"/>
        </w:rPr>
      </w:pPr>
      <w:r>
        <w:rPr>
          <w:rFonts w:ascii="Times New Roman" w:hAnsi="Times New Roman"/>
          <w:b/>
          <w:sz w:val="26"/>
          <w:szCs w:val="26"/>
        </w:rPr>
        <w:tab/>
      </w:r>
      <w:r w:rsidR="00FD5592">
        <w:rPr>
          <w:rFonts w:ascii="Times New Roman" w:hAnsi="Times New Roman"/>
          <w:b/>
          <w:sz w:val="26"/>
          <w:szCs w:val="26"/>
        </w:rPr>
        <w:t>4</w:t>
      </w:r>
      <w:r w:rsidR="00B67540" w:rsidRPr="00DE68FB">
        <w:rPr>
          <w:rFonts w:ascii="Times New Roman" w:hAnsi="Times New Roman"/>
          <w:b/>
          <w:sz w:val="26"/>
          <w:szCs w:val="26"/>
        </w:rPr>
        <w:t>.</w:t>
      </w:r>
      <w:r w:rsidR="00B67540" w:rsidRPr="00DE68FB">
        <w:rPr>
          <w:rFonts w:ascii="Times New Roman" w:hAnsi="Times New Roman"/>
          <w:b/>
          <w:sz w:val="26"/>
          <w:szCs w:val="26"/>
        </w:rPr>
        <w:tab/>
      </w:r>
      <w:r w:rsidR="00FD5592">
        <w:rPr>
          <w:rFonts w:ascii="Times New Roman" w:hAnsi="Times New Roman"/>
          <w:b/>
          <w:sz w:val="26"/>
          <w:szCs w:val="26"/>
        </w:rPr>
        <w:t>HIKO’s Request for Oral Argument</w:t>
      </w:r>
      <w:r w:rsidR="00103696">
        <w:rPr>
          <w:rFonts w:ascii="Times New Roman" w:hAnsi="Times New Roman"/>
          <w:b/>
          <w:sz w:val="26"/>
          <w:szCs w:val="26"/>
        </w:rPr>
        <w:t xml:space="preserve"> and Disposition</w:t>
      </w:r>
    </w:p>
    <w:p w:rsidR="008E511A" w:rsidRPr="008E511A" w:rsidRDefault="008E511A" w:rsidP="00965EBB">
      <w:pPr>
        <w:rPr>
          <w:rFonts w:ascii="Times New Roman" w:hAnsi="Times New Roman"/>
          <w:sz w:val="26"/>
          <w:szCs w:val="26"/>
        </w:rPr>
      </w:pPr>
    </w:p>
    <w:p w:rsidR="000E73AC" w:rsidRDefault="008E1D92" w:rsidP="005A245A">
      <w:pPr>
        <w:pStyle w:val="BodyFirst1SS"/>
        <w:spacing w:line="360" w:lineRule="auto"/>
        <w:ind w:firstLine="1440"/>
        <w:jc w:val="left"/>
        <w:rPr>
          <w:sz w:val="26"/>
          <w:szCs w:val="26"/>
        </w:rPr>
      </w:pPr>
      <w:r>
        <w:rPr>
          <w:sz w:val="26"/>
          <w:szCs w:val="26"/>
        </w:rPr>
        <w:t>HIKO requests that the Commission permit oral argument pursuant to 52</w:t>
      </w:r>
      <w:r w:rsidR="00540605">
        <w:rPr>
          <w:sz w:val="26"/>
          <w:szCs w:val="26"/>
        </w:rPr>
        <w:t> </w:t>
      </w:r>
      <w:r>
        <w:rPr>
          <w:sz w:val="26"/>
          <w:szCs w:val="26"/>
        </w:rPr>
        <w:t>Pa. Code § 5.538 “to provide the Commission an opportunity to hear the facts and evidence surrounding this matter.”  HIKO Exc. at 35.</w:t>
      </w:r>
      <w:r w:rsidR="001256D8">
        <w:rPr>
          <w:sz w:val="26"/>
          <w:szCs w:val="26"/>
        </w:rPr>
        <w:t xml:space="preserve">  I&amp;E </w:t>
      </w:r>
      <w:r w:rsidR="00103696">
        <w:rPr>
          <w:sz w:val="26"/>
          <w:szCs w:val="26"/>
        </w:rPr>
        <w:t xml:space="preserve">responds that the evidentiary record was thorough and included a “clear admission by HIKO that it made a business decision not to absorb the increased energy costs of the polar vortex winter,” which led to the regulatory violations.  I&amp;E R. Exc. at 5 (citation omitted).  I&amp;E further contends that no factual dispute, change in circumstance, or legal argument justifies grant of an oral argument, and </w:t>
      </w:r>
      <w:r w:rsidR="00BE5111">
        <w:rPr>
          <w:sz w:val="26"/>
          <w:szCs w:val="26"/>
        </w:rPr>
        <w:t xml:space="preserve">that </w:t>
      </w:r>
      <w:r w:rsidR="00103696">
        <w:rPr>
          <w:sz w:val="26"/>
          <w:szCs w:val="26"/>
        </w:rPr>
        <w:t xml:space="preserve">granting </w:t>
      </w:r>
      <w:r w:rsidR="00BE5111">
        <w:rPr>
          <w:sz w:val="26"/>
          <w:szCs w:val="26"/>
        </w:rPr>
        <w:t xml:space="preserve">argument </w:t>
      </w:r>
      <w:r w:rsidR="00103696">
        <w:rPr>
          <w:sz w:val="26"/>
          <w:szCs w:val="26"/>
        </w:rPr>
        <w:t xml:space="preserve">where there is </w:t>
      </w:r>
      <w:r w:rsidR="00BE5111">
        <w:rPr>
          <w:sz w:val="26"/>
          <w:szCs w:val="26"/>
        </w:rPr>
        <w:t xml:space="preserve">such </w:t>
      </w:r>
      <w:r w:rsidR="00103696">
        <w:rPr>
          <w:sz w:val="26"/>
          <w:szCs w:val="26"/>
        </w:rPr>
        <w:t xml:space="preserve">a “clear and comprehensive record” would set the bar so low that virtually every case before the Commission would warrant oral argument.  </w:t>
      </w:r>
      <w:r w:rsidR="00103696">
        <w:rPr>
          <w:i/>
          <w:sz w:val="26"/>
          <w:szCs w:val="26"/>
        </w:rPr>
        <w:t>Id.</w:t>
      </w:r>
    </w:p>
    <w:p w:rsidR="00103696" w:rsidRDefault="00103696" w:rsidP="005A245A">
      <w:pPr>
        <w:pStyle w:val="BodyFirst1SS"/>
        <w:spacing w:line="360" w:lineRule="auto"/>
        <w:jc w:val="left"/>
        <w:rPr>
          <w:sz w:val="26"/>
          <w:szCs w:val="26"/>
        </w:rPr>
      </w:pPr>
    </w:p>
    <w:p w:rsidR="00103696" w:rsidRPr="006C4E43" w:rsidRDefault="005322B3" w:rsidP="005A245A">
      <w:pPr>
        <w:pStyle w:val="BodyFirst1SS"/>
        <w:spacing w:line="360" w:lineRule="auto"/>
        <w:ind w:firstLine="1440"/>
        <w:jc w:val="left"/>
        <w:rPr>
          <w:sz w:val="26"/>
          <w:szCs w:val="26"/>
        </w:rPr>
      </w:pPr>
      <w:r>
        <w:rPr>
          <w:sz w:val="26"/>
          <w:szCs w:val="26"/>
        </w:rPr>
        <w:t xml:space="preserve">We deny HIKO’s request.  </w:t>
      </w:r>
      <w:r w:rsidR="006C4E43">
        <w:rPr>
          <w:sz w:val="26"/>
          <w:szCs w:val="26"/>
        </w:rPr>
        <w:t xml:space="preserve">Decisions on requests for oral argument are soundly within our discretion.  </w:t>
      </w:r>
      <w:r w:rsidR="006C4E43" w:rsidRPr="006C4E43">
        <w:rPr>
          <w:i/>
          <w:sz w:val="26"/>
          <w:szCs w:val="26"/>
        </w:rPr>
        <w:t>Application of Pennsylvania Suburban Water Company and Eagle Rock Utility Corporation</w:t>
      </w:r>
      <w:r w:rsidR="006C4E43">
        <w:rPr>
          <w:sz w:val="26"/>
          <w:szCs w:val="26"/>
        </w:rPr>
        <w:t>, Docket No. A-</w:t>
      </w:r>
      <w:r w:rsidR="006C4E43" w:rsidRPr="006C4E43">
        <w:rPr>
          <w:sz w:val="26"/>
          <w:szCs w:val="26"/>
        </w:rPr>
        <w:t>210104F0023</w:t>
      </w:r>
      <w:r w:rsidR="005A245A">
        <w:rPr>
          <w:sz w:val="26"/>
          <w:szCs w:val="26"/>
        </w:rPr>
        <w:t xml:space="preserve"> (Order entered March 8, 2004).  HIKO presents no reason supporting why its request should be granted other than to afford us the opportunity to hear the facts and evidence.  I&amp;E</w:t>
      </w:r>
      <w:r>
        <w:rPr>
          <w:sz w:val="26"/>
          <w:szCs w:val="26"/>
        </w:rPr>
        <w:t>, however,</w:t>
      </w:r>
      <w:r w:rsidR="005A245A">
        <w:rPr>
          <w:sz w:val="26"/>
          <w:szCs w:val="26"/>
        </w:rPr>
        <w:t xml:space="preserve"> presents a compelling argument that given the record in this proceeding, grant of HIKO’s request for oral argument here would effectively set such a low threshold for holding argument as to justify it upon every request.  We agree that </w:t>
      </w:r>
      <w:r>
        <w:rPr>
          <w:sz w:val="26"/>
          <w:szCs w:val="26"/>
        </w:rPr>
        <w:t xml:space="preserve">in consideration of </w:t>
      </w:r>
      <w:r w:rsidR="005A245A">
        <w:rPr>
          <w:sz w:val="26"/>
          <w:szCs w:val="26"/>
        </w:rPr>
        <w:t>the evidentiary record developed, including a day of hearing resulting in the presentation of full testimony and exhibits from all parties as well as a transcript of 228 pages, oral argument is unnecessary</w:t>
      </w:r>
      <w:r w:rsidR="00E51B8B">
        <w:rPr>
          <w:sz w:val="26"/>
          <w:szCs w:val="26"/>
        </w:rPr>
        <w:t xml:space="preserve"> and would not </w:t>
      </w:r>
      <w:r>
        <w:rPr>
          <w:sz w:val="26"/>
          <w:szCs w:val="26"/>
        </w:rPr>
        <w:t>constitute</w:t>
      </w:r>
      <w:r w:rsidR="00E51B8B">
        <w:rPr>
          <w:sz w:val="26"/>
          <w:szCs w:val="26"/>
        </w:rPr>
        <w:t xml:space="preserve"> an efficient use of resources</w:t>
      </w:r>
      <w:r w:rsidR="005A245A">
        <w:rPr>
          <w:sz w:val="26"/>
          <w:szCs w:val="26"/>
        </w:rPr>
        <w:t xml:space="preserve">.  </w:t>
      </w:r>
      <w:r w:rsidR="005A245A">
        <w:rPr>
          <w:i/>
          <w:sz w:val="26"/>
          <w:szCs w:val="26"/>
        </w:rPr>
        <w:t xml:space="preserve">See </w:t>
      </w:r>
      <w:r w:rsidR="005A245A" w:rsidRPr="005A245A">
        <w:rPr>
          <w:i/>
          <w:sz w:val="26"/>
          <w:szCs w:val="26"/>
        </w:rPr>
        <w:t>Level 3 Communications, LLC</w:t>
      </w:r>
      <w:r w:rsidR="005A245A">
        <w:rPr>
          <w:i/>
          <w:sz w:val="26"/>
          <w:szCs w:val="26"/>
        </w:rPr>
        <w:t xml:space="preserve"> </w:t>
      </w:r>
      <w:r w:rsidR="005A245A">
        <w:rPr>
          <w:i/>
          <w:sz w:val="26"/>
          <w:szCs w:val="26"/>
        </w:rPr>
        <w:lastRenderedPageBreak/>
        <w:t>v</w:t>
      </w:r>
      <w:r w:rsidR="005A245A" w:rsidRPr="005A245A">
        <w:rPr>
          <w:i/>
          <w:sz w:val="26"/>
          <w:szCs w:val="26"/>
        </w:rPr>
        <w:t>.</w:t>
      </w:r>
      <w:r w:rsidR="005A245A">
        <w:rPr>
          <w:i/>
          <w:sz w:val="26"/>
          <w:szCs w:val="26"/>
        </w:rPr>
        <w:t xml:space="preserve"> </w:t>
      </w:r>
      <w:r w:rsidR="005A245A" w:rsidRPr="005A245A">
        <w:rPr>
          <w:i/>
          <w:sz w:val="26"/>
          <w:szCs w:val="26"/>
        </w:rPr>
        <w:t>Marianna &amp; Scenery Hill Telephone Company</w:t>
      </w:r>
      <w:r w:rsidR="005A245A">
        <w:rPr>
          <w:sz w:val="26"/>
          <w:szCs w:val="26"/>
        </w:rPr>
        <w:t xml:space="preserve">, </w:t>
      </w:r>
      <w:r w:rsidR="00BC5764" w:rsidRPr="00BC5764">
        <w:rPr>
          <w:sz w:val="26"/>
          <w:szCs w:val="26"/>
        </w:rPr>
        <w:t>98 Pa.</w:t>
      </w:r>
      <w:r w:rsidR="00050805">
        <w:rPr>
          <w:sz w:val="26"/>
          <w:szCs w:val="26"/>
        </w:rPr>
        <w:t xml:space="preserve"> </w:t>
      </w:r>
      <w:r w:rsidR="00BC5764" w:rsidRPr="00BC5764">
        <w:rPr>
          <w:sz w:val="26"/>
          <w:szCs w:val="26"/>
        </w:rPr>
        <w:t xml:space="preserve">P.U.C. 1 </w:t>
      </w:r>
      <w:r w:rsidR="00BC5764">
        <w:rPr>
          <w:sz w:val="26"/>
          <w:szCs w:val="26"/>
        </w:rPr>
        <w:t xml:space="preserve">(2003) </w:t>
      </w:r>
      <w:r w:rsidR="005A245A">
        <w:rPr>
          <w:sz w:val="26"/>
          <w:szCs w:val="26"/>
        </w:rPr>
        <w:t xml:space="preserve">(in light of </w:t>
      </w:r>
      <w:r w:rsidR="005A245A" w:rsidRPr="005A245A">
        <w:rPr>
          <w:sz w:val="26"/>
          <w:szCs w:val="26"/>
        </w:rPr>
        <w:t xml:space="preserve">the record developed granting oral argument </w:t>
      </w:r>
      <w:r w:rsidR="00BC5764">
        <w:rPr>
          <w:sz w:val="26"/>
          <w:szCs w:val="26"/>
        </w:rPr>
        <w:t>was not</w:t>
      </w:r>
      <w:r w:rsidR="005A245A" w:rsidRPr="005A245A">
        <w:rPr>
          <w:sz w:val="26"/>
          <w:szCs w:val="26"/>
        </w:rPr>
        <w:t xml:space="preserve"> the most efficient course of action</w:t>
      </w:r>
      <w:r w:rsidR="00BC5764">
        <w:rPr>
          <w:sz w:val="26"/>
          <w:szCs w:val="26"/>
        </w:rPr>
        <w:t>).</w:t>
      </w:r>
    </w:p>
    <w:p w:rsidR="006645CA" w:rsidRPr="0022192A" w:rsidRDefault="006645CA" w:rsidP="00DE68FB">
      <w:pPr>
        <w:pStyle w:val="BodyFirst1SS"/>
        <w:spacing w:line="360" w:lineRule="auto"/>
        <w:ind w:firstLine="0"/>
        <w:jc w:val="left"/>
        <w:rPr>
          <w:sz w:val="26"/>
          <w:szCs w:val="26"/>
        </w:rPr>
      </w:pPr>
    </w:p>
    <w:p w:rsidR="000769C7" w:rsidRPr="0022192A" w:rsidRDefault="000769C7" w:rsidP="00746798">
      <w:pPr>
        <w:pStyle w:val="ListParagraph"/>
        <w:ind w:left="1440" w:right="1440"/>
        <w:jc w:val="center"/>
        <w:rPr>
          <w:rFonts w:ascii="Times New Roman" w:hAnsi="Times New Roman"/>
          <w:sz w:val="26"/>
          <w:szCs w:val="26"/>
        </w:rPr>
      </w:pPr>
      <w:r w:rsidRPr="00DE68FB">
        <w:rPr>
          <w:rFonts w:ascii="Times New Roman" w:hAnsi="Times New Roman"/>
          <w:b/>
          <w:sz w:val="26"/>
          <w:szCs w:val="26"/>
        </w:rPr>
        <w:t>III.</w:t>
      </w:r>
      <w:r w:rsidRPr="00DE68FB">
        <w:rPr>
          <w:rFonts w:ascii="Times New Roman" w:hAnsi="Times New Roman"/>
          <w:b/>
          <w:sz w:val="26"/>
          <w:szCs w:val="26"/>
        </w:rPr>
        <w:tab/>
        <w:t>Conclusion</w:t>
      </w:r>
    </w:p>
    <w:p w:rsidR="000769C7" w:rsidRPr="0022192A" w:rsidRDefault="000769C7" w:rsidP="00DE68FB">
      <w:pPr>
        <w:pStyle w:val="BodyText2"/>
        <w:spacing w:after="0" w:line="360" w:lineRule="auto"/>
        <w:rPr>
          <w:rFonts w:ascii="Times New Roman" w:hAnsi="Times New Roman"/>
          <w:sz w:val="26"/>
          <w:szCs w:val="26"/>
        </w:rPr>
      </w:pPr>
    </w:p>
    <w:p w:rsidR="000769C7" w:rsidRPr="00DE68FB" w:rsidRDefault="000769C7" w:rsidP="007C7981">
      <w:pPr>
        <w:pStyle w:val="BodyText2"/>
        <w:spacing w:after="0" w:line="360" w:lineRule="auto"/>
        <w:rPr>
          <w:rFonts w:ascii="Times New Roman" w:hAnsi="Times New Roman"/>
          <w:b/>
          <w:sz w:val="26"/>
          <w:szCs w:val="26"/>
        </w:rPr>
      </w:pPr>
      <w:r w:rsidRPr="00DE68FB">
        <w:rPr>
          <w:rFonts w:ascii="Times New Roman" w:hAnsi="Times New Roman"/>
          <w:b/>
          <w:sz w:val="26"/>
          <w:szCs w:val="26"/>
        </w:rPr>
        <w:tab/>
      </w:r>
      <w:r w:rsidRPr="00DE68FB">
        <w:rPr>
          <w:rFonts w:ascii="Times New Roman" w:hAnsi="Times New Roman"/>
          <w:b/>
          <w:sz w:val="26"/>
          <w:szCs w:val="26"/>
        </w:rPr>
        <w:tab/>
      </w:r>
      <w:r w:rsidRPr="00DE68FB">
        <w:rPr>
          <w:rFonts w:ascii="Times New Roman" w:hAnsi="Times New Roman"/>
          <w:sz w:val="26"/>
          <w:szCs w:val="26"/>
        </w:rPr>
        <w:t xml:space="preserve">Based on our review of the record and the applicable law, we </w:t>
      </w:r>
      <w:r w:rsidR="00050805">
        <w:rPr>
          <w:rFonts w:ascii="Times New Roman" w:hAnsi="Times New Roman"/>
          <w:sz w:val="26"/>
          <w:szCs w:val="26"/>
        </w:rPr>
        <w:t>deny</w:t>
      </w:r>
      <w:r w:rsidR="00581D1B">
        <w:rPr>
          <w:rFonts w:ascii="Times New Roman" w:hAnsi="Times New Roman"/>
          <w:sz w:val="26"/>
          <w:szCs w:val="26"/>
        </w:rPr>
        <w:t xml:space="preserve"> the Exceptions</w:t>
      </w:r>
      <w:r w:rsidR="00050805">
        <w:rPr>
          <w:rFonts w:ascii="Times New Roman" w:hAnsi="Times New Roman"/>
          <w:sz w:val="26"/>
          <w:szCs w:val="26"/>
        </w:rPr>
        <w:t xml:space="preserve"> of HIKO, deny the Exceptions of I&amp;E, </w:t>
      </w:r>
      <w:r w:rsidR="005B7C27">
        <w:rPr>
          <w:rFonts w:ascii="Times New Roman" w:hAnsi="Times New Roman"/>
          <w:sz w:val="26"/>
          <w:szCs w:val="26"/>
        </w:rPr>
        <w:t>sustain the Complaint</w:t>
      </w:r>
      <w:r w:rsidR="000B70B9">
        <w:rPr>
          <w:rFonts w:ascii="Times New Roman" w:hAnsi="Times New Roman"/>
          <w:sz w:val="26"/>
          <w:szCs w:val="26"/>
        </w:rPr>
        <w:t xml:space="preserve"> in part,</w:t>
      </w:r>
      <w:r w:rsidR="005B7C27">
        <w:rPr>
          <w:rFonts w:ascii="Times New Roman" w:hAnsi="Times New Roman"/>
          <w:sz w:val="26"/>
          <w:szCs w:val="26"/>
        </w:rPr>
        <w:t xml:space="preserve"> and </w:t>
      </w:r>
      <w:r w:rsidR="00050805">
        <w:rPr>
          <w:rFonts w:ascii="Times New Roman" w:hAnsi="Times New Roman"/>
          <w:sz w:val="26"/>
          <w:szCs w:val="26"/>
        </w:rPr>
        <w:t>adopt</w:t>
      </w:r>
      <w:r w:rsidR="00581D1B">
        <w:rPr>
          <w:rFonts w:ascii="Times New Roman" w:hAnsi="Times New Roman"/>
          <w:sz w:val="26"/>
          <w:szCs w:val="26"/>
        </w:rPr>
        <w:t xml:space="preserve"> the ALJ</w:t>
      </w:r>
      <w:r w:rsidR="00050805">
        <w:rPr>
          <w:rFonts w:ascii="Times New Roman" w:hAnsi="Times New Roman"/>
          <w:sz w:val="26"/>
          <w:szCs w:val="26"/>
        </w:rPr>
        <w:t>s</w:t>
      </w:r>
      <w:r w:rsidR="00581D1B">
        <w:rPr>
          <w:rFonts w:ascii="Times New Roman" w:hAnsi="Times New Roman"/>
          <w:sz w:val="26"/>
          <w:szCs w:val="26"/>
        </w:rPr>
        <w:t>’ Initial</w:t>
      </w:r>
      <w:r w:rsidRPr="00DE68FB">
        <w:rPr>
          <w:rFonts w:ascii="Times New Roman" w:hAnsi="Times New Roman"/>
          <w:sz w:val="26"/>
          <w:szCs w:val="26"/>
        </w:rPr>
        <w:t xml:space="preserve"> Decision consistent with this Opinion and </w:t>
      </w:r>
      <w:r w:rsidR="00B67010">
        <w:rPr>
          <w:rFonts w:ascii="Times New Roman" w:hAnsi="Times New Roman"/>
          <w:sz w:val="26"/>
          <w:szCs w:val="26"/>
        </w:rPr>
        <w:t>Order</w:t>
      </w:r>
      <w:r w:rsidRPr="00DE68FB">
        <w:rPr>
          <w:rFonts w:ascii="Times New Roman" w:hAnsi="Times New Roman"/>
          <w:sz w:val="26"/>
          <w:szCs w:val="26"/>
        </w:rPr>
        <w:t xml:space="preserve">; </w:t>
      </w:r>
      <w:r w:rsidRPr="00DE68FB">
        <w:rPr>
          <w:rFonts w:ascii="Times New Roman" w:hAnsi="Times New Roman"/>
          <w:b/>
          <w:sz w:val="26"/>
          <w:szCs w:val="26"/>
        </w:rPr>
        <w:t>THEREFORE,</w:t>
      </w:r>
    </w:p>
    <w:p w:rsidR="000769C7" w:rsidRPr="00DE68FB" w:rsidRDefault="000769C7" w:rsidP="007C7981">
      <w:pPr>
        <w:pStyle w:val="BodyText2"/>
        <w:spacing w:after="0" w:line="360" w:lineRule="auto"/>
        <w:rPr>
          <w:rFonts w:ascii="Times New Roman" w:hAnsi="Times New Roman"/>
          <w:b/>
          <w:sz w:val="26"/>
          <w:szCs w:val="26"/>
        </w:rPr>
      </w:pPr>
    </w:p>
    <w:p w:rsidR="000769C7" w:rsidRPr="00DE68FB" w:rsidRDefault="000769C7" w:rsidP="00754823">
      <w:pPr>
        <w:pStyle w:val="BodyText2"/>
        <w:keepNext/>
        <w:keepLines/>
        <w:spacing w:after="0" w:line="360" w:lineRule="auto"/>
        <w:rPr>
          <w:rFonts w:ascii="Times New Roman" w:hAnsi="Times New Roman"/>
          <w:b/>
          <w:sz w:val="26"/>
          <w:szCs w:val="26"/>
        </w:rPr>
      </w:pPr>
      <w:r w:rsidRPr="00DE68FB">
        <w:rPr>
          <w:rFonts w:ascii="Times New Roman" w:hAnsi="Times New Roman"/>
          <w:b/>
          <w:sz w:val="26"/>
          <w:szCs w:val="26"/>
        </w:rPr>
        <w:tab/>
      </w:r>
      <w:r w:rsidRPr="00DE68FB">
        <w:rPr>
          <w:rFonts w:ascii="Times New Roman" w:hAnsi="Times New Roman"/>
          <w:b/>
          <w:sz w:val="26"/>
          <w:szCs w:val="26"/>
        </w:rPr>
        <w:tab/>
        <w:t>IT IS ORDERED:</w:t>
      </w:r>
    </w:p>
    <w:p w:rsidR="000769C7" w:rsidRPr="00754823" w:rsidRDefault="000769C7" w:rsidP="00754823">
      <w:pPr>
        <w:pStyle w:val="BodyText2"/>
        <w:keepNext/>
        <w:keepLines/>
        <w:spacing w:after="0" w:line="360" w:lineRule="auto"/>
        <w:rPr>
          <w:rFonts w:ascii="Times New Roman" w:hAnsi="Times New Roman"/>
          <w:sz w:val="26"/>
          <w:szCs w:val="26"/>
        </w:rPr>
      </w:pPr>
    </w:p>
    <w:p w:rsidR="000769C7" w:rsidRPr="00DE68FB" w:rsidRDefault="000769C7" w:rsidP="00754823">
      <w:pPr>
        <w:pStyle w:val="BodyText2"/>
        <w:spacing w:after="0" w:line="360" w:lineRule="auto"/>
        <w:rPr>
          <w:rFonts w:ascii="Times New Roman" w:hAnsi="Times New Roman"/>
          <w:sz w:val="26"/>
          <w:szCs w:val="26"/>
        </w:rPr>
      </w:pPr>
      <w:r w:rsidRPr="00DE68FB">
        <w:rPr>
          <w:rFonts w:ascii="Times New Roman" w:hAnsi="Times New Roman"/>
          <w:b/>
          <w:sz w:val="26"/>
          <w:szCs w:val="26"/>
        </w:rPr>
        <w:tab/>
      </w:r>
      <w:r w:rsidRPr="00DE68FB">
        <w:rPr>
          <w:rFonts w:ascii="Times New Roman" w:hAnsi="Times New Roman"/>
          <w:b/>
          <w:sz w:val="26"/>
          <w:szCs w:val="26"/>
        </w:rPr>
        <w:tab/>
      </w:r>
      <w:r w:rsidRPr="00DE68FB">
        <w:rPr>
          <w:rFonts w:ascii="Times New Roman" w:hAnsi="Times New Roman"/>
          <w:sz w:val="26"/>
          <w:szCs w:val="26"/>
        </w:rPr>
        <w:t>1.</w:t>
      </w:r>
      <w:r w:rsidRPr="00DE68FB">
        <w:rPr>
          <w:rFonts w:ascii="Times New Roman" w:hAnsi="Times New Roman"/>
          <w:sz w:val="26"/>
          <w:szCs w:val="26"/>
        </w:rPr>
        <w:tab/>
        <w:t xml:space="preserve">That the Exceptions of </w:t>
      </w:r>
      <w:r w:rsidR="007C7981">
        <w:rPr>
          <w:rFonts w:ascii="Times New Roman" w:hAnsi="Times New Roman"/>
          <w:sz w:val="26"/>
          <w:szCs w:val="26"/>
        </w:rPr>
        <w:t>HIKO Energy , LLC</w:t>
      </w:r>
      <w:r w:rsidR="005B7C27">
        <w:rPr>
          <w:rFonts w:ascii="Times New Roman" w:hAnsi="Times New Roman"/>
          <w:sz w:val="26"/>
          <w:szCs w:val="26"/>
        </w:rPr>
        <w:t xml:space="preserve"> are </w:t>
      </w:r>
      <w:r w:rsidR="001E5D06">
        <w:rPr>
          <w:rFonts w:ascii="Times New Roman" w:hAnsi="Times New Roman"/>
          <w:sz w:val="26"/>
          <w:szCs w:val="26"/>
        </w:rPr>
        <w:t>denied</w:t>
      </w:r>
      <w:r w:rsidRPr="00DE68FB">
        <w:rPr>
          <w:rFonts w:ascii="Times New Roman" w:hAnsi="Times New Roman"/>
          <w:sz w:val="26"/>
          <w:szCs w:val="26"/>
        </w:rPr>
        <w:t>.</w:t>
      </w:r>
    </w:p>
    <w:p w:rsidR="000769C7" w:rsidRPr="00DE68FB" w:rsidRDefault="000769C7" w:rsidP="00754823">
      <w:pPr>
        <w:pStyle w:val="BodyText2"/>
        <w:spacing w:after="0" w:line="360" w:lineRule="auto"/>
        <w:rPr>
          <w:rFonts w:ascii="Times New Roman" w:hAnsi="Times New Roman"/>
          <w:sz w:val="26"/>
          <w:szCs w:val="26"/>
        </w:rPr>
      </w:pPr>
    </w:p>
    <w:p w:rsidR="007C7981" w:rsidRPr="007C7981" w:rsidRDefault="007C7981" w:rsidP="00754823">
      <w:pPr>
        <w:pStyle w:val="BodyText2"/>
        <w:spacing w:after="0" w:line="360" w:lineRule="auto"/>
        <w:rPr>
          <w:rFonts w:ascii="Times New Roman" w:hAnsi="Times New Roman"/>
          <w:sz w:val="26"/>
          <w:szCs w:val="26"/>
        </w:rPr>
      </w:pPr>
      <w:r w:rsidRPr="007C7981">
        <w:rPr>
          <w:rFonts w:ascii="Times New Roman" w:hAnsi="Times New Roman"/>
          <w:b/>
          <w:sz w:val="26"/>
          <w:szCs w:val="26"/>
        </w:rPr>
        <w:tab/>
      </w:r>
      <w:r w:rsidRPr="007C7981">
        <w:rPr>
          <w:rFonts w:ascii="Times New Roman" w:hAnsi="Times New Roman"/>
          <w:b/>
          <w:sz w:val="26"/>
          <w:szCs w:val="26"/>
        </w:rPr>
        <w:tab/>
      </w:r>
      <w:r>
        <w:rPr>
          <w:rFonts w:ascii="Times New Roman" w:hAnsi="Times New Roman"/>
          <w:sz w:val="26"/>
          <w:szCs w:val="26"/>
        </w:rPr>
        <w:t>2</w:t>
      </w:r>
      <w:r w:rsidRPr="007C7981">
        <w:rPr>
          <w:rFonts w:ascii="Times New Roman" w:hAnsi="Times New Roman"/>
          <w:sz w:val="26"/>
          <w:szCs w:val="26"/>
        </w:rPr>
        <w:t>.</w:t>
      </w:r>
      <w:r w:rsidRPr="007C7981">
        <w:rPr>
          <w:rFonts w:ascii="Times New Roman" w:hAnsi="Times New Roman"/>
          <w:sz w:val="26"/>
          <w:szCs w:val="26"/>
        </w:rPr>
        <w:tab/>
        <w:t xml:space="preserve">That the Exceptions of </w:t>
      </w:r>
      <w:r>
        <w:rPr>
          <w:rFonts w:ascii="Times New Roman" w:hAnsi="Times New Roman"/>
          <w:sz w:val="26"/>
          <w:szCs w:val="26"/>
        </w:rPr>
        <w:t xml:space="preserve">the Bureau of Investigation and Enforcement </w:t>
      </w:r>
      <w:r w:rsidRPr="007C7981">
        <w:rPr>
          <w:rFonts w:ascii="Times New Roman" w:hAnsi="Times New Roman"/>
          <w:sz w:val="26"/>
          <w:szCs w:val="26"/>
        </w:rPr>
        <w:t>are denied.</w:t>
      </w:r>
    </w:p>
    <w:p w:rsidR="007C7981" w:rsidRDefault="007C7981" w:rsidP="00754823">
      <w:pPr>
        <w:pStyle w:val="BodyText2"/>
        <w:spacing w:after="0" w:line="360" w:lineRule="auto"/>
        <w:rPr>
          <w:rFonts w:ascii="Times New Roman" w:hAnsi="Times New Roman"/>
          <w:sz w:val="26"/>
          <w:szCs w:val="26"/>
        </w:rPr>
      </w:pPr>
    </w:p>
    <w:p w:rsidR="000769C7" w:rsidRDefault="000769C7" w:rsidP="00754823">
      <w:pPr>
        <w:pStyle w:val="BodyText2"/>
        <w:spacing w:after="0" w:line="360" w:lineRule="auto"/>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r>
      <w:r w:rsidR="007C7981">
        <w:rPr>
          <w:rFonts w:ascii="Times New Roman" w:hAnsi="Times New Roman"/>
          <w:sz w:val="26"/>
          <w:szCs w:val="26"/>
        </w:rPr>
        <w:t>3</w:t>
      </w:r>
      <w:r w:rsidRPr="00DE68FB">
        <w:rPr>
          <w:rFonts w:ascii="Times New Roman" w:hAnsi="Times New Roman"/>
          <w:sz w:val="26"/>
          <w:szCs w:val="26"/>
        </w:rPr>
        <w:t>.</w:t>
      </w:r>
      <w:r w:rsidRPr="00DE68FB">
        <w:rPr>
          <w:rFonts w:ascii="Times New Roman" w:hAnsi="Times New Roman"/>
          <w:sz w:val="26"/>
          <w:szCs w:val="26"/>
        </w:rPr>
        <w:tab/>
        <w:t>That the Initial Decision of Administrative Law Judge</w:t>
      </w:r>
      <w:r w:rsidR="007C7981">
        <w:rPr>
          <w:rFonts w:ascii="Times New Roman" w:hAnsi="Times New Roman"/>
          <w:sz w:val="26"/>
          <w:szCs w:val="26"/>
        </w:rPr>
        <w:t>s</w:t>
      </w:r>
      <w:r w:rsidRPr="00DE68FB">
        <w:rPr>
          <w:rFonts w:ascii="Times New Roman" w:hAnsi="Times New Roman"/>
          <w:sz w:val="26"/>
          <w:szCs w:val="26"/>
        </w:rPr>
        <w:t xml:space="preserve"> Elizabeth</w:t>
      </w:r>
      <w:r w:rsidR="00540605">
        <w:rPr>
          <w:rFonts w:ascii="Times New Roman" w:hAnsi="Times New Roman"/>
          <w:sz w:val="26"/>
          <w:szCs w:val="26"/>
        </w:rPr>
        <w:t> </w:t>
      </w:r>
      <w:r w:rsidRPr="00DE68FB">
        <w:rPr>
          <w:rFonts w:ascii="Times New Roman" w:hAnsi="Times New Roman"/>
          <w:sz w:val="26"/>
          <w:szCs w:val="26"/>
        </w:rPr>
        <w:t>H.</w:t>
      </w:r>
      <w:r w:rsidR="00540605">
        <w:rPr>
          <w:rFonts w:ascii="Times New Roman" w:hAnsi="Times New Roman"/>
          <w:sz w:val="26"/>
          <w:szCs w:val="26"/>
        </w:rPr>
        <w:t> </w:t>
      </w:r>
      <w:r w:rsidRPr="00DE68FB">
        <w:rPr>
          <w:rFonts w:ascii="Times New Roman" w:hAnsi="Times New Roman"/>
          <w:sz w:val="26"/>
          <w:szCs w:val="26"/>
        </w:rPr>
        <w:t xml:space="preserve">Barnes </w:t>
      </w:r>
      <w:r w:rsidR="007C7981">
        <w:rPr>
          <w:rFonts w:ascii="Times New Roman" w:hAnsi="Times New Roman"/>
          <w:sz w:val="26"/>
          <w:szCs w:val="26"/>
        </w:rPr>
        <w:t xml:space="preserve">and Joel H. Cheskis </w:t>
      </w:r>
      <w:r w:rsidR="005B7C27">
        <w:rPr>
          <w:rFonts w:ascii="Times New Roman" w:hAnsi="Times New Roman"/>
          <w:sz w:val="26"/>
          <w:szCs w:val="26"/>
        </w:rPr>
        <w:t xml:space="preserve">issued on </w:t>
      </w:r>
      <w:r w:rsidR="007C7981">
        <w:rPr>
          <w:rFonts w:ascii="Times New Roman" w:hAnsi="Times New Roman"/>
          <w:sz w:val="26"/>
          <w:szCs w:val="26"/>
        </w:rPr>
        <w:t>August 21, 2015,</w:t>
      </w:r>
      <w:r w:rsidR="005B7C27">
        <w:rPr>
          <w:rFonts w:ascii="Times New Roman" w:hAnsi="Times New Roman"/>
          <w:sz w:val="26"/>
          <w:szCs w:val="26"/>
        </w:rPr>
        <w:t xml:space="preserve"> </w:t>
      </w:r>
      <w:r w:rsidRPr="00DE68FB">
        <w:rPr>
          <w:rFonts w:ascii="Times New Roman" w:hAnsi="Times New Roman"/>
          <w:sz w:val="26"/>
          <w:szCs w:val="26"/>
        </w:rPr>
        <w:t xml:space="preserve">is </w:t>
      </w:r>
      <w:r w:rsidR="001E5D06">
        <w:rPr>
          <w:rFonts w:ascii="Times New Roman" w:hAnsi="Times New Roman"/>
          <w:sz w:val="26"/>
          <w:szCs w:val="26"/>
        </w:rPr>
        <w:t>adopted</w:t>
      </w:r>
      <w:r w:rsidR="005B7C27">
        <w:rPr>
          <w:rFonts w:ascii="Times New Roman" w:hAnsi="Times New Roman"/>
          <w:sz w:val="26"/>
          <w:szCs w:val="26"/>
        </w:rPr>
        <w:t>.</w:t>
      </w:r>
    </w:p>
    <w:p w:rsidR="00B67010" w:rsidRDefault="00B67010" w:rsidP="00754823">
      <w:pPr>
        <w:pStyle w:val="BodyText2"/>
        <w:spacing w:after="0" w:line="360" w:lineRule="auto"/>
        <w:rPr>
          <w:rFonts w:ascii="Times New Roman" w:hAnsi="Times New Roman"/>
          <w:sz w:val="26"/>
          <w:szCs w:val="26"/>
        </w:rPr>
      </w:pPr>
    </w:p>
    <w:p w:rsidR="005B7C27" w:rsidRDefault="005B7C27" w:rsidP="00754823">
      <w:pPr>
        <w:pStyle w:val="BodyText2"/>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C7981">
        <w:rPr>
          <w:rFonts w:ascii="Times New Roman" w:hAnsi="Times New Roman"/>
          <w:sz w:val="26"/>
          <w:szCs w:val="26"/>
        </w:rPr>
        <w:t>4.</w:t>
      </w:r>
      <w:r>
        <w:rPr>
          <w:rFonts w:ascii="Times New Roman" w:hAnsi="Times New Roman"/>
          <w:sz w:val="26"/>
          <w:szCs w:val="26"/>
        </w:rPr>
        <w:tab/>
        <w:t xml:space="preserve">That the Formal Complaint filed by </w:t>
      </w:r>
      <w:r w:rsidR="007C7981">
        <w:rPr>
          <w:rFonts w:ascii="Times New Roman" w:hAnsi="Times New Roman"/>
          <w:sz w:val="26"/>
          <w:szCs w:val="26"/>
        </w:rPr>
        <w:t>the Bureau of Investigation and Enforcement</w:t>
      </w:r>
      <w:r>
        <w:rPr>
          <w:rFonts w:ascii="Times New Roman" w:hAnsi="Times New Roman"/>
          <w:sz w:val="26"/>
          <w:szCs w:val="26"/>
        </w:rPr>
        <w:t xml:space="preserve"> against </w:t>
      </w:r>
      <w:r w:rsidR="007C7981">
        <w:rPr>
          <w:rFonts w:ascii="Times New Roman" w:hAnsi="Times New Roman"/>
          <w:sz w:val="26"/>
          <w:szCs w:val="26"/>
        </w:rPr>
        <w:t>HIKO Energy, LLC</w:t>
      </w:r>
      <w:r>
        <w:rPr>
          <w:rFonts w:ascii="Times New Roman" w:hAnsi="Times New Roman"/>
          <w:sz w:val="26"/>
          <w:szCs w:val="26"/>
        </w:rPr>
        <w:t xml:space="preserve"> on </w:t>
      </w:r>
      <w:r w:rsidR="007C7981">
        <w:rPr>
          <w:rFonts w:ascii="Times New Roman" w:hAnsi="Times New Roman"/>
          <w:sz w:val="26"/>
          <w:szCs w:val="26"/>
        </w:rPr>
        <w:t>July 11</w:t>
      </w:r>
      <w:r>
        <w:rPr>
          <w:rFonts w:ascii="Times New Roman" w:hAnsi="Times New Roman"/>
          <w:sz w:val="26"/>
          <w:szCs w:val="26"/>
        </w:rPr>
        <w:t>, 2014, at Docket No. C-2014-243</w:t>
      </w:r>
      <w:r w:rsidR="007C7981">
        <w:rPr>
          <w:rFonts w:ascii="Times New Roman" w:hAnsi="Times New Roman"/>
          <w:sz w:val="26"/>
          <w:szCs w:val="26"/>
        </w:rPr>
        <w:t>1410</w:t>
      </w:r>
      <w:r>
        <w:rPr>
          <w:rFonts w:ascii="Times New Roman" w:hAnsi="Times New Roman"/>
          <w:sz w:val="26"/>
          <w:szCs w:val="26"/>
        </w:rPr>
        <w:t xml:space="preserve"> is </w:t>
      </w:r>
      <w:r w:rsidR="00BE5111">
        <w:rPr>
          <w:rFonts w:ascii="Times New Roman" w:hAnsi="Times New Roman"/>
          <w:sz w:val="26"/>
          <w:szCs w:val="26"/>
        </w:rPr>
        <w:t>sustained</w:t>
      </w:r>
      <w:r w:rsidR="00050805">
        <w:rPr>
          <w:rFonts w:ascii="Times New Roman" w:hAnsi="Times New Roman"/>
          <w:sz w:val="26"/>
          <w:szCs w:val="26"/>
        </w:rPr>
        <w:t>, in part, and denied, in part, consistent with this Opinion and Order</w:t>
      </w:r>
      <w:r>
        <w:rPr>
          <w:rFonts w:ascii="Times New Roman" w:hAnsi="Times New Roman"/>
          <w:sz w:val="26"/>
          <w:szCs w:val="26"/>
        </w:rPr>
        <w:t>.</w:t>
      </w:r>
    </w:p>
    <w:p w:rsidR="005B7C27" w:rsidRDefault="005B7C27" w:rsidP="00754823">
      <w:pPr>
        <w:pStyle w:val="BodyText2"/>
        <w:spacing w:after="0" w:line="360" w:lineRule="auto"/>
        <w:rPr>
          <w:rFonts w:ascii="Times New Roman" w:hAnsi="Times New Roman"/>
          <w:sz w:val="26"/>
          <w:szCs w:val="26"/>
        </w:rPr>
      </w:pPr>
    </w:p>
    <w:p w:rsidR="005B7C27" w:rsidRDefault="005B7C27" w:rsidP="00754823">
      <w:pPr>
        <w:tabs>
          <w:tab w:val="left" w:pos="1440"/>
        </w:tabs>
        <w:ind w:firstLine="720"/>
        <w:rPr>
          <w:rFonts w:ascii="Times New Roman" w:hAnsi="Times New Roman"/>
          <w:sz w:val="26"/>
          <w:szCs w:val="26"/>
        </w:rPr>
      </w:pPr>
      <w:r>
        <w:rPr>
          <w:rFonts w:ascii="Times New Roman" w:hAnsi="Times New Roman"/>
          <w:sz w:val="26"/>
          <w:szCs w:val="26"/>
        </w:rPr>
        <w:tab/>
      </w:r>
      <w:r w:rsidR="00575DDF">
        <w:rPr>
          <w:sz w:val="26"/>
          <w:szCs w:val="26"/>
        </w:rPr>
        <w:t>5</w:t>
      </w:r>
      <w:r>
        <w:rPr>
          <w:sz w:val="26"/>
          <w:szCs w:val="26"/>
        </w:rPr>
        <w:t>.</w:t>
      </w:r>
      <w:r>
        <w:rPr>
          <w:sz w:val="26"/>
          <w:szCs w:val="26"/>
        </w:rPr>
        <w:tab/>
      </w:r>
      <w:r w:rsidRPr="004240E7">
        <w:rPr>
          <w:rFonts w:ascii="Times New Roman" w:hAnsi="Times New Roman"/>
          <w:sz w:val="26"/>
          <w:szCs w:val="26"/>
        </w:rPr>
        <w:t>That</w:t>
      </w:r>
      <w:r>
        <w:rPr>
          <w:rFonts w:ascii="Times New Roman" w:hAnsi="Times New Roman"/>
          <w:sz w:val="26"/>
          <w:szCs w:val="26"/>
        </w:rPr>
        <w:t xml:space="preserve">, in accordance with Section 3301 of the Public Utility Code, 66 Pa. C.S. § 3301, within thirty (30) days of </w:t>
      </w:r>
      <w:r w:rsidR="00050805">
        <w:rPr>
          <w:rFonts w:ascii="Times New Roman" w:hAnsi="Times New Roman"/>
          <w:sz w:val="26"/>
          <w:szCs w:val="26"/>
        </w:rPr>
        <w:t>entry</w:t>
      </w:r>
      <w:r>
        <w:rPr>
          <w:rFonts w:ascii="Times New Roman" w:hAnsi="Times New Roman"/>
          <w:sz w:val="26"/>
          <w:szCs w:val="26"/>
        </w:rPr>
        <w:t xml:space="preserve"> of this Opinion and Order,</w:t>
      </w:r>
      <w:r w:rsidRPr="004240E7">
        <w:rPr>
          <w:rFonts w:ascii="Times New Roman" w:hAnsi="Times New Roman"/>
          <w:sz w:val="26"/>
          <w:szCs w:val="26"/>
        </w:rPr>
        <w:t xml:space="preserve"> </w:t>
      </w:r>
      <w:r w:rsidR="007C7981">
        <w:rPr>
          <w:rFonts w:ascii="Times New Roman" w:hAnsi="Times New Roman"/>
          <w:sz w:val="26"/>
          <w:szCs w:val="26"/>
        </w:rPr>
        <w:t xml:space="preserve">HIKO Energy, </w:t>
      </w:r>
      <w:r w:rsidR="000F2C81">
        <w:rPr>
          <w:rFonts w:ascii="Times New Roman" w:hAnsi="Times New Roman"/>
          <w:sz w:val="26"/>
          <w:szCs w:val="26"/>
        </w:rPr>
        <w:t>LLC</w:t>
      </w:r>
      <w:r>
        <w:rPr>
          <w:rFonts w:ascii="Times New Roman" w:hAnsi="Times New Roman"/>
          <w:sz w:val="26"/>
          <w:szCs w:val="26"/>
        </w:rPr>
        <w:t xml:space="preserve"> </w:t>
      </w:r>
      <w:r w:rsidRPr="004240E7">
        <w:rPr>
          <w:rFonts w:ascii="Times New Roman" w:hAnsi="Times New Roman"/>
          <w:sz w:val="26"/>
          <w:szCs w:val="26"/>
        </w:rPr>
        <w:t xml:space="preserve">shall pay a </w:t>
      </w:r>
      <w:r>
        <w:rPr>
          <w:rFonts w:ascii="Times New Roman" w:hAnsi="Times New Roman"/>
          <w:sz w:val="26"/>
          <w:szCs w:val="26"/>
        </w:rPr>
        <w:t>ci</w:t>
      </w:r>
      <w:r w:rsidR="00B67010">
        <w:rPr>
          <w:rFonts w:ascii="Times New Roman" w:hAnsi="Times New Roman"/>
          <w:sz w:val="26"/>
          <w:szCs w:val="26"/>
        </w:rPr>
        <w:t xml:space="preserve">vil penalty in the amount of </w:t>
      </w:r>
      <w:r w:rsidR="007C7981">
        <w:rPr>
          <w:rFonts w:ascii="Times New Roman" w:hAnsi="Times New Roman"/>
          <w:sz w:val="26"/>
          <w:szCs w:val="26"/>
        </w:rPr>
        <w:t xml:space="preserve">One Million Eight Hundred Thirty-Six </w:t>
      </w:r>
      <w:r w:rsidR="00B67010">
        <w:rPr>
          <w:rFonts w:ascii="Times New Roman" w:hAnsi="Times New Roman"/>
          <w:sz w:val="26"/>
          <w:szCs w:val="26"/>
        </w:rPr>
        <w:t xml:space="preserve">Thousand </w:t>
      </w:r>
      <w:r w:rsidR="007C7981">
        <w:rPr>
          <w:rFonts w:ascii="Times New Roman" w:hAnsi="Times New Roman"/>
          <w:sz w:val="26"/>
          <w:szCs w:val="26"/>
        </w:rPr>
        <w:t xml:space="preserve">One Hundred Twenty-Five </w:t>
      </w:r>
      <w:r w:rsidR="00B67010">
        <w:rPr>
          <w:rFonts w:ascii="Times New Roman" w:hAnsi="Times New Roman"/>
          <w:sz w:val="26"/>
          <w:szCs w:val="26"/>
        </w:rPr>
        <w:t>Dollars ($</w:t>
      </w:r>
      <w:r w:rsidR="007C7981">
        <w:rPr>
          <w:rFonts w:ascii="Times New Roman" w:hAnsi="Times New Roman"/>
          <w:sz w:val="26"/>
          <w:szCs w:val="26"/>
        </w:rPr>
        <w:t>1,836,125</w:t>
      </w:r>
      <w:r>
        <w:rPr>
          <w:rFonts w:ascii="Times New Roman" w:hAnsi="Times New Roman"/>
          <w:sz w:val="26"/>
          <w:szCs w:val="26"/>
        </w:rPr>
        <w:t>.00</w:t>
      </w:r>
      <w:r w:rsidRPr="004240E7">
        <w:rPr>
          <w:rFonts w:ascii="Times New Roman" w:hAnsi="Times New Roman"/>
          <w:sz w:val="26"/>
          <w:szCs w:val="26"/>
        </w:rPr>
        <w:t>)</w:t>
      </w:r>
      <w:r w:rsidR="00950096">
        <w:rPr>
          <w:rFonts w:ascii="Times New Roman" w:hAnsi="Times New Roman"/>
          <w:sz w:val="26"/>
          <w:szCs w:val="26"/>
        </w:rPr>
        <w:t xml:space="preserve">.  </w:t>
      </w:r>
      <w:r>
        <w:rPr>
          <w:rFonts w:ascii="Times New Roman" w:hAnsi="Times New Roman"/>
          <w:sz w:val="26"/>
          <w:szCs w:val="26"/>
        </w:rPr>
        <w:t>C</w:t>
      </w:r>
      <w:r w:rsidRPr="004240E7">
        <w:rPr>
          <w:rFonts w:ascii="Times New Roman" w:hAnsi="Times New Roman"/>
          <w:sz w:val="26"/>
          <w:szCs w:val="26"/>
        </w:rPr>
        <w:t>ertified check or money order</w:t>
      </w:r>
      <w:r>
        <w:rPr>
          <w:rFonts w:ascii="Times New Roman" w:hAnsi="Times New Roman"/>
          <w:sz w:val="26"/>
          <w:szCs w:val="26"/>
        </w:rPr>
        <w:t xml:space="preserve"> in that amount shall be made payable to “Commonwealth of Pennsylvania” </w:t>
      </w:r>
      <w:r w:rsidRPr="004240E7">
        <w:rPr>
          <w:rFonts w:ascii="Times New Roman" w:hAnsi="Times New Roman"/>
          <w:sz w:val="26"/>
          <w:szCs w:val="26"/>
        </w:rPr>
        <w:t xml:space="preserve">and </w:t>
      </w:r>
      <w:r>
        <w:rPr>
          <w:rFonts w:ascii="Times New Roman" w:hAnsi="Times New Roman"/>
          <w:sz w:val="26"/>
          <w:szCs w:val="26"/>
        </w:rPr>
        <w:t>sent addressed as follow</w:t>
      </w:r>
      <w:r w:rsidRPr="002D20AC">
        <w:rPr>
          <w:rFonts w:ascii="Times New Roman" w:hAnsi="Times New Roman"/>
          <w:sz w:val="26"/>
          <w:szCs w:val="26"/>
        </w:rPr>
        <w:t>s:</w:t>
      </w:r>
    </w:p>
    <w:p w:rsidR="005B7C27" w:rsidRPr="002D20AC" w:rsidRDefault="005B7C27" w:rsidP="00754823">
      <w:pPr>
        <w:pStyle w:val="PlainText"/>
        <w:tabs>
          <w:tab w:val="left" w:pos="1440"/>
        </w:tabs>
        <w:spacing w:line="360" w:lineRule="auto"/>
        <w:ind w:firstLine="720"/>
        <w:rPr>
          <w:rFonts w:ascii="Times New Roman" w:hAnsi="Times New Roman" w:cs="Times New Roman"/>
          <w:sz w:val="26"/>
          <w:szCs w:val="26"/>
        </w:rPr>
      </w:pPr>
    </w:p>
    <w:p w:rsidR="005B7C27" w:rsidRPr="002D20AC" w:rsidRDefault="005B7C27" w:rsidP="00754823">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Secretary</w:t>
      </w:r>
    </w:p>
    <w:p w:rsidR="005B7C27" w:rsidRPr="002D20AC" w:rsidRDefault="005B7C27" w:rsidP="00754823">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Pennsylvania Public Utility Commission</w:t>
      </w:r>
    </w:p>
    <w:p w:rsidR="005B7C27" w:rsidRPr="002D20AC" w:rsidRDefault="005B7C27" w:rsidP="00754823">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P.O. Box 3265</w:t>
      </w:r>
    </w:p>
    <w:p w:rsidR="005B7C27" w:rsidRDefault="005B7C27" w:rsidP="00754823">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Harrisburg, PA  17105-3265</w:t>
      </w:r>
    </w:p>
    <w:p w:rsidR="00754823" w:rsidRDefault="00754823" w:rsidP="00754823">
      <w:pPr>
        <w:suppressAutoHyphens/>
        <w:spacing w:line="240" w:lineRule="auto"/>
        <w:rPr>
          <w:sz w:val="26"/>
          <w:szCs w:val="26"/>
        </w:rPr>
      </w:pPr>
    </w:p>
    <w:p w:rsidR="00754823" w:rsidRDefault="00754823" w:rsidP="00754823">
      <w:pPr>
        <w:suppressAutoHyphens/>
        <w:spacing w:line="240" w:lineRule="auto"/>
        <w:rPr>
          <w:sz w:val="26"/>
          <w:szCs w:val="26"/>
        </w:rPr>
      </w:pPr>
    </w:p>
    <w:p w:rsidR="005B7C27" w:rsidRDefault="005B7C27" w:rsidP="00754823">
      <w:pPr>
        <w:pStyle w:val="PlainText"/>
        <w:spacing w:line="360" w:lineRule="auto"/>
        <w:rPr>
          <w:rFonts w:ascii="Times New Roman" w:hAnsi="Times New Roman" w:cs="Times New Roman"/>
          <w:sz w:val="26"/>
          <w:szCs w:val="26"/>
        </w:rPr>
      </w:pPr>
      <w:r w:rsidRPr="004240E7">
        <w:rPr>
          <w:sz w:val="26"/>
          <w:szCs w:val="26"/>
        </w:rPr>
        <w:tab/>
      </w:r>
      <w:r w:rsidRPr="004240E7">
        <w:rPr>
          <w:sz w:val="26"/>
          <w:szCs w:val="26"/>
        </w:rPr>
        <w:tab/>
      </w:r>
      <w:r w:rsidR="00575DDF">
        <w:rPr>
          <w:rFonts w:ascii="Times New Roman" w:hAnsi="Times New Roman" w:cs="Times New Roman"/>
          <w:sz w:val="26"/>
          <w:szCs w:val="26"/>
        </w:rPr>
        <w:t>6</w:t>
      </w:r>
      <w:r w:rsidR="00C124DA">
        <w:rPr>
          <w:rFonts w:ascii="Times New Roman" w:hAnsi="Times New Roman" w:cs="Times New Roman"/>
          <w:sz w:val="26"/>
          <w:szCs w:val="26"/>
        </w:rPr>
        <w:t>.</w:t>
      </w:r>
      <w:r w:rsidR="00C124DA">
        <w:rPr>
          <w:rFonts w:ascii="Times New Roman" w:hAnsi="Times New Roman" w:cs="Times New Roman"/>
          <w:sz w:val="26"/>
          <w:szCs w:val="26"/>
        </w:rPr>
        <w:tab/>
        <w:t xml:space="preserve">That </w:t>
      </w:r>
      <w:r w:rsidR="00754823">
        <w:rPr>
          <w:rFonts w:ascii="Times New Roman" w:hAnsi="Times New Roman" w:cs="Times New Roman"/>
          <w:sz w:val="26"/>
          <w:szCs w:val="26"/>
        </w:rPr>
        <w:t>HIKO Energy, LLC</w:t>
      </w:r>
      <w:r w:rsidRPr="002D20AC">
        <w:rPr>
          <w:rFonts w:ascii="Times New Roman" w:hAnsi="Times New Roman" w:cs="Times New Roman"/>
          <w:sz w:val="26"/>
          <w:szCs w:val="26"/>
        </w:rPr>
        <w:t xml:space="preserve"> </w:t>
      </w:r>
      <w:r w:rsidR="00C124DA">
        <w:rPr>
          <w:rFonts w:ascii="Times New Roman" w:hAnsi="Times New Roman" w:cs="Times New Roman"/>
          <w:sz w:val="26"/>
          <w:szCs w:val="26"/>
        </w:rPr>
        <w:t xml:space="preserve">shall </w:t>
      </w:r>
      <w:r w:rsidRPr="002D20AC">
        <w:rPr>
          <w:rFonts w:ascii="Times New Roman" w:hAnsi="Times New Roman" w:cs="Times New Roman"/>
          <w:sz w:val="26"/>
          <w:szCs w:val="26"/>
        </w:rPr>
        <w:t>cease and desist from further violations of the Public Utility Commission’s Regulations.</w:t>
      </w:r>
    </w:p>
    <w:p w:rsidR="00754823" w:rsidRPr="002D20AC" w:rsidRDefault="00754823" w:rsidP="00754823">
      <w:pPr>
        <w:pStyle w:val="PlainText"/>
        <w:spacing w:line="360" w:lineRule="auto"/>
        <w:rPr>
          <w:rFonts w:ascii="Times New Roman" w:hAnsi="Times New Roman" w:cs="Times New Roman"/>
          <w:sz w:val="26"/>
          <w:szCs w:val="26"/>
        </w:rPr>
      </w:pPr>
    </w:p>
    <w:p w:rsidR="005B7C27" w:rsidRPr="002D20AC" w:rsidRDefault="00575DDF" w:rsidP="005B7C27">
      <w:pPr>
        <w:suppressAutoHyphens/>
        <w:ind w:firstLine="1440"/>
        <w:rPr>
          <w:sz w:val="26"/>
          <w:szCs w:val="26"/>
        </w:rPr>
      </w:pPr>
      <w:r>
        <w:rPr>
          <w:sz w:val="26"/>
          <w:szCs w:val="26"/>
        </w:rPr>
        <w:t>7</w:t>
      </w:r>
      <w:r w:rsidR="005B7C27" w:rsidRPr="002D20AC">
        <w:rPr>
          <w:sz w:val="26"/>
          <w:szCs w:val="26"/>
        </w:rPr>
        <w:t>.</w:t>
      </w:r>
      <w:r w:rsidR="005B7C27" w:rsidRPr="002D20AC">
        <w:rPr>
          <w:sz w:val="26"/>
          <w:szCs w:val="26"/>
        </w:rPr>
        <w:tab/>
        <w:t>That a copy of this Opinion and Order be served upon the Financial and Assessment Chief, Of</w:t>
      </w:r>
      <w:r w:rsidR="00C124DA">
        <w:rPr>
          <w:sz w:val="26"/>
          <w:szCs w:val="26"/>
        </w:rPr>
        <w:t>fice of Administrative Services, the Office of Competitive Market Oversight</w:t>
      </w:r>
      <w:r w:rsidR="00950096">
        <w:rPr>
          <w:sz w:val="26"/>
          <w:szCs w:val="26"/>
        </w:rPr>
        <w:t>,</w:t>
      </w:r>
      <w:r w:rsidR="00C124DA">
        <w:rPr>
          <w:sz w:val="26"/>
          <w:szCs w:val="26"/>
        </w:rPr>
        <w:t xml:space="preserve"> and the Bureau of Consumer Services.</w:t>
      </w:r>
    </w:p>
    <w:p w:rsidR="005B7C27" w:rsidRPr="002D20AC" w:rsidRDefault="005B7C27" w:rsidP="005B7C27">
      <w:pPr>
        <w:suppressAutoHyphens/>
        <w:ind w:firstLine="1440"/>
        <w:rPr>
          <w:sz w:val="26"/>
          <w:szCs w:val="26"/>
        </w:rPr>
      </w:pPr>
    </w:p>
    <w:p w:rsidR="005B7C27" w:rsidRDefault="00575DDF" w:rsidP="00575DDF">
      <w:pPr>
        <w:keepNext/>
        <w:ind w:firstLine="1440"/>
        <w:rPr>
          <w:sz w:val="26"/>
          <w:szCs w:val="26"/>
        </w:rPr>
      </w:pPr>
      <w:r>
        <w:rPr>
          <w:sz w:val="26"/>
          <w:szCs w:val="26"/>
        </w:rPr>
        <w:t>8</w:t>
      </w:r>
      <w:r w:rsidR="005B7C27" w:rsidRPr="002D20AC">
        <w:rPr>
          <w:sz w:val="26"/>
          <w:szCs w:val="26"/>
        </w:rPr>
        <w:t>.</w:t>
      </w:r>
      <w:r w:rsidR="005B7C27" w:rsidRPr="002D20AC">
        <w:rPr>
          <w:sz w:val="26"/>
          <w:szCs w:val="26"/>
        </w:rPr>
        <w:tab/>
        <w:t>That the proce</w:t>
      </w:r>
      <w:r w:rsidR="00C124DA">
        <w:rPr>
          <w:sz w:val="26"/>
          <w:szCs w:val="26"/>
        </w:rPr>
        <w:t>eding docketed at C-2014-243</w:t>
      </w:r>
      <w:r w:rsidR="00754823">
        <w:rPr>
          <w:sz w:val="26"/>
          <w:szCs w:val="26"/>
        </w:rPr>
        <w:t>1410</w:t>
      </w:r>
      <w:r w:rsidR="005B7C27" w:rsidRPr="002D20AC">
        <w:rPr>
          <w:sz w:val="26"/>
          <w:szCs w:val="26"/>
        </w:rPr>
        <w:t xml:space="preserve"> be marked closed upon payment of the penalty described in Ordering</w:t>
      </w:r>
      <w:r w:rsidR="005B7C27">
        <w:rPr>
          <w:sz w:val="26"/>
          <w:szCs w:val="26"/>
        </w:rPr>
        <w:t xml:space="preserve"> Paragraph No. </w:t>
      </w:r>
      <w:r>
        <w:rPr>
          <w:sz w:val="26"/>
          <w:szCs w:val="26"/>
        </w:rPr>
        <w:t>5</w:t>
      </w:r>
      <w:r w:rsidR="005B7C27" w:rsidRPr="002D20AC">
        <w:rPr>
          <w:sz w:val="26"/>
          <w:szCs w:val="26"/>
        </w:rPr>
        <w:t>.</w:t>
      </w:r>
    </w:p>
    <w:p w:rsidR="00B67010" w:rsidRPr="002D20AC" w:rsidRDefault="00B67010" w:rsidP="00575DDF">
      <w:pPr>
        <w:keepNext/>
        <w:ind w:firstLine="1440"/>
        <w:rPr>
          <w:sz w:val="26"/>
          <w:szCs w:val="26"/>
        </w:rPr>
      </w:pPr>
    </w:p>
    <w:p w:rsidR="000769C7" w:rsidRPr="0022192A" w:rsidRDefault="00D2739D" w:rsidP="00575DDF">
      <w:pPr>
        <w:keepNext/>
        <w:rPr>
          <w:sz w:val="26"/>
          <w:szCs w:val="26"/>
        </w:rPr>
      </w:pPr>
      <w:bookmarkStart w:id="1" w:name="_GoBack"/>
      <w:r>
        <w:rPr>
          <w:noProof/>
        </w:rPr>
        <w:drawing>
          <wp:anchor distT="0" distB="0" distL="114300" distR="114300" simplePos="0" relativeHeight="251659264" behindDoc="1" locked="0" layoutInCell="1" allowOverlap="1" wp14:anchorId="7A181905" wp14:editId="0984BDA5">
            <wp:simplePos x="0" y="0"/>
            <wp:positionH relativeFrom="column">
              <wp:posOffset>2948305</wp:posOffset>
            </wp:positionH>
            <wp:positionV relativeFrom="paragraph">
              <wp:posOffset>90170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5B7C27" w:rsidRPr="000D6043">
        <w:rPr>
          <w:sz w:val="26"/>
          <w:szCs w:val="26"/>
        </w:rPr>
        <w:tab/>
      </w:r>
      <w:r w:rsidR="005B7C27" w:rsidRPr="000D6043">
        <w:rPr>
          <w:sz w:val="26"/>
          <w:szCs w:val="26"/>
        </w:rPr>
        <w:tab/>
      </w:r>
      <w:r w:rsidR="005B7C27" w:rsidRPr="000D6043">
        <w:rPr>
          <w:sz w:val="26"/>
          <w:szCs w:val="26"/>
        </w:rPr>
        <w:tab/>
      </w:r>
      <w:r w:rsidR="005B7C27" w:rsidRPr="000D6043">
        <w:rPr>
          <w:sz w:val="26"/>
          <w:szCs w:val="26"/>
        </w:rPr>
        <w:tab/>
      </w:r>
      <w:r w:rsidR="005B7C27" w:rsidRPr="000D6043">
        <w:rPr>
          <w:sz w:val="26"/>
          <w:szCs w:val="26"/>
        </w:rPr>
        <w:tab/>
      </w:r>
      <w:r w:rsidR="005B7C27" w:rsidRPr="000D6043">
        <w:rPr>
          <w:sz w:val="26"/>
          <w:szCs w:val="26"/>
        </w:rPr>
        <w:tab/>
      </w:r>
      <w:r w:rsidR="005B7C27" w:rsidRPr="000D6043">
        <w:rPr>
          <w:sz w:val="26"/>
          <w:szCs w:val="26"/>
        </w:rPr>
        <w:tab/>
      </w:r>
      <w:r w:rsidR="005B7C27" w:rsidRPr="000D6043">
        <w:rPr>
          <w:b/>
          <w:sz w:val="26"/>
          <w:szCs w:val="26"/>
        </w:rPr>
        <w:t>BY THE COMMISSION,</w:t>
      </w:r>
    </w:p>
    <w:p w:rsidR="00AF4119" w:rsidRPr="0022192A" w:rsidRDefault="00AF4119" w:rsidP="00575DDF">
      <w:pPr>
        <w:keepNext/>
        <w:rPr>
          <w:sz w:val="26"/>
          <w:szCs w:val="26"/>
        </w:rPr>
      </w:pPr>
    </w:p>
    <w:p w:rsidR="000769C7" w:rsidRPr="0022192A" w:rsidRDefault="000769C7" w:rsidP="00DE68FB">
      <w:pPr>
        <w:widowControl w:val="0"/>
        <w:tabs>
          <w:tab w:val="left" w:pos="-720"/>
        </w:tabs>
        <w:suppressAutoHyphens/>
        <w:rPr>
          <w:rFonts w:ascii="Times New Roman" w:hAnsi="Times New Roman"/>
          <w:spacing w:val="-3"/>
          <w:sz w:val="26"/>
          <w:szCs w:val="26"/>
        </w:rPr>
      </w:pPr>
    </w:p>
    <w:p w:rsidR="000769C7" w:rsidRPr="00DE68FB" w:rsidRDefault="000769C7" w:rsidP="00ED6FE6">
      <w:pPr>
        <w:widowControl w:val="0"/>
        <w:tabs>
          <w:tab w:val="left" w:pos="-720"/>
        </w:tabs>
        <w:suppressAutoHyphens/>
        <w:spacing w:line="240" w:lineRule="auto"/>
        <w:rPr>
          <w:rFonts w:ascii="Times New Roman" w:hAnsi="Times New Roman"/>
          <w:spacing w:val="-3"/>
          <w:sz w:val="26"/>
          <w:szCs w:val="26"/>
        </w:rPr>
      </w:pP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t>Rosemary Chiavetta</w:t>
      </w:r>
    </w:p>
    <w:p w:rsidR="000769C7" w:rsidRDefault="000769C7" w:rsidP="00ED6FE6">
      <w:pPr>
        <w:widowControl w:val="0"/>
        <w:tabs>
          <w:tab w:val="left" w:pos="-720"/>
        </w:tabs>
        <w:suppressAutoHyphens/>
        <w:spacing w:line="240" w:lineRule="auto"/>
        <w:rPr>
          <w:rFonts w:ascii="Times New Roman" w:hAnsi="Times New Roman"/>
          <w:spacing w:val="-3"/>
          <w:sz w:val="26"/>
          <w:szCs w:val="26"/>
        </w:rPr>
      </w:pP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t>Secretary</w:t>
      </w:r>
    </w:p>
    <w:p w:rsidR="00AF4119" w:rsidRPr="00DE68FB" w:rsidRDefault="00AF4119" w:rsidP="00DE68FB">
      <w:pPr>
        <w:widowControl w:val="0"/>
        <w:tabs>
          <w:tab w:val="left" w:pos="-720"/>
        </w:tabs>
        <w:suppressAutoHyphens/>
        <w:rPr>
          <w:rFonts w:ascii="Times New Roman" w:hAnsi="Times New Roman"/>
          <w:spacing w:val="-3"/>
          <w:sz w:val="26"/>
          <w:szCs w:val="26"/>
        </w:rPr>
      </w:pPr>
    </w:p>
    <w:p w:rsidR="000769C7" w:rsidRPr="00DE68FB" w:rsidRDefault="000769C7" w:rsidP="00DE68FB">
      <w:pPr>
        <w:pStyle w:val="BodyText3"/>
        <w:widowControl w:val="0"/>
        <w:tabs>
          <w:tab w:val="left" w:pos="-720"/>
        </w:tabs>
        <w:suppressAutoHyphens/>
        <w:rPr>
          <w:rFonts w:ascii="Times New Roman" w:hAnsi="Times New Roman"/>
          <w:spacing w:val="-3"/>
          <w:sz w:val="26"/>
          <w:szCs w:val="26"/>
        </w:rPr>
      </w:pPr>
      <w:r w:rsidRPr="00DE68FB">
        <w:rPr>
          <w:rFonts w:ascii="Times New Roman" w:hAnsi="Times New Roman"/>
          <w:spacing w:val="-3"/>
          <w:sz w:val="26"/>
          <w:szCs w:val="26"/>
        </w:rPr>
        <w:t>(SEAL)</w:t>
      </w:r>
    </w:p>
    <w:p w:rsidR="000769C7" w:rsidRPr="00DE68FB" w:rsidRDefault="004300A2" w:rsidP="00DE68FB">
      <w:pPr>
        <w:widowControl w:val="0"/>
        <w:tabs>
          <w:tab w:val="left" w:pos="-720"/>
        </w:tabs>
        <w:suppressAutoHyphens/>
        <w:rPr>
          <w:rFonts w:ascii="Times New Roman" w:hAnsi="Times New Roman"/>
          <w:spacing w:val="-3"/>
          <w:sz w:val="26"/>
          <w:szCs w:val="26"/>
        </w:rPr>
      </w:pPr>
      <w:r>
        <w:rPr>
          <w:rFonts w:ascii="Times New Roman" w:hAnsi="Times New Roman"/>
          <w:spacing w:val="-3"/>
          <w:sz w:val="26"/>
          <w:szCs w:val="26"/>
        </w:rPr>
        <w:t xml:space="preserve">ORDER ADOPTED: </w:t>
      </w:r>
      <w:r w:rsidR="00564EDF">
        <w:rPr>
          <w:rFonts w:ascii="Times New Roman" w:hAnsi="Times New Roman"/>
          <w:spacing w:val="-3"/>
          <w:sz w:val="26"/>
          <w:szCs w:val="26"/>
        </w:rPr>
        <w:t xml:space="preserve"> </w:t>
      </w:r>
      <w:r w:rsidR="00754823">
        <w:rPr>
          <w:rFonts w:ascii="Times New Roman" w:hAnsi="Times New Roman"/>
          <w:spacing w:val="-3"/>
          <w:sz w:val="26"/>
          <w:szCs w:val="26"/>
        </w:rPr>
        <w:t xml:space="preserve">December </w:t>
      </w:r>
      <w:r w:rsidR="00546A4C">
        <w:rPr>
          <w:rFonts w:ascii="Times New Roman" w:hAnsi="Times New Roman"/>
          <w:spacing w:val="-3"/>
          <w:sz w:val="26"/>
          <w:szCs w:val="26"/>
        </w:rPr>
        <w:t>3</w:t>
      </w:r>
      <w:r w:rsidR="000769C7" w:rsidRPr="00DE68FB">
        <w:rPr>
          <w:rFonts w:ascii="Times New Roman" w:hAnsi="Times New Roman"/>
          <w:spacing w:val="-3"/>
          <w:sz w:val="26"/>
          <w:szCs w:val="26"/>
        </w:rPr>
        <w:t>, 2015</w:t>
      </w:r>
    </w:p>
    <w:p w:rsidR="000769C7" w:rsidRPr="00DE68FB" w:rsidRDefault="000769C7" w:rsidP="00DE68FB">
      <w:pPr>
        <w:widowControl w:val="0"/>
        <w:tabs>
          <w:tab w:val="left" w:pos="-720"/>
        </w:tabs>
        <w:suppressAutoHyphens/>
        <w:rPr>
          <w:rFonts w:ascii="Times New Roman" w:hAnsi="Times New Roman"/>
          <w:spacing w:val="-3"/>
          <w:sz w:val="26"/>
          <w:szCs w:val="26"/>
        </w:rPr>
      </w:pPr>
      <w:r w:rsidRPr="00DE68FB">
        <w:rPr>
          <w:rFonts w:ascii="Times New Roman" w:hAnsi="Times New Roman"/>
          <w:spacing w:val="-3"/>
          <w:sz w:val="26"/>
          <w:szCs w:val="26"/>
        </w:rPr>
        <w:t xml:space="preserve">ORDER ENTERED:  </w:t>
      </w:r>
      <w:r w:rsidR="00D2739D">
        <w:rPr>
          <w:rFonts w:ascii="Times New Roman" w:hAnsi="Times New Roman"/>
          <w:spacing w:val="-3"/>
          <w:sz w:val="26"/>
          <w:szCs w:val="26"/>
        </w:rPr>
        <w:t>December 3, 2015</w:t>
      </w:r>
    </w:p>
    <w:p w:rsidR="00070194" w:rsidRPr="00DE68FB" w:rsidRDefault="00070194" w:rsidP="00DE68FB">
      <w:pPr>
        <w:rPr>
          <w:rFonts w:ascii="Times New Roman" w:hAnsi="Times New Roman"/>
          <w:sz w:val="26"/>
          <w:szCs w:val="26"/>
        </w:rPr>
      </w:pPr>
    </w:p>
    <w:sectPr w:rsidR="00070194" w:rsidRPr="00DE68FB" w:rsidSect="000E3F4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A2" w:rsidRDefault="00656FA2" w:rsidP="00DC7C52">
      <w:pPr>
        <w:spacing w:line="240" w:lineRule="auto"/>
      </w:pPr>
      <w:r>
        <w:separator/>
      </w:r>
    </w:p>
  </w:endnote>
  <w:endnote w:type="continuationSeparator" w:id="0">
    <w:p w:rsidR="00656FA2" w:rsidRDefault="00656FA2" w:rsidP="00DC7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61100"/>
      <w:docPartObj>
        <w:docPartGallery w:val="Page Numbers (Bottom of Page)"/>
        <w:docPartUnique/>
      </w:docPartObj>
    </w:sdtPr>
    <w:sdtEndPr>
      <w:rPr>
        <w:noProof/>
      </w:rPr>
    </w:sdtEndPr>
    <w:sdtContent>
      <w:p w:rsidR="00007F5E" w:rsidRDefault="00007F5E">
        <w:pPr>
          <w:pStyle w:val="Footer"/>
          <w:jc w:val="center"/>
        </w:pPr>
        <w:r>
          <w:fldChar w:fldCharType="begin"/>
        </w:r>
        <w:r>
          <w:instrText xml:space="preserve"> PAGE   \* MERGEFORMAT </w:instrText>
        </w:r>
        <w:r>
          <w:fldChar w:fldCharType="separate"/>
        </w:r>
        <w:r w:rsidR="00D2739D">
          <w:rPr>
            <w:noProof/>
          </w:rPr>
          <w:t>56</w:t>
        </w:r>
        <w:r>
          <w:rPr>
            <w:noProof/>
          </w:rPr>
          <w:fldChar w:fldCharType="end"/>
        </w:r>
      </w:p>
    </w:sdtContent>
  </w:sdt>
  <w:p w:rsidR="00007F5E" w:rsidRDefault="00007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A2" w:rsidRDefault="00656FA2" w:rsidP="00DC7C52">
      <w:pPr>
        <w:spacing w:line="240" w:lineRule="auto"/>
      </w:pPr>
      <w:r>
        <w:separator/>
      </w:r>
    </w:p>
  </w:footnote>
  <w:footnote w:type="continuationSeparator" w:id="0">
    <w:p w:rsidR="00656FA2" w:rsidRDefault="00656FA2" w:rsidP="00DC7C52">
      <w:pPr>
        <w:spacing w:line="240" w:lineRule="auto"/>
      </w:pPr>
      <w:r>
        <w:continuationSeparator/>
      </w:r>
    </w:p>
  </w:footnote>
  <w:footnote w:id="1">
    <w:p w:rsidR="00007F5E" w:rsidRPr="006073C6" w:rsidRDefault="00007F5E" w:rsidP="00712DBD">
      <w:pPr>
        <w:pStyle w:val="FootnoteText"/>
      </w:pPr>
      <w:r>
        <w:rPr>
          <w:rStyle w:val="FootnoteReference"/>
        </w:rPr>
        <w:footnoteRef/>
      </w:r>
      <w:r>
        <w:t xml:space="preserve"> </w:t>
      </w:r>
      <w:r>
        <w:tab/>
        <w:t xml:space="preserve">In that proceeding, the parties achieved a settlement, which was also addressed </w:t>
      </w:r>
      <w:r w:rsidRPr="006073C6">
        <w:t xml:space="preserve">by ALJs Barnes and Cheskis </w:t>
      </w:r>
      <w:r>
        <w:t>in an Initial Decision issued by the Commission August 21, 2015 (</w:t>
      </w:r>
      <w:r w:rsidRPr="009C06A1">
        <w:rPr>
          <w:i/>
        </w:rPr>
        <w:t>OAG/OCA-HIKO Settlement</w:t>
      </w:r>
      <w:r>
        <w:rPr>
          <w:i/>
        </w:rPr>
        <w:t xml:space="preserve"> Initial Decision</w:t>
      </w:r>
      <w:r>
        <w:t>), which while acted on separately, we take official notice of in our disposition herein.</w:t>
      </w:r>
    </w:p>
  </w:footnote>
  <w:footnote w:id="2">
    <w:p w:rsidR="00007F5E" w:rsidRDefault="00007F5E" w:rsidP="00712DBD">
      <w:pPr>
        <w:pStyle w:val="FootnoteText"/>
      </w:pPr>
      <w:r>
        <w:rPr>
          <w:rStyle w:val="FootnoteReference"/>
        </w:rPr>
        <w:footnoteRef/>
      </w:r>
      <w:r>
        <w:t xml:space="preserve"> </w:t>
      </w:r>
      <w:r>
        <w:tab/>
        <w:t xml:space="preserve">In response to the testimony of HIKO witness Cicchetti </w:t>
      </w:r>
      <w:r w:rsidR="00575DDF">
        <w:t>addressing</w:t>
      </w:r>
      <w:r>
        <w:t xml:space="preserve"> accounts with zero usage, I&amp;E’s witness Mumford removed 68 alleged violations from </w:t>
      </w:r>
      <w:r w:rsidR="00575DDF">
        <w:t>his</w:t>
      </w:r>
      <w:r>
        <w:t xml:space="preserve"> original averment and revised that amount downward to </w:t>
      </w:r>
      <w:r w:rsidR="00575DDF">
        <w:t xml:space="preserve">aver </w:t>
      </w:r>
      <w:r>
        <w:t>14,689 violations.</w:t>
      </w:r>
    </w:p>
  </w:footnote>
  <w:footnote w:id="3">
    <w:p w:rsidR="00007F5E" w:rsidRDefault="00007F5E" w:rsidP="00712DBD">
      <w:pPr>
        <w:pStyle w:val="FootnoteText"/>
      </w:pPr>
      <w:r>
        <w:rPr>
          <w:rStyle w:val="FootnoteReference"/>
        </w:rPr>
        <w:footnoteRef/>
      </w:r>
      <w:r>
        <w:t xml:space="preserve"> </w:t>
      </w:r>
      <w:r>
        <w:tab/>
        <w:t xml:space="preserve">The ALJs found that HIKO issued a disclosure statement to each customer that provided that the rate was the price stated when the customer enrolled as confirmed in the Company’s welcome letter.  I.D. at 32.  When referring to any or all of these HIKO customer communications – the price marketed, disclosed, and billed </w:t>
      </w:r>
      <w:r w:rsidR="0050037B">
        <w:t xml:space="preserve">through oral representations, letters, or disclosure statements </w:t>
      </w:r>
      <w:r>
        <w:t xml:space="preserve">– we use the inclusive term “customer information,” defined under our Regulations to encompass </w:t>
      </w:r>
      <w:r w:rsidRPr="0018271A">
        <w:t>written, oral, and electronic communications used by providers to communicate prices and terms to consumers</w:t>
      </w:r>
      <w:r>
        <w:t xml:space="preserve">.  </w:t>
      </w:r>
      <w:r>
        <w:rPr>
          <w:i/>
        </w:rPr>
        <w:t xml:space="preserve">See </w:t>
      </w:r>
      <w:r w:rsidRPr="0018271A">
        <w:t>52 Pa. Code § 54.2.</w:t>
      </w:r>
    </w:p>
  </w:footnote>
  <w:footnote w:id="4">
    <w:p w:rsidR="00007F5E" w:rsidRPr="00F64BF1" w:rsidRDefault="00007F5E" w:rsidP="00712DBD">
      <w:pPr>
        <w:pStyle w:val="FootnoteText"/>
      </w:pPr>
      <w:r>
        <w:rPr>
          <w:rStyle w:val="FootnoteReference"/>
        </w:rPr>
        <w:footnoteRef/>
      </w:r>
      <w:r>
        <w:t xml:space="preserve"> </w:t>
      </w:r>
      <w:r>
        <w:tab/>
      </w:r>
      <w:r w:rsidRPr="0068384D">
        <w:rPr>
          <w:i/>
        </w:rPr>
        <w:t>Review of Rules, Policies, and Consumer Education Measures Regarding Variable Rate Retail Electric Markets</w:t>
      </w:r>
      <w:r>
        <w:t>, Docket No. M-2014-2406134 (Order entered March 4, 2014).</w:t>
      </w:r>
    </w:p>
  </w:footnote>
  <w:footnote w:id="5">
    <w:p w:rsidR="00007F5E" w:rsidRDefault="00007F5E" w:rsidP="00712DBD">
      <w:pPr>
        <w:pStyle w:val="FootnoteText"/>
      </w:pPr>
      <w:r>
        <w:rPr>
          <w:rStyle w:val="FootnoteReference"/>
        </w:rPr>
        <w:footnoteRef/>
      </w:r>
      <w:r>
        <w:t xml:space="preserve"> </w:t>
      </w:r>
      <w:r>
        <w:tab/>
      </w:r>
      <w:r w:rsidR="00592F19">
        <w:t xml:space="preserve">In citing </w:t>
      </w:r>
      <w:r w:rsidR="00592F19" w:rsidRPr="00592F19">
        <w:rPr>
          <w:i/>
        </w:rPr>
        <w:t>PaG&amp;E</w:t>
      </w:r>
      <w:r w:rsidR="00592F19">
        <w:rPr>
          <w:i/>
        </w:rPr>
        <w:t xml:space="preserve"> 2014 Settlement</w:t>
      </w:r>
      <w:r w:rsidR="00592F19">
        <w:t xml:space="preserve">, </w:t>
      </w:r>
      <w:r w:rsidRPr="00592F19">
        <w:t>HIKO</w:t>
      </w:r>
      <w:r>
        <w:t xml:space="preserve"> cites to a “</w:t>
      </w:r>
      <w:r w:rsidRPr="00957320">
        <w:t>Final Order entered June 5, 2014</w:t>
      </w:r>
      <w:r>
        <w:t>” in this case.  We note, however, that in June 2014 we issued an order seeking comments on a revised I&amp;E/PaG&amp;E settlement</w:t>
      </w:r>
      <w:r w:rsidR="00592F19">
        <w:t>,</w:t>
      </w:r>
      <w:r>
        <w:t xml:space="preserve"> after we rejected the initial settlement for providing an insufficient penalty.  The final order issued addressing this case was entered October</w:t>
      </w:r>
      <w:r w:rsidR="00592F19">
        <w:t> </w:t>
      </w:r>
      <w:r>
        <w:t>2, 2014.</w:t>
      </w:r>
    </w:p>
  </w:footnote>
  <w:footnote w:id="6">
    <w:p w:rsidR="00007F5E" w:rsidRPr="00E07C20" w:rsidRDefault="00007F5E">
      <w:pPr>
        <w:pStyle w:val="FootnoteText"/>
      </w:pPr>
      <w:r>
        <w:rPr>
          <w:rStyle w:val="FootnoteReference"/>
        </w:rPr>
        <w:footnoteRef/>
      </w:r>
      <w:r>
        <w:t xml:space="preserve"> </w:t>
      </w:r>
      <w:r>
        <w:tab/>
      </w:r>
      <w:r>
        <w:rPr>
          <w:i/>
        </w:rPr>
        <w:t xml:space="preserve">See </w:t>
      </w:r>
      <w:r>
        <w:t>Finding of Fact No. 10, I.D. at 10.</w:t>
      </w:r>
    </w:p>
  </w:footnote>
  <w:footnote w:id="7">
    <w:p w:rsidR="00007F5E" w:rsidRPr="006E7780" w:rsidRDefault="00007F5E">
      <w:pPr>
        <w:pStyle w:val="FootnoteText"/>
      </w:pPr>
      <w:r>
        <w:rPr>
          <w:rStyle w:val="FootnoteReference"/>
        </w:rPr>
        <w:footnoteRef/>
      </w:r>
      <w:r>
        <w:t xml:space="preserve"> </w:t>
      </w:r>
      <w:r>
        <w:tab/>
      </w:r>
      <w:r w:rsidRPr="006E7780">
        <w:rPr>
          <w:i/>
        </w:rPr>
        <w:t xml:space="preserve">See </w:t>
      </w:r>
      <w:r w:rsidRPr="006E7780">
        <w:t xml:space="preserve">Finding of Fact No. </w:t>
      </w:r>
      <w:r>
        <w:t>9</w:t>
      </w:r>
      <w:r w:rsidRPr="006E7780">
        <w:t>, I.D. at 10.</w:t>
      </w:r>
    </w:p>
  </w:footnote>
  <w:footnote w:id="8">
    <w:p w:rsidR="00007F5E" w:rsidRDefault="00007F5E">
      <w:pPr>
        <w:pStyle w:val="FootnoteText"/>
      </w:pPr>
      <w:r>
        <w:rPr>
          <w:rStyle w:val="FootnoteReference"/>
        </w:rPr>
        <w:footnoteRef/>
      </w:r>
      <w:r>
        <w:t xml:space="preserve"> </w:t>
      </w:r>
      <w:r>
        <w:tab/>
        <w:t>T</w:t>
      </w:r>
      <w:r w:rsidRPr="00B05A12">
        <w:t xml:space="preserve">he HIKO employees who sponsored and verified the responses to data requests provided in I&amp;E’s evidence </w:t>
      </w:r>
      <w:r>
        <w:t>were not offered as witnesses by HIKO</w:t>
      </w:r>
      <w:r w:rsidRPr="00B05A12">
        <w:rPr>
          <w:rFonts w:ascii="CG Times" w:hAnsi="CG Times"/>
          <w:sz w:val="24"/>
          <w:szCs w:val="20"/>
        </w:rPr>
        <w:t xml:space="preserve"> </w:t>
      </w:r>
      <w:r w:rsidRPr="00B05A12">
        <w:t>and were subject to an I&amp;E subpoena objected to by HIKO and ultimately resolved by the parties.</w:t>
      </w:r>
      <w:r>
        <w:t xml:space="preserve">  </w:t>
      </w:r>
      <w:r w:rsidR="00D42307">
        <w:t>A</w:t>
      </w:r>
      <w:r>
        <w:t xml:space="preserve">s stated, </w:t>
      </w:r>
      <w:r w:rsidR="00D42307">
        <w:t xml:space="preserve">however, </w:t>
      </w:r>
      <w:r>
        <w:t xml:space="preserve">I&amp;E’s evidence, based upon that information, </w:t>
      </w:r>
      <w:r w:rsidR="00D42307">
        <w:t>was</w:t>
      </w:r>
      <w:r>
        <w:t xml:space="preserve"> </w:t>
      </w:r>
      <w:r w:rsidRPr="00B05A12">
        <w:t>authenticated by Mr. Klein</w:t>
      </w:r>
      <w:r>
        <w:t>.</w:t>
      </w:r>
      <w:r w:rsidRPr="00B05A12">
        <w:t xml:space="preserve">  </w:t>
      </w:r>
      <w:r w:rsidRPr="00B05A12">
        <w:rPr>
          <w:i/>
        </w:rPr>
        <w:t xml:space="preserve">See </w:t>
      </w:r>
      <w:r w:rsidRPr="00B05A12">
        <w:t>I.D. at 7-8.</w:t>
      </w:r>
    </w:p>
  </w:footnote>
  <w:footnote w:id="9">
    <w:p w:rsidR="00007F5E" w:rsidRDefault="00007F5E">
      <w:pPr>
        <w:pStyle w:val="FootnoteText"/>
      </w:pPr>
      <w:r>
        <w:rPr>
          <w:rStyle w:val="FootnoteReference"/>
        </w:rPr>
        <w:footnoteRef/>
      </w:r>
      <w:r>
        <w:t xml:space="preserve"> </w:t>
      </w:r>
      <w:r>
        <w:tab/>
      </w:r>
      <w:r w:rsidRPr="002C04C4">
        <w:t xml:space="preserve">Use of the average savings of 3.5% was, according to HIKO, a proper accounting by the ALJs for the fact that unlike I&amp;E’s Complaint, the OAG/OCA complaint extended only through March 2014 rather than also including billing in April.  </w:t>
      </w:r>
      <w:r>
        <w:t>HIKO Exc. at 24 n.10.</w:t>
      </w:r>
    </w:p>
  </w:footnote>
  <w:footnote w:id="10">
    <w:p w:rsidR="00007F5E" w:rsidRDefault="00007F5E">
      <w:pPr>
        <w:pStyle w:val="FootnoteText"/>
      </w:pPr>
      <w:r>
        <w:rPr>
          <w:rStyle w:val="FootnoteReference"/>
        </w:rPr>
        <w:footnoteRef/>
      </w:r>
      <w:r>
        <w:t xml:space="preserve"> </w:t>
      </w:r>
      <w:r>
        <w:tab/>
        <w:t>HIKO</w:t>
      </w:r>
      <w:r w:rsidR="00DF0D32">
        <w:t xml:space="preserve"> explains that </w:t>
      </w:r>
      <w:r>
        <w:t xml:space="preserve">by order dated </w:t>
      </w:r>
      <w:r w:rsidRPr="00EC5E48">
        <w:t>April 22, 2015</w:t>
      </w:r>
      <w:r>
        <w:t>, the ALJs notified parties that they would be taking judicial</w:t>
      </w:r>
      <w:r w:rsidR="004A6C2B">
        <w:t xml:space="preserve"> </w:t>
      </w:r>
      <w:r>
        <w:t xml:space="preserve">notice of certain public documents related to HIKO’s licensing at Docket No. A-2012-2289944, specifically the following: </w:t>
      </w:r>
      <w:r w:rsidRPr="00EC5E48">
        <w:t xml:space="preserve">1) HIKO’s Application for an EGS License filed on February 21, 2012 at A-2012-2289944; 2) the Commission’s Tentative Order entered June 7, 2012 and Final Order entered July 2, 2012 at A-2012-2289944 granting </w:t>
      </w:r>
      <w:r>
        <w:t xml:space="preserve">HIKO </w:t>
      </w:r>
      <w:r w:rsidRPr="00EC5E48">
        <w:t>a conditional EGS license; 3) letters from the Commission or its staff addressed to HIKO pertaining to HIKO’s surety bond</w:t>
      </w:r>
      <w:r>
        <w:t xml:space="preserve"> (specifically identifying a February 20, 2015 Secretarial Letter from the Commission’s Bureau of Technical Utility Services (TUS) to Brian Gottesman of HIKO)</w:t>
      </w:r>
      <w:r w:rsidRPr="00EC5E48">
        <w:t xml:space="preserve">; and </w:t>
      </w:r>
      <w:r>
        <w:t>4)</w:t>
      </w:r>
      <w:r w:rsidR="00DF0D32">
        <w:t> </w:t>
      </w:r>
      <w:r w:rsidRPr="00EC5E48">
        <w:t xml:space="preserve">HIKO’s quarterly sales revenues reports filed at the Commission since 2012.  </w:t>
      </w:r>
      <w:r>
        <w:t xml:space="preserve">The ALJs also </w:t>
      </w:r>
      <w:r w:rsidR="00DF0D32">
        <w:t>allowed</w:t>
      </w:r>
      <w:r>
        <w:t xml:space="preserve"> parties to</w:t>
      </w:r>
      <w:r w:rsidRPr="00EC5E48">
        <w:t xml:space="preserve"> argue in brief alternative documents or facts </w:t>
      </w:r>
      <w:r>
        <w:t xml:space="preserve">that </w:t>
      </w:r>
      <w:r w:rsidRPr="00EC5E48">
        <w:t xml:space="preserve">should be noticed.  </w:t>
      </w:r>
      <w:r>
        <w:t xml:space="preserve">April 22, 2015 Order at 1, citing </w:t>
      </w:r>
      <w:r w:rsidRPr="00EC5E48">
        <w:t>52 Pa. Code § 5.408 (c) and (d).</w:t>
      </w:r>
    </w:p>
  </w:footnote>
  <w:footnote w:id="11">
    <w:p w:rsidR="00007F5E" w:rsidRDefault="00007F5E">
      <w:pPr>
        <w:pStyle w:val="FootnoteText"/>
      </w:pPr>
      <w:r>
        <w:rPr>
          <w:rStyle w:val="FootnoteReference"/>
        </w:rPr>
        <w:footnoteRef/>
      </w:r>
      <w:r>
        <w:t xml:space="preserve"> </w:t>
      </w:r>
      <w:r>
        <w:tab/>
        <w:t>As I&amp;E further notes, none of the cases cited by HIKO had yet been resolved by the Commission.</w:t>
      </w:r>
    </w:p>
  </w:footnote>
  <w:footnote w:id="12">
    <w:p w:rsidR="00007F5E" w:rsidRDefault="00007F5E">
      <w:pPr>
        <w:pStyle w:val="FootnoteText"/>
      </w:pPr>
      <w:r>
        <w:rPr>
          <w:rStyle w:val="FootnoteReference"/>
        </w:rPr>
        <w:footnoteRef/>
      </w:r>
      <w:r>
        <w:t xml:space="preserve"> </w:t>
      </w:r>
      <w:r>
        <w:tab/>
        <w:t xml:space="preserve">In furtherance of this point, HIKO </w:t>
      </w:r>
      <w:r w:rsidR="0042067D">
        <w:t xml:space="preserve">submits for our consideration its own </w:t>
      </w:r>
      <w:r>
        <w:t>characteriz</w:t>
      </w:r>
      <w:r w:rsidR="0042067D">
        <w:t>ations of</w:t>
      </w:r>
      <w:r>
        <w:t xml:space="preserve"> its settlement discussions with I&amp;E.  </w:t>
      </w:r>
      <w:r>
        <w:rPr>
          <w:i/>
        </w:rPr>
        <w:t xml:space="preserve">See </w:t>
      </w:r>
      <w:r>
        <w:t>HIKO Exc. at 3-4, R. Exc. at 17.  While acknowledging Section 5.231(d) of our Regulations, which codifies the privileged nature of settlement offers, I&amp;E responds in order, in its view, to correct HIKO’s characterization.  We affirm the importance of retaining the confidentiality of settlement discussions and, therefore, confirm that we gave no consideration to either party’s assertion</w:t>
      </w:r>
      <w:r w:rsidR="0042067D">
        <w:t>s regarding settlement discussions</w:t>
      </w:r>
      <w:r>
        <w:t xml:space="preserve"> in our disposition.</w:t>
      </w:r>
    </w:p>
  </w:footnote>
  <w:footnote w:id="13">
    <w:p w:rsidR="00007F5E" w:rsidRDefault="00007F5E">
      <w:pPr>
        <w:pStyle w:val="FootnoteText"/>
      </w:pPr>
      <w:r>
        <w:rPr>
          <w:rStyle w:val="FootnoteReference"/>
        </w:rPr>
        <w:footnoteRef/>
      </w:r>
      <w:r>
        <w:t xml:space="preserve"> </w:t>
      </w:r>
      <w:r>
        <w:tab/>
        <w:t>T</w:t>
      </w:r>
      <w:r w:rsidRPr="00FF0ED5">
        <w:t>he ALJs concluded that our eighth factor, a penalty sufficient to deter future violations, applies only to the regulated entity involved in the proceeding and not the industry as a whole</w:t>
      </w:r>
      <w:r>
        <w:t>.  I.D. at 48.  W</w:t>
      </w:r>
      <w:r w:rsidRPr="00FF0ED5">
        <w:t>e do not believe</w:t>
      </w:r>
      <w:r>
        <w:t>, however,</w:t>
      </w:r>
      <w:r w:rsidRPr="00FF0ED5">
        <w:t xml:space="preserve"> that consideration of that factor under our policy statement is so limited. We acknowledge that of the ten factors, the first seven implic</w:t>
      </w:r>
      <w:r>
        <w:t xml:space="preserve">itly or </w:t>
      </w:r>
      <w:r w:rsidRPr="00FF0ED5">
        <w:t>explicit</w:t>
      </w:r>
      <w:r>
        <w:t>ly</w:t>
      </w:r>
      <w:r w:rsidRPr="00FF0ED5">
        <w:t xml:space="preserve"> apply to the </w:t>
      </w:r>
      <w:r w:rsidR="00E33AE9">
        <w:t xml:space="preserve">specific </w:t>
      </w:r>
      <w:r w:rsidRPr="00FF0ED5">
        <w:t xml:space="preserve">conduct </w:t>
      </w:r>
      <w:r>
        <w:t xml:space="preserve">of </w:t>
      </w:r>
      <w:r w:rsidRPr="00FF0ED5">
        <w:t xml:space="preserve">or consequences </w:t>
      </w:r>
      <w:r>
        <w:t>from action o</w:t>
      </w:r>
      <w:r w:rsidRPr="00FF0ED5">
        <w:t xml:space="preserve">f the specific entity.  The eighth factor, however, which addresses consideration of a penalty “necessary to deter future violations,” </w:t>
      </w:r>
      <w:r>
        <w:t xml:space="preserve">does </w:t>
      </w:r>
      <w:r w:rsidRPr="00FF0ED5">
        <w:t>not mention either the “specific conduct” or the “regulated entity</w:t>
      </w:r>
      <w:r>
        <w:t>,</w:t>
      </w:r>
      <w:r w:rsidRPr="00FF0ED5">
        <w:t>” although it also allows for consideration of the size of the utility</w:t>
      </w:r>
      <w:r>
        <w:t xml:space="preserve"> involved</w:t>
      </w:r>
      <w:r w:rsidRPr="00FF0ED5">
        <w:t xml:space="preserve">.  While it does not impact our decision here </w:t>
      </w:r>
      <w:r w:rsidR="00E33AE9">
        <w:t>because</w:t>
      </w:r>
      <w:r w:rsidRPr="00FF0ED5">
        <w:t xml:space="preserve"> we </w:t>
      </w:r>
      <w:r w:rsidR="00E33AE9">
        <w:t xml:space="preserve">adopt </w:t>
      </w:r>
      <w:r w:rsidRPr="00FF0ED5">
        <w:t xml:space="preserve">the ALJs’ recommended penalty </w:t>
      </w:r>
      <w:r w:rsidR="00E33AE9">
        <w:t>i</w:t>
      </w:r>
      <w:r w:rsidRPr="00FF0ED5">
        <w:t xml:space="preserve">n consideration of all factors enumerated in our policy statement, we clarify that we have in past cases considered how our actions with respect to imposition of a specific penalty upon a specific entity will impact the industry as a whole.  </w:t>
      </w:r>
      <w:r w:rsidR="00E33AE9">
        <w:rPr>
          <w:i/>
        </w:rPr>
        <w:t>See, e.g.,</w:t>
      </w:r>
      <w:r w:rsidR="00E33AE9">
        <w:t xml:space="preserve"> </w:t>
      </w:r>
      <w:r w:rsidRPr="00FF0ED5">
        <w:rPr>
          <w:i/>
        </w:rPr>
        <w:t>Towne</w:t>
      </w:r>
      <w:r w:rsidRPr="00FF0ED5">
        <w:t xml:space="preserve"> </w:t>
      </w:r>
      <w:r w:rsidR="00E33AE9">
        <w:t>at 22 (W</w:t>
      </w:r>
      <w:r w:rsidRPr="00FF0ED5">
        <w:t xml:space="preserve">e “must continue to send a clear message to EGSs that the egregious and deliberate behavior utilized in this case . . . will not be tolerated.” </w:t>
      </w:r>
      <w:r w:rsidR="00E33AE9">
        <w:t xml:space="preserve">); </w:t>
      </w:r>
      <w:r w:rsidR="00E33AE9">
        <w:rPr>
          <w:i/>
        </w:rPr>
        <w:t>s</w:t>
      </w:r>
      <w:r w:rsidRPr="00FF0ED5">
        <w:rPr>
          <w:i/>
        </w:rPr>
        <w:t>ee also MXenergy</w:t>
      </w:r>
      <w:r w:rsidRPr="00FF0ED5">
        <w:t xml:space="preserve"> (where we acted out of concern for the retail market as a whole).  </w:t>
      </w:r>
      <w:r>
        <w:t>Though</w:t>
      </w:r>
      <w:r w:rsidRPr="00FF0ED5">
        <w:t xml:space="preserve"> we may more often craft penalties specific to the individual case and circumstances at hand, we have leeway to consider the </w:t>
      </w:r>
      <w:r w:rsidR="00E33AE9">
        <w:t>impact</w:t>
      </w:r>
      <w:r w:rsidRPr="00FF0ED5">
        <w:t xml:space="preserve"> of our actions as a deterrence to the industry as a whole.  Doing so is an effective means of assuring the industry understands the importance of compliance with our Regulations to the development of a fair and reliable competitive market.</w:t>
      </w:r>
    </w:p>
  </w:footnote>
  <w:footnote w:id="14">
    <w:p w:rsidR="00007F5E" w:rsidRPr="00D73060" w:rsidRDefault="00007F5E">
      <w:pPr>
        <w:pStyle w:val="FootnoteText"/>
      </w:pPr>
      <w:r>
        <w:rPr>
          <w:rStyle w:val="FootnoteReference"/>
        </w:rPr>
        <w:footnoteRef/>
      </w:r>
      <w:r>
        <w:t xml:space="preserve"> </w:t>
      </w:r>
      <w:r>
        <w:tab/>
      </w:r>
      <w:r>
        <w:rPr>
          <w:i/>
        </w:rPr>
        <w:t xml:space="preserve">See </w:t>
      </w:r>
      <w:r w:rsidRPr="009C06A1">
        <w:rPr>
          <w:i/>
        </w:rPr>
        <w:t>OAG/OCA-HIKO Settlement Initial Decision</w:t>
      </w:r>
      <w:r>
        <w:t xml:space="preserve"> at 46.</w:t>
      </w:r>
    </w:p>
  </w:footnote>
  <w:footnote w:id="15">
    <w:p w:rsidR="00007F5E" w:rsidRPr="00417BB7" w:rsidRDefault="00007F5E">
      <w:pPr>
        <w:pStyle w:val="FootnoteText"/>
      </w:pPr>
      <w:r>
        <w:rPr>
          <w:rStyle w:val="FootnoteReference"/>
        </w:rPr>
        <w:footnoteRef/>
      </w:r>
      <w:r>
        <w:t xml:space="preserve"> </w:t>
      </w:r>
      <w:r>
        <w:tab/>
        <w:t>HIKO makes the same incorrect representation in its replies to I&amp;E.  HIKO R. Exc. at 14-15.</w:t>
      </w:r>
    </w:p>
  </w:footnote>
  <w:footnote w:id="16">
    <w:p w:rsidR="00007F5E" w:rsidRPr="00C51A94" w:rsidRDefault="00007F5E">
      <w:pPr>
        <w:pStyle w:val="FootnoteText"/>
      </w:pPr>
      <w:r>
        <w:rPr>
          <w:rStyle w:val="FootnoteReference"/>
        </w:rPr>
        <w:footnoteRef/>
      </w:r>
      <w:r>
        <w:t xml:space="preserve"> </w:t>
      </w:r>
      <w:r>
        <w:tab/>
        <w:t xml:space="preserve">Finding of Fact No. 80 states as follows:  </w:t>
      </w:r>
      <w:r w:rsidR="004A6C2B">
        <w:t>“</w:t>
      </w:r>
      <w:r>
        <w:t>During the months of January – March [] 2014, HIKO’s surety bond was expired and HIKO did not submit proof of a new surety bond continuation certificate to the Commission until April [] 2015.”  I.D. at</w:t>
      </w:r>
      <w:r w:rsidR="004A6C2B">
        <w:t> </w:t>
      </w:r>
      <w:r>
        <w:t xml:space="preserve">19 (citations omitted).  </w:t>
      </w:r>
      <w:r>
        <w:rPr>
          <w:i/>
        </w:rPr>
        <w:t xml:space="preserve">See also </w:t>
      </w:r>
      <w:r>
        <w:t>I.D. at 47 (referencing the fact that HIKO overcharged approximately 5,700 customers 14,689 times over 4 consecutive months while holding a conditional license and “during a period when it had not provided proof that a bond or other approved security amount directed by the Commission had been obtained”).</w:t>
      </w:r>
    </w:p>
  </w:footnote>
  <w:footnote w:id="17">
    <w:p w:rsidR="00007F5E" w:rsidRPr="00EF14B3" w:rsidRDefault="00007F5E">
      <w:pPr>
        <w:pStyle w:val="FootnoteText"/>
      </w:pPr>
      <w:r>
        <w:rPr>
          <w:rStyle w:val="FootnoteReference"/>
        </w:rPr>
        <w:footnoteRef/>
      </w:r>
      <w:r>
        <w:t xml:space="preserve"> </w:t>
      </w:r>
      <w:r>
        <w:tab/>
      </w:r>
      <w:r>
        <w:rPr>
          <w:i/>
        </w:rPr>
        <w:t xml:space="preserve">See, e.g., </w:t>
      </w:r>
      <w:r w:rsidRPr="00EF14B3">
        <w:rPr>
          <w:i/>
        </w:rPr>
        <w:t xml:space="preserve">Petition of PECO Energy Company for Approval of its Default Service Program for the </w:t>
      </w:r>
      <w:r>
        <w:rPr>
          <w:i/>
        </w:rPr>
        <w:t>P</w:t>
      </w:r>
      <w:r w:rsidRPr="00EF14B3">
        <w:rPr>
          <w:i/>
        </w:rPr>
        <w:t>eriod from June 1, 2015 through May 31, 2017</w:t>
      </w:r>
      <w:r>
        <w:t xml:space="preserve">, Docket No. </w:t>
      </w:r>
      <w:r w:rsidRPr="00EF14B3">
        <w:t>P-2014-2409362</w:t>
      </w:r>
      <w:r>
        <w:t xml:space="preserve"> (Order entered December 4, 2014) at 46 (“</w:t>
      </w:r>
      <w:r w:rsidRPr="00EF14B3">
        <w:t xml:space="preserve">We are in agreement with PAIEUG that </w:t>
      </w:r>
      <w:r w:rsidRPr="00EF14B3">
        <w:rPr>
          <w:bCs/>
        </w:rPr>
        <w:t>settlements</w:t>
      </w:r>
      <w:r w:rsidRPr="00EF14B3">
        <w:t xml:space="preserve"> are not </w:t>
      </w:r>
      <w:r w:rsidRPr="00EF14B3">
        <w:rPr>
          <w:bCs/>
        </w:rPr>
        <w:t>precedential</w:t>
      </w:r>
      <w:r w:rsidRPr="00EF14B3">
        <w:t>.</w:t>
      </w:r>
      <w:r>
        <w:t xml:space="preserve">”); </w:t>
      </w:r>
      <w:r>
        <w:rPr>
          <w:i/>
        </w:rPr>
        <w:t>Pa. PUC Bureau of Transportation and Safety v. WGM Transportation Inc.</w:t>
      </w:r>
      <w:r>
        <w:t>, Docket No. A-</w:t>
      </w:r>
      <w:r w:rsidRPr="005971BC">
        <w:t>00111651C0401</w:t>
      </w:r>
      <w:r>
        <w:t xml:space="preserve"> (Order entered February 3, 2009), </w:t>
      </w:r>
      <w:r w:rsidRPr="005971BC">
        <w:t>2009 WL 347479 (Pa.P.U.C.)</w:t>
      </w:r>
      <w:r>
        <w:t xml:space="preserve"> at *2</w:t>
      </w:r>
      <w:r w:rsidRPr="005971BC">
        <w:t xml:space="preserve"> </w:t>
      </w:r>
      <w:r>
        <w:t>(</w:t>
      </w:r>
      <w:r w:rsidRPr="005D6109">
        <w:t>Commission policy promote</w:t>
      </w:r>
      <w:r>
        <w:t>s</w:t>
      </w:r>
      <w:r w:rsidRPr="005D6109">
        <w:t xml:space="preserve"> settlements</w:t>
      </w:r>
      <w:r>
        <w:t xml:space="preserve"> as they </w:t>
      </w:r>
      <w:r w:rsidRPr="005D6109">
        <w:t xml:space="preserve">avoid the cost of further litigation </w:t>
      </w:r>
      <w:r>
        <w:t xml:space="preserve">but </w:t>
      </w:r>
      <w:r w:rsidRPr="005D6109">
        <w:t>approval of this Settlement Agreement should not be viewed as establishing precedent for future cases</w:t>
      </w:r>
      <w:r>
        <w:t>)</w:t>
      </w:r>
      <w:r w:rsidR="00050805">
        <w:t>;</w:t>
      </w:r>
      <w:r w:rsidRPr="00754823">
        <w:rPr>
          <w:rFonts w:ascii="CG Times" w:hAnsi="CG Times"/>
          <w:i/>
          <w:sz w:val="24"/>
          <w:szCs w:val="20"/>
        </w:rPr>
        <w:t xml:space="preserve"> </w:t>
      </w:r>
      <w:r w:rsidRPr="00754823">
        <w:rPr>
          <w:i/>
        </w:rPr>
        <w:t>Customer Assistance Programs: Funding Levels and Cost Recovery Mechanisms</w:t>
      </w:r>
      <w:r w:rsidRPr="00754823">
        <w:t>, Docket No. M</w:t>
      </w:r>
      <w:r>
        <w:noBreakHyphen/>
      </w:r>
      <w:r w:rsidRPr="00754823">
        <w:t>00051923 (Final Investigatory Order entered December 18, 2006), 2006 WL 6610966 (Pa.P.U.C.) at *11 (“[T]he Commission’s approval of a settlement does not establish legal precedent, because parties frequently waive their legal rights regarding certain issues in a settlement.”)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C40A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C3412"/>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E2F78"/>
    <w:multiLevelType w:val="hybridMultilevel"/>
    <w:tmpl w:val="A7725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92F54"/>
    <w:multiLevelType w:val="hybridMultilevel"/>
    <w:tmpl w:val="EE305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820A2"/>
    <w:multiLevelType w:val="hybridMultilevel"/>
    <w:tmpl w:val="17AC8820"/>
    <w:lvl w:ilvl="0" w:tplc="9F3C69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E12683"/>
    <w:multiLevelType w:val="hybridMultilevel"/>
    <w:tmpl w:val="6B04EB92"/>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Courier New"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Courier New" w:hint="default"/>
      </w:rPr>
    </w:lvl>
    <w:lvl w:ilvl="8" w:tplc="04090005">
      <w:start w:val="1"/>
      <w:numFmt w:val="bullet"/>
      <w:lvlText w:val=""/>
      <w:lvlJc w:val="left"/>
      <w:pPr>
        <w:ind w:left="7365" w:hanging="360"/>
      </w:pPr>
      <w:rPr>
        <w:rFonts w:ascii="Wingdings" w:hAnsi="Wingdings" w:hint="default"/>
      </w:rPr>
    </w:lvl>
  </w:abstractNum>
  <w:abstractNum w:abstractNumId="6">
    <w:nsid w:val="1CDD0E35"/>
    <w:multiLevelType w:val="hybridMultilevel"/>
    <w:tmpl w:val="EFDC744A"/>
    <w:lvl w:ilvl="0" w:tplc="772AEF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1315A"/>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9930C7"/>
    <w:multiLevelType w:val="hybridMultilevel"/>
    <w:tmpl w:val="BFF6D628"/>
    <w:lvl w:ilvl="0" w:tplc="27100784">
      <w:start w:val="1"/>
      <w:numFmt w:val="decimal"/>
      <w:lvlText w:val="%1."/>
      <w:lvlJc w:val="left"/>
      <w:pPr>
        <w:ind w:left="1080" w:hanging="360"/>
      </w:pPr>
      <w:rPr>
        <w:rFonts w:ascii="CG Times" w:hAnsi="CG 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3F225A"/>
    <w:multiLevelType w:val="hybridMultilevel"/>
    <w:tmpl w:val="A9AEEEA2"/>
    <w:lvl w:ilvl="0" w:tplc="5718AD44">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856C3B"/>
    <w:multiLevelType w:val="hybridMultilevel"/>
    <w:tmpl w:val="63843078"/>
    <w:lvl w:ilvl="0" w:tplc="2C18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8B54AE"/>
    <w:multiLevelType w:val="multilevel"/>
    <w:tmpl w:val="EDDC955A"/>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3">
    <w:nsid w:val="56FA77DF"/>
    <w:multiLevelType w:val="hybridMultilevel"/>
    <w:tmpl w:val="8188BEA2"/>
    <w:lvl w:ilvl="0" w:tplc="C9ECE74A">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42EAF"/>
    <w:multiLevelType w:val="hybridMultilevel"/>
    <w:tmpl w:val="E966A026"/>
    <w:lvl w:ilvl="0" w:tplc="DB387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215DD"/>
    <w:multiLevelType w:val="hybridMultilevel"/>
    <w:tmpl w:val="1BF4CD8E"/>
    <w:lvl w:ilvl="0" w:tplc="AA087B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51814"/>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F61A9C"/>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B36E7C"/>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3"/>
  </w:num>
  <w:num w:numId="4">
    <w:abstractNumId w:val="2"/>
  </w:num>
  <w:num w:numId="5">
    <w:abstractNumId w:val="12"/>
  </w:num>
  <w:num w:numId="6">
    <w:abstractNumId w:val="4"/>
  </w:num>
  <w:num w:numId="7">
    <w:abstractNumId w:val="8"/>
  </w:num>
  <w:num w:numId="8">
    <w:abstractNumId w:val="14"/>
  </w:num>
  <w:num w:numId="9">
    <w:abstractNumId w:val="11"/>
  </w:num>
  <w:num w:numId="10">
    <w:abstractNumId w:val="19"/>
  </w:num>
  <w:num w:numId="11">
    <w:abstractNumId w:val="17"/>
  </w:num>
  <w:num w:numId="12">
    <w:abstractNumId w:val="1"/>
  </w:num>
  <w:num w:numId="13">
    <w:abstractNumId w:val="13"/>
  </w:num>
  <w:num w:numId="14">
    <w:abstractNumId w:val="15"/>
  </w:num>
  <w:num w:numId="15">
    <w:abstractNumId w:val="6"/>
  </w:num>
  <w:num w:numId="16">
    <w:abstractNumId w:val="10"/>
  </w:num>
  <w:num w:numId="17">
    <w:abstractNumId w:val="18"/>
  </w:num>
  <w:num w:numId="18">
    <w:abstractNumId w:val="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29"/>
    <w:rsid w:val="000011C3"/>
    <w:rsid w:val="00001603"/>
    <w:rsid w:val="00001ED3"/>
    <w:rsid w:val="00005FCB"/>
    <w:rsid w:val="00006024"/>
    <w:rsid w:val="00007F5E"/>
    <w:rsid w:val="000100BA"/>
    <w:rsid w:val="000112FE"/>
    <w:rsid w:val="0001250D"/>
    <w:rsid w:val="00015331"/>
    <w:rsid w:val="000155C2"/>
    <w:rsid w:val="00016043"/>
    <w:rsid w:val="000172B0"/>
    <w:rsid w:val="00017C08"/>
    <w:rsid w:val="00021EE8"/>
    <w:rsid w:val="00022470"/>
    <w:rsid w:val="00022CEA"/>
    <w:rsid w:val="000231F4"/>
    <w:rsid w:val="00023E1C"/>
    <w:rsid w:val="000243EB"/>
    <w:rsid w:val="0002464A"/>
    <w:rsid w:val="00024713"/>
    <w:rsid w:val="000263C8"/>
    <w:rsid w:val="000307E0"/>
    <w:rsid w:val="00032457"/>
    <w:rsid w:val="00040D6E"/>
    <w:rsid w:val="00041B33"/>
    <w:rsid w:val="00042684"/>
    <w:rsid w:val="00042B6E"/>
    <w:rsid w:val="000430DC"/>
    <w:rsid w:val="0004310C"/>
    <w:rsid w:val="0004353B"/>
    <w:rsid w:val="000448BF"/>
    <w:rsid w:val="00047AB3"/>
    <w:rsid w:val="00050805"/>
    <w:rsid w:val="00050912"/>
    <w:rsid w:val="00052F45"/>
    <w:rsid w:val="000533FD"/>
    <w:rsid w:val="00054D13"/>
    <w:rsid w:val="0005545F"/>
    <w:rsid w:val="000575B7"/>
    <w:rsid w:val="000579FE"/>
    <w:rsid w:val="00060052"/>
    <w:rsid w:val="00060A32"/>
    <w:rsid w:val="00062B18"/>
    <w:rsid w:val="00062B27"/>
    <w:rsid w:val="000646A8"/>
    <w:rsid w:val="00064DA6"/>
    <w:rsid w:val="00066F1F"/>
    <w:rsid w:val="00070194"/>
    <w:rsid w:val="0007626F"/>
    <w:rsid w:val="000769C5"/>
    <w:rsid w:val="000769C7"/>
    <w:rsid w:val="000810B2"/>
    <w:rsid w:val="00081567"/>
    <w:rsid w:val="00082A7C"/>
    <w:rsid w:val="000840EA"/>
    <w:rsid w:val="00086711"/>
    <w:rsid w:val="00087406"/>
    <w:rsid w:val="00087ACD"/>
    <w:rsid w:val="00087B04"/>
    <w:rsid w:val="00087ECE"/>
    <w:rsid w:val="0009058D"/>
    <w:rsid w:val="00090AA4"/>
    <w:rsid w:val="00093D80"/>
    <w:rsid w:val="00094938"/>
    <w:rsid w:val="00096A31"/>
    <w:rsid w:val="00096AF1"/>
    <w:rsid w:val="000A0F04"/>
    <w:rsid w:val="000A2182"/>
    <w:rsid w:val="000A3419"/>
    <w:rsid w:val="000A3714"/>
    <w:rsid w:val="000B2B80"/>
    <w:rsid w:val="000B2D0C"/>
    <w:rsid w:val="000B3EF0"/>
    <w:rsid w:val="000B6DAB"/>
    <w:rsid w:val="000B70B9"/>
    <w:rsid w:val="000C0244"/>
    <w:rsid w:val="000C0AFE"/>
    <w:rsid w:val="000C2A78"/>
    <w:rsid w:val="000C7658"/>
    <w:rsid w:val="000C77F5"/>
    <w:rsid w:val="000D13A5"/>
    <w:rsid w:val="000D18BB"/>
    <w:rsid w:val="000D3F89"/>
    <w:rsid w:val="000D612B"/>
    <w:rsid w:val="000D6B65"/>
    <w:rsid w:val="000D716B"/>
    <w:rsid w:val="000E280B"/>
    <w:rsid w:val="000E3F4F"/>
    <w:rsid w:val="000E6470"/>
    <w:rsid w:val="000E6C3B"/>
    <w:rsid w:val="000E73AC"/>
    <w:rsid w:val="000F2C81"/>
    <w:rsid w:val="000F59C5"/>
    <w:rsid w:val="000F6B3A"/>
    <w:rsid w:val="00100D85"/>
    <w:rsid w:val="00101587"/>
    <w:rsid w:val="001029C7"/>
    <w:rsid w:val="00103696"/>
    <w:rsid w:val="00105EDA"/>
    <w:rsid w:val="00106208"/>
    <w:rsid w:val="001074BA"/>
    <w:rsid w:val="001077CD"/>
    <w:rsid w:val="001079DC"/>
    <w:rsid w:val="001119EE"/>
    <w:rsid w:val="001128A0"/>
    <w:rsid w:val="00112A03"/>
    <w:rsid w:val="00117646"/>
    <w:rsid w:val="00117D18"/>
    <w:rsid w:val="00121213"/>
    <w:rsid w:val="001256D8"/>
    <w:rsid w:val="00132797"/>
    <w:rsid w:val="0013452C"/>
    <w:rsid w:val="0013533D"/>
    <w:rsid w:val="00137987"/>
    <w:rsid w:val="00141302"/>
    <w:rsid w:val="0014132D"/>
    <w:rsid w:val="00141EF7"/>
    <w:rsid w:val="00143204"/>
    <w:rsid w:val="00143D6E"/>
    <w:rsid w:val="00147DE6"/>
    <w:rsid w:val="00152281"/>
    <w:rsid w:val="001528F2"/>
    <w:rsid w:val="0015766A"/>
    <w:rsid w:val="00157761"/>
    <w:rsid w:val="00162490"/>
    <w:rsid w:val="00162E29"/>
    <w:rsid w:val="00163EF9"/>
    <w:rsid w:val="001642A8"/>
    <w:rsid w:val="0016665B"/>
    <w:rsid w:val="00170075"/>
    <w:rsid w:val="00172038"/>
    <w:rsid w:val="00174F6A"/>
    <w:rsid w:val="001759F0"/>
    <w:rsid w:val="00176547"/>
    <w:rsid w:val="0017700E"/>
    <w:rsid w:val="001773ED"/>
    <w:rsid w:val="00177971"/>
    <w:rsid w:val="00180491"/>
    <w:rsid w:val="0018271A"/>
    <w:rsid w:val="001838E9"/>
    <w:rsid w:val="00185A7C"/>
    <w:rsid w:val="00186C4E"/>
    <w:rsid w:val="00187233"/>
    <w:rsid w:val="0019048B"/>
    <w:rsid w:val="001946EE"/>
    <w:rsid w:val="001A1361"/>
    <w:rsid w:val="001A20FD"/>
    <w:rsid w:val="001A6DFE"/>
    <w:rsid w:val="001B1A2C"/>
    <w:rsid w:val="001B34A6"/>
    <w:rsid w:val="001B37B9"/>
    <w:rsid w:val="001B6B5A"/>
    <w:rsid w:val="001B73A7"/>
    <w:rsid w:val="001C07EA"/>
    <w:rsid w:val="001C1436"/>
    <w:rsid w:val="001C2B5F"/>
    <w:rsid w:val="001C56E7"/>
    <w:rsid w:val="001C5F60"/>
    <w:rsid w:val="001D203E"/>
    <w:rsid w:val="001D462E"/>
    <w:rsid w:val="001D49A3"/>
    <w:rsid w:val="001E183B"/>
    <w:rsid w:val="001E2F18"/>
    <w:rsid w:val="001E5D06"/>
    <w:rsid w:val="001F0603"/>
    <w:rsid w:val="001F2C04"/>
    <w:rsid w:val="001F4600"/>
    <w:rsid w:val="00201EFC"/>
    <w:rsid w:val="00203B2A"/>
    <w:rsid w:val="00204E65"/>
    <w:rsid w:val="00204F60"/>
    <w:rsid w:val="002061DF"/>
    <w:rsid w:val="002065A1"/>
    <w:rsid w:val="00206E56"/>
    <w:rsid w:val="00211E3D"/>
    <w:rsid w:val="00212930"/>
    <w:rsid w:val="00214407"/>
    <w:rsid w:val="002158A1"/>
    <w:rsid w:val="002161AF"/>
    <w:rsid w:val="0022192A"/>
    <w:rsid w:val="00222960"/>
    <w:rsid w:val="00227683"/>
    <w:rsid w:val="002322F4"/>
    <w:rsid w:val="002339E6"/>
    <w:rsid w:val="00233B35"/>
    <w:rsid w:val="00233B41"/>
    <w:rsid w:val="00233EE0"/>
    <w:rsid w:val="00237B0A"/>
    <w:rsid w:val="00241D49"/>
    <w:rsid w:val="0024291B"/>
    <w:rsid w:val="002432A0"/>
    <w:rsid w:val="002438BC"/>
    <w:rsid w:val="0024445C"/>
    <w:rsid w:val="00245F43"/>
    <w:rsid w:val="00251752"/>
    <w:rsid w:val="00251D60"/>
    <w:rsid w:val="0025278C"/>
    <w:rsid w:val="00257709"/>
    <w:rsid w:val="00260360"/>
    <w:rsid w:val="00262D14"/>
    <w:rsid w:val="00263E23"/>
    <w:rsid w:val="00264F85"/>
    <w:rsid w:val="002715C8"/>
    <w:rsid w:val="002728A1"/>
    <w:rsid w:val="0027507C"/>
    <w:rsid w:val="002761ED"/>
    <w:rsid w:val="002774D7"/>
    <w:rsid w:val="00280B47"/>
    <w:rsid w:val="00281D70"/>
    <w:rsid w:val="002876D8"/>
    <w:rsid w:val="00290852"/>
    <w:rsid w:val="00293156"/>
    <w:rsid w:val="002A13AE"/>
    <w:rsid w:val="002A41CF"/>
    <w:rsid w:val="002A4491"/>
    <w:rsid w:val="002A6987"/>
    <w:rsid w:val="002A7BB9"/>
    <w:rsid w:val="002B46EB"/>
    <w:rsid w:val="002C04C4"/>
    <w:rsid w:val="002C324C"/>
    <w:rsid w:val="002C4740"/>
    <w:rsid w:val="002C5729"/>
    <w:rsid w:val="002C58E1"/>
    <w:rsid w:val="002C62FF"/>
    <w:rsid w:val="002C7433"/>
    <w:rsid w:val="002D0587"/>
    <w:rsid w:val="002D1CCA"/>
    <w:rsid w:val="002D2623"/>
    <w:rsid w:val="002D2874"/>
    <w:rsid w:val="002D4DD2"/>
    <w:rsid w:val="002D790F"/>
    <w:rsid w:val="002D7FC7"/>
    <w:rsid w:val="002E0F6D"/>
    <w:rsid w:val="002F1A57"/>
    <w:rsid w:val="002F1DE0"/>
    <w:rsid w:val="002F2404"/>
    <w:rsid w:val="002F2803"/>
    <w:rsid w:val="002F56A8"/>
    <w:rsid w:val="002F6A0E"/>
    <w:rsid w:val="002F7596"/>
    <w:rsid w:val="0030345F"/>
    <w:rsid w:val="00303E50"/>
    <w:rsid w:val="00310985"/>
    <w:rsid w:val="00312BE4"/>
    <w:rsid w:val="003135CA"/>
    <w:rsid w:val="00313BAA"/>
    <w:rsid w:val="00316D8F"/>
    <w:rsid w:val="00317D78"/>
    <w:rsid w:val="00320928"/>
    <w:rsid w:val="00321BB9"/>
    <w:rsid w:val="00321C58"/>
    <w:rsid w:val="0032275B"/>
    <w:rsid w:val="00322C51"/>
    <w:rsid w:val="00322EA8"/>
    <w:rsid w:val="0032425C"/>
    <w:rsid w:val="00331D45"/>
    <w:rsid w:val="0033229E"/>
    <w:rsid w:val="00333F47"/>
    <w:rsid w:val="00335FC4"/>
    <w:rsid w:val="0033608A"/>
    <w:rsid w:val="00336B69"/>
    <w:rsid w:val="00337172"/>
    <w:rsid w:val="00342BAF"/>
    <w:rsid w:val="00345470"/>
    <w:rsid w:val="003474BD"/>
    <w:rsid w:val="00350F4B"/>
    <w:rsid w:val="003522EE"/>
    <w:rsid w:val="003532E2"/>
    <w:rsid w:val="003564B9"/>
    <w:rsid w:val="0036551A"/>
    <w:rsid w:val="00366B21"/>
    <w:rsid w:val="00366DF7"/>
    <w:rsid w:val="0036781B"/>
    <w:rsid w:val="00367E7F"/>
    <w:rsid w:val="003712AB"/>
    <w:rsid w:val="003743D6"/>
    <w:rsid w:val="00376B7D"/>
    <w:rsid w:val="00376F5B"/>
    <w:rsid w:val="003772D1"/>
    <w:rsid w:val="003777BE"/>
    <w:rsid w:val="00377CCB"/>
    <w:rsid w:val="0038138D"/>
    <w:rsid w:val="00381B7B"/>
    <w:rsid w:val="00384ECC"/>
    <w:rsid w:val="00386783"/>
    <w:rsid w:val="0038788D"/>
    <w:rsid w:val="00387EBE"/>
    <w:rsid w:val="00390237"/>
    <w:rsid w:val="00391E8D"/>
    <w:rsid w:val="0039531F"/>
    <w:rsid w:val="0039580A"/>
    <w:rsid w:val="003A326D"/>
    <w:rsid w:val="003A438A"/>
    <w:rsid w:val="003A51C8"/>
    <w:rsid w:val="003A64BC"/>
    <w:rsid w:val="003B19C5"/>
    <w:rsid w:val="003B1DD1"/>
    <w:rsid w:val="003B2E30"/>
    <w:rsid w:val="003B4F31"/>
    <w:rsid w:val="003C1EAF"/>
    <w:rsid w:val="003C28E4"/>
    <w:rsid w:val="003C32A6"/>
    <w:rsid w:val="003C612A"/>
    <w:rsid w:val="003C7C72"/>
    <w:rsid w:val="003D0D4C"/>
    <w:rsid w:val="003D0F54"/>
    <w:rsid w:val="003D184D"/>
    <w:rsid w:val="003D1DEF"/>
    <w:rsid w:val="003D2E70"/>
    <w:rsid w:val="003D45B2"/>
    <w:rsid w:val="003D5C4C"/>
    <w:rsid w:val="003D669F"/>
    <w:rsid w:val="003D747C"/>
    <w:rsid w:val="003E2022"/>
    <w:rsid w:val="003E3852"/>
    <w:rsid w:val="003E5E4E"/>
    <w:rsid w:val="003E6860"/>
    <w:rsid w:val="003E6A20"/>
    <w:rsid w:val="003F127D"/>
    <w:rsid w:val="003F1B81"/>
    <w:rsid w:val="003F3B4B"/>
    <w:rsid w:val="003F40EE"/>
    <w:rsid w:val="003F4D47"/>
    <w:rsid w:val="003F7F23"/>
    <w:rsid w:val="00407965"/>
    <w:rsid w:val="00411169"/>
    <w:rsid w:val="00415AA6"/>
    <w:rsid w:val="004176C8"/>
    <w:rsid w:val="00417BB7"/>
    <w:rsid w:val="0042067D"/>
    <w:rsid w:val="00421162"/>
    <w:rsid w:val="004248A1"/>
    <w:rsid w:val="004300A2"/>
    <w:rsid w:val="00431CB6"/>
    <w:rsid w:val="00432EF2"/>
    <w:rsid w:val="00434C3A"/>
    <w:rsid w:val="00435010"/>
    <w:rsid w:val="004358A9"/>
    <w:rsid w:val="0043752B"/>
    <w:rsid w:val="00437AC9"/>
    <w:rsid w:val="00441321"/>
    <w:rsid w:val="00442E25"/>
    <w:rsid w:val="00443054"/>
    <w:rsid w:val="0044431D"/>
    <w:rsid w:val="004445C2"/>
    <w:rsid w:val="004471B7"/>
    <w:rsid w:val="00453CD8"/>
    <w:rsid w:val="004575BD"/>
    <w:rsid w:val="00457CF4"/>
    <w:rsid w:val="00465864"/>
    <w:rsid w:val="00466E85"/>
    <w:rsid w:val="00467A89"/>
    <w:rsid w:val="0047389A"/>
    <w:rsid w:val="00480631"/>
    <w:rsid w:val="004808CA"/>
    <w:rsid w:val="0048108E"/>
    <w:rsid w:val="004813DD"/>
    <w:rsid w:val="00483E4B"/>
    <w:rsid w:val="0048543A"/>
    <w:rsid w:val="00485927"/>
    <w:rsid w:val="00485CBA"/>
    <w:rsid w:val="004879A7"/>
    <w:rsid w:val="00490208"/>
    <w:rsid w:val="004909CB"/>
    <w:rsid w:val="00490D36"/>
    <w:rsid w:val="00493B44"/>
    <w:rsid w:val="00495532"/>
    <w:rsid w:val="004A02F0"/>
    <w:rsid w:val="004A1E0A"/>
    <w:rsid w:val="004A35F1"/>
    <w:rsid w:val="004A3DC0"/>
    <w:rsid w:val="004A4BDF"/>
    <w:rsid w:val="004A6C2B"/>
    <w:rsid w:val="004A703C"/>
    <w:rsid w:val="004A730E"/>
    <w:rsid w:val="004B51D3"/>
    <w:rsid w:val="004B5A74"/>
    <w:rsid w:val="004B78B5"/>
    <w:rsid w:val="004B7EF9"/>
    <w:rsid w:val="004C08C9"/>
    <w:rsid w:val="004C2821"/>
    <w:rsid w:val="004C53AD"/>
    <w:rsid w:val="004C5FE9"/>
    <w:rsid w:val="004C7ED9"/>
    <w:rsid w:val="004D1069"/>
    <w:rsid w:val="004D25AF"/>
    <w:rsid w:val="004D417D"/>
    <w:rsid w:val="004D4D2D"/>
    <w:rsid w:val="004D7173"/>
    <w:rsid w:val="004E1991"/>
    <w:rsid w:val="004E1E6C"/>
    <w:rsid w:val="004E2192"/>
    <w:rsid w:val="004E3C61"/>
    <w:rsid w:val="004E4001"/>
    <w:rsid w:val="004E5C2B"/>
    <w:rsid w:val="004E6785"/>
    <w:rsid w:val="004E7A7B"/>
    <w:rsid w:val="004F346D"/>
    <w:rsid w:val="004F5D47"/>
    <w:rsid w:val="004F7F26"/>
    <w:rsid w:val="0050037B"/>
    <w:rsid w:val="0050168B"/>
    <w:rsid w:val="00501BC7"/>
    <w:rsid w:val="005100D5"/>
    <w:rsid w:val="005123FA"/>
    <w:rsid w:val="00513C4F"/>
    <w:rsid w:val="00517BFF"/>
    <w:rsid w:val="005212FB"/>
    <w:rsid w:val="005222A8"/>
    <w:rsid w:val="005250FE"/>
    <w:rsid w:val="00525E6B"/>
    <w:rsid w:val="0052638F"/>
    <w:rsid w:val="00526FC7"/>
    <w:rsid w:val="00527012"/>
    <w:rsid w:val="005303BC"/>
    <w:rsid w:val="00531159"/>
    <w:rsid w:val="005322B3"/>
    <w:rsid w:val="005360E3"/>
    <w:rsid w:val="0053769A"/>
    <w:rsid w:val="00540605"/>
    <w:rsid w:val="00543DE1"/>
    <w:rsid w:val="00546A4C"/>
    <w:rsid w:val="005515D7"/>
    <w:rsid w:val="00551EEC"/>
    <w:rsid w:val="0055281E"/>
    <w:rsid w:val="0055459F"/>
    <w:rsid w:val="00556BAD"/>
    <w:rsid w:val="00561569"/>
    <w:rsid w:val="00562CE8"/>
    <w:rsid w:val="00563CC3"/>
    <w:rsid w:val="00563D90"/>
    <w:rsid w:val="005649D6"/>
    <w:rsid w:val="00564EDF"/>
    <w:rsid w:val="00565114"/>
    <w:rsid w:val="00565F3F"/>
    <w:rsid w:val="005662DB"/>
    <w:rsid w:val="005667CD"/>
    <w:rsid w:val="0057061A"/>
    <w:rsid w:val="00572A92"/>
    <w:rsid w:val="0057407D"/>
    <w:rsid w:val="00574802"/>
    <w:rsid w:val="00575DDF"/>
    <w:rsid w:val="00576785"/>
    <w:rsid w:val="00580F09"/>
    <w:rsid w:val="00581D1B"/>
    <w:rsid w:val="00582B17"/>
    <w:rsid w:val="00585185"/>
    <w:rsid w:val="00585AF1"/>
    <w:rsid w:val="005879CC"/>
    <w:rsid w:val="005901AD"/>
    <w:rsid w:val="00592B2F"/>
    <w:rsid w:val="00592F19"/>
    <w:rsid w:val="005930FC"/>
    <w:rsid w:val="00594C7E"/>
    <w:rsid w:val="005971BC"/>
    <w:rsid w:val="005A245A"/>
    <w:rsid w:val="005A54C7"/>
    <w:rsid w:val="005A626F"/>
    <w:rsid w:val="005B0469"/>
    <w:rsid w:val="005B10E2"/>
    <w:rsid w:val="005B1E89"/>
    <w:rsid w:val="005B244A"/>
    <w:rsid w:val="005B279A"/>
    <w:rsid w:val="005B724B"/>
    <w:rsid w:val="005B7C27"/>
    <w:rsid w:val="005C0375"/>
    <w:rsid w:val="005C11E1"/>
    <w:rsid w:val="005C2391"/>
    <w:rsid w:val="005C4812"/>
    <w:rsid w:val="005C52C9"/>
    <w:rsid w:val="005D05EA"/>
    <w:rsid w:val="005D15A3"/>
    <w:rsid w:val="005D179D"/>
    <w:rsid w:val="005D442E"/>
    <w:rsid w:val="005D6109"/>
    <w:rsid w:val="005D7034"/>
    <w:rsid w:val="005D7145"/>
    <w:rsid w:val="005E33C2"/>
    <w:rsid w:val="005E6066"/>
    <w:rsid w:val="005E7293"/>
    <w:rsid w:val="005F00CB"/>
    <w:rsid w:val="005F1742"/>
    <w:rsid w:val="0060037C"/>
    <w:rsid w:val="00600905"/>
    <w:rsid w:val="00601163"/>
    <w:rsid w:val="00602293"/>
    <w:rsid w:val="00604715"/>
    <w:rsid w:val="006068BE"/>
    <w:rsid w:val="006073C6"/>
    <w:rsid w:val="00607516"/>
    <w:rsid w:val="00610C32"/>
    <w:rsid w:val="00610E51"/>
    <w:rsid w:val="006114E9"/>
    <w:rsid w:val="00611840"/>
    <w:rsid w:val="006138CC"/>
    <w:rsid w:val="00620A15"/>
    <w:rsid w:val="00621FFC"/>
    <w:rsid w:val="00622951"/>
    <w:rsid w:val="00622EAB"/>
    <w:rsid w:val="006244E4"/>
    <w:rsid w:val="00624565"/>
    <w:rsid w:val="00624A87"/>
    <w:rsid w:val="00632E9F"/>
    <w:rsid w:val="00633E5D"/>
    <w:rsid w:val="00635CB6"/>
    <w:rsid w:val="0063715D"/>
    <w:rsid w:val="00637592"/>
    <w:rsid w:val="006408E1"/>
    <w:rsid w:val="00645532"/>
    <w:rsid w:val="00645E2B"/>
    <w:rsid w:val="00647D3E"/>
    <w:rsid w:val="006504A3"/>
    <w:rsid w:val="0065135C"/>
    <w:rsid w:val="006521CF"/>
    <w:rsid w:val="00654FA8"/>
    <w:rsid w:val="006564EB"/>
    <w:rsid w:val="00656FA2"/>
    <w:rsid w:val="00657DFD"/>
    <w:rsid w:val="006609C2"/>
    <w:rsid w:val="00660E04"/>
    <w:rsid w:val="00662061"/>
    <w:rsid w:val="006645CA"/>
    <w:rsid w:val="006654C5"/>
    <w:rsid w:val="00667A09"/>
    <w:rsid w:val="00667CFF"/>
    <w:rsid w:val="00672042"/>
    <w:rsid w:val="006738F6"/>
    <w:rsid w:val="00675831"/>
    <w:rsid w:val="006801D6"/>
    <w:rsid w:val="00680951"/>
    <w:rsid w:val="00681A36"/>
    <w:rsid w:val="0068384D"/>
    <w:rsid w:val="00694285"/>
    <w:rsid w:val="00695765"/>
    <w:rsid w:val="00695C65"/>
    <w:rsid w:val="00696F2F"/>
    <w:rsid w:val="006A266B"/>
    <w:rsid w:val="006A3398"/>
    <w:rsid w:val="006A47CD"/>
    <w:rsid w:val="006A5A33"/>
    <w:rsid w:val="006B667D"/>
    <w:rsid w:val="006C00DF"/>
    <w:rsid w:val="006C23AC"/>
    <w:rsid w:val="006C28A3"/>
    <w:rsid w:val="006C4E43"/>
    <w:rsid w:val="006C77FF"/>
    <w:rsid w:val="006D2B30"/>
    <w:rsid w:val="006D561F"/>
    <w:rsid w:val="006D7097"/>
    <w:rsid w:val="006E0B49"/>
    <w:rsid w:val="006E0EFB"/>
    <w:rsid w:val="006E5B48"/>
    <w:rsid w:val="006E7780"/>
    <w:rsid w:val="006E77DF"/>
    <w:rsid w:val="006F0CCF"/>
    <w:rsid w:val="006F2A17"/>
    <w:rsid w:val="006F48AE"/>
    <w:rsid w:val="006F6029"/>
    <w:rsid w:val="006F61DE"/>
    <w:rsid w:val="006F6C90"/>
    <w:rsid w:val="00700860"/>
    <w:rsid w:val="0070087F"/>
    <w:rsid w:val="0070173E"/>
    <w:rsid w:val="00706578"/>
    <w:rsid w:val="00712A87"/>
    <w:rsid w:val="00712DBD"/>
    <w:rsid w:val="00713A1A"/>
    <w:rsid w:val="007140CA"/>
    <w:rsid w:val="0071668C"/>
    <w:rsid w:val="007179EF"/>
    <w:rsid w:val="0072096A"/>
    <w:rsid w:val="007223A5"/>
    <w:rsid w:val="0072455C"/>
    <w:rsid w:val="00725E00"/>
    <w:rsid w:val="00730D4C"/>
    <w:rsid w:val="00732557"/>
    <w:rsid w:val="00740D4D"/>
    <w:rsid w:val="00746798"/>
    <w:rsid w:val="00746AE1"/>
    <w:rsid w:val="00746C57"/>
    <w:rsid w:val="007478FD"/>
    <w:rsid w:val="007510CB"/>
    <w:rsid w:val="007532BB"/>
    <w:rsid w:val="0075370F"/>
    <w:rsid w:val="00754823"/>
    <w:rsid w:val="00757FD1"/>
    <w:rsid w:val="00761726"/>
    <w:rsid w:val="00762726"/>
    <w:rsid w:val="00763C97"/>
    <w:rsid w:val="00770877"/>
    <w:rsid w:val="007712AA"/>
    <w:rsid w:val="0077183C"/>
    <w:rsid w:val="00772984"/>
    <w:rsid w:val="007802E6"/>
    <w:rsid w:val="00780594"/>
    <w:rsid w:val="00781B0C"/>
    <w:rsid w:val="00782ED2"/>
    <w:rsid w:val="00787F35"/>
    <w:rsid w:val="00791720"/>
    <w:rsid w:val="0079185D"/>
    <w:rsid w:val="0079407D"/>
    <w:rsid w:val="007940A0"/>
    <w:rsid w:val="0079661D"/>
    <w:rsid w:val="00797192"/>
    <w:rsid w:val="007A3003"/>
    <w:rsid w:val="007A4A4F"/>
    <w:rsid w:val="007A4AC3"/>
    <w:rsid w:val="007A6485"/>
    <w:rsid w:val="007A7867"/>
    <w:rsid w:val="007B0256"/>
    <w:rsid w:val="007B6895"/>
    <w:rsid w:val="007B6ABE"/>
    <w:rsid w:val="007B6B87"/>
    <w:rsid w:val="007B6FB7"/>
    <w:rsid w:val="007C39C9"/>
    <w:rsid w:val="007C4F76"/>
    <w:rsid w:val="007C7981"/>
    <w:rsid w:val="007D2FA2"/>
    <w:rsid w:val="007D55A4"/>
    <w:rsid w:val="007D6060"/>
    <w:rsid w:val="007E2CEE"/>
    <w:rsid w:val="007E4A72"/>
    <w:rsid w:val="007E4F1D"/>
    <w:rsid w:val="007E55C9"/>
    <w:rsid w:val="007E7055"/>
    <w:rsid w:val="007F278B"/>
    <w:rsid w:val="007F2ABC"/>
    <w:rsid w:val="007F4893"/>
    <w:rsid w:val="0080059F"/>
    <w:rsid w:val="00805030"/>
    <w:rsid w:val="00813A79"/>
    <w:rsid w:val="0081665B"/>
    <w:rsid w:val="00816ABF"/>
    <w:rsid w:val="00816DE7"/>
    <w:rsid w:val="00817305"/>
    <w:rsid w:val="00820D5A"/>
    <w:rsid w:val="00822373"/>
    <w:rsid w:val="00823174"/>
    <w:rsid w:val="00825C80"/>
    <w:rsid w:val="00826208"/>
    <w:rsid w:val="00826AEA"/>
    <w:rsid w:val="00831486"/>
    <w:rsid w:val="00837344"/>
    <w:rsid w:val="00837BB9"/>
    <w:rsid w:val="008407EC"/>
    <w:rsid w:val="008450FE"/>
    <w:rsid w:val="00846794"/>
    <w:rsid w:val="008518FD"/>
    <w:rsid w:val="00851A34"/>
    <w:rsid w:val="008537F2"/>
    <w:rsid w:val="0085696D"/>
    <w:rsid w:val="00860F7C"/>
    <w:rsid w:val="0086455E"/>
    <w:rsid w:val="008654C0"/>
    <w:rsid w:val="008656CD"/>
    <w:rsid w:val="0086684B"/>
    <w:rsid w:val="008702DA"/>
    <w:rsid w:val="00870E1E"/>
    <w:rsid w:val="0087300D"/>
    <w:rsid w:val="0087539F"/>
    <w:rsid w:val="008763D9"/>
    <w:rsid w:val="008765CE"/>
    <w:rsid w:val="00881212"/>
    <w:rsid w:val="00893940"/>
    <w:rsid w:val="00893EA6"/>
    <w:rsid w:val="008979C9"/>
    <w:rsid w:val="008A1B30"/>
    <w:rsid w:val="008A3DB5"/>
    <w:rsid w:val="008A4B92"/>
    <w:rsid w:val="008A78DD"/>
    <w:rsid w:val="008A7B1D"/>
    <w:rsid w:val="008B2140"/>
    <w:rsid w:val="008B27CB"/>
    <w:rsid w:val="008B2A5A"/>
    <w:rsid w:val="008B3294"/>
    <w:rsid w:val="008B37B3"/>
    <w:rsid w:val="008B3A85"/>
    <w:rsid w:val="008B4859"/>
    <w:rsid w:val="008B66D2"/>
    <w:rsid w:val="008B78D5"/>
    <w:rsid w:val="008C1C00"/>
    <w:rsid w:val="008C3CEB"/>
    <w:rsid w:val="008C42A5"/>
    <w:rsid w:val="008C48FE"/>
    <w:rsid w:val="008D1784"/>
    <w:rsid w:val="008D2F3C"/>
    <w:rsid w:val="008D42C4"/>
    <w:rsid w:val="008D6489"/>
    <w:rsid w:val="008D7BED"/>
    <w:rsid w:val="008E1381"/>
    <w:rsid w:val="008E1D92"/>
    <w:rsid w:val="008E3274"/>
    <w:rsid w:val="008E511A"/>
    <w:rsid w:val="008E62D9"/>
    <w:rsid w:val="008E64B9"/>
    <w:rsid w:val="008F08FF"/>
    <w:rsid w:val="008F0F96"/>
    <w:rsid w:val="008F3CDE"/>
    <w:rsid w:val="008F4F07"/>
    <w:rsid w:val="008F60FC"/>
    <w:rsid w:val="0090344B"/>
    <w:rsid w:val="00903E79"/>
    <w:rsid w:val="009048AC"/>
    <w:rsid w:val="009049B8"/>
    <w:rsid w:val="009058C4"/>
    <w:rsid w:val="00907526"/>
    <w:rsid w:val="00913275"/>
    <w:rsid w:val="00913F27"/>
    <w:rsid w:val="00914440"/>
    <w:rsid w:val="00915CB0"/>
    <w:rsid w:val="00920008"/>
    <w:rsid w:val="009214EB"/>
    <w:rsid w:val="00922D5C"/>
    <w:rsid w:val="00923782"/>
    <w:rsid w:val="00927E29"/>
    <w:rsid w:val="009322D6"/>
    <w:rsid w:val="00935B93"/>
    <w:rsid w:val="00936897"/>
    <w:rsid w:val="00936C5F"/>
    <w:rsid w:val="0093751E"/>
    <w:rsid w:val="00942352"/>
    <w:rsid w:val="00943549"/>
    <w:rsid w:val="00943DBD"/>
    <w:rsid w:val="00946BAF"/>
    <w:rsid w:val="00946DF8"/>
    <w:rsid w:val="00947E6F"/>
    <w:rsid w:val="00950096"/>
    <w:rsid w:val="00951E34"/>
    <w:rsid w:val="009526F1"/>
    <w:rsid w:val="00952BA7"/>
    <w:rsid w:val="00957320"/>
    <w:rsid w:val="0096061E"/>
    <w:rsid w:val="00961210"/>
    <w:rsid w:val="009617ED"/>
    <w:rsid w:val="0096213B"/>
    <w:rsid w:val="00962A84"/>
    <w:rsid w:val="0096597F"/>
    <w:rsid w:val="00965EBB"/>
    <w:rsid w:val="009703E2"/>
    <w:rsid w:val="00970DC5"/>
    <w:rsid w:val="009716DE"/>
    <w:rsid w:val="009725CC"/>
    <w:rsid w:val="00972E02"/>
    <w:rsid w:val="00974F62"/>
    <w:rsid w:val="00975555"/>
    <w:rsid w:val="00976D1B"/>
    <w:rsid w:val="00977B4F"/>
    <w:rsid w:val="00980E41"/>
    <w:rsid w:val="00982B4D"/>
    <w:rsid w:val="00982CB4"/>
    <w:rsid w:val="00982E55"/>
    <w:rsid w:val="0098457A"/>
    <w:rsid w:val="00986500"/>
    <w:rsid w:val="00987CFC"/>
    <w:rsid w:val="009939AE"/>
    <w:rsid w:val="00995746"/>
    <w:rsid w:val="0099746B"/>
    <w:rsid w:val="00997A89"/>
    <w:rsid w:val="009A1F71"/>
    <w:rsid w:val="009A28F3"/>
    <w:rsid w:val="009A445B"/>
    <w:rsid w:val="009A4A26"/>
    <w:rsid w:val="009A4D65"/>
    <w:rsid w:val="009A6A91"/>
    <w:rsid w:val="009B158F"/>
    <w:rsid w:val="009B209F"/>
    <w:rsid w:val="009B3A5C"/>
    <w:rsid w:val="009B5542"/>
    <w:rsid w:val="009B6B5F"/>
    <w:rsid w:val="009C06A1"/>
    <w:rsid w:val="009C3B96"/>
    <w:rsid w:val="009C5402"/>
    <w:rsid w:val="009C5746"/>
    <w:rsid w:val="009D1540"/>
    <w:rsid w:val="009D17FE"/>
    <w:rsid w:val="009D348D"/>
    <w:rsid w:val="009D4EE0"/>
    <w:rsid w:val="009D562F"/>
    <w:rsid w:val="009D72A7"/>
    <w:rsid w:val="009E180E"/>
    <w:rsid w:val="009E407E"/>
    <w:rsid w:val="009E434B"/>
    <w:rsid w:val="009F0425"/>
    <w:rsid w:val="009F2D3F"/>
    <w:rsid w:val="009F3517"/>
    <w:rsid w:val="009F3C82"/>
    <w:rsid w:val="009F7484"/>
    <w:rsid w:val="00A003CC"/>
    <w:rsid w:val="00A01ED7"/>
    <w:rsid w:val="00A02BFB"/>
    <w:rsid w:val="00A03C52"/>
    <w:rsid w:val="00A07246"/>
    <w:rsid w:val="00A07CC2"/>
    <w:rsid w:val="00A10C6A"/>
    <w:rsid w:val="00A13D02"/>
    <w:rsid w:val="00A14713"/>
    <w:rsid w:val="00A20BA3"/>
    <w:rsid w:val="00A20D40"/>
    <w:rsid w:val="00A24BA3"/>
    <w:rsid w:val="00A3302A"/>
    <w:rsid w:val="00A3584B"/>
    <w:rsid w:val="00A41BEA"/>
    <w:rsid w:val="00A426A7"/>
    <w:rsid w:val="00A44511"/>
    <w:rsid w:val="00A45852"/>
    <w:rsid w:val="00A54BC4"/>
    <w:rsid w:val="00A5552D"/>
    <w:rsid w:val="00A570C6"/>
    <w:rsid w:val="00A57495"/>
    <w:rsid w:val="00A60E17"/>
    <w:rsid w:val="00A648D1"/>
    <w:rsid w:val="00A64EF1"/>
    <w:rsid w:val="00A66456"/>
    <w:rsid w:val="00A67067"/>
    <w:rsid w:val="00A709D1"/>
    <w:rsid w:val="00A7156C"/>
    <w:rsid w:val="00A7171F"/>
    <w:rsid w:val="00A83F3B"/>
    <w:rsid w:val="00A84258"/>
    <w:rsid w:val="00A84AB5"/>
    <w:rsid w:val="00A86550"/>
    <w:rsid w:val="00A9077C"/>
    <w:rsid w:val="00A909C8"/>
    <w:rsid w:val="00A93BDF"/>
    <w:rsid w:val="00A94A02"/>
    <w:rsid w:val="00A94A2A"/>
    <w:rsid w:val="00A94F45"/>
    <w:rsid w:val="00A97AD4"/>
    <w:rsid w:val="00AA0AD5"/>
    <w:rsid w:val="00AA16EC"/>
    <w:rsid w:val="00AA21B4"/>
    <w:rsid w:val="00AA4457"/>
    <w:rsid w:val="00AA5C7A"/>
    <w:rsid w:val="00AB0D85"/>
    <w:rsid w:val="00AB1CCC"/>
    <w:rsid w:val="00AB3270"/>
    <w:rsid w:val="00AB5CEB"/>
    <w:rsid w:val="00AB6B7E"/>
    <w:rsid w:val="00AB6F48"/>
    <w:rsid w:val="00AC0A45"/>
    <w:rsid w:val="00AC1056"/>
    <w:rsid w:val="00AC502B"/>
    <w:rsid w:val="00AD05F8"/>
    <w:rsid w:val="00AD2142"/>
    <w:rsid w:val="00AD3910"/>
    <w:rsid w:val="00AD424F"/>
    <w:rsid w:val="00AD44CC"/>
    <w:rsid w:val="00AD482C"/>
    <w:rsid w:val="00AD7E3B"/>
    <w:rsid w:val="00AE08BB"/>
    <w:rsid w:val="00AE0AFA"/>
    <w:rsid w:val="00AE1570"/>
    <w:rsid w:val="00AE2510"/>
    <w:rsid w:val="00AE35CE"/>
    <w:rsid w:val="00AE3D2C"/>
    <w:rsid w:val="00AE66F5"/>
    <w:rsid w:val="00AF0A17"/>
    <w:rsid w:val="00AF3397"/>
    <w:rsid w:val="00AF3C70"/>
    <w:rsid w:val="00AF4119"/>
    <w:rsid w:val="00B00E32"/>
    <w:rsid w:val="00B036F1"/>
    <w:rsid w:val="00B05300"/>
    <w:rsid w:val="00B0584B"/>
    <w:rsid w:val="00B05A12"/>
    <w:rsid w:val="00B0707B"/>
    <w:rsid w:val="00B074D1"/>
    <w:rsid w:val="00B07B91"/>
    <w:rsid w:val="00B119CD"/>
    <w:rsid w:val="00B14349"/>
    <w:rsid w:val="00B1706F"/>
    <w:rsid w:val="00B179F8"/>
    <w:rsid w:val="00B22D1C"/>
    <w:rsid w:val="00B23BE6"/>
    <w:rsid w:val="00B2400F"/>
    <w:rsid w:val="00B25BE1"/>
    <w:rsid w:val="00B41CE9"/>
    <w:rsid w:val="00B43A6E"/>
    <w:rsid w:val="00B46A63"/>
    <w:rsid w:val="00B50C64"/>
    <w:rsid w:val="00B513AC"/>
    <w:rsid w:val="00B53CB7"/>
    <w:rsid w:val="00B54A65"/>
    <w:rsid w:val="00B55803"/>
    <w:rsid w:val="00B56528"/>
    <w:rsid w:val="00B57EC3"/>
    <w:rsid w:val="00B60462"/>
    <w:rsid w:val="00B608C7"/>
    <w:rsid w:val="00B63449"/>
    <w:rsid w:val="00B67010"/>
    <w:rsid w:val="00B67540"/>
    <w:rsid w:val="00B6763A"/>
    <w:rsid w:val="00B7319B"/>
    <w:rsid w:val="00B80145"/>
    <w:rsid w:val="00B8234A"/>
    <w:rsid w:val="00B8332B"/>
    <w:rsid w:val="00B85B7C"/>
    <w:rsid w:val="00B878F4"/>
    <w:rsid w:val="00B90B72"/>
    <w:rsid w:val="00B93DD5"/>
    <w:rsid w:val="00B94C15"/>
    <w:rsid w:val="00BA0B5E"/>
    <w:rsid w:val="00BA395C"/>
    <w:rsid w:val="00BA3FA2"/>
    <w:rsid w:val="00BA4222"/>
    <w:rsid w:val="00BA4E43"/>
    <w:rsid w:val="00BA6AAE"/>
    <w:rsid w:val="00BA7AD5"/>
    <w:rsid w:val="00BB018F"/>
    <w:rsid w:val="00BB25F3"/>
    <w:rsid w:val="00BB43F5"/>
    <w:rsid w:val="00BB6C02"/>
    <w:rsid w:val="00BB773A"/>
    <w:rsid w:val="00BC241D"/>
    <w:rsid w:val="00BC2CBC"/>
    <w:rsid w:val="00BC3BE2"/>
    <w:rsid w:val="00BC5764"/>
    <w:rsid w:val="00BC6A41"/>
    <w:rsid w:val="00BC71B1"/>
    <w:rsid w:val="00BC74A5"/>
    <w:rsid w:val="00BD1383"/>
    <w:rsid w:val="00BD1412"/>
    <w:rsid w:val="00BD1638"/>
    <w:rsid w:val="00BD3A1F"/>
    <w:rsid w:val="00BD3F07"/>
    <w:rsid w:val="00BD46D7"/>
    <w:rsid w:val="00BD6C09"/>
    <w:rsid w:val="00BD77D3"/>
    <w:rsid w:val="00BE3C3C"/>
    <w:rsid w:val="00BE5111"/>
    <w:rsid w:val="00BE7B30"/>
    <w:rsid w:val="00BF188A"/>
    <w:rsid w:val="00BF1AB6"/>
    <w:rsid w:val="00BF2493"/>
    <w:rsid w:val="00BF7F76"/>
    <w:rsid w:val="00C0352F"/>
    <w:rsid w:val="00C036AB"/>
    <w:rsid w:val="00C03BA8"/>
    <w:rsid w:val="00C04EB4"/>
    <w:rsid w:val="00C06252"/>
    <w:rsid w:val="00C063F5"/>
    <w:rsid w:val="00C12356"/>
    <w:rsid w:val="00C124DA"/>
    <w:rsid w:val="00C133EA"/>
    <w:rsid w:val="00C16191"/>
    <w:rsid w:val="00C219C4"/>
    <w:rsid w:val="00C24BCD"/>
    <w:rsid w:val="00C25AD7"/>
    <w:rsid w:val="00C26068"/>
    <w:rsid w:val="00C3146F"/>
    <w:rsid w:val="00C31BCC"/>
    <w:rsid w:val="00C34069"/>
    <w:rsid w:val="00C349E7"/>
    <w:rsid w:val="00C35FA8"/>
    <w:rsid w:val="00C35FB0"/>
    <w:rsid w:val="00C372D1"/>
    <w:rsid w:val="00C403CA"/>
    <w:rsid w:val="00C40D5B"/>
    <w:rsid w:val="00C4541F"/>
    <w:rsid w:val="00C4567C"/>
    <w:rsid w:val="00C4626C"/>
    <w:rsid w:val="00C47FA2"/>
    <w:rsid w:val="00C5011F"/>
    <w:rsid w:val="00C50CF0"/>
    <w:rsid w:val="00C51A94"/>
    <w:rsid w:val="00C53327"/>
    <w:rsid w:val="00C53361"/>
    <w:rsid w:val="00C55238"/>
    <w:rsid w:val="00C5531A"/>
    <w:rsid w:val="00C574E2"/>
    <w:rsid w:val="00C61652"/>
    <w:rsid w:val="00C6235F"/>
    <w:rsid w:val="00C66F33"/>
    <w:rsid w:val="00C71A15"/>
    <w:rsid w:val="00C71C1F"/>
    <w:rsid w:val="00C755D9"/>
    <w:rsid w:val="00C7593A"/>
    <w:rsid w:val="00C75B81"/>
    <w:rsid w:val="00C771A1"/>
    <w:rsid w:val="00C77202"/>
    <w:rsid w:val="00C8119D"/>
    <w:rsid w:val="00C85874"/>
    <w:rsid w:val="00C87BDA"/>
    <w:rsid w:val="00C901DF"/>
    <w:rsid w:val="00C91CBC"/>
    <w:rsid w:val="00C92118"/>
    <w:rsid w:val="00C9406D"/>
    <w:rsid w:val="00C9418A"/>
    <w:rsid w:val="00CA0CE0"/>
    <w:rsid w:val="00CA5035"/>
    <w:rsid w:val="00CA66DB"/>
    <w:rsid w:val="00CA7B3D"/>
    <w:rsid w:val="00CB06C7"/>
    <w:rsid w:val="00CB15C9"/>
    <w:rsid w:val="00CB3FEE"/>
    <w:rsid w:val="00CB7178"/>
    <w:rsid w:val="00CB7F02"/>
    <w:rsid w:val="00CC12C8"/>
    <w:rsid w:val="00CC2DC6"/>
    <w:rsid w:val="00CC4200"/>
    <w:rsid w:val="00CC6427"/>
    <w:rsid w:val="00CE58F9"/>
    <w:rsid w:val="00CE7F42"/>
    <w:rsid w:val="00CF0E05"/>
    <w:rsid w:val="00CF140F"/>
    <w:rsid w:val="00CF1F8A"/>
    <w:rsid w:val="00CF4425"/>
    <w:rsid w:val="00CF4ED7"/>
    <w:rsid w:val="00CF58CD"/>
    <w:rsid w:val="00CF60AB"/>
    <w:rsid w:val="00D01EE0"/>
    <w:rsid w:val="00D023DC"/>
    <w:rsid w:val="00D04A4E"/>
    <w:rsid w:val="00D111CF"/>
    <w:rsid w:val="00D1140C"/>
    <w:rsid w:val="00D148ED"/>
    <w:rsid w:val="00D15018"/>
    <w:rsid w:val="00D167C6"/>
    <w:rsid w:val="00D16894"/>
    <w:rsid w:val="00D21C66"/>
    <w:rsid w:val="00D26FAB"/>
    <w:rsid w:val="00D2739D"/>
    <w:rsid w:val="00D3064A"/>
    <w:rsid w:val="00D3066B"/>
    <w:rsid w:val="00D34FD4"/>
    <w:rsid w:val="00D3641C"/>
    <w:rsid w:val="00D42307"/>
    <w:rsid w:val="00D4360F"/>
    <w:rsid w:val="00D43F74"/>
    <w:rsid w:val="00D44E3D"/>
    <w:rsid w:val="00D45CD6"/>
    <w:rsid w:val="00D45FA2"/>
    <w:rsid w:val="00D46458"/>
    <w:rsid w:val="00D51629"/>
    <w:rsid w:val="00D51A27"/>
    <w:rsid w:val="00D55C68"/>
    <w:rsid w:val="00D56975"/>
    <w:rsid w:val="00D57218"/>
    <w:rsid w:val="00D57A9E"/>
    <w:rsid w:val="00D6380A"/>
    <w:rsid w:val="00D67AD7"/>
    <w:rsid w:val="00D73060"/>
    <w:rsid w:val="00D7419C"/>
    <w:rsid w:val="00D75379"/>
    <w:rsid w:val="00D80DFE"/>
    <w:rsid w:val="00D852A6"/>
    <w:rsid w:val="00D92172"/>
    <w:rsid w:val="00D92E84"/>
    <w:rsid w:val="00D92F10"/>
    <w:rsid w:val="00D9646B"/>
    <w:rsid w:val="00DA1E5E"/>
    <w:rsid w:val="00DA3910"/>
    <w:rsid w:val="00DA44FF"/>
    <w:rsid w:val="00DA4536"/>
    <w:rsid w:val="00DA4BFC"/>
    <w:rsid w:val="00DB02DA"/>
    <w:rsid w:val="00DB0A08"/>
    <w:rsid w:val="00DB0DAD"/>
    <w:rsid w:val="00DB3CBB"/>
    <w:rsid w:val="00DC343F"/>
    <w:rsid w:val="00DC37AF"/>
    <w:rsid w:val="00DC3C64"/>
    <w:rsid w:val="00DC3D3C"/>
    <w:rsid w:val="00DC3F93"/>
    <w:rsid w:val="00DC4F7E"/>
    <w:rsid w:val="00DC622B"/>
    <w:rsid w:val="00DC7C52"/>
    <w:rsid w:val="00DD1BC0"/>
    <w:rsid w:val="00DD32E2"/>
    <w:rsid w:val="00DD347A"/>
    <w:rsid w:val="00DD350D"/>
    <w:rsid w:val="00DD40E1"/>
    <w:rsid w:val="00DD60BE"/>
    <w:rsid w:val="00DD7BC7"/>
    <w:rsid w:val="00DE294C"/>
    <w:rsid w:val="00DE3E9D"/>
    <w:rsid w:val="00DE452D"/>
    <w:rsid w:val="00DE48E4"/>
    <w:rsid w:val="00DE68FB"/>
    <w:rsid w:val="00DF0D32"/>
    <w:rsid w:val="00DF24B2"/>
    <w:rsid w:val="00DF325A"/>
    <w:rsid w:val="00DF50D4"/>
    <w:rsid w:val="00DF5EFC"/>
    <w:rsid w:val="00E002DE"/>
    <w:rsid w:val="00E02309"/>
    <w:rsid w:val="00E02415"/>
    <w:rsid w:val="00E02A4C"/>
    <w:rsid w:val="00E06349"/>
    <w:rsid w:val="00E075E7"/>
    <w:rsid w:val="00E07B90"/>
    <w:rsid w:val="00E07C20"/>
    <w:rsid w:val="00E10DF8"/>
    <w:rsid w:val="00E10EC6"/>
    <w:rsid w:val="00E143CA"/>
    <w:rsid w:val="00E2457C"/>
    <w:rsid w:val="00E2466E"/>
    <w:rsid w:val="00E24CDB"/>
    <w:rsid w:val="00E262F8"/>
    <w:rsid w:val="00E26B82"/>
    <w:rsid w:val="00E27466"/>
    <w:rsid w:val="00E308B6"/>
    <w:rsid w:val="00E30E1E"/>
    <w:rsid w:val="00E31BC9"/>
    <w:rsid w:val="00E3286A"/>
    <w:rsid w:val="00E33AE9"/>
    <w:rsid w:val="00E413CF"/>
    <w:rsid w:val="00E41B9D"/>
    <w:rsid w:val="00E45FBA"/>
    <w:rsid w:val="00E50A59"/>
    <w:rsid w:val="00E517BE"/>
    <w:rsid w:val="00E51B8B"/>
    <w:rsid w:val="00E526D9"/>
    <w:rsid w:val="00E52704"/>
    <w:rsid w:val="00E5382F"/>
    <w:rsid w:val="00E540A0"/>
    <w:rsid w:val="00E5450C"/>
    <w:rsid w:val="00E556FF"/>
    <w:rsid w:val="00E57EFA"/>
    <w:rsid w:val="00E600C5"/>
    <w:rsid w:val="00E6177A"/>
    <w:rsid w:val="00E633A6"/>
    <w:rsid w:val="00E64E97"/>
    <w:rsid w:val="00E65395"/>
    <w:rsid w:val="00E66735"/>
    <w:rsid w:val="00E67091"/>
    <w:rsid w:val="00E70174"/>
    <w:rsid w:val="00E71738"/>
    <w:rsid w:val="00E721A0"/>
    <w:rsid w:val="00E72288"/>
    <w:rsid w:val="00E73BE9"/>
    <w:rsid w:val="00E74A19"/>
    <w:rsid w:val="00E754D2"/>
    <w:rsid w:val="00E75B06"/>
    <w:rsid w:val="00E769A0"/>
    <w:rsid w:val="00E82688"/>
    <w:rsid w:val="00E83D40"/>
    <w:rsid w:val="00E8622B"/>
    <w:rsid w:val="00E86DD6"/>
    <w:rsid w:val="00E87035"/>
    <w:rsid w:val="00E9027C"/>
    <w:rsid w:val="00E904E8"/>
    <w:rsid w:val="00E927C2"/>
    <w:rsid w:val="00EA456F"/>
    <w:rsid w:val="00EA6F0D"/>
    <w:rsid w:val="00EB0968"/>
    <w:rsid w:val="00EB2DED"/>
    <w:rsid w:val="00EB3C53"/>
    <w:rsid w:val="00EB3CDA"/>
    <w:rsid w:val="00EB4DB6"/>
    <w:rsid w:val="00EB590F"/>
    <w:rsid w:val="00EB745B"/>
    <w:rsid w:val="00EC1C6B"/>
    <w:rsid w:val="00EC5E48"/>
    <w:rsid w:val="00EC68FE"/>
    <w:rsid w:val="00EC70FE"/>
    <w:rsid w:val="00ED073E"/>
    <w:rsid w:val="00ED150F"/>
    <w:rsid w:val="00ED3239"/>
    <w:rsid w:val="00ED515F"/>
    <w:rsid w:val="00ED586C"/>
    <w:rsid w:val="00ED612F"/>
    <w:rsid w:val="00ED6FE6"/>
    <w:rsid w:val="00ED7E16"/>
    <w:rsid w:val="00EE05AB"/>
    <w:rsid w:val="00EE2ED4"/>
    <w:rsid w:val="00EE51CF"/>
    <w:rsid w:val="00EE5D25"/>
    <w:rsid w:val="00EF061E"/>
    <w:rsid w:val="00EF14B3"/>
    <w:rsid w:val="00EF49BC"/>
    <w:rsid w:val="00EF4A77"/>
    <w:rsid w:val="00EF4CDB"/>
    <w:rsid w:val="00EF7C00"/>
    <w:rsid w:val="00F04C95"/>
    <w:rsid w:val="00F05C07"/>
    <w:rsid w:val="00F05FDB"/>
    <w:rsid w:val="00F10B86"/>
    <w:rsid w:val="00F13095"/>
    <w:rsid w:val="00F14541"/>
    <w:rsid w:val="00F1552B"/>
    <w:rsid w:val="00F24059"/>
    <w:rsid w:val="00F36D95"/>
    <w:rsid w:val="00F374DF"/>
    <w:rsid w:val="00F42599"/>
    <w:rsid w:val="00F43093"/>
    <w:rsid w:val="00F50D58"/>
    <w:rsid w:val="00F50DD2"/>
    <w:rsid w:val="00F53A68"/>
    <w:rsid w:val="00F6104A"/>
    <w:rsid w:val="00F64BF1"/>
    <w:rsid w:val="00F70891"/>
    <w:rsid w:val="00F70EBC"/>
    <w:rsid w:val="00F75C87"/>
    <w:rsid w:val="00F76076"/>
    <w:rsid w:val="00F80925"/>
    <w:rsid w:val="00F8400B"/>
    <w:rsid w:val="00F84831"/>
    <w:rsid w:val="00F874E6"/>
    <w:rsid w:val="00F91817"/>
    <w:rsid w:val="00F922D6"/>
    <w:rsid w:val="00F940F4"/>
    <w:rsid w:val="00F966F1"/>
    <w:rsid w:val="00F96795"/>
    <w:rsid w:val="00FA07DE"/>
    <w:rsid w:val="00FA2F60"/>
    <w:rsid w:val="00FA35C4"/>
    <w:rsid w:val="00FA442B"/>
    <w:rsid w:val="00FA583C"/>
    <w:rsid w:val="00FB0011"/>
    <w:rsid w:val="00FB021F"/>
    <w:rsid w:val="00FB1746"/>
    <w:rsid w:val="00FB2F77"/>
    <w:rsid w:val="00FB3483"/>
    <w:rsid w:val="00FB3E1B"/>
    <w:rsid w:val="00FB418E"/>
    <w:rsid w:val="00FB7A70"/>
    <w:rsid w:val="00FB7C6E"/>
    <w:rsid w:val="00FC19B5"/>
    <w:rsid w:val="00FC2BC5"/>
    <w:rsid w:val="00FC3793"/>
    <w:rsid w:val="00FD0026"/>
    <w:rsid w:val="00FD00C5"/>
    <w:rsid w:val="00FD07CB"/>
    <w:rsid w:val="00FD0D50"/>
    <w:rsid w:val="00FD14CE"/>
    <w:rsid w:val="00FD44A3"/>
    <w:rsid w:val="00FD5592"/>
    <w:rsid w:val="00FD58FF"/>
    <w:rsid w:val="00FD7802"/>
    <w:rsid w:val="00FE144A"/>
    <w:rsid w:val="00FE5EAA"/>
    <w:rsid w:val="00FE7EE7"/>
    <w:rsid w:val="00FF0458"/>
    <w:rsid w:val="00FF0ED5"/>
    <w:rsid w:val="00FF4FB3"/>
    <w:rsid w:val="00FF5A2C"/>
    <w:rsid w:val="00FF6F0B"/>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29"/>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162E29"/>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610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29"/>
    <w:rPr>
      <w:rFonts w:ascii="Times New Roman" w:eastAsia="Times New Roman" w:hAnsi="Times New Roman" w:cs="Times New Roman"/>
      <w:b/>
      <w:sz w:val="26"/>
      <w:szCs w:val="26"/>
    </w:rPr>
  </w:style>
  <w:style w:type="paragraph" w:styleId="Subtitle">
    <w:name w:val="Subtitle"/>
    <w:basedOn w:val="Normal"/>
    <w:link w:val="SubtitleChar"/>
    <w:qFormat/>
    <w:rsid w:val="00162E29"/>
    <w:pPr>
      <w:spacing w:line="240" w:lineRule="auto"/>
      <w:jc w:val="center"/>
    </w:pPr>
    <w:rPr>
      <w:b/>
    </w:rPr>
  </w:style>
  <w:style w:type="character" w:customStyle="1" w:styleId="SubtitleChar">
    <w:name w:val="Subtitle Char"/>
    <w:basedOn w:val="DefaultParagraphFont"/>
    <w:link w:val="Subtitle"/>
    <w:rsid w:val="00162E29"/>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162E29"/>
    <w:pPr>
      <w:spacing w:after="120"/>
      <w:ind w:left="360"/>
    </w:pPr>
  </w:style>
  <w:style w:type="character" w:customStyle="1" w:styleId="BodyTextIndentChar">
    <w:name w:val="Body Text Indent Char"/>
    <w:basedOn w:val="DefaultParagraphFont"/>
    <w:link w:val="BodyTextIndent"/>
    <w:uiPriority w:val="99"/>
    <w:semiHidden/>
    <w:rsid w:val="00162E29"/>
    <w:rPr>
      <w:rFonts w:ascii="CG Times" w:eastAsia="Times New Roman" w:hAnsi="CG Times" w:cs="Times New Roman"/>
      <w:sz w:val="24"/>
      <w:szCs w:val="20"/>
    </w:rPr>
  </w:style>
  <w:style w:type="paragraph" w:styleId="ListParagraph">
    <w:name w:val="List Paragraph"/>
    <w:basedOn w:val="Normal"/>
    <w:uiPriority w:val="34"/>
    <w:qFormat/>
    <w:rsid w:val="00162E29"/>
    <w:pPr>
      <w:ind w:left="720"/>
      <w:contextualSpacing/>
    </w:pPr>
  </w:style>
  <w:style w:type="paragraph" w:customStyle="1" w:styleId="BodyFirst1SS">
    <w:name w:val="Body First 1 SS"/>
    <w:basedOn w:val="Normal"/>
    <w:uiPriority w:val="10"/>
    <w:qFormat/>
    <w:rsid w:val="009716DE"/>
    <w:pPr>
      <w:spacing w:line="480" w:lineRule="auto"/>
      <w:ind w:firstLine="720"/>
      <w:jc w:val="both"/>
    </w:pPr>
    <w:rPr>
      <w:rFonts w:ascii="Times New Roman" w:hAnsi="Times New Roman"/>
      <w:szCs w:val="24"/>
    </w:rPr>
  </w:style>
  <w:style w:type="paragraph" w:styleId="BodyText2">
    <w:name w:val="Body Text 2"/>
    <w:basedOn w:val="Normal"/>
    <w:link w:val="BodyText2Char"/>
    <w:uiPriority w:val="99"/>
    <w:unhideWhenUsed/>
    <w:rsid w:val="000769C7"/>
    <w:pPr>
      <w:spacing w:after="120" w:line="480" w:lineRule="auto"/>
    </w:pPr>
  </w:style>
  <w:style w:type="character" w:customStyle="1" w:styleId="BodyText2Char">
    <w:name w:val="Body Text 2 Char"/>
    <w:basedOn w:val="DefaultParagraphFont"/>
    <w:link w:val="BodyText2"/>
    <w:uiPriority w:val="99"/>
    <w:rsid w:val="000769C7"/>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0769C7"/>
    <w:pPr>
      <w:spacing w:after="120"/>
    </w:pPr>
    <w:rPr>
      <w:sz w:val="16"/>
      <w:szCs w:val="16"/>
    </w:rPr>
  </w:style>
  <w:style w:type="character" w:customStyle="1" w:styleId="BodyText3Char">
    <w:name w:val="Body Text 3 Char"/>
    <w:basedOn w:val="DefaultParagraphFont"/>
    <w:link w:val="BodyText3"/>
    <w:uiPriority w:val="99"/>
    <w:semiHidden/>
    <w:rsid w:val="000769C7"/>
    <w:rPr>
      <w:rFonts w:ascii="CG Times" w:eastAsia="Times New Roman" w:hAnsi="CG Times" w:cs="Times New Roman"/>
      <w:sz w:val="16"/>
      <w:szCs w:val="16"/>
    </w:rPr>
  </w:style>
  <w:style w:type="character" w:styleId="Hyperlink">
    <w:name w:val="Hyperlink"/>
    <w:basedOn w:val="DefaultParagraphFont"/>
    <w:rsid w:val="00DC3F93"/>
    <w:rPr>
      <w:color w:val="0000FF"/>
      <w:u w:val="single"/>
    </w:rPr>
  </w:style>
  <w:style w:type="character" w:customStyle="1" w:styleId="term1">
    <w:name w:val="term1"/>
    <w:basedOn w:val="DefaultParagraphFont"/>
    <w:rsid w:val="00DC3F93"/>
    <w:rPr>
      <w:b/>
      <w:bCs/>
    </w:rPr>
  </w:style>
  <w:style w:type="character" w:styleId="FootnoteReference">
    <w:name w:val="footnote reference"/>
    <w:aliases w:val="o,fr"/>
    <w:basedOn w:val="DefaultParagraphFont"/>
    <w:unhideWhenUsed/>
    <w:rsid w:val="00DC7C52"/>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nhideWhenUsed/>
    <w:qFormat/>
    <w:rsid w:val="00712DBD"/>
    <w:pPr>
      <w:spacing w:line="240" w:lineRule="auto"/>
      <w:ind w:firstLine="720"/>
    </w:pPr>
    <w:rPr>
      <w:rFonts w:ascii="Times New Roman" w:hAnsi="Times New Roman"/>
      <w:sz w:val="26"/>
      <w:szCs w:val="2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712DBD"/>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6104A"/>
    <w:rPr>
      <w:rFonts w:asciiTheme="majorHAnsi" w:eastAsiaTheme="majorEastAsia" w:hAnsiTheme="majorHAnsi" w:cstheme="majorBidi"/>
      <w:b/>
      <w:bCs/>
      <w:color w:val="4F81BD" w:themeColor="accent1"/>
      <w:sz w:val="26"/>
      <w:szCs w:val="26"/>
    </w:rPr>
  </w:style>
  <w:style w:type="paragraph" w:customStyle="1" w:styleId="Bullet1">
    <w:name w:val="Bullet 1"/>
    <w:basedOn w:val="Normal"/>
    <w:link w:val="Bullet1Char"/>
    <w:uiPriority w:val="17"/>
    <w:qFormat/>
    <w:rsid w:val="006645CA"/>
    <w:pPr>
      <w:numPr>
        <w:numId w:val="5"/>
      </w:numPr>
      <w:spacing w:after="240" w:line="240" w:lineRule="auto"/>
      <w:jc w:val="both"/>
      <w:outlineLvl w:val="0"/>
    </w:pPr>
    <w:rPr>
      <w:rFonts w:ascii="Times New Roman" w:hAnsi="Times New Roman" w:cstheme="minorBidi"/>
    </w:rPr>
  </w:style>
  <w:style w:type="character" w:customStyle="1" w:styleId="Bullet1Char">
    <w:name w:val="Bullet 1 Char"/>
    <w:link w:val="Bullet1"/>
    <w:uiPriority w:val="17"/>
    <w:rsid w:val="006645CA"/>
    <w:rPr>
      <w:rFonts w:ascii="Times New Roman" w:eastAsia="Times New Roman" w:hAnsi="Times New Roman"/>
      <w:sz w:val="24"/>
      <w:szCs w:val="20"/>
    </w:rPr>
  </w:style>
  <w:style w:type="paragraph" w:customStyle="1" w:styleId="Bullet2">
    <w:name w:val="Bullet 2"/>
    <w:basedOn w:val="Bullet1"/>
    <w:uiPriority w:val="17"/>
    <w:qFormat/>
    <w:rsid w:val="006645CA"/>
    <w:pPr>
      <w:numPr>
        <w:ilvl w:val="1"/>
      </w:numPr>
      <w:tabs>
        <w:tab w:val="clear" w:pos="2160"/>
        <w:tab w:val="num" w:pos="360"/>
      </w:tabs>
      <w:outlineLvl w:val="1"/>
    </w:pPr>
  </w:style>
  <w:style w:type="paragraph" w:customStyle="1" w:styleId="Bullet3">
    <w:name w:val="Bullet 3"/>
    <w:basedOn w:val="Bullet2"/>
    <w:uiPriority w:val="17"/>
    <w:qFormat/>
    <w:rsid w:val="006645CA"/>
    <w:pPr>
      <w:numPr>
        <w:ilvl w:val="2"/>
      </w:numPr>
      <w:tabs>
        <w:tab w:val="clear" w:pos="2880"/>
        <w:tab w:val="num" w:pos="360"/>
      </w:tabs>
      <w:outlineLvl w:val="2"/>
    </w:pPr>
  </w:style>
  <w:style w:type="paragraph" w:customStyle="1" w:styleId="Bullet4">
    <w:name w:val="Bullet 4"/>
    <w:basedOn w:val="Bullet3"/>
    <w:uiPriority w:val="17"/>
    <w:semiHidden/>
    <w:rsid w:val="006645CA"/>
    <w:pPr>
      <w:numPr>
        <w:ilvl w:val="3"/>
      </w:numPr>
      <w:tabs>
        <w:tab w:val="clear" w:pos="3600"/>
        <w:tab w:val="num" w:pos="360"/>
      </w:tabs>
      <w:outlineLvl w:val="3"/>
    </w:pPr>
  </w:style>
  <w:style w:type="paragraph" w:customStyle="1" w:styleId="Bullet5">
    <w:name w:val="Bullet 5"/>
    <w:basedOn w:val="Bullet4"/>
    <w:uiPriority w:val="17"/>
    <w:semiHidden/>
    <w:rsid w:val="006645CA"/>
    <w:pPr>
      <w:numPr>
        <w:ilvl w:val="4"/>
      </w:numPr>
      <w:tabs>
        <w:tab w:val="clear" w:pos="4320"/>
        <w:tab w:val="num" w:pos="360"/>
      </w:tabs>
      <w:outlineLvl w:val="4"/>
    </w:pPr>
  </w:style>
  <w:style w:type="character" w:styleId="Emphasis">
    <w:name w:val="Emphasis"/>
    <w:basedOn w:val="DefaultParagraphFont"/>
    <w:qFormat/>
    <w:rsid w:val="00177971"/>
    <w:rPr>
      <w:i/>
      <w:iCs/>
    </w:rPr>
  </w:style>
  <w:style w:type="paragraph" w:styleId="Header">
    <w:name w:val="header"/>
    <w:basedOn w:val="Normal"/>
    <w:link w:val="HeaderChar"/>
    <w:uiPriority w:val="99"/>
    <w:unhideWhenUsed/>
    <w:rsid w:val="001528F2"/>
    <w:pPr>
      <w:tabs>
        <w:tab w:val="center" w:pos="4680"/>
        <w:tab w:val="right" w:pos="9360"/>
      </w:tabs>
      <w:spacing w:line="240" w:lineRule="auto"/>
    </w:pPr>
  </w:style>
  <w:style w:type="character" w:customStyle="1" w:styleId="HeaderChar">
    <w:name w:val="Header Char"/>
    <w:basedOn w:val="DefaultParagraphFont"/>
    <w:link w:val="Header"/>
    <w:uiPriority w:val="99"/>
    <w:rsid w:val="001528F2"/>
    <w:rPr>
      <w:rFonts w:ascii="CG Times" w:eastAsia="Times New Roman" w:hAnsi="CG Times" w:cs="Times New Roman"/>
      <w:sz w:val="24"/>
      <w:szCs w:val="20"/>
    </w:rPr>
  </w:style>
  <w:style w:type="paragraph" w:styleId="Footer">
    <w:name w:val="footer"/>
    <w:basedOn w:val="Normal"/>
    <w:link w:val="FooterChar"/>
    <w:uiPriority w:val="99"/>
    <w:unhideWhenUsed/>
    <w:rsid w:val="001528F2"/>
    <w:pPr>
      <w:tabs>
        <w:tab w:val="center" w:pos="4680"/>
        <w:tab w:val="right" w:pos="9360"/>
      </w:tabs>
      <w:spacing w:line="240" w:lineRule="auto"/>
    </w:pPr>
  </w:style>
  <w:style w:type="character" w:customStyle="1" w:styleId="FooterChar">
    <w:name w:val="Footer Char"/>
    <w:basedOn w:val="DefaultParagraphFont"/>
    <w:link w:val="Footer"/>
    <w:uiPriority w:val="99"/>
    <w:rsid w:val="001528F2"/>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624A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87"/>
    <w:rPr>
      <w:rFonts w:ascii="Tahoma" w:eastAsia="Times New Roman" w:hAnsi="Tahoma" w:cs="Tahoma"/>
      <w:sz w:val="16"/>
      <w:szCs w:val="16"/>
    </w:rPr>
  </w:style>
  <w:style w:type="paragraph" w:styleId="PlainText">
    <w:name w:val="Plain Text"/>
    <w:basedOn w:val="Normal"/>
    <w:link w:val="PlainTextChar"/>
    <w:uiPriority w:val="99"/>
    <w:unhideWhenUsed/>
    <w:rsid w:val="005B7C2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7C27"/>
    <w:rPr>
      <w:rFonts w:ascii="Calibri" w:hAnsi="Calibri"/>
      <w:szCs w:val="21"/>
    </w:rPr>
  </w:style>
  <w:style w:type="character" w:styleId="CommentReference">
    <w:name w:val="annotation reference"/>
    <w:basedOn w:val="DefaultParagraphFont"/>
    <w:uiPriority w:val="99"/>
    <w:semiHidden/>
    <w:unhideWhenUsed/>
    <w:rsid w:val="007F2ABC"/>
    <w:rPr>
      <w:sz w:val="16"/>
      <w:szCs w:val="16"/>
    </w:rPr>
  </w:style>
  <w:style w:type="paragraph" w:styleId="CommentText">
    <w:name w:val="annotation text"/>
    <w:basedOn w:val="Normal"/>
    <w:link w:val="CommentTextChar"/>
    <w:uiPriority w:val="99"/>
    <w:semiHidden/>
    <w:unhideWhenUsed/>
    <w:rsid w:val="007F2ABC"/>
    <w:pPr>
      <w:spacing w:line="240" w:lineRule="auto"/>
    </w:pPr>
    <w:rPr>
      <w:sz w:val="20"/>
    </w:rPr>
  </w:style>
  <w:style w:type="character" w:customStyle="1" w:styleId="CommentTextChar">
    <w:name w:val="Comment Text Char"/>
    <w:basedOn w:val="DefaultParagraphFont"/>
    <w:link w:val="CommentText"/>
    <w:uiPriority w:val="99"/>
    <w:semiHidden/>
    <w:rsid w:val="007F2AB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F2ABC"/>
    <w:rPr>
      <w:b/>
      <w:bCs/>
    </w:rPr>
  </w:style>
  <w:style w:type="character" w:customStyle="1" w:styleId="CommentSubjectChar">
    <w:name w:val="Comment Subject Char"/>
    <w:basedOn w:val="CommentTextChar"/>
    <w:link w:val="CommentSubject"/>
    <w:uiPriority w:val="99"/>
    <w:semiHidden/>
    <w:rsid w:val="007F2ABC"/>
    <w:rPr>
      <w:rFonts w:ascii="CG Times" w:eastAsia="Times New Roman" w:hAnsi="CG Times" w:cs="Times New Roman"/>
      <w:b/>
      <w:bCs/>
      <w:sz w:val="20"/>
      <w:szCs w:val="20"/>
    </w:rPr>
  </w:style>
  <w:style w:type="paragraph" w:styleId="ListBullet">
    <w:name w:val="List Bullet"/>
    <w:basedOn w:val="Normal"/>
    <w:uiPriority w:val="99"/>
    <w:unhideWhenUsed/>
    <w:rsid w:val="00600905"/>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29"/>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162E29"/>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610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29"/>
    <w:rPr>
      <w:rFonts w:ascii="Times New Roman" w:eastAsia="Times New Roman" w:hAnsi="Times New Roman" w:cs="Times New Roman"/>
      <w:b/>
      <w:sz w:val="26"/>
      <w:szCs w:val="26"/>
    </w:rPr>
  </w:style>
  <w:style w:type="paragraph" w:styleId="Subtitle">
    <w:name w:val="Subtitle"/>
    <w:basedOn w:val="Normal"/>
    <w:link w:val="SubtitleChar"/>
    <w:qFormat/>
    <w:rsid w:val="00162E29"/>
    <w:pPr>
      <w:spacing w:line="240" w:lineRule="auto"/>
      <w:jc w:val="center"/>
    </w:pPr>
    <w:rPr>
      <w:b/>
    </w:rPr>
  </w:style>
  <w:style w:type="character" w:customStyle="1" w:styleId="SubtitleChar">
    <w:name w:val="Subtitle Char"/>
    <w:basedOn w:val="DefaultParagraphFont"/>
    <w:link w:val="Subtitle"/>
    <w:rsid w:val="00162E29"/>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162E29"/>
    <w:pPr>
      <w:spacing w:after="120"/>
      <w:ind w:left="360"/>
    </w:pPr>
  </w:style>
  <w:style w:type="character" w:customStyle="1" w:styleId="BodyTextIndentChar">
    <w:name w:val="Body Text Indent Char"/>
    <w:basedOn w:val="DefaultParagraphFont"/>
    <w:link w:val="BodyTextIndent"/>
    <w:uiPriority w:val="99"/>
    <w:semiHidden/>
    <w:rsid w:val="00162E29"/>
    <w:rPr>
      <w:rFonts w:ascii="CG Times" w:eastAsia="Times New Roman" w:hAnsi="CG Times" w:cs="Times New Roman"/>
      <w:sz w:val="24"/>
      <w:szCs w:val="20"/>
    </w:rPr>
  </w:style>
  <w:style w:type="paragraph" w:styleId="ListParagraph">
    <w:name w:val="List Paragraph"/>
    <w:basedOn w:val="Normal"/>
    <w:uiPriority w:val="34"/>
    <w:qFormat/>
    <w:rsid w:val="00162E29"/>
    <w:pPr>
      <w:ind w:left="720"/>
      <w:contextualSpacing/>
    </w:pPr>
  </w:style>
  <w:style w:type="paragraph" w:customStyle="1" w:styleId="BodyFirst1SS">
    <w:name w:val="Body First 1 SS"/>
    <w:basedOn w:val="Normal"/>
    <w:uiPriority w:val="10"/>
    <w:qFormat/>
    <w:rsid w:val="009716DE"/>
    <w:pPr>
      <w:spacing w:line="480" w:lineRule="auto"/>
      <w:ind w:firstLine="720"/>
      <w:jc w:val="both"/>
    </w:pPr>
    <w:rPr>
      <w:rFonts w:ascii="Times New Roman" w:hAnsi="Times New Roman"/>
      <w:szCs w:val="24"/>
    </w:rPr>
  </w:style>
  <w:style w:type="paragraph" w:styleId="BodyText2">
    <w:name w:val="Body Text 2"/>
    <w:basedOn w:val="Normal"/>
    <w:link w:val="BodyText2Char"/>
    <w:uiPriority w:val="99"/>
    <w:unhideWhenUsed/>
    <w:rsid w:val="000769C7"/>
    <w:pPr>
      <w:spacing w:after="120" w:line="480" w:lineRule="auto"/>
    </w:pPr>
  </w:style>
  <w:style w:type="character" w:customStyle="1" w:styleId="BodyText2Char">
    <w:name w:val="Body Text 2 Char"/>
    <w:basedOn w:val="DefaultParagraphFont"/>
    <w:link w:val="BodyText2"/>
    <w:uiPriority w:val="99"/>
    <w:rsid w:val="000769C7"/>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0769C7"/>
    <w:pPr>
      <w:spacing w:after="120"/>
    </w:pPr>
    <w:rPr>
      <w:sz w:val="16"/>
      <w:szCs w:val="16"/>
    </w:rPr>
  </w:style>
  <w:style w:type="character" w:customStyle="1" w:styleId="BodyText3Char">
    <w:name w:val="Body Text 3 Char"/>
    <w:basedOn w:val="DefaultParagraphFont"/>
    <w:link w:val="BodyText3"/>
    <w:uiPriority w:val="99"/>
    <w:semiHidden/>
    <w:rsid w:val="000769C7"/>
    <w:rPr>
      <w:rFonts w:ascii="CG Times" w:eastAsia="Times New Roman" w:hAnsi="CG Times" w:cs="Times New Roman"/>
      <w:sz w:val="16"/>
      <w:szCs w:val="16"/>
    </w:rPr>
  </w:style>
  <w:style w:type="character" w:styleId="Hyperlink">
    <w:name w:val="Hyperlink"/>
    <w:basedOn w:val="DefaultParagraphFont"/>
    <w:rsid w:val="00DC3F93"/>
    <w:rPr>
      <w:color w:val="0000FF"/>
      <w:u w:val="single"/>
    </w:rPr>
  </w:style>
  <w:style w:type="character" w:customStyle="1" w:styleId="term1">
    <w:name w:val="term1"/>
    <w:basedOn w:val="DefaultParagraphFont"/>
    <w:rsid w:val="00DC3F93"/>
    <w:rPr>
      <w:b/>
      <w:bCs/>
    </w:rPr>
  </w:style>
  <w:style w:type="character" w:styleId="FootnoteReference">
    <w:name w:val="footnote reference"/>
    <w:aliases w:val="o,fr"/>
    <w:basedOn w:val="DefaultParagraphFont"/>
    <w:unhideWhenUsed/>
    <w:rsid w:val="00DC7C52"/>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nhideWhenUsed/>
    <w:qFormat/>
    <w:rsid w:val="00712DBD"/>
    <w:pPr>
      <w:spacing w:line="240" w:lineRule="auto"/>
      <w:ind w:firstLine="720"/>
    </w:pPr>
    <w:rPr>
      <w:rFonts w:ascii="Times New Roman" w:hAnsi="Times New Roman"/>
      <w:sz w:val="26"/>
      <w:szCs w:val="2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712DBD"/>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6104A"/>
    <w:rPr>
      <w:rFonts w:asciiTheme="majorHAnsi" w:eastAsiaTheme="majorEastAsia" w:hAnsiTheme="majorHAnsi" w:cstheme="majorBidi"/>
      <w:b/>
      <w:bCs/>
      <w:color w:val="4F81BD" w:themeColor="accent1"/>
      <w:sz w:val="26"/>
      <w:szCs w:val="26"/>
    </w:rPr>
  </w:style>
  <w:style w:type="paragraph" w:customStyle="1" w:styleId="Bullet1">
    <w:name w:val="Bullet 1"/>
    <w:basedOn w:val="Normal"/>
    <w:link w:val="Bullet1Char"/>
    <w:uiPriority w:val="17"/>
    <w:qFormat/>
    <w:rsid w:val="006645CA"/>
    <w:pPr>
      <w:numPr>
        <w:numId w:val="5"/>
      </w:numPr>
      <w:spacing w:after="240" w:line="240" w:lineRule="auto"/>
      <w:jc w:val="both"/>
      <w:outlineLvl w:val="0"/>
    </w:pPr>
    <w:rPr>
      <w:rFonts w:ascii="Times New Roman" w:hAnsi="Times New Roman" w:cstheme="minorBidi"/>
    </w:rPr>
  </w:style>
  <w:style w:type="character" w:customStyle="1" w:styleId="Bullet1Char">
    <w:name w:val="Bullet 1 Char"/>
    <w:link w:val="Bullet1"/>
    <w:uiPriority w:val="17"/>
    <w:rsid w:val="006645CA"/>
    <w:rPr>
      <w:rFonts w:ascii="Times New Roman" w:eastAsia="Times New Roman" w:hAnsi="Times New Roman"/>
      <w:sz w:val="24"/>
      <w:szCs w:val="20"/>
    </w:rPr>
  </w:style>
  <w:style w:type="paragraph" w:customStyle="1" w:styleId="Bullet2">
    <w:name w:val="Bullet 2"/>
    <w:basedOn w:val="Bullet1"/>
    <w:uiPriority w:val="17"/>
    <w:qFormat/>
    <w:rsid w:val="006645CA"/>
    <w:pPr>
      <w:numPr>
        <w:ilvl w:val="1"/>
      </w:numPr>
      <w:tabs>
        <w:tab w:val="clear" w:pos="2160"/>
        <w:tab w:val="num" w:pos="360"/>
      </w:tabs>
      <w:outlineLvl w:val="1"/>
    </w:pPr>
  </w:style>
  <w:style w:type="paragraph" w:customStyle="1" w:styleId="Bullet3">
    <w:name w:val="Bullet 3"/>
    <w:basedOn w:val="Bullet2"/>
    <w:uiPriority w:val="17"/>
    <w:qFormat/>
    <w:rsid w:val="006645CA"/>
    <w:pPr>
      <w:numPr>
        <w:ilvl w:val="2"/>
      </w:numPr>
      <w:tabs>
        <w:tab w:val="clear" w:pos="2880"/>
        <w:tab w:val="num" w:pos="360"/>
      </w:tabs>
      <w:outlineLvl w:val="2"/>
    </w:pPr>
  </w:style>
  <w:style w:type="paragraph" w:customStyle="1" w:styleId="Bullet4">
    <w:name w:val="Bullet 4"/>
    <w:basedOn w:val="Bullet3"/>
    <w:uiPriority w:val="17"/>
    <w:semiHidden/>
    <w:rsid w:val="006645CA"/>
    <w:pPr>
      <w:numPr>
        <w:ilvl w:val="3"/>
      </w:numPr>
      <w:tabs>
        <w:tab w:val="clear" w:pos="3600"/>
        <w:tab w:val="num" w:pos="360"/>
      </w:tabs>
      <w:outlineLvl w:val="3"/>
    </w:pPr>
  </w:style>
  <w:style w:type="paragraph" w:customStyle="1" w:styleId="Bullet5">
    <w:name w:val="Bullet 5"/>
    <w:basedOn w:val="Bullet4"/>
    <w:uiPriority w:val="17"/>
    <w:semiHidden/>
    <w:rsid w:val="006645CA"/>
    <w:pPr>
      <w:numPr>
        <w:ilvl w:val="4"/>
      </w:numPr>
      <w:tabs>
        <w:tab w:val="clear" w:pos="4320"/>
        <w:tab w:val="num" w:pos="360"/>
      </w:tabs>
      <w:outlineLvl w:val="4"/>
    </w:pPr>
  </w:style>
  <w:style w:type="character" w:styleId="Emphasis">
    <w:name w:val="Emphasis"/>
    <w:basedOn w:val="DefaultParagraphFont"/>
    <w:qFormat/>
    <w:rsid w:val="00177971"/>
    <w:rPr>
      <w:i/>
      <w:iCs/>
    </w:rPr>
  </w:style>
  <w:style w:type="paragraph" w:styleId="Header">
    <w:name w:val="header"/>
    <w:basedOn w:val="Normal"/>
    <w:link w:val="HeaderChar"/>
    <w:uiPriority w:val="99"/>
    <w:unhideWhenUsed/>
    <w:rsid w:val="001528F2"/>
    <w:pPr>
      <w:tabs>
        <w:tab w:val="center" w:pos="4680"/>
        <w:tab w:val="right" w:pos="9360"/>
      </w:tabs>
      <w:spacing w:line="240" w:lineRule="auto"/>
    </w:pPr>
  </w:style>
  <w:style w:type="character" w:customStyle="1" w:styleId="HeaderChar">
    <w:name w:val="Header Char"/>
    <w:basedOn w:val="DefaultParagraphFont"/>
    <w:link w:val="Header"/>
    <w:uiPriority w:val="99"/>
    <w:rsid w:val="001528F2"/>
    <w:rPr>
      <w:rFonts w:ascii="CG Times" w:eastAsia="Times New Roman" w:hAnsi="CG Times" w:cs="Times New Roman"/>
      <w:sz w:val="24"/>
      <w:szCs w:val="20"/>
    </w:rPr>
  </w:style>
  <w:style w:type="paragraph" w:styleId="Footer">
    <w:name w:val="footer"/>
    <w:basedOn w:val="Normal"/>
    <w:link w:val="FooterChar"/>
    <w:uiPriority w:val="99"/>
    <w:unhideWhenUsed/>
    <w:rsid w:val="001528F2"/>
    <w:pPr>
      <w:tabs>
        <w:tab w:val="center" w:pos="4680"/>
        <w:tab w:val="right" w:pos="9360"/>
      </w:tabs>
      <w:spacing w:line="240" w:lineRule="auto"/>
    </w:pPr>
  </w:style>
  <w:style w:type="character" w:customStyle="1" w:styleId="FooterChar">
    <w:name w:val="Footer Char"/>
    <w:basedOn w:val="DefaultParagraphFont"/>
    <w:link w:val="Footer"/>
    <w:uiPriority w:val="99"/>
    <w:rsid w:val="001528F2"/>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624A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87"/>
    <w:rPr>
      <w:rFonts w:ascii="Tahoma" w:eastAsia="Times New Roman" w:hAnsi="Tahoma" w:cs="Tahoma"/>
      <w:sz w:val="16"/>
      <w:szCs w:val="16"/>
    </w:rPr>
  </w:style>
  <w:style w:type="paragraph" w:styleId="PlainText">
    <w:name w:val="Plain Text"/>
    <w:basedOn w:val="Normal"/>
    <w:link w:val="PlainTextChar"/>
    <w:uiPriority w:val="99"/>
    <w:unhideWhenUsed/>
    <w:rsid w:val="005B7C2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7C27"/>
    <w:rPr>
      <w:rFonts w:ascii="Calibri" w:hAnsi="Calibri"/>
      <w:szCs w:val="21"/>
    </w:rPr>
  </w:style>
  <w:style w:type="character" w:styleId="CommentReference">
    <w:name w:val="annotation reference"/>
    <w:basedOn w:val="DefaultParagraphFont"/>
    <w:uiPriority w:val="99"/>
    <w:semiHidden/>
    <w:unhideWhenUsed/>
    <w:rsid w:val="007F2ABC"/>
    <w:rPr>
      <w:sz w:val="16"/>
      <w:szCs w:val="16"/>
    </w:rPr>
  </w:style>
  <w:style w:type="paragraph" w:styleId="CommentText">
    <w:name w:val="annotation text"/>
    <w:basedOn w:val="Normal"/>
    <w:link w:val="CommentTextChar"/>
    <w:uiPriority w:val="99"/>
    <w:semiHidden/>
    <w:unhideWhenUsed/>
    <w:rsid w:val="007F2ABC"/>
    <w:pPr>
      <w:spacing w:line="240" w:lineRule="auto"/>
    </w:pPr>
    <w:rPr>
      <w:sz w:val="20"/>
    </w:rPr>
  </w:style>
  <w:style w:type="character" w:customStyle="1" w:styleId="CommentTextChar">
    <w:name w:val="Comment Text Char"/>
    <w:basedOn w:val="DefaultParagraphFont"/>
    <w:link w:val="CommentText"/>
    <w:uiPriority w:val="99"/>
    <w:semiHidden/>
    <w:rsid w:val="007F2AB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F2ABC"/>
    <w:rPr>
      <w:b/>
      <w:bCs/>
    </w:rPr>
  </w:style>
  <w:style w:type="character" w:customStyle="1" w:styleId="CommentSubjectChar">
    <w:name w:val="Comment Subject Char"/>
    <w:basedOn w:val="CommentTextChar"/>
    <w:link w:val="CommentSubject"/>
    <w:uiPriority w:val="99"/>
    <w:semiHidden/>
    <w:rsid w:val="007F2ABC"/>
    <w:rPr>
      <w:rFonts w:ascii="CG Times" w:eastAsia="Times New Roman" w:hAnsi="CG Times" w:cs="Times New Roman"/>
      <w:b/>
      <w:bCs/>
      <w:sz w:val="20"/>
      <w:szCs w:val="20"/>
    </w:rPr>
  </w:style>
  <w:style w:type="paragraph" w:styleId="ListBullet">
    <w:name w:val="List Bullet"/>
    <w:basedOn w:val="Normal"/>
    <w:uiPriority w:val="99"/>
    <w:unhideWhenUsed/>
    <w:rsid w:val="00600905"/>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9357">
      <w:bodyDiv w:val="1"/>
      <w:marLeft w:val="0"/>
      <w:marRight w:val="0"/>
      <w:marTop w:val="0"/>
      <w:marBottom w:val="0"/>
      <w:divBdr>
        <w:top w:val="none" w:sz="0" w:space="0" w:color="auto"/>
        <w:left w:val="none" w:sz="0" w:space="0" w:color="auto"/>
        <w:bottom w:val="none" w:sz="0" w:space="0" w:color="auto"/>
        <w:right w:val="none" w:sz="0" w:space="0" w:color="auto"/>
      </w:divBdr>
      <w:divsChild>
        <w:div w:id="431978732">
          <w:marLeft w:val="0"/>
          <w:marRight w:val="0"/>
          <w:marTop w:val="0"/>
          <w:marBottom w:val="0"/>
          <w:divBdr>
            <w:top w:val="none" w:sz="0" w:space="0" w:color="auto"/>
            <w:left w:val="single" w:sz="6" w:space="0" w:color="BBBBBB"/>
            <w:bottom w:val="single" w:sz="6" w:space="0" w:color="BBBBBB"/>
            <w:right w:val="single" w:sz="6" w:space="0" w:color="BBBBBB"/>
          </w:divBdr>
          <w:divsChild>
            <w:div w:id="651641071">
              <w:marLeft w:val="0"/>
              <w:marRight w:val="0"/>
              <w:marTop w:val="0"/>
              <w:marBottom w:val="0"/>
              <w:divBdr>
                <w:top w:val="none" w:sz="0" w:space="0" w:color="auto"/>
                <w:left w:val="none" w:sz="0" w:space="0" w:color="auto"/>
                <w:bottom w:val="none" w:sz="0" w:space="0" w:color="auto"/>
                <w:right w:val="none" w:sz="0" w:space="0" w:color="auto"/>
              </w:divBdr>
              <w:divsChild>
                <w:div w:id="1418012636">
                  <w:marLeft w:val="0"/>
                  <w:marRight w:val="0"/>
                  <w:marTop w:val="0"/>
                  <w:marBottom w:val="0"/>
                  <w:divBdr>
                    <w:top w:val="none" w:sz="0" w:space="0" w:color="auto"/>
                    <w:left w:val="none" w:sz="0" w:space="0" w:color="auto"/>
                    <w:bottom w:val="none" w:sz="0" w:space="0" w:color="auto"/>
                    <w:right w:val="none" w:sz="0" w:space="0" w:color="auto"/>
                  </w:divBdr>
                  <w:divsChild>
                    <w:div w:id="1725442019">
                      <w:marLeft w:val="0"/>
                      <w:marRight w:val="0"/>
                      <w:marTop w:val="0"/>
                      <w:marBottom w:val="0"/>
                      <w:divBdr>
                        <w:top w:val="none" w:sz="0" w:space="0" w:color="auto"/>
                        <w:left w:val="none" w:sz="0" w:space="0" w:color="auto"/>
                        <w:bottom w:val="none" w:sz="0" w:space="0" w:color="auto"/>
                        <w:right w:val="none" w:sz="0" w:space="0" w:color="auto"/>
                      </w:divBdr>
                      <w:divsChild>
                        <w:div w:id="530919066">
                          <w:marLeft w:val="0"/>
                          <w:marRight w:val="0"/>
                          <w:marTop w:val="0"/>
                          <w:marBottom w:val="0"/>
                          <w:divBdr>
                            <w:top w:val="none" w:sz="0" w:space="0" w:color="auto"/>
                            <w:left w:val="none" w:sz="0" w:space="0" w:color="auto"/>
                            <w:bottom w:val="none" w:sz="0" w:space="0" w:color="auto"/>
                            <w:right w:val="none" w:sz="0" w:space="0" w:color="auto"/>
                          </w:divBdr>
                          <w:divsChild>
                            <w:div w:id="1820538361">
                              <w:marLeft w:val="0"/>
                              <w:marRight w:val="0"/>
                              <w:marTop w:val="0"/>
                              <w:marBottom w:val="0"/>
                              <w:divBdr>
                                <w:top w:val="none" w:sz="0" w:space="0" w:color="auto"/>
                                <w:left w:val="none" w:sz="0" w:space="0" w:color="auto"/>
                                <w:bottom w:val="none" w:sz="0" w:space="0" w:color="auto"/>
                                <w:right w:val="none" w:sz="0" w:space="0" w:color="auto"/>
                              </w:divBdr>
                              <w:divsChild>
                                <w:div w:id="1313368007">
                                  <w:marLeft w:val="0"/>
                                  <w:marRight w:val="0"/>
                                  <w:marTop w:val="0"/>
                                  <w:marBottom w:val="0"/>
                                  <w:divBdr>
                                    <w:top w:val="none" w:sz="0" w:space="0" w:color="auto"/>
                                    <w:left w:val="none" w:sz="0" w:space="0" w:color="auto"/>
                                    <w:bottom w:val="none" w:sz="0" w:space="0" w:color="auto"/>
                                    <w:right w:val="none" w:sz="0" w:space="0" w:color="auto"/>
                                  </w:divBdr>
                                  <w:divsChild>
                                    <w:div w:id="1705868492">
                                      <w:marLeft w:val="0"/>
                                      <w:marRight w:val="0"/>
                                      <w:marTop w:val="0"/>
                                      <w:marBottom w:val="0"/>
                                      <w:divBdr>
                                        <w:top w:val="none" w:sz="0" w:space="0" w:color="auto"/>
                                        <w:left w:val="none" w:sz="0" w:space="0" w:color="auto"/>
                                        <w:bottom w:val="none" w:sz="0" w:space="0" w:color="auto"/>
                                        <w:right w:val="none" w:sz="0" w:space="0" w:color="auto"/>
                                      </w:divBdr>
                                      <w:divsChild>
                                        <w:div w:id="1696690050">
                                          <w:marLeft w:val="1200"/>
                                          <w:marRight w:val="1200"/>
                                          <w:marTop w:val="0"/>
                                          <w:marBottom w:val="0"/>
                                          <w:divBdr>
                                            <w:top w:val="none" w:sz="0" w:space="0" w:color="auto"/>
                                            <w:left w:val="none" w:sz="0" w:space="0" w:color="auto"/>
                                            <w:bottom w:val="none" w:sz="0" w:space="0" w:color="auto"/>
                                            <w:right w:val="none" w:sz="0" w:space="0" w:color="auto"/>
                                          </w:divBdr>
                                          <w:divsChild>
                                            <w:div w:id="1735618517">
                                              <w:marLeft w:val="0"/>
                                              <w:marRight w:val="0"/>
                                              <w:marTop w:val="0"/>
                                              <w:marBottom w:val="0"/>
                                              <w:divBdr>
                                                <w:top w:val="none" w:sz="0" w:space="0" w:color="auto"/>
                                                <w:left w:val="none" w:sz="0" w:space="0" w:color="auto"/>
                                                <w:bottom w:val="none" w:sz="0" w:space="0" w:color="auto"/>
                                                <w:right w:val="none" w:sz="0" w:space="0" w:color="auto"/>
                                              </w:divBdr>
                                              <w:divsChild>
                                                <w:div w:id="2019261862">
                                                  <w:marLeft w:val="0"/>
                                                  <w:marRight w:val="0"/>
                                                  <w:marTop w:val="240"/>
                                                  <w:marBottom w:val="240"/>
                                                  <w:divBdr>
                                                    <w:top w:val="none" w:sz="0" w:space="0" w:color="auto"/>
                                                    <w:left w:val="none" w:sz="0" w:space="0" w:color="auto"/>
                                                    <w:bottom w:val="none" w:sz="0" w:space="0" w:color="auto"/>
                                                    <w:right w:val="none" w:sz="0" w:space="0" w:color="auto"/>
                                                  </w:divBdr>
                                                  <w:divsChild>
                                                    <w:div w:id="9257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810150">
      <w:bodyDiv w:val="1"/>
      <w:marLeft w:val="0"/>
      <w:marRight w:val="0"/>
      <w:marTop w:val="0"/>
      <w:marBottom w:val="0"/>
      <w:divBdr>
        <w:top w:val="none" w:sz="0" w:space="0" w:color="auto"/>
        <w:left w:val="none" w:sz="0" w:space="0" w:color="auto"/>
        <w:bottom w:val="none" w:sz="0" w:space="0" w:color="auto"/>
        <w:right w:val="none" w:sz="0" w:space="0" w:color="auto"/>
      </w:divBdr>
    </w:div>
    <w:div w:id="16332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0627-A8E1-4630-8EE2-F5F430F8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15904</Words>
  <Characters>90654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2015-11-23T18:34:00Z</dcterms:created>
  <dcterms:modified xsi:type="dcterms:W3CDTF">2015-12-03T14:58:00Z</dcterms:modified>
</cp:coreProperties>
</file>