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7C3" w:rsidRPr="00F977C3" w:rsidRDefault="00F977C3" w:rsidP="009A1D05">
      <w:pPr>
        <w:tabs>
          <w:tab w:val="clear" w:pos="1440"/>
          <w:tab w:val="center" w:pos="4680"/>
        </w:tabs>
        <w:spacing w:before="0" w:after="0" w:line="240" w:lineRule="auto"/>
        <w:jc w:val="both"/>
        <w:rPr>
          <w:b/>
          <w:szCs w:val="24"/>
        </w:rPr>
      </w:pPr>
      <w:r w:rsidRPr="00F977C3">
        <w:tab/>
      </w:r>
      <w:r w:rsidRPr="00F977C3">
        <w:rPr>
          <w:b/>
          <w:szCs w:val="24"/>
        </w:rPr>
        <w:t>BEFORE THE</w:t>
      </w:r>
    </w:p>
    <w:p w:rsidR="00F977C3" w:rsidRPr="00F977C3" w:rsidRDefault="00F977C3" w:rsidP="009A1D05">
      <w:pPr>
        <w:tabs>
          <w:tab w:val="clear" w:pos="1440"/>
          <w:tab w:val="center" w:pos="4680"/>
        </w:tabs>
        <w:spacing w:before="0" w:after="0" w:line="240" w:lineRule="auto"/>
        <w:jc w:val="both"/>
        <w:rPr>
          <w:b/>
          <w:szCs w:val="24"/>
        </w:rPr>
      </w:pPr>
      <w:r w:rsidRPr="00F977C3">
        <w:rPr>
          <w:b/>
          <w:szCs w:val="24"/>
        </w:rPr>
        <w:tab/>
        <w:t>PENNSYLVANIA PUBLIC UTILITY COMMISSION</w:t>
      </w:r>
    </w:p>
    <w:p w:rsidR="00F977C3" w:rsidRPr="00F977C3" w:rsidRDefault="00F977C3" w:rsidP="009A1D05">
      <w:pPr>
        <w:tabs>
          <w:tab w:val="clear" w:pos="1440"/>
          <w:tab w:val="center" w:pos="4680"/>
        </w:tabs>
        <w:spacing w:before="0" w:after="0" w:line="240" w:lineRule="auto"/>
        <w:jc w:val="both"/>
        <w:rPr>
          <w:szCs w:val="24"/>
        </w:rPr>
      </w:pPr>
    </w:p>
    <w:p w:rsidR="00F977C3" w:rsidRPr="00F977C3" w:rsidRDefault="00F977C3" w:rsidP="009A1D05">
      <w:pPr>
        <w:tabs>
          <w:tab w:val="clear" w:pos="1440"/>
        </w:tabs>
        <w:spacing w:before="0" w:after="0" w:line="240" w:lineRule="auto"/>
        <w:jc w:val="both"/>
        <w:rPr>
          <w:szCs w:val="24"/>
        </w:rPr>
      </w:pPr>
    </w:p>
    <w:p w:rsidR="00F977C3" w:rsidRPr="00F977C3" w:rsidRDefault="00F977C3" w:rsidP="009A1D05">
      <w:pPr>
        <w:tabs>
          <w:tab w:val="clear" w:pos="1440"/>
        </w:tabs>
        <w:spacing w:before="0" w:after="0" w:line="240" w:lineRule="auto"/>
        <w:jc w:val="both"/>
        <w:rPr>
          <w:szCs w:val="24"/>
        </w:rPr>
      </w:pPr>
    </w:p>
    <w:p w:rsidR="00F977C3" w:rsidRPr="00F977C3" w:rsidRDefault="00F977C3" w:rsidP="009A1D05">
      <w:pPr>
        <w:tabs>
          <w:tab w:val="clear" w:pos="1440"/>
        </w:tabs>
        <w:spacing w:before="0" w:after="0" w:line="240" w:lineRule="auto"/>
        <w:jc w:val="both"/>
        <w:rPr>
          <w:szCs w:val="24"/>
        </w:rPr>
      </w:pPr>
      <w:r w:rsidRPr="00F977C3">
        <w:rPr>
          <w:szCs w:val="24"/>
        </w:rPr>
        <w:t>Pennsylvania Public Utility Commission</w:t>
      </w:r>
      <w:r w:rsidR="001A7849">
        <w:rPr>
          <w:szCs w:val="24"/>
        </w:rPr>
        <w:tab/>
      </w:r>
      <w:r w:rsidRPr="00F977C3">
        <w:rPr>
          <w:szCs w:val="24"/>
        </w:rPr>
        <w:tab/>
        <w:t>:</w:t>
      </w:r>
      <w:r w:rsidRPr="00F977C3">
        <w:rPr>
          <w:szCs w:val="24"/>
        </w:rPr>
        <w:tab/>
      </w:r>
      <w:r w:rsidRPr="00F977C3">
        <w:rPr>
          <w:szCs w:val="24"/>
        </w:rPr>
        <w:tab/>
        <w:t>R-2012-2285985</w:t>
      </w:r>
    </w:p>
    <w:p w:rsidR="00F977C3" w:rsidRPr="00F977C3" w:rsidRDefault="003C08C9" w:rsidP="009A1D05">
      <w:pPr>
        <w:tabs>
          <w:tab w:val="clear" w:pos="1440"/>
        </w:tabs>
        <w:spacing w:before="0" w:after="0" w:line="240" w:lineRule="auto"/>
        <w:jc w:val="both"/>
        <w:rPr>
          <w:szCs w:val="24"/>
        </w:rPr>
      </w:pPr>
      <w:r>
        <w:rPr>
          <w:szCs w:val="24"/>
        </w:rPr>
        <w:t>Office of Consumer Advocate</w:t>
      </w:r>
      <w:r w:rsidR="00F977C3" w:rsidRPr="00F977C3">
        <w:rPr>
          <w:szCs w:val="24"/>
        </w:rPr>
        <w:tab/>
      </w:r>
      <w:r w:rsidR="00F977C3" w:rsidRPr="00F977C3">
        <w:rPr>
          <w:szCs w:val="24"/>
        </w:rPr>
        <w:tab/>
      </w:r>
      <w:r w:rsidR="00F977C3" w:rsidRPr="00F977C3">
        <w:rPr>
          <w:szCs w:val="24"/>
        </w:rPr>
        <w:tab/>
        <w:t>:</w:t>
      </w:r>
      <w:r w:rsidR="00F977C3" w:rsidRPr="00F977C3">
        <w:rPr>
          <w:szCs w:val="24"/>
        </w:rPr>
        <w:tab/>
      </w:r>
      <w:r w:rsidR="00F977C3" w:rsidRPr="00F977C3">
        <w:rPr>
          <w:szCs w:val="24"/>
        </w:rPr>
        <w:tab/>
        <w:t>C-2012-2292047</w:t>
      </w:r>
    </w:p>
    <w:p w:rsidR="00F977C3" w:rsidRDefault="003C08C9" w:rsidP="009A1D05">
      <w:pPr>
        <w:tabs>
          <w:tab w:val="clear" w:pos="1440"/>
        </w:tabs>
        <w:spacing w:before="0" w:after="0" w:line="240" w:lineRule="auto"/>
        <w:jc w:val="both"/>
        <w:rPr>
          <w:szCs w:val="24"/>
        </w:rPr>
      </w:pPr>
      <w:r>
        <w:rPr>
          <w:szCs w:val="24"/>
        </w:rPr>
        <w:t>Office of Small Business Advocate</w:t>
      </w:r>
      <w:r w:rsidR="00F977C3" w:rsidRPr="00F977C3">
        <w:rPr>
          <w:szCs w:val="24"/>
        </w:rPr>
        <w:tab/>
      </w:r>
      <w:r w:rsidR="00F977C3" w:rsidRPr="00F977C3">
        <w:rPr>
          <w:szCs w:val="24"/>
        </w:rPr>
        <w:tab/>
      </w:r>
      <w:r w:rsidR="00F977C3" w:rsidRPr="00F977C3">
        <w:rPr>
          <w:szCs w:val="24"/>
        </w:rPr>
        <w:tab/>
        <w:t>:</w:t>
      </w:r>
      <w:r w:rsidR="00F977C3" w:rsidRPr="00F977C3">
        <w:rPr>
          <w:szCs w:val="24"/>
        </w:rPr>
        <w:tab/>
      </w:r>
      <w:r w:rsidR="00F977C3" w:rsidRPr="00F977C3">
        <w:rPr>
          <w:szCs w:val="24"/>
        </w:rPr>
        <w:tab/>
        <w:t>C-2012-2295218</w:t>
      </w:r>
    </w:p>
    <w:p w:rsidR="00F977C3" w:rsidRPr="00F977C3" w:rsidRDefault="003C08C9" w:rsidP="009A1D05">
      <w:pPr>
        <w:tabs>
          <w:tab w:val="clear" w:pos="1440"/>
          <w:tab w:val="left" w:pos="720"/>
        </w:tabs>
        <w:spacing w:before="0" w:after="0" w:line="240" w:lineRule="auto"/>
        <w:jc w:val="both"/>
        <w:rPr>
          <w:szCs w:val="24"/>
        </w:rPr>
      </w:pPr>
      <w:r>
        <w:rPr>
          <w:szCs w:val="24"/>
        </w:rPr>
        <w:t xml:space="preserve">Daniel </w:t>
      </w:r>
      <w:proofErr w:type="spellStart"/>
      <w:r>
        <w:rPr>
          <w:szCs w:val="24"/>
        </w:rPr>
        <w:t>Killmeyer</w:t>
      </w:r>
      <w:proofErr w:type="spellEnd"/>
      <w:r w:rsidR="00F977C3" w:rsidRPr="00F977C3">
        <w:rPr>
          <w:szCs w:val="24"/>
        </w:rPr>
        <w:tab/>
      </w:r>
      <w:r w:rsidR="00F977C3" w:rsidRPr="00F977C3">
        <w:rPr>
          <w:szCs w:val="24"/>
        </w:rPr>
        <w:tab/>
      </w:r>
      <w:r w:rsidR="00F977C3" w:rsidRPr="00F977C3">
        <w:rPr>
          <w:szCs w:val="24"/>
        </w:rPr>
        <w:tab/>
      </w:r>
      <w:r w:rsidR="00F977C3" w:rsidRPr="00F977C3">
        <w:rPr>
          <w:szCs w:val="24"/>
        </w:rPr>
        <w:tab/>
      </w:r>
      <w:r w:rsidR="00F977C3" w:rsidRPr="00F977C3">
        <w:rPr>
          <w:szCs w:val="24"/>
        </w:rPr>
        <w:tab/>
        <w:t>:</w:t>
      </w:r>
      <w:r w:rsidR="00F977C3" w:rsidRPr="00F977C3">
        <w:rPr>
          <w:szCs w:val="24"/>
        </w:rPr>
        <w:tab/>
      </w:r>
      <w:r w:rsidR="00F977C3" w:rsidRPr="00F977C3">
        <w:rPr>
          <w:szCs w:val="24"/>
        </w:rPr>
        <w:tab/>
        <w:t>C-2012-2295700</w:t>
      </w:r>
    </w:p>
    <w:p w:rsidR="00F977C3" w:rsidRPr="00F977C3" w:rsidRDefault="003C08C9" w:rsidP="009A1D05">
      <w:pPr>
        <w:tabs>
          <w:tab w:val="clear" w:pos="1440"/>
        </w:tabs>
        <w:spacing w:before="0" w:after="0" w:line="240" w:lineRule="auto"/>
        <w:jc w:val="both"/>
        <w:rPr>
          <w:szCs w:val="24"/>
        </w:rPr>
      </w:pPr>
      <w:r>
        <w:rPr>
          <w:szCs w:val="24"/>
        </w:rPr>
        <w:t>Pennsylvania State University</w:t>
      </w:r>
      <w:r w:rsidR="00F977C3" w:rsidRPr="00F977C3">
        <w:rPr>
          <w:szCs w:val="24"/>
        </w:rPr>
        <w:tab/>
      </w:r>
      <w:r w:rsidR="00F977C3" w:rsidRPr="00F977C3">
        <w:rPr>
          <w:szCs w:val="24"/>
        </w:rPr>
        <w:tab/>
      </w:r>
      <w:r w:rsidR="00F977C3" w:rsidRPr="00F977C3">
        <w:rPr>
          <w:szCs w:val="24"/>
        </w:rPr>
        <w:tab/>
        <w:t>:</w:t>
      </w:r>
      <w:r w:rsidR="00F977C3" w:rsidRPr="00F977C3">
        <w:rPr>
          <w:szCs w:val="24"/>
        </w:rPr>
        <w:tab/>
      </w:r>
      <w:r w:rsidR="00F977C3" w:rsidRPr="00F977C3">
        <w:rPr>
          <w:szCs w:val="24"/>
        </w:rPr>
        <w:tab/>
        <w:t>C-2012-2298317</w:t>
      </w:r>
    </w:p>
    <w:p w:rsidR="00F977C3" w:rsidRPr="00F977C3" w:rsidRDefault="003C08C9" w:rsidP="009A1D05">
      <w:pPr>
        <w:tabs>
          <w:tab w:val="clear" w:pos="1440"/>
        </w:tabs>
        <w:spacing w:before="0" w:after="0" w:line="240" w:lineRule="auto"/>
        <w:jc w:val="both"/>
        <w:rPr>
          <w:szCs w:val="24"/>
        </w:rPr>
      </w:pPr>
      <w:r>
        <w:rPr>
          <w:szCs w:val="24"/>
        </w:rPr>
        <w:t>Raymond E. Anderson</w:t>
      </w:r>
      <w:r w:rsidR="00F977C3" w:rsidRPr="00F977C3">
        <w:rPr>
          <w:szCs w:val="24"/>
        </w:rPr>
        <w:tab/>
      </w:r>
      <w:r w:rsidR="00F977C3" w:rsidRPr="00F977C3">
        <w:rPr>
          <w:szCs w:val="24"/>
        </w:rPr>
        <w:tab/>
      </w:r>
      <w:r w:rsidR="00F977C3" w:rsidRPr="00F977C3">
        <w:rPr>
          <w:szCs w:val="24"/>
        </w:rPr>
        <w:tab/>
      </w:r>
      <w:r w:rsidR="00F977C3" w:rsidRPr="00F977C3">
        <w:rPr>
          <w:szCs w:val="24"/>
        </w:rPr>
        <w:tab/>
        <w:t>:</w:t>
      </w:r>
      <w:r w:rsidR="00F977C3" w:rsidRPr="00F977C3">
        <w:rPr>
          <w:szCs w:val="24"/>
        </w:rPr>
        <w:tab/>
      </w:r>
      <w:r w:rsidR="00F977C3" w:rsidRPr="00F977C3">
        <w:rPr>
          <w:szCs w:val="24"/>
        </w:rPr>
        <w:tab/>
        <w:t>C-2012-2298575</w:t>
      </w:r>
    </w:p>
    <w:p w:rsidR="00F977C3" w:rsidRDefault="003C08C9" w:rsidP="009A1D05">
      <w:pPr>
        <w:tabs>
          <w:tab w:val="clear" w:pos="1440"/>
        </w:tabs>
        <w:spacing w:before="0" w:after="0" w:line="240" w:lineRule="auto"/>
        <w:jc w:val="both"/>
        <w:rPr>
          <w:szCs w:val="24"/>
        </w:rPr>
      </w:pPr>
      <w:r>
        <w:rPr>
          <w:szCs w:val="24"/>
        </w:rPr>
        <w:t xml:space="preserve">Steven J. </w:t>
      </w:r>
      <w:proofErr w:type="spellStart"/>
      <w:r>
        <w:rPr>
          <w:szCs w:val="24"/>
        </w:rPr>
        <w:t>Swencki</w:t>
      </w:r>
      <w:proofErr w:type="spellEnd"/>
      <w:r>
        <w:rPr>
          <w:szCs w:val="24"/>
        </w:rPr>
        <w:tab/>
      </w:r>
      <w:r>
        <w:rPr>
          <w:szCs w:val="24"/>
        </w:rPr>
        <w:tab/>
      </w:r>
      <w:r>
        <w:rPr>
          <w:szCs w:val="24"/>
        </w:rPr>
        <w:tab/>
      </w:r>
      <w:r w:rsidR="00F977C3" w:rsidRPr="00F977C3">
        <w:rPr>
          <w:szCs w:val="24"/>
        </w:rPr>
        <w:tab/>
      </w:r>
      <w:r w:rsidR="00F977C3" w:rsidRPr="00F977C3">
        <w:rPr>
          <w:szCs w:val="24"/>
        </w:rPr>
        <w:tab/>
        <w:t>:</w:t>
      </w:r>
      <w:r w:rsidR="00F977C3" w:rsidRPr="00F977C3">
        <w:rPr>
          <w:szCs w:val="24"/>
        </w:rPr>
        <w:tab/>
      </w:r>
      <w:r w:rsidR="00F977C3" w:rsidRPr="00F977C3">
        <w:rPr>
          <w:szCs w:val="24"/>
        </w:rPr>
        <w:tab/>
        <w:t>C-2012-2299156</w:t>
      </w:r>
    </w:p>
    <w:p w:rsidR="001A7849" w:rsidRDefault="001A7849" w:rsidP="009A1D05">
      <w:pPr>
        <w:tabs>
          <w:tab w:val="clear" w:pos="1440"/>
        </w:tabs>
        <w:spacing w:before="0" w:after="0" w:line="240" w:lineRule="auto"/>
        <w:jc w:val="both"/>
        <w:rPr>
          <w:szCs w:val="24"/>
        </w:rPr>
      </w:pPr>
      <w:r>
        <w:rPr>
          <w:szCs w:val="24"/>
        </w:rPr>
        <w:t>James Weber</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C-2012-2300419</w:t>
      </w:r>
    </w:p>
    <w:p w:rsidR="001A7849" w:rsidRDefault="001A7849" w:rsidP="009A1D05">
      <w:pPr>
        <w:tabs>
          <w:tab w:val="clear" w:pos="1440"/>
        </w:tabs>
        <w:spacing w:before="0" w:after="0" w:line="240" w:lineRule="auto"/>
        <w:jc w:val="both"/>
        <w:rPr>
          <w:szCs w:val="24"/>
        </w:rPr>
      </w:pPr>
      <w:proofErr w:type="spellStart"/>
      <w:r>
        <w:rPr>
          <w:szCs w:val="24"/>
        </w:rPr>
        <w:t>Severo</w:t>
      </w:r>
      <w:proofErr w:type="spellEnd"/>
      <w:r>
        <w:rPr>
          <w:szCs w:val="24"/>
        </w:rPr>
        <w:t xml:space="preserve"> </w:t>
      </w:r>
      <w:proofErr w:type="spellStart"/>
      <w:r>
        <w:rPr>
          <w:szCs w:val="24"/>
        </w:rPr>
        <w:t>Miglioretti</w:t>
      </w:r>
      <w:proofErr w:type="spellEnd"/>
      <w:r>
        <w:rPr>
          <w:szCs w:val="24"/>
        </w:rPr>
        <w:tab/>
      </w:r>
      <w:r>
        <w:rPr>
          <w:szCs w:val="24"/>
        </w:rPr>
        <w:tab/>
      </w:r>
      <w:r>
        <w:rPr>
          <w:szCs w:val="24"/>
        </w:rPr>
        <w:tab/>
      </w:r>
      <w:r>
        <w:rPr>
          <w:szCs w:val="24"/>
        </w:rPr>
        <w:tab/>
      </w:r>
      <w:r>
        <w:rPr>
          <w:szCs w:val="24"/>
        </w:rPr>
        <w:tab/>
        <w:t>:</w:t>
      </w:r>
      <w:r>
        <w:rPr>
          <w:szCs w:val="24"/>
        </w:rPr>
        <w:tab/>
      </w:r>
      <w:r>
        <w:rPr>
          <w:szCs w:val="24"/>
        </w:rPr>
        <w:tab/>
        <w:t>C-2012-2302827</w:t>
      </w:r>
    </w:p>
    <w:p w:rsidR="003C08C9" w:rsidRDefault="003C08C9" w:rsidP="009A1D05">
      <w:pPr>
        <w:tabs>
          <w:tab w:val="clear" w:pos="1440"/>
        </w:tabs>
        <w:spacing w:before="0" w:after="0" w:line="240"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t>:</w:t>
      </w:r>
    </w:p>
    <w:p w:rsidR="003C08C9" w:rsidRPr="00F977C3" w:rsidRDefault="003C08C9" w:rsidP="009A1D05">
      <w:pPr>
        <w:tabs>
          <w:tab w:val="clear" w:pos="1440"/>
        </w:tabs>
        <w:spacing w:before="0" w:after="0" w:line="240" w:lineRule="auto"/>
        <w:jc w:val="both"/>
        <w:rPr>
          <w:szCs w:val="24"/>
        </w:rPr>
      </w:pPr>
      <w:r>
        <w:rPr>
          <w:szCs w:val="24"/>
        </w:rPr>
        <w:tab/>
        <w:t>v.</w:t>
      </w:r>
      <w:r>
        <w:rPr>
          <w:szCs w:val="24"/>
        </w:rPr>
        <w:tab/>
      </w:r>
      <w:r>
        <w:rPr>
          <w:szCs w:val="24"/>
        </w:rPr>
        <w:tab/>
      </w:r>
      <w:r>
        <w:rPr>
          <w:szCs w:val="24"/>
        </w:rPr>
        <w:tab/>
      </w:r>
      <w:r>
        <w:rPr>
          <w:szCs w:val="24"/>
        </w:rPr>
        <w:tab/>
      </w:r>
      <w:r>
        <w:rPr>
          <w:szCs w:val="24"/>
        </w:rPr>
        <w:tab/>
      </w:r>
      <w:r>
        <w:rPr>
          <w:szCs w:val="24"/>
        </w:rPr>
        <w:tab/>
        <w:t>:</w:t>
      </w:r>
    </w:p>
    <w:p w:rsidR="00F977C3" w:rsidRPr="00F977C3" w:rsidRDefault="003C08C9" w:rsidP="009A1D05">
      <w:pPr>
        <w:tabs>
          <w:tab w:val="clear" w:pos="1440"/>
        </w:tabs>
        <w:spacing w:before="0" w:after="0" w:line="240"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t>:</w:t>
      </w:r>
    </w:p>
    <w:p w:rsidR="00F977C3" w:rsidRDefault="003C08C9" w:rsidP="009A1D05">
      <w:pPr>
        <w:tabs>
          <w:tab w:val="clear" w:pos="1440"/>
          <w:tab w:val="center" w:pos="4680"/>
        </w:tabs>
        <w:spacing w:before="0" w:after="0" w:line="240" w:lineRule="auto"/>
        <w:jc w:val="both"/>
        <w:rPr>
          <w:szCs w:val="24"/>
        </w:rPr>
      </w:pPr>
      <w:r w:rsidRPr="00F977C3">
        <w:rPr>
          <w:szCs w:val="24"/>
        </w:rPr>
        <w:t>Peoples Natural Gas Company LLC</w:t>
      </w:r>
      <w:r w:rsidRPr="00F977C3">
        <w:rPr>
          <w:szCs w:val="24"/>
        </w:rPr>
        <w:tab/>
      </w:r>
      <w:r>
        <w:rPr>
          <w:szCs w:val="24"/>
        </w:rPr>
        <w:tab/>
        <w:t>:</w:t>
      </w:r>
    </w:p>
    <w:p w:rsidR="003C08C9" w:rsidRDefault="003C08C9" w:rsidP="009A1D05">
      <w:pPr>
        <w:tabs>
          <w:tab w:val="clear" w:pos="1440"/>
          <w:tab w:val="center" w:pos="4680"/>
        </w:tabs>
        <w:spacing w:before="0" w:after="0" w:line="240" w:lineRule="auto"/>
        <w:jc w:val="both"/>
        <w:rPr>
          <w:szCs w:val="24"/>
        </w:rPr>
      </w:pPr>
    </w:p>
    <w:p w:rsidR="003C08C9" w:rsidRPr="00F977C3" w:rsidRDefault="003C08C9" w:rsidP="009A1D05">
      <w:pPr>
        <w:tabs>
          <w:tab w:val="clear" w:pos="1440"/>
          <w:tab w:val="center" w:pos="4680"/>
        </w:tabs>
        <w:spacing w:before="0" w:after="0" w:line="240" w:lineRule="auto"/>
        <w:jc w:val="both"/>
        <w:rPr>
          <w:szCs w:val="24"/>
        </w:rPr>
      </w:pPr>
    </w:p>
    <w:p w:rsidR="00F977C3" w:rsidRPr="00F977C3" w:rsidRDefault="00F977C3" w:rsidP="009A1D05">
      <w:pPr>
        <w:tabs>
          <w:tab w:val="clear" w:pos="1440"/>
          <w:tab w:val="center" w:pos="4680"/>
        </w:tabs>
        <w:spacing w:before="0" w:after="0" w:line="240" w:lineRule="auto"/>
        <w:jc w:val="both"/>
        <w:rPr>
          <w:szCs w:val="24"/>
        </w:rPr>
      </w:pPr>
    </w:p>
    <w:p w:rsidR="00995BFA" w:rsidRPr="00F977C3" w:rsidRDefault="00995BFA" w:rsidP="009A1D05">
      <w:pPr>
        <w:spacing w:before="0" w:after="0" w:line="240" w:lineRule="auto"/>
        <w:jc w:val="center"/>
        <w:rPr>
          <w:b/>
          <w:u w:val="single"/>
        </w:rPr>
      </w:pPr>
      <w:r w:rsidRPr="00F977C3">
        <w:rPr>
          <w:b/>
          <w:u w:val="single"/>
        </w:rPr>
        <w:t>RECOMMENDED DECISION</w:t>
      </w:r>
    </w:p>
    <w:p w:rsidR="00F977C3" w:rsidRDefault="00F977C3" w:rsidP="009A1D05">
      <w:pPr>
        <w:spacing w:before="0" w:after="0" w:line="240" w:lineRule="auto"/>
        <w:jc w:val="center"/>
      </w:pPr>
    </w:p>
    <w:p w:rsidR="009A1D05" w:rsidRDefault="009A1D05" w:rsidP="009A1D05">
      <w:pPr>
        <w:spacing w:before="0" w:after="0" w:line="240" w:lineRule="auto"/>
        <w:jc w:val="center"/>
      </w:pPr>
    </w:p>
    <w:p w:rsidR="00995BFA" w:rsidRDefault="00995BFA" w:rsidP="009A1D05">
      <w:pPr>
        <w:spacing w:before="0" w:after="0" w:line="240" w:lineRule="auto"/>
        <w:jc w:val="center"/>
      </w:pPr>
      <w:r>
        <w:t>Before</w:t>
      </w:r>
    </w:p>
    <w:p w:rsidR="00995BFA" w:rsidRDefault="00995BFA" w:rsidP="009A1D05">
      <w:pPr>
        <w:spacing w:before="0" w:after="0" w:line="240" w:lineRule="auto"/>
        <w:jc w:val="center"/>
      </w:pPr>
      <w:r>
        <w:t>Mary D. Long</w:t>
      </w:r>
    </w:p>
    <w:p w:rsidR="00995BFA" w:rsidRDefault="00995BFA" w:rsidP="009A1D05">
      <w:pPr>
        <w:spacing w:before="0" w:after="0" w:line="240" w:lineRule="auto"/>
        <w:jc w:val="center"/>
      </w:pPr>
      <w:r>
        <w:t>Administrative Law Judge</w:t>
      </w:r>
    </w:p>
    <w:p w:rsidR="009A1D05" w:rsidRDefault="009A1D05" w:rsidP="009A1D05">
      <w:pPr>
        <w:spacing w:before="0" w:after="0"/>
        <w:jc w:val="center"/>
      </w:pPr>
    </w:p>
    <w:p w:rsidR="00F977C3" w:rsidRDefault="00DF561F" w:rsidP="009A1D05">
      <w:pPr>
        <w:spacing w:before="0" w:after="0"/>
      </w:pPr>
      <w:r>
        <w:tab/>
        <w:t>This decision</w:t>
      </w:r>
      <w:r w:rsidR="00F633D3">
        <w:t xml:space="preserve"> recommends approval of a joint petition for settlement of a challenge to a tariff supplement regarding the implementation of the utility’s customer assistance program.</w:t>
      </w:r>
    </w:p>
    <w:p w:rsidR="00F977C3" w:rsidRDefault="00F977C3" w:rsidP="009A1D05">
      <w:pPr>
        <w:spacing w:before="0" w:after="0" w:line="240" w:lineRule="auto"/>
      </w:pPr>
    </w:p>
    <w:p w:rsidR="00BE738B" w:rsidRDefault="00BE738B" w:rsidP="00BE738B">
      <w:pPr>
        <w:tabs>
          <w:tab w:val="left" w:pos="720"/>
        </w:tabs>
        <w:spacing w:before="0" w:after="0"/>
        <w:jc w:val="center"/>
        <w:rPr>
          <w:rStyle w:val="Heading1Char"/>
        </w:rPr>
      </w:pPr>
      <w:r>
        <w:t>I.</w:t>
      </w:r>
      <w:r>
        <w:tab/>
      </w:r>
      <w:r w:rsidRPr="003F4007">
        <w:rPr>
          <w:rStyle w:val="Heading1Char"/>
        </w:rPr>
        <w:t>HISTORY OF THE PROCEEDING</w:t>
      </w:r>
    </w:p>
    <w:p w:rsidR="009A1D05" w:rsidRPr="00F633D3" w:rsidRDefault="009A1D05" w:rsidP="009A1D05">
      <w:pPr>
        <w:spacing w:before="0" w:after="0"/>
        <w:jc w:val="center"/>
        <w:rPr>
          <w:u w:val="single"/>
        </w:rPr>
      </w:pPr>
    </w:p>
    <w:p w:rsidR="00F977C3" w:rsidRDefault="00CD7589" w:rsidP="009A1D05">
      <w:pPr>
        <w:spacing w:before="0" w:after="0"/>
      </w:pPr>
      <w:r>
        <w:tab/>
        <w:t xml:space="preserve">The genesis of this complaint proceeding is the </w:t>
      </w:r>
      <w:r w:rsidR="00F977C3">
        <w:t>November 3, 2014</w:t>
      </w:r>
      <w:r>
        <w:t xml:space="preserve"> filing by Peoples Natural Gas LLC (Peoples</w:t>
      </w:r>
      <w:r w:rsidR="00D02252">
        <w:t xml:space="preserve"> or Company</w:t>
      </w:r>
      <w:r>
        <w:t xml:space="preserve">) of </w:t>
      </w:r>
      <w:r w:rsidR="00F977C3">
        <w:t xml:space="preserve"> Supplement Number 47 to PA PUC No 45 with an effective date of November 1, 2014.  This Supplement implemented the CAP Plus mecha</w:t>
      </w:r>
      <w:r w:rsidR="00D02252">
        <w:t>nism for the Peoples Division (Supplement Number 47</w:t>
      </w:r>
      <w:r w:rsidR="00F977C3">
        <w:t>)</w:t>
      </w:r>
      <w:r w:rsidR="00D02252">
        <w:t xml:space="preserve">, which had been held in abeyance as provided by Peoples’ 2012 base rate settlement approved by the Commission on </w:t>
      </w:r>
      <w:r w:rsidR="00D02252">
        <w:lastRenderedPageBreak/>
        <w:t>September</w:t>
      </w:r>
      <w:r w:rsidR="00D00169">
        <w:t> </w:t>
      </w:r>
      <w:r w:rsidR="00D02252">
        <w:t>27, 2012 (2012 base rate)</w:t>
      </w:r>
      <w:r w:rsidR="00F977C3">
        <w:t xml:space="preserve">.  The </w:t>
      </w:r>
      <w:r w:rsidR="00D02252">
        <w:t>Supplement Number 47</w:t>
      </w:r>
      <w:r w:rsidR="00F977C3">
        <w:t>, Footnote 1, page 2, Rider F, UNIVERSAL SERVICES stated:</w:t>
      </w:r>
    </w:p>
    <w:p w:rsidR="009A1D05" w:rsidRDefault="009A1D05" w:rsidP="009A1D05">
      <w:pPr>
        <w:spacing w:before="0" w:after="0" w:line="240" w:lineRule="auto"/>
      </w:pPr>
    </w:p>
    <w:p w:rsidR="00F977C3" w:rsidRDefault="00F977C3" w:rsidP="009A1D05">
      <w:pPr>
        <w:spacing w:before="0" w:after="0" w:line="240" w:lineRule="auto"/>
        <w:ind w:left="1440" w:right="1440"/>
      </w:pPr>
      <w:r>
        <w:t>As provided in the settlement to Peoples’ 2012 base rate case (Docket No.</w:t>
      </w:r>
      <w:r w:rsidR="00D00169">
        <w:t xml:space="preserve"> </w:t>
      </w:r>
      <w:r>
        <w:t xml:space="preserve">R-2012-2285985), the Company withheld implementation of its approved CAP Plus mechanism until such time as clarification of the state LIHEAP Plan regarding the application of LIHEAP funds for CAP recipients was received and </w:t>
      </w:r>
      <w:r w:rsidR="004D2676">
        <w:t>the Company met with the Joint P</w:t>
      </w:r>
      <w:r>
        <w:t>etitioners.</w:t>
      </w:r>
      <w:r w:rsidR="00B9168F">
        <w:t xml:space="preserve"> </w:t>
      </w:r>
      <w:r>
        <w:t xml:space="preserve"> DPW’s State Plan provides for the application of LIHEAP funds to the CAP ask-to-pay amount. Based on this clarification and the outcome of the Columbia case (PA Communities Organized for Change d/b/a ACTION United, Carol </w:t>
      </w:r>
      <w:proofErr w:type="spellStart"/>
      <w:r>
        <w:t>Collington</w:t>
      </w:r>
      <w:proofErr w:type="spellEnd"/>
      <w:r>
        <w:t xml:space="preserve"> &amp; Nettie Pelton vs. PA Public Utility Commission) the Company intends to implement CAP Plus effective November 1, 2014. </w:t>
      </w:r>
    </w:p>
    <w:p w:rsidR="00F977C3" w:rsidRDefault="00F977C3" w:rsidP="009A1D05">
      <w:pPr>
        <w:spacing w:before="0" w:after="0"/>
      </w:pPr>
    </w:p>
    <w:p w:rsidR="00F977C3" w:rsidRDefault="00F977C3" w:rsidP="009A1D05">
      <w:pPr>
        <w:spacing w:before="0" w:after="0"/>
      </w:pPr>
      <w:r>
        <w:t xml:space="preserve">On November 5, 2014, the Commission issued a Secretarial letter noting that Supplement Number 47 is effective by operation of law according to the effective dates contained on each page of the supplement (the </w:t>
      </w:r>
      <w:r w:rsidR="004D2676">
        <w:t>Secretarial Letter</w:t>
      </w:r>
      <w:r>
        <w:t>).</w:t>
      </w:r>
      <w:r w:rsidR="004D2676">
        <w:t xml:space="preserve">  The Secretarial Letter further stated that the Commission Staff had reviewed Supplement Number 47 and concluded that no suspension or further investigation was warranted.</w:t>
      </w:r>
    </w:p>
    <w:p w:rsidR="009A1D05" w:rsidRDefault="009A1D05" w:rsidP="009A1D05">
      <w:pPr>
        <w:spacing w:before="0" w:after="0"/>
      </w:pPr>
    </w:p>
    <w:p w:rsidR="00F977C3" w:rsidRDefault="00CD7589" w:rsidP="009A1D05">
      <w:pPr>
        <w:spacing w:before="0" w:after="0"/>
        <w:ind w:firstLine="720"/>
      </w:pPr>
      <w:r>
        <w:tab/>
      </w:r>
      <w:r w:rsidRPr="004E33D3">
        <w:t xml:space="preserve">On November 13, 2014, </w:t>
      </w:r>
      <w:r>
        <w:rPr>
          <w:szCs w:val="24"/>
        </w:rPr>
        <w:t>Coalition for Affordable Utility Service and Energy Efficiency in Pennsylvania (</w:t>
      </w:r>
      <w:r w:rsidRPr="004E33D3">
        <w:t>CAUSE-PA</w:t>
      </w:r>
      <w:r>
        <w:t>)</w:t>
      </w:r>
      <w:r w:rsidRPr="004E33D3">
        <w:t xml:space="preserve"> filed a Formal Complaint to Peoples Natural Gas Company’s Supplement No. 47 to Tariff Gas – Pa. PUC No. 45 and the Request for Reconsideration of the Secretarial Letter of November 5, 2014 regarding the tariff.</w:t>
      </w:r>
      <w:r>
        <w:t xml:space="preserve">  CAUSE-PA noted that the tariff supplement was filed by Peoples pursuant to the settlement of Peoples’ 2012 base rate proceeding and concerned the implementation of Peoples’ Customer Assistance Program (CAP).</w:t>
      </w:r>
      <w:r w:rsidR="00B9168F">
        <w:t xml:space="preserve"> </w:t>
      </w:r>
      <w:r>
        <w:t xml:space="preserve"> In CAUSE-PA’s view, Peoples was in violation of the terms of the 2012 base rate settlement and the tariff supplement was unjust and unreasonable.  Peoples filed an answer to the complaint/request for reconsideration on</w:t>
      </w:r>
      <w:r w:rsidR="00F977C3">
        <w:t xml:space="preserve"> March 20, 2015, </w:t>
      </w:r>
      <w:r>
        <w:t>denying the material allegations of the complaint.</w:t>
      </w:r>
      <w:r w:rsidR="00B63A06">
        <w:rPr>
          <w:rStyle w:val="FootnoteReference"/>
        </w:rPr>
        <w:footnoteReference w:id="1"/>
      </w:r>
    </w:p>
    <w:p w:rsidR="009A1D05" w:rsidRDefault="009A1D05" w:rsidP="009A1D05">
      <w:pPr>
        <w:spacing w:before="0" w:after="0"/>
        <w:ind w:firstLine="720"/>
      </w:pPr>
    </w:p>
    <w:p w:rsidR="00F977C3" w:rsidRDefault="00B63A06" w:rsidP="009A1D05">
      <w:pPr>
        <w:spacing w:before="0" w:after="0"/>
        <w:ind w:firstLine="720"/>
      </w:pPr>
      <w:r>
        <w:lastRenderedPageBreak/>
        <w:tab/>
        <w:t>By hearing notice dated July 17, 2015, this matter was assigned to me and a prehearing conference was scheduled for August 17, 2015.  I issued a prehearing conference order dated July 21, 2015.  This o</w:t>
      </w:r>
      <w:r w:rsidR="00F977C3">
        <w:t xml:space="preserve">rder </w:t>
      </w:r>
      <w:r w:rsidR="004D2676">
        <w:t>directed the parties to, among</w:t>
      </w:r>
      <w:r w:rsidR="00F977C3">
        <w:t xml:space="preserve"> other thing</w:t>
      </w:r>
      <w:r w:rsidR="004D2676">
        <w:t>s, file prehearing memoranda</w:t>
      </w:r>
      <w:r w:rsidR="00F977C3">
        <w:t xml:space="preserve"> by August 14, 2015</w:t>
      </w:r>
      <w:r>
        <w:t>,</w:t>
      </w:r>
      <w:r w:rsidR="00F977C3">
        <w:t xml:space="preserve"> and appear for a Prehearing Conference on August 17, 2015</w:t>
      </w:r>
      <w:r>
        <w:t>,</w:t>
      </w:r>
      <w:r w:rsidR="00F977C3">
        <w:t xml:space="preserve"> if they desired to become a party of record for the purposes of the adjudication of the </w:t>
      </w:r>
      <w:r w:rsidR="004D2676">
        <w:t>complaint.</w:t>
      </w:r>
    </w:p>
    <w:p w:rsidR="005F00A5" w:rsidRDefault="005F00A5" w:rsidP="009A1D05">
      <w:pPr>
        <w:spacing w:before="0" w:after="0"/>
        <w:ind w:firstLine="720"/>
      </w:pPr>
    </w:p>
    <w:p w:rsidR="00F977C3" w:rsidRDefault="00B63A06" w:rsidP="009A1D05">
      <w:pPr>
        <w:spacing w:before="0" w:after="0"/>
      </w:pPr>
      <w:r>
        <w:tab/>
        <w:t>By letter or</w:t>
      </w:r>
      <w:r w:rsidR="004D2676">
        <w:t xml:space="preserve"> email the following parties to</w:t>
      </w:r>
      <w:r>
        <w:t xml:space="preserve"> the 2012 base rate proceeding notified me that they did not intend to actively participate in the proceeding involving the CAUSE-PA complaint:  Equitable Energy LLC, Snyder Brothers, Inc., Buffalo Valley Ltd., Snyder </w:t>
      </w:r>
      <w:proofErr w:type="spellStart"/>
      <w:r>
        <w:t>Amclar</w:t>
      </w:r>
      <w:proofErr w:type="spellEnd"/>
      <w:r>
        <w:t xml:space="preserve"> Gas Company LP, S&amp;D Energy, </w:t>
      </w:r>
      <w:r w:rsidR="00F977C3">
        <w:t>the Pennsylvania Independen</w:t>
      </w:r>
      <w:r>
        <w:t xml:space="preserve">t Oil &amp; Gas Association (PIOGA), the Office of Small Business Advocate, and Dominion Retail.  </w:t>
      </w:r>
    </w:p>
    <w:p w:rsidR="009A1D05" w:rsidRDefault="009A1D05" w:rsidP="009A1D05">
      <w:pPr>
        <w:spacing w:before="0" w:after="0"/>
      </w:pPr>
    </w:p>
    <w:p w:rsidR="00F977C3" w:rsidRDefault="00046148" w:rsidP="009A1D05">
      <w:pPr>
        <w:spacing w:before="0" w:after="0"/>
      </w:pPr>
      <w:r>
        <w:tab/>
        <w:t>Prehearing memoranda were filed by Peoples, CAUSE-PA, and the Offi</w:t>
      </w:r>
      <w:r w:rsidR="00CD3BCF">
        <w:t xml:space="preserve">ce of Consumer Advocate (OCA).  </w:t>
      </w:r>
      <w:r w:rsidR="00F977C3">
        <w:t>On Aug</w:t>
      </w:r>
      <w:r w:rsidR="004D2676">
        <w:t>ust 17, 2015, the prehearing c</w:t>
      </w:r>
      <w:r w:rsidR="00F977C3">
        <w:t xml:space="preserve">onference was conducted and attended by counsel for CAUSE-PA, Peoples, OCA, and </w:t>
      </w:r>
      <w:r>
        <w:t>BIE</w:t>
      </w:r>
      <w:r w:rsidR="00F977C3">
        <w:t xml:space="preserve"> as well as Mr. </w:t>
      </w:r>
      <w:proofErr w:type="spellStart"/>
      <w:r w:rsidR="00F977C3">
        <w:t>Severo</w:t>
      </w:r>
      <w:proofErr w:type="spellEnd"/>
      <w:r w:rsidR="00F977C3">
        <w:t xml:space="preserve"> C. </w:t>
      </w:r>
      <w:proofErr w:type="spellStart"/>
      <w:r w:rsidR="00F977C3">
        <w:t>Miglioretti</w:t>
      </w:r>
      <w:proofErr w:type="spellEnd"/>
      <w:r w:rsidR="00F977C3">
        <w:t>, who appeared on his own behalf.</w:t>
      </w:r>
      <w:r w:rsidR="004D2676">
        <w:t xml:space="preserve">  CAUSE-PA, </w:t>
      </w:r>
      <w:r w:rsidR="00112FC5">
        <w:t xml:space="preserve">OCA and Peoples represented that they had begun settlement discussions.  These parties presented a procedural schedule which </w:t>
      </w:r>
      <w:r w:rsidR="003F7309">
        <w:t xml:space="preserve">was memorialized in a prehearing order on August 19, 2015.  The order </w:t>
      </w:r>
      <w:r w:rsidR="00112FC5">
        <w:t>directed the parties to file a status r</w:t>
      </w:r>
      <w:r w:rsidR="00F977C3">
        <w:t>eport on, or before, October 9, 2015 detailing the progress of their ongoing settlement discussions.</w:t>
      </w:r>
    </w:p>
    <w:p w:rsidR="009A1D05" w:rsidRDefault="009A1D05" w:rsidP="009A1D05">
      <w:pPr>
        <w:spacing w:before="0" w:after="0"/>
      </w:pPr>
    </w:p>
    <w:p w:rsidR="00F977C3" w:rsidRDefault="00112FC5" w:rsidP="009A1D05">
      <w:pPr>
        <w:spacing w:before="0" w:after="0"/>
      </w:pPr>
      <w:r>
        <w:tab/>
      </w:r>
      <w:r w:rsidR="00F977C3">
        <w:t xml:space="preserve">On October 9, 2015, counsel for CAUSE-PA, provided a Joint Status Report to </w:t>
      </w:r>
      <w:r>
        <w:t>me</w:t>
      </w:r>
      <w:r w:rsidR="00F977C3">
        <w:t xml:space="preserve"> advising that the parties had reached a settlement in principle and thus did not believe that it would be necessary to submit witness testimony or a stipulation of facts for the record as noted in the August 19, 2015 Prehearing Order.  The Joint Status Report further sought clarificat</w:t>
      </w:r>
      <w:r w:rsidR="003F7309">
        <w:t>ion from ALJ as to whether the c</w:t>
      </w:r>
      <w:r w:rsidR="00F977C3">
        <w:t>omplaint in this proceeding could be dispo</w:t>
      </w:r>
      <w:r w:rsidR="003F7309">
        <w:t>sed of through the filing of a certificate of s</w:t>
      </w:r>
      <w:r w:rsidR="00F977C3">
        <w:t xml:space="preserve">atisfaction. </w:t>
      </w:r>
    </w:p>
    <w:p w:rsidR="009A1D05" w:rsidRDefault="009A1D05" w:rsidP="009A1D05">
      <w:pPr>
        <w:spacing w:before="0" w:after="0"/>
      </w:pPr>
    </w:p>
    <w:p w:rsidR="00995BFA" w:rsidRDefault="00112FC5" w:rsidP="009A1D05">
      <w:pPr>
        <w:spacing w:before="0" w:after="0"/>
      </w:pPr>
      <w:r>
        <w:tab/>
      </w:r>
      <w:r w:rsidR="00F977C3">
        <w:t xml:space="preserve">On October 16, 2015, </w:t>
      </w:r>
      <w:r>
        <w:t>I</w:t>
      </w:r>
      <w:r w:rsidR="00F977C3">
        <w:t xml:space="preserve"> issued an Interim Order Scheduling an Informal Conference to discuss the clarification sought in the Joint Status Report.  During </w:t>
      </w:r>
      <w:r w:rsidR="005A6AFA">
        <w:t>the c</w:t>
      </w:r>
      <w:r w:rsidR="00F977C3">
        <w:t>onference, the parties agreed to file this Joint Petition for Settlement.</w:t>
      </w:r>
      <w:r w:rsidR="002720BC">
        <w:t xml:space="preserve">  </w:t>
      </w:r>
      <w:r>
        <w:t xml:space="preserve">The Joint Petition along with </w:t>
      </w:r>
      <w:r>
        <w:lastRenderedPageBreak/>
        <w:t xml:space="preserve">statements in support </w:t>
      </w:r>
      <w:proofErr w:type="gramStart"/>
      <w:r w:rsidR="005A6AFA">
        <w:t>were</w:t>
      </w:r>
      <w:proofErr w:type="gramEnd"/>
      <w:r w:rsidR="005A6AFA">
        <w:t xml:space="preserve"> </w:t>
      </w:r>
      <w:r>
        <w:t>filed by Peoples and CAUSE-PA on November 19, 2015.  OCA, Mr.</w:t>
      </w:r>
      <w:r w:rsidR="002720BC">
        <w:t> </w:t>
      </w:r>
      <w:proofErr w:type="spellStart"/>
      <w:r>
        <w:t>Miglioretti</w:t>
      </w:r>
      <w:proofErr w:type="spellEnd"/>
      <w:r>
        <w:t xml:space="preserve"> and BIE advised that they do not oppose the proposed settlement.  By interim order dated November 20, 2015, the remaining parties were directed to file objections, if any</w:t>
      </w:r>
      <w:r w:rsidR="005A6AFA">
        <w:t>,</w:t>
      </w:r>
      <w:r>
        <w:t xml:space="preserve"> on or before November 30, 2015.  No objections were filed.</w:t>
      </w:r>
      <w:r w:rsidR="009540A8">
        <w:t xml:space="preserve">  As set forth below, I recommend that the Commission approve the settlement without modification.</w:t>
      </w:r>
    </w:p>
    <w:p w:rsidR="009A1D05" w:rsidRDefault="009A1D05" w:rsidP="009A1D05">
      <w:pPr>
        <w:spacing w:before="0" w:after="0"/>
      </w:pPr>
    </w:p>
    <w:p w:rsidR="00BE738B" w:rsidRDefault="00BE738B" w:rsidP="00BE738B">
      <w:pPr>
        <w:tabs>
          <w:tab w:val="left" w:pos="720"/>
        </w:tabs>
        <w:spacing w:before="0" w:after="0"/>
        <w:jc w:val="center"/>
      </w:pPr>
      <w:r w:rsidRPr="003F4007">
        <w:t>II.</w:t>
      </w:r>
      <w:r>
        <w:tab/>
      </w:r>
      <w:r w:rsidRPr="003F4007">
        <w:rPr>
          <w:rStyle w:val="Heading1Char"/>
        </w:rPr>
        <w:t>TERMS OF THE SETTLEMENT</w:t>
      </w:r>
    </w:p>
    <w:p w:rsidR="009A1D05" w:rsidRPr="009540A8" w:rsidRDefault="009A1D05" w:rsidP="006B6D17">
      <w:pPr>
        <w:spacing w:before="0" w:after="0"/>
        <w:jc w:val="center"/>
        <w:rPr>
          <w:u w:val="single"/>
        </w:rPr>
      </w:pPr>
    </w:p>
    <w:p w:rsidR="00187FB1" w:rsidRDefault="00187FB1" w:rsidP="006B6D17">
      <w:pPr>
        <w:spacing w:before="0" w:after="0"/>
      </w:pPr>
      <w:r>
        <w:tab/>
        <w:t>Peoples and CAUSE-PA agreed to the following settlement terms:</w:t>
      </w:r>
    </w:p>
    <w:p w:rsidR="009A1D05" w:rsidRDefault="009A1D05" w:rsidP="006B6D17">
      <w:pPr>
        <w:spacing w:before="0" w:after="0"/>
      </w:pPr>
    </w:p>
    <w:p w:rsidR="00576FE8" w:rsidRDefault="006B6D17" w:rsidP="006B6D17">
      <w:pPr>
        <w:tabs>
          <w:tab w:val="left" w:pos="720"/>
        </w:tabs>
        <w:spacing w:before="0" w:after="0"/>
      </w:pPr>
      <w:r>
        <w:t>A.</w:t>
      </w:r>
      <w:r>
        <w:tab/>
      </w:r>
      <w:r w:rsidR="00C91628" w:rsidRPr="00C91628">
        <w:rPr>
          <w:u w:val="single"/>
        </w:rPr>
        <w:t xml:space="preserve">Continued Implementation </w:t>
      </w:r>
      <w:r w:rsidR="00C91628">
        <w:rPr>
          <w:u w:val="single"/>
        </w:rPr>
        <w:t>o</w:t>
      </w:r>
      <w:r w:rsidR="00C91628" w:rsidRPr="00C91628">
        <w:rPr>
          <w:u w:val="single"/>
        </w:rPr>
        <w:t>f C</w:t>
      </w:r>
      <w:r w:rsidR="005F00A5">
        <w:rPr>
          <w:u w:val="single"/>
        </w:rPr>
        <w:t>AP</w:t>
      </w:r>
      <w:r w:rsidR="00C91628" w:rsidRPr="00C91628">
        <w:rPr>
          <w:u w:val="single"/>
        </w:rPr>
        <w:t xml:space="preserve"> Plus Program</w:t>
      </w:r>
    </w:p>
    <w:p w:rsidR="009A1D05" w:rsidRDefault="009A1D05" w:rsidP="006B6D17">
      <w:pPr>
        <w:spacing w:before="0" w:after="0"/>
      </w:pPr>
    </w:p>
    <w:p w:rsidR="00576FE8" w:rsidRDefault="006B0675" w:rsidP="006B6D17">
      <w:pPr>
        <w:spacing w:before="0" w:after="0"/>
      </w:pPr>
      <w:r>
        <w:tab/>
      </w:r>
      <w:r w:rsidR="00576FE8">
        <w:t xml:space="preserve">Peoples will continue to implement its CAP Plus program consistent with the terms and conditions described in its Peoples Natural Gas Company LLC Supplement No. 47 to Tariff Gas – PA PUC No. 45, which was filed with the Commission on November 13, 2014. </w:t>
      </w:r>
    </w:p>
    <w:p w:rsidR="009A1D05" w:rsidRDefault="009A1D05" w:rsidP="006B6D17">
      <w:pPr>
        <w:spacing w:before="0" w:after="0"/>
      </w:pPr>
    </w:p>
    <w:p w:rsidR="00576FE8" w:rsidRPr="00C91628" w:rsidRDefault="00C91628" w:rsidP="00C91628">
      <w:pPr>
        <w:tabs>
          <w:tab w:val="left" w:pos="720"/>
        </w:tabs>
        <w:spacing w:before="0" w:after="0"/>
        <w:rPr>
          <w:u w:val="single"/>
        </w:rPr>
      </w:pPr>
      <w:r>
        <w:t>B.</w:t>
      </w:r>
      <w:r>
        <w:tab/>
      </w:r>
      <w:r w:rsidRPr="00C91628">
        <w:rPr>
          <w:u w:val="single"/>
        </w:rPr>
        <w:t xml:space="preserve">Calculation </w:t>
      </w:r>
      <w:r w:rsidR="00476BA2">
        <w:rPr>
          <w:u w:val="single"/>
        </w:rPr>
        <w:t>o</w:t>
      </w:r>
      <w:r w:rsidRPr="00C91628">
        <w:rPr>
          <w:u w:val="single"/>
        </w:rPr>
        <w:t>f C</w:t>
      </w:r>
      <w:r w:rsidR="005F00A5">
        <w:rPr>
          <w:u w:val="single"/>
        </w:rPr>
        <w:t>AP</w:t>
      </w:r>
      <w:r w:rsidRPr="00C91628">
        <w:rPr>
          <w:u w:val="single"/>
        </w:rPr>
        <w:t xml:space="preserve"> </w:t>
      </w:r>
      <w:proofErr w:type="gramStart"/>
      <w:r w:rsidRPr="00C91628">
        <w:rPr>
          <w:u w:val="single"/>
        </w:rPr>
        <w:t>Plus</w:t>
      </w:r>
      <w:proofErr w:type="gramEnd"/>
      <w:r w:rsidRPr="00C91628">
        <w:rPr>
          <w:u w:val="single"/>
        </w:rPr>
        <w:t xml:space="preserve"> Amount</w:t>
      </w:r>
    </w:p>
    <w:p w:rsidR="009A1D05" w:rsidRDefault="009A1D05" w:rsidP="006B6D17">
      <w:pPr>
        <w:spacing w:before="0" w:after="0"/>
      </w:pPr>
    </w:p>
    <w:p w:rsidR="00576FE8" w:rsidRDefault="00576FE8" w:rsidP="006B6D17">
      <w:pPr>
        <w:spacing w:before="0" w:after="0"/>
      </w:pPr>
      <w:r>
        <w:tab/>
        <w:t>Peoples clarifies that it determines the CAP Plus amount by taking the total amount of LIHEAP cash grants received by its CAP customers as of May of each year, dividing that amount by the total number of active and projected CAP accounts consistent with the Company’s annual update, and then dividing that number by 12 to determine the monthly CAP Plus amount.  The calculation shall occur on an annual basis concurrent with the Company’s July Quarterly Gas Cost Change Filing.  The new CAP Plus amount is effective from July 1 through June 30.</w:t>
      </w:r>
    </w:p>
    <w:p w:rsidR="00C91628" w:rsidRDefault="00C91628" w:rsidP="006B6D17">
      <w:pPr>
        <w:spacing w:before="0" w:after="0"/>
      </w:pPr>
    </w:p>
    <w:p w:rsidR="00576FE8" w:rsidRDefault="00476BA2" w:rsidP="00476BA2">
      <w:pPr>
        <w:tabs>
          <w:tab w:val="left" w:pos="720"/>
        </w:tabs>
        <w:spacing w:before="0" w:after="0"/>
      </w:pPr>
      <w:r>
        <w:t>C.</w:t>
      </w:r>
      <w:r>
        <w:tab/>
      </w:r>
      <w:r w:rsidRPr="00476BA2">
        <w:rPr>
          <w:u w:val="single"/>
        </w:rPr>
        <w:t>C</w:t>
      </w:r>
      <w:r w:rsidR="005F00A5">
        <w:rPr>
          <w:u w:val="single"/>
        </w:rPr>
        <w:t>AP</w:t>
      </w:r>
      <w:r w:rsidRPr="00476BA2">
        <w:rPr>
          <w:u w:val="single"/>
        </w:rPr>
        <w:t xml:space="preserve"> </w:t>
      </w:r>
      <w:proofErr w:type="gramStart"/>
      <w:r w:rsidRPr="00476BA2">
        <w:rPr>
          <w:u w:val="single"/>
        </w:rPr>
        <w:t>Plus</w:t>
      </w:r>
      <w:proofErr w:type="gramEnd"/>
      <w:r w:rsidRPr="00476BA2">
        <w:rPr>
          <w:u w:val="single"/>
        </w:rPr>
        <w:t xml:space="preserve"> Bill Message</w:t>
      </w:r>
    </w:p>
    <w:p w:rsidR="006B6D17" w:rsidRDefault="006B6D17" w:rsidP="006B6D17">
      <w:pPr>
        <w:spacing w:before="0" w:after="0"/>
      </w:pPr>
    </w:p>
    <w:p w:rsidR="00576FE8" w:rsidRDefault="00576FE8" w:rsidP="006B6D17">
      <w:pPr>
        <w:spacing w:before="0" w:after="0"/>
      </w:pPr>
      <w:r>
        <w:tab/>
        <w:t>The Company will provide a message on the CAP customers</w:t>
      </w:r>
      <w:r w:rsidR="008413D4">
        <w:t>’</w:t>
      </w:r>
      <w:r>
        <w:t xml:space="preserve"> bills for CAP accounts discussing the change (increase or decrease) to the CAP Plus amount each time the </w:t>
      </w:r>
      <w:r>
        <w:lastRenderedPageBreak/>
        <w:t>CAP Plus amount changes.  This bill message will be exclusive to CAP bills and will remain in effect for three billing cycles.</w:t>
      </w:r>
    </w:p>
    <w:p w:rsidR="00C91628" w:rsidRDefault="00C91628" w:rsidP="006B6D17">
      <w:pPr>
        <w:spacing w:before="0" w:after="0"/>
      </w:pPr>
    </w:p>
    <w:p w:rsidR="00576FE8" w:rsidRDefault="00576FE8" w:rsidP="006B6D17">
      <w:pPr>
        <w:spacing w:before="0" w:after="0"/>
      </w:pPr>
      <w:r>
        <w:tab/>
        <w:t xml:space="preserve">Within 30 days of the settlement of this proceeding, Peoples will provide the parties the opportunity to review the bill message it intends to use and allow the parties to suggest changes that could be made to improve message clarity.  </w:t>
      </w:r>
      <w:proofErr w:type="gramStart"/>
      <w:r>
        <w:t>Peoples agrees</w:t>
      </w:r>
      <w:proofErr w:type="gramEnd"/>
      <w:r>
        <w:t xml:space="preserve"> to consider the suggested changes, in good faith, subject to any reasonable space and design limitations imposed by its billing system.</w:t>
      </w:r>
    </w:p>
    <w:p w:rsidR="009A1D05" w:rsidRDefault="009A1D05" w:rsidP="006B6D17">
      <w:pPr>
        <w:spacing w:before="0" w:after="0"/>
      </w:pPr>
    </w:p>
    <w:p w:rsidR="00576FE8" w:rsidRDefault="00576FE8" w:rsidP="00476BA2">
      <w:pPr>
        <w:tabs>
          <w:tab w:val="left" w:pos="720"/>
        </w:tabs>
        <w:spacing w:before="0" w:after="0"/>
      </w:pPr>
      <w:r>
        <w:t>D.</w:t>
      </w:r>
      <w:r>
        <w:tab/>
      </w:r>
      <w:r w:rsidR="00476BA2" w:rsidRPr="00476BA2">
        <w:rPr>
          <w:u w:val="single"/>
        </w:rPr>
        <w:t>Monthly Bill Overpayments Due To LIHEAP Grants</w:t>
      </w:r>
    </w:p>
    <w:p w:rsidR="009A1D05" w:rsidRDefault="009A1D05" w:rsidP="006B6D17">
      <w:pPr>
        <w:spacing w:before="0" w:after="0"/>
      </w:pPr>
    </w:p>
    <w:p w:rsidR="00576FE8" w:rsidRDefault="00576FE8" w:rsidP="006B6D17">
      <w:pPr>
        <w:spacing w:before="0" w:after="0"/>
      </w:pPr>
      <w:r>
        <w:tab/>
      </w:r>
      <w:r w:rsidR="000551FD">
        <w:t>The parties agree, i</w:t>
      </w:r>
      <w:r>
        <w:t>f a customer has an overpayment in any given month, as</w:t>
      </w:r>
      <w:r w:rsidR="003F4E36">
        <w:t xml:space="preserve"> a</w:t>
      </w:r>
      <w:r>
        <w:t xml:space="preserve"> result of a LIHEAP cash grant applied to that customer’s account, the Company will treat that overpayment as a payment for that month and provide arrearage forgiveness if said overpayment alone, or coupled with a payment from the customer, results in a full payment of the current or future months.  The Company’s draft Universal Service and Energy Conservation Plan for 2015-2018, which is pending approval by the Pennsylvania Public Utility Commission,</w:t>
      </w:r>
      <w:r w:rsidR="000551FD">
        <w:rPr>
          <w:rStyle w:val="FootnoteReference"/>
        </w:rPr>
        <w:footnoteReference w:id="2"/>
      </w:r>
      <w:r>
        <w:t xml:space="preserve"> provides that effective January 1, 2016, the Company will treat overpayments made by the customer in the same manner as overpayments generated by the receipt of LIHEAP cash grants for the purposes of providing arrearage forgiveness.  Provided the Plan is approved with this draft provision, the aforementioned arrearage forgiveness will be implemented on January 1, 2016.</w:t>
      </w:r>
    </w:p>
    <w:p w:rsidR="009A1D05" w:rsidRDefault="009A1D05" w:rsidP="006B6D17">
      <w:pPr>
        <w:spacing w:before="0" w:after="0"/>
      </w:pPr>
    </w:p>
    <w:p w:rsidR="00576FE8" w:rsidRDefault="00576FE8" w:rsidP="00476BA2">
      <w:pPr>
        <w:tabs>
          <w:tab w:val="left" w:pos="720"/>
        </w:tabs>
        <w:spacing w:before="0" w:after="0"/>
      </w:pPr>
      <w:r>
        <w:t>E.</w:t>
      </w:r>
      <w:r>
        <w:tab/>
      </w:r>
      <w:r w:rsidR="00476BA2" w:rsidRPr="00476BA2">
        <w:rPr>
          <w:u w:val="single"/>
        </w:rPr>
        <w:t>Evaluation &amp; Review of C</w:t>
      </w:r>
      <w:r w:rsidR="005F00A5">
        <w:rPr>
          <w:u w:val="single"/>
        </w:rPr>
        <w:t>AP</w:t>
      </w:r>
      <w:r w:rsidR="00476BA2" w:rsidRPr="00476BA2">
        <w:rPr>
          <w:u w:val="single"/>
        </w:rPr>
        <w:t xml:space="preserve"> </w:t>
      </w:r>
      <w:proofErr w:type="gramStart"/>
      <w:r w:rsidR="00476BA2" w:rsidRPr="00476BA2">
        <w:rPr>
          <w:u w:val="single"/>
        </w:rPr>
        <w:t>Plus</w:t>
      </w:r>
      <w:proofErr w:type="gramEnd"/>
      <w:r w:rsidR="00476BA2" w:rsidRPr="00476BA2">
        <w:rPr>
          <w:u w:val="single"/>
        </w:rPr>
        <w:t xml:space="preserve"> Program</w:t>
      </w:r>
    </w:p>
    <w:p w:rsidR="009A1D05" w:rsidRDefault="009A1D05" w:rsidP="006B6D17">
      <w:pPr>
        <w:spacing w:before="0" w:after="0"/>
      </w:pPr>
    </w:p>
    <w:p w:rsidR="00576FE8" w:rsidRDefault="00576FE8" w:rsidP="006B6D17">
      <w:pPr>
        <w:spacing w:before="0" w:after="0"/>
      </w:pPr>
      <w:r>
        <w:tab/>
        <w:t xml:space="preserve">An Independent Evaluator contracted by Peoples will conduct an analysis of the additional “plus amount” on the energy burden levels, as approved by the Commission in Peoples 2015 – 2018 Universal Service and Energy Conservation Plan, which is currently pending at docket number M-2014-2432515.  The evaluation will be a comprehensive review of Peoples’ Universal Service Programs, as proposed in its Universal Service and Energy Conservation Plan, and will be submitted to the Public Utility Commission (PUC) by October 2, </w:t>
      </w:r>
      <w:r>
        <w:lastRenderedPageBreak/>
        <w:t>2017.  The analysis will be conducted for each of Peoples’ income tiers.  Peoples will provide the results of this analysis to the parties in this proceeding when the Independent Evaluation is submi</w:t>
      </w:r>
      <w:r w:rsidR="00CD7345">
        <w:t>tted to the PUC.  Prior to the independent e</w:t>
      </w:r>
      <w:r>
        <w:t>valuation, the Company will develop an internal analysis of the CAP Plus program based on program years 2014/2015 and 2015/2016.  The internal analysis will be provided to all parties to this proceeding.  To the extent that data is availa</w:t>
      </w:r>
      <w:r w:rsidR="00CD7345">
        <w:t>ble, the internal analysis and i</w:t>
      </w:r>
      <w:r>
        <w:t>ndependent evaluation will examine payment records, termination and reconnection levels, arrearage accrual, and earned arrearage forgiveness amounts of CAP customers both pre- and post- implementation of CAP Plus.</w:t>
      </w:r>
    </w:p>
    <w:p w:rsidR="00C91628" w:rsidRDefault="00C91628" w:rsidP="006B6D17">
      <w:pPr>
        <w:spacing w:before="0" w:after="0"/>
      </w:pPr>
    </w:p>
    <w:p w:rsidR="00576FE8" w:rsidRDefault="00576FE8" w:rsidP="006B6D17">
      <w:pPr>
        <w:spacing w:before="0" w:after="0"/>
      </w:pPr>
      <w:r>
        <w:tab/>
        <w:t xml:space="preserve">Peoples will review the CAP Plus program in advance of its next 3-year Universal Service Plan filing and will propose to make any changes that it deems to be appropriate in that proceeding.  Before proposing any changes in its next Universal Service Plan, Peoples will provide a summary of its intended changes to members of its Universal Service Advisory Committee, and will provide an opportunity for feedback and input. </w:t>
      </w:r>
      <w:r w:rsidR="008A5ECE">
        <w:t xml:space="preserve"> </w:t>
      </w:r>
      <w:r>
        <w:t>In addition, all parties will have an opportunity to propose additional changes in that proceeding.</w:t>
      </w:r>
    </w:p>
    <w:p w:rsidR="009A1D05" w:rsidRDefault="009A1D05" w:rsidP="006B6D17">
      <w:pPr>
        <w:spacing w:before="0" w:after="0"/>
      </w:pPr>
    </w:p>
    <w:p w:rsidR="00576FE8" w:rsidRPr="00476BA2" w:rsidRDefault="001E36DE" w:rsidP="001E36DE">
      <w:pPr>
        <w:tabs>
          <w:tab w:val="left" w:pos="720"/>
        </w:tabs>
        <w:spacing w:before="0" w:after="0"/>
        <w:rPr>
          <w:u w:val="single"/>
        </w:rPr>
      </w:pPr>
      <w:r>
        <w:t>F.</w:t>
      </w:r>
      <w:r>
        <w:tab/>
      </w:r>
      <w:r w:rsidR="00476BA2" w:rsidRPr="00476BA2">
        <w:rPr>
          <w:u w:val="single"/>
        </w:rPr>
        <w:t>Miscellaneous</w:t>
      </w:r>
    </w:p>
    <w:p w:rsidR="009A1D05" w:rsidRDefault="009A1D05" w:rsidP="006B6D17">
      <w:pPr>
        <w:spacing w:before="0" w:after="0"/>
      </w:pPr>
    </w:p>
    <w:p w:rsidR="00995BFA" w:rsidRDefault="00576FE8" w:rsidP="006B6D17">
      <w:pPr>
        <w:spacing w:before="0" w:after="0"/>
      </w:pPr>
      <w:r>
        <w:tab/>
        <w:t>In the event that the Pennsylvania Department of Humans Services (DHS) or the federal Department of Health and Human Services (HHS) provides Peoples with written notice that Peoples’ CAP Plus pr</w:t>
      </w:r>
      <w:r w:rsidR="00CD7345">
        <w:t>ogram is not in compliance with</w:t>
      </w:r>
      <w:r>
        <w:t xml:space="preserve"> its LIHEAP vendor agreement with DHS, Peoples will take steps to assure compliance with its LIHEAP vendor agreement, including but not limited to assessing whether it should file a petition with the Public Utility Commission to suspend th</w:t>
      </w:r>
      <w:r w:rsidR="00CD7345">
        <w:t xml:space="preserve">e further implementation of CAP </w:t>
      </w:r>
      <w:r>
        <w:t>Plus.  Peoples will discuss and seek the input of its Universal Service Advisory Committee before determining the most appropriate response to any such determination by either DHS or HHS.</w:t>
      </w:r>
    </w:p>
    <w:p w:rsidR="009A1D05" w:rsidRDefault="009A1D05" w:rsidP="006B6D17">
      <w:pPr>
        <w:spacing w:before="0" w:after="0"/>
      </w:pPr>
    </w:p>
    <w:p w:rsidR="001B20C9" w:rsidRDefault="001B20C9" w:rsidP="006B6D17">
      <w:pPr>
        <w:spacing w:before="0" w:after="0"/>
      </w:pPr>
    </w:p>
    <w:p w:rsidR="001B20C9" w:rsidRDefault="001B20C9" w:rsidP="006B6D17">
      <w:pPr>
        <w:spacing w:before="0" w:after="0"/>
      </w:pPr>
    </w:p>
    <w:p w:rsidR="001B20C9" w:rsidRDefault="001B20C9" w:rsidP="006B6D17">
      <w:pPr>
        <w:spacing w:before="0" w:after="0"/>
      </w:pPr>
    </w:p>
    <w:p w:rsidR="001B20C9" w:rsidRDefault="001B20C9" w:rsidP="006B6D17">
      <w:pPr>
        <w:spacing w:before="0" w:after="0"/>
      </w:pPr>
    </w:p>
    <w:p w:rsidR="00BE738B" w:rsidRPr="007E24F6" w:rsidRDefault="00BE738B" w:rsidP="00BE738B">
      <w:pPr>
        <w:tabs>
          <w:tab w:val="left" w:pos="720"/>
        </w:tabs>
        <w:spacing w:before="0" w:after="0"/>
        <w:jc w:val="center"/>
        <w:rPr>
          <w:u w:val="single"/>
        </w:rPr>
      </w:pPr>
      <w:r w:rsidRPr="00914B1F">
        <w:lastRenderedPageBreak/>
        <w:t>III.</w:t>
      </w:r>
      <w:r w:rsidRPr="00914B1F">
        <w:tab/>
      </w:r>
      <w:r w:rsidRPr="007E24F6">
        <w:rPr>
          <w:u w:val="single"/>
        </w:rPr>
        <w:t>DISCUSSION</w:t>
      </w:r>
    </w:p>
    <w:p w:rsidR="009A1D05" w:rsidRPr="006B0675" w:rsidRDefault="009A1D05" w:rsidP="006B6D17">
      <w:pPr>
        <w:spacing w:before="0" w:after="0"/>
        <w:jc w:val="center"/>
        <w:rPr>
          <w:u w:val="single"/>
        </w:rPr>
      </w:pPr>
    </w:p>
    <w:p w:rsidR="00995BFA" w:rsidRDefault="00995BFA" w:rsidP="006B6D17">
      <w:pPr>
        <w:spacing w:before="0" w:after="0"/>
        <w:ind w:firstLine="1440"/>
        <w:rPr>
          <w:szCs w:val="24"/>
        </w:rPr>
      </w:pPr>
      <w:r w:rsidRPr="002A7F81">
        <w:rPr>
          <w:szCs w:val="24"/>
        </w:rPr>
        <w:t>The Commission encourages parties in contested on-the-record proceedings to settle cases.</w:t>
      </w:r>
      <w:r w:rsidRPr="002A7F81">
        <w:rPr>
          <w:rStyle w:val="FootnoteReference"/>
          <w:szCs w:val="24"/>
        </w:rPr>
        <w:footnoteReference w:id="3"/>
      </w:r>
      <w:r w:rsidRPr="002A7F81">
        <w:rPr>
          <w:szCs w:val="24"/>
        </w:rPr>
        <w:t xml:space="preserve">  Settlements eliminate the time, effort and expense of litigating a matter to its ultimate conclusion, which may entail review of the Commission’s decision by the appellate courts of Pennsylvania.  Such savings benefit not only the individual parties, but also the Commission and all ratepayers of a utility, who otherwise may have to bear the financial burden such litigation necessarily entails.</w:t>
      </w:r>
    </w:p>
    <w:p w:rsidR="005F00A5" w:rsidRDefault="005F00A5" w:rsidP="006B6D17">
      <w:pPr>
        <w:spacing w:before="0" w:after="0"/>
        <w:ind w:firstLine="1440"/>
        <w:rPr>
          <w:szCs w:val="24"/>
        </w:rPr>
      </w:pPr>
    </w:p>
    <w:p w:rsidR="00995BFA" w:rsidRDefault="006B0675" w:rsidP="006B6D17">
      <w:pPr>
        <w:spacing w:before="0" w:after="0"/>
        <w:rPr>
          <w:szCs w:val="24"/>
        </w:rPr>
      </w:pPr>
      <w:r>
        <w:rPr>
          <w:szCs w:val="24"/>
        </w:rPr>
        <w:tab/>
      </w:r>
      <w:r w:rsidR="00995BFA" w:rsidRPr="002A7F81">
        <w:rPr>
          <w:szCs w:val="24"/>
        </w:rPr>
        <w:t xml:space="preserve">By definition, a “settlement” reflects a compromise of the positions that the parties of interest have </w:t>
      </w:r>
      <w:proofErr w:type="gramStart"/>
      <w:r w:rsidR="00995BFA" w:rsidRPr="002A7F81">
        <w:rPr>
          <w:szCs w:val="24"/>
        </w:rPr>
        <w:t>held,</w:t>
      </w:r>
      <w:proofErr w:type="gramEnd"/>
      <w:r w:rsidR="00995BFA" w:rsidRPr="002A7F81">
        <w:rPr>
          <w:szCs w:val="24"/>
        </w:rPr>
        <w:t xml:space="preserve"> which arguably fosters and promotes the public interest.  When active parties in a proceeding reach a settlement, the principal issue for Commission consideration is whether the agreement reached suits the public interest.</w:t>
      </w:r>
      <w:r w:rsidR="00995BFA" w:rsidRPr="002A7F81">
        <w:rPr>
          <w:rStyle w:val="FootnoteReference"/>
          <w:szCs w:val="24"/>
        </w:rPr>
        <w:footnoteReference w:id="4"/>
      </w:r>
      <w:r w:rsidR="00995BFA" w:rsidRPr="002A7F81">
        <w:rPr>
          <w:szCs w:val="24"/>
        </w:rPr>
        <w:t xml:space="preserve">  </w:t>
      </w:r>
    </w:p>
    <w:p w:rsidR="009A1D05" w:rsidRDefault="009A1D05" w:rsidP="006B6D17">
      <w:pPr>
        <w:spacing w:before="0" w:after="0"/>
        <w:rPr>
          <w:szCs w:val="24"/>
        </w:rPr>
      </w:pPr>
    </w:p>
    <w:p w:rsidR="00995BFA" w:rsidRDefault="006B0675" w:rsidP="006B6D17">
      <w:pPr>
        <w:spacing w:before="0" w:after="0"/>
      </w:pPr>
      <w:r>
        <w:tab/>
      </w:r>
      <w:proofErr w:type="gramStart"/>
      <w:r w:rsidR="00576FE8" w:rsidRPr="00576FE8">
        <w:t>Peoples believes</w:t>
      </w:r>
      <w:proofErr w:type="gramEnd"/>
      <w:r w:rsidR="00576FE8" w:rsidRPr="00576FE8">
        <w:t xml:space="preserve"> that the Joint Petition for Settlement is in the public interest.  Accordingly, Peoples respectfully requests </w:t>
      </w:r>
      <w:r w:rsidR="00402FDF">
        <w:t xml:space="preserve">the approval of </w:t>
      </w:r>
      <w:r w:rsidR="00576FE8" w:rsidRPr="00576FE8">
        <w:t>the Joint Petition for Settlement, including the terms and conditions thereof, without modification, as the basis of the full resolution of all issues in this case.</w:t>
      </w:r>
    </w:p>
    <w:p w:rsidR="009A1D05" w:rsidRDefault="009A1D05" w:rsidP="006B6D17">
      <w:pPr>
        <w:spacing w:before="0" w:after="0"/>
      </w:pPr>
    </w:p>
    <w:p w:rsidR="00FE52C4" w:rsidRDefault="00963076" w:rsidP="006B6D17">
      <w:pPr>
        <w:spacing w:before="0" w:after="0"/>
        <w:rPr>
          <w:szCs w:val="24"/>
        </w:rPr>
      </w:pPr>
      <w:r>
        <w:rPr>
          <w:szCs w:val="24"/>
        </w:rPr>
        <w:tab/>
      </w:r>
      <w:r w:rsidR="00FE52C4" w:rsidRPr="00FE52C4">
        <w:rPr>
          <w:szCs w:val="24"/>
        </w:rPr>
        <w:t xml:space="preserve">Peoples will continue to implement its CAP Plus program consistent with the terms and conditions described in its Peoples Natural Gas Company LLC Supplement No. 47 to Tariff Gas – PA PUC No. 45.  </w:t>
      </w:r>
      <w:r w:rsidR="002943B4">
        <w:rPr>
          <w:szCs w:val="24"/>
        </w:rPr>
        <w:t>In Peoples’ view, the</w:t>
      </w:r>
      <w:r w:rsidR="00FE52C4" w:rsidRPr="00FE52C4">
        <w:rPr>
          <w:szCs w:val="24"/>
        </w:rPr>
        <w:t xml:space="preserve"> CAP Plus is an important component of the overall CAP program and strongly supports its continuation.</w:t>
      </w:r>
    </w:p>
    <w:p w:rsidR="009A1D05" w:rsidRPr="00FE52C4" w:rsidRDefault="009A1D05" w:rsidP="006B6D17">
      <w:pPr>
        <w:spacing w:before="0" w:after="0"/>
        <w:rPr>
          <w:szCs w:val="24"/>
        </w:rPr>
      </w:pPr>
    </w:p>
    <w:p w:rsidR="00FE52C4" w:rsidRDefault="00963076" w:rsidP="006B6D17">
      <w:pPr>
        <w:spacing w:before="0" w:after="0"/>
        <w:rPr>
          <w:szCs w:val="24"/>
        </w:rPr>
      </w:pPr>
      <w:r>
        <w:rPr>
          <w:szCs w:val="24"/>
        </w:rPr>
        <w:tab/>
        <w:t xml:space="preserve">The settlement sets forth </w:t>
      </w:r>
      <w:r w:rsidRPr="00FE52C4">
        <w:rPr>
          <w:szCs w:val="24"/>
        </w:rPr>
        <w:t>a clarification as to the manner in which the CAP Plus amount will be cal</w:t>
      </w:r>
      <w:r>
        <w:rPr>
          <w:szCs w:val="24"/>
        </w:rPr>
        <w:t xml:space="preserve">culated on a yearly basis.  </w:t>
      </w:r>
      <w:proofErr w:type="gramStart"/>
      <w:r>
        <w:rPr>
          <w:szCs w:val="24"/>
        </w:rPr>
        <w:t>Peoples believes</w:t>
      </w:r>
      <w:proofErr w:type="gramEnd"/>
      <w:r>
        <w:rPr>
          <w:szCs w:val="24"/>
        </w:rPr>
        <w:t xml:space="preserve"> this provision </w:t>
      </w:r>
      <w:r w:rsidR="00FE52C4" w:rsidRPr="00FE52C4">
        <w:rPr>
          <w:szCs w:val="24"/>
        </w:rPr>
        <w:t>is important in that i</w:t>
      </w:r>
      <w:r>
        <w:rPr>
          <w:szCs w:val="24"/>
        </w:rPr>
        <w:t>t provides transparency to the p</w:t>
      </w:r>
      <w:r w:rsidR="00FE52C4" w:rsidRPr="00FE52C4">
        <w:rPr>
          <w:szCs w:val="24"/>
        </w:rPr>
        <w:t>arties to this proceeding as to the manner in which the fee is calculated.  This infor</w:t>
      </w:r>
      <w:r>
        <w:rPr>
          <w:szCs w:val="24"/>
        </w:rPr>
        <w:t>mation may also be used by the p</w:t>
      </w:r>
      <w:r w:rsidR="00FE52C4" w:rsidRPr="00FE52C4">
        <w:rPr>
          <w:szCs w:val="24"/>
        </w:rPr>
        <w:t xml:space="preserve">arties and agencies working with CAP </w:t>
      </w:r>
      <w:r w:rsidR="00FE52C4" w:rsidRPr="00FE52C4">
        <w:rPr>
          <w:szCs w:val="24"/>
        </w:rPr>
        <w:lastRenderedPageBreak/>
        <w:t xml:space="preserve">customers to better explain questions that may arise when CAP Plus amounts are modified on a yearly basis.  </w:t>
      </w:r>
    </w:p>
    <w:p w:rsidR="009A1D05" w:rsidRPr="00FE52C4" w:rsidRDefault="009A1D05" w:rsidP="006B6D17">
      <w:pPr>
        <w:spacing w:before="0" w:after="0"/>
        <w:rPr>
          <w:szCs w:val="24"/>
        </w:rPr>
      </w:pPr>
    </w:p>
    <w:p w:rsidR="00FE52C4" w:rsidRDefault="00963076" w:rsidP="006B6D17">
      <w:pPr>
        <w:spacing w:before="0" w:after="0"/>
        <w:rPr>
          <w:szCs w:val="24"/>
        </w:rPr>
      </w:pPr>
      <w:r>
        <w:rPr>
          <w:szCs w:val="24"/>
        </w:rPr>
        <w:tab/>
        <w:t>The</w:t>
      </w:r>
      <w:r w:rsidR="00FE52C4" w:rsidRPr="00FE52C4">
        <w:rPr>
          <w:szCs w:val="24"/>
        </w:rPr>
        <w:t xml:space="preserve"> Joint Petition for Settlement</w:t>
      </w:r>
      <w:r>
        <w:rPr>
          <w:szCs w:val="24"/>
        </w:rPr>
        <w:t xml:space="preserve"> also</w:t>
      </w:r>
      <w:r w:rsidR="00FE52C4" w:rsidRPr="00FE52C4">
        <w:rPr>
          <w:szCs w:val="24"/>
        </w:rPr>
        <w:t xml:space="preserve"> </w:t>
      </w:r>
      <w:r>
        <w:rPr>
          <w:szCs w:val="24"/>
        </w:rPr>
        <w:t>discusses</w:t>
      </w:r>
      <w:r w:rsidR="00FE52C4" w:rsidRPr="00FE52C4">
        <w:rPr>
          <w:szCs w:val="24"/>
        </w:rPr>
        <w:t xml:space="preserve"> future messaging that will appear on the bills for CAP customers.  The messaging will appear each time the CAP Plus amount changes and the message will run for a </w:t>
      </w:r>
      <w:r>
        <w:rPr>
          <w:szCs w:val="24"/>
        </w:rPr>
        <w:t>three</w:t>
      </w:r>
      <w:r w:rsidR="003E74AA">
        <w:rPr>
          <w:szCs w:val="24"/>
        </w:rPr>
        <w:t>-</w:t>
      </w:r>
      <w:r>
        <w:rPr>
          <w:szCs w:val="24"/>
        </w:rPr>
        <w:t>month period.  The p</w:t>
      </w:r>
      <w:r w:rsidR="00FE52C4" w:rsidRPr="00FE52C4">
        <w:rPr>
          <w:szCs w:val="24"/>
        </w:rPr>
        <w:t>arties to this proceeding will have an opportunity to review Peoples</w:t>
      </w:r>
      <w:r w:rsidR="003E74AA">
        <w:rPr>
          <w:szCs w:val="24"/>
        </w:rPr>
        <w:t>’</w:t>
      </w:r>
      <w:r w:rsidR="00FE52C4" w:rsidRPr="00FE52C4">
        <w:rPr>
          <w:szCs w:val="24"/>
        </w:rPr>
        <w:t xml:space="preserve"> proposed bill messaging text and propose modifications to the text; which modifications will be considered by Peoples in good faith.  These provisions are important in ensuring clear, easily understandable and consistent messaging is provided to CAP customers to facilitate a better understanding of how a change to the CAP Plus amount will impact the customer’s CAP payment amount.  </w:t>
      </w:r>
    </w:p>
    <w:p w:rsidR="005F00A5" w:rsidRDefault="005F00A5" w:rsidP="006B6D17">
      <w:pPr>
        <w:spacing w:before="0" w:after="0"/>
        <w:rPr>
          <w:szCs w:val="24"/>
        </w:rPr>
      </w:pPr>
    </w:p>
    <w:p w:rsidR="00FE52C4" w:rsidRDefault="00963076" w:rsidP="006B6D17">
      <w:pPr>
        <w:spacing w:before="0" w:after="0"/>
        <w:rPr>
          <w:szCs w:val="24"/>
        </w:rPr>
      </w:pPr>
      <w:r>
        <w:rPr>
          <w:szCs w:val="24"/>
        </w:rPr>
        <w:tab/>
        <w:t>The</w:t>
      </w:r>
      <w:r w:rsidR="00FE52C4" w:rsidRPr="00FE52C4">
        <w:rPr>
          <w:szCs w:val="24"/>
        </w:rPr>
        <w:t xml:space="preserve"> Joint Petition clarifies the manner in which an overpayment on a CAP account, as the result of a LIHEAP cash grant, will be applied.  The Joint Petition clarifies that the Company will treat that overpayment as a payment for that month and </w:t>
      </w:r>
      <w:proofErr w:type="gramStart"/>
      <w:r w:rsidR="00FE52C4" w:rsidRPr="00FE52C4">
        <w:rPr>
          <w:szCs w:val="24"/>
        </w:rPr>
        <w:t>provide</w:t>
      </w:r>
      <w:proofErr w:type="gramEnd"/>
      <w:r w:rsidR="00FE52C4" w:rsidRPr="00FE52C4">
        <w:rPr>
          <w:szCs w:val="24"/>
        </w:rPr>
        <w:t xml:space="preserve"> arrearage forgiveness if said overpayment alone, or coupled with a payment from the customer, results in a full payment of the current or future months.  This provision is consistent with Peoples’ draft Universal Service and Energy Conservation Plan for 2015-2018, which is pending approval by the Commission, and ensures consistency in applying payments to CAP customer accounts, regardless of whether they are customer payments or grant funds.</w:t>
      </w:r>
    </w:p>
    <w:p w:rsidR="009A1D05" w:rsidRPr="00FE52C4" w:rsidRDefault="009A1D05" w:rsidP="006B6D17">
      <w:pPr>
        <w:spacing w:before="0" w:after="0"/>
        <w:rPr>
          <w:szCs w:val="24"/>
        </w:rPr>
      </w:pPr>
    </w:p>
    <w:p w:rsidR="00FE52C4" w:rsidRDefault="00963076" w:rsidP="006B6D17">
      <w:pPr>
        <w:spacing w:before="0" w:after="0"/>
        <w:rPr>
          <w:szCs w:val="24"/>
        </w:rPr>
      </w:pPr>
      <w:r>
        <w:rPr>
          <w:szCs w:val="24"/>
        </w:rPr>
        <w:tab/>
      </w:r>
      <w:r w:rsidR="00FE52C4" w:rsidRPr="00FE52C4">
        <w:rPr>
          <w:szCs w:val="24"/>
        </w:rPr>
        <w:t xml:space="preserve">These provisions </w:t>
      </w:r>
      <w:r>
        <w:rPr>
          <w:szCs w:val="24"/>
        </w:rPr>
        <w:t xml:space="preserve">of the settlement </w:t>
      </w:r>
      <w:r w:rsidR="00FE52C4" w:rsidRPr="00FE52C4">
        <w:rPr>
          <w:szCs w:val="24"/>
        </w:rPr>
        <w:t>provide</w:t>
      </w:r>
      <w:r w:rsidR="005720FC">
        <w:rPr>
          <w:szCs w:val="24"/>
        </w:rPr>
        <w:t xml:space="preserve"> for the</w:t>
      </w:r>
      <w:r w:rsidR="00FE52C4" w:rsidRPr="00FE52C4">
        <w:rPr>
          <w:szCs w:val="24"/>
        </w:rPr>
        <w:t xml:space="preserve"> inclusion of CAP Plus in the program components that</w:t>
      </w:r>
      <w:r w:rsidR="00F9501F">
        <w:rPr>
          <w:szCs w:val="24"/>
        </w:rPr>
        <w:t xml:space="preserve"> will </w:t>
      </w:r>
      <w:r w:rsidR="00FE52C4" w:rsidRPr="00FE52C4">
        <w:rPr>
          <w:szCs w:val="24"/>
        </w:rPr>
        <w:t xml:space="preserve">be evaluated by an Independent Evaluator during the Company’s next comprehensive universal service review. </w:t>
      </w:r>
      <w:r w:rsidR="008A5ECE">
        <w:rPr>
          <w:szCs w:val="24"/>
        </w:rPr>
        <w:t xml:space="preserve"> </w:t>
      </w:r>
      <w:r w:rsidR="00FE52C4" w:rsidRPr="00FE52C4">
        <w:rPr>
          <w:szCs w:val="24"/>
        </w:rPr>
        <w:t xml:space="preserve">Additionally, the Company will conduct an internal analysis of the CAP </w:t>
      </w:r>
      <w:proofErr w:type="gramStart"/>
      <w:r w:rsidR="00FE52C4" w:rsidRPr="00FE52C4">
        <w:rPr>
          <w:szCs w:val="24"/>
        </w:rPr>
        <w:t>Plus</w:t>
      </w:r>
      <w:proofErr w:type="gramEnd"/>
      <w:r w:rsidR="00FE52C4" w:rsidRPr="00FE52C4">
        <w:rPr>
          <w:szCs w:val="24"/>
        </w:rPr>
        <w:t xml:space="preserve"> program and provide the results of the analysis to all parties to this proceeding.  Finally, Peoples will review the CAP Plus program in advance of its next 3-year Universal Service Plan filing and prior to proposing to make any changes, Peoples will provide a summary of its intended changes to members of its Universal Service Advisory Committee, and will provide an opportunity for feedback and input.  These provisions outline a plan to analyze the impact of the CAP Plus program on CAP accounts which will provide the Company, parties to this proceeding and the Commission more information on the CAP Plus program.  </w:t>
      </w:r>
    </w:p>
    <w:p w:rsidR="00995BFA" w:rsidRDefault="00963076" w:rsidP="006B6D17">
      <w:pPr>
        <w:spacing w:before="0" w:after="0"/>
      </w:pPr>
      <w:r>
        <w:lastRenderedPageBreak/>
        <w:tab/>
        <w:t>CAUSE-PA agrees that settlement is in the public interest.  CAUSE-PA observes that t</w:t>
      </w:r>
      <w:r w:rsidR="00995BFA" w:rsidRPr="00995BFA">
        <w:t>hroughout the course of this proceeding, CAUSE-PA and Peoples, as well as representatives from the Office of Consumer Advocate and the Public Utility Commission’s Bureau of Investigation and Enforcement, have had constructive conversations that have resulted in a comprehensive settlement of many of CAUSE</w:t>
      </w:r>
      <w:r w:rsidR="00F22241">
        <w:t>-PA’s concerns.  Although this s</w:t>
      </w:r>
      <w:r w:rsidR="00995BFA" w:rsidRPr="00995BFA">
        <w:t>ettlement reflects a compromise, it represents an agreement which is fair and reasonable, avoids the necessity of and uncertainty inherent in further administrative and potential appellate proceedings, and arrives at a negotiated outcome which is in the public interest.</w:t>
      </w:r>
    </w:p>
    <w:p w:rsidR="009A1D05" w:rsidRPr="00995BFA" w:rsidRDefault="009A1D05" w:rsidP="006B6D17">
      <w:pPr>
        <w:spacing w:before="0" w:after="0"/>
      </w:pPr>
    </w:p>
    <w:p w:rsidR="00995BFA" w:rsidRDefault="00995BFA" w:rsidP="006B6D17">
      <w:pPr>
        <w:spacing w:before="0" w:after="0"/>
      </w:pPr>
      <w:r w:rsidRPr="00995BFA">
        <w:tab/>
        <w:t>While CAUSE-PA</w:t>
      </w:r>
      <w:r w:rsidR="00F22241">
        <w:t xml:space="preserve"> states that it</w:t>
      </w:r>
      <w:r w:rsidRPr="00995BFA">
        <w:t xml:space="preserve"> would have preferred if Peoples had implemented a different strategy, other than CAP</w:t>
      </w:r>
      <w:r w:rsidR="005F00A5">
        <w:t xml:space="preserve"> </w:t>
      </w:r>
      <w:r w:rsidRPr="00995BFA">
        <w:t xml:space="preserve">Plus, to balance the costs of its CAP program, each of the commitments that Peoples is making in its Joint </w:t>
      </w:r>
      <w:r w:rsidR="00160EFF">
        <w:t>Petition</w:t>
      </w:r>
      <w:r w:rsidRPr="00995BFA">
        <w:t xml:space="preserve"> are the types of commitment that CAUSE-PA is looking for Peoples to make if CAP</w:t>
      </w:r>
      <w:r w:rsidR="005F00A5">
        <w:t xml:space="preserve"> </w:t>
      </w:r>
      <w:r w:rsidRPr="00995BFA">
        <w:t>Plus is to be continued.  Since the settlement provision in question concerned a series of meetings to devise a possible alternative to CAP Plus, and/or safeguards in the event that no consensus alternative could be reached, the process and evaluation committed to in this settlement has essentially accomplished this purpose.  As such, this negotiated resolution is in the public interest and will avoid the substantial cost of continued litigation.</w:t>
      </w:r>
    </w:p>
    <w:p w:rsidR="009A1D05" w:rsidRDefault="009A1D05" w:rsidP="006B6D17">
      <w:pPr>
        <w:spacing w:before="0" w:after="0"/>
      </w:pPr>
    </w:p>
    <w:p w:rsidR="00E616D6" w:rsidRDefault="00E616D6" w:rsidP="006B6D17">
      <w:pPr>
        <w:spacing w:before="0" w:after="0"/>
      </w:pPr>
      <w:r>
        <w:tab/>
        <w:t>BIE does not oppose the Joint Petition for Settlement.  BIE noted in its letter of non-opposition that settlement</w:t>
      </w:r>
      <w:r w:rsidRPr="00890851">
        <w:t xml:space="preserve"> does not encroach on </w:t>
      </w:r>
      <w:r w:rsidRPr="00975056">
        <w:rPr>
          <w:szCs w:val="24"/>
        </w:rPr>
        <w:t xml:space="preserve">the terms of the 2012 </w:t>
      </w:r>
      <w:r w:rsidR="00F22241">
        <w:rPr>
          <w:szCs w:val="24"/>
        </w:rPr>
        <w:t>base rate</w:t>
      </w:r>
      <w:r w:rsidRPr="00975056">
        <w:rPr>
          <w:szCs w:val="24"/>
        </w:rPr>
        <w:t xml:space="preserve"> </w:t>
      </w:r>
      <w:r>
        <w:rPr>
          <w:szCs w:val="24"/>
        </w:rPr>
        <w:t>and the</w:t>
      </w:r>
      <w:r w:rsidRPr="00975056">
        <w:rPr>
          <w:szCs w:val="24"/>
        </w:rPr>
        <w:t xml:space="preserve"> resolution of this proceeding would not negatively impact Peoples</w:t>
      </w:r>
      <w:r>
        <w:rPr>
          <w:szCs w:val="24"/>
        </w:rPr>
        <w:t>’</w:t>
      </w:r>
      <w:r w:rsidRPr="00975056">
        <w:rPr>
          <w:szCs w:val="24"/>
        </w:rPr>
        <w:t xml:space="preserve"> current </w:t>
      </w:r>
      <w:r>
        <w:rPr>
          <w:szCs w:val="24"/>
        </w:rPr>
        <w:t>Universal Service and Energy Conservation Plan (</w:t>
      </w:r>
      <w:r w:rsidRPr="00975056">
        <w:rPr>
          <w:szCs w:val="24"/>
        </w:rPr>
        <w:t>USECP</w:t>
      </w:r>
      <w:r>
        <w:rPr>
          <w:szCs w:val="24"/>
        </w:rPr>
        <w:t>)</w:t>
      </w:r>
      <w:r w:rsidRPr="00975056">
        <w:rPr>
          <w:szCs w:val="24"/>
        </w:rPr>
        <w:t xml:space="preserve"> filing.  </w:t>
      </w:r>
      <w:r w:rsidR="00F22241">
        <w:t>BIE further explains the</w:t>
      </w:r>
      <w:r w:rsidRPr="00890851">
        <w:t xml:space="preserve"> Bureau o</w:t>
      </w:r>
      <w:r>
        <w:t>f Consumer Services</w:t>
      </w:r>
      <w:r w:rsidR="00F22241">
        <w:t>’</w:t>
      </w:r>
      <w:r w:rsidR="005C6853">
        <w:t xml:space="preserve"> </w:t>
      </w:r>
      <w:r w:rsidR="00607F4F">
        <w:t xml:space="preserve">(BCS) </w:t>
      </w:r>
      <w:r w:rsidRPr="00890851">
        <w:t>review of Peoples Universal Service Programs is not negatively impacted by the proposed resolution of this proceeding.  People</w:t>
      </w:r>
      <w:r>
        <w:t>s</w:t>
      </w:r>
      <w:r w:rsidR="00452E1D">
        <w:t>’</w:t>
      </w:r>
      <w:r>
        <w:t xml:space="preserve"> </w:t>
      </w:r>
      <w:r w:rsidR="00F22241">
        <w:t>CAP</w:t>
      </w:r>
      <w:r w:rsidRPr="00890851">
        <w:t xml:space="preserve"> will continue without disruption and all BCS review capabilities remain intact.</w:t>
      </w:r>
      <w:r>
        <w:t xml:space="preserve"> </w:t>
      </w:r>
    </w:p>
    <w:p w:rsidR="009A1D05" w:rsidRDefault="009A1D05" w:rsidP="006B6D17">
      <w:pPr>
        <w:spacing w:before="0" w:after="0"/>
      </w:pPr>
    </w:p>
    <w:p w:rsidR="000551FD" w:rsidRDefault="000551FD" w:rsidP="006B6D17">
      <w:pPr>
        <w:spacing w:before="0" w:after="0"/>
      </w:pPr>
      <w:r>
        <w:tab/>
        <w:t xml:space="preserve">Peoples and CAUSE-PA, in consultation with other parties to this proceeding, worked diligently to try to arrive at a settlement that seeks compromise on the issues at stake in this proceeding without significant disruption to a CAP structure that is already in place and </w:t>
      </w:r>
      <w:r>
        <w:lastRenderedPageBreak/>
        <w:t xml:space="preserve">being implemented by Peoples.  To that end, both Peoples and CAUSE-PA believe that the </w:t>
      </w:r>
      <w:r w:rsidR="00452E1D">
        <w:t>settlement</w:t>
      </w:r>
      <w:r>
        <w:t xml:space="preserve"> in the public interest and carefully balance the concerns of both parties going forward.</w:t>
      </w:r>
    </w:p>
    <w:p w:rsidR="009A1D05" w:rsidRDefault="009A1D05" w:rsidP="006B6D17">
      <w:pPr>
        <w:spacing w:before="0" w:after="0"/>
      </w:pPr>
    </w:p>
    <w:p w:rsidR="00890851" w:rsidRDefault="00890851" w:rsidP="006B6D17">
      <w:pPr>
        <w:spacing w:before="0" w:after="0"/>
      </w:pPr>
      <w:r>
        <w:tab/>
      </w:r>
      <w:r w:rsidRPr="00CB0931">
        <w:t>Upon due consideration of the terms and conditions of the Joint Settlement Agreement, including the supporting s</w:t>
      </w:r>
      <w:r>
        <w:t>tatements of the parties, this s</w:t>
      </w:r>
      <w:r w:rsidRPr="00CB0931">
        <w:t xml:space="preserve">ettlement constitutes a fair, just and reasonable resolution of the </w:t>
      </w:r>
      <w:r>
        <w:t>CAUSE-PA’s dispute.  The interests of both consumers and the company were represented</w:t>
      </w:r>
      <w:r w:rsidRPr="00CB0931">
        <w:t xml:space="preserve">.  </w:t>
      </w:r>
      <w:r>
        <w:t>BIE noted in its letter of non-opposition that settlement</w:t>
      </w:r>
      <w:r w:rsidRPr="00890851">
        <w:t xml:space="preserve"> does not encroach on </w:t>
      </w:r>
      <w:r w:rsidRPr="00975056">
        <w:rPr>
          <w:szCs w:val="24"/>
        </w:rPr>
        <w:t xml:space="preserve">the terms of the 2012 </w:t>
      </w:r>
      <w:r w:rsidR="00427F13">
        <w:rPr>
          <w:szCs w:val="24"/>
        </w:rPr>
        <w:t>base rate</w:t>
      </w:r>
      <w:r w:rsidRPr="00975056">
        <w:rPr>
          <w:szCs w:val="24"/>
        </w:rPr>
        <w:t xml:space="preserve"> </w:t>
      </w:r>
      <w:r>
        <w:rPr>
          <w:szCs w:val="24"/>
        </w:rPr>
        <w:t>and the</w:t>
      </w:r>
      <w:r w:rsidRPr="00975056">
        <w:rPr>
          <w:szCs w:val="24"/>
        </w:rPr>
        <w:t xml:space="preserve"> resolution of this proceeding would not negatively impact Peoples</w:t>
      </w:r>
      <w:r>
        <w:rPr>
          <w:szCs w:val="24"/>
        </w:rPr>
        <w:t>’</w:t>
      </w:r>
      <w:r w:rsidRPr="00975056">
        <w:rPr>
          <w:szCs w:val="24"/>
        </w:rPr>
        <w:t xml:space="preserve"> current </w:t>
      </w:r>
      <w:r>
        <w:rPr>
          <w:szCs w:val="24"/>
        </w:rPr>
        <w:t>Universal Service and Energy Conservation Plan (</w:t>
      </w:r>
      <w:r w:rsidRPr="00975056">
        <w:rPr>
          <w:szCs w:val="24"/>
        </w:rPr>
        <w:t>USECP</w:t>
      </w:r>
      <w:r>
        <w:rPr>
          <w:szCs w:val="24"/>
        </w:rPr>
        <w:t>)</w:t>
      </w:r>
      <w:r w:rsidRPr="00975056">
        <w:rPr>
          <w:szCs w:val="24"/>
        </w:rPr>
        <w:t xml:space="preserve"> filing.  </w:t>
      </w:r>
      <w:r w:rsidRPr="00890851">
        <w:t>The Bureau o</w:t>
      </w:r>
      <w:r>
        <w:t>f Consumer Services</w:t>
      </w:r>
      <w:r w:rsidR="00427F13">
        <w:t>’</w:t>
      </w:r>
      <w:r>
        <w:t xml:space="preserve"> (BCS</w:t>
      </w:r>
      <w:r w:rsidRPr="00890851">
        <w:t>) review of Peoples</w:t>
      </w:r>
      <w:r w:rsidR="00427F13">
        <w:t>’</w:t>
      </w:r>
      <w:r w:rsidRPr="00890851">
        <w:t xml:space="preserve"> Universal Service Programs is not negatively impacted by the proposed resolution of this proceeding.  People</w:t>
      </w:r>
      <w:r>
        <w:t>s</w:t>
      </w:r>
      <w:r w:rsidR="00C60DCF">
        <w:t>’</w:t>
      </w:r>
      <w:r>
        <w:t xml:space="preserve"> Customer Assistance Program (CAP</w:t>
      </w:r>
      <w:r w:rsidRPr="00890851">
        <w:t>) will continue without disruption and all BCS review capabilities remain intact.</w:t>
      </w:r>
      <w:r>
        <w:t xml:space="preserve">  </w:t>
      </w:r>
      <w:r w:rsidRPr="00CB0931">
        <w:t>Therefore, the Joint Settlement Agreement is in the public interest and should be approved.</w:t>
      </w:r>
    </w:p>
    <w:p w:rsidR="006B6D17" w:rsidRDefault="006B6D17" w:rsidP="006B6D17">
      <w:pPr>
        <w:spacing w:before="0" w:after="0"/>
      </w:pPr>
    </w:p>
    <w:p w:rsidR="00BE738B" w:rsidRDefault="00BE738B" w:rsidP="00BE738B">
      <w:pPr>
        <w:tabs>
          <w:tab w:val="left" w:pos="720"/>
        </w:tabs>
        <w:spacing w:before="0" w:after="0"/>
        <w:jc w:val="center"/>
        <w:rPr>
          <w:u w:val="single"/>
        </w:rPr>
      </w:pPr>
      <w:r>
        <w:t>IV.</w:t>
      </w:r>
      <w:r>
        <w:tab/>
      </w:r>
      <w:r w:rsidRPr="00A3410B">
        <w:rPr>
          <w:u w:val="single"/>
        </w:rPr>
        <w:t>CONCLUSIONS OF LAW</w:t>
      </w:r>
    </w:p>
    <w:p w:rsidR="00145D52" w:rsidRDefault="00145D52" w:rsidP="006B6D17">
      <w:pPr>
        <w:spacing w:before="0" w:after="0"/>
        <w:jc w:val="center"/>
      </w:pPr>
    </w:p>
    <w:p w:rsidR="00145D52" w:rsidRDefault="00145D52" w:rsidP="006B6D17">
      <w:pPr>
        <w:spacing w:before="0" w:after="0"/>
      </w:pPr>
      <w:r>
        <w:tab/>
        <w:t>1.</w:t>
      </w:r>
      <w:r>
        <w:tab/>
        <w:t xml:space="preserve">The Commission has jurisdiction over the subject matter and the parties to this proceeding.  </w:t>
      </w:r>
      <w:proofErr w:type="gramStart"/>
      <w:r>
        <w:t xml:space="preserve">66 </w:t>
      </w:r>
      <w:proofErr w:type="spellStart"/>
      <w:r>
        <w:t>Pa.C.S</w:t>
      </w:r>
      <w:proofErr w:type="spellEnd"/>
      <w:r>
        <w:t>.</w:t>
      </w:r>
      <w:proofErr w:type="gramEnd"/>
      <w:r>
        <w:t xml:space="preserve"> </w:t>
      </w:r>
      <w:proofErr w:type="gramStart"/>
      <w:r>
        <w:t>§§ 501, et seq.</w:t>
      </w:r>
      <w:proofErr w:type="gramEnd"/>
    </w:p>
    <w:p w:rsidR="00145D52" w:rsidRDefault="00145D52" w:rsidP="006B6D17">
      <w:pPr>
        <w:spacing w:before="0" w:after="0"/>
      </w:pPr>
    </w:p>
    <w:p w:rsidR="00145D52" w:rsidRDefault="00145D52" w:rsidP="006B6D17">
      <w:pPr>
        <w:spacing w:before="0" w:after="0"/>
      </w:pPr>
      <w:r>
        <w:tab/>
      </w:r>
      <w:r w:rsidRPr="00AE74EE">
        <w:t>2.</w:t>
      </w:r>
      <w:r w:rsidRPr="00AE74EE">
        <w:tab/>
        <w:t xml:space="preserve">To determine whether a settlement should be approved, the Commission must decide whether the settlement promotes the public interest.  </w:t>
      </w:r>
      <w:r w:rsidRPr="00AE74EE">
        <w:rPr>
          <w:i/>
        </w:rPr>
        <w:t>Pa. P</w:t>
      </w:r>
      <w:r>
        <w:rPr>
          <w:i/>
        </w:rPr>
        <w:t>ub</w:t>
      </w:r>
      <w:r w:rsidRPr="00AE74EE">
        <w:rPr>
          <w:i/>
        </w:rPr>
        <w:t>.</w:t>
      </w:r>
      <w:r>
        <w:rPr>
          <w:i/>
        </w:rPr>
        <w:t xml:space="preserve"> </w:t>
      </w:r>
      <w:proofErr w:type="gramStart"/>
      <w:r w:rsidRPr="00AE74EE">
        <w:rPr>
          <w:i/>
        </w:rPr>
        <w:t>U</w:t>
      </w:r>
      <w:r>
        <w:rPr>
          <w:i/>
        </w:rPr>
        <w:t>til</w:t>
      </w:r>
      <w:r w:rsidRPr="00AE74EE">
        <w:rPr>
          <w:i/>
        </w:rPr>
        <w:t>.</w:t>
      </w:r>
      <w:r>
        <w:rPr>
          <w:i/>
        </w:rPr>
        <w:t xml:space="preserve"> </w:t>
      </w:r>
      <w:proofErr w:type="spellStart"/>
      <w:r w:rsidRPr="00AE74EE">
        <w:rPr>
          <w:i/>
        </w:rPr>
        <w:t>C</w:t>
      </w:r>
      <w:r>
        <w:rPr>
          <w:i/>
        </w:rPr>
        <w:t>omm’n</w:t>
      </w:r>
      <w:proofErr w:type="spellEnd"/>
      <w:r w:rsidRPr="00AE74EE">
        <w:rPr>
          <w:i/>
        </w:rPr>
        <w:t xml:space="preserve"> v. CS Water &amp; Sewer Assoc.</w:t>
      </w:r>
      <w:r w:rsidRPr="00AE74EE">
        <w:t xml:space="preserve">, 74 Pa. PUC 767 (1991); </w:t>
      </w:r>
      <w:r w:rsidRPr="00AE74EE">
        <w:rPr>
          <w:i/>
        </w:rPr>
        <w:t>Pa. P</w:t>
      </w:r>
      <w:r>
        <w:rPr>
          <w:i/>
        </w:rPr>
        <w:t>ub</w:t>
      </w:r>
      <w:r w:rsidRPr="00AE74EE">
        <w:rPr>
          <w:i/>
        </w:rPr>
        <w:t>.</w:t>
      </w:r>
      <w:proofErr w:type="gramEnd"/>
      <w:r>
        <w:rPr>
          <w:i/>
        </w:rPr>
        <w:t xml:space="preserve"> </w:t>
      </w:r>
      <w:proofErr w:type="gramStart"/>
      <w:r w:rsidRPr="00AE74EE">
        <w:rPr>
          <w:i/>
        </w:rPr>
        <w:t>U</w:t>
      </w:r>
      <w:r>
        <w:rPr>
          <w:i/>
        </w:rPr>
        <w:t>til</w:t>
      </w:r>
      <w:r w:rsidRPr="00AE74EE">
        <w:rPr>
          <w:i/>
        </w:rPr>
        <w:t>.</w:t>
      </w:r>
      <w:r>
        <w:rPr>
          <w:i/>
        </w:rPr>
        <w:t xml:space="preserve"> </w:t>
      </w:r>
      <w:proofErr w:type="spellStart"/>
      <w:r w:rsidRPr="00AE74EE">
        <w:rPr>
          <w:i/>
        </w:rPr>
        <w:t>C</w:t>
      </w:r>
      <w:r>
        <w:rPr>
          <w:i/>
        </w:rPr>
        <w:t>omm’n</w:t>
      </w:r>
      <w:proofErr w:type="spellEnd"/>
      <w:r w:rsidRPr="00AE74EE">
        <w:rPr>
          <w:i/>
        </w:rPr>
        <w:t xml:space="preserve"> v. Philadelphia Electric Co</w:t>
      </w:r>
      <w:r w:rsidRPr="00AE74EE">
        <w:t>., 60 Pa. PUC 1 (1985).</w:t>
      </w:r>
      <w:proofErr w:type="gramEnd"/>
    </w:p>
    <w:p w:rsidR="00145D52" w:rsidRDefault="00145D52" w:rsidP="006B6D17">
      <w:pPr>
        <w:spacing w:before="0" w:after="0"/>
      </w:pPr>
    </w:p>
    <w:p w:rsidR="00145D52" w:rsidRDefault="00670330" w:rsidP="006B6D17">
      <w:pPr>
        <w:spacing w:before="0" w:after="0"/>
      </w:pPr>
      <w:r>
        <w:tab/>
        <w:t>3.</w:t>
      </w:r>
      <w:r>
        <w:tab/>
        <w:t>The Joint Petition for</w:t>
      </w:r>
      <w:r w:rsidR="00145D52">
        <w:t xml:space="preserve"> Settlement is in the public interest and is consistent with the requirements contained in </w:t>
      </w:r>
      <w:r w:rsidR="00145D52" w:rsidRPr="00AE74EE">
        <w:rPr>
          <w:i/>
        </w:rPr>
        <w:t xml:space="preserve">Lloyd v. Pa. Pub. </w:t>
      </w:r>
      <w:proofErr w:type="gramStart"/>
      <w:r w:rsidR="00145D52" w:rsidRPr="00AE74EE">
        <w:rPr>
          <w:i/>
        </w:rPr>
        <w:t xml:space="preserve">Util. </w:t>
      </w:r>
      <w:proofErr w:type="spellStart"/>
      <w:r w:rsidR="00145D52" w:rsidRPr="00AE74EE">
        <w:rPr>
          <w:i/>
        </w:rPr>
        <w:t>Comm’n</w:t>
      </w:r>
      <w:proofErr w:type="spellEnd"/>
      <w:r w:rsidR="00145D52">
        <w:t>, 904 A.2d 1010 (</w:t>
      </w:r>
      <w:proofErr w:type="spellStart"/>
      <w:r w:rsidR="00145D52">
        <w:t>Pa.Cmwlth</w:t>
      </w:r>
      <w:proofErr w:type="spellEnd"/>
      <w:r w:rsidR="00145D52">
        <w:t>. 2006).</w:t>
      </w:r>
      <w:proofErr w:type="gramEnd"/>
    </w:p>
    <w:p w:rsidR="00890851" w:rsidRDefault="00890851" w:rsidP="006B6D17">
      <w:pPr>
        <w:spacing w:before="0" w:after="0"/>
      </w:pPr>
    </w:p>
    <w:p w:rsidR="00F96A83" w:rsidRDefault="00F96A83" w:rsidP="006B6D17">
      <w:pPr>
        <w:spacing w:before="0" w:after="0"/>
      </w:pPr>
    </w:p>
    <w:p w:rsidR="00F96A83" w:rsidRPr="00995BFA" w:rsidRDefault="00F96A83" w:rsidP="006B6D17">
      <w:pPr>
        <w:spacing w:before="0" w:after="0"/>
      </w:pPr>
      <w:bookmarkStart w:id="0" w:name="_GoBack"/>
      <w:bookmarkEnd w:id="0"/>
    </w:p>
    <w:p w:rsidR="00F443C0" w:rsidRDefault="00F443C0" w:rsidP="00F443C0">
      <w:pPr>
        <w:tabs>
          <w:tab w:val="left" w:pos="720"/>
        </w:tabs>
        <w:spacing w:before="0" w:after="0"/>
        <w:jc w:val="center"/>
        <w:rPr>
          <w:u w:val="single"/>
        </w:rPr>
      </w:pPr>
      <w:r>
        <w:lastRenderedPageBreak/>
        <w:t>V.</w:t>
      </w:r>
      <w:r>
        <w:tab/>
      </w:r>
      <w:r w:rsidRPr="00CD6F52">
        <w:rPr>
          <w:u w:val="single"/>
        </w:rPr>
        <w:t>ORDER</w:t>
      </w:r>
    </w:p>
    <w:p w:rsidR="00F443C0" w:rsidRDefault="00F443C0" w:rsidP="00F443C0">
      <w:pPr>
        <w:tabs>
          <w:tab w:val="left" w:pos="720"/>
        </w:tabs>
        <w:spacing w:before="0" w:after="0"/>
        <w:rPr>
          <w:u w:val="single"/>
        </w:rPr>
      </w:pPr>
    </w:p>
    <w:p w:rsidR="00F443C0" w:rsidRDefault="00F443C0" w:rsidP="00F443C0">
      <w:pPr>
        <w:tabs>
          <w:tab w:val="left" w:pos="720"/>
        </w:tabs>
        <w:spacing w:before="0" w:after="0"/>
        <w:rPr>
          <w:u w:val="single"/>
        </w:rPr>
      </w:pPr>
    </w:p>
    <w:p w:rsidR="00F443C0" w:rsidRDefault="005F4F1B" w:rsidP="00F443C0">
      <w:pPr>
        <w:spacing w:before="0" w:after="0"/>
      </w:pPr>
      <w:r>
        <w:tab/>
      </w:r>
      <w:r w:rsidR="00F443C0">
        <w:t>THEREFORE,</w:t>
      </w:r>
    </w:p>
    <w:p w:rsidR="00F443C0" w:rsidRDefault="00F443C0" w:rsidP="00F443C0">
      <w:pPr>
        <w:spacing w:before="0" w:after="0"/>
      </w:pPr>
      <w:r>
        <w:t xml:space="preserve"> </w:t>
      </w:r>
    </w:p>
    <w:p w:rsidR="00F443C0" w:rsidRDefault="00F443C0" w:rsidP="00F443C0">
      <w:pPr>
        <w:spacing w:before="0" w:after="0"/>
      </w:pPr>
      <w:r>
        <w:tab/>
        <w:t>IT IS RECOMMENDED:</w:t>
      </w:r>
    </w:p>
    <w:p w:rsidR="00F443C0" w:rsidRDefault="00F443C0" w:rsidP="00F443C0">
      <w:pPr>
        <w:spacing w:before="0" w:after="0"/>
      </w:pPr>
    </w:p>
    <w:p w:rsidR="00F443C0" w:rsidRDefault="00F443C0" w:rsidP="00F443C0">
      <w:pPr>
        <w:suppressAutoHyphens/>
        <w:spacing w:before="0" w:after="0"/>
      </w:pPr>
      <w:r>
        <w:tab/>
        <w:t xml:space="preserve">1. </w:t>
      </w:r>
      <w:r>
        <w:tab/>
        <w:t>That the Joint Petition for Settlement filed by Peoples Natural Gas Company LLC and the Coalition for Affordable Utility Services and Energy Efficiency in Pennsylvania</w:t>
      </w:r>
      <w:r w:rsidRPr="00516B08">
        <w:t xml:space="preserve"> </w:t>
      </w:r>
      <w:r>
        <w:t>filed on November 19, 2015, at Docket R-2012-2285985 is hereby approved without modification and adopted.</w:t>
      </w:r>
    </w:p>
    <w:p w:rsidR="00F443C0" w:rsidRDefault="00F443C0" w:rsidP="00F443C0">
      <w:pPr>
        <w:suppressAutoHyphens/>
        <w:spacing w:before="0" w:after="0"/>
      </w:pPr>
    </w:p>
    <w:p w:rsidR="00F443C0" w:rsidRDefault="00F443C0" w:rsidP="00F443C0">
      <w:pPr>
        <w:suppressAutoHyphens/>
        <w:spacing w:before="0" w:after="0"/>
      </w:pPr>
      <w:r>
        <w:tab/>
        <w:t>2.</w:t>
      </w:r>
      <w:r>
        <w:tab/>
      </w:r>
      <w:r w:rsidRPr="00516B08">
        <w:t>That Peoples Natural Gas Company LLC and The Coalition for Affordable Utility Services and Energy Efficiency in Pennsylvania shall comply with the terms and conditions of the Settlement submitted in this proceeding as though each term and condition stated therein had been subject of an individual ordering paragraph.</w:t>
      </w:r>
    </w:p>
    <w:p w:rsidR="00F443C0" w:rsidRDefault="00F443C0" w:rsidP="00F443C0">
      <w:pPr>
        <w:suppressAutoHyphens/>
        <w:spacing w:before="0" w:after="0"/>
      </w:pPr>
    </w:p>
    <w:p w:rsidR="00F443C0" w:rsidRDefault="00F443C0" w:rsidP="00F443C0">
      <w:pPr>
        <w:suppressAutoHyphens/>
        <w:spacing w:before="0" w:after="0"/>
      </w:pPr>
      <w:r>
        <w:tab/>
        <w:t>3.</w:t>
      </w:r>
      <w:r>
        <w:tab/>
        <w:t>That the formal complaint of the Coalition for Affordable Utility Services and Energy Efficiency in Pennsylvania on November 13, 2014, be marked satisfied and closed.</w:t>
      </w:r>
    </w:p>
    <w:p w:rsidR="00F443C0" w:rsidRDefault="00F443C0" w:rsidP="00F443C0">
      <w:pPr>
        <w:suppressAutoHyphens/>
        <w:spacing w:before="0" w:after="0"/>
      </w:pPr>
    </w:p>
    <w:p w:rsidR="00F443C0" w:rsidRDefault="00F443C0" w:rsidP="00F443C0">
      <w:pPr>
        <w:suppressAutoHyphens/>
        <w:spacing w:before="0" w:after="0"/>
      </w:pPr>
      <w:r>
        <w:tab/>
        <w:t>4.</w:t>
      </w:r>
      <w:r>
        <w:tab/>
        <w:t xml:space="preserve">That the Secretary </w:t>
      </w:r>
      <w:proofErr w:type="gramStart"/>
      <w:r>
        <w:t>mark</w:t>
      </w:r>
      <w:proofErr w:type="gramEnd"/>
      <w:r>
        <w:t xml:space="preserve"> this docket closed.</w:t>
      </w:r>
    </w:p>
    <w:p w:rsidR="00F443C0" w:rsidRDefault="00F443C0" w:rsidP="00F443C0">
      <w:pPr>
        <w:suppressAutoHyphens/>
        <w:spacing w:before="0" w:after="0"/>
      </w:pPr>
    </w:p>
    <w:p w:rsidR="00F443C0" w:rsidRDefault="00F443C0" w:rsidP="00F443C0">
      <w:pPr>
        <w:suppressAutoHyphens/>
        <w:spacing w:before="0" w:after="0"/>
      </w:pPr>
    </w:p>
    <w:p w:rsidR="00F443C0" w:rsidRPr="008F06AD" w:rsidRDefault="00F443C0" w:rsidP="00F443C0">
      <w:pPr>
        <w:tabs>
          <w:tab w:val="left" w:pos="0"/>
        </w:tabs>
        <w:spacing w:before="0" w:after="0" w:line="240" w:lineRule="auto"/>
        <w:jc w:val="both"/>
        <w:rPr>
          <w:szCs w:val="24"/>
          <w:u w:val="single"/>
        </w:rPr>
      </w:pPr>
      <w:r w:rsidRPr="008F06AD">
        <w:rPr>
          <w:szCs w:val="24"/>
        </w:rPr>
        <w:t xml:space="preserve">Date:  </w:t>
      </w:r>
      <w:r w:rsidRPr="008F06AD">
        <w:rPr>
          <w:szCs w:val="24"/>
          <w:u w:val="single"/>
        </w:rPr>
        <w:t xml:space="preserve">December </w:t>
      </w:r>
      <w:r w:rsidR="00BE19B9">
        <w:rPr>
          <w:szCs w:val="24"/>
          <w:u w:val="single"/>
        </w:rPr>
        <w:t>2</w:t>
      </w:r>
      <w:r w:rsidRPr="008F06AD">
        <w:rPr>
          <w:szCs w:val="24"/>
          <w:u w:val="single"/>
        </w:rPr>
        <w:t>, 2015</w:t>
      </w:r>
      <w:r w:rsidRPr="008F06AD">
        <w:rPr>
          <w:szCs w:val="24"/>
        </w:rPr>
        <w:tab/>
      </w:r>
      <w:r w:rsidRPr="008F06AD">
        <w:rPr>
          <w:szCs w:val="24"/>
        </w:rPr>
        <w:tab/>
      </w:r>
      <w:r w:rsidRPr="008F06AD">
        <w:rPr>
          <w:szCs w:val="24"/>
        </w:rPr>
        <w:tab/>
      </w:r>
      <w:r w:rsidRPr="008F06AD">
        <w:rPr>
          <w:szCs w:val="24"/>
        </w:rPr>
        <w:tab/>
      </w:r>
      <w:r w:rsidRPr="008F06AD">
        <w:rPr>
          <w:szCs w:val="24"/>
          <w:u w:val="single"/>
        </w:rPr>
        <w:tab/>
      </w:r>
      <w:r w:rsidRPr="008F06AD">
        <w:rPr>
          <w:szCs w:val="24"/>
          <w:u w:val="single"/>
        </w:rPr>
        <w:tab/>
        <w:t>/s/</w:t>
      </w:r>
      <w:r w:rsidRPr="008F06AD">
        <w:rPr>
          <w:szCs w:val="24"/>
          <w:u w:val="single"/>
        </w:rPr>
        <w:tab/>
      </w:r>
      <w:r w:rsidRPr="008F06AD">
        <w:rPr>
          <w:szCs w:val="24"/>
          <w:u w:val="single"/>
        </w:rPr>
        <w:tab/>
      </w:r>
      <w:r w:rsidRPr="008F06AD">
        <w:rPr>
          <w:szCs w:val="24"/>
          <w:u w:val="single"/>
        </w:rPr>
        <w:tab/>
      </w:r>
      <w:r w:rsidRPr="008F06AD">
        <w:rPr>
          <w:szCs w:val="24"/>
          <w:u w:val="single"/>
        </w:rPr>
        <w:tab/>
      </w:r>
    </w:p>
    <w:p w:rsidR="00F443C0" w:rsidRPr="008F06AD" w:rsidRDefault="00F443C0" w:rsidP="00F443C0">
      <w:pPr>
        <w:tabs>
          <w:tab w:val="left" w:pos="0"/>
        </w:tabs>
        <w:spacing w:before="0" w:after="0" w:line="240" w:lineRule="auto"/>
        <w:jc w:val="both"/>
        <w:rPr>
          <w:szCs w:val="24"/>
        </w:rPr>
      </w:pPr>
      <w:r w:rsidRPr="008F06AD">
        <w:rPr>
          <w:szCs w:val="24"/>
        </w:rPr>
        <w:tab/>
      </w:r>
      <w:r w:rsidRPr="008F06AD">
        <w:rPr>
          <w:szCs w:val="24"/>
        </w:rPr>
        <w:tab/>
      </w:r>
      <w:r w:rsidRPr="008F06AD">
        <w:rPr>
          <w:szCs w:val="24"/>
        </w:rPr>
        <w:tab/>
      </w:r>
      <w:r w:rsidRPr="008F06AD">
        <w:rPr>
          <w:szCs w:val="24"/>
        </w:rPr>
        <w:tab/>
      </w:r>
      <w:r w:rsidRPr="008F06AD">
        <w:rPr>
          <w:szCs w:val="24"/>
        </w:rPr>
        <w:tab/>
      </w:r>
      <w:r w:rsidRPr="008F06AD">
        <w:rPr>
          <w:szCs w:val="24"/>
        </w:rPr>
        <w:tab/>
        <w:t>Mary D. Long</w:t>
      </w:r>
    </w:p>
    <w:p w:rsidR="00F443C0" w:rsidRPr="008F06AD" w:rsidRDefault="00F443C0" w:rsidP="00F443C0">
      <w:pPr>
        <w:spacing w:before="0" w:after="0" w:line="240" w:lineRule="auto"/>
      </w:pPr>
      <w:r w:rsidRPr="008F06AD">
        <w:rPr>
          <w:szCs w:val="24"/>
        </w:rPr>
        <w:tab/>
      </w:r>
      <w:r w:rsidRPr="008F06AD">
        <w:rPr>
          <w:szCs w:val="24"/>
        </w:rPr>
        <w:tab/>
      </w:r>
      <w:r w:rsidRPr="008F06AD">
        <w:rPr>
          <w:szCs w:val="24"/>
        </w:rPr>
        <w:tab/>
      </w:r>
      <w:r w:rsidRPr="008F06AD">
        <w:rPr>
          <w:szCs w:val="24"/>
        </w:rPr>
        <w:tab/>
      </w:r>
      <w:r w:rsidRPr="008F06AD">
        <w:rPr>
          <w:szCs w:val="24"/>
        </w:rPr>
        <w:tab/>
      </w:r>
      <w:r w:rsidRPr="008F06AD">
        <w:rPr>
          <w:szCs w:val="24"/>
        </w:rPr>
        <w:tab/>
        <w:t>Administrative Law Judge</w:t>
      </w:r>
    </w:p>
    <w:p w:rsidR="00F443C0" w:rsidRDefault="00F443C0" w:rsidP="00F443C0">
      <w:pPr>
        <w:suppressAutoHyphens/>
        <w:spacing w:before="0" w:after="0" w:line="240" w:lineRule="auto"/>
        <w:rPr>
          <w:spacing w:val="-3"/>
        </w:rPr>
      </w:pPr>
    </w:p>
    <w:p w:rsidR="00F443C0" w:rsidRDefault="00F443C0" w:rsidP="00F443C0">
      <w:pPr>
        <w:suppressAutoHyphens/>
        <w:spacing w:before="0" w:after="0"/>
        <w:rPr>
          <w:spacing w:val="-3"/>
        </w:rPr>
      </w:pPr>
    </w:p>
    <w:p w:rsidR="00F443C0" w:rsidRDefault="00F443C0" w:rsidP="00F443C0">
      <w:pPr>
        <w:tabs>
          <w:tab w:val="left" w:pos="720"/>
        </w:tabs>
        <w:spacing w:before="0" w:after="0"/>
        <w:rPr>
          <w:u w:val="single"/>
        </w:rPr>
      </w:pPr>
    </w:p>
    <w:sectPr w:rsidR="00F443C0" w:rsidSect="00382450">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5B3" w:rsidRDefault="00C855B3" w:rsidP="00995BFA">
      <w:pPr>
        <w:spacing w:before="0" w:after="0" w:line="240" w:lineRule="auto"/>
      </w:pPr>
      <w:r>
        <w:separator/>
      </w:r>
    </w:p>
  </w:endnote>
  <w:endnote w:type="continuationSeparator" w:id="0">
    <w:p w:rsidR="00C855B3" w:rsidRDefault="00C855B3" w:rsidP="00995B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902442"/>
      <w:docPartObj>
        <w:docPartGallery w:val="Page Numbers (Bottom of Page)"/>
        <w:docPartUnique/>
      </w:docPartObj>
    </w:sdtPr>
    <w:sdtEndPr>
      <w:rPr>
        <w:noProof/>
      </w:rPr>
    </w:sdtEndPr>
    <w:sdtContent>
      <w:p w:rsidR="00382450" w:rsidRDefault="00382450">
        <w:pPr>
          <w:pStyle w:val="Footer"/>
          <w:jc w:val="center"/>
        </w:pPr>
        <w:r w:rsidRPr="009A1D05">
          <w:rPr>
            <w:sz w:val="20"/>
          </w:rPr>
          <w:fldChar w:fldCharType="begin"/>
        </w:r>
        <w:r w:rsidRPr="009A1D05">
          <w:rPr>
            <w:sz w:val="20"/>
          </w:rPr>
          <w:instrText xml:space="preserve"> PAGE   \* MERGEFORMAT </w:instrText>
        </w:r>
        <w:r w:rsidRPr="009A1D05">
          <w:rPr>
            <w:sz w:val="20"/>
          </w:rPr>
          <w:fldChar w:fldCharType="separate"/>
        </w:r>
        <w:r w:rsidR="00F96A83">
          <w:rPr>
            <w:noProof/>
            <w:sz w:val="20"/>
          </w:rPr>
          <w:t>11</w:t>
        </w:r>
        <w:r w:rsidRPr="009A1D05">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5B3" w:rsidRDefault="00C855B3" w:rsidP="00995BFA">
      <w:pPr>
        <w:spacing w:before="0" w:after="0" w:line="240" w:lineRule="auto"/>
      </w:pPr>
      <w:r>
        <w:separator/>
      </w:r>
    </w:p>
  </w:footnote>
  <w:footnote w:type="continuationSeparator" w:id="0">
    <w:p w:rsidR="00C855B3" w:rsidRDefault="00C855B3" w:rsidP="00995BFA">
      <w:pPr>
        <w:spacing w:before="0" w:after="0" w:line="240" w:lineRule="auto"/>
      </w:pPr>
      <w:r>
        <w:continuationSeparator/>
      </w:r>
    </w:p>
  </w:footnote>
  <w:footnote w:id="1">
    <w:p w:rsidR="00B63A06" w:rsidRPr="009A1D05" w:rsidRDefault="00B63A06" w:rsidP="00DF3436">
      <w:pPr>
        <w:pStyle w:val="FootnoteText"/>
      </w:pPr>
      <w:r w:rsidRPr="009A1D05">
        <w:rPr>
          <w:rStyle w:val="FootnoteReference"/>
        </w:rPr>
        <w:footnoteRef/>
      </w:r>
      <w:r w:rsidRPr="009A1D05">
        <w:t xml:space="preserve">  </w:t>
      </w:r>
      <w:r w:rsidRPr="009A1D05">
        <w:tab/>
        <w:t>In its answer, Peoples states that it was not formally served with the complaint and was waiting for such service before filing an answer.</w:t>
      </w:r>
    </w:p>
  </w:footnote>
  <w:footnote w:id="2">
    <w:p w:rsidR="000551FD" w:rsidRDefault="000551FD" w:rsidP="00DF3436">
      <w:pPr>
        <w:pStyle w:val="FootnoteText"/>
      </w:pPr>
      <w:r>
        <w:rPr>
          <w:rStyle w:val="FootnoteReference"/>
        </w:rPr>
        <w:footnoteRef/>
      </w:r>
      <w:r>
        <w:t xml:space="preserve">  </w:t>
      </w:r>
      <w:r>
        <w:tab/>
      </w:r>
      <w:proofErr w:type="gramStart"/>
      <w:r>
        <w:t>M-2014-2432515.</w:t>
      </w:r>
      <w:proofErr w:type="gramEnd"/>
    </w:p>
  </w:footnote>
  <w:footnote w:id="3">
    <w:p w:rsidR="009A1D05" w:rsidRDefault="00995BFA" w:rsidP="00DF3436">
      <w:pPr>
        <w:pStyle w:val="FootnoteText"/>
      </w:pPr>
      <w:r w:rsidRPr="004849CD">
        <w:rPr>
          <w:rStyle w:val="FootnoteReference"/>
        </w:rPr>
        <w:footnoteRef/>
      </w:r>
      <w:r w:rsidRPr="004849CD">
        <w:t xml:space="preserve"> </w:t>
      </w:r>
      <w:r w:rsidRPr="004849CD">
        <w:tab/>
      </w:r>
      <w:r w:rsidRPr="004849CD">
        <w:rPr>
          <w:i/>
        </w:rPr>
        <w:t>See</w:t>
      </w:r>
      <w:r w:rsidRPr="004849CD">
        <w:t xml:space="preserve"> 52 </w:t>
      </w:r>
      <w:proofErr w:type="spellStart"/>
      <w:r w:rsidRPr="004849CD">
        <w:t>Pa.Code</w:t>
      </w:r>
      <w:proofErr w:type="spellEnd"/>
      <w:r w:rsidRPr="004849CD">
        <w:t xml:space="preserve"> § 5.231.  </w:t>
      </w:r>
    </w:p>
    <w:p w:rsidR="00DF3436" w:rsidRPr="004849CD" w:rsidRDefault="00DF3436" w:rsidP="00DF3436">
      <w:pPr>
        <w:pStyle w:val="FootnoteText"/>
      </w:pPr>
    </w:p>
  </w:footnote>
  <w:footnote w:id="4">
    <w:p w:rsidR="00995BFA" w:rsidRPr="004849CD" w:rsidRDefault="00995BFA" w:rsidP="00DF3436">
      <w:pPr>
        <w:pStyle w:val="FootnoteText"/>
      </w:pPr>
      <w:r w:rsidRPr="004849CD">
        <w:rPr>
          <w:rStyle w:val="FootnoteReference"/>
        </w:rPr>
        <w:footnoteRef/>
      </w:r>
      <w:r w:rsidRPr="004849CD">
        <w:t xml:space="preserve"> </w:t>
      </w:r>
      <w:r w:rsidRPr="004849CD">
        <w:tab/>
      </w:r>
      <w:r w:rsidRPr="00C91628">
        <w:t xml:space="preserve">Pa. Pub. </w:t>
      </w:r>
      <w:proofErr w:type="gramStart"/>
      <w:r w:rsidRPr="00C91628">
        <w:t xml:space="preserve">Util. </w:t>
      </w:r>
      <w:proofErr w:type="spellStart"/>
      <w:r w:rsidRPr="00C91628">
        <w:t>Comm’n</w:t>
      </w:r>
      <w:proofErr w:type="spellEnd"/>
      <w:r w:rsidRPr="00C91628">
        <w:t xml:space="preserve"> v. CS Water and Sewer Associates</w:t>
      </w:r>
      <w:r w:rsidRPr="004849CD">
        <w:t>, 74 Pa. PUC 767, 771 (1991).</w:t>
      </w:r>
      <w:proofErr w:type="gramEnd"/>
      <w:r w:rsidRPr="004849CD">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970257"/>
    <w:multiLevelType w:val="hybridMultilevel"/>
    <w:tmpl w:val="F8206D68"/>
    <w:lvl w:ilvl="0" w:tplc="AF8867BA">
      <w:start w:val="1"/>
      <w:numFmt w:val="decimal"/>
      <w:pStyle w:val="ListParagraph"/>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0"/>
  </w:num>
  <w:num w:numId="3">
    <w:abstractNumId w:val="15"/>
  </w:num>
  <w:num w:numId="4">
    <w:abstractNumId w:val="19"/>
  </w:num>
  <w:num w:numId="5">
    <w:abstractNumId w:val="6"/>
  </w:num>
  <w:num w:numId="6">
    <w:abstractNumId w:val="4"/>
  </w:num>
  <w:num w:numId="7">
    <w:abstractNumId w:val="3"/>
  </w:num>
  <w:num w:numId="8">
    <w:abstractNumId w:val="18"/>
  </w:num>
  <w:num w:numId="9">
    <w:abstractNumId w:val="1"/>
  </w:num>
  <w:num w:numId="10">
    <w:abstractNumId w:val="12"/>
  </w:num>
  <w:num w:numId="11">
    <w:abstractNumId w:val="14"/>
  </w:num>
  <w:num w:numId="12">
    <w:abstractNumId w:val="8"/>
  </w:num>
  <w:num w:numId="13">
    <w:abstractNumId w:val="13"/>
  </w:num>
  <w:num w:numId="14">
    <w:abstractNumId w:val="16"/>
  </w:num>
  <w:num w:numId="15">
    <w:abstractNumId w:val="0"/>
  </w:num>
  <w:num w:numId="16">
    <w:abstractNumId w:val="11"/>
  </w:num>
  <w:num w:numId="17">
    <w:abstractNumId w:val="11"/>
  </w:num>
  <w:num w:numId="18">
    <w:abstractNumId w:val="5"/>
  </w:num>
  <w:num w:numId="19">
    <w:abstractNumId w:val="9"/>
  </w:num>
  <w:num w:numId="20">
    <w:abstractNumId w:val="20"/>
  </w:num>
  <w:num w:numId="21">
    <w:abstractNumId w:val="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A8A"/>
    <w:rsid w:val="00001E0D"/>
    <w:rsid w:val="00004C37"/>
    <w:rsid w:val="00046148"/>
    <w:rsid w:val="000551FD"/>
    <w:rsid w:val="000E3EDE"/>
    <w:rsid w:val="00112FC5"/>
    <w:rsid w:val="001206BE"/>
    <w:rsid w:val="00120E30"/>
    <w:rsid w:val="00145D52"/>
    <w:rsid w:val="00160EFF"/>
    <w:rsid w:val="00187FB1"/>
    <w:rsid w:val="001A21B6"/>
    <w:rsid w:val="001A7849"/>
    <w:rsid w:val="001B1CBA"/>
    <w:rsid w:val="001B20C9"/>
    <w:rsid w:val="001D2AF7"/>
    <w:rsid w:val="001E36DE"/>
    <w:rsid w:val="00213167"/>
    <w:rsid w:val="002512F9"/>
    <w:rsid w:val="002720BC"/>
    <w:rsid w:val="002943B4"/>
    <w:rsid w:val="0029452A"/>
    <w:rsid w:val="003145FA"/>
    <w:rsid w:val="00316A0E"/>
    <w:rsid w:val="00356733"/>
    <w:rsid w:val="003578A3"/>
    <w:rsid w:val="003637AD"/>
    <w:rsid w:val="00367A41"/>
    <w:rsid w:val="00382450"/>
    <w:rsid w:val="00393C92"/>
    <w:rsid w:val="003953B4"/>
    <w:rsid w:val="003C08C9"/>
    <w:rsid w:val="003E74AA"/>
    <w:rsid w:val="003F4E36"/>
    <w:rsid w:val="003F7309"/>
    <w:rsid w:val="00402FDF"/>
    <w:rsid w:val="00427F13"/>
    <w:rsid w:val="00452E1D"/>
    <w:rsid w:val="00456B8B"/>
    <w:rsid w:val="00476BA2"/>
    <w:rsid w:val="004D2676"/>
    <w:rsid w:val="004D523C"/>
    <w:rsid w:val="005175CB"/>
    <w:rsid w:val="00543C3D"/>
    <w:rsid w:val="005720FC"/>
    <w:rsid w:val="00576FE8"/>
    <w:rsid w:val="00582E7A"/>
    <w:rsid w:val="005A1C17"/>
    <w:rsid w:val="005A2ABA"/>
    <w:rsid w:val="005A6AFA"/>
    <w:rsid w:val="005B7B25"/>
    <w:rsid w:val="005C6853"/>
    <w:rsid w:val="005E7B69"/>
    <w:rsid w:val="005F00A5"/>
    <w:rsid w:val="005F4F1B"/>
    <w:rsid w:val="00607F4F"/>
    <w:rsid w:val="0061775F"/>
    <w:rsid w:val="0064254A"/>
    <w:rsid w:val="00670330"/>
    <w:rsid w:val="00696C0D"/>
    <w:rsid w:val="006B0675"/>
    <w:rsid w:val="006B6D17"/>
    <w:rsid w:val="006F0329"/>
    <w:rsid w:val="00700807"/>
    <w:rsid w:val="00712E58"/>
    <w:rsid w:val="0076544C"/>
    <w:rsid w:val="00792796"/>
    <w:rsid w:val="007E6779"/>
    <w:rsid w:val="007F6DD5"/>
    <w:rsid w:val="00820B4C"/>
    <w:rsid w:val="00821A94"/>
    <w:rsid w:val="008413D4"/>
    <w:rsid w:val="008529D2"/>
    <w:rsid w:val="008720B9"/>
    <w:rsid w:val="00890851"/>
    <w:rsid w:val="008A5ECE"/>
    <w:rsid w:val="00911A8F"/>
    <w:rsid w:val="009540A8"/>
    <w:rsid w:val="00963076"/>
    <w:rsid w:val="00995BFA"/>
    <w:rsid w:val="009A1D05"/>
    <w:rsid w:val="00AA2EC5"/>
    <w:rsid w:val="00AB4C73"/>
    <w:rsid w:val="00AE6F47"/>
    <w:rsid w:val="00B35371"/>
    <w:rsid w:val="00B63A06"/>
    <w:rsid w:val="00B9168F"/>
    <w:rsid w:val="00B91E47"/>
    <w:rsid w:val="00BC6B21"/>
    <w:rsid w:val="00BE19B9"/>
    <w:rsid w:val="00BE738B"/>
    <w:rsid w:val="00C60DCF"/>
    <w:rsid w:val="00C855B3"/>
    <w:rsid w:val="00C87E57"/>
    <w:rsid w:val="00C91628"/>
    <w:rsid w:val="00CD3BCF"/>
    <w:rsid w:val="00CD7345"/>
    <w:rsid w:val="00CD7589"/>
    <w:rsid w:val="00D00169"/>
    <w:rsid w:val="00D02252"/>
    <w:rsid w:val="00D224E5"/>
    <w:rsid w:val="00DD5C37"/>
    <w:rsid w:val="00DD7231"/>
    <w:rsid w:val="00DF3436"/>
    <w:rsid w:val="00DF561F"/>
    <w:rsid w:val="00E4239A"/>
    <w:rsid w:val="00E616D6"/>
    <w:rsid w:val="00EC1CBA"/>
    <w:rsid w:val="00EE7801"/>
    <w:rsid w:val="00F16554"/>
    <w:rsid w:val="00F22241"/>
    <w:rsid w:val="00F443C0"/>
    <w:rsid w:val="00F544E1"/>
    <w:rsid w:val="00F633D3"/>
    <w:rsid w:val="00F70F51"/>
    <w:rsid w:val="00F9501F"/>
    <w:rsid w:val="00F96A83"/>
    <w:rsid w:val="00F977C3"/>
    <w:rsid w:val="00FB4406"/>
    <w:rsid w:val="00FB4F1B"/>
    <w:rsid w:val="00FB6A8A"/>
    <w:rsid w:val="00FD5C10"/>
    <w:rsid w:val="00FE52C4"/>
    <w:rsid w:val="00FF4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145D52"/>
    <w:pPr>
      <w:keepNext/>
      <w:keepLines/>
      <w:spacing w:before="480" w:after="0"/>
      <w:jc w:val="center"/>
      <w:outlineLvl w:val="0"/>
    </w:pPr>
    <w:rPr>
      <w:rFonts w:eastAsiaTheme="majorEastAsia" w:cstheme="majorBidi"/>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145FA"/>
    <w:pPr>
      <w:numPr>
        <w:numId w:val="22"/>
      </w:numPr>
    </w:pPr>
  </w:style>
  <w:style w:type="paragraph" w:styleId="FootnoteText">
    <w:name w:val="footnote text"/>
    <w:aliases w:val="Car,fn,ALTS FOOTNOTE,Footnote Text 2,Footnote text,FOOTNOTE,fn Char Char,fn Char,Footnote Text Char1 Char,Footnote Text Char Char Char,ALTS FOOTNOTE Char Char Char,Footnote Text Char2 Char Char Char"/>
    <w:link w:val="FootnoteTextChar"/>
    <w:autoRedefine/>
    <w:uiPriority w:val="99"/>
    <w:unhideWhenUsed/>
    <w:qFormat/>
    <w:rsid w:val="00DF3436"/>
    <w:pPr>
      <w:spacing w:after="0" w:line="240" w:lineRule="auto"/>
    </w:pPr>
    <w:rPr>
      <w:rFonts w:ascii="Times New Roman" w:hAnsi="Times New Roman" w:cs="Times New Roman"/>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rsid w:val="00DF3436"/>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character" w:styleId="FootnoteReference">
    <w:name w:val="footnote reference"/>
    <w:aliases w:val="o,fr"/>
    <w:basedOn w:val="DefaultParagraphFont"/>
    <w:uiPriority w:val="99"/>
    <w:unhideWhenUsed/>
    <w:rsid w:val="00995BFA"/>
    <w:rPr>
      <w:rFonts w:ascii="Times New Roman" w:hAnsi="Times New Roman" w:cs="Times New Roman" w:hint="default"/>
      <w:vertAlign w:val="superscript"/>
    </w:rPr>
  </w:style>
  <w:style w:type="character" w:customStyle="1" w:styleId="Heading1Char">
    <w:name w:val="Heading 1 Char"/>
    <w:basedOn w:val="DefaultParagraphFont"/>
    <w:link w:val="Heading1"/>
    <w:uiPriority w:val="9"/>
    <w:rsid w:val="00145D52"/>
    <w:rPr>
      <w:rFonts w:ascii="Times New Roman" w:eastAsiaTheme="majorEastAsia" w:hAnsi="Times New Roman" w:cstheme="majorBidi"/>
      <w:bCs/>
      <w:sz w:val="24"/>
      <w:szCs w:val="28"/>
      <w:u w:val="single"/>
    </w:rPr>
  </w:style>
  <w:style w:type="paragraph" w:styleId="Header">
    <w:name w:val="header"/>
    <w:basedOn w:val="Normal"/>
    <w:link w:val="HeaderChar"/>
    <w:uiPriority w:val="99"/>
    <w:unhideWhenUsed/>
    <w:rsid w:val="00382450"/>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382450"/>
    <w:rPr>
      <w:rFonts w:ascii="Times New Roman" w:hAnsi="Times New Roman" w:cs="Times New Roman"/>
      <w:sz w:val="24"/>
      <w:szCs w:val="20"/>
    </w:rPr>
  </w:style>
  <w:style w:type="paragraph" w:styleId="Footer">
    <w:name w:val="footer"/>
    <w:basedOn w:val="Normal"/>
    <w:link w:val="FooterChar"/>
    <w:uiPriority w:val="99"/>
    <w:unhideWhenUsed/>
    <w:rsid w:val="00382450"/>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382450"/>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C9162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6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145D52"/>
    <w:pPr>
      <w:keepNext/>
      <w:keepLines/>
      <w:spacing w:before="480" w:after="0"/>
      <w:jc w:val="center"/>
      <w:outlineLvl w:val="0"/>
    </w:pPr>
    <w:rPr>
      <w:rFonts w:eastAsiaTheme="majorEastAsia" w:cstheme="majorBidi"/>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145FA"/>
    <w:pPr>
      <w:numPr>
        <w:numId w:val="22"/>
      </w:numPr>
    </w:pPr>
  </w:style>
  <w:style w:type="paragraph" w:styleId="FootnoteText">
    <w:name w:val="footnote text"/>
    <w:aliases w:val="Car,fn,ALTS FOOTNOTE,Footnote Text 2,Footnote text,FOOTNOTE,fn Char Char,fn Char,Footnote Text Char1 Char,Footnote Text Char Char Char,ALTS FOOTNOTE Char Char Char,Footnote Text Char2 Char Char Char"/>
    <w:link w:val="FootnoteTextChar"/>
    <w:autoRedefine/>
    <w:uiPriority w:val="99"/>
    <w:unhideWhenUsed/>
    <w:qFormat/>
    <w:rsid w:val="00DF3436"/>
    <w:pPr>
      <w:spacing w:after="0" w:line="240" w:lineRule="auto"/>
    </w:pPr>
    <w:rPr>
      <w:rFonts w:ascii="Times New Roman" w:hAnsi="Times New Roman" w:cs="Times New Roman"/>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rsid w:val="00DF3436"/>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character" w:styleId="FootnoteReference">
    <w:name w:val="footnote reference"/>
    <w:aliases w:val="o,fr"/>
    <w:basedOn w:val="DefaultParagraphFont"/>
    <w:uiPriority w:val="99"/>
    <w:unhideWhenUsed/>
    <w:rsid w:val="00995BFA"/>
    <w:rPr>
      <w:rFonts w:ascii="Times New Roman" w:hAnsi="Times New Roman" w:cs="Times New Roman" w:hint="default"/>
      <w:vertAlign w:val="superscript"/>
    </w:rPr>
  </w:style>
  <w:style w:type="character" w:customStyle="1" w:styleId="Heading1Char">
    <w:name w:val="Heading 1 Char"/>
    <w:basedOn w:val="DefaultParagraphFont"/>
    <w:link w:val="Heading1"/>
    <w:uiPriority w:val="9"/>
    <w:rsid w:val="00145D52"/>
    <w:rPr>
      <w:rFonts w:ascii="Times New Roman" w:eastAsiaTheme="majorEastAsia" w:hAnsi="Times New Roman" w:cstheme="majorBidi"/>
      <w:bCs/>
      <w:sz w:val="24"/>
      <w:szCs w:val="28"/>
      <w:u w:val="single"/>
    </w:rPr>
  </w:style>
  <w:style w:type="paragraph" w:styleId="Header">
    <w:name w:val="header"/>
    <w:basedOn w:val="Normal"/>
    <w:link w:val="HeaderChar"/>
    <w:uiPriority w:val="99"/>
    <w:unhideWhenUsed/>
    <w:rsid w:val="00382450"/>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382450"/>
    <w:rPr>
      <w:rFonts w:ascii="Times New Roman" w:hAnsi="Times New Roman" w:cs="Times New Roman"/>
      <w:sz w:val="24"/>
      <w:szCs w:val="20"/>
    </w:rPr>
  </w:style>
  <w:style w:type="paragraph" w:styleId="Footer">
    <w:name w:val="footer"/>
    <w:basedOn w:val="Normal"/>
    <w:link w:val="FooterChar"/>
    <w:uiPriority w:val="99"/>
    <w:unhideWhenUsed/>
    <w:rsid w:val="00382450"/>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382450"/>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C9162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6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ED799-C900-4562-B7C5-98DDA2E96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3051</Words>
  <Characters>17395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sandra elizabeth oldynski</cp:lastModifiedBy>
  <cp:revision>13</cp:revision>
  <cp:lastPrinted>2015-12-01T21:28:00Z</cp:lastPrinted>
  <dcterms:created xsi:type="dcterms:W3CDTF">2015-12-02T16:07:00Z</dcterms:created>
  <dcterms:modified xsi:type="dcterms:W3CDTF">2015-12-07T15:21:00Z</dcterms:modified>
</cp:coreProperties>
</file>