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2D6" w:rsidRDefault="008C62D6" w:rsidP="008C62D6">
      <w:pPr>
        <w:jc w:val="center"/>
        <w:rPr>
          <w:b/>
        </w:rPr>
      </w:pPr>
      <w:r>
        <w:rPr>
          <w:b/>
        </w:rPr>
        <w:t>BEFORE THE</w:t>
      </w:r>
    </w:p>
    <w:p w:rsidR="008C62D6" w:rsidRDefault="008C62D6" w:rsidP="008C62D6">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8C62D6" w:rsidRDefault="008C62D6" w:rsidP="008C62D6"/>
    <w:p w:rsidR="008C62D6" w:rsidRDefault="008C62D6" w:rsidP="008C62D6"/>
    <w:p w:rsidR="008C62D6" w:rsidRDefault="008C62D6" w:rsidP="008C62D6"/>
    <w:p w:rsidR="008C62D6" w:rsidRDefault="008C62D6" w:rsidP="008C62D6">
      <w:proofErr w:type="spellStart"/>
      <w:r>
        <w:t>Loni</w:t>
      </w:r>
      <w:proofErr w:type="spellEnd"/>
      <w:r>
        <w:t xml:space="preserve"> Durante</w:t>
      </w:r>
      <w:r>
        <w:tab/>
        <w:t xml:space="preserve"> </w:t>
      </w:r>
      <w:r>
        <w:tab/>
      </w:r>
      <w:r>
        <w:tab/>
      </w:r>
      <w:r>
        <w:tab/>
      </w:r>
      <w:r>
        <w:tab/>
      </w:r>
      <w:r>
        <w:tab/>
        <w:t>:</w:t>
      </w:r>
      <w:r>
        <w:tab/>
      </w:r>
      <w:r>
        <w:tab/>
      </w:r>
    </w:p>
    <w:p w:rsidR="008C62D6" w:rsidRDefault="008C62D6" w:rsidP="008C62D6">
      <w:r>
        <w:tab/>
      </w:r>
      <w:r>
        <w:tab/>
      </w:r>
      <w:r>
        <w:tab/>
      </w:r>
      <w:r>
        <w:tab/>
      </w:r>
      <w:r>
        <w:tab/>
      </w:r>
      <w:r>
        <w:tab/>
      </w:r>
      <w:r>
        <w:tab/>
        <w:t>:</w:t>
      </w:r>
      <w:r>
        <w:tab/>
      </w:r>
      <w:r>
        <w:tab/>
      </w:r>
    </w:p>
    <w:p w:rsidR="008C62D6" w:rsidRDefault="00C33E86" w:rsidP="008C62D6">
      <w:r>
        <w:tab/>
      </w:r>
      <w:r w:rsidR="008C62D6">
        <w:t xml:space="preserve">v. </w:t>
      </w:r>
      <w:r w:rsidR="008C62D6">
        <w:tab/>
      </w:r>
      <w:r w:rsidR="008C62D6">
        <w:tab/>
      </w:r>
      <w:r w:rsidR="008C62D6">
        <w:tab/>
      </w:r>
      <w:r w:rsidR="008C62D6">
        <w:tab/>
      </w:r>
      <w:r w:rsidR="008C62D6">
        <w:tab/>
      </w:r>
      <w:r w:rsidR="008C62D6">
        <w:tab/>
        <w:t xml:space="preserve">: </w:t>
      </w:r>
      <w:r w:rsidR="008C62D6">
        <w:tab/>
      </w:r>
      <w:r w:rsidR="008C62D6">
        <w:tab/>
        <w:t>F-2015-2487082</w:t>
      </w:r>
    </w:p>
    <w:p w:rsidR="008C62D6" w:rsidRDefault="008C62D6" w:rsidP="008C62D6">
      <w:r>
        <w:tab/>
      </w:r>
      <w:r>
        <w:tab/>
      </w:r>
      <w:r>
        <w:tab/>
      </w:r>
      <w:r>
        <w:tab/>
      </w:r>
      <w:r>
        <w:tab/>
      </w:r>
      <w:r>
        <w:tab/>
      </w:r>
      <w:r>
        <w:tab/>
        <w:t>:</w:t>
      </w:r>
    </w:p>
    <w:p w:rsidR="008C62D6" w:rsidRDefault="008C62D6" w:rsidP="008C62D6">
      <w:r>
        <w:t xml:space="preserve">Blue Pilot Energy, LLC, and </w:t>
      </w:r>
      <w:r>
        <w:tab/>
      </w:r>
      <w:r>
        <w:tab/>
      </w:r>
      <w:r>
        <w:tab/>
      </w:r>
      <w:r>
        <w:tab/>
        <w:t>:</w:t>
      </w:r>
    </w:p>
    <w:p w:rsidR="008C62D6" w:rsidRDefault="008C62D6" w:rsidP="008C62D6">
      <w:r>
        <w:t>PPL Electric Utilities Corporation</w:t>
      </w:r>
      <w:r>
        <w:tab/>
      </w:r>
      <w:r>
        <w:tab/>
      </w:r>
      <w:r>
        <w:tab/>
        <w:t>:</w:t>
      </w:r>
    </w:p>
    <w:p w:rsidR="008C62D6" w:rsidRDefault="008C62D6" w:rsidP="008C62D6"/>
    <w:p w:rsidR="008C62D6" w:rsidRDefault="008C62D6" w:rsidP="008C62D6"/>
    <w:p w:rsidR="008C62D6" w:rsidRPr="00FB448C" w:rsidRDefault="008C62D6" w:rsidP="008C62D6"/>
    <w:p w:rsidR="008C62D6" w:rsidRPr="00FB448C" w:rsidRDefault="008C62D6" w:rsidP="008C62D6">
      <w:pPr>
        <w:pStyle w:val="Heading1"/>
        <w:rPr>
          <w:b/>
          <w:caps/>
          <w:sz w:val="24"/>
          <w:szCs w:val="24"/>
        </w:rPr>
      </w:pPr>
      <w:r w:rsidRPr="00FB448C">
        <w:rPr>
          <w:b/>
          <w:caps/>
          <w:sz w:val="24"/>
          <w:szCs w:val="24"/>
        </w:rPr>
        <w:t>Initial Decision</w:t>
      </w:r>
    </w:p>
    <w:p w:rsidR="008C62D6" w:rsidRPr="00FB448C" w:rsidRDefault="008C62D6" w:rsidP="008C62D6">
      <w:pPr>
        <w:jc w:val="center"/>
        <w:rPr>
          <w:u w:val="single"/>
        </w:rPr>
      </w:pPr>
    </w:p>
    <w:p w:rsidR="008C62D6" w:rsidRPr="00FB448C" w:rsidRDefault="008C62D6" w:rsidP="008C62D6">
      <w:pPr>
        <w:jc w:val="center"/>
        <w:rPr>
          <w:u w:val="single"/>
        </w:rPr>
      </w:pPr>
    </w:p>
    <w:p w:rsidR="008C62D6" w:rsidRPr="00FB448C" w:rsidRDefault="008C62D6" w:rsidP="008C62D6">
      <w:pPr>
        <w:jc w:val="center"/>
      </w:pPr>
      <w:r w:rsidRPr="00FB448C">
        <w:t>Before</w:t>
      </w:r>
    </w:p>
    <w:p w:rsidR="008C62D6" w:rsidRPr="00FB448C" w:rsidRDefault="008C62D6" w:rsidP="008C62D6">
      <w:pPr>
        <w:jc w:val="center"/>
      </w:pPr>
      <w:r w:rsidRPr="00FB448C">
        <w:t>Katrina L. Dunderdale</w:t>
      </w:r>
    </w:p>
    <w:p w:rsidR="008C62D6" w:rsidRPr="00FB448C" w:rsidRDefault="008C62D6" w:rsidP="008C62D6">
      <w:pPr>
        <w:jc w:val="center"/>
      </w:pPr>
      <w:r w:rsidRPr="00FB448C">
        <w:t>Administrative Law Judge</w:t>
      </w:r>
    </w:p>
    <w:p w:rsidR="008C62D6" w:rsidRDefault="008C62D6" w:rsidP="008C62D6">
      <w:pPr>
        <w:jc w:val="center"/>
      </w:pPr>
    </w:p>
    <w:p w:rsidR="008C62D6" w:rsidRDefault="008C62D6" w:rsidP="008C62D6">
      <w:pPr>
        <w:jc w:val="center"/>
      </w:pPr>
    </w:p>
    <w:p w:rsidR="008C62D6" w:rsidRPr="000B0551" w:rsidRDefault="008C62D6" w:rsidP="008C62D6">
      <w:pPr>
        <w:jc w:val="center"/>
        <w:rPr>
          <w:u w:val="single"/>
        </w:rPr>
      </w:pPr>
      <w:r w:rsidRPr="000B0551">
        <w:rPr>
          <w:u w:val="single"/>
        </w:rPr>
        <w:t>INTRODUCTION</w:t>
      </w:r>
    </w:p>
    <w:p w:rsidR="008C62D6" w:rsidRDefault="008C62D6" w:rsidP="008C62D6">
      <w:pPr>
        <w:spacing w:line="360" w:lineRule="auto"/>
      </w:pPr>
    </w:p>
    <w:p w:rsidR="008C62D6" w:rsidRDefault="008C62D6" w:rsidP="008C62D6">
      <w:pPr>
        <w:spacing w:line="360" w:lineRule="auto"/>
      </w:pPr>
      <w:r>
        <w:tab/>
      </w:r>
      <w:r>
        <w:tab/>
        <w:t>This decision d</w:t>
      </w:r>
      <w:r w:rsidR="00E36C2A">
        <w:t>ismisses</w:t>
      </w:r>
      <w:r>
        <w:t xml:space="preserve"> </w:t>
      </w:r>
      <w:r w:rsidR="009857C2">
        <w:t>a formal</w:t>
      </w:r>
      <w:r>
        <w:t xml:space="preserve"> complaint </w:t>
      </w:r>
      <w:r w:rsidRPr="002B490F">
        <w:t xml:space="preserve">alleging </w:t>
      </w:r>
      <w:r w:rsidR="00E36C2A">
        <w:t>Complainant</w:t>
      </w:r>
      <w:r w:rsidR="00CA1BC8">
        <w:t xml:space="preserve"> was</w:t>
      </w:r>
      <w:r w:rsidR="00506B49">
        <w:t xml:space="preserve"> incorrectly charged for electric supply and</w:t>
      </w:r>
      <w:r w:rsidRPr="002B490F">
        <w:t xml:space="preserve"> Respondent</w:t>
      </w:r>
      <w:r w:rsidR="00506B49">
        <w:t>s</w:t>
      </w:r>
      <w:r w:rsidRPr="002B490F">
        <w:t xml:space="preserve"> unilaterally, without notice, increased Complainant’s rate</w:t>
      </w:r>
      <w:r>
        <w:t xml:space="preserve">.  </w:t>
      </w:r>
    </w:p>
    <w:p w:rsidR="00B6749F" w:rsidRDefault="00B6749F" w:rsidP="008C62D6">
      <w:pPr>
        <w:spacing w:line="360" w:lineRule="auto"/>
      </w:pPr>
    </w:p>
    <w:p w:rsidR="008C62D6" w:rsidRPr="00FB448C" w:rsidRDefault="008C62D6" w:rsidP="0098677F">
      <w:pPr>
        <w:pStyle w:val="Heading1"/>
        <w:spacing w:line="360" w:lineRule="auto"/>
        <w:rPr>
          <w:sz w:val="24"/>
          <w:szCs w:val="24"/>
          <w:u w:val="none"/>
        </w:rPr>
      </w:pPr>
      <w:r w:rsidRPr="00FB448C">
        <w:rPr>
          <w:sz w:val="24"/>
          <w:szCs w:val="24"/>
        </w:rPr>
        <w:t>HISTORY OF THE PROCEEDING</w:t>
      </w:r>
    </w:p>
    <w:p w:rsidR="008C62D6" w:rsidRPr="0065319E" w:rsidRDefault="008C62D6" w:rsidP="008C62D6">
      <w:pPr>
        <w:spacing w:line="360" w:lineRule="auto"/>
        <w:ind w:firstLine="1440"/>
      </w:pPr>
    </w:p>
    <w:p w:rsidR="008C62D6" w:rsidRPr="0065319E" w:rsidRDefault="008C62D6" w:rsidP="00506B49">
      <w:pPr>
        <w:tabs>
          <w:tab w:val="left" w:pos="-1440"/>
          <w:tab w:val="left" w:pos="-720"/>
        </w:tabs>
        <w:suppressAutoHyphens/>
        <w:spacing w:line="360" w:lineRule="auto"/>
        <w:ind w:firstLine="1440"/>
      </w:pPr>
      <w:r w:rsidRPr="0065319E">
        <w:t xml:space="preserve">On </w:t>
      </w:r>
      <w:r w:rsidR="00506B49">
        <w:t>June 5</w:t>
      </w:r>
      <w:r w:rsidRPr="0065319E">
        <w:t xml:space="preserve">, 2015, </w:t>
      </w:r>
      <w:proofErr w:type="spellStart"/>
      <w:r w:rsidR="00506B49">
        <w:t>Loni</w:t>
      </w:r>
      <w:proofErr w:type="spellEnd"/>
      <w:r w:rsidR="00506B49">
        <w:t xml:space="preserve"> Durante</w:t>
      </w:r>
      <w:r w:rsidRPr="0065319E">
        <w:t xml:space="preserve"> (Complainant or Ms. </w:t>
      </w:r>
      <w:r w:rsidR="00506B49">
        <w:t>Durante</w:t>
      </w:r>
      <w:r w:rsidRPr="0065319E">
        <w:t xml:space="preserve">) filed a formal complaint </w:t>
      </w:r>
      <w:r w:rsidR="0098677F">
        <w:t xml:space="preserve">with the Public Utility Commission (Commission) </w:t>
      </w:r>
      <w:r w:rsidRPr="0065319E">
        <w:t xml:space="preserve">against </w:t>
      </w:r>
      <w:r w:rsidR="00506B49">
        <w:t>Blue Pilot Energy, LLC</w:t>
      </w:r>
      <w:r w:rsidRPr="0065319E">
        <w:t xml:space="preserve"> (Respondent or </w:t>
      </w:r>
      <w:r w:rsidR="00506B49">
        <w:t>Blue Pilot</w:t>
      </w:r>
      <w:r w:rsidRPr="0065319E">
        <w:t xml:space="preserve">) </w:t>
      </w:r>
      <w:r w:rsidR="00506B49">
        <w:t xml:space="preserve">and PPL Electric Utilities Corporation </w:t>
      </w:r>
      <w:r w:rsidR="00506B49" w:rsidRPr="002B490F">
        <w:t xml:space="preserve">alleging that there were incorrect charges on </w:t>
      </w:r>
      <w:r w:rsidR="00506B49">
        <w:t>her</w:t>
      </w:r>
      <w:r w:rsidR="00506B49" w:rsidRPr="002B490F">
        <w:t xml:space="preserve"> bill</w:t>
      </w:r>
      <w:r w:rsidR="00506B49">
        <w:t>.</w:t>
      </w:r>
      <w:r w:rsidR="00506B49">
        <w:rPr>
          <w:rStyle w:val="FootnoteReference"/>
        </w:rPr>
        <w:footnoteReference w:id="1"/>
      </w:r>
      <w:r w:rsidR="00506B49">
        <w:t xml:space="preserve">  Complainant contended</w:t>
      </w:r>
      <w:r w:rsidR="00506B49" w:rsidRPr="002B490F">
        <w:t xml:space="preserve"> </w:t>
      </w:r>
      <w:r w:rsidR="00506B49">
        <w:t xml:space="preserve">Blue Pilot </w:t>
      </w:r>
      <w:r w:rsidR="00506B49" w:rsidRPr="002B490F">
        <w:t xml:space="preserve">unilaterally, without notice, increased </w:t>
      </w:r>
      <w:r w:rsidR="00506B49">
        <w:t>her electric supply</w:t>
      </w:r>
      <w:r w:rsidR="00506B49" w:rsidRPr="002B490F">
        <w:t xml:space="preserve"> rate</w:t>
      </w:r>
      <w:r>
        <w:t xml:space="preserve"> </w:t>
      </w:r>
      <w:r w:rsidRPr="0065319E">
        <w:t xml:space="preserve">on a residential electric account for </w:t>
      </w:r>
      <w:r w:rsidR="00506B49">
        <w:t>a previous residence</w:t>
      </w:r>
      <w:r w:rsidRPr="0065319E">
        <w:t xml:space="preserve">.  </w:t>
      </w:r>
      <w:r w:rsidR="00506B49" w:rsidRPr="002B490F">
        <w:t>Complainant want</w:t>
      </w:r>
      <w:r w:rsidR="00E36C2A">
        <w:t>ed</w:t>
      </w:r>
      <w:r w:rsidR="00506B49" w:rsidRPr="002B490F">
        <w:t xml:space="preserve"> Respondent to </w:t>
      </w:r>
      <w:r w:rsidR="00506B49">
        <w:t>charge only the amount she agreed to pay originally</w:t>
      </w:r>
      <w:r w:rsidR="00506B49" w:rsidRPr="002B490F">
        <w:t xml:space="preserve"> and </w:t>
      </w:r>
      <w:r w:rsidR="00506B49">
        <w:lastRenderedPageBreak/>
        <w:t>want</w:t>
      </w:r>
      <w:r w:rsidR="00E36C2A">
        <w:t>ed</w:t>
      </w:r>
      <w:r w:rsidR="00506B49">
        <w:t xml:space="preserve"> Respondent to issue a </w:t>
      </w:r>
      <w:r w:rsidR="00506B49" w:rsidRPr="002B490F">
        <w:t xml:space="preserve">refund </w:t>
      </w:r>
      <w:r w:rsidR="00506B49">
        <w:t xml:space="preserve">for charges in excess of the fixed rate.  </w:t>
      </w:r>
      <w:r w:rsidRPr="0065319E">
        <w:t xml:space="preserve">On </w:t>
      </w:r>
      <w:r w:rsidR="00506B49">
        <w:t>June 22</w:t>
      </w:r>
      <w:r w:rsidRPr="0065319E">
        <w:t xml:space="preserve">, 2015, Respondent filed an Answer </w:t>
      </w:r>
      <w:r w:rsidR="00506B49">
        <w:t>specifically denying</w:t>
      </w:r>
      <w:r>
        <w:t xml:space="preserve"> </w:t>
      </w:r>
      <w:r w:rsidR="00506B49">
        <w:t xml:space="preserve">each and every allegation.  Respondent also alleged thirty (30) affirmative defenses but did not provide a Notice to Plead.  </w:t>
      </w:r>
      <w:r w:rsidRPr="0065319E">
        <w:t xml:space="preserve"> </w:t>
      </w:r>
    </w:p>
    <w:p w:rsidR="008C62D6" w:rsidRDefault="008C62D6" w:rsidP="008C62D6">
      <w:pPr>
        <w:spacing w:line="360" w:lineRule="auto"/>
      </w:pPr>
    </w:p>
    <w:p w:rsidR="008C62D6" w:rsidRPr="0065319E" w:rsidRDefault="008C62D6" w:rsidP="008C62D6">
      <w:pPr>
        <w:spacing w:line="360" w:lineRule="auto"/>
      </w:pPr>
      <w:r w:rsidRPr="0065319E">
        <w:tab/>
      </w:r>
      <w:r w:rsidRPr="0065319E">
        <w:tab/>
        <w:t xml:space="preserve">On </w:t>
      </w:r>
      <w:r w:rsidR="00506B49">
        <w:t>June 30</w:t>
      </w:r>
      <w:r w:rsidRPr="0065319E">
        <w:t>, 2015, the Office of Administrative Law Judge issued a Telephone He</w:t>
      </w:r>
      <w:r w:rsidR="00506B49">
        <w:t xml:space="preserve">aring Notice, which scheduled an </w:t>
      </w:r>
      <w:r w:rsidRPr="0065319E">
        <w:t>initial</w:t>
      </w:r>
      <w:r w:rsidR="00506B49">
        <w:t xml:space="preserve"> call-in telephonic</w:t>
      </w:r>
      <w:r w:rsidRPr="0065319E">
        <w:t xml:space="preserve"> hearing to be conducted on </w:t>
      </w:r>
      <w:r w:rsidR="00506B49">
        <w:t>Thursday, August 20</w:t>
      </w:r>
      <w:r w:rsidRPr="0065319E">
        <w:t xml:space="preserve">, 2015.  On </w:t>
      </w:r>
      <w:r w:rsidR="00506B49">
        <w:t>July 10</w:t>
      </w:r>
      <w:r w:rsidRPr="0065319E">
        <w:t>, 2015, the presiding officer issued a Prehearing Order</w:t>
      </w:r>
      <w:r w:rsidR="009C2F2A">
        <w:t xml:space="preserve"> which set forth information on various procedural matters</w:t>
      </w:r>
      <w:r w:rsidRPr="0065319E">
        <w:t xml:space="preserve">.  </w:t>
      </w:r>
    </w:p>
    <w:p w:rsidR="00506B49" w:rsidRDefault="00506B49" w:rsidP="008C62D6">
      <w:pPr>
        <w:spacing w:line="360" w:lineRule="auto"/>
        <w:ind w:firstLine="1440"/>
      </w:pPr>
    </w:p>
    <w:p w:rsidR="008C62D6" w:rsidRDefault="008C62D6" w:rsidP="008C62D6">
      <w:pPr>
        <w:spacing w:line="360" w:lineRule="auto"/>
      </w:pPr>
      <w:r w:rsidRPr="0065319E">
        <w:tab/>
      </w:r>
      <w:r w:rsidRPr="0065319E">
        <w:tab/>
        <w:t xml:space="preserve">The presiding officer convened the initial hearing as scheduled on </w:t>
      </w:r>
      <w:r w:rsidR="009C2F2A">
        <w:t>August 20</w:t>
      </w:r>
      <w:r>
        <w:t>, 2015</w:t>
      </w:r>
      <w:r w:rsidRPr="0065319E">
        <w:t xml:space="preserve">.  Complainant appeared </w:t>
      </w:r>
      <w:r w:rsidRPr="00AB64FD">
        <w:rPr>
          <w:i/>
        </w:rPr>
        <w:t>pro se</w:t>
      </w:r>
      <w:r>
        <w:t xml:space="preserve"> and testified </w:t>
      </w:r>
      <w:r w:rsidR="009C2F2A">
        <w:t>on her own behalf</w:t>
      </w:r>
      <w:r>
        <w:t xml:space="preserve">.  She offered no exhibits.  Respondent was represented by </w:t>
      </w:r>
      <w:r w:rsidR="009C2F2A">
        <w:t>Karen O. Moury</w:t>
      </w:r>
      <w:r>
        <w:t xml:space="preserve">, Esquire.  </w:t>
      </w:r>
      <w:r w:rsidRPr="00B73D10">
        <w:t xml:space="preserve">Attorney </w:t>
      </w:r>
      <w:r w:rsidR="009C2F2A">
        <w:t>Moury</w:t>
      </w:r>
      <w:r w:rsidRPr="00B73D10">
        <w:t xml:space="preserve"> </w:t>
      </w:r>
      <w:r w:rsidR="009C2F2A">
        <w:t>offered no exhibits and did not present the</w:t>
      </w:r>
      <w:r w:rsidRPr="00B73D10">
        <w:t xml:space="preserve"> testimony </w:t>
      </w:r>
      <w:r w:rsidR="009C2F2A">
        <w:t>of a witness</w:t>
      </w:r>
      <w:r>
        <w:t xml:space="preserve">.  </w:t>
      </w:r>
      <w:r w:rsidR="00264585">
        <w:t xml:space="preserve">In lieu of offering evidence, Respondent made an oral motion on the record to dismiss the formal complaint because the Commission lacks jurisdiction to determine if the commodity price was too high and because the Commission has said it will order a refund only in very limited circumstances.  </w:t>
      </w:r>
      <w:r w:rsidRPr="00B73D10">
        <w:t>Complainant and Respondent issued final statements on the hearing record in lieu of filing briefs.</w:t>
      </w:r>
    </w:p>
    <w:p w:rsidR="008C62D6" w:rsidRDefault="008C62D6" w:rsidP="008C62D6">
      <w:pPr>
        <w:spacing w:line="360" w:lineRule="auto"/>
      </w:pPr>
    </w:p>
    <w:p w:rsidR="008C62D6" w:rsidRDefault="008C62D6" w:rsidP="008C62D6">
      <w:pPr>
        <w:spacing w:line="360" w:lineRule="auto"/>
        <w:ind w:firstLine="1440"/>
      </w:pPr>
      <w:r w:rsidRPr="00B73D10">
        <w:t>The transcript of the hearing</w:t>
      </w:r>
      <w:r>
        <w:t>,</w:t>
      </w:r>
      <w:r w:rsidRPr="00B73D10">
        <w:t xml:space="preserve"> contain</w:t>
      </w:r>
      <w:r>
        <w:t>ing</w:t>
      </w:r>
      <w:r w:rsidRPr="00B73D10">
        <w:t xml:space="preserve"> </w:t>
      </w:r>
      <w:r w:rsidR="009C2F2A">
        <w:t>50</w:t>
      </w:r>
      <w:r>
        <w:t xml:space="preserve"> </w:t>
      </w:r>
      <w:r w:rsidRPr="00B73D10">
        <w:t>pages</w:t>
      </w:r>
      <w:r>
        <w:t xml:space="preserve">, was received in the presiding officer’s office on </w:t>
      </w:r>
      <w:r w:rsidR="009C2F2A">
        <w:t>September 8</w:t>
      </w:r>
      <w:r>
        <w:t xml:space="preserve">, 2015.  On </w:t>
      </w:r>
      <w:r w:rsidR="009C2F2A">
        <w:t>September 10</w:t>
      </w:r>
      <w:r>
        <w:t>, 2015, the presiding officer issued the Interim Order Closing the Hearing Record.</w:t>
      </w:r>
    </w:p>
    <w:p w:rsidR="008C62D6" w:rsidRDefault="008C62D6" w:rsidP="008C62D6">
      <w:pPr>
        <w:spacing w:line="360" w:lineRule="auto"/>
        <w:rPr>
          <w:u w:val="single"/>
        </w:rPr>
      </w:pPr>
    </w:p>
    <w:p w:rsidR="008C62D6" w:rsidRPr="00B73D10" w:rsidRDefault="008C62D6" w:rsidP="0098677F">
      <w:pPr>
        <w:tabs>
          <w:tab w:val="left" w:pos="2160"/>
        </w:tabs>
        <w:spacing w:line="360" w:lineRule="auto"/>
        <w:jc w:val="center"/>
        <w:rPr>
          <w:u w:val="single"/>
        </w:rPr>
      </w:pPr>
      <w:r w:rsidRPr="00B73D10">
        <w:rPr>
          <w:u w:val="single"/>
        </w:rPr>
        <w:t xml:space="preserve">FINDINGS OF </w:t>
      </w:r>
      <w:smartTag w:uri="urn:schemas-microsoft-com:office:smarttags" w:element="stockticker">
        <w:r w:rsidRPr="00B73D10">
          <w:rPr>
            <w:u w:val="single"/>
          </w:rPr>
          <w:t>FACT</w:t>
        </w:r>
      </w:smartTag>
    </w:p>
    <w:p w:rsidR="008C62D6" w:rsidRPr="00B73D10" w:rsidRDefault="008C62D6" w:rsidP="008C62D6">
      <w:pPr>
        <w:tabs>
          <w:tab w:val="left" w:pos="2160"/>
        </w:tabs>
        <w:spacing w:line="360" w:lineRule="auto"/>
        <w:rPr>
          <w:u w:val="single"/>
        </w:rPr>
      </w:pPr>
    </w:p>
    <w:p w:rsidR="008C62D6" w:rsidRDefault="008C62D6" w:rsidP="008C62D6">
      <w:pPr>
        <w:tabs>
          <w:tab w:val="left" w:pos="2160"/>
        </w:tabs>
        <w:spacing w:line="360" w:lineRule="auto"/>
        <w:ind w:firstLine="1440"/>
      </w:pPr>
      <w:r w:rsidRPr="00B73D10">
        <w:t>1.</w:t>
      </w:r>
      <w:r w:rsidRPr="00B73D10">
        <w:tab/>
        <w:t xml:space="preserve">Complainant, </w:t>
      </w:r>
      <w:proofErr w:type="spellStart"/>
      <w:r>
        <w:t>Loni</w:t>
      </w:r>
      <w:proofErr w:type="spellEnd"/>
      <w:r>
        <w:t xml:space="preserve"> Durante, has resided at 112 Rocky View Drive, Hawley, Pennsylvania since July 2014.  </w:t>
      </w:r>
      <w:proofErr w:type="gramStart"/>
      <w:r w:rsidRPr="00B73D10">
        <w:t xml:space="preserve">(Tr. </w:t>
      </w:r>
      <w:r>
        <w:t>13</w:t>
      </w:r>
      <w:r w:rsidRPr="00B73D10">
        <w:t>).</w:t>
      </w:r>
      <w:proofErr w:type="gramEnd"/>
    </w:p>
    <w:p w:rsidR="008C62D6" w:rsidRDefault="008C62D6" w:rsidP="008C62D6">
      <w:pPr>
        <w:tabs>
          <w:tab w:val="left" w:pos="2160"/>
        </w:tabs>
        <w:spacing w:line="360" w:lineRule="auto"/>
        <w:ind w:firstLine="1440"/>
      </w:pPr>
    </w:p>
    <w:p w:rsidR="008C62D6" w:rsidRDefault="008C62D6" w:rsidP="008C62D6">
      <w:pPr>
        <w:tabs>
          <w:tab w:val="left" w:pos="2160"/>
        </w:tabs>
        <w:spacing w:line="360" w:lineRule="auto"/>
        <w:ind w:firstLine="1440"/>
      </w:pPr>
      <w:r>
        <w:t xml:space="preserve">2. </w:t>
      </w:r>
      <w:r>
        <w:tab/>
        <w:t xml:space="preserve">Prior to July 2014, Complainant resided at 103 Fawn Run, Greentown, Pennsylvania (service address) from July 2012 to July 2014.  </w:t>
      </w:r>
      <w:proofErr w:type="gramStart"/>
      <w:r>
        <w:t>(Tr. 13).</w:t>
      </w:r>
      <w:proofErr w:type="gramEnd"/>
    </w:p>
    <w:p w:rsidR="00B6749F" w:rsidRPr="00B73D10" w:rsidRDefault="00B6749F" w:rsidP="008C62D6">
      <w:pPr>
        <w:tabs>
          <w:tab w:val="left" w:pos="2160"/>
        </w:tabs>
        <w:spacing w:line="360" w:lineRule="auto"/>
        <w:ind w:firstLine="1440"/>
      </w:pPr>
    </w:p>
    <w:p w:rsidR="008C62D6" w:rsidRDefault="008C62D6" w:rsidP="008C62D6">
      <w:pPr>
        <w:tabs>
          <w:tab w:val="left" w:pos="2160"/>
        </w:tabs>
        <w:spacing w:line="360" w:lineRule="auto"/>
        <w:ind w:firstLine="1440"/>
      </w:pPr>
      <w:r>
        <w:lastRenderedPageBreak/>
        <w:t>3.</w:t>
      </w:r>
      <w:r>
        <w:tab/>
        <w:t xml:space="preserve"> </w:t>
      </w:r>
      <w:r w:rsidR="00E36C2A">
        <w:t>Blue Pilot Energy, LLC</w:t>
      </w:r>
      <w:r>
        <w:t xml:space="preserve"> </w:t>
      </w:r>
      <w:r w:rsidR="00B6749F">
        <w:t xml:space="preserve">is an electric generation supplier (EGS) which </w:t>
      </w:r>
      <w:r>
        <w:t xml:space="preserve">provided electric service to the service address in Complainant’s name.  </w:t>
      </w:r>
      <w:proofErr w:type="gramStart"/>
      <w:r>
        <w:t>(Tr. 13, 14).</w:t>
      </w:r>
      <w:proofErr w:type="gramEnd"/>
    </w:p>
    <w:p w:rsidR="00E36C2A" w:rsidRDefault="00E36C2A" w:rsidP="008C62D6">
      <w:pPr>
        <w:tabs>
          <w:tab w:val="left" w:pos="2160"/>
        </w:tabs>
        <w:spacing w:line="360" w:lineRule="auto"/>
        <w:ind w:firstLine="1440"/>
      </w:pPr>
    </w:p>
    <w:p w:rsidR="008C62D6" w:rsidRDefault="008C62D6" w:rsidP="008C62D6">
      <w:pPr>
        <w:tabs>
          <w:tab w:val="left" w:pos="2160"/>
        </w:tabs>
        <w:spacing w:line="360" w:lineRule="auto"/>
        <w:ind w:firstLine="1440"/>
      </w:pPr>
      <w:r>
        <w:t xml:space="preserve">4. </w:t>
      </w:r>
      <w:r>
        <w:tab/>
        <w:t xml:space="preserve">The service address is a </w:t>
      </w:r>
      <w:r w:rsidR="00E06E50">
        <w:t xml:space="preserve">vinyl-sided, </w:t>
      </w:r>
      <w:r w:rsidR="009C2F2A">
        <w:t>s</w:t>
      </w:r>
      <w:r>
        <w:t xml:space="preserve">ingle family dwelling </w:t>
      </w:r>
      <w:r w:rsidR="009C2F2A">
        <w:t>which Complainant rented for two years</w:t>
      </w:r>
      <w:r w:rsidR="00383776">
        <w:t xml:space="preserve"> and which was heated by electric baseboards</w:t>
      </w:r>
      <w:r>
        <w:t xml:space="preserve">.  </w:t>
      </w:r>
      <w:proofErr w:type="gramStart"/>
      <w:r w:rsidRPr="00B73D10">
        <w:t>(Tr.</w:t>
      </w:r>
      <w:r>
        <w:t> </w:t>
      </w:r>
      <w:r w:rsidR="009C2F2A">
        <w:t>14</w:t>
      </w:r>
      <w:r w:rsidR="00383776">
        <w:t>, 23</w:t>
      </w:r>
      <w:r w:rsidRPr="00B73D10">
        <w:t>).</w:t>
      </w:r>
      <w:proofErr w:type="gramEnd"/>
    </w:p>
    <w:p w:rsidR="008C62D6" w:rsidRDefault="008C62D6" w:rsidP="008C62D6">
      <w:pPr>
        <w:tabs>
          <w:tab w:val="left" w:pos="2160"/>
        </w:tabs>
        <w:spacing w:line="360" w:lineRule="auto"/>
        <w:ind w:firstLine="1440"/>
      </w:pPr>
    </w:p>
    <w:p w:rsidR="008C62D6" w:rsidRDefault="008C62D6" w:rsidP="008C62D6">
      <w:pPr>
        <w:tabs>
          <w:tab w:val="left" w:pos="2160"/>
        </w:tabs>
        <w:spacing w:line="360" w:lineRule="auto"/>
        <w:ind w:firstLine="1440"/>
      </w:pPr>
      <w:r>
        <w:t xml:space="preserve">5. </w:t>
      </w:r>
      <w:r>
        <w:tab/>
      </w:r>
      <w:r w:rsidR="0098677F">
        <w:t xml:space="preserve">Complainant </w:t>
      </w:r>
      <w:r w:rsidR="004B504A">
        <w:t>called</w:t>
      </w:r>
      <w:r w:rsidR="0098677F">
        <w:t xml:space="preserve"> Respondent </w:t>
      </w:r>
      <w:r w:rsidR="004B504A">
        <w:t xml:space="preserve">to inquire about supplier services </w:t>
      </w:r>
      <w:r w:rsidR="0098677F">
        <w:t>at the recommendation of her former landlord</w:t>
      </w:r>
      <w:r w:rsidR="004B504A">
        <w:t>.  (Tr. 14-</w:t>
      </w:r>
      <w:r w:rsidR="0098677F">
        <w:t>16).</w:t>
      </w:r>
    </w:p>
    <w:p w:rsidR="008C62D6" w:rsidRDefault="008C62D6" w:rsidP="008C62D6">
      <w:pPr>
        <w:tabs>
          <w:tab w:val="left" w:pos="2160"/>
        </w:tabs>
        <w:spacing w:line="360" w:lineRule="auto"/>
        <w:ind w:firstLine="1440"/>
      </w:pPr>
    </w:p>
    <w:p w:rsidR="008C62D6" w:rsidRDefault="008C62D6" w:rsidP="008C62D6">
      <w:pPr>
        <w:tabs>
          <w:tab w:val="left" w:pos="2160"/>
        </w:tabs>
        <w:spacing w:line="360" w:lineRule="auto"/>
        <w:ind w:firstLine="1440"/>
      </w:pPr>
      <w:r>
        <w:t>6.</w:t>
      </w:r>
      <w:r>
        <w:tab/>
      </w:r>
      <w:r w:rsidR="004B504A">
        <w:t xml:space="preserve">Respondent told Complainant that Respondent’s electric supply rates were competitive and at their highest rates were usually near PPL’s default service rate.  </w:t>
      </w:r>
      <w:proofErr w:type="gramStart"/>
      <w:r w:rsidR="004B504A">
        <w:t>(Tr. 15).</w:t>
      </w:r>
      <w:proofErr w:type="gramEnd"/>
    </w:p>
    <w:p w:rsidR="00E06E50" w:rsidRDefault="00E06E50" w:rsidP="008C62D6">
      <w:pPr>
        <w:tabs>
          <w:tab w:val="left" w:pos="2160"/>
        </w:tabs>
        <w:spacing w:line="360" w:lineRule="auto"/>
        <w:ind w:firstLine="1440"/>
      </w:pPr>
    </w:p>
    <w:p w:rsidR="00E06E50" w:rsidRDefault="00E06E50" w:rsidP="00E06E50">
      <w:pPr>
        <w:tabs>
          <w:tab w:val="left" w:pos="2160"/>
        </w:tabs>
        <w:spacing w:line="360" w:lineRule="auto"/>
        <w:ind w:firstLine="1440"/>
      </w:pPr>
      <w:r>
        <w:t xml:space="preserve">7. </w:t>
      </w:r>
      <w:r>
        <w:tab/>
        <w:t xml:space="preserve">When Complainant signed up with Respondent as an electric supplier, Respondent quoted her a variable commodity rate equal to 6.75 cents per kWh, while PPL’s fixed </w:t>
      </w:r>
      <w:r w:rsidR="00FF1960">
        <w:t>commodity rate was 9.0</w:t>
      </w:r>
      <w:r>
        <w:t xml:space="preserve"> cents per kWh.  </w:t>
      </w:r>
      <w:proofErr w:type="gramStart"/>
      <w:r>
        <w:t>(Tr. 26</w:t>
      </w:r>
      <w:r w:rsidR="00FF1960">
        <w:t>, 33</w:t>
      </w:r>
      <w:r>
        <w:t>).</w:t>
      </w:r>
      <w:proofErr w:type="gramEnd"/>
    </w:p>
    <w:p w:rsidR="008C62D6" w:rsidRDefault="008C62D6" w:rsidP="008C62D6">
      <w:pPr>
        <w:tabs>
          <w:tab w:val="left" w:pos="2160"/>
        </w:tabs>
        <w:spacing w:line="360" w:lineRule="auto"/>
        <w:ind w:firstLine="1440"/>
      </w:pPr>
    </w:p>
    <w:p w:rsidR="008C62D6" w:rsidRDefault="00E06E50" w:rsidP="008C62D6">
      <w:pPr>
        <w:tabs>
          <w:tab w:val="left" w:pos="2160"/>
        </w:tabs>
        <w:spacing w:line="360" w:lineRule="auto"/>
        <w:ind w:firstLine="1440"/>
      </w:pPr>
      <w:r>
        <w:t>8</w:t>
      </w:r>
      <w:r w:rsidR="008C62D6">
        <w:t xml:space="preserve">.  </w:t>
      </w:r>
      <w:r w:rsidR="008C62D6">
        <w:tab/>
        <w:t xml:space="preserve"> </w:t>
      </w:r>
      <w:r>
        <w:t>I</w:t>
      </w:r>
      <w:r w:rsidR="004B504A">
        <w:t xml:space="preserve">n January 2014 and February 2014, Respondent charged Complainant </w:t>
      </w:r>
      <w:r>
        <w:t>44.</w:t>
      </w:r>
      <w:r w:rsidR="004B504A">
        <w:t>9 cents per kilowatt hour (kWh)</w:t>
      </w:r>
      <w:r>
        <w:t xml:space="preserve"> instead of </w:t>
      </w:r>
      <w:r w:rsidR="00FF1960">
        <w:t>the quoted price (</w:t>
      </w:r>
      <w:r>
        <w:t>6.75 cents</w:t>
      </w:r>
      <w:r w:rsidR="00FF1960">
        <w:t>)</w:t>
      </w:r>
      <w:r w:rsidR="004B504A">
        <w:t>, causing the monthly bills to range from $1,500 to $2,500 per month, instead of Complainant’s previous average bi</w:t>
      </w:r>
      <w:r>
        <w:t>lls of $4</w:t>
      </w:r>
      <w:r w:rsidR="004B504A">
        <w:t>00 to</w:t>
      </w:r>
      <w:r w:rsidR="008E6C72">
        <w:t xml:space="preserve"> </w:t>
      </w:r>
      <w:r w:rsidR="004B504A">
        <w:t xml:space="preserve">$600.  </w:t>
      </w:r>
      <w:proofErr w:type="gramStart"/>
      <w:r w:rsidR="004B504A">
        <w:t>(Tr. 16-18</w:t>
      </w:r>
      <w:r>
        <w:t>, 24, 25</w:t>
      </w:r>
      <w:r w:rsidR="004B504A">
        <w:t>).</w:t>
      </w:r>
      <w:proofErr w:type="gramEnd"/>
    </w:p>
    <w:p w:rsidR="008C62D6" w:rsidRDefault="008C62D6" w:rsidP="008C62D6">
      <w:pPr>
        <w:tabs>
          <w:tab w:val="left" w:pos="2160"/>
        </w:tabs>
        <w:spacing w:line="360" w:lineRule="auto"/>
        <w:ind w:firstLine="1440"/>
      </w:pPr>
    </w:p>
    <w:p w:rsidR="008C62D6" w:rsidRDefault="00E06E50" w:rsidP="008C62D6">
      <w:pPr>
        <w:tabs>
          <w:tab w:val="left" w:pos="2160"/>
        </w:tabs>
        <w:spacing w:line="360" w:lineRule="auto"/>
        <w:ind w:firstLine="1440"/>
      </w:pPr>
      <w:r>
        <w:t>9</w:t>
      </w:r>
      <w:r w:rsidR="008C62D6">
        <w:t>.</w:t>
      </w:r>
      <w:r w:rsidR="008C62D6">
        <w:tab/>
      </w:r>
      <w:r w:rsidR="004B504A">
        <w:t xml:space="preserve">Respondent charged Complainant $2,448 </w:t>
      </w:r>
      <w:proofErr w:type="gramStart"/>
      <w:r w:rsidR="00FF1960">
        <w:t xml:space="preserve">for 5,221 kWh consumption </w:t>
      </w:r>
      <w:r w:rsidR="00264585">
        <w:t>from</w:t>
      </w:r>
      <w:r w:rsidR="00FF1960">
        <w:t xml:space="preserve"> February </w:t>
      </w:r>
      <w:r w:rsidR="00264585">
        <w:t xml:space="preserve">7, </w:t>
      </w:r>
      <w:r w:rsidR="00FF1960">
        <w:t>2014</w:t>
      </w:r>
      <w:r w:rsidR="00264585">
        <w:t xml:space="preserve"> to March 10, 2014</w:t>
      </w:r>
      <w:proofErr w:type="gramEnd"/>
      <w:r w:rsidR="004B504A">
        <w:t>.  (Tr. 19</w:t>
      </w:r>
      <w:r w:rsidR="00FF1960">
        <w:t>, 35</w:t>
      </w:r>
      <w:r w:rsidR="00264585">
        <w:t>-39</w:t>
      </w:r>
      <w:r w:rsidR="004B504A">
        <w:t>).</w:t>
      </w:r>
    </w:p>
    <w:p w:rsidR="008C62D6" w:rsidRDefault="008C62D6" w:rsidP="008C62D6">
      <w:pPr>
        <w:tabs>
          <w:tab w:val="left" w:pos="2160"/>
        </w:tabs>
        <w:spacing w:line="360" w:lineRule="auto"/>
        <w:ind w:firstLine="1440"/>
      </w:pPr>
    </w:p>
    <w:p w:rsidR="008C62D6" w:rsidRDefault="00E06E50" w:rsidP="008C62D6">
      <w:pPr>
        <w:tabs>
          <w:tab w:val="left" w:pos="2160"/>
        </w:tabs>
        <w:spacing w:line="360" w:lineRule="auto"/>
        <w:ind w:firstLine="1440"/>
      </w:pPr>
      <w:r>
        <w:t>10</w:t>
      </w:r>
      <w:r w:rsidR="008C62D6">
        <w:t xml:space="preserve">. </w:t>
      </w:r>
      <w:r w:rsidR="008C62D6">
        <w:tab/>
      </w:r>
      <w:r w:rsidR="004B504A">
        <w:t xml:space="preserve">Respondent charged Complainant $1,526 </w:t>
      </w:r>
      <w:proofErr w:type="gramStart"/>
      <w:r w:rsidR="004B504A">
        <w:t xml:space="preserve">for </w:t>
      </w:r>
      <w:r w:rsidR="00FF1960">
        <w:t>3,191 kWh consumption in March 2014</w:t>
      </w:r>
      <w:proofErr w:type="gramEnd"/>
      <w:r w:rsidR="00FF1960">
        <w:t>.</w:t>
      </w:r>
      <w:r w:rsidR="004B504A">
        <w:t xml:space="preserve">  (Tr. 19</w:t>
      </w:r>
      <w:r w:rsidR="00FF1960">
        <w:t>, 35</w:t>
      </w:r>
      <w:r w:rsidR="00264585">
        <w:t>-37</w:t>
      </w:r>
      <w:r w:rsidR="004B504A">
        <w:t>).</w:t>
      </w:r>
    </w:p>
    <w:p w:rsidR="008C62D6" w:rsidRDefault="008C62D6" w:rsidP="008C62D6">
      <w:pPr>
        <w:tabs>
          <w:tab w:val="left" w:pos="2160"/>
        </w:tabs>
        <w:spacing w:line="360" w:lineRule="auto"/>
        <w:ind w:firstLine="1440"/>
      </w:pPr>
    </w:p>
    <w:p w:rsidR="008C62D6" w:rsidRDefault="00E06E50" w:rsidP="008C62D6">
      <w:pPr>
        <w:tabs>
          <w:tab w:val="left" w:pos="2160"/>
        </w:tabs>
        <w:spacing w:line="360" w:lineRule="auto"/>
        <w:ind w:firstLine="1440"/>
      </w:pPr>
      <w:r>
        <w:t>11</w:t>
      </w:r>
      <w:r w:rsidR="008C62D6">
        <w:t>.</w:t>
      </w:r>
      <w:r w:rsidR="008C62D6">
        <w:tab/>
      </w:r>
      <w:r w:rsidR="004B504A">
        <w:t xml:space="preserve">Complainant called Respondent </w:t>
      </w:r>
      <w:r w:rsidR="00FF1960">
        <w:t xml:space="preserve">on March 20, 2014 </w:t>
      </w:r>
      <w:r w:rsidR="004B504A">
        <w:t xml:space="preserve">and terminated her contract with Respondent as an electric supplier.  </w:t>
      </w:r>
      <w:proofErr w:type="gramStart"/>
      <w:r w:rsidR="004B504A">
        <w:t>(Tr. 19-21</w:t>
      </w:r>
      <w:r w:rsidR="00FF1960">
        <w:t>, 36</w:t>
      </w:r>
      <w:r w:rsidR="004B504A">
        <w:t>).</w:t>
      </w:r>
      <w:proofErr w:type="gramEnd"/>
    </w:p>
    <w:p w:rsidR="008C62D6" w:rsidRDefault="008C62D6" w:rsidP="008C62D6">
      <w:pPr>
        <w:tabs>
          <w:tab w:val="left" w:pos="2160"/>
        </w:tabs>
        <w:spacing w:line="360" w:lineRule="auto"/>
        <w:ind w:firstLine="1440"/>
      </w:pPr>
    </w:p>
    <w:p w:rsidR="008C62D6" w:rsidRDefault="00E06E50" w:rsidP="008C62D6">
      <w:pPr>
        <w:tabs>
          <w:tab w:val="left" w:pos="2160"/>
        </w:tabs>
        <w:spacing w:line="360" w:lineRule="auto"/>
        <w:ind w:firstLine="1440"/>
      </w:pPr>
      <w:r>
        <w:lastRenderedPageBreak/>
        <w:t>12</w:t>
      </w:r>
      <w:r w:rsidR="008C62D6">
        <w:t xml:space="preserve">. </w:t>
      </w:r>
      <w:r w:rsidR="008C62D6">
        <w:tab/>
      </w:r>
      <w:r w:rsidR="00383776">
        <w:t xml:space="preserve">When Complainant called to terminate her contract with Respondent, Respondent offered to charge Complainant at a lower rate </w:t>
      </w:r>
      <w:r w:rsidR="00FF1960">
        <w:t xml:space="preserve">(24.0 cents per kWh) </w:t>
      </w:r>
      <w:r w:rsidR="00383776">
        <w:t>until PPL could switch Complainant back to using PPL as the electricity supplier</w:t>
      </w:r>
      <w:r>
        <w:t xml:space="preserve">, and </w:t>
      </w:r>
      <w:r w:rsidR="00383776">
        <w:t xml:space="preserve">Complainant verbally accepted that offer.  </w:t>
      </w:r>
      <w:proofErr w:type="gramStart"/>
      <w:r w:rsidR="00383776">
        <w:t>(Tr. 20-22</w:t>
      </w:r>
      <w:r w:rsidR="00FF1960">
        <w:t>, 32</w:t>
      </w:r>
      <w:r w:rsidR="00383776">
        <w:t>).</w:t>
      </w:r>
      <w:proofErr w:type="gramEnd"/>
    </w:p>
    <w:p w:rsidR="0024610D" w:rsidRDefault="0024610D" w:rsidP="008C62D6">
      <w:pPr>
        <w:tabs>
          <w:tab w:val="left" w:pos="2160"/>
        </w:tabs>
        <w:spacing w:line="360" w:lineRule="auto"/>
        <w:ind w:firstLine="1440"/>
      </w:pPr>
    </w:p>
    <w:p w:rsidR="008C62D6" w:rsidRDefault="00E06E50" w:rsidP="008C62D6">
      <w:pPr>
        <w:tabs>
          <w:tab w:val="left" w:pos="2160"/>
        </w:tabs>
        <w:spacing w:line="360" w:lineRule="auto"/>
        <w:ind w:firstLine="1440"/>
      </w:pPr>
      <w:r>
        <w:t>13</w:t>
      </w:r>
      <w:r w:rsidR="008C62D6">
        <w:t xml:space="preserve">. </w:t>
      </w:r>
      <w:r w:rsidR="008C62D6">
        <w:tab/>
      </w:r>
      <w:r w:rsidR="00383776">
        <w:t>Respondent charged Complainant the same rate (44.9 cents per kWh) in March 2014 instead of using the offered rate</w:t>
      </w:r>
      <w:r w:rsidR="00FF1960">
        <w:t xml:space="preserve"> (24.0 cents per kWh)</w:t>
      </w:r>
      <w:r w:rsidR="00383776">
        <w:t xml:space="preserve">, which Complainant had accepted in February 2014.  </w:t>
      </w:r>
      <w:proofErr w:type="gramStart"/>
      <w:r w:rsidR="00383776">
        <w:t>(Tr. 21</w:t>
      </w:r>
      <w:r w:rsidR="00FF1960">
        <w:t>, 32</w:t>
      </w:r>
      <w:r w:rsidR="00383776">
        <w:t>).</w:t>
      </w:r>
      <w:proofErr w:type="gramEnd"/>
    </w:p>
    <w:p w:rsidR="00264585" w:rsidRDefault="00264585" w:rsidP="008C62D6">
      <w:pPr>
        <w:tabs>
          <w:tab w:val="left" w:pos="2160"/>
        </w:tabs>
        <w:spacing w:line="360" w:lineRule="auto"/>
        <w:ind w:firstLine="1440"/>
      </w:pPr>
    </w:p>
    <w:p w:rsidR="00264585" w:rsidRDefault="00264585" w:rsidP="008C62D6">
      <w:pPr>
        <w:tabs>
          <w:tab w:val="left" w:pos="2160"/>
        </w:tabs>
        <w:spacing w:line="360" w:lineRule="auto"/>
        <w:ind w:firstLine="1440"/>
      </w:pPr>
      <w:r>
        <w:t xml:space="preserve">14. </w:t>
      </w:r>
      <w:r>
        <w:tab/>
        <w:t xml:space="preserve">Respondent remained Complainant’s electric supplier until April 9, 2014.  </w:t>
      </w:r>
      <w:proofErr w:type="gramStart"/>
      <w:r>
        <w:t>(Tr. 36).</w:t>
      </w:r>
      <w:proofErr w:type="gramEnd"/>
    </w:p>
    <w:p w:rsidR="008C62D6" w:rsidRDefault="008C62D6" w:rsidP="008C62D6">
      <w:pPr>
        <w:tabs>
          <w:tab w:val="left" w:pos="2160"/>
        </w:tabs>
        <w:spacing w:line="360" w:lineRule="auto"/>
        <w:ind w:firstLine="1440"/>
      </w:pPr>
    </w:p>
    <w:p w:rsidR="008C62D6" w:rsidRDefault="00264585" w:rsidP="008C62D6">
      <w:pPr>
        <w:tabs>
          <w:tab w:val="left" w:pos="2160"/>
        </w:tabs>
        <w:spacing w:line="360" w:lineRule="auto"/>
        <w:ind w:firstLine="1440"/>
      </w:pPr>
      <w:r>
        <w:t>15</w:t>
      </w:r>
      <w:r w:rsidR="008C62D6">
        <w:t>.</w:t>
      </w:r>
      <w:r w:rsidR="008C62D6">
        <w:tab/>
        <w:t xml:space="preserve"> </w:t>
      </w:r>
      <w:r w:rsidR="00E06E50">
        <w:t xml:space="preserve">Currently, Complainant pays $215 per month to PPL, in addition to current charges, to pay down the arrearage owed to Respondent.  </w:t>
      </w:r>
      <w:proofErr w:type="gramStart"/>
      <w:r w:rsidR="00E06E50">
        <w:t>(Tr. 27).</w:t>
      </w:r>
      <w:proofErr w:type="gramEnd"/>
    </w:p>
    <w:p w:rsidR="008C62D6" w:rsidRDefault="008C62D6" w:rsidP="008C62D6">
      <w:pPr>
        <w:tabs>
          <w:tab w:val="left" w:pos="2160"/>
        </w:tabs>
        <w:spacing w:line="360" w:lineRule="auto"/>
        <w:ind w:firstLine="1440"/>
      </w:pPr>
    </w:p>
    <w:p w:rsidR="008C62D6" w:rsidRDefault="00264585" w:rsidP="008C62D6">
      <w:pPr>
        <w:tabs>
          <w:tab w:val="left" w:pos="2160"/>
        </w:tabs>
        <w:spacing w:line="360" w:lineRule="auto"/>
        <w:ind w:firstLine="1440"/>
      </w:pPr>
      <w:r>
        <w:t>16</w:t>
      </w:r>
      <w:r w:rsidR="008C62D6">
        <w:t xml:space="preserve">. </w:t>
      </w:r>
      <w:r w:rsidR="008C62D6">
        <w:tab/>
      </w:r>
      <w:r w:rsidR="00FF1960">
        <w:t xml:space="preserve">Currently, Complainant is a default service customer of PPL and refuses to shop for a competitive supplier.  </w:t>
      </w:r>
      <w:proofErr w:type="gramStart"/>
      <w:r w:rsidR="00FF1960">
        <w:t>(Tr. 28).</w:t>
      </w:r>
      <w:proofErr w:type="gramEnd"/>
      <w:r w:rsidR="00FF1960">
        <w:t xml:space="preserve">  </w:t>
      </w:r>
    </w:p>
    <w:p w:rsidR="008C62D6" w:rsidRDefault="008C62D6" w:rsidP="008C62D6">
      <w:pPr>
        <w:tabs>
          <w:tab w:val="left" w:pos="2160"/>
        </w:tabs>
        <w:spacing w:line="360" w:lineRule="auto"/>
        <w:ind w:firstLine="1440"/>
      </w:pPr>
    </w:p>
    <w:p w:rsidR="009C2F2A" w:rsidRDefault="009C2F2A" w:rsidP="009C2F2A">
      <w:pPr>
        <w:spacing w:line="360" w:lineRule="auto"/>
        <w:jc w:val="center"/>
        <w:rPr>
          <w:u w:val="single"/>
        </w:rPr>
      </w:pPr>
      <w:r>
        <w:rPr>
          <w:u w:val="single"/>
        </w:rPr>
        <w:t>DISCUSSION</w:t>
      </w:r>
    </w:p>
    <w:p w:rsidR="009C2F2A" w:rsidRDefault="009C2F2A" w:rsidP="009C2F2A">
      <w:pPr>
        <w:spacing w:line="360" w:lineRule="auto"/>
        <w:jc w:val="center"/>
        <w:rPr>
          <w:u w:val="single"/>
        </w:rPr>
      </w:pPr>
    </w:p>
    <w:p w:rsidR="009C2F2A" w:rsidRDefault="009C2F2A" w:rsidP="009C2F2A">
      <w:pPr>
        <w:spacing w:line="360" w:lineRule="auto"/>
        <w:rPr>
          <w:u w:val="single"/>
        </w:rPr>
      </w:pPr>
      <w:r>
        <w:rPr>
          <w:u w:val="single"/>
        </w:rPr>
        <w:t>Burden of Proof</w:t>
      </w:r>
    </w:p>
    <w:p w:rsidR="009C2F2A" w:rsidRDefault="009C2F2A" w:rsidP="009C2F2A">
      <w:pPr>
        <w:spacing w:line="360" w:lineRule="auto"/>
        <w:rPr>
          <w:u w:val="single"/>
        </w:rPr>
      </w:pPr>
    </w:p>
    <w:p w:rsidR="009C2F2A" w:rsidRDefault="009C2F2A" w:rsidP="009C2F2A">
      <w:pPr>
        <w:tabs>
          <w:tab w:val="left" w:pos="-1440"/>
          <w:tab w:val="left" w:pos="-720"/>
        </w:tabs>
        <w:suppressAutoHyphens/>
        <w:spacing w:line="360" w:lineRule="auto"/>
        <w:ind w:firstLine="1440"/>
        <w:rPr>
          <w:spacing w:val="-3"/>
        </w:rPr>
      </w:pPr>
      <w:r w:rsidRPr="00A941C5">
        <w:t xml:space="preserve">As the party seeking affirmative relief from the Commission, </w:t>
      </w:r>
      <w:r>
        <w:t xml:space="preserve">Complainant </w:t>
      </w:r>
      <w:r w:rsidRPr="00A941C5">
        <w:t>bear</w:t>
      </w:r>
      <w:r>
        <w:t>s</w:t>
      </w:r>
      <w:r w:rsidRPr="00A941C5">
        <w:t xml:space="preserve"> the burden of proof.  </w:t>
      </w:r>
      <w:proofErr w:type="gramStart"/>
      <w:r w:rsidRPr="00A941C5">
        <w:t xml:space="preserve">66 </w:t>
      </w:r>
      <w:proofErr w:type="spellStart"/>
      <w:r w:rsidRPr="00A941C5">
        <w:t>Pa.C.S</w:t>
      </w:r>
      <w:r w:rsidR="0098677F">
        <w:t>.A</w:t>
      </w:r>
      <w:proofErr w:type="spellEnd"/>
      <w:r w:rsidRPr="00A941C5">
        <w:t>.</w:t>
      </w:r>
      <w:proofErr w:type="gramEnd"/>
      <w:r w:rsidRPr="00A941C5">
        <w:t xml:space="preserve"> §</w:t>
      </w:r>
      <w:r>
        <w:t xml:space="preserve"> </w:t>
      </w:r>
      <w:r w:rsidRPr="00A941C5">
        <w:t>332(a).</w:t>
      </w:r>
      <w:r>
        <w:t xml:space="preserve">  </w:t>
      </w:r>
      <w:r w:rsidRPr="00614336">
        <w:rPr>
          <w:spacing w:val="-3"/>
        </w:rPr>
        <w:t>To establish a sufficient case and satisfy the burden of proof,</w:t>
      </w:r>
      <w:r>
        <w:rPr>
          <w:spacing w:val="-3"/>
        </w:rPr>
        <w:t xml:space="preserve"> Complainant</w:t>
      </w:r>
      <w:r w:rsidRPr="00614336">
        <w:rPr>
          <w:spacing w:val="-3"/>
        </w:rPr>
        <w:t xml:space="preserve"> must show </w:t>
      </w:r>
      <w:r>
        <w:rPr>
          <w:spacing w:val="-3"/>
        </w:rPr>
        <w:t>Respondent</w:t>
      </w:r>
      <w:r w:rsidRPr="00614336">
        <w:rPr>
          <w:spacing w:val="-3"/>
        </w:rPr>
        <w:t xml:space="preserve"> is responsible or accountable fo</w:t>
      </w:r>
      <w:r w:rsidR="0098677F">
        <w:rPr>
          <w:spacing w:val="-3"/>
        </w:rPr>
        <w:t>r the problem described in the c</w:t>
      </w:r>
      <w:r w:rsidRPr="00614336">
        <w:rPr>
          <w:spacing w:val="-3"/>
        </w:rPr>
        <w:t xml:space="preserve">omplaint.  </w:t>
      </w:r>
      <w:proofErr w:type="gramStart"/>
      <w:r w:rsidRPr="00614336">
        <w:rPr>
          <w:spacing w:val="-3"/>
          <w:u w:val="single"/>
        </w:rPr>
        <w:t>Patterson v. Bell Telephone Company of Pennsylvania</w:t>
      </w:r>
      <w:r w:rsidRPr="00614336">
        <w:rPr>
          <w:spacing w:val="-3"/>
        </w:rPr>
        <w:t>, 72 P</w:t>
      </w:r>
      <w:r>
        <w:rPr>
          <w:spacing w:val="-3"/>
        </w:rPr>
        <w:t>a.</w:t>
      </w:r>
      <w:r w:rsidRPr="00614336">
        <w:rPr>
          <w:spacing w:val="-3"/>
        </w:rPr>
        <w:t xml:space="preserve"> PUC 196</w:t>
      </w:r>
      <w:r>
        <w:rPr>
          <w:spacing w:val="-3"/>
        </w:rPr>
        <w:t xml:space="preserve"> (</w:t>
      </w:r>
      <w:r w:rsidRPr="00614336">
        <w:rPr>
          <w:spacing w:val="-3"/>
        </w:rPr>
        <w:t xml:space="preserve">1990), </w:t>
      </w:r>
      <w:r w:rsidRPr="00614336">
        <w:rPr>
          <w:spacing w:val="-3"/>
          <w:u w:val="single"/>
        </w:rPr>
        <w:t>Feinstein v. Philadelphia Suburban Water Company</w:t>
      </w:r>
      <w:r w:rsidRPr="00614336">
        <w:rPr>
          <w:spacing w:val="-3"/>
        </w:rPr>
        <w:t>, 50 P</w:t>
      </w:r>
      <w:r>
        <w:rPr>
          <w:spacing w:val="-3"/>
        </w:rPr>
        <w:t>a.</w:t>
      </w:r>
      <w:r w:rsidRPr="00614336">
        <w:rPr>
          <w:spacing w:val="-3"/>
        </w:rPr>
        <w:t xml:space="preserve"> PUC 300</w:t>
      </w:r>
      <w:r>
        <w:rPr>
          <w:spacing w:val="-3"/>
        </w:rPr>
        <w:t xml:space="preserve"> </w:t>
      </w:r>
      <w:r w:rsidRPr="00614336">
        <w:rPr>
          <w:spacing w:val="-3"/>
        </w:rPr>
        <w:t>(1976).</w:t>
      </w:r>
      <w:proofErr w:type="gramEnd"/>
      <w:r w:rsidRPr="00614336">
        <w:rPr>
          <w:spacing w:val="-3"/>
        </w:rPr>
        <w:t xml:space="preserve">  </w:t>
      </w:r>
    </w:p>
    <w:p w:rsidR="00FC48D2" w:rsidRDefault="00FC48D2" w:rsidP="009C2F2A">
      <w:pPr>
        <w:tabs>
          <w:tab w:val="left" w:pos="-1440"/>
          <w:tab w:val="left" w:pos="-720"/>
        </w:tabs>
        <w:suppressAutoHyphens/>
        <w:spacing w:line="360" w:lineRule="auto"/>
        <w:rPr>
          <w:b/>
          <w:spacing w:val="-3"/>
          <w:u w:val="single"/>
        </w:rPr>
      </w:pPr>
    </w:p>
    <w:p w:rsidR="0024610D" w:rsidRDefault="0024610D" w:rsidP="009C2F2A">
      <w:pPr>
        <w:tabs>
          <w:tab w:val="left" w:pos="-1440"/>
          <w:tab w:val="left" w:pos="-720"/>
        </w:tabs>
        <w:suppressAutoHyphens/>
        <w:spacing w:line="360" w:lineRule="auto"/>
        <w:rPr>
          <w:b/>
          <w:spacing w:val="-3"/>
          <w:u w:val="single"/>
        </w:rPr>
      </w:pPr>
    </w:p>
    <w:p w:rsidR="0024610D" w:rsidRDefault="0024610D" w:rsidP="009C2F2A">
      <w:pPr>
        <w:tabs>
          <w:tab w:val="left" w:pos="-1440"/>
          <w:tab w:val="left" w:pos="-720"/>
        </w:tabs>
        <w:suppressAutoHyphens/>
        <w:spacing w:line="360" w:lineRule="auto"/>
        <w:rPr>
          <w:b/>
          <w:spacing w:val="-3"/>
          <w:u w:val="single"/>
        </w:rPr>
      </w:pPr>
    </w:p>
    <w:p w:rsidR="0024610D" w:rsidRPr="005C28F8" w:rsidRDefault="0024610D" w:rsidP="009C2F2A">
      <w:pPr>
        <w:tabs>
          <w:tab w:val="left" w:pos="-1440"/>
          <w:tab w:val="left" w:pos="-720"/>
        </w:tabs>
        <w:suppressAutoHyphens/>
        <w:spacing w:line="360" w:lineRule="auto"/>
        <w:rPr>
          <w:b/>
          <w:spacing w:val="-3"/>
          <w:u w:val="single"/>
        </w:rPr>
      </w:pPr>
    </w:p>
    <w:p w:rsidR="009C2F2A" w:rsidRPr="008115AB" w:rsidRDefault="009C2F2A" w:rsidP="009C2F2A">
      <w:pPr>
        <w:pStyle w:val="ParaTab1"/>
        <w:spacing w:line="360" w:lineRule="auto"/>
        <w:ind w:firstLine="0"/>
        <w:rPr>
          <w:rFonts w:ascii="Times New Roman" w:hAnsi="Times New Roman" w:cs="Times New Roman"/>
          <w:u w:val="single"/>
        </w:rPr>
      </w:pPr>
      <w:r>
        <w:rPr>
          <w:rFonts w:ascii="Times New Roman" w:hAnsi="Times New Roman" w:cs="Times New Roman"/>
          <w:u w:val="single"/>
        </w:rPr>
        <w:lastRenderedPageBreak/>
        <w:t>Jurisdiction</w:t>
      </w:r>
    </w:p>
    <w:p w:rsidR="009C2F2A" w:rsidRDefault="009C2F2A" w:rsidP="009C2F2A">
      <w:pPr>
        <w:pStyle w:val="ParaTab1"/>
        <w:spacing w:line="360" w:lineRule="auto"/>
        <w:rPr>
          <w:rFonts w:ascii="Times New Roman" w:hAnsi="Times New Roman" w:cs="Times New Roman"/>
        </w:rPr>
      </w:pPr>
    </w:p>
    <w:p w:rsidR="009C2F2A" w:rsidRPr="00CC4458" w:rsidRDefault="009C2F2A" w:rsidP="009C2F2A">
      <w:pPr>
        <w:pStyle w:val="ParaTab1"/>
        <w:spacing w:line="360" w:lineRule="auto"/>
        <w:rPr>
          <w:rFonts w:ascii="Times New Roman" w:hAnsi="Times New Roman" w:cs="Times New Roman"/>
        </w:rPr>
      </w:pPr>
      <w:r w:rsidRPr="00CC4458">
        <w:rPr>
          <w:rFonts w:ascii="Times New Roman" w:hAnsi="Times New Roman" w:cs="Times New Roman"/>
        </w:rPr>
        <w:t xml:space="preserve">The Commission, as a creation of the General Assembly, has only the powers and authority granted to it by the General Assembly contained in the Public Utility Code.  </w:t>
      </w:r>
      <w:r w:rsidRPr="00CC4458">
        <w:rPr>
          <w:rFonts w:ascii="Times New Roman" w:hAnsi="Times New Roman" w:cs="Times New Roman"/>
          <w:u w:val="single"/>
        </w:rPr>
        <w:t xml:space="preserve">Tod and Lisa </w:t>
      </w:r>
      <w:proofErr w:type="spellStart"/>
      <w:r w:rsidRPr="00CC4458">
        <w:rPr>
          <w:rFonts w:ascii="Times New Roman" w:hAnsi="Times New Roman" w:cs="Times New Roman"/>
          <w:u w:val="single"/>
        </w:rPr>
        <w:t>Shedlosky</w:t>
      </w:r>
      <w:proofErr w:type="spellEnd"/>
      <w:r w:rsidRPr="00CC4458">
        <w:rPr>
          <w:rFonts w:ascii="Times New Roman" w:hAnsi="Times New Roman" w:cs="Times New Roman"/>
          <w:u w:val="single"/>
        </w:rPr>
        <w:t xml:space="preserve"> v. Pennsylvania Electric Co.</w:t>
      </w:r>
      <w:r w:rsidRPr="00CC4458">
        <w:rPr>
          <w:rFonts w:ascii="Times New Roman" w:hAnsi="Times New Roman" w:cs="Times New Roman"/>
        </w:rPr>
        <w:t xml:space="preserve">, Docket No. C-20066937 (Order entered May 28, 2008); </w:t>
      </w:r>
      <w:r w:rsidRPr="00CC4458">
        <w:rPr>
          <w:rFonts w:ascii="Times New Roman" w:hAnsi="Times New Roman" w:cs="Times New Roman"/>
          <w:u w:val="single"/>
        </w:rPr>
        <w:t>Feingold v. Bell Tel. Co. of Pa.</w:t>
      </w:r>
      <w:r w:rsidRPr="00CC4458">
        <w:rPr>
          <w:rFonts w:ascii="Times New Roman" w:hAnsi="Times New Roman" w:cs="Times New Roman"/>
        </w:rPr>
        <w:t xml:space="preserve">, 383 A.2d 791 (Pa. 1977).  The Commission must act within, and cannot exceed, its jurisdiction.  </w:t>
      </w:r>
      <w:proofErr w:type="gramStart"/>
      <w:r w:rsidRPr="00CC4458">
        <w:rPr>
          <w:rFonts w:ascii="Times New Roman" w:hAnsi="Times New Roman" w:cs="Times New Roman"/>
          <w:u w:val="single"/>
        </w:rPr>
        <w:t>City of Pittsburgh v. Pa. Pub.</w:t>
      </w:r>
      <w:proofErr w:type="gramEnd"/>
      <w:r w:rsidRPr="00CC4458">
        <w:rPr>
          <w:rFonts w:ascii="Times New Roman" w:hAnsi="Times New Roman" w:cs="Times New Roman"/>
          <w:u w:val="single"/>
        </w:rPr>
        <w:t xml:space="preserve"> </w:t>
      </w:r>
      <w:proofErr w:type="gramStart"/>
      <w:r w:rsidRPr="00CC4458">
        <w:rPr>
          <w:rFonts w:ascii="Times New Roman" w:hAnsi="Times New Roman" w:cs="Times New Roman"/>
          <w:u w:val="single"/>
        </w:rPr>
        <w:t xml:space="preserve">Util. </w:t>
      </w:r>
      <w:proofErr w:type="spellStart"/>
      <w:r w:rsidRPr="00CC4458">
        <w:rPr>
          <w:rFonts w:ascii="Times New Roman" w:hAnsi="Times New Roman" w:cs="Times New Roman"/>
          <w:u w:val="single"/>
        </w:rPr>
        <w:t>Comm’n</w:t>
      </w:r>
      <w:proofErr w:type="spellEnd"/>
      <w:r w:rsidRPr="00CC4458">
        <w:rPr>
          <w:rFonts w:ascii="Times New Roman" w:hAnsi="Times New Roman" w:cs="Times New Roman"/>
          <w:u w:val="single"/>
        </w:rPr>
        <w:t>,</w:t>
      </w:r>
      <w:r w:rsidRPr="00CC4458">
        <w:rPr>
          <w:rFonts w:ascii="Times New Roman" w:hAnsi="Times New Roman" w:cs="Times New Roman"/>
        </w:rPr>
        <w:t xml:space="preserve"> 43 A.2d 348 (</w:t>
      </w:r>
      <w:proofErr w:type="spellStart"/>
      <w:r w:rsidRPr="00CC4458">
        <w:rPr>
          <w:rFonts w:ascii="Times New Roman" w:hAnsi="Times New Roman" w:cs="Times New Roman"/>
        </w:rPr>
        <w:t>Pa.Super</w:t>
      </w:r>
      <w:proofErr w:type="spellEnd"/>
      <w:r w:rsidRPr="00CC4458">
        <w:rPr>
          <w:rFonts w:ascii="Times New Roman" w:hAnsi="Times New Roman" w:cs="Times New Roman"/>
        </w:rPr>
        <w:t>. 1945).</w:t>
      </w:r>
      <w:proofErr w:type="gramEnd"/>
      <w:r w:rsidRPr="00CC4458">
        <w:rPr>
          <w:rFonts w:ascii="Times New Roman" w:hAnsi="Times New Roman" w:cs="Times New Roman"/>
        </w:rPr>
        <w:t xml:space="preserve">  Jurisdiction may not be conferred by the parties where none exists.  </w:t>
      </w:r>
      <w:proofErr w:type="gramStart"/>
      <w:r w:rsidRPr="00CC4458">
        <w:rPr>
          <w:rFonts w:ascii="Times New Roman" w:hAnsi="Times New Roman" w:cs="Times New Roman"/>
          <w:u w:val="single"/>
        </w:rPr>
        <w:t xml:space="preserve">Roberts v. </w:t>
      </w:r>
      <w:proofErr w:type="spellStart"/>
      <w:r w:rsidRPr="00CC4458">
        <w:rPr>
          <w:rFonts w:ascii="Times New Roman" w:hAnsi="Times New Roman" w:cs="Times New Roman"/>
          <w:u w:val="single"/>
        </w:rPr>
        <w:t>Martorano</w:t>
      </w:r>
      <w:proofErr w:type="spellEnd"/>
      <w:r w:rsidRPr="00CC4458">
        <w:rPr>
          <w:rFonts w:ascii="Times New Roman" w:hAnsi="Times New Roman" w:cs="Times New Roman"/>
        </w:rPr>
        <w:t>, 235 A.2d 602 (Pa. 1967).</w:t>
      </w:r>
      <w:proofErr w:type="gramEnd"/>
      <w:r w:rsidRPr="00CC4458">
        <w:rPr>
          <w:rFonts w:ascii="Times New Roman" w:hAnsi="Times New Roman" w:cs="Times New Roman"/>
        </w:rPr>
        <w:t xml:space="preserve">  Subject matter jurisdiction is a prerequisite to the exercise of power to decide a controversy.  </w:t>
      </w:r>
      <w:proofErr w:type="gramStart"/>
      <w:r w:rsidRPr="00CC4458">
        <w:rPr>
          <w:rFonts w:ascii="Times New Roman" w:hAnsi="Times New Roman" w:cs="Times New Roman"/>
          <w:u w:val="single"/>
        </w:rPr>
        <w:t>Hughes v. Pennsylvania State Police</w:t>
      </w:r>
      <w:r>
        <w:rPr>
          <w:rFonts w:ascii="Times New Roman" w:hAnsi="Times New Roman" w:cs="Times New Roman"/>
        </w:rPr>
        <w:t>, 619 A.2d 390 (</w:t>
      </w:r>
      <w:proofErr w:type="spellStart"/>
      <w:r>
        <w:rPr>
          <w:rFonts w:ascii="Times New Roman" w:hAnsi="Times New Roman" w:cs="Times New Roman"/>
        </w:rPr>
        <w:t>Pa.</w:t>
      </w:r>
      <w:r w:rsidRPr="00CC4458">
        <w:rPr>
          <w:rFonts w:ascii="Times New Roman" w:hAnsi="Times New Roman" w:cs="Times New Roman"/>
        </w:rPr>
        <w:t>Cmwlth</w:t>
      </w:r>
      <w:proofErr w:type="spellEnd"/>
      <w:r w:rsidRPr="00CC4458">
        <w:rPr>
          <w:rFonts w:ascii="Times New Roman" w:hAnsi="Times New Roman" w:cs="Times New Roman"/>
        </w:rPr>
        <w:t xml:space="preserve">. 1992), </w:t>
      </w:r>
      <w:proofErr w:type="spellStart"/>
      <w:r w:rsidRPr="00CC4458">
        <w:rPr>
          <w:rFonts w:ascii="Times New Roman" w:hAnsi="Times New Roman" w:cs="Times New Roman"/>
          <w:u w:val="single"/>
        </w:rPr>
        <w:t>alloc</w:t>
      </w:r>
      <w:proofErr w:type="spellEnd"/>
      <w:r w:rsidRPr="00CC4458">
        <w:rPr>
          <w:rFonts w:ascii="Times New Roman" w:hAnsi="Times New Roman" w:cs="Times New Roman"/>
          <w:u w:val="single"/>
        </w:rPr>
        <w:t>.</w:t>
      </w:r>
      <w:proofErr w:type="gramEnd"/>
      <w:r w:rsidRPr="00CC4458">
        <w:rPr>
          <w:rFonts w:ascii="Times New Roman" w:hAnsi="Times New Roman" w:cs="Times New Roman"/>
          <w:u w:val="single"/>
        </w:rPr>
        <w:t xml:space="preserve"> </w:t>
      </w:r>
      <w:proofErr w:type="gramStart"/>
      <w:r w:rsidRPr="00CC4458">
        <w:rPr>
          <w:rFonts w:ascii="Times New Roman" w:hAnsi="Times New Roman" w:cs="Times New Roman"/>
          <w:u w:val="single"/>
        </w:rPr>
        <w:t>denied</w:t>
      </w:r>
      <w:proofErr w:type="gramEnd"/>
      <w:r w:rsidRPr="00CC4458">
        <w:rPr>
          <w:rFonts w:ascii="Times New Roman" w:hAnsi="Times New Roman" w:cs="Times New Roman"/>
        </w:rPr>
        <w:t>, 637 A.2d 293 (Pa. 1993).</w:t>
      </w:r>
    </w:p>
    <w:p w:rsidR="009C2F2A" w:rsidRPr="00CC4458" w:rsidRDefault="009C2F2A" w:rsidP="009C2F2A">
      <w:pPr>
        <w:pStyle w:val="ParaTab1"/>
        <w:spacing w:line="360" w:lineRule="auto"/>
        <w:rPr>
          <w:rFonts w:ascii="Times New Roman" w:hAnsi="Times New Roman" w:cs="Times New Roman"/>
        </w:rPr>
      </w:pPr>
    </w:p>
    <w:p w:rsidR="009C2F2A" w:rsidRPr="00CC4458" w:rsidRDefault="0098677F" w:rsidP="009C2F2A">
      <w:pPr>
        <w:pStyle w:val="ParaTab1"/>
        <w:spacing w:line="360" w:lineRule="auto"/>
        <w:rPr>
          <w:rFonts w:ascii="Times New Roman" w:hAnsi="Times New Roman" w:cs="Times New Roman"/>
        </w:rPr>
      </w:pPr>
      <w:r>
        <w:rPr>
          <w:rFonts w:ascii="Times New Roman" w:hAnsi="Times New Roman" w:cs="Times New Roman"/>
        </w:rPr>
        <w:t>Blue Pilot</w:t>
      </w:r>
      <w:r w:rsidR="009C2F2A" w:rsidRPr="00CC4458">
        <w:rPr>
          <w:rFonts w:ascii="Times New Roman" w:hAnsi="Times New Roman" w:cs="Times New Roman"/>
        </w:rPr>
        <w:t xml:space="preserve">, as an EGS, is not a public utility subject to Commission regulation, except in limited circumstances.  </w:t>
      </w:r>
      <w:proofErr w:type="gramStart"/>
      <w:r w:rsidR="009C2F2A" w:rsidRPr="00CC4458">
        <w:rPr>
          <w:rFonts w:ascii="Times New Roman" w:hAnsi="Times New Roman" w:cs="Times New Roman"/>
          <w:u w:val="single"/>
        </w:rPr>
        <w:t>Delmarva Power &amp; Light Co. v. Pa. Pub.</w:t>
      </w:r>
      <w:proofErr w:type="gramEnd"/>
      <w:r w:rsidR="009C2F2A" w:rsidRPr="00CC4458">
        <w:rPr>
          <w:rFonts w:ascii="Times New Roman" w:hAnsi="Times New Roman" w:cs="Times New Roman"/>
          <w:u w:val="single"/>
        </w:rPr>
        <w:t xml:space="preserve"> </w:t>
      </w:r>
      <w:proofErr w:type="gramStart"/>
      <w:r w:rsidR="009C2F2A" w:rsidRPr="00CC4458">
        <w:rPr>
          <w:rFonts w:ascii="Times New Roman" w:hAnsi="Times New Roman" w:cs="Times New Roman"/>
          <w:u w:val="single"/>
        </w:rPr>
        <w:t xml:space="preserve">Util. </w:t>
      </w:r>
      <w:proofErr w:type="spellStart"/>
      <w:r w:rsidR="009C2F2A" w:rsidRPr="00CC4458">
        <w:rPr>
          <w:rFonts w:ascii="Times New Roman" w:hAnsi="Times New Roman" w:cs="Times New Roman"/>
          <w:u w:val="single"/>
        </w:rPr>
        <w:t>Comm’n</w:t>
      </w:r>
      <w:proofErr w:type="spellEnd"/>
      <w:r w:rsidR="009C2F2A" w:rsidRPr="00CC4458">
        <w:rPr>
          <w:rFonts w:ascii="Times New Roman" w:hAnsi="Times New Roman" w:cs="Times New Roman"/>
        </w:rPr>
        <w:t>, 870 A.2d 901 (Pa. 2005) (</w:t>
      </w:r>
      <w:r w:rsidR="009C2F2A" w:rsidRPr="00CC4458">
        <w:rPr>
          <w:rFonts w:ascii="Times New Roman" w:hAnsi="Times New Roman" w:cs="Times New Roman"/>
          <w:u w:val="single"/>
        </w:rPr>
        <w:t>Delmarva</w:t>
      </w:r>
      <w:r w:rsidR="009C2F2A" w:rsidRPr="00CC4458">
        <w:rPr>
          <w:rFonts w:ascii="Times New Roman" w:hAnsi="Times New Roman" w:cs="Times New Roman"/>
        </w:rPr>
        <w:t>).</w:t>
      </w:r>
      <w:proofErr w:type="gramEnd"/>
      <w:r w:rsidR="009C2F2A" w:rsidRPr="00CC4458">
        <w:rPr>
          <w:rFonts w:ascii="Times New Roman" w:hAnsi="Times New Roman" w:cs="Times New Roman"/>
        </w:rPr>
        <w:t xml:space="preserve">  In </w:t>
      </w:r>
      <w:r w:rsidR="009C2F2A" w:rsidRPr="00CC4458">
        <w:rPr>
          <w:rFonts w:ascii="Times New Roman" w:hAnsi="Times New Roman" w:cs="Times New Roman"/>
          <w:u w:val="single"/>
        </w:rPr>
        <w:t>Delmarva</w:t>
      </w:r>
      <w:r w:rsidR="009C2F2A" w:rsidRPr="00CC4458">
        <w:rPr>
          <w:rFonts w:ascii="Times New Roman" w:hAnsi="Times New Roman" w:cs="Times New Roman"/>
        </w:rPr>
        <w:t xml:space="preserve">, the Pennsylvania Supreme Court held the definition of “public utility” at 66 </w:t>
      </w:r>
      <w:proofErr w:type="spellStart"/>
      <w:r w:rsidR="009C2F2A" w:rsidRPr="00CC4458">
        <w:rPr>
          <w:rFonts w:ascii="Times New Roman" w:hAnsi="Times New Roman" w:cs="Times New Roman"/>
        </w:rPr>
        <w:t>Pa.C.S.</w:t>
      </w:r>
      <w:r>
        <w:rPr>
          <w:rFonts w:ascii="Times New Roman" w:hAnsi="Times New Roman" w:cs="Times New Roman"/>
        </w:rPr>
        <w:t>A</w:t>
      </w:r>
      <w:proofErr w:type="spellEnd"/>
      <w:r>
        <w:rPr>
          <w:rFonts w:ascii="Times New Roman" w:hAnsi="Times New Roman" w:cs="Times New Roman"/>
        </w:rPr>
        <w:t>.</w:t>
      </w:r>
      <w:r w:rsidR="009C2F2A" w:rsidRPr="00CC4458">
        <w:rPr>
          <w:rFonts w:ascii="Times New Roman" w:hAnsi="Times New Roman" w:cs="Times New Roman"/>
        </w:rPr>
        <w:t xml:space="preserve"> § 102 </w:t>
      </w:r>
      <w:proofErr w:type="gramStart"/>
      <w:r w:rsidR="009C2F2A" w:rsidRPr="00CC4458">
        <w:rPr>
          <w:rFonts w:ascii="Times New Roman" w:hAnsi="Times New Roman" w:cs="Times New Roman"/>
        </w:rPr>
        <w:t>does</w:t>
      </w:r>
      <w:proofErr w:type="gramEnd"/>
      <w:r w:rsidR="009C2F2A" w:rsidRPr="00CC4458">
        <w:rPr>
          <w:rFonts w:ascii="Times New Roman" w:hAnsi="Times New Roman" w:cs="Times New Roman"/>
        </w:rPr>
        <w:t xml:space="preserve"> not include EGSs except for the limited purposes set forth in 66 </w:t>
      </w:r>
      <w:proofErr w:type="spellStart"/>
      <w:r w:rsidR="009C2F2A" w:rsidRPr="00CC4458">
        <w:rPr>
          <w:rFonts w:ascii="Times New Roman" w:hAnsi="Times New Roman" w:cs="Times New Roman"/>
        </w:rPr>
        <w:t>Pa.C.S.</w:t>
      </w:r>
      <w:r>
        <w:rPr>
          <w:rFonts w:ascii="Times New Roman" w:hAnsi="Times New Roman" w:cs="Times New Roman"/>
        </w:rPr>
        <w:t>A</w:t>
      </w:r>
      <w:proofErr w:type="spellEnd"/>
      <w:r>
        <w:rPr>
          <w:rFonts w:ascii="Times New Roman" w:hAnsi="Times New Roman" w:cs="Times New Roman"/>
        </w:rPr>
        <w:t>.</w:t>
      </w:r>
      <w:r w:rsidR="009C2F2A" w:rsidRPr="00CC4458">
        <w:rPr>
          <w:rFonts w:ascii="Times New Roman" w:hAnsi="Times New Roman" w:cs="Times New Roman"/>
        </w:rPr>
        <w:t xml:space="preserve"> § 2809, regarding licensing requirements and 66 </w:t>
      </w:r>
      <w:proofErr w:type="spellStart"/>
      <w:r w:rsidR="009C2F2A" w:rsidRPr="00CC4458">
        <w:rPr>
          <w:rFonts w:ascii="Times New Roman" w:hAnsi="Times New Roman" w:cs="Times New Roman"/>
        </w:rPr>
        <w:t>Pa.C.S.</w:t>
      </w:r>
      <w:r>
        <w:rPr>
          <w:rFonts w:ascii="Times New Roman" w:hAnsi="Times New Roman" w:cs="Times New Roman"/>
        </w:rPr>
        <w:t>A</w:t>
      </w:r>
      <w:proofErr w:type="spellEnd"/>
      <w:r>
        <w:rPr>
          <w:rFonts w:ascii="Times New Roman" w:hAnsi="Times New Roman" w:cs="Times New Roman"/>
        </w:rPr>
        <w:t>.</w:t>
      </w:r>
      <w:r w:rsidR="009C2F2A" w:rsidRPr="00CC4458">
        <w:rPr>
          <w:rFonts w:ascii="Times New Roman" w:hAnsi="Times New Roman" w:cs="Times New Roman"/>
        </w:rPr>
        <w:t xml:space="preserve"> § 2810, regarding revenue neutral reconciliation.  </w:t>
      </w:r>
    </w:p>
    <w:p w:rsidR="009C2F2A" w:rsidRPr="00CC4458" w:rsidRDefault="009C2F2A" w:rsidP="009C2F2A">
      <w:pPr>
        <w:pStyle w:val="ParaTab1"/>
        <w:spacing w:line="360" w:lineRule="auto"/>
        <w:rPr>
          <w:rFonts w:ascii="Times New Roman" w:hAnsi="Times New Roman" w:cs="Times New Roman"/>
        </w:rPr>
      </w:pPr>
    </w:p>
    <w:p w:rsidR="009C2F2A" w:rsidRPr="00CC4458" w:rsidRDefault="009C2F2A" w:rsidP="009C2F2A">
      <w:pPr>
        <w:pStyle w:val="ParaTab1"/>
        <w:spacing w:line="360" w:lineRule="auto"/>
        <w:rPr>
          <w:rFonts w:ascii="Times New Roman" w:hAnsi="Times New Roman" w:cs="Times New Roman"/>
        </w:rPr>
      </w:pPr>
      <w:r w:rsidRPr="00CC4458">
        <w:rPr>
          <w:rFonts w:ascii="Times New Roman" w:hAnsi="Times New Roman" w:cs="Times New Roman"/>
        </w:rPr>
        <w:t xml:space="preserve">The Commission does not have jurisdiction to regulate the rates charged by an EGS, such as Respondent, or order a refund of unreasonable rates.  Rather, these rates are governed by private contract between the EGS and the customer.  The Commission lacks the jurisdiction to rule on the parties’ responsibilities under a private agreement or the authority to award damages under that agreement.  </w:t>
      </w:r>
      <w:proofErr w:type="gramStart"/>
      <w:r w:rsidRPr="00CC4458">
        <w:rPr>
          <w:rFonts w:ascii="Times New Roman" w:hAnsi="Times New Roman" w:cs="Times New Roman"/>
          <w:u w:val="single"/>
        </w:rPr>
        <w:t>Feingold v. Bell Tel. Co. of Pa.</w:t>
      </w:r>
      <w:r w:rsidRPr="00CC4458">
        <w:rPr>
          <w:rFonts w:ascii="Times New Roman" w:hAnsi="Times New Roman" w:cs="Times New Roman"/>
        </w:rPr>
        <w:t>, 383 A.2d 791 (Pa. 1977).</w:t>
      </w:r>
      <w:proofErr w:type="gramEnd"/>
      <w:r w:rsidRPr="00CC4458">
        <w:rPr>
          <w:rFonts w:ascii="Times New Roman" w:hAnsi="Times New Roman" w:cs="Times New Roman"/>
        </w:rPr>
        <w:t xml:space="preserve">  Since the Commission lacks jurisdiction to regulate the rates charged by Respondent or rule on parties’ responsibilities under their private agreement, the Commission cannot order Respondent to refund any charges for electric generation supply service to Complainant.</w:t>
      </w:r>
    </w:p>
    <w:p w:rsidR="009C2F2A" w:rsidRPr="00CC4458" w:rsidRDefault="009C2F2A" w:rsidP="009C2F2A">
      <w:pPr>
        <w:pStyle w:val="ParaTab1"/>
        <w:spacing w:line="360" w:lineRule="auto"/>
        <w:rPr>
          <w:rFonts w:ascii="Times New Roman" w:hAnsi="Times New Roman" w:cs="Times New Roman"/>
        </w:rPr>
      </w:pPr>
    </w:p>
    <w:p w:rsidR="009C2F2A" w:rsidRDefault="009C2F2A" w:rsidP="009C2F2A">
      <w:pPr>
        <w:pStyle w:val="ParaTab1"/>
        <w:spacing w:line="360" w:lineRule="auto"/>
        <w:rPr>
          <w:rFonts w:ascii="Times New Roman" w:hAnsi="Times New Roman" w:cs="Times New Roman"/>
        </w:rPr>
      </w:pPr>
      <w:r w:rsidRPr="00CC4458">
        <w:rPr>
          <w:rFonts w:ascii="Times New Roman" w:hAnsi="Times New Roman" w:cs="Times New Roman"/>
        </w:rPr>
        <w:t xml:space="preserve">The Commission has specifically addressed its authority to direct EGSs to refund charges for electric generation supply service.  In </w:t>
      </w:r>
      <w:r w:rsidRPr="00CC4458">
        <w:rPr>
          <w:rFonts w:ascii="Times New Roman" w:hAnsi="Times New Roman" w:cs="Times New Roman"/>
          <w:u w:val="single"/>
        </w:rPr>
        <w:t xml:space="preserve">Commonwealth of Pennsylvania, by Attorney General, Kathleen G. Kane, through the Bureau of Consumer Protection and Tanya J. </w:t>
      </w:r>
      <w:r w:rsidRPr="00CC4458">
        <w:rPr>
          <w:rFonts w:ascii="Times New Roman" w:hAnsi="Times New Roman" w:cs="Times New Roman"/>
          <w:u w:val="single"/>
        </w:rPr>
        <w:lastRenderedPageBreak/>
        <w:t>McCloskey, Acting Consumer Advocate v. IDT Energy, Inc.</w:t>
      </w:r>
      <w:r w:rsidRPr="00CC4458">
        <w:rPr>
          <w:rFonts w:ascii="Times New Roman" w:hAnsi="Times New Roman" w:cs="Times New Roman"/>
        </w:rPr>
        <w:t>, Docket No. C-2014-2427657 (Order entered December 18, 2014) (</w:t>
      </w:r>
      <w:r w:rsidRPr="00CC4458">
        <w:rPr>
          <w:rFonts w:ascii="Times New Roman" w:hAnsi="Times New Roman" w:cs="Times New Roman"/>
          <w:u w:val="single"/>
        </w:rPr>
        <w:t>IDT Order</w:t>
      </w:r>
      <w:r w:rsidRPr="00CC4458">
        <w:rPr>
          <w:rFonts w:ascii="Times New Roman" w:hAnsi="Times New Roman" w:cs="Times New Roman"/>
        </w:rPr>
        <w:t xml:space="preserve">), the Commission held that it lacked the authority, pursuant to 66 </w:t>
      </w:r>
      <w:proofErr w:type="spellStart"/>
      <w:r w:rsidRPr="00CC4458">
        <w:rPr>
          <w:rFonts w:ascii="Times New Roman" w:hAnsi="Times New Roman" w:cs="Times New Roman"/>
        </w:rPr>
        <w:t>Pa.C.S.</w:t>
      </w:r>
      <w:r w:rsidR="0098677F">
        <w:rPr>
          <w:rFonts w:ascii="Times New Roman" w:hAnsi="Times New Roman" w:cs="Times New Roman"/>
        </w:rPr>
        <w:t>A</w:t>
      </w:r>
      <w:proofErr w:type="spellEnd"/>
      <w:r w:rsidR="0098677F">
        <w:rPr>
          <w:rFonts w:ascii="Times New Roman" w:hAnsi="Times New Roman" w:cs="Times New Roman"/>
        </w:rPr>
        <w:t>.</w:t>
      </w:r>
      <w:r w:rsidRPr="00CC4458">
        <w:rPr>
          <w:rFonts w:ascii="Times New Roman" w:hAnsi="Times New Roman" w:cs="Times New Roman"/>
        </w:rPr>
        <w:t xml:space="preserve"> § 1312, to direct EGSs to refund charges for electric generation supply service.  The Commission reached this conclusion because 66 </w:t>
      </w:r>
      <w:proofErr w:type="spellStart"/>
      <w:r w:rsidRPr="00CC4458">
        <w:rPr>
          <w:rFonts w:ascii="Times New Roman" w:hAnsi="Times New Roman" w:cs="Times New Roman"/>
        </w:rPr>
        <w:t>Pa.C.S.</w:t>
      </w:r>
      <w:r w:rsidR="0098677F">
        <w:rPr>
          <w:rFonts w:ascii="Times New Roman" w:hAnsi="Times New Roman" w:cs="Times New Roman"/>
        </w:rPr>
        <w:t>A</w:t>
      </w:r>
      <w:proofErr w:type="spellEnd"/>
      <w:r w:rsidR="0098677F">
        <w:rPr>
          <w:rFonts w:ascii="Times New Roman" w:hAnsi="Times New Roman" w:cs="Times New Roman"/>
        </w:rPr>
        <w:t>.</w:t>
      </w:r>
      <w:r w:rsidRPr="00CC4458">
        <w:rPr>
          <w:rFonts w:ascii="Times New Roman" w:hAnsi="Times New Roman" w:cs="Times New Roman"/>
        </w:rPr>
        <w:t xml:space="preserve"> § 1312 applied only to rates charged by public utilities and EGSs are not public utilities except for the limited purposes of 66 </w:t>
      </w:r>
      <w:proofErr w:type="spellStart"/>
      <w:r w:rsidRPr="00CC4458">
        <w:rPr>
          <w:rFonts w:ascii="Times New Roman" w:hAnsi="Times New Roman" w:cs="Times New Roman"/>
        </w:rPr>
        <w:t>Pa.C.S.</w:t>
      </w:r>
      <w:r w:rsidR="0098677F">
        <w:rPr>
          <w:rFonts w:ascii="Times New Roman" w:hAnsi="Times New Roman" w:cs="Times New Roman"/>
        </w:rPr>
        <w:t>A</w:t>
      </w:r>
      <w:proofErr w:type="spellEnd"/>
      <w:r w:rsidR="0098677F">
        <w:rPr>
          <w:rFonts w:ascii="Times New Roman" w:hAnsi="Times New Roman" w:cs="Times New Roman"/>
        </w:rPr>
        <w:t>.</w:t>
      </w:r>
      <w:r w:rsidRPr="00CC4458">
        <w:rPr>
          <w:rFonts w:ascii="Times New Roman" w:hAnsi="Times New Roman" w:cs="Times New Roman"/>
        </w:rPr>
        <w:t xml:space="preserve"> </w:t>
      </w:r>
      <w:proofErr w:type="gramStart"/>
      <w:r w:rsidRPr="00CC4458">
        <w:rPr>
          <w:rFonts w:ascii="Times New Roman" w:hAnsi="Times New Roman" w:cs="Times New Roman"/>
        </w:rPr>
        <w:t>§§ 2809 and 2810.</w:t>
      </w:r>
      <w:proofErr w:type="gramEnd"/>
      <w:r w:rsidRPr="00CC4458">
        <w:rPr>
          <w:rFonts w:ascii="Times New Roman" w:hAnsi="Times New Roman" w:cs="Times New Roman"/>
        </w:rPr>
        <w:t xml:space="preserve">  Therefore, the Commission could not generally refund charges for electric generation supply service. </w:t>
      </w:r>
    </w:p>
    <w:p w:rsidR="009C2F2A" w:rsidRPr="00CC4458" w:rsidRDefault="009C2F2A" w:rsidP="009C2F2A">
      <w:pPr>
        <w:pStyle w:val="ParaTab1"/>
        <w:spacing w:line="360" w:lineRule="auto"/>
        <w:rPr>
          <w:rFonts w:ascii="Times New Roman" w:hAnsi="Times New Roman" w:cs="Times New Roman"/>
        </w:rPr>
      </w:pPr>
    </w:p>
    <w:p w:rsidR="009C2F2A" w:rsidRPr="00CC4458" w:rsidRDefault="009C2F2A" w:rsidP="009C2F2A">
      <w:pPr>
        <w:pStyle w:val="ParaTab1"/>
        <w:spacing w:line="360" w:lineRule="auto"/>
        <w:rPr>
          <w:rFonts w:ascii="Times New Roman" w:hAnsi="Times New Roman" w:cs="Times New Roman"/>
        </w:rPr>
      </w:pPr>
      <w:r w:rsidRPr="00CC4458">
        <w:rPr>
          <w:rFonts w:ascii="Times New Roman" w:hAnsi="Times New Roman" w:cs="Times New Roman"/>
        </w:rPr>
        <w:t>However, the Commission carved out two exceptions to this no</w:t>
      </w:r>
      <w:r w:rsidR="0098677F">
        <w:rPr>
          <w:rFonts w:ascii="Times New Roman" w:hAnsi="Times New Roman" w:cs="Times New Roman"/>
        </w:rPr>
        <w:t>-</w:t>
      </w:r>
      <w:r w:rsidRPr="00CC4458">
        <w:rPr>
          <w:rFonts w:ascii="Times New Roman" w:hAnsi="Times New Roman" w:cs="Times New Roman"/>
        </w:rPr>
        <w:t xml:space="preserve">refund rule in the </w:t>
      </w:r>
      <w:r w:rsidRPr="00CC4458">
        <w:rPr>
          <w:rFonts w:ascii="Times New Roman" w:hAnsi="Times New Roman" w:cs="Times New Roman"/>
          <w:u w:val="single"/>
        </w:rPr>
        <w:t>IDT Order</w:t>
      </w:r>
      <w:r w:rsidRPr="00CC4458">
        <w:rPr>
          <w:rFonts w:ascii="Times New Roman" w:hAnsi="Times New Roman" w:cs="Times New Roman"/>
        </w:rPr>
        <w:t xml:space="preserve">.  First, the Commission noted, pursuant to 52 </w:t>
      </w:r>
      <w:proofErr w:type="spellStart"/>
      <w:r w:rsidRPr="00CC4458">
        <w:rPr>
          <w:rFonts w:ascii="Times New Roman" w:hAnsi="Times New Roman" w:cs="Times New Roman"/>
        </w:rPr>
        <w:t>Pa.Code</w:t>
      </w:r>
      <w:proofErr w:type="spellEnd"/>
      <w:r w:rsidRPr="00CC4458">
        <w:rPr>
          <w:rFonts w:ascii="Times New Roman" w:hAnsi="Times New Roman" w:cs="Times New Roman"/>
        </w:rPr>
        <w:t xml:space="preserve"> § 57.177(b), it could direct an EGS to refund charges when a customer has been switched to an EGS without the customer’s consent.  Second, the Commission stated that it had the authority, pursuant to 66 </w:t>
      </w:r>
      <w:proofErr w:type="spellStart"/>
      <w:r w:rsidRPr="00CC4458">
        <w:rPr>
          <w:rFonts w:ascii="Times New Roman" w:hAnsi="Times New Roman" w:cs="Times New Roman"/>
        </w:rPr>
        <w:t>Pa.C.S</w:t>
      </w:r>
      <w:proofErr w:type="spellEnd"/>
      <w:r w:rsidRPr="00CC4458">
        <w:rPr>
          <w:rFonts w:ascii="Times New Roman" w:hAnsi="Times New Roman" w:cs="Times New Roman"/>
        </w:rPr>
        <w:t xml:space="preserve">. § 501, to order a credit or refund where the EGS overbills a customer by failing to bill a customer in accordance with its disclosure statement, in violation of 52 </w:t>
      </w:r>
      <w:proofErr w:type="spellStart"/>
      <w:r w:rsidRPr="00CC4458">
        <w:rPr>
          <w:rFonts w:ascii="Times New Roman" w:hAnsi="Times New Roman" w:cs="Times New Roman"/>
        </w:rPr>
        <w:t>Pa.Code</w:t>
      </w:r>
      <w:proofErr w:type="spellEnd"/>
      <w:r w:rsidRPr="00CC4458">
        <w:rPr>
          <w:rFonts w:ascii="Times New Roman" w:hAnsi="Times New Roman" w:cs="Times New Roman"/>
        </w:rPr>
        <w:t xml:space="preserve"> §§ 54.4(a) and 54.5(a) and 66 </w:t>
      </w:r>
      <w:proofErr w:type="spellStart"/>
      <w:r w:rsidRPr="00CC4458">
        <w:rPr>
          <w:rFonts w:ascii="Times New Roman" w:hAnsi="Times New Roman" w:cs="Times New Roman"/>
        </w:rPr>
        <w:t>Pa.C.S</w:t>
      </w:r>
      <w:proofErr w:type="spellEnd"/>
      <w:r w:rsidRPr="00CC4458">
        <w:rPr>
          <w:rFonts w:ascii="Times New Roman" w:hAnsi="Times New Roman" w:cs="Times New Roman"/>
        </w:rPr>
        <w:t xml:space="preserve">. § 2809(b).    </w:t>
      </w:r>
    </w:p>
    <w:p w:rsidR="00DC72E7" w:rsidRDefault="00DC72E7" w:rsidP="009C2F2A">
      <w:pPr>
        <w:pStyle w:val="ParaTab1"/>
        <w:spacing w:line="360" w:lineRule="auto"/>
        <w:ind w:firstLine="0"/>
        <w:rPr>
          <w:rFonts w:ascii="Times New Roman" w:hAnsi="Times New Roman" w:cs="Times New Roman"/>
          <w:u w:val="single"/>
        </w:rPr>
      </w:pPr>
    </w:p>
    <w:p w:rsidR="009C2F2A" w:rsidRDefault="009C2F2A" w:rsidP="009C2F2A">
      <w:pPr>
        <w:pStyle w:val="ParaTab1"/>
        <w:spacing w:line="360" w:lineRule="auto"/>
        <w:ind w:firstLine="0"/>
        <w:rPr>
          <w:rFonts w:ascii="Times New Roman" w:hAnsi="Times New Roman" w:cs="Times New Roman"/>
          <w:u w:val="single"/>
        </w:rPr>
      </w:pPr>
      <w:r w:rsidRPr="003A52EE">
        <w:rPr>
          <w:rFonts w:ascii="Times New Roman" w:hAnsi="Times New Roman" w:cs="Times New Roman"/>
          <w:u w:val="single"/>
        </w:rPr>
        <w:t>Analysis</w:t>
      </w:r>
    </w:p>
    <w:p w:rsidR="009C2F2A" w:rsidRPr="003A52EE" w:rsidRDefault="009C2F2A" w:rsidP="009C2F2A">
      <w:pPr>
        <w:pStyle w:val="ParaTab1"/>
        <w:spacing w:line="360" w:lineRule="auto"/>
        <w:ind w:firstLine="0"/>
        <w:rPr>
          <w:rFonts w:ascii="Times New Roman" w:hAnsi="Times New Roman" w:cs="Times New Roman"/>
          <w:u w:val="single"/>
        </w:rPr>
      </w:pPr>
    </w:p>
    <w:p w:rsidR="009C2F2A" w:rsidRDefault="009C2F2A" w:rsidP="009C2F2A">
      <w:pPr>
        <w:pStyle w:val="ParaTab1"/>
        <w:spacing w:line="360" w:lineRule="auto"/>
        <w:rPr>
          <w:rFonts w:ascii="Times New Roman" w:hAnsi="Times New Roman" w:cs="Times New Roman"/>
        </w:rPr>
      </w:pPr>
      <w:r>
        <w:rPr>
          <w:rFonts w:ascii="Times New Roman" w:hAnsi="Times New Roman" w:cs="Times New Roman"/>
        </w:rPr>
        <w:t xml:space="preserve">In the instant matter, Complainant alleges Respondent charged excessive rates </w:t>
      </w:r>
      <w:r w:rsidR="00DC72E7">
        <w:rPr>
          <w:rFonts w:ascii="Times New Roman" w:hAnsi="Times New Roman" w:cs="Times New Roman"/>
        </w:rPr>
        <w:t xml:space="preserve">as an electric commodity provider </w:t>
      </w:r>
      <w:r w:rsidR="00264585">
        <w:rPr>
          <w:rFonts w:ascii="Times New Roman" w:hAnsi="Times New Roman" w:cs="Times New Roman"/>
        </w:rPr>
        <w:t xml:space="preserve">in February and March 2014, </w:t>
      </w:r>
      <w:r>
        <w:rPr>
          <w:rFonts w:ascii="Times New Roman" w:hAnsi="Times New Roman" w:cs="Times New Roman"/>
        </w:rPr>
        <w:t xml:space="preserve">and requests the Commission order Respondent to refund the </w:t>
      </w:r>
      <w:r w:rsidR="00264585">
        <w:rPr>
          <w:rFonts w:ascii="Times New Roman" w:hAnsi="Times New Roman" w:cs="Times New Roman"/>
        </w:rPr>
        <w:t xml:space="preserve">difference between the quoted commodity rate and the </w:t>
      </w:r>
      <w:r w:rsidR="009857C2">
        <w:rPr>
          <w:rFonts w:ascii="Times New Roman" w:hAnsi="Times New Roman" w:cs="Times New Roman"/>
        </w:rPr>
        <w:t xml:space="preserve">variable </w:t>
      </w:r>
      <w:r w:rsidR="00264585">
        <w:rPr>
          <w:rFonts w:ascii="Times New Roman" w:hAnsi="Times New Roman" w:cs="Times New Roman"/>
        </w:rPr>
        <w:t>commodity rate it actually charged Complainant during those two months</w:t>
      </w:r>
      <w:r>
        <w:rPr>
          <w:rFonts w:ascii="Times New Roman" w:hAnsi="Times New Roman" w:cs="Times New Roman"/>
        </w:rPr>
        <w:t xml:space="preserve">.  </w:t>
      </w:r>
    </w:p>
    <w:p w:rsidR="009C2F2A" w:rsidRDefault="009C2F2A" w:rsidP="009C2F2A">
      <w:pPr>
        <w:pStyle w:val="ParaTab1"/>
        <w:spacing w:line="360" w:lineRule="auto"/>
        <w:rPr>
          <w:rFonts w:ascii="Times New Roman" w:hAnsi="Times New Roman" w:cs="Times New Roman"/>
        </w:rPr>
      </w:pPr>
    </w:p>
    <w:p w:rsidR="009C2F2A" w:rsidRDefault="009C2F2A" w:rsidP="009C2F2A">
      <w:pPr>
        <w:pStyle w:val="ParaTab1"/>
        <w:spacing w:line="360" w:lineRule="auto"/>
        <w:rPr>
          <w:rFonts w:ascii="Times New Roman" w:hAnsi="Times New Roman" w:cs="Times New Roman"/>
        </w:rPr>
      </w:pPr>
      <w:r>
        <w:rPr>
          <w:rFonts w:ascii="Times New Roman" w:hAnsi="Times New Roman" w:cs="Times New Roman"/>
        </w:rPr>
        <w:t>Turning first to the allegation that Respondent charged excessive rates</w:t>
      </w:r>
      <w:r w:rsidR="00DC72E7">
        <w:rPr>
          <w:rFonts w:ascii="Times New Roman" w:hAnsi="Times New Roman" w:cs="Times New Roman"/>
        </w:rPr>
        <w:t xml:space="preserve"> during February and March 2014</w:t>
      </w:r>
      <w:r>
        <w:rPr>
          <w:rFonts w:ascii="Times New Roman" w:hAnsi="Times New Roman" w:cs="Times New Roman"/>
        </w:rPr>
        <w:t xml:space="preserve">, Complainant offered no evidence in support of </w:t>
      </w:r>
      <w:r w:rsidR="00264585">
        <w:rPr>
          <w:rFonts w:ascii="Times New Roman" w:hAnsi="Times New Roman" w:cs="Times New Roman"/>
        </w:rPr>
        <w:t>her</w:t>
      </w:r>
      <w:r>
        <w:rPr>
          <w:rFonts w:ascii="Times New Roman" w:hAnsi="Times New Roman" w:cs="Times New Roman"/>
        </w:rPr>
        <w:t xml:space="preserve"> assertion that Respondent’s rates were excessive, other than the statement that Respondent’s </w:t>
      </w:r>
      <w:r w:rsidR="009857C2">
        <w:rPr>
          <w:rFonts w:ascii="Times New Roman" w:hAnsi="Times New Roman" w:cs="Times New Roman"/>
        </w:rPr>
        <w:t>variable rate was</w:t>
      </w:r>
      <w:r>
        <w:rPr>
          <w:rFonts w:ascii="Times New Roman" w:hAnsi="Times New Roman" w:cs="Times New Roman"/>
        </w:rPr>
        <w:t xml:space="preserve"> higher </w:t>
      </w:r>
      <w:r w:rsidR="00DC72E7">
        <w:rPr>
          <w:rFonts w:ascii="Times New Roman" w:hAnsi="Times New Roman" w:cs="Times New Roman"/>
        </w:rPr>
        <w:t>than the initial quoted rate</w:t>
      </w:r>
      <w:r>
        <w:rPr>
          <w:rFonts w:ascii="Times New Roman" w:hAnsi="Times New Roman" w:cs="Times New Roman"/>
        </w:rPr>
        <w:t>.  However, even if it was determined that Respondent’s rat</w:t>
      </w:r>
      <w:r w:rsidR="00DC72E7">
        <w:rPr>
          <w:rFonts w:ascii="Times New Roman" w:hAnsi="Times New Roman" w:cs="Times New Roman"/>
        </w:rPr>
        <w:t xml:space="preserve">es were </w:t>
      </w:r>
      <w:proofErr w:type="gramStart"/>
      <w:r>
        <w:rPr>
          <w:rFonts w:ascii="Times New Roman" w:hAnsi="Times New Roman" w:cs="Times New Roman"/>
        </w:rPr>
        <w:t>excessive,</w:t>
      </w:r>
      <w:proofErr w:type="gramEnd"/>
      <w:r>
        <w:rPr>
          <w:rFonts w:ascii="Times New Roman" w:hAnsi="Times New Roman" w:cs="Times New Roman"/>
        </w:rPr>
        <w:t xml:space="preserve"> the Commission lacks the authority to direct Respondent to refund any charges to Complainant.   </w:t>
      </w:r>
    </w:p>
    <w:p w:rsidR="009C2F2A" w:rsidRDefault="009C2F2A" w:rsidP="009C2F2A">
      <w:pPr>
        <w:pStyle w:val="ParaTab1"/>
        <w:spacing w:line="360" w:lineRule="auto"/>
        <w:rPr>
          <w:rFonts w:ascii="Times New Roman" w:hAnsi="Times New Roman" w:cs="Times New Roman"/>
        </w:rPr>
      </w:pPr>
    </w:p>
    <w:p w:rsidR="009C2F2A" w:rsidRPr="00532756" w:rsidRDefault="009C2F2A" w:rsidP="009C2F2A">
      <w:pPr>
        <w:pStyle w:val="ParaTab1"/>
        <w:spacing w:line="360" w:lineRule="auto"/>
        <w:rPr>
          <w:rFonts w:ascii="Times New Roman" w:hAnsi="Times New Roman" w:cs="Times New Roman"/>
        </w:rPr>
      </w:pPr>
      <w:r w:rsidRPr="003A2FF7">
        <w:rPr>
          <w:rFonts w:ascii="Times New Roman" w:hAnsi="Times New Roman" w:cs="Times New Roman"/>
        </w:rPr>
        <w:lastRenderedPageBreak/>
        <w:t>The Commission may not regulate the rates that Respondent charged Complainant for electric generation supply service and may not order Respondent to refund any amount to</w:t>
      </w:r>
      <w:r>
        <w:rPr>
          <w:rFonts w:ascii="Times New Roman" w:hAnsi="Times New Roman" w:cs="Times New Roman"/>
        </w:rPr>
        <w:t xml:space="preserve"> </w:t>
      </w:r>
      <w:r w:rsidRPr="003A2FF7">
        <w:rPr>
          <w:rFonts w:ascii="Times New Roman" w:hAnsi="Times New Roman" w:cs="Times New Roman"/>
        </w:rPr>
        <w:t xml:space="preserve">Complainant since, as explained above, Respondent is not a public utility except for the limited purposes of 66 </w:t>
      </w:r>
      <w:proofErr w:type="spellStart"/>
      <w:r w:rsidRPr="003A2FF7">
        <w:rPr>
          <w:rFonts w:ascii="Times New Roman" w:hAnsi="Times New Roman" w:cs="Times New Roman"/>
        </w:rPr>
        <w:t>Pa.C.S</w:t>
      </w:r>
      <w:proofErr w:type="spellEnd"/>
      <w:r w:rsidRPr="003A2FF7">
        <w:rPr>
          <w:rFonts w:ascii="Times New Roman" w:hAnsi="Times New Roman" w:cs="Times New Roman"/>
        </w:rPr>
        <w:t xml:space="preserve">. </w:t>
      </w:r>
      <w:proofErr w:type="gramStart"/>
      <w:r w:rsidRPr="003A2FF7">
        <w:rPr>
          <w:rFonts w:ascii="Times New Roman" w:hAnsi="Times New Roman" w:cs="Times New Roman"/>
        </w:rPr>
        <w:t>§§ 2809 and 2810.</w:t>
      </w:r>
      <w:proofErr w:type="gramEnd"/>
      <w:r w:rsidRPr="003A2FF7">
        <w:rPr>
          <w:rFonts w:ascii="Times New Roman" w:hAnsi="Times New Roman" w:cs="Times New Roman"/>
        </w:rPr>
        <w:t xml:space="preserve">  </w:t>
      </w:r>
    </w:p>
    <w:p w:rsidR="009C2F2A" w:rsidRPr="00532756" w:rsidRDefault="009C2F2A" w:rsidP="009C2F2A">
      <w:pPr>
        <w:pStyle w:val="ParaTab1"/>
        <w:spacing w:line="360" w:lineRule="auto"/>
        <w:rPr>
          <w:rFonts w:ascii="Times New Roman" w:hAnsi="Times New Roman" w:cs="Times New Roman"/>
        </w:rPr>
      </w:pPr>
    </w:p>
    <w:p w:rsidR="009C2F2A" w:rsidRDefault="009C2F2A" w:rsidP="009C2F2A">
      <w:pPr>
        <w:tabs>
          <w:tab w:val="left" w:pos="-1440"/>
          <w:tab w:val="left" w:pos="-720"/>
        </w:tabs>
        <w:suppressAutoHyphens/>
        <w:spacing w:line="360" w:lineRule="auto"/>
        <w:ind w:firstLine="1440"/>
        <w:rPr>
          <w:spacing w:val="-3"/>
        </w:rPr>
      </w:pPr>
      <w:r w:rsidRPr="00EF4175">
        <w:t>Furthermore,</w:t>
      </w:r>
      <w:r w:rsidRPr="00EF4175">
        <w:rPr>
          <w:b/>
        </w:rPr>
        <w:t xml:space="preserve"> </w:t>
      </w:r>
      <w:r w:rsidRPr="00EF4175">
        <w:rPr>
          <w:spacing w:val="-3"/>
        </w:rPr>
        <w:t>Chapter 5</w:t>
      </w:r>
      <w:r>
        <w:rPr>
          <w:spacing w:val="-3"/>
        </w:rPr>
        <w:t xml:space="preserve">4 of the Public Utility Code regulations is entitled “Electricity Generation Customer Choice.”  Section 54.1(a) states: </w:t>
      </w:r>
    </w:p>
    <w:p w:rsidR="009C2F2A" w:rsidRDefault="009C2F2A" w:rsidP="009C2F2A">
      <w:pPr>
        <w:tabs>
          <w:tab w:val="left" w:pos="-1440"/>
          <w:tab w:val="left" w:pos="-720"/>
        </w:tabs>
        <w:suppressAutoHyphens/>
        <w:ind w:left="2160" w:right="1440"/>
        <w:rPr>
          <w:spacing w:val="-3"/>
        </w:rPr>
      </w:pPr>
      <w:r>
        <w:rPr>
          <w:spacing w:val="-3"/>
        </w:rPr>
        <w:t>The purpose of this subchapter is to require that electricity providers enable customers to make informed choices regarding the purchase of electricity services offered by providing adequate and accurate customer information.  Information shall be provided to customers in an understandable format that enables customers to compare prices and services on a uniform basis.</w:t>
      </w:r>
    </w:p>
    <w:p w:rsidR="009C2F2A" w:rsidRDefault="009C2F2A" w:rsidP="009C2F2A">
      <w:pPr>
        <w:tabs>
          <w:tab w:val="left" w:pos="-1440"/>
          <w:tab w:val="left" w:pos="-720"/>
        </w:tabs>
        <w:suppressAutoHyphens/>
        <w:ind w:left="2160" w:right="1440"/>
        <w:rPr>
          <w:spacing w:val="-3"/>
        </w:rPr>
      </w:pPr>
    </w:p>
    <w:p w:rsidR="009C2F2A" w:rsidRDefault="009C2F2A" w:rsidP="009C2F2A">
      <w:pPr>
        <w:tabs>
          <w:tab w:val="left" w:pos="-1440"/>
          <w:tab w:val="left" w:pos="-720"/>
        </w:tabs>
        <w:suppressAutoHyphens/>
        <w:spacing w:line="360" w:lineRule="auto"/>
        <w:ind w:left="2160" w:right="1440"/>
        <w:rPr>
          <w:spacing w:val="-3"/>
        </w:rPr>
      </w:pPr>
      <w:proofErr w:type="gramStart"/>
      <w:r>
        <w:rPr>
          <w:spacing w:val="-3"/>
        </w:rPr>
        <w:t xml:space="preserve">52 </w:t>
      </w:r>
      <w:proofErr w:type="spellStart"/>
      <w:r>
        <w:rPr>
          <w:spacing w:val="-3"/>
        </w:rPr>
        <w:t>Pa.Code</w:t>
      </w:r>
      <w:proofErr w:type="spellEnd"/>
      <w:r>
        <w:rPr>
          <w:spacing w:val="-3"/>
        </w:rPr>
        <w:t xml:space="preserve"> § 54.1(a)</w:t>
      </w:r>
      <w:r w:rsidR="00294148">
        <w:rPr>
          <w:spacing w:val="-3"/>
        </w:rPr>
        <w:t>.</w:t>
      </w:r>
      <w:proofErr w:type="gramEnd"/>
    </w:p>
    <w:p w:rsidR="009C2F2A" w:rsidRDefault="009C2F2A" w:rsidP="009C2F2A">
      <w:pPr>
        <w:tabs>
          <w:tab w:val="left" w:pos="-1440"/>
          <w:tab w:val="left" w:pos="-720"/>
        </w:tabs>
        <w:suppressAutoHyphens/>
        <w:spacing w:line="360" w:lineRule="auto"/>
        <w:ind w:left="2160" w:right="1350"/>
        <w:rPr>
          <w:spacing w:val="-3"/>
        </w:rPr>
      </w:pPr>
    </w:p>
    <w:p w:rsidR="009C2F2A" w:rsidRPr="005C28F8" w:rsidRDefault="009C2F2A" w:rsidP="009C2F2A">
      <w:pPr>
        <w:tabs>
          <w:tab w:val="left" w:pos="-1440"/>
          <w:tab w:val="left" w:pos="-720"/>
        </w:tabs>
        <w:suppressAutoHyphens/>
        <w:ind w:left="2160" w:right="1440"/>
        <w:rPr>
          <w:spacing w:val="-3"/>
        </w:rPr>
      </w:pPr>
      <w:r w:rsidRPr="005C28F8">
        <w:rPr>
          <w:spacing w:val="-3"/>
        </w:rPr>
        <w:t>Section 54.3 – Standards and pricing practices for retail    electricity service, provides as follows:</w:t>
      </w:r>
    </w:p>
    <w:p w:rsidR="009C2F2A" w:rsidRPr="005C28F8" w:rsidRDefault="009C2F2A" w:rsidP="009C2F2A">
      <w:pPr>
        <w:tabs>
          <w:tab w:val="left" w:pos="-1440"/>
          <w:tab w:val="left" w:pos="-720"/>
        </w:tabs>
        <w:suppressAutoHyphens/>
        <w:ind w:right="1440"/>
        <w:rPr>
          <w:spacing w:val="-3"/>
        </w:rPr>
      </w:pPr>
    </w:p>
    <w:p w:rsidR="009C2F2A" w:rsidRPr="005C28F8" w:rsidRDefault="009C2F2A" w:rsidP="009C2F2A">
      <w:pPr>
        <w:tabs>
          <w:tab w:val="left" w:pos="-1440"/>
          <w:tab w:val="left" w:pos="-720"/>
        </w:tabs>
        <w:suppressAutoHyphens/>
        <w:ind w:left="2160" w:right="1350"/>
        <w:rPr>
          <w:spacing w:val="-3"/>
        </w:rPr>
      </w:pPr>
      <w:r w:rsidRPr="005C28F8">
        <w:rPr>
          <w:spacing w:val="-3"/>
        </w:rPr>
        <w:t>In furnishing retail electricity service, EDCs and EGSs or any entity that otherwise provides retail electricity service information to customers, shall comply with the following:</w:t>
      </w:r>
    </w:p>
    <w:p w:rsidR="009C2F2A" w:rsidRPr="005C28F8" w:rsidRDefault="009C2F2A" w:rsidP="009C2F2A">
      <w:pPr>
        <w:tabs>
          <w:tab w:val="left" w:pos="-1440"/>
          <w:tab w:val="left" w:pos="-720"/>
        </w:tabs>
        <w:suppressAutoHyphens/>
        <w:ind w:left="2160" w:right="1350"/>
        <w:rPr>
          <w:spacing w:val="-3"/>
        </w:rPr>
      </w:pPr>
    </w:p>
    <w:p w:rsidR="009C2F2A" w:rsidRPr="005C28F8" w:rsidRDefault="009C2F2A" w:rsidP="009C2F2A">
      <w:pPr>
        <w:pStyle w:val="ListParagraph"/>
        <w:numPr>
          <w:ilvl w:val="0"/>
          <w:numId w:val="4"/>
        </w:numPr>
        <w:tabs>
          <w:tab w:val="left" w:pos="-1440"/>
          <w:tab w:val="left" w:pos="-720"/>
        </w:tabs>
        <w:suppressAutoHyphens/>
        <w:spacing w:line="240" w:lineRule="auto"/>
        <w:ind w:left="2160" w:right="1350" w:firstLine="360"/>
        <w:rPr>
          <w:spacing w:val="-3"/>
          <w:sz w:val="24"/>
          <w:szCs w:val="24"/>
        </w:rPr>
      </w:pPr>
      <w:r w:rsidRPr="005C28F8">
        <w:rPr>
          <w:spacing w:val="-3"/>
          <w:sz w:val="24"/>
          <w:szCs w:val="24"/>
        </w:rPr>
        <w:t xml:space="preserve">Use common and consistent terminology in customer communications, including marketing, billing and disclosure statements. </w:t>
      </w:r>
    </w:p>
    <w:p w:rsidR="009C2F2A" w:rsidRPr="005C28F8" w:rsidRDefault="009C2F2A" w:rsidP="009C2F2A">
      <w:pPr>
        <w:pStyle w:val="ListParagraph"/>
        <w:tabs>
          <w:tab w:val="left" w:pos="-1440"/>
          <w:tab w:val="left" w:pos="-720"/>
        </w:tabs>
        <w:suppressAutoHyphens/>
        <w:ind w:left="2520" w:right="1350"/>
        <w:rPr>
          <w:spacing w:val="-3"/>
          <w:sz w:val="24"/>
          <w:szCs w:val="24"/>
        </w:rPr>
      </w:pPr>
    </w:p>
    <w:p w:rsidR="009C2F2A" w:rsidRPr="005C28F8" w:rsidRDefault="009C2F2A" w:rsidP="009C2F2A">
      <w:pPr>
        <w:tabs>
          <w:tab w:val="left" w:pos="-1440"/>
          <w:tab w:val="left" w:pos="-720"/>
        </w:tabs>
        <w:suppressAutoHyphens/>
        <w:spacing w:line="360" w:lineRule="auto"/>
        <w:ind w:left="2160" w:right="1350"/>
        <w:rPr>
          <w:spacing w:val="-3"/>
        </w:rPr>
      </w:pPr>
      <w:proofErr w:type="gramStart"/>
      <w:r w:rsidRPr="005C28F8">
        <w:rPr>
          <w:spacing w:val="-3"/>
        </w:rPr>
        <w:t xml:space="preserve">52 </w:t>
      </w:r>
      <w:proofErr w:type="spellStart"/>
      <w:r w:rsidRPr="005C28F8">
        <w:rPr>
          <w:spacing w:val="-3"/>
        </w:rPr>
        <w:t>Pa.Code</w:t>
      </w:r>
      <w:proofErr w:type="spellEnd"/>
      <w:r w:rsidRPr="005C28F8">
        <w:rPr>
          <w:spacing w:val="-3"/>
        </w:rPr>
        <w:t xml:space="preserve"> § 54.3</w:t>
      </w:r>
      <w:r w:rsidR="00294148">
        <w:rPr>
          <w:spacing w:val="-3"/>
        </w:rPr>
        <w:t>.</w:t>
      </w:r>
      <w:proofErr w:type="gramEnd"/>
    </w:p>
    <w:p w:rsidR="009C2F2A" w:rsidRPr="00CC4458" w:rsidRDefault="009C2F2A" w:rsidP="009C2F2A">
      <w:pPr>
        <w:tabs>
          <w:tab w:val="left" w:pos="-1440"/>
          <w:tab w:val="left" w:pos="-720"/>
        </w:tabs>
        <w:suppressAutoHyphens/>
        <w:spacing w:line="360" w:lineRule="auto"/>
        <w:ind w:firstLine="1440"/>
        <w:rPr>
          <w:spacing w:val="-3"/>
        </w:rPr>
      </w:pPr>
    </w:p>
    <w:p w:rsidR="009C2F2A" w:rsidRPr="00CC4458" w:rsidRDefault="009C2F2A" w:rsidP="009C2F2A">
      <w:pPr>
        <w:spacing w:line="360" w:lineRule="auto"/>
        <w:ind w:firstLine="720"/>
        <w:rPr>
          <w:b/>
        </w:rPr>
      </w:pPr>
      <w:r>
        <w:rPr>
          <w:b/>
        </w:rPr>
        <w:tab/>
      </w:r>
      <w:r w:rsidRPr="00CC4458">
        <w:t xml:space="preserve">The evidence establishes Complainant authorized </w:t>
      </w:r>
      <w:r w:rsidR="0098677F">
        <w:t>PPL Electric Utilities Corporation</w:t>
      </w:r>
      <w:r w:rsidRPr="00CC4458">
        <w:t xml:space="preserve"> to enroll Complainant as a customer</w:t>
      </w:r>
      <w:r w:rsidR="0098677F">
        <w:t xml:space="preserve"> of Blue Pilot</w:t>
      </w:r>
      <w:r w:rsidRPr="00294148">
        <w:t>.</w:t>
      </w:r>
      <w:r w:rsidRPr="00CC4458">
        <w:rPr>
          <w:b/>
        </w:rPr>
        <w:t xml:space="preserve">  </w:t>
      </w:r>
      <w:r w:rsidRPr="00CC4458">
        <w:t xml:space="preserve">Complainant entered into an energy services agreement with Respondent for electric </w:t>
      </w:r>
      <w:r w:rsidR="00DC72E7">
        <w:t xml:space="preserve">commodity </w:t>
      </w:r>
      <w:r w:rsidRPr="00CC4458">
        <w:t>service</w:t>
      </w:r>
      <w:r w:rsidR="00DC72E7">
        <w:t xml:space="preserve">, which provided for a </w:t>
      </w:r>
      <w:r w:rsidR="00DC72E7" w:rsidRPr="00DC72E7">
        <w:rPr>
          <w:u w:val="single"/>
        </w:rPr>
        <w:t>variable</w:t>
      </w:r>
      <w:r w:rsidR="00DC72E7">
        <w:t xml:space="preserve"> rate to be charged to Complainant</w:t>
      </w:r>
      <w:r w:rsidR="0098677F">
        <w:t>.</w:t>
      </w:r>
      <w:r w:rsidR="00DC72E7">
        <w:t xml:space="preserve">  Complainant acknowledged at the hearing that she knew the rate quoted by Blue Pilot was variable, and not fixed.</w:t>
      </w:r>
      <w:r w:rsidR="0024610D">
        <w:t xml:space="preserve">  It should be noted Blue Pilot did not keep its verbal agreement to bill Complainant at the lower rate (24.0 cents per kWh) in March 2014 but the Commission lacks authority to order a refund.</w:t>
      </w:r>
      <w:r w:rsidR="00DC72E7">
        <w:t xml:space="preserve">  </w:t>
      </w:r>
    </w:p>
    <w:p w:rsidR="009C2F2A" w:rsidRPr="00CC4458" w:rsidRDefault="009C2F2A" w:rsidP="009C2F2A">
      <w:pPr>
        <w:pStyle w:val="ParaTab1"/>
        <w:spacing w:line="360" w:lineRule="auto"/>
        <w:rPr>
          <w:rFonts w:ascii="Times New Roman" w:hAnsi="Times New Roman" w:cs="Times New Roman"/>
        </w:rPr>
      </w:pPr>
      <w:r w:rsidRPr="00CC4458">
        <w:rPr>
          <w:rFonts w:ascii="Times New Roman" w:hAnsi="Times New Roman" w:cs="Times New Roman"/>
        </w:rPr>
        <w:lastRenderedPageBreak/>
        <w:t xml:space="preserve">Based on the evidence presented, Complainant failed to demonstrate by a preponderance of the evidence that Respondent failed to provide </w:t>
      </w:r>
      <w:r w:rsidR="0098677F">
        <w:rPr>
          <w:rFonts w:ascii="Times New Roman" w:hAnsi="Times New Roman" w:cs="Times New Roman"/>
        </w:rPr>
        <w:t>her</w:t>
      </w:r>
      <w:r w:rsidRPr="00CC4458">
        <w:rPr>
          <w:rFonts w:ascii="Times New Roman" w:hAnsi="Times New Roman" w:cs="Times New Roman"/>
        </w:rPr>
        <w:t xml:space="preserve"> with accurate information about its electric generation services or rates in plain language and common terms.  To the extent that Complainant did not understand what </w:t>
      </w:r>
      <w:r w:rsidR="0098677F">
        <w:rPr>
          <w:rFonts w:ascii="Times New Roman" w:hAnsi="Times New Roman" w:cs="Times New Roman"/>
        </w:rPr>
        <w:t>she</w:t>
      </w:r>
      <w:r w:rsidRPr="00CC4458">
        <w:rPr>
          <w:rFonts w:ascii="Times New Roman" w:hAnsi="Times New Roman" w:cs="Times New Roman"/>
        </w:rPr>
        <w:t xml:space="preserve"> was signing, or questions arose after signing the agreement, Complainant could have contacted Respondent and asked questions about its service before signing and returning the form.  </w:t>
      </w:r>
    </w:p>
    <w:p w:rsidR="0052149B" w:rsidRPr="00EE0848" w:rsidRDefault="0052149B" w:rsidP="009C2F2A">
      <w:pPr>
        <w:tabs>
          <w:tab w:val="left" w:pos="-1440"/>
          <w:tab w:val="left" w:pos="-720"/>
        </w:tabs>
        <w:suppressAutoHyphens/>
        <w:spacing w:line="360" w:lineRule="auto"/>
        <w:ind w:right="1350"/>
        <w:rPr>
          <w:spacing w:val="-3"/>
        </w:rPr>
      </w:pPr>
    </w:p>
    <w:p w:rsidR="009C2F2A" w:rsidRPr="00CC4458" w:rsidRDefault="009C2F2A" w:rsidP="009C2F2A">
      <w:pPr>
        <w:tabs>
          <w:tab w:val="left" w:pos="-1440"/>
          <w:tab w:val="left" w:pos="-720"/>
        </w:tabs>
        <w:suppressAutoHyphens/>
        <w:spacing w:line="360" w:lineRule="auto"/>
        <w:rPr>
          <w:spacing w:val="-3"/>
          <w:u w:val="single"/>
        </w:rPr>
      </w:pPr>
      <w:r w:rsidRPr="00CC4458">
        <w:rPr>
          <w:spacing w:val="-3"/>
          <w:u w:val="single"/>
        </w:rPr>
        <w:t>Conclusion</w:t>
      </w:r>
    </w:p>
    <w:p w:rsidR="009C2F2A" w:rsidRPr="00CC4458" w:rsidRDefault="009C2F2A" w:rsidP="009C2F2A">
      <w:pPr>
        <w:tabs>
          <w:tab w:val="left" w:pos="-1440"/>
          <w:tab w:val="left" w:pos="-720"/>
        </w:tabs>
        <w:suppressAutoHyphens/>
        <w:spacing w:line="360" w:lineRule="auto"/>
        <w:rPr>
          <w:spacing w:val="-3"/>
          <w:u w:val="single"/>
        </w:rPr>
      </w:pPr>
    </w:p>
    <w:p w:rsidR="009C2F2A" w:rsidRPr="00CC4458" w:rsidRDefault="009C2F2A" w:rsidP="009C2F2A">
      <w:pPr>
        <w:tabs>
          <w:tab w:val="left" w:pos="-1440"/>
          <w:tab w:val="left" w:pos="-720"/>
        </w:tabs>
        <w:suppressAutoHyphens/>
        <w:spacing w:line="360" w:lineRule="auto"/>
        <w:ind w:firstLine="1440"/>
      </w:pPr>
      <w:r w:rsidRPr="00CC4458">
        <w:t xml:space="preserve">Complainant alleged there were incorrect charges on </w:t>
      </w:r>
      <w:r w:rsidR="0098677F">
        <w:t>her</w:t>
      </w:r>
      <w:r w:rsidRPr="00CC4458">
        <w:t xml:space="preserve"> bill and that Respondent unilaterally, without notice, increased Complainant’s rate</w:t>
      </w:r>
      <w:r w:rsidR="00DC72E7">
        <w:t xml:space="preserve"> more than four times the initially quoted rate</w:t>
      </w:r>
      <w:r w:rsidRPr="00CC4458">
        <w:t xml:space="preserve">.  Complainant wants the charges from </w:t>
      </w:r>
      <w:r w:rsidR="00DC72E7">
        <w:t xml:space="preserve">February </w:t>
      </w:r>
      <w:r w:rsidR="00294148">
        <w:t xml:space="preserve">2014 </w:t>
      </w:r>
      <w:r w:rsidR="00DC72E7">
        <w:t xml:space="preserve">through March </w:t>
      </w:r>
      <w:proofErr w:type="gramStart"/>
      <w:r w:rsidR="00DC72E7">
        <w:t>2014</w:t>
      </w:r>
      <w:r w:rsidRPr="00CC4458">
        <w:t>, that</w:t>
      </w:r>
      <w:proofErr w:type="gramEnd"/>
      <w:r w:rsidRPr="00CC4458">
        <w:t xml:space="preserve"> were </w:t>
      </w:r>
      <w:r w:rsidR="00DC72E7">
        <w:t>charged at</w:t>
      </w:r>
      <w:r w:rsidRPr="00CC4458">
        <w:t xml:space="preserve"> the rate of </w:t>
      </w:r>
      <w:r w:rsidR="00DC72E7">
        <w:t>44.9 cents</w:t>
      </w:r>
      <w:r w:rsidRPr="00CC4458">
        <w:t xml:space="preserve"> per </w:t>
      </w:r>
      <w:r w:rsidR="00DC72E7">
        <w:t>kWh</w:t>
      </w:r>
      <w:r w:rsidR="0098677F">
        <w:t>,</w:t>
      </w:r>
      <w:r w:rsidRPr="00CC4458">
        <w:t xml:space="preserve"> to be refunded</w:t>
      </w:r>
      <w:r w:rsidR="00DC72E7">
        <w:t xml:space="preserve"> to the extent that rate exceeded the initially quoted rate of 6.75 cents per kWh</w:t>
      </w:r>
      <w:r w:rsidRPr="00CC4458">
        <w:t>.  There is no dispute Complainant entered into a contract with Respondent</w:t>
      </w:r>
      <w:r w:rsidR="00DC72E7">
        <w:t xml:space="preserve"> which she knew was variable</w:t>
      </w:r>
      <w:r w:rsidRPr="00CC4458">
        <w:t xml:space="preserve">.   </w:t>
      </w:r>
    </w:p>
    <w:p w:rsidR="009C2F2A" w:rsidRPr="00CC4458" w:rsidRDefault="009C2F2A" w:rsidP="009C2F2A">
      <w:pPr>
        <w:tabs>
          <w:tab w:val="left" w:pos="-1440"/>
          <w:tab w:val="left" w:pos="-720"/>
        </w:tabs>
        <w:suppressAutoHyphens/>
        <w:spacing w:line="360" w:lineRule="auto"/>
        <w:ind w:firstLine="1440"/>
      </w:pPr>
    </w:p>
    <w:p w:rsidR="009C2F2A" w:rsidRPr="00CC4458" w:rsidRDefault="009C2F2A" w:rsidP="009C2F2A">
      <w:pPr>
        <w:tabs>
          <w:tab w:val="left" w:pos="-1440"/>
          <w:tab w:val="left" w:pos="-720"/>
        </w:tabs>
        <w:suppressAutoHyphens/>
        <w:spacing w:line="360" w:lineRule="auto"/>
        <w:ind w:firstLine="1440"/>
        <w:rPr>
          <w:spacing w:val="-3"/>
        </w:rPr>
      </w:pPr>
      <w:r w:rsidRPr="00CC4458">
        <w:t xml:space="preserve">Complainant did not meet </w:t>
      </w:r>
      <w:r w:rsidR="0098677F">
        <w:t>her</w:t>
      </w:r>
      <w:r w:rsidRPr="00CC4458">
        <w:t xml:space="preserve"> burden of proof to show Respondent </w:t>
      </w:r>
      <w:r w:rsidRPr="00CC4458">
        <w:rPr>
          <w:spacing w:val="-3"/>
        </w:rPr>
        <w:t>is responsible or accountable fo</w:t>
      </w:r>
      <w:r w:rsidR="0098677F">
        <w:rPr>
          <w:spacing w:val="-3"/>
        </w:rPr>
        <w:t>r the problem described in the c</w:t>
      </w:r>
      <w:r w:rsidRPr="00CC4458">
        <w:rPr>
          <w:spacing w:val="-3"/>
        </w:rPr>
        <w:t xml:space="preserve">omplaint.  </w:t>
      </w:r>
      <w:proofErr w:type="gramStart"/>
      <w:r w:rsidRPr="00CC4458">
        <w:rPr>
          <w:spacing w:val="-3"/>
          <w:u w:val="single"/>
        </w:rPr>
        <w:t>Patterson v. Bell Telephone Company of Pennsylvania</w:t>
      </w:r>
      <w:r w:rsidRPr="00CC4458">
        <w:rPr>
          <w:spacing w:val="-3"/>
        </w:rPr>
        <w:t xml:space="preserve">, 72 Pa. PUC 196 (1990), </w:t>
      </w:r>
      <w:r w:rsidRPr="00CC4458">
        <w:rPr>
          <w:spacing w:val="-3"/>
          <w:u w:val="single"/>
        </w:rPr>
        <w:t>Feinstein v. Philadelphia Suburban Water Company</w:t>
      </w:r>
      <w:r w:rsidRPr="00CC4458">
        <w:rPr>
          <w:spacing w:val="-3"/>
        </w:rPr>
        <w:t>, 50 Pa. PUC 300 (1976).</w:t>
      </w:r>
      <w:proofErr w:type="gramEnd"/>
      <w:r w:rsidRPr="00CC4458">
        <w:rPr>
          <w:spacing w:val="-3"/>
        </w:rPr>
        <w:t xml:space="preserve">  The </w:t>
      </w:r>
      <w:r>
        <w:rPr>
          <w:spacing w:val="-3"/>
        </w:rPr>
        <w:t xml:space="preserve">Commission cannot order that Respondent issue a refund to </w:t>
      </w:r>
      <w:r w:rsidRPr="00CC4458">
        <w:rPr>
          <w:spacing w:val="-3"/>
        </w:rPr>
        <w:t>Complainant.</w:t>
      </w:r>
    </w:p>
    <w:p w:rsidR="008C62D6" w:rsidRDefault="008C62D6" w:rsidP="008C62D6"/>
    <w:p w:rsidR="009C2F2A" w:rsidRPr="003A52EE" w:rsidRDefault="009C2F2A" w:rsidP="009C2F2A">
      <w:pPr>
        <w:spacing w:line="360" w:lineRule="auto"/>
        <w:jc w:val="center"/>
        <w:rPr>
          <w:u w:val="single"/>
        </w:rPr>
      </w:pPr>
      <w:r w:rsidRPr="003A52EE">
        <w:rPr>
          <w:u w:val="single"/>
        </w:rPr>
        <w:t>CONCLUSIONS OF LAW</w:t>
      </w:r>
    </w:p>
    <w:p w:rsidR="009C2F2A" w:rsidRPr="00EE0848" w:rsidRDefault="009C2F2A" w:rsidP="009C2F2A">
      <w:pPr>
        <w:spacing w:line="360" w:lineRule="auto"/>
        <w:jc w:val="center"/>
        <w:rPr>
          <w:b/>
          <w:u w:val="single"/>
        </w:rPr>
      </w:pPr>
    </w:p>
    <w:p w:rsidR="009C2F2A" w:rsidRPr="00CC4458" w:rsidRDefault="009C2F2A" w:rsidP="009C2F2A">
      <w:pPr>
        <w:pStyle w:val="ListParagraph"/>
        <w:numPr>
          <w:ilvl w:val="0"/>
          <w:numId w:val="5"/>
        </w:numPr>
        <w:ind w:left="0" w:firstLine="1440"/>
        <w:rPr>
          <w:sz w:val="24"/>
          <w:szCs w:val="24"/>
        </w:rPr>
      </w:pPr>
      <w:r w:rsidRPr="00CC4458">
        <w:rPr>
          <w:sz w:val="24"/>
          <w:szCs w:val="24"/>
        </w:rPr>
        <w:t>The Commission has jurisdiction over the parties and subject matter of this Formal Complaint.</w:t>
      </w:r>
      <w:r w:rsidRPr="00CC4458">
        <w:rPr>
          <w:b/>
          <w:sz w:val="24"/>
          <w:szCs w:val="24"/>
        </w:rPr>
        <w:t xml:space="preserve">  </w:t>
      </w:r>
      <w:proofErr w:type="gramStart"/>
      <w:r w:rsidRPr="00CC4458">
        <w:rPr>
          <w:sz w:val="24"/>
          <w:szCs w:val="24"/>
        </w:rPr>
        <w:t>66 </w:t>
      </w:r>
      <w:proofErr w:type="spellStart"/>
      <w:r w:rsidRPr="00CC4458">
        <w:rPr>
          <w:sz w:val="24"/>
          <w:szCs w:val="24"/>
        </w:rPr>
        <w:t>Pa.C.S.</w:t>
      </w:r>
      <w:r w:rsidR="00DC72E7">
        <w:rPr>
          <w:sz w:val="24"/>
          <w:szCs w:val="24"/>
        </w:rPr>
        <w:t>A</w:t>
      </w:r>
      <w:proofErr w:type="spellEnd"/>
      <w:r w:rsidR="00DC72E7">
        <w:rPr>
          <w:sz w:val="24"/>
          <w:szCs w:val="24"/>
        </w:rPr>
        <w:t>.</w:t>
      </w:r>
      <w:proofErr w:type="gramEnd"/>
      <w:r w:rsidRPr="00CC4458">
        <w:rPr>
          <w:sz w:val="24"/>
          <w:szCs w:val="24"/>
        </w:rPr>
        <w:t xml:space="preserve"> § 701; 66 </w:t>
      </w:r>
      <w:proofErr w:type="spellStart"/>
      <w:r w:rsidRPr="00CC4458">
        <w:rPr>
          <w:sz w:val="24"/>
          <w:szCs w:val="24"/>
        </w:rPr>
        <w:t>Pa.C.S.</w:t>
      </w:r>
      <w:r w:rsidR="00DC72E7">
        <w:rPr>
          <w:sz w:val="24"/>
          <w:szCs w:val="24"/>
        </w:rPr>
        <w:t>A</w:t>
      </w:r>
      <w:proofErr w:type="spellEnd"/>
      <w:r w:rsidR="00DC72E7">
        <w:rPr>
          <w:sz w:val="24"/>
          <w:szCs w:val="24"/>
        </w:rPr>
        <w:t>.</w:t>
      </w:r>
      <w:r w:rsidRPr="00CC4458">
        <w:rPr>
          <w:sz w:val="24"/>
          <w:szCs w:val="24"/>
        </w:rPr>
        <w:t xml:space="preserve"> § 2807(d</w:t>
      </w:r>
      <w:proofErr w:type="gramStart"/>
      <w:r w:rsidRPr="00CC4458">
        <w:rPr>
          <w:sz w:val="24"/>
          <w:szCs w:val="24"/>
        </w:rPr>
        <w:t>)(</w:t>
      </w:r>
      <w:proofErr w:type="gramEnd"/>
      <w:r w:rsidRPr="00CC4458">
        <w:rPr>
          <w:sz w:val="24"/>
          <w:szCs w:val="24"/>
        </w:rPr>
        <w:t>2).</w:t>
      </w:r>
    </w:p>
    <w:p w:rsidR="009C2F2A" w:rsidRPr="00CC4458" w:rsidRDefault="009C2F2A" w:rsidP="009C2F2A">
      <w:pPr>
        <w:pStyle w:val="ListParagraph"/>
        <w:ind w:left="1440"/>
        <w:rPr>
          <w:b/>
          <w:sz w:val="24"/>
          <w:szCs w:val="24"/>
        </w:rPr>
      </w:pPr>
      <w:r w:rsidRPr="00CC4458">
        <w:rPr>
          <w:b/>
          <w:sz w:val="24"/>
          <w:szCs w:val="24"/>
        </w:rPr>
        <w:t xml:space="preserve"> </w:t>
      </w:r>
    </w:p>
    <w:p w:rsidR="009C2F2A" w:rsidRPr="002B0D0E" w:rsidRDefault="009C2F2A" w:rsidP="009C2F2A">
      <w:pPr>
        <w:pStyle w:val="ListParagraph"/>
        <w:numPr>
          <w:ilvl w:val="0"/>
          <w:numId w:val="5"/>
        </w:numPr>
        <w:tabs>
          <w:tab w:val="left" w:pos="-1440"/>
          <w:tab w:val="left" w:pos="-720"/>
          <w:tab w:val="left" w:pos="1350"/>
        </w:tabs>
        <w:suppressAutoHyphens/>
        <w:ind w:left="0" w:firstLine="1440"/>
        <w:rPr>
          <w:sz w:val="24"/>
          <w:szCs w:val="24"/>
        </w:rPr>
      </w:pPr>
      <w:r w:rsidRPr="00CC4458">
        <w:rPr>
          <w:sz w:val="24"/>
          <w:szCs w:val="24"/>
        </w:rPr>
        <w:t xml:space="preserve">Complainant did not meet </w:t>
      </w:r>
      <w:r w:rsidR="0098677F">
        <w:rPr>
          <w:sz w:val="24"/>
          <w:szCs w:val="24"/>
        </w:rPr>
        <w:t>her</w:t>
      </w:r>
      <w:r w:rsidRPr="00CC4458">
        <w:rPr>
          <w:sz w:val="24"/>
          <w:szCs w:val="24"/>
        </w:rPr>
        <w:t xml:space="preserve"> burden of proof to show Respondent </w:t>
      </w:r>
      <w:r w:rsidRPr="00CC4458">
        <w:rPr>
          <w:spacing w:val="-3"/>
          <w:sz w:val="24"/>
          <w:szCs w:val="24"/>
        </w:rPr>
        <w:t>is responsible or accountable fo</w:t>
      </w:r>
      <w:r w:rsidR="0098677F">
        <w:rPr>
          <w:spacing w:val="-3"/>
          <w:sz w:val="24"/>
          <w:szCs w:val="24"/>
        </w:rPr>
        <w:t>r the problem described in the c</w:t>
      </w:r>
      <w:r w:rsidRPr="00CC4458">
        <w:rPr>
          <w:spacing w:val="-3"/>
          <w:sz w:val="24"/>
          <w:szCs w:val="24"/>
        </w:rPr>
        <w:t>omplaint.</w:t>
      </w:r>
      <w:r w:rsidR="009857C2">
        <w:rPr>
          <w:spacing w:val="-3"/>
          <w:sz w:val="24"/>
          <w:szCs w:val="24"/>
        </w:rPr>
        <w:t xml:space="preserve">  </w:t>
      </w:r>
      <w:proofErr w:type="gramStart"/>
      <w:r w:rsidR="009857C2">
        <w:rPr>
          <w:spacing w:val="-3"/>
          <w:sz w:val="24"/>
          <w:szCs w:val="24"/>
        </w:rPr>
        <w:t xml:space="preserve">66 </w:t>
      </w:r>
      <w:proofErr w:type="spellStart"/>
      <w:r w:rsidR="009857C2">
        <w:rPr>
          <w:spacing w:val="-3"/>
          <w:sz w:val="24"/>
          <w:szCs w:val="24"/>
        </w:rPr>
        <w:t>Pa.C.S.A</w:t>
      </w:r>
      <w:proofErr w:type="spellEnd"/>
      <w:r w:rsidR="009857C2">
        <w:rPr>
          <w:spacing w:val="-3"/>
          <w:sz w:val="24"/>
          <w:szCs w:val="24"/>
        </w:rPr>
        <w:t>.</w:t>
      </w:r>
      <w:proofErr w:type="gramEnd"/>
      <w:r w:rsidR="009857C2">
        <w:rPr>
          <w:spacing w:val="-3"/>
          <w:sz w:val="24"/>
          <w:szCs w:val="24"/>
        </w:rPr>
        <w:t xml:space="preserve"> §332(a)</w:t>
      </w:r>
      <w:proofErr w:type="gramStart"/>
      <w:r w:rsidR="009857C2">
        <w:rPr>
          <w:spacing w:val="-3"/>
          <w:sz w:val="24"/>
          <w:szCs w:val="24"/>
        </w:rPr>
        <w:t>;</w:t>
      </w:r>
      <w:r w:rsidRPr="00CC4458">
        <w:rPr>
          <w:spacing w:val="-3"/>
          <w:sz w:val="24"/>
          <w:szCs w:val="24"/>
        </w:rPr>
        <w:t xml:space="preserve">  </w:t>
      </w:r>
      <w:r w:rsidRPr="00CC4458">
        <w:rPr>
          <w:spacing w:val="-3"/>
          <w:sz w:val="24"/>
          <w:szCs w:val="24"/>
          <w:u w:val="single"/>
        </w:rPr>
        <w:t>Patterson</w:t>
      </w:r>
      <w:proofErr w:type="gramEnd"/>
      <w:r w:rsidRPr="00CC4458">
        <w:rPr>
          <w:spacing w:val="-3"/>
          <w:sz w:val="24"/>
          <w:szCs w:val="24"/>
          <w:u w:val="single"/>
        </w:rPr>
        <w:t xml:space="preserve"> v. Bell Telephone Company of Pennsylvania</w:t>
      </w:r>
      <w:r w:rsidR="009857C2">
        <w:rPr>
          <w:spacing w:val="-3"/>
          <w:sz w:val="24"/>
          <w:szCs w:val="24"/>
        </w:rPr>
        <w:t>, 72 Pa. PUC 196 (1990);</w:t>
      </w:r>
      <w:r w:rsidRPr="00CC4458">
        <w:rPr>
          <w:spacing w:val="-3"/>
          <w:sz w:val="24"/>
          <w:szCs w:val="24"/>
        </w:rPr>
        <w:t xml:space="preserve"> </w:t>
      </w:r>
      <w:r w:rsidRPr="00CC4458">
        <w:rPr>
          <w:spacing w:val="-3"/>
          <w:sz w:val="24"/>
          <w:szCs w:val="24"/>
          <w:u w:val="single"/>
        </w:rPr>
        <w:t>Feinstein v. Philadelphia Suburban Water Company</w:t>
      </w:r>
      <w:r w:rsidRPr="00CC4458">
        <w:rPr>
          <w:spacing w:val="-3"/>
          <w:sz w:val="24"/>
          <w:szCs w:val="24"/>
        </w:rPr>
        <w:t xml:space="preserve">, 50 Pa. PUC 300 (1976).  </w:t>
      </w:r>
    </w:p>
    <w:p w:rsidR="009C2F2A" w:rsidRPr="00CC4458" w:rsidRDefault="009C2F2A" w:rsidP="009C2F2A">
      <w:pPr>
        <w:spacing w:line="360" w:lineRule="auto"/>
        <w:ind w:firstLine="720"/>
      </w:pPr>
      <w:r w:rsidRPr="00CC4458">
        <w:lastRenderedPageBreak/>
        <w:tab/>
        <w:t>3.</w:t>
      </w:r>
      <w:r>
        <w:tab/>
      </w:r>
      <w:r w:rsidRPr="00CC4458">
        <w:t xml:space="preserve">The burden of proof in this proceeding is on Complainant.  </w:t>
      </w:r>
      <w:proofErr w:type="gramStart"/>
      <w:r w:rsidRPr="00CC4458">
        <w:t xml:space="preserve">66 </w:t>
      </w:r>
      <w:proofErr w:type="spellStart"/>
      <w:r w:rsidRPr="00CC4458">
        <w:t>Pa.C.S.</w:t>
      </w:r>
      <w:r w:rsidR="00DC72E7">
        <w:t>A</w:t>
      </w:r>
      <w:proofErr w:type="spellEnd"/>
      <w:r w:rsidRPr="00CC4458">
        <w:t xml:space="preserve"> §</w:t>
      </w:r>
      <w:r w:rsidR="00294148">
        <w:t> </w:t>
      </w:r>
      <w:r w:rsidRPr="00CC4458">
        <w:t>332(a).</w:t>
      </w:r>
      <w:proofErr w:type="gramEnd"/>
    </w:p>
    <w:p w:rsidR="009C2F2A" w:rsidRPr="00CC4458" w:rsidRDefault="009C2F2A" w:rsidP="009C2F2A">
      <w:pPr>
        <w:spacing w:line="360" w:lineRule="auto"/>
      </w:pPr>
    </w:p>
    <w:p w:rsidR="009C2F2A" w:rsidRDefault="009C2F2A" w:rsidP="009C2F2A">
      <w:pPr>
        <w:pStyle w:val="BodyText"/>
        <w:spacing w:line="360" w:lineRule="auto"/>
        <w:ind w:firstLine="720"/>
        <w:rPr>
          <w:sz w:val="24"/>
          <w:szCs w:val="24"/>
        </w:rPr>
      </w:pPr>
      <w:r>
        <w:rPr>
          <w:sz w:val="24"/>
          <w:szCs w:val="24"/>
        </w:rPr>
        <w:tab/>
      </w:r>
      <w:r w:rsidRPr="00CC4458">
        <w:rPr>
          <w:sz w:val="24"/>
          <w:szCs w:val="24"/>
        </w:rPr>
        <w:t>4.</w:t>
      </w:r>
      <w:r w:rsidRPr="00CC4458">
        <w:rPr>
          <w:sz w:val="24"/>
          <w:szCs w:val="24"/>
        </w:rPr>
        <w:tab/>
        <w:t xml:space="preserve"> Respondent, as an EGS, is not a public utility subject to Commission regulation, except in limited circumstances.  </w:t>
      </w:r>
      <w:proofErr w:type="gramStart"/>
      <w:r w:rsidRPr="00CC4458">
        <w:rPr>
          <w:sz w:val="24"/>
          <w:szCs w:val="24"/>
          <w:u w:val="single"/>
        </w:rPr>
        <w:t>Delmarva Power &amp; Light Co. v. Pa. Pub.</w:t>
      </w:r>
      <w:proofErr w:type="gramEnd"/>
      <w:r w:rsidRPr="00CC4458">
        <w:rPr>
          <w:sz w:val="24"/>
          <w:szCs w:val="24"/>
          <w:u w:val="single"/>
        </w:rPr>
        <w:t xml:space="preserve"> </w:t>
      </w:r>
      <w:proofErr w:type="gramStart"/>
      <w:r w:rsidRPr="00CC4458">
        <w:rPr>
          <w:sz w:val="24"/>
          <w:szCs w:val="24"/>
          <w:u w:val="single"/>
        </w:rPr>
        <w:t xml:space="preserve">Util. </w:t>
      </w:r>
      <w:proofErr w:type="spellStart"/>
      <w:r w:rsidRPr="00CC4458">
        <w:rPr>
          <w:sz w:val="24"/>
          <w:szCs w:val="24"/>
          <w:u w:val="single"/>
        </w:rPr>
        <w:t>Comm’n</w:t>
      </w:r>
      <w:proofErr w:type="spellEnd"/>
      <w:r w:rsidRPr="00CC4458">
        <w:rPr>
          <w:sz w:val="24"/>
          <w:szCs w:val="24"/>
        </w:rPr>
        <w:t>, 870 A.2d 901 (Pa. 2005).</w:t>
      </w:r>
      <w:proofErr w:type="gramEnd"/>
    </w:p>
    <w:p w:rsidR="00E271CC" w:rsidRDefault="00E271CC" w:rsidP="009C2F2A">
      <w:pPr>
        <w:pStyle w:val="BodyText"/>
        <w:spacing w:line="360" w:lineRule="auto"/>
        <w:ind w:firstLine="720"/>
        <w:rPr>
          <w:sz w:val="24"/>
          <w:szCs w:val="24"/>
        </w:rPr>
      </w:pPr>
    </w:p>
    <w:p w:rsidR="009C2F2A" w:rsidRPr="00CC4458" w:rsidRDefault="009857C2" w:rsidP="009C2F2A">
      <w:pPr>
        <w:pStyle w:val="BodyText"/>
        <w:spacing w:line="360" w:lineRule="auto"/>
        <w:rPr>
          <w:sz w:val="24"/>
          <w:szCs w:val="24"/>
        </w:rPr>
      </w:pPr>
      <w:r>
        <w:rPr>
          <w:sz w:val="24"/>
          <w:szCs w:val="24"/>
        </w:rPr>
        <w:tab/>
      </w:r>
      <w:r>
        <w:rPr>
          <w:sz w:val="24"/>
          <w:szCs w:val="24"/>
        </w:rPr>
        <w:tab/>
        <w:t>5</w:t>
      </w:r>
      <w:r w:rsidR="009C2F2A" w:rsidRPr="00CC4458">
        <w:rPr>
          <w:sz w:val="24"/>
          <w:szCs w:val="24"/>
        </w:rPr>
        <w:t>.</w:t>
      </w:r>
      <w:r w:rsidR="009C2F2A" w:rsidRPr="00CC4458">
        <w:rPr>
          <w:sz w:val="24"/>
          <w:szCs w:val="24"/>
        </w:rPr>
        <w:tab/>
        <w:t>The Commission lacks the authority to direct EGSs to refund charges for electric generation supply service</w:t>
      </w:r>
      <w:r>
        <w:rPr>
          <w:sz w:val="24"/>
          <w:szCs w:val="24"/>
        </w:rPr>
        <w:t xml:space="preserve"> when the variable rate increases greatly for two months</w:t>
      </w:r>
      <w:r w:rsidR="009C2F2A" w:rsidRPr="00CC4458">
        <w:rPr>
          <w:sz w:val="24"/>
          <w:szCs w:val="24"/>
        </w:rPr>
        <w:t xml:space="preserve">. </w:t>
      </w:r>
      <w:r w:rsidR="00294148">
        <w:rPr>
          <w:sz w:val="24"/>
          <w:szCs w:val="24"/>
        </w:rPr>
        <w:t xml:space="preserve"> </w:t>
      </w:r>
      <w:proofErr w:type="gramStart"/>
      <w:r w:rsidR="009C2F2A" w:rsidRPr="00CC4458">
        <w:rPr>
          <w:sz w:val="24"/>
          <w:szCs w:val="24"/>
        </w:rPr>
        <w:t>66</w:t>
      </w:r>
      <w:r w:rsidR="00294148">
        <w:rPr>
          <w:sz w:val="24"/>
          <w:szCs w:val="24"/>
        </w:rPr>
        <w:t> </w:t>
      </w:r>
      <w:proofErr w:type="spellStart"/>
      <w:r w:rsidR="009C2F2A" w:rsidRPr="00CC4458">
        <w:rPr>
          <w:sz w:val="24"/>
          <w:szCs w:val="24"/>
        </w:rPr>
        <w:t>Pa.C.S.</w:t>
      </w:r>
      <w:r w:rsidR="00DC72E7">
        <w:rPr>
          <w:sz w:val="24"/>
          <w:szCs w:val="24"/>
        </w:rPr>
        <w:t>A</w:t>
      </w:r>
      <w:proofErr w:type="spellEnd"/>
      <w:r w:rsidR="00DC72E7">
        <w:rPr>
          <w:sz w:val="24"/>
          <w:szCs w:val="24"/>
        </w:rPr>
        <w:t>.</w:t>
      </w:r>
      <w:proofErr w:type="gramEnd"/>
      <w:r w:rsidR="009C2F2A" w:rsidRPr="00CC4458">
        <w:rPr>
          <w:sz w:val="24"/>
          <w:szCs w:val="24"/>
        </w:rPr>
        <w:t xml:space="preserve"> § 1312.</w:t>
      </w:r>
    </w:p>
    <w:p w:rsidR="008C62D6" w:rsidRDefault="008C62D6" w:rsidP="008C62D6">
      <w:pPr>
        <w:tabs>
          <w:tab w:val="left" w:pos="0"/>
        </w:tabs>
      </w:pPr>
    </w:p>
    <w:p w:rsidR="009C2F2A" w:rsidRPr="00A00D08" w:rsidRDefault="009C2F2A" w:rsidP="009C2F2A">
      <w:pPr>
        <w:pStyle w:val="BodyText"/>
        <w:spacing w:after="0" w:line="360" w:lineRule="auto"/>
        <w:jc w:val="center"/>
        <w:rPr>
          <w:sz w:val="24"/>
          <w:szCs w:val="24"/>
          <w:u w:val="single"/>
        </w:rPr>
      </w:pPr>
      <w:r w:rsidRPr="00A00D08">
        <w:rPr>
          <w:sz w:val="24"/>
          <w:szCs w:val="24"/>
          <w:u w:val="single"/>
        </w:rPr>
        <w:t>ORDER</w:t>
      </w:r>
    </w:p>
    <w:p w:rsidR="009C2F2A" w:rsidRPr="00A00D08" w:rsidRDefault="009C2F2A" w:rsidP="009C2F2A">
      <w:pPr>
        <w:pStyle w:val="BodyText"/>
        <w:spacing w:after="0" w:line="360" w:lineRule="auto"/>
        <w:rPr>
          <w:sz w:val="24"/>
          <w:szCs w:val="24"/>
        </w:rPr>
      </w:pPr>
    </w:p>
    <w:p w:rsidR="009C2F2A" w:rsidRPr="00A00D08" w:rsidRDefault="009C2F2A" w:rsidP="009C2F2A">
      <w:pPr>
        <w:pStyle w:val="BodyText"/>
        <w:spacing w:after="0" w:line="360" w:lineRule="auto"/>
        <w:rPr>
          <w:sz w:val="24"/>
          <w:szCs w:val="24"/>
        </w:rPr>
      </w:pPr>
    </w:p>
    <w:p w:rsidR="009C2F2A" w:rsidRPr="00A00D08" w:rsidRDefault="009C2F2A" w:rsidP="009C2F2A">
      <w:pPr>
        <w:pStyle w:val="BodyText"/>
        <w:spacing w:after="0" w:line="360" w:lineRule="auto"/>
        <w:rPr>
          <w:sz w:val="24"/>
          <w:szCs w:val="24"/>
        </w:rPr>
      </w:pPr>
      <w:r w:rsidRPr="00A00D08">
        <w:rPr>
          <w:sz w:val="24"/>
          <w:szCs w:val="24"/>
        </w:rPr>
        <w:tab/>
      </w:r>
      <w:r w:rsidRPr="00A00D08">
        <w:rPr>
          <w:sz w:val="24"/>
          <w:szCs w:val="24"/>
        </w:rPr>
        <w:tab/>
        <w:t>THEREFORE,</w:t>
      </w:r>
    </w:p>
    <w:p w:rsidR="009C2F2A" w:rsidRPr="00A00D08" w:rsidRDefault="009C2F2A" w:rsidP="009C2F2A">
      <w:pPr>
        <w:pStyle w:val="BodyText"/>
        <w:spacing w:after="0" w:line="360" w:lineRule="auto"/>
        <w:rPr>
          <w:sz w:val="24"/>
          <w:szCs w:val="24"/>
        </w:rPr>
      </w:pPr>
    </w:p>
    <w:p w:rsidR="009C2F2A" w:rsidRPr="00A00D08" w:rsidRDefault="009C2F2A" w:rsidP="009C2F2A">
      <w:pPr>
        <w:pStyle w:val="BodyText"/>
        <w:spacing w:after="0" w:line="360" w:lineRule="auto"/>
        <w:rPr>
          <w:sz w:val="24"/>
          <w:szCs w:val="24"/>
        </w:rPr>
      </w:pPr>
      <w:r w:rsidRPr="00A00D08">
        <w:rPr>
          <w:sz w:val="24"/>
          <w:szCs w:val="24"/>
        </w:rPr>
        <w:tab/>
      </w:r>
      <w:r w:rsidRPr="00A00D08">
        <w:rPr>
          <w:sz w:val="24"/>
          <w:szCs w:val="24"/>
        </w:rPr>
        <w:tab/>
        <w:t>IT IS ORDERED:</w:t>
      </w:r>
    </w:p>
    <w:p w:rsidR="009C2F2A" w:rsidRPr="00A00D08" w:rsidRDefault="009C2F2A" w:rsidP="009C2F2A">
      <w:pPr>
        <w:pStyle w:val="BodyText"/>
        <w:spacing w:after="0" w:line="360" w:lineRule="auto"/>
        <w:rPr>
          <w:sz w:val="24"/>
          <w:szCs w:val="24"/>
        </w:rPr>
      </w:pPr>
    </w:p>
    <w:p w:rsidR="009C2F2A" w:rsidRPr="00CC4458" w:rsidRDefault="009C2F2A" w:rsidP="009C2F2A">
      <w:pPr>
        <w:pStyle w:val="BodyText"/>
        <w:numPr>
          <w:ilvl w:val="0"/>
          <w:numId w:val="6"/>
        </w:numPr>
        <w:tabs>
          <w:tab w:val="clear" w:pos="360"/>
        </w:tabs>
        <w:spacing w:after="0" w:line="360" w:lineRule="auto"/>
        <w:ind w:left="0" w:firstLine="1440"/>
        <w:rPr>
          <w:sz w:val="24"/>
          <w:szCs w:val="24"/>
        </w:rPr>
      </w:pPr>
      <w:r w:rsidRPr="00CC4458">
        <w:rPr>
          <w:sz w:val="24"/>
          <w:szCs w:val="24"/>
        </w:rPr>
        <w:t xml:space="preserve">That the complaint of </w:t>
      </w:r>
      <w:proofErr w:type="spellStart"/>
      <w:r>
        <w:rPr>
          <w:sz w:val="24"/>
          <w:szCs w:val="24"/>
        </w:rPr>
        <w:t>Loni</w:t>
      </w:r>
      <w:proofErr w:type="spellEnd"/>
      <w:r>
        <w:rPr>
          <w:sz w:val="24"/>
          <w:szCs w:val="24"/>
        </w:rPr>
        <w:t xml:space="preserve"> Durante</w:t>
      </w:r>
      <w:r w:rsidRPr="00CC4458">
        <w:rPr>
          <w:sz w:val="24"/>
          <w:szCs w:val="24"/>
        </w:rPr>
        <w:t xml:space="preserve"> against</w:t>
      </w:r>
      <w:r>
        <w:rPr>
          <w:sz w:val="24"/>
          <w:szCs w:val="24"/>
        </w:rPr>
        <w:t xml:space="preserve"> Blue Pilot Energy, LLC</w:t>
      </w:r>
      <w:r w:rsidRPr="00CC4458">
        <w:rPr>
          <w:sz w:val="24"/>
          <w:szCs w:val="24"/>
        </w:rPr>
        <w:t xml:space="preserve"> at Docket No. </w:t>
      </w:r>
      <w:r>
        <w:rPr>
          <w:sz w:val="24"/>
          <w:szCs w:val="24"/>
        </w:rPr>
        <w:t>F-2015-2487082</w:t>
      </w:r>
      <w:r w:rsidRPr="00CC4458">
        <w:rPr>
          <w:sz w:val="24"/>
          <w:szCs w:val="24"/>
        </w:rPr>
        <w:t xml:space="preserve"> is d</w:t>
      </w:r>
      <w:r w:rsidR="00E271CC">
        <w:rPr>
          <w:sz w:val="24"/>
          <w:szCs w:val="24"/>
        </w:rPr>
        <w:t>ismissed</w:t>
      </w:r>
      <w:bookmarkStart w:id="0" w:name="_GoBack"/>
      <w:bookmarkEnd w:id="0"/>
      <w:r w:rsidRPr="00CC4458">
        <w:rPr>
          <w:sz w:val="24"/>
          <w:szCs w:val="24"/>
        </w:rPr>
        <w:t>.</w:t>
      </w:r>
    </w:p>
    <w:p w:rsidR="009C2F2A" w:rsidRPr="00CC4458" w:rsidRDefault="009C2F2A" w:rsidP="009C2F2A">
      <w:pPr>
        <w:pStyle w:val="BodyText"/>
        <w:spacing w:after="0" w:line="360" w:lineRule="auto"/>
        <w:rPr>
          <w:sz w:val="24"/>
          <w:szCs w:val="24"/>
        </w:rPr>
      </w:pPr>
    </w:p>
    <w:p w:rsidR="009C2F2A" w:rsidRDefault="009C2F2A" w:rsidP="009C2F2A">
      <w:pPr>
        <w:pStyle w:val="BodyText"/>
        <w:spacing w:after="0" w:line="360" w:lineRule="auto"/>
        <w:rPr>
          <w:sz w:val="24"/>
          <w:szCs w:val="24"/>
        </w:rPr>
      </w:pPr>
      <w:r w:rsidRPr="00CC4458">
        <w:rPr>
          <w:sz w:val="24"/>
          <w:szCs w:val="24"/>
        </w:rPr>
        <w:tab/>
      </w:r>
      <w:r w:rsidRPr="00CC4458">
        <w:rPr>
          <w:sz w:val="24"/>
          <w:szCs w:val="24"/>
        </w:rPr>
        <w:tab/>
        <w:t>2.</w:t>
      </w:r>
      <w:r w:rsidRPr="00CC4458">
        <w:rPr>
          <w:sz w:val="24"/>
          <w:szCs w:val="24"/>
        </w:rPr>
        <w:tab/>
      </w:r>
      <w:r>
        <w:rPr>
          <w:sz w:val="24"/>
          <w:szCs w:val="24"/>
        </w:rPr>
        <w:t xml:space="preserve">That the complaint of </w:t>
      </w:r>
      <w:proofErr w:type="spellStart"/>
      <w:r>
        <w:rPr>
          <w:sz w:val="24"/>
          <w:szCs w:val="24"/>
        </w:rPr>
        <w:t>Loni</w:t>
      </w:r>
      <w:proofErr w:type="spellEnd"/>
      <w:r>
        <w:rPr>
          <w:sz w:val="24"/>
          <w:szCs w:val="24"/>
        </w:rPr>
        <w:t xml:space="preserve"> Durante against PPL Electric Utilities Corporation at Docket No. F-2015-2487082 is dismissed as satisfied.</w:t>
      </w:r>
    </w:p>
    <w:p w:rsidR="009C2F2A" w:rsidRDefault="009C2F2A" w:rsidP="009C2F2A">
      <w:pPr>
        <w:pStyle w:val="BodyText"/>
        <w:spacing w:after="0" w:line="360" w:lineRule="auto"/>
        <w:rPr>
          <w:sz w:val="24"/>
          <w:szCs w:val="24"/>
        </w:rPr>
      </w:pPr>
    </w:p>
    <w:p w:rsidR="009C2F2A" w:rsidRPr="00CC4458" w:rsidRDefault="009C2F2A" w:rsidP="009C2F2A">
      <w:pPr>
        <w:pStyle w:val="BodyText"/>
        <w:spacing w:after="0" w:line="360" w:lineRule="auto"/>
        <w:ind w:left="720" w:firstLine="720"/>
        <w:rPr>
          <w:sz w:val="24"/>
          <w:szCs w:val="24"/>
        </w:rPr>
      </w:pPr>
      <w:r>
        <w:rPr>
          <w:sz w:val="24"/>
          <w:szCs w:val="24"/>
        </w:rPr>
        <w:t xml:space="preserve">3. </w:t>
      </w:r>
      <w:r>
        <w:rPr>
          <w:sz w:val="24"/>
          <w:szCs w:val="24"/>
        </w:rPr>
        <w:tab/>
      </w:r>
      <w:r w:rsidRPr="00CC4458">
        <w:rPr>
          <w:sz w:val="24"/>
          <w:szCs w:val="24"/>
        </w:rPr>
        <w:t>That the docket at Docket No.</w:t>
      </w:r>
      <w:r w:rsidRPr="00CC4458">
        <w:rPr>
          <w:spacing w:val="-3"/>
          <w:sz w:val="24"/>
          <w:szCs w:val="24"/>
        </w:rPr>
        <w:t xml:space="preserve"> </w:t>
      </w:r>
      <w:r>
        <w:rPr>
          <w:sz w:val="24"/>
          <w:szCs w:val="24"/>
        </w:rPr>
        <w:t>F-2015-2487082</w:t>
      </w:r>
      <w:r w:rsidRPr="00CC4458">
        <w:rPr>
          <w:sz w:val="24"/>
          <w:szCs w:val="24"/>
        </w:rPr>
        <w:t xml:space="preserve"> is marked closed.</w:t>
      </w:r>
    </w:p>
    <w:p w:rsidR="009C2F2A" w:rsidRDefault="009C2F2A" w:rsidP="009C2F2A">
      <w:pPr>
        <w:pStyle w:val="ParaTab1"/>
        <w:spacing w:line="360" w:lineRule="auto"/>
        <w:rPr>
          <w:rFonts w:ascii="Times New Roman" w:hAnsi="Times New Roman" w:cs="Times New Roman"/>
          <w:spacing w:val="-3"/>
        </w:rPr>
      </w:pPr>
    </w:p>
    <w:p w:rsidR="008C62D6" w:rsidRPr="0044591D" w:rsidRDefault="008C62D6" w:rsidP="008C62D6"/>
    <w:p w:rsidR="008C62D6" w:rsidRPr="0044591D" w:rsidRDefault="008C62D6" w:rsidP="008C62D6"/>
    <w:p w:rsidR="008C62D6" w:rsidRPr="0044591D" w:rsidRDefault="008C62D6" w:rsidP="008C62D6">
      <w:r w:rsidRPr="0044591D">
        <w:t xml:space="preserve">Date:  </w:t>
      </w:r>
      <w:r w:rsidR="009857C2">
        <w:rPr>
          <w:u w:val="single"/>
        </w:rPr>
        <w:t>December 2</w:t>
      </w:r>
      <w:r w:rsidRPr="0044591D">
        <w:rPr>
          <w:u w:val="single"/>
        </w:rPr>
        <w:t>, 2015</w:t>
      </w:r>
      <w:r w:rsidRPr="0044591D">
        <w:tab/>
      </w:r>
      <w:r w:rsidRPr="0044591D">
        <w:tab/>
      </w:r>
      <w:r w:rsidRPr="0044591D">
        <w:tab/>
      </w:r>
      <w:r w:rsidRPr="0044591D">
        <w:tab/>
      </w:r>
      <w:r w:rsidRPr="0044591D">
        <w:tab/>
      </w:r>
      <w:r w:rsidRPr="0044591D">
        <w:rPr>
          <w:u w:val="single"/>
        </w:rPr>
        <w:tab/>
      </w:r>
      <w:r w:rsidRPr="0044591D">
        <w:rPr>
          <w:u w:val="single"/>
        </w:rPr>
        <w:tab/>
        <w:t>/s/</w:t>
      </w:r>
      <w:r w:rsidRPr="0044591D">
        <w:rPr>
          <w:u w:val="single"/>
        </w:rPr>
        <w:tab/>
      </w:r>
      <w:r w:rsidRPr="0044591D">
        <w:rPr>
          <w:u w:val="single"/>
        </w:rPr>
        <w:tab/>
      </w:r>
      <w:r w:rsidRPr="0044591D">
        <w:rPr>
          <w:u w:val="single"/>
        </w:rPr>
        <w:tab/>
      </w:r>
    </w:p>
    <w:p w:rsidR="008C62D6" w:rsidRPr="0044591D" w:rsidRDefault="008C62D6" w:rsidP="008C62D6">
      <w:pPr>
        <w:rPr>
          <w:u w:val="single"/>
        </w:rPr>
      </w:pPr>
      <w:r w:rsidRPr="0044591D">
        <w:tab/>
      </w:r>
      <w:r w:rsidRPr="0044591D">
        <w:tab/>
      </w:r>
      <w:r w:rsidRPr="0044591D">
        <w:tab/>
      </w:r>
      <w:r w:rsidRPr="0044591D">
        <w:tab/>
      </w:r>
      <w:r w:rsidRPr="0044591D">
        <w:tab/>
      </w:r>
      <w:r w:rsidRPr="0044591D">
        <w:tab/>
      </w:r>
      <w:r w:rsidRPr="0044591D">
        <w:tab/>
      </w:r>
      <w:r w:rsidRPr="0044591D">
        <w:tab/>
        <w:t>Katrina L. Dunderdale</w:t>
      </w:r>
    </w:p>
    <w:p w:rsidR="009857C2" w:rsidRDefault="008C62D6">
      <w:r w:rsidRPr="00ED1D67">
        <w:tab/>
      </w:r>
      <w:r w:rsidRPr="00ED1D67">
        <w:tab/>
      </w:r>
      <w:r w:rsidRPr="00B73D10">
        <w:tab/>
      </w:r>
      <w:r w:rsidRPr="00B73D10">
        <w:tab/>
      </w:r>
      <w:r w:rsidRPr="00B73D10">
        <w:tab/>
      </w:r>
      <w:r w:rsidRPr="00B73D10">
        <w:tab/>
      </w:r>
      <w:r w:rsidRPr="00B73D10">
        <w:tab/>
      </w:r>
      <w:r>
        <w:tab/>
      </w:r>
      <w:r w:rsidRPr="00B73D10">
        <w:t>Administrative Law Judge</w:t>
      </w:r>
    </w:p>
    <w:sectPr w:rsidR="009857C2" w:rsidSect="00C9062E">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982" w:rsidRDefault="00927982" w:rsidP="008C62D6">
      <w:r>
        <w:separator/>
      </w:r>
    </w:p>
  </w:endnote>
  <w:endnote w:type="continuationSeparator" w:id="0">
    <w:p w:rsidR="00927982" w:rsidRDefault="00927982" w:rsidP="008C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008749"/>
      <w:docPartObj>
        <w:docPartGallery w:val="Page Numbers (Bottom of Page)"/>
        <w:docPartUnique/>
      </w:docPartObj>
    </w:sdtPr>
    <w:sdtEndPr>
      <w:rPr>
        <w:noProof/>
        <w:sz w:val="20"/>
        <w:szCs w:val="20"/>
      </w:rPr>
    </w:sdtEndPr>
    <w:sdtContent>
      <w:p w:rsidR="00C9062E" w:rsidRPr="007254B8" w:rsidRDefault="00C9062E">
        <w:pPr>
          <w:pStyle w:val="Footer"/>
          <w:jc w:val="center"/>
          <w:rPr>
            <w:sz w:val="20"/>
            <w:szCs w:val="20"/>
          </w:rPr>
        </w:pPr>
        <w:r w:rsidRPr="007254B8">
          <w:rPr>
            <w:sz w:val="20"/>
            <w:szCs w:val="20"/>
          </w:rPr>
          <w:fldChar w:fldCharType="begin"/>
        </w:r>
        <w:r w:rsidRPr="007254B8">
          <w:rPr>
            <w:sz w:val="20"/>
            <w:szCs w:val="20"/>
          </w:rPr>
          <w:instrText xml:space="preserve"> PAGE   \* MERGEFORMAT </w:instrText>
        </w:r>
        <w:r w:rsidRPr="007254B8">
          <w:rPr>
            <w:sz w:val="20"/>
            <w:szCs w:val="20"/>
          </w:rPr>
          <w:fldChar w:fldCharType="separate"/>
        </w:r>
        <w:r w:rsidR="00E271CC">
          <w:rPr>
            <w:noProof/>
            <w:sz w:val="20"/>
            <w:szCs w:val="20"/>
          </w:rPr>
          <w:t>9</w:t>
        </w:r>
        <w:r w:rsidRPr="007254B8">
          <w:rPr>
            <w:noProof/>
            <w:sz w:val="20"/>
            <w:szCs w:val="20"/>
          </w:rPr>
          <w:fldChar w:fldCharType="end"/>
        </w:r>
      </w:p>
    </w:sdtContent>
  </w:sdt>
  <w:p w:rsidR="00C11B4C" w:rsidRDefault="00C11B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B4C" w:rsidRDefault="00C11B4C">
    <w:pPr>
      <w:pStyle w:val="Footer"/>
      <w:jc w:val="center"/>
    </w:pPr>
  </w:p>
  <w:p w:rsidR="00C11B4C" w:rsidRDefault="00C11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982" w:rsidRDefault="00927982" w:rsidP="008C62D6">
      <w:r>
        <w:separator/>
      </w:r>
    </w:p>
  </w:footnote>
  <w:footnote w:type="continuationSeparator" w:id="0">
    <w:p w:rsidR="00927982" w:rsidRDefault="00927982" w:rsidP="008C62D6">
      <w:r>
        <w:continuationSeparator/>
      </w:r>
    </w:p>
  </w:footnote>
  <w:footnote w:id="1">
    <w:p w:rsidR="00506B49" w:rsidRDefault="00506B49">
      <w:pPr>
        <w:pStyle w:val="FootnoteText"/>
      </w:pPr>
      <w:r>
        <w:rPr>
          <w:rStyle w:val="FootnoteReference"/>
        </w:rPr>
        <w:footnoteRef/>
      </w:r>
      <w:r>
        <w:t xml:space="preserve"> </w:t>
      </w:r>
      <w:r>
        <w:tab/>
        <w:t xml:space="preserve">Although Complainant originally filed her complaint against Blue Pilot Energy, LLC </w:t>
      </w:r>
      <w:r w:rsidRPr="008C62D6">
        <w:rPr>
          <w:u w:val="single"/>
        </w:rPr>
        <w:t>and</w:t>
      </w:r>
      <w:r>
        <w:t xml:space="preserve"> PPL Electric Utilities Corporation, PPL Electric Utilities Corporation filed a Certificate of Satisfaction on June 18, 2015, and did not participate in these proceedings.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183581A"/>
    <w:multiLevelType w:val="singleLevel"/>
    <w:tmpl w:val="0409000F"/>
    <w:lvl w:ilvl="0">
      <w:start w:val="1"/>
      <w:numFmt w:val="decimal"/>
      <w:lvlText w:val="%1."/>
      <w:lvlJc w:val="left"/>
      <w:pPr>
        <w:tabs>
          <w:tab w:val="num" w:pos="360"/>
        </w:tabs>
        <w:ind w:left="360" w:hanging="360"/>
      </w:pPr>
    </w:lvl>
  </w:abstractNum>
  <w:abstractNum w:abstractNumId="2">
    <w:nsid w:val="2E1C2C9D"/>
    <w:multiLevelType w:val="hybridMultilevel"/>
    <w:tmpl w:val="83BAFE64"/>
    <w:lvl w:ilvl="0" w:tplc="055866C4">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3647CC"/>
    <w:multiLevelType w:val="hybridMultilevel"/>
    <w:tmpl w:val="3ACC0502"/>
    <w:lvl w:ilvl="0" w:tplc="291C7F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0C95D4E"/>
    <w:multiLevelType w:val="hybridMultilevel"/>
    <w:tmpl w:val="190A0196"/>
    <w:lvl w:ilvl="0" w:tplc="76AE502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6EF75055"/>
    <w:multiLevelType w:val="singleLevel"/>
    <w:tmpl w:val="3244E540"/>
    <w:lvl w:ilvl="0">
      <w:start w:val="1"/>
      <w:numFmt w:val="decimal"/>
      <w:lvlText w:val="%1."/>
      <w:lvlJc w:val="left"/>
      <w:pPr>
        <w:tabs>
          <w:tab w:val="num" w:pos="1440"/>
        </w:tabs>
        <w:ind w:left="1440" w:hanging="720"/>
      </w:pPr>
      <w:rPr>
        <w:rFont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2D6"/>
    <w:rsid w:val="00004A34"/>
    <w:rsid w:val="0012466F"/>
    <w:rsid w:val="002277DA"/>
    <w:rsid w:val="0024610D"/>
    <w:rsid w:val="00264585"/>
    <w:rsid w:val="00293908"/>
    <w:rsid w:val="00294148"/>
    <w:rsid w:val="002B0D0E"/>
    <w:rsid w:val="00383776"/>
    <w:rsid w:val="00421A9C"/>
    <w:rsid w:val="00443F98"/>
    <w:rsid w:val="00481F67"/>
    <w:rsid w:val="004B504A"/>
    <w:rsid w:val="00506B49"/>
    <w:rsid w:val="0052149B"/>
    <w:rsid w:val="005D010C"/>
    <w:rsid w:val="00611442"/>
    <w:rsid w:val="00621F37"/>
    <w:rsid w:val="00704D13"/>
    <w:rsid w:val="007254B8"/>
    <w:rsid w:val="00771237"/>
    <w:rsid w:val="0077513B"/>
    <w:rsid w:val="007B1937"/>
    <w:rsid w:val="00852806"/>
    <w:rsid w:val="00885CA0"/>
    <w:rsid w:val="008C62D6"/>
    <w:rsid w:val="008E6C72"/>
    <w:rsid w:val="009024BA"/>
    <w:rsid w:val="00927982"/>
    <w:rsid w:val="00966BCB"/>
    <w:rsid w:val="009857C2"/>
    <w:rsid w:val="0098677F"/>
    <w:rsid w:val="009C2AA0"/>
    <w:rsid w:val="009C2F2A"/>
    <w:rsid w:val="009E5EF2"/>
    <w:rsid w:val="00B6749F"/>
    <w:rsid w:val="00C11B4C"/>
    <w:rsid w:val="00C33E86"/>
    <w:rsid w:val="00C9062E"/>
    <w:rsid w:val="00CA1BC8"/>
    <w:rsid w:val="00CA4631"/>
    <w:rsid w:val="00DC72E7"/>
    <w:rsid w:val="00E06E50"/>
    <w:rsid w:val="00E15B45"/>
    <w:rsid w:val="00E271CC"/>
    <w:rsid w:val="00E34C9C"/>
    <w:rsid w:val="00E36C2A"/>
    <w:rsid w:val="00ED0A9F"/>
    <w:rsid w:val="00F51C81"/>
    <w:rsid w:val="00F8450E"/>
    <w:rsid w:val="00FA6EB3"/>
    <w:rsid w:val="00FC48D2"/>
    <w:rsid w:val="00FF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D6"/>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62D6"/>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62D6"/>
    <w:rPr>
      <w:rFonts w:ascii="Times New Roman" w:eastAsia="Times New Roman" w:hAnsi="Times New Roman" w:cs="Times New Roman"/>
      <w:sz w:val="26"/>
      <w:szCs w:val="20"/>
      <w:u w:val="single"/>
    </w:rPr>
  </w:style>
  <w:style w:type="paragraph" w:styleId="FootnoteText">
    <w:name w:val="footnote text"/>
    <w:basedOn w:val="Normal"/>
    <w:link w:val="FootnoteTextChar"/>
    <w:semiHidden/>
    <w:rsid w:val="008C62D6"/>
    <w:rPr>
      <w:sz w:val="20"/>
      <w:szCs w:val="20"/>
    </w:rPr>
  </w:style>
  <w:style w:type="character" w:customStyle="1" w:styleId="FootnoteTextChar">
    <w:name w:val="Footnote Text Char"/>
    <w:basedOn w:val="DefaultParagraphFont"/>
    <w:link w:val="FootnoteText"/>
    <w:semiHidden/>
    <w:rsid w:val="008C62D6"/>
    <w:rPr>
      <w:rFonts w:ascii="Times New Roman" w:eastAsia="Times New Roman" w:hAnsi="Times New Roman" w:cs="Times New Roman"/>
      <w:sz w:val="20"/>
      <w:szCs w:val="20"/>
    </w:rPr>
  </w:style>
  <w:style w:type="character" w:styleId="FootnoteReference">
    <w:name w:val="footnote reference"/>
    <w:basedOn w:val="DefaultParagraphFont"/>
    <w:semiHidden/>
    <w:rsid w:val="008C62D6"/>
    <w:rPr>
      <w:vertAlign w:val="superscript"/>
    </w:rPr>
  </w:style>
  <w:style w:type="paragraph" w:styleId="ListParagraph">
    <w:name w:val="List Paragraph"/>
    <w:basedOn w:val="Normal"/>
    <w:uiPriority w:val="34"/>
    <w:qFormat/>
    <w:rsid w:val="008C62D6"/>
    <w:pPr>
      <w:spacing w:line="360" w:lineRule="auto"/>
      <w:ind w:left="720"/>
      <w:contextualSpacing/>
    </w:pPr>
    <w:rPr>
      <w:sz w:val="26"/>
      <w:szCs w:val="20"/>
    </w:rPr>
  </w:style>
  <w:style w:type="paragraph" w:customStyle="1" w:styleId="ParaTab1">
    <w:name w:val="ParaTab 1"/>
    <w:rsid w:val="009C2F2A"/>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BodyText">
    <w:name w:val="Body Text"/>
    <w:basedOn w:val="Normal"/>
    <w:link w:val="BodyTextChar"/>
    <w:rsid w:val="009C2F2A"/>
    <w:pPr>
      <w:spacing w:after="120"/>
    </w:pPr>
    <w:rPr>
      <w:sz w:val="20"/>
      <w:szCs w:val="26"/>
    </w:rPr>
  </w:style>
  <w:style w:type="character" w:customStyle="1" w:styleId="BodyTextChar">
    <w:name w:val="Body Text Char"/>
    <w:basedOn w:val="DefaultParagraphFont"/>
    <w:link w:val="BodyText"/>
    <w:rsid w:val="009C2F2A"/>
    <w:rPr>
      <w:rFonts w:ascii="Times New Roman" w:eastAsia="Times New Roman" w:hAnsi="Times New Roman" w:cs="Times New Roman"/>
      <w:sz w:val="20"/>
      <w:szCs w:val="26"/>
    </w:rPr>
  </w:style>
  <w:style w:type="paragraph" w:styleId="BalloonText">
    <w:name w:val="Balloon Text"/>
    <w:basedOn w:val="Normal"/>
    <w:link w:val="BalloonTextChar"/>
    <w:uiPriority w:val="99"/>
    <w:semiHidden/>
    <w:unhideWhenUsed/>
    <w:rsid w:val="00966BCB"/>
    <w:rPr>
      <w:rFonts w:ascii="Tahoma" w:hAnsi="Tahoma" w:cs="Tahoma"/>
      <w:sz w:val="16"/>
      <w:szCs w:val="16"/>
    </w:rPr>
  </w:style>
  <w:style w:type="character" w:customStyle="1" w:styleId="BalloonTextChar">
    <w:name w:val="Balloon Text Char"/>
    <w:basedOn w:val="DefaultParagraphFont"/>
    <w:link w:val="BalloonText"/>
    <w:uiPriority w:val="99"/>
    <w:semiHidden/>
    <w:rsid w:val="00966BCB"/>
    <w:rPr>
      <w:rFonts w:ascii="Tahoma" w:eastAsia="Times New Roman" w:hAnsi="Tahoma" w:cs="Tahoma"/>
      <w:sz w:val="16"/>
      <w:szCs w:val="16"/>
    </w:rPr>
  </w:style>
  <w:style w:type="paragraph" w:styleId="Header">
    <w:name w:val="header"/>
    <w:basedOn w:val="Normal"/>
    <w:link w:val="HeaderChar"/>
    <w:uiPriority w:val="99"/>
    <w:unhideWhenUsed/>
    <w:rsid w:val="00C11B4C"/>
    <w:pPr>
      <w:tabs>
        <w:tab w:val="center" w:pos="4680"/>
        <w:tab w:val="right" w:pos="9360"/>
      </w:tabs>
    </w:pPr>
  </w:style>
  <w:style w:type="character" w:customStyle="1" w:styleId="HeaderChar">
    <w:name w:val="Header Char"/>
    <w:basedOn w:val="DefaultParagraphFont"/>
    <w:link w:val="Header"/>
    <w:uiPriority w:val="99"/>
    <w:rsid w:val="00C11B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1B4C"/>
    <w:pPr>
      <w:tabs>
        <w:tab w:val="center" w:pos="4680"/>
        <w:tab w:val="right" w:pos="9360"/>
      </w:tabs>
    </w:pPr>
  </w:style>
  <w:style w:type="character" w:customStyle="1" w:styleId="FooterChar">
    <w:name w:val="Footer Char"/>
    <w:basedOn w:val="DefaultParagraphFont"/>
    <w:link w:val="Footer"/>
    <w:uiPriority w:val="99"/>
    <w:rsid w:val="00C11B4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D6"/>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62D6"/>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62D6"/>
    <w:rPr>
      <w:rFonts w:ascii="Times New Roman" w:eastAsia="Times New Roman" w:hAnsi="Times New Roman" w:cs="Times New Roman"/>
      <w:sz w:val="26"/>
      <w:szCs w:val="20"/>
      <w:u w:val="single"/>
    </w:rPr>
  </w:style>
  <w:style w:type="paragraph" w:styleId="FootnoteText">
    <w:name w:val="footnote text"/>
    <w:basedOn w:val="Normal"/>
    <w:link w:val="FootnoteTextChar"/>
    <w:semiHidden/>
    <w:rsid w:val="008C62D6"/>
    <w:rPr>
      <w:sz w:val="20"/>
      <w:szCs w:val="20"/>
    </w:rPr>
  </w:style>
  <w:style w:type="character" w:customStyle="1" w:styleId="FootnoteTextChar">
    <w:name w:val="Footnote Text Char"/>
    <w:basedOn w:val="DefaultParagraphFont"/>
    <w:link w:val="FootnoteText"/>
    <w:semiHidden/>
    <w:rsid w:val="008C62D6"/>
    <w:rPr>
      <w:rFonts w:ascii="Times New Roman" w:eastAsia="Times New Roman" w:hAnsi="Times New Roman" w:cs="Times New Roman"/>
      <w:sz w:val="20"/>
      <w:szCs w:val="20"/>
    </w:rPr>
  </w:style>
  <w:style w:type="character" w:styleId="FootnoteReference">
    <w:name w:val="footnote reference"/>
    <w:basedOn w:val="DefaultParagraphFont"/>
    <w:semiHidden/>
    <w:rsid w:val="008C62D6"/>
    <w:rPr>
      <w:vertAlign w:val="superscript"/>
    </w:rPr>
  </w:style>
  <w:style w:type="paragraph" w:styleId="ListParagraph">
    <w:name w:val="List Paragraph"/>
    <w:basedOn w:val="Normal"/>
    <w:uiPriority w:val="34"/>
    <w:qFormat/>
    <w:rsid w:val="008C62D6"/>
    <w:pPr>
      <w:spacing w:line="360" w:lineRule="auto"/>
      <w:ind w:left="720"/>
      <w:contextualSpacing/>
    </w:pPr>
    <w:rPr>
      <w:sz w:val="26"/>
      <w:szCs w:val="20"/>
    </w:rPr>
  </w:style>
  <w:style w:type="paragraph" w:customStyle="1" w:styleId="ParaTab1">
    <w:name w:val="ParaTab 1"/>
    <w:rsid w:val="009C2F2A"/>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BodyText">
    <w:name w:val="Body Text"/>
    <w:basedOn w:val="Normal"/>
    <w:link w:val="BodyTextChar"/>
    <w:rsid w:val="009C2F2A"/>
    <w:pPr>
      <w:spacing w:after="120"/>
    </w:pPr>
    <w:rPr>
      <w:sz w:val="20"/>
      <w:szCs w:val="26"/>
    </w:rPr>
  </w:style>
  <w:style w:type="character" w:customStyle="1" w:styleId="BodyTextChar">
    <w:name w:val="Body Text Char"/>
    <w:basedOn w:val="DefaultParagraphFont"/>
    <w:link w:val="BodyText"/>
    <w:rsid w:val="009C2F2A"/>
    <w:rPr>
      <w:rFonts w:ascii="Times New Roman" w:eastAsia="Times New Roman" w:hAnsi="Times New Roman" w:cs="Times New Roman"/>
      <w:sz w:val="20"/>
      <w:szCs w:val="26"/>
    </w:rPr>
  </w:style>
  <w:style w:type="paragraph" w:styleId="BalloonText">
    <w:name w:val="Balloon Text"/>
    <w:basedOn w:val="Normal"/>
    <w:link w:val="BalloonTextChar"/>
    <w:uiPriority w:val="99"/>
    <w:semiHidden/>
    <w:unhideWhenUsed/>
    <w:rsid w:val="00966BCB"/>
    <w:rPr>
      <w:rFonts w:ascii="Tahoma" w:hAnsi="Tahoma" w:cs="Tahoma"/>
      <w:sz w:val="16"/>
      <w:szCs w:val="16"/>
    </w:rPr>
  </w:style>
  <w:style w:type="character" w:customStyle="1" w:styleId="BalloonTextChar">
    <w:name w:val="Balloon Text Char"/>
    <w:basedOn w:val="DefaultParagraphFont"/>
    <w:link w:val="BalloonText"/>
    <w:uiPriority w:val="99"/>
    <w:semiHidden/>
    <w:rsid w:val="00966BCB"/>
    <w:rPr>
      <w:rFonts w:ascii="Tahoma" w:eastAsia="Times New Roman" w:hAnsi="Tahoma" w:cs="Tahoma"/>
      <w:sz w:val="16"/>
      <w:szCs w:val="16"/>
    </w:rPr>
  </w:style>
  <w:style w:type="paragraph" w:styleId="Header">
    <w:name w:val="header"/>
    <w:basedOn w:val="Normal"/>
    <w:link w:val="HeaderChar"/>
    <w:uiPriority w:val="99"/>
    <w:unhideWhenUsed/>
    <w:rsid w:val="00C11B4C"/>
    <w:pPr>
      <w:tabs>
        <w:tab w:val="center" w:pos="4680"/>
        <w:tab w:val="right" w:pos="9360"/>
      </w:tabs>
    </w:pPr>
  </w:style>
  <w:style w:type="character" w:customStyle="1" w:styleId="HeaderChar">
    <w:name w:val="Header Char"/>
    <w:basedOn w:val="DefaultParagraphFont"/>
    <w:link w:val="Header"/>
    <w:uiPriority w:val="99"/>
    <w:rsid w:val="00C11B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1B4C"/>
    <w:pPr>
      <w:tabs>
        <w:tab w:val="center" w:pos="4680"/>
        <w:tab w:val="right" w:pos="9360"/>
      </w:tabs>
    </w:pPr>
  </w:style>
  <w:style w:type="character" w:customStyle="1" w:styleId="FooterChar">
    <w:name w:val="Footer Char"/>
    <w:basedOn w:val="DefaultParagraphFont"/>
    <w:link w:val="Footer"/>
    <w:uiPriority w:val="99"/>
    <w:rsid w:val="00C11B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DF35E-4337-48E4-B5F8-931D2DE76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2196</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Dunderdale, Katrina</dc:creator>
  <cp:lastModifiedBy>sandra elizabeth oldynski</cp:lastModifiedBy>
  <cp:revision>27</cp:revision>
  <cp:lastPrinted>2015-12-02T17:41:00Z</cp:lastPrinted>
  <dcterms:created xsi:type="dcterms:W3CDTF">2015-12-02T16:17:00Z</dcterms:created>
  <dcterms:modified xsi:type="dcterms:W3CDTF">2015-12-07T13:57:00Z</dcterms:modified>
</cp:coreProperties>
</file>