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9580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9580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95806">
        <w:rPr>
          <w:rFonts w:ascii="Times New Roman" w:hAnsi="Times New Roman"/>
          <w:b/>
          <w:spacing w:val="-3"/>
          <w:szCs w:val="24"/>
        </w:rPr>
        <w:fldChar w:fldCharType="begin"/>
      </w:r>
      <w:r w:rsidRPr="0059580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9580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9580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9580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95806" w:rsidRPr="00595806" w:rsidRDefault="00141506" w:rsidP="0059580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9580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95806" w:rsidRDefault="00595806" w:rsidP="0059580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95806" w:rsidRDefault="00595806" w:rsidP="0059580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95806" w:rsidRDefault="00595806" w:rsidP="0059580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95806" w:rsidRPr="00595806" w:rsidRDefault="00595806" w:rsidP="00595806">
      <w:pPr>
        <w:tabs>
          <w:tab w:val="left" w:pos="0"/>
        </w:tabs>
        <w:jc w:val="both"/>
        <w:rPr>
          <w:rFonts w:ascii="Times New Roman" w:hAnsi="Times New Roman"/>
          <w:b/>
        </w:rPr>
      </w:pPr>
      <w:r w:rsidRPr="00595806">
        <w:rPr>
          <w:rFonts w:ascii="Times New Roman" w:hAnsi="Times New Roman"/>
        </w:rPr>
        <w:t>Kyle Kwiatkowski</w:t>
      </w:r>
      <w:r w:rsidRPr="00595806">
        <w:rPr>
          <w:rFonts w:ascii="Times New Roman" w:hAnsi="Times New Roman"/>
        </w:rPr>
        <w:tab/>
      </w:r>
      <w:r w:rsidRPr="00595806">
        <w:rPr>
          <w:rFonts w:ascii="Times New Roman" w:hAnsi="Times New Roman"/>
        </w:rPr>
        <w:tab/>
      </w:r>
      <w:r w:rsidRPr="00595806">
        <w:rPr>
          <w:rFonts w:ascii="Times New Roman" w:hAnsi="Times New Roman"/>
        </w:rPr>
        <w:tab/>
      </w:r>
      <w:r w:rsidRPr="00595806">
        <w:rPr>
          <w:rFonts w:ascii="Times New Roman" w:hAnsi="Times New Roman"/>
        </w:rPr>
        <w:tab/>
      </w:r>
      <w:r w:rsidRPr="00595806">
        <w:rPr>
          <w:rFonts w:ascii="Times New Roman" w:hAnsi="Times New Roman"/>
        </w:rPr>
        <w:tab/>
        <w:t>:</w:t>
      </w:r>
    </w:p>
    <w:p w:rsidR="00595806" w:rsidRPr="00595806" w:rsidRDefault="00595806" w:rsidP="00595806">
      <w:pPr>
        <w:tabs>
          <w:tab w:val="left" w:pos="0"/>
        </w:tabs>
        <w:jc w:val="both"/>
        <w:rPr>
          <w:rFonts w:ascii="Times New Roman" w:hAnsi="Times New Roman"/>
        </w:rPr>
      </w:pPr>
      <w:r w:rsidRPr="00595806">
        <w:rPr>
          <w:rFonts w:ascii="Times New Roman" w:hAnsi="Times New Roman"/>
          <w:b/>
        </w:rPr>
        <w:tab/>
      </w:r>
      <w:r w:rsidRPr="00595806">
        <w:rPr>
          <w:rFonts w:ascii="Times New Roman" w:hAnsi="Times New Roman"/>
          <w:b/>
        </w:rPr>
        <w:tab/>
      </w:r>
      <w:r w:rsidRPr="00595806">
        <w:rPr>
          <w:rFonts w:ascii="Times New Roman" w:hAnsi="Times New Roman"/>
          <w:b/>
        </w:rPr>
        <w:tab/>
      </w:r>
      <w:r w:rsidRPr="00595806">
        <w:rPr>
          <w:rFonts w:ascii="Times New Roman" w:hAnsi="Times New Roman"/>
          <w:b/>
        </w:rPr>
        <w:tab/>
      </w:r>
      <w:r w:rsidRPr="00595806">
        <w:rPr>
          <w:rFonts w:ascii="Times New Roman" w:hAnsi="Times New Roman"/>
          <w:b/>
        </w:rPr>
        <w:tab/>
      </w:r>
      <w:r w:rsidRPr="00595806">
        <w:rPr>
          <w:rFonts w:ascii="Times New Roman" w:hAnsi="Times New Roman"/>
          <w:b/>
        </w:rPr>
        <w:tab/>
      </w:r>
      <w:r w:rsidRPr="00595806">
        <w:rPr>
          <w:rFonts w:ascii="Times New Roman" w:hAnsi="Times New Roman"/>
          <w:b/>
        </w:rPr>
        <w:tab/>
      </w:r>
      <w:r w:rsidRPr="00595806">
        <w:rPr>
          <w:rFonts w:ascii="Times New Roman" w:hAnsi="Times New Roman"/>
        </w:rPr>
        <w:t>:</w:t>
      </w:r>
    </w:p>
    <w:p w:rsidR="00595806" w:rsidRPr="00595806" w:rsidRDefault="00595806" w:rsidP="00595806">
      <w:pPr>
        <w:tabs>
          <w:tab w:val="left" w:pos="0"/>
        </w:tabs>
        <w:jc w:val="both"/>
        <w:rPr>
          <w:rFonts w:ascii="Times New Roman" w:hAnsi="Times New Roman"/>
        </w:rPr>
      </w:pPr>
      <w:r w:rsidRPr="00595806">
        <w:rPr>
          <w:rFonts w:ascii="Times New Roman" w:hAnsi="Times New Roman"/>
        </w:rPr>
        <w:tab/>
        <w:t>v.</w:t>
      </w:r>
      <w:r w:rsidRPr="00595806">
        <w:rPr>
          <w:rFonts w:ascii="Times New Roman" w:hAnsi="Times New Roman"/>
        </w:rPr>
        <w:tab/>
      </w:r>
      <w:r w:rsidRPr="00595806">
        <w:rPr>
          <w:rFonts w:ascii="Times New Roman" w:hAnsi="Times New Roman"/>
        </w:rPr>
        <w:tab/>
      </w:r>
      <w:r w:rsidRPr="00595806">
        <w:rPr>
          <w:rFonts w:ascii="Times New Roman" w:hAnsi="Times New Roman"/>
        </w:rPr>
        <w:tab/>
      </w:r>
      <w:r w:rsidRPr="00595806">
        <w:rPr>
          <w:rFonts w:ascii="Times New Roman" w:hAnsi="Times New Roman"/>
        </w:rPr>
        <w:tab/>
      </w:r>
      <w:r w:rsidRPr="00595806">
        <w:rPr>
          <w:rFonts w:ascii="Times New Roman" w:hAnsi="Times New Roman"/>
        </w:rPr>
        <w:tab/>
      </w:r>
      <w:r w:rsidRPr="00595806">
        <w:rPr>
          <w:rFonts w:ascii="Times New Roman" w:hAnsi="Times New Roman"/>
        </w:rPr>
        <w:tab/>
        <w:t>:</w:t>
      </w:r>
      <w:r w:rsidRPr="00595806">
        <w:rPr>
          <w:rFonts w:ascii="Times New Roman" w:hAnsi="Times New Roman"/>
          <w:b/>
        </w:rPr>
        <w:tab/>
      </w:r>
      <w:r w:rsidRPr="0059580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595806">
        <w:rPr>
          <w:rFonts w:ascii="Times New Roman" w:hAnsi="Times New Roman"/>
        </w:rPr>
        <w:t>F-2015-2499907</w:t>
      </w:r>
    </w:p>
    <w:p w:rsidR="00595806" w:rsidRPr="00595806" w:rsidRDefault="00595806" w:rsidP="00595806">
      <w:pPr>
        <w:tabs>
          <w:tab w:val="left" w:pos="0"/>
        </w:tabs>
        <w:jc w:val="both"/>
        <w:rPr>
          <w:rFonts w:ascii="Times New Roman" w:hAnsi="Times New Roman"/>
        </w:rPr>
      </w:pPr>
      <w:r w:rsidRPr="00595806">
        <w:rPr>
          <w:rFonts w:ascii="Times New Roman" w:hAnsi="Times New Roman"/>
        </w:rPr>
        <w:tab/>
      </w:r>
      <w:r w:rsidRPr="00595806">
        <w:rPr>
          <w:rFonts w:ascii="Times New Roman" w:hAnsi="Times New Roman"/>
        </w:rPr>
        <w:tab/>
      </w:r>
      <w:r w:rsidRPr="00595806">
        <w:rPr>
          <w:rFonts w:ascii="Times New Roman" w:hAnsi="Times New Roman"/>
        </w:rPr>
        <w:tab/>
      </w:r>
      <w:r w:rsidRPr="00595806">
        <w:rPr>
          <w:rFonts w:ascii="Times New Roman" w:hAnsi="Times New Roman"/>
        </w:rPr>
        <w:tab/>
      </w:r>
      <w:r w:rsidRPr="00595806">
        <w:rPr>
          <w:rFonts w:ascii="Times New Roman" w:hAnsi="Times New Roman"/>
        </w:rPr>
        <w:tab/>
      </w:r>
      <w:r w:rsidRPr="00595806">
        <w:rPr>
          <w:rFonts w:ascii="Times New Roman" w:hAnsi="Times New Roman"/>
        </w:rPr>
        <w:tab/>
      </w:r>
      <w:r w:rsidRPr="00595806">
        <w:rPr>
          <w:rFonts w:ascii="Times New Roman" w:hAnsi="Times New Roman"/>
        </w:rPr>
        <w:tab/>
        <w:t>:</w:t>
      </w:r>
    </w:p>
    <w:p w:rsidR="00595806" w:rsidRPr="00595806" w:rsidRDefault="00595806" w:rsidP="00595806">
      <w:pPr>
        <w:tabs>
          <w:tab w:val="left" w:pos="0"/>
        </w:tabs>
        <w:jc w:val="both"/>
        <w:rPr>
          <w:rFonts w:ascii="Times New Roman" w:hAnsi="Times New Roman"/>
        </w:rPr>
      </w:pPr>
      <w:r w:rsidRPr="00595806">
        <w:rPr>
          <w:rFonts w:ascii="Times New Roman" w:hAnsi="Times New Roman"/>
        </w:rPr>
        <w:t>PPL Electric Utilities Corporation</w:t>
      </w:r>
      <w:r w:rsidRPr="00595806">
        <w:rPr>
          <w:rFonts w:ascii="Times New Roman" w:hAnsi="Times New Roman"/>
        </w:rPr>
        <w:tab/>
      </w:r>
      <w:r w:rsidRPr="00595806">
        <w:rPr>
          <w:rFonts w:ascii="Times New Roman" w:hAnsi="Times New Roman"/>
        </w:rPr>
        <w:tab/>
      </w:r>
      <w:r w:rsidRPr="00595806">
        <w:rPr>
          <w:rFonts w:ascii="Times New Roman" w:hAnsi="Times New Roman"/>
        </w:rPr>
        <w:tab/>
        <w:t>:</w:t>
      </w:r>
    </w:p>
    <w:p w:rsidR="00595806" w:rsidRDefault="00595806" w:rsidP="0059580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95806" w:rsidRDefault="00595806" w:rsidP="0059580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95806" w:rsidRPr="000C1A59" w:rsidRDefault="00595806" w:rsidP="0059580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59580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595806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95806">
        <w:rPr>
          <w:rFonts w:ascii="Times New Roman" w:hAnsi="Times New Roman"/>
          <w:spacing w:val="-3"/>
          <w:szCs w:val="24"/>
        </w:rPr>
        <w:t>November 2, 2015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95806" w:rsidRPr="00595806" w:rsidRDefault="00595806" w:rsidP="0059580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95806">
        <w:rPr>
          <w:rFonts w:ascii="Times New Roman" w:hAnsi="Times New Roman"/>
        </w:rPr>
        <w:t>1.</w:t>
      </w:r>
      <w:r w:rsidRPr="00595806">
        <w:rPr>
          <w:rFonts w:ascii="Times New Roman" w:hAnsi="Times New Roman"/>
        </w:rPr>
        <w:tab/>
        <w:t>That the motion of PPL Electric Utilities Corporation to dismiss the Complaint filed by Kyle Kwiatkowski at Docket No. F-2015-2499907 is granted.</w:t>
      </w:r>
    </w:p>
    <w:p w:rsidR="00595806" w:rsidRPr="00595806" w:rsidRDefault="00595806" w:rsidP="0059580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95806" w:rsidRPr="00595806" w:rsidRDefault="00595806" w:rsidP="0059580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95806">
        <w:rPr>
          <w:rFonts w:ascii="Times New Roman" w:hAnsi="Times New Roman"/>
        </w:rPr>
        <w:t>2.</w:t>
      </w:r>
      <w:r w:rsidRPr="00595806">
        <w:rPr>
          <w:rFonts w:ascii="Times New Roman" w:hAnsi="Times New Roman"/>
        </w:rPr>
        <w:tab/>
        <w:t>That the Complaint of Kyle Kwiatkowski against PPL Electric Utilities Corporation at Docket No. F-2015-2499907 is dismissed with prejudice for his failure to prosecute his Complaint.</w:t>
      </w:r>
    </w:p>
    <w:p w:rsidR="00595806" w:rsidRPr="00595806" w:rsidRDefault="00595806" w:rsidP="0059580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595806" w:rsidP="0059580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95806">
        <w:rPr>
          <w:rFonts w:ascii="Times New Roman" w:hAnsi="Times New Roman"/>
        </w:rPr>
        <w:t>3.</w:t>
      </w:r>
      <w:r w:rsidRPr="00595806">
        <w:rPr>
          <w:rFonts w:ascii="Times New Roman" w:hAnsi="Times New Roman"/>
        </w:rPr>
        <w:tab/>
        <w:t>That the Commission’s Secretary’s Bureau shall mark Docket No. F-2015-2499907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F1F0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0ACA3A" wp14:editId="75FD087B">
            <wp:simplePos x="0" y="0"/>
            <wp:positionH relativeFrom="column">
              <wp:posOffset>3157855</wp:posOffset>
            </wp:positionH>
            <wp:positionV relativeFrom="paragraph">
              <wp:posOffset>43180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F1F05">
        <w:rPr>
          <w:rFonts w:ascii="Times New Roman" w:hAnsi="Times New Roman"/>
          <w:spacing w:val="-3"/>
          <w:szCs w:val="24"/>
        </w:rPr>
        <w:t>December 11,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19F" w:rsidRDefault="0025519F">
      <w:pPr>
        <w:spacing w:line="20" w:lineRule="exact"/>
      </w:pPr>
    </w:p>
  </w:endnote>
  <w:endnote w:type="continuationSeparator" w:id="0">
    <w:p w:rsidR="0025519F" w:rsidRDefault="0025519F">
      <w:r>
        <w:t xml:space="preserve"> </w:t>
      </w:r>
    </w:p>
  </w:endnote>
  <w:endnote w:type="continuationNotice" w:id="1">
    <w:p w:rsidR="0025519F" w:rsidRDefault="002551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19F" w:rsidRDefault="0025519F">
      <w:r>
        <w:separator/>
      </w:r>
    </w:p>
  </w:footnote>
  <w:footnote w:type="continuationSeparator" w:id="0">
    <w:p w:rsidR="0025519F" w:rsidRDefault="00255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3136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5519F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95806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05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2015-12-11T12:32:00Z</dcterms:modified>
</cp:coreProperties>
</file>