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Pr="00DE5EB8" w:rsidRDefault="008E4FD6" w:rsidP="00331721">
      <w:pPr>
        <w:jc w:val="center"/>
        <w:rPr>
          <w:b/>
        </w:rPr>
      </w:pPr>
      <w:r w:rsidRPr="00DE5EB8">
        <w:rPr>
          <w:b/>
        </w:rPr>
        <w:t>BEFORE THE</w:t>
      </w:r>
    </w:p>
    <w:p w:rsidR="008E4FD6" w:rsidRPr="00DE5EB8" w:rsidRDefault="008E4FD6" w:rsidP="00331721">
      <w:pPr>
        <w:jc w:val="center"/>
        <w:rPr>
          <w:b/>
        </w:rPr>
      </w:pPr>
      <w:r w:rsidRPr="00DE5EB8">
        <w:rPr>
          <w:b/>
        </w:rPr>
        <w:t>PENNSYLVANIA PUBLIC UTILITY COMMISSION</w:t>
      </w:r>
    </w:p>
    <w:p w:rsidR="008E4FD6" w:rsidRPr="00DE5EB8" w:rsidRDefault="008E4FD6" w:rsidP="00331721">
      <w:pPr>
        <w:jc w:val="center"/>
        <w:rPr>
          <w:b/>
        </w:rPr>
      </w:pPr>
    </w:p>
    <w:p w:rsidR="008E4FD6" w:rsidRPr="00DE5EB8" w:rsidRDefault="008E4FD6" w:rsidP="00331721"/>
    <w:p w:rsidR="00C77B29" w:rsidRPr="008038A1" w:rsidRDefault="00C77B29" w:rsidP="00C77B29"/>
    <w:p w:rsidR="00C77B29" w:rsidRPr="00EA1625" w:rsidRDefault="00C77B29" w:rsidP="00C77B29">
      <w:r>
        <w:t xml:space="preserve">Leon </w:t>
      </w:r>
      <w:proofErr w:type="spellStart"/>
      <w:r>
        <w:t>Akerly</w:t>
      </w:r>
      <w:proofErr w:type="spellEnd"/>
      <w:r>
        <w:tab/>
      </w:r>
      <w:r w:rsidRPr="00EA1625">
        <w:tab/>
      </w:r>
      <w:r w:rsidRPr="00EA1625">
        <w:tab/>
      </w:r>
      <w:r w:rsidRPr="00EA1625">
        <w:tab/>
      </w:r>
      <w:r w:rsidRPr="00EA1625">
        <w:tab/>
      </w:r>
      <w:r w:rsidRPr="00EA1625">
        <w:tab/>
        <w:t>:</w:t>
      </w:r>
      <w:r w:rsidRPr="00EA1625">
        <w:tab/>
      </w:r>
    </w:p>
    <w:p w:rsidR="00C77B29" w:rsidRPr="00EA1625" w:rsidRDefault="00C77B29" w:rsidP="00C77B29">
      <w:r w:rsidRPr="00EA1625">
        <w:tab/>
      </w:r>
      <w:r w:rsidRPr="00EA1625">
        <w:tab/>
      </w:r>
      <w:r w:rsidRPr="00EA1625">
        <w:tab/>
      </w:r>
      <w:r w:rsidRPr="00EA1625">
        <w:tab/>
      </w:r>
      <w:r w:rsidRPr="00EA1625">
        <w:tab/>
      </w:r>
      <w:r w:rsidRPr="00EA1625">
        <w:tab/>
      </w:r>
      <w:r w:rsidRPr="00EA1625">
        <w:tab/>
        <w:t>:</w:t>
      </w:r>
    </w:p>
    <w:p w:rsidR="00C77B29" w:rsidRPr="00EA1625" w:rsidRDefault="00C77B29" w:rsidP="00C77B29">
      <w:pPr>
        <w:numPr>
          <w:ilvl w:val="0"/>
          <w:numId w:val="5"/>
        </w:numPr>
        <w:ind w:hanging="4320"/>
      </w:pPr>
      <w:r w:rsidRPr="00EA1625">
        <w:t>:</w:t>
      </w:r>
      <w:r w:rsidRPr="00EA1625">
        <w:tab/>
      </w:r>
      <w:r w:rsidRPr="00EA1625">
        <w:tab/>
      </w:r>
      <w:r>
        <w:t>C-2015-2472693</w:t>
      </w:r>
    </w:p>
    <w:p w:rsidR="00C77B29" w:rsidRPr="00EA1625" w:rsidRDefault="00C77B29" w:rsidP="00C77B29">
      <w:pPr>
        <w:ind w:left="5040"/>
      </w:pPr>
      <w:r w:rsidRPr="00EA1625">
        <w:t>:</w:t>
      </w:r>
    </w:p>
    <w:p w:rsidR="00C77B29" w:rsidRPr="00EA1625" w:rsidRDefault="00C77B29" w:rsidP="00C77B29">
      <w:r>
        <w:t>National Fuel Gas Distribution Corporation</w:t>
      </w:r>
      <w:r w:rsidRPr="00EA1625">
        <w:t xml:space="preserve"> </w:t>
      </w:r>
      <w:r w:rsidRPr="00EA1625">
        <w:tab/>
      </w:r>
      <w:r w:rsidRPr="00EA1625">
        <w:tab/>
        <w:t>:</w:t>
      </w:r>
    </w:p>
    <w:p w:rsidR="00C77B29" w:rsidRDefault="00C77B29" w:rsidP="00C77B29"/>
    <w:p w:rsidR="00C77B29" w:rsidRPr="00EA1625" w:rsidRDefault="00C77B29" w:rsidP="00C77B29"/>
    <w:p w:rsidR="008E4FD6" w:rsidRPr="00DE5EB8" w:rsidRDefault="008E4FD6" w:rsidP="00331721">
      <w:pPr>
        <w:tabs>
          <w:tab w:val="left" w:pos="1076"/>
        </w:tabs>
      </w:pPr>
    </w:p>
    <w:p w:rsidR="008E4FD6" w:rsidRPr="00DE5EB8" w:rsidRDefault="008E4FD6" w:rsidP="00331721">
      <w:pPr>
        <w:jc w:val="center"/>
        <w:rPr>
          <w:b/>
          <w:u w:val="single"/>
        </w:rPr>
      </w:pPr>
      <w:r w:rsidRPr="00DE5EB8">
        <w:rPr>
          <w:b/>
          <w:u w:val="single"/>
        </w:rPr>
        <w:t>INITIAL DECISION</w:t>
      </w:r>
    </w:p>
    <w:p w:rsidR="008E4FD6" w:rsidRPr="00DE5EB8" w:rsidRDefault="008E4FD6" w:rsidP="00331721">
      <w:pPr>
        <w:jc w:val="center"/>
      </w:pPr>
    </w:p>
    <w:p w:rsidR="009D47A5" w:rsidRPr="00DE5EB8" w:rsidRDefault="009D47A5" w:rsidP="00331721">
      <w:pPr>
        <w:jc w:val="center"/>
      </w:pPr>
    </w:p>
    <w:p w:rsidR="008E4FD6" w:rsidRPr="00DE5EB8" w:rsidRDefault="008E4FD6" w:rsidP="00331721">
      <w:pPr>
        <w:jc w:val="center"/>
      </w:pPr>
      <w:r w:rsidRPr="00DE5EB8">
        <w:t>Before</w:t>
      </w:r>
    </w:p>
    <w:p w:rsidR="008E4FD6" w:rsidRPr="00DE5EB8" w:rsidRDefault="00DF0974" w:rsidP="00331721">
      <w:pPr>
        <w:jc w:val="center"/>
      </w:pPr>
      <w:r w:rsidRPr="00DE5EB8">
        <w:t>Katrina L. Dunderdale</w:t>
      </w:r>
    </w:p>
    <w:p w:rsidR="008E4FD6" w:rsidRPr="00DE5EB8" w:rsidRDefault="008E4FD6" w:rsidP="00331721">
      <w:pPr>
        <w:jc w:val="center"/>
      </w:pPr>
      <w:r w:rsidRPr="00DE5EB8">
        <w:t>Administrative Law Judge</w:t>
      </w:r>
    </w:p>
    <w:p w:rsidR="008E4FD6" w:rsidRDefault="008E4FD6" w:rsidP="00331721"/>
    <w:p w:rsidR="003116BA" w:rsidRDefault="003116BA" w:rsidP="00331721"/>
    <w:p w:rsidR="003116BA" w:rsidRDefault="003116BA" w:rsidP="003116BA">
      <w:pPr>
        <w:jc w:val="center"/>
        <w:rPr>
          <w:u w:val="single"/>
        </w:rPr>
      </w:pPr>
      <w:r w:rsidRPr="003116BA">
        <w:rPr>
          <w:u w:val="single"/>
        </w:rPr>
        <w:t>INTRODUCTION</w:t>
      </w:r>
    </w:p>
    <w:p w:rsidR="001A1C8E" w:rsidRPr="003116BA" w:rsidRDefault="001A1C8E" w:rsidP="003116BA">
      <w:pPr>
        <w:jc w:val="center"/>
        <w:rPr>
          <w:u w:val="single"/>
        </w:rPr>
      </w:pPr>
    </w:p>
    <w:p w:rsidR="003116BA" w:rsidRDefault="003116BA" w:rsidP="00331721"/>
    <w:p w:rsidR="00C77B29" w:rsidRDefault="00C77B29" w:rsidP="00C77B29">
      <w:pPr>
        <w:spacing w:line="360" w:lineRule="auto"/>
      </w:pPr>
      <w:r>
        <w:tab/>
      </w:r>
      <w:r>
        <w:tab/>
        <w:t xml:space="preserve">This decision </w:t>
      </w:r>
      <w:r w:rsidR="004F57A9">
        <w:t>sustains</w:t>
      </w:r>
      <w:r>
        <w:t xml:space="preserve"> a formal complaint </w:t>
      </w:r>
      <w:r w:rsidRPr="002B490F">
        <w:t xml:space="preserve">alleging </w:t>
      </w:r>
      <w:r>
        <w:t>Respondent</w:t>
      </w:r>
      <w:r w:rsidR="004F57A9">
        <w:t xml:space="preserve"> was incorrect to require Complainant to pay to replace NFG’s natural gas meter which was broken by Respondent’s employees on June 25, 2014.</w:t>
      </w:r>
      <w:r>
        <w:t xml:space="preserve">  </w:t>
      </w:r>
    </w:p>
    <w:p w:rsidR="00BE6E3A" w:rsidRPr="00DE5EB8" w:rsidRDefault="00BE6E3A" w:rsidP="00FF73D3">
      <w:pPr>
        <w:spacing w:line="360" w:lineRule="auto"/>
      </w:pPr>
    </w:p>
    <w:p w:rsidR="00F9732A" w:rsidRPr="00DE5EB8" w:rsidRDefault="008E4FD6" w:rsidP="00EA1625">
      <w:pPr>
        <w:jc w:val="center"/>
        <w:rPr>
          <w:u w:val="single"/>
        </w:rPr>
      </w:pPr>
      <w:r w:rsidRPr="00DE5EB8">
        <w:rPr>
          <w:u w:val="single"/>
        </w:rPr>
        <w:t>HISTORY OF THE PROCEEDING</w:t>
      </w:r>
    </w:p>
    <w:p w:rsidR="003116BA" w:rsidRPr="00DE5EB8" w:rsidRDefault="003116BA" w:rsidP="00D2354E">
      <w:pPr>
        <w:rPr>
          <w:u w:val="single"/>
        </w:rPr>
      </w:pPr>
    </w:p>
    <w:p w:rsidR="00C77B29" w:rsidRDefault="00C77B29" w:rsidP="00C77B29">
      <w:pPr>
        <w:ind w:firstLine="1440"/>
      </w:pPr>
    </w:p>
    <w:p w:rsidR="00C77B29" w:rsidRDefault="00C77B29" w:rsidP="00C77B29">
      <w:pPr>
        <w:spacing w:line="360" w:lineRule="auto"/>
        <w:ind w:firstLine="1440"/>
      </w:pPr>
      <w:r w:rsidRPr="00B73D10">
        <w:t xml:space="preserve">On </w:t>
      </w:r>
      <w:r>
        <w:t xml:space="preserve">March 12, 2015, Leon </w:t>
      </w:r>
      <w:proofErr w:type="spellStart"/>
      <w:r>
        <w:t>Akerly</w:t>
      </w:r>
      <w:proofErr w:type="spellEnd"/>
      <w:r>
        <w:t xml:space="preserve"> (</w:t>
      </w:r>
      <w:r w:rsidRPr="00B73D10">
        <w:t>Complainant</w:t>
      </w:r>
      <w:r>
        <w:t xml:space="preserve"> or Mr. </w:t>
      </w:r>
      <w:proofErr w:type="spellStart"/>
      <w:r>
        <w:t>Akerly</w:t>
      </w:r>
      <w:proofErr w:type="spellEnd"/>
      <w:r w:rsidRPr="00B73D10">
        <w:t xml:space="preserve">) filed a formal complaint </w:t>
      </w:r>
      <w:r w:rsidR="004F57A9">
        <w:t xml:space="preserve">with the Pennsylvania Public Utility Commission (Commission) </w:t>
      </w:r>
      <w:r w:rsidRPr="00B73D10">
        <w:t xml:space="preserve">against </w:t>
      </w:r>
      <w:r>
        <w:t>National Fuel Gas Distribution Corporation (</w:t>
      </w:r>
      <w:r w:rsidRPr="00B73D10">
        <w:t xml:space="preserve">Respondent or </w:t>
      </w:r>
      <w:r>
        <w:t>NFG</w:t>
      </w:r>
      <w:r w:rsidRPr="00B73D10">
        <w:t xml:space="preserve">) alleging </w:t>
      </w:r>
      <w:r>
        <w:t xml:space="preserve">NFG’s personnel damaged its natural gas meter on Complainant’s property when removing the meter on June 25, 2014 after a microburst knocked down </w:t>
      </w:r>
      <w:r w:rsidR="004F57A9">
        <w:t>a portion of Complainant’s</w:t>
      </w:r>
      <w:r>
        <w:t xml:space="preserve"> commercial structure located at 4680</w:t>
      </w:r>
      <w:r w:rsidR="00D222BB">
        <w:t> </w:t>
      </w:r>
      <w:r>
        <w:t>Iroquois Avenue, Erie, Pennsylvania on June 24, 2014</w:t>
      </w:r>
      <w:r w:rsidRPr="00B73D10">
        <w:t>.</w:t>
      </w:r>
      <w:r>
        <w:t xml:space="preserve">  Mr. </w:t>
      </w:r>
      <w:proofErr w:type="spellStart"/>
      <w:r>
        <w:t>Akerly</w:t>
      </w:r>
      <w:proofErr w:type="spellEnd"/>
      <w:r>
        <w:t xml:space="preserve"> also contends NFG failed to provide customer service when it forced Complainant to pay $4,554.80 in September 2014 before NFG would install a meter and resume service to the service address.  </w:t>
      </w:r>
      <w:r w:rsidRPr="00B73D10">
        <w:t xml:space="preserve"> </w:t>
      </w:r>
      <w:r w:rsidR="004F57A9">
        <w:t xml:space="preserve">Complainant asks the Commission to order NFG to repay $4,554.80 to Complainant. </w:t>
      </w:r>
      <w:r w:rsidRPr="00B73D10">
        <w:t xml:space="preserve"> </w:t>
      </w:r>
    </w:p>
    <w:p w:rsidR="00C77B29" w:rsidRPr="00B73D10" w:rsidRDefault="00C77B29" w:rsidP="00C77B29">
      <w:pPr>
        <w:spacing w:line="360" w:lineRule="auto"/>
        <w:ind w:firstLine="1440"/>
      </w:pPr>
      <w:r w:rsidRPr="00B73D10">
        <w:lastRenderedPageBreak/>
        <w:t xml:space="preserve">On </w:t>
      </w:r>
      <w:r>
        <w:t>April 8, 2015</w:t>
      </w:r>
      <w:r w:rsidRPr="00B73D10">
        <w:t>, Respondent filed an Answer</w:t>
      </w:r>
      <w:r>
        <w:t>, in which NFG</w:t>
      </w:r>
      <w:r w:rsidRPr="00B73D10">
        <w:t xml:space="preserve"> averred the</w:t>
      </w:r>
      <w:r>
        <w:t xml:space="preserve"> meter was damaged beyond repair when Complainant’s building fell on the meter during the microburst and it was appropriate for NFG to charge Complainant with the replacement cost of obtaining a new meter before service could resume.    </w:t>
      </w:r>
    </w:p>
    <w:p w:rsidR="00C77B29" w:rsidRPr="00B73D10" w:rsidRDefault="00C77B29" w:rsidP="00C77B29">
      <w:pPr>
        <w:spacing w:line="360" w:lineRule="auto"/>
      </w:pPr>
    </w:p>
    <w:p w:rsidR="00C77B29" w:rsidRDefault="00C77B29" w:rsidP="00C77B29">
      <w:pPr>
        <w:spacing w:line="360" w:lineRule="auto"/>
      </w:pPr>
      <w:r w:rsidRPr="00B73D10">
        <w:tab/>
      </w:r>
      <w:r w:rsidRPr="00B73D10">
        <w:tab/>
        <w:t xml:space="preserve">On </w:t>
      </w:r>
      <w:r>
        <w:t>May 14, 2015</w:t>
      </w:r>
      <w:r w:rsidRPr="00B73D10">
        <w:t xml:space="preserve">, the Office of Administrative Law Judge issued a </w:t>
      </w:r>
      <w:r>
        <w:t xml:space="preserve">Call-In </w:t>
      </w:r>
      <w:r w:rsidRPr="00B73D10">
        <w:t xml:space="preserve">Telephone Hearing Notice, which scheduled </w:t>
      </w:r>
      <w:r>
        <w:t>an initial telephonic h</w:t>
      </w:r>
      <w:r w:rsidRPr="00B73D10">
        <w:t xml:space="preserve">earing to be conducted on </w:t>
      </w:r>
      <w:r>
        <w:t>June 16, 2015 before Administrative Law Judge (ALJ) Katrina L. Dunderdale</w:t>
      </w:r>
      <w:r w:rsidRPr="00B73D10">
        <w:t xml:space="preserve">.  On </w:t>
      </w:r>
      <w:r>
        <w:t>May 18, 2015, the ALJ issued</w:t>
      </w:r>
      <w:r w:rsidRPr="00B73D10">
        <w:t xml:space="preserve"> a Prehearing Order</w:t>
      </w:r>
      <w:r>
        <w:t>, reminding the parties as to the date, time and manner of hearing, and advising the parties about various procedural rules including the rules concerning discovery, subpoena requests and presentment of documents to opposing parties</w:t>
      </w:r>
      <w:r w:rsidRPr="00B73D10">
        <w:t xml:space="preserve">.  </w:t>
      </w:r>
    </w:p>
    <w:p w:rsidR="004F57A9" w:rsidRDefault="004F57A9" w:rsidP="00C77B29">
      <w:pPr>
        <w:spacing w:line="360" w:lineRule="auto"/>
      </w:pPr>
    </w:p>
    <w:p w:rsidR="00C77B29" w:rsidRDefault="00C77B29" w:rsidP="00C77B29">
      <w:pPr>
        <w:spacing w:line="360" w:lineRule="auto"/>
      </w:pPr>
      <w:r>
        <w:tab/>
      </w:r>
      <w:r>
        <w:tab/>
        <w:t xml:space="preserve">On June 5, 2015, Complainant served via first class mail the Witness and Exhibit Lists, listing Exhibits A through E.  The same document, and its cover letter, indicated there would be a substitution of counsel.  In the cover letter, Complainant requested Respondent answer three questions and </w:t>
      </w:r>
      <w:proofErr w:type="gramStart"/>
      <w:r>
        <w:t>provide</w:t>
      </w:r>
      <w:proofErr w:type="gramEnd"/>
      <w:r>
        <w:t xml:space="preserve"> proof of those answers.</w:t>
      </w:r>
    </w:p>
    <w:p w:rsidR="00C77B29" w:rsidRDefault="00C77B29" w:rsidP="00C77B29">
      <w:pPr>
        <w:spacing w:line="360" w:lineRule="auto"/>
      </w:pPr>
    </w:p>
    <w:p w:rsidR="00C77B29" w:rsidRDefault="00C77B29" w:rsidP="00C77B29">
      <w:pPr>
        <w:spacing w:line="360" w:lineRule="auto"/>
      </w:pPr>
      <w:r>
        <w:tab/>
      </w:r>
      <w:r>
        <w:tab/>
        <w:t>On June 8, 2015, Respondent served via first class mail its Exhibit List, listing Exhibits A through E.  The cover letter indicated NFG</w:t>
      </w:r>
      <w:r w:rsidR="004F57A9">
        <w:t xml:space="preserve"> would call only one </w:t>
      </w:r>
      <w:r>
        <w:t>witness.  On June 9, 2015, Respondent served</w:t>
      </w:r>
      <w:r w:rsidR="004F57A9">
        <w:t xml:space="preserve"> Respondent’s Exhibit F</w:t>
      </w:r>
      <w:r>
        <w:t xml:space="preserve"> via first c</w:t>
      </w:r>
      <w:r w:rsidR="004F57A9">
        <w:t>lass mail</w:t>
      </w:r>
      <w:r>
        <w:t>.</w:t>
      </w:r>
    </w:p>
    <w:p w:rsidR="00C77B29" w:rsidRDefault="00C77B29" w:rsidP="00C77B29">
      <w:pPr>
        <w:spacing w:line="360" w:lineRule="auto"/>
      </w:pPr>
    </w:p>
    <w:p w:rsidR="00C77B29" w:rsidRDefault="00C77B29" w:rsidP="00C77B29">
      <w:pPr>
        <w:spacing w:line="360" w:lineRule="auto"/>
      </w:pPr>
      <w:r>
        <w:tab/>
      </w:r>
      <w:r>
        <w:tab/>
        <w:t>On June 11, 2015, Complainant served Petitioner’s Objections to Respondent Witness &amp; Exhibits &amp; Motion for Exclusion</w:t>
      </w:r>
      <w:r w:rsidR="004F57A9">
        <w:t xml:space="preserve"> upon the presiding officer and NFG’s counsel</w:t>
      </w:r>
      <w:r>
        <w:t xml:space="preserve">.  Complainant objected that Respondent’s lists were not received until six days prior to the hearing date and less than five business days prior to the hearing date.  In addition, Respondent supplemented the Exhibit List on June 10, 2015, which additional Exhibit (Exhibit F) was not received until June 11, 2015.  Complainant also objected to the exhibits on the grounds of hearsay and unfair prejudice.  </w:t>
      </w:r>
    </w:p>
    <w:p w:rsidR="00E078F3" w:rsidRDefault="00E078F3" w:rsidP="00C77B29">
      <w:pPr>
        <w:spacing w:line="360" w:lineRule="auto"/>
      </w:pPr>
    </w:p>
    <w:p w:rsidR="00C77B29" w:rsidRDefault="00C77B29" w:rsidP="00C77B29">
      <w:pPr>
        <w:spacing w:line="360" w:lineRule="auto"/>
      </w:pPr>
      <w:r>
        <w:tab/>
      </w:r>
      <w:r>
        <w:tab/>
        <w:t xml:space="preserve">On June 13, 2015, Respondent served upon the ALJ and Complainant’s counsel its Response to Complainant’s Objections to and Request to Exclude Witness and Exhibits.  </w:t>
      </w:r>
      <w:r>
        <w:lastRenderedPageBreak/>
        <w:t xml:space="preserve">Respondent contended the lists were served in accordance with 52 </w:t>
      </w:r>
      <w:proofErr w:type="spellStart"/>
      <w:r>
        <w:t>Pa.Code</w:t>
      </w:r>
      <w:proofErr w:type="spellEnd"/>
      <w:r>
        <w:t xml:space="preserve"> §</w:t>
      </w:r>
      <w:r w:rsidR="002F2EB1">
        <w:t xml:space="preserve"> </w:t>
      </w:r>
      <w:r>
        <w:t>1.54(b</w:t>
      </w:r>
      <w:proofErr w:type="gramStart"/>
      <w:r>
        <w:t>)(</w:t>
      </w:r>
      <w:proofErr w:type="gramEnd"/>
      <w:r>
        <w:t xml:space="preserve">1).  Furthermore, Respondent averred hearsay is not automatically excluded from admission and may be admissible pursuant to 52 </w:t>
      </w:r>
      <w:proofErr w:type="spellStart"/>
      <w:r>
        <w:t>Pa.Code</w:t>
      </w:r>
      <w:proofErr w:type="spellEnd"/>
      <w:r>
        <w:t xml:space="preserve"> §</w:t>
      </w:r>
      <w:r w:rsidR="002F2EB1">
        <w:t xml:space="preserve"> </w:t>
      </w:r>
      <w:r>
        <w:t>1.2(a) and §5.401.</w:t>
      </w:r>
    </w:p>
    <w:p w:rsidR="00C77B29" w:rsidRDefault="00C77B29" w:rsidP="00C77B29">
      <w:pPr>
        <w:spacing w:line="360" w:lineRule="auto"/>
        <w:ind w:firstLine="1440"/>
      </w:pPr>
    </w:p>
    <w:p w:rsidR="00C77B29" w:rsidRDefault="00C77B29" w:rsidP="00C77B29">
      <w:pPr>
        <w:spacing w:line="360" w:lineRule="auto"/>
        <w:ind w:firstLine="1440"/>
      </w:pPr>
      <w:r>
        <w:t>On June 16, 2015, the presiding officer</w:t>
      </w:r>
      <w:r w:rsidRPr="00B73D10">
        <w:t xml:space="preserve"> convened the initial hearing as scheduled</w:t>
      </w:r>
      <w:r>
        <w:t xml:space="preserve">, at which Complainant was represented by Felicia R. </w:t>
      </w:r>
      <w:proofErr w:type="spellStart"/>
      <w:r>
        <w:t>Schroeck</w:t>
      </w:r>
      <w:proofErr w:type="spellEnd"/>
      <w:r>
        <w:t xml:space="preserve">, Esquire, and </w:t>
      </w:r>
      <w:r w:rsidRPr="00B73D10">
        <w:t xml:space="preserve">Respondent was represented by </w:t>
      </w:r>
      <w:r>
        <w:t>Neal R. Devlin, Esquire.  Both parties appeared with four witnesses prepared to testify on Complainant’s behalf and one witness prepared to testify on Respondent’s behalf.</w:t>
      </w:r>
    </w:p>
    <w:p w:rsidR="00C77B29" w:rsidRDefault="00C77B29" w:rsidP="00C77B29"/>
    <w:p w:rsidR="00C77B29" w:rsidRDefault="00C77B29" w:rsidP="00C77B29">
      <w:pPr>
        <w:spacing w:line="360" w:lineRule="auto"/>
        <w:ind w:firstLine="1440"/>
      </w:pPr>
      <w:r>
        <w:t>During settlement discussions on June 16, 2015, the parties were able to stipulate to the following facts:</w:t>
      </w:r>
    </w:p>
    <w:p w:rsidR="00C77B29" w:rsidRDefault="00C77B29" w:rsidP="00C77B29">
      <w:pPr>
        <w:spacing w:line="360" w:lineRule="auto"/>
        <w:ind w:firstLine="1440"/>
      </w:pPr>
    </w:p>
    <w:p w:rsidR="00C77B29" w:rsidRDefault="00C77B29" w:rsidP="00C77B29">
      <w:pPr>
        <w:pStyle w:val="ListParagraph"/>
        <w:numPr>
          <w:ilvl w:val="0"/>
          <w:numId w:val="11"/>
        </w:numPr>
        <w:ind w:left="2160" w:hanging="720"/>
      </w:pPr>
      <w:r>
        <w:t>There was a significant wind event which occurred at the service address on June 24, 2014.</w:t>
      </w:r>
    </w:p>
    <w:p w:rsidR="00C77B29" w:rsidRDefault="00C77B29" w:rsidP="00C77B29">
      <w:pPr>
        <w:pStyle w:val="ListParagraph"/>
        <w:ind w:left="2160" w:hanging="720"/>
      </w:pPr>
    </w:p>
    <w:p w:rsidR="00C77B29" w:rsidRDefault="00C77B29" w:rsidP="00C77B29">
      <w:pPr>
        <w:pStyle w:val="ListParagraph"/>
        <w:numPr>
          <w:ilvl w:val="0"/>
          <w:numId w:val="11"/>
        </w:numPr>
        <w:ind w:left="2160" w:hanging="720"/>
      </w:pPr>
      <w:r>
        <w:t>Personnel from NFG came out to the service address on the evening of June 24, 2014 and also during the day on June 25, 2014.</w:t>
      </w:r>
    </w:p>
    <w:p w:rsidR="00C77B29" w:rsidRDefault="00C77B29" w:rsidP="00C77B29">
      <w:pPr>
        <w:pStyle w:val="ListParagraph"/>
        <w:ind w:left="2160" w:hanging="720"/>
      </w:pPr>
    </w:p>
    <w:p w:rsidR="00C77B29" w:rsidRDefault="00C77B29" w:rsidP="00C77B29">
      <w:pPr>
        <w:pStyle w:val="ListParagraph"/>
        <w:numPr>
          <w:ilvl w:val="0"/>
          <w:numId w:val="11"/>
        </w:numPr>
        <w:ind w:left="2160" w:hanging="720"/>
      </w:pPr>
      <w:r>
        <w:t>Personnel of Complainant capped the natural gas line before NFG’s personnel first arrived at the service address on June 24, 2014.</w:t>
      </w:r>
    </w:p>
    <w:p w:rsidR="00C77B29" w:rsidRDefault="00C77B29" w:rsidP="00C77B29">
      <w:pPr>
        <w:spacing w:line="360" w:lineRule="auto"/>
      </w:pPr>
    </w:p>
    <w:p w:rsidR="00C77B29" w:rsidRDefault="00C77B29" w:rsidP="00C77B29">
      <w:pPr>
        <w:spacing w:line="360" w:lineRule="auto"/>
        <w:ind w:firstLine="1440"/>
      </w:pPr>
      <w:r>
        <w:t>Furthermore, the parties agreed the</w:t>
      </w:r>
      <w:r w:rsidR="004F57A9">
        <w:t xml:space="preserve"> sole issue in this proceeding remain</w:t>
      </w:r>
      <w:r>
        <w:t>s:  how was NFG’s gas meter damaged on or about June 24, 2014 and June 25, 2014.</w:t>
      </w:r>
      <w:r w:rsidR="00AE297B">
        <w:t xml:space="preserve">  </w:t>
      </w:r>
      <w:proofErr w:type="gramStart"/>
      <w:r w:rsidR="00AE297B">
        <w:t>(Tr. 27).</w:t>
      </w:r>
      <w:proofErr w:type="gramEnd"/>
    </w:p>
    <w:p w:rsidR="00C77B29" w:rsidRDefault="00C77B29" w:rsidP="00C77B29">
      <w:pPr>
        <w:spacing w:line="360" w:lineRule="auto"/>
      </w:pPr>
    </w:p>
    <w:p w:rsidR="00C77B29" w:rsidRDefault="00495CF4" w:rsidP="00C77B29">
      <w:pPr>
        <w:spacing w:line="360" w:lineRule="auto"/>
        <w:ind w:firstLine="1440"/>
      </w:pPr>
      <w:r>
        <w:t xml:space="preserve">The presiding officer determined a continuance of the hearing was necessary for various reasons.  </w:t>
      </w:r>
      <w:r w:rsidR="00C77B29">
        <w:t>Concerning the Motion to Exclude, Complainant agreed no prejudice had occurred when counsel received Respondent’s lists on June 10, 2015</w:t>
      </w:r>
      <w:r>
        <w:t xml:space="preserve"> and that Motion was denied orally</w:t>
      </w:r>
      <w:r w:rsidR="00C77B29">
        <w:t>.  Second, various technological problems</w:t>
      </w:r>
      <w:r w:rsidR="004F57A9">
        <w:t xml:space="preserve"> with the telephone systems</w:t>
      </w:r>
      <w:r w:rsidR="00C77B29">
        <w:t xml:space="preserve"> developed during the initial hearing which made proceeding with the hearing unlikely to produce a clear transcript record.  Third, the parties needed additional time in which to engage in discovery about the factual elements incumbent in Complainant’s allegations and Respondent’s averments.  Fourth, Complainant’s counsel ne</w:t>
      </w:r>
      <w:r w:rsidR="004F57A9">
        <w:t>eded</w:t>
      </w:r>
      <w:r w:rsidR="00C77B29">
        <w:t xml:space="preserve"> to file a Notice of Appearance and Withdrawal of Counsel by original counsel.</w:t>
      </w:r>
    </w:p>
    <w:p w:rsidR="00C77B29" w:rsidRDefault="00C77B29" w:rsidP="00C77B29">
      <w:pPr>
        <w:spacing w:line="360" w:lineRule="auto"/>
        <w:ind w:firstLine="1440"/>
      </w:pPr>
    </w:p>
    <w:p w:rsidR="00C77B29" w:rsidRDefault="00C77B29" w:rsidP="00C77B29">
      <w:pPr>
        <w:spacing w:line="360" w:lineRule="auto"/>
        <w:ind w:firstLine="1440"/>
      </w:pPr>
      <w:r>
        <w:lastRenderedPageBreak/>
        <w:t>On June 17, 2015, the presiding officer issued the First Interim Order which continued the initial hearing from June 16, 2015, and provided time for the parties to conduct discovery.</w:t>
      </w:r>
    </w:p>
    <w:p w:rsidR="00C77B29" w:rsidRDefault="00C77B29" w:rsidP="00C77B29">
      <w:pPr>
        <w:spacing w:line="360" w:lineRule="auto"/>
        <w:ind w:firstLine="1440"/>
      </w:pPr>
    </w:p>
    <w:p w:rsidR="00DB0B47" w:rsidRDefault="009239E5" w:rsidP="00C77B29">
      <w:pPr>
        <w:spacing w:line="360" w:lineRule="auto"/>
        <w:ind w:firstLine="1440"/>
      </w:pPr>
      <w:r w:rsidRPr="00DE5EB8">
        <w:t>By Telephon</w:t>
      </w:r>
      <w:r w:rsidR="00251313">
        <w:t>ic</w:t>
      </w:r>
      <w:r w:rsidRPr="00DE5EB8">
        <w:t xml:space="preserve"> Hearing Notice dated </w:t>
      </w:r>
      <w:r w:rsidR="00841767">
        <w:t>June 23, 2015,</w:t>
      </w:r>
      <w:r w:rsidRPr="00DE5EB8">
        <w:t xml:space="preserve"> the Commission notified</w:t>
      </w:r>
      <w:r w:rsidR="00BC5BF0">
        <w:t> </w:t>
      </w:r>
      <w:r w:rsidRPr="00DE5EB8">
        <w:t xml:space="preserve">the parties </w:t>
      </w:r>
      <w:r w:rsidR="00841767">
        <w:t>the</w:t>
      </w:r>
      <w:r w:rsidRPr="00DE5EB8">
        <w:t xml:space="preserve"> initial </w:t>
      </w:r>
      <w:r w:rsidR="009A6719">
        <w:t xml:space="preserve">telephonic </w:t>
      </w:r>
      <w:r w:rsidRPr="00DE5EB8">
        <w:t xml:space="preserve">hearing in this case was </w:t>
      </w:r>
      <w:r w:rsidR="00C77B29">
        <w:t>re</w:t>
      </w:r>
      <w:r w:rsidRPr="00DE5EB8">
        <w:t xml:space="preserve">scheduled </w:t>
      </w:r>
      <w:r w:rsidR="00C77B29">
        <w:t>to August 25, 2015</w:t>
      </w:r>
      <w:r w:rsidR="003E7584">
        <w:t>.</w:t>
      </w:r>
      <w:r w:rsidRPr="00DE5EB8">
        <w:t xml:space="preserve">  </w:t>
      </w:r>
      <w:r w:rsidR="00212D2D" w:rsidRPr="00DE5EB8">
        <w:t xml:space="preserve">On </w:t>
      </w:r>
      <w:r w:rsidR="00C77B29">
        <w:t>August</w:t>
      </w:r>
      <w:r w:rsidR="00FB0255">
        <w:t> </w:t>
      </w:r>
      <w:r w:rsidR="00C77B29">
        <w:t>25, 2015</w:t>
      </w:r>
      <w:r w:rsidR="00212D2D" w:rsidRPr="00DE5EB8">
        <w:t xml:space="preserve">, </w:t>
      </w:r>
      <w:r w:rsidR="00754EEB" w:rsidRPr="00DE5EB8">
        <w:t>the presiding officer</w:t>
      </w:r>
      <w:r w:rsidR="00BE6E3A" w:rsidRPr="00DE5EB8">
        <w:t xml:space="preserve"> convened the parties and </w:t>
      </w:r>
      <w:r w:rsidR="00A83CBE" w:rsidRPr="00DE5EB8">
        <w:t>conduct</w:t>
      </w:r>
      <w:r w:rsidR="005243F8" w:rsidRPr="00DE5EB8">
        <w:t>ed</w:t>
      </w:r>
      <w:r w:rsidR="00BE6E3A" w:rsidRPr="00DE5EB8">
        <w:t xml:space="preserve"> a hearing</w:t>
      </w:r>
      <w:r w:rsidR="00826CBC" w:rsidRPr="00DE5EB8">
        <w:t xml:space="preserve"> </w:t>
      </w:r>
      <w:r w:rsidR="00734AEF" w:rsidRPr="00DE5EB8">
        <w:t xml:space="preserve">at which time </w:t>
      </w:r>
      <w:r w:rsidR="009737DF" w:rsidRPr="00DE5EB8">
        <w:t>Complainant</w:t>
      </w:r>
      <w:r w:rsidR="005243F8" w:rsidRPr="00DE5EB8">
        <w:t xml:space="preserve"> </w:t>
      </w:r>
      <w:r w:rsidR="005243F8" w:rsidRPr="008C4FFC">
        <w:t xml:space="preserve">appeared </w:t>
      </w:r>
      <w:r w:rsidR="00C77B29" w:rsidRPr="008C4FFC">
        <w:t xml:space="preserve">and was represented by </w:t>
      </w:r>
      <w:r w:rsidR="008C4FFC" w:rsidRPr="008C4FFC">
        <w:t xml:space="preserve">Felicia </w:t>
      </w:r>
      <w:r w:rsidR="003C534D">
        <w:t xml:space="preserve">R. </w:t>
      </w:r>
      <w:proofErr w:type="spellStart"/>
      <w:r w:rsidR="008C4FFC" w:rsidRPr="008C4FFC">
        <w:t>Schroeck</w:t>
      </w:r>
      <w:proofErr w:type="spellEnd"/>
      <w:r w:rsidR="008C4FFC" w:rsidRPr="008C4FFC">
        <w:t>, Esquire</w:t>
      </w:r>
      <w:r w:rsidR="00F24CE2" w:rsidRPr="008C4FFC">
        <w:t>.</w:t>
      </w:r>
      <w:r w:rsidR="00F24CE2">
        <w:t xml:space="preserve">  </w:t>
      </w:r>
      <w:r w:rsidR="008C4FFC">
        <w:t xml:space="preserve">Ms. </w:t>
      </w:r>
      <w:proofErr w:type="spellStart"/>
      <w:r w:rsidR="008C4FFC">
        <w:t>Schroeck</w:t>
      </w:r>
      <w:proofErr w:type="spellEnd"/>
      <w:r w:rsidR="008C4FFC">
        <w:t xml:space="preserve"> presented the testimonies of five (5) witnesses and</w:t>
      </w:r>
      <w:r w:rsidR="009C46A2">
        <w:t xml:space="preserve"> offered seven (7) exhibits, which were marked and admitted.  </w:t>
      </w:r>
      <w:r w:rsidR="00F24CE2">
        <w:t xml:space="preserve">Respondent was represented by </w:t>
      </w:r>
      <w:r w:rsidR="008C4FFC">
        <w:t>Neal R. Devlin</w:t>
      </w:r>
      <w:r w:rsidR="00F24CE2">
        <w:t xml:space="preserve">, Esquire, who presented </w:t>
      </w:r>
      <w:r w:rsidR="007B4DE2" w:rsidRPr="00DE5EB8">
        <w:t>the testimon</w:t>
      </w:r>
      <w:r w:rsidR="008C4FFC">
        <w:t>ies</w:t>
      </w:r>
      <w:r w:rsidR="007B4DE2" w:rsidRPr="00DE5EB8">
        <w:t xml:space="preserve"> of </w:t>
      </w:r>
      <w:r w:rsidR="008C4FFC">
        <w:t>three</w:t>
      </w:r>
      <w:r w:rsidR="003E7584">
        <w:t xml:space="preserve"> witness</w:t>
      </w:r>
      <w:r w:rsidR="008C4FFC">
        <w:t>es</w:t>
      </w:r>
      <w:r w:rsidR="00DB0B47">
        <w:t xml:space="preserve"> and offered six (6) exhibits, marked and admitted as </w:t>
      </w:r>
      <w:r w:rsidR="009C46A2">
        <w:t>NFG</w:t>
      </w:r>
      <w:r w:rsidR="00DB0B47">
        <w:t xml:space="preserve"> Exhibits </w:t>
      </w:r>
      <w:r w:rsidR="009C46A2">
        <w:t>A-4; B-4; C-3; D-2; D-3 and C-5</w:t>
      </w:r>
      <w:r w:rsidR="00F24CE2">
        <w:t>.</w:t>
      </w:r>
      <w:r w:rsidR="007B4DE2" w:rsidRPr="00DE5EB8">
        <w:t xml:space="preserve">  Complainant and Respondent issued final statements on the record</w:t>
      </w:r>
      <w:r w:rsidR="00F24CE2">
        <w:t xml:space="preserve">.  The </w:t>
      </w:r>
      <w:r w:rsidR="00F24CE2" w:rsidRPr="00DE5EB8">
        <w:t xml:space="preserve">transcript of the hearing contains </w:t>
      </w:r>
      <w:r w:rsidR="009C46A2">
        <w:t>seventy-five</w:t>
      </w:r>
      <w:r w:rsidR="00B65DF5">
        <w:t xml:space="preserve"> (</w:t>
      </w:r>
      <w:r w:rsidR="009C46A2">
        <w:t>75</w:t>
      </w:r>
      <w:r w:rsidR="00B65DF5">
        <w:t>)</w:t>
      </w:r>
      <w:r w:rsidR="00F24CE2" w:rsidRPr="00DE5EB8">
        <w:t xml:space="preserve"> pages</w:t>
      </w:r>
      <w:r w:rsidR="00F24CE2">
        <w:t xml:space="preserve"> </w:t>
      </w:r>
      <w:r w:rsidR="00B65DF5">
        <w:t xml:space="preserve">and was received on </w:t>
      </w:r>
      <w:r w:rsidR="009C46A2">
        <w:t>September 29, 201</w:t>
      </w:r>
      <w:r w:rsidR="003C534D">
        <w:t>5</w:t>
      </w:r>
      <w:r w:rsidR="00B65DF5">
        <w:t xml:space="preserve">.  </w:t>
      </w:r>
    </w:p>
    <w:p w:rsidR="00DB0B47" w:rsidRDefault="00DB0B47" w:rsidP="007B4DE2">
      <w:pPr>
        <w:tabs>
          <w:tab w:val="left" w:pos="2160"/>
        </w:tabs>
        <w:spacing w:line="360" w:lineRule="auto"/>
        <w:ind w:firstLine="1440"/>
      </w:pPr>
    </w:p>
    <w:p w:rsidR="007B4DE2" w:rsidRPr="00DE5EB8" w:rsidRDefault="00B65DF5" w:rsidP="007B4DE2">
      <w:pPr>
        <w:tabs>
          <w:tab w:val="left" w:pos="2160"/>
        </w:tabs>
        <w:spacing w:line="360" w:lineRule="auto"/>
        <w:ind w:firstLine="1440"/>
      </w:pPr>
      <w:r>
        <w:t xml:space="preserve">On </w:t>
      </w:r>
      <w:r w:rsidR="00DB0B47">
        <w:t xml:space="preserve">November </w:t>
      </w:r>
      <w:r w:rsidR="009C46A2">
        <w:t>3, 201</w:t>
      </w:r>
      <w:r w:rsidR="003C534D">
        <w:t>5</w:t>
      </w:r>
      <w:r w:rsidR="00876E2A">
        <w:t>,</w:t>
      </w:r>
      <w:r w:rsidR="007B4DE2" w:rsidRPr="00DE5EB8">
        <w:t xml:space="preserve"> the </w:t>
      </w:r>
      <w:r w:rsidR="00DB0B47">
        <w:t>presiding officer</w:t>
      </w:r>
      <w:r w:rsidR="007B4DE2" w:rsidRPr="00DE5EB8">
        <w:t xml:space="preserve"> closed the hearing record by issuing the Interim Order Closing the Hearing Record.</w:t>
      </w:r>
    </w:p>
    <w:p w:rsidR="007B4DE2" w:rsidRPr="00DE5EB8" w:rsidRDefault="007B4DE2" w:rsidP="00EA1625">
      <w:pPr>
        <w:tabs>
          <w:tab w:val="left" w:pos="2160"/>
        </w:tabs>
        <w:spacing w:line="360" w:lineRule="auto"/>
        <w:jc w:val="center"/>
        <w:rPr>
          <w:u w:val="single"/>
        </w:rPr>
      </w:pPr>
    </w:p>
    <w:p w:rsidR="008E4FD6" w:rsidRPr="00DE5EB8" w:rsidRDefault="008E4FD6" w:rsidP="00EA1625">
      <w:pPr>
        <w:tabs>
          <w:tab w:val="left" w:pos="2160"/>
        </w:tabs>
        <w:spacing w:line="360" w:lineRule="auto"/>
        <w:jc w:val="center"/>
        <w:rPr>
          <w:u w:val="single"/>
        </w:rPr>
      </w:pPr>
      <w:r w:rsidRPr="00DE5EB8">
        <w:rPr>
          <w:u w:val="single"/>
        </w:rPr>
        <w:t xml:space="preserve">FINDINGS OF </w:t>
      </w:r>
      <w:smartTag w:uri="urn:schemas-microsoft-com:office:smarttags" w:element="stockticker">
        <w:r w:rsidRPr="00DE5EB8">
          <w:rPr>
            <w:u w:val="single"/>
          </w:rPr>
          <w:t>FACT</w:t>
        </w:r>
      </w:smartTag>
    </w:p>
    <w:p w:rsidR="008E4FD6" w:rsidRPr="00DE5EB8" w:rsidRDefault="008E4FD6" w:rsidP="00EA1625">
      <w:pPr>
        <w:tabs>
          <w:tab w:val="left" w:pos="2160"/>
        </w:tabs>
        <w:spacing w:line="360" w:lineRule="auto"/>
        <w:rPr>
          <w:u w:val="single"/>
        </w:rPr>
      </w:pPr>
    </w:p>
    <w:p w:rsidR="00DA66D7" w:rsidRPr="00DE5EB8" w:rsidRDefault="008E4FD6" w:rsidP="00EA1625">
      <w:pPr>
        <w:tabs>
          <w:tab w:val="left" w:pos="2160"/>
        </w:tabs>
        <w:spacing w:line="360" w:lineRule="auto"/>
        <w:ind w:firstLine="1440"/>
      </w:pPr>
      <w:r w:rsidRPr="00DE5EB8">
        <w:t>1.</w:t>
      </w:r>
      <w:r w:rsidRPr="00DE5EB8">
        <w:tab/>
      </w:r>
      <w:r w:rsidR="00027199">
        <w:t xml:space="preserve">Complainant </w:t>
      </w:r>
      <w:r w:rsidR="00ED4894">
        <w:t>has owned land since 1964 on which he operates</w:t>
      </w:r>
      <w:r w:rsidR="00027199">
        <w:t xml:space="preserve"> a business, American Biodiesel Energy (ABE).  </w:t>
      </w:r>
      <w:proofErr w:type="gramStart"/>
      <w:r w:rsidR="00027199">
        <w:t xml:space="preserve">(Tr. </w:t>
      </w:r>
      <w:r w:rsidR="00ED4894">
        <w:t>69, 70</w:t>
      </w:r>
      <w:r w:rsidR="00027199">
        <w:t>).</w:t>
      </w:r>
      <w:proofErr w:type="gramEnd"/>
    </w:p>
    <w:p w:rsidR="00607DB2" w:rsidRDefault="00607DB2" w:rsidP="00EA1625">
      <w:pPr>
        <w:tabs>
          <w:tab w:val="left" w:pos="2160"/>
        </w:tabs>
        <w:spacing w:line="360" w:lineRule="auto"/>
        <w:ind w:firstLine="1440"/>
      </w:pPr>
    </w:p>
    <w:p w:rsidR="00AF767F" w:rsidRPr="00DE5EB8" w:rsidRDefault="00FB71B0" w:rsidP="00EA1625">
      <w:pPr>
        <w:tabs>
          <w:tab w:val="left" w:pos="2160"/>
        </w:tabs>
        <w:spacing w:line="360" w:lineRule="auto"/>
        <w:ind w:firstLine="1440"/>
      </w:pPr>
      <w:r>
        <w:t>2</w:t>
      </w:r>
      <w:r w:rsidR="00776950">
        <w:t>.</w:t>
      </w:r>
      <w:r w:rsidR="00776950">
        <w:tab/>
      </w:r>
      <w:r w:rsidR="00027199">
        <w:t xml:space="preserve">NFG provides commercial natural gas service account to Complainant at ABE’s facilities located at </w:t>
      </w:r>
      <w:r w:rsidR="00ED4894">
        <w:t>4680 Iroquois Avenue, Erie, Pennsylvania</w:t>
      </w:r>
      <w:r w:rsidR="00027199">
        <w:t xml:space="preserve"> (service address).  </w:t>
      </w:r>
      <w:proofErr w:type="gramStart"/>
      <w:r w:rsidR="00027199">
        <w:t xml:space="preserve">(Tr. </w:t>
      </w:r>
      <w:r w:rsidR="00ED4894">
        <w:t>70</w:t>
      </w:r>
      <w:r w:rsidR="00027199">
        <w:t>).</w:t>
      </w:r>
      <w:proofErr w:type="gramEnd"/>
      <w:r w:rsidR="00027199">
        <w:t xml:space="preserve"> </w:t>
      </w:r>
    </w:p>
    <w:p w:rsidR="00D866E1" w:rsidRDefault="00D866E1" w:rsidP="009848F7">
      <w:pPr>
        <w:tabs>
          <w:tab w:val="left" w:pos="2160"/>
        </w:tabs>
        <w:spacing w:line="360" w:lineRule="auto"/>
        <w:ind w:firstLine="1440"/>
      </w:pPr>
    </w:p>
    <w:p w:rsidR="005352B0" w:rsidRDefault="00FB71B0" w:rsidP="009848F7">
      <w:pPr>
        <w:tabs>
          <w:tab w:val="left" w:pos="2160"/>
        </w:tabs>
        <w:spacing w:line="360" w:lineRule="auto"/>
        <w:ind w:firstLine="1440"/>
      </w:pPr>
      <w:r>
        <w:t>3</w:t>
      </w:r>
      <w:r w:rsidR="00D866E1">
        <w:t xml:space="preserve">. </w:t>
      </w:r>
      <w:r w:rsidR="00D866E1">
        <w:tab/>
      </w:r>
      <w:r w:rsidR="00CE0F8A">
        <w:t>During</w:t>
      </w:r>
      <w:r w:rsidR="00027199">
        <w:t xml:space="preserve"> </w:t>
      </w:r>
      <w:r w:rsidR="00986A79">
        <w:t xml:space="preserve">the </w:t>
      </w:r>
      <w:r w:rsidR="00CE0F8A">
        <w:t xml:space="preserve">early </w:t>
      </w:r>
      <w:r w:rsidR="00986A79">
        <w:t xml:space="preserve">evening </w:t>
      </w:r>
      <w:r w:rsidR="00CE0F8A">
        <w:t>hours on</w:t>
      </w:r>
      <w:r w:rsidR="00986A79">
        <w:t xml:space="preserve"> </w:t>
      </w:r>
      <w:r w:rsidR="00027199">
        <w:t xml:space="preserve">June 24, 2014, a microburst </w:t>
      </w:r>
      <w:r w:rsidR="00CE0F8A">
        <w:t xml:space="preserve">destroyed </w:t>
      </w:r>
      <w:r w:rsidR="00ED4894">
        <w:t>a</w:t>
      </w:r>
      <w:r w:rsidR="00CE0F8A">
        <w:t xml:space="preserve"> building located </w:t>
      </w:r>
      <w:r w:rsidR="00ED4894">
        <w:t xml:space="preserve">at the service address and </w:t>
      </w:r>
      <w:r w:rsidR="00CE0F8A">
        <w:t>adjacent to NFG’s gas meter</w:t>
      </w:r>
      <w:r w:rsidR="0026621C">
        <w:t xml:space="preserve"> (Meter #95047)</w:t>
      </w:r>
      <w:r w:rsidR="00027199">
        <w:t xml:space="preserve">.  (Tr. </w:t>
      </w:r>
      <w:r w:rsidR="00AE297B">
        <w:t xml:space="preserve">27, 37, </w:t>
      </w:r>
      <w:r w:rsidR="00027199">
        <w:t xml:space="preserve">48, </w:t>
      </w:r>
      <w:r w:rsidR="00ED4894">
        <w:t>70</w:t>
      </w:r>
      <w:r w:rsidR="00CE0F8A">
        <w:t>; Complainant Exhibit A1</w:t>
      </w:r>
      <w:r w:rsidR="00027199">
        <w:t xml:space="preserve">). </w:t>
      </w:r>
    </w:p>
    <w:p w:rsidR="001D7B3E" w:rsidRDefault="001D7B3E" w:rsidP="009848F7">
      <w:pPr>
        <w:tabs>
          <w:tab w:val="left" w:pos="2160"/>
        </w:tabs>
        <w:spacing w:line="360" w:lineRule="auto"/>
        <w:ind w:firstLine="1440"/>
      </w:pPr>
    </w:p>
    <w:p w:rsidR="00893976" w:rsidRPr="00DE5EB8" w:rsidRDefault="00893976" w:rsidP="009848F7">
      <w:pPr>
        <w:tabs>
          <w:tab w:val="left" w:pos="2160"/>
        </w:tabs>
        <w:spacing w:line="360" w:lineRule="auto"/>
        <w:ind w:firstLine="1440"/>
      </w:pPr>
      <w:r>
        <w:lastRenderedPageBreak/>
        <w:t xml:space="preserve">4. </w:t>
      </w:r>
      <w:r>
        <w:tab/>
      </w:r>
      <w:r w:rsidR="00027199">
        <w:t xml:space="preserve">When Complainant’s grandson, Chase </w:t>
      </w:r>
      <w:proofErr w:type="spellStart"/>
      <w:r w:rsidR="00027199">
        <w:t>Akerly</w:t>
      </w:r>
      <w:proofErr w:type="spellEnd"/>
      <w:r w:rsidR="00027199">
        <w:t xml:space="preserve">, arrived at the service address, he immediately noticed a strong natural gas smell and called Complainant to contact NFG about the gas leak.  </w:t>
      </w:r>
      <w:proofErr w:type="gramStart"/>
      <w:r w:rsidR="00027199">
        <w:t>(Tr. 48).</w:t>
      </w:r>
      <w:proofErr w:type="gramEnd"/>
    </w:p>
    <w:p w:rsidR="00027199" w:rsidRDefault="00027199" w:rsidP="00893976">
      <w:pPr>
        <w:tabs>
          <w:tab w:val="left" w:pos="2160"/>
        </w:tabs>
        <w:spacing w:line="360" w:lineRule="auto"/>
        <w:ind w:firstLine="1440"/>
      </w:pPr>
    </w:p>
    <w:p w:rsidR="00893976" w:rsidRDefault="00AD14FD" w:rsidP="00893976">
      <w:pPr>
        <w:tabs>
          <w:tab w:val="left" w:pos="2160"/>
        </w:tabs>
        <w:spacing w:line="360" w:lineRule="auto"/>
        <w:ind w:firstLine="1440"/>
      </w:pPr>
      <w:r>
        <w:t>5</w:t>
      </w:r>
      <w:r w:rsidR="00893976">
        <w:t>.</w:t>
      </w:r>
      <w:r w:rsidR="00893976">
        <w:tab/>
      </w:r>
      <w:r w:rsidR="00027199">
        <w:t xml:space="preserve">Before NFG personnel </w:t>
      </w:r>
      <w:r w:rsidR="00986A79">
        <w:t>arrived at</w:t>
      </w:r>
      <w:r w:rsidR="00027199">
        <w:t xml:space="preserve"> the service address</w:t>
      </w:r>
      <w:r w:rsidR="00986A79">
        <w:t xml:space="preserve"> on the evening of June 24, 2014</w:t>
      </w:r>
      <w:r w:rsidR="00027199">
        <w:t xml:space="preserve">, Chase </w:t>
      </w:r>
      <w:proofErr w:type="spellStart"/>
      <w:r w:rsidR="00027199">
        <w:t>Akerly</w:t>
      </w:r>
      <w:proofErr w:type="spellEnd"/>
      <w:r w:rsidR="00027199">
        <w:t xml:space="preserve"> </w:t>
      </w:r>
      <w:r w:rsidR="00495CF4">
        <w:t>capped the</w:t>
      </w:r>
      <w:r w:rsidR="00027199">
        <w:t xml:space="preserve"> natural gas </w:t>
      </w:r>
      <w:r w:rsidR="00495CF4">
        <w:t>pipeline</w:t>
      </w:r>
      <w:r w:rsidR="00027199">
        <w:t xml:space="preserve">.  </w:t>
      </w:r>
      <w:proofErr w:type="gramStart"/>
      <w:r w:rsidR="00027199">
        <w:t xml:space="preserve">(Tr. </w:t>
      </w:r>
      <w:r w:rsidR="00AE297B">
        <w:t xml:space="preserve">37, 38, </w:t>
      </w:r>
      <w:r w:rsidR="00027199">
        <w:t>48).</w:t>
      </w:r>
      <w:proofErr w:type="gramEnd"/>
    </w:p>
    <w:p w:rsidR="00986A79" w:rsidRDefault="00986A79" w:rsidP="00893976">
      <w:pPr>
        <w:tabs>
          <w:tab w:val="left" w:pos="2160"/>
        </w:tabs>
        <w:spacing w:line="360" w:lineRule="auto"/>
        <w:ind w:firstLine="1440"/>
      </w:pPr>
    </w:p>
    <w:p w:rsidR="00986A79" w:rsidRDefault="00986A79" w:rsidP="00893976">
      <w:pPr>
        <w:tabs>
          <w:tab w:val="left" w:pos="2160"/>
        </w:tabs>
        <w:spacing w:line="360" w:lineRule="auto"/>
        <w:ind w:firstLine="1440"/>
      </w:pPr>
      <w:r>
        <w:t xml:space="preserve">6. </w:t>
      </w:r>
      <w:r>
        <w:tab/>
      </w:r>
      <w:r w:rsidR="004A3942">
        <w:t xml:space="preserve">The microburst </w:t>
      </w:r>
      <w:r w:rsidR="00ED4894">
        <w:t xml:space="preserve">left the steel supports </w:t>
      </w:r>
      <w:r w:rsidR="00495CF4">
        <w:t xml:space="preserve">of the building </w:t>
      </w:r>
      <w:r w:rsidR="00ED4894">
        <w:t xml:space="preserve">intact but caused the walls to collapse in multiple directions, and </w:t>
      </w:r>
      <w:r w:rsidR="00CE0F8A">
        <w:t>destroy</w:t>
      </w:r>
      <w:r w:rsidR="00ED4894">
        <w:t>ed</w:t>
      </w:r>
      <w:r>
        <w:t xml:space="preserve"> </w:t>
      </w:r>
      <w:r w:rsidR="00AE297B">
        <w:t>the building</w:t>
      </w:r>
      <w:r w:rsidR="004A3942">
        <w:t xml:space="preserve"> wall</w:t>
      </w:r>
      <w:r w:rsidR="00AE297B">
        <w:t>, t</w:t>
      </w:r>
      <w:r w:rsidR="004A3942">
        <w:t>hrough</w:t>
      </w:r>
      <w:r w:rsidR="00AE297B">
        <w:t xml:space="preserve"> which </w:t>
      </w:r>
      <w:r w:rsidR="0026621C">
        <w:t xml:space="preserve">Meter #95047 </w:t>
      </w:r>
      <w:r>
        <w:t xml:space="preserve">was </w:t>
      </w:r>
      <w:r w:rsidR="00AE297B">
        <w:t>attached</w:t>
      </w:r>
      <w:r w:rsidR="00CE0F8A">
        <w:t>.</w:t>
      </w:r>
      <w:r>
        <w:t xml:space="preserve">  (Tr. 49, </w:t>
      </w:r>
      <w:r w:rsidR="004A3942">
        <w:t xml:space="preserve">54, </w:t>
      </w:r>
      <w:r w:rsidR="009C3370">
        <w:t xml:space="preserve">60, </w:t>
      </w:r>
      <w:r w:rsidR="00805B8A">
        <w:t xml:space="preserve">63, </w:t>
      </w:r>
      <w:r w:rsidR="00ED4894">
        <w:t>70</w:t>
      </w:r>
      <w:r w:rsidR="00DB37CF">
        <w:t>, 80</w:t>
      </w:r>
      <w:r w:rsidR="005F62EA">
        <w:t>, 88</w:t>
      </w:r>
      <w:r w:rsidR="00CE0F8A">
        <w:t>; Complainant Exhibit A1</w:t>
      </w:r>
      <w:r>
        <w:t>).</w:t>
      </w:r>
    </w:p>
    <w:p w:rsidR="00AE297B" w:rsidRDefault="00AE297B" w:rsidP="00893976">
      <w:pPr>
        <w:tabs>
          <w:tab w:val="left" w:pos="2160"/>
        </w:tabs>
        <w:spacing w:line="360" w:lineRule="auto"/>
        <w:ind w:firstLine="1440"/>
      </w:pPr>
    </w:p>
    <w:p w:rsidR="00AE297B" w:rsidRDefault="00AE297B" w:rsidP="00893976">
      <w:pPr>
        <w:tabs>
          <w:tab w:val="left" w:pos="2160"/>
        </w:tabs>
        <w:spacing w:line="360" w:lineRule="auto"/>
        <w:ind w:firstLine="1440"/>
      </w:pPr>
      <w:r>
        <w:t xml:space="preserve">7. </w:t>
      </w:r>
      <w:r>
        <w:tab/>
        <w:t xml:space="preserve">The building wall did not collapse on top of </w:t>
      </w:r>
      <w:r w:rsidR="0026621C">
        <w:t xml:space="preserve">Meter #95047 </w:t>
      </w:r>
      <w:r w:rsidR="00DB37CF">
        <w:t xml:space="preserve">or damage </w:t>
      </w:r>
      <w:r w:rsidR="0026621C">
        <w:t>Meter #95047</w:t>
      </w:r>
      <w:r w:rsidR="00DB37CF">
        <w:t xml:space="preserve"> on June 24, 2014</w:t>
      </w:r>
      <w:r w:rsidR="004A3942">
        <w:t xml:space="preserve">.  (Tr. 49, </w:t>
      </w:r>
      <w:r w:rsidR="00DC0F4A">
        <w:t xml:space="preserve">54, </w:t>
      </w:r>
      <w:r w:rsidR="00ED4894">
        <w:t>71, 73</w:t>
      </w:r>
      <w:r w:rsidR="00DB37CF">
        <w:t>, 79, 81</w:t>
      </w:r>
      <w:r w:rsidR="005F62EA">
        <w:t>, 83, 88</w:t>
      </w:r>
      <w:r w:rsidR="00CE0F8A">
        <w:t>; Complainant Exhibit E4</w:t>
      </w:r>
      <w:r w:rsidR="004A3942">
        <w:t>).</w:t>
      </w:r>
    </w:p>
    <w:p w:rsidR="004A3942" w:rsidRDefault="004A3942" w:rsidP="00893976">
      <w:pPr>
        <w:tabs>
          <w:tab w:val="left" w:pos="2160"/>
        </w:tabs>
        <w:spacing w:line="360" w:lineRule="auto"/>
        <w:ind w:firstLine="1440"/>
      </w:pPr>
    </w:p>
    <w:p w:rsidR="004A3942" w:rsidRDefault="004A3942" w:rsidP="00893976">
      <w:pPr>
        <w:tabs>
          <w:tab w:val="left" w:pos="2160"/>
        </w:tabs>
        <w:spacing w:line="360" w:lineRule="auto"/>
        <w:ind w:firstLine="1440"/>
      </w:pPr>
      <w:r>
        <w:t xml:space="preserve">8. </w:t>
      </w:r>
      <w:r>
        <w:tab/>
        <w:t xml:space="preserve">The force of the building wall </w:t>
      </w:r>
      <w:r w:rsidR="00CE0F8A">
        <w:t>collapse</w:t>
      </w:r>
      <w:r>
        <w:t xml:space="preserve"> </w:t>
      </w:r>
      <w:r w:rsidR="00CE0F8A">
        <w:t>caused</w:t>
      </w:r>
      <w:r>
        <w:t xml:space="preserve"> </w:t>
      </w:r>
      <w:r w:rsidR="0026621C">
        <w:t xml:space="preserve">Meter #95047 </w:t>
      </w:r>
      <w:r>
        <w:t xml:space="preserve">and </w:t>
      </w:r>
      <w:r w:rsidR="00EF3CBD">
        <w:t xml:space="preserve">the </w:t>
      </w:r>
      <w:r>
        <w:t xml:space="preserve">attached </w:t>
      </w:r>
      <w:r w:rsidR="00805B8A">
        <w:t xml:space="preserve">2-inch diameter steel inlet </w:t>
      </w:r>
      <w:r>
        <w:t xml:space="preserve">pipeline to </w:t>
      </w:r>
      <w:r w:rsidR="00805B8A">
        <w:t xml:space="preserve">break away at an adjacent steel connector and </w:t>
      </w:r>
      <w:r>
        <w:t>pull away from the building</w:t>
      </w:r>
      <w:r w:rsidR="00CE0F8A">
        <w:t xml:space="preserve">, leaving a </w:t>
      </w:r>
      <w:r w:rsidR="00DC0F4A">
        <w:t>U-shaped section of pipeline attached to the meter</w:t>
      </w:r>
      <w:r>
        <w:t xml:space="preserve">.  (Tr. 49, 50, </w:t>
      </w:r>
      <w:r w:rsidR="00805B8A">
        <w:t xml:space="preserve">61-63, </w:t>
      </w:r>
      <w:r w:rsidR="00DB37CF">
        <w:t>78</w:t>
      </w:r>
      <w:r w:rsidR="00CE0F8A">
        <w:t>; Complainant Exhibit E4</w:t>
      </w:r>
      <w:r>
        <w:t>).</w:t>
      </w:r>
    </w:p>
    <w:p w:rsidR="00FB71B0" w:rsidRDefault="00FB71B0" w:rsidP="00FB71B0">
      <w:pPr>
        <w:tabs>
          <w:tab w:val="left" w:pos="2160"/>
        </w:tabs>
        <w:spacing w:line="360" w:lineRule="auto"/>
        <w:ind w:firstLine="1440"/>
      </w:pPr>
    </w:p>
    <w:p w:rsidR="00FB71B0" w:rsidRDefault="004A3942" w:rsidP="00FB71B0">
      <w:pPr>
        <w:tabs>
          <w:tab w:val="left" w:pos="2160"/>
        </w:tabs>
        <w:spacing w:line="360" w:lineRule="auto"/>
        <w:ind w:firstLine="1440"/>
      </w:pPr>
      <w:r>
        <w:t>9</w:t>
      </w:r>
      <w:r w:rsidR="00FB71B0">
        <w:t>.</w:t>
      </w:r>
      <w:r w:rsidR="00FB71B0">
        <w:tab/>
      </w:r>
      <w:r w:rsidR="00986A79">
        <w:t xml:space="preserve">On June 24, 2014, NFG personnel were unable to find the shut-off valve </w:t>
      </w:r>
      <w:r w:rsidR="00DB37CF">
        <w:t>for</w:t>
      </w:r>
      <w:r w:rsidR="00986A79">
        <w:t xml:space="preserve"> the main pipeline and </w:t>
      </w:r>
      <w:r w:rsidR="009C3370">
        <w:t>decided</w:t>
      </w:r>
      <w:r w:rsidR="00986A79">
        <w:t xml:space="preserve"> to return in the daylight o</w:t>
      </w:r>
      <w:r w:rsidR="00FC17F8">
        <w:t>n June 25, 2014.  (Tr. 49, 50</w:t>
      </w:r>
      <w:r w:rsidR="00986A79">
        <w:t>).</w:t>
      </w:r>
    </w:p>
    <w:p w:rsidR="00FB71B0" w:rsidRDefault="00FB71B0" w:rsidP="00FB71B0">
      <w:pPr>
        <w:tabs>
          <w:tab w:val="left" w:pos="1440"/>
        </w:tabs>
        <w:spacing w:line="360" w:lineRule="auto"/>
        <w:rPr>
          <w:spacing w:val="-3"/>
        </w:rPr>
      </w:pPr>
    </w:p>
    <w:p w:rsidR="00FB71B0" w:rsidRDefault="00FB71B0" w:rsidP="00FB71B0">
      <w:pPr>
        <w:tabs>
          <w:tab w:val="left" w:pos="1440"/>
        </w:tabs>
        <w:spacing w:line="360" w:lineRule="auto"/>
        <w:rPr>
          <w:spacing w:val="-3"/>
        </w:rPr>
      </w:pPr>
      <w:r>
        <w:rPr>
          <w:spacing w:val="-3"/>
        </w:rPr>
        <w:tab/>
      </w:r>
      <w:r w:rsidR="004A3942">
        <w:rPr>
          <w:spacing w:val="-3"/>
        </w:rPr>
        <w:t>10</w:t>
      </w:r>
      <w:r>
        <w:rPr>
          <w:spacing w:val="-3"/>
        </w:rPr>
        <w:t>.</w:t>
      </w:r>
      <w:r>
        <w:rPr>
          <w:spacing w:val="-3"/>
        </w:rPr>
        <w:tab/>
      </w:r>
      <w:r w:rsidR="0026621C">
        <w:rPr>
          <w:spacing w:val="-3"/>
        </w:rPr>
        <w:t>On</w:t>
      </w:r>
      <w:r w:rsidR="00986A79">
        <w:rPr>
          <w:spacing w:val="-3"/>
        </w:rPr>
        <w:t xml:space="preserve"> June 25, 2014, NFG personnel dug </w:t>
      </w:r>
      <w:r w:rsidR="00ED4894">
        <w:rPr>
          <w:spacing w:val="-3"/>
        </w:rPr>
        <w:t>a deep hole</w:t>
      </w:r>
      <w:r w:rsidR="00986A79">
        <w:rPr>
          <w:spacing w:val="-3"/>
        </w:rPr>
        <w:t xml:space="preserve"> at the service address </w:t>
      </w:r>
      <w:r w:rsidR="0026621C">
        <w:rPr>
          <w:spacing w:val="-3"/>
        </w:rPr>
        <w:t>in order to</w:t>
      </w:r>
      <w:r w:rsidR="00986A79">
        <w:rPr>
          <w:spacing w:val="-3"/>
        </w:rPr>
        <w:t xml:space="preserve"> </w:t>
      </w:r>
      <w:r w:rsidR="00DB37CF">
        <w:rPr>
          <w:spacing w:val="-3"/>
        </w:rPr>
        <w:t>access the shut-off valve</w:t>
      </w:r>
      <w:r w:rsidR="0026621C">
        <w:rPr>
          <w:spacing w:val="-3"/>
        </w:rPr>
        <w:t>, which was shut off that day</w:t>
      </w:r>
      <w:r w:rsidR="00986A79">
        <w:rPr>
          <w:spacing w:val="-3"/>
        </w:rPr>
        <w:t xml:space="preserve">.  </w:t>
      </w:r>
      <w:proofErr w:type="gramStart"/>
      <w:r w:rsidR="00986A79">
        <w:rPr>
          <w:spacing w:val="-3"/>
        </w:rPr>
        <w:t xml:space="preserve">(Tr. 49, </w:t>
      </w:r>
      <w:r w:rsidR="00DB37CF">
        <w:rPr>
          <w:spacing w:val="-3"/>
        </w:rPr>
        <w:t>76</w:t>
      </w:r>
      <w:r w:rsidR="005F62EA">
        <w:rPr>
          <w:spacing w:val="-3"/>
        </w:rPr>
        <w:t>, 83</w:t>
      </w:r>
      <w:r w:rsidR="00E80AC2">
        <w:rPr>
          <w:spacing w:val="-3"/>
        </w:rPr>
        <w:t>, 99</w:t>
      </w:r>
      <w:r w:rsidR="00986A79">
        <w:rPr>
          <w:spacing w:val="-3"/>
        </w:rPr>
        <w:t>).</w:t>
      </w:r>
      <w:proofErr w:type="gramEnd"/>
    </w:p>
    <w:p w:rsidR="00FB71B0" w:rsidRPr="00DE5EB8" w:rsidRDefault="00FB71B0" w:rsidP="00FB71B0">
      <w:pPr>
        <w:tabs>
          <w:tab w:val="left" w:pos="2160"/>
        </w:tabs>
        <w:spacing w:line="360" w:lineRule="auto"/>
        <w:ind w:firstLine="1440"/>
      </w:pPr>
    </w:p>
    <w:p w:rsidR="00FB71B0" w:rsidRDefault="004A3942" w:rsidP="00FB71B0">
      <w:pPr>
        <w:tabs>
          <w:tab w:val="left" w:pos="2160"/>
        </w:tabs>
        <w:spacing w:line="360" w:lineRule="auto"/>
        <w:ind w:firstLine="1440"/>
      </w:pPr>
      <w:r>
        <w:t>11</w:t>
      </w:r>
      <w:r w:rsidR="00881EE8">
        <w:t>.</w:t>
      </w:r>
      <w:r w:rsidR="00881EE8">
        <w:tab/>
      </w:r>
      <w:r w:rsidR="00986A79">
        <w:t xml:space="preserve">To remove its </w:t>
      </w:r>
      <w:r w:rsidR="0026621C">
        <w:t xml:space="preserve">Meter #95047 </w:t>
      </w:r>
      <w:r w:rsidR="00986A79">
        <w:t>for inspection, NFG personnel used a</w:t>
      </w:r>
      <w:r w:rsidR="00DB37CF">
        <w:t>n excavator</w:t>
      </w:r>
      <w:r w:rsidR="00986A79">
        <w:t xml:space="preserve"> to drag </w:t>
      </w:r>
      <w:r w:rsidR="0026621C">
        <w:t>Meter #95047</w:t>
      </w:r>
      <w:r w:rsidR="00986A79">
        <w:t xml:space="preserve">, along with a section of </w:t>
      </w:r>
      <w:r w:rsidR="00CE0F8A">
        <w:t xml:space="preserve">U-shaped </w:t>
      </w:r>
      <w:r w:rsidR="00986A79">
        <w:t>pipeline, for 20 feet across a cement pad a</w:t>
      </w:r>
      <w:r w:rsidR="009C3370">
        <w:t>t the service address.  (Tr. 50-57,</w:t>
      </w:r>
      <w:r w:rsidR="00986A79">
        <w:t xml:space="preserve"> </w:t>
      </w:r>
      <w:r w:rsidR="00DB37CF">
        <w:t>76-78</w:t>
      </w:r>
      <w:r w:rsidR="005F62EA">
        <w:t>, 84</w:t>
      </w:r>
      <w:r w:rsidR="00FD58CA">
        <w:t>, 93</w:t>
      </w:r>
      <w:r w:rsidR="00CE0F8A">
        <w:t>; Complainant Exhibit E4</w:t>
      </w:r>
      <w:r w:rsidR="00986A79">
        <w:t>).</w:t>
      </w:r>
    </w:p>
    <w:p w:rsidR="00773ECD" w:rsidRDefault="00773ECD" w:rsidP="009848F7">
      <w:pPr>
        <w:tabs>
          <w:tab w:val="left" w:pos="2160"/>
        </w:tabs>
        <w:spacing w:line="360" w:lineRule="auto"/>
        <w:ind w:firstLine="1440"/>
      </w:pPr>
    </w:p>
    <w:p w:rsidR="00086D0E" w:rsidRPr="00DE5EB8" w:rsidRDefault="004A3942" w:rsidP="009848F7">
      <w:pPr>
        <w:tabs>
          <w:tab w:val="left" w:pos="2160"/>
        </w:tabs>
        <w:spacing w:line="360" w:lineRule="auto"/>
        <w:ind w:firstLine="1440"/>
      </w:pPr>
      <w:r>
        <w:lastRenderedPageBreak/>
        <w:t>12</w:t>
      </w:r>
      <w:r w:rsidR="00086D0E" w:rsidRPr="00DE5EB8">
        <w:t>.</w:t>
      </w:r>
      <w:r w:rsidR="00086D0E" w:rsidRPr="00DE5EB8">
        <w:tab/>
      </w:r>
      <w:r w:rsidR="00AE297B">
        <w:t>On June 25, 2014</w:t>
      </w:r>
      <w:r w:rsidR="00986A79">
        <w:t>, NFG personnel used its excavator to</w:t>
      </w:r>
      <w:r w:rsidR="00AE297B">
        <w:t xml:space="preserve"> </w:t>
      </w:r>
      <w:r w:rsidR="00DB37CF">
        <w:t xml:space="preserve">hit </w:t>
      </w:r>
      <w:r w:rsidR="0026621C">
        <w:t xml:space="preserve">Meter #95047 </w:t>
      </w:r>
      <w:r w:rsidR="00DB37CF">
        <w:t xml:space="preserve">forcefully </w:t>
      </w:r>
      <w:r w:rsidR="00AE297B">
        <w:t>up and down against the cement pad in an attempt to separate the gas meter from the section of attached pipe</w:t>
      </w:r>
      <w:r w:rsidR="009C3370">
        <w:t>line.  (Tr. 50-57</w:t>
      </w:r>
      <w:r w:rsidR="00DC0F4A">
        <w:t xml:space="preserve">, </w:t>
      </w:r>
      <w:r w:rsidR="00DB37CF">
        <w:t>77</w:t>
      </w:r>
      <w:r w:rsidR="005F62EA">
        <w:t>, 84</w:t>
      </w:r>
      <w:r w:rsidR="00CE0F8A">
        <w:t>; Complainant Exhibit D2</w:t>
      </w:r>
      <w:r w:rsidR="00AE297B">
        <w:t xml:space="preserve">). </w:t>
      </w:r>
    </w:p>
    <w:p w:rsidR="00FB71B0" w:rsidRDefault="00FB71B0" w:rsidP="00FB71B0">
      <w:pPr>
        <w:tabs>
          <w:tab w:val="left" w:pos="2160"/>
        </w:tabs>
        <w:spacing w:line="360" w:lineRule="auto"/>
        <w:ind w:firstLine="1440"/>
      </w:pPr>
    </w:p>
    <w:p w:rsidR="00FB71B0" w:rsidRDefault="00FB71B0" w:rsidP="00FB71B0">
      <w:pPr>
        <w:tabs>
          <w:tab w:val="left" w:pos="2160"/>
        </w:tabs>
        <w:spacing w:line="360" w:lineRule="auto"/>
        <w:ind w:firstLine="1440"/>
      </w:pPr>
      <w:r>
        <w:t>1</w:t>
      </w:r>
      <w:r w:rsidR="004A3942">
        <w:t>3</w:t>
      </w:r>
      <w:r>
        <w:t xml:space="preserve">. </w:t>
      </w:r>
      <w:r>
        <w:tab/>
      </w:r>
      <w:r w:rsidR="0026621C">
        <w:t xml:space="preserve">Meter #95047 </w:t>
      </w:r>
      <w:r w:rsidR="00AE297B">
        <w:t>was damaged</w:t>
      </w:r>
      <w:r w:rsidR="004A3942">
        <w:t xml:space="preserve"> </w:t>
      </w:r>
      <w:r w:rsidR="00495CF4">
        <w:t xml:space="preserve">before it left the service address </w:t>
      </w:r>
      <w:r w:rsidR="004A3942">
        <w:t xml:space="preserve">when NFG’s personnel used the excavator bucket and claw to slam </w:t>
      </w:r>
      <w:r w:rsidR="0026621C">
        <w:t>it</w:t>
      </w:r>
      <w:r w:rsidR="004A3942">
        <w:t xml:space="preserve"> against the cement pad in order to separate </w:t>
      </w:r>
      <w:r w:rsidR="0026621C">
        <w:t xml:space="preserve">Meter #95047 </w:t>
      </w:r>
      <w:r w:rsidR="004A3942">
        <w:t>from a section of attached pipeline</w:t>
      </w:r>
      <w:r w:rsidR="00AE297B">
        <w:t>.</w:t>
      </w:r>
      <w:r w:rsidR="00DC0F4A">
        <w:t xml:space="preserve">  (Tr. 50</w:t>
      </w:r>
      <w:r w:rsidR="009C3370">
        <w:t>-57</w:t>
      </w:r>
      <w:r w:rsidR="00DB37CF">
        <w:t>, 76-78</w:t>
      </w:r>
      <w:r w:rsidR="005F62EA">
        <w:t>, 84</w:t>
      </w:r>
      <w:r w:rsidR="00CE0F8A">
        <w:t>; Complainant Exhibit E2</w:t>
      </w:r>
      <w:r w:rsidR="004A3942">
        <w:t xml:space="preserve">). </w:t>
      </w:r>
      <w:r w:rsidR="00AE297B">
        <w:t xml:space="preserve">  </w:t>
      </w:r>
    </w:p>
    <w:p w:rsidR="00FB71B0" w:rsidRDefault="00FB71B0" w:rsidP="00FB71B0">
      <w:pPr>
        <w:tabs>
          <w:tab w:val="left" w:pos="2160"/>
        </w:tabs>
        <w:spacing w:line="360" w:lineRule="auto"/>
        <w:ind w:firstLine="1440"/>
      </w:pPr>
    </w:p>
    <w:p w:rsidR="00FB71B0" w:rsidRDefault="008853E5" w:rsidP="00FB71B0">
      <w:pPr>
        <w:tabs>
          <w:tab w:val="left" w:pos="2160"/>
        </w:tabs>
        <w:spacing w:line="360" w:lineRule="auto"/>
        <w:ind w:firstLine="1440"/>
      </w:pPr>
      <w:r>
        <w:t>1</w:t>
      </w:r>
      <w:r w:rsidR="004A3942">
        <w:t>4</w:t>
      </w:r>
      <w:r w:rsidR="00FB71B0">
        <w:t>.</w:t>
      </w:r>
      <w:r w:rsidR="00FB71B0">
        <w:tab/>
      </w:r>
      <w:r w:rsidR="00DC0F4A">
        <w:t>NFG’s personnel damaged Complainant’s cement pad on June 25, 2014.  (Tr. 54-56</w:t>
      </w:r>
      <w:r w:rsidR="00ED4894">
        <w:t>, 72</w:t>
      </w:r>
      <w:r w:rsidR="00DB37CF">
        <w:t>, 77</w:t>
      </w:r>
      <w:r w:rsidR="005F62EA">
        <w:t>, 84</w:t>
      </w:r>
      <w:r w:rsidR="00DC0F4A">
        <w:t>; Complainant Exhibits D1 and D2).</w:t>
      </w:r>
    </w:p>
    <w:p w:rsidR="00B7271E" w:rsidRDefault="00B7271E" w:rsidP="00FB71B0">
      <w:pPr>
        <w:tabs>
          <w:tab w:val="left" w:pos="2160"/>
        </w:tabs>
        <w:spacing w:line="360" w:lineRule="auto"/>
        <w:ind w:firstLine="1440"/>
      </w:pPr>
    </w:p>
    <w:p w:rsidR="00B7271E" w:rsidRPr="00DE5EB8" w:rsidRDefault="004A3942" w:rsidP="00B7271E">
      <w:pPr>
        <w:tabs>
          <w:tab w:val="left" w:pos="2160"/>
        </w:tabs>
        <w:spacing w:line="360" w:lineRule="auto"/>
        <w:ind w:firstLine="1440"/>
      </w:pPr>
      <w:r>
        <w:t>15</w:t>
      </w:r>
      <w:r w:rsidR="00B7271E" w:rsidRPr="00DE5EB8">
        <w:t>.</w:t>
      </w:r>
      <w:r w:rsidR="00B7271E" w:rsidRPr="00DE5EB8">
        <w:tab/>
      </w:r>
      <w:r w:rsidR="00E80AC2">
        <w:t>Sometime prior to September 5, 2014,</w:t>
      </w:r>
      <w:r w:rsidR="005F62EA">
        <w:t xml:space="preserve"> NFG </w:t>
      </w:r>
      <w:r w:rsidR="00E80AC2">
        <w:t xml:space="preserve">notified Complainant that Complainant would have to pay </w:t>
      </w:r>
      <w:r w:rsidR="005F62EA">
        <w:t xml:space="preserve">$4,554.80 </w:t>
      </w:r>
      <w:r w:rsidR="00E80AC2">
        <w:t>to cover</w:t>
      </w:r>
      <w:r w:rsidR="005F62EA">
        <w:t xml:space="preserve"> the cost of </w:t>
      </w:r>
      <w:r w:rsidR="0026621C">
        <w:t>replacing Meter #95047</w:t>
      </w:r>
      <w:r w:rsidR="005F62EA">
        <w:t xml:space="preserve"> and installing a new gas meter</w:t>
      </w:r>
      <w:r w:rsidR="00E80AC2">
        <w:t xml:space="preserve"> before NFG would resume natural gas service as the service address</w:t>
      </w:r>
      <w:r w:rsidR="005F62EA">
        <w:t xml:space="preserve">.  </w:t>
      </w:r>
      <w:proofErr w:type="gramStart"/>
      <w:r w:rsidR="005F62EA">
        <w:t>(Tr. 87</w:t>
      </w:r>
      <w:r w:rsidR="00FD58CA">
        <w:t>; Respondent Exhibit A</w:t>
      </w:r>
      <w:r w:rsidR="005F62EA">
        <w:t>).</w:t>
      </w:r>
      <w:proofErr w:type="gramEnd"/>
    </w:p>
    <w:p w:rsidR="00B7271E" w:rsidRPr="00DE5EB8" w:rsidRDefault="00B7271E" w:rsidP="00FB71B0">
      <w:pPr>
        <w:tabs>
          <w:tab w:val="left" w:pos="2160"/>
        </w:tabs>
        <w:spacing w:line="360" w:lineRule="auto"/>
        <w:ind w:firstLine="1440"/>
      </w:pPr>
    </w:p>
    <w:p w:rsidR="00056CC0" w:rsidRDefault="00056CC0" w:rsidP="009848F7">
      <w:pPr>
        <w:tabs>
          <w:tab w:val="left" w:pos="2160"/>
        </w:tabs>
        <w:spacing w:line="360" w:lineRule="auto"/>
        <w:ind w:firstLine="1440"/>
      </w:pPr>
      <w:r>
        <w:t>1</w:t>
      </w:r>
      <w:r w:rsidR="004A3942">
        <w:t>6</w:t>
      </w:r>
      <w:r>
        <w:t>.</w:t>
      </w:r>
      <w:r>
        <w:tab/>
      </w:r>
      <w:r w:rsidR="00FD58CA">
        <w:t xml:space="preserve">After removing </w:t>
      </w:r>
      <w:r w:rsidR="0026621C">
        <w:t>Meter #95047</w:t>
      </w:r>
      <w:r w:rsidR="00FD58CA">
        <w:t xml:space="preserve">, NFG sent </w:t>
      </w:r>
      <w:r w:rsidR="0026621C">
        <w:t>it</w:t>
      </w:r>
      <w:r w:rsidR="00FD58CA">
        <w:t>, along with a meter remov</w:t>
      </w:r>
      <w:r w:rsidR="00495CF4">
        <w:t>al</w:t>
      </w:r>
      <w:r w:rsidR="00FD58CA">
        <w:t xml:space="preserve"> guide, to a warehouse in Buffalo, New York, for testing.  </w:t>
      </w:r>
      <w:proofErr w:type="gramStart"/>
      <w:r w:rsidR="00FD58CA">
        <w:t>(Tr. 94; Respondent Exhibit D).</w:t>
      </w:r>
      <w:proofErr w:type="gramEnd"/>
    </w:p>
    <w:p w:rsidR="004A3942" w:rsidRDefault="004A3942" w:rsidP="009848F7">
      <w:pPr>
        <w:tabs>
          <w:tab w:val="left" w:pos="2160"/>
        </w:tabs>
        <w:spacing w:line="360" w:lineRule="auto"/>
        <w:ind w:firstLine="1440"/>
      </w:pPr>
    </w:p>
    <w:p w:rsidR="004A3942" w:rsidRDefault="004A3942" w:rsidP="009848F7">
      <w:pPr>
        <w:tabs>
          <w:tab w:val="left" w:pos="2160"/>
        </w:tabs>
        <w:spacing w:line="360" w:lineRule="auto"/>
        <w:ind w:firstLine="1440"/>
      </w:pPr>
      <w:r>
        <w:t xml:space="preserve">17. </w:t>
      </w:r>
      <w:r>
        <w:tab/>
      </w:r>
      <w:r w:rsidR="0026621C">
        <w:t xml:space="preserve">When NFG sent Meter #95047 for testing, </w:t>
      </w:r>
      <w:r w:rsidR="00EF3CBD">
        <w:t xml:space="preserve">the meter index was damaged and unable to provide a </w:t>
      </w:r>
      <w:r w:rsidR="0026621C">
        <w:t xml:space="preserve">final meter reading.  </w:t>
      </w:r>
      <w:proofErr w:type="gramStart"/>
      <w:r w:rsidR="0026621C">
        <w:t>(Tr. 95, 96; Respondent Exhibit D).</w:t>
      </w:r>
      <w:proofErr w:type="gramEnd"/>
    </w:p>
    <w:p w:rsidR="0026621C" w:rsidRDefault="0026621C" w:rsidP="009848F7">
      <w:pPr>
        <w:tabs>
          <w:tab w:val="left" w:pos="2160"/>
        </w:tabs>
        <w:spacing w:line="360" w:lineRule="auto"/>
        <w:ind w:firstLine="1440"/>
      </w:pPr>
    </w:p>
    <w:p w:rsidR="0026621C" w:rsidRDefault="0026621C" w:rsidP="009848F7">
      <w:pPr>
        <w:tabs>
          <w:tab w:val="left" w:pos="2160"/>
        </w:tabs>
        <w:spacing w:line="360" w:lineRule="auto"/>
        <w:ind w:firstLine="1440"/>
      </w:pPr>
      <w:r>
        <w:t xml:space="preserve">18. </w:t>
      </w:r>
      <w:r>
        <w:tab/>
        <w:t xml:space="preserve">On August 28, 2014, NFG </w:t>
      </w:r>
      <w:r w:rsidR="00495CF4">
        <w:t xml:space="preserve">decided to </w:t>
      </w:r>
      <w:r>
        <w:t xml:space="preserve">retire Meter #95047 from service.  </w:t>
      </w:r>
      <w:proofErr w:type="gramStart"/>
      <w:r>
        <w:t>(Tr. 98; Respondent Exhibit C).</w:t>
      </w:r>
      <w:proofErr w:type="gramEnd"/>
      <w:r>
        <w:t xml:space="preserve">  </w:t>
      </w:r>
    </w:p>
    <w:p w:rsidR="00E80AC2" w:rsidRDefault="00E80AC2" w:rsidP="009848F7">
      <w:pPr>
        <w:tabs>
          <w:tab w:val="left" w:pos="2160"/>
        </w:tabs>
        <w:spacing w:line="360" w:lineRule="auto"/>
        <w:ind w:firstLine="1440"/>
      </w:pPr>
    </w:p>
    <w:p w:rsidR="00E80AC2" w:rsidRDefault="00E80AC2" w:rsidP="009848F7">
      <w:pPr>
        <w:tabs>
          <w:tab w:val="left" w:pos="2160"/>
        </w:tabs>
        <w:spacing w:line="360" w:lineRule="auto"/>
        <w:ind w:firstLine="1440"/>
      </w:pPr>
      <w:r>
        <w:t xml:space="preserve">19. </w:t>
      </w:r>
      <w:r>
        <w:tab/>
        <w:t>On September 5, 2014, Complainant paid $4</w:t>
      </w:r>
      <w:r w:rsidR="00685ACA">
        <w:t>,</w:t>
      </w:r>
      <w:r>
        <w:t xml:space="preserve">554.80 to NFG.  </w:t>
      </w:r>
      <w:proofErr w:type="gramStart"/>
      <w:r>
        <w:t>(Tr. 100; Respondent Exhibit A).</w:t>
      </w:r>
      <w:proofErr w:type="gramEnd"/>
    </w:p>
    <w:p w:rsidR="00E80AC2" w:rsidRDefault="00E80AC2" w:rsidP="009848F7">
      <w:pPr>
        <w:tabs>
          <w:tab w:val="left" w:pos="2160"/>
        </w:tabs>
        <w:spacing w:line="360" w:lineRule="auto"/>
        <w:ind w:firstLine="1440"/>
      </w:pPr>
    </w:p>
    <w:p w:rsidR="00E80AC2" w:rsidRDefault="00E80AC2" w:rsidP="009848F7">
      <w:pPr>
        <w:tabs>
          <w:tab w:val="left" w:pos="2160"/>
        </w:tabs>
        <w:spacing w:line="360" w:lineRule="auto"/>
        <w:ind w:firstLine="1440"/>
      </w:pPr>
      <w:r>
        <w:t xml:space="preserve">20. </w:t>
      </w:r>
      <w:r>
        <w:tab/>
        <w:t xml:space="preserve">On September 5, 2014, NFG installed a new meter plus one foot of a </w:t>
      </w:r>
      <w:r w:rsidR="00685ACA">
        <w:t>two</w:t>
      </w:r>
      <w:r w:rsidR="00685ACA">
        <w:noBreakHyphen/>
      </w:r>
      <w:r>
        <w:t xml:space="preserve">inch service line at the service address.  </w:t>
      </w:r>
      <w:proofErr w:type="gramStart"/>
      <w:r>
        <w:t>(Tr. 100; Respondent Exhibit A)</w:t>
      </w:r>
      <w:r w:rsidR="00495CF4">
        <w:t>.</w:t>
      </w:r>
      <w:proofErr w:type="gramEnd"/>
    </w:p>
    <w:p w:rsidR="004A3942" w:rsidRDefault="00E15F71" w:rsidP="009848F7">
      <w:pPr>
        <w:tabs>
          <w:tab w:val="left" w:pos="2160"/>
        </w:tabs>
        <w:spacing w:line="360" w:lineRule="auto"/>
        <w:ind w:firstLine="1440"/>
      </w:pPr>
      <w:r>
        <w:lastRenderedPageBreak/>
        <w:t>21</w:t>
      </w:r>
      <w:r w:rsidR="004A3942">
        <w:t xml:space="preserve">. </w:t>
      </w:r>
      <w:r w:rsidR="004A3942">
        <w:tab/>
      </w:r>
      <w:r w:rsidR="0026621C">
        <w:t xml:space="preserve">On September 13, 2014, NFG’s meter shop determined Meter #95047 was damaged and could not be reused.  </w:t>
      </w:r>
      <w:proofErr w:type="gramStart"/>
      <w:r w:rsidR="0026621C">
        <w:t>(Tr. 97; Respondent Exhibit E).</w:t>
      </w:r>
      <w:proofErr w:type="gramEnd"/>
    </w:p>
    <w:p w:rsidR="004A3942" w:rsidRDefault="004A3942" w:rsidP="009848F7">
      <w:pPr>
        <w:tabs>
          <w:tab w:val="left" w:pos="2160"/>
        </w:tabs>
        <w:spacing w:line="360" w:lineRule="auto"/>
        <w:ind w:firstLine="1440"/>
      </w:pPr>
    </w:p>
    <w:p w:rsidR="004A3942" w:rsidRDefault="004A3942" w:rsidP="009848F7">
      <w:pPr>
        <w:tabs>
          <w:tab w:val="left" w:pos="2160"/>
        </w:tabs>
        <w:spacing w:line="360" w:lineRule="auto"/>
        <w:ind w:firstLine="1440"/>
      </w:pPr>
      <w:r>
        <w:t xml:space="preserve">22. </w:t>
      </w:r>
      <w:r>
        <w:tab/>
      </w:r>
      <w:r w:rsidR="006B611A">
        <w:t xml:space="preserve">The testimony of Chase </w:t>
      </w:r>
      <w:proofErr w:type="spellStart"/>
      <w:r w:rsidR="006B611A">
        <w:t>Akerly</w:t>
      </w:r>
      <w:proofErr w:type="spellEnd"/>
      <w:r w:rsidR="006B611A">
        <w:t xml:space="preserve"> was accepted as credible as his testimony related to the condition of Meter #95047 after the microburst on June 24, 2014 and the actions taken by Respondent’s personnel to remove Meter #95047 on June 25, 2014.</w:t>
      </w:r>
    </w:p>
    <w:p w:rsidR="004A3942" w:rsidRDefault="004A3942" w:rsidP="009848F7">
      <w:pPr>
        <w:tabs>
          <w:tab w:val="left" w:pos="2160"/>
        </w:tabs>
        <w:spacing w:line="360" w:lineRule="auto"/>
        <w:ind w:firstLine="1440"/>
      </w:pPr>
    </w:p>
    <w:p w:rsidR="004A3942" w:rsidRDefault="004A3942" w:rsidP="009848F7">
      <w:pPr>
        <w:tabs>
          <w:tab w:val="left" w:pos="2160"/>
        </w:tabs>
        <w:spacing w:line="360" w:lineRule="auto"/>
        <w:ind w:firstLine="1440"/>
      </w:pPr>
      <w:r>
        <w:t xml:space="preserve">23. </w:t>
      </w:r>
      <w:r>
        <w:tab/>
      </w:r>
      <w:r w:rsidR="006B611A">
        <w:t xml:space="preserve">The testimony of Leon </w:t>
      </w:r>
      <w:proofErr w:type="spellStart"/>
      <w:r w:rsidR="006B611A">
        <w:t>Akerly</w:t>
      </w:r>
      <w:proofErr w:type="spellEnd"/>
      <w:r w:rsidR="006B611A">
        <w:t xml:space="preserve"> was accepted as credible as his testimony related to the condition of Meter #95047 after the microburst on June 24, 2014 and the actions taken by Respondent’s personnel to remove Meter #95047 on June 25, 2014.</w:t>
      </w:r>
    </w:p>
    <w:p w:rsidR="004A3942" w:rsidRDefault="004A3942" w:rsidP="009848F7">
      <w:pPr>
        <w:tabs>
          <w:tab w:val="left" w:pos="2160"/>
        </w:tabs>
        <w:spacing w:line="360" w:lineRule="auto"/>
        <w:ind w:firstLine="1440"/>
      </w:pPr>
    </w:p>
    <w:p w:rsidR="004A3942" w:rsidRDefault="004A3942" w:rsidP="009848F7">
      <w:pPr>
        <w:tabs>
          <w:tab w:val="left" w:pos="2160"/>
        </w:tabs>
        <w:spacing w:line="360" w:lineRule="auto"/>
        <w:ind w:firstLine="1440"/>
      </w:pPr>
      <w:r>
        <w:t xml:space="preserve">24. </w:t>
      </w:r>
      <w:r>
        <w:tab/>
      </w:r>
      <w:r w:rsidR="006B611A">
        <w:t xml:space="preserve">The testimony of Mark </w:t>
      </w:r>
      <w:proofErr w:type="spellStart"/>
      <w:r w:rsidR="006B611A">
        <w:t>Bonamino</w:t>
      </w:r>
      <w:proofErr w:type="spellEnd"/>
      <w:r w:rsidR="006B611A">
        <w:t xml:space="preserve"> was accepted as credible as his testimony related to the condition of Meter #95047 after the microburst on June 24, 2014 and the actions taken by Respondent’s personnel to remove Meter #95047 on June 25, 2014.</w:t>
      </w:r>
    </w:p>
    <w:p w:rsidR="006B611A" w:rsidRDefault="006B611A" w:rsidP="009848F7">
      <w:pPr>
        <w:tabs>
          <w:tab w:val="left" w:pos="2160"/>
        </w:tabs>
        <w:spacing w:line="360" w:lineRule="auto"/>
        <w:ind w:firstLine="1440"/>
      </w:pPr>
    </w:p>
    <w:p w:rsidR="006B611A" w:rsidRDefault="006B611A" w:rsidP="009848F7">
      <w:pPr>
        <w:tabs>
          <w:tab w:val="left" w:pos="2160"/>
        </w:tabs>
        <w:spacing w:line="360" w:lineRule="auto"/>
        <w:ind w:firstLine="1440"/>
      </w:pPr>
      <w:r>
        <w:t xml:space="preserve">25. </w:t>
      </w:r>
      <w:r>
        <w:tab/>
        <w:t>The testimony of Michael Martinez was accepted as credible as his testimony related to the condition of Meter #95047 after the microburst on June 24, 2014 and the actions taken by Respondent’s personnel to remove Meter #95047 on June 25, 2014.</w:t>
      </w:r>
    </w:p>
    <w:p w:rsidR="00FC17F8" w:rsidRDefault="00FC17F8" w:rsidP="009848F7">
      <w:pPr>
        <w:tabs>
          <w:tab w:val="left" w:pos="2160"/>
        </w:tabs>
        <w:spacing w:line="360" w:lineRule="auto"/>
        <w:ind w:firstLine="1440"/>
      </w:pPr>
    </w:p>
    <w:p w:rsidR="00FC17F8" w:rsidRDefault="00FC17F8" w:rsidP="009848F7">
      <w:pPr>
        <w:tabs>
          <w:tab w:val="left" w:pos="2160"/>
        </w:tabs>
        <w:spacing w:line="360" w:lineRule="auto"/>
        <w:ind w:firstLine="1440"/>
      </w:pPr>
      <w:r>
        <w:t>2</w:t>
      </w:r>
      <w:r w:rsidR="00CC2DE2">
        <w:t>6</w:t>
      </w:r>
      <w:r>
        <w:t xml:space="preserve">. </w:t>
      </w:r>
      <w:r>
        <w:tab/>
        <w:t>The testimony of Andy McIntosh was not accepted as credible as his testimony related to the condition of Meter #95047 on June 25, 2014 and the actions taken by Respondent’s personnel to remove Meter #95047 on June 25, 2014.</w:t>
      </w:r>
    </w:p>
    <w:p w:rsidR="00FC17F8" w:rsidRDefault="00FC17F8" w:rsidP="009848F7">
      <w:pPr>
        <w:tabs>
          <w:tab w:val="left" w:pos="2160"/>
        </w:tabs>
        <w:spacing w:line="360" w:lineRule="auto"/>
        <w:ind w:firstLine="1440"/>
      </w:pPr>
    </w:p>
    <w:p w:rsidR="00FC17F8" w:rsidRDefault="00FC17F8" w:rsidP="009848F7">
      <w:pPr>
        <w:tabs>
          <w:tab w:val="left" w:pos="2160"/>
        </w:tabs>
        <w:spacing w:line="360" w:lineRule="auto"/>
        <w:ind w:firstLine="1440"/>
      </w:pPr>
      <w:r>
        <w:t>2</w:t>
      </w:r>
      <w:r w:rsidR="00CC2DE2">
        <w:t>7</w:t>
      </w:r>
      <w:r>
        <w:t xml:space="preserve">. </w:t>
      </w:r>
      <w:r>
        <w:tab/>
        <w:t xml:space="preserve">The testimony of Gary </w:t>
      </w:r>
      <w:proofErr w:type="spellStart"/>
      <w:r>
        <w:t>Grack</w:t>
      </w:r>
      <w:proofErr w:type="spellEnd"/>
      <w:r>
        <w:t xml:space="preserve"> was not accepted as credible as his testimony related to the condition of Meter #95047 on June 25, 2014 and the actions he took to remove Meter #95047 on June 25, 2014.</w:t>
      </w:r>
    </w:p>
    <w:p w:rsidR="00FC17F8" w:rsidRDefault="00FC17F8" w:rsidP="009848F7">
      <w:pPr>
        <w:tabs>
          <w:tab w:val="left" w:pos="2160"/>
        </w:tabs>
        <w:spacing w:line="360" w:lineRule="auto"/>
        <w:ind w:firstLine="1440"/>
      </w:pPr>
    </w:p>
    <w:p w:rsidR="00FC17F8" w:rsidRDefault="00FC17F8" w:rsidP="009848F7">
      <w:pPr>
        <w:tabs>
          <w:tab w:val="left" w:pos="2160"/>
        </w:tabs>
        <w:spacing w:line="360" w:lineRule="auto"/>
        <w:ind w:firstLine="1440"/>
      </w:pPr>
      <w:r>
        <w:t>2</w:t>
      </w:r>
      <w:r w:rsidR="00CC2DE2">
        <w:t>8</w:t>
      </w:r>
      <w:r>
        <w:t xml:space="preserve">. </w:t>
      </w:r>
      <w:r>
        <w:tab/>
        <w:t xml:space="preserve">The testimony of Kevin </w:t>
      </w:r>
      <w:proofErr w:type="spellStart"/>
      <w:r>
        <w:t>Dylewski</w:t>
      </w:r>
      <w:proofErr w:type="spellEnd"/>
      <w:r>
        <w:t xml:space="preserve"> was not accepted as credible as his testimony related to the condition of Meter #95047 on June 25, 2014 and the actions he took to remove Meter #95047 on June 25, 2014.</w:t>
      </w:r>
    </w:p>
    <w:p w:rsidR="004A3942" w:rsidRPr="00123A42" w:rsidRDefault="004A3942" w:rsidP="00B613EB">
      <w:pPr>
        <w:tabs>
          <w:tab w:val="left" w:pos="1440"/>
        </w:tabs>
        <w:spacing w:line="360" w:lineRule="auto"/>
        <w:rPr>
          <w:spacing w:val="-3"/>
        </w:rPr>
      </w:pPr>
    </w:p>
    <w:p w:rsidR="008E4FD6" w:rsidRPr="00123A42" w:rsidRDefault="008E4FD6" w:rsidP="00EA1625">
      <w:pPr>
        <w:tabs>
          <w:tab w:val="left" w:pos="2160"/>
        </w:tabs>
        <w:spacing w:line="360" w:lineRule="auto"/>
        <w:jc w:val="center"/>
        <w:rPr>
          <w:u w:val="single"/>
        </w:rPr>
      </w:pPr>
      <w:r w:rsidRPr="00123A42">
        <w:rPr>
          <w:u w:val="single"/>
        </w:rPr>
        <w:lastRenderedPageBreak/>
        <w:t>DISCUSSION</w:t>
      </w:r>
    </w:p>
    <w:p w:rsidR="008E4FD6" w:rsidRPr="00123A42" w:rsidRDefault="008E4FD6" w:rsidP="006E5FE7">
      <w:pPr>
        <w:tabs>
          <w:tab w:val="left" w:pos="2160"/>
        </w:tabs>
        <w:spacing w:line="360" w:lineRule="auto"/>
        <w:rPr>
          <w:u w:val="single"/>
        </w:rPr>
      </w:pPr>
    </w:p>
    <w:p w:rsidR="00437AE5" w:rsidRPr="00AD6FFB" w:rsidRDefault="000C736C" w:rsidP="00A25BF3">
      <w:pPr>
        <w:pStyle w:val="BodyText"/>
        <w:jc w:val="left"/>
        <w:rPr>
          <w:sz w:val="24"/>
          <w:szCs w:val="24"/>
        </w:rPr>
      </w:pPr>
      <w:r w:rsidRPr="00123A42">
        <w:rPr>
          <w:sz w:val="24"/>
          <w:szCs w:val="24"/>
        </w:rPr>
        <w:tab/>
      </w:r>
      <w:r w:rsidRPr="00123A42">
        <w:rPr>
          <w:sz w:val="24"/>
          <w:szCs w:val="24"/>
        </w:rPr>
        <w:tab/>
      </w:r>
      <w:r w:rsidR="001D7B3E" w:rsidRPr="00AD6FFB">
        <w:rPr>
          <w:sz w:val="24"/>
          <w:szCs w:val="24"/>
        </w:rPr>
        <w:t>Complainant alleges NFG’s personnel damaged its own natural gas meter when its personnel removed the meter on June 25, 2014.  Complainant contends NFG was in error to force him to pay $4,554.80, to cover the cost of a new replacement natural gas meter, as a pre-condition before NFG would install a meter and resume service to the service address.  Complainant asks the Commission to order NFG to repay him the sum of $4,554.80, which is the sum NFG required him to pay in order to have service resume at his business.</w:t>
      </w:r>
      <w:r w:rsidR="00C356D6" w:rsidRPr="00AD6FFB">
        <w:rPr>
          <w:sz w:val="24"/>
          <w:szCs w:val="24"/>
        </w:rPr>
        <w:t xml:space="preserve">  </w:t>
      </w:r>
      <w:r w:rsidR="005326CD" w:rsidRPr="00AD6FFB">
        <w:rPr>
          <w:sz w:val="24"/>
          <w:szCs w:val="24"/>
        </w:rPr>
        <w:t xml:space="preserve"> </w:t>
      </w:r>
      <w:r w:rsidR="00A727FE" w:rsidRPr="00AD6FFB">
        <w:rPr>
          <w:sz w:val="24"/>
          <w:szCs w:val="24"/>
        </w:rPr>
        <w:t xml:space="preserve"> </w:t>
      </w:r>
    </w:p>
    <w:p w:rsidR="00B66DDD" w:rsidRDefault="005C715B" w:rsidP="00A25BF3">
      <w:pPr>
        <w:pStyle w:val="BodyText"/>
        <w:jc w:val="left"/>
        <w:rPr>
          <w:sz w:val="24"/>
          <w:szCs w:val="24"/>
        </w:rPr>
      </w:pPr>
      <w:r w:rsidRPr="00123A42">
        <w:rPr>
          <w:sz w:val="24"/>
          <w:szCs w:val="24"/>
        </w:rPr>
        <w:t xml:space="preserve"> </w:t>
      </w:r>
    </w:p>
    <w:p w:rsidR="00A25BF3" w:rsidRDefault="00A25BF3" w:rsidP="00A25BF3">
      <w:pPr>
        <w:pStyle w:val="BodyText"/>
        <w:jc w:val="left"/>
        <w:rPr>
          <w:sz w:val="24"/>
          <w:szCs w:val="24"/>
        </w:rPr>
      </w:pPr>
      <w:r w:rsidRPr="00CF7FBE">
        <w:rPr>
          <w:sz w:val="24"/>
          <w:szCs w:val="24"/>
          <w:u w:val="single"/>
        </w:rPr>
        <w:t>Responsibility of Public Utilit</w:t>
      </w:r>
      <w:r w:rsidRPr="00016979">
        <w:rPr>
          <w:sz w:val="24"/>
          <w:szCs w:val="24"/>
          <w:u w:val="single"/>
        </w:rPr>
        <w:t>y</w:t>
      </w:r>
    </w:p>
    <w:p w:rsidR="00A25BF3" w:rsidRPr="008B455C" w:rsidRDefault="00A25BF3" w:rsidP="00A25BF3">
      <w:pPr>
        <w:pStyle w:val="BodyText"/>
        <w:jc w:val="left"/>
        <w:rPr>
          <w:sz w:val="24"/>
          <w:szCs w:val="24"/>
        </w:rPr>
      </w:pPr>
    </w:p>
    <w:p w:rsidR="00A25BF3" w:rsidRDefault="00A25BF3" w:rsidP="00CC2DE2">
      <w:pPr>
        <w:pStyle w:val="BodyText"/>
        <w:spacing w:line="240" w:lineRule="auto"/>
        <w:ind w:left="1440" w:right="720"/>
        <w:jc w:val="left"/>
        <w:rPr>
          <w:sz w:val="24"/>
          <w:szCs w:val="24"/>
        </w:rPr>
      </w:pPr>
      <w:r>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  66 </w:t>
      </w:r>
      <w:proofErr w:type="spellStart"/>
      <w:r>
        <w:rPr>
          <w:sz w:val="24"/>
          <w:szCs w:val="24"/>
        </w:rPr>
        <w:t>Pa.C.S.A</w:t>
      </w:r>
      <w:proofErr w:type="spellEnd"/>
      <w:r>
        <w:rPr>
          <w:sz w:val="24"/>
          <w:szCs w:val="24"/>
        </w:rPr>
        <w:t>. §</w:t>
      </w:r>
      <w:r w:rsidR="00E82382">
        <w:rPr>
          <w:sz w:val="24"/>
          <w:szCs w:val="24"/>
        </w:rPr>
        <w:t xml:space="preserve"> </w:t>
      </w:r>
      <w:r>
        <w:rPr>
          <w:sz w:val="24"/>
          <w:szCs w:val="24"/>
        </w:rPr>
        <w:t>1501.</w:t>
      </w:r>
    </w:p>
    <w:p w:rsidR="00A25BF3" w:rsidRDefault="00A25BF3" w:rsidP="00A25BF3">
      <w:pPr>
        <w:pStyle w:val="BodyText"/>
        <w:jc w:val="left"/>
        <w:rPr>
          <w:sz w:val="24"/>
          <w:szCs w:val="24"/>
          <w:u w:val="single"/>
        </w:rPr>
      </w:pPr>
    </w:p>
    <w:p w:rsidR="00AE282B" w:rsidRDefault="00A434B1" w:rsidP="00A434B1">
      <w:pPr>
        <w:pStyle w:val="BodyText"/>
        <w:ind w:firstLine="1440"/>
        <w:jc w:val="left"/>
        <w:rPr>
          <w:sz w:val="24"/>
          <w:szCs w:val="24"/>
        </w:rPr>
      </w:pPr>
      <w:r>
        <w:rPr>
          <w:sz w:val="24"/>
          <w:szCs w:val="24"/>
        </w:rPr>
        <w:t>T</w:t>
      </w:r>
      <w:r w:rsidRPr="00BF51E4">
        <w:rPr>
          <w:sz w:val="24"/>
          <w:szCs w:val="24"/>
        </w:rPr>
        <w:t xml:space="preserve">he Commission </w:t>
      </w:r>
      <w:r>
        <w:rPr>
          <w:sz w:val="24"/>
          <w:szCs w:val="24"/>
        </w:rPr>
        <w:t>has</w:t>
      </w:r>
      <w:r w:rsidRPr="00BF51E4">
        <w:rPr>
          <w:sz w:val="24"/>
          <w:szCs w:val="24"/>
        </w:rPr>
        <w:t xml:space="preserve"> the authority and responsibility to define reasonable service</w:t>
      </w:r>
      <w:r>
        <w:rPr>
          <w:sz w:val="24"/>
          <w:szCs w:val="24"/>
        </w:rPr>
        <w:t xml:space="preserve"> under </w:t>
      </w:r>
      <w:r w:rsidRPr="00BF51E4">
        <w:rPr>
          <w:sz w:val="24"/>
          <w:szCs w:val="24"/>
        </w:rPr>
        <w:t xml:space="preserve">66 </w:t>
      </w:r>
      <w:proofErr w:type="spellStart"/>
      <w:r w:rsidRPr="00BF51E4">
        <w:rPr>
          <w:sz w:val="24"/>
          <w:szCs w:val="24"/>
        </w:rPr>
        <w:t>Pa.C.S.</w:t>
      </w:r>
      <w:r>
        <w:rPr>
          <w:sz w:val="24"/>
          <w:szCs w:val="24"/>
        </w:rPr>
        <w:t>A</w:t>
      </w:r>
      <w:proofErr w:type="spellEnd"/>
      <w:r>
        <w:rPr>
          <w:sz w:val="24"/>
          <w:szCs w:val="24"/>
        </w:rPr>
        <w:t>.</w:t>
      </w:r>
      <w:r w:rsidRPr="00BF51E4">
        <w:rPr>
          <w:sz w:val="24"/>
          <w:szCs w:val="24"/>
        </w:rPr>
        <w:t xml:space="preserve"> §</w:t>
      </w:r>
      <w:r>
        <w:rPr>
          <w:sz w:val="24"/>
          <w:szCs w:val="24"/>
        </w:rPr>
        <w:t xml:space="preserve"> </w:t>
      </w:r>
      <w:r w:rsidRPr="00BF51E4">
        <w:rPr>
          <w:sz w:val="24"/>
          <w:szCs w:val="24"/>
        </w:rPr>
        <w:t>1501</w:t>
      </w:r>
      <w:r>
        <w:rPr>
          <w:sz w:val="24"/>
          <w:szCs w:val="24"/>
        </w:rPr>
        <w:t xml:space="preserve"> and § 1502.  </w:t>
      </w:r>
      <w:r w:rsidRPr="006E0E7F">
        <w:rPr>
          <w:sz w:val="24"/>
          <w:szCs w:val="24"/>
        </w:rPr>
        <w:t>The Commission has exclusive jurisdiction to determine the reasonableness, adequacy and sufficiency of a public utility’s services and facilities.</w:t>
      </w:r>
      <w:r>
        <w:rPr>
          <w:rStyle w:val="FootnoteReference"/>
          <w:sz w:val="24"/>
          <w:szCs w:val="24"/>
        </w:rPr>
        <w:footnoteReference w:id="1"/>
      </w:r>
      <w:r w:rsidRPr="006E0E7F">
        <w:rPr>
          <w:sz w:val="24"/>
          <w:szCs w:val="24"/>
        </w:rPr>
        <w:t xml:space="preserve">  The </w:t>
      </w:r>
    </w:p>
    <w:p w:rsidR="00A434B1" w:rsidRDefault="00A434B1" w:rsidP="00AE282B">
      <w:pPr>
        <w:pStyle w:val="BodyText"/>
        <w:jc w:val="left"/>
        <w:rPr>
          <w:sz w:val="24"/>
          <w:szCs w:val="24"/>
        </w:rPr>
      </w:pPr>
      <w:r w:rsidRPr="006E0E7F">
        <w:rPr>
          <w:sz w:val="24"/>
          <w:szCs w:val="24"/>
        </w:rPr>
        <w:t xml:space="preserve">term “service” </w:t>
      </w:r>
      <w:r>
        <w:rPr>
          <w:sz w:val="24"/>
          <w:szCs w:val="24"/>
        </w:rPr>
        <w:t>should be</w:t>
      </w:r>
      <w:r w:rsidRPr="006E0E7F">
        <w:rPr>
          <w:sz w:val="24"/>
          <w:szCs w:val="24"/>
        </w:rPr>
        <w:t xml:space="preserve"> “used in its broadest and most inclusive sense, including any and all acts done, rendered, or performed, and any and all things furnished or supplied…by public utilities…in the performance of their duties under the Public Utility Code</w:t>
      </w:r>
      <w:r>
        <w:rPr>
          <w:sz w:val="24"/>
          <w:szCs w:val="24"/>
        </w:rPr>
        <w:t>.</w:t>
      </w:r>
      <w:r w:rsidRPr="006E0E7F">
        <w:rPr>
          <w:sz w:val="24"/>
          <w:szCs w:val="24"/>
        </w:rPr>
        <w:t>…”</w:t>
      </w:r>
      <w:r>
        <w:rPr>
          <w:rStyle w:val="FootnoteReference"/>
          <w:sz w:val="24"/>
          <w:szCs w:val="24"/>
        </w:rPr>
        <w:footnoteReference w:id="2"/>
      </w:r>
      <w:r w:rsidRPr="006E0E7F">
        <w:rPr>
          <w:sz w:val="24"/>
          <w:szCs w:val="24"/>
        </w:rPr>
        <w:t xml:space="preserve">  </w:t>
      </w:r>
    </w:p>
    <w:p w:rsidR="008853E5" w:rsidRDefault="008853E5">
      <w:pPr>
        <w:rPr>
          <w:u w:val="single"/>
        </w:rPr>
      </w:pPr>
    </w:p>
    <w:p w:rsidR="002F178D" w:rsidRDefault="002F178D" w:rsidP="00A25BF3">
      <w:pPr>
        <w:pStyle w:val="BodyText"/>
        <w:jc w:val="left"/>
        <w:rPr>
          <w:sz w:val="24"/>
          <w:szCs w:val="24"/>
          <w:u w:val="single"/>
        </w:rPr>
      </w:pPr>
    </w:p>
    <w:p w:rsidR="002F178D" w:rsidRDefault="002F178D" w:rsidP="00A25BF3">
      <w:pPr>
        <w:pStyle w:val="BodyText"/>
        <w:jc w:val="left"/>
        <w:rPr>
          <w:sz w:val="24"/>
          <w:szCs w:val="24"/>
          <w:u w:val="single"/>
        </w:rPr>
      </w:pPr>
    </w:p>
    <w:p w:rsidR="00A25BF3" w:rsidRPr="00CF7FBE" w:rsidRDefault="00A25BF3" w:rsidP="00A25BF3">
      <w:pPr>
        <w:pStyle w:val="BodyText"/>
        <w:jc w:val="left"/>
        <w:rPr>
          <w:sz w:val="24"/>
          <w:szCs w:val="24"/>
          <w:u w:val="single"/>
        </w:rPr>
      </w:pPr>
      <w:r w:rsidRPr="00CF7FBE">
        <w:rPr>
          <w:sz w:val="24"/>
          <w:szCs w:val="24"/>
          <w:u w:val="single"/>
        </w:rPr>
        <w:lastRenderedPageBreak/>
        <w:t>Burden of Proof</w:t>
      </w:r>
    </w:p>
    <w:p w:rsidR="00A25BF3" w:rsidRDefault="00A25BF3" w:rsidP="00A25BF3">
      <w:pPr>
        <w:pStyle w:val="BodyText"/>
        <w:jc w:val="left"/>
        <w:rPr>
          <w:sz w:val="24"/>
          <w:szCs w:val="24"/>
        </w:rPr>
      </w:pPr>
    </w:p>
    <w:p w:rsidR="00A25BF3" w:rsidRDefault="00A25BF3" w:rsidP="00A25BF3">
      <w:pPr>
        <w:spacing w:line="360" w:lineRule="auto"/>
        <w:ind w:firstLine="1440"/>
      </w:pPr>
      <w:r w:rsidRPr="004E7308">
        <w:t>As the party seeking affirmative relief from the Commission, Complainant</w:t>
      </w:r>
      <w:r>
        <w:t xml:space="preserve"> bears</w:t>
      </w:r>
      <w:r w:rsidRPr="004E7308">
        <w:t xml:space="preserve"> the burden of proof</w:t>
      </w:r>
      <w:r>
        <w:t xml:space="preserve"> by substantial evidence</w:t>
      </w:r>
      <w:r w:rsidR="00D91826">
        <w:t xml:space="preserve">.  66 </w:t>
      </w:r>
      <w:proofErr w:type="spellStart"/>
      <w:r w:rsidR="00D91826">
        <w:t>Pa.</w:t>
      </w:r>
      <w:r w:rsidRPr="004E7308">
        <w:t>C.S.</w:t>
      </w:r>
      <w:r>
        <w:t>A</w:t>
      </w:r>
      <w:proofErr w:type="spellEnd"/>
      <w:r>
        <w:t>.</w:t>
      </w:r>
      <w:r w:rsidRPr="004E7308">
        <w:t xml:space="preserve"> §</w:t>
      </w:r>
      <w:r w:rsidR="00D91826">
        <w:t xml:space="preserve"> </w:t>
      </w:r>
      <w:r w:rsidRPr="004E7308">
        <w:t>332(a).</w:t>
      </w:r>
      <w:r>
        <w:t xml:space="preserve">  </w:t>
      </w:r>
      <w:r w:rsidRPr="006E5FE7">
        <w:t>Substantial evidence is defined as such evidence that a reasonable mind might accept as adequate to support a conclusion.  More is required than a mere trace of evidence or a suspicion of the existence of a fact sought to be established.</w:t>
      </w:r>
      <w:r>
        <w:rPr>
          <w:rStyle w:val="FootnoteReference"/>
        </w:rPr>
        <w:footnoteReference w:id="3"/>
      </w:r>
      <w:r w:rsidRPr="006E5FE7">
        <w:t xml:space="preserve">  </w:t>
      </w:r>
    </w:p>
    <w:p w:rsidR="002933CE" w:rsidRDefault="002933CE" w:rsidP="00A25BF3">
      <w:pPr>
        <w:spacing w:line="360" w:lineRule="auto"/>
        <w:ind w:firstLine="1440"/>
      </w:pPr>
    </w:p>
    <w:p w:rsidR="00A25BF3" w:rsidRPr="00BF51E4" w:rsidRDefault="00A25BF3" w:rsidP="00A25BF3">
      <w:pPr>
        <w:pStyle w:val="BodyText"/>
        <w:ind w:firstLine="1440"/>
        <w:jc w:val="left"/>
        <w:rPr>
          <w:sz w:val="24"/>
          <w:szCs w:val="24"/>
        </w:rPr>
      </w:pPr>
      <w:r>
        <w:rPr>
          <w:sz w:val="24"/>
          <w:szCs w:val="24"/>
        </w:rPr>
        <w:t xml:space="preserve">Upon a complainant’s presentation of evidence sufficient to satisfy initially the burden of proof, the burden of going forward with the evidence, sometimes called the burden of persuasion, </w:t>
      </w:r>
      <w:r w:rsidR="002F178D">
        <w:rPr>
          <w:sz w:val="24"/>
          <w:szCs w:val="24"/>
        </w:rPr>
        <w:t xml:space="preserve">may shift to the public utility and require it </w:t>
      </w:r>
      <w:r>
        <w:rPr>
          <w:sz w:val="24"/>
          <w:szCs w:val="24"/>
        </w:rPr>
        <w:t>to rebut the evidence of the c</w:t>
      </w:r>
      <w:r w:rsidR="002F178D">
        <w:rPr>
          <w:sz w:val="24"/>
          <w:szCs w:val="24"/>
        </w:rPr>
        <w:t xml:space="preserve">omplainant. </w:t>
      </w:r>
      <w:r>
        <w:rPr>
          <w:sz w:val="24"/>
          <w:szCs w:val="24"/>
        </w:rPr>
        <w:t xml:space="preserve"> If the evidence presented by </w:t>
      </w:r>
      <w:r w:rsidR="00484830">
        <w:rPr>
          <w:sz w:val="24"/>
          <w:szCs w:val="24"/>
        </w:rPr>
        <w:t xml:space="preserve">the public utility </w:t>
      </w:r>
      <w:r>
        <w:rPr>
          <w:sz w:val="24"/>
          <w:szCs w:val="24"/>
        </w:rPr>
        <w:t>is of co-equal value or weight, the burden of proof has not been satisfied by th</w:t>
      </w:r>
      <w:r w:rsidR="00484830">
        <w:rPr>
          <w:sz w:val="24"/>
          <w:szCs w:val="24"/>
        </w:rPr>
        <w:t>at</w:t>
      </w:r>
      <w:r>
        <w:rPr>
          <w:sz w:val="24"/>
          <w:szCs w:val="24"/>
        </w:rPr>
        <w:t xml:space="preserve"> complainant.  A complainant still must provide additional evidence to rebut the contrary evidence presented by </w:t>
      </w:r>
      <w:r w:rsidR="00484830">
        <w:rPr>
          <w:sz w:val="24"/>
          <w:szCs w:val="24"/>
        </w:rPr>
        <w:t>the public utility</w:t>
      </w:r>
      <w:r>
        <w:rPr>
          <w:sz w:val="24"/>
          <w:szCs w:val="24"/>
        </w:rPr>
        <w:t>.</w:t>
      </w:r>
      <w:r>
        <w:rPr>
          <w:rStyle w:val="FootnoteReference"/>
          <w:sz w:val="24"/>
          <w:szCs w:val="24"/>
        </w:rPr>
        <w:footnoteReference w:id="4"/>
      </w:r>
      <w:r>
        <w:rPr>
          <w:sz w:val="24"/>
          <w:szCs w:val="24"/>
        </w:rPr>
        <w:t xml:space="preserve">  </w:t>
      </w:r>
    </w:p>
    <w:p w:rsidR="00A25BF3" w:rsidRDefault="00A25BF3" w:rsidP="00F02920">
      <w:pPr>
        <w:pStyle w:val="BodyText"/>
        <w:jc w:val="left"/>
        <w:rPr>
          <w:sz w:val="24"/>
          <w:szCs w:val="24"/>
        </w:rPr>
      </w:pPr>
    </w:p>
    <w:p w:rsidR="00F02920" w:rsidRPr="00F02920" w:rsidRDefault="00F02920" w:rsidP="00F02920">
      <w:pPr>
        <w:pStyle w:val="BodyText"/>
        <w:jc w:val="left"/>
        <w:rPr>
          <w:sz w:val="24"/>
          <w:szCs w:val="24"/>
          <w:u w:val="single"/>
        </w:rPr>
      </w:pPr>
      <w:r w:rsidRPr="00F02920">
        <w:rPr>
          <w:sz w:val="24"/>
          <w:szCs w:val="24"/>
          <w:u w:val="single"/>
        </w:rPr>
        <w:t>Complainant’s Position</w:t>
      </w:r>
    </w:p>
    <w:p w:rsidR="00F02920" w:rsidRDefault="00F02920" w:rsidP="00F02920">
      <w:pPr>
        <w:pStyle w:val="BodyText"/>
        <w:jc w:val="left"/>
        <w:rPr>
          <w:sz w:val="24"/>
          <w:szCs w:val="24"/>
        </w:rPr>
      </w:pPr>
      <w:r>
        <w:rPr>
          <w:sz w:val="24"/>
          <w:szCs w:val="24"/>
        </w:rPr>
        <w:tab/>
      </w:r>
    </w:p>
    <w:p w:rsidR="00F02920" w:rsidRDefault="00F02920" w:rsidP="00F02920">
      <w:pPr>
        <w:pStyle w:val="BodyText"/>
        <w:jc w:val="left"/>
        <w:rPr>
          <w:sz w:val="24"/>
          <w:szCs w:val="24"/>
        </w:rPr>
      </w:pPr>
      <w:r>
        <w:rPr>
          <w:sz w:val="24"/>
          <w:szCs w:val="24"/>
        </w:rPr>
        <w:tab/>
      </w:r>
      <w:r>
        <w:rPr>
          <w:sz w:val="24"/>
          <w:szCs w:val="24"/>
        </w:rPr>
        <w:tab/>
        <w:t>Complainant</w:t>
      </w:r>
      <w:r w:rsidR="00FC17F8">
        <w:rPr>
          <w:sz w:val="24"/>
          <w:szCs w:val="24"/>
        </w:rPr>
        <w:t xml:space="preserve"> contends NFG’s gas meter (Meter #95047) was not damaged as a result of the microburst hitting the building at his business on June 24, 2014.  Complainant avers the gas meter was damaged as a direct result of the actions of Respondent’s personnel who pounded the meter against the cement pad at the service address in an attempt to remove the meter from the attached input pipeline.  Complainant argues NFG was in error to require and demand that he pay $4,554.80 before NFG would resume natural gas service in September 2014 in order to pay for the costs of a new gas meter and to have NFG return to the service address to install the new meter.  Complainant requests the Commission order NFG to refund the money he paid to NFG ($4,554.80) in September 2014.</w:t>
      </w:r>
    </w:p>
    <w:p w:rsidR="00F02920" w:rsidRDefault="00F02920" w:rsidP="00F02920">
      <w:pPr>
        <w:pStyle w:val="BodyText"/>
        <w:jc w:val="left"/>
        <w:rPr>
          <w:sz w:val="24"/>
          <w:szCs w:val="24"/>
        </w:rPr>
      </w:pPr>
    </w:p>
    <w:p w:rsidR="00F02920" w:rsidRPr="00F02920" w:rsidRDefault="00F02920" w:rsidP="00F02920">
      <w:pPr>
        <w:pStyle w:val="BodyText"/>
        <w:jc w:val="left"/>
        <w:rPr>
          <w:sz w:val="24"/>
          <w:szCs w:val="24"/>
          <w:u w:val="single"/>
        </w:rPr>
      </w:pPr>
      <w:r w:rsidRPr="00F02920">
        <w:rPr>
          <w:sz w:val="24"/>
          <w:szCs w:val="24"/>
          <w:u w:val="single"/>
        </w:rPr>
        <w:lastRenderedPageBreak/>
        <w:t>Respondent’s Position</w:t>
      </w:r>
    </w:p>
    <w:p w:rsidR="00F02920" w:rsidRDefault="00F02920" w:rsidP="00F02920">
      <w:pPr>
        <w:pStyle w:val="BodyText"/>
        <w:jc w:val="left"/>
        <w:rPr>
          <w:sz w:val="24"/>
          <w:szCs w:val="24"/>
        </w:rPr>
      </w:pPr>
    </w:p>
    <w:p w:rsidR="00916F4D" w:rsidRDefault="00916F4D" w:rsidP="00F02920">
      <w:pPr>
        <w:pStyle w:val="BodyText"/>
        <w:jc w:val="left"/>
        <w:rPr>
          <w:sz w:val="24"/>
          <w:szCs w:val="24"/>
        </w:rPr>
      </w:pPr>
      <w:r>
        <w:rPr>
          <w:sz w:val="24"/>
          <w:szCs w:val="24"/>
        </w:rPr>
        <w:tab/>
      </w:r>
      <w:r>
        <w:rPr>
          <w:sz w:val="24"/>
          <w:szCs w:val="24"/>
        </w:rPr>
        <w:tab/>
      </w:r>
      <w:r w:rsidR="00123A42">
        <w:rPr>
          <w:sz w:val="24"/>
          <w:szCs w:val="24"/>
        </w:rPr>
        <w:t>NFG</w:t>
      </w:r>
      <w:r>
        <w:rPr>
          <w:sz w:val="24"/>
          <w:szCs w:val="24"/>
        </w:rPr>
        <w:t xml:space="preserve"> argues </w:t>
      </w:r>
      <w:r w:rsidR="00FC17F8">
        <w:rPr>
          <w:sz w:val="24"/>
          <w:szCs w:val="24"/>
        </w:rPr>
        <w:t xml:space="preserve">Complainant must </w:t>
      </w:r>
      <w:r w:rsidR="00D97160">
        <w:rPr>
          <w:sz w:val="24"/>
          <w:szCs w:val="24"/>
        </w:rPr>
        <w:t>pay</w:t>
      </w:r>
      <w:r w:rsidR="00FC17F8">
        <w:rPr>
          <w:sz w:val="24"/>
          <w:szCs w:val="24"/>
        </w:rPr>
        <w:t xml:space="preserve"> for the cost of the new gas meter because the gas meter was damaged when Complainant’s building fell on the gas meter when hit by the microburst on June 24, 2014.  NFG denies its personnel did not act in a reasonable and adequate manner on June 25, 2014 when they removed the gas meter from the service address.  NFG contends the gas meter was broken and damaged beyond repair before NFG entered onto the premises on June 24, 2014.</w:t>
      </w:r>
    </w:p>
    <w:p w:rsidR="00916F4D" w:rsidRDefault="00916F4D" w:rsidP="00F02920">
      <w:pPr>
        <w:pStyle w:val="BodyText"/>
        <w:jc w:val="left"/>
        <w:rPr>
          <w:sz w:val="24"/>
          <w:szCs w:val="24"/>
        </w:rPr>
      </w:pPr>
    </w:p>
    <w:p w:rsidR="00E15F71" w:rsidRPr="0059617F" w:rsidRDefault="00E15F71" w:rsidP="00F02920">
      <w:pPr>
        <w:pStyle w:val="BodyText"/>
        <w:jc w:val="left"/>
        <w:rPr>
          <w:sz w:val="24"/>
          <w:szCs w:val="24"/>
          <w:u w:val="single"/>
        </w:rPr>
      </w:pPr>
      <w:r w:rsidRPr="0059617F">
        <w:rPr>
          <w:sz w:val="24"/>
          <w:szCs w:val="24"/>
          <w:u w:val="single"/>
        </w:rPr>
        <w:t>Negative Inference</w:t>
      </w:r>
    </w:p>
    <w:p w:rsidR="00E15F71" w:rsidRDefault="00E15F71" w:rsidP="00F02920">
      <w:pPr>
        <w:pStyle w:val="BodyText"/>
        <w:jc w:val="left"/>
        <w:rPr>
          <w:sz w:val="24"/>
          <w:szCs w:val="24"/>
        </w:rPr>
      </w:pPr>
    </w:p>
    <w:p w:rsidR="00E15F71" w:rsidRDefault="00E15F71" w:rsidP="00F02920">
      <w:pPr>
        <w:pStyle w:val="BodyText"/>
        <w:jc w:val="left"/>
        <w:rPr>
          <w:sz w:val="24"/>
          <w:szCs w:val="24"/>
        </w:rPr>
      </w:pPr>
      <w:r>
        <w:rPr>
          <w:sz w:val="24"/>
          <w:szCs w:val="24"/>
        </w:rPr>
        <w:tab/>
      </w:r>
      <w:r>
        <w:rPr>
          <w:sz w:val="24"/>
          <w:szCs w:val="24"/>
        </w:rPr>
        <w:tab/>
      </w:r>
      <w:r w:rsidR="00D97160">
        <w:rPr>
          <w:sz w:val="24"/>
          <w:szCs w:val="24"/>
        </w:rPr>
        <w:t>Complainant’s evidence and argument prevail in this proceeding.  C</w:t>
      </w:r>
      <w:r>
        <w:rPr>
          <w:sz w:val="24"/>
          <w:szCs w:val="24"/>
        </w:rPr>
        <w:t>omplainant specifically asked Respondent in discovery to identify each NFG employee who was at the service address on June 24, 2014 and June 25, 2014.  Respondent provided misleading information to Complainant by indicating the employees involved were listed on the proposed exhibits when, in fact, the proposed exhibits do not list the individuals.  Specifically, the supervisor who was present on June 25, 2014 testified (</w:t>
      </w:r>
      <w:r w:rsidR="006F79EF">
        <w:rPr>
          <w:sz w:val="24"/>
          <w:szCs w:val="24"/>
        </w:rPr>
        <w:t>Andy McIntosh) but his name and employee number do not appear on any proposed exhibit.  (See discussion at initial hearing at transcript pages 13-108).</w:t>
      </w:r>
    </w:p>
    <w:p w:rsidR="0059617F" w:rsidRDefault="0059617F" w:rsidP="00F02920">
      <w:pPr>
        <w:pStyle w:val="BodyText"/>
        <w:jc w:val="left"/>
        <w:rPr>
          <w:sz w:val="24"/>
          <w:szCs w:val="24"/>
        </w:rPr>
      </w:pPr>
    </w:p>
    <w:p w:rsidR="006B611A" w:rsidRDefault="006B611A" w:rsidP="006B611A">
      <w:pPr>
        <w:pStyle w:val="BodyText"/>
        <w:ind w:firstLine="1440"/>
        <w:jc w:val="left"/>
        <w:outlineLvl w:val="0"/>
        <w:rPr>
          <w:sz w:val="24"/>
          <w:szCs w:val="24"/>
        </w:rPr>
      </w:pPr>
      <w:r>
        <w:rPr>
          <w:sz w:val="24"/>
          <w:szCs w:val="24"/>
        </w:rPr>
        <w:t>Complainant bears the burden of going forward with evidence to show Respondent failed to provide adequate, efficient, safe and reasonable service to him</w:t>
      </w:r>
      <w:r>
        <w:rPr>
          <w:rStyle w:val="FootnoteReference"/>
          <w:sz w:val="24"/>
          <w:szCs w:val="24"/>
        </w:rPr>
        <w:footnoteReference w:id="5"/>
      </w:r>
      <w:r>
        <w:rPr>
          <w:sz w:val="24"/>
          <w:szCs w:val="24"/>
        </w:rPr>
        <w:t xml:space="preserve">, which he did through credible testimony.  At that point, the burden of proof remained squarely on Complainant’s shoulders but the burden of going forward shifted to the utility to rebut Complainant’s </w:t>
      </w:r>
      <w:r w:rsidR="00C61E66">
        <w:rPr>
          <w:sz w:val="24"/>
          <w:szCs w:val="24"/>
        </w:rPr>
        <w:t xml:space="preserve">unequivocal </w:t>
      </w:r>
      <w:r>
        <w:rPr>
          <w:sz w:val="24"/>
          <w:szCs w:val="24"/>
        </w:rPr>
        <w:t>evidence</w:t>
      </w:r>
      <w:r w:rsidR="00C61E66">
        <w:rPr>
          <w:sz w:val="24"/>
          <w:szCs w:val="24"/>
        </w:rPr>
        <w:t xml:space="preserve"> that the utility damaged Meter #95047</w:t>
      </w:r>
      <w:r>
        <w:rPr>
          <w:sz w:val="24"/>
          <w:szCs w:val="24"/>
        </w:rPr>
        <w:t>.  The utility had within its unique possession evidence (Meter #95047) which could have be</w:t>
      </w:r>
      <w:r w:rsidR="00C61E66">
        <w:rPr>
          <w:sz w:val="24"/>
          <w:szCs w:val="24"/>
        </w:rPr>
        <w:t>en</w:t>
      </w:r>
      <w:r>
        <w:rPr>
          <w:sz w:val="24"/>
          <w:szCs w:val="24"/>
        </w:rPr>
        <w:t xml:space="preserve"> used to bolster Respondent’s personnel’s testimonies about the event of June 25, 2014.  Respondent provided exhibits which showed Meter #95047 was damaged by the time the gas meter was received at Respondent’s offices and warehouse.  But no evidence was available to show the condition of </w:t>
      </w:r>
      <w:r>
        <w:rPr>
          <w:sz w:val="24"/>
          <w:szCs w:val="24"/>
        </w:rPr>
        <w:lastRenderedPageBreak/>
        <w:t xml:space="preserve">Meter #95047 prior to leaving the service address or prior to its removal from the rubble.  </w:t>
      </w:r>
      <w:r w:rsidR="00FF2C8E">
        <w:rPr>
          <w:sz w:val="24"/>
          <w:szCs w:val="24"/>
        </w:rPr>
        <w:t>In fact, Respondent provided no photographic</w:t>
      </w:r>
      <w:r w:rsidR="00C61E66">
        <w:rPr>
          <w:sz w:val="24"/>
          <w:szCs w:val="24"/>
        </w:rPr>
        <w:t xml:space="preserve"> evidence</w:t>
      </w:r>
      <w:r w:rsidR="00FF2C8E">
        <w:rPr>
          <w:sz w:val="24"/>
          <w:szCs w:val="24"/>
        </w:rPr>
        <w:t xml:space="preserve">.  </w:t>
      </w:r>
      <w:r>
        <w:rPr>
          <w:sz w:val="24"/>
          <w:szCs w:val="24"/>
        </w:rPr>
        <w:t xml:space="preserve">Accordingly, a negative </w:t>
      </w:r>
      <w:r w:rsidR="00C61E66">
        <w:rPr>
          <w:sz w:val="24"/>
          <w:szCs w:val="24"/>
        </w:rPr>
        <w:t xml:space="preserve">or adverse </w:t>
      </w:r>
      <w:r>
        <w:rPr>
          <w:sz w:val="24"/>
          <w:szCs w:val="24"/>
        </w:rPr>
        <w:t xml:space="preserve">inference may be drawn when a party </w:t>
      </w:r>
      <w:r w:rsidR="00C61E66">
        <w:rPr>
          <w:sz w:val="24"/>
          <w:szCs w:val="24"/>
        </w:rPr>
        <w:t xml:space="preserve">– upon whom a burden has fallen – </w:t>
      </w:r>
      <w:r>
        <w:rPr>
          <w:sz w:val="24"/>
          <w:szCs w:val="24"/>
        </w:rPr>
        <w:t>fails to produce evidence within its peculiar control and possession.</w:t>
      </w:r>
      <w:r>
        <w:rPr>
          <w:rStyle w:val="FootnoteReference"/>
          <w:sz w:val="24"/>
          <w:szCs w:val="24"/>
        </w:rPr>
        <w:footnoteReference w:id="6"/>
      </w:r>
      <w:r>
        <w:rPr>
          <w:sz w:val="24"/>
          <w:szCs w:val="24"/>
        </w:rPr>
        <w:t xml:space="preserve">  The fact the utility did not attempt to produce the gas meter or a picture of the gas meter, which might have shown whether the utility provided Complainant with adequate and reasonable service </w:t>
      </w:r>
      <w:r w:rsidR="00C61E66">
        <w:rPr>
          <w:sz w:val="24"/>
          <w:szCs w:val="24"/>
        </w:rPr>
        <w:t>can be taken as</w:t>
      </w:r>
      <w:r>
        <w:rPr>
          <w:sz w:val="24"/>
          <w:szCs w:val="24"/>
        </w:rPr>
        <w:t xml:space="preserve"> proof, through negative inference, that Complainant’s contention – that Respondent’s personnel damaged the gas meter </w:t>
      </w:r>
      <w:r w:rsidR="00E91557">
        <w:rPr>
          <w:sz w:val="24"/>
          <w:szCs w:val="24"/>
        </w:rPr>
        <w:t>–</w:t>
      </w:r>
      <w:r>
        <w:rPr>
          <w:sz w:val="24"/>
          <w:szCs w:val="24"/>
        </w:rPr>
        <w:t xml:space="preserve"> was correct.  </w:t>
      </w:r>
    </w:p>
    <w:p w:rsidR="006B611A" w:rsidRDefault="006B611A" w:rsidP="00F02920">
      <w:pPr>
        <w:pStyle w:val="BodyText"/>
        <w:jc w:val="left"/>
        <w:rPr>
          <w:sz w:val="24"/>
          <w:szCs w:val="24"/>
        </w:rPr>
      </w:pPr>
    </w:p>
    <w:p w:rsidR="0059617F" w:rsidRPr="0059617F" w:rsidRDefault="0059617F" w:rsidP="00F02920">
      <w:pPr>
        <w:pStyle w:val="BodyText"/>
        <w:jc w:val="left"/>
        <w:rPr>
          <w:sz w:val="24"/>
          <w:szCs w:val="24"/>
          <w:u w:val="single"/>
        </w:rPr>
      </w:pPr>
      <w:r w:rsidRPr="0059617F">
        <w:rPr>
          <w:sz w:val="24"/>
          <w:szCs w:val="24"/>
          <w:u w:val="single"/>
        </w:rPr>
        <w:t>Credibility of Witnesses</w:t>
      </w:r>
    </w:p>
    <w:p w:rsidR="0059617F" w:rsidRDefault="0059617F" w:rsidP="00F02920">
      <w:pPr>
        <w:pStyle w:val="BodyText"/>
        <w:jc w:val="left"/>
        <w:rPr>
          <w:sz w:val="24"/>
          <w:szCs w:val="24"/>
        </w:rPr>
      </w:pPr>
    </w:p>
    <w:p w:rsidR="0059617F" w:rsidRDefault="0059617F" w:rsidP="00F02920">
      <w:pPr>
        <w:pStyle w:val="BodyText"/>
        <w:jc w:val="left"/>
        <w:rPr>
          <w:sz w:val="24"/>
          <w:szCs w:val="24"/>
        </w:rPr>
      </w:pPr>
      <w:r>
        <w:rPr>
          <w:sz w:val="24"/>
          <w:szCs w:val="24"/>
        </w:rPr>
        <w:tab/>
      </w:r>
      <w:r>
        <w:rPr>
          <w:sz w:val="24"/>
          <w:szCs w:val="24"/>
        </w:rPr>
        <w:tab/>
        <w:t>In this proceeding, two starkly-different pictures were provided by Complainant versus Respondent about the events on June 25, 2014 and the condition of the meter after the microburst.  Complainant’s witnesses consistently testified the meter was not broken as a result of the microburst, and the damages to the meter were caused by Respondent’s personnel.  Respondent’s witnesses provided equally consistent testimonies the meter was damaged when the building wall and concrete blocks fell on the meter, and they removed the meter from the service address carefully and without inflicting additional damage to it.  As a result of these two conflicting renditions about the events on June 24, 2014 and June 25, 2014, the presiding officer had to make credibility findings concerning which witness’ testimony was accepted as more credible than other witnesses who provided contrary evidence.</w:t>
      </w:r>
      <w:r>
        <w:rPr>
          <w:rStyle w:val="FootnoteReference"/>
          <w:sz w:val="24"/>
          <w:szCs w:val="24"/>
        </w:rPr>
        <w:footnoteReference w:id="7"/>
      </w:r>
      <w:r>
        <w:rPr>
          <w:sz w:val="24"/>
          <w:szCs w:val="24"/>
        </w:rPr>
        <w:t xml:space="preserve">  </w:t>
      </w:r>
    </w:p>
    <w:p w:rsidR="00EF3CBD" w:rsidRDefault="00EF3CBD" w:rsidP="00F02920">
      <w:pPr>
        <w:pStyle w:val="BodyText"/>
        <w:jc w:val="left"/>
        <w:rPr>
          <w:sz w:val="24"/>
          <w:szCs w:val="24"/>
        </w:rPr>
      </w:pPr>
    </w:p>
    <w:p w:rsidR="00E15F71" w:rsidRDefault="00EF3CBD" w:rsidP="00F02920">
      <w:pPr>
        <w:pStyle w:val="BodyText"/>
        <w:jc w:val="left"/>
        <w:rPr>
          <w:sz w:val="24"/>
          <w:szCs w:val="24"/>
        </w:rPr>
      </w:pPr>
      <w:r>
        <w:rPr>
          <w:sz w:val="24"/>
          <w:szCs w:val="24"/>
        </w:rPr>
        <w:tab/>
      </w:r>
      <w:r>
        <w:rPr>
          <w:sz w:val="24"/>
          <w:szCs w:val="24"/>
        </w:rPr>
        <w:tab/>
        <w:t>Upon a full review of the testimonies, admitted exhibits, the parties’ respective final statements on the record, and the parties’ respective positions as specified in their filings, it is the decision of this presiding officer that Complainant provided evidence that outweighed the inconsistent, contrary evidence produced by Respondent.  Specifically, the testimonies of Complainant’s witnesses with personal knowledge of the condition of Meter #95047 on June 25, 2014, coupled with the photogr</w:t>
      </w:r>
      <w:bookmarkStart w:id="0" w:name="_GoBack"/>
      <w:bookmarkEnd w:id="0"/>
      <w:r>
        <w:rPr>
          <w:sz w:val="24"/>
          <w:szCs w:val="24"/>
        </w:rPr>
        <w:t xml:space="preserve">aphic evidence of the damaged inlet pipe and damaged cement </w:t>
      </w:r>
      <w:r>
        <w:rPr>
          <w:sz w:val="24"/>
          <w:szCs w:val="24"/>
        </w:rPr>
        <w:lastRenderedPageBreak/>
        <w:t>pad, outweighed the testimonies of Respondent’s witnesses who insisted they handled Meter #95047 gently and denied pounding the gas meter against the cement pad in order to remove the inlet pipe.  The strength of Complainant’s evidence amounted to substantial evidence which convinced the presiding officer that the damage to Meter #95047 resulted from the actions of Respondent’s personnel and did not result from the microburst.</w:t>
      </w:r>
    </w:p>
    <w:p w:rsidR="00EF3CBD" w:rsidRPr="00BF51E4" w:rsidRDefault="00EF3CBD" w:rsidP="00F02920">
      <w:pPr>
        <w:pStyle w:val="BodyText"/>
        <w:jc w:val="left"/>
        <w:rPr>
          <w:sz w:val="24"/>
          <w:szCs w:val="24"/>
        </w:rPr>
      </w:pPr>
    </w:p>
    <w:p w:rsidR="00A25BF3" w:rsidRDefault="00A25BF3" w:rsidP="00A25BF3">
      <w:pPr>
        <w:pStyle w:val="BodyText"/>
        <w:jc w:val="left"/>
        <w:rPr>
          <w:sz w:val="24"/>
          <w:szCs w:val="24"/>
        </w:rPr>
      </w:pPr>
      <w:r>
        <w:rPr>
          <w:sz w:val="24"/>
          <w:szCs w:val="24"/>
          <w:u w:val="single"/>
        </w:rPr>
        <w:t>Conclusion</w:t>
      </w:r>
    </w:p>
    <w:p w:rsidR="00C40744" w:rsidRDefault="00C40744" w:rsidP="00AF192E">
      <w:pPr>
        <w:spacing w:line="360" w:lineRule="auto"/>
        <w:ind w:firstLine="1440"/>
      </w:pPr>
    </w:p>
    <w:p w:rsidR="00AF192E" w:rsidRDefault="00EF3CBD" w:rsidP="002E7C30">
      <w:pPr>
        <w:pStyle w:val="BodyText"/>
        <w:ind w:firstLine="1440"/>
        <w:jc w:val="left"/>
        <w:rPr>
          <w:sz w:val="24"/>
          <w:szCs w:val="24"/>
        </w:rPr>
      </w:pPr>
      <w:r>
        <w:rPr>
          <w:sz w:val="24"/>
          <w:szCs w:val="24"/>
        </w:rPr>
        <w:t>Accordingly, Respondent was in error to require Complainant to pay for the costs of installing a new gas meter at the service address, and Respondent will be ordered to refund the sum of $4,</w:t>
      </w:r>
      <w:r w:rsidR="00467F08">
        <w:rPr>
          <w:sz w:val="24"/>
          <w:szCs w:val="24"/>
        </w:rPr>
        <w:t xml:space="preserve">554.80 to Complainant.  </w:t>
      </w:r>
      <w:r w:rsidR="005A742F">
        <w:rPr>
          <w:sz w:val="24"/>
          <w:szCs w:val="24"/>
        </w:rPr>
        <w:t>C</w:t>
      </w:r>
      <w:r w:rsidR="0078373B">
        <w:rPr>
          <w:sz w:val="24"/>
          <w:szCs w:val="24"/>
        </w:rPr>
        <w:t xml:space="preserve">omplainant </w:t>
      </w:r>
      <w:r w:rsidR="00F343D1">
        <w:rPr>
          <w:sz w:val="24"/>
          <w:szCs w:val="24"/>
        </w:rPr>
        <w:t>provide</w:t>
      </w:r>
      <w:r w:rsidR="001D7B3E">
        <w:rPr>
          <w:sz w:val="24"/>
          <w:szCs w:val="24"/>
        </w:rPr>
        <w:t>d</w:t>
      </w:r>
      <w:r w:rsidR="00F343D1">
        <w:rPr>
          <w:sz w:val="24"/>
          <w:szCs w:val="24"/>
        </w:rPr>
        <w:t xml:space="preserve"> sufficient evidence to show Respondent </w:t>
      </w:r>
      <w:r w:rsidR="00AD08FD">
        <w:rPr>
          <w:sz w:val="24"/>
          <w:szCs w:val="24"/>
        </w:rPr>
        <w:t>did not</w:t>
      </w:r>
      <w:r w:rsidR="00FF3B58">
        <w:rPr>
          <w:sz w:val="24"/>
          <w:szCs w:val="24"/>
        </w:rPr>
        <w:t xml:space="preserve"> </w:t>
      </w:r>
      <w:r w:rsidR="00D04320">
        <w:rPr>
          <w:sz w:val="24"/>
          <w:szCs w:val="24"/>
        </w:rPr>
        <w:t xml:space="preserve">provide reasonable and adequate customer service when </w:t>
      </w:r>
      <w:r w:rsidR="00123A42">
        <w:rPr>
          <w:sz w:val="24"/>
          <w:szCs w:val="24"/>
        </w:rPr>
        <w:t>NFG</w:t>
      </w:r>
      <w:r w:rsidR="001D7B3E">
        <w:rPr>
          <w:sz w:val="24"/>
          <w:szCs w:val="24"/>
        </w:rPr>
        <w:t>’s personnel removed the natural gas meter on June 25, 2014</w:t>
      </w:r>
      <w:r w:rsidR="00467F08">
        <w:rPr>
          <w:sz w:val="24"/>
          <w:szCs w:val="24"/>
        </w:rPr>
        <w:t xml:space="preserve"> because the actions of Respondent’s employees caused the damage to the gas meter</w:t>
      </w:r>
      <w:r w:rsidR="001D7B3E">
        <w:rPr>
          <w:sz w:val="24"/>
          <w:szCs w:val="24"/>
        </w:rPr>
        <w:t xml:space="preserve">.  </w:t>
      </w:r>
      <w:r w:rsidR="00056CC0">
        <w:rPr>
          <w:sz w:val="24"/>
          <w:szCs w:val="24"/>
        </w:rPr>
        <w:t>The regulations require NFG to provide reasonable service</w:t>
      </w:r>
      <w:r w:rsidR="001D7B3E">
        <w:rPr>
          <w:sz w:val="24"/>
          <w:szCs w:val="24"/>
        </w:rPr>
        <w:t>, and using a</w:t>
      </w:r>
      <w:r w:rsidR="00467F08">
        <w:rPr>
          <w:sz w:val="24"/>
          <w:szCs w:val="24"/>
        </w:rPr>
        <w:t>n</w:t>
      </w:r>
      <w:r w:rsidR="001D7B3E">
        <w:rPr>
          <w:sz w:val="24"/>
          <w:szCs w:val="24"/>
        </w:rPr>
        <w:t xml:space="preserve"> </w:t>
      </w:r>
      <w:r w:rsidR="00AE297B">
        <w:rPr>
          <w:sz w:val="24"/>
          <w:szCs w:val="24"/>
        </w:rPr>
        <w:t>excavator</w:t>
      </w:r>
      <w:r w:rsidR="001D7B3E">
        <w:rPr>
          <w:sz w:val="24"/>
          <w:szCs w:val="24"/>
        </w:rPr>
        <w:t xml:space="preserve"> to bang repeatedly on the piping connected to the </w:t>
      </w:r>
      <w:r w:rsidR="00467F08">
        <w:rPr>
          <w:sz w:val="24"/>
          <w:szCs w:val="24"/>
        </w:rPr>
        <w:t xml:space="preserve">gas </w:t>
      </w:r>
      <w:r w:rsidR="001D7B3E">
        <w:rPr>
          <w:sz w:val="24"/>
          <w:szCs w:val="24"/>
        </w:rPr>
        <w:t>meter does not qualify as reasonable customer service</w:t>
      </w:r>
      <w:r w:rsidR="00056CC0">
        <w:rPr>
          <w:sz w:val="24"/>
          <w:szCs w:val="24"/>
        </w:rPr>
        <w:t xml:space="preserve">.  </w:t>
      </w:r>
      <w:r w:rsidR="009E666B">
        <w:rPr>
          <w:sz w:val="24"/>
          <w:szCs w:val="24"/>
        </w:rPr>
        <w:t xml:space="preserve">Photographs admitted into evidence illustrate </w:t>
      </w:r>
      <w:r w:rsidR="00467F08">
        <w:rPr>
          <w:sz w:val="24"/>
          <w:szCs w:val="24"/>
        </w:rPr>
        <w:t xml:space="preserve">the inlet pipe was “pinched” at the end where the gas meter was attached.  The photographs also reveal the building collapsed in a haphazard, helter-skelter manner and the wall (through which the inlet pipe ran) did not fall down on top of the meter.  Furthermore, a careful reading of the testimonies of Respondent’s personnel shows that Respondent’s witnesses did not remove concrete blocks from on top of the gas meter and only had to remove the concrete blocks from around the gas meter and/or to clear a path.  </w:t>
      </w:r>
      <w:r w:rsidR="00C06765">
        <w:rPr>
          <w:sz w:val="24"/>
          <w:szCs w:val="24"/>
        </w:rPr>
        <w:t xml:space="preserve">Accordingly, this formal complaint </w:t>
      </w:r>
      <w:r w:rsidR="00AF192E" w:rsidRPr="00DE5EB8">
        <w:rPr>
          <w:sz w:val="24"/>
          <w:szCs w:val="24"/>
        </w:rPr>
        <w:t xml:space="preserve">is </w:t>
      </w:r>
      <w:r w:rsidR="001D7B3E">
        <w:rPr>
          <w:sz w:val="24"/>
          <w:szCs w:val="24"/>
        </w:rPr>
        <w:t>sustained</w:t>
      </w:r>
      <w:r w:rsidR="00D97488">
        <w:rPr>
          <w:sz w:val="24"/>
          <w:szCs w:val="24"/>
        </w:rPr>
        <w:t xml:space="preserve"> </w:t>
      </w:r>
      <w:r w:rsidR="00AF192E" w:rsidRPr="00DE5EB8">
        <w:rPr>
          <w:sz w:val="24"/>
          <w:szCs w:val="24"/>
        </w:rPr>
        <w:t>in the ordering paragraph</w:t>
      </w:r>
      <w:r w:rsidR="00D97488">
        <w:rPr>
          <w:sz w:val="24"/>
          <w:szCs w:val="24"/>
        </w:rPr>
        <w:t>s</w:t>
      </w:r>
      <w:r w:rsidR="00AF192E" w:rsidRPr="00DE5EB8">
        <w:rPr>
          <w:sz w:val="24"/>
          <w:szCs w:val="24"/>
        </w:rPr>
        <w:t xml:space="preserve"> below. </w:t>
      </w:r>
    </w:p>
    <w:p w:rsidR="009E666B" w:rsidRPr="00DE5EB8" w:rsidRDefault="009E666B" w:rsidP="002E7C30">
      <w:pPr>
        <w:pStyle w:val="BodyText"/>
        <w:ind w:firstLine="1440"/>
        <w:jc w:val="left"/>
        <w:rPr>
          <w:sz w:val="24"/>
          <w:szCs w:val="24"/>
        </w:rPr>
      </w:pPr>
    </w:p>
    <w:p w:rsidR="00AF192E" w:rsidRPr="00DE5EB8" w:rsidRDefault="00AF192E" w:rsidP="00AF192E">
      <w:pPr>
        <w:spacing w:line="360" w:lineRule="auto"/>
        <w:jc w:val="center"/>
        <w:rPr>
          <w:u w:val="single"/>
        </w:rPr>
      </w:pPr>
      <w:r w:rsidRPr="00DE5EB8">
        <w:rPr>
          <w:u w:val="single"/>
        </w:rPr>
        <w:t>CONCLUSIONS OF LAW</w:t>
      </w:r>
    </w:p>
    <w:p w:rsidR="00AF192E" w:rsidRPr="00DE5EB8" w:rsidRDefault="00AF192E" w:rsidP="00AF192E">
      <w:pPr>
        <w:spacing w:line="360" w:lineRule="auto"/>
        <w:ind w:firstLine="1440"/>
      </w:pPr>
    </w:p>
    <w:p w:rsidR="00AF192E" w:rsidRPr="00DE5EB8" w:rsidRDefault="00AF192E" w:rsidP="00AF192E">
      <w:pPr>
        <w:numPr>
          <w:ilvl w:val="0"/>
          <w:numId w:val="1"/>
        </w:numPr>
        <w:tabs>
          <w:tab w:val="clear" w:pos="900"/>
          <w:tab w:val="num" w:pos="2160"/>
        </w:tabs>
        <w:spacing w:line="360" w:lineRule="auto"/>
        <w:ind w:left="0" w:firstLine="1440"/>
      </w:pPr>
      <w:r w:rsidRPr="00DE5EB8">
        <w:t>The Commission has jurisdiction over the parties and the subject mat</w:t>
      </w:r>
      <w:r w:rsidR="00D91826">
        <w:t xml:space="preserve">ter of this proceeding.  66 </w:t>
      </w:r>
      <w:proofErr w:type="spellStart"/>
      <w:r w:rsidR="00D91826">
        <w:t>Pa.</w:t>
      </w:r>
      <w:r w:rsidRPr="00DE5EB8">
        <w:t>C.S.</w:t>
      </w:r>
      <w:r w:rsidR="00D91826">
        <w:t>A</w:t>
      </w:r>
      <w:proofErr w:type="spellEnd"/>
      <w:r w:rsidR="00D91826">
        <w:t>.</w:t>
      </w:r>
      <w:r w:rsidRPr="00DE5EB8">
        <w:t xml:space="preserve"> §</w:t>
      </w:r>
      <w:r w:rsidR="00D91826">
        <w:t xml:space="preserve"> </w:t>
      </w:r>
      <w:r w:rsidRPr="00DE5EB8">
        <w:t>701.</w:t>
      </w:r>
    </w:p>
    <w:p w:rsidR="00AF192E" w:rsidRPr="00DE5EB8" w:rsidRDefault="00AF192E" w:rsidP="00AF192E">
      <w:pPr>
        <w:tabs>
          <w:tab w:val="num" w:pos="2160"/>
        </w:tabs>
        <w:spacing w:line="360" w:lineRule="auto"/>
        <w:ind w:firstLine="1260"/>
      </w:pPr>
    </w:p>
    <w:p w:rsidR="00AF192E" w:rsidRDefault="00AF192E" w:rsidP="00AF192E">
      <w:pPr>
        <w:spacing w:line="360" w:lineRule="auto"/>
      </w:pPr>
      <w:r w:rsidRPr="00DE5EB8">
        <w:lastRenderedPageBreak/>
        <w:tab/>
      </w:r>
      <w:r w:rsidRPr="00DE5EB8">
        <w:tab/>
        <w:t>2.</w:t>
      </w:r>
      <w:r w:rsidRPr="00DE5EB8">
        <w:tab/>
        <w:t xml:space="preserve">Complainant carries the burden of proving Respondent </w:t>
      </w:r>
      <w:r w:rsidR="00D97488">
        <w:t>failed to</w:t>
      </w:r>
      <w:r w:rsidR="00D04320">
        <w:t xml:space="preserve"> provide reasonable and adequate customer service </w:t>
      </w:r>
      <w:r w:rsidR="00467F08">
        <w:t>when it failed to remove the natural gas meter</w:t>
      </w:r>
      <w:r w:rsidR="00D04320">
        <w:t xml:space="preserve"> in an appropriate manner</w:t>
      </w:r>
      <w:r w:rsidR="00467F08">
        <w:t xml:space="preserve"> on June 25, 2014</w:t>
      </w:r>
      <w:r w:rsidR="00D97488">
        <w:t xml:space="preserve">.  </w:t>
      </w:r>
      <w:proofErr w:type="gramStart"/>
      <w:r w:rsidR="00D97488">
        <w:t>66</w:t>
      </w:r>
      <w:r w:rsidR="00AC0157">
        <w:t> </w:t>
      </w:r>
      <w:proofErr w:type="spellStart"/>
      <w:r w:rsidR="00D97488">
        <w:t>Pa.</w:t>
      </w:r>
      <w:r w:rsidRPr="00DE5EB8">
        <w:t>C.S.A</w:t>
      </w:r>
      <w:proofErr w:type="spellEnd"/>
      <w:r w:rsidRPr="00DE5EB8">
        <w:t>.</w:t>
      </w:r>
      <w:proofErr w:type="gramEnd"/>
      <w:r w:rsidRPr="00DE5EB8">
        <w:t xml:space="preserve"> §</w:t>
      </w:r>
      <w:r w:rsidR="00D97488">
        <w:t xml:space="preserve"> </w:t>
      </w:r>
      <w:r w:rsidR="00D04320">
        <w:t>1501</w:t>
      </w:r>
      <w:r w:rsidR="00FF2C8E">
        <w:t xml:space="preserve"> and § 332</w:t>
      </w:r>
      <w:r w:rsidRPr="00DE5EB8">
        <w:t>.</w:t>
      </w:r>
    </w:p>
    <w:p w:rsidR="003D3254" w:rsidRPr="00DE5EB8" w:rsidRDefault="003D3254" w:rsidP="00AF192E">
      <w:pPr>
        <w:spacing w:line="360" w:lineRule="auto"/>
      </w:pPr>
    </w:p>
    <w:p w:rsidR="00AF192E" w:rsidRPr="00D04320" w:rsidRDefault="00AF192E" w:rsidP="00AF192E">
      <w:pPr>
        <w:pStyle w:val="FootnoteText"/>
        <w:spacing w:line="360" w:lineRule="auto"/>
        <w:rPr>
          <w:sz w:val="24"/>
          <w:szCs w:val="24"/>
        </w:rPr>
      </w:pPr>
      <w:r w:rsidRPr="00B03D80">
        <w:rPr>
          <w:sz w:val="24"/>
          <w:szCs w:val="24"/>
        </w:rPr>
        <w:tab/>
      </w:r>
      <w:r w:rsidRPr="00B03D80">
        <w:rPr>
          <w:sz w:val="24"/>
          <w:szCs w:val="24"/>
        </w:rPr>
        <w:tab/>
        <w:t>3.</w:t>
      </w:r>
      <w:r w:rsidRPr="00B03D80">
        <w:rPr>
          <w:sz w:val="24"/>
          <w:szCs w:val="24"/>
        </w:rPr>
        <w:tab/>
      </w:r>
      <w:r w:rsidR="00D97488" w:rsidRPr="00D04320">
        <w:rPr>
          <w:sz w:val="24"/>
          <w:szCs w:val="24"/>
        </w:rPr>
        <w:t xml:space="preserve">Complainant </w:t>
      </w:r>
      <w:r w:rsidR="001D7B3E">
        <w:rPr>
          <w:sz w:val="24"/>
          <w:szCs w:val="24"/>
        </w:rPr>
        <w:t>met</w:t>
      </w:r>
      <w:r w:rsidR="00D97488" w:rsidRPr="00D04320">
        <w:rPr>
          <w:sz w:val="24"/>
          <w:szCs w:val="24"/>
        </w:rPr>
        <w:t xml:space="preserve"> the burden of proving Respondent failed to </w:t>
      </w:r>
      <w:r w:rsidR="00D04320" w:rsidRPr="00D04320">
        <w:rPr>
          <w:sz w:val="24"/>
          <w:szCs w:val="24"/>
        </w:rPr>
        <w:t xml:space="preserve">provide reasonable and adequate customer service </w:t>
      </w:r>
      <w:r w:rsidR="001D7B3E">
        <w:rPr>
          <w:sz w:val="24"/>
          <w:szCs w:val="24"/>
        </w:rPr>
        <w:t>when Respondent required Complainant to pay the replacement costs for a natural gas meter damaged by Respondent’s personnel</w:t>
      </w:r>
      <w:r w:rsidR="00D97488" w:rsidRPr="00D04320">
        <w:rPr>
          <w:sz w:val="24"/>
          <w:szCs w:val="24"/>
        </w:rPr>
        <w:t xml:space="preserve">.  </w:t>
      </w:r>
      <w:proofErr w:type="gramStart"/>
      <w:r w:rsidR="00D97488" w:rsidRPr="00D04320">
        <w:rPr>
          <w:sz w:val="24"/>
          <w:szCs w:val="24"/>
        </w:rPr>
        <w:t xml:space="preserve">66 </w:t>
      </w:r>
      <w:proofErr w:type="spellStart"/>
      <w:r w:rsidR="00D97488" w:rsidRPr="00D04320">
        <w:rPr>
          <w:sz w:val="24"/>
          <w:szCs w:val="24"/>
        </w:rPr>
        <w:t>Pa.C.S.A</w:t>
      </w:r>
      <w:proofErr w:type="spellEnd"/>
      <w:r w:rsidR="00D97488" w:rsidRPr="00D04320">
        <w:rPr>
          <w:sz w:val="24"/>
          <w:szCs w:val="24"/>
        </w:rPr>
        <w:t>.</w:t>
      </w:r>
      <w:proofErr w:type="gramEnd"/>
      <w:r w:rsidR="00D97488" w:rsidRPr="00D04320">
        <w:rPr>
          <w:sz w:val="24"/>
          <w:szCs w:val="24"/>
        </w:rPr>
        <w:t xml:space="preserve"> §</w:t>
      </w:r>
      <w:r w:rsidR="00CD28B5">
        <w:rPr>
          <w:sz w:val="24"/>
          <w:szCs w:val="24"/>
        </w:rPr>
        <w:t> </w:t>
      </w:r>
      <w:r w:rsidR="00D97488" w:rsidRPr="00D04320">
        <w:rPr>
          <w:sz w:val="24"/>
          <w:szCs w:val="24"/>
        </w:rPr>
        <w:t>1501</w:t>
      </w:r>
      <w:r w:rsidR="00FF2C8E">
        <w:rPr>
          <w:sz w:val="24"/>
          <w:szCs w:val="24"/>
        </w:rPr>
        <w:t xml:space="preserve"> and § 332.</w:t>
      </w:r>
    </w:p>
    <w:p w:rsidR="00FC4912" w:rsidRPr="00D97488" w:rsidRDefault="00FC4912" w:rsidP="00AF192E">
      <w:pPr>
        <w:pStyle w:val="FootnoteText"/>
        <w:spacing w:line="360" w:lineRule="auto"/>
        <w:rPr>
          <w:sz w:val="24"/>
          <w:szCs w:val="24"/>
        </w:rPr>
      </w:pPr>
    </w:p>
    <w:p w:rsidR="00AF192E" w:rsidRPr="00DE5EB8" w:rsidRDefault="00AF192E" w:rsidP="008D6267">
      <w:pPr>
        <w:spacing w:line="360" w:lineRule="auto"/>
        <w:jc w:val="center"/>
        <w:rPr>
          <w:u w:val="single"/>
        </w:rPr>
      </w:pPr>
      <w:r w:rsidRPr="00DE5EB8">
        <w:rPr>
          <w:u w:val="single"/>
        </w:rPr>
        <w:t>ORDER</w:t>
      </w:r>
    </w:p>
    <w:p w:rsidR="00AF192E" w:rsidRPr="00DE5EB8" w:rsidRDefault="00AF192E" w:rsidP="00AF192E">
      <w:pPr>
        <w:spacing w:line="360" w:lineRule="auto"/>
        <w:jc w:val="center"/>
        <w:rPr>
          <w:u w:val="single"/>
        </w:rPr>
      </w:pPr>
    </w:p>
    <w:p w:rsidR="00331721" w:rsidRDefault="00331721" w:rsidP="00AF192E">
      <w:pPr>
        <w:tabs>
          <w:tab w:val="num" w:pos="2160"/>
        </w:tabs>
        <w:spacing w:line="360" w:lineRule="auto"/>
        <w:ind w:firstLine="1440"/>
      </w:pPr>
    </w:p>
    <w:p w:rsidR="00AF192E" w:rsidRPr="00DE5EB8" w:rsidRDefault="00AF192E" w:rsidP="00AF192E">
      <w:pPr>
        <w:tabs>
          <w:tab w:val="num" w:pos="2160"/>
        </w:tabs>
        <w:spacing w:line="360" w:lineRule="auto"/>
        <w:ind w:firstLine="1440"/>
      </w:pPr>
      <w:r w:rsidRPr="00DE5EB8">
        <w:t xml:space="preserve">THEREFORE, </w:t>
      </w:r>
    </w:p>
    <w:p w:rsidR="00AF192E" w:rsidRPr="00DE5EB8" w:rsidRDefault="00AF192E" w:rsidP="00AF192E">
      <w:pPr>
        <w:tabs>
          <w:tab w:val="num" w:pos="2160"/>
        </w:tabs>
        <w:spacing w:line="360" w:lineRule="auto"/>
      </w:pPr>
    </w:p>
    <w:p w:rsidR="00AF192E" w:rsidRPr="00DE5EB8" w:rsidRDefault="00AF192E" w:rsidP="00AF192E">
      <w:pPr>
        <w:tabs>
          <w:tab w:val="num" w:pos="2160"/>
        </w:tabs>
        <w:spacing w:line="360" w:lineRule="auto"/>
        <w:ind w:firstLine="1440"/>
        <w:outlineLvl w:val="0"/>
      </w:pPr>
      <w:r w:rsidRPr="00DE5EB8">
        <w:t>IT IS ORDERED:</w:t>
      </w:r>
    </w:p>
    <w:p w:rsidR="00AF192E" w:rsidRPr="00DE5EB8" w:rsidRDefault="00AF192E" w:rsidP="00AF192E">
      <w:pPr>
        <w:tabs>
          <w:tab w:val="num" w:pos="2160"/>
        </w:tabs>
        <w:spacing w:line="360" w:lineRule="auto"/>
      </w:pPr>
    </w:p>
    <w:p w:rsidR="00AF192E" w:rsidRDefault="00FC4912" w:rsidP="00AF192E">
      <w:pPr>
        <w:tabs>
          <w:tab w:val="num" w:pos="2160"/>
        </w:tabs>
        <w:spacing w:line="360" w:lineRule="auto"/>
        <w:ind w:firstLine="1440"/>
      </w:pPr>
      <w:r>
        <w:t xml:space="preserve">1. </w:t>
      </w:r>
      <w:r>
        <w:tab/>
      </w:r>
      <w:r w:rsidR="00AF192E" w:rsidRPr="00DE5EB8">
        <w:t xml:space="preserve">That the complaint of </w:t>
      </w:r>
      <w:r w:rsidR="001D7B3E">
        <w:t xml:space="preserve">Leon </w:t>
      </w:r>
      <w:proofErr w:type="spellStart"/>
      <w:r w:rsidR="001D7B3E">
        <w:t>Akerly</w:t>
      </w:r>
      <w:proofErr w:type="spellEnd"/>
      <w:r w:rsidR="00AF192E" w:rsidRPr="00DE5EB8">
        <w:t xml:space="preserve"> versus </w:t>
      </w:r>
      <w:r w:rsidR="00DA11CC">
        <w:t>National Fuel Gas Distribution Corporation</w:t>
      </w:r>
      <w:r w:rsidR="00205CC7" w:rsidRPr="00DE5EB8">
        <w:t xml:space="preserve"> </w:t>
      </w:r>
      <w:r w:rsidR="00AF192E" w:rsidRPr="00DE5EB8">
        <w:t xml:space="preserve">at Docket No. </w:t>
      </w:r>
      <w:r w:rsidR="003D3254">
        <w:t>C</w:t>
      </w:r>
      <w:r w:rsidR="001D7B3E">
        <w:t>-2015-2472693</w:t>
      </w:r>
      <w:r w:rsidR="00AF192E" w:rsidRPr="00DE5EB8">
        <w:t xml:space="preserve"> is hereby </w:t>
      </w:r>
      <w:r w:rsidR="001D7B3E">
        <w:t>sustained</w:t>
      </w:r>
      <w:r w:rsidR="00AF192E" w:rsidRPr="00DE5EB8">
        <w:t>.</w:t>
      </w:r>
    </w:p>
    <w:p w:rsidR="00CB2E12" w:rsidRDefault="00CB2E12" w:rsidP="00AF192E">
      <w:pPr>
        <w:tabs>
          <w:tab w:val="num" w:pos="2160"/>
        </w:tabs>
        <w:spacing w:line="360" w:lineRule="auto"/>
        <w:ind w:firstLine="1440"/>
      </w:pPr>
    </w:p>
    <w:p w:rsidR="001D7B3E" w:rsidRDefault="00FC4912" w:rsidP="00AF192E">
      <w:pPr>
        <w:tabs>
          <w:tab w:val="num" w:pos="2160"/>
        </w:tabs>
        <w:spacing w:line="360" w:lineRule="auto"/>
        <w:ind w:firstLine="1440"/>
      </w:pPr>
      <w:r>
        <w:t xml:space="preserve">2. </w:t>
      </w:r>
      <w:r>
        <w:tab/>
        <w:t xml:space="preserve">That </w:t>
      </w:r>
      <w:r w:rsidR="00467F08">
        <w:t>National Fuel Gas Distribution Corporation shall refund to Complainant the sum of Four Thousand Five Hundred Fifty Four Dollars and eighty cents ($4,554.80) within thirty (30) days from the date of the Final Order in this p</w:t>
      </w:r>
      <w:r w:rsidR="006B611A">
        <w:t>roceeding.</w:t>
      </w:r>
    </w:p>
    <w:p w:rsidR="001D7B3E" w:rsidRDefault="001D7B3E" w:rsidP="00AF192E">
      <w:pPr>
        <w:tabs>
          <w:tab w:val="num" w:pos="2160"/>
        </w:tabs>
        <w:spacing w:line="360" w:lineRule="auto"/>
        <w:ind w:firstLine="1440"/>
      </w:pPr>
    </w:p>
    <w:p w:rsidR="00601700" w:rsidRDefault="001D7B3E" w:rsidP="00AF192E">
      <w:pPr>
        <w:tabs>
          <w:tab w:val="num" w:pos="2160"/>
        </w:tabs>
        <w:spacing w:line="360" w:lineRule="auto"/>
        <w:ind w:firstLine="1440"/>
      </w:pPr>
      <w:r>
        <w:t xml:space="preserve">3. </w:t>
      </w:r>
      <w:r>
        <w:tab/>
        <w:t xml:space="preserve">That </w:t>
      </w:r>
      <w:r w:rsidR="00601700">
        <w:t xml:space="preserve">the </w:t>
      </w:r>
      <w:r>
        <w:t xml:space="preserve">Secretary shall mark the </w:t>
      </w:r>
      <w:r w:rsidR="00E65B1E">
        <w:t>docket</w:t>
      </w:r>
      <w:r w:rsidR="00601700">
        <w:t xml:space="preserve"> of </w:t>
      </w:r>
      <w:r>
        <w:t xml:space="preserve">Leon </w:t>
      </w:r>
      <w:proofErr w:type="spellStart"/>
      <w:r>
        <w:t>Akerly</w:t>
      </w:r>
      <w:proofErr w:type="spellEnd"/>
      <w:r w:rsidRPr="00DE5EB8">
        <w:t xml:space="preserve"> versus </w:t>
      </w:r>
      <w:r>
        <w:t>National Fuel Gas Distribution Corporation</w:t>
      </w:r>
      <w:r w:rsidRPr="00DE5EB8">
        <w:t xml:space="preserve"> at Docket No. </w:t>
      </w:r>
      <w:r w:rsidR="003D3254">
        <w:t>C</w:t>
      </w:r>
      <w:r>
        <w:t>-2015-2472693 as</w:t>
      </w:r>
      <w:r w:rsidR="00601700">
        <w:t xml:space="preserve"> closed.</w:t>
      </w:r>
    </w:p>
    <w:p w:rsidR="00601700" w:rsidRDefault="00601700" w:rsidP="00AF192E">
      <w:pPr>
        <w:tabs>
          <w:tab w:val="num" w:pos="2160"/>
        </w:tabs>
        <w:spacing w:line="360" w:lineRule="auto"/>
        <w:ind w:firstLine="1440"/>
      </w:pPr>
    </w:p>
    <w:p w:rsidR="009D0220" w:rsidRPr="00DE5EB8" w:rsidRDefault="009D0220" w:rsidP="00AF192E">
      <w:pPr>
        <w:tabs>
          <w:tab w:val="num" w:pos="2160"/>
        </w:tabs>
        <w:spacing w:line="360" w:lineRule="auto"/>
        <w:ind w:firstLine="1440"/>
      </w:pPr>
    </w:p>
    <w:p w:rsidR="00AF192E" w:rsidRPr="00DE5EB8" w:rsidRDefault="00AF192E" w:rsidP="00AF192E">
      <w:pPr>
        <w:tabs>
          <w:tab w:val="num" w:pos="2160"/>
        </w:tabs>
        <w:spacing w:line="360" w:lineRule="auto"/>
        <w:ind w:firstLine="1440"/>
      </w:pPr>
      <w:r w:rsidRPr="00DE5EB8">
        <w:tab/>
        <w:t xml:space="preserve"> </w:t>
      </w:r>
    </w:p>
    <w:p w:rsidR="00026C00" w:rsidRPr="00026C00" w:rsidRDefault="00AF192E" w:rsidP="00026C00">
      <w:r w:rsidRPr="00DE5EB8">
        <w:t xml:space="preserve">Date:  </w:t>
      </w:r>
      <w:r w:rsidR="006B611A">
        <w:rPr>
          <w:u w:val="single"/>
        </w:rPr>
        <w:t>December 9</w:t>
      </w:r>
      <w:r w:rsidR="00DA11CC">
        <w:rPr>
          <w:u w:val="single"/>
        </w:rPr>
        <w:t>, 2015</w:t>
      </w:r>
      <w:r w:rsidRPr="00DE5EB8">
        <w:tab/>
      </w:r>
      <w:r w:rsidR="00026C00">
        <w:tab/>
      </w:r>
      <w:r w:rsidR="00026C00">
        <w:tab/>
      </w:r>
      <w:r w:rsidR="00026C00">
        <w:tab/>
      </w:r>
      <w:r w:rsidR="00026C00">
        <w:tab/>
      </w:r>
      <w:r w:rsidR="00026C00" w:rsidRPr="00026C00">
        <w:rPr>
          <w:u w:val="single"/>
        </w:rPr>
        <w:tab/>
      </w:r>
      <w:r w:rsidR="00026C00" w:rsidRPr="00026C00">
        <w:rPr>
          <w:u w:val="single"/>
        </w:rPr>
        <w:tab/>
        <w:t>/s/</w:t>
      </w:r>
      <w:r w:rsidR="00026C00" w:rsidRPr="00026C00">
        <w:rPr>
          <w:u w:val="single"/>
        </w:rPr>
        <w:tab/>
      </w:r>
      <w:r w:rsidR="00026C00" w:rsidRPr="00026C00">
        <w:rPr>
          <w:u w:val="single"/>
        </w:rPr>
        <w:tab/>
      </w:r>
      <w:r w:rsidR="00026C00" w:rsidRPr="00026C00">
        <w:rPr>
          <w:u w:val="single"/>
        </w:rPr>
        <w:tab/>
      </w:r>
    </w:p>
    <w:p w:rsidR="00AF192E" w:rsidRPr="00DE5EB8" w:rsidRDefault="00026C00" w:rsidP="00AF192E">
      <w:pPr>
        <w:tabs>
          <w:tab w:val="num" w:pos="2160"/>
        </w:tabs>
      </w:pPr>
      <w:r>
        <w:tab/>
      </w:r>
      <w:r w:rsidR="00AF192E" w:rsidRPr="00DE5EB8">
        <w:tab/>
      </w:r>
      <w:r w:rsidR="00AF192E" w:rsidRPr="00DE5EB8">
        <w:tab/>
      </w:r>
      <w:r w:rsidR="00AF192E" w:rsidRPr="00DE5EB8">
        <w:tab/>
      </w:r>
      <w:r w:rsidR="00AF192E" w:rsidRPr="00DE5EB8">
        <w:tab/>
      </w:r>
      <w:r w:rsidR="00AF192E" w:rsidRPr="00DE5EB8">
        <w:tab/>
        <w:t>Katrina L. Dunderdale</w:t>
      </w:r>
    </w:p>
    <w:p w:rsidR="00AF192E" w:rsidRPr="00DE5EB8" w:rsidRDefault="00AF192E" w:rsidP="00AF192E">
      <w:pPr>
        <w:tabs>
          <w:tab w:val="num" w:pos="2160"/>
        </w:tabs>
      </w:pPr>
      <w:r w:rsidRPr="00DE5EB8">
        <w:tab/>
      </w:r>
      <w:r w:rsidRPr="00DE5EB8">
        <w:tab/>
      </w:r>
      <w:r w:rsidRPr="00DE5EB8">
        <w:tab/>
      </w:r>
      <w:r w:rsidRPr="00DE5EB8">
        <w:tab/>
      </w:r>
      <w:r w:rsidRPr="00DE5EB8">
        <w:tab/>
      </w:r>
      <w:r w:rsidR="00026C00">
        <w:tab/>
      </w:r>
      <w:r w:rsidRPr="00DE5EB8">
        <w:t>Administrative Law Judge</w:t>
      </w:r>
    </w:p>
    <w:p w:rsidR="000E6AC8" w:rsidRPr="00DE5EB8" w:rsidRDefault="000E6AC8" w:rsidP="00B46DE5">
      <w:pPr>
        <w:ind w:right="115"/>
      </w:pPr>
    </w:p>
    <w:sectPr w:rsidR="000E6AC8" w:rsidRPr="00DE5EB8" w:rsidSect="00F6612B">
      <w:footerReference w:type="even" r:id="rId9"/>
      <w:footerReference w:type="default" r:id="rId10"/>
      <w:pgSz w:w="12240" w:h="15840" w:code="1"/>
      <w:pgMar w:top="1440" w:right="1440" w:bottom="1440" w:left="1440" w:header="720" w:footer="720" w:gutter="0"/>
      <w:paperSrc w:first="5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FE1" w:rsidRDefault="003B7FE1">
      <w:r>
        <w:separator/>
      </w:r>
    </w:p>
  </w:endnote>
  <w:endnote w:type="continuationSeparator" w:id="0">
    <w:p w:rsidR="003B7FE1" w:rsidRDefault="003B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Default="00F010BF" w:rsidP="008E4FD6">
    <w:pPr>
      <w:pStyle w:val="Footer"/>
      <w:framePr w:wrap="around" w:vAnchor="text" w:hAnchor="margin" w:xAlign="center" w:y="1"/>
      <w:rPr>
        <w:rStyle w:val="PageNumber"/>
      </w:rPr>
    </w:pPr>
    <w:r>
      <w:rPr>
        <w:rStyle w:val="PageNumber"/>
      </w:rPr>
      <w:fldChar w:fldCharType="begin"/>
    </w:r>
    <w:r w:rsidR="002C71EE">
      <w:rPr>
        <w:rStyle w:val="PageNumber"/>
      </w:rPr>
      <w:instrText xml:space="preserve">PAGE  </w:instrText>
    </w:r>
    <w:r>
      <w:rPr>
        <w:rStyle w:val="PageNumber"/>
      </w:rPr>
      <w:fldChar w:fldCharType="separate"/>
    </w:r>
    <w:r w:rsidR="002562E9">
      <w:rPr>
        <w:rStyle w:val="PageNumber"/>
        <w:noProof/>
      </w:rPr>
      <w:t>7</w:t>
    </w:r>
    <w:r>
      <w:rPr>
        <w:rStyle w:val="PageNumber"/>
      </w:rPr>
      <w:fldChar w:fldCharType="end"/>
    </w:r>
  </w:p>
  <w:p w:rsidR="002C71EE" w:rsidRDefault="002C71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1EE" w:rsidRPr="0014242F" w:rsidRDefault="00F010BF" w:rsidP="008E4FD6">
    <w:pPr>
      <w:pStyle w:val="Footer"/>
      <w:framePr w:wrap="around" w:vAnchor="text" w:hAnchor="margin" w:xAlign="center" w:y="1"/>
      <w:rPr>
        <w:rStyle w:val="PageNumber"/>
        <w:sz w:val="20"/>
        <w:szCs w:val="20"/>
      </w:rPr>
    </w:pPr>
    <w:r w:rsidRPr="0014242F">
      <w:rPr>
        <w:rStyle w:val="PageNumber"/>
        <w:sz w:val="20"/>
        <w:szCs w:val="20"/>
      </w:rPr>
      <w:fldChar w:fldCharType="begin"/>
    </w:r>
    <w:r w:rsidR="002C71EE" w:rsidRPr="0014242F">
      <w:rPr>
        <w:rStyle w:val="PageNumber"/>
        <w:sz w:val="20"/>
        <w:szCs w:val="20"/>
      </w:rPr>
      <w:instrText xml:space="preserve">PAGE  </w:instrText>
    </w:r>
    <w:r w:rsidRPr="0014242F">
      <w:rPr>
        <w:rStyle w:val="PageNumber"/>
        <w:sz w:val="20"/>
        <w:szCs w:val="20"/>
      </w:rPr>
      <w:fldChar w:fldCharType="separate"/>
    </w:r>
    <w:r w:rsidR="009C33E7">
      <w:rPr>
        <w:rStyle w:val="PageNumber"/>
        <w:noProof/>
        <w:sz w:val="20"/>
        <w:szCs w:val="20"/>
      </w:rPr>
      <w:t>11</w:t>
    </w:r>
    <w:r w:rsidRPr="0014242F">
      <w:rPr>
        <w:rStyle w:val="PageNumber"/>
        <w:sz w:val="20"/>
        <w:szCs w:val="20"/>
      </w:rPr>
      <w:fldChar w:fldCharType="end"/>
    </w:r>
  </w:p>
  <w:p w:rsidR="002C71EE" w:rsidRDefault="002C71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FE1" w:rsidRDefault="003B7FE1">
      <w:r>
        <w:separator/>
      </w:r>
    </w:p>
  </w:footnote>
  <w:footnote w:type="continuationSeparator" w:id="0">
    <w:p w:rsidR="003B7FE1" w:rsidRDefault="003B7FE1">
      <w:r>
        <w:continuationSeparator/>
      </w:r>
    </w:p>
  </w:footnote>
  <w:footnote w:id="1">
    <w:p w:rsidR="00A434B1" w:rsidRDefault="00A434B1" w:rsidP="009239DC">
      <w:pPr>
        <w:pStyle w:val="FootnoteText"/>
        <w:rPr>
          <w:sz w:val="24"/>
          <w:szCs w:val="24"/>
        </w:rPr>
      </w:pPr>
      <w:r>
        <w:rPr>
          <w:rStyle w:val="FootnoteReference"/>
        </w:rPr>
        <w:footnoteRef/>
      </w:r>
      <w:r>
        <w:t xml:space="preserve"> </w:t>
      </w:r>
      <w:r>
        <w:tab/>
      </w:r>
      <w:proofErr w:type="gramStart"/>
      <w:r w:rsidRPr="00E73118">
        <w:rPr>
          <w:u w:val="single"/>
        </w:rPr>
        <w:t>Elkin v. Bell of Pa.</w:t>
      </w:r>
      <w:r w:rsidRPr="00E73118">
        <w:t>,</w:t>
      </w:r>
      <w:r w:rsidRPr="00E73118">
        <w:rPr>
          <w:i/>
        </w:rPr>
        <w:t xml:space="preserve"> </w:t>
      </w:r>
      <w:r w:rsidRPr="00E73118">
        <w:t>491 Pa. 123, 420 A.2d 371 (1980).</w:t>
      </w:r>
      <w:proofErr w:type="gramEnd"/>
      <w:r w:rsidRPr="006E0E7F">
        <w:rPr>
          <w:sz w:val="24"/>
          <w:szCs w:val="24"/>
        </w:rPr>
        <w:t xml:space="preserve"> </w:t>
      </w:r>
    </w:p>
    <w:p w:rsidR="002F178D" w:rsidRDefault="002F178D" w:rsidP="009239DC">
      <w:pPr>
        <w:pStyle w:val="FootnoteText"/>
      </w:pPr>
    </w:p>
  </w:footnote>
  <w:footnote w:id="2">
    <w:p w:rsidR="00A434B1" w:rsidRDefault="00A434B1" w:rsidP="00F13E74">
      <w:pPr>
        <w:pStyle w:val="FootnoteText"/>
      </w:pPr>
      <w:r w:rsidRPr="00E73118">
        <w:rPr>
          <w:rStyle w:val="FootnoteReference"/>
        </w:rPr>
        <w:footnoteRef/>
      </w:r>
      <w:r w:rsidRPr="00E73118">
        <w:t xml:space="preserve"> </w:t>
      </w:r>
      <w:r w:rsidRPr="00E73118">
        <w:tab/>
      </w:r>
      <w:proofErr w:type="gramStart"/>
      <w:r w:rsidRPr="00E73118">
        <w:t xml:space="preserve">66 </w:t>
      </w:r>
      <w:proofErr w:type="spellStart"/>
      <w:r w:rsidRPr="00E73118">
        <w:t>Pa.C.S.</w:t>
      </w:r>
      <w:r>
        <w:t>A</w:t>
      </w:r>
      <w:proofErr w:type="spellEnd"/>
      <w:r>
        <w:t>.</w:t>
      </w:r>
      <w:proofErr w:type="gramEnd"/>
      <w:r w:rsidRPr="00E73118">
        <w:t xml:space="preserve"> §</w:t>
      </w:r>
      <w:r>
        <w:t xml:space="preserve"> </w:t>
      </w:r>
      <w:r w:rsidRPr="00E73118">
        <w:t xml:space="preserve">102.  </w:t>
      </w:r>
    </w:p>
    <w:p w:rsidR="00A434B1" w:rsidRPr="00E73118" w:rsidRDefault="00A434B1" w:rsidP="00F13E74">
      <w:pPr>
        <w:pStyle w:val="FootnoteText"/>
      </w:pPr>
    </w:p>
  </w:footnote>
  <w:footnote w:id="3">
    <w:p w:rsidR="00A25BF3" w:rsidRDefault="00A25BF3" w:rsidP="00F13E74">
      <w:pPr>
        <w:pStyle w:val="FootnoteText"/>
      </w:pPr>
      <w:r>
        <w:rPr>
          <w:rStyle w:val="FootnoteReference"/>
        </w:rPr>
        <w:footnoteRef/>
      </w:r>
      <w:r>
        <w:t xml:space="preserve"> </w:t>
      </w:r>
      <w:r>
        <w:tab/>
      </w:r>
      <w:proofErr w:type="gramStart"/>
      <w:r w:rsidRPr="00A6043D">
        <w:rPr>
          <w:u w:val="single"/>
        </w:rPr>
        <w:t xml:space="preserve">Norfolk &amp; Western Ry. Company v. </w:t>
      </w:r>
      <w:r w:rsidR="00484830">
        <w:rPr>
          <w:u w:val="single"/>
        </w:rPr>
        <w:t>Pa. Pub.</w:t>
      </w:r>
      <w:proofErr w:type="gramEnd"/>
      <w:r w:rsidR="00484830">
        <w:rPr>
          <w:u w:val="single"/>
        </w:rPr>
        <w:t xml:space="preserve"> </w:t>
      </w:r>
      <w:proofErr w:type="gramStart"/>
      <w:r w:rsidR="00484830">
        <w:rPr>
          <w:u w:val="single"/>
        </w:rPr>
        <w:t xml:space="preserve">Util. </w:t>
      </w:r>
      <w:proofErr w:type="spellStart"/>
      <w:r w:rsidR="00484830">
        <w:rPr>
          <w:u w:val="single"/>
        </w:rPr>
        <w:t>Comm’n</w:t>
      </w:r>
      <w:proofErr w:type="spellEnd"/>
      <w:r w:rsidRPr="00A6043D">
        <w:t xml:space="preserve">, 489 Pa. 109, 413 A.2d 1037 (1980); </w:t>
      </w:r>
      <w:r w:rsidRPr="00A6043D">
        <w:rPr>
          <w:u w:val="single"/>
        </w:rPr>
        <w:t>Erie Resistor Corp. v. Unemployment Board of Review</w:t>
      </w:r>
      <w:r w:rsidRPr="00A6043D">
        <w:t xml:space="preserve">, 194 Pa. Superior Ct. 278, 166 A.2d 96 (1961); </w:t>
      </w:r>
      <w:r w:rsidRPr="00A6043D">
        <w:rPr>
          <w:u w:val="single"/>
        </w:rPr>
        <w:t>Murphy v. Dep</w:t>
      </w:r>
      <w:r w:rsidR="00484830">
        <w:rPr>
          <w:u w:val="single"/>
        </w:rPr>
        <w:t>t.</w:t>
      </w:r>
      <w:r w:rsidRPr="00A6043D">
        <w:rPr>
          <w:u w:val="single"/>
        </w:rPr>
        <w:t xml:space="preserve"> of Public Welfare</w:t>
      </w:r>
      <w:r w:rsidRPr="00A6043D">
        <w:t>, 480 A.2d 382 (</w:t>
      </w:r>
      <w:proofErr w:type="spellStart"/>
      <w:r w:rsidRPr="00A6043D">
        <w:t>Pa.Cmwlth</w:t>
      </w:r>
      <w:proofErr w:type="spellEnd"/>
      <w:r w:rsidRPr="00A6043D">
        <w:t>. 1984).</w:t>
      </w:r>
      <w:proofErr w:type="gramEnd"/>
    </w:p>
    <w:p w:rsidR="00A25BF3" w:rsidRDefault="00A25BF3" w:rsidP="00F13E74">
      <w:pPr>
        <w:pStyle w:val="FootnoteText"/>
      </w:pPr>
    </w:p>
  </w:footnote>
  <w:footnote w:id="4">
    <w:p w:rsidR="00A25BF3" w:rsidRDefault="00A25BF3" w:rsidP="00F13E74">
      <w:pPr>
        <w:pStyle w:val="FootnoteText"/>
      </w:pPr>
      <w:r>
        <w:rPr>
          <w:rStyle w:val="FootnoteReference"/>
        </w:rPr>
        <w:footnoteRef/>
      </w:r>
      <w:r>
        <w:t xml:space="preserve"> </w:t>
      </w:r>
      <w:r>
        <w:tab/>
      </w:r>
      <w:proofErr w:type="gramStart"/>
      <w:r w:rsidRPr="00493BBB">
        <w:rPr>
          <w:u w:val="single"/>
        </w:rPr>
        <w:t xml:space="preserve">Morrissey v. </w:t>
      </w:r>
      <w:r w:rsidR="00484830">
        <w:rPr>
          <w:u w:val="single"/>
        </w:rPr>
        <w:t>Pa.</w:t>
      </w:r>
      <w:r w:rsidRPr="00493BBB">
        <w:rPr>
          <w:u w:val="single"/>
        </w:rPr>
        <w:t xml:space="preserve"> Dept. of Highways</w:t>
      </w:r>
      <w:r>
        <w:t xml:space="preserve">, 424 Pa. 87, 225 A.2d 895 (1967) and </w:t>
      </w:r>
      <w:r w:rsidRPr="00493BBB">
        <w:rPr>
          <w:u w:val="single"/>
        </w:rPr>
        <w:t>Burleson v</w:t>
      </w:r>
      <w:r>
        <w:rPr>
          <w:u w:val="single"/>
        </w:rPr>
        <w:t>.</w:t>
      </w:r>
      <w:r w:rsidRPr="00493BBB">
        <w:rPr>
          <w:u w:val="single"/>
        </w:rPr>
        <w:t xml:space="preserve"> </w:t>
      </w:r>
      <w:r w:rsidR="00484830">
        <w:rPr>
          <w:u w:val="single"/>
        </w:rPr>
        <w:t>Pa. Pub.</w:t>
      </w:r>
      <w:proofErr w:type="gramEnd"/>
      <w:r w:rsidR="00484830">
        <w:rPr>
          <w:u w:val="single"/>
        </w:rPr>
        <w:t xml:space="preserve"> Util. </w:t>
      </w:r>
      <w:proofErr w:type="spellStart"/>
      <w:r w:rsidR="00484830">
        <w:rPr>
          <w:u w:val="single"/>
        </w:rPr>
        <w:t>Comm’n</w:t>
      </w:r>
      <w:proofErr w:type="spellEnd"/>
      <w:r>
        <w:t xml:space="preserve">, </w:t>
      </w:r>
      <w:proofErr w:type="gramStart"/>
      <w:r>
        <w:t xml:space="preserve">66 </w:t>
      </w:r>
      <w:proofErr w:type="spellStart"/>
      <w:r>
        <w:t>Pa.C</w:t>
      </w:r>
      <w:r w:rsidR="00EB297F">
        <w:t>m</w:t>
      </w:r>
      <w:r>
        <w:t>w</w:t>
      </w:r>
      <w:r w:rsidR="00EB297F">
        <w:t>lth</w:t>
      </w:r>
      <w:proofErr w:type="spellEnd"/>
      <w:proofErr w:type="gramEnd"/>
      <w:r>
        <w:t xml:space="preserve">. 282, 443 A.2d 1373 (1982), </w:t>
      </w:r>
      <w:r w:rsidRPr="00493BBB">
        <w:rPr>
          <w:u w:val="single"/>
        </w:rPr>
        <w:t>aff’d</w:t>
      </w:r>
      <w:r>
        <w:t xml:space="preserve"> 501 Pa. 443, 461 A.2d 1234.</w:t>
      </w:r>
    </w:p>
  </w:footnote>
  <w:footnote w:id="5">
    <w:p w:rsidR="006B611A" w:rsidRDefault="006B611A" w:rsidP="007B65C1">
      <w:pPr>
        <w:pStyle w:val="FootnoteText"/>
      </w:pPr>
      <w:r>
        <w:rPr>
          <w:rStyle w:val="FootnoteReference"/>
        </w:rPr>
        <w:footnoteRef/>
      </w:r>
      <w:r>
        <w:t xml:space="preserve"> </w:t>
      </w:r>
      <w:r>
        <w:tab/>
        <w:t xml:space="preserve">See </w:t>
      </w:r>
      <w:proofErr w:type="gramStart"/>
      <w:r>
        <w:t xml:space="preserve">66 </w:t>
      </w:r>
      <w:proofErr w:type="spellStart"/>
      <w:r>
        <w:t>Pa.C.S.A</w:t>
      </w:r>
      <w:proofErr w:type="spellEnd"/>
      <w:proofErr w:type="gramEnd"/>
      <w:r>
        <w:t>. §</w:t>
      </w:r>
      <w:r w:rsidR="0084785E">
        <w:t xml:space="preserve"> </w:t>
      </w:r>
      <w:r>
        <w:t>1501</w:t>
      </w:r>
      <w:r w:rsidR="005E7D81">
        <w:t xml:space="preserve"> and § 332</w:t>
      </w:r>
      <w:r>
        <w:t>.</w:t>
      </w:r>
    </w:p>
    <w:p w:rsidR="006B611A" w:rsidRDefault="006B611A" w:rsidP="006B611A">
      <w:pPr>
        <w:pStyle w:val="FootnoteText"/>
      </w:pPr>
    </w:p>
  </w:footnote>
  <w:footnote w:id="6">
    <w:p w:rsidR="006B611A" w:rsidRDefault="006B611A" w:rsidP="00DF6BE8">
      <w:pPr>
        <w:pStyle w:val="BodyText"/>
        <w:spacing w:line="240" w:lineRule="auto"/>
        <w:jc w:val="left"/>
        <w:outlineLvl w:val="0"/>
        <w:rPr>
          <w:sz w:val="20"/>
        </w:rPr>
      </w:pPr>
      <w:r w:rsidRPr="00F04375">
        <w:rPr>
          <w:rStyle w:val="FootnoteReference"/>
          <w:sz w:val="20"/>
        </w:rPr>
        <w:footnoteRef/>
      </w:r>
      <w:r w:rsidRPr="00F04375">
        <w:rPr>
          <w:sz w:val="20"/>
        </w:rPr>
        <w:t xml:space="preserve"> </w:t>
      </w:r>
      <w:r>
        <w:tab/>
      </w:r>
      <w:r w:rsidRPr="003A3CC0">
        <w:rPr>
          <w:sz w:val="20"/>
        </w:rPr>
        <w:t xml:space="preserve">See </w:t>
      </w:r>
      <w:r w:rsidRPr="003A3CC0">
        <w:rPr>
          <w:sz w:val="20"/>
          <w:u w:val="single"/>
        </w:rPr>
        <w:t xml:space="preserve">Tremaine v. H.K. </w:t>
      </w:r>
      <w:proofErr w:type="spellStart"/>
      <w:r w:rsidRPr="003A3CC0">
        <w:rPr>
          <w:sz w:val="20"/>
          <w:u w:val="single"/>
        </w:rPr>
        <w:t>Mulford</w:t>
      </w:r>
      <w:proofErr w:type="spellEnd"/>
      <w:r w:rsidRPr="003A3CC0">
        <w:rPr>
          <w:sz w:val="20"/>
          <w:u w:val="single"/>
        </w:rPr>
        <w:t xml:space="preserve"> Co.</w:t>
      </w:r>
      <w:r>
        <w:rPr>
          <w:sz w:val="20"/>
        </w:rPr>
        <w:t>, 317 Pa. 97</w:t>
      </w:r>
      <w:r w:rsidR="00FF2C8E">
        <w:rPr>
          <w:sz w:val="20"/>
        </w:rPr>
        <w:t xml:space="preserve"> (1934)</w:t>
      </w:r>
      <w:r>
        <w:rPr>
          <w:sz w:val="20"/>
        </w:rPr>
        <w:t xml:space="preserve">; </w:t>
      </w:r>
      <w:r>
        <w:rPr>
          <w:sz w:val="20"/>
          <w:u w:val="single"/>
        </w:rPr>
        <w:t>Wilson v Pennsylvania Railroad Company</w:t>
      </w:r>
      <w:r>
        <w:rPr>
          <w:sz w:val="20"/>
        </w:rPr>
        <w:t xml:space="preserve">, 421 Pa. 419, </w:t>
      </w:r>
      <w:r w:rsidRPr="00BD3377">
        <w:rPr>
          <w:sz w:val="20"/>
        </w:rPr>
        <w:t xml:space="preserve">210 A.2d 666 (1966); and </w:t>
      </w:r>
      <w:r w:rsidRPr="00BD3377">
        <w:rPr>
          <w:sz w:val="20"/>
          <w:u w:val="single"/>
        </w:rPr>
        <w:t>Glover v. Com., Norristown State Hospital</w:t>
      </w:r>
      <w:r w:rsidRPr="00BD3377">
        <w:rPr>
          <w:sz w:val="20"/>
        </w:rPr>
        <w:t xml:space="preserve">, 90 </w:t>
      </w:r>
      <w:proofErr w:type="spellStart"/>
      <w:r w:rsidRPr="00BD3377">
        <w:rPr>
          <w:sz w:val="20"/>
        </w:rPr>
        <w:t>Pa.C</w:t>
      </w:r>
      <w:r w:rsidR="002819AD">
        <w:rPr>
          <w:sz w:val="20"/>
        </w:rPr>
        <w:t>mwlth</w:t>
      </w:r>
      <w:proofErr w:type="spellEnd"/>
      <w:r w:rsidRPr="00BD3377">
        <w:rPr>
          <w:sz w:val="20"/>
        </w:rPr>
        <w:t xml:space="preserve">. </w:t>
      </w:r>
      <w:proofErr w:type="gramStart"/>
      <w:r w:rsidRPr="00BD3377">
        <w:rPr>
          <w:sz w:val="20"/>
        </w:rPr>
        <w:t>58, 494 A.2d 39 (1985).</w:t>
      </w:r>
      <w:proofErr w:type="gramEnd"/>
      <w:r w:rsidR="00C61E66">
        <w:rPr>
          <w:sz w:val="20"/>
        </w:rPr>
        <w:t xml:space="preserve">  See also </w:t>
      </w:r>
      <w:proofErr w:type="spellStart"/>
      <w:r w:rsidR="00C61E66" w:rsidRPr="00C61E66">
        <w:rPr>
          <w:sz w:val="20"/>
          <w:u w:val="single"/>
        </w:rPr>
        <w:t>Bonegre</w:t>
      </w:r>
      <w:proofErr w:type="spellEnd"/>
      <w:r w:rsidR="00C61E66" w:rsidRPr="00C61E66">
        <w:rPr>
          <w:sz w:val="20"/>
          <w:u w:val="single"/>
        </w:rPr>
        <w:t xml:space="preserve"> v. Workers</w:t>
      </w:r>
      <w:r w:rsidR="00CA2332">
        <w:rPr>
          <w:sz w:val="20"/>
          <w:u w:val="single"/>
        </w:rPr>
        <w:t>’</w:t>
      </w:r>
      <w:r w:rsidR="00C61E66" w:rsidRPr="00C61E66">
        <w:rPr>
          <w:sz w:val="20"/>
          <w:u w:val="single"/>
        </w:rPr>
        <w:t xml:space="preserve"> Comp. Bd. </w:t>
      </w:r>
      <w:r w:rsidR="00C61E66" w:rsidRPr="009C33E7">
        <w:rPr>
          <w:sz w:val="20"/>
          <w:u w:val="single"/>
        </w:rPr>
        <w:t>of Rev.</w:t>
      </w:r>
      <w:r w:rsidR="00C61E66">
        <w:rPr>
          <w:sz w:val="20"/>
        </w:rPr>
        <w:t>, 863 A.2d 68 (</w:t>
      </w:r>
      <w:proofErr w:type="spellStart"/>
      <w:r w:rsidR="00C61E66">
        <w:rPr>
          <w:sz w:val="20"/>
        </w:rPr>
        <w:t>Pa.Cmwlth</w:t>
      </w:r>
      <w:proofErr w:type="spellEnd"/>
      <w:r w:rsidR="00C61E66">
        <w:rPr>
          <w:sz w:val="20"/>
        </w:rPr>
        <w:t>. 2004).</w:t>
      </w:r>
    </w:p>
    <w:p w:rsidR="006B611A" w:rsidRPr="00BD3377" w:rsidRDefault="006B611A" w:rsidP="00DF6BE8">
      <w:pPr>
        <w:pStyle w:val="BodyText"/>
        <w:spacing w:line="240" w:lineRule="auto"/>
        <w:jc w:val="left"/>
        <w:outlineLvl w:val="0"/>
        <w:rPr>
          <w:sz w:val="20"/>
        </w:rPr>
      </w:pPr>
    </w:p>
  </w:footnote>
  <w:footnote w:id="7">
    <w:p w:rsidR="0059617F" w:rsidRDefault="0059617F" w:rsidP="00DF6BE8">
      <w:pPr>
        <w:pStyle w:val="FootnoteText"/>
      </w:pPr>
      <w:r>
        <w:rPr>
          <w:rStyle w:val="FootnoteReference"/>
        </w:rPr>
        <w:footnoteRef/>
      </w:r>
      <w:r>
        <w:t xml:space="preserve"> </w:t>
      </w:r>
      <w:r>
        <w:tab/>
      </w:r>
      <w:r w:rsidRPr="00EF3CBD">
        <w:rPr>
          <w:u w:val="single"/>
        </w:rPr>
        <w:t>Kirkwood v. Unemployment Comp. Bd. of Review</w:t>
      </w:r>
      <w:r>
        <w:t xml:space="preserve">, </w:t>
      </w:r>
      <w:proofErr w:type="gramStart"/>
      <w:r>
        <w:t xml:space="preserve">106 </w:t>
      </w:r>
      <w:proofErr w:type="spellStart"/>
      <w:r>
        <w:t>Pa.Cmwlth</w:t>
      </w:r>
      <w:proofErr w:type="spellEnd"/>
      <w:proofErr w:type="gramEnd"/>
      <w:r>
        <w:t>.</w:t>
      </w:r>
      <w:r w:rsidR="00EF3CBD">
        <w:t xml:space="preserve"> </w:t>
      </w:r>
      <w:proofErr w:type="gramStart"/>
      <w:r w:rsidR="00EF3CBD">
        <w:t>92, 525 A.2d 841</w:t>
      </w:r>
      <w:r w:rsidR="00FF2C8E">
        <w:t xml:space="preserve"> (1987)</w:t>
      </w:r>
      <w:r w:rsidR="00EF3CBD">
        <w:t>;</w:t>
      </w:r>
      <w:r>
        <w:t xml:space="preserve"> </w:t>
      </w:r>
      <w:r w:rsidRPr="00EF3CBD">
        <w:rPr>
          <w:u w:val="single"/>
        </w:rPr>
        <w:t>Goodman v. Dept. of Public Welfare</w:t>
      </w:r>
      <w:r>
        <w:t>, 695 A.2d 945 (</w:t>
      </w:r>
      <w:proofErr w:type="spellStart"/>
      <w:r>
        <w:t>Pa.C</w:t>
      </w:r>
      <w:r w:rsidR="002819AD">
        <w:t>mwlth</w:t>
      </w:r>
      <w:proofErr w:type="spellEnd"/>
      <w:r>
        <w:t>. 1997).</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0A5348E4"/>
    <w:multiLevelType w:val="hybridMultilevel"/>
    <w:tmpl w:val="CFE079B6"/>
    <w:lvl w:ilvl="0" w:tplc="B686DB18">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2F42133"/>
    <w:multiLevelType w:val="hybridMultilevel"/>
    <w:tmpl w:val="157CADC4"/>
    <w:lvl w:ilvl="0" w:tplc="CFFED886">
      <w:start w:val="4"/>
      <w:numFmt w:val="decimal"/>
      <w:lvlText w:val="%1."/>
      <w:lvlJc w:val="left"/>
      <w:pPr>
        <w:tabs>
          <w:tab w:val="num" w:pos="2160"/>
        </w:tabs>
        <w:ind w:left="2160" w:hanging="720"/>
      </w:pPr>
      <w:rPr>
        <w:rFonts w:hint="default"/>
        <w:sz w:val="26"/>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34B67595"/>
    <w:multiLevelType w:val="hybridMultilevel"/>
    <w:tmpl w:val="13BED32A"/>
    <w:lvl w:ilvl="0" w:tplc="293E8D4C">
      <w:start w:val="10"/>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35AF35B8"/>
    <w:multiLevelType w:val="hybridMultilevel"/>
    <w:tmpl w:val="FCFA96B8"/>
    <w:lvl w:ilvl="0" w:tplc="0C22F736">
      <w:start w:val="2"/>
      <w:numFmt w:val="decimal"/>
      <w:lvlText w:val="(%1)"/>
      <w:lvlJc w:val="left"/>
      <w:pPr>
        <w:tabs>
          <w:tab w:val="num" w:pos="1080"/>
        </w:tabs>
        <w:ind w:left="1080" w:hanging="360"/>
      </w:pPr>
      <w:rPr>
        <w:rFonts w:hint="default"/>
      </w:rPr>
    </w:lvl>
    <w:lvl w:ilvl="1" w:tplc="A6E41AB6">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379229C0"/>
    <w:multiLevelType w:val="hybridMultilevel"/>
    <w:tmpl w:val="6F7AFBCC"/>
    <w:lvl w:ilvl="0" w:tplc="FCCCD0B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7C1B6D"/>
    <w:multiLevelType w:val="hybridMultilevel"/>
    <w:tmpl w:val="A176C770"/>
    <w:lvl w:ilvl="0" w:tplc="B1DA77B2">
      <w:start w:val="1"/>
      <w:numFmt w:val="decimal"/>
      <w:lvlText w:val="(%1)"/>
      <w:lvlJc w:val="left"/>
      <w:pPr>
        <w:tabs>
          <w:tab w:val="num" w:pos="2160"/>
        </w:tabs>
        <w:ind w:left="2160" w:hanging="1440"/>
      </w:pPr>
      <w:rPr>
        <w:rFonts w:hint="default"/>
      </w:rPr>
    </w:lvl>
    <w:lvl w:ilvl="1" w:tplc="C4A6B3A4">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FD62D8A"/>
    <w:multiLevelType w:val="hybridMultilevel"/>
    <w:tmpl w:val="2090BF7C"/>
    <w:lvl w:ilvl="0" w:tplc="F998E4C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4C628AD"/>
    <w:multiLevelType w:val="hybridMultilevel"/>
    <w:tmpl w:val="C0B22116"/>
    <w:lvl w:ilvl="0" w:tplc="3078D98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C7450D3"/>
    <w:multiLevelType w:val="hybridMultilevel"/>
    <w:tmpl w:val="C4F0C2D2"/>
    <w:lvl w:ilvl="0" w:tplc="69009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1"/>
  </w:num>
  <w:num w:numId="6">
    <w:abstractNumId w:val="3"/>
  </w:num>
  <w:num w:numId="7">
    <w:abstractNumId w:val="9"/>
  </w:num>
  <w:num w:numId="8">
    <w:abstractNumId w:val="2"/>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125D"/>
    <w:rsid w:val="00002933"/>
    <w:rsid w:val="00005217"/>
    <w:rsid w:val="00012B20"/>
    <w:rsid w:val="00014CD9"/>
    <w:rsid w:val="00015E77"/>
    <w:rsid w:val="000202E4"/>
    <w:rsid w:val="00020B78"/>
    <w:rsid w:val="000218E1"/>
    <w:rsid w:val="00023CF5"/>
    <w:rsid w:val="0002562B"/>
    <w:rsid w:val="00026C00"/>
    <w:rsid w:val="00027199"/>
    <w:rsid w:val="00032447"/>
    <w:rsid w:val="0003254A"/>
    <w:rsid w:val="0003345F"/>
    <w:rsid w:val="00034D3C"/>
    <w:rsid w:val="0003581E"/>
    <w:rsid w:val="00036E7E"/>
    <w:rsid w:val="0003750C"/>
    <w:rsid w:val="0004246D"/>
    <w:rsid w:val="00042684"/>
    <w:rsid w:val="00047CF1"/>
    <w:rsid w:val="00050D6D"/>
    <w:rsid w:val="00051FFD"/>
    <w:rsid w:val="000522FF"/>
    <w:rsid w:val="000539E5"/>
    <w:rsid w:val="00053A88"/>
    <w:rsid w:val="000566F5"/>
    <w:rsid w:val="00056CC0"/>
    <w:rsid w:val="0006370C"/>
    <w:rsid w:val="00064E1B"/>
    <w:rsid w:val="00065B67"/>
    <w:rsid w:val="00066099"/>
    <w:rsid w:val="00067DC6"/>
    <w:rsid w:val="00073A29"/>
    <w:rsid w:val="0007697D"/>
    <w:rsid w:val="00077E39"/>
    <w:rsid w:val="0008157D"/>
    <w:rsid w:val="00081933"/>
    <w:rsid w:val="0008669E"/>
    <w:rsid w:val="00086D0E"/>
    <w:rsid w:val="000876AA"/>
    <w:rsid w:val="00091392"/>
    <w:rsid w:val="00091434"/>
    <w:rsid w:val="000919E3"/>
    <w:rsid w:val="00092268"/>
    <w:rsid w:val="0009237C"/>
    <w:rsid w:val="00093C5F"/>
    <w:rsid w:val="00094316"/>
    <w:rsid w:val="00094EC4"/>
    <w:rsid w:val="00095A48"/>
    <w:rsid w:val="00097F70"/>
    <w:rsid w:val="000A46F6"/>
    <w:rsid w:val="000A7A7E"/>
    <w:rsid w:val="000A7B01"/>
    <w:rsid w:val="000A7DE2"/>
    <w:rsid w:val="000B0443"/>
    <w:rsid w:val="000B12EC"/>
    <w:rsid w:val="000B1450"/>
    <w:rsid w:val="000B2586"/>
    <w:rsid w:val="000B4044"/>
    <w:rsid w:val="000B575F"/>
    <w:rsid w:val="000B7480"/>
    <w:rsid w:val="000C0C94"/>
    <w:rsid w:val="000C22D0"/>
    <w:rsid w:val="000C4FB0"/>
    <w:rsid w:val="000C6105"/>
    <w:rsid w:val="000C639E"/>
    <w:rsid w:val="000C6633"/>
    <w:rsid w:val="000C736C"/>
    <w:rsid w:val="000D0A5A"/>
    <w:rsid w:val="000D20FB"/>
    <w:rsid w:val="000D332F"/>
    <w:rsid w:val="000D39B8"/>
    <w:rsid w:val="000D4E83"/>
    <w:rsid w:val="000D74CE"/>
    <w:rsid w:val="000D7D68"/>
    <w:rsid w:val="000E0DDA"/>
    <w:rsid w:val="000E33AA"/>
    <w:rsid w:val="000E4C15"/>
    <w:rsid w:val="000E4D29"/>
    <w:rsid w:val="000E52DA"/>
    <w:rsid w:val="000E6AC8"/>
    <w:rsid w:val="000F0F3C"/>
    <w:rsid w:val="000F45A3"/>
    <w:rsid w:val="000F4D6B"/>
    <w:rsid w:val="000F746C"/>
    <w:rsid w:val="0010040A"/>
    <w:rsid w:val="00101320"/>
    <w:rsid w:val="00103215"/>
    <w:rsid w:val="00103B9D"/>
    <w:rsid w:val="0010437D"/>
    <w:rsid w:val="00104453"/>
    <w:rsid w:val="001045BC"/>
    <w:rsid w:val="00106746"/>
    <w:rsid w:val="001130C8"/>
    <w:rsid w:val="001140BC"/>
    <w:rsid w:val="001146B8"/>
    <w:rsid w:val="001161AA"/>
    <w:rsid w:val="0011669D"/>
    <w:rsid w:val="0011788E"/>
    <w:rsid w:val="0012141F"/>
    <w:rsid w:val="00121AE5"/>
    <w:rsid w:val="0012397B"/>
    <w:rsid w:val="00123A42"/>
    <w:rsid w:val="0012478B"/>
    <w:rsid w:val="00125933"/>
    <w:rsid w:val="00125CCD"/>
    <w:rsid w:val="00126827"/>
    <w:rsid w:val="00130536"/>
    <w:rsid w:val="00130E27"/>
    <w:rsid w:val="0013299A"/>
    <w:rsid w:val="001339E0"/>
    <w:rsid w:val="00133A47"/>
    <w:rsid w:val="00133B41"/>
    <w:rsid w:val="001354D6"/>
    <w:rsid w:val="00137307"/>
    <w:rsid w:val="001375AA"/>
    <w:rsid w:val="00141A74"/>
    <w:rsid w:val="00142A80"/>
    <w:rsid w:val="00143FA7"/>
    <w:rsid w:val="00144748"/>
    <w:rsid w:val="001513EC"/>
    <w:rsid w:val="00151F32"/>
    <w:rsid w:val="00152853"/>
    <w:rsid w:val="0015329C"/>
    <w:rsid w:val="00153358"/>
    <w:rsid w:val="00153B26"/>
    <w:rsid w:val="00153E19"/>
    <w:rsid w:val="00156938"/>
    <w:rsid w:val="00156A90"/>
    <w:rsid w:val="001579F8"/>
    <w:rsid w:val="00157CFA"/>
    <w:rsid w:val="00161DD4"/>
    <w:rsid w:val="001651EC"/>
    <w:rsid w:val="00165400"/>
    <w:rsid w:val="0016541B"/>
    <w:rsid w:val="00166791"/>
    <w:rsid w:val="00166F22"/>
    <w:rsid w:val="00167534"/>
    <w:rsid w:val="00167CDD"/>
    <w:rsid w:val="00175921"/>
    <w:rsid w:val="001802CA"/>
    <w:rsid w:val="0018210B"/>
    <w:rsid w:val="00182E52"/>
    <w:rsid w:val="00182EDA"/>
    <w:rsid w:val="00182F15"/>
    <w:rsid w:val="0018379D"/>
    <w:rsid w:val="00183ABD"/>
    <w:rsid w:val="00183AE1"/>
    <w:rsid w:val="00185EF9"/>
    <w:rsid w:val="00192495"/>
    <w:rsid w:val="00195561"/>
    <w:rsid w:val="001961FE"/>
    <w:rsid w:val="00196E40"/>
    <w:rsid w:val="001A10B8"/>
    <w:rsid w:val="001A1C8E"/>
    <w:rsid w:val="001A39C1"/>
    <w:rsid w:val="001A3D01"/>
    <w:rsid w:val="001A7297"/>
    <w:rsid w:val="001A7B2A"/>
    <w:rsid w:val="001B02AE"/>
    <w:rsid w:val="001B0E09"/>
    <w:rsid w:val="001B1B88"/>
    <w:rsid w:val="001B3B0D"/>
    <w:rsid w:val="001B436F"/>
    <w:rsid w:val="001C3008"/>
    <w:rsid w:val="001C4EBC"/>
    <w:rsid w:val="001C5AD4"/>
    <w:rsid w:val="001C5F76"/>
    <w:rsid w:val="001C69B3"/>
    <w:rsid w:val="001C75AE"/>
    <w:rsid w:val="001C77BD"/>
    <w:rsid w:val="001D1DC6"/>
    <w:rsid w:val="001D5E87"/>
    <w:rsid w:val="001D67F3"/>
    <w:rsid w:val="001D6F49"/>
    <w:rsid w:val="001D7070"/>
    <w:rsid w:val="001D79FF"/>
    <w:rsid w:val="001D7B3E"/>
    <w:rsid w:val="001E0B58"/>
    <w:rsid w:val="001E2C24"/>
    <w:rsid w:val="001E4DB1"/>
    <w:rsid w:val="001E6E72"/>
    <w:rsid w:val="001F030C"/>
    <w:rsid w:val="001F2DB0"/>
    <w:rsid w:val="001F41BB"/>
    <w:rsid w:val="001F44B8"/>
    <w:rsid w:val="001F4B49"/>
    <w:rsid w:val="001F501B"/>
    <w:rsid w:val="001F63BE"/>
    <w:rsid w:val="00200ED0"/>
    <w:rsid w:val="00205CC7"/>
    <w:rsid w:val="00206B04"/>
    <w:rsid w:val="002075E6"/>
    <w:rsid w:val="00210334"/>
    <w:rsid w:val="00210460"/>
    <w:rsid w:val="00210A0F"/>
    <w:rsid w:val="00212D2D"/>
    <w:rsid w:val="00212F30"/>
    <w:rsid w:val="00214A19"/>
    <w:rsid w:val="002154B5"/>
    <w:rsid w:val="00216A05"/>
    <w:rsid w:val="00216AA4"/>
    <w:rsid w:val="0022141F"/>
    <w:rsid w:val="00222019"/>
    <w:rsid w:val="002226AB"/>
    <w:rsid w:val="00223A5B"/>
    <w:rsid w:val="00230A7F"/>
    <w:rsid w:val="00230C81"/>
    <w:rsid w:val="0023235E"/>
    <w:rsid w:val="00236778"/>
    <w:rsid w:val="002379B2"/>
    <w:rsid w:val="0024228E"/>
    <w:rsid w:val="00244AD1"/>
    <w:rsid w:val="00244F10"/>
    <w:rsid w:val="00251313"/>
    <w:rsid w:val="00251BBF"/>
    <w:rsid w:val="002520A5"/>
    <w:rsid w:val="00254BFC"/>
    <w:rsid w:val="00254FD1"/>
    <w:rsid w:val="0025557F"/>
    <w:rsid w:val="00255813"/>
    <w:rsid w:val="002562E9"/>
    <w:rsid w:val="00256651"/>
    <w:rsid w:val="00260089"/>
    <w:rsid w:val="0026028F"/>
    <w:rsid w:val="0026257D"/>
    <w:rsid w:val="00263EFE"/>
    <w:rsid w:val="00265108"/>
    <w:rsid w:val="0026526F"/>
    <w:rsid w:val="0026621C"/>
    <w:rsid w:val="00271404"/>
    <w:rsid w:val="00271E72"/>
    <w:rsid w:val="00271FF1"/>
    <w:rsid w:val="00277379"/>
    <w:rsid w:val="00277ABE"/>
    <w:rsid w:val="00280380"/>
    <w:rsid w:val="00280AF0"/>
    <w:rsid w:val="002819AD"/>
    <w:rsid w:val="002832D2"/>
    <w:rsid w:val="00283A3F"/>
    <w:rsid w:val="002867AD"/>
    <w:rsid w:val="0029002C"/>
    <w:rsid w:val="002904BB"/>
    <w:rsid w:val="00291636"/>
    <w:rsid w:val="00291917"/>
    <w:rsid w:val="002933CE"/>
    <w:rsid w:val="00295403"/>
    <w:rsid w:val="00296B64"/>
    <w:rsid w:val="00296D34"/>
    <w:rsid w:val="002A788C"/>
    <w:rsid w:val="002A78AC"/>
    <w:rsid w:val="002B39BF"/>
    <w:rsid w:val="002B433A"/>
    <w:rsid w:val="002B4996"/>
    <w:rsid w:val="002B4DFA"/>
    <w:rsid w:val="002C5C6F"/>
    <w:rsid w:val="002C703F"/>
    <w:rsid w:val="002C71EE"/>
    <w:rsid w:val="002C7AB0"/>
    <w:rsid w:val="002D154F"/>
    <w:rsid w:val="002D29E7"/>
    <w:rsid w:val="002D5376"/>
    <w:rsid w:val="002E2B6E"/>
    <w:rsid w:val="002E49A8"/>
    <w:rsid w:val="002E597B"/>
    <w:rsid w:val="002E5A74"/>
    <w:rsid w:val="002E6B15"/>
    <w:rsid w:val="002E7C30"/>
    <w:rsid w:val="002F178D"/>
    <w:rsid w:val="002F2EB1"/>
    <w:rsid w:val="002F490A"/>
    <w:rsid w:val="002F4F6F"/>
    <w:rsid w:val="002F6CA8"/>
    <w:rsid w:val="002F6DFB"/>
    <w:rsid w:val="00302C62"/>
    <w:rsid w:val="00302D41"/>
    <w:rsid w:val="003057F2"/>
    <w:rsid w:val="00307FF8"/>
    <w:rsid w:val="00311588"/>
    <w:rsid w:val="003116BA"/>
    <w:rsid w:val="003121E7"/>
    <w:rsid w:val="00313B2D"/>
    <w:rsid w:val="00321EBE"/>
    <w:rsid w:val="00324C80"/>
    <w:rsid w:val="00325F65"/>
    <w:rsid w:val="00325F77"/>
    <w:rsid w:val="00326C73"/>
    <w:rsid w:val="00330B01"/>
    <w:rsid w:val="00331721"/>
    <w:rsid w:val="0033183D"/>
    <w:rsid w:val="003360F0"/>
    <w:rsid w:val="00337340"/>
    <w:rsid w:val="00341A81"/>
    <w:rsid w:val="0034231B"/>
    <w:rsid w:val="00342B49"/>
    <w:rsid w:val="00343D42"/>
    <w:rsid w:val="0034410D"/>
    <w:rsid w:val="0034692A"/>
    <w:rsid w:val="00355BE3"/>
    <w:rsid w:val="003571B2"/>
    <w:rsid w:val="003603C7"/>
    <w:rsid w:val="00360ACF"/>
    <w:rsid w:val="00360EB9"/>
    <w:rsid w:val="0036177A"/>
    <w:rsid w:val="003648F3"/>
    <w:rsid w:val="003649AC"/>
    <w:rsid w:val="003678A1"/>
    <w:rsid w:val="00370128"/>
    <w:rsid w:val="00370B2D"/>
    <w:rsid w:val="00371933"/>
    <w:rsid w:val="00373245"/>
    <w:rsid w:val="00373AC6"/>
    <w:rsid w:val="0037694C"/>
    <w:rsid w:val="003776D7"/>
    <w:rsid w:val="00380103"/>
    <w:rsid w:val="00380F4B"/>
    <w:rsid w:val="00382CE0"/>
    <w:rsid w:val="00382EDB"/>
    <w:rsid w:val="00386C1C"/>
    <w:rsid w:val="00387E50"/>
    <w:rsid w:val="003908EE"/>
    <w:rsid w:val="00391096"/>
    <w:rsid w:val="00394A82"/>
    <w:rsid w:val="00394B1F"/>
    <w:rsid w:val="003A0D6B"/>
    <w:rsid w:val="003A551E"/>
    <w:rsid w:val="003A55A7"/>
    <w:rsid w:val="003B40DA"/>
    <w:rsid w:val="003B7783"/>
    <w:rsid w:val="003B7FE1"/>
    <w:rsid w:val="003C13E7"/>
    <w:rsid w:val="003C181D"/>
    <w:rsid w:val="003C417D"/>
    <w:rsid w:val="003C534D"/>
    <w:rsid w:val="003C6777"/>
    <w:rsid w:val="003C7776"/>
    <w:rsid w:val="003D3254"/>
    <w:rsid w:val="003D374F"/>
    <w:rsid w:val="003D3E20"/>
    <w:rsid w:val="003D500A"/>
    <w:rsid w:val="003D5173"/>
    <w:rsid w:val="003D54E7"/>
    <w:rsid w:val="003D67D8"/>
    <w:rsid w:val="003E20E4"/>
    <w:rsid w:val="003E2BB0"/>
    <w:rsid w:val="003E2D32"/>
    <w:rsid w:val="003E4EFE"/>
    <w:rsid w:val="003E56E2"/>
    <w:rsid w:val="003E60E7"/>
    <w:rsid w:val="003E7584"/>
    <w:rsid w:val="003F1BC1"/>
    <w:rsid w:val="003F36D7"/>
    <w:rsid w:val="003F3929"/>
    <w:rsid w:val="003F5065"/>
    <w:rsid w:val="003F56DB"/>
    <w:rsid w:val="003F5968"/>
    <w:rsid w:val="003F66F1"/>
    <w:rsid w:val="003F6E27"/>
    <w:rsid w:val="0040125C"/>
    <w:rsid w:val="00405D70"/>
    <w:rsid w:val="00415E18"/>
    <w:rsid w:val="00416126"/>
    <w:rsid w:val="0041637D"/>
    <w:rsid w:val="004201C6"/>
    <w:rsid w:val="004203F1"/>
    <w:rsid w:val="00421585"/>
    <w:rsid w:val="004219BD"/>
    <w:rsid w:val="00424046"/>
    <w:rsid w:val="004247B1"/>
    <w:rsid w:val="00424E02"/>
    <w:rsid w:val="00424E72"/>
    <w:rsid w:val="004267EE"/>
    <w:rsid w:val="00427C7A"/>
    <w:rsid w:val="00430437"/>
    <w:rsid w:val="004306FB"/>
    <w:rsid w:val="00430739"/>
    <w:rsid w:val="00431FA9"/>
    <w:rsid w:val="004322BD"/>
    <w:rsid w:val="00436F72"/>
    <w:rsid w:val="00437AE5"/>
    <w:rsid w:val="00440B6B"/>
    <w:rsid w:val="004455C4"/>
    <w:rsid w:val="00445669"/>
    <w:rsid w:val="00447E82"/>
    <w:rsid w:val="0045104F"/>
    <w:rsid w:val="004536D5"/>
    <w:rsid w:val="004624EF"/>
    <w:rsid w:val="00462770"/>
    <w:rsid w:val="0046290B"/>
    <w:rsid w:val="004635FD"/>
    <w:rsid w:val="0046513E"/>
    <w:rsid w:val="00465667"/>
    <w:rsid w:val="00465878"/>
    <w:rsid w:val="0046652F"/>
    <w:rsid w:val="0046716A"/>
    <w:rsid w:val="00467327"/>
    <w:rsid w:val="00467F08"/>
    <w:rsid w:val="00470AFC"/>
    <w:rsid w:val="00471A85"/>
    <w:rsid w:val="0047283C"/>
    <w:rsid w:val="00474C53"/>
    <w:rsid w:val="00476080"/>
    <w:rsid w:val="00483A4C"/>
    <w:rsid w:val="00484830"/>
    <w:rsid w:val="004851CD"/>
    <w:rsid w:val="00487AE0"/>
    <w:rsid w:val="0049028F"/>
    <w:rsid w:val="00492AFA"/>
    <w:rsid w:val="0049380A"/>
    <w:rsid w:val="00495CF4"/>
    <w:rsid w:val="004970DA"/>
    <w:rsid w:val="00497A4D"/>
    <w:rsid w:val="00497E69"/>
    <w:rsid w:val="00497F61"/>
    <w:rsid w:val="00497FE9"/>
    <w:rsid w:val="004A26B6"/>
    <w:rsid w:val="004A3942"/>
    <w:rsid w:val="004A6673"/>
    <w:rsid w:val="004B2C3D"/>
    <w:rsid w:val="004B34C6"/>
    <w:rsid w:val="004B422F"/>
    <w:rsid w:val="004B4B53"/>
    <w:rsid w:val="004B4C8B"/>
    <w:rsid w:val="004B6FAD"/>
    <w:rsid w:val="004C0146"/>
    <w:rsid w:val="004C0871"/>
    <w:rsid w:val="004C2B63"/>
    <w:rsid w:val="004C5FA9"/>
    <w:rsid w:val="004C6202"/>
    <w:rsid w:val="004C68C4"/>
    <w:rsid w:val="004D1671"/>
    <w:rsid w:val="004D35B5"/>
    <w:rsid w:val="004D3A14"/>
    <w:rsid w:val="004D454A"/>
    <w:rsid w:val="004D6DDC"/>
    <w:rsid w:val="004D75D5"/>
    <w:rsid w:val="004D7E2F"/>
    <w:rsid w:val="004E01BD"/>
    <w:rsid w:val="004E0A38"/>
    <w:rsid w:val="004E0BE2"/>
    <w:rsid w:val="004E3B20"/>
    <w:rsid w:val="004E3E03"/>
    <w:rsid w:val="004E4252"/>
    <w:rsid w:val="004E605F"/>
    <w:rsid w:val="004F40E1"/>
    <w:rsid w:val="004F42F8"/>
    <w:rsid w:val="004F57A9"/>
    <w:rsid w:val="0050181E"/>
    <w:rsid w:val="00502E11"/>
    <w:rsid w:val="0050497A"/>
    <w:rsid w:val="00504A1A"/>
    <w:rsid w:val="00506C5F"/>
    <w:rsid w:val="00507E5B"/>
    <w:rsid w:val="00507ECF"/>
    <w:rsid w:val="00510646"/>
    <w:rsid w:val="005139AC"/>
    <w:rsid w:val="00517217"/>
    <w:rsid w:val="005173CF"/>
    <w:rsid w:val="00522985"/>
    <w:rsid w:val="005243F8"/>
    <w:rsid w:val="00526435"/>
    <w:rsid w:val="005267BB"/>
    <w:rsid w:val="005317C7"/>
    <w:rsid w:val="005326CD"/>
    <w:rsid w:val="00532876"/>
    <w:rsid w:val="00532900"/>
    <w:rsid w:val="0053390E"/>
    <w:rsid w:val="005352B0"/>
    <w:rsid w:val="00535641"/>
    <w:rsid w:val="0053772F"/>
    <w:rsid w:val="00540E3A"/>
    <w:rsid w:val="00541F79"/>
    <w:rsid w:val="00542BC1"/>
    <w:rsid w:val="00543B7C"/>
    <w:rsid w:val="00543F98"/>
    <w:rsid w:val="005447FE"/>
    <w:rsid w:val="00544F7E"/>
    <w:rsid w:val="00545043"/>
    <w:rsid w:val="005451B0"/>
    <w:rsid w:val="00547948"/>
    <w:rsid w:val="00552C73"/>
    <w:rsid w:val="005533A5"/>
    <w:rsid w:val="00553E91"/>
    <w:rsid w:val="00555724"/>
    <w:rsid w:val="00557326"/>
    <w:rsid w:val="0056071B"/>
    <w:rsid w:val="00563142"/>
    <w:rsid w:val="005637DF"/>
    <w:rsid w:val="00563FC3"/>
    <w:rsid w:val="005641C8"/>
    <w:rsid w:val="00564B09"/>
    <w:rsid w:val="00566469"/>
    <w:rsid w:val="00574344"/>
    <w:rsid w:val="005763CB"/>
    <w:rsid w:val="00577567"/>
    <w:rsid w:val="00580981"/>
    <w:rsid w:val="00580D5E"/>
    <w:rsid w:val="0058201B"/>
    <w:rsid w:val="005900D4"/>
    <w:rsid w:val="0059029B"/>
    <w:rsid w:val="00590669"/>
    <w:rsid w:val="00590E0C"/>
    <w:rsid w:val="00591B22"/>
    <w:rsid w:val="00592A87"/>
    <w:rsid w:val="00593FA6"/>
    <w:rsid w:val="0059617F"/>
    <w:rsid w:val="0059631D"/>
    <w:rsid w:val="00597B28"/>
    <w:rsid w:val="005A3E08"/>
    <w:rsid w:val="005A49D6"/>
    <w:rsid w:val="005A6C63"/>
    <w:rsid w:val="005A742F"/>
    <w:rsid w:val="005A77D0"/>
    <w:rsid w:val="005B0283"/>
    <w:rsid w:val="005B1AF7"/>
    <w:rsid w:val="005B47D9"/>
    <w:rsid w:val="005B64BD"/>
    <w:rsid w:val="005C146E"/>
    <w:rsid w:val="005C1BB9"/>
    <w:rsid w:val="005C3225"/>
    <w:rsid w:val="005C32F7"/>
    <w:rsid w:val="005C715B"/>
    <w:rsid w:val="005D03F4"/>
    <w:rsid w:val="005D329D"/>
    <w:rsid w:val="005D376C"/>
    <w:rsid w:val="005D4345"/>
    <w:rsid w:val="005D673D"/>
    <w:rsid w:val="005D71F9"/>
    <w:rsid w:val="005D7228"/>
    <w:rsid w:val="005E1CC5"/>
    <w:rsid w:val="005E636D"/>
    <w:rsid w:val="005E6DB5"/>
    <w:rsid w:val="005E7D81"/>
    <w:rsid w:val="005F0F52"/>
    <w:rsid w:val="005F1CCE"/>
    <w:rsid w:val="005F62EA"/>
    <w:rsid w:val="005F69FE"/>
    <w:rsid w:val="00600EE9"/>
    <w:rsid w:val="00601700"/>
    <w:rsid w:val="00602A48"/>
    <w:rsid w:val="0060359F"/>
    <w:rsid w:val="00604157"/>
    <w:rsid w:val="006056E2"/>
    <w:rsid w:val="00607DB2"/>
    <w:rsid w:val="00613AE9"/>
    <w:rsid w:val="00616E73"/>
    <w:rsid w:val="00616FE9"/>
    <w:rsid w:val="00617C29"/>
    <w:rsid w:val="006220FF"/>
    <w:rsid w:val="00624D89"/>
    <w:rsid w:val="0062694F"/>
    <w:rsid w:val="00633976"/>
    <w:rsid w:val="00633E89"/>
    <w:rsid w:val="0063487E"/>
    <w:rsid w:val="00634FE8"/>
    <w:rsid w:val="00636266"/>
    <w:rsid w:val="006367CC"/>
    <w:rsid w:val="006404F9"/>
    <w:rsid w:val="00641052"/>
    <w:rsid w:val="00642EE9"/>
    <w:rsid w:val="00643AED"/>
    <w:rsid w:val="00645FE8"/>
    <w:rsid w:val="006465D0"/>
    <w:rsid w:val="006515DB"/>
    <w:rsid w:val="00651AB0"/>
    <w:rsid w:val="006520CA"/>
    <w:rsid w:val="00653830"/>
    <w:rsid w:val="00653FDE"/>
    <w:rsid w:val="006552C8"/>
    <w:rsid w:val="00656D84"/>
    <w:rsid w:val="00664032"/>
    <w:rsid w:val="00664A51"/>
    <w:rsid w:val="006663CA"/>
    <w:rsid w:val="0066791C"/>
    <w:rsid w:val="00674B93"/>
    <w:rsid w:val="00676FEB"/>
    <w:rsid w:val="006771E3"/>
    <w:rsid w:val="006772A2"/>
    <w:rsid w:val="00682B76"/>
    <w:rsid w:val="00685256"/>
    <w:rsid w:val="00685ACA"/>
    <w:rsid w:val="00686355"/>
    <w:rsid w:val="006869B5"/>
    <w:rsid w:val="00691778"/>
    <w:rsid w:val="00691FDA"/>
    <w:rsid w:val="00692E3E"/>
    <w:rsid w:val="00694153"/>
    <w:rsid w:val="006954BC"/>
    <w:rsid w:val="006A0714"/>
    <w:rsid w:val="006A3061"/>
    <w:rsid w:val="006A7FEC"/>
    <w:rsid w:val="006B0612"/>
    <w:rsid w:val="006B25F1"/>
    <w:rsid w:val="006B2DFE"/>
    <w:rsid w:val="006B2F6F"/>
    <w:rsid w:val="006B3C06"/>
    <w:rsid w:val="006B50E8"/>
    <w:rsid w:val="006B611A"/>
    <w:rsid w:val="006B629F"/>
    <w:rsid w:val="006B7DE7"/>
    <w:rsid w:val="006C13BF"/>
    <w:rsid w:val="006C24C1"/>
    <w:rsid w:val="006C27B2"/>
    <w:rsid w:val="006C4508"/>
    <w:rsid w:val="006C7D49"/>
    <w:rsid w:val="006D2CFC"/>
    <w:rsid w:val="006D2E25"/>
    <w:rsid w:val="006D2F3E"/>
    <w:rsid w:val="006D3697"/>
    <w:rsid w:val="006D38B1"/>
    <w:rsid w:val="006D68C8"/>
    <w:rsid w:val="006E05AE"/>
    <w:rsid w:val="006E0E78"/>
    <w:rsid w:val="006E12A1"/>
    <w:rsid w:val="006E175B"/>
    <w:rsid w:val="006E5341"/>
    <w:rsid w:val="006E59A8"/>
    <w:rsid w:val="006E5FE7"/>
    <w:rsid w:val="006F2B28"/>
    <w:rsid w:val="006F2B77"/>
    <w:rsid w:val="006F44D4"/>
    <w:rsid w:val="006F55AC"/>
    <w:rsid w:val="006F5FE7"/>
    <w:rsid w:val="006F60DA"/>
    <w:rsid w:val="006F6154"/>
    <w:rsid w:val="006F6520"/>
    <w:rsid w:val="006F6FB4"/>
    <w:rsid w:val="006F7393"/>
    <w:rsid w:val="006F79EF"/>
    <w:rsid w:val="00700704"/>
    <w:rsid w:val="00700E85"/>
    <w:rsid w:val="00702303"/>
    <w:rsid w:val="00705F42"/>
    <w:rsid w:val="00710B17"/>
    <w:rsid w:val="00710CE3"/>
    <w:rsid w:val="0071171E"/>
    <w:rsid w:val="007121E8"/>
    <w:rsid w:val="007121EF"/>
    <w:rsid w:val="0071351A"/>
    <w:rsid w:val="00715712"/>
    <w:rsid w:val="0071586C"/>
    <w:rsid w:val="007172D2"/>
    <w:rsid w:val="007177FF"/>
    <w:rsid w:val="00720288"/>
    <w:rsid w:val="00723E29"/>
    <w:rsid w:val="00724325"/>
    <w:rsid w:val="007272A7"/>
    <w:rsid w:val="007320A2"/>
    <w:rsid w:val="00732CDD"/>
    <w:rsid w:val="00732E87"/>
    <w:rsid w:val="00734AEF"/>
    <w:rsid w:val="00734BAB"/>
    <w:rsid w:val="00736DBA"/>
    <w:rsid w:val="0073725A"/>
    <w:rsid w:val="007402C5"/>
    <w:rsid w:val="00740BC6"/>
    <w:rsid w:val="00741D6F"/>
    <w:rsid w:val="00744725"/>
    <w:rsid w:val="00746265"/>
    <w:rsid w:val="0074730A"/>
    <w:rsid w:val="00747D0A"/>
    <w:rsid w:val="007516D0"/>
    <w:rsid w:val="00751CE0"/>
    <w:rsid w:val="00752EAE"/>
    <w:rsid w:val="00753A3F"/>
    <w:rsid w:val="00754EEB"/>
    <w:rsid w:val="00754FD3"/>
    <w:rsid w:val="007550F3"/>
    <w:rsid w:val="007575D1"/>
    <w:rsid w:val="00757A01"/>
    <w:rsid w:val="00762EB0"/>
    <w:rsid w:val="00764246"/>
    <w:rsid w:val="00765B4C"/>
    <w:rsid w:val="00766B36"/>
    <w:rsid w:val="00766D86"/>
    <w:rsid w:val="0077037F"/>
    <w:rsid w:val="00772165"/>
    <w:rsid w:val="00772949"/>
    <w:rsid w:val="00772CFC"/>
    <w:rsid w:val="00773ECD"/>
    <w:rsid w:val="00773EDE"/>
    <w:rsid w:val="007751FB"/>
    <w:rsid w:val="007767D5"/>
    <w:rsid w:val="00776950"/>
    <w:rsid w:val="00776CD8"/>
    <w:rsid w:val="00777957"/>
    <w:rsid w:val="0078110D"/>
    <w:rsid w:val="00783095"/>
    <w:rsid w:val="0078373B"/>
    <w:rsid w:val="00784F1D"/>
    <w:rsid w:val="00785AF3"/>
    <w:rsid w:val="0079328F"/>
    <w:rsid w:val="00793928"/>
    <w:rsid w:val="007939B6"/>
    <w:rsid w:val="00794F1B"/>
    <w:rsid w:val="007952D5"/>
    <w:rsid w:val="007952E7"/>
    <w:rsid w:val="007A32D3"/>
    <w:rsid w:val="007A35F8"/>
    <w:rsid w:val="007A37C8"/>
    <w:rsid w:val="007A40D1"/>
    <w:rsid w:val="007A547D"/>
    <w:rsid w:val="007A5552"/>
    <w:rsid w:val="007B3113"/>
    <w:rsid w:val="007B4DE2"/>
    <w:rsid w:val="007B65C1"/>
    <w:rsid w:val="007B6775"/>
    <w:rsid w:val="007B6A27"/>
    <w:rsid w:val="007B6B78"/>
    <w:rsid w:val="007C1F39"/>
    <w:rsid w:val="007C404E"/>
    <w:rsid w:val="007C7AC8"/>
    <w:rsid w:val="007D2958"/>
    <w:rsid w:val="007D2DA0"/>
    <w:rsid w:val="007D571E"/>
    <w:rsid w:val="007D79D2"/>
    <w:rsid w:val="007D7F7F"/>
    <w:rsid w:val="007E5847"/>
    <w:rsid w:val="007E5EA0"/>
    <w:rsid w:val="007E78C1"/>
    <w:rsid w:val="007E7B4E"/>
    <w:rsid w:val="007F02A4"/>
    <w:rsid w:val="007F410B"/>
    <w:rsid w:val="007F479E"/>
    <w:rsid w:val="007F4E21"/>
    <w:rsid w:val="007F77B9"/>
    <w:rsid w:val="00801B41"/>
    <w:rsid w:val="008037BB"/>
    <w:rsid w:val="00805B8A"/>
    <w:rsid w:val="00805B97"/>
    <w:rsid w:val="00806E0D"/>
    <w:rsid w:val="00816D2C"/>
    <w:rsid w:val="00817DF9"/>
    <w:rsid w:val="0082129E"/>
    <w:rsid w:val="00821749"/>
    <w:rsid w:val="0082186F"/>
    <w:rsid w:val="00823FCA"/>
    <w:rsid w:val="00824890"/>
    <w:rsid w:val="00825D6C"/>
    <w:rsid w:val="00826CBC"/>
    <w:rsid w:val="00832602"/>
    <w:rsid w:val="00834060"/>
    <w:rsid w:val="0083502A"/>
    <w:rsid w:val="00836070"/>
    <w:rsid w:val="00840B18"/>
    <w:rsid w:val="00841767"/>
    <w:rsid w:val="008418FC"/>
    <w:rsid w:val="008433E3"/>
    <w:rsid w:val="0084410C"/>
    <w:rsid w:val="00846FA1"/>
    <w:rsid w:val="0084785E"/>
    <w:rsid w:val="008502CE"/>
    <w:rsid w:val="00851570"/>
    <w:rsid w:val="0085780E"/>
    <w:rsid w:val="00861625"/>
    <w:rsid w:val="008618BE"/>
    <w:rsid w:val="00861DA4"/>
    <w:rsid w:val="00861DF9"/>
    <w:rsid w:val="00862D6B"/>
    <w:rsid w:val="00863CD4"/>
    <w:rsid w:val="0086498E"/>
    <w:rsid w:val="00864EB7"/>
    <w:rsid w:val="0086657E"/>
    <w:rsid w:val="00867F55"/>
    <w:rsid w:val="00873D8A"/>
    <w:rsid w:val="00876E2A"/>
    <w:rsid w:val="00881EE8"/>
    <w:rsid w:val="0088343D"/>
    <w:rsid w:val="00885088"/>
    <w:rsid w:val="008853DF"/>
    <w:rsid w:val="008853E5"/>
    <w:rsid w:val="00891035"/>
    <w:rsid w:val="008918D9"/>
    <w:rsid w:val="008927B5"/>
    <w:rsid w:val="00892EA3"/>
    <w:rsid w:val="00893976"/>
    <w:rsid w:val="00897127"/>
    <w:rsid w:val="00897203"/>
    <w:rsid w:val="008A150E"/>
    <w:rsid w:val="008A28F8"/>
    <w:rsid w:val="008A3A67"/>
    <w:rsid w:val="008A5950"/>
    <w:rsid w:val="008A63E2"/>
    <w:rsid w:val="008A65D3"/>
    <w:rsid w:val="008B11CF"/>
    <w:rsid w:val="008B2613"/>
    <w:rsid w:val="008B3142"/>
    <w:rsid w:val="008B361F"/>
    <w:rsid w:val="008B445B"/>
    <w:rsid w:val="008B58B2"/>
    <w:rsid w:val="008B6587"/>
    <w:rsid w:val="008B7BAC"/>
    <w:rsid w:val="008C17E6"/>
    <w:rsid w:val="008C36F2"/>
    <w:rsid w:val="008C4FFC"/>
    <w:rsid w:val="008D0326"/>
    <w:rsid w:val="008D0D31"/>
    <w:rsid w:val="008D6267"/>
    <w:rsid w:val="008D6CA9"/>
    <w:rsid w:val="008D6E2C"/>
    <w:rsid w:val="008D7DC6"/>
    <w:rsid w:val="008E09C6"/>
    <w:rsid w:val="008E0E89"/>
    <w:rsid w:val="008E4FD6"/>
    <w:rsid w:val="008E5C99"/>
    <w:rsid w:val="008E78BA"/>
    <w:rsid w:val="008F0933"/>
    <w:rsid w:val="008F1BC0"/>
    <w:rsid w:val="008F3F33"/>
    <w:rsid w:val="008F4EF2"/>
    <w:rsid w:val="008F54D4"/>
    <w:rsid w:val="008F7C99"/>
    <w:rsid w:val="009001C9"/>
    <w:rsid w:val="00901525"/>
    <w:rsid w:val="00906FD4"/>
    <w:rsid w:val="009101FF"/>
    <w:rsid w:val="00910A53"/>
    <w:rsid w:val="00916F4D"/>
    <w:rsid w:val="00917283"/>
    <w:rsid w:val="0092068A"/>
    <w:rsid w:val="00921285"/>
    <w:rsid w:val="0092359B"/>
    <w:rsid w:val="009239DC"/>
    <w:rsid w:val="009239E5"/>
    <w:rsid w:val="009252B2"/>
    <w:rsid w:val="009268A6"/>
    <w:rsid w:val="009310EE"/>
    <w:rsid w:val="00933485"/>
    <w:rsid w:val="00933872"/>
    <w:rsid w:val="0093773D"/>
    <w:rsid w:val="0094142D"/>
    <w:rsid w:val="00941C92"/>
    <w:rsid w:val="00943CC8"/>
    <w:rsid w:val="00943E53"/>
    <w:rsid w:val="009445CA"/>
    <w:rsid w:val="00950B2E"/>
    <w:rsid w:val="00953425"/>
    <w:rsid w:val="009564A0"/>
    <w:rsid w:val="00956F69"/>
    <w:rsid w:val="00962EE7"/>
    <w:rsid w:val="00966C36"/>
    <w:rsid w:val="009677EB"/>
    <w:rsid w:val="00970027"/>
    <w:rsid w:val="00970B33"/>
    <w:rsid w:val="0097190A"/>
    <w:rsid w:val="009737DF"/>
    <w:rsid w:val="00974D2B"/>
    <w:rsid w:val="00975F45"/>
    <w:rsid w:val="009760CB"/>
    <w:rsid w:val="00980721"/>
    <w:rsid w:val="009848F7"/>
    <w:rsid w:val="009863CF"/>
    <w:rsid w:val="00986A79"/>
    <w:rsid w:val="00990ADF"/>
    <w:rsid w:val="00993FE6"/>
    <w:rsid w:val="0099770A"/>
    <w:rsid w:val="00997723"/>
    <w:rsid w:val="009A2999"/>
    <w:rsid w:val="009A5AF8"/>
    <w:rsid w:val="009A5F12"/>
    <w:rsid w:val="009A6719"/>
    <w:rsid w:val="009B3AB9"/>
    <w:rsid w:val="009B446B"/>
    <w:rsid w:val="009B4685"/>
    <w:rsid w:val="009B7062"/>
    <w:rsid w:val="009C01A4"/>
    <w:rsid w:val="009C05E9"/>
    <w:rsid w:val="009C27D2"/>
    <w:rsid w:val="009C3132"/>
    <w:rsid w:val="009C3370"/>
    <w:rsid w:val="009C33E7"/>
    <w:rsid w:val="009C4526"/>
    <w:rsid w:val="009C46A2"/>
    <w:rsid w:val="009D0220"/>
    <w:rsid w:val="009D11CA"/>
    <w:rsid w:val="009D227B"/>
    <w:rsid w:val="009D298E"/>
    <w:rsid w:val="009D2B65"/>
    <w:rsid w:val="009D2B67"/>
    <w:rsid w:val="009D4574"/>
    <w:rsid w:val="009D47A5"/>
    <w:rsid w:val="009D6117"/>
    <w:rsid w:val="009D6459"/>
    <w:rsid w:val="009D69B6"/>
    <w:rsid w:val="009D7580"/>
    <w:rsid w:val="009D76EB"/>
    <w:rsid w:val="009E1F99"/>
    <w:rsid w:val="009E666B"/>
    <w:rsid w:val="009E6876"/>
    <w:rsid w:val="009F0D6C"/>
    <w:rsid w:val="009F19AE"/>
    <w:rsid w:val="009F38D7"/>
    <w:rsid w:val="009F6130"/>
    <w:rsid w:val="00A00793"/>
    <w:rsid w:val="00A02EBF"/>
    <w:rsid w:val="00A03847"/>
    <w:rsid w:val="00A04076"/>
    <w:rsid w:val="00A10010"/>
    <w:rsid w:val="00A10E1F"/>
    <w:rsid w:val="00A112F1"/>
    <w:rsid w:val="00A12580"/>
    <w:rsid w:val="00A13BF8"/>
    <w:rsid w:val="00A15866"/>
    <w:rsid w:val="00A16D50"/>
    <w:rsid w:val="00A23CCA"/>
    <w:rsid w:val="00A24849"/>
    <w:rsid w:val="00A248FB"/>
    <w:rsid w:val="00A25147"/>
    <w:rsid w:val="00A25BF3"/>
    <w:rsid w:val="00A26764"/>
    <w:rsid w:val="00A334E4"/>
    <w:rsid w:val="00A33DF5"/>
    <w:rsid w:val="00A34BF9"/>
    <w:rsid w:val="00A3579E"/>
    <w:rsid w:val="00A36132"/>
    <w:rsid w:val="00A40462"/>
    <w:rsid w:val="00A434B1"/>
    <w:rsid w:val="00A4355E"/>
    <w:rsid w:val="00A46378"/>
    <w:rsid w:val="00A469B4"/>
    <w:rsid w:val="00A46AA1"/>
    <w:rsid w:val="00A511AD"/>
    <w:rsid w:val="00A51DCD"/>
    <w:rsid w:val="00A52673"/>
    <w:rsid w:val="00A53CE2"/>
    <w:rsid w:val="00A55B86"/>
    <w:rsid w:val="00A55F7C"/>
    <w:rsid w:val="00A56C4D"/>
    <w:rsid w:val="00A63167"/>
    <w:rsid w:val="00A64429"/>
    <w:rsid w:val="00A656AE"/>
    <w:rsid w:val="00A66253"/>
    <w:rsid w:val="00A70B89"/>
    <w:rsid w:val="00A70C75"/>
    <w:rsid w:val="00A727FE"/>
    <w:rsid w:val="00A733A2"/>
    <w:rsid w:val="00A73F72"/>
    <w:rsid w:val="00A75D98"/>
    <w:rsid w:val="00A773D7"/>
    <w:rsid w:val="00A773F9"/>
    <w:rsid w:val="00A779F8"/>
    <w:rsid w:val="00A801E7"/>
    <w:rsid w:val="00A80D6E"/>
    <w:rsid w:val="00A80E4E"/>
    <w:rsid w:val="00A831C5"/>
    <w:rsid w:val="00A83CBE"/>
    <w:rsid w:val="00A848BA"/>
    <w:rsid w:val="00A85958"/>
    <w:rsid w:val="00A867A9"/>
    <w:rsid w:val="00A86E3D"/>
    <w:rsid w:val="00A90945"/>
    <w:rsid w:val="00A914E9"/>
    <w:rsid w:val="00A93EC0"/>
    <w:rsid w:val="00A94A48"/>
    <w:rsid w:val="00A96702"/>
    <w:rsid w:val="00AA140D"/>
    <w:rsid w:val="00AA1929"/>
    <w:rsid w:val="00AA26D2"/>
    <w:rsid w:val="00AA30C4"/>
    <w:rsid w:val="00AA4167"/>
    <w:rsid w:val="00AA6F36"/>
    <w:rsid w:val="00AA70E2"/>
    <w:rsid w:val="00AB0EB4"/>
    <w:rsid w:val="00AB2957"/>
    <w:rsid w:val="00AB30CF"/>
    <w:rsid w:val="00AB40A9"/>
    <w:rsid w:val="00AB41B6"/>
    <w:rsid w:val="00AC0157"/>
    <w:rsid w:val="00AC1113"/>
    <w:rsid w:val="00AC1F4C"/>
    <w:rsid w:val="00AC2F0F"/>
    <w:rsid w:val="00AC40E3"/>
    <w:rsid w:val="00AC51A1"/>
    <w:rsid w:val="00AC5907"/>
    <w:rsid w:val="00AC6067"/>
    <w:rsid w:val="00AC6682"/>
    <w:rsid w:val="00AC6745"/>
    <w:rsid w:val="00AD08FD"/>
    <w:rsid w:val="00AD14FD"/>
    <w:rsid w:val="00AD253F"/>
    <w:rsid w:val="00AD4AB8"/>
    <w:rsid w:val="00AD6FFB"/>
    <w:rsid w:val="00AD75C9"/>
    <w:rsid w:val="00AD7DF2"/>
    <w:rsid w:val="00AE282B"/>
    <w:rsid w:val="00AE290D"/>
    <w:rsid w:val="00AE297B"/>
    <w:rsid w:val="00AE3923"/>
    <w:rsid w:val="00AF0413"/>
    <w:rsid w:val="00AF192E"/>
    <w:rsid w:val="00AF4238"/>
    <w:rsid w:val="00AF54BC"/>
    <w:rsid w:val="00AF5FC0"/>
    <w:rsid w:val="00AF63A6"/>
    <w:rsid w:val="00AF63EA"/>
    <w:rsid w:val="00AF6A7C"/>
    <w:rsid w:val="00AF767F"/>
    <w:rsid w:val="00B00C4E"/>
    <w:rsid w:val="00B03D80"/>
    <w:rsid w:val="00B16875"/>
    <w:rsid w:val="00B219F2"/>
    <w:rsid w:val="00B23445"/>
    <w:rsid w:val="00B27242"/>
    <w:rsid w:val="00B317B3"/>
    <w:rsid w:val="00B31A0D"/>
    <w:rsid w:val="00B36351"/>
    <w:rsid w:val="00B3667E"/>
    <w:rsid w:val="00B37F62"/>
    <w:rsid w:val="00B406E2"/>
    <w:rsid w:val="00B419E2"/>
    <w:rsid w:val="00B41D82"/>
    <w:rsid w:val="00B428F4"/>
    <w:rsid w:val="00B42C07"/>
    <w:rsid w:val="00B43D51"/>
    <w:rsid w:val="00B45022"/>
    <w:rsid w:val="00B46636"/>
    <w:rsid w:val="00B46DE5"/>
    <w:rsid w:val="00B50814"/>
    <w:rsid w:val="00B51273"/>
    <w:rsid w:val="00B5162C"/>
    <w:rsid w:val="00B54BD2"/>
    <w:rsid w:val="00B55C84"/>
    <w:rsid w:val="00B55D6F"/>
    <w:rsid w:val="00B57081"/>
    <w:rsid w:val="00B57B60"/>
    <w:rsid w:val="00B609E7"/>
    <w:rsid w:val="00B60EB4"/>
    <w:rsid w:val="00B613EB"/>
    <w:rsid w:val="00B61643"/>
    <w:rsid w:val="00B62A84"/>
    <w:rsid w:val="00B63EED"/>
    <w:rsid w:val="00B65D37"/>
    <w:rsid w:val="00B65DF5"/>
    <w:rsid w:val="00B66DDD"/>
    <w:rsid w:val="00B67B97"/>
    <w:rsid w:val="00B7271E"/>
    <w:rsid w:val="00B7377B"/>
    <w:rsid w:val="00B75D2D"/>
    <w:rsid w:val="00B81FED"/>
    <w:rsid w:val="00B845F6"/>
    <w:rsid w:val="00B90DA8"/>
    <w:rsid w:val="00B93A31"/>
    <w:rsid w:val="00B93A4F"/>
    <w:rsid w:val="00B94A3E"/>
    <w:rsid w:val="00B94FFF"/>
    <w:rsid w:val="00B97985"/>
    <w:rsid w:val="00BA3DE1"/>
    <w:rsid w:val="00BA45E7"/>
    <w:rsid w:val="00BA4C2A"/>
    <w:rsid w:val="00BA5695"/>
    <w:rsid w:val="00BB036D"/>
    <w:rsid w:val="00BB13B5"/>
    <w:rsid w:val="00BB1FC4"/>
    <w:rsid w:val="00BB70B3"/>
    <w:rsid w:val="00BB7D46"/>
    <w:rsid w:val="00BB7FF8"/>
    <w:rsid w:val="00BC12AB"/>
    <w:rsid w:val="00BC1B4F"/>
    <w:rsid w:val="00BC360E"/>
    <w:rsid w:val="00BC4327"/>
    <w:rsid w:val="00BC45EB"/>
    <w:rsid w:val="00BC5BF0"/>
    <w:rsid w:val="00BC6CA5"/>
    <w:rsid w:val="00BD24C2"/>
    <w:rsid w:val="00BD3085"/>
    <w:rsid w:val="00BD6511"/>
    <w:rsid w:val="00BD76C8"/>
    <w:rsid w:val="00BE46B3"/>
    <w:rsid w:val="00BE4F3A"/>
    <w:rsid w:val="00BE55BE"/>
    <w:rsid w:val="00BE5FCB"/>
    <w:rsid w:val="00BE6C98"/>
    <w:rsid w:val="00BE6E3A"/>
    <w:rsid w:val="00BE723C"/>
    <w:rsid w:val="00BF13F5"/>
    <w:rsid w:val="00BF2526"/>
    <w:rsid w:val="00BF28AB"/>
    <w:rsid w:val="00BF3F2C"/>
    <w:rsid w:val="00BF4372"/>
    <w:rsid w:val="00C026BD"/>
    <w:rsid w:val="00C03541"/>
    <w:rsid w:val="00C03561"/>
    <w:rsid w:val="00C0376D"/>
    <w:rsid w:val="00C03919"/>
    <w:rsid w:val="00C04B76"/>
    <w:rsid w:val="00C04FBB"/>
    <w:rsid w:val="00C0572F"/>
    <w:rsid w:val="00C06259"/>
    <w:rsid w:val="00C065C3"/>
    <w:rsid w:val="00C06765"/>
    <w:rsid w:val="00C12C25"/>
    <w:rsid w:val="00C13DF0"/>
    <w:rsid w:val="00C14193"/>
    <w:rsid w:val="00C14FEE"/>
    <w:rsid w:val="00C15A48"/>
    <w:rsid w:val="00C16FA3"/>
    <w:rsid w:val="00C17325"/>
    <w:rsid w:val="00C174CB"/>
    <w:rsid w:val="00C17738"/>
    <w:rsid w:val="00C2330B"/>
    <w:rsid w:val="00C235A9"/>
    <w:rsid w:val="00C23A79"/>
    <w:rsid w:val="00C23DE7"/>
    <w:rsid w:val="00C26323"/>
    <w:rsid w:val="00C26C8A"/>
    <w:rsid w:val="00C2749A"/>
    <w:rsid w:val="00C30962"/>
    <w:rsid w:val="00C30D8F"/>
    <w:rsid w:val="00C3192D"/>
    <w:rsid w:val="00C31A29"/>
    <w:rsid w:val="00C31CFE"/>
    <w:rsid w:val="00C330CB"/>
    <w:rsid w:val="00C3358D"/>
    <w:rsid w:val="00C33F0E"/>
    <w:rsid w:val="00C356D6"/>
    <w:rsid w:val="00C36D97"/>
    <w:rsid w:val="00C378D0"/>
    <w:rsid w:val="00C37B3F"/>
    <w:rsid w:val="00C37F9D"/>
    <w:rsid w:val="00C37FDB"/>
    <w:rsid w:val="00C40364"/>
    <w:rsid w:val="00C40744"/>
    <w:rsid w:val="00C42477"/>
    <w:rsid w:val="00C450EE"/>
    <w:rsid w:val="00C45F56"/>
    <w:rsid w:val="00C4740C"/>
    <w:rsid w:val="00C4785F"/>
    <w:rsid w:val="00C61317"/>
    <w:rsid w:val="00C61E66"/>
    <w:rsid w:val="00C655E8"/>
    <w:rsid w:val="00C670F6"/>
    <w:rsid w:val="00C67834"/>
    <w:rsid w:val="00C7117A"/>
    <w:rsid w:val="00C7182E"/>
    <w:rsid w:val="00C74183"/>
    <w:rsid w:val="00C77A59"/>
    <w:rsid w:val="00C77B29"/>
    <w:rsid w:val="00C800CB"/>
    <w:rsid w:val="00C803A5"/>
    <w:rsid w:val="00C80DF6"/>
    <w:rsid w:val="00C82C14"/>
    <w:rsid w:val="00C83FB9"/>
    <w:rsid w:val="00C85078"/>
    <w:rsid w:val="00C862F8"/>
    <w:rsid w:val="00C908DB"/>
    <w:rsid w:val="00C90B56"/>
    <w:rsid w:val="00C931B6"/>
    <w:rsid w:val="00C93B23"/>
    <w:rsid w:val="00CA043E"/>
    <w:rsid w:val="00CA0FA9"/>
    <w:rsid w:val="00CA13E9"/>
    <w:rsid w:val="00CA2332"/>
    <w:rsid w:val="00CA37B5"/>
    <w:rsid w:val="00CA4819"/>
    <w:rsid w:val="00CA5746"/>
    <w:rsid w:val="00CA57BA"/>
    <w:rsid w:val="00CB2E12"/>
    <w:rsid w:val="00CB54CC"/>
    <w:rsid w:val="00CB642C"/>
    <w:rsid w:val="00CB6D43"/>
    <w:rsid w:val="00CB7EF0"/>
    <w:rsid w:val="00CC069F"/>
    <w:rsid w:val="00CC2DE2"/>
    <w:rsid w:val="00CD19A0"/>
    <w:rsid w:val="00CD28B5"/>
    <w:rsid w:val="00CD43F3"/>
    <w:rsid w:val="00CD4ED5"/>
    <w:rsid w:val="00CD53CA"/>
    <w:rsid w:val="00CD6092"/>
    <w:rsid w:val="00CD7FE5"/>
    <w:rsid w:val="00CE0915"/>
    <w:rsid w:val="00CE0F8A"/>
    <w:rsid w:val="00CE1628"/>
    <w:rsid w:val="00CE4399"/>
    <w:rsid w:val="00CE78B1"/>
    <w:rsid w:val="00CE7C12"/>
    <w:rsid w:val="00CF0172"/>
    <w:rsid w:val="00CF3E44"/>
    <w:rsid w:val="00CF54D1"/>
    <w:rsid w:val="00CF7DA0"/>
    <w:rsid w:val="00CF7FD0"/>
    <w:rsid w:val="00D010F1"/>
    <w:rsid w:val="00D01109"/>
    <w:rsid w:val="00D04320"/>
    <w:rsid w:val="00D06971"/>
    <w:rsid w:val="00D06B34"/>
    <w:rsid w:val="00D07B5C"/>
    <w:rsid w:val="00D07E03"/>
    <w:rsid w:val="00D10927"/>
    <w:rsid w:val="00D11E0E"/>
    <w:rsid w:val="00D13BDB"/>
    <w:rsid w:val="00D16CD8"/>
    <w:rsid w:val="00D222BB"/>
    <w:rsid w:val="00D22A37"/>
    <w:rsid w:val="00D2354E"/>
    <w:rsid w:val="00D23617"/>
    <w:rsid w:val="00D27A8A"/>
    <w:rsid w:val="00D3288D"/>
    <w:rsid w:val="00D354FD"/>
    <w:rsid w:val="00D3570E"/>
    <w:rsid w:val="00D37974"/>
    <w:rsid w:val="00D40D19"/>
    <w:rsid w:val="00D41A38"/>
    <w:rsid w:val="00D422B1"/>
    <w:rsid w:val="00D422D6"/>
    <w:rsid w:val="00D45250"/>
    <w:rsid w:val="00D45488"/>
    <w:rsid w:val="00D467C6"/>
    <w:rsid w:val="00D54567"/>
    <w:rsid w:val="00D648BE"/>
    <w:rsid w:val="00D65464"/>
    <w:rsid w:val="00D654B3"/>
    <w:rsid w:val="00D65923"/>
    <w:rsid w:val="00D65D16"/>
    <w:rsid w:val="00D66AFA"/>
    <w:rsid w:val="00D70512"/>
    <w:rsid w:val="00D761B6"/>
    <w:rsid w:val="00D76D1C"/>
    <w:rsid w:val="00D827E0"/>
    <w:rsid w:val="00D838A7"/>
    <w:rsid w:val="00D85A3F"/>
    <w:rsid w:val="00D86455"/>
    <w:rsid w:val="00D866E1"/>
    <w:rsid w:val="00D868FB"/>
    <w:rsid w:val="00D86C43"/>
    <w:rsid w:val="00D86FEA"/>
    <w:rsid w:val="00D91826"/>
    <w:rsid w:val="00D93CB5"/>
    <w:rsid w:val="00D94038"/>
    <w:rsid w:val="00D97160"/>
    <w:rsid w:val="00D97488"/>
    <w:rsid w:val="00DA11CC"/>
    <w:rsid w:val="00DA430D"/>
    <w:rsid w:val="00DA5163"/>
    <w:rsid w:val="00DA66D7"/>
    <w:rsid w:val="00DB0B47"/>
    <w:rsid w:val="00DB192A"/>
    <w:rsid w:val="00DB1985"/>
    <w:rsid w:val="00DB37CF"/>
    <w:rsid w:val="00DB40BF"/>
    <w:rsid w:val="00DB66FD"/>
    <w:rsid w:val="00DB7463"/>
    <w:rsid w:val="00DC0F4A"/>
    <w:rsid w:val="00DC2348"/>
    <w:rsid w:val="00DC297D"/>
    <w:rsid w:val="00DC30DD"/>
    <w:rsid w:val="00DC3243"/>
    <w:rsid w:val="00DC40CE"/>
    <w:rsid w:val="00DC6899"/>
    <w:rsid w:val="00DC6EA0"/>
    <w:rsid w:val="00DD020B"/>
    <w:rsid w:val="00DD1CF3"/>
    <w:rsid w:val="00DD2547"/>
    <w:rsid w:val="00DD511F"/>
    <w:rsid w:val="00DD6739"/>
    <w:rsid w:val="00DD6D12"/>
    <w:rsid w:val="00DD7859"/>
    <w:rsid w:val="00DE5EB8"/>
    <w:rsid w:val="00DE608E"/>
    <w:rsid w:val="00DF087F"/>
    <w:rsid w:val="00DF08BA"/>
    <w:rsid w:val="00DF0974"/>
    <w:rsid w:val="00DF2688"/>
    <w:rsid w:val="00DF26E1"/>
    <w:rsid w:val="00DF3972"/>
    <w:rsid w:val="00DF4B76"/>
    <w:rsid w:val="00DF6BE8"/>
    <w:rsid w:val="00E004AC"/>
    <w:rsid w:val="00E027A0"/>
    <w:rsid w:val="00E05C0F"/>
    <w:rsid w:val="00E05C97"/>
    <w:rsid w:val="00E078F3"/>
    <w:rsid w:val="00E109B6"/>
    <w:rsid w:val="00E11F39"/>
    <w:rsid w:val="00E13580"/>
    <w:rsid w:val="00E13FEC"/>
    <w:rsid w:val="00E14394"/>
    <w:rsid w:val="00E14AE5"/>
    <w:rsid w:val="00E15F71"/>
    <w:rsid w:val="00E16E1F"/>
    <w:rsid w:val="00E16E9D"/>
    <w:rsid w:val="00E237EC"/>
    <w:rsid w:val="00E310DD"/>
    <w:rsid w:val="00E31B73"/>
    <w:rsid w:val="00E34A6F"/>
    <w:rsid w:val="00E35514"/>
    <w:rsid w:val="00E356EF"/>
    <w:rsid w:val="00E36F96"/>
    <w:rsid w:val="00E37F28"/>
    <w:rsid w:val="00E41DD8"/>
    <w:rsid w:val="00E4475A"/>
    <w:rsid w:val="00E463D6"/>
    <w:rsid w:val="00E47DCC"/>
    <w:rsid w:val="00E51286"/>
    <w:rsid w:val="00E52B61"/>
    <w:rsid w:val="00E52BA8"/>
    <w:rsid w:val="00E55C1D"/>
    <w:rsid w:val="00E56F54"/>
    <w:rsid w:val="00E57675"/>
    <w:rsid w:val="00E645B5"/>
    <w:rsid w:val="00E651FD"/>
    <w:rsid w:val="00E65B1E"/>
    <w:rsid w:val="00E6700A"/>
    <w:rsid w:val="00E729E2"/>
    <w:rsid w:val="00E73967"/>
    <w:rsid w:val="00E75181"/>
    <w:rsid w:val="00E7573A"/>
    <w:rsid w:val="00E7797A"/>
    <w:rsid w:val="00E80AC2"/>
    <w:rsid w:val="00E82382"/>
    <w:rsid w:val="00E8300F"/>
    <w:rsid w:val="00E86BB6"/>
    <w:rsid w:val="00E87654"/>
    <w:rsid w:val="00E9039A"/>
    <w:rsid w:val="00E90BC9"/>
    <w:rsid w:val="00E91557"/>
    <w:rsid w:val="00E91C57"/>
    <w:rsid w:val="00E95158"/>
    <w:rsid w:val="00E97661"/>
    <w:rsid w:val="00EA075C"/>
    <w:rsid w:val="00EA12C1"/>
    <w:rsid w:val="00EA1625"/>
    <w:rsid w:val="00EA1752"/>
    <w:rsid w:val="00EA1EDF"/>
    <w:rsid w:val="00EA7329"/>
    <w:rsid w:val="00EB1405"/>
    <w:rsid w:val="00EB297F"/>
    <w:rsid w:val="00EB2F3A"/>
    <w:rsid w:val="00EB3E87"/>
    <w:rsid w:val="00EB4C89"/>
    <w:rsid w:val="00EB6518"/>
    <w:rsid w:val="00EB78AA"/>
    <w:rsid w:val="00EC1213"/>
    <w:rsid w:val="00EC121B"/>
    <w:rsid w:val="00EC1C81"/>
    <w:rsid w:val="00EC3B67"/>
    <w:rsid w:val="00EC6DA3"/>
    <w:rsid w:val="00ED0A26"/>
    <w:rsid w:val="00ED13BB"/>
    <w:rsid w:val="00ED4894"/>
    <w:rsid w:val="00ED5A1C"/>
    <w:rsid w:val="00ED6AF6"/>
    <w:rsid w:val="00ED7A75"/>
    <w:rsid w:val="00EE0E9D"/>
    <w:rsid w:val="00EE74BC"/>
    <w:rsid w:val="00EF0B42"/>
    <w:rsid w:val="00EF2B87"/>
    <w:rsid w:val="00EF3CBD"/>
    <w:rsid w:val="00EF49C0"/>
    <w:rsid w:val="00EF49DF"/>
    <w:rsid w:val="00EF4E44"/>
    <w:rsid w:val="00EF5386"/>
    <w:rsid w:val="00EF6B54"/>
    <w:rsid w:val="00EF6D7D"/>
    <w:rsid w:val="00EF7458"/>
    <w:rsid w:val="00EF7BB1"/>
    <w:rsid w:val="00F0055D"/>
    <w:rsid w:val="00F010BF"/>
    <w:rsid w:val="00F027D7"/>
    <w:rsid w:val="00F02920"/>
    <w:rsid w:val="00F0574D"/>
    <w:rsid w:val="00F06B97"/>
    <w:rsid w:val="00F07D89"/>
    <w:rsid w:val="00F10967"/>
    <w:rsid w:val="00F10EF2"/>
    <w:rsid w:val="00F12CBF"/>
    <w:rsid w:val="00F13E74"/>
    <w:rsid w:val="00F160D1"/>
    <w:rsid w:val="00F1611B"/>
    <w:rsid w:val="00F17004"/>
    <w:rsid w:val="00F17080"/>
    <w:rsid w:val="00F205AD"/>
    <w:rsid w:val="00F23AFD"/>
    <w:rsid w:val="00F24CE2"/>
    <w:rsid w:val="00F2639D"/>
    <w:rsid w:val="00F2792A"/>
    <w:rsid w:val="00F27D7F"/>
    <w:rsid w:val="00F27E5E"/>
    <w:rsid w:val="00F31BDE"/>
    <w:rsid w:val="00F336B4"/>
    <w:rsid w:val="00F3411A"/>
    <w:rsid w:val="00F343D1"/>
    <w:rsid w:val="00F344F4"/>
    <w:rsid w:val="00F35726"/>
    <w:rsid w:val="00F35B71"/>
    <w:rsid w:val="00F37FC1"/>
    <w:rsid w:val="00F42A12"/>
    <w:rsid w:val="00F42FAE"/>
    <w:rsid w:val="00F4413D"/>
    <w:rsid w:val="00F606DA"/>
    <w:rsid w:val="00F60905"/>
    <w:rsid w:val="00F62C44"/>
    <w:rsid w:val="00F650AC"/>
    <w:rsid w:val="00F6612B"/>
    <w:rsid w:val="00F67583"/>
    <w:rsid w:val="00F67901"/>
    <w:rsid w:val="00F7278E"/>
    <w:rsid w:val="00F73789"/>
    <w:rsid w:val="00F74820"/>
    <w:rsid w:val="00F7580A"/>
    <w:rsid w:val="00F768B3"/>
    <w:rsid w:val="00F83DDB"/>
    <w:rsid w:val="00F84497"/>
    <w:rsid w:val="00F866E9"/>
    <w:rsid w:val="00F86C65"/>
    <w:rsid w:val="00F872F3"/>
    <w:rsid w:val="00F93CE6"/>
    <w:rsid w:val="00F9451C"/>
    <w:rsid w:val="00F9542E"/>
    <w:rsid w:val="00F95F05"/>
    <w:rsid w:val="00F9732A"/>
    <w:rsid w:val="00F97469"/>
    <w:rsid w:val="00FA2D82"/>
    <w:rsid w:val="00FA4208"/>
    <w:rsid w:val="00FA4E56"/>
    <w:rsid w:val="00FA766D"/>
    <w:rsid w:val="00FA7693"/>
    <w:rsid w:val="00FB0255"/>
    <w:rsid w:val="00FB039A"/>
    <w:rsid w:val="00FB12D4"/>
    <w:rsid w:val="00FB13F3"/>
    <w:rsid w:val="00FB579D"/>
    <w:rsid w:val="00FB71B0"/>
    <w:rsid w:val="00FC0796"/>
    <w:rsid w:val="00FC17F8"/>
    <w:rsid w:val="00FC23D6"/>
    <w:rsid w:val="00FC4468"/>
    <w:rsid w:val="00FC4912"/>
    <w:rsid w:val="00FC4F5F"/>
    <w:rsid w:val="00FC5AA5"/>
    <w:rsid w:val="00FD2BCC"/>
    <w:rsid w:val="00FD4410"/>
    <w:rsid w:val="00FD4DB1"/>
    <w:rsid w:val="00FD58CA"/>
    <w:rsid w:val="00FD73AA"/>
    <w:rsid w:val="00FE052E"/>
    <w:rsid w:val="00FE49BA"/>
    <w:rsid w:val="00FF021A"/>
    <w:rsid w:val="00FF0E78"/>
    <w:rsid w:val="00FF2C8E"/>
    <w:rsid w:val="00FF31A7"/>
    <w:rsid w:val="00FF3B58"/>
    <w:rsid w:val="00FF467D"/>
    <w:rsid w:val="00FF6166"/>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character" w:customStyle="1" w:styleId="BodyTextChar">
    <w:name w:val="Body Text Char"/>
    <w:basedOn w:val="DefaultParagraphFont"/>
    <w:link w:val="BodyText"/>
    <w:rsid w:val="00A434B1"/>
    <w:rPr>
      <w:sz w:val="26"/>
    </w:rPr>
  </w:style>
  <w:style w:type="paragraph" w:styleId="ListParagraph">
    <w:name w:val="List Paragraph"/>
    <w:basedOn w:val="Normal"/>
    <w:uiPriority w:val="34"/>
    <w:qFormat/>
    <w:rsid w:val="00FC4912"/>
    <w:pPr>
      <w:ind w:left="720"/>
      <w:contextualSpacing/>
    </w:pPr>
  </w:style>
  <w:style w:type="paragraph" w:styleId="BalloonText">
    <w:name w:val="Balloon Text"/>
    <w:basedOn w:val="Normal"/>
    <w:link w:val="BalloonTextChar"/>
    <w:rsid w:val="002832D2"/>
    <w:rPr>
      <w:rFonts w:ascii="Tahoma" w:hAnsi="Tahoma" w:cs="Tahoma"/>
      <w:sz w:val="16"/>
      <w:szCs w:val="16"/>
    </w:rPr>
  </w:style>
  <w:style w:type="character" w:customStyle="1" w:styleId="BalloonTextChar">
    <w:name w:val="Balloon Text Char"/>
    <w:basedOn w:val="DefaultParagraphFont"/>
    <w:link w:val="BalloonText"/>
    <w:rsid w:val="002832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4F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link w:val="BodyTextChar"/>
    <w:rsid w:val="006E12A1"/>
    <w:pPr>
      <w:spacing w:line="360" w:lineRule="auto"/>
      <w:jc w:val="both"/>
    </w:pPr>
    <w:rPr>
      <w:sz w:val="26"/>
      <w:szCs w:val="20"/>
    </w:rPr>
  </w:style>
  <w:style w:type="paragraph" w:styleId="FootnoteText">
    <w:name w:val="footnote text"/>
    <w:basedOn w:val="Normal"/>
    <w:link w:val="FootnoteTextChar"/>
    <w:semiHidden/>
    <w:rsid w:val="00C74183"/>
    <w:rPr>
      <w:sz w:val="20"/>
      <w:szCs w:val="20"/>
    </w:rPr>
  </w:style>
  <w:style w:type="character" w:styleId="FootnoteReference">
    <w:name w:val="footnote reference"/>
    <w:basedOn w:val="DefaultParagraphFont"/>
    <w:semiHidden/>
    <w:rsid w:val="00C74183"/>
    <w:rPr>
      <w:vertAlign w:val="superscript"/>
    </w:rPr>
  </w:style>
  <w:style w:type="character" w:customStyle="1" w:styleId="term1">
    <w:name w:val="term1"/>
    <w:basedOn w:val="DefaultParagraphFont"/>
    <w:rsid w:val="004C5FA9"/>
    <w:rPr>
      <w:rFonts w:ascii="Verdana" w:hAnsi="Verdana" w:hint="default"/>
      <w:b/>
      <w:bCs/>
      <w:sz w:val="20"/>
      <w:szCs w:val="20"/>
    </w:rPr>
  </w:style>
  <w:style w:type="paragraph" w:styleId="NormalWeb">
    <w:name w:val="Normal (Web)"/>
    <w:basedOn w:val="Normal"/>
    <w:rsid w:val="00A733A2"/>
    <w:pPr>
      <w:spacing w:before="100" w:beforeAutospacing="1" w:after="100" w:afterAutospacing="1"/>
    </w:pPr>
  </w:style>
  <w:style w:type="character" w:customStyle="1" w:styleId="FootnoteTextChar">
    <w:name w:val="Footnote Text Char"/>
    <w:basedOn w:val="DefaultParagraphFont"/>
    <w:link w:val="FootnoteText"/>
    <w:semiHidden/>
    <w:rsid w:val="007E5847"/>
  </w:style>
  <w:style w:type="character" w:customStyle="1" w:styleId="BodyTextChar">
    <w:name w:val="Body Text Char"/>
    <w:basedOn w:val="DefaultParagraphFont"/>
    <w:link w:val="BodyText"/>
    <w:rsid w:val="00A434B1"/>
    <w:rPr>
      <w:sz w:val="26"/>
    </w:rPr>
  </w:style>
  <w:style w:type="paragraph" w:styleId="ListParagraph">
    <w:name w:val="List Paragraph"/>
    <w:basedOn w:val="Normal"/>
    <w:uiPriority w:val="34"/>
    <w:qFormat/>
    <w:rsid w:val="00FC4912"/>
    <w:pPr>
      <w:ind w:left="720"/>
      <w:contextualSpacing/>
    </w:pPr>
  </w:style>
  <w:style w:type="paragraph" w:styleId="BalloonText">
    <w:name w:val="Balloon Text"/>
    <w:basedOn w:val="Normal"/>
    <w:link w:val="BalloonTextChar"/>
    <w:rsid w:val="002832D2"/>
    <w:rPr>
      <w:rFonts w:ascii="Tahoma" w:hAnsi="Tahoma" w:cs="Tahoma"/>
      <w:sz w:val="16"/>
      <w:szCs w:val="16"/>
    </w:rPr>
  </w:style>
  <w:style w:type="character" w:customStyle="1" w:styleId="BalloonTextChar">
    <w:name w:val="Balloon Text Char"/>
    <w:basedOn w:val="DefaultParagraphFont"/>
    <w:link w:val="BalloonText"/>
    <w:rsid w:val="002832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2418548">
      <w:bodyDiv w:val="1"/>
      <w:marLeft w:val="0"/>
      <w:marRight w:val="0"/>
      <w:marTop w:val="0"/>
      <w:marBottom w:val="0"/>
      <w:divBdr>
        <w:top w:val="none" w:sz="0" w:space="0" w:color="auto"/>
        <w:left w:val="none" w:sz="0" w:space="0" w:color="auto"/>
        <w:bottom w:val="none" w:sz="0" w:space="0" w:color="auto"/>
        <w:right w:val="none" w:sz="0" w:space="0" w:color="auto"/>
      </w:divBdr>
      <w:divsChild>
        <w:div w:id="1559592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31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6C6C0-91EA-472C-83DF-01AE58CE9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13</Pages>
  <Words>3434</Words>
  <Characters>19575</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HOYER</dc:creator>
  <cp:lastModifiedBy>sandra elizabeth oldynski</cp:lastModifiedBy>
  <cp:revision>38</cp:revision>
  <cp:lastPrinted>2015-12-14T19:07:00Z</cp:lastPrinted>
  <dcterms:created xsi:type="dcterms:W3CDTF">2015-12-08T20:25:00Z</dcterms:created>
  <dcterms:modified xsi:type="dcterms:W3CDTF">2015-12-14T19:11:00Z</dcterms:modified>
</cp:coreProperties>
</file>