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AC3" w:rsidRPr="00DE562E" w:rsidRDefault="000F1894" w:rsidP="0081696C">
      <w:pPr>
        <w:jc w:val="center"/>
        <w:outlineLvl w:val="0"/>
        <w:rPr>
          <w:b/>
          <w:sz w:val="24"/>
          <w:szCs w:val="24"/>
        </w:rPr>
      </w:pPr>
      <w:r w:rsidRPr="00DE562E">
        <w:rPr>
          <w:b/>
          <w:sz w:val="24"/>
          <w:szCs w:val="24"/>
        </w:rPr>
        <w:t>BEFORE THE</w:t>
      </w:r>
    </w:p>
    <w:p w:rsidR="0088763C" w:rsidRDefault="000F1894" w:rsidP="0081696C">
      <w:pPr>
        <w:jc w:val="center"/>
        <w:outlineLvl w:val="0"/>
        <w:rPr>
          <w:b/>
          <w:sz w:val="24"/>
          <w:szCs w:val="24"/>
        </w:rPr>
      </w:pPr>
      <w:r w:rsidRPr="00DE562E">
        <w:rPr>
          <w:b/>
          <w:sz w:val="24"/>
          <w:szCs w:val="24"/>
        </w:rPr>
        <w:t>PENNSYLVANIA PUBLIC UTILITY COMMISSION</w:t>
      </w:r>
    </w:p>
    <w:p w:rsidR="00B052B4" w:rsidRDefault="00B052B4" w:rsidP="0081696C">
      <w:pPr>
        <w:jc w:val="center"/>
        <w:outlineLvl w:val="0"/>
        <w:rPr>
          <w:b/>
          <w:sz w:val="24"/>
          <w:szCs w:val="24"/>
        </w:rPr>
      </w:pPr>
    </w:p>
    <w:p w:rsidR="00B052B4" w:rsidRPr="001027AA" w:rsidRDefault="00B052B4" w:rsidP="0081696C">
      <w:pPr>
        <w:jc w:val="center"/>
        <w:outlineLvl w:val="0"/>
        <w:rPr>
          <w:b/>
          <w:sz w:val="24"/>
          <w:szCs w:val="24"/>
        </w:rPr>
      </w:pPr>
    </w:p>
    <w:p w:rsidR="000F1894" w:rsidRPr="00DE562E" w:rsidRDefault="000F1894" w:rsidP="000F1894">
      <w:pPr>
        <w:jc w:val="center"/>
        <w:rPr>
          <w:sz w:val="24"/>
          <w:szCs w:val="24"/>
        </w:rPr>
      </w:pPr>
    </w:p>
    <w:p w:rsidR="000F1894" w:rsidRDefault="00115F21" w:rsidP="00115F21">
      <w:pPr>
        <w:rPr>
          <w:sz w:val="24"/>
          <w:szCs w:val="24"/>
        </w:rPr>
      </w:pPr>
      <w:r>
        <w:rPr>
          <w:sz w:val="24"/>
          <w:szCs w:val="24"/>
        </w:rPr>
        <w:t>Kirk Allen</w:t>
      </w:r>
      <w:r>
        <w:rPr>
          <w:sz w:val="24"/>
          <w:szCs w:val="24"/>
        </w:rPr>
        <w:tab/>
      </w:r>
      <w:r>
        <w:rPr>
          <w:sz w:val="24"/>
          <w:szCs w:val="24"/>
        </w:rPr>
        <w:tab/>
      </w:r>
      <w:r>
        <w:rPr>
          <w:sz w:val="24"/>
          <w:szCs w:val="24"/>
        </w:rPr>
        <w:tab/>
      </w:r>
      <w:r>
        <w:rPr>
          <w:sz w:val="24"/>
          <w:szCs w:val="24"/>
        </w:rPr>
        <w:tab/>
      </w:r>
      <w:r>
        <w:rPr>
          <w:sz w:val="24"/>
          <w:szCs w:val="24"/>
        </w:rPr>
        <w:tab/>
      </w:r>
      <w:r w:rsidR="00B052B4">
        <w:rPr>
          <w:sz w:val="24"/>
          <w:szCs w:val="24"/>
        </w:rPr>
        <w:tab/>
      </w:r>
      <w:r>
        <w:rPr>
          <w:sz w:val="24"/>
          <w:szCs w:val="24"/>
        </w:rPr>
        <w:t>:</w:t>
      </w:r>
    </w:p>
    <w:p w:rsidR="00115F21" w:rsidRDefault="00115F21" w:rsidP="00115F21">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B052B4">
        <w:rPr>
          <w:sz w:val="24"/>
          <w:szCs w:val="24"/>
        </w:rPr>
        <w:tab/>
      </w:r>
      <w:r>
        <w:rPr>
          <w:sz w:val="24"/>
          <w:szCs w:val="24"/>
        </w:rPr>
        <w:t>:</w:t>
      </w:r>
    </w:p>
    <w:p w:rsidR="00115F21" w:rsidRDefault="00B052B4" w:rsidP="00115F21">
      <w:pPr>
        <w:rPr>
          <w:sz w:val="24"/>
          <w:szCs w:val="24"/>
        </w:rPr>
      </w:pPr>
      <w:r>
        <w:rPr>
          <w:sz w:val="24"/>
          <w:szCs w:val="24"/>
        </w:rPr>
        <w:tab/>
      </w:r>
      <w:r w:rsidR="00115F21">
        <w:rPr>
          <w:sz w:val="24"/>
          <w:szCs w:val="24"/>
        </w:rPr>
        <w:t>v.</w:t>
      </w:r>
      <w:r w:rsidR="00115F21">
        <w:rPr>
          <w:sz w:val="24"/>
          <w:szCs w:val="24"/>
        </w:rPr>
        <w:tab/>
      </w:r>
      <w:r w:rsidR="00115F21">
        <w:rPr>
          <w:sz w:val="24"/>
          <w:szCs w:val="24"/>
        </w:rPr>
        <w:tab/>
      </w:r>
      <w:r w:rsidR="00115F21">
        <w:rPr>
          <w:sz w:val="24"/>
          <w:szCs w:val="24"/>
        </w:rPr>
        <w:tab/>
      </w:r>
      <w:r w:rsidR="00115F21">
        <w:rPr>
          <w:sz w:val="24"/>
          <w:szCs w:val="24"/>
        </w:rPr>
        <w:tab/>
      </w:r>
      <w:r w:rsidR="00115F21">
        <w:rPr>
          <w:sz w:val="24"/>
          <w:szCs w:val="24"/>
        </w:rPr>
        <w:tab/>
      </w:r>
      <w:r w:rsidR="00115F21">
        <w:rPr>
          <w:sz w:val="24"/>
          <w:szCs w:val="24"/>
        </w:rPr>
        <w:tab/>
        <w:t>:</w:t>
      </w:r>
      <w:r w:rsidR="00115F21">
        <w:rPr>
          <w:sz w:val="24"/>
          <w:szCs w:val="24"/>
        </w:rPr>
        <w:tab/>
      </w:r>
      <w:r>
        <w:rPr>
          <w:sz w:val="24"/>
          <w:szCs w:val="24"/>
        </w:rPr>
        <w:tab/>
      </w:r>
      <w:r w:rsidR="004C0248">
        <w:rPr>
          <w:sz w:val="24"/>
          <w:szCs w:val="24"/>
        </w:rPr>
        <w:tab/>
      </w:r>
      <w:bookmarkStart w:id="0" w:name="_GoBack"/>
      <w:bookmarkEnd w:id="0"/>
      <w:r w:rsidR="00115F21">
        <w:rPr>
          <w:sz w:val="24"/>
          <w:szCs w:val="24"/>
        </w:rPr>
        <w:t>F-2015-2487158</w:t>
      </w:r>
    </w:p>
    <w:p w:rsidR="00115F21" w:rsidRDefault="00115F21" w:rsidP="00115F21">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B052B4">
        <w:rPr>
          <w:sz w:val="24"/>
          <w:szCs w:val="24"/>
        </w:rPr>
        <w:tab/>
      </w:r>
      <w:r>
        <w:rPr>
          <w:sz w:val="24"/>
          <w:szCs w:val="24"/>
        </w:rPr>
        <w:t>:</w:t>
      </w:r>
    </w:p>
    <w:p w:rsidR="00115F21" w:rsidRDefault="00115F21" w:rsidP="00115F21">
      <w:pPr>
        <w:rPr>
          <w:sz w:val="24"/>
          <w:szCs w:val="24"/>
        </w:rPr>
      </w:pPr>
      <w:r>
        <w:rPr>
          <w:sz w:val="24"/>
          <w:szCs w:val="24"/>
        </w:rPr>
        <w:t>PPL Electric Utilities Corporation</w:t>
      </w:r>
      <w:r>
        <w:rPr>
          <w:sz w:val="24"/>
          <w:szCs w:val="24"/>
        </w:rPr>
        <w:tab/>
      </w:r>
      <w:r>
        <w:rPr>
          <w:sz w:val="24"/>
          <w:szCs w:val="24"/>
        </w:rPr>
        <w:tab/>
      </w:r>
      <w:r w:rsidR="00B052B4">
        <w:rPr>
          <w:sz w:val="24"/>
          <w:szCs w:val="24"/>
        </w:rPr>
        <w:tab/>
      </w:r>
      <w:r>
        <w:rPr>
          <w:sz w:val="24"/>
          <w:szCs w:val="24"/>
        </w:rPr>
        <w:t>:</w:t>
      </w:r>
    </w:p>
    <w:p w:rsidR="005E3007" w:rsidRDefault="005E3007" w:rsidP="00E52738">
      <w:pPr>
        <w:tabs>
          <w:tab w:val="left" w:pos="-720"/>
        </w:tabs>
        <w:suppressAutoHyphens/>
        <w:rPr>
          <w:bCs/>
          <w:spacing w:val="-3"/>
          <w:sz w:val="24"/>
          <w:szCs w:val="24"/>
        </w:rPr>
      </w:pPr>
      <w:r w:rsidRPr="00966FB7">
        <w:rPr>
          <w:bCs/>
          <w:spacing w:val="-3"/>
          <w:sz w:val="24"/>
          <w:szCs w:val="24"/>
        </w:rPr>
        <w:tab/>
      </w:r>
    </w:p>
    <w:p w:rsidR="00E52738" w:rsidRDefault="00E52738" w:rsidP="00E52738">
      <w:pPr>
        <w:tabs>
          <w:tab w:val="left" w:pos="-720"/>
        </w:tabs>
        <w:suppressAutoHyphens/>
        <w:rPr>
          <w:bCs/>
          <w:spacing w:val="-3"/>
          <w:sz w:val="24"/>
          <w:szCs w:val="24"/>
        </w:rPr>
      </w:pPr>
    </w:p>
    <w:p w:rsidR="00B052B4" w:rsidRDefault="00B052B4" w:rsidP="00E52738">
      <w:pPr>
        <w:tabs>
          <w:tab w:val="left" w:pos="-720"/>
        </w:tabs>
        <w:suppressAutoHyphens/>
        <w:rPr>
          <w:bCs/>
          <w:spacing w:val="-3"/>
          <w:sz w:val="24"/>
          <w:szCs w:val="24"/>
        </w:rPr>
      </w:pPr>
    </w:p>
    <w:p w:rsidR="000F1894" w:rsidRPr="00E514FA" w:rsidRDefault="00CB495C" w:rsidP="000F1894">
      <w:pPr>
        <w:jc w:val="center"/>
        <w:rPr>
          <w:b/>
          <w:sz w:val="24"/>
          <w:szCs w:val="24"/>
        </w:rPr>
      </w:pPr>
      <w:r>
        <w:rPr>
          <w:b/>
          <w:caps/>
          <w:sz w:val="24"/>
          <w:szCs w:val="24"/>
          <w:u w:val="single"/>
        </w:rPr>
        <w:t>INitial decision</w:t>
      </w:r>
    </w:p>
    <w:p w:rsidR="006A21C2" w:rsidRDefault="006A21C2" w:rsidP="000F1894">
      <w:pPr>
        <w:jc w:val="center"/>
        <w:rPr>
          <w:sz w:val="24"/>
          <w:szCs w:val="24"/>
        </w:rPr>
      </w:pPr>
    </w:p>
    <w:p w:rsidR="00B052B4" w:rsidRPr="006A21C2" w:rsidRDefault="00B052B4" w:rsidP="000F1894">
      <w:pPr>
        <w:jc w:val="center"/>
        <w:rPr>
          <w:sz w:val="24"/>
          <w:szCs w:val="24"/>
        </w:rPr>
      </w:pPr>
    </w:p>
    <w:p w:rsidR="000F1894" w:rsidRPr="00DE562E" w:rsidRDefault="000F1894" w:rsidP="0081696C">
      <w:pPr>
        <w:jc w:val="center"/>
        <w:outlineLvl w:val="0"/>
        <w:rPr>
          <w:sz w:val="24"/>
          <w:szCs w:val="24"/>
        </w:rPr>
      </w:pPr>
      <w:r w:rsidRPr="00DE562E">
        <w:rPr>
          <w:sz w:val="24"/>
          <w:szCs w:val="24"/>
        </w:rPr>
        <w:t>Before</w:t>
      </w:r>
    </w:p>
    <w:p w:rsidR="000F1894" w:rsidRPr="00DE562E" w:rsidRDefault="001F7F73" w:rsidP="000F1894">
      <w:pPr>
        <w:jc w:val="center"/>
        <w:rPr>
          <w:sz w:val="24"/>
          <w:szCs w:val="24"/>
        </w:rPr>
      </w:pPr>
      <w:r>
        <w:rPr>
          <w:sz w:val="24"/>
          <w:szCs w:val="24"/>
        </w:rPr>
        <w:t>Ember S. Jandebeur</w:t>
      </w:r>
    </w:p>
    <w:p w:rsidR="00BC7AF5" w:rsidRDefault="000F1894" w:rsidP="000F1894">
      <w:pPr>
        <w:jc w:val="center"/>
        <w:rPr>
          <w:sz w:val="24"/>
          <w:szCs w:val="24"/>
        </w:rPr>
      </w:pPr>
      <w:r w:rsidRPr="00DE562E">
        <w:rPr>
          <w:sz w:val="24"/>
          <w:szCs w:val="24"/>
        </w:rPr>
        <w:t>Administrative Law Judge</w:t>
      </w:r>
    </w:p>
    <w:p w:rsidR="00115F21" w:rsidRDefault="00115F21" w:rsidP="000F1894">
      <w:pPr>
        <w:jc w:val="center"/>
        <w:rPr>
          <w:sz w:val="24"/>
          <w:szCs w:val="24"/>
        </w:rPr>
      </w:pPr>
    </w:p>
    <w:p w:rsidR="00B052B4" w:rsidRDefault="00B052B4" w:rsidP="000F1894">
      <w:pPr>
        <w:jc w:val="center"/>
        <w:rPr>
          <w:sz w:val="24"/>
          <w:szCs w:val="24"/>
        </w:rPr>
      </w:pPr>
    </w:p>
    <w:p w:rsidR="00115F21" w:rsidRDefault="00115F21" w:rsidP="00115F21">
      <w:pPr>
        <w:spacing w:line="360" w:lineRule="auto"/>
        <w:ind w:firstLine="1440"/>
        <w:rPr>
          <w:sz w:val="24"/>
          <w:szCs w:val="24"/>
        </w:rPr>
      </w:pPr>
      <w:r>
        <w:rPr>
          <w:sz w:val="24"/>
          <w:szCs w:val="24"/>
        </w:rPr>
        <w:t>This Initial Decision grants the motion of PPL Electric Utilities Corporation and dismisses the Formal Complaint of Kirk Allen for failure to meet his burden of proof.</w:t>
      </w:r>
    </w:p>
    <w:p w:rsidR="00CB495C" w:rsidRDefault="00CB495C" w:rsidP="00B052B4">
      <w:pPr>
        <w:spacing w:line="360" w:lineRule="auto"/>
        <w:jc w:val="center"/>
        <w:rPr>
          <w:sz w:val="24"/>
          <w:szCs w:val="24"/>
        </w:rPr>
      </w:pPr>
    </w:p>
    <w:p w:rsidR="00CB495C" w:rsidRPr="00DC4452" w:rsidRDefault="006A21C2" w:rsidP="00F90E67">
      <w:pPr>
        <w:spacing w:line="360" w:lineRule="auto"/>
        <w:jc w:val="center"/>
        <w:rPr>
          <w:sz w:val="24"/>
          <w:szCs w:val="24"/>
          <w:u w:val="single"/>
        </w:rPr>
      </w:pPr>
      <w:r w:rsidRPr="00DC4452">
        <w:rPr>
          <w:sz w:val="24"/>
          <w:szCs w:val="24"/>
        </w:rPr>
        <w:t xml:space="preserve"> </w:t>
      </w:r>
      <w:r w:rsidR="00CB495C" w:rsidRPr="00DC4452">
        <w:rPr>
          <w:sz w:val="24"/>
          <w:szCs w:val="24"/>
          <w:u w:val="single"/>
        </w:rPr>
        <w:t>HISTORY OF THE PROCEEDING</w:t>
      </w:r>
    </w:p>
    <w:p w:rsidR="00CB495C" w:rsidRDefault="00115F21" w:rsidP="00115F21">
      <w:pPr>
        <w:pStyle w:val="ListParagraph"/>
        <w:spacing w:line="360" w:lineRule="auto"/>
        <w:rPr>
          <w:sz w:val="24"/>
          <w:szCs w:val="24"/>
        </w:rPr>
      </w:pPr>
      <w:r>
        <w:rPr>
          <w:sz w:val="24"/>
          <w:szCs w:val="24"/>
        </w:rPr>
        <w:t xml:space="preserve"> </w:t>
      </w:r>
    </w:p>
    <w:p w:rsidR="00115F21" w:rsidRDefault="00510C41" w:rsidP="00B052B4">
      <w:pPr>
        <w:pStyle w:val="ListParagraph"/>
        <w:spacing w:line="360" w:lineRule="auto"/>
        <w:ind w:left="0" w:firstLine="1440"/>
        <w:rPr>
          <w:sz w:val="24"/>
          <w:szCs w:val="24"/>
        </w:rPr>
      </w:pPr>
      <w:r>
        <w:rPr>
          <w:sz w:val="24"/>
          <w:szCs w:val="24"/>
        </w:rPr>
        <w:t>On June 11, 2015, Kirk Allen (Complainant) filed a Formal Complaint with the Public Utility Commission alleging that PPL Electric Utilities Corporation (Respondent or PPL) had terminated his service and he wanted it turned back on.</w:t>
      </w:r>
      <w:r w:rsidR="00324926">
        <w:rPr>
          <w:sz w:val="24"/>
          <w:szCs w:val="24"/>
        </w:rPr>
        <w:t xml:space="preserve">  This is a timely appeal of the </w:t>
      </w:r>
      <w:r w:rsidR="00235A5F">
        <w:rPr>
          <w:sz w:val="24"/>
          <w:szCs w:val="24"/>
        </w:rPr>
        <w:t>C</w:t>
      </w:r>
      <w:r w:rsidR="00324926">
        <w:rPr>
          <w:sz w:val="24"/>
          <w:szCs w:val="24"/>
        </w:rPr>
        <w:t>ommission’s Bureau of Consumer Services (BCS) informal decision at Case No. 3283811.  In that decision, BCS found that the Complainant had to pay the security deposit or risk termination.</w:t>
      </w:r>
    </w:p>
    <w:p w:rsidR="00602637" w:rsidRDefault="00602637" w:rsidP="00602637">
      <w:pPr>
        <w:pStyle w:val="ListParagraph"/>
        <w:spacing w:line="360" w:lineRule="auto"/>
        <w:ind w:left="1440"/>
        <w:rPr>
          <w:sz w:val="24"/>
          <w:szCs w:val="24"/>
        </w:rPr>
      </w:pPr>
    </w:p>
    <w:p w:rsidR="00510C41" w:rsidRDefault="00510C41" w:rsidP="00B052B4">
      <w:pPr>
        <w:pStyle w:val="ListParagraph"/>
        <w:spacing w:line="360" w:lineRule="auto"/>
        <w:ind w:left="90" w:firstLine="1350"/>
        <w:rPr>
          <w:sz w:val="24"/>
          <w:szCs w:val="24"/>
        </w:rPr>
      </w:pPr>
      <w:r>
        <w:rPr>
          <w:sz w:val="24"/>
          <w:szCs w:val="24"/>
        </w:rPr>
        <w:t>On July 2, 2015</w:t>
      </w:r>
      <w:r w:rsidR="00235A5F">
        <w:rPr>
          <w:sz w:val="24"/>
          <w:szCs w:val="24"/>
        </w:rPr>
        <w:t>,</w:t>
      </w:r>
      <w:r>
        <w:rPr>
          <w:sz w:val="24"/>
          <w:szCs w:val="24"/>
        </w:rPr>
        <w:t xml:space="preserve"> PPL filed an Answer alleging that the Complainant had </w:t>
      </w:r>
      <w:r w:rsidR="00602637">
        <w:rPr>
          <w:sz w:val="24"/>
          <w:szCs w:val="24"/>
        </w:rPr>
        <w:t>received service under his landlord’s name and had applied for service in his own name.</w:t>
      </w:r>
      <w:r>
        <w:rPr>
          <w:sz w:val="24"/>
          <w:szCs w:val="24"/>
        </w:rPr>
        <w:t xml:space="preserve"> </w:t>
      </w:r>
      <w:r w:rsidR="00235A5F">
        <w:rPr>
          <w:sz w:val="24"/>
          <w:szCs w:val="24"/>
        </w:rPr>
        <w:t xml:space="preserve"> </w:t>
      </w:r>
      <w:r w:rsidR="00602637">
        <w:rPr>
          <w:sz w:val="24"/>
          <w:szCs w:val="24"/>
        </w:rPr>
        <w:t xml:space="preserve">The Complainant was told </w:t>
      </w:r>
      <w:r w:rsidR="008B1A98">
        <w:rPr>
          <w:sz w:val="24"/>
          <w:szCs w:val="24"/>
        </w:rPr>
        <w:t xml:space="preserve">by PPL </w:t>
      </w:r>
      <w:r w:rsidR="00602637">
        <w:rPr>
          <w:sz w:val="24"/>
          <w:szCs w:val="24"/>
        </w:rPr>
        <w:t xml:space="preserve">that a </w:t>
      </w:r>
      <w:r>
        <w:rPr>
          <w:sz w:val="24"/>
          <w:szCs w:val="24"/>
        </w:rPr>
        <w:t>security deposit was required</w:t>
      </w:r>
      <w:r w:rsidR="00602637">
        <w:rPr>
          <w:sz w:val="24"/>
          <w:szCs w:val="24"/>
        </w:rPr>
        <w:t xml:space="preserve">.  The Complainant </w:t>
      </w:r>
      <w:r>
        <w:rPr>
          <w:sz w:val="24"/>
          <w:szCs w:val="24"/>
        </w:rPr>
        <w:t>never paid</w:t>
      </w:r>
      <w:r w:rsidR="00602637">
        <w:rPr>
          <w:sz w:val="24"/>
          <w:szCs w:val="24"/>
        </w:rPr>
        <w:t xml:space="preserve"> the security deposit,</w:t>
      </w:r>
      <w:r>
        <w:rPr>
          <w:sz w:val="24"/>
          <w:szCs w:val="24"/>
        </w:rPr>
        <w:t xml:space="preserve"> and </w:t>
      </w:r>
      <w:r w:rsidR="008B1A98">
        <w:rPr>
          <w:sz w:val="24"/>
          <w:szCs w:val="24"/>
        </w:rPr>
        <w:t>PPL</w:t>
      </w:r>
      <w:r>
        <w:rPr>
          <w:sz w:val="24"/>
          <w:szCs w:val="24"/>
        </w:rPr>
        <w:t xml:space="preserve"> terminated</w:t>
      </w:r>
      <w:r w:rsidR="008B1A98">
        <w:rPr>
          <w:sz w:val="24"/>
          <w:szCs w:val="24"/>
        </w:rPr>
        <w:t xml:space="preserve"> the Complainant’s service</w:t>
      </w:r>
      <w:r>
        <w:rPr>
          <w:sz w:val="24"/>
          <w:szCs w:val="24"/>
        </w:rPr>
        <w:t>.</w:t>
      </w:r>
    </w:p>
    <w:p w:rsidR="00602637" w:rsidRPr="00602637" w:rsidRDefault="00602637" w:rsidP="00602637">
      <w:pPr>
        <w:pStyle w:val="ListParagraph"/>
        <w:rPr>
          <w:sz w:val="24"/>
          <w:szCs w:val="24"/>
        </w:rPr>
      </w:pPr>
    </w:p>
    <w:p w:rsidR="00510C41" w:rsidRPr="00B052B4" w:rsidRDefault="00510C41" w:rsidP="00B052B4">
      <w:pPr>
        <w:spacing w:line="360" w:lineRule="auto"/>
        <w:ind w:firstLine="1440"/>
        <w:rPr>
          <w:sz w:val="24"/>
          <w:szCs w:val="24"/>
        </w:rPr>
      </w:pPr>
      <w:r w:rsidRPr="00B052B4">
        <w:rPr>
          <w:sz w:val="24"/>
          <w:szCs w:val="24"/>
        </w:rPr>
        <w:lastRenderedPageBreak/>
        <w:t>On September 17, 2015, a Hearing Notice was issued setting the time and place for an in-person hearing for November 17, 2015</w:t>
      </w:r>
      <w:r w:rsidR="008B1A98" w:rsidRPr="00B052B4">
        <w:rPr>
          <w:sz w:val="24"/>
          <w:szCs w:val="24"/>
        </w:rPr>
        <w:t>, and the matter was assigned to me</w:t>
      </w:r>
      <w:r w:rsidRPr="00B052B4">
        <w:rPr>
          <w:sz w:val="24"/>
          <w:szCs w:val="24"/>
        </w:rPr>
        <w:t>.</w:t>
      </w:r>
    </w:p>
    <w:p w:rsidR="00602637" w:rsidRPr="00602637" w:rsidRDefault="00602637" w:rsidP="00D24EA8">
      <w:pPr>
        <w:pStyle w:val="ListParagraph"/>
        <w:spacing w:line="360" w:lineRule="auto"/>
        <w:rPr>
          <w:sz w:val="24"/>
          <w:szCs w:val="24"/>
        </w:rPr>
      </w:pPr>
    </w:p>
    <w:p w:rsidR="00510C41" w:rsidRDefault="00510C41" w:rsidP="00B052B4">
      <w:pPr>
        <w:pStyle w:val="ListParagraph"/>
        <w:spacing w:line="360" w:lineRule="auto"/>
        <w:ind w:left="0" w:firstLine="1440"/>
        <w:rPr>
          <w:sz w:val="24"/>
          <w:szCs w:val="24"/>
        </w:rPr>
      </w:pPr>
      <w:r>
        <w:rPr>
          <w:sz w:val="24"/>
          <w:szCs w:val="24"/>
        </w:rPr>
        <w:t>On September 24, 2015, I used a Prehearing Order advising the parties of various procedural rules.</w:t>
      </w:r>
    </w:p>
    <w:p w:rsidR="00602637" w:rsidRPr="00602637" w:rsidRDefault="00602637" w:rsidP="00D24EA8">
      <w:pPr>
        <w:pStyle w:val="ListParagraph"/>
        <w:spacing w:line="360" w:lineRule="auto"/>
        <w:rPr>
          <w:sz w:val="24"/>
          <w:szCs w:val="24"/>
        </w:rPr>
      </w:pPr>
    </w:p>
    <w:p w:rsidR="00510C41" w:rsidRDefault="00510C41" w:rsidP="00B052B4">
      <w:pPr>
        <w:pStyle w:val="ListParagraph"/>
        <w:spacing w:line="360" w:lineRule="auto"/>
        <w:ind w:left="0" w:firstLine="1440"/>
        <w:rPr>
          <w:sz w:val="24"/>
          <w:szCs w:val="24"/>
        </w:rPr>
      </w:pPr>
      <w:r>
        <w:rPr>
          <w:sz w:val="24"/>
          <w:szCs w:val="24"/>
        </w:rPr>
        <w:t xml:space="preserve">On November 17, 2015, the hearing convened as scheduled.  The Complainant appeared on his own behalf; PPL was represented by counsel.  The Complainant proffered no exhibits.  PPL </w:t>
      </w:r>
      <w:r w:rsidR="00AB7BD6">
        <w:rPr>
          <w:sz w:val="24"/>
          <w:szCs w:val="24"/>
        </w:rPr>
        <w:t>also proffered no exhibits.</w:t>
      </w:r>
      <w:r w:rsidR="008B1A98">
        <w:rPr>
          <w:sz w:val="24"/>
          <w:szCs w:val="24"/>
        </w:rPr>
        <w:t xml:space="preserve">  The record closed on November 17, 2015 at the conclusion of the hearing.</w:t>
      </w:r>
      <w:r w:rsidR="00AB7BD6">
        <w:rPr>
          <w:sz w:val="24"/>
          <w:szCs w:val="24"/>
        </w:rPr>
        <w:t xml:space="preserve">  This matter is now ready for decision.</w:t>
      </w:r>
    </w:p>
    <w:p w:rsidR="00CB495C" w:rsidRPr="00DC4452" w:rsidRDefault="00CB495C" w:rsidP="00B052B4">
      <w:pPr>
        <w:spacing w:line="360" w:lineRule="auto"/>
        <w:jc w:val="center"/>
        <w:rPr>
          <w:sz w:val="24"/>
          <w:szCs w:val="24"/>
          <w:u w:val="single"/>
        </w:rPr>
      </w:pPr>
    </w:p>
    <w:p w:rsidR="00CB495C" w:rsidRPr="00DC4452" w:rsidRDefault="00CB495C" w:rsidP="00D24EA8">
      <w:pPr>
        <w:spacing w:line="360" w:lineRule="auto"/>
        <w:jc w:val="center"/>
        <w:rPr>
          <w:sz w:val="24"/>
          <w:szCs w:val="24"/>
          <w:u w:val="single"/>
        </w:rPr>
      </w:pPr>
      <w:r w:rsidRPr="00DC4452">
        <w:rPr>
          <w:sz w:val="24"/>
          <w:szCs w:val="24"/>
          <w:u w:val="single"/>
        </w:rPr>
        <w:t>FINDINGS OF FACT</w:t>
      </w:r>
    </w:p>
    <w:p w:rsidR="00CB495C" w:rsidRPr="00DC4452" w:rsidRDefault="00CB495C" w:rsidP="00B052B4">
      <w:pPr>
        <w:spacing w:line="360" w:lineRule="auto"/>
        <w:jc w:val="center"/>
        <w:rPr>
          <w:sz w:val="24"/>
          <w:szCs w:val="24"/>
          <w:u w:val="single"/>
        </w:rPr>
      </w:pPr>
    </w:p>
    <w:p w:rsidR="00CB495C" w:rsidRDefault="00AB7BD6" w:rsidP="00B052B4">
      <w:pPr>
        <w:pStyle w:val="ListParagraph"/>
        <w:numPr>
          <w:ilvl w:val="0"/>
          <w:numId w:val="35"/>
        </w:numPr>
        <w:spacing w:line="360" w:lineRule="auto"/>
        <w:ind w:left="0" w:firstLine="1440"/>
        <w:rPr>
          <w:sz w:val="24"/>
          <w:szCs w:val="24"/>
        </w:rPr>
      </w:pPr>
      <w:r w:rsidRPr="00AB7BD6">
        <w:rPr>
          <w:sz w:val="24"/>
          <w:szCs w:val="24"/>
        </w:rPr>
        <w:t>The Complainant is Kirk Allen who resides at 9613 Stony Hollow Drive, Tobyhanna, Pennsylvania 18466</w:t>
      </w:r>
      <w:r>
        <w:rPr>
          <w:sz w:val="24"/>
          <w:szCs w:val="24"/>
        </w:rPr>
        <w:t>.</w:t>
      </w:r>
    </w:p>
    <w:p w:rsidR="00602637" w:rsidRDefault="00602637" w:rsidP="00B052B4">
      <w:pPr>
        <w:pStyle w:val="ListParagraph"/>
        <w:spacing w:line="360" w:lineRule="auto"/>
        <w:ind w:left="1440"/>
        <w:rPr>
          <w:sz w:val="24"/>
          <w:szCs w:val="24"/>
        </w:rPr>
      </w:pPr>
    </w:p>
    <w:p w:rsidR="00AB7BD6" w:rsidRDefault="00AB7BD6" w:rsidP="00B052B4">
      <w:pPr>
        <w:pStyle w:val="ListParagraph"/>
        <w:numPr>
          <w:ilvl w:val="0"/>
          <w:numId w:val="35"/>
        </w:numPr>
        <w:spacing w:line="360" w:lineRule="auto"/>
        <w:ind w:left="0" w:firstLine="1440"/>
        <w:rPr>
          <w:sz w:val="24"/>
          <w:szCs w:val="24"/>
        </w:rPr>
      </w:pPr>
      <w:r>
        <w:rPr>
          <w:sz w:val="24"/>
          <w:szCs w:val="24"/>
        </w:rPr>
        <w:t>The Respondent is PPL Electric Utilities Corporation a jurisdictional public utility.</w:t>
      </w:r>
    </w:p>
    <w:p w:rsidR="00602637" w:rsidRPr="00602637" w:rsidRDefault="00602637" w:rsidP="00B052B4">
      <w:pPr>
        <w:pStyle w:val="ListParagraph"/>
        <w:spacing w:line="360" w:lineRule="auto"/>
        <w:rPr>
          <w:sz w:val="24"/>
          <w:szCs w:val="24"/>
        </w:rPr>
      </w:pPr>
    </w:p>
    <w:p w:rsidR="00AB7BD6" w:rsidRDefault="00AB7BD6" w:rsidP="00B052B4">
      <w:pPr>
        <w:pStyle w:val="ListParagraph"/>
        <w:numPr>
          <w:ilvl w:val="0"/>
          <w:numId w:val="35"/>
        </w:numPr>
        <w:spacing w:line="360" w:lineRule="auto"/>
        <w:ind w:left="0" w:firstLine="1440"/>
        <w:rPr>
          <w:sz w:val="24"/>
          <w:szCs w:val="24"/>
        </w:rPr>
      </w:pPr>
      <w:r>
        <w:rPr>
          <w:sz w:val="24"/>
          <w:szCs w:val="24"/>
        </w:rPr>
        <w:t xml:space="preserve">The Complainant received electric service at his apartment in the landlord’s name until </w:t>
      </w:r>
      <w:r w:rsidR="004F5047">
        <w:rPr>
          <w:sz w:val="24"/>
          <w:szCs w:val="24"/>
        </w:rPr>
        <w:t xml:space="preserve">September 9, 2014, when </w:t>
      </w:r>
      <w:r>
        <w:rPr>
          <w:sz w:val="24"/>
          <w:szCs w:val="24"/>
        </w:rPr>
        <w:t>he called to have service put in his own name.</w:t>
      </w:r>
    </w:p>
    <w:p w:rsidR="00602637" w:rsidRPr="00602637" w:rsidRDefault="00602637" w:rsidP="00B052B4">
      <w:pPr>
        <w:pStyle w:val="ListParagraph"/>
        <w:spacing w:line="360" w:lineRule="auto"/>
        <w:rPr>
          <w:sz w:val="24"/>
          <w:szCs w:val="24"/>
        </w:rPr>
      </w:pPr>
    </w:p>
    <w:p w:rsidR="00AB7BD6" w:rsidRDefault="004F5047" w:rsidP="00B052B4">
      <w:pPr>
        <w:pStyle w:val="ListParagraph"/>
        <w:numPr>
          <w:ilvl w:val="0"/>
          <w:numId w:val="35"/>
        </w:numPr>
        <w:spacing w:line="360" w:lineRule="auto"/>
        <w:ind w:left="0" w:firstLine="1440"/>
        <w:rPr>
          <w:sz w:val="24"/>
          <w:szCs w:val="24"/>
        </w:rPr>
      </w:pPr>
      <w:r>
        <w:rPr>
          <w:sz w:val="24"/>
          <w:szCs w:val="24"/>
        </w:rPr>
        <w:t>After performing a credit check, t</w:t>
      </w:r>
      <w:r w:rsidR="00AB7BD6">
        <w:rPr>
          <w:sz w:val="24"/>
          <w:szCs w:val="24"/>
        </w:rPr>
        <w:t xml:space="preserve">he Complainant was told he would have to pay a $630 security deposit due to his </w:t>
      </w:r>
      <w:r>
        <w:rPr>
          <w:sz w:val="24"/>
          <w:szCs w:val="24"/>
        </w:rPr>
        <w:t xml:space="preserve">low </w:t>
      </w:r>
      <w:r w:rsidR="00AB7BD6">
        <w:rPr>
          <w:sz w:val="24"/>
          <w:szCs w:val="24"/>
        </w:rPr>
        <w:t>credit score.</w:t>
      </w:r>
    </w:p>
    <w:p w:rsidR="00602637" w:rsidRPr="00602637" w:rsidRDefault="00602637" w:rsidP="00B052B4">
      <w:pPr>
        <w:pStyle w:val="ListParagraph"/>
        <w:spacing w:line="360" w:lineRule="auto"/>
        <w:rPr>
          <w:sz w:val="24"/>
          <w:szCs w:val="24"/>
        </w:rPr>
      </w:pPr>
    </w:p>
    <w:p w:rsidR="00AB7BD6" w:rsidRDefault="00AB7BD6" w:rsidP="00B052B4">
      <w:pPr>
        <w:pStyle w:val="ListParagraph"/>
        <w:numPr>
          <w:ilvl w:val="0"/>
          <w:numId w:val="35"/>
        </w:numPr>
        <w:spacing w:line="360" w:lineRule="auto"/>
        <w:ind w:left="0" w:firstLine="1440"/>
        <w:rPr>
          <w:sz w:val="24"/>
          <w:szCs w:val="24"/>
        </w:rPr>
      </w:pPr>
      <w:r>
        <w:rPr>
          <w:sz w:val="24"/>
          <w:szCs w:val="24"/>
        </w:rPr>
        <w:t>The Complainant did not pay the security deposit.</w:t>
      </w:r>
    </w:p>
    <w:p w:rsidR="00602637" w:rsidRPr="00602637" w:rsidRDefault="00602637" w:rsidP="00B052B4">
      <w:pPr>
        <w:pStyle w:val="ListParagraph"/>
        <w:spacing w:line="360" w:lineRule="auto"/>
        <w:rPr>
          <w:sz w:val="24"/>
          <w:szCs w:val="24"/>
        </w:rPr>
      </w:pPr>
    </w:p>
    <w:p w:rsidR="00AB7BD6" w:rsidRDefault="004F5047" w:rsidP="00B052B4">
      <w:pPr>
        <w:pStyle w:val="ListParagraph"/>
        <w:numPr>
          <w:ilvl w:val="0"/>
          <w:numId w:val="35"/>
        </w:numPr>
        <w:spacing w:line="360" w:lineRule="auto"/>
        <w:ind w:left="0" w:firstLine="1440"/>
        <w:rPr>
          <w:sz w:val="24"/>
          <w:szCs w:val="24"/>
        </w:rPr>
      </w:pPr>
      <w:r>
        <w:rPr>
          <w:sz w:val="24"/>
          <w:szCs w:val="24"/>
        </w:rPr>
        <w:t xml:space="preserve">On May 15, 2015, </w:t>
      </w:r>
      <w:r w:rsidR="00AB7BD6">
        <w:rPr>
          <w:sz w:val="24"/>
          <w:szCs w:val="24"/>
        </w:rPr>
        <w:t xml:space="preserve">PPL left an Occupant Notice on the Complainant’s home notifying </w:t>
      </w:r>
      <w:r w:rsidR="00602637">
        <w:rPr>
          <w:sz w:val="24"/>
          <w:szCs w:val="24"/>
        </w:rPr>
        <w:t>the Complainant</w:t>
      </w:r>
      <w:r w:rsidR="00AB7BD6">
        <w:rPr>
          <w:sz w:val="24"/>
          <w:szCs w:val="24"/>
        </w:rPr>
        <w:t xml:space="preserve"> of impending service termination.</w:t>
      </w:r>
    </w:p>
    <w:p w:rsidR="00602637" w:rsidRDefault="00602637" w:rsidP="00B052B4">
      <w:pPr>
        <w:pStyle w:val="ListParagraph"/>
        <w:spacing w:line="360" w:lineRule="auto"/>
        <w:ind w:left="1440"/>
        <w:rPr>
          <w:sz w:val="24"/>
          <w:szCs w:val="24"/>
        </w:rPr>
      </w:pPr>
    </w:p>
    <w:p w:rsidR="00AB7BD6" w:rsidRDefault="00AB7BD6" w:rsidP="00B052B4">
      <w:pPr>
        <w:pStyle w:val="ListParagraph"/>
        <w:numPr>
          <w:ilvl w:val="0"/>
          <w:numId w:val="35"/>
        </w:numPr>
        <w:spacing w:line="360" w:lineRule="auto"/>
        <w:ind w:left="0" w:firstLine="1440"/>
        <w:rPr>
          <w:sz w:val="24"/>
          <w:szCs w:val="24"/>
        </w:rPr>
      </w:pPr>
      <w:r>
        <w:rPr>
          <w:sz w:val="24"/>
          <w:szCs w:val="24"/>
        </w:rPr>
        <w:t>Service was terminated on May 20, 2015.</w:t>
      </w:r>
    </w:p>
    <w:p w:rsidR="00CB495C" w:rsidRPr="00DC4452" w:rsidRDefault="00CB495C" w:rsidP="00CB495C">
      <w:pPr>
        <w:jc w:val="center"/>
        <w:rPr>
          <w:sz w:val="24"/>
          <w:szCs w:val="24"/>
          <w:u w:val="single"/>
        </w:rPr>
      </w:pPr>
      <w:r w:rsidRPr="00DC4452">
        <w:rPr>
          <w:sz w:val="24"/>
          <w:szCs w:val="24"/>
          <w:u w:val="single"/>
        </w:rPr>
        <w:t>DISCUSSION</w:t>
      </w:r>
    </w:p>
    <w:p w:rsidR="00CB495C" w:rsidRPr="00DC4452" w:rsidRDefault="00CB495C" w:rsidP="00B052B4">
      <w:pPr>
        <w:spacing w:line="360" w:lineRule="auto"/>
        <w:jc w:val="center"/>
        <w:rPr>
          <w:sz w:val="24"/>
          <w:szCs w:val="24"/>
          <w:u w:val="single"/>
        </w:rPr>
      </w:pPr>
    </w:p>
    <w:p w:rsidR="00D42F8A" w:rsidRDefault="00D42F8A" w:rsidP="00D42F8A">
      <w:pPr>
        <w:tabs>
          <w:tab w:val="left" w:pos="-1440"/>
          <w:tab w:val="left" w:pos="-720"/>
        </w:tabs>
        <w:suppressAutoHyphens/>
        <w:spacing w:line="360" w:lineRule="auto"/>
        <w:ind w:firstLine="1440"/>
        <w:rPr>
          <w:spacing w:val="-3"/>
          <w:sz w:val="24"/>
          <w:szCs w:val="24"/>
        </w:rPr>
      </w:pPr>
      <w:r w:rsidRPr="00A941C5">
        <w:rPr>
          <w:sz w:val="24"/>
          <w:szCs w:val="24"/>
        </w:rPr>
        <w:t xml:space="preserve">As the party seeking affirmative relief from the Commission, </w:t>
      </w:r>
      <w:r>
        <w:rPr>
          <w:sz w:val="24"/>
          <w:szCs w:val="24"/>
        </w:rPr>
        <w:t xml:space="preserve">the Complainant </w:t>
      </w:r>
      <w:r w:rsidRPr="00A941C5">
        <w:rPr>
          <w:sz w:val="24"/>
          <w:szCs w:val="24"/>
        </w:rPr>
        <w:t>bear</w:t>
      </w:r>
      <w:r>
        <w:rPr>
          <w:sz w:val="24"/>
          <w:szCs w:val="24"/>
        </w:rPr>
        <w:t>s</w:t>
      </w:r>
      <w:r w:rsidRPr="00A941C5">
        <w:rPr>
          <w:sz w:val="24"/>
          <w:szCs w:val="24"/>
        </w:rPr>
        <w:t xml:space="preserve"> the burden of proof.  </w:t>
      </w:r>
      <w:proofErr w:type="gramStart"/>
      <w:r w:rsidRPr="00A941C5">
        <w:rPr>
          <w:sz w:val="24"/>
          <w:szCs w:val="24"/>
        </w:rPr>
        <w:t>66 Pa.C.S.</w:t>
      </w:r>
      <w:proofErr w:type="gramEnd"/>
      <w:r w:rsidRPr="00A941C5">
        <w:rPr>
          <w:sz w:val="24"/>
          <w:szCs w:val="24"/>
        </w:rPr>
        <w:t xml:space="preserve"> §</w:t>
      </w:r>
      <w:r>
        <w:rPr>
          <w:sz w:val="24"/>
          <w:szCs w:val="24"/>
        </w:rPr>
        <w:t xml:space="preserve"> </w:t>
      </w:r>
      <w:r w:rsidRPr="00A941C5">
        <w:rPr>
          <w:sz w:val="24"/>
          <w:szCs w:val="24"/>
        </w:rPr>
        <w:t>332(a).</w:t>
      </w:r>
      <w:r>
        <w:rPr>
          <w:sz w:val="24"/>
          <w:szCs w:val="24"/>
        </w:rPr>
        <w:t xml:space="preserve">  </w:t>
      </w:r>
      <w:r w:rsidRPr="00614336">
        <w:rPr>
          <w:spacing w:val="-3"/>
          <w:sz w:val="24"/>
          <w:szCs w:val="24"/>
        </w:rPr>
        <w:t>To establish a sufficient case and satisfy the burden of proof,</w:t>
      </w:r>
      <w:r>
        <w:rPr>
          <w:spacing w:val="-3"/>
          <w:sz w:val="24"/>
          <w:szCs w:val="24"/>
        </w:rPr>
        <w:t xml:space="preserve"> the</w:t>
      </w:r>
      <w:r w:rsidRPr="00614336">
        <w:rPr>
          <w:spacing w:val="-3"/>
          <w:sz w:val="24"/>
          <w:szCs w:val="24"/>
        </w:rPr>
        <w:t xml:space="preserve"> </w:t>
      </w:r>
      <w:r>
        <w:rPr>
          <w:spacing w:val="-3"/>
          <w:sz w:val="24"/>
          <w:szCs w:val="24"/>
        </w:rPr>
        <w:t>Complainant</w:t>
      </w:r>
      <w:r w:rsidRPr="00614336">
        <w:rPr>
          <w:spacing w:val="-3"/>
          <w:sz w:val="24"/>
          <w:szCs w:val="24"/>
        </w:rPr>
        <w:t xml:space="preserve"> must show that the </w:t>
      </w:r>
      <w:r>
        <w:rPr>
          <w:spacing w:val="-3"/>
          <w:sz w:val="24"/>
          <w:szCs w:val="24"/>
        </w:rPr>
        <w:t>Respondent</w:t>
      </w:r>
      <w:r w:rsidRPr="00614336">
        <w:rPr>
          <w:spacing w:val="-3"/>
          <w:sz w:val="24"/>
          <w:szCs w:val="24"/>
        </w:rPr>
        <w:t xml:space="preserve"> public utility is responsible or accountable for the problem described in the Complaint.  </w:t>
      </w:r>
      <w:proofErr w:type="gramStart"/>
      <w:r w:rsidRPr="0073245F">
        <w:rPr>
          <w:i/>
          <w:spacing w:val="-3"/>
          <w:sz w:val="24"/>
          <w:szCs w:val="24"/>
        </w:rPr>
        <w:t>Patterson v. Bell Telephone Company of Pennsylvania</w:t>
      </w:r>
      <w:r w:rsidRPr="00614336">
        <w:rPr>
          <w:spacing w:val="-3"/>
          <w:sz w:val="24"/>
          <w:szCs w:val="24"/>
        </w:rPr>
        <w:t>, 72 P</w:t>
      </w:r>
      <w:r>
        <w:rPr>
          <w:spacing w:val="-3"/>
          <w:sz w:val="24"/>
          <w:szCs w:val="24"/>
        </w:rPr>
        <w:t>a.</w:t>
      </w:r>
      <w:r w:rsidRPr="00614336">
        <w:rPr>
          <w:spacing w:val="-3"/>
          <w:sz w:val="24"/>
          <w:szCs w:val="24"/>
        </w:rPr>
        <w:t xml:space="preserve"> PUC 196</w:t>
      </w:r>
      <w:r>
        <w:rPr>
          <w:spacing w:val="-3"/>
          <w:sz w:val="24"/>
          <w:szCs w:val="24"/>
        </w:rPr>
        <w:t xml:space="preserve"> (</w:t>
      </w:r>
      <w:r w:rsidRPr="00614336">
        <w:rPr>
          <w:spacing w:val="-3"/>
          <w:sz w:val="24"/>
          <w:szCs w:val="24"/>
        </w:rPr>
        <w:t xml:space="preserve">1990), </w:t>
      </w:r>
      <w:r w:rsidRPr="0073245F">
        <w:rPr>
          <w:i/>
          <w:spacing w:val="-3"/>
          <w:sz w:val="24"/>
          <w:szCs w:val="24"/>
        </w:rPr>
        <w:t>Feinstein v. Philadelphia Suburban Water Company</w:t>
      </w:r>
      <w:r w:rsidRPr="00614336">
        <w:rPr>
          <w:spacing w:val="-3"/>
          <w:sz w:val="24"/>
          <w:szCs w:val="24"/>
        </w:rPr>
        <w:t>, 50 P</w:t>
      </w:r>
      <w:r>
        <w:rPr>
          <w:spacing w:val="-3"/>
          <w:sz w:val="24"/>
          <w:szCs w:val="24"/>
        </w:rPr>
        <w:t>a.</w:t>
      </w:r>
      <w:r w:rsidRPr="00614336">
        <w:rPr>
          <w:spacing w:val="-3"/>
          <w:sz w:val="24"/>
          <w:szCs w:val="24"/>
        </w:rPr>
        <w:t xml:space="preserve"> PUC 300</w:t>
      </w:r>
      <w:r>
        <w:rPr>
          <w:spacing w:val="-3"/>
          <w:sz w:val="24"/>
          <w:szCs w:val="24"/>
        </w:rPr>
        <w:t xml:space="preserve"> </w:t>
      </w:r>
      <w:r w:rsidRPr="00614336">
        <w:rPr>
          <w:spacing w:val="-3"/>
          <w:sz w:val="24"/>
          <w:szCs w:val="24"/>
        </w:rPr>
        <w:t>(1976).</w:t>
      </w:r>
      <w:proofErr w:type="gramEnd"/>
      <w:r w:rsidRPr="00614336">
        <w:rPr>
          <w:spacing w:val="-3"/>
          <w:sz w:val="24"/>
          <w:szCs w:val="24"/>
        </w:rPr>
        <w:t xml:space="preserve">  Such a showing must be by a preponderance of the evidence.  </w:t>
      </w:r>
      <w:proofErr w:type="gramStart"/>
      <w:r w:rsidRPr="0073245F">
        <w:rPr>
          <w:i/>
          <w:spacing w:val="-3"/>
          <w:sz w:val="24"/>
          <w:szCs w:val="24"/>
        </w:rPr>
        <w:t>Samuel J. Lansberry, Inc. v. Pa. P</w:t>
      </w:r>
      <w:r w:rsidR="00B052B4">
        <w:rPr>
          <w:i/>
          <w:spacing w:val="-3"/>
          <w:sz w:val="24"/>
          <w:szCs w:val="24"/>
        </w:rPr>
        <w:t>ub.</w:t>
      </w:r>
      <w:proofErr w:type="gramEnd"/>
      <w:r w:rsidR="00B052B4">
        <w:rPr>
          <w:i/>
          <w:spacing w:val="-3"/>
          <w:sz w:val="24"/>
          <w:szCs w:val="24"/>
        </w:rPr>
        <w:t xml:space="preserve"> Util. Comm’n</w:t>
      </w:r>
      <w:r w:rsidRPr="00614336">
        <w:rPr>
          <w:spacing w:val="-3"/>
          <w:sz w:val="24"/>
          <w:szCs w:val="24"/>
        </w:rPr>
        <w:t xml:space="preserve">, </w:t>
      </w:r>
      <w:proofErr w:type="gramStart"/>
      <w:r w:rsidRPr="00614336">
        <w:rPr>
          <w:spacing w:val="-3"/>
          <w:sz w:val="24"/>
          <w:szCs w:val="24"/>
        </w:rPr>
        <w:t xml:space="preserve">134 </w:t>
      </w:r>
      <w:proofErr w:type="spellStart"/>
      <w:r w:rsidRPr="00614336">
        <w:rPr>
          <w:spacing w:val="-3"/>
          <w:sz w:val="24"/>
          <w:szCs w:val="24"/>
        </w:rPr>
        <w:t>Pa.C</w:t>
      </w:r>
      <w:r w:rsidR="00B052B4">
        <w:rPr>
          <w:spacing w:val="-3"/>
          <w:sz w:val="24"/>
          <w:szCs w:val="24"/>
        </w:rPr>
        <w:t>mwlth</w:t>
      </w:r>
      <w:proofErr w:type="spellEnd"/>
      <w:proofErr w:type="gramEnd"/>
      <w:r w:rsidRPr="00614336">
        <w:rPr>
          <w:spacing w:val="-3"/>
          <w:sz w:val="24"/>
          <w:szCs w:val="24"/>
        </w:rPr>
        <w:t xml:space="preserve">. </w:t>
      </w:r>
      <w:proofErr w:type="gramStart"/>
      <w:r w:rsidRPr="00614336">
        <w:rPr>
          <w:spacing w:val="-3"/>
          <w:sz w:val="24"/>
          <w:szCs w:val="24"/>
        </w:rPr>
        <w:t>218; 221-222, 578 A.2d 600; 602</w:t>
      </w:r>
      <w:r>
        <w:rPr>
          <w:spacing w:val="-3"/>
          <w:sz w:val="24"/>
          <w:szCs w:val="24"/>
        </w:rPr>
        <w:t xml:space="preserve"> </w:t>
      </w:r>
      <w:r w:rsidRPr="00614336">
        <w:rPr>
          <w:spacing w:val="-3"/>
          <w:sz w:val="24"/>
          <w:szCs w:val="24"/>
        </w:rPr>
        <w:t xml:space="preserve">(1990), </w:t>
      </w:r>
      <w:r w:rsidRPr="00614336">
        <w:rPr>
          <w:i/>
          <w:spacing w:val="-3"/>
          <w:sz w:val="24"/>
          <w:szCs w:val="24"/>
        </w:rPr>
        <w:t>alloc.</w:t>
      </w:r>
      <w:proofErr w:type="gramEnd"/>
      <w:r w:rsidRPr="00614336">
        <w:rPr>
          <w:i/>
          <w:spacing w:val="-3"/>
          <w:sz w:val="24"/>
          <w:szCs w:val="24"/>
        </w:rPr>
        <w:t xml:space="preserve"> </w:t>
      </w:r>
      <w:proofErr w:type="gramStart"/>
      <w:r w:rsidRPr="00614336">
        <w:rPr>
          <w:i/>
          <w:spacing w:val="-3"/>
          <w:sz w:val="24"/>
          <w:szCs w:val="24"/>
        </w:rPr>
        <w:t>den</w:t>
      </w:r>
      <w:r w:rsidRPr="00614336">
        <w:rPr>
          <w:spacing w:val="-3"/>
          <w:sz w:val="24"/>
          <w:szCs w:val="24"/>
        </w:rPr>
        <w:t>., 602 A.2d 863</w:t>
      </w:r>
      <w:r>
        <w:rPr>
          <w:spacing w:val="-3"/>
          <w:sz w:val="24"/>
          <w:szCs w:val="24"/>
        </w:rPr>
        <w:t xml:space="preserve"> </w:t>
      </w:r>
      <w:r w:rsidRPr="00614336">
        <w:rPr>
          <w:spacing w:val="-3"/>
          <w:sz w:val="24"/>
          <w:szCs w:val="24"/>
        </w:rPr>
        <w:t>(1992).</w:t>
      </w:r>
      <w:proofErr w:type="gramEnd"/>
      <w:r w:rsidRPr="00614336">
        <w:rPr>
          <w:spacing w:val="-3"/>
          <w:sz w:val="24"/>
          <w:szCs w:val="24"/>
        </w:rPr>
        <w:t xml:space="preserve">  That is, </w:t>
      </w:r>
      <w:r>
        <w:rPr>
          <w:spacing w:val="-3"/>
          <w:sz w:val="24"/>
          <w:szCs w:val="24"/>
        </w:rPr>
        <w:t>a party must p</w:t>
      </w:r>
      <w:r w:rsidRPr="00614336">
        <w:rPr>
          <w:spacing w:val="-3"/>
          <w:sz w:val="24"/>
          <w:szCs w:val="24"/>
        </w:rPr>
        <w:t xml:space="preserve">resent evidence more convincing, by even the smallest amount, than that presented by the other party.  </w:t>
      </w:r>
      <w:proofErr w:type="gramStart"/>
      <w:r w:rsidRPr="0073245F">
        <w:rPr>
          <w:i/>
          <w:spacing w:val="-3"/>
          <w:sz w:val="24"/>
          <w:szCs w:val="24"/>
        </w:rPr>
        <w:t>Se-Ling Hosiery v. Margulies</w:t>
      </w:r>
      <w:r w:rsidRPr="00614336">
        <w:rPr>
          <w:spacing w:val="-3"/>
          <w:sz w:val="24"/>
          <w:szCs w:val="24"/>
        </w:rPr>
        <w:t>, 364 Pa. 45, 70 A.2d 854</w:t>
      </w:r>
      <w:r>
        <w:rPr>
          <w:spacing w:val="-3"/>
          <w:sz w:val="24"/>
          <w:szCs w:val="24"/>
        </w:rPr>
        <w:t xml:space="preserve"> </w:t>
      </w:r>
      <w:r w:rsidRPr="00614336">
        <w:rPr>
          <w:spacing w:val="-3"/>
          <w:sz w:val="24"/>
          <w:szCs w:val="24"/>
        </w:rPr>
        <w:t>(1950).</w:t>
      </w:r>
      <w:proofErr w:type="gramEnd"/>
      <w:r w:rsidRPr="00614336">
        <w:rPr>
          <w:spacing w:val="-3"/>
          <w:sz w:val="24"/>
          <w:szCs w:val="24"/>
        </w:rPr>
        <w:t xml:space="preserve">  Additionally, any finding of fact necessary to support the Commission’s adjudication must be based upon substantial evidence.  </w:t>
      </w:r>
      <w:proofErr w:type="gramStart"/>
      <w:r w:rsidRPr="00602637">
        <w:rPr>
          <w:i/>
          <w:spacing w:val="-3"/>
          <w:sz w:val="24"/>
          <w:szCs w:val="24"/>
        </w:rPr>
        <w:t>Mill v. Pa. P</w:t>
      </w:r>
      <w:r w:rsidR="00B052B4">
        <w:rPr>
          <w:i/>
          <w:spacing w:val="-3"/>
          <w:sz w:val="24"/>
          <w:szCs w:val="24"/>
        </w:rPr>
        <w:t>ub.</w:t>
      </w:r>
      <w:proofErr w:type="gramEnd"/>
      <w:r w:rsidR="00B052B4">
        <w:rPr>
          <w:i/>
          <w:spacing w:val="-3"/>
          <w:sz w:val="24"/>
          <w:szCs w:val="24"/>
        </w:rPr>
        <w:t xml:space="preserve"> Util. Comm’n</w:t>
      </w:r>
      <w:r w:rsidRPr="009D011B">
        <w:rPr>
          <w:spacing w:val="-3"/>
          <w:sz w:val="24"/>
          <w:szCs w:val="24"/>
        </w:rPr>
        <w:t>,</w:t>
      </w:r>
      <w:r>
        <w:rPr>
          <w:spacing w:val="-3"/>
          <w:sz w:val="24"/>
          <w:szCs w:val="24"/>
        </w:rPr>
        <w:t xml:space="preserve"> </w:t>
      </w:r>
      <w:proofErr w:type="gramStart"/>
      <w:r w:rsidRPr="00614336">
        <w:rPr>
          <w:spacing w:val="-3"/>
          <w:sz w:val="24"/>
          <w:szCs w:val="24"/>
        </w:rPr>
        <w:t xml:space="preserve">67 </w:t>
      </w:r>
      <w:proofErr w:type="spellStart"/>
      <w:r w:rsidRPr="00614336">
        <w:rPr>
          <w:spacing w:val="-3"/>
          <w:sz w:val="24"/>
          <w:szCs w:val="24"/>
        </w:rPr>
        <w:t>Pa.C</w:t>
      </w:r>
      <w:r w:rsidR="00B052B4">
        <w:rPr>
          <w:spacing w:val="-3"/>
          <w:sz w:val="24"/>
          <w:szCs w:val="24"/>
        </w:rPr>
        <w:t>mwlth</w:t>
      </w:r>
      <w:proofErr w:type="spellEnd"/>
      <w:proofErr w:type="gramEnd"/>
      <w:r w:rsidRPr="00614336">
        <w:rPr>
          <w:spacing w:val="-3"/>
          <w:sz w:val="24"/>
          <w:szCs w:val="24"/>
        </w:rPr>
        <w:t xml:space="preserve">. </w:t>
      </w:r>
      <w:proofErr w:type="gramStart"/>
      <w:r w:rsidRPr="00614336">
        <w:rPr>
          <w:spacing w:val="-3"/>
          <w:sz w:val="24"/>
          <w:szCs w:val="24"/>
        </w:rPr>
        <w:t>597, 447 A.2d 1100</w:t>
      </w:r>
      <w:r>
        <w:rPr>
          <w:spacing w:val="-3"/>
          <w:sz w:val="24"/>
          <w:szCs w:val="24"/>
        </w:rPr>
        <w:t xml:space="preserve"> </w:t>
      </w:r>
      <w:r w:rsidRPr="00614336">
        <w:rPr>
          <w:spacing w:val="-3"/>
          <w:sz w:val="24"/>
          <w:szCs w:val="24"/>
        </w:rPr>
        <w:t xml:space="preserve">(1982), </w:t>
      </w:r>
      <w:r w:rsidRPr="0073245F">
        <w:rPr>
          <w:i/>
          <w:spacing w:val="-3"/>
          <w:sz w:val="24"/>
          <w:szCs w:val="24"/>
        </w:rPr>
        <w:t>Edan Transportation Corp. v. Pa. P</w:t>
      </w:r>
      <w:r w:rsidR="00B052B4">
        <w:rPr>
          <w:i/>
          <w:spacing w:val="-3"/>
          <w:sz w:val="24"/>
          <w:szCs w:val="24"/>
        </w:rPr>
        <w:t>ub.</w:t>
      </w:r>
      <w:proofErr w:type="gramEnd"/>
      <w:r w:rsidR="00B052B4">
        <w:rPr>
          <w:i/>
          <w:spacing w:val="-3"/>
          <w:sz w:val="24"/>
          <w:szCs w:val="24"/>
        </w:rPr>
        <w:t xml:space="preserve"> Util. Comm’n</w:t>
      </w:r>
      <w:r w:rsidRPr="00614336">
        <w:rPr>
          <w:spacing w:val="-3"/>
          <w:sz w:val="24"/>
          <w:szCs w:val="24"/>
        </w:rPr>
        <w:t xml:space="preserve">, </w:t>
      </w:r>
      <w:proofErr w:type="gramStart"/>
      <w:r w:rsidRPr="00614336">
        <w:rPr>
          <w:spacing w:val="-3"/>
          <w:sz w:val="24"/>
          <w:szCs w:val="24"/>
        </w:rPr>
        <w:t xml:space="preserve">154 </w:t>
      </w:r>
      <w:proofErr w:type="spellStart"/>
      <w:r w:rsidRPr="00614336">
        <w:rPr>
          <w:spacing w:val="-3"/>
          <w:sz w:val="24"/>
          <w:szCs w:val="24"/>
        </w:rPr>
        <w:t>Pa.C</w:t>
      </w:r>
      <w:r w:rsidR="00B052B4">
        <w:rPr>
          <w:spacing w:val="-3"/>
          <w:sz w:val="24"/>
          <w:szCs w:val="24"/>
        </w:rPr>
        <w:t>mwlth</w:t>
      </w:r>
      <w:proofErr w:type="spellEnd"/>
      <w:proofErr w:type="gramEnd"/>
      <w:r w:rsidRPr="00614336">
        <w:rPr>
          <w:spacing w:val="-3"/>
          <w:sz w:val="24"/>
          <w:szCs w:val="24"/>
        </w:rPr>
        <w:t xml:space="preserve">. </w:t>
      </w:r>
      <w:proofErr w:type="gramStart"/>
      <w:r w:rsidRPr="00614336">
        <w:rPr>
          <w:spacing w:val="-3"/>
          <w:sz w:val="24"/>
          <w:szCs w:val="24"/>
        </w:rPr>
        <w:t>21, 623 A.2d 6</w:t>
      </w:r>
      <w:r>
        <w:rPr>
          <w:spacing w:val="-3"/>
          <w:sz w:val="24"/>
          <w:szCs w:val="24"/>
        </w:rPr>
        <w:t xml:space="preserve"> </w:t>
      </w:r>
      <w:r w:rsidRPr="00614336">
        <w:rPr>
          <w:spacing w:val="-3"/>
          <w:sz w:val="24"/>
          <w:szCs w:val="24"/>
        </w:rPr>
        <w:t>(1993), 2 Pa.C.S.</w:t>
      </w:r>
      <w:proofErr w:type="gramEnd"/>
      <w:r w:rsidRPr="00614336">
        <w:rPr>
          <w:spacing w:val="-3"/>
          <w:sz w:val="24"/>
          <w:szCs w:val="24"/>
        </w:rPr>
        <w:t xml:space="preserve"> §</w:t>
      </w:r>
      <w:r w:rsidR="00CD1B5B">
        <w:rPr>
          <w:spacing w:val="-3"/>
          <w:sz w:val="24"/>
          <w:szCs w:val="24"/>
        </w:rPr>
        <w:t xml:space="preserve"> </w:t>
      </w:r>
      <w:r w:rsidRPr="00614336">
        <w:rPr>
          <w:spacing w:val="-3"/>
          <w:sz w:val="24"/>
          <w:szCs w:val="24"/>
        </w:rPr>
        <w:t>704.  More is required than a mere trace of evidence or a suspicion of the existence of a fact sought to be establi</w:t>
      </w:r>
      <w:r>
        <w:rPr>
          <w:spacing w:val="-3"/>
          <w:sz w:val="24"/>
          <w:szCs w:val="24"/>
        </w:rPr>
        <w:t>sh</w:t>
      </w:r>
      <w:r w:rsidRPr="00614336">
        <w:rPr>
          <w:spacing w:val="-3"/>
          <w:sz w:val="24"/>
          <w:szCs w:val="24"/>
        </w:rPr>
        <w:t>ed</w:t>
      </w:r>
      <w:r w:rsidRPr="00602637">
        <w:rPr>
          <w:i/>
          <w:spacing w:val="-3"/>
          <w:sz w:val="24"/>
          <w:szCs w:val="24"/>
        </w:rPr>
        <w:t xml:space="preserve">.  </w:t>
      </w:r>
      <w:proofErr w:type="gramStart"/>
      <w:r w:rsidRPr="00602637">
        <w:rPr>
          <w:i/>
          <w:spacing w:val="-3"/>
          <w:sz w:val="24"/>
          <w:szCs w:val="24"/>
        </w:rPr>
        <w:t>Norfolk and Western Ry. v. Pa.</w:t>
      </w:r>
      <w:r w:rsidR="00B052B4">
        <w:rPr>
          <w:i/>
          <w:spacing w:val="-3"/>
          <w:sz w:val="24"/>
          <w:szCs w:val="24"/>
        </w:rPr>
        <w:t xml:space="preserve"> </w:t>
      </w:r>
      <w:r w:rsidRPr="00602637">
        <w:rPr>
          <w:i/>
          <w:spacing w:val="-3"/>
          <w:sz w:val="24"/>
          <w:szCs w:val="24"/>
        </w:rPr>
        <w:t>P</w:t>
      </w:r>
      <w:r w:rsidR="00B052B4">
        <w:rPr>
          <w:i/>
          <w:spacing w:val="-3"/>
          <w:sz w:val="24"/>
          <w:szCs w:val="24"/>
        </w:rPr>
        <w:t>ub.</w:t>
      </w:r>
      <w:proofErr w:type="gramEnd"/>
      <w:r w:rsidR="00B052B4">
        <w:rPr>
          <w:i/>
          <w:spacing w:val="-3"/>
          <w:sz w:val="24"/>
          <w:szCs w:val="24"/>
        </w:rPr>
        <w:t xml:space="preserve"> </w:t>
      </w:r>
      <w:proofErr w:type="gramStart"/>
      <w:r w:rsidR="00B052B4">
        <w:rPr>
          <w:i/>
          <w:spacing w:val="-3"/>
          <w:sz w:val="24"/>
          <w:szCs w:val="24"/>
        </w:rPr>
        <w:t>Util. Comm’n</w:t>
      </w:r>
      <w:r w:rsidRPr="00614336">
        <w:rPr>
          <w:spacing w:val="-3"/>
          <w:sz w:val="24"/>
          <w:szCs w:val="24"/>
        </w:rPr>
        <w:t>, 489 Pa. 109, 413 A.2d 1037</w:t>
      </w:r>
      <w:r>
        <w:rPr>
          <w:spacing w:val="-3"/>
          <w:sz w:val="24"/>
          <w:szCs w:val="24"/>
        </w:rPr>
        <w:t xml:space="preserve"> </w:t>
      </w:r>
      <w:r w:rsidRPr="00614336">
        <w:rPr>
          <w:spacing w:val="-3"/>
          <w:sz w:val="24"/>
          <w:szCs w:val="24"/>
        </w:rPr>
        <w:t xml:space="preserve">(1980); </w:t>
      </w:r>
      <w:r w:rsidRPr="0073245F">
        <w:rPr>
          <w:i/>
          <w:spacing w:val="-3"/>
          <w:sz w:val="24"/>
          <w:szCs w:val="24"/>
        </w:rPr>
        <w:t>Erie Resistor Corp. v. Unemployment Compensation Bd. of Review</w:t>
      </w:r>
      <w:r w:rsidRPr="00614336">
        <w:rPr>
          <w:spacing w:val="-3"/>
          <w:sz w:val="24"/>
          <w:szCs w:val="24"/>
        </w:rPr>
        <w:t xml:space="preserve">, 194 </w:t>
      </w:r>
      <w:proofErr w:type="spellStart"/>
      <w:r w:rsidRPr="00614336">
        <w:rPr>
          <w:spacing w:val="-3"/>
          <w:sz w:val="24"/>
          <w:szCs w:val="24"/>
        </w:rPr>
        <w:t>Pa.Super</w:t>
      </w:r>
      <w:proofErr w:type="spellEnd"/>
      <w:r w:rsidRPr="00614336">
        <w:rPr>
          <w:spacing w:val="-3"/>
          <w:sz w:val="24"/>
          <w:szCs w:val="24"/>
        </w:rPr>
        <w:t>.</w:t>
      </w:r>
      <w:proofErr w:type="gramEnd"/>
      <w:r w:rsidRPr="00614336">
        <w:rPr>
          <w:spacing w:val="-3"/>
          <w:sz w:val="24"/>
          <w:szCs w:val="24"/>
        </w:rPr>
        <w:t xml:space="preserve"> 278, 166 A.2d 96</w:t>
      </w:r>
      <w:r>
        <w:rPr>
          <w:spacing w:val="-3"/>
          <w:sz w:val="24"/>
          <w:szCs w:val="24"/>
        </w:rPr>
        <w:t xml:space="preserve"> </w:t>
      </w:r>
      <w:r w:rsidRPr="00614336">
        <w:rPr>
          <w:spacing w:val="-3"/>
          <w:sz w:val="24"/>
          <w:szCs w:val="24"/>
        </w:rPr>
        <w:t xml:space="preserve">(1960); </w:t>
      </w:r>
      <w:r w:rsidRPr="0073245F">
        <w:rPr>
          <w:i/>
          <w:spacing w:val="-3"/>
          <w:sz w:val="24"/>
          <w:szCs w:val="24"/>
        </w:rPr>
        <w:t>Murphy v. Dep’t of Public Welfare, White Haven Center</w:t>
      </w:r>
      <w:r w:rsidRPr="00614336">
        <w:rPr>
          <w:spacing w:val="-3"/>
          <w:sz w:val="24"/>
          <w:szCs w:val="24"/>
        </w:rPr>
        <w:t xml:space="preserve">, 85 </w:t>
      </w:r>
      <w:proofErr w:type="spellStart"/>
      <w:r w:rsidRPr="00614336">
        <w:rPr>
          <w:spacing w:val="-3"/>
          <w:sz w:val="24"/>
          <w:szCs w:val="24"/>
        </w:rPr>
        <w:t>Pa.C</w:t>
      </w:r>
      <w:r w:rsidR="00CD1B5B">
        <w:rPr>
          <w:spacing w:val="-3"/>
          <w:sz w:val="24"/>
          <w:szCs w:val="24"/>
        </w:rPr>
        <w:t>mwlth</w:t>
      </w:r>
      <w:proofErr w:type="spellEnd"/>
      <w:r w:rsidRPr="00614336">
        <w:rPr>
          <w:spacing w:val="-3"/>
          <w:sz w:val="24"/>
          <w:szCs w:val="24"/>
        </w:rPr>
        <w:t xml:space="preserve">. </w:t>
      </w:r>
      <w:proofErr w:type="gramStart"/>
      <w:r w:rsidRPr="00614336">
        <w:rPr>
          <w:spacing w:val="-3"/>
          <w:sz w:val="24"/>
          <w:szCs w:val="24"/>
        </w:rPr>
        <w:t>23, 480 A.2d 382</w:t>
      </w:r>
      <w:r>
        <w:rPr>
          <w:spacing w:val="-3"/>
          <w:sz w:val="24"/>
          <w:szCs w:val="24"/>
        </w:rPr>
        <w:t xml:space="preserve"> </w:t>
      </w:r>
      <w:r w:rsidRPr="00614336">
        <w:rPr>
          <w:spacing w:val="-3"/>
          <w:sz w:val="24"/>
          <w:szCs w:val="24"/>
        </w:rPr>
        <w:t>(1984).</w:t>
      </w:r>
      <w:proofErr w:type="gramEnd"/>
    </w:p>
    <w:p w:rsidR="00C44E3E" w:rsidRDefault="00C44E3E" w:rsidP="00D42F8A">
      <w:pPr>
        <w:tabs>
          <w:tab w:val="left" w:pos="-1440"/>
          <w:tab w:val="left" w:pos="-720"/>
        </w:tabs>
        <w:suppressAutoHyphens/>
        <w:spacing w:line="360" w:lineRule="auto"/>
        <w:ind w:firstLine="1440"/>
        <w:rPr>
          <w:spacing w:val="-3"/>
          <w:sz w:val="24"/>
          <w:szCs w:val="24"/>
        </w:rPr>
      </w:pPr>
    </w:p>
    <w:p w:rsidR="00602637" w:rsidRDefault="00284AF4" w:rsidP="00D42F8A">
      <w:pPr>
        <w:tabs>
          <w:tab w:val="left" w:pos="-1440"/>
          <w:tab w:val="left" w:pos="-720"/>
        </w:tabs>
        <w:suppressAutoHyphens/>
        <w:spacing w:line="360" w:lineRule="auto"/>
        <w:ind w:firstLine="1440"/>
        <w:rPr>
          <w:spacing w:val="-3"/>
          <w:sz w:val="24"/>
          <w:szCs w:val="24"/>
        </w:rPr>
      </w:pPr>
      <w:r>
        <w:rPr>
          <w:spacing w:val="-3"/>
          <w:sz w:val="24"/>
          <w:szCs w:val="24"/>
        </w:rPr>
        <w:t>Here, the Complainant wants his electric service turned back on.  However, as the testimony of both parties reveals,</w:t>
      </w:r>
      <w:r w:rsidR="004F5047">
        <w:rPr>
          <w:spacing w:val="-3"/>
          <w:sz w:val="24"/>
          <w:szCs w:val="24"/>
        </w:rPr>
        <w:t xml:space="preserve"> due to the lack of creditworthiness, </w:t>
      </w:r>
      <w:r>
        <w:rPr>
          <w:spacing w:val="-3"/>
          <w:sz w:val="24"/>
          <w:szCs w:val="24"/>
        </w:rPr>
        <w:t xml:space="preserve">the Complainant </w:t>
      </w:r>
      <w:r w:rsidR="004F5047">
        <w:rPr>
          <w:spacing w:val="-3"/>
          <w:sz w:val="24"/>
          <w:szCs w:val="24"/>
        </w:rPr>
        <w:t>must pay</w:t>
      </w:r>
      <w:r>
        <w:rPr>
          <w:spacing w:val="-3"/>
          <w:sz w:val="24"/>
          <w:szCs w:val="24"/>
        </w:rPr>
        <w:t xml:space="preserve"> a security deposit be</w:t>
      </w:r>
      <w:r w:rsidR="004F5047">
        <w:rPr>
          <w:spacing w:val="-3"/>
          <w:sz w:val="24"/>
          <w:szCs w:val="24"/>
        </w:rPr>
        <w:t>fore service w</w:t>
      </w:r>
      <w:r>
        <w:rPr>
          <w:spacing w:val="-3"/>
          <w:sz w:val="24"/>
          <w:szCs w:val="24"/>
        </w:rPr>
        <w:t>ould be started in his name and he has not paid that deposit</w:t>
      </w:r>
      <w:r w:rsidR="00602637">
        <w:rPr>
          <w:spacing w:val="-3"/>
          <w:sz w:val="24"/>
          <w:szCs w:val="24"/>
        </w:rPr>
        <w:t>,</w:t>
      </w:r>
      <w:r>
        <w:rPr>
          <w:spacing w:val="-3"/>
          <w:sz w:val="24"/>
          <w:szCs w:val="24"/>
        </w:rPr>
        <w:t xml:space="preserve"> therefore, PPL has not reinstated service.  </w:t>
      </w:r>
    </w:p>
    <w:p w:rsidR="00C44E3E" w:rsidRDefault="00C44E3E" w:rsidP="00B052B4">
      <w:pPr>
        <w:tabs>
          <w:tab w:val="left" w:pos="-1440"/>
          <w:tab w:val="left" w:pos="-720"/>
        </w:tabs>
        <w:suppressAutoHyphens/>
        <w:ind w:firstLine="1440"/>
        <w:rPr>
          <w:spacing w:val="-3"/>
          <w:sz w:val="24"/>
          <w:szCs w:val="24"/>
        </w:rPr>
      </w:pPr>
    </w:p>
    <w:p w:rsidR="00602637" w:rsidRDefault="00602637" w:rsidP="00B052B4">
      <w:pPr>
        <w:tabs>
          <w:tab w:val="left" w:pos="-1440"/>
          <w:tab w:val="left" w:pos="-720"/>
        </w:tabs>
        <w:suppressAutoHyphens/>
        <w:ind w:firstLine="1440"/>
        <w:rPr>
          <w:spacing w:val="-3"/>
          <w:sz w:val="24"/>
          <w:szCs w:val="24"/>
        </w:rPr>
      </w:pPr>
      <w:r>
        <w:rPr>
          <w:spacing w:val="-3"/>
          <w:sz w:val="24"/>
          <w:szCs w:val="24"/>
        </w:rPr>
        <w:t xml:space="preserve">Section 1404 of the Responsible Utility Customer Protection </w:t>
      </w:r>
      <w:r w:rsidR="004F5047">
        <w:rPr>
          <w:spacing w:val="-3"/>
          <w:sz w:val="24"/>
          <w:szCs w:val="24"/>
        </w:rPr>
        <w:t>statute</w:t>
      </w:r>
      <w:r>
        <w:rPr>
          <w:spacing w:val="-3"/>
          <w:sz w:val="24"/>
          <w:szCs w:val="24"/>
        </w:rPr>
        <w:t xml:space="preserve"> states:</w:t>
      </w:r>
    </w:p>
    <w:p w:rsidR="00C44E3E" w:rsidRDefault="00C44E3E" w:rsidP="00B052B4">
      <w:pPr>
        <w:tabs>
          <w:tab w:val="left" w:pos="-1440"/>
          <w:tab w:val="left" w:pos="-720"/>
        </w:tabs>
        <w:suppressAutoHyphens/>
        <w:ind w:left="1440" w:right="1440"/>
        <w:rPr>
          <w:spacing w:val="-3"/>
          <w:sz w:val="24"/>
          <w:szCs w:val="24"/>
        </w:rPr>
      </w:pPr>
    </w:p>
    <w:p w:rsidR="00602637" w:rsidRDefault="00602637" w:rsidP="00B052B4">
      <w:pPr>
        <w:tabs>
          <w:tab w:val="left" w:pos="-1440"/>
          <w:tab w:val="left" w:pos="-720"/>
        </w:tabs>
        <w:suppressAutoHyphens/>
        <w:ind w:left="1440" w:right="1440"/>
        <w:rPr>
          <w:spacing w:val="-3"/>
          <w:sz w:val="24"/>
          <w:szCs w:val="24"/>
        </w:rPr>
      </w:pPr>
      <w:r>
        <w:rPr>
          <w:spacing w:val="-3"/>
          <w:sz w:val="24"/>
          <w:szCs w:val="24"/>
        </w:rPr>
        <w:t xml:space="preserve">In addition to the right to collect a deposit under any commission regulation or order, the commission shall not prohibit a public </w:t>
      </w:r>
      <w:r w:rsidR="00085AC5">
        <w:rPr>
          <w:spacing w:val="-3"/>
          <w:sz w:val="24"/>
          <w:szCs w:val="24"/>
        </w:rPr>
        <w:t>utility, prior to or as a condit</w:t>
      </w:r>
      <w:r>
        <w:rPr>
          <w:spacing w:val="-3"/>
          <w:sz w:val="24"/>
          <w:szCs w:val="24"/>
        </w:rPr>
        <w:t xml:space="preserve">ion of providing utility service, from requiring a cash deposit in any amount that is equal to one-sixth of the applicant’s estimated annual bill, at the time the public utility </w:t>
      </w:r>
      <w:r w:rsidR="00085AC5">
        <w:rPr>
          <w:spacing w:val="-3"/>
          <w:sz w:val="24"/>
          <w:szCs w:val="24"/>
        </w:rPr>
        <w:t>determines a deposit is required from the following:</w:t>
      </w:r>
    </w:p>
    <w:p w:rsidR="00B052B4" w:rsidRDefault="00B052B4" w:rsidP="00B052B4">
      <w:pPr>
        <w:tabs>
          <w:tab w:val="left" w:pos="-1440"/>
          <w:tab w:val="left" w:pos="-720"/>
        </w:tabs>
        <w:suppressAutoHyphens/>
        <w:ind w:left="1440" w:right="1440"/>
        <w:rPr>
          <w:spacing w:val="-3"/>
          <w:sz w:val="24"/>
          <w:szCs w:val="24"/>
        </w:rPr>
      </w:pPr>
    </w:p>
    <w:p w:rsidR="00085AC5" w:rsidRDefault="00085AC5" w:rsidP="00B052B4">
      <w:pPr>
        <w:pStyle w:val="ListParagraph"/>
        <w:numPr>
          <w:ilvl w:val="0"/>
          <w:numId w:val="38"/>
        </w:numPr>
        <w:tabs>
          <w:tab w:val="left" w:pos="-1440"/>
          <w:tab w:val="left" w:pos="-720"/>
        </w:tabs>
        <w:suppressAutoHyphens/>
        <w:ind w:left="1440" w:right="1440"/>
        <w:rPr>
          <w:spacing w:val="-3"/>
          <w:sz w:val="24"/>
          <w:szCs w:val="24"/>
        </w:rPr>
      </w:pPr>
      <w:r>
        <w:rPr>
          <w:spacing w:val="-3"/>
          <w:sz w:val="24"/>
          <w:szCs w:val="24"/>
        </w:rPr>
        <w:t>…</w:t>
      </w:r>
    </w:p>
    <w:p w:rsidR="00085AC5" w:rsidRDefault="00085AC5" w:rsidP="00B052B4">
      <w:pPr>
        <w:pStyle w:val="ListParagraph"/>
        <w:numPr>
          <w:ilvl w:val="0"/>
          <w:numId w:val="38"/>
        </w:numPr>
        <w:tabs>
          <w:tab w:val="left" w:pos="-1440"/>
          <w:tab w:val="left" w:pos="-720"/>
        </w:tabs>
        <w:suppressAutoHyphens/>
        <w:ind w:left="1440" w:right="1440"/>
        <w:rPr>
          <w:spacing w:val="-3"/>
          <w:sz w:val="24"/>
          <w:szCs w:val="24"/>
        </w:rPr>
      </w:pPr>
      <w:r>
        <w:rPr>
          <w:spacing w:val="-3"/>
          <w:sz w:val="24"/>
          <w:szCs w:val="24"/>
        </w:rPr>
        <w:t xml:space="preserve">Any applicant or customer who is unable to establish creditworthiness to the satisfaction of the utility through the use of generally accepted credit scoring methodology which employs standards for using the methodology that fall within the range of general industry practice.  </w:t>
      </w:r>
      <w:proofErr w:type="gramStart"/>
      <w:r>
        <w:rPr>
          <w:spacing w:val="-3"/>
          <w:sz w:val="24"/>
          <w:szCs w:val="24"/>
        </w:rPr>
        <w:t>66 Pa.C.S.</w:t>
      </w:r>
      <w:proofErr w:type="gramEnd"/>
      <w:r>
        <w:rPr>
          <w:spacing w:val="-3"/>
          <w:sz w:val="24"/>
          <w:szCs w:val="24"/>
        </w:rPr>
        <w:t xml:space="preserve"> §</w:t>
      </w:r>
      <w:r w:rsidR="008B1A98">
        <w:rPr>
          <w:spacing w:val="-3"/>
          <w:sz w:val="24"/>
          <w:szCs w:val="24"/>
        </w:rPr>
        <w:t xml:space="preserve"> 1404 (a</w:t>
      </w:r>
      <w:proofErr w:type="gramStart"/>
      <w:r w:rsidR="008B1A98">
        <w:rPr>
          <w:spacing w:val="-3"/>
          <w:sz w:val="24"/>
          <w:szCs w:val="24"/>
        </w:rPr>
        <w:t>)</w:t>
      </w:r>
      <w:r>
        <w:rPr>
          <w:spacing w:val="-3"/>
          <w:sz w:val="24"/>
          <w:szCs w:val="24"/>
        </w:rPr>
        <w:t>(</w:t>
      </w:r>
      <w:proofErr w:type="gramEnd"/>
      <w:r>
        <w:rPr>
          <w:spacing w:val="-3"/>
          <w:sz w:val="24"/>
          <w:szCs w:val="24"/>
        </w:rPr>
        <w:t>2)</w:t>
      </w:r>
      <w:r w:rsidR="008B1A98">
        <w:rPr>
          <w:spacing w:val="-3"/>
          <w:sz w:val="24"/>
          <w:szCs w:val="24"/>
        </w:rPr>
        <w:t>.</w:t>
      </w:r>
    </w:p>
    <w:p w:rsidR="00602637" w:rsidRDefault="00602637" w:rsidP="00D42F8A">
      <w:pPr>
        <w:tabs>
          <w:tab w:val="left" w:pos="-1440"/>
          <w:tab w:val="left" w:pos="-720"/>
        </w:tabs>
        <w:suppressAutoHyphens/>
        <w:spacing w:line="360" w:lineRule="auto"/>
        <w:ind w:firstLine="1440"/>
        <w:rPr>
          <w:spacing w:val="-3"/>
          <w:sz w:val="24"/>
          <w:szCs w:val="24"/>
        </w:rPr>
      </w:pPr>
    </w:p>
    <w:p w:rsidR="00284AF4" w:rsidRDefault="00085AC5" w:rsidP="00D42F8A">
      <w:pPr>
        <w:tabs>
          <w:tab w:val="left" w:pos="-1440"/>
          <w:tab w:val="left" w:pos="-720"/>
        </w:tabs>
        <w:suppressAutoHyphens/>
        <w:spacing w:line="360" w:lineRule="auto"/>
        <w:ind w:firstLine="1440"/>
        <w:rPr>
          <w:spacing w:val="-3"/>
          <w:sz w:val="24"/>
          <w:szCs w:val="24"/>
        </w:rPr>
      </w:pPr>
      <w:r>
        <w:rPr>
          <w:spacing w:val="-3"/>
          <w:sz w:val="24"/>
          <w:szCs w:val="24"/>
        </w:rPr>
        <w:t>The Complainant</w:t>
      </w:r>
      <w:r w:rsidR="003268DB">
        <w:rPr>
          <w:spacing w:val="-3"/>
          <w:sz w:val="24"/>
          <w:szCs w:val="24"/>
        </w:rPr>
        <w:t>,</w:t>
      </w:r>
      <w:r>
        <w:rPr>
          <w:spacing w:val="-3"/>
          <w:sz w:val="24"/>
          <w:szCs w:val="24"/>
        </w:rPr>
        <w:t xml:space="preserve"> it was determined, had poor creditworthiness and the security deposit was assessed.  </w:t>
      </w:r>
      <w:r w:rsidR="003F5180">
        <w:rPr>
          <w:spacing w:val="-3"/>
          <w:sz w:val="24"/>
          <w:szCs w:val="24"/>
        </w:rPr>
        <w:t>See also 52 Pa. Code 56.32 (a</w:t>
      </w:r>
      <w:proofErr w:type="gramStart"/>
      <w:r w:rsidR="003F5180">
        <w:rPr>
          <w:spacing w:val="-3"/>
          <w:sz w:val="24"/>
          <w:szCs w:val="24"/>
        </w:rPr>
        <w:t>)(</w:t>
      </w:r>
      <w:proofErr w:type="gramEnd"/>
      <w:r w:rsidR="003F5180">
        <w:rPr>
          <w:spacing w:val="-3"/>
          <w:sz w:val="24"/>
          <w:szCs w:val="24"/>
        </w:rPr>
        <w:t xml:space="preserve">2).  </w:t>
      </w:r>
      <w:r w:rsidR="00284AF4">
        <w:rPr>
          <w:spacing w:val="-3"/>
          <w:sz w:val="24"/>
          <w:szCs w:val="24"/>
        </w:rPr>
        <w:t>PPL stated that i</w:t>
      </w:r>
      <w:r w:rsidR="004F5047">
        <w:rPr>
          <w:spacing w:val="-3"/>
          <w:sz w:val="24"/>
          <w:szCs w:val="24"/>
        </w:rPr>
        <w:t>t</w:t>
      </w:r>
      <w:r w:rsidR="00284AF4">
        <w:rPr>
          <w:spacing w:val="-3"/>
          <w:sz w:val="24"/>
          <w:szCs w:val="24"/>
        </w:rPr>
        <w:t xml:space="preserve"> w</w:t>
      </w:r>
      <w:r w:rsidR="004F5047">
        <w:rPr>
          <w:spacing w:val="-3"/>
          <w:sz w:val="24"/>
          <w:szCs w:val="24"/>
        </w:rPr>
        <w:t>ill</w:t>
      </w:r>
      <w:r w:rsidR="00284AF4">
        <w:rPr>
          <w:spacing w:val="-3"/>
          <w:sz w:val="24"/>
          <w:szCs w:val="24"/>
        </w:rPr>
        <w:t xml:space="preserve"> restore service</w:t>
      </w:r>
      <w:r w:rsidR="003268DB">
        <w:rPr>
          <w:spacing w:val="-3"/>
          <w:sz w:val="24"/>
          <w:szCs w:val="24"/>
        </w:rPr>
        <w:t>,</w:t>
      </w:r>
      <w:r w:rsidR="00284AF4">
        <w:rPr>
          <w:spacing w:val="-3"/>
          <w:sz w:val="24"/>
          <w:szCs w:val="24"/>
        </w:rPr>
        <w:t xml:space="preserve"> if the Complainant pays half of the security deposit and makes arrangements to have the past due bills paid over a reasonable period of time.  </w:t>
      </w:r>
      <w:r>
        <w:rPr>
          <w:spacing w:val="-3"/>
          <w:sz w:val="24"/>
          <w:szCs w:val="24"/>
        </w:rPr>
        <w:t>This is a fair resolution to getting service reinstated</w:t>
      </w:r>
      <w:r w:rsidR="007D1821">
        <w:rPr>
          <w:spacing w:val="-3"/>
          <w:sz w:val="24"/>
          <w:szCs w:val="24"/>
        </w:rPr>
        <w:t>, as the Complainant failed to prove PPL violated any statute, regulation o</w:t>
      </w:r>
      <w:r w:rsidR="003F5180">
        <w:rPr>
          <w:spacing w:val="-3"/>
          <w:sz w:val="24"/>
          <w:szCs w:val="24"/>
        </w:rPr>
        <w:t>r</w:t>
      </w:r>
      <w:r w:rsidR="007D1821">
        <w:rPr>
          <w:spacing w:val="-3"/>
          <w:sz w:val="24"/>
          <w:szCs w:val="24"/>
        </w:rPr>
        <w:t xml:space="preserve"> order of the commission.</w:t>
      </w:r>
    </w:p>
    <w:p w:rsidR="00085AC5" w:rsidRPr="00614336" w:rsidRDefault="00085AC5" w:rsidP="00D42F8A">
      <w:pPr>
        <w:tabs>
          <w:tab w:val="left" w:pos="-1440"/>
          <w:tab w:val="left" w:pos="-720"/>
        </w:tabs>
        <w:suppressAutoHyphens/>
        <w:spacing w:line="360" w:lineRule="auto"/>
        <w:ind w:firstLine="1440"/>
        <w:rPr>
          <w:spacing w:val="-3"/>
          <w:sz w:val="24"/>
          <w:szCs w:val="24"/>
        </w:rPr>
      </w:pPr>
    </w:p>
    <w:p w:rsidR="00CB495C" w:rsidRPr="00DC4452" w:rsidRDefault="00CB495C" w:rsidP="00B052B4">
      <w:pPr>
        <w:spacing w:line="360" w:lineRule="auto"/>
        <w:jc w:val="center"/>
        <w:rPr>
          <w:sz w:val="24"/>
          <w:szCs w:val="24"/>
          <w:u w:val="single"/>
        </w:rPr>
      </w:pPr>
      <w:r w:rsidRPr="00DC4452">
        <w:rPr>
          <w:sz w:val="24"/>
          <w:szCs w:val="24"/>
          <w:u w:val="single"/>
        </w:rPr>
        <w:t>CONCLUSIONS OF LAW</w:t>
      </w:r>
    </w:p>
    <w:p w:rsidR="00CB495C" w:rsidRDefault="00CB495C" w:rsidP="00B052B4">
      <w:pPr>
        <w:spacing w:line="360" w:lineRule="auto"/>
        <w:jc w:val="center"/>
        <w:rPr>
          <w:sz w:val="24"/>
          <w:szCs w:val="24"/>
          <w:u w:val="single"/>
        </w:rPr>
      </w:pPr>
    </w:p>
    <w:p w:rsidR="004F5047" w:rsidRPr="004F5047" w:rsidRDefault="004F5047" w:rsidP="00284AF4">
      <w:pPr>
        <w:pStyle w:val="ListParagraph"/>
        <w:numPr>
          <w:ilvl w:val="0"/>
          <w:numId w:val="36"/>
        </w:numPr>
        <w:spacing w:line="360" w:lineRule="auto"/>
        <w:ind w:left="0" w:firstLine="1440"/>
        <w:rPr>
          <w:sz w:val="24"/>
          <w:szCs w:val="24"/>
          <w:u w:val="single"/>
        </w:rPr>
      </w:pPr>
      <w:r>
        <w:rPr>
          <w:sz w:val="24"/>
          <w:szCs w:val="24"/>
        </w:rPr>
        <w:t>The Commission has jurisdiction over the parties and subject matter of this Formal Complaint.</w:t>
      </w:r>
    </w:p>
    <w:p w:rsidR="004F5047" w:rsidRPr="004F5047" w:rsidRDefault="004F5047" w:rsidP="004F5047">
      <w:pPr>
        <w:pStyle w:val="ListParagraph"/>
        <w:spacing w:line="360" w:lineRule="auto"/>
        <w:ind w:left="1440"/>
        <w:rPr>
          <w:sz w:val="24"/>
          <w:szCs w:val="24"/>
          <w:u w:val="single"/>
        </w:rPr>
      </w:pPr>
      <w:r>
        <w:rPr>
          <w:sz w:val="24"/>
          <w:szCs w:val="24"/>
        </w:rPr>
        <w:t xml:space="preserve"> </w:t>
      </w:r>
    </w:p>
    <w:p w:rsidR="00284AF4" w:rsidRPr="00085AC5" w:rsidRDefault="00284AF4" w:rsidP="00284AF4">
      <w:pPr>
        <w:pStyle w:val="ListParagraph"/>
        <w:numPr>
          <w:ilvl w:val="0"/>
          <w:numId w:val="36"/>
        </w:numPr>
        <w:spacing w:line="360" w:lineRule="auto"/>
        <w:ind w:left="0" w:firstLine="1440"/>
        <w:rPr>
          <w:sz w:val="24"/>
          <w:szCs w:val="24"/>
          <w:u w:val="single"/>
        </w:rPr>
      </w:pPr>
      <w:r w:rsidRPr="00A941C5">
        <w:rPr>
          <w:sz w:val="24"/>
          <w:szCs w:val="24"/>
        </w:rPr>
        <w:t xml:space="preserve">As the party seeking affirmative relief from the Commission, </w:t>
      </w:r>
      <w:r>
        <w:rPr>
          <w:sz w:val="24"/>
          <w:szCs w:val="24"/>
        </w:rPr>
        <w:t xml:space="preserve">the Complainant </w:t>
      </w:r>
      <w:r w:rsidRPr="00A941C5">
        <w:rPr>
          <w:sz w:val="24"/>
          <w:szCs w:val="24"/>
        </w:rPr>
        <w:t>bear</w:t>
      </w:r>
      <w:r>
        <w:rPr>
          <w:sz w:val="24"/>
          <w:szCs w:val="24"/>
        </w:rPr>
        <w:t>s</w:t>
      </w:r>
      <w:r w:rsidRPr="00A941C5">
        <w:rPr>
          <w:sz w:val="24"/>
          <w:szCs w:val="24"/>
        </w:rPr>
        <w:t xml:space="preserve"> the burden of proof.  </w:t>
      </w:r>
      <w:proofErr w:type="gramStart"/>
      <w:r w:rsidRPr="00A941C5">
        <w:rPr>
          <w:sz w:val="24"/>
          <w:szCs w:val="24"/>
        </w:rPr>
        <w:t>66 Pa.C.S.</w:t>
      </w:r>
      <w:proofErr w:type="gramEnd"/>
      <w:r w:rsidRPr="00A941C5">
        <w:rPr>
          <w:sz w:val="24"/>
          <w:szCs w:val="24"/>
        </w:rPr>
        <w:t xml:space="preserve"> §</w:t>
      </w:r>
      <w:r>
        <w:rPr>
          <w:sz w:val="24"/>
          <w:szCs w:val="24"/>
        </w:rPr>
        <w:t xml:space="preserve"> </w:t>
      </w:r>
      <w:r w:rsidRPr="00A941C5">
        <w:rPr>
          <w:sz w:val="24"/>
          <w:szCs w:val="24"/>
        </w:rPr>
        <w:t>332(a).</w:t>
      </w:r>
    </w:p>
    <w:p w:rsidR="00085AC5" w:rsidRPr="00284AF4" w:rsidRDefault="00085AC5" w:rsidP="00085AC5">
      <w:pPr>
        <w:pStyle w:val="ListParagraph"/>
        <w:spacing w:line="360" w:lineRule="auto"/>
        <w:ind w:left="1440"/>
        <w:rPr>
          <w:sz w:val="24"/>
          <w:szCs w:val="24"/>
          <w:u w:val="single"/>
        </w:rPr>
      </w:pPr>
    </w:p>
    <w:p w:rsidR="00284AF4" w:rsidRPr="00085AC5" w:rsidRDefault="00284AF4" w:rsidP="00284AF4">
      <w:pPr>
        <w:pStyle w:val="ListParagraph"/>
        <w:numPr>
          <w:ilvl w:val="0"/>
          <w:numId w:val="36"/>
        </w:numPr>
        <w:spacing w:line="360" w:lineRule="auto"/>
        <w:ind w:left="0" w:firstLine="1440"/>
        <w:rPr>
          <w:sz w:val="24"/>
          <w:szCs w:val="24"/>
          <w:u w:val="single"/>
        </w:rPr>
      </w:pPr>
      <w:r w:rsidRPr="00614336">
        <w:rPr>
          <w:spacing w:val="-3"/>
          <w:sz w:val="24"/>
          <w:szCs w:val="24"/>
        </w:rPr>
        <w:t>To establish a sufficient case and satisfy the burden of proof,</w:t>
      </w:r>
      <w:r>
        <w:rPr>
          <w:spacing w:val="-3"/>
          <w:sz w:val="24"/>
          <w:szCs w:val="24"/>
        </w:rPr>
        <w:t xml:space="preserve"> the</w:t>
      </w:r>
      <w:r w:rsidRPr="00614336">
        <w:rPr>
          <w:spacing w:val="-3"/>
          <w:sz w:val="24"/>
          <w:szCs w:val="24"/>
        </w:rPr>
        <w:t xml:space="preserve"> </w:t>
      </w:r>
      <w:r>
        <w:rPr>
          <w:spacing w:val="-3"/>
          <w:sz w:val="24"/>
          <w:szCs w:val="24"/>
        </w:rPr>
        <w:t>Complainant</w:t>
      </w:r>
      <w:r w:rsidRPr="00614336">
        <w:rPr>
          <w:spacing w:val="-3"/>
          <w:sz w:val="24"/>
          <w:szCs w:val="24"/>
        </w:rPr>
        <w:t xml:space="preserve"> must show that the </w:t>
      </w:r>
      <w:r>
        <w:rPr>
          <w:spacing w:val="-3"/>
          <w:sz w:val="24"/>
          <w:szCs w:val="24"/>
        </w:rPr>
        <w:t>Respondent</w:t>
      </w:r>
      <w:r w:rsidRPr="00614336">
        <w:rPr>
          <w:spacing w:val="-3"/>
          <w:sz w:val="24"/>
          <w:szCs w:val="24"/>
        </w:rPr>
        <w:t xml:space="preserve"> public utility is responsible or accountable for the problem described in the Complaint.  </w:t>
      </w:r>
      <w:r w:rsidRPr="0073245F">
        <w:rPr>
          <w:i/>
          <w:spacing w:val="-3"/>
          <w:sz w:val="24"/>
          <w:szCs w:val="24"/>
        </w:rPr>
        <w:t>Patterson v. Bell Telephone Company of Pennsylvania</w:t>
      </w:r>
      <w:r w:rsidRPr="00614336">
        <w:rPr>
          <w:spacing w:val="-3"/>
          <w:sz w:val="24"/>
          <w:szCs w:val="24"/>
        </w:rPr>
        <w:t>, 72 P</w:t>
      </w:r>
      <w:r>
        <w:rPr>
          <w:spacing w:val="-3"/>
          <w:sz w:val="24"/>
          <w:szCs w:val="24"/>
        </w:rPr>
        <w:t>a.</w:t>
      </w:r>
      <w:r w:rsidRPr="00614336">
        <w:rPr>
          <w:spacing w:val="-3"/>
          <w:sz w:val="24"/>
          <w:szCs w:val="24"/>
        </w:rPr>
        <w:t xml:space="preserve"> PUC 196</w:t>
      </w:r>
      <w:r>
        <w:rPr>
          <w:spacing w:val="-3"/>
          <w:sz w:val="24"/>
          <w:szCs w:val="24"/>
        </w:rPr>
        <w:t xml:space="preserve"> (</w:t>
      </w:r>
      <w:r w:rsidRPr="00614336">
        <w:rPr>
          <w:spacing w:val="-3"/>
          <w:sz w:val="24"/>
          <w:szCs w:val="24"/>
        </w:rPr>
        <w:t xml:space="preserve">1990), </w:t>
      </w:r>
      <w:r w:rsidRPr="0073245F">
        <w:rPr>
          <w:i/>
          <w:spacing w:val="-3"/>
          <w:sz w:val="24"/>
          <w:szCs w:val="24"/>
        </w:rPr>
        <w:t>Feinstein v. Philadelphia Suburban Water Company</w:t>
      </w:r>
      <w:r w:rsidRPr="00614336">
        <w:rPr>
          <w:spacing w:val="-3"/>
          <w:sz w:val="24"/>
          <w:szCs w:val="24"/>
        </w:rPr>
        <w:t>, 50 P</w:t>
      </w:r>
      <w:r>
        <w:rPr>
          <w:spacing w:val="-3"/>
          <w:sz w:val="24"/>
          <w:szCs w:val="24"/>
        </w:rPr>
        <w:t>a.</w:t>
      </w:r>
      <w:r w:rsidRPr="00614336">
        <w:rPr>
          <w:spacing w:val="-3"/>
          <w:sz w:val="24"/>
          <w:szCs w:val="24"/>
        </w:rPr>
        <w:t xml:space="preserve"> PUC 300</w:t>
      </w:r>
      <w:r>
        <w:rPr>
          <w:spacing w:val="-3"/>
          <w:sz w:val="24"/>
          <w:szCs w:val="24"/>
        </w:rPr>
        <w:t xml:space="preserve"> </w:t>
      </w:r>
      <w:r w:rsidRPr="00614336">
        <w:rPr>
          <w:spacing w:val="-3"/>
          <w:sz w:val="24"/>
          <w:szCs w:val="24"/>
        </w:rPr>
        <w:t>(1976).</w:t>
      </w:r>
    </w:p>
    <w:p w:rsidR="00085AC5" w:rsidRPr="00085AC5" w:rsidRDefault="00085AC5" w:rsidP="00B47E94">
      <w:pPr>
        <w:pStyle w:val="ListParagraph"/>
        <w:spacing w:line="360" w:lineRule="auto"/>
        <w:rPr>
          <w:sz w:val="24"/>
          <w:szCs w:val="24"/>
          <w:u w:val="single"/>
        </w:rPr>
      </w:pPr>
    </w:p>
    <w:p w:rsidR="00284AF4" w:rsidRPr="00284AF4" w:rsidRDefault="00284AF4" w:rsidP="00284AF4">
      <w:pPr>
        <w:pStyle w:val="ListParagraph"/>
        <w:numPr>
          <w:ilvl w:val="0"/>
          <w:numId w:val="36"/>
        </w:numPr>
        <w:spacing w:line="360" w:lineRule="auto"/>
        <w:ind w:left="0" w:firstLine="1440"/>
        <w:rPr>
          <w:sz w:val="24"/>
          <w:szCs w:val="24"/>
          <w:u w:val="single"/>
        </w:rPr>
      </w:pPr>
      <w:r>
        <w:rPr>
          <w:spacing w:val="-3"/>
          <w:sz w:val="24"/>
          <w:szCs w:val="24"/>
        </w:rPr>
        <w:t>The Complainant failed to meet his burden of proof.</w:t>
      </w:r>
    </w:p>
    <w:p w:rsidR="00284AF4" w:rsidRPr="00284AF4" w:rsidRDefault="00284AF4" w:rsidP="00284AF4">
      <w:pPr>
        <w:pStyle w:val="ListParagraph"/>
        <w:spacing w:line="360" w:lineRule="auto"/>
        <w:ind w:left="1440"/>
        <w:rPr>
          <w:sz w:val="24"/>
          <w:szCs w:val="24"/>
          <w:u w:val="single"/>
        </w:rPr>
      </w:pPr>
    </w:p>
    <w:p w:rsidR="004C0248" w:rsidRDefault="004C0248">
      <w:pPr>
        <w:rPr>
          <w:sz w:val="24"/>
          <w:szCs w:val="24"/>
          <w:u w:val="single"/>
        </w:rPr>
      </w:pPr>
      <w:r>
        <w:rPr>
          <w:sz w:val="24"/>
          <w:szCs w:val="24"/>
          <w:u w:val="single"/>
        </w:rPr>
        <w:br w:type="page"/>
      </w:r>
    </w:p>
    <w:p w:rsidR="00CB495C" w:rsidRDefault="00CB495C" w:rsidP="00FF2DC0">
      <w:pPr>
        <w:spacing w:line="360" w:lineRule="auto"/>
        <w:jc w:val="center"/>
        <w:rPr>
          <w:sz w:val="24"/>
          <w:szCs w:val="24"/>
          <w:u w:val="single"/>
        </w:rPr>
      </w:pPr>
      <w:r w:rsidRPr="00DC4452">
        <w:rPr>
          <w:sz w:val="24"/>
          <w:szCs w:val="24"/>
          <w:u w:val="single"/>
        </w:rPr>
        <w:t>ORDER</w:t>
      </w:r>
    </w:p>
    <w:p w:rsidR="00B052B4" w:rsidRPr="00DC4452" w:rsidRDefault="00B052B4" w:rsidP="00CB495C">
      <w:pPr>
        <w:jc w:val="center"/>
        <w:rPr>
          <w:sz w:val="24"/>
          <w:szCs w:val="24"/>
          <w:u w:val="single"/>
        </w:rPr>
      </w:pPr>
    </w:p>
    <w:p w:rsidR="005C3634" w:rsidRDefault="005C3634" w:rsidP="00CB495C">
      <w:pPr>
        <w:jc w:val="center"/>
        <w:rPr>
          <w:sz w:val="24"/>
          <w:szCs w:val="24"/>
          <w:u w:val="single"/>
        </w:rPr>
      </w:pPr>
    </w:p>
    <w:p w:rsidR="00BE5F2D" w:rsidRDefault="00B052B4" w:rsidP="00BE5F2D">
      <w:pPr>
        <w:rPr>
          <w:sz w:val="24"/>
          <w:szCs w:val="24"/>
        </w:rPr>
      </w:pPr>
      <w:r>
        <w:rPr>
          <w:sz w:val="24"/>
          <w:szCs w:val="24"/>
        </w:rPr>
        <w:tab/>
      </w:r>
      <w:r>
        <w:rPr>
          <w:sz w:val="24"/>
          <w:szCs w:val="24"/>
        </w:rPr>
        <w:tab/>
      </w:r>
      <w:r w:rsidR="00BE5F2D">
        <w:rPr>
          <w:sz w:val="24"/>
          <w:szCs w:val="24"/>
        </w:rPr>
        <w:t>THEREFORE,</w:t>
      </w:r>
    </w:p>
    <w:p w:rsidR="00BE5F2D" w:rsidRDefault="00BE5F2D" w:rsidP="00B052B4">
      <w:pPr>
        <w:spacing w:line="360" w:lineRule="auto"/>
        <w:rPr>
          <w:sz w:val="24"/>
          <w:szCs w:val="24"/>
        </w:rPr>
      </w:pPr>
    </w:p>
    <w:p w:rsidR="00BE5F2D" w:rsidRDefault="00B052B4" w:rsidP="00B052B4">
      <w:pPr>
        <w:spacing w:line="360" w:lineRule="auto"/>
        <w:rPr>
          <w:sz w:val="24"/>
          <w:szCs w:val="24"/>
        </w:rPr>
      </w:pPr>
      <w:r>
        <w:rPr>
          <w:sz w:val="24"/>
          <w:szCs w:val="24"/>
        </w:rPr>
        <w:tab/>
      </w:r>
      <w:r>
        <w:rPr>
          <w:sz w:val="24"/>
          <w:szCs w:val="24"/>
        </w:rPr>
        <w:tab/>
      </w:r>
      <w:r w:rsidR="00BE5F2D">
        <w:rPr>
          <w:sz w:val="24"/>
          <w:szCs w:val="24"/>
        </w:rPr>
        <w:t>IT IS ORDERED</w:t>
      </w:r>
      <w:r w:rsidR="005E78AE">
        <w:rPr>
          <w:sz w:val="24"/>
          <w:szCs w:val="24"/>
        </w:rPr>
        <w:t>:</w:t>
      </w:r>
    </w:p>
    <w:p w:rsidR="00085AC5" w:rsidRDefault="00085AC5" w:rsidP="00B47E94">
      <w:pPr>
        <w:spacing w:line="360" w:lineRule="auto"/>
        <w:rPr>
          <w:sz w:val="24"/>
          <w:szCs w:val="24"/>
        </w:rPr>
      </w:pPr>
    </w:p>
    <w:p w:rsidR="00284AF4" w:rsidRDefault="00284AF4" w:rsidP="00284AF4">
      <w:pPr>
        <w:pStyle w:val="ListParagraph"/>
        <w:numPr>
          <w:ilvl w:val="0"/>
          <w:numId w:val="37"/>
        </w:numPr>
        <w:ind w:left="0" w:firstLine="1440"/>
        <w:rPr>
          <w:sz w:val="24"/>
          <w:szCs w:val="24"/>
        </w:rPr>
      </w:pPr>
      <w:r>
        <w:rPr>
          <w:sz w:val="24"/>
          <w:szCs w:val="24"/>
        </w:rPr>
        <w:t>That the Formal Complaint of Kirk Allen is dismissed.</w:t>
      </w:r>
    </w:p>
    <w:p w:rsidR="00284AF4" w:rsidRDefault="00284AF4" w:rsidP="00B052B4">
      <w:pPr>
        <w:pStyle w:val="ListParagraph"/>
        <w:spacing w:line="360" w:lineRule="auto"/>
        <w:ind w:left="1440"/>
        <w:rPr>
          <w:sz w:val="24"/>
          <w:szCs w:val="24"/>
        </w:rPr>
      </w:pPr>
      <w:r>
        <w:rPr>
          <w:sz w:val="24"/>
          <w:szCs w:val="24"/>
        </w:rPr>
        <w:t xml:space="preserve"> </w:t>
      </w:r>
    </w:p>
    <w:p w:rsidR="00FF2DC0" w:rsidRDefault="00FF2DC0" w:rsidP="00B052B4">
      <w:pPr>
        <w:pStyle w:val="ListParagraph"/>
        <w:spacing w:line="360" w:lineRule="auto"/>
        <w:ind w:left="1440"/>
        <w:rPr>
          <w:sz w:val="24"/>
          <w:szCs w:val="24"/>
        </w:rPr>
      </w:pPr>
    </w:p>
    <w:p w:rsidR="00284AF4" w:rsidRPr="00284AF4" w:rsidRDefault="00284AF4" w:rsidP="00284AF4">
      <w:pPr>
        <w:pStyle w:val="ListParagraph"/>
        <w:numPr>
          <w:ilvl w:val="0"/>
          <w:numId w:val="37"/>
        </w:numPr>
        <w:ind w:left="0" w:firstLine="1440"/>
        <w:rPr>
          <w:sz w:val="24"/>
          <w:szCs w:val="24"/>
        </w:rPr>
      </w:pPr>
      <w:r>
        <w:rPr>
          <w:sz w:val="24"/>
          <w:szCs w:val="24"/>
        </w:rPr>
        <w:t>That the record at Docket No. F-2015-2487158 be marked closed.</w:t>
      </w:r>
    </w:p>
    <w:p w:rsidR="005C3634" w:rsidRDefault="005C3634" w:rsidP="00CB495C">
      <w:pPr>
        <w:jc w:val="center"/>
        <w:rPr>
          <w:sz w:val="24"/>
          <w:szCs w:val="24"/>
          <w:u w:val="single"/>
        </w:rPr>
      </w:pPr>
    </w:p>
    <w:p w:rsidR="00BE5F2D" w:rsidRDefault="00BE5F2D" w:rsidP="00BE5F2D">
      <w:pPr>
        <w:spacing w:line="360" w:lineRule="auto"/>
        <w:rPr>
          <w:sz w:val="24"/>
          <w:szCs w:val="24"/>
        </w:rPr>
      </w:pPr>
    </w:p>
    <w:p w:rsidR="00C44E3E" w:rsidRDefault="00C44E3E" w:rsidP="00BE5F2D">
      <w:pPr>
        <w:spacing w:line="360" w:lineRule="auto"/>
        <w:rPr>
          <w:sz w:val="24"/>
          <w:szCs w:val="24"/>
        </w:rPr>
      </w:pPr>
    </w:p>
    <w:p w:rsidR="0074123F" w:rsidRDefault="005C3634" w:rsidP="0074123F">
      <w:r w:rsidRPr="00B052B4">
        <w:rPr>
          <w:sz w:val="24"/>
          <w:szCs w:val="24"/>
        </w:rPr>
        <w:t xml:space="preserve">Date: </w:t>
      </w:r>
      <w:r w:rsidR="00B052B4">
        <w:rPr>
          <w:sz w:val="24"/>
          <w:szCs w:val="24"/>
        </w:rPr>
        <w:t xml:space="preserve"> </w:t>
      </w:r>
      <w:r w:rsidR="008B1A98" w:rsidRPr="00B052B4">
        <w:rPr>
          <w:sz w:val="24"/>
          <w:szCs w:val="24"/>
          <w:u w:val="single"/>
        </w:rPr>
        <w:t>December 3, 2015</w:t>
      </w:r>
      <w:r>
        <w:rPr>
          <w:sz w:val="24"/>
          <w:szCs w:val="24"/>
        </w:rPr>
        <w:tab/>
      </w:r>
      <w:r>
        <w:rPr>
          <w:sz w:val="24"/>
          <w:szCs w:val="24"/>
        </w:rPr>
        <w:tab/>
      </w:r>
      <w:r>
        <w:rPr>
          <w:sz w:val="24"/>
          <w:szCs w:val="24"/>
        </w:rPr>
        <w:tab/>
      </w:r>
      <w:r w:rsidR="00DC4452">
        <w:rPr>
          <w:sz w:val="24"/>
          <w:szCs w:val="24"/>
        </w:rPr>
        <w:tab/>
      </w:r>
      <w:r w:rsidR="0074123F">
        <w:rPr>
          <w:u w:val="single"/>
        </w:rPr>
        <w:tab/>
      </w:r>
      <w:r w:rsidR="0074123F">
        <w:rPr>
          <w:u w:val="single"/>
        </w:rPr>
        <w:tab/>
      </w:r>
      <w:r w:rsidR="0074123F" w:rsidRPr="0074123F">
        <w:rPr>
          <w:sz w:val="24"/>
          <w:szCs w:val="24"/>
          <w:u w:val="single"/>
        </w:rPr>
        <w:t>/s/</w:t>
      </w:r>
      <w:r w:rsidR="0074123F">
        <w:rPr>
          <w:u w:val="single"/>
        </w:rPr>
        <w:tab/>
      </w:r>
      <w:r w:rsidR="0074123F">
        <w:rPr>
          <w:u w:val="single"/>
        </w:rPr>
        <w:tab/>
      </w:r>
      <w:r w:rsidR="0074123F">
        <w:rPr>
          <w:u w:val="single"/>
        </w:rPr>
        <w:tab/>
      </w:r>
      <w:r w:rsidR="0074123F">
        <w:rPr>
          <w:u w:val="single"/>
        </w:rPr>
        <w:tab/>
      </w:r>
    </w:p>
    <w:p w:rsidR="005C3634" w:rsidRDefault="005C3634" w:rsidP="005C3634">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Ember S. Jandebeur</w:t>
      </w:r>
    </w:p>
    <w:p w:rsidR="00DC4452" w:rsidRDefault="005C3634" w:rsidP="005C3634">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DC4452" w:rsidRDefault="00DC4452">
      <w:pPr>
        <w:rPr>
          <w:sz w:val="24"/>
          <w:szCs w:val="24"/>
        </w:rPr>
      </w:pPr>
    </w:p>
    <w:sectPr w:rsidR="00DC4452" w:rsidSect="005F452A">
      <w:footerReference w:type="even" r:id="rId9"/>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BE7" w:rsidRDefault="005F4BE7">
      <w:r>
        <w:separator/>
      </w:r>
    </w:p>
  </w:endnote>
  <w:endnote w:type="continuationSeparator" w:id="0">
    <w:p w:rsidR="005F4BE7" w:rsidRDefault="005F4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Default="005D4D0C" w:rsidP="0028114B">
    <w:pPr>
      <w:pStyle w:val="Footer"/>
      <w:framePr w:wrap="around" w:vAnchor="text" w:hAnchor="margin" w:xAlign="center" w:y="1"/>
      <w:rPr>
        <w:rStyle w:val="PageNumber"/>
      </w:rPr>
    </w:pPr>
    <w:r>
      <w:rPr>
        <w:rStyle w:val="PageNumber"/>
      </w:rPr>
      <w:fldChar w:fldCharType="begin"/>
    </w:r>
    <w:r w:rsidR="00223E7E">
      <w:rPr>
        <w:rStyle w:val="PageNumber"/>
      </w:rPr>
      <w:instrText xml:space="preserve">PAGE  </w:instrText>
    </w:r>
    <w:r>
      <w:rPr>
        <w:rStyle w:val="PageNumber"/>
      </w:rPr>
      <w:fldChar w:fldCharType="end"/>
    </w:r>
  </w:p>
  <w:p w:rsidR="00223E7E" w:rsidRDefault="00223E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Pr="0028114B" w:rsidRDefault="005D4D0C" w:rsidP="0028114B">
    <w:pPr>
      <w:pStyle w:val="Footer"/>
      <w:framePr w:wrap="around" w:vAnchor="text" w:hAnchor="margin" w:xAlign="center" w:y="1"/>
      <w:rPr>
        <w:rStyle w:val="PageNumber"/>
        <w:sz w:val="20"/>
        <w:szCs w:val="20"/>
      </w:rPr>
    </w:pPr>
    <w:r w:rsidRPr="0028114B">
      <w:rPr>
        <w:rStyle w:val="PageNumber"/>
        <w:sz w:val="20"/>
        <w:szCs w:val="20"/>
      </w:rPr>
      <w:fldChar w:fldCharType="begin"/>
    </w:r>
    <w:r w:rsidR="00223E7E" w:rsidRPr="0028114B">
      <w:rPr>
        <w:rStyle w:val="PageNumber"/>
        <w:sz w:val="20"/>
        <w:szCs w:val="20"/>
      </w:rPr>
      <w:instrText xml:space="preserve">PAGE  </w:instrText>
    </w:r>
    <w:r w:rsidRPr="0028114B">
      <w:rPr>
        <w:rStyle w:val="PageNumber"/>
        <w:sz w:val="20"/>
        <w:szCs w:val="20"/>
      </w:rPr>
      <w:fldChar w:fldCharType="separate"/>
    </w:r>
    <w:r w:rsidR="004C0248">
      <w:rPr>
        <w:rStyle w:val="PageNumber"/>
        <w:noProof/>
        <w:sz w:val="20"/>
        <w:szCs w:val="20"/>
      </w:rPr>
      <w:t>2</w:t>
    </w:r>
    <w:r w:rsidRPr="0028114B">
      <w:rPr>
        <w:rStyle w:val="PageNumber"/>
        <w:sz w:val="20"/>
        <w:szCs w:val="20"/>
      </w:rPr>
      <w:fldChar w:fldCharType="end"/>
    </w:r>
  </w:p>
  <w:p w:rsidR="00223E7E" w:rsidRDefault="00223E7E" w:rsidP="000A001F">
    <w:pPr>
      <w:pStyle w:val="Footer"/>
      <w:jc w:val="right"/>
      <w:rPr>
        <w:rStyle w:val="PageNumbe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BE7" w:rsidRDefault="005F4BE7">
      <w:r>
        <w:separator/>
      </w:r>
    </w:p>
  </w:footnote>
  <w:footnote w:type="continuationSeparator" w:id="0">
    <w:p w:rsidR="005F4BE7" w:rsidRDefault="005F4B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97DB2"/>
    <w:multiLevelType w:val="hybridMultilevel"/>
    <w:tmpl w:val="CA140A8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08F66579"/>
    <w:multiLevelType w:val="hybridMultilevel"/>
    <w:tmpl w:val="3E36010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0BF851B9"/>
    <w:multiLevelType w:val="hybridMultilevel"/>
    <w:tmpl w:val="77C09C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0FB00ACC"/>
    <w:multiLevelType w:val="hybridMultilevel"/>
    <w:tmpl w:val="B49C7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6571BB"/>
    <w:multiLevelType w:val="hybridMultilevel"/>
    <w:tmpl w:val="BFD24F9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118A058B"/>
    <w:multiLevelType w:val="hybridMultilevel"/>
    <w:tmpl w:val="D07E1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52130F"/>
    <w:multiLevelType w:val="hybridMultilevel"/>
    <w:tmpl w:val="D93088E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nsid w:val="16D34DB9"/>
    <w:multiLevelType w:val="hybridMultilevel"/>
    <w:tmpl w:val="F6C48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4B1ADE"/>
    <w:multiLevelType w:val="hybridMultilevel"/>
    <w:tmpl w:val="DF36D1A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nsid w:val="197F4475"/>
    <w:multiLevelType w:val="hybridMultilevel"/>
    <w:tmpl w:val="9E743D2E"/>
    <w:lvl w:ilvl="0" w:tplc="6E46EF66">
      <w:start w:val="5"/>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2013FA5"/>
    <w:multiLevelType w:val="hybridMultilevel"/>
    <w:tmpl w:val="B298F4A2"/>
    <w:lvl w:ilvl="0" w:tplc="D0969C36">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A91D16"/>
    <w:multiLevelType w:val="hybridMultilevel"/>
    <w:tmpl w:val="027C87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01B289E"/>
    <w:multiLevelType w:val="hybridMultilevel"/>
    <w:tmpl w:val="407C4DF6"/>
    <w:lvl w:ilvl="0" w:tplc="3F5277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03E72CC"/>
    <w:multiLevelType w:val="hybridMultilevel"/>
    <w:tmpl w:val="7760246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4">
    <w:nsid w:val="31386CFC"/>
    <w:multiLevelType w:val="hybridMultilevel"/>
    <w:tmpl w:val="7ADA5EC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5">
    <w:nsid w:val="35BE6C1E"/>
    <w:multiLevelType w:val="hybridMultilevel"/>
    <w:tmpl w:val="BBDEED0C"/>
    <w:lvl w:ilvl="0" w:tplc="3F52775A">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BC70D1"/>
    <w:multiLevelType w:val="hybridMultilevel"/>
    <w:tmpl w:val="3E12A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066D07"/>
    <w:multiLevelType w:val="hybridMultilevel"/>
    <w:tmpl w:val="05249E4E"/>
    <w:lvl w:ilvl="0" w:tplc="DC5066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3B7D671D"/>
    <w:multiLevelType w:val="hybridMultilevel"/>
    <w:tmpl w:val="657CC782"/>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DAA5A82"/>
    <w:multiLevelType w:val="hybridMultilevel"/>
    <w:tmpl w:val="FF24B9E2"/>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0">
    <w:nsid w:val="40DF5D1A"/>
    <w:multiLevelType w:val="hybridMultilevel"/>
    <w:tmpl w:val="1736CCA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45FA5B13"/>
    <w:multiLevelType w:val="hybridMultilevel"/>
    <w:tmpl w:val="362E08D8"/>
    <w:lvl w:ilvl="0" w:tplc="EAD8F434">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nsid w:val="488F482E"/>
    <w:multiLevelType w:val="hybridMultilevel"/>
    <w:tmpl w:val="3E2CAD62"/>
    <w:lvl w:ilvl="0" w:tplc="0409000F">
      <w:start w:val="1"/>
      <w:numFmt w:val="decimal"/>
      <w:lvlText w:val="%1."/>
      <w:lvlJc w:val="left"/>
      <w:pPr>
        <w:tabs>
          <w:tab w:val="num" w:pos="2280"/>
        </w:tabs>
        <w:ind w:left="2280" w:hanging="360"/>
      </w:p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23">
    <w:nsid w:val="4D9C2EB0"/>
    <w:multiLevelType w:val="hybridMultilevel"/>
    <w:tmpl w:val="B98EF3C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4FBF24B7"/>
    <w:multiLevelType w:val="hybridMultilevel"/>
    <w:tmpl w:val="7172AE08"/>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32E5819"/>
    <w:multiLevelType w:val="multilevel"/>
    <w:tmpl w:val="F4A8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7F0596C"/>
    <w:multiLevelType w:val="hybridMultilevel"/>
    <w:tmpl w:val="2FEA996A"/>
    <w:lvl w:ilvl="0" w:tplc="5CDA72F8">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
    <w:nsid w:val="5868606A"/>
    <w:multiLevelType w:val="hybridMultilevel"/>
    <w:tmpl w:val="3E3E5B12"/>
    <w:lvl w:ilvl="0" w:tplc="A45AC2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FFB73F0"/>
    <w:multiLevelType w:val="hybridMultilevel"/>
    <w:tmpl w:val="0E4239A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0">
    <w:nsid w:val="64B00F8C"/>
    <w:multiLevelType w:val="hybridMultilevel"/>
    <w:tmpl w:val="1DCEBA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5CC20B3"/>
    <w:multiLevelType w:val="hybridMultilevel"/>
    <w:tmpl w:val="1B9EC3E8"/>
    <w:lvl w:ilvl="0" w:tplc="7CC8A8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72644860"/>
    <w:multiLevelType w:val="hybridMultilevel"/>
    <w:tmpl w:val="AA2CD53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nsid w:val="7294648C"/>
    <w:multiLevelType w:val="hybridMultilevel"/>
    <w:tmpl w:val="1D663CC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4">
    <w:nsid w:val="72BA1A04"/>
    <w:multiLevelType w:val="hybridMultilevel"/>
    <w:tmpl w:val="40E05EEE"/>
    <w:lvl w:ilvl="0" w:tplc="5D4CBAFE">
      <w:start w:val="1"/>
      <w:numFmt w:val="lowerLetter"/>
      <w:lvlText w:val="(%1)"/>
      <w:lvlJc w:val="left"/>
      <w:pPr>
        <w:ind w:left="900" w:hanging="45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5">
    <w:nsid w:val="7889787C"/>
    <w:multiLevelType w:val="hybridMultilevel"/>
    <w:tmpl w:val="555AE3FE"/>
    <w:lvl w:ilvl="0" w:tplc="DC506610">
      <w:start w:val="1"/>
      <w:numFmt w:val="decimal"/>
      <w:lvlText w:val="%1."/>
      <w:lvlJc w:val="left"/>
      <w:pPr>
        <w:ind w:left="5040" w:hanging="2160"/>
      </w:pPr>
      <w:rPr>
        <w:rFonts w:hint="default"/>
      </w:rPr>
    </w:lvl>
    <w:lvl w:ilvl="1" w:tplc="04090019" w:tentative="1">
      <w:start w:val="1"/>
      <w:numFmt w:val="lowerLetter"/>
      <w:lvlText w:val="%2."/>
      <w:lvlJc w:val="left"/>
      <w:pPr>
        <w:ind w:left="2880" w:hanging="360"/>
      </w:pPr>
    </w:lvl>
    <w:lvl w:ilvl="2" w:tplc="DA3CCC9E">
      <w:start w:val="1"/>
      <w:numFmt w:val="decimal"/>
      <w:lvlText w:val="%3."/>
      <w:lvlJc w:val="left"/>
      <w:pPr>
        <w:ind w:left="3600" w:hanging="18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nsid w:val="7AE62C34"/>
    <w:multiLevelType w:val="hybridMultilevel"/>
    <w:tmpl w:val="5046E7D6"/>
    <w:lvl w:ilvl="0" w:tplc="D65891C2">
      <w:start w:val="5"/>
      <w:numFmt w:val="lowerRoman"/>
      <w:lvlText w:val="%1."/>
      <w:lvlJc w:val="left"/>
      <w:pPr>
        <w:tabs>
          <w:tab w:val="num" w:pos="5400"/>
        </w:tabs>
        <w:ind w:left="5400" w:hanging="50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C3F4B88"/>
    <w:multiLevelType w:val="hybridMultilevel"/>
    <w:tmpl w:val="A208B7A8"/>
    <w:lvl w:ilvl="0" w:tplc="F93046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8"/>
  </w:num>
  <w:num w:numId="3">
    <w:abstractNumId w:val="22"/>
  </w:num>
  <w:num w:numId="4">
    <w:abstractNumId w:val="2"/>
  </w:num>
  <w:num w:numId="5">
    <w:abstractNumId w:val="18"/>
  </w:num>
  <w:num w:numId="6">
    <w:abstractNumId w:val="11"/>
  </w:num>
  <w:num w:numId="7">
    <w:abstractNumId w:val="8"/>
  </w:num>
  <w:num w:numId="8">
    <w:abstractNumId w:val="0"/>
  </w:num>
  <w:num w:numId="9">
    <w:abstractNumId w:val="19"/>
  </w:num>
  <w:num w:numId="10">
    <w:abstractNumId w:val="24"/>
  </w:num>
  <w:num w:numId="11">
    <w:abstractNumId w:val="21"/>
  </w:num>
  <w:num w:numId="12">
    <w:abstractNumId w:val="36"/>
  </w:num>
  <w:num w:numId="13">
    <w:abstractNumId w:val="1"/>
  </w:num>
  <w:num w:numId="14">
    <w:abstractNumId w:val="9"/>
  </w:num>
  <w:num w:numId="15">
    <w:abstractNumId w:val="29"/>
  </w:num>
  <w:num w:numId="16">
    <w:abstractNumId w:val="33"/>
  </w:num>
  <w:num w:numId="17">
    <w:abstractNumId w:val="13"/>
  </w:num>
  <w:num w:numId="18">
    <w:abstractNumId w:val="6"/>
  </w:num>
  <w:num w:numId="19">
    <w:abstractNumId w:val="25"/>
  </w:num>
  <w:num w:numId="20">
    <w:abstractNumId w:val="4"/>
  </w:num>
  <w:num w:numId="21">
    <w:abstractNumId w:val="7"/>
  </w:num>
  <w:num w:numId="22">
    <w:abstractNumId w:val="16"/>
  </w:num>
  <w:num w:numId="23">
    <w:abstractNumId w:val="17"/>
  </w:num>
  <w:num w:numId="24">
    <w:abstractNumId w:val="35"/>
  </w:num>
  <w:num w:numId="25">
    <w:abstractNumId w:val="32"/>
  </w:num>
  <w:num w:numId="26">
    <w:abstractNumId w:val="5"/>
  </w:num>
  <w:num w:numId="27">
    <w:abstractNumId w:val="20"/>
  </w:num>
  <w:num w:numId="28">
    <w:abstractNumId w:val="12"/>
  </w:num>
  <w:num w:numId="29">
    <w:abstractNumId w:val="15"/>
  </w:num>
  <w:num w:numId="30">
    <w:abstractNumId w:val="10"/>
  </w:num>
  <w:num w:numId="31">
    <w:abstractNumId w:val="34"/>
  </w:num>
  <w:num w:numId="32">
    <w:abstractNumId w:val="26"/>
  </w:num>
  <w:num w:numId="33">
    <w:abstractNumId w:val="23"/>
  </w:num>
  <w:num w:numId="34">
    <w:abstractNumId w:val="30"/>
  </w:num>
  <w:num w:numId="35">
    <w:abstractNumId w:val="37"/>
  </w:num>
  <w:num w:numId="36">
    <w:abstractNumId w:val="27"/>
  </w:num>
  <w:num w:numId="37">
    <w:abstractNumId w:val="3"/>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AC3"/>
    <w:rsid w:val="00003ED9"/>
    <w:rsid w:val="00020AB1"/>
    <w:rsid w:val="00022997"/>
    <w:rsid w:val="00022D67"/>
    <w:rsid w:val="0002512E"/>
    <w:rsid w:val="00034A86"/>
    <w:rsid w:val="00035C05"/>
    <w:rsid w:val="00035E78"/>
    <w:rsid w:val="000376EF"/>
    <w:rsid w:val="00042626"/>
    <w:rsid w:val="00045C1B"/>
    <w:rsid w:val="00055A89"/>
    <w:rsid w:val="000573C2"/>
    <w:rsid w:val="00064F92"/>
    <w:rsid w:val="0006610A"/>
    <w:rsid w:val="0006622C"/>
    <w:rsid w:val="00070E25"/>
    <w:rsid w:val="0007126E"/>
    <w:rsid w:val="000728A4"/>
    <w:rsid w:val="00075A22"/>
    <w:rsid w:val="00082976"/>
    <w:rsid w:val="00085AC5"/>
    <w:rsid w:val="00091672"/>
    <w:rsid w:val="00091CE2"/>
    <w:rsid w:val="00093DB9"/>
    <w:rsid w:val="000967DB"/>
    <w:rsid w:val="000A001F"/>
    <w:rsid w:val="000A1CB9"/>
    <w:rsid w:val="000A20A3"/>
    <w:rsid w:val="000B5F6A"/>
    <w:rsid w:val="000C6F32"/>
    <w:rsid w:val="000D2CE8"/>
    <w:rsid w:val="000E0BD8"/>
    <w:rsid w:val="000E277A"/>
    <w:rsid w:val="000E2934"/>
    <w:rsid w:val="000E6B17"/>
    <w:rsid w:val="000F0833"/>
    <w:rsid w:val="000F1894"/>
    <w:rsid w:val="000F1F62"/>
    <w:rsid w:val="000F2F0A"/>
    <w:rsid w:val="000F6118"/>
    <w:rsid w:val="0010177F"/>
    <w:rsid w:val="001027AA"/>
    <w:rsid w:val="00102E22"/>
    <w:rsid w:val="00110C23"/>
    <w:rsid w:val="00111EA9"/>
    <w:rsid w:val="001122A9"/>
    <w:rsid w:val="001155B6"/>
    <w:rsid w:val="00115F21"/>
    <w:rsid w:val="00116136"/>
    <w:rsid w:val="00125871"/>
    <w:rsid w:val="00126207"/>
    <w:rsid w:val="001312A6"/>
    <w:rsid w:val="00134E8D"/>
    <w:rsid w:val="001404C5"/>
    <w:rsid w:val="00141DF5"/>
    <w:rsid w:val="00143C49"/>
    <w:rsid w:val="00144488"/>
    <w:rsid w:val="00147DEE"/>
    <w:rsid w:val="00152C6B"/>
    <w:rsid w:val="0015646C"/>
    <w:rsid w:val="001620CA"/>
    <w:rsid w:val="00162898"/>
    <w:rsid w:val="00176F82"/>
    <w:rsid w:val="0018160C"/>
    <w:rsid w:val="00187B87"/>
    <w:rsid w:val="001930DE"/>
    <w:rsid w:val="00193B6C"/>
    <w:rsid w:val="001A4CC0"/>
    <w:rsid w:val="001A721E"/>
    <w:rsid w:val="001B123C"/>
    <w:rsid w:val="001B3235"/>
    <w:rsid w:val="001C20B7"/>
    <w:rsid w:val="001C715B"/>
    <w:rsid w:val="001D3206"/>
    <w:rsid w:val="001D6FCF"/>
    <w:rsid w:val="001E4FAC"/>
    <w:rsid w:val="001F0787"/>
    <w:rsid w:val="001F08B4"/>
    <w:rsid w:val="001F2116"/>
    <w:rsid w:val="001F3112"/>
    <w:rsid w:val="001F6FC1"/>
    <w:rsid w:val="001F7F73"/>
    <w:rsid w:val="0020095D"/>
    <w:rsid w:val="00200D69"/>
    <w:rsid w:val="00215221"/>
    <w:rsid w:val="00220C5E"/>
    <w:rsid w:val="00223E7E"/>
    <w:rsid w:val="00234619"/>
    <w:rsid w:val="0023520D"/>
    <w:rsid w:val="00235A5F"/>
    <w:rsid w:val="00235C44"/>
    <w:rsid w:val="00236FF7"/>
    <w:rsid w:val="002416AB"/>
    <w:rsid w:val="0024496F"/>
    <w:rsid w:val="00244D86"/>
    <w:rsid w:val="00251D19"/>
    <w:rsid w:val="0025370D"/>
    <w:rsid w:val="00260D19"/>
    <w:rsid w:val="002732DC"/>
    <w:rsid w:val="0028114B"/>
    <w:rsid w:val="0028185A"/>
    <w:rsid w:val="00284AF4"/>
    <w:rsid w:val="00290918"/>
    <w:rsid w:val="002919C6"/>
    <w:rsid w:val="00293557"/>
    <w:rsid w:val="002959E3"/>
    <w:rsid w:val="002A7C1C"/>
    <w:rsid w:val="002B19D4"/>
    <w:rsid w:val="002B3489"/>
    <w:rsid w:val="002B4EAE"/>
    <w:rsid w:val="002C3FDE"/>
    <w:rsid w:val="002C486F"/>
    <w:rsid w:val="002D13C5"/>
    <w:rsid w:val="002D554B"/>
    <w:rsid w:val="002E0985"/>
    <w:rsid w:val="002F66F9"/>
    <w:rsid w:val="002F6BC1"/>
    <w:rsid w:val="00300A0A"/>
    <w:rsid w:val="00300CB7"/>
    <w:rsid w:val="00300F91"/>
    <w:rsid w:val="0030207C"/>
    <w:rsid w:val="00306B0D"/>
    <w:rsid w:val="00311AD2"/>
    <w:rsid w:val="003129F7"/>
    <w:rsid w:val="00312E1C"/>
    <w:rsid w:val="00317B5C"/>
    <w:rsid w:val="00323AAE"/>
    <w:rsid w:val="00324926"/>
    <w:rsid w:val="00324F3E"/>
    <w:rsid w:val="003268DB"/>
    <w:rsid w:val="0033043C"/>
    <w:rsid w:val="0033647C"/>
    <w:rsid w:val="00337C53"/>
    <w:rsid w:val="00340AB8"/>
    <w:rsid w:val="003421E0"/>
    <w:rsid w:val="0034312D"/>
    <w:rsid w:val="00346E30"/>
    <w:rsid w:val="003539D2"/>
    <w:rsid w:val="00354E6F"/>
    <w:rsid w:val="0035737A"/>
    <w:rsid w:val="00364519"/>
    <w:rsid w:val="003657A8"/>
    <w:rsid w:val="00380450"/>
    <w:rsid w:val="00380AD7"/>
    <w:rsid w:val="00382B1A"/>
    <w:rsid w:val="003857DF"/>
    <w:rsid w:val="00386CDC"/>
    <w:rsid w:val="00392382"/>
    <w:rsid w:val="00394493"/>
    <w:rsid w:val="003959AC"/>
    <w:rsid w:val="00395E03"/>
    <w:rsid w:val="00396DE1"/>
    <w:rsid w:val="003A167D"/>
    <w:rsid w:val="003B715B"/>
    <w:rsid w:val="003C050F"/>
    <w:rsid w:val="003C0716"/>
    <w:rsid w:val="003C3664"/>
    <w:rsid w:val="003C7143"/>
    <w:rsid w:val="003D139F"/>
    <w:rsid w:val="003D15FA"/>
    <w:rsid w:val="003D77FF"/>
    <w:rsid w:val="003D7EC6"/>
    <w:rsid w:val="003E292B"/>
    <w:rsid w:val="003E594B"/>
    <w:rsid w:val="003F155A"/>
    <w:rsid w:val="003F5180"/>
    <w:rsid w:val="003F5796"/>
    <w:rsid w:val="003F5965"/>
    <w:rsid w:val="003F69BF"/>
    <w:rsid w:val="00402359"/>
    <w:rsid w:val="004064A8"/>
    <w:rsid w:val="004078E3"/>
    <w:rsid w:val="004107FD"/>
    <w:rsid w:val="00417087"/>
    <w:rsid w:val="0042160A"/>
    <w:rsid w:val="0042193A"/>
    <w:rsid w:val="00422E29"/>
    <w:rsid w:val="00424A76"/>
    <w:rsid w:val="00427E73"/>
    <w:rsid w:val="004312BE"/>
    <w:rsid w:val="00431BEF"/>
    <w:rsid w:val="00442854"/>
    <w:rsid w:val="00453B16"/>
    <w:rsid w:val="0046339D"/>
    <w:rsid w:val="00476C8A"/>
    <w:rsid w:val="00486535"/>
    <w:rsid w:val="00490174"/>
    <w:rsid w:val="004917C1"/>
    <w:rsid w:val="00491C99"/>
    <w:rsid w:val="00495450"/>
    <w:rsid w:val="00495B88"/>
    <w:rsid w:val="004A1805"/>
    <w:rsid w:val="004A5AD6"/>
    <w:rsid w:val="004C0248"/>
    <w:rsid w:val="004C2124"/>
    <w:rsid w:val="004C2584"/>
    <w:rsid w:val="004C3EFA"/>
    <w:rsid w:val="004D1B54"/>
    <w:rsid w:val="004D3108"/>
    <w:rsid w:val="004D46FD"/>
    <w:rsid w:val="004D65F3"/>
    <w:rsid w:val="004E187E"/>
    <w:rsid w:val="004E20CB"/>
    <w:rsid w:val="004E2912"/>
    <w:rsid w:val="004E2B03"/>
    <w:rsid w:val="004E533F"/>
    <w:rsid w:val="004F2D3D"/>
    <w:rsid w:val="004F5047"/>
    <w:rsid w:val="005032B5"/>
    <w:rsid w:val="00510C41"/>
    <w:rsid w:val="00515937"/>
    <w:rsid w:val="00517AD1"/>
    <w:rsid w:val="00523780"/>
    <w:rsid w:val="00526B2A"/>
    <w:rsid w:val="00530D1B"/>
    <w:rsid w:val="00531226"/>
    <w:rsid w:val="00531409"/>
    <w:rsid w:val="00535DF7"/>
    <w:rsid w:val="00542107"/>
    <w:rsid w:val="00553EEB"/>
    <w:rsid w:val="00564C41"/>
    <w:rsid w:val="0056706A"/>
    <w:rsid w:val="00582896"/>
    <w:rsid w:val="00584798"/>
    <w:rsid w:val="0059070D"/>
    <w:rsid w:val="00592C86"/>
    <w:rsid w:val="005A33D0"/>
    <w:rsid w:val="005B13B6"/>
    <w:rsid w:val="005B250B"/>
    <w:rsid w:val="005B3C00"/>
    <w:rsid w:val="005B6749"/>
    <w:rsid w:val="005B7834"/>
    <w:rsid w:val="005C28EC"/>
    <w:rsid w:val="005C2971"/>
    <w:rsid w:val="005C3634"/>
    <w:rsid w:val="005D19C4"/>
    <w:rsid w:val="005D2DEE"/>
    <w:rsid w:val="005D4D0C"/>
    <w:rsid w:val="005D5E04"/>
    <w:rsid w:val="005E2068"/>
    <w:rsid w:val="005E3007"/>
    <w:rsid w:val="005E6321"/>
    <w:rsid w:val="005E6C27"/>
    <w:rsid w:val="005E78AE"/>
    <w:rsid w:val="005F17F5"/>
    <w:rsid w:val="005F38EC"/>
    <w:rsid w:val="005F3B50"/>
    <w:rsid w:val="005F452A"/>
    <w:rsid w:val="005F4BE7"/>
    <w:rsid w:val="00602637"/>
    <w:rsid w:val="006034D3"/>
    <w:rsid w:val="00610E15"/>
    <w:rsid w:val="0062087D"/>
    <w:rsid w:val="006215E0"/>
    <w:rsid w:val="006306EB"/>
    <w:rsid w:val="00634A5C"/>
    <w:rsid w:val="006352B9"/>
    <w:rsid w:val="00641596"/>
    <w:rsid w:val="0064329B"/>
    <w:rsid w:val="006441F5"/>
    <w:rsid w:val="00644E60"/>
    <w:rsid w:val="00645B55"/>
    <w:rsid w:val="00652C21"/>
    <w:rsid w:val="0066237B"/>
    <w:rsid w:val="006656FC"/>
    <w:rsid w:val="00675607"/>
    <w:rsid w:val="00675986"/>
    <w:rsid w:val="00695694"/>
    <w:rsid w:val="006A21C2"/>
    <w:rsid w:val="006A3B47"/>
    <w:rsid w:val="006A7A0A"/>
    <w:rsid w:val="006C1047"/>
    <w:rsid w:val="006C3226"/>
    <w:rsid w:val="006D4BB7"/>
    <w:rsid w:val="006D75BD"/>
    <w:rsid w:val="006E4407"/>
    <w:rsid w:val="006F44F9"/>
    <w:rsid w:val="007015FC"/>
    <w:rsid w:val="007114E7"/>
    <w:rsid w:val="0071588F"/>
    <w:rsid w:val="0073239A"/>
    <w:rsid w:val="0073727C"/>
    <w:rsid w:val="0074123F"/>
    <w:rsid w:val="00744AF3"/>
    <w:rsid w:val="00747E56"/>
    <w:rsid w:val="00750376"/>
    <w:rsid w:val="00751672"/>
    <w:rsid w:val="0075510C"/>
    <w:rsid w:val="00766C8E"/>
    <w:rsid w:val="0077255F"/>
    <w:rsid w:val="00775593"/>
    <w:rsid w:val="00782A08"/>
    <w:rsid w:val="00786153"/>
    <w:rsid w:val="00790EF3"/>
    <w:rsid w:val="00791ABB"/>
    <w:rsid w:val="00792C70"/>
    <w:rsid w:val="007965B0"/>
    <w:rsid w:val="007A49B5"/>
    <w:rsid w:val="007B1672"/>
    <w:rsid w:val="007B1D2D"/>
    <w:rsid w:val="007B46F9"/>
    <w:rsid w:val="007B6CFE"/>
    <w:rsid w:val="007C36CE"/>
    <w:rsid w:val="007C74E3"/>
    <w:rsid w:val="007D1821"/>
    <w:rsid w:val="007D3E3E"/>
    <w:rsid w:val="007D6063"/>
    <w:rsid w:val="007E09E5"/>
    <w:rsid w:val="007E31DB"/>
    <w:rsid w:val="007E7871"/>
    <w:rsid w:val="00801DEE"/>
    <w:rsid w:val="00803141"/>
    <w:rsid w:val="0081070B"/>
    <w:rsid w:val="008142EB"/>
    <w:rsid w:val="0081669B"/>
    <w:rsid w:val="0081696C"/>
    <w:rsid w:val="008228F3"/>
    <w:rsid w:val="00823F91"/>
    <w:rsid w:val="00824683"/>
    <w:rsid w:val="008354C5"/>
    <w:rsid w:val="0083691D"/>
    <w:rsid w:val="00840FD3"/>
    <w:rsid w:val="00841779"/>
    <w:rsid w:val="008506A0"/>
    <w:rsid w:val="00851A4F"/>
    <w:rsid w:val="00866264"/>
    <w:rsid w:val="008663C0"/>
    <w:rsid w:val="008746E1"/>
    <w:rsid w:val="0087572C"/>
    <w:rsid w:val="008803F7"/>
    <w:rsid w:val="00881C76"/>
    <w:rsid w:val="0088763C"/>
    <w:rsid w:val="008938DD"/>
    <w:rsid w:val="00893B0E"/>
    <w:rsid w:val="00893F0B"/>
    <w:rsid w:val="00894839"/>
    <w:rsid w:val="0089761B"/>
    <w:rsid w:val="008A0235"/>
    <w:rsid w:val="008A60E2"/>
    <w:rsid w:val="008B045E"/>
    <w:rsid w:val="008B1A8B"/>
    <w:rsid w:val="008B1A98"/>
    <w:rsid w:val="008B282A"/>
    <w:rsid w:val="008B2B8B"/>
    <w:rsid w:val="008D6D09"/>
    <w:rsid w:val="008D761F"/>
    <w:rsid w:val="008E3BE1"/>
    <w:rsid w:val="008E5A53"/>
    <w:rsid w:val="008F013A"/>
    <w:rsid w:val="008F22F9"/>
    <w:rsid w:val="008F554F"/>
    <w:rsid w:val="008F6AC3"/>
    <w:rsid w:val="009077E3"/>
    <w:rsid w:val="00910EF2"/>
    <w:rsid w:val="00913B17"/>
    <w:rsid w:val="009166DD"/>
    <w:rsid w:val="0091672D"/>
    <w:rsid w:val="00922FE6"/>
    <w:rsid w:val="0093170C"/>
    <w:rsid w:val="009342E4"/>
    <w:rsid w:val="009445E9"/>
    <w:rsid w:val="00947175"/>
    <w:rsid w:val="00961314"/>
    <w:rsid w:val="009634B4"/>
    <w:rsid w:val="009643E3"/>
    <w:rsid w:val="009649FC"/>
    <w:rsid w:val="00965F82"/>
    <w:rsid w:val="00966FB7"/>
    <w:rsid w:val="0098237A"/>
    <w:rsid w:val="00982B8E"/>
    <w:rsid w:val="009830C8"/>
    <w:rsid w:val="00983B9A"/>
    <w:rsid w:val="009870EF"/>
    <w:rsid w:val="009877CF"/>
    <w:rsid w:val="00987B98"/>
    <w:rsid w:val="00995E0A"/>
    <w:rsid w:val="009A475D"/>
    <w:rsid w:val="009A5C49"/>
    <w:rsid w:val="009B1C06"/>
    <w:rsid w:val="009B44FC"/>
    <w:rsid w:val="009C22D0"/>
    <w:rsid w:val="009D5A08"/>
    <w:rsid w:val="009E663A"/>
    <w:rsid w:val="009E69A1"/>
    <w:rsid w:val="009F24FB"/>
    <w:rsid w:val="009F4939"/>
    <w:rsid w:val="009F620C"/>
    <w:rsid w:val="009F7BD8"/>
    <w:rsid w:val="00A022C7"/>
    <w:rsid w:val="00A02D20"/>
    <w:rsid w:val="00A0627A"/>
    <w:rsid w:val="00A107BC"/>
    <w:rsid w:val="00A22653"/>
    <w:rsid w:val="00A23BC5"/>
    <w:rsid w:val="00A24F45"/>
    <w:rsid w:val="00A345AE"/>
    <w:rsid w:val="00A409B8"/>
    <w:rsid w:val="00A4383B"/>
    <w:rsid w:val="00A470ED"/>
    <w:rsid w:val="00A475EE"/>
    <w:rsid w:val="00A523A9"/>
    <w:rsid w:val="00A52E9C"/>
    <w:rsid w:val="00A67786"/>
    <w:rsid w:val="00A67C1E"/>
    <w:rsid w:val="00A7050E"/>
    <w:rsid w:val="00A761ED"/>
    <w:rsid w:val="00A76B1D"/>
    <w:rsid w:val="00A86505"/>
    <w:rsid w:val="00AA00A9"/>
    <w:rsid w:val="00AA0438"/>
    <w:rsid w:val="00AA1DE2"/>
    <w:rsid w:val="00AA6434"/>
    <w:rsid w:val="00AA7B5D"/>
    <w:rsid w:val="00AB3A78"/>
    <w:rsid w:val="00AB7BD6"/>
    <w:rsid w:val="00AC4DB7"/>
    <w:rsid w:val="00AC7513"/>
    <w:rsid w:val="00AC7FED"/>
    <w:rsid w:val="00AD0497"/>
    <w:rsid w:val="00AD0503"/>
    <w:rsid w:val="00AD0929"/>
    <w:rsid w:val="00AD507E"/>
    <w:rsid w:val="00AE00BA"/>
    <w:rsid w:val="00AE3E93"/>
    <w:rsid w:val="00AE6D1F"/>
    <w:rsid w:val="00AF2068"/>
    <w:rsid w:val="00AF7EAE"/>
    <w:rsid w:val="00B03092"/>
    <w:rsid w:val="00B052B4"/>
    <w:rsid w:val="00B0541E"/>
    <w:rsid w:val="00B13849"/>
    <w:rsid w:val="00B23067"/>
    <w:rsid w:val="00B2590D"/>
    <w:rsid w:val="00B32E66"/>
    <w:rsid w:val="00B34848"/>
    <w:rsid w:val="00B40E21"/>
    <w:rsid w:val="00B41924"/>
    <w:rsid w:val="00B45676"/>
    <w:rsid w:val="00B45F71"/>
    <w:rsid w:val="00B47E94"/>
    <w:rsid w:val="00B5018B"/>
    <w:rsid w:val="00B57687"/>
    <w:rsid w:val="00B625D9"/>
    <w:rsid w:val="00B665D7"/>
    <w:rsid w:val="00B70860"/>
    <w:rsid w:val="00B71D02"/>
    <w:rsid w:val="00B810E7"/>
    <w:rsid w:val="00B87994"/>
    <w:rsid w:val="00B922CF"/>
    <w:rsid w:val="00B94E3D"/>
    <w:rsid w:val="00BA47D2"/>
    <w:rsid w:val="00BA61F7"/>
    <w:rsid w:val="00BA7E8F"/>
    <w:rsid w:val="00BB3104"/>
    <w:rsid w:val="00BB352A"/>
    <w:rsid w:val="00BB7304"/>
    <w:rsid w:val="00BC2D8F"/>
    <w:rsid w:val="00BC2DE6"/>
    <w:rsid w:val="00BC7240"/>
    <w:rsid w:val="00BC7AF5"/>
    <w:rsid w:val="00BD42F1"/>
    <w:rsid w:val="00BE1D82"/>
    <w:rsid w:val="00BE5F2D"/>
    <w:rsid w:val="00BE6352"/>
    <w:rsid w:val="00BF5F04"/>
    <w:rsid w:val="00C052E4"/>
    <w:rsid w:val="00C1140C"/>
    <w:rsid w:val="00C1195C"/>
    <w:rsid w:val="00C136F0"/>
    <w:rsid w:val="00C150A5"/>
    <w:rsid w:val="00C21F78"/>
    <w:rsid w:val="00C224B0"/>
    <w:rsid w:val="00C25C02"/>
    <w:rsid w:val="00C27A38"/>
    <w:rsid w:val="00C302A8"/>
    <w:rsid w:val="00C322C5"/>
    <w:rsid w:val="00C34D87"/>
    <w:rsid w:val="00C37F96"/>
    <w:rsid w:val="00C419F9"/>
    <w:rsid w:val="00C426F5"/>
    <w:rsid w:val="00C44E3E"/>
    <w:rsid w:val="00C45D4C"/>
    <w:rsid w:val="00C47400"/>
    <w:rsid w:val="00C477B5"/>
    <w:rsid w:val="00C546D2"/>
    <w:rsid w:val="00C61510"/>
    <w:rsid w:val="00C61561"/>
    <w:rsid w:val="00C6634A"/>
    <w:rsid w:val="00C7068E"/>
    <w:rsid w:val="00C73912"/>
    <w:rsid w:val="00C769EE"/>
    <w:rsid w:val="00C86201"/>
    <w:rsid w:val="00C908AD"/>
    <w:rsid w:val="00C920E5"/>
    <w:rsid w:val="00C94BB9"/>
    <w:rsid w:val="00CA1E0E"/>
    <w:rsid w:val="00CA5BA3"/>
    <w:rsid w:val="00CB0D2B"/>
    <w:rsid w:val="00CB495C"/>
    <w:rsid w:val="00CB4F5E"/>
    <w:rsid w:val="00CB6A72"/>
    <w:rsid w:val="00CC3CC1"/>
    <w:rsid w:val="00CC49DA"/>
    <w:rsid w:val="00CC5E96"/>
    <w:rsid w:val="00CD1B5B"/>
    <w:rsid w:val="00CD4A78"/>
    <w:rsid w:val="00CD6B6A"/>
    <w:rsid w:val="00CE43B4"/>
    <w:rsid w:val="00CE68C6"/>
    <w:rsid w:val="00CF3BB0"/>
    <w:rsid w:val="00CF7138"/>
    <w:rsid w:val="00D02084"/>
    <w:rsid w:val="00D050DE"/>
    <w:rsid w:val="00D077EC"/>
    <w:rsid w:val="00D13B06"/>
    <w:rsid w:val="00D1728D"/>
    <w:rsid w:val="00D21BFC"/>
    <w:rsid w:val="00D21D55"/>
    <w:rsid w:val="00D21EF9"/>
    <w:rsid w:val="00D22F4A"/>
    <w:rsid w:val="00D23330"/>
    <w:rsid w:val="00D24EA8"/>
    <w:rsid w:val="00D32326"/>
    <w:rsid w:val="00D34B76"/>
    <w:rsid w:val="00D35F74"/>
    <w:rsid w:val="00D4029A"/>
    <w:rsid w:val="00D416A5"/>
    <w:rsid w:val="00D42F8A"/>
    <w:rsid w:val="00D50C56"/>
    <w:rsid w:val="00D5488B"/>
    <w:rsid w:val="00D55074"/>
    <w:rsid w:val="00D55AA4"/>
    <w:rsid w:val="00D5720C"/>
    <w:rsid w:val="00D6261D"/>
    <w:rsid w:val="00D6598A"/>
    <w:rsid w:val="00D65F4B"/>
    <w:rsid w:val="00D671F6"/>
    <w:rsid w:val="00D71653"/>
    <w:rsid w:val="00D72436"/>
    <w:rsid w:val="00D8063C"/>
    <w:rsid w:val="00D926F9"/>
    <w:rsid w:val="00D93182"/>
    <w:rsid w:val="00D961B5"/>
    <w:rsid w:val="00DA7FD6"/>
    <w:rsid w:val="00DB1328"/>
    <w:rsid w:val="00DB7EE0"/>
    <w:rsid w:val="00DC4452"/>
    <w:rsid w:val="00DD2411"/>
    <w:rsid w:val="00DD3E7F"/>
    <w:rsid w:val="00DE0ECC"/>
    <w:rsid w:val="00DE1193"/>
    <w:rsid w:val="00DE2348"/>
    <w:rsid w:val="00DE3943"/>
    <w:rsid w:val="00DE562E"/>
    <w:rsid w:val="00DE6FB0"/>
    <w:rsid w:val="00DE77F8"/>
    <w:rsid w:val="00DF0138"/>
    <w:rsid w:val="00DF294A"/>
    <w:rsid w:val="00DF57F5"/>
    <w:rsid w:val="00E00EAF"/>
    <w:rsid w:val="00E0236A"/>
    <w:rsid w:val="00E11739"/>
    <w:rsid w:val="00E12F72"/>
    <w:rsid w:val="00E15A2D"/>
    <w:rsid w:val="00E15B2B"/>
    <w:rsid w:val="00E2349D"/>
    <w:rsid w:val="00E23F95"/>
    <w:rsid w:val="00E267A5"/>
    <w:rsid w:val="00E32DA2"/>
    <w:rsid w:val="00E35AC9"/>
    <w:rsid w:val="00E413A9"/>
    <w:rsid w:val="00E41F99"/>
    <w:rsid w:val="00E5003A"/>
    <w:rsid w:val="00E514FA"/>
    <w:rsid w:val="00E51D1F"/>
    <w:rsid w:val="00E52738"/>
    <w:rsid w:val="00E56529"/>
    <w:rsid w:val="00E6135C"/>
    <w:rsid w:val="00E659AC"/>
    <w:rsid w:val="00E66725"/>
    <w:rsid w:val="00E67591"/>
    <w:rsid w:val="00E67A2A"/>
    <w:rsid w:val="00E728B0"/>
    <w:rsid w:val="00E75758"/>
    <w:rsid w:val="00E75BC0"/>
    <w:rsid w:val="00E85ECC"/>
    <w:rsid w:val="00E9292D"/>
    <w:rsid w:val="00EA2B0E"/>
    <w:rsid w:val="00EA319E"/>
    <w:rsid w:val="00EA56F6"/>
    <w:rsid w:val="00EA77CE"/>
    <w:rsid w:val="00EB1948"/>
    <w:rsid w:val="00EB1DAB"/>
    <w:rsid w:val="00EB1EEE"/>
    <w:rsid w:val="00EC15BD"/>
    <w:rsid w:val="00EC38D5"/>
    <w:rsid w:val="00EC41CE"/>
    <w:rsid w:val="00EC474D"/>
    <w:rsid w:val="00EC477B"/>
    <w:rsid w:val="00ED0F47"/>
    <w:rsid w:val="00EE34BE"/>
    <w:rsid w:val="00EE7E40"/>
    <w:rsid w:val="00EF6C7F"/>
    <w:rsid w:val="00F2180F"/>
    <w:rsid w:val="00F31732"/>
    <w:rsid w:val="00F31F04"/>
    <w:rsid w:val="00F327E2"/>
    <w:rsid w:val="00F34A38"/>
    <w:rsid w:val="00F375FF"/>
    <w:rsid w:val="00F50C2B"/>
    <w:rsid w:val="00F566E6"/>
    <w:rsid w:val="00F702DD"/>
    <w:rsid w:val="00F721A2"/>
    <w:rsid w:val="00F72B51"/>
    <w:rsid w:val="00F734B6"/>
    <w:rsid w:val="00F76C50"/>
    <w:rsid w:val="00F84427"/>
    <w:rsid w:val="00F85050"/>
    <w:rsid w:val="00F86303"/>
    <w:rsid w:val="00F90E67"/>
    <w:rsid w:val="00F95BD7"/>
    <w:rsid w:val="00FA1741"/>
    <w:rsid w:val="00FA2BEA"/>
    <w:rsid w:val="00FA53B2"/>
    <w:rsid w:val="00FA6242"/>
    <w:rsid w:val="00FA643C"/>
    <w:rsid w:val="00FA7894"/>
    <w:rsid w:val="00FC4DCA"/>
    <w:rsid w:val="00FC4DD1"/>
    <w:rsid w:val="00FD1DCC"/>
    <w:rsid w:val="00FD2E3D"/>
    <w:rsid w:val="00FE51AD"/>
    <w:rsid w:val="00FE5CAF"/>
    <w:rsid w:val="00FE6157"/>
    <w:rsid w:val="00FE74BE"/>
    <w:rsid w:val="00FF0B73"/>
    <w:rsid w:val="00FF17C7"/>
    <w:rsid w:val="00FF2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324476">
      <w:bodyDiv w:val="1"/>
      <w:marLeft w:val="0"/>
      <w:marRight w:val="0"/>
      <w:marTop w:val="0"/>
      <w:marBottom w:val="0"/>
      <w:divBdr>
        <w:top w:val="none" w:sz="0" w:space="0" w:color="auto"/>
        <w:left w:val="none" w:sz="0" w:space="0" w:color="auto"/>
        <w:bottom w:val="none" w:sz="0" w:space="0" w:color="auto"/>
        <w:right w:val="none" w:sz="0" w:space="0" w:color="auto"/>
      </w:divBdr>
    </w:div>
    <w:div w:id="793329562">
      <w:bodyDiv w:val="1"/>
      <w:marLeft w:val="0"/>
      <w:marRight w:val="0"/>
      <w:marTop w:val="0"/>
      <w:marBottom w:val="0"/>
      <w:divBdr>
        <w:top w:val="none" w:sz="0" w:space="0" w:color="auto"/>
        <w:left w:val="none" w:sz="0" w:space="0" w:color="auto"/>
        <w:bottom w:val="none" w:sz="0" w:space="0" w:color="auto"/>
        <w:right w:val="none" w:sz="0" w:space="0" w:color="auto"/>
      </w:divBdr>
    </w:div>
    <w:div w:id="982974604">
      <w:bodyDiv w:val="1"/>
      <w:marLeft w:val="0"/>
      <w:marRight w:val="0"/>
      <w:marTop w:val="0"/>
      <w:marBottom w:val="0"/>
      <w:divBdr>
        <w:top w:val="none" w:sz="0" w:space="0" w:color="auto"/>
        <w:left w:val="none" w:sz="0" w:space="0" w:color="auto"/>
        <w:bottom w:val="none" w:sz="0" w:space="0" w:color="auto"/>
        <w:right w:val="none" w:sz="0" w:space="0" w:color="auto"/>
      </w:divBdr>
    </w:div>
    <w:div w:id="1035234966">
      <w:bodyDiv w:val="1"/>
      <w:marLeft w:val="0"/>
      <w:marRight w:val="0"/>
      <w:marTop w:val="0"/>
      <w:marBottom w:val="0"/>
      <w:divBdr>
        <w:top w:val="none" w:sz="0" w:space="0" w:color="auto"/>
        <w:left w:val="none" w:sz="0" w:space="0" w:color="auto"/>
        <w:bottom w:val="none" w:sz="0" w:space="0" w:color="auto"/>
        <w:right w:val="none" w:sz="0" w:space="0" w:color="auto"/>
      </w:divBdr>
    </w:div>
    <w:div w:id="150104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4B080-0E1C-4B2A-97E1-542D20FB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983</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6579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JANDEBEUR</dc:creator>
  <cp:lastModifiedBy>shoffner</cp:lastModifiedBy>
  <cp:revision>2</cp:revision>
  <cp:lastPrinted>2015-12-03T18:52:00Z</cp:lastPrinted>
  <dcterms:created xsi:type="dcterms:W3CDTF">2015-12-16T19:22:00Z</dcterms:created>
  <dcterms:modified xsi:type="dcterms:W3CDTF">2015-12-16T19:22:00Z</dcterms:modified>
</cp:coreProperties>
</file>