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5E4195" w:rsidRDefault="00124E02" w:rsidP="00765ED9">
      <w:pPr>
        <w:pStyle w:val="TxBrc2"/>
        <w:widowControl/>
        <w:spacing w:line="240" w:lineRule="auto"/>
        <w:ind w:firstLine="0"/>
        <w:rPr>
          <w:b/>
          <w:szCs w:val="26"/>
        </w:rPr>
      </w:pPr>
      <w:r w:rsidRPr="005E4195">
        <w:rPr>
          <w:b/>
          <w:szCs w:val="26"/>
        </w:rPr>
        <w:t>PENNSYLVANIA</w:t>
      </w:r>
    </w:p>
    <w:p w:rsidR="007C4D87" w:rsidRPr="005E4195" w:rsidRDefault="007C4D87" w:rsidP="00765ED9">
      <w:pPr>
        <w:pStyle w:val="TxBrc2"/>
        <w:widowControl/>
        <w:spacing w:line="240" w:lineRule="auto"/>
        <w:ind w:firstLine="0"/>
        <w:rPr>
          <w:b/>
          <w:szCs w:val="26"/>
        </w:rPr>
      </w:pPr>
      <w:r w:rsidRPr="005E4195">
        <w:rPr>
          <w:b/>
          <w:szCs w:val="26"/>
        </w:rPr>
        <w:t>PUBLIC UTILITY COMMISSION</w:t>
      </w:r>
    </w:p>
    <w:p w:rsidR="007C4D87" w:rsidRPr="005E4195" w:rsidRDefault="00C26423" w:rsidP="00765ED9">
      <w:pPr>
        <w:pStyle w:val="TxBrc2"/>
        <w:widowControl/>
        <w:spacing w:line="240" w:lineRule="auto"/>
        <w:ind w:firstLine="0"/>
        <w:rPr>
          <w:b/>
          <w:szCs w:val="26"/>
        </w:rPr>
      </w:pPr>
      <w:r w:rsidRPr="005E4195">
        <w:rPr>
          <w:b/>
          <w:szCs w:val="26"/>
        </w:rPr>
        <w:t>Harrisburg, P</w:t>
      </w:r>
      <w:r w:rsidR="00817015" w:rsidRPr="005E4195">
        <w:rPr>
          <w:b/>
          <w:szCs w:val="26"/>
        </w:rPr>
        <w:t>A</w:t>
      </w:r>
      <w:r w:rsidR="00124E02" w:rsidRPr="005E4195">
        <w:rPr>
          <w:b/>
          <w:szCs w:val="26"/>
        </w:rPr>
        <w:t xml:space="preserve"> 17105</w:t>
      </w:r>
    </w:p>
    <w:p w:rsidR="007C4D87" w:rsidRPr="005E4195" w:rsidRDefault="007C4D87" w:rsidP="00765ED9">
      <w:pPr>
        <w:pStyle w:val="TxBrc2"/>
        <w:widowControl/>
        <w:spacing w:line="240" w:lineRule="auto"/>
        <w:ind w:firstLine="0"/>
        <w:jc w:val="left"/>
        <w:rPr>
          <w:szCs w:val="26"/>
        </w:rPr>
      </w:pPr>
    </w:p>
    <w:tbl>
      <w:tblPr>
        <w:tblW w:w="10068" w:type="dxa"/>
        <w:tblLook w:val="04A0" w:firstRow="1" w:lastRow="0" w:firstColumn="1" w:lastColumn="0" w:noHBand="0" w:noVBand="1"/>
      </w:tblPr>
      <w:tblGrid>
        <w:gridCol w:w="5238"/>
        <w:gridCol w:w="4830"/>
      </w:tblGrid>
      <w:tr w:rsidR="00C5595F" w:rsidRPr="006F3CE1" w:rsidTr="00C5595F">
        <w:trPr>
          <w:trHeight w:val="1341"/>
        </w:trPr>
        <w:tc>
          <w:tcPr>
            <w:tcW w:w="5238" w:type="dxa"/>
          </w:tcPr>
          <w:p w:rsidR="00C5595F" w:rsidRPr="006F3CE1" w:rsidRDefault="00C5595F" w:rsidP="008F3929">
            <w:pPr>
              <w:spacing w:after="200" w:line="276" w:lineRule="auto"/>
              <w:contextualSpacing/>
              <w:rPr>
                <w:szCs w:val="26"/>
              </w:rPr>
            </w:pPr>
          </w:p>
        </w:tc>
        <w:tc>
          <w:tcPr>
            <w:tcW w:w="4830" w:type="dxa"/>
          </w:tcPr>
          <w:p w:rsidR="00C5595F" w:rsidRPr="006F3CE1" w:rsidRDefault="007E39C0" w:rsidP="007E39C0">
            <w:pPr>
              <w:spacing w:after="200" w:line="276" w:lineRule="auto"/>
              <w:ind w:firstLine="0"/>
              <w:contextualSpacing/>
              <w:jc w:val="right"/>
              <w:rPr>
                <w:szCs w:val="26"/>
              </w:rPr>
            </w:pPr>
            <w:r>
              <w:rPr>
                <w:szCs w:val="26"/>
              </w:rPr>
              <w:t xml:space="preserve">     </w:t>
            </w:r>
            <w:r w:rsidR="00C5595F" w:rsidRPr="006F3CE1">
              <w:rPr>
                <w:szCs w:val="26"/>
              </w:rPr>
              <w:t xml:space="preserve">Public Meeting held </w:t>
            </w:r>
            <w:r w:rsidR="00C5595F">
              <w:rPr>
                <w:szCs w:val="26"/>
              </w:rPr>
              <w:t xml:space="preserve">December </w:t>
            </w:r>
            <w:r>
              <w:rPr>
                <w:szCs w:val="26"/>
              </w:rPr>
              <w:t>17</w:t>
            </w:r>
            <w:r w:rsidR="00C5595F" w:rsidRPr="006F3CE1">
              <w:rPr>
                <w:szCs w:val="26"/>
              </w:rPr>
              <w:t>, 2015</w:t>
            </w:r>
          </w:p>
        </w:tc>
      </w:tr>
      <w:tr w:rsidR="00C5595F" w:rsidRPr="006F3CE1" w:rsidTr="00C5595F">
        <w:trPr>
          <w:trHeight w:val="2562"/>
        </w:trPr>
        <w:tc>
          <w:tcPr>
            <w:tcW w:w="5238" w:type="dxa"/>
          </w:tcPr>
          <w:p w:rsidR="00C5595F" w:rsidRPr="005E4195" w:rsidRDefault="00C5595F" w:rsidP="00C5595F">
            <w:pPr>
              <w:spacing w:line="240" w:lineRule="auto"/>
              <w:ind w:firstLine="0"/>
              <w:rPr>
                <w:szCs w:val="26"/>
              </w:rPr>
            </w:pPr>
            <w:r w:rsidRPr="005E4195">
              <w:rPr>
                <w:szCs w:val="26"/>
              </w:rPr>
              <w:t>Commissioners Present:</w:t>
            </w:r>
          </w:p>
          <w:p w:rsidR="00C5595F" w:rsidRPr="005E4195" w:rsidRDefault="00C5595F" w:rsidP="00C5595F">
            <w:pPr>
              <w:spacing w:line="240" w:lineRule="auto"/>
              <w:ind w:firstLine="0"/>
              <w:rPr>
                <w:szCs w:val="26"/>
              </w:rPr>
            </w:pPr>
          </w:p>
          <w:p w:rsidR="00C5595F" w:rsidRPr="005E4195" w:rsidRDefault="00C5595F" w:rsidP="00C5595F">
            <w:pPr>
              <w:tabs>
                <w:tab w:val="left" w:pos="705"/>
              </w:tabs>
              <w:spacing w:line="240" w:lineRule="auto"/>
              <w:ind w:firstLine="706"/>
              <w:rPr>
                <w:szCs w:val="26"/>
              </w:rPr>
            </w:pPr>
            <w:r w:rsidRPr="005E4195">
              <w:rPr>
                <w:szCs w:val="26"/>
              </w:rPr>
              <w:t>Gladys M. Brown, Chairman</w:t>
            </w:r>
          </w:p>
          <w:p w:rsidR="00C5595F" w:rsidRPr="005E4195" w:rsidRDefault="00C5595F" w:rsidP="00C5595F">
            <w:pPr>
              <w:tabs>
                <w:tab w:val="left" w:pos="705"/>
              </w:tabs>
              <w:spacing w:line="240" w:lineRule="auto"/>
              <w:ind w:firstLine="706"/>
              <w:rPr>
                <w:szCs w:val="26"/>
              </w:rPr>
            </w:pPr>
            <w:r w:rsidRPr="005E4195">
              <w:rPr>
                <w:szCs w:val="26"/>
              </w:rPr>
              <w:t>John F. Coleman, Jr., Vice Chairman</w:t>
            </w:r>
          </w:p>
          <w:p w:rsidR="00C5595F" w:rsidRPr="005E4195" w:rsidRDefault="00C5595F" w:rsidP="00C5595F">
            <w:pPr>
              <w:tabs>
                <w:tab w:val="left" w:pos="705"/>
              </w:tabs>
              <w:spacing w:line="240" w:lineRule="auto"/>
              <w:ind w:firstLine="706"/>
              <w:rPr>
                <w:szCs w:val="26"/>
              </w:rPr>
            </w:pPr>
            <w:r w:rsidRPr="005E4195">
              <w:rPr>
                <w:szCs w:val="26"/>
              </w:rPr>
              <w:t>Pamela A. Witmer</w:t>
            </w:r>
          </w:p>
          <w:p w:rsidR="00C5595F" w:rsidRPr="005E4195" w:rsidRDefault="00C5595F" w:rsidP="00C5595F">
            <w:pPr>
              <w:spacing w:line="240" w:lineRule="auto"/>
              <w:ind w:firstLine="706"/>
              <w:rPr>
                <w:szCs w:val="26"/>
              </w:rPr>
            </w:pPr>
            <w:r w:rsidRPr="005E4195">
              <w:rPr>
                <w:szCs w:val="26"/>
              </w:rPr>
              <w:t>Robert F. Powelson</w:t>
            </w:r>
          </w:p>
          <w:p w:rsidR="00C5595F" w:rsidRPr="005E4195" w:rsidRDefault="00C5595F" w:rsidP="00C5595F">
            <w:pPr>
              <w:spacing w:line="240" w:lineRule="auto"/>
              <w:ind w:firstLine="706"/>
              <w:rPr>
                <w:szCs w:val="26"/>
              </w:rPr>
            </w:pPr>
            <w:r w:rsidRPr="005E4195">
              <w:rPr>
                <w:szCs w:val="26"/>
              </w:rPr>
              <w:t>Andrew G. Place</w:t>
            </w:r>
          </w:p>
          <w:p w:rsidR="00C5595F" w:rsidRPr="006F3CE1" w:rsidRDefault="00C5595F" w:rsidP="008F3929">
            <w:pPr>
              <w:ind w:firstLine="720"/>
              <w:contextualSpacing/>
              <w:rPr>
                <w:szCs w:val="26"/>
              </w:rPr>
            </w:pPr>
          </w:p>
        </w:tc>
        <w:tc>
          <w:tcPr>
            <w:tcW w:w="4830" w:type="dxa"/>
          </w:tcPr>
          <w:p w:rsidR="00C5595F" w:rsidRPr="006F3CE1" w:rsidRDefault="00C5595F" w:rsidP="008F3929">
            <w:pPr>
              <w:contextualSpacing/>
              <w:jc w:val="right"/>
              <w:rPr>
                <w:szCs w:val="26"/>
              </w:rPr>
            </w:pPr>
          </w:p>
          <w:p w:rsidR="00C5595F" w:rsidRPr="006F3CE1" w:rsidRDefault="00C5595F" w:rsidP="008F3929">
            <w:pPr>
              <w:contextualSpacing/>
              <w:jc w:val="right"/>
              <w:rPr>
                <w:szCs w:val="26"/>
              </w:rPr>
            </w:pPr>
          </w:p>
        </w:tc>
      </w:tr>
      <w:tr w:rsidR="00C5595F" w:rsidRPr="006F3CE1" w:rsidTr="00C5595F">
        <w:trPr>
          <w:trHeight w:val="1693"/>
        </w:trPr>
        <w:tc>
          <w:tcPr>
            <w:tcW w:w="5238" w:type="dxa"/>
          </w:tcPr>
          <w:p w:rsidR="00C5595F" w:rsidRPr="005E4195" w:rsidRDefault="00C5595F" w:rsidP="008F3929">
            <w:pPr>
              <w:pStyle w:val="TxBrc4"/>
              <w:widowControl/>
              <w:spacing w:line="240" w:lineRule="auto"/>
              <w:ind w:firstLine="0"/>
              <w:jc w:val="left"/>
              <w:rPr>
                <w:bCs/>
                <w:szCs w:val="26"/>
              </w:rPr>
            </w:pPr>
            <w:r w:rsidRPr="005E4195">
              <w:rPr>
                <w:bCs/>
                <w:szCs w:val="26"/>
              </w:rPr>
              <w:t>Frank R. Taylor</w:t>
            </w:r>
          </w:p>
          <w:p w:rsidR="00C5595F" w:rsidRPr="005E4195" w:rsidRDefault="00C5595F" w:rsidP="008F3929">
            <w:pPr>
              <w:pStyle w:val="TxBrc4"/>
              <w:widowControl/>
              <w:tabs>
                <w:tab w:val="left" w:pos="204"/>
              </w:tabs>
              <w:spacing w:line="240" w:lineRule="auto"/>
              <w:ind w:firstLine="0"/>
              <w:jc w:val="left"/>
              <w:rPr>
                <w:bCs/>
                <w:szCs w:val="26"/>
              </w:rPr>
            </w:pPr>
          </w:p>
          <w:p w:rsidR="00C5595F" w:rsidRPr="005E4195" w:rsidRDefault="00C5595F" w:rsidP="008F3929">
            <w:pPr>
              <w:pStyle w:val="TxBrc4"/>
              <w:widowControl/>
              <w:tabs>
                <w:tab w:val="left" w:pos="204"/>
                <w:tab w:val="left" w:pos="540"/>
              </w:tabs>
              <w:spacing w:line="240" w:lineRule="auto"/>
              <w:ind w:firstLine="0"/>
              <w:jc w:val="left"/>
              <w:rPr>
                <w:bCs/>
                <w:szCs w:val="26"/>
              </w:rPr>
            </w:pPr>
            <w:r w:rsidRPr="005E4195">
              <w:rPr>
                <w:bCs/>
                <w:szCs w:val="26"/>
              </w:rPr>
              <w:t xml:space="preserve">            v.</w:t>
            </w:r>
          </w:p>
          <w:p w:rsidR="00C5595F" w:rsidRPr="005E4195" w:rsidRDefault="00C5595F" w:rsidP="008F3929">
            <w:pPr>
              <w:pStyle w:val="TxBrc4"/>
              <w:widowControl/>
              <w:tabs>
                <w:tab w:val="left" w:pos="204"/>
              </w:tabs>
              <w:spacing w:line="240" w:lineRule="auto"/>
              <w:ind w:firstLine="0"/>
              <w:jc w:val="left"/>
              <w:rPr>
                <w:bCs/>
                <w:szCs w:val="26"/>
              </w:rPr>
            </w:pPr>
          </w:p>
          <w:p w:rsidR="00C5595F" w:rsidRPr="005E4195" w:rsidRDefault="00C5595F" w:rsidP="008F3929">
            <w:pPr>
              <w:pStyle w:val="TxBrc4"/>
              <w:widowControl/>
              <w:tabs>
                <w:tab w:val="left" w:pos="204"/>
              </w:tabs>
              <w:spacing w:line="240" w:lineRule="auto"/>
              <w:ind w:firstLine="0"/>
              <w:jc w:val="left"/>
              <w:rPr>
                <w:b/>
                <w:bCs/>
                <w:szCs w:val="26"/>
              </w:rPr>
            </w:pPr>
            <w:r w:rsidRPr="005E4195">
              <w:rPr>
                <w:bCs/>
                <w:szCs w:val="26"/>
              </w:rPr>
              <w:t>PECO Energy Company</w:t>
            </w:r>
          </w:p>
        </w:tc>
        <w:tc>
          <w:tcPr>
            <w:tcW w:w="4830" w:type="dxa"/>
            <w:hideMark/>
          </w:tcPr>
          <w:p w:rsidR="00C5595F" w:rsidRPr="005E4195" w:rsidRDefault="00C5595F" w:rsidP="008F3929">
            <w:pPr>
              <w:pStyle w:val="TxBrc4"/>
              <w:widowControl/>
              <w:tabs>
                <w:tab w:val="left" w:pos="204"/>
              </w:tabs>
              <w:spacing w:line="240" w:lineRule="auto"/>
              <w:ind w:firstLine="0"/>
              <w:jc w:val="right"/>
              <w:rPr>
                <w:bCs/>
                <w:szCs w:val="26"/>
              </w:rPr>
            </w:pPr>
            <w:r w:rsidRPr="005E4195">
              <w:rPr>
                <w:bCs/>
                <w:szCs w:val="26"/>
              </w:rPr>
              <w:t>F-2014-2460340</w:t>
            </w:r>
          </w:p>
        </w:tc>
      </w:tr>
      <w:tr w:rsidR="00C5595F" w:rsidRPr="006F3CE1" w:rsidTr="00C5595F">
        <w:trPr>
          <w:trHeight w:val="327"/>
        </w:trPr>
        <w:tc>
          <w:tcPr>
            <w:tcW w:w="5238" w:type="dxa"/>
          </w:tcPr>
          <w:p w:rsidR="00C5595F" w:rsidRPr="006F3CE1" w:rsidRDefault="00C5595F" w:rsidP="008F3929">
            <w:pPr>
              <w:spacing w:line="276" w:lineRule="auto"/>
              <w:contextualSpacing/>
              <w:rPr>
                <w:szCs w:val="26"/>
              </w:rPr>
            </w:pPr>
          </w:p>
        </w:tc>
        <w:tc>
          <w:tcPr>
            <w:tcW w:w="4830" w:type="dxa"/>
          </w:tcPr>
          <w:p w:rsidR="00C5595F" w:rsidRPr="006F3CE1" w:rsidRDefault="00C5595F" w:rsidP="008F3929">
            <w:pPr>
              <w:spacing w:line="276" w:lineRule="auto"/>
              <w:contextualSpacing/>
              <w:jc w:val="center"/>
              <w:rPr>
                <w:szCs w:val="26"/>
              </w:rPr>
            </w:pPr>
          </w:p>
        </w:tc>
      </w:tr>
    </w:tbl>
    <w:p w:rsidR="00CB048A" w:rsidRPr="005E4195" w:rsidRDefault="00CB048A" w:rsidP="00765ED9">
      <w:pPr>
        <w:pStyle w:val="TxBrc4"/>
        <w:widowControl/>
        <w:tabs>
          <w:tab w:val="left" w:pos="204"/>
        </w:tabs>
        <w:spacing w:line="240" w:lineRule="auto"/>
        <w:ind w:firstLine="0"/>
        <w:jc w:val="left"/>
        <w:rPr>
          <w:bCs/>
          <w:szCs w:val="26"/>
        </w:rPr>
      </w:pPr>
    </w:p>
    <w:p w:rsidR="00A070AB" w:rsidRPr="005E4195" w:rsidRDefault="00A070AB" w:rsidP="00765ED9">
      <w:pPr>
        <w:pStyle w:val="TxBrc4"/>
        <w:widowControl/>
        <w:tabs>
          <w:tab w:val="left" w:pos="204"/>
        </w:tabs>
        <w:spacing w:line="240" w:lineRule="auto"/>
        <w:ind w:firstLine="0"/>
        <w:jc w:val="left"/>
        <w:rPr>
          <w:bCs/>
          <w:szCs w:val="26"/>
        </w:rPr>
      </w:pPr>
    </w:p>
    <w:p w:rsidR="007C4D87" w:rsidRPr="005E4195" w:rsidRDefault="007C4D87" w:rsidP="00765ED9">
      <w:pPr>
        <w:pStyle w:val="TxBrc4"/>
        <w:widowControl/>
        <w:spacing w:line="240" w:lineRule="auto"/>
        <w:ind w:firstLine="0"/>
        <w:rPr>
          <w:b/>
          <w:bCs/>
          <w:szCs w:val="26"/>
          <w:u w:val="single" w:color="000000"/>
        </w:rPr>
      </w:pPr>
      <w:r w:rsidRPr="005E4195">
        <w:rPr>
          <w:b/>
          <w:bCs/>
          <w:szCs w:val="26"/>
        </w:rPr>
        <w:t>OPINION AND ORDER</w:t>
      </w:r>
      <w:r w:rsidRPr="005E4195">
        <w:rPr>
          <w:b/>
          <w:bCs/>
          <w:szCs w:val="26"/>
          <w:u w:val="single" w:color="000000"/>
        </w:rPr>
        <w:t xml:space="preserve"> </w:t>
      </w:r>
    </w:p>
    <w:p w:rsidR="007C4D87" w:rsidRPr="005E4195" w:rsidRDefault="007C4D87" w:rsidP="00765ED9">
      <w:pPr>
        <w:tabs>
          <w:tab w:val="left" w:pos="204"/>
        </w:tabs>
        <w:spacing w:line="240" w:lineRule="auto"/>
        <w:ind w:firstLine="0"/>
        <w:rPr>
          <w:bCs/>
          <w:szCs w:val="26"/>
        </w:rPr>
      </w:pPr>
    </w:p>
    <w:p w:rsidR="00A070AB" w:rsidRPr="005E4195" w:rsidRDefault="00A070AB" w:rsidP="00765ED9">
      <w:pPr>
        <w:tabs>
          <w:tab w:val="left" w:pos="204"/>
        </w:tabs>
        <w:spacing w:line="240" w:lineRule="auto"/>
        <w:ind w:firstLine="0"/>
        <w:rPr>
          <w:bCs/>
          <w:szCs w:val="26"/>
        </w:rPr>
      </w:pPr>
    </w:p>
    <w:p w:rsidR="00FB6E05" w:rsidRPr="005E4195" w:rsidRDefault="00FB6E05" w:rsidP="00765ED9">
      <w:pPr>
        <w:spacing w:line="240" w:lineRule="auto"/>
        <w:ind w:firstLine="0"/>
        <w:rPr>
          <w:szCs w:val="26"/>
        </w:rPr>
      </w:pPr>
    </w:p>
    <w:p w:rsidR="000F118B" w:rsidRPr="005E4195" w:rsidRDefault="000F118B" w:rsidP="00765ED9">
      <w:pPr>
        <w:spacing w:line="240" w:lineRule="auto"/>
        <w:ind w:firstLine="0"/>
        <w:rPr>
          <w:szCs w:val="26"/>
        </w:rPr>
      </w:pPr>
      <w:r w:rsidRPr="005E4195">
        <w:rPr>
          <w:b/>
          <w:szCs w:val="26"/>
        </w:rPr>
        <w:t>BY THE COMMISSION:</w:t>
      </w:r>
    </w:p>
    <w:p w:rsidR="000F118B" w:rsidRPr="005E4195" w:rsidRDefault="000F118B" w:rsidP="00765ED9">
      <w:pPr>
        <w:rPr>
          <w:szCs w:val="26"/>
        </w:rPr>
      </w:pPr>
    </w:p>
    <w:p w:rsidR="003C5AF0" w:rsidRPr="005E4195" w:rsidRDefault="003C5AF0" w:rsidP="00765ED9">
      <w:pPr>
        <w:rPr>
          <w:szCs w:val="26"/>
        </w:rPr>
      </w:pPr>
      <w:r w:rsidRPr="005E4195">
        <w:rPr>
          <w:szCs w:val="26"/>
        </w:rPr>
        <w:t xml:space="preserve">Before the Pennsylvania Public Utility Commission (Commission) for consideration and disposition </w:t>
      </w:r>
      <w:r w:rsidR="00F74F12" w:rsidRPr="005E4195">
        <w:rPr>
          <w:szCs w:val="26"/>
        </w:rPr>
        <w:t xml:space="preserve">are the Exceptions of </w:t>
      </w:r>
      <w:r w:rsidR="00FB73B2" w:rsidRPr="005E4195">
        <w:rPr>
          <w:bCs/>
          <w:szCs w:val="26"/>
        </w:rPr>
        <w:t>PECO Energy Company</w:t>
      </w:r>
      <w:r w:rsidR="0099270F" w:rsidRPr="005E4195">
        <w:rPr>
          <w:szCs w:val="26"/>
        </w:rPr>
        <w:t xml:space="preserve"> (</w:t>
      </w:r>
      <w:r w:rsidR="006176E8">
        <w:rPr>
          <w:szCs w:val="26"/>
        </w:rPr>
        <w:t xml:space="preserve">PECO or </w:t>
      </w:r>
      <w:r w:rsidR="0099270F" w:rsidRPr="005E4195">
        <w:rPr>
          <w:szCs w:val="26"/>
        </w:rPr>
        <w:t>Compa</w:t>
      </w:r>
      <w:r w:rsidR="00FB73B2" w:rsidRPr="005E4195">
        <w:rPr>
          <w:szCs w:val="26"/>
        </w:rPr>
        <w:t>ny</w:t>
      </w:r>
      <w:r w:rsidR="0099270F" w:rsidRPr="005E4195">
        <w:rPr>
          <w:szCs w:val="26"/>
        </w:rPr>
        <w:t>)</w:t>
      </w:r>
      <w:r w:rsidR="00F14EA4" w:rsidRPr="005E4195">
        <w:rPr>
          <w:szCs w:val="26"/>
        </w:rPr>
        <w:t xml:space="preserve"> filed</w:t>
      </w:r>
      <w:r w:rsidR="0019304B" w:rsidRPr="005E4195">
        <w:rPr>
          <w:szCs w:val="26"/>
        </w:rPr>
        <w:t xml:space="preserve"> on </w:t>
      </w:r>
      <w:r w:rsidR="00026DB8" w:rsidRPr="005E4195">
        <w:rPr>
          <w:szCs w:val="26"/>
        </w:rPr>
        <w:t>August</w:t>
      </w:r>
      <w:r w:rsidR="00817015" w:rsidRPr="005E4195">
        <w:rPr>
          <w:szCs w:val="26"/>
        </w:rPr>
        <w:t xml:space="preserve"> </w:t>
      </w:r>
      <w:r w:rsidR="00026DB8" w:rsidRPr="005E4195">
        <w:rPr>
          <w:szCs w:val="26"/>
        </w:rPr>
        <w:t>17</w:t>
      </w:r>
      <w:r w:rsidR="0019304B" w:rsidRPr="005E4195">
        <w:rPr>
          <w:szCs w:val="26"/>
        </w:rPr>
        <w:t>, 201</w:t>
      </w:r>
      <w:r w:rsidR="00FB73B2" w:rsidRPr="005E4195">
        <w:rPr>
          <w:szCs w:val="26"/>
        </w:rPr>
        <w:t>5</w:t>
      </w:r>
      <w:r w:rsidR="0019304B" w:rsidRPr="005E4195">
        <w:rPr>
          <w:szCs w:val="26"/>
        </w:rPr>
        <w:t>,</w:t>
      </w:r>
      <w:r w:rsidR="0099270F" w:rsidRPr="005E4195">
        <w:rPr>
          <w:szCs w:val="26"/>
        </w:rPr>
        <w:t xml:space="preserve"> </w:t>
      </w:r>
      <w:r w:rsidR="006176E8">
        <w:rPr>
          <w:szCs w:val="26"/>
        </w:rPr>
        <w:t xml:space="preserve">to </w:t>
      </w:r>
      <w:r w:rsidR="00855F32" w:rsidRPr="005E4195">
        <w:rPr>
          <w:color w:val="000000"/>
          <w:szCs w:val="26"/>
        </w:rPr>
        <w:t xml:space="preserve">the </w:t>
      </w:r>
      <w:r w:rsidR="00855F32" w:rsidRPr="005E4195">
        <w:rPr>
          <w:szCs w:val="26"/>
        </w:rPr>
        <w:t xml:space="preserve">Initial Decision (I.D.) of Administrative Law Judge (ALJ) Conrad A. Johnson, issued on </w:t>
      </w:r>
      <w:r w:rsidR="006176E8">
        <w:rPr>
          <w:szCs w:val="26"/>
        </w:rPr>
        <w:t>August 12</w:t>
      </w:r>
      <w:r w:rsidR="00855F32" w:rsidRPr="005E4195">
        <w:rPr>
          <w:szCs w:val="26"/>
        </w:rPr>
        <w:t xml:space="preserve">, 2015.  </w:t>
      </w:r>
      <w:r w:rsidR="00FB73B2" w:rsidRPr="005E4195">
        <w:rPr>
          <w:szCs w:val="26"/>
        </w:rPr>
        <w:t xml:space="preserve">No </w:t>
      </w:r>
      <w:r w:rsidR="0012663E" w:rsidRPr="005E4195">
        <w:rPr>
          <w:szCs w:val="26"/>
        </w:rPr>
        <w:t>Repl</w:t>
      </w:r>
      <w:r w:rsidR="00C43087" w:rsidRPr="005E4195">
        <w:rPr>
          <w:szCs w:val="26"/>
        </w:rPr>
        <w:t>ies to</w:t>
      </w:r>
      <w:r w:rsidR="0012663E" w:rsidRPr="005E4195">
        <w:rPr>
          <w:szCs w:val="26"/>
        </w:rPr>
        <w:t xml:space="preserve"> Exceptions were filed</w:t>
      </w:r>
      <w:r w:rsidR="00FB73B2" w:rsidRPr="005E4195">
        <w:rPr>
          <w:szCs w:val="26"/>
        </w:rPr>
        <w:t>.</w:t>
      </w:r>
      <w:r w:rsidR="0019304B" w:rsidRPr="005E4195">
        <w:rPr>
          <w:szCs w:val="26"/>
        </w:rPr>
        <w:t xml:space="preserve">  For the reasons stated below we shall </w:t>
      </w:r>
      <w:r w:rsidR="007B323A" w:rsidRPr="005E4195">
        <w:rPr>
          <w:szCs w:val="26"/>
        </w:rPr>
        <w:t>g</w:t>
      </w:r>
      <w:r w:rsidR="00FB73B2" w:rsidRPr="005E4195">
        <w:rPr>
          <w:szCs w:val="26"/>
        </w:rPr>
        <w:t>rant</w:t>
      </w:r>
      <w:r w:rsidR="007B323A" w:rsidRPr="005E4195">
        <w:rPr>
          <w:szCs w:val="26"/>
        </w:rPr>
        <w:t xml:space="preserve"> </w:t>
      </w:r>
      <w:r w:rsidR="0019304B" w:rsidRPr="005E4195">
        <w:rPr>
          <w:szCs w:val="26"/>
        </w:rPr>
        <w:t xml:space="preserve">the </w:t>
      </w:r>
      <w:r w:rsidR="00FB73B2" w:rsidRPr="005E4195">
        <w:rPr>
          <w:szCs w:val="26"/>
        </w:rPr>
        <w:t xml:space="preserve">Company’s </w:t>
      </w:r>
      <w:r w:rsidR="0019304B" w:rsidRPr="005E4195">
        <w:rPr>
          <w:szCs w:val="26"/>
        </w:rPr>
        <w:t>Exceptions</w:t>
      </w:r>
      <w:r w:rsidR="00F0342D" w:rsidRPr="005E4195">
        <w:rPr>
          <w:szCs w:val="26"/>
        </w:rPr>
        <w:t xml:space="preserve"> and modify the ALJ’s Initial Decision</w:t>
      </w:r>
      <w:r w:rsidR="0019304B" w:rsidRPr="005E4195">
        <w:rPr>
          <w:szCs w:val="26"/>
        </w:rPr>
        <w:t>.</w:t>
      </w:r>
      <w:r w:rsidR="0012663E" w:rsidRPr="005E4195">
        <w:rPr>
          <w:szCs w:val="26"/>
        </w:rPr>
        <w:t xml:space="preserve"> </w:t>
      </w:r>
    </w:p>
    <w:p w:rsidR="00CC0B14" w:rsidRPr="005E4195" w:rsidRDefault="00897524" w:rsidP="00765ED9">
      <w:pPr>
        <w:keepNext/>
        <w:ind w:firstLine="0"/>
        <w:jc w:val="center"/>
        <w:rPr>
          <w:b/>
          <w:szCs w:val="26"/>
        </w:rPr>
      </w:pPr>
      <w:r w:rsidRPr="005E4195">
        <w:rPr>
          <w:b/>
          <w:szCs w:val="26"/>
        </w:rPr>
        <w:lastRenderedPageBreak/>
        <w:t>History of the Proceeding</w:t>
      </w:r>
    </w:p>
    <w:p w:rsidR="00BC3A44" w:rsidRPr="005E4195" w:rsidRDefault="00BC3A44" w:rsidP="00765ED9">
      <w:pPr>
        <w:keepNext/>
        <w:ind w:firstLine="90"/>
        <w:rPr>
          <w:szCs w:val="26"/>
        </w:rPr>
      </w:pPr>
    </w:p>
    <w:p w:rsidR="0016019C" w:rsidRPr="005E4195" w:rsidRDefault="00FF5833" w:rsidP="00765ED9">
      <w:pPr>
        <w:tabs>
          <w:tab w:val="left" w:pos="-720"/>
        </w:tabs>
        <w:suppressAutoHyphens/>
        <w:rPr>
          <w:szCs w:val="26"/>
        </w:rPr>
      </w:pPr>
      <w:r w:rsidRPr="005E4195">
        <w:rPr>
          <w:szCs w:val="26"/>
        </w:rPr>
        <w:t xml:space="preserve">On </w:t>
      </w:r>
      <w:r w:rsidR="00FB73B2" w:rsidRPr="005E4195">
        <w:rPr>
          <w:szCs w:val="26"/>
        </w:rPr>
        <w:t>December</w:t>
      </w:r>
      <w:r w:rsidRPr="005E4195">
        <w:rPr>
          <w:szCs w:val="26"/>
        </w:rPr>
        <w:t xml:space="preserve"> 1</w:t>
      </w:r>
      <w:r w:rsidR="00FB73B2" w:rsidRPr="005E4195">
        <w:rPr>
          <w:szCs w:val="26"/>
        </w:rPr>
        <w:t>2</w:t>
      </w:r>
      <w:r w:rsidRPr="005E4195">
        <w:rPr>
          <w:szCs w:val="26"/>
        </w:rPr>
        <w:t>, 201</w:t>
      </w:r>
      <w:r w:rsidR="00FB73B2" w:rsidRPr="005E4195">
        <w:rPr>
          <w:szCs w:val="26"/>
        </w:rPr>
        <w:t>4</w:t>
      </w:r>
      <w:r w:rsidRPr="005E4195">
        <w:rPr>
          <w:szCs w:val="26"/>
        </w:rPr>
        <w:t xml:space="preserve">, </w:t>
      </w:r>
      <w:r w:rsidR="00741915" w:rsidRPr="005E4195">
        <w:rPr>
          <w:szCs w:val="26"/>
        </w:rPr>
        <w:t xml:space="preserve">Frank R. Taylor (Complainant) </w:t>
      </w:r>
      <w:r w:rsidRPr="005E4195">
        <w:rPr>
          <w:szCs w:val="26"/>
        </w:rPr>
        <w:t xml:space="preserve">filed a </w:t>
      </w:r>
      <w:r w:rsidR="00FE3A34" w:rsidRPr="005E4195">
        <w:rPr>
          <w:szCs w:val="26"/>
        </w:rPr>
        <w:t>F</w:t>
      </w:r>
      <w:r w:rsidRPr="005E4195">
        <w:rPr>
          <w:szCs w:val="26"/>
        </w:rPr>
        <w:t>ormal Complaint (Complaint)</w:t>
      </w:r>
      <w:r w:rsidR="00A344CF" w:rsidRPr="005E4195">
        <w:rPr>
          <w:szCs w:val="26"/>
        </w:rPr>
        <w:t xml:space="preserve"> </w:t>
      </w:r>
      <w:r w:rsidR="0067709B" w:rsidRPr="005E4195">
        <w:rPr>
          <w:szCs w:val="26"/>
        </w:rPr>
        <w:t>with the Commission</w:t>
      </w:r>
      <w:r w:rsidRPr="005E4195">
        <w:rPr>
          <w:szCs w:val="26"/>
        </w:rPr>
        <w:t xml:space="preserve"> against PECO</w:t>
      </w:r>
      <w:r w:rsidR="0067709B" w:rsidRPr="005E4195">
        <w:rPr>
          <w:szCs w:val="26"/>
        </w:rPr>
        <w:t xml:space="preserve">, </w:t>
      </w:r>
      <w:r w:rsidR="00F0342D" w:rsidRPr="005E4195">
        <w:rPr>
          <w:szCs w:val="26"/>
        </w:rPr>
        <w:t>requesting a</w:t>
      </w:r>
      <w:r w:rsidR="0016019C" w:rsidRPr="005E4195">
        <w:rPr>
          <w:szCs w:val="26"/>
        </w:rPr>
        <w:t xml:space="preserve"> </w:t>
      </w:r>
      <w:r w:rsidR="00EB0700" w:rsidRPr="005E4195">
        <w:rPr>
          <w:szCs w:val="26"/>
        </w:rPr>
        <w:t xml:space="preserve">Commission-issued </w:t>
      </w:r>
      <w:r w:rsidR="0016019C" w:rsidRPr="005E4195">
        <w:rPr>
          <w:szCs w:val="26"/>
        </w:rPr>
        <w:t>payment arrangement</w:t>
      </w:r>
      <w:r w:rsidR="00F0342D" w:rsidRPr="005E4195">
        <w:rPr>
          <w:szCs w:val="26"/>
        </w:rPr>
        <w:t xml:space="preserve">. </w:t>
      </w:r>
      <w:r w:rsidR="00FE3A34" w:rsidRPr="005E4195">
        <w:rPr>
          <w:szCs w:val="26"/>
        </w:rPr>
        <w:t xml:space="preserve"> </w:t>
      </w:r>
    </w:p>
    <w:p w:rsidR="003C4F87" w:rsidRPr="005E4195" w:rsidRDefault="003C4F87" w:rsidP="00765ED9">
      <w:pPr>
        <w:tabs>
          <w:tab w:val="left" w:pos="-720"/>
        </w:tabs>
        <w:suppressAutoHyphens/>
        <w:rPr>
          <w:szCs w:val="26"/>
        </w:rPr>
      </w:pPr>
    </w:p>
    <w:p w:rsidR="00EA3129" w:rsidRPr="005E4195" w:rsidRDefault="0016019C" w:rsidP="00765ED9">
      <w:pPr>
        <w:tabs>
          <w:tab w:val="left" w:pos="-720"/>
        </w:tabs>
        <w:suppressAutoHyphens/>
        <w:rPr>
          <w:szCs w:val="26"/>
        </w:rPr>
      </w:pPr>
      <w:r w:rsidRPr="005E4195">
        <w:rPr>
          <w:szCs w:val="26"/>
        </w:rPr>
        <w:t>PECO</w:t>
      </w:r>
      <w:r w:rsidR="000F3A24" w:rsidRPr="005E4195">
        <w:rPr>
          <w:szCs w:val="26"/>
        </w:rPr>
        <w:t xml:space="preserve"> filed an Answer on January </w:t>
      </w:r>
      <w:r w:rsidR="00026DB8" w:rsidRPr="005E4195">
        <w:rPr>
          <w:szCs w:val="26"/>
        </w:rPr>
        <w:t>9</w:t>
      </w:r>
      <w:r w:rsidR="000F3A24" w:rsidRPr="005E4195">
        <w:rPr>
          <w:szCs w:val="26"/>
        </w:rPr>
        <w:t>, 201</w:t>
      </w:r>
      <w:r w:rsidR="00026DB8" w:rsidRPr="005E4195">
        <w:rPr>
          <w:szCs w:val="26"/>
        </w:rPr>
        <w:t>5</w:t>
      </w:r>
      <w:r w:rsidR="000F3A24" w:rsidRPr="005E4195">
        <w:rPr>
          <w:szCs w:val="26"/>
        </w:rPr>
        <w:t xml:space="preserve">, in which </w:t>
      </w:r>
      <w:r w:rsidR="00B15477" w:rsidRPr="005E4195">
        <w:rPr>
          <w:szCs w:val="26"/>
        </w:rPr>
        <w:t xml:space="preserve">it averred that the Complainant </w:t>
      </w:r>
      <w:r w:rsidR="007C05B6" w:rsidRPr="005E4195">
        <w:rPr>
          <w:szCs w:val="26"/>
        </w:rPr>
        <w:t xml:space="preserve">previously </w:t>
      </w:r>
      <w:r w:rsidR="00A05881">
        <w:rPr>
          <w:szCs w:val="26"/>
        </w:rPr>
        <w:t xml:space="preserve">had </w:t>
      </w:r>
      <w:r w:rsidR="00B15477" w:rsidRPr="005E4195">
        <w:rPr>
          <w:szCs w:val="26"/>
        </w:rPr>
        <w:t>defaulted on two Company-issued agreements but had no recent Commission</w:t>
      </w:r>
      <w:r w:rsidR="00A05881">
        <w:rPr>
          <w:szCs w:val="26"/>
        </w:rPr>
        <w:t>-</w:t>
      </w:r>
      <w:r w:rsidR="00B15477" w:rsidRPr="005E4195">
        <w:rPr>
          <w:szCs w:val="26"/>
        </w:rPr>
        <w:t>issued agreement.  PECO</w:t>
      </w:r>
      <w:r w:rsidR="00ED5DB3" w:rsidRPr="005E4195">
        <w:rPr>
          <w:szCs w:val="26"/>
        </w:rPr>
        <w:t xml:space="preserve"> </w:t>
      </w:r>
      <w:r w:rsidR="00B15477" w:rsidRPr="005E4195">
        <w:rPr>
          <w:szCs w:val="26"/>
        </w:rPr>
        <w:t>agree</w:t>
      </w:r>
      <w:r w:rsidR="00A05881">
        <w:rPr>
          <w:szCs w:val="26"/>
        </w:rPr>
        <w:t>d</w:t>
      </w:r>
      <w:r w:rsidR="00B15477" w:rsidRPr="005E4195">
        <w:rPr>
          <w:szCs w:val="26"/>
        </w:rPr>
        <w:t xml:space="preserve"> to granting </w:t>
      </w:r>
      <w:r w:rsidR="00EB0700" w:rsidRPr="005E4195">
        <w:rPr>
          <w:szCs w:val="26"/>
        </w:rPr>
        <w:t xml:space="preserve">the Complainant’s request for </w:t>
      </w:r>
      <w:r w:rsidR="00855F32" w:rsidRPr="005E4195">
        <w:rPr>
          <w:szCs w:val="26"/>
        </w:rPr>
        <w:t>a Commission</w:t>
      </w:r>
      <w:r w:rsidR="00A05881">
        <w:rPr>
          <w:szCs w:val="26"/>
        </w:rPr>
        <w:t>-</w:t>
      </w:r>
      <w:r w:rsidR="00855F32" w:rsidRPr="005E4195">
        <w:rPr>
          <w:szCs w:val="26"/>
        </w:rPr>
        <w:t>issued payment a</w:t>
      </w:r>
      <w:r w:rsidR="00523A97">
        <w:rPr>
          <w:szCs w:val="26"/>
        </w:rPr>
        <w:t>r</w:t>
      </w:r>
      <w:r w:rsidR="00855F32" w:rsidRPr="005E4195">
        <w:rPr>
          <w:szCs w:val="26"/>
        </w:rPr>
        <w:t>r</w:t>
      </w:r>
      <w:r w:rsidR="00523A97">
        <w:rPr>
          <w:szCs w:val="26"/>
        </w:rPr>
        <w:t>ange</w:t>
      </w:r>
      <w:r w:rsidR="00855F32" w:rsidRPr="005E4195">
        <w:rPr>
          <w:szCs w:val="26"/>
        </w:rPr>
        <w:t xml:space="preserve">ment.  </w:t>
      </w:r>
    </w:p>
    <w:p w:rsidR="00855F32" w:rsidRPr="005E4195" w:rsidRDefault="00855F32" w:rsidP="00765ED9">
      <w:pPr>
        <w:tabs>
          <w:tab w:val="left" w:pos="-720"/>
        </w:tabs>
        <w:suppressAutoHyphens/>
        <w:rPr>
          <w:szCs w:val="26"/>
        </w:rPr>
      </w:pPr>
    </w:p>
    <w:p w:rsidR="00D06A6D" w:rsidRPr="005E4195" w:rsidRDefault="006644DA" w:rsidP="007B1F53">
      <w:pPr>
        <w:tabs>
          <w:tab w:val="left" w:pos="-720"/>
        </w:tabs>
        <w:suppressAutoHyphens/>
        <w:rPr>
          <w:szCs w:val="26"/>
        </w:rPr>
      </w:pPr>
      <w:r w:rsidRPr="005E4195">
        <w:rPr>
          <w:szCs w:val="26"/>
        </w:rPr>
        <w:t>A</w:t>
      </w:r>
      <w:r w:rsidR="003B286B" w:rsidRPr="005E4195">
        <w:rPr>
          <w:szCs w:val="26"/>
        </w:rPr>
        <w:t xml:space="preserve"> telephon</w:t>
      </w:r>
      <w:r w:rsidRPr="005E4195">
        <w:rPr>
          <w:szCs w:val="26"/>
        </w:rPr>
        <w:t>ic</w:t>
      </w:r>
      <w:r w:rsidR="003B286B" w:rsidRPr="005E4195">
        <w:rPr>
          <w:szCs w:val="26"/>
        </w:rPr>
        <w:t xml:space="preserve"> hearing </w:t>
      </w:r>
      <w:r w:rsidRPr="005E4195">
        <w:rPr>
          <w:szCs w:val="26"/>
        </w:rPr>
        <w:t>was conducted by ALJ</w:t>
      </w:r>
      <w:r w:rsidR="007C05B6" w:rsidRPr="005E4195">
        <w:rPr>
          <w:szCs w:val="26"/>
        </w:rPr>
        <w:t xml:space="preserve"> Johnson</w:t>
      </w:r>
      <w:r w:rsidRPr="005E4195">
        <w:rPr>
          <w:szCs w:val="26"/>
        </w:rPr>
        <w:t xml:space="preserve"> </w:t>
      </w:r>
      <w:r w:rsidR="003B286B" w:rsidRPr="005E4195">
        <w:rPr>
          <w:szCs w:val="26"/>
        </w:rPr>
        <w:t>on June 9, 2015</w:t>
      </w:r>
      <w:r w:rsidR="00523A97">
        <w:rPr>
          <w:szCs w:val="26"/>
        </w:rPr>
        <w:t>.</w:t>
      </w:r>
      <w:r w:rsidR="003B286B" w:rsidRPr="005E4195">
        <w:rPr>
          <w:szCs w:val="26"/>
        </w:rPr>
        <w:t xml:space="preserve">  </w:t>
      </w:r>
      <w:r w:rsidR="00523A97">
        <w:rPr>
          <w:szCs w:val="26"/>
        </w:rPr>
        <w:t>T</w:t>
      </w:r>
      <w:r w:rsidR="00794BBF" w:rsidRPr="005E4195">
        <w:rPr>
          <w:spacing w:val="-3"/>
          <w:szCs w:val="26"/>
        </w:rPr>
        <w:t xml:space="preserve">he </w:t>
      </w:r>
      <w:r w:rsidR="002A1A8E" w:rsidRPr="005E4195">
        <w:rPr>
          <w:spacing w:val="-3"/>
          <w:szCs w:val="26"/>
        </w:rPr>
        <w:t xml:space="preserve">Complainant appeared </w:t>
      </w:r>
      <w:r w:rsidR="00794BBF" w:rsidRPr="005E4195">
        <w:rPr>
          <w:i/>
          <w:spacing w:val="-3"/>
          <w:szCs w:val="26"/>
        </w:rPr>
        <w:t>pro se</w:t>
      </w:r>
      <w:r w:rsidR="003B286B" w:rsidRPr="005E4195">
        <w:rPr>
          <w:i/>
          <w:spacing w:val="-3"/>
          <w:szCs w:val="26"/>
        </w:rPr>
        <w:t xml:space="preserve"> </w:t>
      </w:r>
      <w:r w:rsidR="003B286B" w:rsidRPr="005E4195">
        <w:rPr>
          <w:spacing w:val="-3"/>
          <w:szCs w:val="26"/>
        </w:rPr>
        <w:t xml:space="preserve">and </w:t>
      </w:r>
      <w:r w:rsidRPr="005E4195">
        <w:rPr>
          <w:spacing w:val="-3"/>
          <w:szCs w:val="26"/>
        </w:rPr>
        <w:t xml:space="preserve">testified on his behalf.  </w:t>
      </w:r>
      <w:r w:rsidR="00794BBF" w:rsidRPr="005E4195">
        <w:rPr>
          <w:spacing w:val="-3"/>
          <w:szCs w:val="26"/>
        </w:rPr>
        <w:t>PECO was represented by counsel and presented the testimony of one witness</w:t>
      </w:r>
      <w:r w:rsidRPr="005E4195">
        <w:rPr>
          <w:spacing w:val="-3"/>
          <w:szCs w:val="26"/>
        </w:rPr>
        <w:t xml:space="preserve"> and introduced five exhibits, which were entered into evidence</w:t>
      </w:r>
      <w:r w:rsidR="00794BBF" w:rsidRPr="005E4195">
        <w:rPr>
          <w:spacing w:val="-3"/>
          <w:szCs w:val="26"/>
        </w:rPr>
        <w:t>.</w:t>
      </w:r>
      <w:r w:rsidR="00EC497B" w:rsidRPr="005E4195">
        <w:rPr>
          <w:szCs w:val="26"/>
        </w:rPr>
        <w:t xml:space="preserve">  </w:t>
      </w:r>
      <w:r w:rsidR="00523A97">
        <w:rPr>
          <w:szCs w:val="26"/>
        </w:rPr>
        <w:t>The hearing resulted in a forty-seven-page transcript.</w:t>
      </w:r>
      <w:r w:rsidR="00D06A6D">
        <w:rPr>
          <w:szCs w:val="26"/>
        </w:rPr>
        <w:t xml:space="preserve">  </w:t>
      </w:r>
      <w:r w:rsidR="00D06A6D" w:rsidRPr="005E4195">
        <w:rPr>
          <w:szCs w:val="26"/>
        </w:rPr>
        <w:t xml:space="preserve">The record closed on July 7, 2015.  </w:t>
      </w:r>
    </w:p>
    <w:p w:rsidR="00523A97" w:rsidRDefault="00D06A6D" w:rsidP="00765ED9">
      <w:pPr>
        <w:tabs>
          <w:tab w:val="left" w:pos="-720"/>
        </w:tabs>
        <w:suppressAutoHyphens/>
        <w:rPr>
          <w:szCs w:val="26"/>
        </w:rPr>
      </w:pPr>
      <w:r>
        <w:rPr>
          <w:szCs w:val="26"/>
        </w:rPr>
        <w:t xml:space="preserve"> </w:t>
      </w:r>
      <w:r w:rsidR="00523A97">
        <w:rPr>
          <w:szCs w:val="26"/>
        </w:rPr>
        <w:t xml:space="preserve">  </w:t>
      </w:r>
    </w:p>
    <w:p w:rsidR="00D06A6D" w:rsidRDefault="00010B8F" w:rsidP="00395791">
      <w:pPr>
        <w:tabs>
          <w:tab w:val="left" w:pos="-720"/>
        </w:tabs>
        <w:suppressAutoHyphens/>
        <w:rPr>
          <w:szCs w:val="26"/>
        </w:rPr>
      </w:pPr>
      <w:r w:rsidRPr="005E4195">
        <w:rPr>
          <w:szCs w:val="26"/>
        </w:rPr>
        <w:t>At the hearing</w:t>
      </w:r>
      <w:r w:rsidR="005E4195" w:rsidRPr="005E4195">
        <w:rPr>
          <w:szCs w:val="26"/>
        </w:rPr>
        <w:t>,</w:t>
      </w:r>
      <w:r w:rsidRPr="005E4195">
        <w:rPr>
          <w:szCs w:val="26"/>
        </w:rPr>
        <w:t xml:space="preserve"> the </w:t>
      </w:r>
      <w:r w:rsidR="002A5802" w:rsidRPr="005E4195">
        <w:rPr>
          <w:szCs w:val="26"/>
        </w:rPr>
        <w:t xml:space="preserve">Complainant and PECO </w:t>
      </w:r>
      <w:r w:rsidR="00F02619">
        <w:rPr>
          <w:szCs w:val="26"/>
        </w:rPr>
        <w:t>agreed t</w:t>
      </w:r>
      <w:r w:rsidR="002A5802" w:rsidRPr="005E4195">
        <w:rPr>
          <w:szCs w:val="26"/>
        </w:rPr>
        <w:t>o a</w:t>
      </w:r>
      <w:r w:rsidR="00D5711D" w:rsidRPr="005E4195">
        <w:rPr>
          <w:szCs w:val="26"/>
        </w:rPr>
        <w:t xml:space="preserve"> mutually acceptable </w:t>
      </w:r>
      <w:r w:rsidR="002A5802" w:rsidRPr="005E4195">
        <w:rPr>
          <w:szCs w:val="26"/>
        </w:rPr>
        <w:t>payment a</w:t>
      </w:r>
      <w:r w:rsidR="00523A97">
        <w:rPr>
          <w:szCs w:val="26"/>
        </w:rPr>
        <w:t>r</w:t>
      </w:r>
      <w:r w:rsidR="002A5802" w:rsidRPr="005E4195">
        <w:rPr>
          <w:szCs w:val="26"/>
        </w:rPr>
        <w:t>r</w:t>
      </w:r>
      <w:r w:rsidR="00523A97">
        <w:rPr>
          <w:szCs w:val="26"/>
        </w:rPr>
        <w:t>ange</w:t>
      </w:r>
      <w:r w:rsidR="002A5802" w:rsidRPr="005E4195">
        <w:rPr>
          <w:szCs w:val="26"/>
        </w:rPr>
        <w:t xml:space="preserve">ment </w:t>
      </w:r>
      <w:r w:rsidR="00EB0700" w:rsidRPr="005E4195">
        <w:rPr>
          <w:szCs w:val="26"/>
        </w:rPr>
        <w:t xml:space="preserve">that allows the Complainant to pay back arrears in his account </w:t>
      </w:r>
      <w:r w:rsidR="00F02619">
        <w:rPr>
          <w:szCs w:val="26"/>
        </w:rPr>
        <w:t>over a six-month period</w:t>
      </w:r>
      <w:r w:rsidR="00EB0700" w:rsidRPr="005E4195">
        <w:rPr>
          <w:szCs w:val="26"/>
        </w:rPr>
        <w:t>.  The Parties</w:t>
      </w:r>
      <w:r w:rsidR="00B15477" w:rsidRPr="005E4195">
        <w:rPr>
          <w:szCs w:val="26"/>
        </w:rPr>
        <w:t xml:space="preserve"> </w:t>
      </w:r>
      <w:r w:rsidR="00F02619">
        <w:rPr>
          <w:szCs w:val="26"/>
        </w:rPr>
        <w:t>s</w:t>
      </w:r>
      <w:r w:rsidR="00EB0700" w:rsidRPr="005E4195">
        <w:rPr>
          <w:szCs w:val="26"/>
        </w:rPr>
        <w:t>t</w:t>
      </w:r>
      <w:r w:rsidR="002A5802" w:rsidRPr="005E4195">
        <w:rPr>
          <w:szCs w:val="26"/>
        </w:rPr>
        <w:t xml:space="preserve">ipulated </w:t>
      </w:r>
      <w:r w:rsidR="004A6DB9" w:rsidRPr="005E4195">
        <w:rPr>
          <w:szCs w:val="26"/>
        </w:rPr>
        <w:t xml:space="preserve">to </w:t>
      </w:r>
      <w:r w:rsidR="002A5802" w:rsidRPr="005E4195">
        <w:rPr>
          <w:szCs w:val="26"/>
        </w:rPr>
        <w:t>the following</w:t>
      </w:r>
      <w:r w:rsidR="00855F32" w:rsidRPr="005E4195">
        <w:rPr>
          <w:szCs w:val="26"/>
        </w:rPr>
        <w:t>:</w:t>
      </w:r>
      <w:r w:rsidR="002A5802" w:rsidRPr="005E4195">
        <w:rPr>
          <w:szCs w:val="26"/>
        </w:rPr>
        <w:t xml:space="preserve"> </w:t>
      </w:r>
      <w:r w:rsidR="00D06A6D">
        <w:rPr>
          <w:szCs w:val="26"/>
        </w:rPr>
        <w:t>(1) t</w:t>
      </w:r>
      <w:r w:rsidR="002A5802" w:rsidRPr="005E4195">
        <w:rPr>
          <w:szCs w:val="26"/>
        </w:rPr>
        <w:t xml:space="preserve">he Complainant </w:t>
      </w:r>
      <w:r w:rsidR="00855F32" w:rsidRPr="005E4195">
        <w:rPr>
          <w:szCs w:val="26"/>
        </w:rPr>
        <w:t>would</w:t>
      </w:r>
      <w:r w:rsidR="002A5802" w:rsidRPr="005E4195">
        <w:rPr>
          <w:szCs w:val="26"/>
        </w:rPr>
        <w:t xml:space="preserve"> make a payment of $124.64 on or before June 29, 2015, and the remaining outstanding balance</w:t>
      </w:r>
      <w:r w:rsidR="00D06A6D">
        <w:rPr>
          <w:szCs w:val="26"/>
        </w:rPr>
        <w:t xml:space="preserve"> of</w:t>
      </w:r>
      <w:r w:rsidR="002A5802" w:rsidRPr="005E4195">
        <w:rPr>
          <w:szCs w:val="26"/>
        </w:rPr>
        <w:t xml:space="preserve"> $1,946.46 </w:t>
      </w:r>
      <w:r w:rsidR="00B15477" w:rsidRPr="005E4195">
        <w:rPr>
          <w:szCs w:val="26"/>
        </w:rPr>
        <w:t>w</w:t>
      </w:r>
      <w:r w:rsidR="00D06A6D">
        <w:rPr>
          <w:szCs w:val="26"/>
        </w:rPr>
        <w:t>ould</w:t>
      </w:r>
      <w:r w:rsidR="002A5802" w:rsidRPr="005E4195">
        <w:rPr>
          <w:szCs w:val="26"/>
        </w:rPr>
        <w:t xml:space="preserve"> be placed on a payment arrangement for six months</w:t>
      </w:r>
      <w:r w:rsidR="00855F32" w:rsidRPr="005E4195">
        <w:rPr>
          <w:szCs w:val="26"/>
        </w:rPr>
        <w:t xml:space="preserve">; </w:t>
      </w:r>
      <w:r w:rsidR="00D06A6D">
        <w:rPr>
          <w:szCs w:val="26"/>
        </w:rPr>
        <w:t>(2)</w:t>
      </w:r>
      <w:r w:rsidR="00F02619">
        <w:rPr>
          <w:szCs w:val="26"/>
        </w:rPr>
        <w:t> </w:t>
      </w:r>
      <w:r w:rsidR="00D06A6D">
        <w:rPr>
          <w:szCs w:val="26"/>
        </w:rPr>
        <w:t>b</w:t>
      </w:r>
      <w:r w:rsidR="00855F32" w:rsidRPr="005E4195">
        <w:rPr>
          <w:szCs w:val="26"/>
        </w:rPr>
        <w:t>eginning</w:t>
      </w:r>
      <w:r w:rsidR="002A5802" w:rsidRPr="005E4195">
        <w:rPr>
          <w:szCs w:val="26"/>
        </w:rPr>
        <w:t xml:space="preserve"> </w:t>
      </w:r>
      <w:r w:rsidR="00D06A6D">
        <w:rPr>
          <w:szCs w:val="26"/>
        </w:rPr>
        <w:t xml:space="preserve">with the </w:t>
      </w:r>
      <w:r w:rsidR="002A5802" w:rsidRPr="005E4195">
        <w:rPr>
          <w:szCs w:val="26"/>
        </w:rPr>
        <w:t>July 2</w:t>
      </w:r>
      <w:r w:rsidR="00855F32" w:rsidRPr="005E4195">
        <w:rPr>
          <w:szCs w:val="26"/>
        </w:rPr>
        <w:t>0</w:t>
      </w:r>
      <w:r w:rsidR="002A5802" w:rsidRPr="005E4195">
        <w:rPr>
          <w:szCs w:val="26"/>
        </w:rPr>
        <w:t>15 billing</w:t>
      </w:r>
      <w:r w:rsidR="00D5711D" w:rsidRPr="005E4195">
        <w:rPr>
          <w:szCs w:val="26"/>
        </w:rPr>
        <w:t xml:space="preserve"> cycle</w:t>
      </w:r>
      <w:r w:rsidR="002A5802" w:rsidRPr="005E4195">
        <w:rPr>
          <w:szCs w:val="26"/>
        </w:rPr>
        <w:t xml:space="preserve">, the Complainant </w:t>
      </w:r>
      <w:r w:rsidR="00D06A6D">
        <w:rPr>
          <w:szCs w:val="26"/>
        </w:rPr>
        <w:t>would</w:t>
      </w:r>
      <w:r w:rsidR="002A5802" w:rsidRPr="005E4195">
        <w:rPr>
          <w:szCs w:val="26"/>
        </w:rPr>
        <w:t xml:space="preserve"> pay </w:t>
      </w:r>
      <w:r w:rsidR="00B15477" w:rsidRPr="005E4195">
        <w:rPr>
          <w:szCs w:val="26"/>
        </w:rPr>
        <w:t xml:space="preserve">a </w:t>
      </w:r>
      <w:r w:rsidR="002A5802" w:rsidRPr="005E4195">
        <w:rPr>
          <w:szCs w:val="26"/>
        </w:rPr>
        <w:t xml:space="preserve">budget </w:t>
      </w:r>
      <w:r w:rsidR="00502674" w:rsidRPr="005E4195">
        <w:rPr>
          <w:szCs w:val="26"/>
        </w:rPr>
        <w:t>amount</w:t>
      </w:r>
      <w:r w:rsidR="00B15477" w:rsidRPr="005E4195">
        <w:rPr>
          <w:szCs w:val="26"/>
        </w:rPr>
        <w:t xml:space="preserve"> of</w:t>
      </w:r>
      <w:r w:rsidR="00502674" w:rsidRPr="005E4195">
        <w:rPr>
          <w:szCs w:val="26"/>
        </w:rPr>
        <w:t xml:space="preserve"> </w:t>
      </w:r>
      <w:r w:rsidR="002A5802" w:rsidRPr="005E4195">
        <w:rPr>
          <w:szCs w:val="26"/>
        </w:rPr>
        <w:t>$120.00</w:t>
      </w:r>
      <w:r w:rsidR="00D5711D" w:rsidRPr="005E4195">
        <w:rPr>
          <w:szCs w:val="26"/>
        </w:rPr>
        <w:t xml:space="preserve"> toward current usage and</w:t>
      </w:r>
      <w:r w:rsidR="002A5802" w:rsidRPr="005E4195">
        <w:rPr>
          <w:szCs w:val="26"/>
        </w:rPr>
        <w:t xml:space="preserve"> $324.41</w:t>
      </w:r>
      <w:r w:rsidR="00D5711D" w:rsidRPr="005E4195">
        <w:rPr>
          <w:szCs w:val="26"/>
        </w:rPr>
        <w:t xml:space="preserve"> toward arrears</w:t>
      </w:r>
      <w:r w:rsidR="004A6DB9" w:rsidRPr="005E4195">
        <w:rPr>
          <w:szCs w:val="26"/>
        </w:rPr>
        <w:t>;</w:t>
      </w:r>
      <w:r w:rsidR="00D06A6D">
        <w:rPr>
          <w:szCs w:val="26"/>
        </w:rPr>
        <w:t xml:space="preserve"> and (3)</w:t>
      </w:r>
      <w:r w:rsidR="00395791">
        <w:rPr>
          <w:szCs w:val="26"/>
        </w:rPr>
        <w:t xml:space="preserve"> </w:t>
      </w:r>
      <w:r w:rsidR="00D06A6D">
        <w:rPr>
          <w:szCs w:val="26"/>
        </w:rPr>
        <w:t>t</w:t>
      </w:r>
      <w:r w:rsidR="00502674" w:rsidRPr="005E4195">
        <w:rPr>
          <w:szCs w:val="26"/>
        </w:rPr>
        <w:t xml:space="preserve">he budget amount </w:t>
      </w:r>
      <w:r w:rsidR="00D06A6D">
        <w:rPr>
          <w:szCs w:val="26"/>
        </w:rPr>
        <w:t>would be</w:t>
      </w:r>
      <w:r w:rsidR="00502674" w:rsidRPr="005E4195">
        <w:rPr>
          <w:szCs w:val="26"/>
        </w:rPr>
        <w:t xml:space="preserve"> reduced quarterly and </w:t>
      </w:r>
      <w:r w:rsidR="00D06A6D">
        <w:rPr>
          <w:szCs w:val="26"/>
        </w:rPr>
        <w:t>would be</w:t>
      </w:r>
      <w:r w:rsidR="00502674" w:rsidRPr="005E4195">
        <w:rPr>
          <w:szCs w:val="26"/>
        </w:rPr>
        <w:t xml:space="preserve"> subject to revision based on the usage for the service location where  the </w:t>
      </w:r>
      <w:r w:rsidR="00D06A6D">
        <w:rPr>
          <w:szCs w:val="26"/>
        </w:rPr>
        <w:t xml:space="preserve">current </w:t>
      </w:r>
      <w:r w:rsidR="00502674" w:rsidRPr="005E4195">
        <w:rPr>
          <w:szCs w:val="26"/>
        </w:rPr>
        <w:t xml:space="preserve">budget is $120.00.  </w:t>
      </w:r>
      <w:r w:rsidR="002A5802" w:rsidRPr="005E4195">
        <w:rPr>
          <w:szCs w:val="26"/>
        </w:rPr>
        <w:t xml:space="preserve"> </w:t>
      </w:r>
    </w:p>
    <w:p w:rsidR="00D06A6D" w:rsidRDefault="00D06A6D" w:rsidP="00D5711D">
      <w:pPr>
        <w:tabs>
          <w:tab w:val="left" w:pos="-720"/>
        </w:tabs>
        <w:suppressAutoHyphens/>
        <w:spacing w:line="240" w:lineRule="auto"/>
        <w:ind w:left="1440" w:right="1440" w:firstLine="0"/>
        <w:rPr>
          <w:szCs w:val="26"/>
        </w:rPr>
      </w:pPr>
    </w:p>
    <w:p w:rsidR="00476F53" w:rsidRPr="005E4195" w:rsidRDefault="004A6DB9" w:rsidP="00395791">
      <w:pPr>
        <w:tabs>
          <w:tab w:val="left" w:pos="-720"/>
        </w:tabs>
        <w:suppressAutoHyphens/>
        <w:spacing w:line="240" w:lineRule="auto"/>
        <w:ind w:right="1440" w:firstLine="0"/>
        <w:rPr>
          <w:szCs w:val="26"/>
        </w:rPr>
      </w:pPr>
      <w:r w:rsidRPr="005E4195">
        <w:rPr>
          <w:szCs w:val="26"/>
        </w:rPr>
        <w:t xml:space="preserve">I.D. </w:t>
      </w:r>
      <w:r w:rsidR="004D0DDD">
        <w:rPr>
          <w:szCs w:val="26"/>
        </w:rPr>
        <w:t xml:space="preserve">at 5, </w:t>
      </w:r>
      <w:r w:rsidRPr="005E4195">
        <w:rPr>
          <w:szCs w:val="26"/>
        </w:rPr>
        <w:t>Finding</w:t>
      </w:r>
      <w:r w:rsidR="004D0DDD">
        <w:rPr>
          <w:szCs w:val="26"/>
        </w:rPr>
        <w:t>s</w:t>
      </w:r>
      <w:r w:rsidRPr="005E4195">
        <w:rPr>
          <w:szCs w:val="26"/>
        </w:rPr>
        <w:t xml:space="preserve"> of Fact Nos. 13-17</w:t>
      </w:r>
      <w:r w:rsidR="004D0DDD">
        <w:rPr>
          <w:szCs w:val="26"/>
        </w:rPr>
        <w:t>;</w:t>
      </w:r>
      <w:r w:rsidRPr="005E4195">
        <w:rPr>
          <w:szCs w:val="26"/>
        </w:rPr>
        <w:t xml:space="preserve"> Tr</w:t>
      </w:r>
      <w:r w:rsidR="004D0DDD">
        <w:rPr>
          <w:szCs w:val="26"/>
        </w:rPr>
        <w:t>.</w:t>
      </w:r>
      <w:r w:rsidRPr="005E4195">
        <w:rPr>
          <w:szCs w:val="26"/>
        </w:rPr>
        <w:t xml:space="preserve"> at </w:t>
      </w:r>
      <w:r w:rsidR="004D0DDD">
        <w:rPr>
          <w:szCs w:val="26"/>
        </w:rPr>
        <w:t xml:space="preserve">17, 20, </w:t>
      </w:r>
      <w:r w:rsidRPr="005E4195">
        <w:rPr>
          <w:szCs w:val="26"/>
        </w:rPr>
        <w:t>21</w:t>
      </w:r>
      <w:r w:rsidR="00502674" w:rsidRPr="005E4195">
        <w:rPr>
          <w:szCs w:val="26"/>
        </w:rPr>
        <w:t xml:space="preserve">.  </w:t>
      </w:r>
    </w:p>
    <w:p w:rsidR="00476F53" w:rsidRPr="005E4195" w:rsidRDefault="00476F53" w:rsidP="00765ED9">
      <w:pPr>
        <w:suppressAutoHyphens/>
        <w:rPr>
          <w:szCs w:val="26"/>
        </w:rPr>
      </w:pPr>
    </w:p>
    <w:p w:rsidR="004D0DDD" w:rsidRDefault="00476F53" w:rsidP="00F0342D">
      <w:pPr>
        <w:suppressAutoHyphens/>
        <w:rPr>
          <w:spacing w:val="-3"/>
          <w:szCs w:val="26"/>
        </w:rPr>
      </w:pPr>
      <w:r w:rsidRPr="005E4195">
        <w:rPr>
          <w:szCs w:val="26"/>
        </w:rPr>
        <w:lastRenderedPageBreak/>
        <w:t xml:space="preserve">On </w:t>
      </w:r>
      <w:r w:rsidR="004D0DDD">
        <w:rPr>
          <w:szCs w:val="26"/>
        </w:rPr>
        <w:t>August 12</w:t>
      </w:r>
      <w:r w:rsidRPr="005E4195">
        <w:rPr>
          <w:szCs w:val="26"/>
        </w:rPr>
        <w:t>, 20</w:t>
      </w:r>
      <w:r w:rsidR="00794BBF" w:rsidRPr="005E4195">
        <w:rPr>
          <w:szCs w:val="26"/>
        </w:rPr>
        <w:t>1</w:t>
      </w:r>
      <w:r w:rsidR="00F0342D" w:rsidRPr="005E4195">
        <w:rPr>
          <w:szCs w:val="26"/>
        </w:rPr>
        <w:t>5</w:t>
      </w:r>
      <w:r w:rsidRPr="005E4195">
        <w:rPr>
          <w:szCs w:val="26"/>
        </w:rPr>
        <w:t xml:space="preserve">, the Commission issued ALJ </w:t>
      </w:r>
      <w:r w:rsidR="00794BBF" w:rsidRPr="005E4195">
        <w:rPr>
          <w:szCs w:val="26"/>
        </w:rPr>
        <w:t>Jo</w:t>
      </w:r>
      <w:r w:rsidR="00F0342D" w:rsidRPr="005E4195">
        <w:rPr>
          <w:szCs w:val="26"/>
        </w:rPr>
        <w:t>hn</w:t>
      </w:r>
      <w:r w:rsidR="00794BBF" w:rsidRPr="005E4195">
        <w:rPr>
          <w:szCs w:val="26"/>
        </w:rPr>
        <w:t>s</w:t>
      </w:r>
      <w:r w:rsidR="00F0342D" w:rsidRPr="005E4195">
        <w:rPr>
          <w:szCs w:val="26"/>
        </w:rPr>
        <w:t>on</w:t>
      </w:r>
      <w:r w:rsidRPr="005E4195">
        <w:rPr>
          <w:szCs w:val="26"/>
        </w:rPr>
        <w:t>’s Initial Decision</w:t>
      </w:r>
      <w:r w:rsidR="004D0DDD">
        <w:rPr>
          <w:szCs w:val="26"/>
        </w:rPr>
        <w:t>,</w:t>
      </w:r>
      <w:r w:rsidR="00F0342D" w:rsidRPr="005E4195">
        <w:rPr>
          <w:szCs w:val="26"/>
        </w:rPr>
        <w:t xml:space="preserve"> in which </w:t>
      </w:r>
      <w:r w:rsidR="00502674" w:rsidRPr="005E4195">
        <w:rPr>
          <w:szCs w:val="26"/>
        </w:rPr>
        <w:t>he sustained the Complaint</w:t>
      </w:r>
      <w:r w:rsidR="00502674" w:rsidRPr="005E4195">
        <w:rPr>
          <w:spacing w:val="-3"/>
          <w:szCs w:val="26"/>
        </w:rPr>
        <w:t xml:space="preserve"> and ordered the Complainant </w:t>
      </w:r>
      <w:r w:rsidR="004A6DB9" w:rsidRPr="005E4195">
        <w:rPr>
          <w:spacing w:val="-3"/>
          <w:szCs w:val="26"/>
        </w:rPr>
        <w:t xml:space="preserve">to </w:t>
      </w:r>
      <w:r w:rsidR="007D6241" w:rsidRPr="005E4195">
        <w:rPr>
          <w:spacing w:val="-3"/>
          <w:szCs w:val="26"/>
        </w:rPr>
        <w:t>make payments in accordance wi</w:t>
      </w:r>
      <w:r w:rsidR="00502674" w:rsidRPr="005E4195">
        <w:rPr>
          <w:spacing w:val="-3"/>
          <w:szCs w:val="26"/>
        </w:rPr>
        <w:t>th the stipulation</w:t>
      </w:r>
      <w:r w:rsidR="007D6241" w:rsidRPr="005E4195">
        <w:rPr>
          <w:spacing w:val="-3"/>
          <w:szCs w:val="26"/>
        </w:rPr>
        <w:t xml:space="preserve"> he entered </w:t>
      </w:r>
      <w:r w:rsidR="004D0DDD">
        <w:rPr>
          <w:spacing w:val="-3"/>
          <w:szCs w:val="26"/>
        </w:rPr>
        <w:t xml:space="preserve">into </w:t>
      </w:r>
      <w:r w:rsidR="007D6241" w:rsidRPr="005E4195">
        <w:rPr>
          <w:spacing w:val="-3"/>
          <w:szCs w:val="26"/>
        </w:rPr>
        <w:t>with PECO</w:t>
      </w:r>
      <w:r w:rsidR="00502674" w:rsidRPr="005E4195">
        <w:rPr>
          <w:spacing w:val="-3"/>
          <w:szCs w:val="26"/>
        </w:rPr>
        <w:t>.</w:t>
      </w:r>
      <w:r w:rsidR="00C44780" w:rsidRPr="005E4195">
        <w:rPr>
          <w:spacing w:val="-3"/>
          <w:szCs w:val="26"/>
        </w:rPr>
        <w:t xml:space="preserve">  I.D. at</w:t>
      </w:r>
      <w:r w:rsidR="00230F09" w:rsidRPr="005E4195">
        <w:rPr>
          <w:spacing w:val="-3"/>
          <w:szCs w:val="26"/>
        </w:rPr>
        <w:t xml:space="preserve"> </w:t>
      </w:r>
      <w:r w:rsidR="00502674" w:rsidRPr="005E4195">
        <w:rPr>
          <w:spacing w:val="-3"/>
          <w:szCs w:val="26"/>
        </w:rPr>
        <w:t>9</w:t>
      </w:r>
      <w:r w:rsidR="00C44780" w:rsidRPr="005E4195">
        <w:rPr>
          <w:spacing w:val="-3"/>
          <w:szCs w:val="26"/>
        </w:rPr>
        <w:t xml:space="preserve">.  </w:t>
      </w:r>
    </w:p>
    <w:p w:rsidR="004D0DDD" w:rsidRDefault="004D0DDD" w:rsidP="00F0342D">
      <w:pPr>
        <w:suppressAutoHyphens/>
        <w:rPr>
          <w:spacing w:val="-3"/>
          <w:szCs w:val="26"/>
        </w:rPr>
      </w:pPr>
    </w:p>
    <w:p w:rsidR="00AC0E9E" w:rsidRPr="005E4195" w:rsidRDefault="00230F09" w:rsidP="00F0342D">
      <w:pPr>
        <w:suppressAutoHyphens/>
        <w:rPr>
          <w:szCs w:val="26"/>
        </w:rPr>
      </w:pPr>
      <w:r w:rsidRPr="005E4195">
        <w:rPr>
          <w:spacing w:val="-3"/>
          <w:szCs w:val="26"/>
        </w:rPr>
        <w:t>As previously noted</w:t>
      </w:r>
      <w:r w:rsidR="00E12A74" w:rsidRPr="005E4195">
        <w:rPr>
          <w:spacing w:val="-3"/>
          <w:szCs w:val="26"/>
        </w:rPr>
        <w:t>,</w:t>
      </w:r>
      <w:r w:rsidRPr="005E4195">
        <w:rPr>
          <w:spacing w:val="-3"/>
          <w:szCs w:val="26"/>
        </w:rPr>
        <w:t xml:space="preserve"> </w:t>
      </w:r>
      <w:r w:rsidR="00224966" w:rsidRPr="005E4195">
        <w:rPr>
          <w:szCs w:val="26"/>
        </w:rPr>
        <w:t>Exceptions</w:t>
      </w:r>
      <w:r w:rsidR="00181D19" w:rsidRPr="005E4195">
        <w:rPr>
          <w:szCs w:val="26"/>
        </w:rPr>
        <w:t xml:space="preserve"> </w:t>
      </w:r>
      <w:r w:rsidR="00EB0700" w:rsidRPr="005E4195">
        <w:rPr>
          <w:szCs w:val="26"/>
        </w:rPr>
        <w:t>were filed by PECO</w:t>
      </w:r>
      <w:r w:rsidR="004D0DDD">
        <w:rPr>
          <w:szCs w:val="26"/>
        </w:rPr>
        <w:t xml:space="preserve"> on August 17, 2015</w:t>
      </w:r>
      <w:r w:rsidR="00224966" w:rsidRPr="005E4195">
        <w:rPr>
          <w:szCs w:val="26"/>
        </w:rPr>
        <w:t xml:space="preserve">. </w:t>
      </w:r>
      <w:r w:rsidR="0093639B" w:rsidRPr="005E4195">
        <w:rPr>
          <w:szCs w:val="26"/>
        </w:rPr>
        <w:t xml:space="preserve"> </w:t>
      </w:r>
      <w:r w:rsidR="00F0342D" w:rsidRPr="005E4195">
        <w:rPr>
          <w:szCs w:val="26"/>
        </w:rPr>
        <w:t>No</w:t>
      </w:r>
      <w:r w:rsidR="00B34A3F" w:rsidRPr="005E4195">
        <w:rPr>
          <w:szCs w:val="26"/>
        </w:rPr>
        <w:t xml:space="preserve"> Repl</w:t>
      </w:r>
      <w:r w:rsidR="00F62A19" w:rsidRPr="005E4195">
        <w:rPr>
          <w:szCs w:val="26"/>
        </w:rPr>
        <w:t>ies</w:t>
      </w:r>
      <w:r w:rsidR="00B34A3F" w:rsidRPr="005E4195">
        <w:rPr>
          <w:szCs w:val="26"/>
        </w:rPr>
        <w:t xml:space="preserve"> to Exceptions </w:t>
      </w:r>
      <w:r w:rsidR="00F0342D" w:rsidRPr="005E4195">
        <w:rPr>
          <w:szCs w:val="26"/>
        </w:rPr>
        <w:t>were filed</w:t>
      </w:r>
      <w:r w:rsidR="00B34A3F" w:rsidRPr="005E4195">
        <w:rPr>
          <w:szCs w:val="26"/>
        </w:rPr>
        <w:t xml:space="preserve">. </w:t>
      </w:r>
      <w:r w:rsidR="00224966" w:rsidRPr="005E4195">
        <w:rPr>
          <w:szCs w:val="26"/>
        </w:rPr>
        <w:t xml:space="preserve"> </w:t>
      </w:r>
    </w:p>
    <w:p w:rsidR="00244754" w:rsidRPr="005E4195" w:rsidRDefault="00244754" w:rsidP="00765ED9">
      <w:pPr>
        <w:ind w:firstLine="0"/>
        <w:jc w:val="center"/>
        <w:rPr>
          <w:b/>
          <w:szCs w:val="26"/>
        </w:rPr>
      </w:pPr>
    </w:p>
    <w:p w:rsidR="000A6712" w:rsidRPr="005E4195" w:rsidRDefault="000A6712" w:rsidP="00765ED9">
      <w:pPr>
        <w:keepNext/>
        <w:ind w:firstLine="0"/>
        <w:jc w:val="center"/>
        <w:rPr>
          <w:b/>
          <w:szCs w:val="26"/>
        </w:rPr>
      </w:pPr>
      <w:r w:rsidRPr="005E4195">
        <w:rPr>
          <w:b/>
          <w:szCs w:val="26"/>
        </w:rPr>
        <w:t>Discussion</w:t>
      </w:r>
    </w:p>
    <w:p w:rsidR="00244754" w:rsidRPr="005E4195" w:rsidRDefault="00244754" w:rsidP="00765ED9">
      <w:pPr>
        <w:keepNext/>
        <w:ind w:firstLine="0"/>
        <w:jc w:val="center"/>
        <w:rPr>
          <w:b/>
          <w:szCs w:val="26"/>
        </w:rPr>
      </w:pPr>
    </w:p>
    <w:p w:rsidR="00244754" w:rsidRPr="005E4195" w:rsidRDefault="00244754" w:rsidP="00765ED9">
      <w:pPr>
        <w:keepNext/>
        <w:ind w:firstLine="0"/>
        <w:rPr>
          <w:b/>
          <w:szCs w:val="26"/>
        </w:rPr>
      </w:pPr>
      <w:r w:rsidRPr="005E4195">
        <w:rPr>
          <w:b/>
          <w:szCs w:val="26"/>
        </w:rPr>
        <w:tab/>
        <w:t>A.</w:t>
      </w:r>
      <w:r w:rsidRPr="005E4195">
        <w:rPr>
          <w:b/>
          <w:szCs w:val="26"/>
        </w:rPr>
        <w:tab/>
        <w:t>Burden of Proof</w:t>
      </w:r>
    </w:p>
    <w:p w:rsidR="00487B2C" w:rsidRPr="005E4195" w:rsidRDefault="00487B2C" w:rsidP="00765ED9">
      <w:pPr>
        <w:keepNext/>
        <w:spacing w:line="240" w:lineRule="auto"/>
        <w:rPr>
          <w:szCs w:val="26"/>
        </w:rPr>
      </w:pPr>
    </w:p>
    <w:p w:rsidR="008C5B1C" w:rsidRPr="005E4195" w:rsidRDefault="008C5B1C" w:rsidP="00765ED9">
      <w:pPr>
        <w:rPr>
          <w:szCs w:val="26"/>
        </w:rPr>
      </w:pPr>
      <w:r w:rsidRPr="005E4195">
        <w:rPr>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Respondent is responsible or accountable for the problem described in the Complaint.  </w:t>
      </w:r>
      <w:r w:rsidRPr="005E4195">
        <w:rPr>
          <w:i/>
          <w:szCs w:val="26"/>
        </w:rPr>
        <w:t>Patterson v. The Bell Telephone Company of Pennsylvania</w:t>
      </w:r>
      <w:r w:rsidRPr="005E4195">
        <w:rPr>
          <w:szCs w:val="26"/>
        </w:rPr>
        <w:t xml:space="preserve">, </w:t>
      </w:r>
      <w:r w:rsidR="00181D19" w:rsidRPr="005E4195">
        <w:rPr>
          <w:szCs w:val="26"/>
        </w:rPr>
        <w:t xml:space="preserve">                        </w:t>
      </w:r>
      <w:r w:rsidRPr="005E4195">
        <w:rPr>
          <w:szCs w:val="26"/>
        </w:rPr>
        <w:t xml:space="preserve">72 Pa. P.U.C. 196 (1990).  Such a showing must be by a preponderance of the evidence.  </w:t>
      </w:r>
      <w:r w:rsidRPr="005E4195">
        <w:rPr>
          <w:i/>
          <w:iCs/>
          <w:szCs w:val="26"/>
        </w:rPr>
        <w:t>Samuel J. Lansberry, Inc. v. Pa. PUC</w:t>
      </w:r>
      <w:r w:rsidRPr="005E4195">
        <w:rPr>
          <w:szCs w:val="26"/>
        </w:rPr>
        <w:t xml:space="preserve">, 578 A.2d 600 (Pa. Cmwlth. 1990), </w:t>
      </w:r>
      <w:r w:rsidRPr="005E4195">
        <w:rPr>
          <w:i/>
          <w:szCs w:val="26"/>
        </w:rPr>
        <w:t>alloc. denied,</w:t>
      </w:r>
      <w:r w:rsidRPr="005E4195">
        <w:rPr>
          <w:szCs w:val="26"/>
        </w:rPr>
        <w:t xml:space="preserve"> 529 Pa. 654, 602 A.2d 863 (1992).  That is, the Complainant’s evidence must be more convincing, by even the smallest amount, than that presented by the Respondent.  </w:t>
      </w:r>
      <w:r w:rsidRPr="005E4195">
        <w:rPr>
          <w:i/>
          <w:szCs w:val="26"/>
        </w:rPr>
        <w:t>Se-Ling Hosiery, Inc. v. Margulies</w:t>
      </w:r>
      <w:r w:rsidRPr="005E4195">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5E4195">
        <w:rPr>
          <w:i/>
          <w:szCs w:val="26"/>
        </w:rPr>
        <w:t xml:space="preserve">Norfolk &amp; Western Ry. Co. v. Pa. PUC, </w:t>
      </w:r>
      <w:r w:rsidRPr="005E4195">
        <w:rPr>
          <w:szCs w:val="26"/>
        </w:rPr>
        <w:t>489 Pa. 109, 413 A.2d 1037 (1980).</w:t>
      </w:r>
    </w:p>
    <w:p w:rsidR="008D43EE" w:rsidRDefault="008D43EE" w:rsidP="00765ED9">
      <w:pPr>
        <w:rPr>
          <w:szCs w:val="26"/>
        </w:rPr>
      </w:pPr>
    </w:p>
    <w:p w:rsidR="008C5B1C" w:rsidRPr="005E4195" w:rsidRDefault="008C5B1C" w:rsidP="00765ED9">
      <w:pPr>
        <w:rPr>
          <w:rFonts w:ascii="Times New (W1)" w:hAnsi="Times New (W1)"/>
          <w:i/>
          <w:szCs w:val="26"/>
        </w:rPr>
      </w:pPr>
      <w:r w:rsidRPr="005E4195">
        <w:rPr>
          <w:szCs w:val="26"/>
        </w:rPr>
        <w:t xml:space="preserve">Upon the presentation by a complainant of evidence sufficient to initially satisfy the burden of proof, the burden of going forward with the evidence, sometimes called the burden of persuasion, to rebut the evidence of the customer shifts to the </w:t>
      </w:r>
      <w:r w:rsidRPr="005E4195">
        <w:rPr>
          <w:szCs w:val="26"/>
        </w:rPr>
        <w:lastRenderedPageBreak/>
        <w:t xml:space="preserve">respondent. </w:t>
      </w:r>
      <w:r w:rsidR="00244754" w:rsidRPr="005E4195">
        <w:rPr>
          <w:szCs w:val="26"/>
        </w:rPr>
        <w:t xml:space="preserve"> </w:t>
      </w:r>
      <w:r w:rsidRPr="005E4195">
        <w:rPr>
          <w:szCs w:val="26"/>
        </w:rPr>
        <w:t xml:space="preserve">If the evidence presented by the respondent is of co-equal value or “weight,” the burden of proof has not been satisfied. </w:t>
      </w:r>
      <w:r w:rsidR="00244754" w:rsidRPr="005E4195">
        <w:rPr>
          <w:szCs w:val="26"/>
        </w:rPr>
        <w:t xml:space="preserve"> </w:t>
      </w:r>
      <w:r w:rsidRPr="005E4195">
        <w:rPr>
          <w:szCs w:val="26"/>
        </w:rPr>
        <w:t xml:space="preserve">The complainant now has to provide some additional evidence to rebut that of the respondent. </w:t>
      </w:r>
      <w:r w:rsidRPr="005E4195">
        <w:rPr>
          <w:iCs/>
          <w:szCs w:val="26"/>
        </w:rPr>
        <w:t xml:space="preserve"> </w:t>
      </w:r>
      <w:hyperlink r:id="rId9" w:history="1">
        <w:r w:rsidRPr="005E4195">
          <w:rPr>
            <w:rFonts w:ascii="Times New (W1)" w:hAnsi="Times New (W1)"/>
            <w:i/>
            <w:iCs/>
            <w:szCs w:val="26"/>
          </w:rPr>
          <w:t>Burleson v. Pa. PUC,</w:t>
        </w:r>
        <w:r w:rsidRPr="005E4195">
          <w:rPr>
            <w:rFonts w:ascii="Times New (W1)" w:hAnsi="Times New (W1)"/>
            <w:iCs/>
            <w:szCs w:val="26"/>
          </w:rPr>
          <w:t xml:space="preserve"> 443 A.2d 1373 (Pa. Cmwlth. 1982), </w:t>
        </w:r>
        <w:r w:rsidRPr="005E4195">
          <w:rPr>
            <w:rFonts w:ascii="Times New (W1)" w:hAnsi="Times New (W1)"/>
            <w:i/>
            <w:iCs/>
            <w:szCs w:val="26"/>
          </w:rPr>
          <w:t>aff’d,</w:t>
        </w:r>
        <w:r w:rsidRPr="005E4195">
          <w:rPr>
            <w:rFonts w:ascii="Times New (W1)" w:hAnsi="Times New (W1)"/>
            <w:iCs/>
            <w:szCs w:val="26"/>
          </w:rPr>
          <w:t xml:space="preserve"> 501 Pa. 433, 461 A.2d 1234 (1983).</w:t>
        </w:r>
      </w:hyperlink>
    </w:p>
    <w:p w:rsidR="008C5B1C" w:rsidRPr="005E4195" w:rsidRDefault="008C5B1C" w:rsidP="00765ED9">
      <w:pPr>
        <w:rPr>
          <w:szCs w:val="26"/>
        </w:rPr>
      </w:pPr>
    </w:p>
    <w:p w:rsidR="008C5B1C" w:rsidRPr="005E4195" w:rsidRDefault="008C5B1C" w:rsidP="00765ED9">
      <w:pPr>
        <w:rPr>
          <w:i/>
          <w:szCs w:val="26"/>
        </w:rPr>
      </w:pPr>
      <w:r w:rsidRPr="005E4195">
        <w:rPr>
          <w:szCs w:val="26"/>
        </w:rPr>
        <w:t xml:space="preserve">While the burden of persuasion may shift back and forth during a proceeding, the burden of proof never shifts. The burden of proof always remains on the party seeking affirmative relief from the Commission.  </w:t>
      </w:r>
      <w:r w:rsidRPr="005E4195">
        <w:rPr>
          <w:i/>
          <w:szCs w:val="26"/>
        </w:rPr>
        <w:t xml:space="preserve">Milkie v. Pa. PUC, </w:t>
      </w:r>
      <w:r w:rsidRPr="005E4195">
        <w:rPr>
          <w:szCs w:val="26"/>
        </w:rPr>
        <w:t>768 A.2d 1217 (Pa. Cmwlth. 2001).</w:t>
      </w:r>
    </w:p>
    <w:p w:rsidR="008C5B1C" w:rsidRPr="005E4195" w:rsidRDefault="008C5B1C" w:rsidP="00765ED9">
      <w:pPr>
        <w:ind w:firstLine="0"/>
        <w:rPr>
          <w:i/>
          <w:szCs w:val="26"/>
        </w:rPr>
      </w:pPr>
    </w:p>
    <w:p w:rsidR="00FE2CD1" w:rsidRPr="005E4195" w:rsidRDefault="00244754" w:rsidP="00765ED9">
      <w:pPr>
        <w:ind w:firstLine="0"/>
        <w:rPr>
          <w:b/>
          <w:szCs w:val="26"/>
        </w:rPr>
      </w:pPr>
      <w:r w:rsidRPr="005E4195">
        <w:rPr>
          <w:b/>
          <w:szCs w:val="26"/>
        </w:rPr>
        <w:tab/>
        <w:t>B.</w:t>
      </w:r>
      <w:r w:rsidRPr="005E4195">
        <w:rPr>
          <w:b/>
          <w:szCs w:val="26"/>
        </w:rPr>
        <w:tab/>
      </w:r>
      <w:r w:rsidR="00FE2CD1" w:rsidRPr="005E4195">
        <w:rPr>
          <w:b/>
          <w:szCs w:val="26"/>
        </w:rPr>
        <w:t xml:space="preserve">Legal Standards </w:t>
      </w:r>
    </w:p>
    <w:p w:rsidR="00FE2CD1" w:rsidRPr="005E4195" w:rsidRDefault="00FE2CD1" w:rsidP="00765ED9">
      <w:pPr>
        <w:rPr>
          <w:szCs w:val="26"/>
        </w:rPr>
      </w:pPr>
    </w:p>
    <w:p w:rsidR="001640C3" w:rsidRPr="005E4195" w:rsidRDefault="001640C3" w:rsidP="00765ED9">
      <w:pPr>
        <w:rPr>
          <w:szCs w:val="26"/>
        </w:rPr>
      </w:pPr>
      <w:r w:rsidRPr="005E4195">
        <w:rPr>
          <w:szCs w:val="26"/>
        </w:rPr>
        <w:t xml:space="preserve">With regard to the Complainant’s </w:t>
      </w:r>
      <w:r w:rsidR="007D6241" w:rsidRPr="005E4195">
        <w:rPr>
          <w:szCs w:val="26"/>
        </w:rPr>
        <w:t>request for a Commission issued payment a</w:t>
      </w:r>
      <w:r w:rsidR="008D43EE">
        <w:rPr>
          <w:szCs w:val="26"/>
        </w:rPr>
        <w:t>r</w:t>
      </w:r>
      <w:r w:rsidR="007D6241" w:rsidRPr="005E4195">
        <w:rPr>
          <w:szCs w:val="26"/>
        </w:rPr>
        <w:t>r</w:t>
      </w:r>
      <w:r w:rsidR="008D43EE">
        <w:rPr>
          <w:szCs w:val="26"/>
        </w:rPr>
        <w:t>ange</w:t>
      </w:r>
      <w:r w:rsidR="007D6241" w:rsidRPr="005E4195">
        <w:rPr>
          <w:szCs w:val="26"/>
        </w:rPr>
        <w:t>ment</w:t>
      </w:r>
      <w:r w:rsidRPr="005E4195">
        <w:rPr>
          <w:szCs w:val="26"/>
        </w:rPr>
        <w:t>, any decision thereon must be consistent with the provisions of Chapter 14 of the Public Utility Code (Code), 66 Pa. C.S. §§</w:t>
      </w:r>
      <w:r w:rsidR="00957679">
        <w:rPr>
          <w:szCs w:val="26"/>
        </w:rPr>
        <w:t xml:space="preserve"> </w:t>
      </w:r>
      <w:r w:rsidRPr="005E4195">
        <w:rPr>
          <w:szCs w:val="26"/>
        </w:rPr>
        <w:t xml:space="preserve">1401, </w:t>
      </w:r>
      <w:r w:rsidRPr="005E4195">
        <w:rPr>
          <w:i/>
          <w:szCs w:val="26"/>
        </w:rPr>
        <w:t>et seq</w:t>
      </w:r>
      <w:r w:rsidR="00181D19" w:rsidRPr="005E4195">
        <w:rPr>
          <w:szCs w:val="26"/>
        </w:rPr>
        <w:t>.</w:t>
      </w:r>
      <w:r w:rsidRPr="005E4195">
        <w:rPr>
          <w:szCs w:val="26"/>
        </w:rPr>
        <w:t xml:space="preserve">  </w:t>
      </w:r>
      <w:r w:rsidR="00FE2CD1" w:rsidRPr="005E4195">
        <w:rPr>
          <w:szCs w:val="26"/>
        </w:rPr>
        <w:t xml:space="preserve">Chapter 14 </w:t>
      </w:r>
      <w:r w:rsidRPr="005E4195">
        <w:rPr>
          <w:szCs w:val="26"/>
        </w:rPr>
        <w:t xml:space="preserve">directs how the Commission must establish payment </w:t>
      </w:r>
      <w:r w:rsidR="0055012E" w:rsidRPr="005E4195">
        <w:rPr>
          <w:szCs w:val="26"/>
        </w:rPr>
        <w:t xml:space="preserve">arrangements. </w:t>
      </w:r>
      <w:r w:rsidR="00181D19" w:rsidRPr="005E4195">
        <w:rPr>
          <w:szCs w:val="26"/>
        </w:rPr>
        <w:t xml:space="preserve"> </w:t>
      </w:r>
      <w:r w:rsidR="0055012E" w:rsidRPr="005E4195">
        <w:rPr>
          <w:szCs w:val="26"/>
        </w:rPr>
        <w:t>Section</w:t>
      </w:r>
      <w:r w:rsidRPr="005E4195">
        <w:rPr>
          <w:szCs w:val="26"/>
        </w:rPr>
        <w:t xml:space="preserve"> 1405 of the Code, 66 Pa. C.S. §</w:t>
      </w:r>
      <w:r w:rsidR="0047366A" w:rsidRPr="005E4195">
        <w:rPr>
          <w:szCs w:val="26"/>
        </w:rPr>
        <w:t xml:space="preserve"> </w:t>
      </w:r>
      <w:r w:rsidRPr="005E4195">
        <w:rPr>
          <w:szCs w:val="26"/>
        </w:rPr>
        <w:t>1405, regarding payment arrangements, reads in pertinent part:</w:t>
      </w:r>
    </w:p>
    <w:p w:rsidR="001640C3" w:rsidRPr="005E4195" w:rsidRDefault="001640C3" w:rsidP="00765ED9">
      <w:pPr>
        <w:ind w:left="1440" w:right="1440"/>
        <w:rPr>
          <w:szCs w:val="26"/>
        </w:rPr>
      </w:pPr>
    </w:p>
    <w:p w:rsidR="001640C3" w:rsidRDefault="001640C3" w:rsidP="00765ED9">
      <w:pPr>
        <w:spacing w:line="240" w:lineRule="auto"/>
        <w:ind w:left="1440" w:right="1440" w:firstLine="0"/>
        <w:rPr>
          <w:szCs w:val="26"/>
        </w:rPr>
      </w:pPr>
      <w:r w:rsidRPr="005E4195">
        <w:rPr>
          <w:szCs w:val="26"/>
        </w:rPr>
        <w:t xml:space="preserve">(b) </w:t>
      </w:r>
      <w:r w:rsidR="00957679">
        <w:rPr>
          <w:szCs w:val="26"/>
        </w:rPr>
        <w:t>Length of payment arrangements</w:t>
      </w:r>
      <w:r w:rsidRPr="005E4195">
        <w:rPr>
          <w:szCs w:val="26"/>
        </w:rPr>
        <w:t>. The length of time for a customer to resolve an unpaid balance on an account that is subject to a payment a</w:t>
      </w:r>
      <w:r w:rsidR="00957679">
        <w:rPr>
          <w:szCs w:val="26"/>
        </w:rPr>
        <w:t>rrange</w:t>
      </w:r>
      <w:r w:rsidRPr="005E4195">
        <w:rPr>
          <w:szCs w:val="26"/>
        </w:rPr>
        <w:t>ment that is investigated by the commission and is entered into by a public utility and a customer shall not extend beyond:</w:t>
      </w:r>
    </w:p>
    <w:p w:rsidR="00957679" w:rsidRDefault="00957679" w:rsidP="00765ED9">
      <w:pPr>
        <w:spacing w:line="240" w:lineRule="auto"/>
        <w:ind w:left="1440" w:right="1440" w:firstLine="0"/>
        <w:rPr>
          <w:szCs w:val="26"/>
        </w:rPr>
      </w:pPr>
    </w:p>
    <w:p w:rsidR="00957679" w:rsidRPr="005E4195" w:rsidRDefault="00957679" w:rsidP="00957679">
      <w:pPr>
        <w:ind w:left="2880" w:right="1440"/>
        <w:rPr>
          <w:b/>
          <w:szCs w:val="26"/>
        </w:rPr>
      </w:pPr>
      <w:r w:rsidRPr="005E4195">
        <w:rPr>
          <w:b/>
          <w:szCs w:val="26"/>
        </w:rPr>
        <w:t>***</w:t>
      </w:r>
    </w:p>
    <w:p w:rsidR="001640C3" w:rsidRPr="005E4195" w:rsidRDefault="001640C3" w:rsidP="00BF0CFC">
      <w:pPr>
        <w:spacing w:line="240" w:lineRule="auto"/>
        <w:ind w:left="1440" w:right="1440" w:firstLine="0"/>
        <w:rPr>
          <w:szCs w:val="26"/>
        </w:rPr>
      </w:pPr>
    </w:p>
    <w:p w:rsidR="001640C3" w:rsidRPr="00957679" w:rsidRDefault="00957679" w:rsidP="00395791">
      <w:pPr>
        <w:spacing w:line="240" w:lineRule="auto"/>
        <w:ind w:right="1440" w:firstLine="0"/>
        <w:rPr>
          <w:szCs w:val="26"/>
        </w:rPr>
      </w:pPr>
      <w:r>
        <w:rPr>
          <w:szCs w:val="26"/>
        </w:rPr>
        <w:tab/>
      </w:r>
      <w:r>
        <w:rPr>
          <w:szCs w:val="26"/>
        </w:rPr>
        <w:tab/>
        <w:t xml:space="preserve">(4)  </w:t>
      </w:r>
      <w:r w:rsidR="001640C3" w:rsidRPr="00957679">
        <w:rPr>
          <w:szCs w:val="26"/>
        </w:rPr>
        <w:t xml:space="preserve">Six months for customers with a gross monthly </w:t>
      </w:r>
      <w:r>
        <w:rPr>
          <w:szCs w:val="26"/>
        </w:rPr>
        <w:tab/>
      </w:r>
      <w:r>
        <w:rPr>
          <w:szCs w:val="26"/>
        </w:rPr>
        <w:tab/>
      </w:r>
      <w:r>
        <w:rPr>
          <w:szCs w:val="26"/>
        </w:rPr>
        <w:tab/>
      </w:r>
      <w:r>
        <w:rPr>
          <w:szCs w:val="26"/>
        </w:rPr>
        <w:tab/>
      </w:r>
      <w:r w:rsidR="001640C3" w:rsidRPr="00957679">
        <w:rPr>
          <w:szCs w:val="26"/>
        </w:rPr>
        <w:t xml:space="preserve">household income level exceeding 300% of the </w:t>
      </w:r>
      <w:r>
        <w:rPr>
          <w:szCs w:val="26"/>
        </w:rPr>
        <w:tab/>
      </w:r>
      <w:r>
        <w:rPr>
          <w:szCs w:val="26"/>
        </w:rPr>
        <w:tab/>
      </w:r>
      <w:r>
        <w:rPr>
          <w:szCs w:val="26"/>
        </w:rPr>
        <w:tab/>
      </w:r>
      <w:r>
        <w:rPr>
          <w:szCs w:val="26"/>
        </w:rPr>
        <w:tab/>
      </w:r>
      <w:r>
        <w:rPr>
          <w:szCs w:val="26"/>
        </w:rPr>
        <w:tab/>
      </w:r>
      <w:r w:rsidR="001640C3" w:rsidRPr="00957679">
        <w:rPr>
          <w:szCs w:val="26"/>
        </w:rPr>
        <w:t>Federal poverty level.</w:t>
      </w:r>
    </w:p>
    <w:p w:rsidR="00B816C1" w:rsidRPr="005E4195" w:rsidRDefault="00B816C1" w:rsidP="00765ED9">
      <w:pPr>
        <w:ind w:left="1440" w:right="1440"/>
        <w:rPr>
          <w:b/>
          <w:szCs w:val="26"/>
        </w:rPr>
      </w:pPr>
      <w:r w:rsidRPr="005E4195">
        <w:rPr>
          <w:b/>
          <w:szCs w:val="26"/>
        </w:rPr>
        <w:t xml:space="preserve">            </w:t>
      </w:r>
    </w:p>
    <w:p w:rsidR="001640C3" w:rsidRPr="005E4195" w:rsidRDefault="00B816C1" w:rsidP="00765ED9">
      <w:pPr>
        <w:ind w:left="2880" w:right="1440"/>
        <w:rPr>
          <w:b/>
          <w:szCs w:val="26"/>
        </w:rPr>
      </w:pPr>
      <w:r w:rsidRPr="005E4195">
        <w:rPr>
          <w:b/>
          <w:szCs w:val="26"/>
        </w:rPr>
        <w:t>***</w:t>
      </w:r>
    </w:p>
    <w:p w:rsidR="00181D19" w:rsidRPr="005E4195" w:rsidRDefault="00181D19" w:rsidP="00765ED9">
      <w:pPr>
        <w:spacing w:line="240" w:lineRule="auto"/>
        <w:ind w:left="1440" w:right="1440" w:firstLine="0"/>
        <w:rPr>
          <w:szCs w:val="26"/>
        </w:rPr>
      </w:pPr>
    </w:p>
    <w:p w:rsidR="001640C3" w:rsidRPr="005E4195" w:rsidRDefault="00813CEE" w:rsidP="00765ED9">
      <w:pPr>
        <w:spacing w:line="240" w:lineRule="auto"/>
        <w:ind w:left="1440" w:right="1440" w:firstLine="0"/>
        <w:rPr>
          <w:rFonts w:ascii="Times New (W1)" w:hAnsi="Times New (W1)"/>
          <w:szCs w:val="26"/>
        </w:rPr>
      </w:pPr>
      <w:r w:rsidRPr="005E4195">
        <w:rPr>
          <w:szCs w:val="26"/>
        </w:rPr>
        <w:lastRenderedPageBreak/>
        <w:t xml:space="preserve">   </w:t>
      </w:r>
      <w:r w:rsidR="001640C3" w:rsidRPr="005E4195">
        <w:rPr>
          <w:szCs w:val="26"/>
        </w:rPr>
        <w:t>(d)  Number</w:t>
      </w:r>
      <w:r w:rsidR="001640C3" w:rsidRPr="005E4195">
        <w:rPr>
          <w:rFonts w:ascii="Times New (W1)" w:hAnsi="Times New (W1)"/>
          <w:szCs w:val="26"/>
        </w:rPr>
        <w:t xml:space="preserve"> of payment ar</w:t>
      </w:r>
      <w:r w:rsidR="00957679">
        <w:rPr>
          <w:rFonts w:ascii="Times New (W1)" w:hAnsi="Times New (W1)"/>
          <w:szCs w:val="26"/>
        </w:rPr>
        <w:t>rang</w:t>
      </w:r>
      <w:r w:rsidR="001640C3" w:rsidRPr="005E4195">
        <w:rPr>
          <w:rFonts w:ascii="Times New (W1)" w:hAnsi="Times New (W1)"/>
          <w:szCs w:val="26"/>
        </w:rPr>
        <w:t>ements.</w:t>
      </w:r>
      <w:r w:rsidR="00957679">
        <w:rPr>
          <w:rFonts w:ascii="Times New (W1)" w:hAnsi="Times New (W1)"/>
          <w:szCs w:val="26"/>
        </w:rPr>
        <w:t>-</w:t>
      </w:r>
      <w:r w:rsidR="001640C3" w:rsidRPr="005E4195">
        <w:rPr>
          <w:rFonts w:ascii="Times New (W1)" w:hAnsi="Times New (W1)"/>
          <w:szCs w:val="26"/>
        </w:rPr>
        <w:t xml:space="preserve"> Absent a change in income, the Commission shall not establish or order a public utility to establish a second or subsequent payment a</w:t>
      </w:r>
      <w:r w:rsidR="00957679">
        <w:rPr>
          <w:rFonts w:ascii="Times New (W1)" w:hAnsi="Times New (W1)"/>
          <w:szCs w:val="26"/>
        </w:rPr>
        <w:t>rrangement</w:t>
      </w:r>
      <w:r w:rsidR="001640C3" w:rsidRPr="005E4195">
        <w:rPr>
          <w:rFonts w:ascii="Times New (W1)" w:hAnsi="Times New (W1)"/>
          <w:szCs w:val="26"/>
        </w:rPr>
        <w:t xml:space="preserve"> if a customer has defaulted on a previous payment a</w:t>
      </w:r>
      <w:r w:rsidR="00957679">
        <w:rPr>
          <w:rFonts w:ascii="Times New (W1)" w:hAnsi="Times New (W1)"/>
          <w:szCs w:val="26"/>
        </w:rPr>
        <w:t>rrangement</w:t>
      </w:r>
      <w:r w:rsidR="001640C3" w:rsidRPr="005E4195">
        <w:rPr>
          <w:rFonts w:ascii="Times New (W1)" w:hAnsi="Times New (W1)"/>
          <w:szCs w:val="26"/>
        </w:rPr>
        <w:t>.  A public utility may, at its discretion, enter into a second or subsequent payment ar</w:t>
      </w:r>
      <w:r w:rsidR="00957679">
        <w:rPr>
          <w:rFonts w:ascii="Times New (W1)" w:hAnsi="Times New (W1)"/>
          <w:szCs w:val="26"/>
        </w:rPr>
        <w:t>rangement</w:t>
      </w:r>
      <w:r w:rsidR="001640C3" w:rsidRPr="005E4195">
        <w:rPr>
          <w:rFonts w:ascii="Times New (W1)" w:hAnsi="Times New (W1)"/>
          <w:szCs w:val="26"/>
        </w:rPr>
        <w:t xml:space="preserve"> with a customer. </w:t>
      </w:r>
    </w:p>
    <w:p w:rsidR="00996C41" w:rsidRPr="005E4195" w:rsidRDefault="00996C41" w:rsidP="00765ED9">
      <w:pPr>
        <w:rPr>
          <w:szCs w:val="26"/>
        </w:rPr>
      </w:pPr>
    </w:p>
    <w:p w:rsidR="00DB6229" w:rsidRDefault="00DB6229" w:rsidP="00212542">
      <w:pPr>
        <w:ind w:firstLine="0"/>
        <w:rPr>
          <w:szCs w:val="26"/>
        </w:rPr>
      </w:pPr>
      <w:r>
        <w:rPr>
          <w:szCs w:val="26"/>
        </w:rPr>
        <w:tab/>
      </w:r>
      <w:r>
        <w:rPr>
          <w:szCs w:val="26"/>
        </w:rPr>
        <w:tab/>
        <w:t xml:space="preserve">Additionally, in this case, the Parties’ stipulations were received into evidence as matters of fact, consistent with Section </w:t>
      </w:r>
      <w:r w:rsidR="00B2436B">
        <w:rPr>
          <w:szCs w:val="26"/>
        </w:rPr>
        <w:t>5.234(a) of the Commission’s Regulations, 52 Pa. Code § 5.234(a).</w:t>
      </w:r>
      <w:r w:rsidR="008E44A3">
        <w:rPr>
          <w:szCs w:val="26"/>
        </w:rPr>
        <w:t xml:space="preserve">  Section 5.234(a) provides the following:  </w:t>
      </w:r>
      <w:r w:rsidR="005171CD">
        <w:rPr>
          <w:szCs w:val="26"/>
        </w:rPr>
        <w:t>“</w:t>
      </w:r>
      <w:r w:rsidR="005171CD">
        <w:t xml:space="preserve">Parties may stipulate to relevant matters of fact or the authenticity of relevant documents. The stipulations may be received in evidence at a hearing, and when so received shall be binding on the parties to the stipulation with respect to the matters therein stipulated.” </w:t>
      </w:r>
    </w:p>
    <w:p w:rsidR="00DB6229" w:rsidRPr="005E4195" w:rsidRDefault="00DB6229" w:rsidP="0091279F">
      <w:pPr>
        <w:keepNext/>
        <w:rPr>
          <w:szCs w:val="26"/>
        </w:rPr>
      </w:pPr>
    </w:p>
    <w:p w:rsidR="000D7D6C" w:rsidRPr="005E4195" w:rsidRDefault="00244754" w:rsidP="00765ED9">
      <w:pPr>
        <w:keepNext/>
        <w:ind w:firstLine="0"/>
        <w:rPr>
          <w:b/>
          <w:szCs w:val="26"/>
        </w:rPr>
      </w:pPr>
      <w:r w:rsidRPr="005E4195">
        <w:rPr>
          <w:b/>
          <w:szCs w:val="26"/>
        </w:rPr>
        <w:tab/>
        <w:t>C.</w:t>
      </w:r>
      <w:r w:rsidRPr="005E4195">
        <w:rPr>
          <w:b/>
          <w:szCs w:val="26"/>
        </w:rPr>
        <w:tab/>
        <w:t xml:space="preserve">The </w:t>
      </w:r>
      <w:r w:rsidR="000D7D6C" w:rsidRPr="005E4195">
        <w:rPr>
          <w:b/>
          <w:szCs w:val="26"/>
        </w:rPr>
        <w:t xml:space="preserve">ALJ’s Recommendation </w:t>
      </w:r>
    </w:p>
    <w:p w:rsidR="00244754" w:rsidRPr="005E4195" w:rsidRDefault="00244754" w:rsidP="00765ED9">
      <w:pPr>
        <w:keepNext/>
        <w:rPr>
          <w:rFonts w:ascii="Times New (W1)" w:hAnsi="Times New (W1)"/>
          <w:szCs w:val="26"/>
        </w:rPr>
      </w:pPr>
    </w:p>
    <w:p w:rsidR="00244754" w:rsidRPr="005E4195" w:rsidRDefault="00244754" w:rsidP="00765ED9">
      <w:pPr>
        <w:rPr>
          <w:rFonts w:ascii="Times New (W1)" w:hAnsi="Times New (W1)"/>
          <w:szCs w:val="26"/>
        </w:rPr>
      </w:pPr>
      <w:r w:rsidRPr="005E4195">
        <w:rPr>
          <w:rFonts w:ascii="Times New (W1)" w:hAnsi="Times New (W1)"/>
          <w:szCs w:val="26"/>
        </w:rPr>
        <w:t xml:space="preserve">The ALJ made </w:t>
      </w:r>
      <w:r w:rsidR="00F0342D" w:rsidRPr="005E4195">
        <w:rPr>
          <w:rFonts w:ascii="Times New (W1)" w:hAnsi="Times New (W1)"/>
          <w:szCs w:val="26"/>
        </w:rPr>
        <w:t>seventeen</w:t>
      </w:r>
      <w:r w:rsidRPr="005E4195">
        <w:rPr>
          <w:rFonts w:ascii="Times New (W1)" w:hAnsi="Times New (W1)"/>
          <w:szCs w:val="26"/>
        </w:rPr>
        <w:t xml:space="preserve"> Findings of Fact and reached </w:t>
      </w:r>
      <w:r w:rsidR="00F0342D" w:rsidRPr="005E4195">
        <w:rPr>
          <w:rFonts w:ascii="Times New (W1)" w:hAnsi="Times New (W1)"/>
          <w:szCs w:val="26"/>
        </w:rPr>
        <w:t>six</w:t>
      </w:r>
      <w:r w:rsidRPr="005E4195">
        <w:rPr>
          <w:rFonts w:ascii="Times New (W1)" w:hAnsi="Times New (W1)"/>
          <w:szCs w:val="26"/>
        </w:rPr>
        <w:t xml:space="preserve"> Conclusions of Law.  I.D. at </w:t>
      </w:r>
      <w:r w:rsidR="00F0342D" w:rsidRPr="005E4195">
        <w:rPr>
          <w:rFonts w:ascii="Times New (W1)" w:hAnsi="Times New (W1)"/>
          <w:szCs w:val="26"/>
        </w:rPr>
        <w:t>4-5</w:t>
      </w:r>
      <w:r w:rsidRPr="005E4195">
        <w:rPr>
          <w:rFonts w:ascii="Times New (W1)" w:hAnsi="Times New (W1)"/>
          <w:szCs w:val="26"/>
        </w:rPr>
        <w:t xml:space="preserve">, </w:t>
      </w:r>
      <w:r w:rsidR="00A259FA" w:rsidRPr="005E4195">
        <w:rPr>
          <w:rFonts w:ascii="Times New (W1)" w:hAnsi="Times New (W1)"/>
          <w:szCs w:val="26"/>
        </w:rPr>
        <w:t>8</w:t>
      </w:r>
      <w:r w:rsidR="00F0342D" w:rsidRPr="005E4195">
        <w:rPr>
          <w:rFonts w:ascii="Times New (W1)" w:hAnsi="Times New (W1)"/>
          <w:szCs w:val="26"/>
        </w:rPr>
        <w:t>-</w:t>
      </w:r>
      <w:r w:rsidR="00A259FA" w:rsidRPr="005E4195">
        <w:rPr>
          <w:rFonts w:ascii="Times New (W1)" w:hAnsi="Times New (W1)"/>
          <w:szCs w:val="26"/>
        </w:rPr>
        <w:t>9</w:t>
      </w:r>
      <w:r w:rsidRPr="005E4195">
        <w:rPr>
          <w:rFonts w:ascii="Times New (W1)" w:hAnsi="Times New (W1)"/>
          <w:szCs w:val="26"/>
        </w:rPr>
        <w:t>.  The Findings of Fact and Conclusions of Law are incorporated herein by reference and are adopted without comment unless they are either expressly or by necessary implication rejected or modified by this Opinion and Order.</w:t>
      </w:r>
    </w:p>
    <w:p w:rsidR="00244754" w:rsidRPr="005E4195" w:rsidRDefault="00244754" w:rsidP="00765ED9">
      <w:pPr>
        <w:spacing w:line="240" w:lineRule="auto"/>
        <w:ind w:firstLine="0"/>
        <w:rPr>
          <w:szCs w:val="26"/>
        </w:rPr>
      </w:pPr>
    </w:p>
    <w:p w:rsidR="007B049C" w:rsidRPr="005E4195" w:rsidRDefault="003E2EC8" w:rsidP="00765ED9">
      <w:pPr>
        <w:ind w:firstLine="720"/>
        <w:rPr>
          <w:szCs w:val="26"/>
        </w:rPr>
      </w:pPr>
      <w:r w:rsidRPr="005E4195">
        <w:rPr>
          <w:szCs w:val="26"/>
        </w:rPr>
        <w:tab/>
      </w:r>
      <w:r w:rsidR="004A6DB9" w:rsidRPr="005E4195">
        <w:rPr>
          <w:szCs w:val="26"/>
        </w:rPr>
        <w:t>As noted above, t</w:t>
      </w:r>
      <w:r w:rsidR="0046506B" w:rsidRPr="005E4195">
        <w:rPr>
          <w:szCs w:val="26"/>
        </w:rPr>
        <w:t xml:space="preserve">he ALJ </w:t>
      </w:r>
      <w:r w:rsidR="00C972CF" w:rsidRPr="005E4195">
        <w:rPr>
          <w:szCs w:val="26"/>
        </w:rPr>
        <w:t xml:space="preserve">sustained the Complaint and ordered </w:t>
      </w:r>
      <w:r w:rsidR="00EB0700" w:rsidRPr="005E4195">
        <w:rPr>
          <w:szCs w:val="26"/>
        </w:rPr>
        <w:t>th</w:t>
      </w:r>
      <w:r w:rsidR="00C972CF" w:rsidRPr="005E4195">
        <w:rPr>
          <w:szCs w:val="26"/>
        </w:rPr>
        <w:t xml:space="preserve">e Complainant </w:t>
      </w:r>
      <w:r w:rsidR="00D5711D" w:rsidRPr="005E4195">
        <w:rPr>
          <w:szCs w:val="26"/>
        </w:rPr>
        <w:t xml:space="preserve">to </w:t>
      </w:r>
      <w:r w:rsidR="00C972CF" w:rsidRPr="005E4195">
        <w:rPr>
          <w:szCs w:val="26"/>
        </w:rPr>
        <w:t xml:space="preserve">pay </w:t>
      </w:r>
      <w:r w:rsidR="00EB0700" w:rsidRPr="005E4195">
        <w:rPr>
          <w:szCs w:val="26"/>
        </w:rPr>
        <w:t xml:space="preserve">PECO </w:t>
      </w:r>
      <w:r w:rsidR="00C972CF" w:rsidRPr="005E4195">
        <w:rPr>
          <w:szCs w:val="26"/>
        </w:rPr>
        <w:t>on the date due for payment of each monthly bill, the regular budget amount and 1/6</w:t>
      </w:r>
      <w:r w:rsidR="00C972CF" w:rsidRPr="005E4195">
        <w:rPr>
          <w:szCs w:val="26"/>
          <w:vertAlign w:val="superscript"/>
        </w:rPr>
        <w:t>th</w:t>
      </w:r>
      <w:r w:rsidR="00C972CF" w:rsidRPr="005E4195">
        <w:rPr>
          <w:szCs w:val="26"/>
        </w:rPr>
        <w:t xml:space="preserve"> of the arrearage owed on his account to be calculated as of the date of entry of the Commission’s Order. </w:t>
      </w:r>
      <w:r w:rsidR="007B18DE" w:rsidRPr="005E4195">
        <w:rPr>
          <w:szCs w:val="26"/>
        </w:rPr>
        <w:t xml:space="preserve"> </w:t>
      </w:r>
      <w:r w:rsidR="00C972CF" w:rsidRPr="005E4195">
        <w:rPr>
          <w:szCs w:val="26"/>
        </w:rPr>
        <w:t>I.D. at 9</w:t>
      </w:r>
      <w:r w:rsidR="008F7B53">
        <w:rPr>
          <w:szCs w:val="26"/>
        </w:rPr>
        <w:t>.</w:t>
      </w:r>
      <w:r w:rsidR="00C972CF" w:rsidRPr="005E4195">
        <w:rPr>
          <w:szCs w:val="26"/>
        </w:rPr>
        <w:t xml:space="preserve">  </w:t>
      </w:r>
      <w:r w:rsidR="007B049C" w:rsidRPr="005E4195">
        <w:rPr>
          <w:szCs w:val="26"/>
        </w:rPr>
        <w:t xml:space="preserve">The length of time for the Complainant to resolve the unpaid balance on his account was based on the Complainant’s monthly household income of $4,641, which </w:t>
      </w:r>
      <w:r w:rsidR="00774350" w:rsidRPr="005E4195">
        <w:rPr>
          <w:szCs w:val="26"/>
        </w:rPr>
        <w:t>amounts to</w:t>
      </w:r>
      <w:r w:rsidR="007B049C" w:rsidRPr="005E4195">
        <w:rPr>
          <w:szCs w:val="26"/>
        </w:rPr>
        <w:t xml:space="preserve"> 336 percent of the Federal Poverty Guidelines, </w:t>
      </w:r>
      <w:r w:rsidR="00774350" w:rsidRPr="005E4195">
        <w:rPr>
          <w:szCs w:val="26"/>
        </w:rPr>
        <w:t>and</w:t>
      </w:r>
      <w:r w:rsidR="007B049C" w:rsidRPr="005E4195">
        <w:rPr>
          <w:szCs w:val="26"/>
        </w:rPr>
        <w:t xml:space="preserve"> places the Complainant at </w:t>
      </w:r>
      <w:r w:rsidR="008F7B53">
        <w:rPr>
          <w:szCs w:val="26"/>
        </w:rPr>
        <w:t xml:space="preserve">a </w:t>
      </w:r>
      <w:r w:rsidR="007B049C" w:rsidRPr="005E4195">
        <w:rPr>
          <w:szCs w:val="26"/>
        </w:rPr>
        <w:t>Level 4 income</w:t>
      </w:r>
      <w:r w:rsidR="00774350" w:rsidRPr="005E4195">
        <w:rPr>
          <w:szCs w:val="26"/>
        </w:rPr>
        <w:t xml:space="preserve"> category</w:t>
      </w:r>
      <w:r w:rsidR="007B049C" w:rsidRPr="005E4195">
        <w:rPr>
          <w:szCs w:val="26"/>
        </w:rPr>
        <w:t>.</w:t>
      </w:r>
      <w:r w:rsidR="008F7B53">
        <w:rPr>
          <w:szCs w:val="26"/>
        </w:rPr>
        <w:t xml:space="preserve">  </w:t>
      </w:r>
      <w:r w:rsidR="001E01C8" w:rsidRPr="001E01C8">
        <w:rPr>
          <w:szCs w:val="26"/>
        </w:rPr>
        <w:t>I.D.</w:t>
      </w:r>
      <w:r w:rsidR="008F7B53">
        <w:rPr>
          <w:szCs w:val="26"/>
        </w:rPr>
        <w:t xml:space="preserve"> at 8.  </w:t>
      </w:r>
      <w:r w:rsidR="007B049C" w:rsidRPr="005E4195">
        <w:rPr>
          <w:szCs w:val="26"/>
        </w:rPr>
        <w:t xml:space="preserve"> </w:t>
      </w:r>
    </w:p>
    <w:p w:rsidR="007B049C" w:rsidRPr="005E4195" w:rsidRDefault="007B049C" w:rsidP="00765ED9">
      <w:pPr>
        <w:ind w:firstLine="720"/>
        <w:rPr>
          <w:szCs w:val="26"/>
        </w:rPr>
      </w:pPr>
    </w:p>
    <w:p w:rsidR="0050178D" w:rsidRPr="005E4195" w:rsidRDefault="007B049C" w:rsidP="00765ED9">
      <w:pPr>
        <w:ind w:firstLine="720"/>
        <w:rPr>
          <w:szCs w:val="26"/>
        </w:rPr>
      </w:pPr>
      <w:r w:rsidRPr="005E4195">
        <w:rPr>
          <w:szCs w:val="26"/>
        </w:rPr>
        <w:lastRenderedPageBreak/>
        <w:tab/>
      </w:r>
      <w:r w:rsidR="00C972CF" w:rsidRPr="005E4195">
        <w:rPr>
          <w:szCs w:val="26"/>
        </w:rPr>
        <w:t xml:space="preserve">The ALJ also ordered that the payments </w:t>
      </w:r>
      <w:r w:rsidR="00EB0700" w:rsidRPr="005E4195">
        <w:rPr>
          <w:szCs w:val="26"/>
        </w:rPr>
        <w:t>will</w:t>
      </w:r>
      <w:r w:rsidR="00C972CF" w:rsidRPr="005E4195">
        <w:rPr>
          <w:szCs w:val="26"/>
        </w:rPr>
        <w:t xml:space="preserve"> commence with the first monthly bill received after entry of the Commission’s Order and continue thereafter on the due date for the payment of each regular monthly bill until the arrearage on his account has been paid in full.</w:t>
      </w:r>
      <w:r w:rsidR="007B18DE" w:rsidRPr="005E4195">
        <w:rPr>
          <w:szCs w:val="26"/>
        </w:rPr>
        <w:t xml:space="preserve">  </w:t>
      </w:r>
      <w:r w:rsidR="008F5948" w:rsidRPr="005E4195">
        <w:rPr>
          <w:szCs w:val="26"/>
        </w:rPr>
        <w:t xml:space="preserve">The ALJ </w:t>
      </w:r>
      <w:r w:rsidR="00A63122" w:rsidRPr="005E4195">
        <w:rPr>
          <w:szCs w:val="26"/>
        </w:rPr>
        <w:t xml:space="preserve">also </w:t>
      </w:r>
      <w:r w:rsidR="00C972CF" w:rsidRPr="005E4195">
        <w:rPr>
          <w:szCs w:val="26"/>
        </w:rPr>
        <w:t xml:space="preserve">ordered </w:t>
      </w:r>
      <w:r w:rsidRPr="005E4195">
        <w:rPr>
          <w:szCs w:val="26"/>
        </w:rPr>
        <w:t xml:space="preserve">PECO not </w:t>
      </w:r>
      <w:r w:rsidR="00F02619">
        <w:rPr>
          <w:szCs w:val="26"/>
        </w:rPr>
        <w:t xml:space="preserve">to </w:t>
      </w:r>
      <w:r w:rsidRPr="005E4195">
        <w:rPr>
          <w:szCs w:val="26"/>
        </w:rPr>
        <w:t>a</w:t>
      </w:r>
      <w:r w:rsidR="005E4195">
        <w:rPr>
          <w:szCs w:val="26"/>
        </w:rPr>
        <w:t>ss</w:t>
      </w:r>
      <w:r w:rsidRPr="005E4195">
        <w:rPr>
          <w:szCs w:val="26"/>
        </w:rPr>
        <w:t xml:space="preserve">ess any late payment charges or terminate </w:t>
      </w:r>
      <w:r w:rsidR="00DC24D5">
        <w:rPr>
          <w:szCs w:val="26"/>
        </w:rPr>
        <w:t xml:space="preserve">the </w:t>
      </w:r>
      <w:r w:rsidRPr="005E4195">
        <w:rPr>
          <w:szCs w:val="26"/>
        </w:rPr>
        <w:t>Complainant’s service except for valid safety and/or emergency reasons</w:t>
      </w:r>
      <w:r w:rsidR="00475D98" w:rsidRPr="005E4195">
        <w:rPr>
          <w:szCs w:val="26"/>
        </w:rPr>
        <w:t xml:space="preserve">, </w:t>
      </w:r>
      <w:r w:rsidR="00C972CF" w:rsidRPr="005E4195">
        <w:rPr>
          <w:szCs w:val="26"/>
        </w:rPr>
        <w:t xml:space="preserve">as long as the Complainant adheres to the terms of </w:t>
      </w:r>
      <w:r w:rsidR="00212542">
        <w:rPr>
          <w:szCs w:val="26"/>
        </w:rPr>
        <w:t xml:space="preserve">the </w:t>
      </w:r>
      <w:r w:rsidR="00DC24D5">
        <w:rPr>
          <w:szCs w:val="26"/>
        </w:rPr>
        <w:t>ALJ’s</w:t>
      </w:r>
      <w:r w:rsidR="00C972CF" w:rsidRPr="005E4195">
        <w:rPr>
          <w:szCs w:val="26"/>
        </w:rPr>
        <w:t xml:space="preserve"> Order.  </w:t>
      </w:r>
      <w:r w:rsidR="001E00C6" w:rsidRPr="005E4195">
        <w:rPr>
          <w:szCs w:val="26"/>
        </w:rPr>
        <w:t xml:space="preserve">However, if the Complainant fails to adhere to the terms of </w:t>
      </w:r>
      <w:r w:rsidR="00DC24D5">
        <w:rPr>
          <w:szCs w:val="26"/>
        </w:rPr>
        <w:t>the</w:t>
      </w:r>
      <w:r w:rsidR="001E00C6" w:rsidRPr="005E4195">
        <w:rPr>
          <w:szCs w:val="26"/>
        </w:rPr>
        <w:t xml:space="preserve"> Order, the ALJ ordered that PECO could terminate the Complainant’s service pursuant to </w:t>
      </w:r>
      <w:r w:rsidR="00F02619">
        <w:rPr>
          <w:szCs w:val="26"/>
        </w:rPr>
        <w:t xml:space="preserve">Sections 101, </w:t>
      </w:r>
      <w:r w:rsidR="00F02619" w:rsidRPr="00F02619">
        <w:rPr>
          <w:i/>
          <w:szCs w:val="26"/>
        </w:rPr>
        <w:t>et seq</w:t>
      </w:r>
      <w:r w:rsidR="00F02619">
        <w:rPr>
          <w:szCs w:val="26"/>
        </w:rPr>
        <w:t xml:space="preserve">. of the Code, </w:t>
      </w:r>
      <w:r w:rsidR="001E00C6" w:rsidRPr="005E4195">
        <w:rPr>
          <w:szCs w:val="26"/>
        </w:rPr>
        <w:t>66 Pa. C.</w:t>
      </w:r>
      <w:r w:rsidR="00DC24D5">
        <w:rPr>
          <w:szCs w:val="26"/>
        </w:rPr>
        <w:t>S</w:t>
      </w:r>
      <w:r w:rsidR="001E00C6" w:rsidRPr="005E4195">
        <w:rPr>
          <w:szCs w:val="26"/>
        </w:rPr>
        <w:t>. §§</w:t>
      </w:r>
      <w:r w:rsidR="00DC24D5">
        <w:rPr>
          <w:szCs w:val="26"/>
        </w:rPr>
        <w:t xml:space="preserve"> </w:t>
      </w:r>
      <w:r w:rsidR="001E00C6" w:rsidRPr="005E4195">
        <w:rPr>
          <w:szCs w:val="26"/>
        </w:rPr>
        <w:t xml:space="preserve">101, </w:t>
      </w:r>
      <w:r w:rsidR="001E00C6" w:rsidRPr="005E4195">
        <w:rPr>
          <w:i/>
          <w:szCs w:val="26"/>
        </w:rPr>
        <w:t>et seq</w:t>
      </w:r>
      <w:r w:rsidR="001E00C6" w:rsidRPr="005E4195">
        <w:rPr>
          <w:szCs w:val="26"/>
        </w:rPr>
        <w:t xml:space="preserve">., and the Commission’s </w:t>
      </w:r>
      <w:r w:rsidR="00DC24D5">
        <w:rPr>
          <w:szCs w:val="26"/>
        </w:rPr>
        <w:t>R</w:t>
      </w:r>
      <w:r w:rsidR="001E00C6" w:rsidRPr="005E4195">
        <w:rPr>
          <w:szCs w:val="26"/>
        </w:rPr>
        <w:t>egulations</w:t>
      </w:r>
      <w:r w:rsidR="00F02619">
        <w:rPr>
          <w:szCs w:val="26"/>
        </w:rPr>
        <w:t xml:space="preserve"> at </w:t>
      </w:r>
      <w:r w:rsidR="001E00C6" w:rsidRPr="005E4195">
        <w:rPr>
          <w:szCs w:val="26"/>
        </w:rPr>
        <w:t>52 Pa. Code §§</w:t>
      </w:r>
      <w:r w:rsidR="00F02619">
        <w:rPr>
          <w:szCs w:val="26"/>
        </w:rPr>
        <w:t> </w:t>
      </w:r>
      <w:r w:rsidR="001E00C6" w:rsidRPr="005E4195">
        <w:rPr>
          <w:szCs w:val="26"/>
        </w:rPr>
        <w:t xml:space="preserve">56.1, </w:t>
      </w:r>
      <w:r w:rsidR="001E00C6" w:rsidRPr="005E4195">
        <w:rPr>
          <w:i/>
          <w:szCs w:val="26"/>
        </w:rPr>
        <w:t>et seq</w:t>
      </w:r>
      <w:r w:rsidR="001E00C6" w:rsidRPr="005E4195">
        <w:rPr>
          <w:szCs w:val="26"/>
        </w:rPr>
        <w:t xml:space="preserve">.  </w:t>
      </w:r>
      <w:r w:rsidR="008F5948" w:rsidRPr="005E4195">
        <w:rPr>
          <w:szCs w:val="26"/>
        </w:rPr>
        <w:t>I</w:t>
      </w:r>
      <w:r w:rsidR="00D5391B" w:rsidRPr="005E4195">
        <w:rPr>
          <w:szCs w:val="26"/>
        </w:rPr>
        <w:t>.</w:t>
      </w:r>
      <w:r w:rsidR="008F5948" w:rsidRPr="005E4195">
        <w:rPr>
          <w:szCs w:val="26"/>
        </w:rPr>
        <w:t>D</w:t>
      </w:r>
      <w:r w:rsidR="00D5391B" w:rsidRPr="005E4195">
        <w:rPr>
          <w:szCs w:val="26"/>
        </w:rPr>
        <w:t>.</w:t>
      </w:r>
      <w:r w:rsidR="008F5948" w:rsidRPr="005E4195">
        <w:rPr>
          <w:szCs w:val="26"/>
        </w:rPr>
        <w:t xml:space="preserve"> at 9.</w:t>
      </w:r>
    </w:p>
    <w:p w:rsidR="00200D2A" w:rsidRPr="005E4195" w:rsidRDefault="00200D2A" w:rsidP="00765ED9">
      <w:pPr>
        <w:ind w:firstLine="720"/>
        <w:rPr>
          <w:szCs w:val="26"/>
        </w:rPr>
      </w:pPr>
    </w:p>
    <w:p w:rsidR="00765ED9" w:rsidRPr="005E4195" w:rsidRDefault="00244754" w:rsidP="008B77D4">
      <w:pPr>
        <w:keepNext/>
        <w:ind w:firstLine="0"/>
        <w:rPr>
          <w:b/>
          <w:szCs w:val="26"/>
        </w:rPr>
      </w:pPr>
      <w:r w:rsidRPr="005E4195">
        <w:rPr>
          <w:b/>
          <w:szCs w:val="26"/>
        </w:rPr>
        <w:tab/>
        <w:t>D.</w:t>
      </w:r>
      <w:r w:rsidRPr="005E4195">
        <w:rPr>
          <w:b/>
          <w:szCs w:val="26"/>
        </w:rPr>
        <w:tab/>
      </w:r>
      <w:r w:rsidR="00A259FA" w:rsidRPr="005E4195">
        <w:rPr>
          <w:b/>
          <w:szCs w:val="26"/>
        </w:rPr>
        <w:t>PECO’s</w:t>
      </w:r>
      <w:r w:rsidR="008B77D4" w:rsidRPr="005E4195">
        <w:rPr>
          <w:b/>
          <w:szCs w:val="26"/>
        </w:rPr>
        <w:t xml:space="preserve"> </w:t>
      </w:r>
      <w:r w:rsidRPr="005E4195">
        <w:rPr>
          <w:b/>
          <w:szCs w:val="26"/>
        </w:rPr>
        <w:t>Exception</w:t>
      </w:r>
    </w:p>
    <w:p w:rsidR="00765ED9" w:rsidRPr="005E4195" w:rsidRDefault="00765ED9" w:rsidP="008B77D4">
      <w:pPr>
        <w:keepNext/>
        <w:ind w:firstLine="0"/>
        <w:rPr>
          <w:rFonts w:ascii="Times New (W1)" w:hAnsi="Times New (W1)"/>
          <w:szCs w:val="26"/>
        </w:rPr>
      </w:pPr>
    </w:p>
    <w:p w:rsidR="002C107B" w:rsidRPr="00765ED9" w:rsidRDefault="00765ED9" w:rsidP="002C107B">
      <w:pPr>
        <w:ind w:firstLine="720"/>
        <w:rPr>
          <w:rFonts w:ascii="Times New (W1)" w:eastAsiaTheme="minorHAnsi" w:hAnsi="Times New (W1)" w:cstheme="minorBidi"/>
          <w:szCs w:val="26"/>
        </w:rPr>
      </w:pPr>
      <w:r w:rsidRPr="005E4195">
        <w:rPr>
          <w:rFonts w:ascii="Times New (W1)" w:hAnsi="Times New (W1)"/>
          <w:szCs w:val="26"/>
        </w:rPr>
        <w:tab/>
      </w:r>
      <w:r w:rsidR="002C107B" w:rsidRPr="00765ED9">
        <w:rPr>
          <w:rFonts w:ascii="Times New (W1)" w:hAnsi="Times New (W1)"/>
        </w:rPr>
        <w:t xml:space="preserve">As a preliminary matter, we note that any issue or Exception that we do not specifically address shall be deemed to have been duly considered and denied without further discussion.  It is well settled that the Commission is not required to consider, expressly or at length, each contention or argument raised by the parties. </w:t>
      </w:r>
      <w:r w:rsidR="002C107B" w:rsidRPr="00765ED9">
        <w:rPr>
          <w:rFonts w:ascii="Times New (W1)" w:hAnsi="Times New (W1)"/>
          <w:i/>
        </w:rPr>
        <w:t xml:space="preserve"> Consolidated Rail Corp. v. Pennsylvania Public Utility Commission</w:t>
      </w:r>
      <w:r w:rsidR="002C107B" w:rsidRPr="00765ED9">
        <w:rPr>
          <w:rFonts w:ascii="Times New (W1)" w:hAnsi="Times New (W1)"/>
        </w:rPr>
        <w:t xml:space="preserve">, 625 A.2d 741 (Pa. Cmwlth. 1993); </w:t>
      </w:r>
      <w:r w:rsidR="002C107B" w:rsidRPr="00765ED9">
        <w:rPr>
          <w:rFonts w:ascii="Times New (W1)" w:eastAsiaTheme="minorHAnsi" w:hAnsi="Times New (W1)" w:cstheme="minorBidi"/>
          <w:i/>
          <w:szCs w:val="26"/>
        </w:rPr>
        <w:t>see also</w:t>
      </w:r>
      <w:r w:rsidR="002C107B" w:rsidRPr="00765ED9">
        <w:rPr>
          <w:rFonts w:ascii="Times New (W1)" w:eastAsiaTheme="minorHAnsi" w:hAnsi="Times New (W1)" w:cstheme="minorBidi"/>
          <w:szCs w:val="26"/>
        </w:rPr>
        <w:t xml:space="preserve">, </w:t>
      </w:r>
      <w:r w:rsidR="002C107B" w:rsidRPr="00765ED9">
        <w:rPr>
          <w:rFonts w:ascii="Times New (W1)" w:eastAsiaTheme="minorHAnsi" w:hAnsi="Times New (W1)" w:cstheme="minorBidi"/>
          <w:i/>
          <w:szCs w:val="26"/>
        </w:rPr>
        <w:t>generally</w:t>
      </w:r>
      <w:r w:rsidR="002C107B" w:rsidRPr="00765ED9">
        <w:rPr>
          <w:rFonts w:ascii="Times New (W1)" w:eastAsiaTheme="minorHAnsi" w:hAnsi="Times New (W1)" w:cstheme="minorBidi"/>
          <w:szCs w:val="26"/>
        </w:rPr>
        <w:t xml:space="preserve">, </w:t>
      </w:r>
      <w:r w:rsidR="002C107B" w:rsidRPr="00765ED9">
        <w:rPr>
          <w:rFonts w:ascii="Times New (W1)" w:eastAsiaTheme="minorHAnsi" w:hAnsi="Times New (W1)" w:cstheme="minorBidi"/>
          <w:i/>
          <w:szCs w:val="26"/>
        </w:rPr>
        <w:t>University of Pennsylvania v. Pa. PUC</w:t>
      </w:r>
      <w:r w:rsidR="002C107B" w:rsidRPr="00765ED9">
        <w:rPr>
          <w:rFonts w:ascii="Times New (W1)" w:eastAsiaTheme="minorHAnsi" w:hAnsi="Times New (W1)" w:cstheme="minorBidi"/>
          <w:szCs w:val="26"/>
        </w:rPr>
        <w:t xml:space="preserve">, 485 A.2d 1217 </w:t>
      </w:r>
      <w:r w:rsidR="002C107B">
        <w:rPr>
          <w:rFonts w:ascii="Times New (W1)" w:eastAsiaTheme="minorHAnsi" w:hAnsi="Times New (W1)" w:cstheme="minorBidi"/>
          <w:szCs w:val="26"/>
        </w:rPr>
        <w:t xml:space="preserve">     </w:t>
      </w:r>
      <w:r w:rsidR="002C107B" w:rsidRPr="00765ED9">
        <w:rPr>
          <w:rFonts w:ascii="Times New (W1)" w:eastAsiaTheme="minorHAnsi" w:hAnsi="Times New (W1)" w:cstheme="minorBidi"/>
          <w:szCs w:val="26"/>
        </w:rPr>
        <w:t>(Pa. Cmwlth. 1984).</w:t>
      </w:r>
    </w:p>
    <w:p w:rsidR="002C107B" w:rsidRDefault="002C107B" w:rsidP="002F7C19">
      <w:pPr>
        <w:ind w:firstLine="0"/>
        <w:rPr>
          <w:szCs w:val="26"/>
        </w:rPr>
      </w:pPr>
    </w:p>
    <w:p w:rsidR="00CF6085" w:rsidRDefault="002C107B" w:rsidP="002C107B">
      <w:pPr>
        <w:ind w:firstLine="720"/>
        <w:rPr>
          <w:szCs w:val="26"/>
        </w:rPr>
      </w:pPr>
      <w:r>
        <w:rPr>
          <w:szCs w:val="26"/>
        </w:rPr>
        <w:tab/>
      </w:r>
      <w:r w:rsidR="001B6D58" w:rsidRPr="005E4195">
        <w:rPr>
          <w:szCs w:val="26"/>
        </w:rPr>
        <w:t xml:space="preserve">In </w:t>
      </w:r>
      <w:r w:rsidR="00A259FA" w:rsidRPr="005E4195">
        <w:rPr>
          <w:szCs w:val="26"/>
        </w:rPr>
        <w:t>its</w:t>
      </w:r>
      <w:r w:rsidR="001B6D58" w:rsidRPr="005E4195">
        <w:rPr>
          <w:szCs w:val="26"/>
        </w:rPr>
        <w:t xml:space="preserve"> </w:t>
      </w:r>
      <w:r w:rsidR="00765ED9" w:rsidRPr="005E4195">
        <w:rPr>
          <w:szCs w:val="26"/>
        </w:rPr>
        <w:t>E</w:t>
      </w:r>
      <w:r w:rsidR="001B6D58" w:rsidRPr="005E4195">
        <w:rPr>
          <w:szCs w:val="26"/>
        </w:rPr>
        <w:t xml:space="preserve">xception, </w:t>
      </w:r>
      <w:r w:rsidR="00A259FA" w:rsidRPr="005E4195">
        <w:rPr>
          <w:szCs w:val="26"/>
        </w:rPr>
        <w:t>PECO points</w:t>
      </w:r>
      <w:r w:rsidR="001B6D58" w:rsidRPr="005E4195">
        <w:rPr>
          <w:szCs w:val="26"/>
        </w:rPr>
        <w:t xml:space="preserve"> out </w:t>
      </w:r>
      <w:r w:rsidR="00D5391B" w:rsidRPr="005E4195">
        <w:rPr>
          <w:szCs w:val="26"/>
        </w:rPr>
        <w:t>an</w:t>
      </w:r>
      <w:r w:rsidR="001B6D58" w:rsidRPr="005E4195">
        <w:rPr>
          <w:szCs w:val="26"/>
        </w:rPr>
        <w:t xml:space="preserve"> error in </w:t>
      </w:r>
      <w:r w:rsidR="001C780F" w:rsidRPr="005E4195">
        <w:rPr>
          <w:szCs w:val="26"/>
        </w:rPr>
        <w:t xml:space="preserve">the ALJ’s </w:t>
      </w:r>
      <w:r w:rsidR="00A259FA" w:rsidRPr="005E4195">
        <w:rPr>
          <w:szCs w:val="26"/>
        </w:rPr>
        <w:t>Findings of Fact Number 17</w:t>
      </w:r>
      <w:r w:rsidR="00D5391B" w:rsidRPr="005E4195">
        <w:rPr>
          <w:szCs w:val="26"/>
        </w:rPr>
        <w:t xml:space="preserve"> regarding </w:t>
      </w:r>
      <w:r w:rsidR="00794213" w:rsidRPr="005E4195">
        <w:rPr>
          <w:szCs w:val="26"/>
        </w:rPr>
        <w:t xml:space="preserve">the </w:t>
      </w:r>
      <w:r w:rsidR="00774350" w:rsidRPr="005E4195">
        <w:rPr>
          <w:szCs w:val="26"/>
        </w:rPr>
        <w:t xml:space="preserve">stipulated monthly </w:t>
      </w:r>
      <w:r w:rsidR="00794213" w:rsidRPr="005E4195">
        <w:rPr>
          <w:szCs w:val="26"/>
        </w:rPr>
        <w:t xml:space="preserve">budget amount </w:t>
      </w:r>
      <w:r w:rsidR="00774350" w:rsidRPr="005E4195">
        <w:rPr>
          <w:szCs w:val="26"/>
        </w:rPr>
        <w:t xml:space="preserve">the Complainant will pay </w:t>
      </w:r>
      <w:r w:rsidR="007C05B6" w:rsidRPr="005E4195">
        <w:rPr>
          <w:szCs w:val="26"/>
        </w:rPr>
        <w:t xml:space="preserve">to </w:t>
      </w:r>
      <w:r w:rsidR="00774350" w:rsidRPr="005E4195">
        <w:rPr>
          <w:szCs w:val="26"/>
        </w:rPr>
        <w:t>PECO as part of the agreement</w:t>
      </w:r>
      <w:r w:rsidR="00794213" w:rsidRPr="005E4195">
        <w:rPr>
          <w:szCs w:val="26"/>
        </w:rPr>
        <w:t>.</w:t>
      </w:r>
      <w:r w:rsidR="00D5391B" w:rsidRPr="005E4195">
        <w:rPr>
          <w:szCs w:val="26"/>
        </w:rPr>
        <w:t xml:space="preserve"> </w:t>
      </w:r>
      <w:r w:rsidR="00F02619">
        <w:rPr>
          <w:szCs w:val="26"/>
        </w:rPr>
        <w:t xml:space="preserve"> </w:t>
      </w:r>
    </w:p>
    <w:p w:rsidR="00CF6085" w:rsidRDefault="00CF6085" w:rsidP="002C107B">
      <w:pPr>
        <w:ind w:firstLine="720"/>
        <w:rPr>
          <w:szCs w:val="26"/>
        </w:rPr>
      </w:pPr>
    </w:p>
    <w:p w:rsidR="001E01C8" w:rsidRDefault="00F02619" w:rsidP="002C107B">
      <w:pPr>
        <w:ind w:firstLine="720"/>
        <w:rPr>
          <w:szCs w:val="26"/>
        </w:rPr>
      </w:pPr>
      <w:r w:rsidRPr="0091279F">
        <w:rPr>
          <w:szCs w:val="26"/>
        </w:rPr>
        <w:t xml:space="preserve">Finding of Fact No. 17 </w:t>
      </w:r>
      <w:r>
        <w:rPr>
          <w:szCs w:val="26"/>
        </w:rPr>
        <w:t>states as follows</w:t>
      </w:r>
      <w:r w:rsidRPr="0091279F">
        <w:rPr>
          <w:szCs w:val="26"/>
        </w:rPr>
        <w:t>: “The Parties also stipulate and understand that the budget amount is reduced quarterly and is subject to revision based on the usage for the service location where currently the budget is $120.00.”</w:t>
      </w:r>
      <w:r w:rsidR="00CF6085">
        <w:rPr>
          <w:szCs w:val="26"/>
        </w:rPr>
        <w:t xml:space="preserve">  </w:t>
      </w:r>
      <w:r w:rsidR="00794213" w:rsidRPr="005E4195">
        <w:rPr>
          <w:szCs w:val="26"/>
        </w:rPr>
        <w:t xml:space="preserve">PECO submits that the ALJ </w:t>
      </w:r>
      <w:r w:rsidR="000E5B31" w:rsidRPr="005E4195">
        <w:rPr>
          <w:szCs w:val="26"/>
        </w:rPr>
        <w:t xml:space="preserve">incorrectly </w:t>
      </w:r>
      <w:r w:rsidR="00794213" w:rsidRPr="005E4195">
        <w:rPr>
          <w:szCs w:val="26"/>
        </w:rPr>
        <w:t>indicated</w:t>
      </w:r>
      <w:r w:rsidR="00CF6085">
        <w:rPr>
          <w:szCs w:val="26"/>
        </w:rPr>
        <w:t xml:space="preserve"> in Finding of Fact No. 17</w:t>
      </w:r>
      <w:r w:rsidR="00794213" w:rsidRPr="005E4195">
        <w:rPr>
          <w:szCs w:val="26"/>
        </w:rPr>
        <w:t xml:space="preserve"> that the budget amount </w:t>
      </w:r>
      <w:r w:rsidR="00774350" w:rsidRPr="005E4195">
        <w:rPr>
          <w:szCs w:val="26"/>
        </w:rPr>
        <w:t xml:space="preserve">will </w:t>
      </w:r>
      <w:r w:rsidR="00774350" w:rsidRPr="005E4195">
        <w:rPr>
          <w:szCs w:val="26"/>
        </w:rPr>
        <w:lastRenderedPageBreak/>
        <w:t>be</w:t>
      </w:r>
      <w:r w:rsidR="00794213" w:rsidRPr="005E4195">
        <w:rPr>
          <w:szCs w:val="26"/>
        </w:rPr>
        <w:t xml:space="preserve"> </w:t>
      </w:r>
      <w:r w:rsidR="00ED64A3">
        <w:rPr>
          <w:szCs w:val="26"/>
        </w:rPr>
        <w:t>“</w:t>
      </w:r>
      <w:r w:rsidR="000E5B31" w:rsidRPr="00CF6085">
        <w:rPr>
          <w:i/>
          <w:szCs w:val="26"/>
        </w:rPr>
        <w:t>reduced</w:t>
      </w:r>
      <w:r w:rsidR="000E5B31" w:rsidRPr="00CF6085">
        <w:rPr>
          <w:b/>
          <w:i/>
          <w:szCs w:val="26"/>
        </w:rPr>
        <w:t xml:space="preserve"> </w:t>
      </w:r>
      <w:r w:rsidR="000E5B31" w:rsidRPr="00CF6085">
        <w:rPr>
          <w:szCs w:val="26"/>
        </w:rPr>
        <w:t>quarterly</w:t>
      </w:r>
      <w:r w:rsidR="00CF6085">
        <w:rPr>
          <w:szCs w:val="26"/>
        </w:rPr>
        <w:t>” rather than “</w:t>
      </w:r>
      <w:r w:rsidR="000E5B31" w:rsidRPr="00CF6085">
        <w:rPr>
          <w:i/>
          <w:szCs w:val="26"/>
        </w:rPr>
        <w:t>review</w:t>
      </w:r>
      <w:r w:rsidR="002F7C19" w:rsidRPr="00CF6085">
        <w:rPr>
          <w:i/>
          <w:szCs w:val="26"/>
        </w:rPr>
        <w:t>ed</w:t>
      </w:r>
      <w:r w:rsidR="00CF6085">
        <w:rPr>
          <w:szCs w:val="26"/>
        </w:rPr>
        <w:t xml:space="preserve"> quarterly</w:t>
      </w:r>
      <w:r w:rsidR="00ED64A3" w:rsidRPr="00244952">
        <w:rPr>
          <w:szCs w:val="26"/>
        </w:rPr>
        <w:t>”</w:t>
      </w:r>
      <w:r w:rsidR="000E5B31" w:rsidRPr="005E4195">
        <w:rPr>
          <w:szCs w:val="26"/>
        </w:rPr>
        <w:t xml:space="preserve"> based on </w:t>
      </w:r>
      <w:r w:rsidR="00CF6085">
        <w:rPr>
          <w:szCs w:val="26"/>
        </w:rPr>
        <w:t xml:space="preserve">the </w:t>
      </w:r>
      <w:r w:rsidR="007F4365" w:rsidRPr="005E4195">
        <w:rPr>
          <w:szCs w:val="26"/>
        </w:rPr>
        <w:t>Complainant’s</w:t>
      </w:r>
      <w:r w:rsidR="000E5B31" w:rsidRPr="005E4195">
        <w:rPr>
          <w:szCs w:val="26"/>
        </w:rPr>
        <w:t xml:space="preserve"> usage.  </w:t>
      </w:r>
      <w:r w:rsidR="00ED64A3">
        <w:rPr>
          <w:szCs w:val="26"/>
        </w:rPr>
        <w:t xml:space="preserve">Exc. at 1.  </w:t>
      </w:r>
      <w:r w:rsidR="007F4365" w:rsidRPr="005E4195">
        <w:rPr>
          <w:szCs w:val="26"/>
        </w:rPr>
        <w:t>In explaining budget billing procedures</w:t>
      </w:r>
      <w:r w:rsidR="0097124C">
        <w:rPr>
          <w:szCs w:val="26"/>
        </w:rPr>
        <w:t>,</w:t>
      </w:r>
      <w:r w:rsidR="007F4365" w:rsidRPr="005E4195">
        <w:rPr>
          <w:szCs w:val="26"/>
        </w:rPr>
        <w:t xml:space="preserve"> </w:t>
      </w:r>
      <w:r w:rsidR="002F7C19" w:rsidRPr="005E4195">
        <w:rPr>
          <w:szCs w:val="26"/>
        </w:rPr>
        <w:t xml:space="preserve">PECO </w:t>
      </w:r>
      <w:r w:rsidR="00555410">
        <w:rPr>
          <w:szCs w:val="26"/>
        </w:rPr>
        <w:t xml:space="preserve">first </w:t>
      </w:r>
      <w:r w:rsidR="002320D9" w:rsidRPr="005E4195">
        <w:rPr>
          <w:szCs w:val="26"/>
        </w:rPr>
        <w:t xml:space="preserve">cites to </w:t>
      </w:r>
      <w:r w:rsidR="004D3183">
        <w:rPr>
          <w:szCs w:val="26"/>
        </w:rPr>
        <w:t>Section 56.12</w:t>
      </w:r>
      <w:r w:rsidR="00CF6085">
        <w:rPr>
          <w:szCs w:val="26"/>
        </w:rPr>
        <w:t> </w:t>
      </w:r>
      <w:r w:rsidR="004D3183">
        <w:rPr>
          <w:szCs w:val="26"/>
        </w:rPr>
        <w:t>(7)</w:t>
      </w:r>
      <w:r w:rsidR="004D3183">
        <w:rPr>
          <w:rStyle w:val="FootnoteReference"/>
          <w:szCs w:val="26"/>
        </w:rPr>
        <w:footnoteReference w:id="1"/>
      </w:r>
      <w:r w:rsidR="0097124C">
        <w:rPr>
          <w:szCs w:val="26"/>
        </w:rPr>
        <w:t xml:space="preserve"> of </w:t>
      </w:r>
      <w:r w:rsidR="002320D9" w:rsidRPr="005E4195">
        <w:rPr>
          <w:szCs w:val="26"/>
        </w:rPr>
        <w:t xml:space="preserve">the Commission’s </w:t>
      </w:r>
      <w:r w:rsidR="0097124C">
        <w:rPr>
          <w:szCs w:val="26"/>
        </w:rPr>
        <w:t>R</w:t>
      </w:r>
      <w:r w:rsidR="002320D9" w:rsidRPr="005E4195">
        <w:rPr>
          <w:szCs w:val="26"/>
        </w:rPr>
        <w:t>egulation</w:t>
      </w:r>
      <w:r w:rsidR="0097124C">
        <w:rPr>
          <w:szCs w:val="26"/>
        </w:rPr>
        <w:t>s</w:t>
      </w:r>
      <w:r w:rsidR="001E01C8">
        <w:rPr>
          <w:szCs w:val="26"/>
        </w:rPr>
        <w:t xml:space="preserve"> on </w:t>
      </w:r>
      <w:r w:rsidR="00555410">
        <w:rPr>
          <w:szCs w:val="26"/>
        </w:rPr>
        <w:t>B</w:t>
      </w:r>
      <w:r w:rsidR="001E01C8">
        <w:rPr>
          <w:szCs w:val="26"/>
        </w:rPr>
        <w:t>udget</w:t>
      </w:r>
      <w:r w:rsidR="00555410">
        <w:rPr>
          <w:szCs w:val="26"/>
        </w:rPr>
        <w:t xml:space="preserve"> B</w:t>
      </w:r>
      <w:r w:rsidR="001E01C8">
        <w:rPr>
          <w:szCs w:val="26"/>
        </w:rPr>
        <w:t>illing:</w:t>
      </w:r>
    </w:p>
    <w:p w:rsidR="007F75E3" w:rsidRDefault="007F75E3" w:rsidP="002C107B">
      <w:pPr>
        <w:ind w:firstLine="720"/>
        <w:rPr>
          <w:szCs w:val="26"/>
        </w:rPr>
      </w:pPr>
    </w:p>
    <w:p w:rsidR="001E01C8" w:rsidRDefault="001E01C8" w:rsidP="00650E30">
      <w:pPr>
        <w:pStyle w:val="FootnoteText"/>
        <w:spacing w:line="240" w:lineRule="auto"/>
        <w:ind w:left="1440" w:right="1440" w:firstLine="0"/>
        <w:rPr>
          <w:sz w:val="26"/>
          <w:szCs w:val="26"/>
        </w:rPr>
      </w:pPr>
      <w:r w:rsidRPr="00650E30">
        <w:rPr>
          <w:i/>
          <w:sz w:val="26"/>
          <w:szCs w:val="26"/>
        </w:rPr>
        <w:t>Budget billing.</w:t>
      </w:r>
      <w:r>
        <w:rPr>
          <w:sz w:val="26"/>
          <w:szCs w:val="26"/>
        </w:rPr>
        <w:t xml:space="preserve"> A gas, electric and steam heating public utility shall provide its residential customers, on a year-round rolling enrollment bases, with an optional billing procedure which averages estimated public utility service cost</w:t>
      </w:r>
      <w:r w:rsidR="00950F0A">
        <w:rPr>
          <w:sz w:val="26"/>
          <w:szCs w:val="26"/>
        </w:rPr>
        <w:t>s</w:t>
      </w:r>
      <w:r>
        <w:rPr>
          <w:sz w:val="26"/>
          <w:szCs w:val="26"/>
        </w:rPr>
        <w:t xml:space="preserve"> over </w:t>
      </w:r>
      <w:r w:rsidR="00950F0A">
        <w:rPr>
          <w:sz w:val="26"/>
          <w:szCs w:val="26"/>
        </w:rPr>
        <w:t xml:space="preserve">a </w:t>
      </w:r>
      <w:r>
        <w:rPr>
          <w:sz w:val="26"/>
          <w:szCs w:val="26"/>
        </w:rPr>
        <w:t>10</w:t>
      </w:r>
      <w:r w:rsidR="00CF6085">
        <w:rPr>
          <w:sz w:val="26"/>
          <w:szCs w:val="26"/>
        </w:rPr>
        <w:noBreakHyphen/>
      </w:r>
      <w:r>
        <w:rPr>
          <w:sz w:val="26"/>
          <w:szCs w:val="26"/>
        </w:rPr>
        <w:t>month, 11-month or 12-month period to eliminate, to the extent possible, seasonal fluctuations in utility bills.</w:t>
      </w:r>
    </w:p>
    <w:p w:rsidR="00650E30" w:rsidRDefault="00650E30" w:rsidP="00650E30">
      <w:pPr>
        <w:pStyle w:val="FootnoteText"/>
        <w:spacing w:line="240" w:lineRule="auto"/>
        <w:ind w:left="1440" w:right="1440" w:firstLine="0"/>
        <w:rPr>
          <w:sz w:val="26"/>
          <w:szCs w:val="26"/>
        </w:rPr>
      </w:pPr>
    </w:p>
    <w:p w:rsidR="001E01C8" w:rsidRDefault="001E01C8" w:rsidP="001E01C8">
      <w:pPr>
        <w:ind w:firstLine="0"/>
        <w:rPr>
          <w:szCs w:val="26"/>
        </w:rPr>
      </w:pPr>
      <w:r>
        <w:rPr>
          <w:szCs w:val="26"/>
        </w:rPr>
        <w:t>Exc</w:t>
      </w:r>
      <w:r w:rsidR="007F75E3">
        <w:rPr>
          <w:szCs w:val="26"/>
        </w:rPr>
        <w:t>.</w:t>
      </w:r>
      <w:r>
        <w:rPr>
          <w:szCs w:val="26"/>
        </w:rPr>
        <w:t xml:space="preserve"> at 1-2 (citing</w:t>
      </w:r>
      <w:r w:rsidR="004D3183">
        <w:rPr>
          <w:szCs w:val="26"/>
        </w:rPr>
        <w:t xml:space="preserve"> </w:t>
      </w:r>
      <w:r w:rsidRPr="005E4195">
        <w:rPr>
          <w:szCs w:val="26"/>
        </w:rPr>
        <w:t>52 Pa. Code §</w:t>
      </w:r>
      <w:r>
        <w:rPr>
          <w:szCs w:val="26"/>
        </w:rPr>
        <w:t xml:space="preserve"> </w:t>
      </w:r>
      <w:r w:rsidRPr="005E4195">
        <w:rPr>
          <w:szCs w:val="26"/>
        </w:rPr>
        <w:t>56.1</w:t>
      </w:r>
      <w:r w:rsidR="004D3183">
        <w:rPr>
          <w:szCs w:val="26"/>
        </w:rPr>
        <w:t>2(7)</w:t>
      </w:r>
      <w:r>
        <w:rPr>
          <w:szCs w:val="26"/>
        </w:rPr>
        <w:t>)</w:t>
      </w:r>
      <w:r w:rsidR="00950F0A">
        <w:rPr>
          <w:szCs w:val="26"/>
        </w:rPr>
        <w:t xml:space="preserve">.  </w:t>
      </w:r>
      <w:r>
        <w:rPr>
          <w:szCs w:val="26"/>
        </w:rPr>
        <w:t xml:space="preserve">PECO also </w:t>
      </w:r>
      <w:r w:rsidR="004D3183">
        <w:rPr>
          <w:szCs w:val="26"/>
        </w:rPr>
        <w:t>refers to</w:t>
      </w:r>
      <w:r w:rsidRPr="005E4195">
        <w:rPr>
          <w:szCs w:val="26"/>
        </w:rPr>
        <w:t xml:space="preserve"> </w:t>
      </w:r>
      <w:r w:rsidR="004D3183">
        <w:rPr>
          <w:szCs w:val="26"/>
        </w:rPr>
        <w:t xml:space="preserve">Section 17.6 of its Tariff </w:t>
      </w:r>
      <w:r w:rsidR="000D7CD1">
        <w:rPr>
          <w:szCs w:val="26"/>
        </w:rPr>
        <w:t xml:space="preserve">which contains </w:t>
      </w:r>
      <w:r w:rsidR="000D7CD1" w:rsidRPr="005E4195">
        <w:rPr>
          <w:szCs w:val="26"/>
        </w:rPr>
        <w:t>provisions for budget billing</w:t>
      </w:r>
      <w:r w:rsidR="000D7CD1">
        <w:rPr>
          <w:szCs w:val="26"/>
        </w:rPr>
        <w:t xml:space="preserve"> as</w:t>
      </w:r>
      <w:r w:rsidR="004D3183">
        <w:rPr>
          <w:szCs w:val="26"/>
        </w:rPr>
        <w:t xml:space="preserve"> follow</w:t>
      </w:r>
      <w:r w:rsidR="000D7CD1">
        <w:rPr>
          <w:szCs w:val="26"/>
        </w:rPr>
        <w:t>s:</w:t>
      </w:r>
    </w:p>
    <w:p w:rsidR="001E01C8" w:rsidRDefault="001E01C8" w:rsidP="000D7CD1">
      <w:pPr>
        <w:ind w:firstLine="720"/>
        <w:rPr>
          <w:szCs w:val="26"/>
        </w:rPr>
      </w:pPr>
    </w:p>
    <w:p w:rsidR="00950F0A" w:rsidRDefault="00950F0A" w:rsidP="001E01C8">
      <w:pPr>
        <w:pStyle w:val="FootnoteText"/>
        <w:spacing w:line="240" w:lineRule="auto"/>
        <w:ind w:left="1440" w:right="1440" w:firstLine="0"/>
        <w:rPr>
          <w:sz w:val="26"/>
          <w:szCs w:val="26"/>
        </w:rPr>
      </w:pPr>
      <w:r w:rsidRPr="00950F0A">
        <w:rPr>
          <w:sz w:val="26"/>
          <w:szCs w:val="26"/>
        </w:rPr>
        <w:t xml:space="preserve">17.6  </w:t>
      </w:r>
      <w:r w:rsidR="001E01C8" w:rsidRPr="00950F0A">
        <w:rPr>
          <w:sz w:val="26"/>
          <w:szCs w:val="26"/>
        </w:rPr>
        <w:t>B</w:t>
      </w:r>
      <w:r w:rsidRPr="00950F0A">
        <w:rPr>
          <w:sz w:val="26"/>
          <w:szCs w:val="26"/>
        </w:rPr>
        <w:t>UDGET BILLING</w:t>
      </w:r>
      <w:r w:rsidR="000D7CD1" w:rsidRPr="00950F0A">
        <w:rPr>
          <w:sz w:val="26"/>
          <w:szCs w:val="26"/>
        </w:rPr>
        <w:t>.</w:t>
      </w:r>
      <w:r w:rsidR="000D7CD1">
        <w:rPr>
          <w:sz w:val="26"/>
          <w:szCs w:val="26"/>
        </w:rPr>
        <w:t xml:space="preserve"> </w:t>
      </w:r>
      <w:r w:rsidR="001E01C8">
        <w:rPr>
          <w:sz w:val="26"/>
          <w:szCs w:val="26"/>
        </w:rPr>
        <w:t xml:space="preserve"> </w:t>
      </w:r>
    </w:p>
    <w:p w:rsidR="00D42AA5" w:rsidRPr="00D42AA5" w:rsidRDefault="00950F0A" w:rsidP="00D42AA5">
      <w:pPr>
        <w:pStyle w:val="FootnoteText"/>
        <w:spacing w:line="240" w:lineRule="auto"/>
        <w:ind w:left="1440" w:right="1440" w:firstLine="0"/>
        <w:rPr>
          <w:sz w:val="26"/>
          <w:szCs w:val="26"/>
        </w:rPr>
      </w:pPr>
      <w:r>
        <w:rPr>
          <w:sz w:val="26"/>
          <w:szCs w:val="26"/>
        </w:rPr>
        <w:t xml:space="preserve">    </w:t>
      </w:r>
      <w:r w:rsidR="000D7CD1">
        <w:rPr>
          <w:sz w:val="26"/>
          <w:szCs w:val="26"/>
        </w:rPr>
        <w:t xml:space="preserve">(a) </w:t>
      </w:r>
      <w:r w:rsidR="001E01C8">
        <w:rPr>
          <w:sz w:val="26"/>
          <w:szCs w:val="26"/>
        </w:rPr>
        <w:t>At the option of a customer receiving residential service under Rates</w:t>
      </w:r>
      <w:r>
        <w:rPr>
          <w:sz w:val="26"/>
          <w:szCs w:val="26"/>
        </w:rPr>
        <w:t xml:space="preserve"> R, R-H, RS-2, POL and GS, </w:t>
      </w:r>
      <w:r w:rsidR="001E01C8">
        <w:rPr>
          <w:sz w:val="26"/>
          <w:szCs w:val="26"/>
        </w:rPr>
        <w:t>an estimated total bill for all service to be received by the customer over a twelve</w:t>
      </w:r>
      <w:r>
        <w:rPr>
          <w:sz w:val="26"/>
          <w:szCs w:val="26"/>
        </w:rPr>
        <w:t xml:space="preserve"> </w:t>
      </w:r>
      <w:r w:rsidR="001E01C8">
        <w:rPr>
          <w:sz w:val="26"/>
          <w:szCs w:val="26"/>
        </w:rPr>
        <w:t>month period may be budgeted over the period and an average bill rendered monthly for payment each month.  Any difference between the budgeted amounts so paid and the actual charges for a twelve</w:t>
      </w:r>
      <w:r>
        <w:rPr>
          <w:sz w:val="26"/>
          <w:szCs w:val="26"/>
        </w:rPr>
        <w:t xml:space="preserve"> </w:t>
      </w:r>
      <w:r w:rsidR="001E01C8">
        <w:rPr>
          <w:sz w:val="26"/>
          <w:szCs w:val="26"/>
        </w:rPr>
        <w:t>month budget period will at the customer’s option</w:t>
      </w:r>
      <w:r w:rsidR="00D42AA5">
        <w:rPr>
          <w:sz w:val="26"/>
          <w:szCs w:val="26"/>
        </w:rPr>
        <w:t xml:space="preserve"> </w:t>
      </w:r>
      <w:r w:rsidR="00D42AA5" w:rsidRPr="00D42AA5">
        <w:rPr>
          <w:sz w:val="26"/>
          <w:szCs w:val="26"/>
        </w:rPr>
        <w:t>either be amortized over the next</w:t>
      </w:r>
    </w:p>
    <w:p w:rsidR="001E01C8" w:rsidRDefault="00D42AA5" w:rsidP="00650E30">
      <w:pPr>
        <w:pStyle w:val="FootnoteText"/>
        <w:spacing w:line="240" w:lineRule="auto"/>
        <w:ind w:left="1440" w:right="1440" w:firstLine="0"/>
        <w:rPr>
          <w:sz w:val="26"/>
          <w:szCs w:val="26"/>
        </w:rPr>
      </w:pPr>
      <w:r w:rsidRPr="00D42AA5">
        <w:rPr>
          <w:sz w:val="26"/>
          <w:szCs w:val="26"/>
        </w:rPr>
        <w:t>twelve months or incorporated into the 12th month bill.</w:t>
      </w:r>
    </w:p>
    <w:p w:rsidR="00650E30" w:rsidRDefault="00650E30" w:rsidP="00650E30">
      <w:pPr>
        <w:pStyle w:val="FootnoteText"/>
        <w:ind w:left="1440" w:right="1440" w:firstLine="0"/>
        <w:rPr>
          <w:szCs w:val="26"/>
        </w:rPr>
      </w:pPr>
    </w:p>
    <w:p w:rsidR="001B6D58" w:rsidRPr="005E4195" w:rsidRDefault="007F4365" w:rsidP="007F75E3">
      <w:pPr>
        <w:ind w:firstLine="0"/>
        <w:rPr>
          <w:szCs w:val="26"/>
        </w:rPr>
      </w:pPr>
      <w:r w:rsidRPr="005E4195">
        <w:rPr>
          <w:szCs w:val="26"/>
        </w:rPr>
        <w:t>According to PECO</w:t>
      </w:r>
      <w:r w:rsidR="005E4195">
        <w:rPr>
          <w:szCs w:val="26"/>
        </w:rPr>
        <w:t>,</w:t>
      </w:r>
      <w:r w:rsidRPr="005E4195">
        <w:rPr>
          <w:szCs w:val="26"/>
        </w:rPr>
        <w:t xml:space="preserve"> </w:t>
      </w:r>
      <w:r w:rsidR="007F75E3">
        <w:rPr>
          <w:szCs w:val="26"/>
        </w:rPr>
        <w:t xml:space="preserve">consistent with Section 17.6 of its tariff, </w:t>
      </w:r>
      <w:r w:rsidR="002F7C19" w:rsidRPr="005E4195">
        <w:rPr>
          <w:szCs w:val="26"/>
        </w:rPr>
        <w:t xml:space="preserve">the </w:t>
      </w:r>
      <w:r w:rsidR="002320D9" w:rsidRPr="005E4195">
        <w:rPr>
          <w:szCs w:val="26"/>
        </w:rPr>
        <w:t xml:space="preserve">budget bill payment amount is an average of a customer’s usage over the previous </w:t>
      </w:r>
      <w:r w:rsidR="00811D0D">
        <w:rPr>
          <w:szCs w:val="26"/>
        </w:rPr>
        <w:t>twelve</w:t>
      </w:r>
      <w:r w:rsidR="002320D9" w:rsidRPr="005E4195">
        <w:rPr>
          <w:szCs w:val="26"/>
        </w:rPr>
        <w:t xml:space="preserve"> months</w:t>
      </w:r>
      <w:r w:rsidR="003D427A" w:rsidRPr="005E4195">
        <w:rPr>
          <w:szCs w:val="26"/>
        </w:rPr>
        <w:t>, and defers</w:t>
      </w:r>
      <w:r w:rsidRPr="005E4195">
        <w:rPr>
          <w:szCs w:val="26"/>
        </w:rPr>
        <w:t xml:space="preserve"> </w:t>
      </w:r>
      <w:r w:rsidR="003D427A" w:rsidRPr="005E4195">
        <w:rPr>
          <w:szCs w:val="26"/>
        </w:rPr>
        <w:t xml:space="preserve">a balance at times when the payment amount is </w:t>
      </w:r>
      <w:r w:rsidR="002320D9" w:rsidRPr="005E4195">
        <w:rPr>
          <w:szCs w:val="26"/>
        </w:rPr>
        <w:t>lower than the monthly usage</w:t>
      </w:r>
      <w:r w:rsidR="003D427A" w:rsidRPr="005E4195">
        <w:rPr>
          <w:szCs w:val="26"/>
        </w:rPr>
        <w:t xml:space="preserve"> </w:t>
      </w:r>
      <w:r w:rsidR="002320D9" w:rsidRPr="005E4195">
        <w:rPr>
          <w:szCs w:val="26"/>
        </w:rPr>
        <w:t xml:space="preserve">or </w:t>
      </w:r>
      <w:r w:rsidR="00811D0D">
        <w:rPr>
          <w:szCs w:val="26"/>
        </w:rPr>
        <w:t>provides a</w:t>
      </w:r>
      <w:r w:rsidRPr="005E4195">
        <w:rPr>
          <w:szCs w:val="26"/>
        </w:rPr>
        <w:t xml:space="preserve"> </w:t>
      </w:r>
      <w:r w:rsidR="002320D9" w:rsidRPr="005E4195">
        <w:rPr>
          <w:szCs w:val="26"/>
        </w:rPr>
        <w:t>credit when the payment amount is higher than the monthly usage.</w:t>
      </w:r>
      <w:r w:rsidR="00ED64A3">
        <w:rPr>
          <w:szCs w:val="26"/>
        </w:rPr>
        <w:t xml:space="preserve">  Exc. at 2.</w:t>
      </w:r>
      <w:r w:rsidR="002320D9" w:rsidRPr="005E4195">
        <w:rPr>
          <w:szCs w:val="26"/>
        </w:rPr>
        <w:t xml:space="preserve">  </w:t>
      </w:r>
      <w:r w:rsidR="007F75E3">
        <w:rPr>
          <w:szCs w:val="26"/>
        </w:rPr>
        <w:t xml:space="preserve">Furthermore, </w:t>
      </w:r>
      <w:r w:rsidR="003D427A" w:rsidRPr="005E4195">
        <w:rPr>
          <w:szCs w:val="26"/>
        </w:rPr>
        <w:t>PECO submits that the</w:t>
      </w:r>
      <w:r w:rsidR="002320D9" w:rsidRPr="005E4195">
        <w:rPr>
          <w:szCs w:val="26"/>
        </w:rPr>
        <w:t xml:space="preserve"> monthly payment amount is reviewed quarterly to ensure </w:t>
      </w:r>
      <w:r w:rsidR="007C05B6" w:rsidRPr="005E4195">
        <w:rPr>
          <w:szCs w:val="26"/>
        </w:rPr>
        <w:t xml:space="preserve">that </w:t>
      </w:r>
      <w:r w:rsidR="002320D9" w:rsidRPr="005E4195">
        <w:rPr>
          <w:szCs w:val="26"/>
        </w:rPr>
        <w:t xml:space="preserve">the billed amount is consistent with actual usage so that the settlement at the end of </w:t>
      </w:r>
      <w:r w:rsidR="00ED64A3">
        <w:rPr>
          <w:szCs w:val="26"/>
        </w:rPr>
        <w:t>twelve</w:t>
      </w:r>
      <w:r w:rsidR="002320D9" w:rsidRPr="005E4195">
        <w:rPr>
          <w:szCs w:val="26"/>
        </w:rPr>
        <w:t xml:space="preserve"> months does not adversely impact the customer.  </w:t>
      </w:r>
      <w:r w:rsidR="007C05B6" w:rsidRPr="005E4195">
        <w:rPr>
          <w:szCs w:val="26"/>
        </w:rPr>
        <w:t>P</w:t>
      </w:r>
      <w:r w:rsidR="002320D9" w:rsidRPr="005E4195">
        <w:rPr>
          <w:szCs w:val="26"/>
        </w:rPr>
        <w:t xml:space="preserve">ECO notes that if the </w:t>
      </w:r>
      <w:r w:rsidR="002320D9" w:rsidRPr="005E4195">
        <w:rPr>
          <w:szCs w:val="26"/>
        </w:rPr>
        <w:lastRenderedPageBreak/>
        <w:t xml:space="preserve">budget billing were </w:t>
      </w:r>
      <w:r w:rsidR="002320D9" w:rsidRPr="00D42AA5">
        <w:rPr>
          <w:i/>
          <w:szCs w:val="26"/>
        </w:rPr>
        <w:t>reduced quarterly</w:t>
      </w:r>
      <w:r w:rsidR="00ED64A3">
        <w:rPr>
          <w:szCs w:val="26"/>
        </w:rPr>
        <w:t>,</w:t>
      </w:r>
      <w:r w:rsidR="002320D9" w:rsidRPr="005E4195">
        <w:rPr>
          <w:szCs w:val="26"/>
        </w:rPr>
        <w:t xml:space="preserve"> irrespective of usage, the Complainant would eventu</w:t>
      </w:r>
      <w:r w:rsidR="00E527F5" w:rsidRPr="005E4195">
        <w:rPr>
          <w:szCs w:val="26"/>
        </w:rPr>
        <w:t>a</w:t>
      </w:r>
      <w:r w:rsidR="002320D9" w:rsidRPr="005E4195">
        <w:rPr>
          <w:szCs w:val="26"/>
        </w:rPr>
        <w:t>lly pay nothing for electric usage charges.</w:t>
      </w:r>
      <w:r w:rsidR="00E527F5" w:rsidRPr="005E4195">
        <w:rPr>
          <w:szCs w:val="26"/>
        </w:rPr>
        <w:t xml:space="preserve">  </w:t>
      </w:r>
      <w:r w:rsidR="00ED64A3" w:rsidRPr="00244952">
        <w:rPr>
          <w:i/>
          <w:szCs w:val="26"/>
        </w:rPr>
        <w:t>Id</w:t>
      </w:r>
      <w:r w:rsidR="00ED64A3">
        <w:rPr>
          <w:szCs w:val="26"/>
        </w:rPr>
        <w:t xml:space="preserve">.  </w:t>
      </w:r>
      <w:r w:rsidR="00E527F5" w:rsidRPr="005E4195">
        <w:rPr>
          <w:szCs w:val="26"/>
        </w:rPr>
        <w:t xml:space="preserve">PECO </w:t>
      </w:r>
      <w:r w:rsidR="00D42AA5">
        <w:rPr>
          <w:szCs w:val="26"/>
        </w:rPr>
        <w:t xml:space="preserve">submits </w:t>
      </w:r>
      <w:r w:rsidR="00E527F5" w:rsidRPr="005E4195">
        <w:rPr>
          <w:szCs w:val="26"/>
        </w:rPr>
        <w:t xml:space="preserve">that this could not be what </w:t>
      </w:r>
      <w:r w:rsidR="005E4195">
        <w:rPr>
          <w:szCs w:val="26"/>
        </w:rPr>
        <w:t xml:space="preserve">the </w:t>
      </w:r>
      <w:r w:rsidR="00E527F5" w:rsidRPr="005E4195">
        <w:rPr>
          <w:szCs w:val="26"/>
        </w:rPr>
        <w:t>ALJ had intended in granting the payment a</w:t>
      </w:r>
      <w:r w:rsidR="00ED64A3">
        <w:rPr>
          <w:szCs w:val="26"/>
        </w:rPr>
        <w:t>rrangement</w:t>
      </w:r>
      <w:r w:rsidR="00E527F5" w:rsidRPr="005E4195">
        <w:rPr>
          <w:szCs w:val="26"/>
        </w:rPr>
        <w:t xml:space="preserve">.  </w:t>
      </w:r>
      <w:r w:rsidR="00D42AA5">
        <w:rPr>
          <w:szCs w:val="26"/>
        </w:rPr>
        <w:t>For th</w:t>
      </w:r>
      <w:r w:rsidR="007F75E3">
        <w:rPr>
          <w:szCs w:val="26"/>
        </w:rPr>
        <w:t>is reason,</w:t>
      </w:r>
      <w:r w:rsidR="00D42AA5">
        <w:rPr>
          <w:szCs w:val="26"/>
        </w:rPr>
        <w:t xml:space="preserve"> </w:t>
      </w:r>
      <w:r w:rsidR="00E527F5" w:rsidRPr="005E4195">
        <w:rPr>
          <w:szCs w:val="26"/>
        </w:rPr>
        <w:t>PECO request</w:t>
      </w:r>
      <w:r w:rsidR="005E4195">
        <w:rPr>
          <w:szCs w:val="26"/>
        </w:rPr>
        <w:t>s</w:t>
      </w:r>
      <w:r w:rsidR="00E527F5" w:rsidRPr="005E4195">
        <w:rPr>
          <w:szCs w:val="26"/>
        </w:rPr>
        <w:t xml:space="preserve"> </w:t>
      </w:r>
      <w:r w:rsidR="00ED64A3">
        <w:rPr>
          <w:szCs w:val="26"/>
        </w:rPr>
        <w:t xml:space="preserve">that the Commission </w:t>
      </w:r>
      <w:r w:rsidR="00E527F5" w:rsidRPr="005E4195">
        <w:rPr>
          <w:szCs w:val="26"/>
        </w:rPr>
        <w:t xml:space="preserve">modify </w:t>
      </w:r>
      <w:r w:rsidR="005E4195">
        <w:rPr>
          <w:szCs w:val="26"/>
        </w:rPr>
        <w:t>F</w:t>
      </w:r>
      <w:r w:rsidR="00E527F5" w:rsidRPr="005E4195">
        <w:rPr>
          <w:szCs w:val="26"/>
        </w:rPr>
        <w:t>inding of Fact</w:t>
      </w:r>
      <w:r w:rsidR="005E4195">
        <w:rPr>
          <w:szCs w:val="26"/>
        </w:rPr>
        <w:t xml:space="preserve"> No.</w:t>
      </w:r>
      <w:r w:rsidR="00E527F5" w:rsidRPr="005E4195">
        <w:rPr>
          <w:szCs w:val="26"/>
        </w:rPr>
        <w:t xml:space="preserve"> 17 to </w:t>
      </w:r>
      <w:r w:rsidR="00D42AA5">
        <w:rPr>
          <w:szCs w:val="26"/>
        </w:rPr>
        <w:t xml:space="preserve">change “reduced quarterly” to </w:t>
      </w:r>
      <w:r w:rsidR="00E527F5" w:rsidRPr="005E4195">
        <w:rPr>
          <w:szCs w:val="26"/>
        </w:rPr>
        <w:t>“reviewed</w:t>
      </w:r>
      <w:r w:rsidR="00D42AA5">
        <w:rPr>
          <w:szCs w:val="26"/>
        </w:rPr>
        <w:t xml:space="preserve"> quarterly,</w:t>
      </w:r>
      <w:r w:rsidR="00E527F5" w:rsidRPr="005E4195">
        <w:rPr>
          <w:szCs w:val="26"/>
        </w:rPr>
        <w:t>”</w:t>
      </w:r>
      <w:r w:rsidR="00D42AA5">
        <w:rPr>
          <w:szCs w:val="26"/>
        </w:rPr>
        <w:t xml:space="preserve"> so that it is consistent with </w:t>
      </w:r>
      <w:r w:rsidR="00E527F5" w:rsidRPr="005E4195">
        <w:rPr>
          <w:szCs w:val="26"/>
        </w:rPr>
        <w:t xml:space="preserve">  </w:t>
      </w:r>
      <w:r w:rsidR="001C780F" w:rsidRPr="005E4195">
        <w:rPr>
          <w:szCs w:val="26"/>
        </w:rPr>
        <w:t xml:space="preserve">Exc. </w:t>
      </w:r>
      <w:r w:rsidR="00E527F5" w:rsidRPr="005E4195">
        <w:rPr>
          <w:szCs w:val="26"/>
        </w:rPr>
        <w:t>at</w:t>
      </w:r>
      <w:r w:rsidR="00D42AA5">
        <w:rPr>
          <w:szCs w:val="26"/>
        </w:rPr>
        <w:t> </w:t>
      </w:r>
      <w:r w:rsidR="00E527F5" w:rsidRPr="005E4195">
        <w:rPr>
          <w:szCs w:val="26"/>
        </w:rPr>
        <w:t>2-3</w:t>
      </w:r>
      <w:r w:rsidR="001C780F" w:rsidRPr="005E4195">
        <w:rPr>
          <w:szCs w:val="26"/>
        </w:rPr>
        <w:t>.</w:t>
      </w:r>
    </w:p>
    <w:p w:rsidR="002A4D7C" w:rsidRPr="005E4195" w:rsidRDefault="002A4D7C" w:rsidP="001E00C6">
      <w:pPr>
        <w:ind w:firstLine="0"/>
        <w:rPr>
          <w:szCs w:val="26"/>
        </w:rPr>
      </w:pPr>
    </w:p>
    <w:p w:rsidR="00D5391B" w:rsidRPr="005E4195" w:rsidRDefault="00244754" w:rsidP="00765ED9">
      <w:pPr>
        <w:keepNext/>
        <w:ind w:firstLine="0"/>
        <w:rPr>
          <w:b/>
          <w:szCs w:val="26"/>
        </w:rPr>
      </w:pPr>
      <w:r w:rsidRPr="005E4195">
        <w:rPr>
          <w:b/>
          <w:szCs w:val="26"/>
        </w:rPr>
        <w:tab/>
      </w:r>
      <w:r w:rsidR="00E527F5" w:rsidRPr="005E4195">
        <w:rPr>
          <w:b/>
          <w:szCs w:val="26"/>
        </w:rPr>
        <w:t>E</w:t>
      </w:r>
      <w:r w:rsidRPr="005E4195">
        <w:rPr>
          <w:b/>
          <w:szCs w:val="26"/>
        </w:rPr>
        <w:t>.</w:t>
      </w:r>
      <w:r w:rsidRPr="005E4195">
        <w:rPr>
          <w:b/>
          <w:szCs w:val="26"/>
        </w:rPr>
        <w:tab/>
      </w:r>
      <w:r w:rsidR="009E2AAE" w:rsidRPr="005E4195">
        <w:rPr>
          <w:b/>
          <w:szCs w:val="26"/>
        </w:rPr>
        <w:t>Disposition</w:t>
      </w:r>
    </w:p>
    <w:p w:rsidR="009E2AAE" w:rsidRPr="005E4195" w:rsidRDefault="009E2AAE" w:rsidP="00765ED9">
      <w:pPr>
        <w:keepNext/>
        <w:rPr>
          <w:szCs w:val="26"/>
        </w:rPr>
      </w:pPr>
    </w:p>
    <w:p w:rsidR="002A4D7C" w:rsidRPr="005E4195" w:rsidRDefault="00B8344A" w:rsidP="00765ED9">
      <w:pPr>
        <w:keepNext/>
        <w:rPr>
          <w:szCs w:val="26"/>
        </w:rPr>
      </w:pPr>
      <w:r w:rsidRPr="005E4195">
        <w:rPr>
          <w:szCs w:val="26"/>
        </w:rPr>
        <w:t xml:space="preserve">We agree with the ALJ’s </w:t>
      </w:r>
      <w:r w:rsidR="00521160">
        <w:rPr>
          <w:szCs w:val="26"/>
        </w:rPr>
        <w:t>decision to</w:t>
      </w:r>
      <w:r w:rsidRPr="005E4195">
        <w:rPr>
          <w:szCs w:val="26"/>
        </w:rPr>
        <w:t xml:space="preserve"> </w:t>
      </w:r>
      <w:r w:rsidR="00E527F5" w:rsidRPr="005E4195">
        <w:rPr>
          <w:szCs w:val="26"/>
        </w:rPr>
        <w:t>sustain the</w:t>
      </w:r>
      <w:r w:rsidRPr="005E4195">
        <w:rPr>
          <w:szCs w:val="26"/>
        </w:rPr>
        <w:t xml:space="preserve"> Complaint</w:t>
      </w:r>
      <w:r w:rsidR="00F4178E" w:rsidRPr="005E4195">
        <w:rPr>
          <w:szCs w:val="26"/>
        </w:rPr>
        <w:t>.  T</w:t>
      </w:r>
      <w:r w:rsidR="009777BA" w:rsidRPr="005E4195">
        <w:rPr>
          <w:szCs w:val="26"/>
        </w:rPr>
        <w:t>he Complainant verified her monthly gross household income</w:t>
      </w:r>
      <w:r w:rsidR="00F4178E" w:rsidRPr="005E4195">
        <w:rPr>
          <w:szCs w:val="26"/>
        </w:rPr>
        <w:t xml:space="preserve"> </w:t>
      </w:r>
      <w:r w:rsidR="00B8689D" w:rsidRPr="005E4195">
        <w:rPr>
          <w:szCs w:val="26"/>
        </w:rPr>
        <w:t xml:space="preserve">was </w:t>
      </w:r>
      <w:r w:rsidR="00F4178E" w:rsidRPr="005E4195">
        <w:rPr>
          <w:szCs w:val="26"/>
        </w:rPr>
        <w:t>$</w:t>
      </w:r>
      <w:r w:rsidR="00216B7F" w:rsidRPr="005E4195">
        <w:rPr>
          <w:szCs w:val="26"/>
        </w:rPr>
        <w:t>4</w:t>
      </w:r>
      <w:r w:rsidR="00F4178E" w:rsidRPr="005E4195">
        <w:rPr>
          <w:szCs w:val="26"/>
        </w:rPr>
        <w:t>,2</w:t>
      </w:r>
      <w:r w:rsidR="00216B7F" w:rsidRPr="005E4195">
        <w:rPr>
          <w:szCs w:val="26"/>
        </w:rPr>
        <w:t>84</w:t>
      </w:r>
      <w:r w:rsidR="00F4178E" w:rsidRPr="005E4195">
        <w:rPr>
          <w:szCs w:val="26"/>
        </w:rPr>
        <w:t xml:space="preserve">. </w:t>
      </w:r>
      <w:r w:rsidR="00B8689D" w:rsidRPr="005E4195">
        <w:rPr>
          <w:szCs w:val="26"/>
        </w:rPr>
        <w:t xml:space="preserve"> </w:t>
      </w:r>
      <w:r w:rsidR="009777BA" w:rsidRPr="005E4195">
        <w:rPr>
          <w:szCs w:val="26"/>
        </w:rPr>
        <w:t>A</w:t>
      </w:r>
      <w:r w:rsidR="00B8689D" w:rsidRPr="005E4195">
        <w:rPr>
          <w:szCs w:val="26"/>
        </w:rPr>
        <w:t> </w:t>
      </w:r>
      <w:r w:rsidR="009777BA" w:rsidRPr="005E4195">
        <w:rPr>
          <w:szCs w:val="26"/>
        </w:rPr>
        <w:t xml:space="preserve">household consisting of </w:t>
      </w:r>
      <w:r w:rsidR="00216B7F" w:rsidRPr="005E4195">
        <w:rPr>
          <w:szCs w:val="26"/>
        </w:rPr>
        <w:t>one</w:t>
      </w:r>
      <w:r w:rsidR="009777BA" w:rsidRPr="005E4195">
        <w:rPr>
          <w:szCs w:val="26"/>
        </w:rPr>
        <w:t xml:space="preserve"> adult</w:t>
      </w:r>
      <w:r w:rsidR="00C77B04" w:rsidRPr="005E4195">
        <w:rPr>
          <w:szCs w:val="26"/>
        </w:rPr>
        <w:t xml:space="preserve"> </w:t>
      </w:r>
      <w:r w:rsidR="00216B7F" w:rsidRPr="005E4195">
        <w:rPr>
          <w:szCs w:val="26"/>
        </w:rPr>
        <w:t xml:space="preserve">and one child </w:t>
      </w:r>
      <w:r w:rsidR="009777BA" w:rsidRPr="005E4195">
        <w:rPr>
          <w:szCs w:val="26"/>
        </w:rPr>
        <w:t>with a monthly gross income of $</w:t>
      </w:r>
      <w:r w:rsidR="00F3177F" w:rsidRPr="005E4195">
        <w:rPr>
          <w:szCs w:val="26"/>
        </w:rPr>
        <w:t>4</w:t>
      </w:r>
      <w:r w:rsidR="009777BA" w:rsidRPr="005E4195">
        <w:rPr>
          <w:szCs w:val="26"/>
        </w:rPr>
        <w:t>,2</w:t>
      </w:r>
      <w:r w:rsidR="00F3177F" w:rsidRPr="005E4195">
        <w:rPr>
          <w:szCs w:val="26"/>
        </w:rPr>
        <w:t>84</w:t>
      </w:r>
      <w:r w:rsidR="009777BA" w:rsidRPr="005E4195">
        <w:rPr>
          <w:szCs w:val="26"/>
        </w:rPr>
        <w:t xml:space="preserve"> exceeds 300 percent </w:t>
      </w:r>
      <w:r w:rsidR="00C77B04" w:rsidRPr="005E4195">
        <w:rPr>
          <w:szCs w:val="26"/>
        </w:rPr>
        <w:t>of the F</w:t>
      </w:r>
      <w:r w:rsidR="00FF4C56">
        <w:rPr>
          <w:szCs w:val="26"/>
        </w:rPr>
        <w:t>ederal poverty level</w:t>
      </w:r>
      <w:r w:rsidR="00216B7F" w:rsidRPr="005E4195">
        <w:rPr>
          <w:szCs w:val="26"/>
        </w:rPr>
        <w:t>.</w:t>
      </w:r>
      <w:r w:rsidR="00F4178E" w:rsidRPr="005E4195">
        <w:rPr>
          <w:szCs w:val="26"/>
        </w:rPr>
        <w:t xml:space="preserve">  </w:t>
      </w:r>
      <w:r w:rsidR="009777BA" w:rsidRPr="005E4195">
        <w:rPr>
          <w:szCs w:val="26"/>
        </w:rPr>
        <w:t xml:space="preserve">Therefore, pursuant to </w:t>
      </w:r>
      <w:r w:rsidR="00BF4DDC" w:rsidRPr="005E4195">
        <w:rPr>
          <w:szCs w:val="26"/>
        </w:rPr>
        <w:t xml:space="preserve">Section 1405(b) of the Code, </w:t>
      </w:r>
      <w:r w:rsidR="009777BA" w:rsidRPr="005E4195">
        <w:rPr>
          <w:szCs w:val="26"/>
        </w:rPr>
        <w:t>66 Pa. C.S. §</w:t>
      </w:r>
      <w:r w:rsidR="00BF4DDC" w:rsidRPr="005E4195">
        <w:rPr>
          <w:szCs w:val="26"/>
        </w:rPr>
        <w:t xml:space="preserve"> </w:t>
      </w:r>
      <w:r w:rsidR="009777BA" w:rsidRPr="005E4195">
        <w:rPr>
          <w:szCs w:val="26"/>
        </w:rPr>
        <w:t xml:space="preserve">1405(b), </w:t>
      </w:r>
      <w:r w:rsidR="00B8689D" w:rsidRPr="005E4195">
        <w:rPr>
          <w:szCs w:val="26"/>
        </w:rPr>
        <w:t xml:space="preserve">the Complainant </w:t>
      </w:r>
      <w:r w:rsidR="009777BA" w:rsidRPr="005E4195">
        <w:rPr>
          <w:szCs w:val="26"/>
        </w:rPr>
        <w:t xml:space="preserve">must pay off the arrearage on this account within six months.  </w:t>
      </w:r>
    </w:p>
    <w:p w:rsidR="002A4D7C" w:rsidRPr="005E4195" w:rsidRDefault="002A4D7C" w:rsidP="00765ED9">
      <w:pPr>
        <w:rPr>
          <w:szCs w:val="26"/>
        </w:rPr>
      </w:pPr>
    </w:p>
    <w:p w:rsidR="00B8689D" w:rsidRPr="005E4195" w:rsidRDefault="002A4D7C" w:rsidP="00765ED9">
      <w:pPr>
        <w:rPr>
          <w:szCs w:val="26"/>
        </w:rPr>
      </w:pPr>
      <w:r w:rsidRPr="005E4195">
        <w:rPr>
          <w:szCs w:val="26"/>
        </w:rPr>
        <w:t>Nevertheless, b</w:t>
      </w:r>
      <w:r w:rsidR="00FA42E7" w:rsidRPr="005E4195">
        <w:rPr>
          <w:szCs w:val="26"/>
        </w:rPr>
        <w:t xml:space="preserve">ased upon our review of the record </w:t>
      </w:r>
      <w:r w:rsidR="00026DB8" w:rsidRPr="005E4195">
        <w:rPr>
          <w:szCs w:val="26"/>
        </w:rPr>
        <w:t>we agree with PECO</w:t>
      </w:r>
      <w:r w:rsidR="00DF1398">
        <w:rPr>
          <w:szCs w:val="26"/>
        </w:rPr>
        <w:t>’s Exception</w:t>
      </w:r>
      <w:r w:rsidRPr="005E4195">
        <w:rPr>
          <w:szCs w:val="26"/>
        </w:rPr>
        <w:t xml:space="preserve"> that </w:t>
      </w:r>
      <w:r w:rsidR="00026DB8" w:rsidRPr="005E4195">
        <w:rPr>
          <w:spacing w:val="-3"/>
          <w:szCs w:val="26"/>
        </w:rPr>
        <w:t>Findings of Fact No</w:t>
      </w:r>
      <w:r w:rsidRPr="005E4195">
        <w:rPr>
          <w:spacing w:val="-3"/>
          <w:szCs w:val="26"/>
        </w:rPr>
        <w:t xml:space="preserve">. </w:t>
      </w:r>
      <w:r w:rsidR="00026DB8" w:rsidRPr="005E4195">
        <w:rPr>
          <w:spacing w:val="-3"/>
          <w:szCs w:val="26"/>
        </w:rPr>
        <w:t>1</w:t>
      </w:r>
      <w:r w:rsidRPr="005E4195">
        <w:rPr>
          <w:spacing w:val="-3"/>
          <w:szCs w:val="26"/>
        </w:rPr>
        <w:t xml:space="preserve">7 in the ALJ’s Initial Decision </w:t>
      </w:r>
      <w:r w:rsidR="00DF1398">
        <w:rPr>
          <w:spacing w:val="-3"/>
          <w:szCs w:val="26"/>
        </w:rPr>
        <w:t xml:space="preserve">is incorrect as stated and </w:t>
      </w:r>
      <w:r w:rsidRPr="005E4195">
        <w:rPr>
          <w:spacing w:val="-3"/>
          <w:szCs w:val="26"/>
        </w:rPr>
        <w:t xml:space="preserve">should be modified to reflect </w:t>
      </w:r>
      <w:r w:rsidR="00C71C82">
        <w:rPr>
          <w:spacing w:val="-3"/>
          <w:szCs w:val="26"/>
        </w:rPr>
        <w:t xml:space="preserve">the Parties stipulation that the Complainant’s </w:t>
      </w:r>
      <w:r w:rsidR="000C6F7F">
        <w:rPr>
          <w:spacing w:val="-3"/>
          <w:szCs w:val="26"/>
        </w:rPr>
        <w:t>budget billing is “reviewed quarterly</w:t>
      </w:r>
      <w:r w:rsidR="00DF1398">
        <w:rPr>
          <w:spacing w:val="-3"/>
          <w:szCs w:val="26"/>
        </w:rPr>
        <w:t>” rather than “reduced quarterly”</w:t>
      </w:r>
      <w:r w:rsidR="00334478">
        <w:rPr>
          <w:spacing w:val="-3"/>
          <w:szCs w:val="26"/>
        </w:rPr>
        <w:t xml:space="preserve"> and</w:t>
      </w:r>
      <w:r w:rsidR="00216B7F" w:rsidRPr="005E4195">
        <w:rPr>
          <w:spacing w:val="-3"/>
          <w:szCs w:val="26"/>
        </w:rPr>
        <w:t xml:space="preserve"> is subject to revision based on the </w:t>
      </w:r>
      <w:r w:rsidR="00C71C82">
        <w:rPr>
          <w:spacing w:val="-3"/>
          <w:szCs w:val="26"/>
        </w:rPr>
        <w:t xml:space="preserve">Complainant’s </w:t>
      </w:r>
      <w:r w:rsidR="00216B7F" w:rsidRPr="005E4195">
        <w:rPr>
          <w:spacing w:val="-3"/>
          <w:szCs w:val="26"/>
        </w:rPr>
        <w:t>usage.</w:t>
      </w:r>
      <w:r w:rsidR="006735B6" w:rsidRPr="005E4195">
        <w:rPr>
          <w:szCs w:val="26"/>
        </w:rPr>
        <w:t xml:space="preserve">  </w:t>
      </w:r>
      <w:r w:rsidR="00B8689D" w:rsidRPr="005E4195">
        <w:rPr>
          <w:szCs w:val="26"/>
        </w:rPr>
        <w:t xml:space="preserve">As such, we </w:t>
      </w:r>
      <w:r w:rsidR="00DF1398">
        <w:rPr>
          <w:szCs w:val="26"/>
        </w:rPr>
        <w:t xml:space="preserve">shall </w:t>
      </w:r>
      <w:r w:rsidR="00B8689D" w:rsidRPr="005E4195">
        <w:rPr>
          <w:szCs w:val="26"/>
        </w:rPr>
        <w:t xml:space="preserve">grant </w:t>
      </w:r>
      <w:r w:rsidR="000C6F7F">
        <w:rPr>
          <w:szCs w:val="26"/>
        </w:rPr>
        <w:t>PECO’s</w:t>
      </w:r>
      <w:r w:rsidR="00216B7F" w:rsidRPr="005E4195">
        <w:rPr>
          <w:szCs w:val="26"/>
        </w:rPr>
        <w:t xml:space="preserve"> </w:t>
      </w:r>
      <w:r w:rsidR="00B8689D" w:rsidRPr="005E4195">
        <w:rPr>
          <w:szCs w:val="26"/>
        </w:rPr>
        <w:t>Exception and modify the Initial Decision accordingly.</w:t>
      </w:r>
    </w:p>
    <w:p w:rsidR="009B11C4" w:rsidRPr="005E4195" w:rsidRDefault="009B11C4" w:rsidP="00765ED9">
      <w:pPr>
        <w:rPr>
          <w:szCs w:val="26"/>
        </w:rPr>
      </w:pPr>
    </w:p>
    <w:p w:rsidR="00370349" w:rsidRPr="005E4195" w:rsidRDefault="00370349" w:rsidP="00765ED9">
      <w:pPr>
        <w:ind w:firstLine="0"/>
        <w:jc w:val="center"/>
        <w:rPr>
          <w:b/>
          <w:szCs w:val="26"/>
        </w:rPr>
      </w:pPr>
      <w:r w:rsidRPr="005E4195">
        <w:rPr>
          <w:b/>
          <w:szCs w:val="26"/>
        </w:rPr>
        <w:t>Conclusion</w:t>
      </w:r>
    </w:p>
    <w:p w:rsidR="00216B7F" w:rsidRPr="005E4195" w:rsidRDefault="00216B7F" w:rsidP="00765ED9">
      <w:pPr>
        <w:ind w:firstLine="0"/>
        <w:jc w:val="center"/>
        <w:rPr>
          <w:b/>
          <w:szCs w:val="26"/>
        </w:rPr>
      </w:pPr>
    </w:p>
    <w:p w:rsidR="00E919F9" w:rsidRDefault="00370349" w:rsidP="00765ED9">
      <w:pPr>
        <w:rPr>
          <w:b/>
          <w:szCs w:val="26"/>
        </w:rPr>
      </w:pPr>
      <w:r w:rsidRPr="000D7CD1">
        <w:rPr>
          <w:spacing w:val="-3"/>
          <w:szCs w:val="26"/>
        </w:rPr>
        <w:t xml:space="preserve">Upon </w:t>
      </w:r>
      <w:r w:rsidR="00B8689D" w:rsidRPr="000D7CD1">
        <w:rPr>
          <w:spacing w:val="-3"/>
          <w:szCs w:val="26"/>
        </w:rPr>
        <w:t xml:space="preserve">our </w:t>
      </w:r>
      <w:r w:rsidRPr="000D7CD1">
        <w:rPr>
          <w:spacing w:val="-3"/>
          <w:szCs w:val="26"/>
        </w:rPr>
        <w:t xml:space="preserve">review and consideration of the record evidence, </w:t>
      </w:r>
      <w:r w:rsidR="002710D4" w:rsidRPr="000D7CD1">
        <w:rPr>
          <w:szCs w:val="26"/>
        </w:rPr>
        <w:t xml:space="preserve">we </w:t>
      </w:r>
      <w:r w:rsidR="00EA4D85" w:rsidRPr="000D7CD1">
        <w:rPr>
          <w:szCs w:val="26"/>
        </w:rPr>
        <w:t xml:space="preserve">shall </w:t>
      </w:r>
      <w:r w:rsidR="006735B6" w:rsidRPr="000D7CD1">
        <w:rPr>
          <w:szCs w:val="26"/>
        </w:rPr>
        <w:t xml:space="preserve">grant </w:t>
      </w:r>
      <w:r w:rsidR="005E4195" w:rsidRPr="000D7CD1">
        <w:rPr>
          <w:szCs w:val="26"/>
        </w:rPr>
        <w:t>PECO’s</w:t>
      </w:r>
      <w:r w:rsidR="004F21E9" w:rsidRPr="000D7CD1">
        <w:rPr>
          <w:szCs w:val="26"/>
        </w:rPr>
        <w:t xml:space="preserve"> Exception</w:t>
      </w:r>
      <w:r w:rsidR="006B67B0" w:rsidRPr="000D7CD1">
        <w:rPr>
          <w:szCs w:val="26"/>
        </w:rPr>
        <w:t xml:space="preserve"> and modify </w:t>
      </w:r>
      <w:r w:rsidR="004810E0" w:rsidRPr="000D7CD1">
        <w:rPr>
          <w:szCs w:val="26"/>
        </w:rPr>
        <w:t>Finding of Fact No. 17 in the ALJ’s</w:t>
      </w:r>
      <w:r w:rsidR="006B67B0" w:rsidRPr="000D7CD1">
        <w:rPr>
          <w:szCs w:val="26"/>
        </w:rPr>
        <w:t xml:space="preserve"> Initial Decision</w:t>
      </w:r>
      <w:r w:rsidR="00DF1398">
        <w:rPr>
          <w:szCs w:val="26"/>
        </w:rPr>
        <w:t xml:space="preserve"> consistent with the foregoing discussion</w:t>
      </w:r>
      <w:r w:rsidR="009228C4" w:rsidRPr="000D7CD1">
        <w:rPr>
          <w:szCs w:val="26"/>
        </w:rPr>
        <w:t xml:space="preserve">; </w:t>
      </w:r>
      <w:r w:rsidR="00045D50" w:rsidRPr="000D7CD1">
        <w:rPr>
          <w:b/>
          <w:szCs w:val="26"/>
        </w:rPr>
        <w:t>THEREFORE;</w:t>
      </w:r>
    </w:p>
    <w:p w:rsidR="00DF1398" w:rsidRPr="000D7CD1" w:rsidRDefault="00DF1398" w:rsidP="00765ED9">
      <w:pPr>
        <w:rPr>
          <w:b/>
          <w:szCs w:val="26"/>
        </w:rPr>
      </w:pPr>
    </w:p>
    <w:p w:rsidR="00F930D7" w:rsidRPr="005E4195" w:rsidRDefault="00F930D7" w:rsidP="00DF1398">
      <w:pPr>
        <w:keepNext/>
        <w:keepLines/>
        <w:rPr>
          <w:szCs w:val="26"/>
        </w:rPr>
      </w:pPr>
      <w:r w:rsidRPr="005E4195">
        <w:rPr>
          <w:b/>
          <w:szCs w:val="26"/>
        </w:rPr>
        <w:lastRenderedPageBreak/>
        <w:t>IT IS ORDERED:</w:t>
      </w:r>
    </w:p>
    <w:p w:rsidR="00F930D7" w:rsidRPr="005E4195" w:rsidRDefault="00F930D7" w:rsidP="00DF1398">
      <w:pPr>
        <w:keepNext/>
        <w:keepLines/>
        <w:tabs>
          <w:tab w:val="left" w:pos="-720"/>
        </w:tabs>
        <w:spacing w:line="240" w:lineRule="auto"/>
        <w:rPr>
          <w:szCs w:val="26"/>
        </w:rPr>
      </w:pPr>
    </w:p>
    <w:p w:rsidR="0071426C" w:rsidRPr="005E4195" w:rsidRDefault="00E87F92" w:rsidP="00765ED9">
      <w:pPr>
        <w:numPr>
          <w:ilvl w:val="0"/>
          <w:numId w:val="47"/>
        </w:numPr>
        <w:tabs>
          <w:tab w:val="left" w:pos="-720"/>
        </w:tabs>
        <w:ind w:left="0" w:firstLine="1440"/>
        <w:rPr>
          <w:szCs w:val="26"/>
        </w:rPr>
      </w:pPr>
      <w:r w:rsidRPr="005E4195">
        <w:rPr>
          <w:szCs w:val="26"/>
        </w:rPr>
        <w:t xml:space="preserve">That the Exceptions </w:t>
      </w:r>
      <w:r w:rsidR="009B2B7B" w:rsidRPr="005E4195">
        <w:rPr>
          <w:szCs w:val="26"/>
        </w:rPr>
        <w:t xml:space="preserve">of </w:t>
      </w:r>
      <w:r w:rsidR="00741915" w:rsidRPr="005E4195">
        <w:rPr>
          <w:szCs w:val="26"/>
        </w:rPr>
        <w:t>PECO Energy Company</w:t>
      </w:r>
      <w:r w:rsidR="00174B74" w:rsidRPr="005E4195">
        <w:rPr>
          <w:szCs w:val="26"/>
        </w:rPr>
        <w:t xml:space="preserve"> </w:t>
      </w:r>
      <w:r w:rsidR="00056736" w:rsidRPr="005E4195">
        <w:rPr>
          <w:szCs w:val="26"/>
        </w:rPr>
        <w:t xml:space="preserve">filed on </w:t>
      </w:r>
      <w:r w:rsidR="00722189">
        <w:rPr>
          <w:szCs w:val="26"/>
        </w:rPr>
        <w:t xml:space="preserve">August 17, </w:t>
      </w:r>
      <w:r w:rsidR="00056736" w:rsidRPr="005E4195">
        <w:rPr>
          <w:szCs w:val="26"/>
        </w:rPr>
        <w:t xml:space="preserve"> 201</w:t>
      </w:r>
      <w:r w:rsidR="00741915" w:rsidRPr="005E4195">
        <w:rPr>
          <w:szCs w:val="26"/>
        </w:rPr>
        <w:t>5</w:t>
      </w:r>
      <w:r w:rsidR="00056736" w:rsidRPr="005E4195">
        <w:rPr>
          <w:szCs w:val="26"/>
        </w:rPr>
        <w:t xml:space="preserve">, </w:t>
      </w:r>
      <w:r w:rsidR="00174B74" w:rsidRPr="005E4195">
        <w:rPr>
          <w:szCs w:val="26"/>
        </w:rPr>
        <w:t>t</w:t>
      </w:r>
      <w:r w:rsidRPr="005E4195">
        <w:rPr>
          <w:szCs w:val="26"/>
        </w:rPr>
        <w:t xml:space="preserve">o the </w:t>
      </w:r>
      <w:r w:rsidR="005D327E" w:rsidRPr="005E4195">
        <w:rPr>
          <w:szCs w:val="26"/>
        </w:rPr>
        <w:t xml:space="preserve">Initial </w:t>
      </w:r>
      <w:r w:rsidRPr="005E4195">
        <w:rPr>
          <w:szCs w:val="26"/>
        </w:rPr>
        <w:t xml:space="preserve">Decision of Administrative Law </w:t>
      </w:r>
      <w:r w:rsidR="00347EB2" w:rsidRPr="005E4195">
        <w:rPr>
          <w:szCs w:val="26"/>
        </w:rPr>
        <w:t xml:space="preserve">Judge </w:t>
      </w:r>
      <w:r w:rsidR="00741915" w:rsidRPr="005E4195">
        <w:rPr>
          <w:szCs w:val="26"/>
        </w:rPr>
        <w:t>Conrad A</w:t>
      </w:r>
      <w:r w:rsidR="004F21E9" w:rsidRPr="005E4195">
        <w:rPr>
          <w:szCs w:val="26"/>
        </w:rPr>
        <w:t>. Jo</w:t>
      </w:r>
      <w:r w:rsidR="00741915" w:rsidRPr="005E4195">
        <w:rPr>
          <w:szCs w:val="26"/>
        </w:rPr>
        <w:t>h</w:t>
      </w:r>
      <w:r w:rsidR="004F21E9" w:rsidRPr="005E4195">
        <w:rPr>
          <w:szCs w:val="26"/>
        </w:rPr>
        <w:t>ns</w:t>
      </w:r>
      <w:r w:rsidR="00741915" w:rsidRPr="005E4195">
        <w:rPr>
          <w:szCs w:val="26"/>
        </w:rPr>
        <w:t>on</w:t>
      </w:r>
      <w:r w:rsidR="0071426C" w:rsidRPr="005E4195">
        <w:rPr>
          <w:szCs w:val="26"/>
        </w:rPr>
        <w:t xml:space="preserve"> </w:t>
      </w:r>
      <w:r w:rsidR="00C77B04" w:rsidRPr="005E4195">
        <w:rPr>
          <w:szCs w:val="26"/>
        </w:rPr>
        <w:t>are</w:t>
      </w:r>
      <w:r w:rsidR="00741915" w:rsidRPr="005E4195">
        <w:rPr>
          <w:szCs w:val="26"/>
        </w:rPr>
        <w:t xml:space="preserve"> granted,</w:t>
      </w:r>
      <w:r w:rsidR="00B8689D" w:rsidRPr="005E4195">
        <w:rPr>
          <w:szCs w:val="26"/>
        </w:rPr>
        <w:t xml:space="preserve"> consistent with this Opinion and Order</w:t>
      </w:r>
      <w:r w:rsidR="00274573" w:rsidRPr="005E4195">
        <w:rPr>
          <w:szCs w:val="26"/>
        </w:rPr>
        <w:t xml:space="preserve">. </w:t>
      </w:r>
    </w:p>
    <w:p w:rsidR="00996C41" w:rsidRPr="005E4195" w:rsidRDefault="00996C41" w:rsidP="00765ED9">
      <w:pPr>
        <w:tabs>
          <w:tab w:val="left" w:pos="-720"/>
        </w:tabs>
        <w:suppressAutoHyphens/>
        <w:ind w:left="1440" w:firstLine="0"/>
        <w:rPr>
          <w:szCs w:val="26"/>
        </w:rPr>
      </w:pPr>
    </w:p>
    <w:p w:rsidR="00205931" w:rsidRPr="0091279F" w:rsidRDefault="0006108E" w:rsidP="00765ED9">
      <w:pPr>
        <w:numPr>
          <w:ilvl w:val="0"/>
          <w:numId w:val="47"/>
        </w:numPr>
        <w:tabs>
          <w:tab w:val="left" w:pos="-720"/>
        </w:tabs>
        <w:suppressAutoHyphens/>
        <w:ind w:left="0" w:firstLine="1440"/>
        <w:rPr>
          <w:szCs w:val="26"/>
        </w:rPr>
      </w:pPr>
      <w:r w:rsidRPr="0091279F">
        <w:rPr>
          <w:szCs w:val="26"/>
        </w:rPr>
        <w:t xml:space="preserve">That </w:t>
      </w:r>
      <w:r w:rsidR="00DF1398">
        <w:rPr>
          <w:szCs w:val="26"/>
        </w:rPr>
        <w:t xml:space="preserve">Finding of Fact No. 17 in </w:t>
      </w:r>
      <w:r w:rsidR="00DF1398" w:rsidRPr="005E4195">
        <w:rPr>
          <w:szCs w:val="26"/>
        </w:rPr>
        <w:t xml:space="preserve">the Initial Decision of Administrative Law Judge Conrad A. Johnson </w:t>
      </w:r>
      <w:r w:rsidR="00B8689D" w:rsidRPr="0091279F">
        <w:rPr>
          <w:szCs w:val="26"/>
        </w:rPr>
        <w:t>is modified</w:t>
      </w:r>
      <w:r w:rsidR="00DF1398">
        <w:rPr>
          <w:szCs w:val="26"/>
        </w:rPr>
        <w:t xml:space="preserve"> </w:t>
      </w:r>
      <w:r w:rsidR="00DF1398" w:rsidRPr="005E4195">
        <w:rPr>
          <w:spacing w:val="-3"/>
          <w:szCs w:val="26"/>
        </w:rPr>
        <w:t xml:space="preserve">to </w:t>
      </w:r>
      <w:r w:rsidR="00DF1398">
        <w:rPr>
          <w:spacing w:val="-3"/>
          <w:szCs w:val="26"/>
        </w:rPr>
        <w:t xml:space="preserve">correctly </w:t>
      </w:r>
      <w:r w:rsidR="00DF1398" w:rsidRPr="005E4195">
        <w:rPr>
          <w:spacing w:val="-3"/>
          <w:szCs w:val="26"/>
        </w:rPr>
        <w:t xml:space="preserve">reflect </w:t>
      </w:r>
      <w:r w:rsidR="00DF1398">
        <w:rPr>
          <w:spacing w:val="-3"/>
          <w:szCs w:val="26"/>
        </w:rPr>
        <w:t>the Parties stipulation that the Complainant’s budget billing is “reviewed quarterly” rather than “reduced quarterly”</w:t>
      </w:r>
      <w:r w:rsidR="000D7CD1">
        <w:rPr>
          <w:szCs w:val="26"/>
        </w:rPr>
        <w:t xml:space="preserve"> and</w:t>
      </w:r>
      <w:r w:rsidR="0091279F" w:rsidRPr="0091279F">
        <w:rPr>
          <w:szCs w:val="26"/>
        </w:rPr>
        <w:t xml:space="preserve"> </w:t>
      </w:r>
      <w:r w:rsidR="002F352A">
        <w:rPr>
          <w:szCs w:val="26"/>
        </w:rPr>
        <w:t xml:space="preserve">is </w:t>
      </w:r>
      <w:r w:rsidR="004810E0" w:rsidRPr="0091279F">
        <w:rPr>
          <w:szCs w:val="26"/>
        </w:rPr>
        <w:t>subject to revision</w:t>
      </w:r>
      <w:r w:rsidR="00E40817">
        <w:rPr>
          <w:szCs w:val="26"/>
        </w:rPr>
        <w:t xml:space="preserve"> based on the Complainant’s usage</w:t>
      </w:r>
      <w:r w:rsidR="00B8689D" w:rsidRPr="0091279F">
        <w:rPr>
          <w:szCs w:val="26"/>
        </w:rPr>
        <w:t xml:space="preserve">.  </w:t>
      </w:r>
    </w:p>
    <w:p w:rsidR="00205931" w:rsidRPr="0091279F" w:rsidRDefault="00205931" w:rsidP="00765ED9">
      <w:pPr>
        <w:tabs>
          <w:tab w:val="left" w:pos="-720"/>
        </w:tabs>
        <w:suppressAutoHyphens/>
        <w:ind w:firstLine="0"/>
        <w:rPr>
          <w:szCs w:val="26"/>
        </w:rPr>
      </w:pPr>
    </w:p>
    <w:p w:rsidR="00205931" w:rsidRPr="0091279F" w:rsidRDefault="0071426C" w:rsidP="00765ED9">
      <w:pPr>
        <w:numPr>
          <w:ilvl w:val="0"/>
          <w:numId w:val="47"/>
        </w:numPr>
        <w:tabs>
          <w:tab w:val="left" w:pos="-720"/>
        </w:tabs>
        <w:suppressAutoHyphens/>
        <w:ind w:left="0" w:firstLine="1440"/>
        <w:rPr>
          <w:szCs w:val="26"/>
        </w:rPr>
      </w:pPr>
      <w:r w:rsidRPr="0091279F">
        <w:rPr>
          <w:szCs w:val="26"/>
        </w:rPr>
        <w:t xml:space="preserve">That the </w:t>
      </w:r>
      <w:r w:rsidR="005D327E" w:rsidRPr="0091279F">
        <w:rPr>
          <w:szCs w:val="26"/>
        </w:rPr>
        <w:t>Initial</w:t>
      </w:r>
      <w:r w:rsidRPr="0091279F">
        <w:rPr>
          <w:szCs w:val="26"/>
        </w:rPr>
        <w:t xml:space="preserve"> Decision of </w:t>
      </w:r>
      <w:r w:rsidR="00274573" w:rsidRPr="0091279F">
        <w:rPr>
          <w:szCs w:val="26"/>
        </w:rPr>
        <w:t>Administrative Law Judge</w:t>
      </w:r>
      <w:r w:rsidR="00623BCF" w:rsidRPr="0091279F">
        <w:rPr>
          <w:szCs w:val="26"/>
        </w:rPr>
        <w:t xml:space="preserve"> </w:t>
      </w:r>
      <w:r w:rsidR="00741915" w:rsidRPr="0091279F">
        <w:rPr>
          <w:szCs w:val="26"/>
        </w:rPr>
        <w:t>Conrad</w:t>
      </w:r>
      <w:r w:rsidR="004F21E9" w:rsidRPr="0091279F">
        <w:rPr>
          <w:szCs w:val="26"/>
        </w:rPr>
        <w:t xml:space="preserve"> </w:t>
      </w:r>
      <w:r w:rsidR="00741915" w:rsidRPr="0091279F">
        <w:rPr>
          <w:szCs w:val="26"/>
        </w:rPr>
        <w:t>A</w:t>
      </w:r>
      <w:r w:rsidR="004F21E9" w:rsidRPr="0091279F">
        <w:rPr>
          <w:szCs w:val="26"/>
        </w:rPr>
        <w:t>. Jo</w:t>
      </w:r>
      <w:r w:rsidR="00741915" w:rsidRPr="0091279F">
        <w:rPr>
          <w:szCs w:val="26"/>
        </w:rPr>
        <w:t>h</w:t>
      </w:r>
      <w:r w:rsidR="004F21E9" w:rsidRPr="0091279F">
        <w:rPr>
          <w:szCs w:val="26"/>
        </w:rPr>
        <w:t>ns</w:t>
      </w:r>
      <w:r w:rsidR="00741915" w:rsidRPr="0091279F">
        <w:rPr>
          <w:szCs w:val="26"/>
        </w:rPr>
        <w:t>on</w:t>
      </w:r>
      <w:r w:rsidR="00274573" w:rsidRPr="0091279F">
        <w:rPr>
          <w:szCs w:val="26"/>
        </w:rPr>
        <w:t xml:space="preserve">, issued </w:t>
      </w:r>
      <w:r w:rsidR="00AE1E63" w:rsidRPr="0091279F">
        <w:rPr>
          <w:szCs w:val="26"/>
        </w:rPr>
        <w:t>August 12</w:t>
      </w:r>
      <w:r w:rsidR="00274573" w:rsidRPr="0091279F">
        <w:rPr>
          <w:szCs w:val="26"/>
        </w:rPr>
        <w:t>, 201</w:t>
      </w:r>
      <w:r w:rsidR="00741915" w:rsidRPr="0091279F">
        <w:rPr>
          <w:szCs w:val="26"/>
        </w:rPr>
        <w:t>5</w:t>
      </w:r>
      <w:r w:rsidR="00274573" w:rsidRPr="0091279F">
        <w:rPr>
          <w:szCs w:val="26"/>
        </w:rPr>
        <w:t>,</w:t>
      </w:r>
      <w:r w:rsidR="007941C2" w:rsidRPr="0091279F">
        <w:rPr>
          <w:szCs w:val="26"/>
        </w:rPr>
        <w:t xml:space="preserve"> </w:t>
      </w:r>
      <w:r w:rsidR="00274573" w:rsidRPr="0091279F">
        <w:rPr>
          <w:szCs w:val="26"/>
        </w:rPr>
        <w:t xml:space="preserve">is </w:t>
      </w:r>
      <w:r w:rsidR="004F21E9" w:rsidRPr="0091279F">
        <w:rPr>
          <w:szCs w:val="26"/>
        </w:rPr>
        <w:t>adopted</w:t>
      </w:r>
      <w:r w:rsidR="005E4195" w:rsidRPr="0091279F">
        <w:rPr>
          <w:szCs w:val="26"/>
        </w:rPr>
        <w:t>, as modified</w:t>
      </w:r>
      <w:r w:rsidR="007941C2" w:rsidRPr="0091279F">
        <w:rPr>
          <w:szCs w:val="26"/>
        </w:rPr>
        <w:t>.</w:t>
      </w:r>
    </w:p>
    <w:p w:rsidR="007941C2" w:rsidRPr="0091279F" w:rsidRDefault="007941C2" w:rsidP="007941C2">
      <w:pPr>
        <w:tabs>
          <w:tab w:val="left" w:pos="-720"/>
        </w:tabs>
        <w:suppressAutoHyphens/>
        <w:ind w:left="1440" w:firstLine="0"/>
        <w:rPr>
          <w:szCs w:val="26"/>
        </w:rPr>
      </w:pPr>
    </w:p>
    <w:p w:rsidR="00B35B68" w:rsidRPr="0091279F" w:rsidRDefault="00B35B68" w:rsidP="00765ED9">
      <w:pPr>
        <w:numPr>
          <w:ilvl w:val="0"/>
          <w:numId w:val="47"/>
        </w:numPr>
        <w:tabs>
          <w:tab w:val="left" w:pos="-720"/>
        </w:tabs>
        <w:suppressAutoHyphens/>
        <w:ind w:left="0" w:firstLine="1440"/>
        <w:rPr>
          <w:szCs w:val="26"/>
        </w:rPr>
      </w:pPr>
      <w:r w:rsidRPr="0091279F">
        <w:rPr>
          <w:szCs w:val="26"/>
        </w:rPr>
        <w:t xml:space="preserve">That the </w:t>
      </w:r>
      <w:r w:rsidR="00E07226" w:rsidRPr="0091279F">
        <w:rPr>
          <w:szCs w:val="26"/>
        </w:rPr>
        <w:t xml:space="preserve">Complaint </w:t>
      </w:r>
      <w:r w:rsidR="00621848" w:rsidRPr="0091279F">
        <w:rPr>
          <w:szCs w:val="26"/>
        </w:rPr>
        <w:t xml:space="preserve">filed by </w:t>
      </w:r>
      <w:r w:rsidR="00741915" w:rsidRPr="0091279F">
        <w:rPr>
          <w:szCs w:val="26"/>
        </w:rPr>
        <w:t>Frank R</w:t>
      </w:r>
      <w:r w:rsidR="00026DB8" w:rsidRPr="0091279F">
        <w:rPr>
          <w:szCs w:val="26"/>
        </w:rPr>
        <w:t>.</w:t>
      </w:r>
      <w:r w:rsidR="005403F5" w:rsidRPr="0091279F">
        <w:rPr>
          <w:szCs w:val="26"/>
        </w:rPr>
        <w:t xml:space="preserve"> </w:t>
      </w:r>
      <w:r w:rsidR="00741915" w:rsidRPr="0091279F">
        <w:rPr>
          <w:szCs w:val="26"/>
        </w:rPr>
        <w:t>Taylor</w:t>
      </w:r>
      <w:r w:rsidR="00483EE9" w:rsidRPr="0091279F">
        <w:rPr>
          <w:szCs w:val="26"/>
        </w:rPr>
        <w:t xml:space="preserve"> </w:t>
      </w:r>
      <w:r w:rsidR="00597DAA" w:rsidRPr="0091279F">
        <w:rPr>
          <w:szCs w:val="26"/>
        </w:rPr>
        <w:t xml:space="preserve">against PECO Energy Company </w:t>
      </w:r>
      <w:r w:rsidR="00483EE9" w:rsidRPr="0091279F">
        <w:rPr>
          <w:szCs w:val="26"/>
        </w:rPr>
        <w:t xml:space="preserve">on </w:t>
      </w:r>
      <w:r w:rsidR="00F0342D" w:rsidRPr="0091279F">
        <w:rPr>
          <w:szCs w:val="26"/>
        </w:rPr>
        <w:t>December</w:t>
      </w:r>
      <w:r w:rsidR="00597DAA" w:rsidRPr="0091279F">
        <w:rPr>
          <w:szCs w:val="26"/>
        </w:rPr>
        <w:t xml:space="preserve"> 1</w:t>
      </w:r>
      <w:r w:rsidR="00F0342D" w:rsidRPr="0091279F">
        <w:rPr>
          <w:szCs w:val="26"/>
        </w:rPr>
        <w:t>2</w:t>
      </w:r>
      <w:r w:rsidR="00597DAA" w:rsidRPr="0091279F">
        <w:rPr>
          <w:szCs w:val="26"/>
        </w:rPr>
        <w:t>, 201</w:t>
      </w:r>
      <w:r w:rsidR="00F0342D" w:rsidRPr="0091279F">
        <w:rPr>
          <w:szCs w:val="26"/>
        </w:rPr>
        <w:t>4</w:t>
      </w:r>
      <w:r w:rsidR="00483EE9" w:rsidRPr="0091279F">
        <w:rPr>
          <w:szCs w:val="26"/>
        </w:rPr>
        <w:t xml:space="preserve">, </w:t>
      </w:r>
      <w:r w:rsidR="00C77B04" w:rsidRPr="0091279F">
        <w:rPr>
          <w:szCs w:val="26"/>
        </w:rPr>
        <w:t xml:space="preserve">at Docket </w:t>
      </w:r>
      <w:r w:rsidR="00F0342D" w:rsidRPr="0091279F">
        <w:rPr>
          <w:szCs w:val="26"/>
        </w:rPr>
        <w:t>No. F</w:t>
      </w:r>
      <w:r w:rsidR="00597DAA" w:rsidRPr="0091279F">
        <w:rPr>
          <w:szCs w:val="26"/>
        </w:rPr>
        <w:t>-201</w:t>
      </w:r>
      <w:r w:rsidR="00F0342D" w:rsidRPr="0091279F">
        <w:rPr>
          <w:szCs w:val="26"/>
        </w:rPr>
        <w:t>4</w:t>
      </w:r>
      <w:r w:rsidR="00597DAA" w:rsidRPr="0091279F">
        <w:rPr>
          <w:szCs w:val="26"/>
        </w:rPr>
        <w:t>-2</w:t>
      </w:r>
      <w:r w:rsidR="00F0342D" w:rsidRPr="0091279F">
        <w:rPr>
          <w:szCs w:val="26"/>
        </w:rPr>
        <w:t>460340</w:t>
      </w:r>
      <w:r w:rsidR="00C77B04" w:rsidRPr="0091279F">
        <w:rPr>
          <w:szCs w:val="26"/>
        </w:rPr>
        <w:t xml:space="preserve"> </w:t>
      </w:r>
      <w:r w:rsidR="00483EE9" w:rsidRPr="0091279F">
        <w:rPr>
          <w:szCs w:val="26"/>
        </w:rPr>
        <w:t>is</w:t>
      </w:r>
      <w:r w:rsidR="00205931" w:rsidRPr="0091279F">
        <w:rPr>
          <w:szCs w:val="26"/>
        </w:rPr>
        <w:t xml:space="preserve"> </w:t>
      </w:r>
      <w:r w:rsidR="00F0342D" w:rsidRPr="0091279F">
        <w:rPr>
          <w:szCs w:val="26"/>
        </w:rPr>
        <w:t>sustained</w:t>
      </w:r>
      <w:r w:rsidR="002B2C7A" w:rsidRPr="0091279F">
        <w:rPr>
          <w:szCs w:val="26"/>
        </w:rPr>
        <w:t xml:space="preserve">. </w:t>
      </w:r>
      <w:r w:rsidR="00146048" w:rsidRPr="0091279F">
        <w:rPr>
          <w:szCs w:val="26"/>
        </w:rPr>
        <w:t xml:space="preserve"> </w:t>
      </w:r>
    </w:p>
    <w:p w:rsidR="00146048" w:rsidRPr="0091279F" w:rsidRDefault="00146048" w:rsidP="00765ED9">
      <w:pPr>
        <w:tabs>
          <w:tab w:val="left" w:pos="-720"/>
        </w:tabs>
        <w:suppressAutoHyphens/>
        <w:ind w:left="1440" w:firstLine="0"/>
        <w:rPr>
          <w:szCs w:val="26"/>
        </w:rPr>
      </w:pPr>
    </w:p>
    <w:p w:rsidR="00291449" w:rsidRPr="0091279F" w:rsidRDefault="00205931" w:rsidP="00765ED9">
      <w:pPr>
        <w:tabs>
          <w:tab w:val="left" w:pos="-720"/>
        </w:tabs>
        <w:suppressAutoHyphens/>
        <w:rPr>
          <w:szCs w:val="26"/>
        </w:rPr>
      </w:pPr>
      <w:r w:rsidRPr="0091279F">
        <w:rPr>
          <w:szCs w:val="26"/>
        </w:rPr>
        <w:t>5</w:t>
      </w:r>
      <w:r w:rsidR="004F21E9" w:rsidRPr="0091279F">
        <w:rPr>
          <w:szCs w:val="26"/>
        </w:rPr>
        <w:t>.</w:t>
      </w:r>
      <w:r w:rsidR="004F21E9" w:rsidRPr="0091279F">
        <w:rPr>
          <w:szCs w:val="26"/>
        </w:rPr>
        <w:tab/>
        <w:t xml:space="preserve">That </w:t>
      </w:r>
      <w:r w:rsidR="00C251FE" w:rsidRPr="0091279F">
        <w:rPr>
          <w:szCs w:val="26"/>
        </w:rPr>
        <w:t xml:space="preserve">this case be </w:t>
      </w:r>
      <w:r w:rsidR="004F21E9" w:rsidRPr="0091279F">
        <w:rPr>
          <w:szCs w:val="26"/>
        </w:rPr>
        <w:t>mark</w:t>
      </w:r>
      <w:r w:rsidR="00C251FE" w:rsidRPr="0091279F">
        <w:rPr>
          <w:szCs w:val="26"/>
        </w:rPr>
        <w:t>ed</w:t>
      </w:r>
      <w:r w:rsidR="004F21E9" w:rsidRPr="0091279F">
        <w:rPr>
          <w:szCs w:val="26"/>
        </w:rPr>
        <w:t xml:space="preserve"> closed. </w:t>
      </w:r>
    </w:p>
    <w:p w:rsidR="00291449" w:rsidRPr="0091279F" w:rsidRDefault="00291449" w:rsidP="00765ED9">
      <w:pPr>
        <w:tabs>
          <w:tab w:val="left" w:pos="-720"/>
        </w:tabs>
        <w:suppressAutoHyphens/>
        <w:rPr>
          <w:szCs w:val="26"/>
        </w:rPr>
      </w:pPr>
    </w:p>
    <w:p w:rsidR="00F930D7" w:rsidRPr="0091279F" w:rsidRDefault="009259AD" w:rsidP="00765ED9">
      <w:pPr>
        <w:tabs>
          <w:tab w:val="left" w:pos="-720"/>
        </w:tabs>
        <w:suppressAutoHyphens/>
        <w:ind w:left="5040" w:firstLine="0"/>
        <w:rPr>
          <w:szCs w:val="26"/>
        </w:rPr>
      </w:pPr>
      <w:r>
        <w:rPr>
          <w:noProof/>
        </w:rPr>
        <w:drawing>
          <wp:anchor distT="0" distB="0" distL="114300" distR="114300" simplePos="0" relativeHeight="251659264" behindDoc="1" locked="0" layoutInCell="1" allowOverlap="1" wp14:anchorId="7E301941" wp14:editId="1645C987">
            <wp:simplePos x="0" y="0"/>
            <wp:positionH relativeFrom="column">
              <wp:posOffset>3151505</wp:posOffset>
            </wp:positionH>
            <wp:positionV relativeFrom="paragraph">
              <wp:posOffset>115570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930D7" w:rsidRPr="0091279F">
        <w:rPr>
          <w:b/>
          <w:szCs w:val="26"/>
        </w:rPr>
        <w:t>BY THE COMMISSION,</w:t>
      </w:r>
    </w:p>
    <w:p w:rsidR="00F930D7" w:rsidRDefault="00F930D7" w:rsidP="00765ED9">
      <w:pPr>
        <w:tabs>
          <w:tab w:val="left" w:pos="-720"/>
        </w:tabs>
        <w:suppressAutoHyphens/>
        <w:ind w:left="5040" w:firstLine="0"/>
        <w:rPr>
          <w:szCs w:val="26"/>
        </w:rPr>
      </w:pPr>
    </w:p>
    <w:p w:rsidR="003E2654" w:rsidRPr="0091279F" w:rsidRDefault="003E2654" w:rsidP="00765ED9">
      <w:pPr>
        <w:tabs>
          <w:tab w:val="left" w:pos="-720"/>
        </w:tabs>
        <w:suppressAutoHyphens/>
        <w:ind w:left="5040" w:firstLine="0"/>
        <w:rPr>
          <w:szCs w:val="26"/>
        </w:rPr>
      </w:pPr>
    </w:p>
    <w:p w:rsidR="00F930D7" w:rsidRPr="0091279F" w:rsidRDefault="009B2B7B" w:rsidP="00765ED9">
      <w:pPr>
        <w:tabs>
          <w:tab w:val="left" w:pos="-720"/>
        </w:tabs>
        <w:suppressAutoHyphens/>
        <w:spacing w:line="240" w:lineRule="auto"/>
        <w:ind w:left="5040" w:firstLine="0"/>
        <w:rPr>
          <w:szCs w:val="26"/>
        </w:rPr>
      </w:pPr>
      <w:r w:rsidRPr="0091279F">
        <w:rPr>
          <w:szCs w:val="26"/>
        </w:rPr>
        <w:t>Rosemary Chiavetta</w:t>
      </w:r>
    </w:p>
    <w:p w:rsidR="00F930D7" w:rsidRPr="0091279F" w:rsidRDefault="00F930D7" w:rsidP="00765ED9">
      <w:pPr>
        <w:tabs>
          <w:tab w:val="left" w:pos="-720"/>
        </w:tabs>
        <w:suppressAutoHyphens/>
        <w:spacing w:line="240" w:lineRule="auto"/>
        <w:ind w:left="5040" w:firstLine="0"/>
        <w:rPr>
          <w:szCs w:val="26"/>
        </w:rPr>
      </w:pPr>
      <w:r w:rsidRPr="0091279F">
        <w:rPr>
          <w:szCs w:val="26"/>
        </w:rPr>
        <w:t>Secretary</w:t>
      </w:r>
    </w:p>
    <w:p w:rsidR="00F930D7" w:rsidRPr="005E4195" w:rsidRDefault="00F930D7" w:rsidP="00765ED9">
      <w:pPr>
        <w:tabs>
          <w:tab w:val="left" w:pos="-720"/>
        </w:tabs>
        <w:suppressAutoHyphens/>
        <w:rPr>
          <w:szCs w:val="26"/>
        </w:rPr>
      </w:pPr>
    </w:p>
    <w:p w:rsidR="00F930D7" w:rsidRPr="005E4195" w:rsidRDefault="00F930D7" w:rsidP="00765ED9">
      <w:pPr>
        <w:tabs>
          <w:tab w:val="left" w:pos="-720"/>
        </w:tabs>
        <w:suppressAutoHyphens/>
        <w:ind w:firstLine="0"/>
        <w:rPr>
          <w:szCs w:val="26"/>
        </w:rPr>
      </w:pPr>
      <w:r w:rsidRPr="005E4195">
        <w:rPr>
          <w:szCs w:val="26"/>
        </w:rPr>
        <w:t>(SEAL)</w:t>
      </w:r>
    </w:p>
    <w:p w:rsidR="00F930D7" w:rsidRPr="005E4195" w:rsidRDefault="00574EAD" w:rsidP="00765ED9">
      <w:pPr>
        <w:tabs>
          <w:tab w:val="left" w:pos="-720"/>
        </w:tabs>
        <w:suppressAutoHyphens/>
        <w:ind w:firstLine="0"/>
        <w:rPr>
          <w:szCs w:val="26"/>
        </w:rPr>
      </w:pPr>
      <w:r w:rsidRPr="005E4195">
        <w:rPr>
          <w:szCs w:val="26"/>
        </w:rPr>
        <w:t xml:space="preserve">ORDER ADOPTED:  </w:t>
      </w:r>
      <w:r w:rsidR="00244952">
        <w:rPr>
          <w:szCs w:val="26"/>
        </w:rPr>
        <w:t>December</w:t>
      </w:r>
      <w:r w:rsidR="00244952" w:rsidRPr="005E4195">
        <w:rPr>
          <w:szCs w:val="26"/>
        </w:rPr>
        <w:t xml:space="preserve"> </w:t>
      </w:r>
      <w:r w:rsidR="00103127">
        <w:rPr>
          <w:szCs w:val="26"/>
        </w:rPr>
        <w:t>17</w:t>
      </w:r>
      <w:r w:rsidR="00F930D7" w:rsidRPr="005E4195">
        <w:rPr>
          <w:szCs w:val="26"/>
        </w:rPr>
        <w:t>, 20</w:t>
      </w:r>
      <w:r w:rsidR="00E67CC4" w:rsidRPr="005E4195">
        <w:rPr>
          <w:szCs w:val="26"/>
        </w:rPr>
        <w:t>1</w:t>
      </w:r>
      <w:r w:rsidR="00741915" w:rsidRPr="005E4195">
        <w:rPr>
          <w:szCs w:val="26"/>
        </w:rPr>
        <w:t>5</w:t>
      </w:r>
    </w:p>
    <w:p w:rsidR="00650EE0" w:rsidRPr="000D7CD1" w:rsidRDefault="00B677FB" w:rsidP="00765ED9">
      <w:pPr>
        <w:tabs>
          <w:tab w:val="left" w:pos="-720"/>
        </w:tabs>
        <w:suppressAutoHyphens/>
        <w:ind w:firstLine="0"/>
        <w:rPr>
          <w:szCs w:val="26"/>
        </w:rPr>
      </w:pPr>
      <w:r w:rsidRPr="005E4195">
        <w:rPr>
          <w:szCs w:val="26"/>
        </w:rPr>
        <w:t>ORDER ENTERED:</w:t>
      </w:r>
      <w:r w:rsidR="00360541" w:rsidRPr="005E4195">
        <w:rPr>
          <w:szCs w:val="26"/>
        </w:rPr>
        <w:t xml:space="preserve">  </w:t>
      </w:r>
      <w:r w:rsidR="009259AD">
        <w:rPr>
          <w:szCs w:val="26"/>
        </w:rPr>
        <w:t>December 17, 2015</w:t>
      </w:r>
      <w:bookmarkStart w:id="0" w:name="_GoBack"/>
      <w:bookmarkEnd w:id="0"/>
    </w:p>
    <w:sectPr w:rsidR="00650EE0" w:rsidRPr="000D7CD1" w:rsidSect="00FB6E05">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AB5" w:rsidRDefault="00DB3AB5">
      <w:r>
        <w:separator/>
      </w:r>
    </w:p>
  </w:endnote>
  <w:endnote w:type="continuationSeparator" w:id="0">
    <w:p w:rsidR="00DB3AB5" w:rsidRDefault="00DB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DB8" w:rsidRDefault="00026DB8"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DB8" w:rsidRDefault="00026D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DB8" w:rsidRDefault="00026DB8"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9259AD">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AB5" w:rsidRDefault="00DB3AB5">
      <w:r>
        <w:separator/>
      </w:r>
    </w:p>
  </w:footnote>
  <w:footnote w:type="continuationSeparator" w:id="0">
    <w:p w:rsidR="00DB3AB5" w:rsidRDefault="00DB3AB5">
      <w:r>
        <w:continuationSeparator/>
      </w:r>
    </w:p>
  </w:footnote>
  <w:footnote w:id="1">
    <w:p w:rsidR="004D3183" w:rsidRPr="004D3183" w:rsidRDefault="004D3183" w:rsidP="004D3183">
      <w:pPr>
        <w:pStyle w:val="FootnoteText"/>
        <w:spacing w:line="240" w:lineRule="auto"/>
        <w:ind w:firstLine="720"/>
        <w:rPr>
          <w:sz w:val="26"/>
          <w:szCs w:val="26"/>
        </w:rPr>
      </w:pPr>
      <w:r w:rsidRPr="004D3183">
        <w:rPr>
          <w:rStyle w:val="FootnoteReference"/>
          <w:sz w:val="26"/>
          <w:szCs w:val="26"/>
        </w:rPr>
        <w:footnoteRef/>
      </w:r>
      <w:r w:rsidRPr="004D3183">
        <w:rPr>
          <w:sz w:val="26"/>
          <w:szCs w:val="26"/>
        </w:rPr>
        <w:tab/>
      </w:r>
      <w:r w:rsidR="00555410">
        <w:rPr>
          <w:sz w:val="26"/>
          <w:szCs w:val="26"/>
        </w:rPr>
        <w:t>We note that in its Exceptions, PECO incorrectly cites to § 56.14 of our Regulations as they pertain to “Budget Billing.”  The correct section of our Regulations associated with “Budget Billing” is §56.12 (7), as we indicate above.</w:t>
      </w:r>
      <w:r>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062198"/>
    <w:lvl w:ilvl="0">
      <w:start w:val="1"/>
      <w:numFmt w:val="decimal"/>
      <w:lvlText w:val="%1."/>
      <w:lvlJc w:val="left"/>
      <w:pPr>
        <w:tabs>
          <w:tab w:val="num" w:pos="1800"/>
        </w:tabs>
        <w:ind w:left="1800" w:hanging="360"/>
      </w:pPr>
    </w:lvl>
  </w:abstractNum>
  <w:abstractNum w:abstractNumId="1">
    <w:nsid w:val="FFFFFF7D"/>
    <w:multiLevelType w:val="singleLevel"/>
    <w:tmpl w:val="19E6FF58"/>
    <w:lvl w:ilvl="0">
      <w:start w:val="1"/>
      <w:numFmt w:val="decimal"/>
      <w:lvlText w:val="%1."/>
      <w:lvlJc w:val="left"/>
      <w:pPr>
        <w:tabs>
          <w:tab w:val="num" w:pos="1440"/>
        </w:tabs>
        <w:ind w:left="1440" w:hanging="360"/>
      </w:pPr>
    </w:lvl>
  </w:abstractNum>
  <w:abstractNum w:abstractNumId="2">
    <w:nsid w:val="FFFFFF7E"/>
    <w:multiLevelType w:val="singleLevel"/>
    <w:tmpl w:val="751C37DA"/>
    <w:lvl w:ilvl="0">
      <w:start w:val="1"/>
      <w:numFmt w:val="decimal"/>
      <w:lvlText w:val="%1."/>
      <w:lvlJc w:val="left"/>
      <w:pPr>
        <w:tabs>
          <w:tab w:val="num" w:pos="1080"/>
        </w:tabs>
        <w:ind w:left="1080" w:hanging="360"/>
      </w:pPr>
    </w:lvl>
  </w:abstractNum>
  <w:abstractNum w:abstractNumId="3">
    <w:nsid w:val="FFFFFF7F"/>
    <w:multiLevelType w:val="singleLevel"/>
    <w:tmpl w:val="9FC85656"/>
    <w:lvl w:ilvl="0">
      <w:start w:val="1"/>
      <w:numFmt w:val="decimal"/>
      <w:lvlText w:val="%1."/>
      <w:lvlJc w:val="left"/>
      <w:pPr>
        <w:tabs>
          <w:tab w:val="num" w:pos="720"/>
        </w:tabs>
        <w:ind w:left="720" w:hanging="360"/>
      </w:pPr>
    </w:lvl>
  </w:abstractNum>
  <w:abstractNum w:abstractNumId="4">
    <w:nsid w:val="FFFFFF80"/>
    <w:multiLevelType w:val="singleLevel"/>
    <w:tmpl w:val="5532E9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64C4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E022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0E39B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F700170"/>
    <w:lvl w:ilvl="0">
      <w:start w:val="1"/>
      <w:numFmt w:val="decimal"/>
      <w:lvlText w:val="%1."/>
      <w:lvlJc w:val="left"/>
      <w:pPr>
        <w:tabs>
          <w:tab w:val="num" w:pos="360"/>
        </w:tabs>
        <w:ind w:left="360" w:hanging="360"/>
      </w:pPr>
    </w:lvl>
  </w:abstractNum>
  <w:abstractNum w:abstractNumId="9">
    <w:nsid w:val="FFFFFF89"/>
    <w:multiLevelType w:val="singleLevel"/>
    <w:tmpl w:val="D47C2062"/>
    <w:lvl w:ilvl="0">
      <w:start w:val="1"/>
      <w:numFmt w:val="bullet"/>
      <w:lvlText w:val=""/>
      <w:lvlJc w:val="left"/>
      <w:pPr>
        <w:tabs>
          <w:tab w:val="num" w:pos="360"/>
        </w:tabs>
        <w:ind w:left="360" w:hanging="360"/>
      </w:pPr>
      <w:rPr>
        <w:rFonts w:ascii="Symbol" w:hAnsi="Symbol" w:hint="default"/>
      </w:rPr>
    </w:lvl>
  </w:abstractNum>
  <w:abstractNum w:abstractNumId="10">
    <w:nsid w:val="03201B08"/>
    <w:multiLevelType w:val="hybridMultilevel"/>
    <w:tmpl w:val="516C0A4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54F632B"/>
    <w:multiLevelType w:val="hybridMultilevel"/>
    <w:tmpl w:val="69E2A19C"/>
    <w:lvl w:ilvl="0" w:tplc="957EA8D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9094C39"/>
    <w:multiLevelType w:val="hybridMultilevel"/>
    <w:tmpl w:val="AD9A8A24"/>
    <w:lvl w:ilvl="0" w:tplc="DCB6DA8C">
      <w:start w:val="2"/>
      <w:numFmt w:val="decimal"/>
      <w:lvlText w:val="(%1)"/>
      <w:lvlJc w:val="left"/>
      <w:pPr>
        <w:tabs>
          <w:tab w:val="num" w:pos="3315"/>
        </w:tabs>
        <w:ind w:left="3315" w:hanging="18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0BD815D2"/>
    <w:multiLevelType w:val="hybridMultilevel"/>
    <w:tmpl w:val="D5A4AB26"/>
    <w:lvl w:ilvl="0" w:tplc="4EAEDDD6">
      <w:start w:val="4"/>
      <w:numFmt w:val="lowerLetter"/>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0CBA7875"/>
    <w:multiLevelType w:val="multilevel"/>
    <w:tmpl w:val="E8DC0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0D7276F9"/>
    <w:multiLevelType w:val="hybridMultilevel"/>
    <w:tmpl w:val="B9A8ED98"/>
    <w:lvl w:ilvl="0" w:tplc="88E4FBF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0F310B50"/>
    <w:multiLevelType w:val="hybridMultilevel"/>
    <w:tmpl w:val="B70A7852"/>
    <w:lvl w:ilvl="0" w:tplc="DAE04FFA">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11B3321E"/>
    <w:multiLevelType w:val="hybridMultilevel"/>
    <w:tmpl w:val="B70CC11A"/>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8">
    <w:nsid w:val="1271307E"/>
    <w:multiLevelType w:val="hybridMultilevel"/>
    <w:tmpl w:val="BD561E4E"/>
    <w:lvl w:ilvl="0" w:tplc="CAF8463C">
      <w:start w:val="17"/>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13B36B82"/>
    <w:multiLevelType w:val="hybridMultilevel"/>
    <w:tmpl w:val="5B5C54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14A52EC2"/>
    <w:multiLevelType w:val="hybridMultilevel"/>
    <w:tmpl w:val="EB64FEB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62E2062"/>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16946117"/>
    <w:multiLevelType w:val="hybridMultilevel"/>
    <w:tmpl w:val="FB72E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69760BC"/>
    <w:multiLevelType w:val="hybridMultilevel"/>
    <w:tmpl w:val="13562636"/>
    <w:lvl w:ilvl="0" w:tplc="65D2A532">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1A0C6E4A"/>
    <w:multiLevelType w:val="hybridMultilevel"/>
    <w:tmpl w:val="E3A82B50"/>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C9E04A4"/>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221E0DEA"/>
    <w:multiLevelType w:val="hybridMultilevel"/>
    <w:tmpl w:val="7A4AE60A"/>
    <w:lvl w:ilvl="0" w:tplc="1B1430B2">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24DC4F75"/>
    <w:multiLevelType w:val="hybridMultilevel"/>
    <w:tmpl w:val="F4308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281D1703"/>
    <w:multiLevelType w:val="multilevel"/>
    <w:tmpl w:val="E8DC0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32BA3E52"/>
    <w:multiLevelType w:val="hybridMultilevel"/>
    <w:tmpl w:val="ED264D74"/>
    <w:lvl w:ilvl="0" w:tplc="EDCAFF9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3B1009EE"/>
    <w:multiLevelType w:val="hybridMultilevel"/>
    <w:tmpl w:val="EEB63F04"/>
    <w:lvl w:ilvl="0" w:tplc="9EB27E4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02B6C5D"/>
    <w:multiLevelType w:val="hybridMultilevel"/>
    <w:tmpl w:val="35EE3810"/>
    <w:lvl w:ilvl="0" w:tplc="23C6E4CA">
      <w:start w:val="1"/>
      <w:numFmt w:val="decimal"/>
      <w:lvlText w:val="(%1)"/>
      <w:lvlJc w:val="left"/>
      <w:pPr>
        <w:tabs>
          <w:tab w:val="num" w:pos="2535"/>
        </w:tabs>
        <w:ind w:left="2535" w:hanging="375"/>
      </w:pPr>
      <w:rPr>
        <w:rFonts w:hint="default"/>
      </w:rPr>
    </w:lvl>
    <w:lvl w:ilvl="1" w:tplc="1B56171A">
      <w:start w:val="3"/>
      <w:numFmt w:val="decimal"/>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nsid w:val="42AA23C0"/>
    <w:multiLevelType w:val="hybridMultilevel"/>
    <w:tmpl w:val="587E5D22"/>
    <w:lvl w:ilvl="0" w:tplc="D444C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2FC0130"/>
    <w:multiLevelType w:val="hybridMultilevel"/>
    <w:tmpl w:val="7DBC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5B0DB1"/>
    <w:multiLevelType w:val="hybridMultilevel"/>
    <w:tmpl w:val="350C62D4"/>
    <w:lvl w:ilvl="0" w:tplc="C8F87822">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4A80470F"/>
    <w:multiLevelType w:val="hybridMultilevel"/>
    <w:tmpl w:val="58121ADA"/>
    <w:lvl w:ilvl="0" w:tplc="78E6718A">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0F50891"/>
    <w:multiLevelType w:val="hybridMultilevel"/>
    <w:tmpl w:val="D44E37F4"/>
    <w:lvl w:ilvl="0" w:tplc="223469DE">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51E923F5"/>
    <w:multiLevelType w:val="hybridMultilevel"/>
    <w:tmpl w:val="08502DB0"/>
    <w:lvl w:ilvl="0" w:tplc="0A02431E">
      <w:start w:val="2"/>
      <w:numFmt w:val="lowerLetter"/>
      <w:lvlText w:val="%1."/>
      <w:lvlJc w:val="left"/>
      <w:pPr>
        <w:tabs>
          <w:tab w:val="num" w:pos="2160"/>
        </w:tabs>
        <w:ind w:left="2160" w:hanging="720"/>
      </w:pPr>
      <w:rPr>
        <w:rFonts w:hint="default"/>
      </w:rPr>
    </w:lvl>
    <w:lvl w:ilvl="1" w:tplc="FDD09CCA">
      <w:start w:val="1"/>
      <w:numFmt w:val="decimal"/>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5A2A5632"/>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9">
    <w:nsid w:val="5C3B0DB2"/>
    <w:multiLevelType w:val="hybridMultilevel"/>
    <w:tmpl w:val="A30A2E12"/>
    <w:lvl w:ilvl="0" w:tplc="945AD1DC">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5EC16E4E"/>
    <w:multiLevelType w:val="hybridMultilevel"/>
    <w:tmpl w:val="08A88236"/>
    <w:lvl w:ilvl="0" w:tplc="8C32CC9C">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63046494"/>
    <w:multiLevelType w:val="hybridMultilevel"/>
    <w:tmpl w:val="B5609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D1B6895"/>
    <w:multiLevelType w:val="hybridMultilevel"/>
    <w:tmpl w:val="5F28EA4A"/>
    <w:lvl w:ilvl="0" w:tplc="2806CDB0">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EFF69A7"/>
    <w:multiLevelType w:val="hybridMultilevel"/>
    <w:tmpl w:val="E8DC0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F090C84"/>
    <w:multiLevelType w:val="hybridMultilevel"/>
    <w:tmpl w:val="CF9070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nsid w:val="73D043B0"/>
    <w:multiLevelType w:val="hybridMultilevel"/>
    <w:tmpl w:val="C89A5696"/>
    <w:lvl w:ilvl="0" w:tplc="5114FC2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58023A"/>
    <w:multiLevelType w:val="hybridMultilevel"/>
    <w:tmpl w:val="540E341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4"/>
  </w:num>
  <w:num w:numId="13">
    <w:abstractNumId w:val="26"/>
  </w:num>
  <w:num w:numId="14">
    <w:abstractNumId w:val="16"/>
  </w:num>
  <w:num w:numId="15">
    <w:abstractNumId w:val="39"/>
  </w:num>
  <w:num w:numId="16">
    <w:abstractNumId w:val="23"/>
  </w:num>
  <w:num w:numId="17">
    <w:abstractNumId w:val="13"/>
  </w:num>
  <w:num w:numId="18">
    <w:abstractNumId w:val="17"/>
  </w:num>
  <w:num w:numId="19">
    <w:abstractNumId w:val="44"/>
  </w:num>
  <w:num w:numId="20">
    <w:abstractNumId w:val="41"/>
  </w:num>
  <w:num w:numId="21">
    <w:abstractNumId w:val="22"/>
  </w:num>
  <w:num w:numId="22">
    <w:abstractNumId w:val="15"/>
  </w:num>
  <w:num w:numId="23">
    <w:abstractNumId w:val="19"/>
  </w:num>
  <w:num w:numId="24">
    <w:abstractNumId w:val="12"/>
  </w:num>
  <w:num w:numId="25">
    <w:abstractNumId w:val="43"/>
  </w:num>
  <w:num w:numId="26">
    <w:abstractNumId w:val="37"/>
  </w:num>
  <w:num w:numId="27">
    <w:abstractNumId w:val="31"/>
  </w:num>
  <w:num w:numId="28">
    <w:abstractNumId w:val="14"/>
  </w:num>
  <w:num w:numId="29">
    <w:abstractNumId w:val="47"/>
  </w:num>
  <w:num w:numId="30">
    <w:abstractNumId w:val="21"/>
  </w:num>
  <w:num w:numId="31">
    <w:abstractNumId w:val="10"/>
  </w:num>
  <w:num w:numId="32">
    <w:abstractNumId w:val="25"/>
  </w:num>
  <w:num w:numId="33">
    <w:abstractNumId w:val="32"/>
  </w:num>
  <w:num w:numId="34">
    <w:abstractNumId w:val="38"/>
  </w:num>
  <w:num w:numId="35">
    <w:abstractNumId w:val="11"/>
  </w:num>
  <w:num w:numId="36">
    <w:abstractNumId w:val="28"/>
  </w:num>
  <w:num w:numId="37">
    <w:abstractNumId w:val="20"/>
  </w:num>
  <w:num w:numId="38">
    <w:abstractNumId w:val="45"/>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3"/>
  </w:num>
  <w:num w:numId="42">
    <w:abstractNumId w:val="35"/>
  </w:num>
  <w:num w:numId="43">
    <w:abstractNumId w:val="18"/>
  </w:num>
  <w:num w:numId="44">
    <w:abstractNumId w:val="36"/>
  </w:num>
  <w:num w:numId="45">
    <w:abstractNumId w:val="27"/>
  </w:num>
  <w:num w:numId="46">
    <w:abstractNumId w:val="24"/>
  </w:num>
  <w:num w:numId="47">
    <w:abstractNumId w:val="46"/>
  </w:num>
  <w:num w:numId="48">
    <w:abstractNumId w:val="30"/>
  </w:num>
  <w:num w:numId="49">
    <w:abstractNumId w:val="42"/>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0784"/>
    <w:rsid w:val="00000D52"/>
    <w:rsid w:val="000014E2"/>
    <w:rsid w:val="000021A7"/>
    <w:rsid w:val="00003B9D"/>
    <w:rsid w:val="00003CE8"/>
    <w:rsid w:val="00003DA7"/>
    <w:rsid w:val="0000428F"/>
    <w:rsid w:val="00004A9E"/>
    <w:rsid w:val="00004F6D"/>
    <w:rsid w:val="00005A34"/>
    <w:rsid w:val="00005A5F"/>
    <w:rsid w:val="00006183"/>
    <w:rsid w:val="00006BA5"/>
    <w:rsid w:val="00007103"/>
    <w:rsid w:val="00007669"/>
    <w:rsid w:val="000076FF"/>
    <w:rsid w:val="00007CB1"/>
    <w:rsid w:val="00007DAC"/>
    <w:rsid w:val="00007ECA"/>
    <w:rsid w:val="00010B8F"/>
    <w:rsid w:val="00013C41"/>
    <w:rsid w:val="000140A5"/>
    <w:rsid w:val="000142D3"/>
    <w:rsid w:val="00015184"/>
    <w:rsid w:val="000156E2"/>
    <w:rsid w:val="00015D57"/>
    <w:rsid w:val="00015FB2"/>
    <w:rsid w:val="000167DB"/>
    <w:rsid w:val="00017510"/>
    <w:rsid w:val="00017B36"/>
    <w:rsid w:val="00017D39"/>
    <w:rsid w:val="00020113"/>
    <w:rsid w:val="0002095D"/>
    <w:rsid w:val="00020C31"/>
    <w:rsid w:val="00021278"/>
    <w:rsid w:val="0002192E"/>
    <w:rsid w:val="0002251A"/>
    <w:rsid w:val="00022C7D"/>
    <w:rsid w:val="00023324"/>
    <w:rsid w:val="00023680"/>
    <w:rsid w:val="000236BD"/>
    <w:rsid w:val="000236DF"/>
    <w:rsid w:val="00024846"/>
    <w:rsid w:val="00024A2F"/>
    <w:rsid w:val="000254F8"/>
    <w:rsid w:val="00026292"/>
    <w:rsid w:val="000265D0"/>
    <w:rsid w:val="00026B92"/>
    <w:rsid w:val="00026DB8"/>
    <w:rsid w:val="0002736E"/>
    <w:rsid w:val="00027B63"/>
    <w:rsid w:val="00027CCD"/>
    <w:rsid w:val="00027E6F"/>
    <w:rsid w:val="00030A5E"/>
    <w:rsid w:val="00031BBE"/>
    <w:rsid w:val="00032D16"/>
    <w:rsid w:val="00033140"/>
    <w:rsid w:val="0003373D"/>
    <w:rsid w:val="00033814"/>
    <w:rsid w:val="00033DB2"/>
    <w:rsid w:val="0003455A"/>
    <w:rsid w:val="00034ED0"/>
    <w:rsid w:val="000376D9"/>
    <w:rsid w:val="00037894"/>
    <w:rsid w:val="00037CF5"/>
    <w:rsid w:val="000404BD"/>
    <w:rsid w:val="00040F84"/>
    <w:rsid w:val="00040FDC"/>
    <w:rsid w:val="00041D7C"/>
    <w:rsid w:val="00042223"/>
    <w:rsid w:val="00042498"/>
    <w:rsid w:val="0004250B"/>
    <w:rsid w:val="00042541"/>
    <w:rsid w:val="00042A39"/>
    <w:rsid w:val="00042A8A"/>
    <w:rsid w:val="00043595"/>
    <w:rsid w:val="00045231"/>
    <w:rsid w:val="00045B3E"/>
    <w:rsid w:val="00045D0F"/>
    <w:rsid w:val="00045D50"/>
    <w:rsid w:val="00046544"/>
    <w:rsid w:val="00046B1E"/>
    <w:rsid w:val="00046D3B"/>
    <w:rsid w:val="00051036"/>
    <w:rsid w:val="00051E02"/>
    <w:rsid w:val="00051E32"/>
    <w:rsid w:val="00052237"/>
    <w:rsid w:val="000522E4"/>
    <w:rsid w:val="000527AB"/>
    <w:rsid w:val="0005412F"/>
    <w:rsid w:val="00054389"/>
    <w:rsid w:val="000545BD"/>
    <w:rsid w:val="000552F8"/>
    <w:rsid w:val="000559F8"/>
    <w:rsid w:val="00055DFA"/>
    <w:rsid w:val="000564F3"/>
    <w:rsid w:val="00056678"/>
    <w:rsid w:val="00056736"/>
    <w:rsid w:val="00057957"/>
    <w:rsid w:val="0006066A"/>
    <w:rsid w:val="0006108E"/>
    <w:rsid w:val="000613F0"/>
    <w:rsid w:val="000618BD"/>
    <w:rsid w:val="000619A9"/>
    <w:rsid w:val="00061B1F"/>
    <w:rsid w:val="000621E4"/>
    <w:rsid w:val="000625BB"/>
    <w:rsid w:val="00062B01"/>
    <w:rsid w:val="00062B99"/>
    <w:rsid w:val="0006357E"/>
    <w:rsid w:val="000636D5"/>
    <w:rsid w:val="000655C9"/>
    <w:rsid w:val="00066742"/>
    <w:rsid w:val="00067A73"/>
    <w:rsid w:val="00070122"/>
    <w:rsid w:val="0007013B"/>
    <w:rsid w:val="00070983"/>
    <w:rsid w:val="00070AFC"/>
    <w:rsid w:val="00071006"/>
    <w:rsid w:val="0007288A"/>
    <w:rsid w:val="000733E6"/>
    <w:rsid w:val="00073F0A"/>
    <w:rsid w:val="00074C59"/>
    <w:rsid w:val="00076333"/>
    <w:rsid w:val="0007691C"/>
    <w:rsid w:val="000774E1"/>
    <w:rsid w:val="00077BD9"/>
    <w:rsid w:val="000805D8"/>
    <w:rsid w:val="0008068C"/>
    <w:rsid w:val="0008080B"/>
    <w:rsid w:val="000808E4"/>
    <w:rsid w:val="00080BB7"/>
    <w:rsid w:val="00080F10"/>
    <w:rsid w:val="00081C61"/>
    <w:rsid w:val="00081DF8"/>
    <w:rsid w:val="00083739"/>
    <w:rsid w:val="0008405F"/>
    <w:rsid w:val="000848D8"/>
    <w:rsid w:val="00084CFD"/>
    <w:rsid w:val="00084FCF"/>
    <w:rsid w:val="000857F9"/>
    <w:rsid w:val="00085923"/>
    <w:rsid w:val="00085C33"/>
    <w:rsid w:val="00086B0F"/>
    <w:rsid w:val="00087BB0"/>
    <w:rsid w:val="000902DC"/>
    <w:rsid w:val="00090436"/>
    <w:rsid w:val="000905E2"/>
    <w:rsid w:val="000906FA"/>
    <w:rsid w:val="00090A90"/>
    <w:rsid w:val="000912A6"/>
    <w:rsid w:val="00091863"/>
    <w:rsid w:val="00091BDB"/>
    <w:rsid w:val="00091ECC"/>
    <w:rsid w:val="000920FF"/>
    <w:rsid w:val="00092EA9"/>
    <w:rsid w:val="0009364A"/>
    <w:rsid w:val="000937CC"/>
    <w:rsid w:val="00093887"/>
    <w:rsid w:val="00093A9A"/>
    <w:rsid w:val="00094014"/>
    <w:rsid w:val="00094F2A"/>
    <w:rsid w:val="000951AD"/>
    <w:rsid w:val="0009555D"/>
    <w:rsid w:val="00096304"/>
    <w:rsid w:val="0009789B"/>
    <w:rsid w:val="000A0A00"/>
    <w:rsid w:val="000A0C13"/>
    <w:rsid w:val="000A0EF6"/>
    <w:rsid w:val="000A0FA1"/>
    <w:rsid w:val="000A1647"/>
    <w:rsid w:val="000A17DF"/>
    <w:rsid w:val="000A1AA2"/>
    <w:rsid w:val="000A2723"/>
    <w:rsid w:val="000A2D4A"/>
    <w:rsid w:val="000A3531"/>
    <w:rsid w:val="000A3AB9"/>
    <w:rsid w:val="000A3D6D"/>
    <w:rsid w:val="000A3DC2"/>
    <w:rsid w:val="000A455F"/>
    <w:rsid w:val="000A47B1"/>
    <w:rsid w:val="000A4D27"/>
    <w:rsid w:val="000A5D9B"/>
    <w:rsid w:val="000A6712"/>
    <w:rsid w:val="000A690F"/>
    <w:rsid w:val="000A6C54"/>
    <w:rsid w:val="000A71D0"/>
    <w:rsid w:val="000B1568"/>
    <w:rsid w:val="000B1A16"/>
    <w:rsid w:val="000B2425"/>
    <w:rsid w:val="000B2C23"/>
    <w:rsid w:val="000B32CF"/>
    <w:rsid w:val="000B41D4"/>
    <w:rsid w:val="000B47FF"/>
    <w:rsid w:val="000B4A79"/>
    <w:rsid w:val="000B4F08"/>
    <w:rsid w:val="000B56E6"/>
    <w:rsid w:val="000B5D83"/>
    <w:rsid w:val="000B6CBE"/>
    <w:rsid w:val="000C05F0"/>
    <w:rsid w:val="000C0BFE"/>
    <w:rsid w:val="000C19C7"/>
    <w:rsid w:val="000C1E13"/>
    <w:rsid w:val="000C210B"/>
    <w:rsid w:val="000C26A1"/>
    <w:rsid w:val="000C3756"/>
    <w:rsid w:val="000C4276"/>
    <w:rsid w:val="000C4A82"/>
    <w:rsid w:val="000C5194"/>
    <w:rsid w:val="000C5A9A"/>
    <w:rsid w:val="000C5D76"/>
    <w:rsid w:val="000C6F7F"/>
    <w:rsid w:val="000D0442"/>
    <w:rsid w:val="000D1801"/>
    <w:rsid w:val="000D2C72"/>
    <w:rsid w:val="000D38E6"/>
    <w:rsid w:val="000D4977"/>
    <w:rsid w:val="000D4D17"/>
    <w:rsid w:val="000D53C1"/>
    <w:rsid w:val="000D6779"/>
    <w:rsid w:val="000D6A7B"/>
    <w:rsid w:val="000D7A9C"/>
    <w:rsid w:val="000D7CD1"/>
    <w:rsid w:val="000D7D6C"/>
    <w:rsid w:val="000E1A39"/>
    <w:rsid w:val="000E1E26"/>
    <w:rsid w:val="000E2310"/>
    <w:rsid w:val="000E2C94"/>
    <w:rsid w:val="000E316C"/>
    <w:rsid w:val="000E3685"/>
    <w:rsid w:val="000E3AE6"/>
    <w:rsid w:val="000E3DC8"/>
    <w:rsid w:val="000E3DF0"/>
    <w:rsid w:val="000E434B"/>
    <w:rsid w:val="000E4C69"/>
    <w:rsid w:val="000E59C6"/>
    <w:rsid w:val="000E5B31"/>
    <w:rsid w:val="000E5C54"/>
    <w:rsid w:val="000E6295"/>
    <w:rsid w:val="000E64A4"/>
    <w:rsid w:val="000E68DB"/>
    <w:rsid w:val="000E6CB9"/>
    <w:rsid w:val="000E7072"/>
    <w:rsid w:val="000F0160"/>
    <w:rsid w:val="000F118B"/>
    <w:rsid w:val="000F18F1"/>
    <w:rsid w:val="000F1DC7"/>
    <w:rsid w:val="000F1E50"/>
    <w:rsid w:val="000F2E80"/>
    <w:rsid w:val="000F398D"/>
    <w:rsid w:val="000F3A24"/>
    <w:rsid w:val="000F3CC9"/>
    <w:rsid w:val="000F3E98"/>
    <w:rsid w:val="000F3F36"/>
    <w:rsid w:val="000F48AA"/>
    <w:rsid w:val="000F6F6F"/>
    <w:rsid w:val="000F78CD"/>
    <w:rsid w:val="0010001A"/>
    <w:rsid w:val="0010015A"/>
    <w:rsid w:val="0010041F"/>
    <w:rsid w:val="00100760"/>
    <w:rsid w:val="00100847"/>
    <w:rsid w:val="0010170A"/>
    <w:rsid w:val="00101A3B"/>
    <w:rsid w:val="00101DDC"/>
    <w:rsid w:val="00103127"/>
    <w:rsid w:val="001037B3"/>
    <w:rsid w:val="00103F99"/>
    <w:rsid w:val="0010404F"/>
    <w:rsid w:val="00104EC3"/>
    <w:rsid w:val="0010564E"/>
    <w:rsid w:val="00106794"/>
    <w:rsid w:val="00107935"/>
    <w:rsid w:val="00107A4E"/>
    <w:rsid w:val="0011009D"/>
    <w:rsid w:val="00110368"/>
    <w:rsid w:val="001112A6"/>
    <w:rsid w:val="00112765"/>
    <w:rsid w:val="00113015"/>
    <w:rsid w:val="00113081"/>
    <w:rsid w:val="00113127"/>
    <w:rsid w:val="001134B3"/>
    <w:rsid w:val="001136A6"/>
    <w:rsid w:val="00113854"/>
    <w:rsid w:val="001141CB"/>
    <w:rsid w:val="00114270"/>
    <w:rsid w:val="001148C4"/>
    <w:rsid w:val="00114B79"/>
    <w:rsid w:val="001155B1"/>
    <w:rsid w:val="00115B43"/>
    <w:rsid w:val="00115D11"/>
    <w:rsid w:val="00115DB1"/>
    <w:rsid w:val="00116184"/>
    <w:rsid w:val="0011624C"/>
    <w:rsid w:val="0011648F"/>
    <w:rsid w:val="00116837"/>
    <w:rsid w:val="0011689A"/>
    <w:rsid w:val="0011739B"/>
    <w:rsid w:val="0012014C"/>
    <w:rsid w:val="00121141"/>
    <w:rsid w:val="00121D33"/>
    <w:rsid w:val="00122AA3"/>
    <w:rsid w:val="00122BA5"/>
    <w:rsid w:val="001231CF"/>
    <w:rsid w:val="001239B8"/>
    <w:rsid w:val="00123BE1"/>
    <w:rsid w:val="00124E02"/>
    <w:rsid w:val="00125B05"/>
    <w:rsid w:val="00125EDF"/>
    <w:rsid w:val="00125F85"/>
    <w:rsid w:val="00126428"/>
    <w:rsid w:val="0012663E"/>
    <w:rsid w:val="001266A8"/>
    <w:rsid w:val="001266BA"/>
    <w:rsid w:val="00126800"/>
    <w:rsid w:val="00126ED9"/>
    <w:rsid w:val="001273C0"/>
    <w:rsid w:val="001300EA"/>
    <w:rsid w:val="001302ED"/>
    <w:rsid w:val="001304B2"/>
    <w:rsid w:val="001308B8"/>
    <w:rsid w:val="00130F91"/>
    <w:rsid w:val="001316C4"/>
    <w:rsid w:val="00133834"/>
    <w:rsid w:val="00133DEF"/>
    <w:rsid w:val="00134829"/>
    <w:rsid w:val="00134EE0"/>
    <w:rsid w:val="00135645"/>
    <w:rsid w:val="0013571D"/>
    <w:rsid w:val="00135DC2"/>
    <w:rsid w:val="001362A2"/>
    <w:rsid w:val="001368F3"/>
    <w:rsid w:val="0013798A"/>
    <w:rsid w:val="00140109"/>
    <w:rsid w:val="001424E2"/>
    <w:rsid w:val="00143E0C"/>
    <w:rsid w:val="00144B9D"/>
    <w:rsid w:val="001451DF"/>
    <w:rsid w:val="00145A3F"/>
    <w:rsid w:val="00146048"/>
    <w:rsid w:val="00146076"/>
    <w:rsid w:val="00146274"/>
    <w:rsid w:val="00146870"/>
    <w:rsid w:val="001468B6"/>
    <w:rsid w:val="00146E34"/>
    <w:rsid w:val="001479D1"/>
    <w:rsid w:val="00147CB0"/>
    <w:rsid w:val="00147DCE"/>
    <w:rsid w:val="001519E3"/>
    <w:rsid w:val="00152990"/>
    <w:rsid w:val="00152F14"/>
    <w:rsid w:val="00153A7F"/>
    <w:rsid w:val="00153F36"/>
    <w:rsid w:val="00154301"/>
    <w:rsid w:val="00154C9F"/>
    <w:rsid w:val="00155DCF"/>
    <w:rsid w:val="00155E8A"/>
    <w:rsid w:val="001566C2"/>
    <w:rsid w:val="00157002"/>
    <w:rsid w:val="0015752E"/>
    <w:rsid w:val="0015757E"/>
    <w:rsid w:val="00157DCB"/>
    <w:rsid w:val="00157F28"/>
    <w:rsid w:val="0016019C"/>
    <w:rsid w:val="001601B5"/>
    <w:rsid w:val="0016061C"/>
    <w:rsid w:val="00160DA3"/>
    <w:rsid w:val="00161DAB"/>
    <w:rsid w:val="00161EBB"/>
    <w:rsid w:val="0016211D"/>
    <w:rsid w:val="00162696"/>
    <w:rsid w:val="00162FF8"/>
    <w:rsid w:val="00163187"/>
    <w:rsid w:val="001635F3"/>
    <w:rsid w:val="0016378F"/>
    <w:rsid w:val="00163B2C"/>
    <w:rsid w:val="001640C3"/>
    <w:rsid w:val="00164229"/>
    <w:rsid w:val="001645EB"/>
    <w:rsid w:val="00164CCE"/>
    <w:rsid w:val="001658A5"/>
    <w:rsid w:val="0016648D"/>
    <w:rsid w:val="001665CE"/>
    <w:rsid w:val="00170063"/>
    <w:rsid w:val="0017108B"/>
    <w:rsid w:val="00171AFE"/>
    <w:rsid w:val="00171C16"/>
    <w:rsid w:val="00171C1E"/>
    <w:rsid w:val="0017214B"/>
    <w:rsid w:val="001727EC"/>
    <w:rsid w:val="00172A67"/>
    <w:rsid w:val="00173174"/>
    <w:rsid w:val="00174B74"/>
    <w:rsid w:val="00175800"/>
    <w:rsid w:val="001763B4"/>
    <w:rsid w:val="00176F74"/>
    <w:rsid w:val="00180528"/>
    <w:rsid w:val="0018058F"/>
    <w:rsid w:val="00180EDF"/>
    <w:rsid w:val="001814DF"/>
    <w:rsid w:val="001815BF"/>
    <w:rsid w:val="00181CAD"/>
    <w:rsid w:val="00181D19"/>
    <w:rsid w:val="0018222D"/>
    <w:rsid w:val="00182D35"/>
    <w:rsid w:val="00183895"/>
    <w:rsid w:val="00184493"/>
    <w:rsid w:val="00184535"/>
    <w:rsid w:val="00185194"/>
    <w:rsid w:val="001861CE"/>
    <w:rsid w:val="00186FE2"/>
    <w:rsid w:val="0019063F"/>
    <w:rsid w:val="00190D46"/>
    <w:rsid w:val="00191183"/>
    <w:rsid w:val="00191399"/>
    <w:rsid w:val="0019152A"/>
    <w:rsid w:val="0019161B"/>
    <w:rsid w:val="00191A1E"/>
    <w:rsid w:val="00192686"/>
    <w:rsid w:val="00192A46"/>
    <w:rsid w:val="0019304B"/>
    <w:rsid w:val="00193171"/>
    <w:rsid w:val="0019320B"/>
    <w:rsid w:val="001964E3"/>
    <w:rsid w:val="0019650F"/>
    <w:rsid w:val="00196519"/>
    <w:rsid w:val="00197330"/>
    <w:rsid w:val="001A2552"/>
    <w:rsid w:val="001A2A86"/>
    <w:rsid w:val="001A2E2F"/>
    <w:rsid w:val="001A431C"/>
    <w:rsid w:val="001A485D"/>
    <w:rsid w:val="001A4C10"/>
    <w:rsid w:val="001A4FF7"/>
    <w:rsid w:val="001A504D"/>
    <w:rsid w:val="001A5399"/>
    <w:rsid w:val="001A5F47"/>
    <w:rsid w:val="001A69AA"/>
    <w:rsid w:val="001A71D7"/>
    <w:rsid w:val="001A72E9"/>
    <w:rsid w:val="001A74D5"/>
    <w:rsid w:val="001B0363"/>
    <w:rsid w:val="001B048D"/>
    <w:rsid w:val="001B0588"/>
    <w:rsid w:val="001B0A2D"/>
    <w:rsid w:val="001B1B7C"/>
    <w:rsid w:val="001B1DA2"/>
    <w:rsid w:val="001B217A"/>
    <w:rsid w:val="001B2F7D"/>
    <w:rsid w:val="001B335E"/>
    <w:rsid w:val="001B3746"/>
    <w:rsid w:val="001B37A8"/>
    <w:rsid w:val="001B3DD4"/>
    <w:rsid w:val="001B3E73"/>
    <w:rsid w:val="001B4547"/>
    <w:rsid w:val="001B54FA"/>
    <w:rsid w:val="001B591B"/>
    <w:rsid w:val="001B66DB"/>
    <w:rsid w:val="001B6BA0"/>
    <w:rsid w:val="001B6D58"/>
    <w:rsid w:val="001C00B7"/>
    <w:rsid w:val="001C01F6"/>
    <w:rsid w:val="001C0ADE"/>
    <w:rsid w:val="001C136B"/>
    <w:rsid w:val="001C15FB"/>
    <w:rsid w:val="001C1C5C"/>
    <w:rsid w:val="001C3784"/>
    <w:rsid w:val="001C466E"/>
    <w:rsid w:val="001C46D4"/>
    <w:rsid w:val="001C4ECE"/>
    <w:rsid w:val="001C5AFD"/>
    <w:rsid w:val="001C615E"/>
    <w:rsid w:val="001C6679"/>
    <w:rsid w:val="001C6E68"/>
    <w:rsid w:val="001C6E9A"/>
    <w:rsid w:val="001C780F"/>
    <w:rsid w:val="001C7ABB"/>
    <w:rsid w:val="001C7B4B"/>
    <w:rsid w:val="001D06A8"/>
    <w:rsid w:val="001D16D0"/>
    <w:rsid w:val="001D1F2F"/>
    <w:rsid w:val="001D2656"/>
    <w:rsid w:val="001D3013"/>
    <w:rsid w:val="001D323A"/>
    <w:rsid w:val="001D3376"/>
    <w:rsid w:val="001D33A8"/>
    <w:rsid w:val="001D3ACD"/>
    <w:rsid w:val="001D414C"/>
    <w:rsid w:val="001D4845"/>
    <w:rsid w:val="001D57D4"/>
    <w:rsid w:val="001D59C3"/>
    <w:rsid w:val="001D6265"/>
    <w:rsid w:val="001D65AC"/>
    <w:rsid w:val="001D66EB"/>
    <w:rsid w:val="001D67E5"/>
    <w:rsid w:val="001D6FDD"/>
    <w:rsid w:val="001D7182"/>
    <w:rsid w:val="001D7453"/>
    <w:rsid w:val="001E00C6"/>
    <w:rsid w:val="001E01C8"/>
    <w:rsid w:val="001E0702"/>
    <w:rsid w:val="001E0C89"/>
    <w:rsid w:val="001E10DA"/>
    <w:rsid w:val="001E115D"/>
    <w:rsid w:val="001E1A4E"/>
    <w:rsid w:val="001E1D19"/>
    <w:rsid w:val="001E1EE7"/>
    <w:rsid w:val="001E254C"/>
    <w:rsid w:val="001E319D"/>
    <w:rsid w:val="001E3C03"/>
    <w:rsid w:val="001E3E18"/>
    <w:rsid w:val="001E3F4F"/>
    <w:rsid w:val="001E4506"/>
    <w:rsid w:val="001E48DF"/>
    <w:rsid w:val="001E48E2"/>
    <w:rsid w:val="001E55C3"/>
    <w:rsid w:val="001E5728"/>
    <w:rsid w:val="001E6236"/>
    <w:rsid w:val="001E779B"/>
    <w:rsid w:val="001E7A60"/>
    <w:rsid w:val="001E7B70"/>
    <w:rsid w:val="001E7CBC"/>
    <w:rsid w:val="001F003F"/>
    <w:rsid w:val="001F01C9"/>
    <w:rsid w:val="001F073B"/>
    <w:rsid w:val="001F143A"/>
    <w:rsid w:val="001F18F5"/>
    <w:rsid w:val="001F22ED"/>
    <w:rsid w:val="001F2F6E"/>
    <w:rsid w:val="001F3552"/>
    <w:rsid w:val="001F378A"/>
    <w:rsid w:val="001F379B"/>
    <w:rsid w:val="001F3F38"/>
    <w:rsid w:val="001F4E59"/>
    <w:rsid w:val="001F5A5F"/>
    <w:rsid w:val="001F5C67"/>
    <w:rsid w:val="001F5FAB"/>
    <w:rsid w:val="001F60E7"/>
    <w:rsid w:val="001F641B"/>
    <w:rsid w:val="001F6B71"/>
    <w:rsid w:val="001F71E5"/>
    <w:rsid w:val="001F7629"/>
    <w:rsid w:val="001F7B45"/>
    <w:rsid w:val="001F7CE5"/>
    <w:rsid w:val="00200400"/>
    <w:rsid w:val="00200D2A"/>
    <w:rsid w:val="00201C29"/>
    <w:rsid w:val="00201E5D"/>
    <w:rsid w:val="002025BE"/>
    <w:rsid w:val="0020331B"/>
    <w:rsid w:val="002033DD"/>
    <w:rsid w:val="002036B0"/>
    <w:rsid w:val="00205931"/>
    <w:rsid w:val="002067FD"/>
    <w:rsid w:val="00206C5F"/>
    <w:rsid w:val="002105F6"/>
    <w:rsid w:val="00210D44"/>
    <w:rsid w:val="002121E9"/>
    <w:rsid w:val="002123A3"/>
    <w:rsid w:val="002123BE"/>
    <w:rsid w:val="00212542"/>
    <w:rsid w:val="00213AAA"/>
    <w:rsid w:val="00213F9D"/>
    <w:rsid w:val="002143FF"/>
    <w:rsid w:val="0021464A"/>
    <w:rsid w:val="00214C50"/>
    <w:rsid w:val="0021558E"/>
    <w:rsid w:val="00216B7F"/>
    <w:rsid w:val="00216F09"/>
    <w:rsid w:val="002170B3"/>
    <w:rsid w:val="00217390"/>
    <w:rsid w:val="0022007B"/>
    <w:rsid w:val="00220A34"/>
    <w:rsid w:val="00220C61"/>
    <w:rsid w:val="0022142D"/>
    <w:rsid w:val="00221F5B"/>
    <w:rsid w:val="00222FF4"/>
    <w:rsid w:val="00224928"/>
    <w:rsid w:val="00224966"/>
    <w:rsid w:val="00224988"/>
    <w:rsid w:val="002252E9"/>
    <w:rsid w:val="00225401"/>
    <w:rsid w:val="002254CF"/>
    <w:rsid w:val="00226331"/>
    <w:rsid w:val="002273FE"/>
    <w:rsid w:val="002277FC"/>
    <w:rsid w:val="00227D70"/>
    <w:rsid w:val="00230B43"/>
    <w:rsid w:val="00230F09"/>
    <w:rsid w:val="0023105C"/>
    <w:rsid w:val="00231592"/>
    <w:rsid w:val="00231CD2"/>
    <w:rsid w:val="00231D80"/>
    <w:rsid w:val="002320D9"/>
    <w:rsid w:val="002326EA"/>
    <w:rsid w:val="00233468"/>
    <w:rsid w:val="0023446E"/>
    <w:rsid w:val="00234E6E"/>
    <w:rsid w:val="00234ECB"/>
    <w:rsid w:val="0023513F"/>
    <w:rsid w:val="00235529"/>
    <w:rsid w:val="00235CCB"/>
    <w:rsid w:val="002364FF"/>
    <w:rsid w:val="00236CBF"/>
    <w:rsid w:val="002379A2"/>
    <w:rsid w:val="00240CB9"/>
    <w:rsid w:val="00240E69"/>
    <w:rsid w:val="00241C08"/>
    <w:rsid w:val="00241D3F"/>
    <w:rsid w:val="00241F6D"/>
    <w:rsid w:val="00241FBF"/>
    <w:rsid w:val="002420A3"/>
    <w:rsid w:val="00242C87"/>
    <w:rsid w:val="00244025"/>
    <w:rsid w:val="002445A6"/>
    <w:rsid w:val="00244754"/>
    <w:rsid w:val="00244806"/>
    <w:rsid w:val="00244952"/>
    <w:rsid w:val="0024515D"/>
    <w:rsid w:val="002451D9"/>
    <w:rsid w:val="00245B72"/>
    <w:rsid w:val="00245D23"/>
    <w:rsid w:val="00245D95"/>
    <w:rsid w:val="002464E9"/>
    <w:rsid w:val="00246FA9"/>
    <w:rsid w:val="002476A6"/>
    <w:rsid w:val="00250064"/>
    <w:rsid w:val="002505A3"/>
    <w:rsid w:val="0025105B"/>
    <w:rsid w:val="00251AAD"/>
    <w:rsid w:val="00251B6F"/>
    <w:rsid w:val="002527D6"/>
    <w:rsid w:val="00253F82"/>
    <w:rsid w:val="00253FA0"/>
    <w:rsid w:val="00254DEB"/>
    <w:rsid w:val="002558AC"/>
    <w:rsid w:val="00255FB1"/>
    <w:rsid w:val="00256403"/>
    <w:rsid w:val="0025694E"/>
    <w:rsid w:val="00257060"/>
    <w:rsid w:val="00257DC2"/>
    <w:rsid w:val="00260AFC"/>
    <w:rsid w:val="00260D58"/>
    <w:rsid w:val="0026203F"/>
    <w:rsid w:val="002623B1"/>
    <w:rsid w:val="002626B2"/>
    <w:rsid w:val="00266A6E"/>
    <w:rsid w:val="002677BF"/>
    <w:rsid w:val="00270428"/>
    <w:rsid w:val="002710D4"/>
    <w:rsid w:val="002712E6"/>
    <w:rsid w:val="002726B2"/>
    <w:rsid w:val="002727AD"/>
    <w:rsid w:val="00273184"/>
    <w:rsid w:val="0027333B"/>
    <w:rsid w:val="0027373C"/>
    <w:rsid w:val="00273CCC"/>
    <w:rsid w:val="00274117"/>
    <w:rsid w:val="0027416E"/>
    <w:rsid w:val="00274337"/>
    <w:rsid w:val="00274573"/>
    <w:rsid w:val="00274C15"/>
    <w:rsid w:val="00275B4F"/>
    <w:rsid w:val="00276092"/>
    <w:rsid w:val="00276DC8"/>
    <w:rsid w:val="00276DCF"/>
    <w:rsid w:val="00276FEB"/>
    <w:rsid w:val="00277345"/>
    <w:rsid w:val="00277DF4"/>
    <w:rsid w:val="00277FC0"/>
    <w:rsid w:val="00280CAD"/>
    <w:rsid w:val="00280CBA"/>
    <w:rsid w:val="0028189B"/>
    <w:rsid w:val="00281BB3"/>
    <w:rsid w:val="00281BC5"/>
    <w:rsid w:val="002827D0"/>
    <w:rsid w:val="002829CC"/>
    <w:rsid w:val="00283511"/>
    <w:rsid w:val="00283853"/>
    <w:rsid w:val="00284019"/>
    <w:rsid w:val="002843A9"/>
    <w:rsid w:val="00284D62"/>
    <w:rsid w:val="00284FF5"/>
    <w:rsid w:val="00285349"/>
    <w:rsid w:val="00286511"/>
    <w:rsid w:val="00286AF5"/>
    <w:rsid w:val="00287481"/>
    <w:rsid w:val="0028772B"/>
    <w:rsid w:val="00291449"/>
    <w:rsid w:val="00291B87"/>
    <w:rsid w:val="0029221D"/>
    <w:rsid w:val="002924E5"/>
    <w:rsid w:val="00292D2B"/>
    <w:rsid w:val="0029325F"/>
    <w:rsid w:val="00293557"/>
    <w:rsid w:val="00293877"/>
    <w:rsid w:val="00293BC4"/>
    <w:rsid w:val="00293D30"/>
    <w:rsid w:val="00293F23"/>
    <w:rsid w:val="00294481"/>
    <w:rsid w:val="00294F86"/>
    <w:rsid w:val="0029503D"/>
    <w:rsid w:val="002957B8"/>
    <w:rsid w:val="00295A5E"/>
    <w:rsid w:val="00296017"/>
    <w:rsid w:val="00296685"/>
    <w:rsid w:val="00296A7C"/>
    <w:rsid w:val="00296A9B"/>
    <w:rsid w:val="002A08C8"/>
    <w:rsid w:val="002A0BF0"/>
    <w:rsid w:val="002A15A4"/>
    <w:rsid w:val="002A1A8E"/>
    <w:rsid w:val="002A1C0A"/>
    <w:rsid w:val="002A24E2"/>
    <w:rsid w:val="002A285B"/>
    <w:rsid w:val="002A3367"/>
    <w:rsid w:val="002A3372"/>
    <w:rsid w:val="002A33F1"/>
    <w:rsid w:val="002A33FD"/>
    <w:rsid w:val="002A3705"/>
    <w:rsid w:val="002A418C"/>
    <w:rsid w:val="002A42AC"/>
    <w:rsid w:val="002A4D7C"/>
    <w:rsid w:val="002A5123"/>
    <w:rsid w:val="002A512A"/>
    <w:rsid w:val="002A5345"/>
    <w:rsid w:val="002A575C"/>
    <w:rsid w:val="002A5802"/>
    <w:rsid w:val="002A5845"/>
    <w:rsid w:val="002A5C6C"/>
    <w:rsid w:val="002A61B4"/>
    <w:rsid w:val="002A63AD"/>
    <w:rsid w:val="002A6D70"/>
    <w:rsid w:val="002A7463"/>
    <w:rsid w:val="002A7BDD"/>
    <w:rsid w:val="002A7ED9"/>
    <w:rsid w:val="002B0665"/>
    <w:rsid w:val="002B0A3F"/>
    <w:rsid w:val="002B0E51"/>
    <w:rsid w:val="002B0EED"/>
    <w:rsid w:val="002B1624"/>
    <w:rsid w:val="002B21ED"/>
    <w:rsid w:val="002B2C7A"/>
    <w:rsid w:val="002B3332"/>
    <w:rsid w:val="002B3D3A"/>
    <w:rsid w:val="002B416C"/>
    <w:rsid w:val="002B44CF"/>
    <w:rsid w:val="002B4C7F"/>
    <w:rsid w:val="002B4D16"/>
    <w:rsid w:val="002B4F49"/>
    <w:rsid w:val="002B566A"/>
    <w:rsid w:val="002B591E"/>
    <w:rsid w:val="002B6227"/>
    <w:rsid w:val="002B6DF9"/>
    <w:rsid w:val="002B71F0"/>
    <w:rsid w:val="002B7D6F"/>
    <w:rsid w:val="002C107B"/>
    <w:rsid w:val="002C183D"/>
    <w:rsid w:val="002C1E3A"/>
    <w:rsid w:val="002C2A83"/>
    <w:rsid w:val="002C36B7"/>
    <w:rsid w:val="002C4606"/>
    <w:rsid w:val="002C468D"/>
    <w:rsid w:val="002C4D16"/>
    <w:rsid w:val="002C5D38"/>
    <w:rsid w:val="002C6095"/>
    <w:rsid w:val="002C6300"/>
    <w:rsid w:val="002C7EDE"/>
    <w:rsid w:val="002D0014"/>
    <w:rsid w:val="002D0610"/>
    <w:rsid w:val="002D0C06"/>
    <w:rsid w:val="002D0FF5"/>
    <w:rsid w:val="002D16BF"/>
    <w:rsid w:val="002D1B88"/>
    <w:rsid w:val="002D221C"/>
    <w:rsid w:val="002D3D02"/>
    <w:rsid w:val="002D4126"/>
    <w:rsid w:val="002D446C"/>
    <w:rsid w:val="002D460D"/>
    <w:rsid w:val="002D46D8"/>
    <w:rsid w:val="002D5084"/>
    <w:rsid w:val="002D5909"/>
    <w:rsid w:val="002D5AF0"/>
    <w:rsid w:val="002D6727"/>
    <w:rsid w:val="002D67DB"/>
    <w:rsid w:val="002D7A66"/>
    <w:rsid w:val="002D7CE0"/>
    <w:rsid w:val="002D7D22"/>
    <w:rsid w:val="002D7F24"/>
    <w:rsid w:val="002E023D"/>
    <w:rsid w:val="002E0A13"/>
    <w:rsid w:val="002E0CBC"/>
    <w:rsid w:val="002E1822"/>
    <w:rsid w:val="002E1FB3"/>
    <w:rsid w:val="002E28C4"/>
    <w:rsid w:val="002E2C9D"/>
    <w:rsid w:val="002E34E5"/>
    <w:rsid w:val="002E3661"/>
    <w:rsid w:val="002E3B5C"/>
    <w:rsid w:val="002E4BB6"/>
    <w:rsid w:val="002E5E5F"/>
    <w:rsid w:val="002E6CCE"/>
    <w:rsid w:val="002E7446"/>
    <w:rsid w:val="002E78A3"/>
    <w:rsid w:val="002E7E94"/>
    <w:rsid w:val="002F010B"/>
    <w:rsid w:val="002F032B"/>
    <w:rsid w:val="002F0ABE"/>
    <w:rsid w:val="002F1595"/>
    <w:rsid w:val="002F1698"/>
    <w:rsid w:val="002F206F"/>
    <w:rsid w:val="002F25F1"/>
    <w:rsid w:val="002F2695"/>
    <w:rsid w:val="002F2817"/>
    <w:rsid w:val="002F29F2"/>
    <w:rsid w:val="002F2B8F"/>
    <w:rsid w:val="002F323D"/>
    <w:rsid w:val="002F352A"/>
    <w:rsid w:val="002F35D9"/>
    <w:rsid w:val="002F3B9A"/>
    <w:rsid w:val="002F3CE6"/>
    <w:rsid w:val="002F4731"/>
    <w:rsid w:val="002F47B2"/>
    <w:rsid w:val="002F4C13"/>
    <w:rsid w:val="002F56D8"/>
    <w:rsid w:val="002F5732"/>
    <w:rsid w:val="002F5C0C"/>
    <w:rsid w:val="002F5F19"/>
    <w:rsid w:val="002F5FC8"/>
    <w:rsid w:val="002F68EB"/>
    <w:rsid w:val="002F7C19"/>
    <w:rsid w:val="0030050E"/>
    <w:rsid w:val="00300643"/>
    <w:rsid w:val="00300923"/>
    <w:rsid w:val="00300DC7"/>
    <w:rsid w:val="003024B6"/>
    <w:rsid w:val="00302D46"/>
    <w:rsid w:val="0030357E"/>
    <w:rsid w:val="00304320"/>
    <w:rsid w:val="003046EF"/>
    <w:rsid w:val="003056FC"/>
    <w:rsid w:val="00306870"/>
    <w:rsid w:val="00306940"/>
    <w:rsid w:val="003070DA"/>
    <w:rsid w:val="003071E9"/>
    <w:rsid w:val="003072C2"/>
    <w:rsid w:val="00307E7A"/>
    <w:rsid w:val="00310886"/>
    <w:rsid w:val="00311C03"/>
    <w:rsid w:val="00311DBC"/>
    <w:rsid w:val="00312751"/>
    <w:rsid w:val="00312C66"/>
    <w:rsid w:val="003131D1"/>
    <w:rsid w:val="003133FB"/>
    <w:rsid w:val="0031360A"/>
    <w:rsid w:val="00313FB1"/>
    <w:rsid w:val="003146AB"/>
    <w:rsid w:val="00314ACE"/>
    <w:rsid w:val="00314F20"/>
    <w:rsid w:val="00314F96"/>
    <w:rsid w:val="00314FAC"/>
    <w:rsid w:val="0031509E"/>
    <w:rsid w:val="003157C1"/>
    <w:rsid w:val="003167BE"/>
    <w:rsid w:val="00317137"/>
    <w:rsid w:val="003174B5"/>
    <w:rsid w:val="0031751D"/>
    <w:rsid w:val="00317D9B"/>
    <w:rsid w:val="00317F81"/>
    <w:rsid w:val="00321E0A"/>
    <w:rsid w:val="00322113"/>
    <w:rsid w:val="00322ED8"/>
    <w:rsid w:val="00323427"/>
    <w:rsid w:val="0032384A"/>
    <w:rsid w:val="00324606"/>
    <w:rsid w:val="00324B38"/>
    <w:rsid w:val="00325697"/>
    <w:rsid w:val="003260A8"/>
    <w:rsid w:val="00326454"/>
    <w:rsid w:val="00326DAD"/>
    <w:rsid w:val="00326E07"/>
    <w:rsid w:val="00327251"/>
    <w:rsid w:val="00327B43"/>
    <w:rsid w:val="00327F61"/>
    <w:rsid w:val="003301C3"/>
    <w:rsid w:val="00330513"/>
    <w:rsid w:val="003307CA"/>
    <w:rsid w:val="00330DE0"/>
    <w:rsid w:val="00330F1C"/>
    <w:rsid w:val="00330F95"/>
    <w:rsid w:val="003310EB"/>
    <w:rsid w:val="00331B1D"/>
    <w:rsid w:val="003327C2"/>
    <w:rsid w:val="0033376B"/>
    <w:rsid w:val="00333AA5"/>
    <w:rsid w:val="00334377"/>
    <w:rsid w:val="00334478"/>
    <w:rsid w:val="00334936"/>
    <w:rsid w:val="00335073"/>
    <w:rsid w:val="00335087"/>
    <w:rsid w:val="003357FA"/>
    <w:rsid w:val="00335820"/>
    <w:rsid w:val="00336227"/>
    <w:rsid w:val="0033687F"/>
    <w:rsid w:val="003374F2"/>
    <w:rsid w:val="00340944"/>
    <w:rsid w:val="00340BA4"/>
    <w:rsid w:val="00340C90"/>
    <w:rsid w:val="0034161B"/>
    <w:rsid w:val="003422EF"/>
    <w:rsid w:val="00343B75"/>
    <w:rsid w:val="00343C89"/>
    <w:rsid w:val="00343D8B"/>
    <w:rsid w:val="0034490E"/>
    <w:rsid w:val="00345818"/>
    <w:rsid w:val="003465A2"/>
    <w:rsid w:val="0034688C"/>
    <w:rsid w:val="00346DDC"/>
    <w:rsid w:val="00346FF2"/>
    <w:rsid w:val="003470E7"/>
    <w:rsid w:val="00347501"/>
    <w:rsid w:val="00347B77"/>
    <w:rsid w:val="00347EB2"/>
    <w:rsid w:val="003503F4"/>
    <w:rsid w:val="00350A39"/>
    <w:rsid w:val="00351738"/>
    <w:rsid w:val="00352215"/>
    <w:rsid w:val="00352379"/>
    <w:rsid w:val="00352A36"/>
    <w:rsid w:val="00352C36"/>
    <w:rsid w:val="003530D6"/>
    <w:rsid w:val="00353A8E"/>
    <w:rsid w:val="00353D4E"/>
    <w:rsid w:val="003544E6"/>
    <w:rsid w:val="0035456C"/>
    <w:rsid w:val="0035460C"/>
    <w:rsid w:val="00354EAD"/>
    <w:rsid w:val="0035516F"/>
    <w:rsid w:val="003560D3"/>
    <w:rsid w:val="003565EC"/>
    <w:rsid w:val="0035663C"/>
    <w:rsid w:val="00356ED4"/>
    <w:rsid w:val="00360541"/>
    <w:rsid w:val="00362120"/>
    <w:rsid w:val="003621F7"/>
    <w:rsid w:val="00362BAF"/>
    <w:rsid w:val="0036464E"/>
    <w:rsid w:val="0036497D"/>
    <w:rsid w:val="00364B05"/>
    <w:rsid w:val="00364B79"/>
    <w:rsid w:val="00364DFD"/>
    <w:rsid w:val="00365CA4"/>
    <w:rsid w:val="00365D4E"/>
    <w:rsid w:val="00366684"/>
    <w:rsid w:val="0036786C"/>
    <w:rsid w:val="00367C77"/>
    <w:rsid w:val="00370349"/>
    <w:rsid w:val="003708B4"/>
    <w:rsid w:val="00371B31"/>
    <w:rsid w:val="0037220C"/>
    <w:rsid w:val="003731A2"/>
    <w:rsid w:val="00373248"/>
    <w:rsid w:val="003734E2"/>
    <w:rsid w:val="00373BB5"/>
    <w:rsid w:val="00373D39"/>
    <w:rsid w:val="00373D9C"/>
    <w:rsid w:val="00375428"/>
    <w:rsid w:val="0037563E"/>
    <w:rsid w:val="003760BF"/>
    <w:rsid w:val="003761C9"/>
    <w:rsid w:val="00376BCB"/>
    <w:rsid w:val="00376DC7"/>
    <w:rsid w:val="0037769E"/>
    <w:rsid w:val="003779E0"/>
    <w:rsid w:val="003802F9"/>
    <w:rsid w:val="0038048A"/>
    <w:rsid w:val="003808DA"/>
    <w:rsid w:val="00380E3F"/>
    <w:rsid w:val="00381684"/>
    <w:rsid w:val="00381BEE"/>
    <w:rsid w:val="0038245B"/>
    <w:rsid w:val="00382905"/>
    <w:rsid w:val="00384105"/>
    <w:rsid w:val="00384150"/>
    <w:rsid w:val="003841AC"/>
    <w:rsid w:val="00385253"/>
    <w:rsid w:val="00385425"/>
    <w:rsid w:val="00385BFF"/>
    <w:rsid w:val="00385CED"/>
    <w:rsid w:val="00386DED"/>
    <w:rsid w:val="00387247"/>
    <w:rsid w:val="003874FD"/>
    <w:rsid w:val="003879E0"/>
    <w:rsid w:val="003900CC"/>
    <w:rsid w:val="003908DC"/>
    <w:rsid w:val="003910C4"/>
    <w:rsid w:val="003912B2"/>
    <w:rsid w:val="00391F40"/>
    <w:rsid w:val="00392C2A"/>
    <w:rsid w:val="00392D4D"/>
    <w:rsid w:val="00393142"/>
    <w:rsid w:val="003931F8"/>
    <w:rsid w:val="003937DD"/>
    <w:rsid w:val="00393D89"/>
    <w:rsid w:val="003951D9"/>
    <w:rsid w:val="00395220"/>
    <w:rsid w:val="0039543F"/>
    <w:rsid w:val="00395791"/>
    <w:rsid w:val="00395F2D"/>
    <w:rsid w:val="00395F64"/>
    <w:rsid w:val="00396E5E"/>
    <w:rsid w:val="00397DA0"/>
    <w:rsid w:val="003A0091"/>
    <w:rsid w:val="003A0BB9"/>
    <w:rsid w:val="003A1124"/>
    <w:rsid w:val="003A1469"/>
    <w:rsid w:val="003A26EA"/>
    <w:rsid w:val="003A2C92"/>
    <w:rsid w:val="003A2E4B"/>
    <w:rsid w:val="003A33EC"/>
    <w:rsid w:val="003A342A"/>
    <w:rsid w:val="003A3ECF"/>
    <w:rsid w:val="003A462A"/>
    <w:rsid w:val="003A4C63"/>
    <w:rsid w:val="003A4FD1"/>
    <w:rsid w:val="003A7154"/>
    <w:rsid w:val="003A7726"/>
    <w:rsid w:val="003A7970"/>
    <w:rsid w:val="003B0680"/>
    <w:rsid w:val="003B1FA6"/>
    <w:rsid w:val="003B2243"/>
    <w:rsid w:val="003B286B"/>
    <w:rsid w:val="003B2F3A"/>
    <w:rsid w:val="003B4653"/>
    <w:rsid w:val="003B490A"/>
    <w:rsid w:val="003B4B39"/>
    <w:rsid w:val="003B4EAE"/>
    <w:rsid w:val="003B500D"/>
    <w:rsid w:val="003B5323"/>
    <w:rsid w:val="003B54B1"/>
    <w:rsid w:val="003B563F"/>
    <w:rsid w:val="003B5F65"/>
    <w:rsid w:val="003B7596"/>
    <w:rsid w:val="003B7FD3"/>
    <w:rsid w:val="003C0667"/>
    <w:rsid w:val="003C2CFA"/>
    <w:rsid w:val="003C3074"/>
    <w:rsid w:val="003C3331"/>
    <w:rsid w:val="003C4F87"/>
    <w:rsid w:val="003C50B2"/>
    <w:rsid w:val="003C50BE"/>
    <w:rsid w:val="003C520C"/>
    <w:rsid w:val="003C534F"/>
    <w:rsid w:val="003C5AF0"/>
    <w:rsid w:val="003C5B19"/>
    <w:rsid w:val="003C5CA5"/>
    <w:rsid w:val="003C62AA"/>
    <w:rsid w:val="003C63B1"/>
    <w:rsid w:val="003C6BB4"/>
    <w:rsid w:val="003C714B"/>
    <w:rsid w:val="003C792E"/>
    <w:rsid w:val="003D1348"/>
    <w:rsid w:val="003D1749"/>
    <w:rsid w:val="003D1981"/>
    <w:rsid w:val="003D1B0A"/>
    <w:rsid w:val="003D1E32"/>
    <w:rsid w:val="003D20BE"/>
    <w:rsid w:val="003D2219"/>
    <w:rsid w:val="003D23CB"/>
    <w:rsid w:val="003D30F3"/>
    <w:rsid w:val="003D32A9"/>
    <w:rsid w:val="003D34C1"/>
    <w:rsid w:val="003D378F"/>
    <w:rsid w:val="003D418F"/>
    <w:rsid w:val="003D427A"/>
    <w:rsid w:val="003D4822"/>
    <w:rsid w:val="003D4CA2"/>
    <w:rsid w:val="003D4EDA"/>
    <w:rsid w:val="003D4F14"/>
    <w:rsid w:val="003D542A"/>
    <w:rsid w:val="003D5FCF"/>
    <w:rsid w:val="003D65E7"/>
    <w:rsid w:val="003D71D5"/>
    <w:rsid w:val="003D77D8"/>
    <w:rsid w:val="003E0CB6"/>
    <w:rsid w:val="003E1ABD"/>
    <w:rsid w:val="003E2654"/>
    <w:rsid w:val="003E2EC8"/>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B2"/>
    <w:rsid w:val="003F1069"/>
    <w:rsid w:val="003F1162"/>
    <w:rsid w:val="003F1194"/>
    <w:rsid w:val="003F11F6"/>
    <w:rsid w:val="003F1F7E"/>
    <w:rsid w:val="003F28CC"/>
    <w:rsid w:val="003F361F"/>
    <w:rsid w:val="003F472D"/>
    <w:rsid w:val="003F4826"/>
    <w:rsid w:val="003F4E43"/>
    <w:rsid w:val="003F5806"/>
    <w:rsid w:val="003F60F2"/>
    <w:rsid w:val="003F62C7"/>
    <w:rsid w:val="003F70DD"/>
    <w:rsid w:val="003F72E7"/>
    <w:rsid w:val="003F78D0"/>
    <w:rsid w:val="003F7B3F"/>
    <w:rsid w:val="003F7C41"/>
    <w:rsid w:val="00400ED4"/>
    <w:rsid w:val="0040104A"/>
    <w:rsid w:val="0040167D"/>
    <w:rsid w:val="00401B8A"/>
    <w:rsid w:val="00402034"/>
    <w:rsid w:val="004020F9"/>
    <w:rsid w:val="004021A1"/>
    <w:rsid w:val="00402B42"/>
    <w:rsid w:val="00402EBD"/>
    <w:rsid w:val="00402F2A"/>
    <w:rsid w:val="004034D0"/>
    <w:rsid w:val="00403821"/>
    <w:rsid w:val="00403B76"/>
    <w:rsid w:val="00405394"/>
    <w:rsid w:val="004056AA"/>
    <w:rsid w:val="004061F6"/>
    <w:rsid w:val="00406588"/>
    <w:rsid w:val="00410525"/>
    <w:rsid w:val="0041057E"/>
    <w:rsid w:val="004116E8"/>
    <w:rsid w:val="0041313B"/>
    <w:rsid w:val="00414E86"/>
    <w:rsid w:val="00414FE7"/>
    <w:rsid w:val="00415452"/>
    <w:rsid w:val="00415668"/>
    <w:rsid w:val="00415863"/>
    <w:rsid w:val="004162B0"/>
    <w:rsid w:val="00416F3D"/>
    <w:rsid w:val="00417C9A"/>
    <w:rsid w:val="0042010D"/>
    <w:rsid w:val="004202EB"/>
    <w:rsid w:val="004207C4"/>
    <w:rsid w:val="00420B60"/>
    <w:rsid w:val="00420F7C"/>
    <w:rsid w:val="0042274C"/>
    <w:rsid w:val="0042346E"/>
    <w:rsid w:val="004236D8"/>
    <w:rsid w:val="00424134"/>
    <w:rsid w:val="00425846"/>
    <w:rsid w:val="0042684D"/>
    <w:rsid w:val="00426B2A"/>
    <w:rsid w:val="00426D82"/>
    <w:rsid w:val="004277F7"/>
    <w:rsid w:val="00427DDE"/>
    <w:rsid w:val="004306E0"/>
    <w:rsid w:val="004310DF"/>
    <w:rsid w:val="00431D20"/>
    <w:rsid w:val="0043201E"/>
    <w:rsid w:val="00432734"/>
    <w:rsid w:val="00432C5A"/>
    <w:rsid w:val="00433E10"/>
    <w:rsid w:val="00433EBF"/>
    <w:rsid w:val="00434CCE"/>
    <w:rsid w:val="00434F82"/>
    <w:rsid w:val="004352FF"/>
    <w:rsid w:val="004359DB"/>
    <w:rsid w:val="00435D69"/>
    <w:rsid w:val="00435F34"/>
    <w:rsid w:val="004367E5"/>
    <w:rsid w:val="0044010B"/>
    <w:rsid w:val="004411BD"/>
    <w:rsid w:val="0044188D"/>
    <w:rsid w:val="004419BA"/>
    <w:rsid w:val="00441B98"/>
    <w:rsid w:val="00441D93"/>
    <w:rsid w:val="00441FD3"/>
    <w:rsid w:val="00443457"/>
    <w:rsid w:val="004435C0"/>
    <w:rsid w:val="00443BAE"/>
    <w:rsid w:val="00443C44"/>
    <w:rsid w:val="00444365"/>
    <w:rsid w:val="00444581"/>
    <w:rsid w:val="00444EF2"/>
    <w:rsid w:val="004457C4"/>
    <w:rsid w:val="004464A7"/>
    <w:rsid w:val="00446546"/>
    <w:rsid w:val="0044688F"/>
    <w:rsid w:val="00446B66"/>
    <w:rsid w:val="00450755"/>
    <w:rsid w:val="00450859"/>
    <w:rsid w:val="004519DF"/>
    <w:rsid w:val="00451ED3"/>
    <w:rsid w:val="00452444"/>
    <w:rsid w:val="004536E4"/>
    <w:rsid w:val="00453BB1"/>
    <w:rsid w:val="00453F80"/>
    <w:rsid w:val="00454BBC"/>
    <w:rsid w:val="00454F41"/>
    <w:rsid w:val="0045567B"/>
    <w:rsid w:val="00455A14"/>
    <w:rsid w:val="004560D6"/>
    <w:rsid w:val="004566CD"/>
    <w:rsid w:val="00457165"/>
    <w:rsid w:val="0045759F"/>
    <w:rsid w:val="0045766A"/>
    <w:rsid w:val="004609C1"/>
    <w:rsid w:val="00460B2E"/>
    <w:rsid w:val="00460CFE"/>
    <w:rsid w:val="00460D82"/>
    <w:rsid w:val="00461AFA"/>
    <w:rsid w:val="00461E29"/>
    <w:rsid w:val="00462DA2"/>
    <w:rsid w:val="00462DEA"/>
    <w:rsid w:val="004631AC"/>
    <w:rsid w:val="004631F4"/>
    <w:rsid w:val="004639F6"/>
    <w:rsid w:val="00463D0C"/>
    <w:rsid w:val="00463EDB"/>
    <w:rsid w:val="00464120"/>
    <w:rsid w:val="0046506B"/>
    <w:rsid w:val="00465881"/>
    <w:rsid w:val="00465AA2"/>
    <w:rsid w:val="00466E99"/>
    <w:rsid w:val="00467522"/>
    <w:rsid w:val="0046756B"/>
    <w:rsid w:val="00467602"/>
    <w:rsid w:val="00470D63"/>
    <w:rsid w:val="00471BD3"/>
    <w:rsid w:val="00471C0F"/>
    <w:rsid w:val="00472614"/>
    <w:rsid w:val="004726E5"/>
    <w:rsid w:val="004732FF"/>
    <w:rsid w:val="0047366A"/>
    <w:rsid w:val="004752AD"/>
    <w:rsid w:val="0047538B"/>
    <w:rsid w:val="00475D98"/>
    <w:rsid w:val="0047615C"/>
    <w:rsid w:val="004764C9"/>
    <w:rsid w:val="00476AF8"/>
    <w:rsid w:val="00476F53"/>
    <w:rsid w:val="004770F5"/>
    <w:rsid w:val="004773A3"/>
    <w:rsid w:val="0047746E"/>
    <w:rsid w:val="004777B2"/>
    <w:rsid w:val="00477B25"/>
    <w:rsid w:val="004805DC"/>
    <w:rsid w:val="004806CF"/>
    <w:rsid w:val="00480DC1"/>
    <w:rsid w:val="004810E0"/>
    <w:rsid w:val="004817EE"/>
    <w:rsid w:val="004820A9"/>
    <w:rsid w:val="00483036"/>
    <w:rsid w:val="0048341C"/>
    <w:rsid w:val="00483883"/>
    <w:rsid w:val="00483908"/>
    <w:rsid w:val="00483EE9"/>
    <w:rsid w:val="00484115"/>
    <w:rsid w:val="004846DB"/>
    <w:rsid w:val="00484B23"/>
    <w:rsid w:val="00485169"/>
    <w:rsid w:val="00486729"/>
    <w:rsid w:val="00486CE2"/>
    <w:rsid w:val="00487B2C"/>
    <w:rsid w:val="00487C79"/>
    <w:rsid w:val="004904AF"/>
    <w:rsid w:val="004916A8"/>
    <w:rsid w:val="00492836"/>
    <w:rsid w:val="00492DC3"/>
    <w:rsid w:val="00492DFD"/>
    <w:rsid w:val="00493560"/>
    <w:rsid w:val="0049381B"/>
    <w:rsid w:val="004939CF"/>
    <w:rsid w:val="004946E8"/>
    <w:rsid w:val="00494E27"/>
    <w:rsid w:val="00495DF3"/>
    <w:rsid w:val="004962C1"/>
    <w:rsid w:val="00496A32"/>
    <w:rsid w:val="00496AE4"/>
    <w:rsid w:val="00497224"/>
    <w:rsid w:val="0049740A"/>
    <w:rsid w:val="00497E01"/>
    <w:rsid w:val="00497E16"/>
    <w:rsid w:val="004A03A9"/>
    <w:rsid w:val="004A041A"/>
    <w:rsid w:val="004A0908"/>
    <w:rsid w:val="004A10E4"/>
    <w:rsid w:val="004A1125"/>
    <w:rsid w:val="004A1B8A"/>
    <w:rsid w:val="004A2BAB"/>
    <w:rsid w:val="004A2F81"/>
    <w:rsid w:val="004A2F8E"/>
    <w:rsid w:val="004A3548"/>
    <w:rsid w:val="004A35A0"/>
    <w:rsid w:val="004A4498"/>
    <w:rsid w:val="004A48DD"/>
    <w:rsid w:val="004A493E"/>
    <w:rsid w:val="004A4A43"/>
    <w:rsid w:val="004A5163"/>
    <w:rsid w:val="004A5582"/>
    <w:rsid w:val="004A5A39"/>
    <w:rsid w:val="004A5E07"/>
    <w:rsid w:val="004A5F53"/>
    <w:rsid w:val="004A66AB"/>
    <w:rsid w:val="004A692C"/>
    <w:rsid w:val="004A6CD9"/>
    <w:rsid w:val="004A6DB9"/>
    <w:rsid w:val="004A6FA0"/>
    <w:rsid w:val="004A6FE6"/>
    <w:rsid w:val="004A79FE"/>
    <w:rsid w:val="004B0097"/>
    <w:rsid w:val="004B08BF"/>
    <w:rsid w:val="004B1366"/>
    <w:rsid w:val="004B26AB"/>
    <w:rsid w:val="004B29C2"/>
    <w:rsid w:val="004B2E32"/>
    <w:rsid w:val="004B35DF"/>
    <w:rsid w:val="004B3F07"/>
    <w:rsid w:val="004B4C50"/>
    <w:rsid w:val="004B5127"/>
    <w:rsid w:val="004B5180"/>
    <w:rsid w:val="004B5686"/>
    <w:rsid w:val="004B5884"/>
    <w:rsid w:val="004B59E5"/>
    <w:rsid w:val="004B59E9"/>
    <w:rsid w:val="004B5ED7"/>
    <w:rsid w:val="004B5F69"/>
    <w:rsid w:val="004B64F1"/>
    <w:rsid w:val="004B69A0"/>
    <w:rsid w:val="004B69CE"/>
    <w:rsid w:val="004B6D18"/>
    <w:rsid w:val="004B78ED"/>
    <w:rsid w:val="004C1A16"/>
    <w:rsid w:val="004C212E"/>
    <w:rsid w:val="004C21AA"/>
    <w:rsid w:val="004C2721"/>
    <w:rsid w:val="004C316E"/>
    <w:rsid w:val="004C3423"/>
    <w:rsid w:val="004C388B"/>
    <w:rsid w:val="004C4196"/>
    <w:rsid w:val="004C4785"/>
    <w:rsid w:val="004C49FD"/>
    <w:rsid w:val="004C4F76"/>
    <w:rsid w:val="004C5C8D"/>
    <w:rsid w:val="004C602A"/>
    <w:rsid w:val="004C6118"/>
    <w:rsid w:val="004C7C16"/>
    <w:rsid w:val="004D0AF9"/>
    <w:rsid w:val="004D0DDD"/>
    <w:rsid w:val="004D10A5"/>
    <w:rsid w:val="004D165A"/>
    <w:rsid w:val="004D1790"/>
    <w:rsid w:val="004D1F2D"/>
    <w:rsid w:val="004D2222"/>
    <w:rsid w:val="004D2A68"/>
    <w:rsid w:val="004D2A8B"/>
    <w:rsid w:val="004D2B49"/>
    <w:rsid w:val="004D3183"/>
    <w:rsid w:val="004D32C2"/>
    <w:rsid w:val="004D4689"/>
    <w:rsid w:val="004D48C8"/>
    <w:rsid w:val="004D4C65"/>
    <w:rsid w:val="004D4C7D"/>
    <w:rsid w:val="004D52B3"/>
    <w:rsid w:val="004D54A3"/>
    <w:rsid w:val="004D5985"/>
    <w:rsid w:val="004D6093"/>
    <w:rsid w:val="004D60E7"/>
    <w:rsid w:val="004D6B97"/>
    <w:rsid w:val="004D6F50"/>
    <w:rsid w:val="004D7205"/>
    <w:rsid w:val="004D72A9"/>
    <w:rsid w:val="004D770D"/>
    <w:rsid w:val="004D77E9"/>
    <w:rsid w:val="004E004A"/>
    <w:rsid w:val="004E0A80"/>
    <w:rsid w:val="004E0D29"/>
    <w:rsid w:val="004E16DB"/>
    <w:rsid w:val="004E1CE9"/>
    <w:rsid w:val="004E3774"/>
    <w:rsid w:val="004E419D"/>
    <w:rsid w:val="004E4EFD"/>
    <w:rsid w:val="004E51A2"/>
    <w:rsid w:val="004E5495"/>
    <w:rsid w:val="004E5C74"/>
    <w:rsid w:val="004E6C97"/>
    <w:rsid w:val="004E7DA5"/>
    <w:rsid w:val="004F189C"/>
    <w:rsid w:val="004F18CB"/>
    <w:rsid w:val="004F21E9"/>
    <w:rsid w:val="004F2658"/>
    <w:rsid w:val="004F2DB6"/>
    <w:rsid w:val="004F30C2"/>
    <w:rsid w:val="004F3213"/>
    <w:rsid w:val="004F43E2"/>
    <w:rsid w:val="004F4616"/>
    <w:rsid w:val="004F4871"/>
    <w:rsid w:val="004F4B8E"/>
    <w:rsid w:val="004F5A2F"/>
    <w:rsid w:val="004F5D35"/>
    <w:rsid w:val="004F5EF2"/>
    <w:rsid w:val="004F679A"/>
    <w:rsid w:val="004F6EC0"/>
    <w:rsid w:val="004F733E"/>
    <w:rsid w:val="004F7F9E"/>
    <w:rsid w:val="005004C2"/>
    <w:rsid w:val="00500AB5"/>
    <w:rsid w:val="00500B7C"/>
    <w:rsid w:val="0050178D"/>
    <w:rsid w:val="00502674"/>
    <w:rsid w:val="00503165"/>
    <w:rsid w:val="005035AE"/>
    <w:rsid w:val="005037C3"/>
    <w:rsid w:val="00503A01"/>
    <w:rsid w:val="00503B82"/>
    <w:rsid w:val="00504117"/>
    <w:rsid w:val="00504A71"/>
    <w:rsid w:val="00504F63"/>
    <w:rsid w:val="0050542C"/>
    <w:rsid w:val="00506BEE"/>
    <w:rsid w:val="00507A2D"/>
    <w:rsid w:val="00507C12"/>
    <w:rsid w:val="00511C75"/>
    <w:rsid w:val="00511EF5"/>
    <w:rsid w:val="005120DB"/>
    <w:rsid w:val="005132A8"/>
    <w:rsid w:val="00513565"/>
    <w:rsid w:val="005137D4"/>
    <w:rsid w:val="00513B6D"/>
    <w:rsid w:val="00513D53"/>
    <w:rsid w:val="00514971"/>
    <w:rsid w:val="00514E62"/>
    <w:rsid w:val="0051567B"/>
    <w:rsid w:val="00515C68"/>
    <w:rsid w:val="00517062"/>
    <w:rsid w:val="005170BC"/>
    <w:rsid w:val="005170F7"/>
    <w:rsid w:val="005171CD"/>
    <w:rsid w:val="0051776F"/>
    <w:rsid w:val="00517C0A"/>
    <w:rsid w:val="00517DD4"/>
    <w:rsid w:val="005207EF"/>
    <w:rsid w:val="00520D24"/>
    <w:rsid w:val="00521160"/>
    <w:rsid w:val="00521A59"/>
    <w:rsid w:val="00521BB9"/>
    <w:rsid w:val="00521DCD"/>
    <w:rsid w:val="00521ED2"/>
    <w:rsid w:val="00522688"/>
    <w:rsid w:val="00523775"/>
    <w:rsid w:val="005237B8"/>
    <w:rsid w:val="00523A97"/>
    <w:rsid w:val="00523EB6"/>
    <w:rsid w:val="00523EB7"/>
    <w:rsid w:val="00523F61"/>
    <w:rsid w:val="00524689"/>
    <w:rsid w:val="00525448"/>
    <w:rsid w:val="0052575A"/>
    <w:rsid w:val="00525B42"/>
    <w:rsid w:val="00525D4F"/>
    <w:rsid w:val="00526605"/>
    <w:rsid w:val="00526D4E"/>
    <w:rsid w:val="00527D95"/>
    <w:rsid w:val="0053020D"/>
    <w:rsid w:val="0053089F"/>
    <w:rsid w:val="00530D6B"/>
    <w:rsid w:val="0053132A"/>
    <w:rsid w:val="00531782"/>
    <w:rsid w:val="005317AA"/>
    <w:rsid w:val="00531EFD"/>
    <w:rsid w:val="005320A1"/>
    <w:rsid w:val="0053283A"/>
    <w:rsid w:val="00532E1F"/>
    <w:rsid w:val="00532EE5"/>
    <w:rsid w:val="005334AC"/>
    <w:rsid w:val="005336A8"/>
    <w:rsid w:val="00533977"/>
    <w:rsid w:val="005339E3"/>
    <w:rsid w:val="00533FF2"/>
    <w:rsid w:val="0053456C"/>
    <w:rsid w:val="005352B7"/>
    <w:rsid w:val="0053568C"/>
    <w:rsid w:val="00535743"/>
    <w:rsid w:val="00535889"/>
    <w:rsid w:val="00535E47"/>
    <w:rsid w:val="005360ED"/>
    <w:rsid w:val="00536274"/>
    <w:rsid w:val="00536568"/>
    <w:rsid w:val="00536C16"/>
    <w:rsid w:val="00536CEF"/>
    <w:rsid w:val="00536F5B"/>
    <w:rsid w:val="005370EA"/>
    <w:rsid w:val="00537330"/>
    <w:rsid w:val="0053766F"/>
    <w:rsid w:val="005378A5"/>
    <w:rsid w:val="00537AAD"/>
    <w:rsid w:val="00537C31"/>
    <w:rsid w:val="005403F5"/>
    <w:rsid w:val="00540472"/>
    <w:rsid w:val="00540565"/>
    <w:rsid w:val="005407B5"/>
    <w:rsid w:val="00540EF0"/>
    <w:rsid w:val="00541915"/>
    <w:rsid w:val="00542CF1"/>
    <w:rsid w:val="00542F87"/>
    <w:rsid w:val="00543594"/>
    <w:rsid w:val="00543EAC"/>
    <w:rsid w:val="005440CC"/>
    <w:rsid w:val="00544903"/>
    <w:rsid w:val="00544AAC"/>
    <w:rsid w:val="00544F81"/>
    <w:rsid w:val="00545710"/>
    <w:rsid w:val="00545B91"/>
    <w:rsid w:val="00545C4A"/>
    <w:rsid w:val="0054694F"/>
    <w:rsid w:val="005469A0"/>
    <w:rsid w:val="0054710A"/>
    <w:rsid w:val="005475EC"/>
    <w:rsid w:val="0055012E"/>
    <w:rsid w:val="005514C1"/>
    <w:rsid w:val="005519B5"/>
    <w:rsid w:val="00551A51"/>
    <w:rsid w:val="005520F0"/>
    <w:rsid w:val="00552E19"/>
    <w:rsid w:val="00552F06"/>
    <w:rsid w:val="005536CD"/>
    <w:rsid w:val="00553E47"/>
    <w:rsid w:val="00554072"/>
    <w:rsid w:val="0055442B"/>
    <w:rsid w:val="005545A4"/>
    <w:rsid w:val="00554CE3"/>
    <w:rsid w:val="00554F2A"/>
    <w:rsid w:val="00554FF2"/>
    <w:rsid w:val="00555410"/>
    <w:rsid w:val="0055661D"/>
    <w:rsid w:val="00556FFD"/>
    <w:rsid w:val="00557BB5"/>
    <w:rsid w:val="0056017E"/>
    <w:rsid w:val="005602A6"/>
    <w:rsid w:val="00560866"/>
    <w:rsid w:val="00560DB2"/>
    <w:rsid w:val="00561291"/>
    <w:rsid w:val="00562672"/>
    <w:rsid w:val="00562F97"/>
    <w:rsid w:val="005638F2"/>
    <w:rsid w:val="005640BB"/>
    <w:rsid w:val="005641A9"/>
    <w:rsid w:val="005654B7"/>
    <w:rsid w:val="00567059"/>
    <w:rsid w:val="00567368"/>
    <w:rsid w:val="005673A1"/>
    <w:rsid w:val="005675A5"/>
    <w:rsid w:val="005675BE"/>
    <w:rsid w:val="005700B1"/>
    <w:rsid w:val="00570D0D"/>
    <w:rsid w:val="0057148B"/>
    <w:rsid w:val="00571D87"/>
    <w:rsid w:val="00572496"/>
    <w:rsid w:val="00572520"/>
    <w:rsid w:val="00572705"/>
    <w:rsid w:val="00573518"/>
    <w:rsid w:val="005737B3"/>
    <w:rsid w:val="00573EDF"/>
    <w:rsid w:val="00574381"/>
    <w:rsid w:val="00574EAD"/>
    <w:rsid w:val="005755D9"/>
    <w:rsid w:val="00576CAF"/>
    <w:rsid w:val="00576E6C"/>
    <w:rsid w:val="005771D7"/>
    <w:rsid w:val="005774E5"/>
    <w:rsid w:val="0057765F"/>
    <w:rsid w:val="00580B8E"/>
    <w:rsid w:val="005811D0"/>
    <w:rsid w:val="00582C9B"/>
    <w:rsid w:val="00583AB7"/>
    <w:rsid w:val="0058403A"/>
    <w:rsid w:val="005847A0"/>
    <w:rsid w:val="005847E7"/>
    <w:rsid w:val="005848AB"/>
    <w:rsid w:val="00584950"/>
    <w:rsid w:val="00584DC5"/>
    <w:rsid w:val="005866C8"/>
    <w:rsid w:val="00586AF2"/>
    <w:rsid w:val="00586FBC"/>
    <w:rsid w:val="00587B4D"/>
    <w:rsid w:val="0059025F"/>
    <w:rsid w:val="00590455"/>
    <w:rsid w:val="00590938"/>
    <w:rsid w:val="00590BCF"/>
    <w:rsid w:val="00590FA8"/>
    <w:rsid w:val="005913E0"/>
    <w:rsid w:val="00591B1B"/>
    <w:rsid w:val="00591B83"/>
    <w:rsid w:val="00592DCD"/>
    <w:rsid w:val="00592FBC"/>
    <w:rsid w:val="00592FE0"/>
    <w:rsid w:val="00593910"/>
    <w:rsid w:val="00593B1E"/>
    <w:rsid w:val="00593BEE"/>
    <w:rsid w:val="005946C3"/>
    <w:rsid w:val="00594EA9"/>
    <w:rsid w:val="0059598A"/>
    <w:rsid w:val="00596095"/>
    <w:rsid w:val="0059780D"/>
    <w:rsid w:val="00597DAA"/>
    <w:rsid w:val="005A053B"/>
    <w:rsid w:val="005A05C9"/>
    <w:rsid w:val="005A0B9C"/>
    <w:rsid w:val="005A0F4D"/>
    <w:rsid w:val="005A24C8"/>
    <w:rsid w:val="005A294C"/>
    <w:rsid w:val="005A361F"/>
    <w:rsid w:val="005A44C6"/>
    <w:rsid w:val="005A4737"/>
    <w:rsid w:val="005A4914"/>
    <w:rsid w:val="005A4DDF"/>
    <w:rsid w:val="005A55B1"/>
    <w:rsid w:val="005A6A93"/>
    <w:rsid w:val="005A6CB7"/>
    <w:rsid w:val="005A7CE7"/>
    <w:rsid w:val="005B0F78"/>
    <w:rsid w:val="005B1963"/>
    <w:rsid w:val="005B19E2"/>
    <w:rsid w:val="005B2426"/>
    <w:rsid w:val="005B2882"/>
    <w:rsid w:val="005B36F9"/>
    <w:rsid w:val="005B3795"/>
    <w:rsid w:val="005B39E0"/>
    <w:rsid w:val="005B44A5"/>
    <w:rsid w:val="005B4C0C"/>
    <w:rsid w:val="005B521B"/>
    <w:rsid w:val="005B578C"/>
    <w:rsid w:val="005B5F04"/>
    <w:rsid w:val="005B6ADD"/>
    <w:rsid w:val="005B6DCD"/>
    <w:rsid w:val="005B77D5"/>
    <w:rsid w:val="005C00AA"/>
    <w:rsid w:val="005C04F3"/>
    <w:rsid w:val="005C1829"/>
    <w:rsid w:val="005C1DF2"/>
    <w:rsid w:val="005C22A0"/>
    <w:rsid w:val="005C24AF"/>
    <w:rsid w:val="005C3BEC"/>
    <w:rsid w:val="005C3F87"/>
    <w:rsid w:val="005C53C6"/>
    <w:rsid w:val="005C57C3"/>
    <w:rsid w:val="005C5A90"/>
    <w:rsid w:val="005C5DCF"/>
    <w:rsid w:val="005C62CB"/>
    <w:rsid w:val="005C728F"/>
    <w:rsid w:val="005D00D8"/>
    <w:rsid w:val="005D0700"/>
    <w:rsid w:val="005D154E"/>
    <w:rsid w:val="005D1AA6"/>
    <w:rsid w:val="005D1E75"/>
    <w:rsid w:val="005D2A9E"/>
    <w:rsid w:val="005D327E"/>
    <w:rsid w:val="005D3491"/>
    <w:rsid w:val="005D35F2"/>
    <w:rsid w:val="005D3818"/>
    <w:rsid w:val="005D3C87"/>
    <w:rsid w:val="005D46EA"/>
    <w:rsid w:val="005D479C"/>
    <w:rsid w:val="005D4F52"/>
    <w:rsid w:val="005D5818"/>
    <w:rsid w:val="005D6604"/>
    <w:rsid w:val="005D66F5"/>
    <w:rsid w:val="005D6987"/>
    <w:rsid w:val="005D6E11"/>
    <w:rsid w:val="005D76ED"/>
    <w:rsid w:val="005D7DA7"/>
    <w:rsid w:val="005D7E71"/>
    <w:rsid w:val="005E038F"/>
    <w:rsid w:val="005E0A7E"/>
    <w:rsid w:val="005E0EB2"/>
    <w:rsid w:val="005E1138"/>
    <w:rsid w:val="005E1E06"/>
    <w:rsid w:val="005E2843"/>
    <w:rsid w:val="005E4195"/>
    <w:rsid w:val="005E434C"/>
    <w:rsid w:val="005E44D8"/>
    <w:rsid w:val="005E4500"/>
    <w:rsid w:val="005E5287"/>
    <w:rsid w:val="005E586C"/>
    <w:rsid w:val="005E663C"/>
    <w:rsid w:val="005E725B"/>
    <w:rsid w:val="005E782A"/>
    <w:rsid w:val="005E7CCD"/>
    <w:rsid w:val="005F0301"/>
    <w:rsid w:val="005F0A43"/>
    <w:rsid w:val="005F1B8E"/>
    <w:rsid w:val="005F22C5"/>
    <w:rsid w:val="005F254E"/>
    <w:rsid w:val="005F2634"/>
    <w:rsid w:val="005F2AF0"/>
    <w:rsid w:val="005F2F36"/>
    <w:rsid w:val="005F3138"/>
    <w:rsid w:val="005F3D59"/>
    <w:rsid w:val="005F431C"/>
    <w:rsid w:val="005F4BD9"/>
    <w:rsid w:val="005F58AA"/>
    <w:rsid w:val="005F65B2"/>
    <w:rsid w:val="005F707C"/>
    <w:rsid w:val="005F7393"/>
    <w:rsid w:val="005F75A4"/>
    <w:rsid w:val="005F7B80"/>
    <w:rsid w:val="00600448"/>
    <w:rsid w:val="00601295"/>
    <w:rsid w:val="0060201E"/>
    <w:rsid w:val="006020F3"/>
    <w:rsid w:val="00602D23"/>
    <w:rsid w:val="00603A12"/>
    <w:rsid w:val="00603AEC"/>
    <w:rsid w:val="00603D65"/>
    <w:rsid w:val="0060455E"/>
    <w:rsid w:val="00604732"/>
    <w:rsid w:val="0060473E"/>
    <w:rsid w:val="0060476C"/>
    <w:rsid w:val="00604B8F"/>
    <w:rsid w:val="00604F61"/>
    <w:rsid w:val="006057BD"/>
    <w:rsid w:val="00605878"/>
    <w:rsid w:val="0060602C"/>
    <w:rsid w:val="006060FC"/>
    <w:rsid w:val="00606C15"/>
    <w:rsid w:val="00606CA7"/>
    <w:rsid w:val="00607BB6"/>
    <w:rsid w:val="00610747"/>
    <w:rsid w:val="00610CC0"/>
    <w:rsid w:val="00611044"/>
    <w:rsid w:val="00611686"/>
    <w:rsid w:val="00611C3D"/>
    <w:rsid w:val="00612034"/>
    <w:rsid w:val="006124D0"/>
    <w:rsid w:val="00612965"/>
    <w:rsid w:val="00612CD2"/>
    <w:rsid w:val="00612D47"/>
    <w:rsid w:val="00612E93"/>
    <w:rsid w:val="00612EE6"/>
    <w:rsid w:val="00613463"/>
    <w:rsid w:val="0061375E"/>
    <w:rsid w:val="006138D1"/>
    <w:rsid w:val="00614195"/>
    <w:rsid w:val="00614446"/>
    <w:rsid w:val="006144AA"/>
    <w:rsid w:val="006148DB"/>
    <w:rsid w:val="006149B6"/>
    <w:rsid w:val="00614BD6"/>
    <w:rsid w:val="00614F19"/>
    <w:rsid w:val="006150F6"/>
    <w:rsid w:val="00615F26"/>
    <w:rsid w:val="00615FD9"/>
    <w:rsid w:val="00616618"/>
    <w:rsid w:val="00616CE3"/>
    <w:rsid w:val="00617102"/>
    <w:rsid w:val="00617242"/>
    <w:rsid w:val="006176E8"/>
    <w:rsid w:val="0061779F"/>
    <w:rsid w:val="00617CC6"/>
    <w:rsid w:val="006200F6"/>
    <w:rsid w:val="0062066F"/>
    <w:rsid w:val="00620BC0"/>
    <w:rsid w:val="00620E4A"/>
    <w:rsid w:val="00621848"/>
    <w:rsid w:val="0062375E"/>
    <w:rsid w:val="006238A4"/>
    <w:rsid w:val="00623BCF"/>
    <w:rsid w:val="00624805"/>
    <w:rsid w:val="00625042"/>
    <w:rsid w:val="00626675"/>
    <w:rsid w:val="006278C3"/>
    <w:rsid w:val="006306D0"/>
    <w:rsid w:val="00630B0B"/>
    <w:rsid w:val="0063123D"/>
    <w:rsid w:val="006316A8"/>
    <w:rsid w:val="00632006"/>
    <w:rsid w:val="00632B71"/>
    <w:rsid w:val="00633B22"/>
    <w:rsid w:val="00633D07"/>
    <w:rsid w:val="00633EF3"/>
    <w:rsid w:val="006346C3"/>
    <w:rsid w:val="006348CC"/>
    <w:rsid w:val="0063539F"/>
    <w:rsid w:val="006354E1"/>
    <w:rsid w:val="006358AA"/>
    <w:rsid w:val="00635E6A"/>
    <w:rsid w:val="006360D1"/>
    <w:rsid w:val="00636590"/>
    <w:rsid w:val="0063694A"/>
    <w:rsid w:val="00636B42"/>
    <w:rsid w:val="006370BC"/>
    <w:rsid w:val="006412C8"/>
    <w:rsid w:val="006419C8"/>
    <w:rsid w:val="00642734"/>
    <w:rsid w:val="006428C9"/>
    <w:rsid w:val="00642BC3"/>
    <w:rsid w:val="006431F8"/>
    <w:rsid w:val="0064328D"/>
    <w:rsid w:val="00643333"/>
    <w:rsid w:val="00643FBF"/>
    <w:rsid w:val="00644038"/>
    <w:rsid w:val="006448CB"/>
    <w:rsid w:val="00644F90"/>
    <w:rsid w:val="0064583A"/>
    <w:rsid w:val="006458D7"/>
    <w:rsid w:val="0064644D"/>
    <w:rsid w:val="00646F9D"/>
    <w:rsid w:val="00647000"/>
    <w:rsid w:val="006474CF"/>
    <w:rsid w:val="00647753"/>
    <w:rsid w:val="00647981"/>
    <w:rsid w:val="00647DDB"/>
    <w:rsid w:val="00650B60"/>
    <w:rsid w:val="00650E30"/>
    <w:rsid w:val="00650EE0"/>
    <w:rsid w:val="006511C6"/>
    <w:rsid w:val="00651282"/>
    <w:rsid w:val="00651D5A"/>
    <w:rsid w:val="00652EAD"/>
    <w:rsid w:val="0065464F"/>
    <w:rsid w:val="00654884"/>
    <w:rsid w:val="006549C3"/>
    <w:rsid w:val="00655A5D"/>
    <w:rsid w:val="00655BFE"/>
    <w:rsid w:val="00656183"/>
    <w:rsid w:val="0065626C"/>
    <w:rsid w:val="00656388"/>
    <w:rsid w:val="006564B2"/>
    <w:rsid w:val="00657487"/>
    <w:rsid w:val="00657B8B"/>
    <w:rsid w:val="00660340"/>
    <w:rsid w:val="006617AA"/>
    <w:rsid w:val="00662A12"/>
    <w:rsid w:val="00663C3A"/>
    <w:rsid w:val="00663C4F"/>
    <w:rsid w:val="006644DA"/>
    <w:rsid w:val="0066490B"/>
    <w:rsid w:val="00664D72"/>
    <w:rsid w:val="00665B17"/>
    <w:rsid w:val="00665CB4"/>
    <w:rsid w:val="006664B9"/>
    <w:rsid w:val="0066726B"/>
    <w:rsid w:val="006675CA"/>
    <w:rsid w:val="006710AA"/>
    <w:rsid w:val="00672554"/>
    <w:rsid w:val="00672788"/>
    <w:rsid w:val="0067321B"/>
    <w:rsid w:val="006735B5"/>
    <w:rsid w:val="006735B6"/>
    <w:rsid w:val="006736DA"/>
    <w:rsid w:val="0067396E"/>
    <w:rsid w:val="006744D8"/>
    <w:rsid w:val="00674BA0"/>
    <w:rsid w:val="00675345"/>
    <w:rsid w:val="006759EC"/>
    <w:rsid w:val="00675CF5"/>
    <w:rsid w:val="00676083"/>
    <w:rsid w:val="006766EF"/>
    <w:rsid w:val="0067709B"/>
    <w:rsid w:val="00677DE2"/>
    <w:rsid w:val="006805A3"/>
    <w:rsid w:val="00680FAC"/>
    <w:rsid w:val="006810CC"/>
    <w:rsid w:val="006819E9"/>
    <w:rsid w:val="00681EC4"/>
    <w:rsid w:val="006822A4"/>
    <w:rsid w:val="00683D8E"/>
    <w:rsid w:val="00683DA5"/>
    <w:rsid w:val="00684439"/>
    <w:rsid w:val="00684C70"/>
    <w:rsid w:val="00685135"/>
    <w:rsid w:val="006852C7"/>
    <w:rsid w:val="00686544"/>
    <w:rsid w:val="0068663A"/>
    <w:rsid w:val="00686C0A"/>
    <w:rsid w:val="00686E76"/>
    <w:rsid w:val="00687656"/>
    <w:rsid w:val="006906A6"/>
    <w:rsid w:val="00690FC7"/>
    <w:rsid w:val="00691798"/>
    <w:rsid w:val="00692428"/>
    <w:rsid w:val="00692818"/>
    <w:rsid w:val="00692C61"/>
    <w:rsid w:val="0069380D"/>
    <w:rsid w:val="00695F5C"/>
    <w:rsid w:val="006962CA"/>
    <w:rsid w:val="006968F4"/>
    <w:rsid w:val="00696975"/>
    <w:rsid w:val="00696F48"/>
    <w:rsid w:val="00697688"/>
    <w:rsid w:val="00697F5C"/>
    <w:rsid w:val="006A00D6"/>
    <w:rsid w:val="006A0821"/>
    <w:rsid w:val="006A10E7"/>
    <w:rsid w:val="006A1D11"/>
    <w:rsid w:val="006A21DD"/>
    <w:rsid w:val="006A3697"/>
    <w:rsid w:val="006A553A"/>
    <w:rsid w:val="006A63D4"/>
    <w:rsid w:val="006A66FF"/>
    <w:rsid w:val="006A70CF"/>
    <w:rsid w:val="006A70FE"/>
    <w:rsid w:val="006A7361"/>
    <w:rsid w:val="006A76C8"/>
    <w:rsid w:val="006A79FE"/>
    <w:rsid w:val="006A7A3E"/>
    <w:rsid w:val="006A7B36"/>
    <w:rsid w:val="006B0674"/>
    <w:rsid w:val="006B068F"/>
    <w:rsid w:val="006B07D3"/>
    <w:rsid w:val="006B09AF"/>
    <w:rsid w:val="006B3A54"/>
    <w:rsid w:val="006B3A97"/>
    <w:rsid w:val="006B40E1"/>
    <w:rsid w:val="006B4128"/>
    <w:rsid w:val="006B4503"/>
    <w:rsid w:val="006B4651"/>
    <w:rsid w:val="006B46A7"/>
    <w:rsid w:val="006B4AF7"/>
    <w:rsid w:val="006B4C53"/>
    <w:rsid w:val="006B4E30"/>
    <w:rsid w:val="006B4EFC"/>
    <w:rsid w:val="006B67B0"/>
    <w:rsid w:val="006B6B17"/>
    <w:rsid w:val="006B6B34"/>
    <w:rsid w:val="006B6E19"/>
    <w:rsid w:val="006B78EB"/>
    <w:rsid w:val="006C149D"/>
    <w:rsid w:val="006C27BD"/>
    <w:rsid w:val="006C3684"/>
    <w:rsid w:val="006C4246"/>
    <w:rsid w:val="006C4752"/>
    <w:rsid w:val="006C4B7B"/>
    <w:rsid w:val="006C4C89"/>
    <w:rsid w:val="006C4F6A"/>
    <w:rsid w:val="006C50AA"/>
    <w:rsid w:val="006C5539"/>
    <w:rsid w:val="006C63CF"/>
    <w:rsid w:val="006C663B"/>
    <w:rsid w:val="006C697E"/>
    <w:rsid w:val="006C768A"/>
    <w:rsid w:val="006C7FD0"/>
    <w:rsid w:val="006D0D18"/>
    <w:rsid w:val="006D0E86"/>
    <w:rsid w:val="006D10EB"/>
    <w:rsid w:val="006D22AB"/>
    <w:rsid w:val="006D2982"/>
    <w:rsid w:val="006D2AC7"/>
    <w:rsid w:val="006D2CFF"/>
    <w:rsid w:val="006D3131"/>
    <w:rsid w:val="006D318F"/>
    <w:rsid w:val="006D324C"/>
    <w:rsid w:val="006D390B"/>
    <w:rsid w:val="006D4742"/>
    <w:rsid w:val="006D4DF3"/>
    <w:rsid w:val="006D5699"/>
    <w:rsid w:val="006D61DF"/>
    <w:rsid w:val="006D689A"/>
    <w:rsid w:val="006D6909"/>
    <w:rsid w:val="006D6CAF"/>
    <w:rsid w:val="006E0191"/>
    <w:rsid w:val="006E04A6"/>
    <w:rsid w:val="006E0506"/>
    <w:rsid w:val="006E06C1"/>
    <w:rsid w:val="006E0C0F"/>
    <w:rsid w:val="006E1279"/>
    <w:rsid w:val="006E1384"/>
    <w:rsid w:val="006E175B"/>
    <w:rsid w:val="006E21D0"/>
    <w:rsid w:val="006E2364"/>
    <w:rsid w:val="006E251D"/>
    <w:rsid w:val="006E2FC9"/>
    <w:rsid w:val="006E3194"/>
    <w:rsid w:val="006E3A8B"/>
    <w:rsid w:val="006E422D"/>
    <w:rsid w:val="006E5209"/>
    <w:rsid w:val="006E540C"/>
    <w:rsid w:val="006E5856"/>
    <w:rsid w:val="006E59DD"/>
    <w:rsid w:val="006E5F60"/>
    <w:rsid w:val="006E6415"/>
    <w:rsid w:val="006E64A5"/>
    <w:rsid w:val="006E64C3"/>
    <w:rsid w:val="006E6C9C"/>
    <w:rsid w:val="006E6D13"/>
    <w:rsid w:val="006E79D5"/>
    <w:rsid w:val="006E7DAE"/>
    <w:rsid w:val="006E7DB5"/>
    <w:rsid w:val="006E7E75"/>
    <w:rsid w:val="006E7E92"/>
    <w:rsid w:val="006F0037"/>
    <w:rsid w:val="006F0A4B"/>
    <w:rsid w:val="006F161A"/>
    <w:rsid w:val="006F2908"/>
    <w:rsid w:val="006F3626"/>
    <w:rsid w:val="006F3C9D"/>
    <w:rsid w:val="006F4284"/>
    <w:rsid w:val="006F55BA"/>
    <w:rsid w:val="006F5A07"/>
    <w:rsid w:val="006F63D8"/>
    <w:rsid w:val="006F69D2"/>
    <w:rsid w:val="006F72A9"/>
    <w:rsid w:val="006F755D"/>
    <w:rsid w:val="006F7830"/>
    <w:rsid w:val="00700C5B"/>
    <w:rsid w:val="00701026"/>
    <w:rsid w:val="007014A9"/>
    <w:rsid w:val="0070181C"/>
    <w:rsid w:val="007018C4"/>
    <w:rsid w:val="00701E1B"/>
    <w:rsid w:val="00702121"/>
    <w:rsid w:val="0070246E"/>
    <w:rsid w:val="00702544"/>
    <w:rsid w:val="007031B6"/>
    <w:rsid w:val="00703336"/>
    <w:rsid w:val="007036FB"/>
    <w:rsid w:val="00703B53"/>
    <w:rsid w:val="00704252"/>
    <w:rsid w:val="0070447F"/>
    <w:rsid w:val="007052D2"/>
    <w:rsid w:val="00705BD9"/>
    <w:rsid w:val="00706021"/>
    <w:rsid w:val="00706471"/>
    <w:rsid w:val="00710303"/>
    <w:rsid w:val="0071042E"/>
    <w:rsid w:val="00710560"/>
    <w:rsid w:val="007116A6"/>
    <w:rsid w:val="0071426C"/>
    <w:rsid w:val="00714B2F"/>
    <w:rsid w:val="00714B78"/>
    <w:rsid w:val="007151EE"/>
    <w:rsid w:val="00715439"/>
    <w:rsid w:val="00715556"/>
    <w:rsid w:val="007155BD"/>
    <w:rsid w:val="00715673"/>
    <w:rsid w:val="00716A6B"/>
    <w:rsid w:val="0071714A"/>
    <w:rsid w:val="00717452"/>
    <w:rsid w:val="00717B23"/>
    <w:rsid w:val="00720018"/>
    <w:rsid w:val="007218F4"/>
    <w:rsid w:val="00722189"/>
    <w:rsid w:val="0072304E"/>
    <w:rsid w:val="007232CD"/>
    <w:rsid w:val="00723B0A"/>
    <w:rsid w:val="00724916"/>
    <w:rsid w:val="007255AD"/>
    <w:rsid w:val="00726C22"/>
    <w:rsid w:val="0072731A"/>
    <w:rsid w:val="00730AC8"/>
    <w:rsid w:val="00732045"/>
    <w:rsid w:val="00732288"/>
    <w:rsid w:val="007325DF"/>
    <w:rsid w:val="00733046"/>
    <w:rsid w:val="0073325E"/>
    <w:rsid w:val="007333C4"/>
    <w:rsid w:val="00734FD4"/>
    <w:rsid w:val="00735CB7"/>
    <w:rsid w:val="00735FF1"/>
    <w:rsid w:val="007367C2"/>
    <w:rsid w:val="0073743E"/>
    <w:rsid w:val="00737A9D"/>
    <w:rsid w:val="00737AAD"/>
    <w:rsid w:val="00740072"/>
    <w:rsid w:val="0074068B"/>
    <w:rsid w:val="007407DE"/>
    <w:rsid w:val="00741915"/>
    <w:rsid w:val="00742676"/>
    <w:rsid w:val="00742835"/>
    <w:rsid w:val="0074293C"/>
    <w:rsid w:val="007430D6"/>
    <w:rsid w:val="0074330C"/>
    <w:rsid w:val="007434DA"/>
    <w:rsid w:val="0074350F"/>
    <w:rsid w:val="00743860"/>
    <w:rsid w:val="00743ABD"/>
    <w:rsid w:val="0074461E"/>
    <w:rsid w:val="00744E83"/>
    <w:rsid w:val="00745376"/>
    <w:rsid w:val="00745CBB"/>
    <w:rsid w:val="00746092"/>
    <w:rsid w:val="00746244"/>
    <w:rsid w:val="007466EF"/>
    <w:rsid w:val="00746B0F"/>
    <w:rsid w:val="007473EC"/>
    <w:rsid w:val="00747CE5"/>
    <w:rsid w:val="00751EFB"/>
    <w:rsid w:val="007521C2"/>
    <w:rsid w:val="00752F7A"/>
    <w:rsid w:val="00754070"/>
    <w:rsid w:val="007542EA"/>
    <w:rsid w:val="00754478"/>
    <w:rsid w:val="00754529"/>
    <w:rsid w:val="00754E51"/>
    <w:rsid w:val="00755DA3"/>
    <w:rsid w:val="0075631F"/>
    <w:rsid w:val="00757D8C"/>
    <w:rsid w:val="007604A1"/>
    <w:rsid w:val="007604B6"/>
    <w:rsid w:val="00760660"/>
    <w:rsid w:val="00760682"/>
    <w:rsid w:val="00760F67"/>
    <w:rsid w:val="00761938"/>
    <w:rsid w:val="00762C2A"/>
    <w:rsid w:val="00763EC3"/>
    <w:rsid w:val="00764025"/>
    <w:rsid w:val="00764148"/>
    <w:rsid w:val="00764FF0"/>
    <w:rsid w:val="00765317"/>
    <w:rsid w:val="00765716"/>
    <w:rsid w:val="00765A30"/>
    <w:rsid w:val="00765ED9"/>
    <w:rsid w:val="00765F5B"/>
    <w:rsid w:val="0076602D"/>
    <w:rsid w:val="00766E7C"/>
    <w:rsid w:val="00766F30"/>
    <w:rsid w:val="0077080B"/>
    <w:rsid w:val="00771267"/>
    <w:rsid w:val="007712A8"/>
    <w:rsid w:val="00773F0C"/>
    <w:rsid w:val="00774350"/>
    <w:rsid w:val="007746F0"/>
    <w:rsid w:val="007748FE"/>
    <w:rsid w:val="00774B13"/>
    <w:rsid w:val="00774BDF"/>
    <w:rsid w:val="007751A0"/>
    <w:rsid w:val="007753E0"/>
    <w:rsid w:val="00775594"/>
    <w:rsid w:val="00775F4E"/>
    <w:rsid w:val="00776BAD"/>
    <w:rsid w:val="00776D16"/>
    <w:rsid w:val="00777526"/>
    <w:rsid w:val="0077758C"/>
    <w:rsid w:val="0078055D"/>
    <w:rsid w:val="00780D60"/>
    <w:rsid w:val="007819F4"/>
    <w:rsid w:val="00781EC3"/>
    <w:rsid w:val="00782A42"/>
    <w:rsid w:val="0078434D"/>
    <w:rsid w:val="00784C85"/>
    <w:rsid w:val="00784FC9"/>
    <w:rsid w:val="007850BA"/>
    <w:rsid w:val="0078693D"/>
    <w:rsid w:val="007869B5"/>
    <w:rsid w:val="0078762A"/>
    <w:rsid w:val="0078769A"/>
    <w:rsid w:val="00787AF0"/>
    <w:rsid w:val="00787C76"/>
    <w:rsid w:val="00790996"/>
    <w:rsid w:val="00790AFF"/>
    <w:rsid w:val="0079100F"/>
    <w:rsid w:val="00791EA6"/>
    <w:rsid w:val="00792805"/>
    <w:rsid w:val="007930D4"/>
    <w:rsid w:val="007941C2"/>
    <w:rsid w:val="00794213"/>
    <w:rsid w:val="007943CC"/>
    <w:rsid w:val="00794BBF"/>
    <w:rsid w:val="00794D62"/>
    <w:rsid w:val="007956AB"/>
    <w:rsid w:val="00795D4E"/>
    <w:rsid w:val="007969EE"/>
    <w:rsid w:val="00796CB8"/>
    <w:rsid w:val="007971A5"/>
    <w:rsid w:val="007A0ACB"/>
    <w:rsid w:val="007A1744"/>
    <w:rsid w:val="007A1CCD"/>
    <w:rsid w:val="007A210B"/>
    <w:rsid w:val="007A24D5"/>
    <w:rsid w:val="007A26A6"/>
    <w:rsid w:val="007A296A"/>
    <w:rsid w:val="007A3348"/>
    <w:rsid w:val="007A4136"/>
    <w:rsid w:val="007A4C70"/>
    <w:rsid w:val="007A4E21"/>
    <w:rsid w:val="007A512C"/>
    <w:rsid w:val="007A5761"/>
    <w:rsid w:val="007A5BAC"/>
    <w:rsid w:val="007A664E"/>
    <w:rsid w:val="007A7A88"/>
    <w:rsid w:val="007B049C"/>
    <w:rsid w:val="007B05EE"/>
    <w:rsid w:val="007B14C0"/>
    <w:rsid w:val="007B1821"/>
    <w:rsid w:val="007B18DE"/>
    <w:rsid w:val="007B1F53"/>
    <w:rsid w:val="007B260E"/>
    <w:rsid w:val="007B323A"/>
    <w:rsid w:val="007B3290"/>
    <w:rsid w:val="007B3A8D"/>
    <w:rsid w:val="007B5DD8"/>
    <w:rsid w:val="007B5EA7"/>
    <w:rsid w:val="007B62D7"/>
    <w:rsid w:val="007B6AE3"/>
    <w:rsid w:val="007C05B6"/>
    <w:rsid w:val="007C1D31"/>
    <w:rsid w:val="007C2070"/>
    <w:rsid w:val="007C23F7"/>
    <w:rsid w:val="007C2458"/>
    <w:rsid w:val="007C258E"/>
    <w:rsid w:val="007C2D30"/>
    <w:rsid w:val="007C31FA"/>
    <w:rsid w:val="007C32AB"/>
    <w:rsid w:val="007C3E55"/>
    <w:rsid w:val="007C3EA3"/>
    <w:rsid w:val="007C4485"/>
    <w:rsid w:val="007C48A1"/>
    <w:rsid w:val="007C48C7"/>
    <w:rsid w:val="007C4D87"/>
    <w:rsid w:val="007C5153"/>
    <w:rsid w:val="007C56B5"/>
    <w:rsid w:val="007C6B3A"/>
    <w:rsid w:val="007C764B"/>
    <w:rsid w:val="007C7EF2"/>
    <w:rsid w:val="007D0932"/>
    <w:rsid w:val="007D0BD4"/>
    <w:rsid w:val="007D0D31"/>
    <w:rsid w:val="007D0E83"/>
    <w:rsid w:val="007D19DA"/>
    <w:rsid w:val="007D28A3"/>
    <w:rsid w:val="007D381A"/>
    <w:rsid w:val="007D3DCA"/>
    <w:rsid w:val="007D412F"/>
    <w:rsid w:val="007D4765"/>
    <w:rsid w:val="007D4ED1"/>
    <w:rsid w:val="007D5D09"/>
    <w:rsid w:val="007D5FF9"/>
    <w:rsid w:val="007D6215"/>
    <w:rsid w:val="007D6241"/>
    <w:rsid w:val="007D6718"/>
    <w:rsid w:val="007E15EA"/>
    <w:rsid w:val="007E16DA"/>
    <w:rsid w:val="007E39C0"/>
    <w:rsid w:val="007E3B6C"/>
    <w:rsid w:val="007E4526"/>
    <w:rsid w:val="007E493A"/>
    <w:rsid w:val="007E5BF1"/>
    <w:rsid w:val="007E6285"/>
    <w:rsid w:val="007E69A5"/>
    <w:rsid w:val="007E7085"/>
    <w:rsid w:val="007E71FD"/>
    <w:rsid w:val="007E761E"/>
    <w:rsid w:val="007F0576"/>
    <w:rsid w:val="007F14A3"/>
    <w:rsid w:val="007F262D"/>
    <w:rsid w:val="007F2A26"/>
    <w:rsid w:val="007F2D4A"/>
    <w:rsid w:val="007F35AB"/>
    <w:rsid w:val="007F4365"/>
    <w:rsid w:val="007F4375"/>
    <w:rsid w:val="007F4713"/>
    <w:rsid w:val="007F4A6D"/>
    <w:rsid w:val="007F5B6F"/>
    <w:rsid w:val="007F5E7B"/>
    <w:rsid w:val="007F6971"/>
    <w:rsid w:val="007F6C93"/>
    <w:rsid w:val="007F75E3"/>
    <w:rsid w:val="007F7AAC"/>
    <w:rsid w:val="007F7CBF"/>
    <w:rsid w:val="00800100"/>
    <w:rsid w:val="00801560"/>
    <w:rsid w:val="008018D8"/>
    <w:rsid w:val="00801FAF"/>
    <w:rsid w:val="00802783"/>
    <w:rsid w:val="008035CE"/>
    <w:rsid w:val="00803D67"/>
    <w:rsid w:val="00803FD5"/>
    <w:rsid w:val="00804238"/>
    <w:rsid w:val="0080450F"/>
    <w:rsid w:val="00804C91"/>
    <w:rsid w:val="008060B6"/>
    <w:rsid w:val="00806556"/>
    <w:rsid w:val="0080695B"/>
    <w:rsid w:val="00806AAC"/>
    <w:rsid w:val="00807497"/>
    <w:rsid w:val="00807A12"/>
    <w:rsid w:val="00807DB4"/>
    <w:rsid w:val="0081052C"/>
    <w:rsid w:val="00810E9F"/>
    <w:rsid w:val="00811102"/>
    <w:rsid w:val="00811572"/>
    <w:rsid w:val="00811D0D"/>
    <w:rsid w:val="00812074"/>
    <w:rsid w:val="008122E7"/>
    <w:rsid w:val="008127EF"/>
    <w:rsid w:val="00813CEE"/>
    <w:rsid w:val="00815AEA"/>
    <w:rsid w:val="008161BA"/>
    <w:rsid w:val="008163DE"/>
    <w:rsid w:val="0081669A"/>
    <w:rsid w:val="008169FC"/>
    <w:rsid w:val="00816A09"/>
    <w:rsid w:val="00816E95"/>
    <w:rsid w:val="00816EF0"/>
    <w:rsid w:val="00817015"/>
    <w:rsid w:val="008174FA"/>
    <w:rsid w:val="008179D4"/>
    <w:rsid w:val="00817D34"/>
    <w:rsid w:val="0082139A"/>
    <w:rsid w:val="008216EB"/>
    <w:rsid w:val="00822DCE"/>
    <w:rsid w:val="00822E56"/>
    <w:rsid w:val="00824567"/>
    <w:rsid w:val="00824A80"/>
    <w:rsid w:val="008251ED"/>
    <w:rsid w:val="00825218"/>
    <w:rsid w:val="00825F96"/>
    <w:rsid w:val="00827290"/>
    <w:rsid w:val="008302EC"/>
    <w:rsid w:val="00830380"/>
    <w:rsid w:val="00830993"/>
    <w:rsid w:val="008315B7"/>
    <w:rsid w:val="008315FF"/>
    <w:rsid w:val="00831A74"/>
    <w:rsid w:val="0083206D"/>
    <w:rsid w:val="00832F1B"/>
    <w:rsid w:val="008338A4"/>
    <w:rsid w:val="00833AA3"/>
    <w:rsid w:val="00834097"/>
    <w:rsid w:val="0083450A"/>
    <w:rsid w:val="008345EF"/>
    <w:rsid w:val="008348DA"/>
    <w:rsid w:val="00834F62"/>
    <w:rsid w:val="0083537C"/>
    <w:rsid w:val="0083595B"/>
    <w:rsid w:val="00835A62"/>
    <w:rsid w:val="008379BF"/>
    <w:rsid w:val="00840A2E"/>
    <w:rsid w:val="008422A8"/>
    <w:rsid w:val="00842CF1"/>
    <w:rsid w:val="00842F53"/>
    <w:rsid w:val="00842F8E"/>
    <w:rsid w:val="00843799"/>
    <w:rsid w:val="008447C0"/>
    <w:rsid w:val="00844C26"/>
    <w:rsid w:val="00845CFB"/>
    <w:rsid w:val="00845F4C"/>
    <w:rsid w:val="008460F9"/>
    <w:rsid w:val="0084671D"/>
    <w:rsid w:val="008468B5"/>
    <w:rsid w:val="00846FF2"/>
    <w:rsid w:val="00847191"/>
    <w:rsid w:val="00847E9C"/>
    <w:rsid w:val="0085032C"/>
    <w:rsid w:val="008513ED"/>
    <w:rsid w:val="008533FD"/>
    <w:rsid w:val="00853849"/>
    <w:rsid w:val="00853AC8"/>
    <w:rsid w:val="00854FDD"/>
    <w:rsid w:val="00855730"/>
    <w:rsid w:val="008559A8"/>
    <w:rsid w:val="00855F32"/>
    <w:rsid w:val="00855FE1"/>
    <w:rsid w:val="00856396"/>
    <w:rsid w:val="008563C9"/>
    <w:rsid w:val="00856CC9"/>
    <w:rsid w:val="00857689"/>
    <w:rsid w:val="00857ECC"/>
    <w:rsid w:val="00857FFC"/>
    <w:rsid w:val="00860570"/>
    <w:rsid w:val="00861742"/>
    <w:rsid w:val="00862FDD"/>
    <w:rsid w:val="008633F1"/>
    <w:rsid w:val="00864A40"/>
    <w:rsid w:val="00864F26"/>
    <w:rsid w:val="00865992"/>
    <w:rsid w:val="00865EFA"/>
    <w:rsid w:val="0086636B"/>
    <w:rsid w:val="00866461"/>
    <w:rsid w:val="00866ADD"/>
    <w:rsid w:val="00867575"/>
    <w:rsid w:val="00870576"/>
    <w:rsid w:val="00870DB5"/>
    <w:rsid w:val="00870F89"/>
    <w:rsid w:val="00872826"/>
    <w:rsid w:val="00872DF4"/>
    <w:rsid w:val="00873481"/>
    <w:rsid w:val="00875363"/>
    <w:rsid w:val="008754F3"/>
    <w:rsid w:val="00875C59"/>
    <w:rsid w:val="0087608C"/>
    <w:rsid w:val="00876C5B"/>
    <w:rsid w:val="00877084"/>
    <w:rsid w:val="00877100"/>
    <w:rsid w:val="008771DD"/>
    <w:rsid w:val="00877344"/>
    <w:rsid w:val="00877763"/>
    <w:rsid w:val="0087781D"/>
    <w:rsid w:val="00877A7E"/>
    <w:rsid w:val="008809DD"/>
    <w:rsid w:val="00881147"/>
    <w:rsid w:val="0088182E"/>
    <w:rsid w:val="008818AA"/>
    <w:rsid w:val="0088281B"/>
    <w:rsid w:val="008828F7"/>
    <w:rsid w:val="008830A6"/>
    <w:rsid w:val="008836D0"/>
    <w:rsid w:val="00883A9D"/>
    <w:rsid w:val="00883ECC"/>
    <w:rsid w:val="008847E4"/>
    <w:rsid w:val="00884A08"/>
    <w:rsid w:val="00884F5F"/>
    <w:rsid w:val="00885ACB"/>
    <w:rsid w:val="00885BB1"/>
    <w:rsid w:val="00885DDF"/>
    <w:rsid w:val="00886CA6"/>
    <w:rsid w:val="00886E73"/>
    <w:rsid w:val="00890FD9"/>
    <w:rsid w:val="00891228"/>
    <w:rsid w:val="008914DA"/>
    <w:rsid w:val="00892289"/>
    <w:rsid w:val="00892DC1"/>
    <w:rsid w:val="008931A4"/>
    <w:rsid w:val="008932A5"/>
    <w:rsid w:val="00894FE8"/>
    <w:rsid w:val="00895CBF"/>
    <w:rsid w:val="0089718B"/>
    <w:rsid w:val="00897199"/>
    <w:rsid w:val="00897524"/>
    <w:rsid w:val="00897AB8"/>
    <w:rsid w:val="00897B39"/>
    <w:rsid w:val="00897D29"/>
    <w:rsid w:val="008A0549"/>
    <w:rsid w:val="008A09C1"/>
    <w:rsid w:val="008A0D7B"/>
    <w:rsid w:val="008A1035"/>
    <w:rsid w:val="008A12C0"/>
    <w:rsid w:val="008A1A5E"/>
    <w:rsid w:val="008A1CEF"/>
    <w:rsid w:val="008A221F"/>
    <w:rsid w:val="008A2377"/>
    <w:rsid w:val="008A3133"/>
    <w:rsid w:val="008A48EB"/>
    <w:rsid w:val="008A4906"/>
    <w:rsid w:val="008A490F"/>
    <w:rsid w:val="008A4DD7"/>
    <w:rsid w:val="008A510C"/>
    <w:rsid w:val="008A5955"/>
    <w:rsid w:val="008A5E34"/>
    <w:rsid w:val="008A607F"/>
    <w:rsid w:val="008A6683"/>
    <w:rsid w:val="008A66CA"/>
    <w:rsid w:val="008A6B55"/>
    <w:rsid w:val="008A7A60"/>
    <w:rsid w:val="008A7B0F"/>
    <w:rsid w:val="008B02C7"/>
    <w:rsid w:val="008B033D"/>
    <w:rsid w:val="008B1255"/>
    <w:rsid w:val="008B1AA5"/>
    <w:rsid w:val="008B2E52"/>
    <w:rsid w:val="008B2EDE"/>
    <w:rsid w:val="008B32AB"/>
    <w:rsid w:val="008B32AD"/>
    <w:rsid w:val="008B398E"/>
    <w:rsid w:val="008B410E"/>
    <w:rsid w:val="008B41CA"/>
    <w:rsid w:val="008B4629"/>
    <w:rsid w:val="008B4635"/>
    <w:rsid w:val="008B50E2"/>
    <w:rsid w:val="008B5CA1"/>
    <w:rsid w:val="008B5FA4"/>
    <w:rsid w:val="008B77D4"/>
    <w:rsid w:val="008B7CCD"/>
    <w:rsid w:val="008C0543"/>
    <w:rsid w:val="008C113B"/>
    <w:rsid w:val="008C1241"/>
    <w:rsid w:val="008C2905"/>
    <w:rsid w:val="008C29BC"/>
    <w:rsid w:val="008C2B31"/>
    <w:rsid w:val="008C2BFB"/>
    <w:rsid w:val="008C3751"/>
    <w:rsid w:val="008C3A5C"/>
    <w:rsid w:val="008C3A60"/>
    <w:rsid w:val="008C3E5C"/>
    <w:rsid w:val="008C40AA"/>
    <w:rsid w:val="008C4BCD"/>
    <w:rsid w:val="008C53B8"/>
    <w:rsid w:val="008C569E"/>
    <w:rsid w:val="008C56F9"/>
    <w:rsid w:val="008C5AE3"/>
    <w:rsid w:val="008C5B1C"/>
    <w:rsid w:val="008C5C81"/>
    <w:rsid w:val="008C6173"/>
    <w:rsid w:val="008C6658"/>
    <w:rsid w:val="008C68E5"/>
    <w:rsid w:val="008C6F5D"/>
    <w:rsid w:val="008C74AE"/>
    <w:rsid w:val="008C78DB"/>
    <w:rsid w:val="008C7AFD"/>
    <w:rsid w:val="008D1841"/>
    <w:rsid w:val="008D18FF"/>
    <w:rsid w:val="008D1CF7"/>
    <w:rsid w:val="008D1F06"/>
    <w:rsid w:val="008D3313"/>
    <w:rsid w:val="008D38D4"/>
    <w:rsid w:val="008D3A69"/>
    <w:rsid w:val="008D4069"/>
    <w:rsid w:val="008D43EE"/>
    <w:rsid w:val="008D44CA"/>
    <w:rsid w:val="008D4764"/>
    <w:rsid w:val="008D548C"/>
    <w:rsid w:val="008D6043"/>
    <w:rsid w:val="008D6DD8"/>
    <w:rsid w:val="008D6E0A"/>
    <w:rsid w:val="008D6EFF"/>
    <w:rsid w:val="008D728B"/>
    <w:rsid w:val="008D72B5"/>
    <w:rsid w:val="008D72D8"/>
    <w:rsid w:val="008E00E2"/>
    <w:rsid w:val="008E05AC"/>
    <w:rsid w:val="008E18CE"/>
    <w:rsid w:val="008E19D3"/>
    <w:rsid w:val="008E25A4"/>
    <w:rsid w:val="008E3200"/>
    <w:rsid w:val="008E38CE"/>
    <w:rsid w:val="008E3E4D"/>
    <w:rsid w:val="008E42AB"/>
    <w:rsid w:val="008E44A3"/>
    <w:rsid w:val="008E6638"/>
    <w:rsid w:val="008E6FC9"/>
    <w:rsid w:val="008E75C4"/>
    <w:rsid w:val="008E7848"/>
    <w:rsid w:val="008E78F0"/>
    <w:rsid w:val="008E78F6"/>
    <w:rsid w:val="008E7C80"/>
    <w:rsid w:val="008F0CB0"/>
    <w:rsid w:val="008F0E5D"/>
    <w:rsid w:val="008F3058"/>
    <w:rsid w:val="008F3381"/>
    <w:rsid w:val="008F5750"/>
    <w:rsid w:val="008F57E1"/>
    <w:rsid w:val="008F5948"/>
    <w:rsid w:val="008F6F4E"/>
    <w:rsid w:val="008F78BD"/>
    <w:rsid w:val="008F7B53"/>
    <w:rsid w:val="008F7CBD"/>
    <w:rsid w:val="009001ED"/>
    <w:rsid w:val="0090062F"/>
    <w:rsid w:val="00900CCD"/>
    <w:rsid w:val="00902B72"/>
    <w:rsid w:val="00903BB1"/>
    <w:rsid w:val="0090490B"/>
    <w:rsid w:val="0090541C"/>
    <w:rsid w:val="009057B0"/>
    <w:rsid w:val="00906CB5"/>
    <w:rsid w:val="00907370"/>
    <w:rsid w:val="00907AEF"/>
    <w:rsid w:val="009105A8"/>
    <w:rsid w:val="00911074"/>
    <w:rsid w:val="00911ADE"/>
    <w:rsid w:val="00911DAA"/>
    <w:rsid w:val="0091279F"/>
    <w:rsid w:val="00913506"/>
    <w:rsid w:val="0091380E"/>
    <w:rsid w:val="0091392B"/>
    <w:rsid w:val="00913C7D"/>
    <w:rsid w:val="009155DA"/>
    <w:rsid w:val="00915BA2"/>
    <w:rsid w:val="0091637B"/>
    <w:rsid w:val="0091658E"/>
    <w:rsid w:val="00916FC4"/>
    <w:rsid w:val="00917639"/>
    <w:rsid w:val="00917CA8"/>
    <w:rsid w:val="00917E64"/>
    <w:rsid w:val="00920D02"/>
    <w:rsid w:val="00921309"/>
    <w:rsid w:val="0092170E"/>
    <w:rsid w:val="00922186"/>
    <w:rsid w:val="009223B1"/>
    <w:rsid w:val="009228C4"/>
    <w:rsid w:val="009231DE"/>
    <w:rsid w:val="00923862"/>
    <w:rsid w:val="00924350"/>
    <w:rsid w:val="009243CD"/>
    <w:rsid w:val="00924AD9"/>
    <w:rsid w:val="009250D9"/>
    <w:rsid w:val="009255C0"/>
    <w:rsid w:val="009259AD"/>
    <w:rsid w:val="00925BDE"/>
    <w:rsid w:val="00926A98"/>
    <w:rsid w:val="00926E19"/>
    <w:rsid w:val="00926F8E"/>
    <w:rsid w:val="00927D29"/>
    <w:rsid w:val="00927E24"/>
    <w:rsid w:val="00927F50"/>
    <w:rsid w:val="00930CCA"/>
    <w:rsid w:val="00930E9F"/>
    <w:rsid w:val="00931303"/>
    <w:rsid w:val="00932A66"/>
    <w:rsid w:val="00933C39"/>
    <w:rsid w:val="00933C3C"/>
    <w:rsid w:val="00933C53"/>
    <w:rsid w:val="00934217"/>
    <w:rsid w:val="009347F0"/>
    <w:rsid w:val="00934F56"/>
    <w:rsid w:val="009351E9"/>
    <w:rsid w:val="009354D0"/>
    <w:rsid w:val="0093639B"/>
    <w:rsid w:val="00936BF0"/>
    <w:rsid w:val="0094071F"/>
    <w:rsid w:val="00940B1B"/>
    <w:rsid w:val="00940C59"/>
    <w:rsid w:val="00941829"/>
    <w:rsid w:val="00941928"/>
    <w:rsid w:val="00941CDE"/>
    <w:rsid w:val="00941D5C"/>
    <w:rsid w:val="0094305F"/>
    <w:rsid w:val="00943FB4"/>
    <w:rsid w:val="009441EB"/>
    <w:rsid w:val="00946473"/>
    <w:rsid w:val="009466A2"/>
    <w:rsid w:val="00947046"/>
    <w:rsid w:val="009473C0"/>
    <w:rsid w:val="00947782"/>
    <w:rsid w:val="00947B6A"/>
    <w:rsid w:val="00950F0A"/>
    <w:rsid w:val="00951B6F"/>
    <w:rsid w:val="00952321"/>
    <w:rsid w:val="00954C7D"/>
    <w:rsid w:val="00954F2A"/>
    <w:rsid w:val="00955356"/>
    <w:rsid w:val="009553AB"/>
    <w:rsid w:val="009556C8"/>
    <w:rsid w:val="00956774"/>
    <w:rsid w:val="00956D75"/>
    <w:rsid w:val="00957024"/>
    <w:rsid w:val="009573DB"/>
    <w:rsid w:val="00957679"/>
    <w:rsid w:val="00957A0D"/>
    <w:rsid w:val="00957EE5"/>
    <w:rsid w:val="0096047A"/>
    <w:rsid w:val="00960C8F"/>
    <w:rsid w:val="00961449"/>
    <w:rsid w:val="00961F42"/>
    <w:rsid w:val="00963DF9"/>
    <w:rsid w:val="009641CE"/>
    <w:rsid w:val="00965AAE"/>
    <w:rsid w:val="009666B8"/>
    <w:rsid w:val="009672ED"/>
    <w:rsid w:val="009677A6"/>
    <w:rsid w:val="009700E2"/>
    <w:rsid w:val="0097124C"/>
    <w:rsid w:val="00971627"/>
    <w:rsid w:val="00972AF0"/>
    <w:rsid w:val="00972CC3"/>
    <w:rsid w:val="009733F4"/>
    <w:rsid w:val="009747E4"/>
    <w:rsid w:val="00974D41"/>
    <w:rsid w:val="00974F8B"/>
    <w:rsid w:val="00975231"/>
    <w:rsid w:val="009757AD"/>
    <w:rsid w:val="00976CB1"/>
    <w:rsid w:val="00976CF9"/>
    <w:rsid w:val="0097733F"/>
    <w:rsid w:val="0097761C"/>
    <w:rsid w:val="009777BA"/>
    <w:rsid w:val="0097786D"/>
    <w:rsid w:val="00977D60"/>
    <w:rsid w:val="0098021F"/>
    <w:rsid w:val="00980254"/>
    <w:rsid w:val="009804BC"/>
    <w:rsid w:val="00980C14"/>
    <w:rsid w:val="00981087"/>
    <w:rsid w:val="009817B3"/>
    <w:rsid w:val="00981CD8"/>
    <w:rsid w:val="00981D4F"/>
    <w:rsid w:val="009828E6"/>
    <w:rsid w:val="00982B5C"/>
    <w:rsid w:val="00982FEE"/>
    <w:rsid w:val="0098346D"/>
    <w:rsid w:val="00983E69"/>
    <w:rsid w:val="00985B95"/>
    <w:rsid w:val="00986065"/>
    <w:rsid w:val="009873A8"/>
    <w:rsid w:val="00987731"/>
    <w:rsid w:val="009903C3"/>
    <w:rsid w:val="00991240"/>
    <w:rsid w:val="00991D0D"/>
    <w:rsid w:val="0099270F"/>
    <w:rsid w:val="009944D3"/>
    <w:rsid w:val="009945AF"/>
    <w:rsid w:val="009956C6"/>
    <w:rsid w:val="00995810"/>
    <w:rsid w:val="00995AF9"/>
    <w:rsid w:val="00996107"/>
    <w:rsid w:val="00996161"/>
    <w:rsid w:val="009966EB"/>
    <w:rsid w:val="00996B37"/>
    <w:rsid w:val="00996C41"/>
    <w:rsid w:val="00996F4A"/>
    <w:rsid w:val="00997E60"/>
    <w:rsid w:val="009A01CF"/>
    <w:rsid w:val="009A03F9"/>
    <w:rsid w:val="009A07F1"/>
    <w:rsid w:val="009A1E3E"/>
    <w:rsid w:val="009A2B34"/>
    <w:rsid w:val="009A4393"/>
    <w:rsid w:val="009A4587"/>
    <w:rsid w:val="009A473B"/>
    <w:rsid w:val="009A4E46"/>
    <w:rsid w:val="009A5412"/>
    <w:rsid w:val="009A5C2E"/>
    <w:rsid w:val="009A62BD"/>
    <w:rsid w:val="009A68C4"/>
    <w:rsid w:val="009B0140"/>
    <w:rsid w:val="009B067A"/>
    <w:rsid w:val="009B0827"/>
    <w:rsid w:val="009B11C4"/>
    <w:rsid w:val="009B151E"/>
    <w:rsid w:val="009B1531"/>
    <w:rsid w:val="009B25EE"/>
    <w:rsid w:val="009B260E"/>
    <w:rsid w:val="009B2B7B"/>
    <w:rsid w:val="009B2EAB"/>
    <w:rsid w:val="009B2F32"/>
    <w:rsid w:val="009B4949"/>
    <w:rsid w:val="009B5202"/>
    <w:rsid w:val="009B5248"/>
    <w:rsid w:val="009B5AE6"/>
    <w:rsid w:val="009B614D"/>
    <w:rsid w:val="009B7FF8"/>
    <w:rsid w:val="009C1549"/>
    <w:rsid w:val="009C2B57"/>
    <w:rsid w:val="009C3292"/>
    <w:rsid w:val="009C34B7"/>
    <w:rsid w:val="009C4216"/>
    <w:rsid w:val="009C4931"/>
    <w:rsid w:val="009C560E"/>
    <w:rsid w:val="009C5CCE"/>
    <w:rsid w:val="009D0053"/>
    <w:rsid w:val="009D06DC"/>
    <w:rsid w:val="009D14A4"/>
    <w:rsid w:val="009D27C5"/>
    <w:rsid w:val="009D2DE4"/>
    <w:rsid w:val="009D422D"/>
    <w:rsid w:val="009D4FAF"/>
    <w:rsid w:val="009D56DF"/>
    <w:rsid w:val="009D56E7"/>
    <w:rsid w:val="009D5929"/>
    <w:rsid w:val="009D62CA"/>
    <w:rsid w:val="009D657F"/>
    <w:rsid w:val="009D6F47"/>
    <w:rsid w:val="009D709A"/>
    <w:rsid w:val="009E0841"/>
    <w:rsid w:val="009E0A63"/>
    <w:rsid w:val="009E0CA6"/>
    <w:rsid w:val="009E0F06"/>
    <w:rsid w:val="009E1841"/>
    <w:rsid w:val="009E19EC"/>
    <w:rsid w:val="009E2AAE"/>
    <w:rsid w:val="009E3542"/>
    <w:rsid w:val="009E3600"/>
    <w:rsid w:val="009E3C4D"/>
    <w:rsid w:val="009E4C4A"/>
    <w:rsid w:val="009E6437"/>
    <w:rsid w:val="009E75FD"/>
    <w:rsid w:val="009E7A26"/>
    <w:rsid w:val="009E7BE5"/>
    <w:rsid w:val="009F002D"/>
    <w:rsid w:val="009F008B"/>
    <w:rsid w:val="009F032C"/>
    <w:rsid w:val="009F0675"/>
    <w:rsid w:val="009F083B"/>
    <w:rsid w:val="009F0BAD"/>
    <w:rsid w:val="009F0EBF"/>
    <w:rsid w:val="009F15E4"/>
    <w:rsid w:val="009F15FC"/>
    <w:rsid w:val="009F228E"/>
    <w:rsid w:val="009F26DF"/>
    <w:rsid w:val="009F3A49"/>
    <w:rsid w:val="009F3C57"/>
    <w:rsid w:val="009F3E7B"/>
    <w:rsid w:val="009F52E1"/>
    <w:rsid w:val="009F545E"/>
    <w:rsid w:val="009F5672"/>
    <w:rsid w:val="009F56C1"/>
    <w:rsid w:val="009F5744"/>
    <w:rsid w:val="009F69C1"/>
    <w:rsid w:val="009F713E"/>
    <w:rsid w:val="009F75F3"/>
    <w:rsid w:val="009F7AA7"/>
    <w:rsid w:val="00A00C96"/>
    <w:rsid w:val="00A00E69"/>
    <w:rsid w:val="00A013C3"/>
    <w:rsid w:val="00A01486"/>
    <w:rsid w:val="00A01882"/>
    <w:rsid w:val="00A01964"/>
    <w:rsid w:val="00A02AD4"/>
    <w:rsid w:val="00A03886"/>
    <w:rsid w:val="00A038DC"/>
    <w:rsid w:val="00A03D35"/>
    <w:rsid w:val="00A04AE7"/>
    <w:rsid w:val="00A04C1F"/>
    <w:rsid w:val="00A05000"/>
    <w:rsid w:val="00A05297"/>
    <w:rsid w:val="00A05881"/>
    <w:rsid w:val="00A06F56"/>
    <w:rsid w:val="00A070AB"/>
    <w:rsid w:val="00A0745F"/>
    <w:rsid w:val="00A07925"/>
    <w:rsid w:val="00A07DFC"/>
    <w:rsid w:val="00A11298"/>
    <w:rsid w:val="00A11A18"/>
    <w:rsid w:val="00A11AE6"/>
    <w:rsid w:val="00A11D33"/>
    <w:rsid w:val="00A122AE"/>
    <w:rsid w:val="00A133F1"/>
    <w:rsid w:val="00A135C3"/>
    <w:rsid w:val="00A1491F"/>
    <w:rsid w:val="00A151AF"/>
    <w:rsid w:val="00A15769"/>
    <w:rsid w:val="00A163E3"/>
    <w:rsid w:val="00A16F97"/>
    <w:rsid w:val="00A173D3"/>
    <w:rsid w:val="00A179C5"/>
    <w:rsid w:val="00A179F4"/>
    <w:rsid w:val="00A17A67"/>
    <w:rsid w:val="00A20628"/>
    <w:rsid w:val="00A2063C"/>
    <w:rsid w:val="00A20789"/>
    <w:rsid w:val="00A21501"/>
    <w:rsid w:val="00A2289C"/>
    <w:rsid w:val="00A2333B"/>
    <w:rsid w:val="00A24C57"/>
    <w:rsid w:val="00A24E6B"/>
    <w:rsid w:val="00A24F05"/>
    <w:rsid w:val="00A258C1"/>
    <w:rsid w:val="00A2596F"/>
    <w:rsid w:val="00A259FA"/>
    <w:rsid w:val="00A25A7F"/>
    <w:rsid w:val="00A25BAF"/>
    <w:rsid w:val="00A25F82"/>
    <w:rsid w:val="00A27B94"/>
    <w:rsid w:val="00A30141"/>
    <w:rsid w:val="00A302AC"/>
    <w:rsid w:val="00A3127F"/>
    <w:rsid w:val="00A31901"/>
    <w:rsid w:val="00A31F4C"/>
    <w:rsid w:val="00A31F58"/>
    <w:rsid w:val="00A3264C"/>
    <w:rsid w:val="00A341E0"/>
    <w:rsid w:val="00A344CF"/>
    <w:rsid w:val="00A34513"/>
    <w:rsid w:val="00A346C3"/>
    <w:rsid w:val="00A347DB"/>
    <w:rsid w:val="00A35A8D"/>
    <w:rsid w:val="00A35BC2"/>
    <w:rsid w:val="00A35DEE"/>
    <w:rsid w:val="00A3639B"/>
    <w:rsid w:val="00A363DD"/>
    <w:rsid w:val="00A367EF"/>
    <w:rsid w:val="00A36AB3"/>
    <w:rsid w:val="00A36FE7"/>
    <w:rsid w:val="00A374DE"/>
    <w:rsid w:val="00A413E7"/>
    <w:rsid w:val="00A4181A"/>
    <w:rsid w:val="00A41D4E"/>
    <w:rsid w:val="00A4270F"/>
    <w:rsid w:val="00A42C1B"/>
    <w:rsid w:val="00A42D3A"/>
    <w:rsid w:val="00A435B9"/>
    <w:rsid w:val="00A44239"/>
    <w:rsid w:val="00A44506"/>
    <w:rsid w:val="00A44BA0"/>
    <w:rsid w:val="00A45CFA"/>
    <w:rsid w:val="00A45E20"/>
    <w:rsid w:val="00A46B68"/>
    <w:rsid w:val="00A47E71"/>
    <w:rsid w:val="00A47F3E"/>
    <w:rsid w:val="00A505E9"/>
    <w:rsid w:val="00A505F9"/>
    <w:rsid w:val="00A50660"/>
    <w:rsid w:val="00A511CA"/>
    <w:rsid w:val="00A512F3"/>
    <w:rsid w:val="00A52009"/>
    <w:rsid w:val="00A52036"/>
    <w:rsid w:val="00A52E4C"/>
    <w:rsid w:val="00A5400A"/>
    <w:rsid w:val="00A54078"/>
    <w:rsid w:val="00A54B3D"/>
    <w:rsid w:val="00A54CBB"/>
    <w:rsid w:val="00A54D3D"/>
    <w:rsid w:val="00A54DB5"/>
    <w:rsid w:val="00A553F7"/>
    <w:rsid w:val="00A55A82"/>
    <w:rsid w:val="00A560C4"/>
    <w:rsid w:val="00A560E2"/>
    <w:rsid w:val="00A5631B"/>
    <w:rsid w:val="00A56CBE"/>
    <w:rsid w:val="00A56EEB"/>
    <w:rsid w:val="00A575CF"/>
    <w:rsid w:val="00A57CDC"/>
    <w:rsid w:val="00A6028F"/>
    <w:rsid w:val="00A60DD8"/>
    <w:rsid w:val="00A60F16"/>
    <w:rsid w:val="00A6163A"/>
    <w:rsid w:val="00A619B1"/>
    <w:rsid w:val="00A61D2F"/>
    <w:rsid w:val="00A61D6F"/>
    <w:rsid w:val="00A61D72"/>
    <w:rsid w:val="00A61DF8"/>
    <w:rsid w:val="00A61E1E"/>
    <w:rsid w:val="00A63097"/>
    <w:rsid w:val="00A63122"/>
    <w:rsid w:val="00A63FDD"/>
    <w:rsid w:val="00A640A5"/>
    <w:rsid w:val="00A64F41"/>
    <w:rsid w:val="00A64FA2"/>
    <w:rsid w:val="00A64FC0"/>
    <w:rsid w:val="00A65DE1"/>
    <w:rsid w:val="00A669C1"/>
    <w:rsid w:val="00A67190"/>
    <w:rsid w:val="00A7013E"/>
    <w:rsid w:val="00A707DA"/>
    <w:rsid w:val="00A70E23"/>
    <w:rsid w:val="00A70ED3"/>
    <w:rsid w:val="00A710C9"/>
    <w:rsid w:val="00A7122D"/>
    <w:rsid w:val="00A7123C"/>
    <w:rsid w:val="00A71380"/>
    <w:rsid w:val="00A71F6B"/>
    <w:rsid w:val="00A720D0"/>
    <w:rsid w:val="00A72869"/>
    <w:rsid w:val="00A72B36"/>
    <w:rsid w:val="00A72E45"/>
    <w:rsid w:val="00A7364A"/>
    <w:rsid w:val="00A73C39"/>
    <w:rsid w:val="00A743EF"/>
    <w:rsid w:val="00A74F97"/>
    <w:rsid w:val="00A75196"/>
    <w:rsid w:val="00A75B3B"/>
    <w:rsid w:val="00A761A3"/>
    <w:rsid w:val="00A76DD2"/>
    <w:rsid w:val="00A8050A"/>
    <w:rsid w:val="00A80661"/>
    <w:rsid w:val="00A807DC"/>
    <w:rsid w:val="00A80B34"/>
    <w:rsid w:val="00A8233C"/>
    <w:rsid w:val="00A8238F"/>
    <w:rsid w:val="00A823FD"/>
    <w:rsid w:val="00A832F9"/>
    <w:rsid w:val="00A8362C"/>
    <w:rsid w:val="00A83657"/>
    <w:rsid w:val="00A83FB0"/>
    <w:rsid w:val="00A85B57"/>
    <w:rsid w:val="00A85F4D"/>
    <w:rsid w:val="00A861E3"/>
    <w:rsid w:val="00A8697D"/>
    <w:rsid w:val="00A879D8"/>
    <w:rsid w:val="00A87F56"/>
    <w:rsid w:val="00A91524"/>
    <w:rsid w:val="00A919F9"/>
    <w:rsid w:val="00A91F22"/>
    <w:rsid w:val="00A925A6"/>
    <w:rsid w:val="00A927AB"/>
    <w:rsid w:val="00A92A0D"/>
    <w:rsid w:val="00A93469"/>
    <w:rsid w:val="00A93552"/>
    <w:rsid w:val="00A93713"/>
    <w:rsid w:val="00A937C9"/>
    <w:rsid w:val="00A93BFE"/>
    <w:rsid w:val="00A94114"/>
    <w:rsid w:val="00A94A2E"/>
    <w:rsid w:val="00A95298"/>
    <w:rsid w:val="00A96E6F"/>
    <w:rsid w:val="00A97438"/>
    <w:rsid w:val="00AA0153"/>
    <w:rsid w:val="00AA0FA8"/>
    <w:rsid w:val="00AA1056"/>
    <w:rsid w:val="00AA1709"/>
    <w:rsid w:val="00AA18F9"/>
    <w:rsid w:val="00AA1DA0"/>
    <w:rsid w:val="00AA1ED4"/>
    <w:rsid w:val="00AA22F5"/>
    <w:rsid w:val="00AA2954"/>
    <w:rsid w:val="00AA2990"/>
    <w:rsid w:val="00AA2CB7"/>
    <w:rsid w:val="00AA3573"/>
    <w:rsid w:val="00AA3E2B"/>
    <w:rsid w:val="00AA401A"/>
    <w:rsid w:val="00AA4C83"/>
    <w:rsid w:val="00AA54DA"/>
    <w:rsid w:val="00AA5C63"/>
    <w:rsid w:val="00AA682E"/>
    <w:rsid w:val="00AA6D84"/>
    <w:rsid w:val="00AA6ECD"/>
    <w:rsid w:val="00AA71EF"/>
    <w:rsid w:val="00AB04BA"/>
    <w:rsid w:val="00AB15D7"/>
    <w:rsid w:val="00AB1756"/>
    <w:rsid w:val="00AB1CA3"/>
    <w:rsid w:val="00AB1FBA"/>
    <w:rsid w:val="00AB3124"/>
    <w:rsid w:val="00AB3552"/>
    <w:rsid w:val="00AB3CB9"/>
    <w:rsid w:val="00AB4741"/>
    <w:rsid w:val="00AB4C5D"/>
    <w:rsid w:val="00AB5F23"/>
    <w:rsid w:val="00AB60B4"/>
    <w:rsid w:val="00AB798E"/>
    <w:rsid w:val="00AB7B58"/>
    <w:rsid w:val="00AC0994"/>
    <w:rsid w:val="00AC0D41"/>
    <w:rsid w:val="00AC0E9E"/>
    <w:rsid w:val="00AC13CE"/>
    <w:rsid w:val="00AC15B4"/>
    <w:rsid w:val="00AC2056"/>
    <w:rsid w:val="00AC363E"/>
    <w:rsid w:val="00AC3A6D"/>
    <w:rsid w:val="00AC44F1"/>
    <w:rsid w:val="00AC5EA1"/>
    <w:rsid w:val="00AC6654"/>
    <w:rsid w:val="00AC6A13"/>
    <w:rsid w:val="00AD04B4"/>
    <w:rsid w:val="00AD068E"/>
    <w:rsid w:val="00AD1670"/>
    <w:rsid w:val="00AD24F5"/>
    <w:rsid w:val="00AD30A8"/>
    <w:rsid w:val="00AD333E"/>
    <w:rsid w:val="00AD36FA"/>
    <w:rsid w:val="00AD3930"/>
    <w:rsid w:val="00AD3BA4"/>
    <w:rsid w:val="00AD3E2B"/>
    <w:rsid w:val="00AD4444"/>
    <w:rsid w:val="00AD48CA"/>
    <w:rsid w:val="00AD4E8A"/>
    <w:rsid w:val="00AD54D8"/>
    <w:rsid w:val="00AD571E"/>
    <w:rsid w:val="00AD618C"/>
    <w:rsid w:val="00AD62D1"/>
    <w:rsid w:val="00AD63AE"/>
    <w:rsid w:val="00AD659F"/>
    <w:rsid w:val="00AD6DB0"/>
    <w:rsid w:val="00AD6F7B"/>
    <w:rsid w:val="00AE1283"/>
    <w:rsid w:val="00AE13E4"/>
    <w:rsid w:val="00AE1B96"/>
    <w:rsid w:val="00AE1E63"/>
    <w:rsid w:val="00AE2422"/>
    <w:rsid w:val="00AE24DE"/>
    <w:rsid w:val="00AE337E"/>
    <w:rsid w:val="00AE43CB"/>
    <w:rsid w:val="00AE4C3A"/>
    <w:rsid w:val="00AE4E94"/>
    <w:rsid w:val="00AE52C4"/>
    <w:rsid w:val="00AE579D"/>
    <w:rsid w:val="00AE5911"/>
    <w:rsid w:val="00AE6105"/>
    <w:rsid w:val="00AE7557"/>
    <w:rsid w:val="00AE7DCA"/>
    <w:rsid w:val="00AF01C9"/>
    <w:rsid w:val="00AF0615"/>
    <w:rsid w:val="00AF0F58"/>
    <w:rsid w:val="00AF127B"/>
    <w:rsid w:val="00AF14DD"/>
    <w:rsid w:val="00AF1912"/>
    <w:rsid w:val="00AF1B37"/>
    <w:rsid w:val="00AF1D5B"/>
    <w:rsid w:val="00AF2131"/>
    <w:rsid w:val="00AF2758"/>
    <w:rsid w:val="00AF3830"/>
    <w:rsid w:val="00AF3C59"/>
    <w:rsid w:val="00AF3E10"/>
    <w:rsid w:val="00AF3E16"/>
    <w:rsid w:val="00AF4392"/>
    <w:rsid w:val="00AF460D"/>
    <w:rsid w:val="00AF49BA"/>
    <w:rsid w:val="00AF4F12"/>
    <w:rsid w:val="00AF4FE6"/>
    <w:rsid w:val="00AF5D12"/>
    <w:rsid w:val="00AF5D81"/>
    <w:rsid w:val="00AF6FE4"/>
    <w:rsid w:val="00AF713F"/>
    <w:rsid w:val="00B007F4"/>
    <w:rsid w:val="00B02EE7"/>
    <w:rsid w:val="00B02F7F"/>
    <w:rsid w:val="00B03CE4"/>
    <w:rsid w:val="00B0439C"/>
    <w:rsid w:val="00B04CE3"/>
    <w:rsid w:val="00B05B76"/>
    <w:rsid w:val="00B06406"/>
    <w:rsid w:val="00B0667D"/>
    <w:rsid w:val="00B06C90"/>
    <w:rsid w:val="00B07227"/>
    <w:rsid w:val="00B0739C"/>
    <w:rsid w:val="00B0776B"/>
    <w:rsid w:val="00B078E3"/>
    <w:rsid w:val="00B07C15"/>
    <w:rsid w:val="00B111C2"/>
    <w:rsid w:val="00B11EC8"/>
    <w:rsid w:val="00B13569"/>
    <w:rsid w:val="00B1368A"/>
    <w:rsid w:val="00B14445"/>
    <w:rsid w:val="00B14AA3"/>
    <w:rsid w:val="00B14B30"/>
    <w:rsid w:val="00B14CE0"/>
    <w:rsid w:val="00B14D85"/>
    <w:rsid w:val="00B150D2"/>
    <w:rsid w:val="00B1526B"/>
    <w:rsid w:val="00B15477"/>
    <w:rsid w:val="00B1602B"/>
    <w:rsid w:val="00B1678B"/>
    <w:rsid w:val="00B16A1D"/>
    <w:rsid w:val="00B17058"/>
    <w:rsid w:val="00B20153"/>
    <w:rsid w:val="00B20172"/>
    <w:rsid w:val="00B20254"/>
    <w:rsid w:val="00B2045F"/>
    <w:rsid w:val="00B2074F"/>
    <w:rsid w:val="00B21471"/>
    <w:rsid w:val="00B21DE1"/>
    <w:rsid w:val="00B227AE"/>
    <w:rsid w:val="00B22B2C"/>
    <w:rsid w:val="00B22DCA"/>
    <w:rsid w:val="00B235E4"/>
    <w:rsid w:val="00B23621"/>
    <w:rsid w:val="00B23D15"/>
    <w:rsid w:val="00B23F04"/>
    <w:rsid w:val="00B2436B"/>
    <w:rsid w:val="00B244D9"/>
    <w:rsid w:val="00B24FB2"/>
    <w:rsid w:val="00B256FC"/>
    <w:rsid w:val="00B26113"/>
    <w:rsid w:val="00B277B4"/>
    <w:rsid w:val="00B30397"/>
    <w:rsid w:val="00B305A6"/>
    <w:rsid w:val="00B30918"/>
    <w:rsid w:val="00B31EE0"/>
    <w:rsid w:val="00B32BEE"/>
    <w:rsid w:val="00B3319D"/>
    <w:rsid w:val="00B332CA"/>
    <w:rsid w:val="00B34374"/>
    <w:rsid w:val="00B34A3F"/>
    <w:rsid w:val="00B35B68"/>
    <w:rsid w:val="00B36E9C"/>
    <w:rsid w:val="00B4115D"/>
    <w:rsid w:val="00B412BF"/>
    <w:rsid w:val="00B417DC"/>
    <w:rsid w:val="00B42AE9"/>
    <w:rsid w:val="00B4359F"/>
    <w:rsid w:val="00B4381B"/>
    <w:rsid w:val="00B43DE1"/>
    <w:rsid w:val="00B441E2"/>
    <w:rsid w:val="00B446F0"/>
    <w:rsid w:val="00B45134"/>
    <w:rsid w:val="00B46D35"/>
    <w:rsid w:val="00B46F02"/>
    <w:rsid w:val="00B46F20"/>
    <w:rsid w:val="00B50973"/>
    <w:rsid w:val="00B50F40"/>
    <w:rsid w:val="00B50F47"/>
    <w:rsid w:val="00B51114"/>
    <w:rsid w:val="00B513BA"/>
    <w:rsid w:val="00B51592"/>
    <w:rsid w:val="00B51F22"/>
    <w:rsid w:val="00B533FB"/>
    <w:rsid w:val="00B535BF"/>
    <w:rsid w:val="00B53F2D"/>
    <w:rsid w:val="00B53F7B"/>
    <w:rsid w:val="00B547B2"/>
    <w:rsid w:val="00B549A2"/>
    <w:rsid w:val="00B550AB"/>
    <w:rsid w:val="00B55483"/>
    <w:rsid w:val="00B558E2"/>
    <w:rsid w:val="00B55DDD"/>
    <w:rsid w:val="00B570DD"/>
    <w:rsid w:val="00B570E2"/>
    <w:rsid w:val="00B57965"/>
    <w:rsid w:val="00B579A0"/>
    <w:rsid w:val="00B57CE5"/>
    <w:rsid w:val="00B60248"/>
    <w:rsid w:val="00B6141C"/>
    <w:rsid w:val="00B61716"/>
    <w:rsid w:val="00B61D31"/>
    <w:rsid w:val="00B62C56"/>
    <w:rsid w:val="00B63330"/>
    <w:rsid w:val="00B63E7B"/>
    <w:rsid w:val="00B6402E"/>
    <w:rsid w:val="00B64145"/>
    <w:rsid w:val="00B64CEA"/>
    <w:rsid w:val="00B65666"/>
    <w:rsid w:val="00B657A5"/>
    <w:rsid w:val="00B66621"/>
    <w:rsid w:val="00B66DC3"/>
    <w:rsid w:val="00B67088"/>
    <w:rsid w:val="00B677FB"/>
    <w:rsid w:val="00B67FDB"/>
    <w:rsid w:val="00B70842"/>
    <w:rsid w:val="00B713BD"/>
    <w:rsid w:val="00B715B0"/>
    <w:rsid w:val="00B71995"/>
    <w:rsid w:val="00B71BF3"/>
    <w:rsid w:val="00B729C9"/>
    <w:rsid w:val="00B7379E"/>
    <w:rsid w:val="00B73FB2"/>
    <w:rsid w:val="00B73FF0"/>
    <w:rsid w:val="00B75111"/>
    <w:rsid w:val="00B75C0A"/>
    <w:rsid w:val="00B763AA"/>
    <w:rsid w:val="00B7656A"/>
    <w:rsid w:val="00B76AAE"/>
    <w:rsid w:val="00B770D8"/>
    <w:rsid w:val="00B77946"/>
    <w:rsid w:val="00B77951"/>
    <w:rsid w:val="00B801B8"/>
    <w:rsid w:val="00B80332"/>
    <w:rsid w:val="00B8033C"/>
    <w:rsid w:val="00B811EF"/>
    <w:rsid w:val="00B816C1"/>
    <w:rsid w:val="00B8176D"/>
    <w:rsid w:val="00B818CB"/>
    <w:rsid w:val="00B8280B"/>
    <w:rsid w:val="00B8344A"/>
    <w:rsid w:val="00B83605"/>
    <w:rsid w:val="00B83AED"/>
    <w:rsid w:val="00B83F0A"/>
    <w:rsid w:val="00B858BA"/>
    <w:rsid w:val="00B85B26"/>
    <w:rsid w:val="00B85E95"/>
    <w:rsid w:val="00B8689D"/>
    <w:rsid w:val="00B869CB"/>
    <w:rsid w:val="00B90F74"/>
    <w:rsid w:val="00B9116D"/>
    <w:rsid w:val="00B9442A"/>
    <w:rsid w:val="00B94FF4"/>
    <w:rsid w:val="00B95361"/>
    <w:rsid w:val="00B95877"/>
    <w:rsid w:val="00B960A1"/>
    <w:rsid w:val="00B96642"/>
    <w:rsid w:val="00B974AD"/>
    <w:rsid w:val="00B97543"/>
    <w:rsid w:val="00B97B99"/>
    <w:rsid w:val="00B97E22"/>
    <w:rsid w:val="00BA0717"/>
    <w:rsid w:val="00BA0930"/>
    <w:rsid w:val="00BA105D"/>
    <w:rsid w:val="00BA1D26"/>
    <w:rsid w:val="00BA1EF9"/>
    <w:rsid w:val="00BA35F4"/>
    <w:rsid w:val="00BA3DE4"/>
    <w:rsid w:val="00BA41C3"/>
    <w:rsid w:val="00BA42AB"/>
    <w:rsid w:val="00BA51E3"/>
    <w:rsid w:val="00BA59E4"/>
    <w:rsid w:val="00BA5BAB"/>
    <w:rsid w:val="00BA6EF3"/>
    <w:rsid w:val="00BA7390"/>
    <w:rsid w:val="00BA7DCD"/>
    <w:rsid w:val="00BB07F8"/>
    <w:rsid w:val="00BB095C"/>
    <w:rsid w:val="00BB1A80"/>
    <w:rsid w:val="00BB1BD5"/>
    <w:rsid w:val="00BB1D5F"/>
    <w:rsid w:val="00BB1E57"/>
    <w:rsid w:val="00BB2864"/>
    <w:rsid w:val="00BB28D0"/>
    <w:rsid w:val="00BB3251"/>
    <w:rsid w:val="00BB59A8"/>
    <w:rsid w:val="00BB611D"/>
    <w:rsid w:val="00BB6B83"/>
    <w:rsid w:val="00BC0426"/>
    <w:rsid w:val="00BC07E1"/>
    <w:rsid w:val="00BC0BD7"/>
    <w:rsid w:val="00BC0F8A"/>
    <w:rsid w:val="00BC175D"/>
    <w:rsid w:val="00BC1F40"/>
    <w:rsid w:val="00BC2864"/>
    <w:rsid w:val="00BC2878"/>
    <w:rsid w:val="00BC394A"/>
    <w:rsid w:val="00BC3A44"/>
    <w:rsid w:val="00BC3E36"/>
    <w:rsid w:val="00BC4DA9"/>
    <w:rsid w:val="00BC50A9"/>
    <w:rsid w:val="00BC5868"/>
    <w:rsid w:val="00BC6146"/>
    <w:rsid w:val="00BC7CDA"/>
    <w:rsid w:val="00BD007A"/>
    <w:rsid w:val="00BD03F8"/>
    <w:rsid w:val="00BD0BAC"/>
    <w:rsid w:val="00BD12F2"/>
    <w:rsid w:val="00BD137B"/>
    <w:rsid w:val="00BD144F"/>
    <w:rsid w:val="00BD18E1"/>
    <w:rsid w:val="00BD1A8A"/>
    <w:rsid w:val="00BD20B7"/>
    <w:rsid w:val="00BD2154"/>
    <w:rsid w:val="00BD2495"/>
    <w:rsid w:val="00BD3054"/>
    <w:rsid w:val="00BD3D26"/>
    <w:rsid w:val="00BD4394"/>
    <w:rsid w:val="00BD48ED"/>
    <w:rsid w:val="00BD4B18"/>
    <w:rsid w:val="00BD5373"/>
    <w:rsid w:val="00BD54B4"/>
    <w:rsid w:val="00BD553D"/>
    <w:rsid w:val="00BD57C6"/>
    <w:rsid w:val="00BD5BDB"/>
    <w:rsid w:val="00BD6851"/>
    <w:rsid w:val="00BD6D9F"/>
    <w:rsid w:val="00BD6FA3"/>
    <w:rsid w:val="00BD7F4A"/>
    <w:rsid w:val="00BE0D5E"/>
    <w:rsid w:val="00BE14C0"/>
    <w:rsid w:val="00BE14C1"/>
    <w:rsid w:val="00BE1E64"/>
    <w:rsid w:val="00BE263B"/>
    <w:rsid w:val="00BE26A4"/>
    <w:rsid w:val="00BE33CC"/>
    <w:rsid w:val="00BE34F8"/>
    <w:rsid w:val="00BE35A8"/>
    <w:rsid w:val="00BE4062"/>
    <w:rsid w:val="00BE4185"/>
    <w:rsid w:val="00BE474C"/>
    <w:rsid w:val="00BE52C1"/>
    <w:rsid w:val="00BE564C"/>
    <w:rsid w:val="00BE5DB6"/>
    <w:rsid w:val="00BE5ED1"/>
    <w:rsid w:val="00BE6324"/>
    <w:rsid w:val="00BE6A42"/>
    <w:rsid w:val="00BE6FD6"/>
    <w:rsid w:val="00BE74EF"/>
    <w:rsid w:val="00BE7727"/>
    <w:rsid w:val="00BE7770"/>
    <w:rsid w:val="00BE78E7"/>
    <w:rsid w:val="00BF0A10"/>
    <w:rsid w:val="00BF0CFC"/>
    <w:rsid w:val="00BF185C"/>
    <w:rsid w:val="00BF1B01"/>
    <w:rsid w:val="00BF1D90"/>
    <w:rsid w:val="00BF2B24"/>
    <w:rsid w:val="00BF2EDE"/>
    <w:rsid w:val="00BF31F5"/>
    <w:rsid w:val="00BF3224"/>
    <w:rsid w:val="00BF34C0"/>
    <w:rsid w:val="00BF3664"/>
    <w:rsid w:val="00BF3701"/>
    <w:rsid w:val="00BF4B45"/>
    <w:rsid w:val="00BF4DDC"/>
    <w:rsid w:val="00BF4F59"/>
    <w:rsid w:val="00BF5359"/>
    <w:rsid w:val="00BF6926"/>
    <w:rsid w:val="00BF6945"/>
    <w:rsid w:val="00BF74E1"/>
    <w:rsid w:val="00BF759C"/>
    <w:rsid w:val="00C00E05"/>
    <w:rsid w:val="00C012E0"/>
    <w:rsid w:val="00C0162A"/>
    <w:rsid w:val="00C0199D"/>
    <w:rsid w:val="00C01C6B"/>
    <w:rsid w:val="00C01F36"/>
    <w:rsid w:val="00C02A33"/>
    <w:rsid w:val="00C0325A"/>
    <w:rsid w:val="00C03E20"/>
    <w:rsid w:val="00C03E73"/>
    <w:rsid w:val="00C040BE"/>
    <w:rsid w:val="00C04840"/>
    <w:rsid w:val="00C04950"/>
    <w:rsid w:val="00C04A94"/>
    <w:rsid w:val="00C0548A"/>
    <w:rsid w:val="00C059E2"/>
    <w:rsid w:val="00C06633"/>
    <w:rsid w:val="00C06B2C"/>
    <w:rsid w:val="00C074D7"/>
    <w:rsid w:val="00C104B5"/>
    <w:rsid w:val="00C10EA9"/>
    <w:rsid w:val="00C1122F"/>
    <w:rsid w:val="00C11569"/>
    <w:rsid w:val="00C12FFE"/>
    <w:rsid w:val="00C13820"/>
    <w:rsid w:val="00C13838"/>
    <w:rsid w:val="00C146EA"/>
    <w:rsid w:val="00C1548B"/>
    <w:rsid w:val="00C157D2"/>
    <w:rsid w:val="00C15BE1"/>
    <w:rsid w:val="00C15D8E"/>
    <w:rsid w:val="00C169BF"/>
    <w:rsid w:val="00C17098"/>
    <w:rsid w:val="00C17406"/>
    <w:rsid w:val="00C17DF8"/>
    <w:rsid w:val="00C204C6"/>
    <w:rsid w:val="00C20C41"/>
    <w:rsid w:val="00C20C6A"/>
    <w:rsid w:val="00C20CC7"/>
    <w:rsid w:val="00C210A5"/>
    <w:rsid w:val="00C24390"/>
    <w:rsid w:val="00C24B98"/>
    <w:rsid w:val="00C25109"/>
    <w:rsid w:val="00C251FE"/>
    <w:rsid w:val="00C25ED3"/>
    <w:rsid w:val="00C263EA"/>
    <w:rsid w:val="00C26423"/>
    <w:rsid w:val="00C26457"/>
    <w:rsid w:val="00C26912"/>
    <w:rsid w:val="00C274A2"/>
    <w:rsid w:val="00C275B6"/>
    <w:rsid w:val="00C275F2"/>
    <w:rsid w:val="00C27818"/>
    <w:rsid w:val="00C27A7E"/>
    <w:rsid w:val="00C320C2"/>
    <w:rsid w:val="00C32BA7"/>
    <w:rsid w:val="00C32CD2"/>
    <w:rsid w:val="00C3324A"/>
    <w:rsid w:val="00C343A4"/>
    <w:rsid w:val="00C35408"/>
    <w:rsid w:val="00C3589C"/>
    <w:rsid w:val="00C35C94"/>
    <w:rsid w:val="00C35F6C"/>
    <w:rsid w:val="00C36118"/>
    <w:rsid w:val="00C36892"/>
    <w:rsid w:val="00C378DD"/>
    <w:rsid w:val="00C4004F"/>
    <w:rsid w:val="00C403AB"/>
    <w:rsid w:val="00C40704"/>
    <w:rsid w:val="00C41901"/>
    <w:rsid w:val="00C419BC"/>
    <w:rsid w:val="00C4213A"/>
    <w:rsid w:val="00C42F34"/>
    <w:rsid w:val="00C43087"/>
    <w:rsid w:val="00C4366E"/>
    <w:rsid w:val="00C43D83"/>
    <w:rsid w:val="00C44780"/>
    <w:rsid w:val="00C4479B"/>
    <w:rsid w:val="00C448BD"/>
    <w:rsid w:val="00C458DA"/>
    <w:rsid w:val="00C45DA0"/>
    <w:rsid w:val="00C47F72"/>
    <w:rsid w:val="00C50111"/>
    <w:rsid w:val="00C502B2"/>
    <w:rsid w:val="00C5043A"/>
    <w:rsid w:val="00C5073D"/>
    <w:rsid w:val="00C50789"/>
    <w:rsid w:val="00C51CBD"/>
    <w:rsid w:val="00C51EA1"/>
    <w:rsid w:val="00C52C32"/>
    <w:rsid w:val="00C53012"/>
    <w:rsid w:val="00C5306E"/>
    <w:rsid w:val="00C53156"/>
    <w:rsid w:val="00C533E7"/>
    <w:rsid w:val="00C5361C"/>
    <w:rsid w:val="00C5461B"/>
    <w:rsid w:val="00C54859"/>
    <w:rsid w:val="00C5552C"/>
    <w:rsid w:val="00C5567F"/>
    <w:rsid w:val="00C55681"/>
    <w:rsid w:val="00C557F3"/>
    <w:rsid w:val="00C5595F"/>
    <w:rsid w:val="00C55BCA"/>
    <w:rsid w:val="00C569A0"/>
    <w:rsid w:val="00C57CF5"/>
    <w:rsid w:val="00C57F10"/>
    <w:rsid w:val="00C60079"/>
    <w:rsid w:val="00C60B82"/>
    <w:rsid w:val="00C613F8"/>
    <w:rsid w:val="00C61DD6"/>
    <w:rsid w:val="00C61F2A"/>
    <w:rsid w:val="00C6202E"/>
    <w:rsid w:val="00C62DAD"/>
    <w:rsid w:val="00C63810"/>
    <w:rsid w:val="00C64245"/>
    <w:rsid w:val="00C644CA"/>
    <w:rsid w:val="00C64702"/>
    <w:rsid w:val="00C64CC8"/>
    <w:rsid w:val="00C65090"/>
    <w:rsid w:val="00C65198"/>
    <w:rsid w:val="00C654EF"/>
    <w:rsid w:val="00C662E3"/>
    <w:rsid w:val="00C663D3"/>
    <w:rsid w:val="00C66E9B"/>
    <w:rsid w:val="00C67F68"/>
    <w:rsid w:val="00C708FE"/>
    <w:rsid w:val="00C70FA1"/>
    <w:rsid w:val="00C717CE"/>
    <w:rsid w:val="00C719D3"/>
    <w:rsid w:val="00C71C82"/>
    <w:rsid w:val="00C71E46"/>
    <w:rsid w:val="00C7209D"/>
    <w:rsid w:val="00C72723"/>
    <w:rsid w:val="00C7381E"/>
    <w:rsid w:val="00C74A90"/>
    <w:rsid w:val="00C7541A"/>
    <w:rsid w:val="00C756A7"/>
    <w:rsid w:val="00C76111"/>
    <w:rsid w:val="00C76A20"/>
    <w:rsid w:val="00C77B04"/>
    <w:rsid w:val="00C77FA8"/>
    <w:rsid w:val="00C80704"/>
    <w:rsid w:val="00C80AF2"/>
    <w:rsid w:val="00C813EF"/>
    <w:rsid w:val="00C8178C"/>
    <w:rsid w:val="00C81837"/>
    <w:rsid w:val="00C8226B"/>
    <w:rsid w:val="00C823AA"/>
    <w:rsid w:val="00C82805"/>
    <w:rsid w:val="00C84138"/>
    <w:rsid w:val="00C846F4"/>
    <w:rsid w:val="00C84B2B"/>
    <w:rsid w:val="00C85142"/>
    <w:rsid w:val="00C8514D"/>
    <w:rsid w:val="00C8595E"/>
    <w:rsid w:val="00C85FC1"/>
    <w:rsid w:val="00C870D1"/>
    <w:rsid w:val="00C9110B"/>
    <w:rsid w:val="00C9113B"/>
    <w:rsid w:val="00C91864"/>
    <w:rsid w:val="00C91D89"/>
    <w:rsid w:val="00C9223E"/>
    <w:rsid w:val="00C922F6"/>
    <w:rsid w:val="00C93287"/>
    <w:rsid w:val="00C94392"/>
    <w:rsid w:val="00C948D3"/>
    <w:rsid w:val="00C9516E"/>
    <w:rsid w:val="00C95607"/>
    <w:rsid w:val="00C9562C"/>
    <w:rsid w:val="00C9641C"/>
    <w:rsid w:val="00C96C09"/>
    <w:rsid w:val="00C96E0C"/>
    <w:rsid w:val="00C971FA"/>
    <w:rsid w:val="00C972CF"/>
    <w:rsid w:val="00CA10E0"/>
    <w:rsid w:val="00CA10F3"/>
    <w:rsid w:val="00CA1A91"/>
    <w:rsid w:val="00CA26BA"/>
    <w:rsid w:val="00CA3165"/>
    <w:rsid w:val="00CA326E"/>
    <w:rsid w:val="00CA3ABF"/>
    <w:rsid w:val="00CA5F04"/>
    <w:rsid w:val="00CA610F"/>
    <w:rsid w:val="00CA627E"/>
    <w:rsid w:val="00CA67CC"/>
    <w:rsid w:val="00CA6BEF"/>
    <w:rsid w:val="00CA6DE5"/>
    <w:rsid w:val="00CA7ACE"/>
    <w:rsid w:val="00CB048A"/>
    <w:rsid w:val="00CB0A56"/>
    <w:rsid w:val="00CB0AF9"/>
    <w:rsid w:val="00CB10D8"/>
    <w:rsid w:val="00CB1227"/>
    <w:rsid w:val="00CB1C71"/>
    <w:rsid w:val="00CB25A8"/>
    <w:rsid w:val="00CB26D3"/>
    <w:rsid w:val="00CB306A"/>
    <w:rsid w:val="00CB3BC7"/>
    <w:rsid w:val="00CB466E"/>
    <w:rsid w:val="00CB4961"/>
    <w:rsid w:val="00CB5997"/>
    <w:rsid w:val="00CB59E5"/>
    <w:rsid w:val="00CB6226"/>
    <w:rsid w:val="00CB6439"/>
    <w:rsid w:val="00CB658B"/>
    <w:rsid w:val="00CB7F26"/>
    <w:rsid w:val="00CC08E7"/>
    <w:rsid w:val="00CC0AE3"/>
    <w:rsid w:val="00CC0B14"/>
    <w:rsid w:val="00CC0D70"/>
    <w:rsid w:val="00CC12EB"/>
    <w:rsid w:val="00CC1A5C"/>
    <w:rsid w:val="00CC1C1E"/>
    <w:rsid w:val="00CC1FB6"/>
    <w:rsid w:val="00CC24F4"/>
    <w:rsid w:val="00CC298D"/>
    <w:rsid w:val="00CC30E2"/>
    <w:rsid w:val="00CC3442"/>
    <w:rsid w:val="00CC3BA6"/>
    <w:rsid w:val="00CC3CED"/>
    <w:rsid w:val="00CC530F"/>
    <w:rsid w:val="00CC5DBC"/>
    <w:rsid w:val="00CC5FA4"/>
    <w:rsid w:val="00CC5FCE"/>
    <w:rsid w:val="00CC69D3"/>
    <w:rsid w:val="00CC6EF4"/>
    <w:rsid w:val="00CC7A58"/>
    <w:rsid w:val="00CC7C0B"/>
    <w:rsid w:val="00CD0DF1"/>
    <w:rsid w:val="00CD225B"/>
    <w:rsid w:val="00CD292A"/>
    <w:rsid w:val="00CD2CED"/>
    <w:rsid w:val="00CD3B27"/>
    <w:rsid w:val="00CD435D"/>
    <w:rsid w:val="00CD4D58"/>
    <w:rsid w:val="00CD4E04"/>
    <w:rsid w:val="00CD4ED8"/>
    <w:rsid w:val="00CD5266"/>
    <w:rsid w:val="00CD5819"/>
    <w:rsid w:val="00CD5900"/>
    <w:rsid w:val="00CD5978"/>
    <w:rsid w:val="00CD5D68"/>
    <w:rsid w:val="00CD5E3C"/>
    <w:rsid w:val="00CD5F21"/>
    <w:rsid w:val="00CD71B7"/>
    <w:rsid w:val="00CD7EF7"/>
    <w:rsid w:val="00CE17C7"/>
    <w:rsid w:val="00CE186B"/>
    <w:rsid w:val="00CE23F4"/>
    <w:rsid w:val="00CE2961"/>
    <w:rsid w:val="00CE31A4"/>
    <w:rsid w:val="00CE3343"/>
    <w:rsid w:val="00CE3377"/>
    <w:rsid w:val="00CE3653"/>
    <w:rsid w:val="00CE44BB"/>
    <w:rsid w:val="00CE48CA"/>
    <w:rsid w:val="00CE4B02"/>
    <w:rsid w:val="00CE4C69"/>
    <w:rsid w:val="00CE5440"/>
    <w:rsid w:val="00CE5591"/>
    <w:rsid w:val="00CE5E9A"/>
    <w:rsid w:val="00CE6350"/>
    <w:rsid w:val="00CE68BD"/>
    <w:rsid w:val="00CE6B97"/>
    <w:rsid w:val="00CE6E11"/>
    <w:rsid w:val="00CE6EB9"/>
    <w:rsid w:val="00CE7291"/>
    <w:rsid w:val="00CE7922"/>
    <w:rsid w:val="00CE7C98"/>
    <w:rsid w:val="00CF0917"/>
    <w:rsid w:val="00CF2421"/>
    <w:rsid w:val="00CF260E"/>
    <w:rsid w:val="00CF276C"/>
    <w:rsid w:val="00CF347E"/>
    <w:rsid w:val="00CF4190"/>
    <w:rsid w:val="00CF473E"/>
    <w:rsid w:val="00CF47CA"/>
    <w:rsid w:val="00CF490D"/>
    <w:rsid w:val="00CF4DD2"/>
    <w:rsid w:val="00CF5143"/>
    <w:rsid w:val="00CF54F9"/>
    <w:rsid w:val="00CF5650"/>
    <w:rsid w:val="00CF6085"/>
    <w:rsid w:val="00CF633A"/>
    <w:rsid w:val="00CF66E3"/>
    <w:rsid w:val="00CF68A1"/>
    <w:rsid w:val="00CF6CA1"/>
    <w:rsid w:val="00CF7591"/>
    <w:rsid w:val="00CF7E65"/>
    <w:rsid w:val="00CF7FAA"/>
    <w:rsid w:val="00D000D7"/>
    <w:rsid w:val="00D005A3"/>
    <w:rsid w:val="00D00FCF"/>
    <w:rsid w:val="00D018D3"/>
    <w:rsid w:val="00D01A8D"/>
    <w:rsid w:val="00D01CB0"/>
    <w:rsid w:val="00D02D2F"/>
    <w:rsid w:val="00D02F20"/>
    <w:rsid w:val="00D03014"/>
    <w:rsid w:val="00D03C98"/>
    <w:rsid w:val="00D04B25"/>
    <w:rsid w:val="00D04EC2"/>
    <w:rsid w:val="00D04F22"/>
    <w:rsid w:val="00D05423"/>
    <w:rsid w:val="00D05458"/>
    <w:rsid w:val="00D05836"/>
    <w:rsid w:val="00D06A6D"/>
    <w:rsid w:val="00D071B5"/>
    <w:rsid w:val="00D073F2"/>
    <w:rsid w:val="00D11306"/>
    <w:rsid w:val="00D11D74"/>
    <w:rsid w:val="00D124FF"/>
    <w:rsid w:val="00D133A7"/>
    <w:rsid w:val="00D14913"/>
    <w:rsid w:val="00D15B7D"/>
    <w:rsid w:val="00D15C26"/>
    <w:rsid w:val="00D17639"/>
    <w:rsid w:val="00D17708"/>
    <w:rsid w:val="00D17DF2"/>
    <w:rsid w:val="00D20C21"/>
    <w:rsid w:val="00D218EE"/>
    <w:rsid w:val="00D22B45"/>
    <w:rsid w:val="00D2329A"/>
    <w:rsid w:val="00D24333"/>
    <w:rsid w:val="00D245D1"/>
    <w:rsid w:val="00D24B75"/>
    <w:rsid w:val="00D24E57"/>
    <w:rsid w:val="00D252EB"/>
    <w:rsid w:val="00D26084"/>
    <w:rsid w:val="00D2693C"/>
    <w:rsid w:val="00D3015D"/>
    <w:rsid w:val="00D30D94"/>
    <w:rsid w:val="00D31735"/>
    <w:rsid w:val="00D317AF"/>
    <w:rsid w:val="00D32789"/>
    <w:rsid w:val="00D33C78"/>
    <w:rsid w:val="00D34B94"/>
    <w:rsid w:val="00D35014"/>
    <w:rsid w:val="00D3534E"/>
    <w:rsid w:val="00D3581B"/>
    <w:rsid w:val="00D358D1"/>
    <w:rsid w:val="00D35CC1"/>
    <w:rsid w:val="00D37F3D"/>
    <w:rsid w:val="00D4049F"/>
    <w:rsid w:val="00D40776"/>
    <w:rsid w:val="00D407E4"/>
    <w:rsid w:val="00D413A1"/>
    <w:rsid w:val="00D41D89"/>
    <w:rsid w:val="00D42AA5"/>
    <w:rsid w:val="00D43493"/>
    <w:rsid w:val="00D4436D"/>
    <w:rsid w:val="00D44913"/>
    <w:rsid w:val="00D44BED"/>
    <w:rsid w:val="00D44C51"/>
    <w:rsid w:val="00D44E2E"/>
    <w:rsid w:val="00D46129"/>
    <w:rsid w:val="00D4650D"/>
    <w:rsid w:val="00D47320"/>
    <w:rsid w:val="00D477F2"/>
    <w:rsid w:val="00D509BE"/>
    <w:rsid w:val="00D50A5C"/>
    <w:rsid w:val="00D50A73"/>
    <w:rsid w:val="00D51596"/>
    <w:rsid w:val="00D51C60"/>
    <w:rsid w:val="00D51DA5"/>
    <w:rsid w:val="00D52868"/>
    <w:rsid w:val="00D532B4"/>
    <w:rsid w:val="00D533F1"/>
    <w:rsid w:val="00D5391B"/>
    <w:rsid w:val="00D53CE9"/>
    <w:rsid w:val="00D543C3"/>
    <w:rsid w:val="00D544AC"/>
    <w:rsid w:val="00D54C4E"/>
    <w:rsid w:val="00D54CFA"/>
    <w:rsid w:val="00D54E54"/>
    <w:rsid w:val="00D5555C"/>
    <w:rsid w:val="00D558DF"/>
    <w:rsid w:val="00D55CE7"/>
    <w:rsid w:val="00D56560"/>
    <w:rsid w:val="00D56B63"/>
    <w:rsid w:val="00D56E9B"/>
    <w:rsid w:val="00D56F85"/>
    <w:rsid w:val="00D5706D"/>
    <w:rsid w:val="00D5711D"/>
    <w:rsid w:val="00D575E2"/>
    <w:rsid w:val="00D6023F"/>
    <w:rsid w:val="00D609AE"/>
    <w:rsid w:val="00D60D4E"/>
    <w:rsid w:val="00D61A6D"/>
    <w:rsid w:val="00D62E4D"/>
    <w:rsid w:val="00D635D4"/>
    <w:rsid w:val="00D63CD6"/>
    <w:rsid w:val="00D63EAD"/>
    <w:rsid w:val="00D6422B"/>
    <w:rsid w:val="00D6444C"/>
    <w:rsid w:val="00D64D96"/>
    <w:rsid w:val="00D66A71"/>
    <w:rsid w:val="00D66E3E"/>
    <w:rsid w:val="00D7091A"/>
    <w:rsid w:val="00D71A49"/>
    <w:rsid w:val="00D71A94"/>
    <w:rsid w:val="00D71FA6"/>
    <w:rsid w:val="00D7245F"/>
    <w:rsid w:val="00D7385B"/>
    <w:rsid w:val="00D73F1D"/>
    <w:rsid w:val="00D750B6"/>
    <w:rsid w:val="00D75266"/>
    <w:rsid w:val="00D75303"/>
    <w:rsid w:val="00D75505"/>
    <w:rsid w:val="00D75A5F"/>
    <w:rsid w:val="00D75F5F"/>
    <w:rsid w:val="00D76BAA"/>
    <w:rsid w:val="00D776EC"/>
    <w:rsid w:val="00D77B9B"/>
    <w:rsid w:val="00D80949"/>
    <w:rsid w:val="00D809EC"/>
    <w:rsid w:val="00D81206"/>
    <w:rsid w:val="00D8181F"/>
    <w:rsid w:val="00D820AD"/>
    <w:rsid w:val="00D827DA"/>
    <w:rsid w:val="00D82B9E"/>
    <w:rsid w:val="00D82BB2"/>
    <w:rsid w:val="00D83A19"/>
    <w:rsid w:val="00D83D25"/>
    <w:rsid w:val="00D84218"/>
    <w:rsid w:val="00D85716"/>
    <w:rsid w:val="00D86215"/>
    <w:rsid w:val="00D86CCE"/>
    <w:rsid w:val="00D86DF0"/>
    <w:rsid w:val="00D87F22"/>
    <w:rsid w:val="00D9146B"/>
    <w:rsid w:val="00D91678"/>
    <w:rsid w:val="00D919D0"/>
    <w:rsid w:val="00D91E17"/>
    <w:rsid w:val="00D93C86"/>
    <w:rsid w:val="00D945E6"/>
    <w:rsid w:val="00D94669"/>
    <w:rsid w:val="00D946D4"/>
    <w:rsid w:val="00D9587A"/>
    <w:rsid w:val="00D95A96"/>
    <w:rsid w:val="00D95D35"/>
    <w:rsid w:val="00D96150"/>
    <w:rsid w:val="00D9635B"/>
    <w:rsid w:val="00D96F21"/>
    <w:rsid w:val="00D97B3A"/>
    <w:rsid w:val="00DA0B20"/>
    <w:rsid w:val="00DA0B86"/>
    <w:rsid w:val="00DA1A41"/>
    <w:rsid w:val="00DA1E05"/>
    <w:rsid w:val="00DA239D"/>
    <w:rsid w:val="00DA23F1"/>
    <w:rsid w:val="00DA2712"/>
    <w:rsid w:val="00DA2E7F"/>
    <w:rsid w:val="00DA42C4"/>
    <w:rsid w:val="00DA4B7A"/>
    <w:rsid w:val="00DA5117"/>
    <w:rsid w:val="00DA55EE"/>
    <w:rsid w:val="00DA5ECA"/>
    <w:rsid w:val="00DA6298"/>
    <w:rsid w:val="00DA6384"/>
    <w:rsid w:val="00DA65EC"/>
    <w:rsid w:val="00DA6B03"/>
    <w:rsid w:val="00DA6B25"/>
    <w:rsid w:val="00DA737C"/>
    <w:rsid w:val="00DA7385"/>
    <w:rsid w:val="00DA761D"/>
    <w:rsid w:val="00DA76CC"/>
    <w:rsid w:val="00DB003F"/>
    <w:rsid w:val="00DB041C"/>
    <w:rsid w:val="00DB04BD"/>
    <w:rsid w:val="00DB0738"/>
    <w:rsid w:val="00DB0F76"/>
    <w:rsid w:val="00DB1B64"/>
    <w:rsid w:val="00DB2AF2"/>
    <w:rsid w:val="00DB2FE0"/>
    <w:rsid w:val="00DB3AB5"/>
    <w:rsid w:val="00DB4215"/>
    <w:rsid w:val="00DB490C"/>
    <w:rsid w:val="00DB4CEE"/>
    <w:rsid w:val="00DB5342"/>
    <w:rsid w:val="00DB5810"/>
    <w:rsid w:val="00DB5D19"/>
    <w:rsid w:val="00DB6229"/>
    <w:rsid w:val="00DB65AF"/>
    <w:rsid w:val="00DB6EB8"/>
    <w:rsid w:val="00DB71D7"/>
    <w:rsid w:val="00DB77EF"/>
    <w:rsid w:val="00DB79FA"/>
    <w:rsid w:val="00DC0A87"/>
    <w:rsid w:val="00DC11F3"/>
    <w:rsid w:val="00DC15F6"/>
    <w:rsid w:val="00DC20F5"/>
    <w:rsid w:val="00DC2303"/>
    <w:rsid w:val="00DC24D5"/>
    <w:rsid w:val="00DC2FD8"/>
    <w:rsid w:val="00DC38D9"/>
    <w:rsid w:val="00DC4139"/>
    <w:rsid w:val="00DC49CD"/>
    <w:rsid w:val="00DC4C4C"/>
    <w:rsid w:val="00DC4C5F"/>
    <w:rsid w:val="00DC55F3"/>
    <w:rsid w:val="00DC5A49"/>
    <w:rsid w:val="00DC5C4D"/>
    <w:rsid w:val="00DC60FE"/>
    <w:rsid w:val="00DC7384"/>
    <w:rsid w:val="00DC7484"/>
    <w:rsid w:val="00DC76EA"/>
    <w:rsid w:val="00DD019C"/>
    <w:rsid w:val="00DD1934"/>
    <w:rsid w:val="00DD1D6D"/>
    <w:rsid w:val="00DD2227"/>
    <w:rsid w:val="00DD239C"/>
    <w:rsid w:val="00DD2755"/>
    <w:rsid w:val="00DD2E86"/>
    <w:rsid w:val="00DD311F"/>
    <w:rsid w:val="00DD3D21"/>
    <w:rsid w:val="00DD47F3"/>
    <w:rsid w:val="00DD48CF"/>
    <w:rsid w:val="00DD4AC8"/>
    <w:rsid w:val="00DD5087"/>
    <w:rsid w:val="00DD5398"/>
    <w:rsid w:val="00DD60FF"/>
    <w:rsid w:val="00DD6E2E"/>
    <w:rsid w:val="00DD6F1A"/>
    <w:rsid w:val="00DD752C"/>
    <w:rsid w:val="00DD7577"/>
    <w:rsid w:val="00DD76AC"/>
    <w:rsid w:val="00DD7706"/>
    <w:rsid w:val="00DE0EB3"/>
    <w:rsid w:val="00DE1505"/>
    <w:rsid w:val="00DE27C8"/>
    <w:rsid w:val="00DE30B6"/>
    <w:rsid w:val="00DE35FA"/>
    <w:rsid w:val="00DE3B45"/>
    <w:rsid w:val="00DE5829"/>
    <w:rsid w:val="00DE5F57"/>
    <w:rsid w:val="00DE6480"/>
    <w:rsid w:val="00DE67F9"/>
    <w:rsid w:val="00DE7068"/>
    <w:rsid w:val="00DE7171"/>
    <w:rsid w:val="00DE7C45"/>
    <w:rsid w:val="00DF03C6"/>
    <w:rsid w:val="00DF0A26"/>
    <w:rsid w:val="00DF1185"/>
    <w:rsid w:val="00DF12CF"/>
    <w:rsid w:val="00DF134E"/>
    <w:rsid w:val="00DF1398"/>
    <w:rsid w:val="00DF142A"/>
    <w:rsid w:val="00DF1CCE"/>
    <w:rsid w:val="00DF24B5"/>
    <w:rsid w:val="00DF2B72"/>
    <w:rsid w:val="00DF2C7A"/>
    <w:rsid w:val="00DF3138"/>
    <w:rsid w:val="00DF35F2"/>
    <w:rsid w:val="00DF3918"/>
    <w:rsid w:val="00DF46AC"/>
    <w:rsid w:val="00DF58D3"/>
    <w:rsid w:val="00DF5A80"/>
    <w:rsid w:val="00DF5BAB"/>
    <w:rsid w:val="00DF6103"/>
    <w:rsid w:val="00DF6E53"/>
    <w:rsid w:val="00DF6EBA"/>
    <w:rsid w:val="00E000A0"/>
    <w:rsid w:val="00E00442"/>
    <w:rsid w:val="00E0060A"/>
    <w:rsid w:val="00E00BB9"/>
    <w:rsid w:val="00E00C7F"/>
    <w:rsid w:val="00E00C92"/>
    <w:rsid w:val="00E00F7C"/>
    <w:rsid w:val="00E01CF8"/>
    <w:rsid w:val="00E02790"/>
    <w:rsid w:val="00E02890"/>
    <w:rsid w:val="00E03B0A"/>
    <w:rsid w:val="00E03B41"/>
    <w:rsid w:val="00E03CC4"/>
    <w:rsid w:val="00E04311"/>
    <w:rsid w:val="00E04660"/>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EE7"/>
    <w:rsid w:val="00E100AB"/>
    <w:rsid w:val="00E103CC"/>
    <w:rsid w:val="00E10614"/>
    <w:rsid w:val="00E10B04"/>
    <w:rsid w:val="00E10B51"/>
    <w:rsid w:val="00E1193F"/>
    <w:rsid w:val="00E12A74"/>
    <w:rsid w:val="00E13925"/>
    <w:rsid w:val="00E13949"/>
    <w:rsid w:val="00E13B3D"/>
    <w:rsid w:val="00E1526D"/>
    <w:rsid w:val="00E15AAC"/>
    <w:rsid w:val="00E16BA5"/>
    <w:rsid w:val="00E177DB"/>
    <w:rsid w:val="00E17982"/>
    <w:rsid w:val="00E17A7A"/>
    <w:rsid w:val="00E202F5"/>
    <w:rsid w:val="00E22282"/>
    <w:rsid w:val="00E22B0C"/>
    <w:rsid w:val="00E22F8F"/>
    <w:rsid w:val="00E242BF"/>
    <w:rsid w:val="00E24751"/>
    <w:rsid w:val="00E259EB"/>
    <w:rsid w:val="00E26293"/>
    <w:rsid w:val="00E26501"/>
    <w:rsid w:val="00E272EE"/>
    <w:rsid w:val="00E27F2F"/>
    <w:rsid w:val="00E27FF5"/>
    <w:rsid w:val="00E30353"/>
    <w:rsid w:val="00E30772"/>
    <w:rsid w:val="00E30B0F"/>
    <w:rsid w:val="00E30FE6"/>
    <w:rsid w:val="00E31606"/>
    <w:rsid w:val="00E323B4"/>
    <w:rsid w:val="00E32490"/>
    <w:rsid w:val="00E3336A"/>
    <w:rsid w:val="00E33CD5"/>
    <w:rsid w:val="00E33CE9"/>
    <w:rsid w:val="00E33FE0"/>
    <w:rsid w:val="00E34743"/>
    <w:rsid w:val="00E35672"/>
    <w:rsid w:val="00E36AAB"/>
    <w:rsid w:val="00E37757"/>
    <w:rsid w:val="00E40796"/>
    <w:rsid w:val="00E40817"/>
    <w:rsid w:val="00E40D45"/>
    <w:rsid w:val="00E411A6"/>
    <w:rsid w:val="00E41715"/>
    <w:rsid w:val="00E41864"/>
    <w:rsid w:val="00E41B94"/>
    <w:rsid w:val="00E41C7C"/>
    <w:rsid w:val="00E4202E"/>
    <w:rsid w:val="00E424A9"/>
    <w:rsid w:val="00E425B4"/>
    <w:rsid w:val="00E438EC"/>
    <w:rsid w:val="00E43D3D"/>
    <w:rsid w:val="00E43DCD"/>
    <w:rsid w:val="00E46545"/>
    <w:rsid w:val="00E473C1"/>
    <w:rsid w:val="00E47876"/>
    <w:rsid w:val="00E50626"/>
    <w:rsid w:val="00E50ECA"/>
    <w:rsid w:val="00E51489"/>
    <w:rsid w:val="00E517ED"/>
    <w:rsid w:val="00E51CAF"/>
    <w:rsid w:val="00E527F5"/>
    <w:rsid w:val="00E534D9"/>
    <w:rsid w:val="00E5358F"/>
    <w:rsid w:val="00E5392E"/>
    <w:rsid w:val="00E54A44"/>
    <w:rsid w:val="00E552B8"/>
    <w:rsid w:val="00E55E35"/>
    <w:rsid w:val="00E5674F"/>
    <w:rsid w:val="00E56FAC"/>
    <w:rsid w:val="00E577D3"/>
    <w:rsid w:val="00E57E40"/>
    <w:rsid w:val="00E60020"/>
    <w:rsid w:val="00E60746"/>
    <w:rsid w:val="00E60B7A"/>
    <w:rsid w:val="00E61DD1"/>
    <w:rsid w:val="00E61EE2"/>
    <w:rsid w:val="00E62228"/>
    <w:rsid w:val="00E62348"/>
    <w:rsid w:val="00E6384B"/>
    <w:rsid w:val="00E638DD"/>
    <w:rsid w:val="00E63A6E"/>
    <w:rsid w:val="00E63D03"/>
    <w:rsid w:val="00E6404A"/>
    <w:rsid w:val="00E64079"/>
    <w:rsid w:val="00E646DA"/>
    <w:rsid w:val="00E65F6D"/>
    <w:rsid w:val="00E66AEB"/>
    <w:rsid w:val="00E66C8D"/>
    <w:rsid w:val="00E6789C"/>
    <w:rsid w:val="00E67CC4"/>
    <w:rsid w:val="00E701A8"/>
    <w:rsid w:val="00E70A92"/>
    <w:rsid w:val="00E70AF2"/>
    <w:rsid w:val="00E70AFE"/>
    <w:rsid w:val="00E70D47"/>
    <w:rsid w:val="00E7169A"/>
    <w:rsid w:val="00E716B1"/>
    <w:rsid w:val="00E72780"/>
    <w:rsid w:val="00E7335F"/>
    <w:rsid w:val="00E735D3"/>
    <w:rsid w:val="00E74258"/>
    <w:rsid w:val="00E743FE"/>
    <w:rsid w:val="00E7477E"/>
    <w:rsid w:val="00E75D1E"/>
    <w:rsid w:val="00E761A3"/>
    <w:rsid w:val="00E76516"/>
    <w:rsid w:val="00E767C7"/>
    <w:rsid w:val="00E76911"/>
    <w:rsid w:val="00E776CE"/>
    <w:rsid w:val="00E77F52"/>
    <w:rsid w:val="00E8040F"/>
    <w:rsid w:val="00E81024"/>
    <w:rsid w:val="00E81220"/>
    <w:rsid w:val="00E81700"/>
    <w:rsid w:val="00E817A9"/>
    <w:rsid w:val="00E824CA"/>
    <w:rsid w:val="00E82EDC"/>
    <w:rsid w:val="00E841A2"/>
    <w:rsid w:val="00E845E3"/>
    <w:rsid w:val="00E84678"/>
    <w:rsid w:val="00E84A0F"/>
    <w:rsid w:val="00E86648"/>
    <w:rsid w:val="00E86E2B"/>
    <w:rsid w:val="00E86F6E"/>
    <w:rsid w:val="00E8749C"/>
    <w:rsid w:val="00E876FB"/>
    <w:rsid w:val="00E87F92"/>
    <w:rsid w:val="00E90182"/>
    <w:rsid w:val="00E902A1"/>
    <w:rsid w:val="00E90400"/>
    <w:rsid w:val="00E9107C"/>
    <w:rsid w:val="00E91659"/>
    <w:rsid w:val="00E919F9"/>
    <w:rsid w:val="00E91F24"/>
    <w:rsid w:val="00E9213F"/>
    <w:rsid w:val="00E92EF9"/>
    <w:rsid w:val="00E931CF"/>
    <w:rsid w:val="00E931E9"/>
    <w:rsid w:val="00E93A22"/>
    <w:rsid w:val="00E93F94"/>
    <w:rsid w:val="00E9510C"/>
    <w:rsid w:val="00E95665"/>
    <w:rsid w:val="00E96976"/>
    <w:rsid w:val="00E969ED"/>
    <w:rsid w:val="00E96E70"/>
    <w:rsid w:val="00EA003C"/>
    <w:rsid w:val="00EA0AD8"/>
    <w:rsid w:val="00EA120A"/>
    <w:rsid w:val="00EA138C"/>
    <w:rsid w:val="00EA18D9"/>
    <w:rsid w:val="00EA1D3A"/>
    <w:rsid w:val="00EA2210"/>
    <w:rsid w:val="00EA2C4B"/>
    <w:rsid w:val="00EA3129"/>
    <w:rsid w:val="00EA34C7"/>
    <w:rsid w:val="00EA3AE7"/>
    <w:rsid w:val="00EA3F6D"/>
    <w:rsid w:val="00EA44D5"/>
    <w:rsid w:val="00EA4962"/>
    <w:rsid w:val="00EA4D85"/>
    <w:rsid w:val="00EA5F0C"/>
    <w:rsid w:val="00EA6861"/>
    <w:rsid w:val="00EA6941"/>
    <w:rsid w:val="00EA7963"/>
    <w:rsid w:val="00EA7B96"/>
    <w:rsid w:val="00EB0700"/>
    <w:rsid w:val="00EB0A28"/>
    <w:rsid w:val="00EB2579"/>
    <w:rsid w:val="00EB279B"/>
    <w:rsid w:val="00EB2B84"/>
    <w:rsid w:val="00EB3110"/>
    <w:rsid w:val="00EB3278"/>
    <w:rsid w:val="00EB4A2A"/>
    <w:rsid w:val="00EB5692"/>
    <w:rsid w:val="00EB5F20"/>
    <w:rsid w:val="00EB60C6"/>
    <w:rsid w:val="00EB63A7"/>
    <w:rsid w:val="00EC0CC3"/>
    <w:rsid w:val="00EC1138"/>
    <w:rsid w:val="00EC146F"/>
    <w:rsid w:val="00EC1806"/>
    <w:rsid w:val="00EC1B95"/>
    <w:rsid w:val="00EC20FB"/>
    <w:rsid w:val="00EC2C8B"/>
    <w:rsid w:val="00EC35C2"/>
    <w:rsid w:val="00EC3B3F"/>
    <w:rsid w:val="00EC3D05"/>
    <w:rsid w:val="00EC420B"/>
    <w:rsid w:val="00EC477E"/>
    <w:rsid w:val="00EC497B"/>
    <w:rsid w:val="00EC4E9B"/>
    <w:rsid w:val="00EC58B0"/>
    <w:rsid w:val="00EC5F9B"/>
    <w:rsid w:val="00EC77B2"/>
    <w:rsid w:val="00EC7CF1"/>
    <w:rsid w:val="00ED0831"/>
    <w:rsid w:val="00ED1D3F"/>
    <w:rsid w:val="00ED2530"/>
    <w:rsid w:val="00ED2562"/>
    <w:rsid w:val="00ED2633"/>
    <w:rsid w:val="00ED2A57"/>
    <w:rsid w:val="00ED3913"/>
    <w:rsid w:val="00ED3D75"/>
    <w:rsid w:val="00ED543E"/>
    <w:rsid w:val="00ED5DB3"/>
    <w:rsid w:val="00ED5DCA"/>
    <w:rsid w:val="00ED64A3"/>
    <w:rsid w:val="00ED664E"/>
    <w:rsid w:val="00ED707A"/>
    <w:rsid w:val="00ED748A"/>
    <w:rsid w:val="00ED7799"/>
    <w:rsid w:val="00ED7BCF"/>
    <w:rsid w:val="00EE05C0"/>
    <w:rsid w:val="00EE092C"/>
    <w:rsid w:val="00EE0AD5"/>
    <w:rsid w:val="00EE0DE7"/>
    <w:rsid w:val="00EE1E4A"/>
    <w:rsid w:val="00EE1F8C"/>
    <w:rsid w:val="00EE2141"/>
    <w:rsid w:val="00EE2717"/>
    <w:rsid w:val="00EE2E42"/>
    <w:rsid w:val="00EE2E91"/>
    <w:rsid w:val="00EE3115"/>
    <w:rsid w:val="00EE3443"/>
    <w:rsid w:val="00EE388B"/>
    <w:rsid w:val="00EE43E1"/>
    <w:rsid w:val="00EE480F"/>
    <w:rsid w:val="00EE4965"/>
    <w:rsid w:val="00EE5303"/>
    <w:rsid w:val="00EE5528"/>
    <w:rsid w:val="00EE55C2"/>
    <w:rsid w:val="00EE5C7B"/>
    <w:rsid w:val="00EE5DB5"/>
    <w:rsid w:val="00EE5F02"/>
    <w:rsid w:val="00EE6249"/>
    <w:rsid w:val="00EE7BFF"/>
    <w:rsid w:val="00EF06E2"/>
    <w:rsid w:val="00EF0E7C"/>
    <w:rsid w:val="00EF166B"/>
    <w:rsid w:val="00EF1F7C"/>
    <w:rsid w:val="00EF2762"/>
    <w:rsid w:val="00EF31F4"/>
    <w:rsid w:val="00EF3357"/>
    <w:rsid w:val="00EF3477"/>
    <w:rsid w:val="00EF4228"/>
    <w:rsid w:val="00EF47EC"/>
    <w:rsid w:val="00EF5102"/>
    <w:rsid w:val="00EF67A9"/>
    <w:rsid w:val="00F00023"/>
    <w:rsid w:val="00F004CF"/>
    <w:rsid w:val="00F008AC"/>
    <w:rsid w:val="00F00965"/>
    <w:rsid w:val="00F02619"/>
    <w:rsid w:val="00F0342D"/>
    <w:rsid w:val="00F039A9"/>
    <w:rsid w:val="00F039EE"/>
    <w:rsid w:val="00F03A45"/>
    <w:rsid w:val="00F03AF3"/>
    <w:rsid w:val="00F040C4"/>
    <w:rsid w:val="00F042EB"/>
    <w:rsid w:val="00F0431E"/>
    <w:rsid w:val="00F04CAC"/>
    <w:rsid w:val="00F056F8"/>
    <w:rsid w:val="00F05866"/>
    <w:rsid w:val="00F05B4F"/>
    <w:rsid w:val="00F05F1C"/>
    <w:rsid w:val="00F0653E"/>
    <w:rsid w:val="00F06CFB"/>
    <w:rsid w:val="00F06E46"/>
    <w:rsid w:val="00F072D4"/>
    <w:rsid w:val="00F078BC"/>
    <w:rsid w:val="00F10807"/>
    <w:rsid w:val="00F10B5B"/>
    <w:rsid w:val="00F11D12"/>
    <w:rsid w:val="00F12B34"/>
    <w:rsid w:val="00F12E89"/>
    <w:rsid w:val="00F13940"/>
    <w:rsid w:val="00F13C39"/>
    <w:rsid w:val="00F13F17"/>
    <w:rsid w:val="00F14EA4"/>
    <w:rsid w:val="00F1515F"/>
    <w:rsid w:val="00F155E1"/>
    <w:rsid w:val="00F159EA"/>
    <w:rsid w:val="00F1793C"/>
    <w:rsid w:val="00F2021B"/>
    <w:rsid w:val="00F203C8"/>
    <w:rsid w:val="00F20675"/>
    <w:rsid w:val="00F20851"/>
    <w:rsid w:val="00F20FDA"/>
    <w:rsid w:val="00F217DC"/>
    <w:rsid w:val="00F223AB"/>
    <w:rsid w:val="00F2268F"/>
    <w:rsid w:val="00F2293A"/>
    <w:rsid w:val="00F22F6F"/>
    <w:rsid w:val="00F23609"/>
    <w:rsid w:val="00F2523E"/>
    <w:rsid w:val="00F26C41"/>
    <w:rsid w:val="00F2734C"/>
    <w:rsid w:val="00F30459"/>
    <w:rsid w:val="00F30522"/>
    <w:rsid w:val="00F30A7C"/>
    <w:rsid w:val="00F30E47"/>
    <w:rsid w:val="00F3177F"/>
    <w:rsid w:val="00F31D7D"/>
    <w:rsid w:val="00F322A8"/>
    <w:rsid w:val="00F328B5"/>
    <w:rsid w:val="00F32AF4"/>
    <w:rsid w:val="00F32B32"/>
    <w:rsid w:val="00F335B8"/>
    <w:rsid w:val="00F3427E"/>
    <w:rsid w:val="00F342C3"/>
    <w:rsid w:val="00F3555F"/>
    <w:rsid w:val="00F35FBC"/>
    <w:rsid w:val="00F3626E"/>
    <w:rsid w:val="00F377B9"/>
    <w:rsid w:val="00F3780E"/>
    <w:rsid w:val="00F37B77"/>
    <w:rsid w:val="00F37CA7"/>
    <w:rsid w:val="00F405EB"/>
    <w:rsid w:val="00F40ECD"/>
    <w:rsid w:val="00F4178E"/>
    <w:rsid w:val="00F42E56"/>
    <w:rsid w:val="00F437E6"/>
    <w:rsid w:val="00F439BE"/>
    <w:rsid w:val="00F43BC4"/>
    <w:rsid w:val="00F4415F"/>
    <w:rsid w:val="00F441D2"/>
    <w:rsid w:val="00F44311"/>
    <w:rsid w:val="00F443A8"/>
    <w:rsid w:val="00F44952"/>
    <w:rsid w:val="00F44D01"/>
    <w:rsid w:val="00F44D47"/>
    <w:rsid w:val="00F45987"/>
    <w:rsid w:val="00F45AF7"/>
    <w:rsid w:val="00F45E99"/>
    <w:rsid w:val="00F46235"/>
    <w:rsid w:val="00F466B2"/>
    <w:rsid w:val="00F46E93"/>
    <w:rsid w:val="00F478A5"/>
    <w:rsid w:val="00F50792"/>
    <w:rsid w:val="00F509D1"/>
    <w:rsid w:val="00F538C9"/>
    <w:rsid w:val="00F53AAA"/>
    <w:rsid w:val="00F54505"/>
    <w:rsid w:val="00F54786"/>
    <w:rsid w:val="00F549A5"/>
    <w:rsid w:val="00F54EE3"/>
    <w:rsid w:val="00F56700"/>
    <w:rsid w:val="00F57B08"/>
    <w:rsid w:val="00F621B8"/>
    <w:rsid w:val="00F62539"/>
    <w:rsid w:val="00F62A19"/>
    <w:rsid w:val="00F634CC"/>
    <w:rsid w:val="00F63AC6"/>
    <w:rsid w:val="00F63B4E"/>
    <w:rsid w:val="00F63E0F"/>
    <w:rsid w:val="00F63F44"/>
    <w:rsid w:val="00F64304"/>
    <w:rsid w:val="00F643A5"/>
    <w:rsid w:val="00F646A0"/>
    <w:rsid w:val="00F6471D"/>
    <w:rsid w:val="00F64849"/>
    <w:rsid w:val="00F64A9E"/>
    <w:rsid w:val="00F65910"/>
    <w:rsid w:val="00F659CF"/>
    <w:rsid w:val="00F662A5"/>
    <w:rsid w:val="00F6665C"/>
    <w:rsid w:val="00F6698F"/>
    <w:rsid w:val="00F66C5F"/>
    <w:rsid w:val="00F671FB"/>
    <w:rsid w:val="00F67C25"/>
    <w:rsid w:val="00F715C6"/>
    <w:rsid w:val="00F7174E"/>
    <w:rsid w:val="00F71BBF"/>
    <w:rsid w:val="00F72208"/>
    <w:rsid w:val="00F73333"/>
    <w:rsid w:val="00F7348B"/>
    <w:rsid w:val="00F74CF8"/>
    <w:rsid w:val="00F74F12"/>
    <w:rsid w:val="00F75233"/>
    <w:rsid w:val="00F75472"/>
    <w:rsid w:val="00F754B1"/>
    <w:rsid w:val="00F7576C"/>
    <w:rsid w:val="00F77054"/>
    <w:rsid w:val="00F77766"/>
    <w:rsid w:val="00F77A2F"/>
    <w:rsid w:val="00F77A6E"/>
    <w:rsid w:val="00F77DF9"/>
    <w:rsid w:val="00F80BFC"/>
    <w:rsid w:val="00F80E0A"/>
    <w:rsid w:val="00F8174F"/>
    <w:rsid w:val="00F81F42"/>
    <w:rsid w:val="00F8211D"/>
    <w:rsid w:val="00F82EC2"/>
    <w:rsid w:val="00F83969"/>
    <w:rsid w:val="00F845C9"/>
    <w:rsid w:val="00F8463B"/>
    <w:rsid w:val="00F850C1"/>
    <w:rsid w:val="00F85BEB"/>
    <w:rsid w:val="00F86512"/>
    <w:rsid w:val="00F865A1"/>
    <w:rsid w:val="00F868D6"/>
    <w:rsid w:val="00F86937"/>
    <w:rsid w:val="00F8737E"/>
    <w:rsid w:val="00F87833"/>
    <w:rsid w:val="00F919D8"/>
    <w:rsid w:val="00F91CD5"/>
    <w:rsid w:val="00F92387"/>
    <w:rsid w:val="00F92C22"/>
    <w:rsid w:val="00F930D7"/>
    <w:rsid w:val="00F93455"/>
    <w:rsid w:val="00F944B6"/>
    <w:rsid w:val="00F9587C"/>
    <w:rsid w:val="00F95902"/>
    <w:rsid w:val="00F96261"/>
    <w:rsid w:val="00F965AB"/>
    <w:rsid w:val="00F972BE"/>
    <w:rsid w:val="00FA02FB"/>
    <w:rsid w:val="00FA0A09"/>
    <w:rsid w:val="00FA1D6F"/>
    <w:rsid w:val="00FA1EAB"/>
    <w:rsid w:val="00FA24BB"/>
    <w:rsid w:val="00FA29EC"/>
    <w:rsid w:val="00FA2B50"/>
    <w:rsid w:val="00FA36B7"/>
    <w:rsid w:val="00FA42E7"/>
    <w:rsid w:val="00FA4FE5"/>
    <w:rsid w:val="00FA5805"/>
    <w:rsid w:val="00FA5EB0"/>
    <w:rsid w:val="00FA696C"/>
    <w:rsid w:val="00FA7D99"/>
    <w:rsid w:val="00FA7DED"/>
    <w:rsid w:val="00FA7F16"/>
    <w:rsid w:val="00FB0B74"/>
    <w:rsid w:val="00FB17C6"/>
    <w:rsid w:val="00FB1A4B"/>
    <w:rsid w:val="00FB1F1E"/>
    <w:rsid w:val="00FB2421"/>
    <w:rsid w:val="00FB24F5"/>
    <w:rsid w:val="00FB31E2"/>
    <w:rsid w:val="00FB3B8A"/>
    <w:rsid w:val="00FB4F67"/>
    <w:rsid w:val="00FB648B"/>
    <w:rsid w:val="00FB6E05"/>
    <w:rsid w:val="00FB6FCB"/>
    <w:rsid w:val="00FB73B2"/>
    <w:rsid w:val="00FB7563"/>
    <w:rsid w:val="00FB7B7F"/>
    <w:rsid w:val="00FC02AB"/>
    <w:rsid w:val="00FC12B7"/>
    <w:rsid w:val="00FC1AB4"/>
    <w:rsid w:val="00FC3B6A"/>
    <w:rsid w:val="00FC3E6F"/>
    <w:rsid w:val="00FC411C"/>
    <w:rsid w:val="00FC47A0"/>
    <w:rsid w:val="00FC4D9F"/>
    <w:rsid w:val="00FC4F1A"/>
    <w:rsid w:val="00FC572F"/>
    <w:rsid w:val="00FC5B9E"/>
    <w:rsid w:val="00FC5F71"/>
    <w:rsid w:val="00FC6727"/>
    <w:rsid w:val="00FC6961"/>
    <w:rsid w:val="00FC6BF2"/>
    <w:rsid w:val="00FC78C4"/>
    <w:rsid w:val="00FD1D62"/>
    <w:rsid w:val="00FD21AC"/>
    <w:rsid w:val="00FD22DA"/>
    <w:rsid w:val="00FD4573"/>
    <w:rsid w:val="00FD50A9"/>
    <w:rsid w:val="00FD587D"/>
    <w:rsid w:val="00FD5F73"/>
    <w:rsid w:val="00FD63B1"/>
    <w:rsid w:val="00FD682C"/>
    <w:rsid w:val="00FD7771"/>
    <w:rsid w:val="00FE066B"/>
    <w:rsid w:val="00FE1220"/>
    <w:rsid w:val="00FE2752"/>
    <w:rsid w:val="00FE292D"/>
    <w:rsid w:val="00FE2CD1"/>
    <w:rsid w:val="00FE2D43"/>
    <w:rsid w:val="00FE2D67"/>
    <w:rsid w:val="00FE3252"/>
    <w:rsid w:val="00FE32CB"/>
    <w:rsid w:val="00FE39E9"/>
    <w:rsid w:val="00FE3A34"/>
    <w:rsid w:val="00FE43CB"/>
    <w:rsid w:val="00FE5137"/>
    <w:rsid w:val="00FE553F"/>
    <w:rsid w:val="00FE5563"/>
    <w:rsid w:val="00FE5763"/>
    <w:rsid w:val="00FE6E33"/>
    <w:rsid w:val="00FF0413"/>
    <w:rsid w:val="00FF0809"/>
    <w:rsid w:val="00FF0C24"/>
    <w:rsid w:val="00FF1449"/>
    <w:rsid w:val="00FF145D"/>
    <w:rsid w:val="00FF181A"/>
    <w:rsid w:val="00FF2930"/>
    <w:rsid w:val="00FF2AD3"/>
    <w:rsid w:val="00FF3586"/>
    <w:rsid w:val="00FF3737"/>
    <w:rsid w:val="00FF4357"/>
    <w:rsid w:val="00FF45E5"/>
    <w:rsid w:val="00FF4912"/>
    <w:rsid w:val="00FF4B7B"/>
    <w:rsid w:val="00FF4C56"/>
    <w:rsid w:val="00FF4E92"/>
    <w:rsid w:val="00FF5833"/>
    <w:rsid w:val="00FF6191"/>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fr,o,Style 6,Style 20,Style 9"/>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4F21E9"/>
    <w:pPr>
      <w:ind w:left="720"/>
      <w:contextualSpacing/>
    </w:pPr>
  </w:style>
  <w:style w:type="character" w:styleId="CommentReference">
    <w:name w:val="annotation reference"/>
    <w:basedOn w:val="DefaultParagraphFont"/>
    <w:rsid w:val="00C00E05"/>
    <w:rPr>
      <w:sz w:val="16"/>
      <w:szCs w:val="16"/>
    </w:rPr>
  </w:style>
  <w:style w:type="paragraph" w:styleId="CommentText">
    <w:name w:val="annotation text"/>
    <w:basedOn w:val="Normal"/>
    <w:link w:val="CommentTextChar"/>
    <w:rsid w:val="00C00E05"/>
    <w:pPr>
      <w:spacing w:line="240" w:lineRule="auto"/>
    </w:pPr>
    <w:rPr>
      <w:sz w:val="20"/>
      <w:szCs w:val="20"/>
    </w:rPr>
  </w:style>
  <w:style w:type="character" w:customStyle="1" w:styleId="CommentTextChar">
    <w:name w:val="Comment Text Char"/>
    <w:basedOn w:val="DefaultParagraphFont"/>
    <w:link w:val="CommentText"/>
    <w:rsid w:val="00C00E05"/>
  </w:style>
  <w:style w:type="paragraph" w:styleId="CommentSubject">
    <w:name w:val="annotation subject"/>
    <w:basedOn w:val="CommentText"/>
    <w:next w:val="CommentText"/>
    <w:link w:val="CommentSubjectChar"/>
    <w:rsid w:val="00C00E05"/>
    <w:rPr>
      <w:b/>
      <w:bCs/>
    </w:rPr>
  </w:style>
  <w:style w:type="character" w:customStyle="1" w:styleId="CommentSubjectChar">
    <w:name w:val="Comment Subject Char"/>
    <w:basedOn w:val="CommentTextChar"/>
    <w:link w:val="CommentSubject"/>
    <w:rsid w:val="00C00E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fr,o,Style 6,Style 20,Style 9"/>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4F21E9"/>
    <w:pPr>
      <w:ind w:left="720"/>
      <w:contextualSpacing/>
    </w:pPr>
  </w:style>
  <w:style w:type="character" w:styleId="CommentReference">
    <w:name w:val="annotation reference"/>
    <w:basedOn w:val="DefaultParagraphFont"/>
    <w:rsid w:val="00C00E05"/>
    <w:rPr>
      <w:sz w:val="16"/>
      <w:szCs w:val="16"/>
    </w:rPr>
  </w:style>
  <w:style w:type="paragraph" w:styleId="CommentText">
    <w:name w:val="annotation text"/>
    <w:basedOn w:val="Normal"/>
    <w:link w:val="CommentTextChar"/>
    <w:rsid w:val="00C00E05"/>
    <w:pPr>
      <w:spacing w:line="240" w:lineRule="auto"/>
    </w:pPr>
    <w:rPr>
      <w:sz w:val="20"/>
      <w:szCs w:val="20"/>
    </w:rPr>
  </w:style>
  <w:style w:type="character" w:customStyle="1" w:styleId="CommentTextChar">
    <w:name w:val="Comment Text Char"/>
    <w:basedOn w:val="DefaultParagraphFont"/>
    <w:link w:val="CommentText"/>
    <w:rsid w:val="00C00E05"/>
  </w:style>
  <w:style w:type="paragraph" w:styleId="CommentSubject">
    <w:name w:val="annotation subject"/>
    <w:basedOn w:val="CommentText"/>
    <w:next w:val="CommentText"/>
    <w:link w:val="CommentSubjectChar"/>
    <w:rsid w:val="00C00E05"/>
    <w:rPr>
      <w:b/>
      <w:bCs/>
    </w:rPr>
  </w:style>
  <w:style w:type="character" w:customStyle="1" w:styleId="CommentSubjectChar">
    <w:name w:val="Comment Subject Char"/>
    <w:basedOn w:val="CommentTextChar"/>
    <w:link w:val="CommentSubject"/>
    <w:rsid w:val="00C00E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B96F2E3-AAB3-4C24-B2D4-CF5B60E2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14142</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Wagner, Nathan R</cp:lastModifiedBy>
  <cp:revision>5</cp:revision>
  <cp:lastPrinted>2015-12-03T19:04:00Z</cp:lastPrinted>
  <dcterms:created xsi:type="dcterms:W3CDTF">2015-12-03T23:01:00Z</dcterms:created>
  <dcterms:modified xsi:type="dcterms:W3CDTF">2015-12-17T12:48:00Z</dcterms:modified>
</cp:coreProperties>
</file>