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A14347">
      <w:pPr>
        <w:tabs>
          <w:tab w:val="left" w:pos="360"/>
        </w:tabs>
        <w:spacing w:line="233" w:lineRule="auto"/>
        <w:jc w:val="both"/>
        <w:rPr>
          <w:b/>
          <w:sz w:val="24"/>
        </w:rPr>
      </w:pPr>
      <w:r>
        <w:rPr>
          <w:sz w:val="24"/>
        </w:rPr>
        <w:t xml:space="preserve">Gregory </w:t>
      </w:r>
      <w:proofErr w:type="spellStart"/>
      <w:r>
        <w:rPr>
          <w:sz w:val="24"/>
        </w:rPr>
        <w:t>Shehady</w:t>
      </w:r>
      <w:proofErr w:type="spellEnd"/>
      <w:r w:rsidR="00041EBC">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A14347">
        <w:rPr>
          <w:sz w:val="24"/>
        </w:rPr>
        <w:t>F</w:t>
      </w:r>
      <w:r w:rsidR="001D223E">
        <w:rPr>
          <w:sz w:val="24"/>
        </w:rPr>
        <w:t>-2015-25</w:t>
      </w:r>
      <w:r w:rsidR="00A14347">
        <w:rPr>
          <w:sz w:val="24"/>
        </w:rPr>
        <w:t>09296</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A14347">
      <w:pPr>
        <w:tabs>
          <w:tab w:val="left" w:pos="360"/>
        </w:tabs>
        <w:spacing w:line="233" w:lineRule="auto"/>
        <w:jc w:val="both"/>
        <w:rPr>
          <w:sz w:val="24"/>
        </w:rPr>
      </w:pPr>
      <w:r>
        <w:rPr>
          <w:sz w:val="24"/>
        </w:rPr>
        <w:t>Duquesne Light Company</w:t>
      </w:r>
      <w:r>
        <w:rPr>
          <w:sz w:val="24"/>
        </w:rPr>
        <w:tab/>
      </w:r>
      <w:r w:rsidR="00860B49">
        <w:rPr>
          <w:sz w:val="24"/>
        </w:rPr>
        <w:tab/>
      </w:r>
      <w:r w:rsidR="00387932">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A14347">
        <w:rPr>
          <w:sz w:val="24"/>
        </w:rPr>
        <w:t>Fri</w:t>
      </w:r>
      <w:r w:rsidR="001D223E">
        <w:rPr>
          <w:sz w:val="24"/>
        </w:rPr>
        <w:t xml:space="preserve">day, January </w:t>
      </w:r>
      <w:r w:rsidR="00A14347">
        <w:rPr>
          <w:sz w:val="24"/>
        </w:rPr>
        <w:t>29</w:t>
      </w:r>
      <w:r w:rsidR="001D223E">
        <w:rPr>
          <w:sz w:val="24"/>
        </w:rPr>
        <w:t>,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822ABD">
        <w:rPr>
          <w:sz w:val="24"/>
          <w:u w:val="single"/>
        </w:rPr>
        <w:t>December 1</w:t>
      </w:r>
      <w:r w:rsidR="00A14347">
        <w:rPr>
          <w:sz w:val="24"/>
          <w:u w:val="single"/>
        </w:rPr>
        <w:t>7</w:t>
      </w:r>
      <w:r w:rsidR="00C3007C">
        <w:rPr>
          <w:sz w:val="24"/>
          <w:u w:val="single"/>
        </w:rPr>
        <w:t>, 2015</w:t>
      </w:r>
      <w:r>
        <w:rPr>
          <w:sz w:val="24"/>
        </w:rPr>
        <w:tab/>
      </w:r>
      <w:r w:rsidR="00D06072">
        <w:rPr>
          <w:sz w:val="24"/>
        </w:rPr>
        <w:tab/>
      </w:r>
      <w:r w:rsidR="008C5680">
        <w:rPr>
          <w:sz w:val="24"/>
        </w:rPr>
        <w:tab/>
      </w:r>
      <w:r w:rsidR="002273B2">
        <w:rPr>
          <w:sz w:val="24"/>
        </w:rPr>
        <w:tab/>
      </w:r>
      <w:r>
        <w:rPr>
          <w:sz w:val="24"/>
        </w:rPr>
        <w:t>______________________________</w:t>
      </w:r>
      <w:r w:rsidR="00614C9F">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1D38B8" w:rsidRDefault="001D38B8" w:rsidP="001D38B8">
      <w:pPr>
        <w:tabs>
          <w:tab w:val="left" w:pos="360"/>
        </w:tabs>
        <w:rPr>
          <w:sz w:val="24"/>
        </w:rPr>
      </w:pPr>
    </w:p>
    <w:p w:rsidR="00813C99" w:rsidRDefault="00813C99" w:rsidP="001D38B8">
      <w:pPr>
        <w:tabs>
          <w:tab w:val="left" w:pos="360"/>
        </w:tabs>
        <w:rPr>
          <w:sz w:val="24"/>
        </w:rPr>
        <w:sectPr w:rsidR="00813C99" w:rsidSect="00F3373C">
          <w:footerReference w:type="even" r:id="rId9"/>
          <w:footerReference w:type="default" r:id="rId10"/>
          <w:pgSz w:w="12240" w:h="15840"/>
          <w:pgMar w:top="1440" w:right="1440" w:bottom="1440" w:left="1440" w:header="720" w:footer="720" w:gutter="0"/>
          <w:cols w:space="720"/>
          <w:titlePg/>
        </w:sectPr>
      </w:pPr>
    </w:p>
    <w:p w:rsidR="00A14347" w:rsidRDefault="00A14347" w:rsidP="00A14347">
      <w:pPr>
        <w:contextualSpacing/>
        <w:rPr>
          <w:rFonts w:ascii="Microsoft Sans Serif"/>
          <w:b/>
          <w:sz w:val="24"/>
          <w:u w:val="single"/>
        </w:rPr>
      </w:pPr>
      <w:r>
        <w:rPr>
          <w:rFonts w:ascii="Microsoft Sans Serif"/>
          <w:b/>
          <w:sz w:val="24"/>
          <w:u w:val="single"/>
        </w:rPr>
        <w:lastRenderedPageBreak/>
        <w:t>F-2015-2509296 - GREGORY SHEHADY v DUQUESNE LIGHT COMPANY</w:t>
      </w:r>
    </w:p>
    <w:p w:rsidR="00A14347" w:rsidRDefault="00A14347" w:rsidP="00A14347">
      <w:pPr>
        <w:contextualSpacing/>
        <w:rPr>
          <w:rFonts w:ascii="Microsoft Sans Serif"/>
          <w:b/>
          <w:sz w:val="24"/>
          <w:u w:val="single"/>
        </w:rPr>
      </w:pPr>
    </w:p>
    <w:p w:rsidR="00A14347" w:rsidRDefault="00A14347" w:rsidP="00A14347">
      <w:pPr>
        <w:contextualSpacing/>
        <w:rPr>
          <w:rFonts w:ascii="Microsoft Sans Serif"/>
          <w:sz w:val="24"/>
        </w:rPr>
      </w:pPr>
    </w:p>
    <w:p w:rsidR="00A14347" w:rsidRDefault="00A14347" w:rsidP="00A14347">
      <w:pPr>
        <w:contextualSpacing/>
        <w:rPr>
          <w:rFonts w:ascii="Microsoft Sans Serif"/>
          <w:sz w:val="24"/>
        </w:rPr>
      </w:pPr>
      <w:r>
        <w:rPr>
          <w:rFonts w:ascii="Microsoft Sans Serif"/>
          <w:sz w:val="24"/>
        </w:rPr>
        <w:t>GREGORY SHEHADY</w:t>
      </w:r>
    </w:p>
    <w:p w:rsidR="00A14347" w:rsidRDefault="00A14347" w:rsidP="00A14347">
      <w:pPr>
        <w:contextualSpacing/>
        <w:rPr>
          <w:rFonts w:ascii="Microsoft Sans Serif"/>
          <w:sz w:val="24"/>
        </w:rPr>
      </w:pPr>
      <w:r>
        <w:rPr>
          <w:rFonts w:ascii="Microsoft Sans Serif"/>
          <w:sz w:val="24"/>
        </w:rPr>
        <w:t xml:space="preserve">600 KELLYWOOD </w:t>
      </w:r>
      <w:proofErr w:type="gramStart"/>
      <w:r>
        <w:rPr>
          <w:rFonts w:ascii="Microsoft Sans Serif"/>
          <w:sz w:val="24"/>
        </w:rPr>
        <w:t>MANOR  APT</w:t>
      </w:r>
      <w:proofErr w:type="gramEnd"/>
      <w:r>
        <w:rPr>
          <w:rFonts w:ascii="Microsoft Sans Serif"/>
          <w:sz w:val="24"/>
        </w:rPr>
        <w:t xml:space="preserve"> 610</w:t>
      </w:r>
    </w:p>
    <w:p w:rsidR="00A14347" w:rsidRDefault="00A14347" w:rsidP="00A14347">
      <w:pPr>
        <w:contextualSpacing/>
        <w:rPr>
          <w:rFonts w:ascii="Microsoft Sans Serif"/>
          <w:sz w:val="24"/>
        </w:rPr>
      </w:pPr>
      <w:r>
        <w:rPr>
          <w:rFonts w:ascii="Microsoft Sans Serif"/>
          <w:sz w:val="24"/>
        </w:rPr>
        <w:t>NEW KENSINGTON PA  15068</w:t>
      </w:r>
    </w:p>
    <w:p w:rsidR="00A14347" w:rsidRDefault="00A14347" w:rsidP="00A14347">
      <w:pPr>
        <w:contextualSpacing/>
        <w:rPr>
          <w:rFonts w:ascii="Microsoft Sans Serif"/>
          <w:sz w:val="24"/>
        </w:rPr>
      </w:pPr>
      <w:r>
        <w:rPr>
          <w:rFonts w:ascii="Microsoft Sans Serif"/>
          <w:b/>
          <w:sz w:val="24"/>
        </w:rPr>
        <w:t>412.403.0853</w:t>
      </w:r>
      <w:bookmarkStart w:id="0" w:name="_GoBack"/>
      <w:bookmarkEnd w:id="0"/>
    </w:p>
    <w:p w:rsidR="00A14347" w:rsidRDefault="00A14347" w:rsidP="00A14347">
      <w:pPr>
        <w:contextualSpacing/>
        <w:rPr>
          <w:rFonts w:asciiTheme="minorHAnsi"/>
          <w:sz w:val="22"/>
        </w:rPr>
      </w:pPr>
    </w:p>
    <w:p w:rsidR="00A14347" w:rsidRDefault="00A14347" w:rsidP="00A14347">
      <w:pPr>
        <w:contextualSpacing/>
        <w:rPr>
          <w:rFonts w:ascii="Microsoft Sans Serif"/>
          <w:sz w:val="24"/>
        </w:rPr>
      </w:pPr>
      <w:r>
        <w:rPr>
          <w:rFonts w:ascii="Microsoft Sans Serif"/>
          <w:sz w:val="24"/>
        </w:rPr>
        <w:t>JEREMY V FARRELL ESQUIRE</w:t>
      </w:r>
    </w:p>
    <w:p w:rsidR="00A14347" w:rsidRDefault="00A14347" w:rsidP="00A14347">
      <w:pPr>
        <w:contextualSpacing/>
        <w:rPr>
          <w:rFonts w:ascii="Microsoft Sans Serif"/>
          <w:sz w:val="24"/>
        </w:rPr>
      </w:pPr>
      <w:r>
        <w:rPr>
          <w:rFonts w:ascii="Microsoft Sans Serif"/>
          <w:sz w:val="24"/>
        </w:rPr>
        <w:t>TUCKER ARENSBERG PC</w:t>
      </w:r>
    </w:p>
    <w:p w:rsidR="00A14347" w:rsidRDefault="00A14347" w:rsidP="00A14347">
      <w:pPr>
        <w:contextualSpacing/>
        <w:rPr>
          <w:rFonts w:ascii="Microsoft Sans Serif"/>
          <w:sz w:val="24"/>
        </w:rPr>
      </w:pPr>
      <w:r>
        <w:rPr>
          <w:rFonts w:ascii="Microsoft Sans Serif"/>
          <w:sz w:val="24"/>
        </w:rPr>
        <w:t>1500 ONE PPG PLACE</w:t>
      </w:r>
    </w:p>
    <w:p w:rsidR="00A14347" w:rsidRDefault="00A14347" w:rsidP="00A14347">
      <w:pPr>
        <w:contextualSpacing/>
        <w:rPr>
          <w:rFonts w:ascii="Microsoft Sans Serif"/>
          <w:sz w:val="24"/>
        </w:rPr>
      </w:pPr>
      <w:r>
        <w:rPr>
          <w:rFonts w:ascii="Microsoft Sans Serif"/>
          <w:sz w:val="24"/>
        </w:rPr>
        <w:t>PITTSBURGH PA  15222</w:t>
      </w:r>
    </w:p>
    <w:p w:rsidR="00A14347" w:rsidRDefault="00A14347" w:rsidP="00A14347">
      <w:pPr>
        <w:contextualSpacing/>
        <w:rPr>
          <w:rFonts w:ascii="Microsoft Sans Serif"/>
          <w:sz w:val="24"/>
        </w:rPr>
      </w:pPr>
      <w:r>
        <w:rPr>
          <w:rFonts w:ascii="Microsoft Sans Serif"/>
          <w:b/>
          <w:sz w:val="24"/>
        </w:rPr>
        <w:t>412.594.3938</w:t>
      </w:r>
    </w:p>
    <w:p w:rsidR="00A14347" w:rsidRDefault="00A14347" w:rsidP="00A14347">
      <w:pPr>
        <w:contextualSpacing/>
        <w:rPr>
          <w:rFonts w:asciiTheme="minorHAnsi"/>
          <w:sz w:val="22"/>
        </w:rPr>
      </w:pPr>
      <w:r>
        <w:rPr>
          <w:rFonts w:ascii="Microsoft Sans Serif"/>
          <w:sz w:val="24"/>
        </w:rPr>
        <w:t>Accepts Electronic Service</w:t>
      </w:r>
    </w:p>
    <w:p w:rsidR="00041EBC" w:rsidRDefault="00041EBC" w:rsidP="00041EBC">
      <w:pPr>
        <w:contextualSpacing/>
        <w:rPr>
          <w:rFonts w:ascii="Microsoft Sans Serif" w:eastAsiaTheme="minorEastAsia" w:hAnsiTheme="minorHAnsi" w:cstheme="minorBidi"/>
          <w:b/>
          <w:sz w:val="24"/>
          <w:szCs w:val="22"/>
          <w:u w:val="single"/>
        </w:rPr>
      </w:pPr>
    </w:p>
    <w:sectPr w:rsidR="00041EBC"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A8" w:rsidRDefault="007A52A8">
      <w:r>
        <w:separator/>
      </w:r>
    </w:p>
  </w:endnote>
  <w:endnote w:type="continuationSeparator" w:id="0">
    <w:p w:rsidR="007A52A8" w:rsidRDefault="007A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347">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A8" w:rsidRDefault="007A52A8">
      <w:r>
        <w:separator/>
      </w:r>
    </w:p>
  </w:footnote>
  <w:footnote w:type="continuationSeparator" w:id="0">
    <w:p w:rsidR="007A52A8" w:rsidRDefault="007A5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145A6"/>
    <w:rsid w:val="00021714"/>
    <w:rsid w:val="0003159B"/>
    <w:rsid w:val="00037BE6"/>
    <w:rsid w:val="00041EBC"/>
    <w:rsid w:val="00057A1E"/>
    <w:rsid w:val="00095736"/>
    <w:rsid w:val="000A22F9"/>
    <w:rsid w:val="000C01F3"/>
    <w:rsid w:val="000D50F2"/>
    <w:rsid w:val="0010441E"/>
    <w:rsid w:val="0010572B"/>
    <w:rsid w:val="00116F8A"/>
    <w:rsid w:val="00135EF7"/>
    <w:rsid w:val="00143936"/>
    <w:rsid w:val="001B61F5"/>
    <w:rsid w:val="001D223E"/>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618D"/>
    <w:rsid w:val="002D1536"/>
    <w:rsid w:val="002D7046"/>
    <w:rsid w:val="002F41A2"/>
    <w:rsid w:val="00305BE0"/>
    <w:rsid w:val="00350C29"/>
    <w:rsid w:val="00357400"/>
    <w:rsid w:val="00361600"/>
    <w:rsid w:val="00371555"/>
    <w:rsid w:val="00387932"/>
    <w:rsid w:val="003B3FBC"/>
    <w:rsid w:val="003B7B1D"/>
    <w:rsid w:val="003E009B"/>
    <w:rsid w:val="003E4E24"/>
    <w:rsid w:val="00412780"/>
    <w:rsid w:val="004169B1"/>
    <w:rsid w:val="004856BA"/>
    <w:rsid w:val="00495F65"/>
    <w:rsid w:val="00496861"/>
    <w:rsid w:val="004A3AA9"/>
    <w:rsid w:val="004B0B15"/>
    <w:rsid w:val="004C2128"/>
    <w:rsid w:val="004C3DB4"/>
    <w:rsid w:val="004C70BF"/>
    <w:rsid w:val="004E2B5B"/>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14C9F"/>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A52A8"/>
    <w:rsid w:val="007A7FD2"/>
    <w:rsid w:val="007B28B5"/>
    <w:rsid w:val="007E34D9"/>
    <w:rsid w:val="00802D85"/>
    <w:rsid w:val="00813C99"/>
    <w:rsid w:val="00822ABD"/>
    <w:rsid w:val="0083001C"/>
    <w:rsid w:val="0083318C"/>
    <w:rsid w:val="00860B49"/>
    <w:rsid w:val="00870C19"/>
    <w:rsid w:val="00886BD8"/>
    <w:rsid w:val="00895A33"/>
    <w:rsid w:val="008A4CCD"/>
    <w:rsid w:val="008C5680"/>
    <w:rsid w:val="008F41C8"/>
    <w:rsid w:val="0092156D"/>
    <w:rsid w:val="00924F7B"/>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14347"/>
    <w:rsid w:val="00A22ECD"/>
    <w:rsid w:val="00A476CC"/>
    <w:rsid w:val="00AE0239"/>
    <w:rsid w:val="00B02B8A"/>
    <w:rsid w:val="00B213AF"/>
    <w:rsid w:val="00B261A8"/>
    <w:rsid w:val="00B4484D"/>
    <w:rsid w:val="00B44A95"/>
    <w:rsid w:val="00BA623E"/>
    <w:rsid w:val="00BF574B"/>
    <w:rsid w:val="00C0486D"/>
    <w:rsid w:val="00C0610A"/>
    <w:rsid w:val="00C3007C"/>
    <w:rsid w:val="00C4139C"/>
    <w:rsid w:val="00C526F7"/>
    <w:rsid w:val="00C529B6"/>
    <w:rsid w:val="00C64AFC"/>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65EB"/>
    <w:rsid w:val="00F67523"/>
    <w:rsid w:val="00F82A58"/>
    <w:rsid w:val="00F83F43"/>
    <w:rsid w:val="00F84E8E"/>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033076667">
      <w:bodyDiv w:val="1"/>
      <w:marLeft w:val="0"/>
      <w:marRight w:val="0"/>
      <w:marTop w:val="0"/>
      <w:marBottom w:val="0"/>
      <w:divBdr>
        <w:top w:val="none" w:sz="0" w:space="0" w:color="auto"/>
        <w:left w:val="none" w:sz="0" w:space="0" w:color="auto"/>
        <w:bottom w:val="none" w:sz="0" w:space="0" w:color="auto"/>
        <w:right w:val="none" w:sz="0" w:space="0" w:color="auto"/>
      </w:divBdr>
    </w:div>
    <w:div w:id="1573616170">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 w:id="20404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067E-69F6-4310-A96D-5773F9B7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3</cp:revision>
  <cp:lastPrinted>2015-12-17T19:42:00Z</cp:lastPrinted>
  <dcterms:created xsi:type="dcterms:W3CDTF">2015-12-17T19:39:00Z</dcterms:created>
  <dcterms:modified xsi:type="dcterms:W3CDTF">2015-12-17T19:45:00Z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