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C3" w:rsidRPr="00DE562E" w:rsidRDefault="000F1894" w:rsidP="0081696C">
      <w:pPr>
        <w:jc w:val="center"/>
        <w:outlineLvl w:val="0"/>
        <w:rPr>
          <w:b/>
          <w:sz w:val="24"/>
          <w:szCs w:val="24"/>
        </w:rPr>
      </w:pPr>
      <w:r w:rsidRPr="00DE562E">
        <w:rPr>
          <w:b/>
          <w:sz w:val="24"/>
          <w:szCs w:val="24"/>
        </w:rPr>
        <w:t>BEFORE THE</w:t>
      </w:r>
    </w:p>
    <w:p w:rsidR="0088763C" w:rsidRDefault="000F1894" w:rsidP="0081696C">
      <w:pPr>
        <w:jc w:val="center"/>
        <w:outlineLvl w:val="0"/>
        <w:rPr>
          <w:b/>
          <w:sz w:val="24"/>
          <w:szCs w:val="24"/>
        </w:rPr>
      </w:pPr>
      <w:r w:rsidRPr="00DE562E">
        <w:rPr>
          <w:b/>
          <w:sz w:val="24"/>
          <w:szCs w:val="24"/>
        </w:rPr>
        <w:t>PENNSYLVANIA PUBLIC UTILITY COMMISSION</w:t>
      </w:r>
    </w:p>
    <w:p w:rsidR="0074314A" w:rsidRDefault="0074314A" w:rsidP="0081696C">
      <w:pPr>
        <w:jc w:val="center"/>
        <w:outlineLvl w:val="0"/>
        <w:rPr>
          <w:b/>
          <w:sz w:val="24"/>
          <w:szCs w:val="24"/>
        </w:rPr>
      </w:pPr>
    </w:p>
    <w:p w:rsidR="0074314A" w:rsidRPr="001027AA" w:rsidRDefault="0074314A" w:rsidP="0081696C">
      <w:pPr>
        <w:jc w:val="center"/>
        <w:outlineLvl w:val="0"/>
        <w:rPr>
          <w:b/>
          <w:sz w:val="24"/>
          <w:szCs w:val="24"/>
        </w:rPr>
      </w:pPr>
    </w:p>
    <w:p w:rsidR="000F1894" w:rsidRPr="00DE562E" w:rsidRDefault="000F1894" w:rsidP="000F1894">
      <w:pPr>
        <w:jc w:val="center"/>
        <w:rPr>
          <w:sz w:val="24"/>
          <w:szCs w:val="24"/>
        </w:rPr>
      </w:pPr>
    </w:p>
    <w:p w:rsidR="000F1894" w:rsidRDefault="0074314A" w:rsidP="008A68B7">
      <w:pPr>
        <w:rPr>
          <w:sz w:val="24"/>
          <w:szCs w:val="24"/>
        </w:rPr>
      </w:pPr>
      <w:r>
        <w:rPr>
          <w:sz w:val="24"/>
          <w:szCs w:val="24"/>
        </w:rPr>
        <w:t xml:space="preserve">Pennsylvania </w:t>
      </w:r>
      <w:r w:rsidR="008A68B7">
        <w:rPr>
          <w:sz w:val="24"/>
          <w:szCs w:val="24"/>
        </w:rPr>
        <w:t>Public Utility Commission</w:t>
      </w:r>
      <w:r w:rsidR="008A68B7">
        <w:rPr>
          <w:sz w:val="24"/>
          <w:szCs w:val="24"/>
        </w:rPr>
        <w:tab/>
      </w:r>
      <w:r w:rsidR="008A68B7">
        <w:rPr>
          <w:sz w:val="24"/>
          <w:szCs w:val="24"/>
        </w:rPr>
        <w:tab/>
        <w:t>:</w:t>
      </w:r>
    </w:p>
    <w:p w:rsidR="008A68B7" w:rsidRDefault="008A68B7" w:rsidP="008A68B7">
      <w:pPr>
        <w:rPr>
          <w:sz w:val="24"/>
          <w:szCs w:val="24"/>
        </w:rPr>
      </w:pPr>
      <w:r>
        <w:rPr>
          <w:sz w:val="24"/>
          <w:szCs w:val="24"/>
        </w:rPr>
        <w:t>Bureau of Investigation and Enforcement</w:t>
      </w:r>
      <w:r>
        <w:rPr>
          <w:sz w:val="24"/>
          <w:szCs w:val="24"/>
        </w:rPr>
        <w:tab/>
      </w:r>
      <w:r w:rsidR="0074314A">
        <w:rPr>
          <w:sz w:val="24"/>
          <w:szCs w:val="24"/>
        </w:rPr>
        <w:tab/>
      </w:r>
      <w:r>
        <w:rPr>
          <w:sz w:val="24"/>
          <w:szCs w:val="24"/>
        </w:rPr>
        <w:t>:</w:t>
      </w:r>
    </w:p>
    <w:p w:rsidR="0074314A" w:rsidRDefault="0074314A" w:rsidP="008A68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E3007" w:rsidRDefault="005E3007" w:rsidP="008A68B7">
      <w:pPr>
        <w:tabs>
          <w:tab w:val="left" w:pos="-720"/>
        </w:tabs>
        <w:suppressAutoHyphens/>
        <w:rPr>
          <w:bCs/>
          <w:spacing w:val="-3"/>
          <w:sz w:val="24"/>
          <w:szCs w:val="24"/>
        </w:rPr>
      </w:pPr>
      <w:r w:rsidRPr="00966FB7">
        <w:rPr>
          <w:bCs/>
          <w:spacing w:val="-3"/>
          <w:sz w:val="24"/>
          <w:szCs w:val="24"/>
        </w:rPr>
        <w:tab/>
      </w:r>
      <w:r w:rsidR="008A68B7">
        <w:rPr>
          <w:bCs/>
          <w:spacing w:val="-3"/>
          <w:sz w:val="24"/>
          <w:szCs w:val="24"/>
        </w:rPr>
        <w:t>v.</w:t>
      </w:r>
      <w:r w:rsidR="008A68B7">
        <w:rPr>
          <w:bCs/>
          <w:spacing w:val="-3"/>
          <w:sz w:val="24"/>
          <w:szCs w:val="24"/>
        </w:rPr>
        <w:tab/>
      </w:r>
      <w:r w:rsidR="008A68B7">
        <w:rPr>
          <w:bCs/>
          <w:spacing w:val="-3"/>
          <w:sz w:val="24"/>
          <w:szCs w:val="24"/>
        </w:rPr>
        <w:tab/>
      </w:r>
      <w:r w:rsidR="008A68B7">
        <w:rPr>
          <w:bCs/>
          <w:spacing w:val="-3"/>
          <w:sz w:val="24"/>
          <w:szCs w:val="24"/>
        </w:rPr>
        <w:tab/>
      </w:r>
      <w:r w:rsidR="008A68B7">
        <w:rPr>
          <w:bCs/>
          <w:spacing w:val="-3"/>
          <w:sz w:val="24"/>
          <w:szCs w:val="24"/>
        </w:rPr>
        <w:tab/>
      </w:r>
      <w:r w:rsidR="008A68B7">
        <w:rPr>
          <w:bCs/>
          <w:spacing w:val="-3"/>
          <w:sz w:val="24"/>
          <w:szCs w:val="24"/>
        </w:rPr>
        <w:tab/>
      </w:r>
      <w:r w:rsidR="0074314A">
        <w:rPr>
          <w:bCs/>
          <w:spacing w:val="-3"/>
          <w:sz w:val="24"/>
          <w:szCs w:val="24"/>
        </w:rPr>
        <w:tab/>
      </w:r>
      <w:r w:rsidR="008A68B7">
        <w:rPr>
          <w:bCs/>
          <w:spacing w:val="-3"/>
          <w:sz w:val="24"/>
          <w:szCs w:val="24"/>
        </w:rPr>
        <w:t>:</w:t>
      </w:r>
      <w:r w:rsidR="008A68B7">
        <w:rPr>
          <w:bCs/>
          <w:spacing w:val="-3"/>
          <w:sz w:val="24"/>
          <w:szCs w:val="24"/>
        </w:rPr>
        <w:tab/>
      </w:r>
      <w:r w:rsidR="0074314A">
        <w:rPr>
          <w:bCs/>
          <w:spacing w:val="-3"/>
          <w:sz w:val="24"/>
          <w:szCs w:val="24"/>
        </w:rPr>
        <w:tab/>
      </w:r>
      <w:r w:rsidR="008A68B7">
        <w:rPr>
          <w:bCs/>
          <w:spacing w:val="-3"/>
          <w:sz w:val="24"/>
          <w:szCs w:val="24"/>
        </w:rPr>
        <w:t>C-2015-2473286</w:t>
      </w:r>
    </w:p>
    <w:p w:rsidR="008A68B7" w:rsidRDefault="008A68B7" w:rsidP="008A68B7">
      <w:pPr>
        <w:tabs>
          <w:tab w:val="left" w:pos="-720"/>
        </w:tabs>
        <w:suppressAutoHyphens/>
        <w:rPr>
          <w:bCs/>
          <w:spacing w:val="-3"/>
          <w:sz w:val="24"/>
          <w:szCs w:val="24"/>
        </w:rPr>
      </w:pPr>
      <w:r>
        <w:rPr>
          <w:bCs/>
          <w:spacing w:val="-3"/>
          <w:sz w:val="24"/>
          <w:szCs w:val="24"/>
        </w:rPr>
        <w:tab/>
      </w:r>
      <w:r>
        <w:rPr>
          <w:bCs/>
          <w:spacing w:val="-3"/>
          <w:sz w:val="24"/>
          <w:szCs w:val="24"/>
        </w:rPr>
        <w:tab/>
      </w:r>
      <w:r>
        <w:rPr>
          <w:bCs/>
          <w:spacing w:val="-3"/>
          <w:sz w:val="24"/>
          <w:szCs w:val="24"/>
        </w:rPr>
        <w:tab/>
      </w:r>
      <w:r>
        <w:rPr>
          <w:bCs/>
          <w:spacing w:val="-3"/>
          <w:sz w:val="24"/>
          <w:szCs w:val="24"/>
        </w:rPr>
        <w:tab/>
      </w:r>
      <w:r>
        <w:rPr>
          <w:bCs/>
          <w:spacing w:val="-3"/>
          <w:sz w:val="24"/>
          <w:szCs w:val="24"/>
        </w:rPr>
        <w:tab/>
      </w:r>
      <w:r>
        <w:rPr>
          <w:bCs/>
          <w:spacing w:val="-3"/>
          <w:sz w:val="24"/>
          <w:szCs w:val="24"/>
        </w:rPr>
        <w:tab/>
      </w:r>
      <w:r w:rsidR="0074314A">
        <w:rPr>
          <w:bCs/>
          <w:spacing w:val="-3"/>
          <w:sz w:val="24"/>
          <w:szCs w:val="24"/>
        </w:rPr>
        <w:tab/>
      </w:r>
      <w:r>
        <w:rPr>
          <w:bCs/>
          <w:spacing w:val="-3"/>
          <w:sz w:val="24"/>
          <w:szCs w:val="24"/>
        </w:rPr>
        <w:t>:</w:t>
      </w:r>
    </w:p>
    <w:p w:rsidR="008A68B7" w:rsidRDefault="008A68B7" w:rsidP="008A68B7">
      <w:pPr>
        <w:tabs>
          <w:tab w:val="left" w:pos="-720"/>
        </w:tabs>
        <w:suppressAutoHyphens/>
        <w:rPr>
          <w:bCs/>
          <w:spacing w:val="-3"/>
          <w:sz w:val="24"/>
          <w:szCs w:val="24"/>
        </w:rPr>
      </w:pPr>
      <w:r>
        <w:rPr>
          <w:bCs/>
          <w:spacing w:val="-3"/>
          <w:sz w:val="24"/>
          <w:szCs w:val="24"/>
        </w:rPr>
        <w:t>Steven A. Cintron/La Familia, Inc.</w:t>
      </w:r>
      <w:r>
        <w:rPr>
          <w:bCs/>
          <w:spacing w:val="-3"/>
          <w:sz w:val="24"/>
          <w:szCs w:val="24"/>
        </w:rPr>
        <w:tab/>
      </w:r>
      <w:r>
        <w:rPr>
          <w:bCs/>
          <w:spacing w:val="-3"/>
          <w:sz w:val="24"/>
          <w:szCs w:val="24"/>
        </w:rPr>
        <w:tab/>
      </w:r>
      <w:r w:rsidR="0074314A">
        <w:rPr>
          <w:bCs/>
          <w:spacing w:val="-3"/>
          <w:sz w:val="24"/>
          <w:szCs w:val="24"/>
        </w:rPr>
        <w:tab/>
      </w:r>
      <w:r>
        <w:rPr>
          <w:bCs/>
          <w:spacing w:val="-3"/>
          <w:sz w:val="24"/>
          <w:szCs w:val="24"/>
        </w:rPr>
        <w:t>:</w:t>
      </w:r>
    </w:p>
    <w:p w:rsidR="00E52738" w:rsidRDefault="00E52738" w:rsidP="008A68B7">
      <w:pPr>
        <w:tabs>
          <w:tab w:val="left" w:pos="-720"/>
        </w:tabs>
        <w:suppressAutoHyphens/>
        <w:rPr>
          <w:bCs/>
          <w:spacing w:val="-3"/>
          <w:sz w:val="24"/>
          <w:szCs w:val="24"/>
        </w:rPr>
      </w:pPr>
    </w:p>
    <w:p w:rsidR="0074314A" w:rsidRDefault="0074314A" w:rsidP="008A68B7">
      <w:pPr>
        <w:tabs>
          <w:tab w:val="left" w:pos="-720"/>
        </w:tabs>
        <w:suppressAutoHyphens/>
        <w:rPr>
          <w:bCs/>
          <w:spacing w:val="-3"/>
          <w:sz w:val="24"/>
          <w:szCs w:val="24"/>
        </w:rPr>
      </w:pPr>
    </w:p>
    <w:p w:rsidR="0074314A" w:rsidRDefault="0074314A" w:rsidP="008A68B7">
      <w:pPr>
        <w:tabs>
          <w:tab w:val="left" w:pos="-720"/>
        </w:tabs>
        <w:suppressAutoHyphens/>
        <w:rPr>
          <w:bCs/>
          <w:spacing w:val="-3"/>
          <w:sz w:val="24"/>
          <w:szCs w:val="24"/>
        </w:rPr>
      </w:pPr>
    </w:p>
    <w:p w:rsidR="000F1894" w:rsidRPr="00E514FA" w:rsidRDefault="00CB495C" w:rsidP="000F1894">
      <w:pPr>
        <w:jc w:val="center"/>
        <w:rPr>
          <w:b/>
          <w:sz w:val="24"/>
          <w:szCs w:val="24"/>
        </w:rPr>
      </w:pPr>
      <w:r>
        <w:rPr>
          <w:b/>
          <w:caps/>
          <w:sz w:val="24"/>
          <w:szCs w:val="24"/>
          <w:u w:val="single"/>
        </w:rPr>
        <w:t>INitial decision</w:t>
      </w:r>
    </w:p>
    <w:p w:rsidR="006A21C2" w:rsidRDefault="006A21C2" w:rsidP="000F1894">
      <w:pPr>
        <w:jc w:val="center"/>
        <w:rPr>
          <w:sz w:val="24"/>
          <w:szCs w:val="24"/>
        </w:rPr>
      </w:pPr>
    </w:p>
    <w:p w:rsidR="0074314A" w:rsidRPr="006A21C2" w:rsidRDefault="0074314A" w:rsidP="000F1894">
      <w:pPr>
        <w:jc w:val="center"/>
        <w:rPr>
          <w:sz w:val="24"/>
          <w:szCs w:val="24"/>
        </w:rPr>
      </w:pPr>
    </w:p>
    <w:p w:rsidR="000F1894" w:rsidRPr="00DE562E" w:rsidRDefault="000F1894" w:rsidP="0081696C">
      <w:pPr>
        <w:jc w:val="center"/>
        <w:outlineLvl w:val="0"/>
        <w:rPr>
          <w:sz w:val="24"/>
          <w:szCs w:val="24"/>
        </w:rPr>
      </w:pPr>
      <w:r w:rsidRPr="00DE562E">
        <w:rPr>
          <w:sz w:val="24"/>
          <w:szCs w:val="24"/>
        </w:rPr>
        <w:t>Before</w:t>
      </w:r>
    </w:p>
    <w:p w:rsidR="000F1894" w:rsidRPr="00DE562E" w:rsidRDefault="001F7F73" w:rsidP="000F1894">
      <w:pPr>
        <w:jc w:val="center"/>
        <w:rPr>
          <w:sz w:val="24"/>
          <w:szCs w:val="24"/>
        </w:rPr>
      </w:pPr>
      <w:r>
        <w:rPr>
          <w:sz w:val="24"/>
          <w:szCs w:val="24"/>
        </w:rPr>
        <w:t>Ember S. Jandebeur</w:t>
      </w:r>
    </w:p>
    <w:p w:rsidR="00BC7AF5" w:rsidRDefault="000F1894" w:rsidP="000F1894">
      <w:pPr>
        <w:jc w:val="center"/>
        <w:rPr>
          <w:sz w:val="24"/>
          <w:szCs w:val="24"/>
        </w:rPr>
      </w:pPr>
      <w:r w:rsidRPr="00DE562E">
        <w:rPr>
          <w:sz w:val="24"/>
          <w:szCs w:val="24"/>
        </w:rPr>
        <w:t>Administrative Law Judge</w:t>
      </w:r>
    </w:p>
    <w:p w:rsidR="008A68B7" w:rsidRDefault="008A68B7" w:rsidP="000F1894">
      <w:pPr>
        <w:jc w:val="center"/>
        <w:rPr>
          <w:sz w:val="24"/>
          <w:szCs w:val="24"/>
        </w:rPr>
      </w:pPr>
    </w:p>
    <w:p w:rsidR="0074314A" w:rsidRDefault="0074314A" w:rsidP="000F1894">
      <w:pPr>
        <w:jc w:val="center"/>
        <w:rPr>
          <w:sz w:val="24"/>
          <w:szCs w:val="24"/>
        </w:rPr>
      </w:pPr>
    </w:p>
    <w:p w:rsidR="008A68B7" w:rsidRDefault="008A68B7" w:rsidP="008A68B7">
      <w:pPr>
        <w:spacing w:line="360" w:lineRule="auto"/>
        <w:ind w:firstLine="1440"/>
        <w:rPr>
          <w:sz w:val="24"/>
          <w:szCs w:val="24"/>
        </w:rPr>
      </w:pPr>
      <w:r>
        <w:rPr>
          <w:sz w:val="24"/>
          <w:szCs w:val="24"/>
        </w:rPr>
        <w:t xml:space="preserve">This Initial Decision finds in favor of the Bureau of Investigation and Enforcement and upholds a civil penalty assessed for failure to secure a certificate of public convenience prior to </w:t>
      </w:r>
      <w:r w:rsidR="00EF653B">
        <w:rPr>
          <w:sz w:val="24"/>
          <w:szCs w:val="24"/>
        </w:rPr>
        <w:t xml:space="preserve">advertising and </w:t>
      </w:r>
      <w:r>
        <w:rPr>
          <w:sz w:val="24"/>
          <w:szCs w:val="24"/>
        </w:rPr>
        <w:t xml:space="preserve">operating. </w:t>
      </w:r>
    </w:p>
    <w:p w:rsidR="00CB495C" w:rsidRDefault="00CB495C" w:rsidP="00FD30E4">
      <w:pPr>
        <w:spacing w:line="360" w:lineRule="auto"/>
        <w:jc w:val="center"/>
        <w:rPr>
          <w:sz w:val="24"/>
          <w:szCs w:val="24"/>
        </w:rPr>
      </w:pPr>
    </w:p>
    <w:p w:rsidR="00CB495C" w:rsidRPr="00DC4452" w:rsidRDefault="006A21C2" w:rsidP="00FD30E4">
      <w:pPr>
        <w:spacing w:line="360" w:lineRule="auto"/>
        <w:jc w:val="center"/>
        <w:rPr>
          <w:sz w:val="24"/>
          <w:szCs w:val="24"/>
          <w:u w:val="single"/>
        </w:rPr>
      </w:pPr>
      <w:r w:rsidRPr="00DC4452">
        <w:rPr>
          <w:sz w:val="24"/>
          <w:szCs w:val="24"/>
        </w:rPr>
        <w:t xml:space="preserve"> </w:t>
      </w:r>
      <w:r w:rsidR="00CB495C" w:rsidRPr="00DC4452">
        <w:rPr>
          <w:sz w:val="24"/>
          <w:szCs w:val="24"/>
          <w:u w:val="single"/>
        </w:rPr>
        <w:t>HISTORY OF THE PROCEEDING</w:t>
      </w:r>
    </w:p>
    <w:p w:rsidR="00CB495C" w:rsidRDefault="00CB495C" w:rsidP="00B41924">
      <w:pPr>
        <w:spacing w:line="360" w:lineRule="auto"/>
        <w:rPr>
          <w:sz w:val="24"/>
          <w:szCs w:val="24"/>
        </w:rPr>
      </w:pPr>
    </w:p>
    <w:p w:rsidR="008A68B7" w:rsidRDefault="008A68B7" w:rsidP="008A68B7">
      <w:pPr>
        <w:spacing w:line="360" w:lineRule="auto"/>
        <w:ind w:firstLine="1440"/>
        <w:rPr>
          <w:sz w:val="24"/>
          <w:szCs w:val="24"/>
        </w:rPr>
      </w:pPr>
      <w:r>
        <w:rPr>
          <w:sz w:val="24"/>
          <w:szCs w:val="24"/>
        </w:rPr>
        <w:t>On April 27, 2015, the Bureau of Investigation and Enforcement (BI&amp;E) filed a Complaint against Steven A. Cintron/La Familia, Inc.</w:t>
      </w:r>
      <w:r w:rsidR="003065C0">
        <w:rPr>
          <w:sz w:val="24"/>
          <w:szCs w:val="24"/>
        </w:rPr>
        <w:t xml:space="preserve"> alleging that </w:t>
      </w:r>
      <w:r w:rsidR="00CF5420">
        <w:rPr>
          <w:sz w:val="24"/>
          <w:szCs w:val="24"/>
        </w:rPr>
        <w:t>Steven A. Cintron/La</w:t>
      </w:r>
      <w:r w:rsidR="00E83C51">
        <w:rPr>
          <w:sz w:val="24"/>
          <w:szCs w:val="24"/>
        </w:rPr>
        <w:t> </w:t>
      </w:r>
      <w:r w:rsidR="00CF5420">
        <w:rPr>
          <w:sz w:val="24"/>
          <w:szCs w:val="24"/>
        </w:rPr>
        <w:t>Familia</w:t>
      </w:r>
      <w:r w:rsidR="00C133AC">
        <w:rPr>
          <w:sz w:val="24"/>
          <w:szCs w:val="24"/>
        </w:rPr>
        <w:t>, Inc.</w:t>
      </w:r>
      <w:r w:rsidR="003065C0">
        <w:rPr>
          <w:sz w:val="24"/>
          <w:szCs w:val="24"/>
        </w:rPr>
        <w:t xml:space="preserve"> was </w:t>
      </w:r>
      <w:r w:rsidR="00CF5420">
        <w:rPr>
          <w:sz w:val="24"/>
          <w:szCs w:val="24"/>
        </w:rPr>
        <w:t xml:space="preserve">advertising and </w:t>
      </w:r>
      <w:r w:rsidR="003065C0">
        <w:rPr>
          <w:sz w:val="24"/>
          <w:szCs w:val="24"/>
        </w:rPr>
        <w:t>transport</w:t>
      </w:r>
      <w:r w:rsidR="00CF5420">
        <w:rPr>
          <w:sz w:val="24"/>
          <w:szCs w:val="24"/>
        </w:rPr>
        <w:t>ing</w:t>
      </w:r>
      <w:r w:rsidR="003065C0">
        <w:rPr>
          <w:sz w:val="24"/>
          <w:szCs w:val="24"/>
        </w:rPr>
        <w:t xml:space="preserve"> persons for compensation </w:t>
      </w:r>
      <w:r w:rsidR="00FF650B">
        <w:rPr>
          <w:sz w:val="24"/>
          <w:szCs w:val="24"/>
        </w:rPr>
        <w:t xml:space="preserve">as a common carrier </w:t>
      </w:r>
      <w:r w:rsidR="003065C0">
        <w:rPr>
          <w:sz w:val="24"/>
          <w:szCs w:val="24"/>
        </w:rPr>
        <w:t>without holding a certificate of public convenience.</w:t>
      </w:r>
    </w:p>
    <w:p w:rsidR="003065C0" w:rsidRDefault="003065C0" w:rsidP="008A68B7">
      <w:pPr>
        <w:spacing w:line="360" w:lineRule="auto"/>
        <w:ind w:firstLine="1440"/>
        <w:rPr>
          <w:sz w:val="24"/>
          <w:szCs w:val="24"/>
        </w:rPr>
      </w:pPr>
    </w:p>
    <w:p w:rsidR="003065C0" w:rsidRDefault="003065C0" w:rsidP="008A68B7">
      <w:pPr>
        <w:spacing w:line="360" w:lineRule="auto"/>
        <w:ind w:firstLine="1440"/>
        <w:rPr>
          <w:sz w:val="24"/>
          <w:szCs w:val="24"/>
        </w:rPr>
      </w:pPr>
      <w:r>
        <w:rPr>
          <w:sz w:val="24"/>
          <w:szCs w:val="24"/>
        </w:rPr>
        <w:t>On June 22, 2015, the Respondent filed an answer to the Complaint.  The answer averred that it was not using its buses.</w:t>
      </w:r>
    </w:p>
    <w:p w:rsidR="003065C0" w:rsidRDefault="003065C0" w:rsidP="008A68B7">
      <w:pPr>
        <w:spacing w:line="360" w:lineRule="auto"/>
        <w:ind w:firstLine="1440"/>
        <w:rPr>
          <w:sz w:val="24"/>
          <w:szCs w:val="24"/>
        </w:rPr>
      </w:pPr>
    </w:p>
    <w:p w:rsidR="003065C0" w:rsidRDefault="003065C0" w:rsidP="008A68B7">
      <w:pPr>
        <w:spacing w:line="360" w:lineRule="auto"/>
        <w:ind w:firstLine="1440"/>
        <w:rPr>
          <w:sz w:val="24"/>
          <w:szCs w:val="24"/>
        </w:rPr>
      </w:pPr>
      <w:r>
        <w:rPr>
          <w:sz w:val="24"/>
          <w:szCs w:val="24"/>
        </w:rPr>
        <w:t xml:space="preserve">On August 28, 2015, a </w:t>
      </w:r>
      <w:r w:rsidR="00EC2019">
        <w:rPr>
          <w:sz w:val="24"/>
          <w:szCs w:val="24"/>
        </w:rPr>
        <w:t>h</w:t>
      </w:r>
      <w:r>
        <w:rPr>
          <w:sz w:val="24"/>
          <w:szCs w:val="24"/>
        </w:rPr>
        <w:t xml:space="preserve">earing </w:t>
      </w:r>
      <w:r w:rsidR="00EC2019">
        <w:rPr>
          <w:sz w:val="24"/>
          <w:szCs w:val="24"/>
        </w:rPr>
        <w:t>n</w:t>
      </w:r>
      <w:r>
        <w:rPr>
          <w:sz w:val="24"/>
          <w:szCs w:val="24"/>
        </w:rPr>
        <w:t>otice was issued setting the initial hearing date for October 21, 2015 at 10:00 a.m., and the matter was assigned to me.</w:t>
      </w:r>
    </w:p>
    <w:p w:rsidR="003065C0" w:rsidRDefault="003065C0" w:rsidP="008A68B7">
      <w:pPr>
        <w:spacing w:line="360" w:lineRule="auto"/>
        <w:ind w:firstLine="1440"/>
        <w:rPr>
          <w:sz w:val="24"/>
          <w:szCs w:val="24"/>
        </w:rPr>
      </w:pPr>
      <w:r>
        <w:rPr>
          <w:sz w:val="24"/>
          <w:szCs w:val="24"/>
        </w:rPr>
        <w:lastRenderedPageBreak/>
        <w:t>On September 2, 2015, I issued a prehearing order setting forth various procedural rules for the hearing.</w:t>
      </w:r>
      <w:r w:rsidR="00CF5420">
        <w:rPr>
          <w:sz w:val="24"/>
          <w:szCs w:val="24"/>
        </w:rPr>
        <w:t xml:space="preserve">  The </w:t>
      </w:r>
      <w:r w:rsidR="00C133AC">
        <w:rPr>
          <w:sz w:val="24"/>
          <w:szCs w:val="24"/>
        </w:rPr>
        <w:t>h</w:t>
      </w:r>
      <w:r w:rsidR="00CF5420">
        <w:rPr>
          <w:sz w:val="24"/>
          <w:szCs w:val="24"/>
        </w:rPr>
        <w:t xml:space="preserve">earing convened as scheduled.  Steven </w:t>
      </w:r>
      <w:r w:rsidR="00C133AC">
        <w:rPr>
          <w:sz w:val="24"/>
          <w:szCs w:val="24"/>
        </w:rPr>
        <w:t xml:space="preserve">A. </w:t>
      </w:r>
      <w:r w:rsidR="00CF5420">
        <w:rPr>
          <w:sz w:val="24"/>
          <w:szCs w:val="24"/>
        </w:rPr>
        <w:t>Cintron/La Familia</w:t>
      </w:r>
      <w:r w:rsidR="00C133AC">
        <w:rPr>
          <w:sz w:val="24"/>
          <w:szCs w:val="24"/>
        </w:rPr>
        <w:t>, Inc.</w:t>
      </w:r>
      <w:r w:rsidR="00CF5420">
        <w:rPr>
          <w:sz w:val="24"/>
          <w:szCs w:val="24"/>
        </w:rPr>
        <w:t xml:space="preserve"> appeared without counsel.  BI&amp;E was represented by counsel.  The record closed on November</w:t>
      </w:r>
      <w:r w:rsidR="00C133AC">
        <w:rPr>
          <w:sz w:val="24"/>
          <w:szCs w:val="24"/>
        </w:rPr>
        <w:t> </w:t>
      </w:r>
      <w:r w:rsidR="00CF5420">
        <w:rPr>
          <w:sz w:val="24"/>
          <w:szCs w:val="24"/>
        </w:rPr>
        <w:t>12, 2015 with receipt of the transcript.  The matter is now ready for decision.</w:t>
      </w:r>
    </w:p>
    <w:p w:rsidR="003065C0" w:rsidRDefault="003065C0" w:rsidP="008A68B7">
      <w:pPr>
        <w:spacing w:line="360" w:lineRule="auto"/>
        <w:ind w:firstLine="1440"/>
        <w:rPr>
          <w:sz w:val="24"/>
          <w:szCs w:val="24"/>
        </w:rPr>
      </w:pPr>
    </w:p>
    <w:p w:rsidR="00CB495C" w:rsidRPr="00DC4452" w:rsidRDefault="00CB495C" w:rsidP="00062592">
      <w:pPr>
        <w:spacing w:line="360" w:lineRule="auto"/>
        <w:jc w:val="center"/>
        <w:rPr>
          <w:sz w:val="24"/>
          <w:szCs w:val="24"/>
          <w:u w:val="single"/>
        </w:rPr>
      </w:pPr>
      <w:r w:rsidRPr="00DC4452">
        <w:rPr>
          <w:sz w:val="24"/>
          <w:szCs w:val="24"/>
          <w:u w:val="single"/>
        </w:rPr>
        <w:t>FINDINGS OF FACT</w:t>
      </w:r>
    </w:p>
    <w:p w:rsidR="00CB495C" w:rsidRPr="003065C0" w:rsidRDefault="00CB495C" w:rsidP="00062592">
      <w:pPr>
        <w:spacing w:line="360" w:lineRule="auto"/>
        <w:jc w:val="center"/>
        <w:rPr>
          <w:sz w:val="24"/>
          <w:szCs w:val="24"/>
        </w:rPr>
      </w:pPr>
    </w:p>
    <w:p w:rsidR="00CB495C" w:rsidRDefault="003065C0" w:rsidP="00CF5420">
      <w:pPr>
        <w:pStyle w:val="ListParagraph"/>
        <w:numPr>
          <w:ilvl w:val="0"/>
          <w:numId w:val="33"/>
        </w:numPr>
        <w:spacing w:line="360" w:lineRule="auto"/>
        <w:ind w:left="0" w:firstLine="1440"/>
        <w:rPr>
          <w:sz w:val="24"/>
          <w:szCs w:val="24"/>
        </w:rPr>
      </w:pPr>
      <w:r w:rsidRPr="003065C0">
        <w:rPr>
          <w:sz w:val="24"/>
          <w:szCs w:val="24"/>
        </w:rPr>
        <w:t>The Complainant</w:t>
      </w:r>
      <w:r>
        <w:rPr>
          <w:sz w:val="24"/>
          <w:szCs w:val="24"/>
        </w:rPr>
        <w:t xml:space="preserve"> in this matter is the Commission’s Bureau of Investigation and Enforcement.</w:t>
      </w:r>
    </w:p>
    <w:p w:rsidR="00CF5420" w:rsidRDefault="00CF5420" w:rsidP="00CF5420">
      <w:pPr>
        <w:pStyle w:val="ListParagraph"/>
        <w:spacing w:line="360" w:lineRule="auto"/>
        <w:ind w:left="1440"/>
        <w:rPr>
          <w:sz w:val="24"/>
          <w:szCs w:val="24"/>
        </w:rPr>
      </w:pPr>
    </w:p>
    <w:p w:rsidR="003065C0" w:rsidRDefault="003065C0" w:rsidP="00CF5420">
      <w:pPr>
        <w:pStyle w:val="ListParagraph"/>
        <w:numPr>
          <w:ilvl w:val="0"/>
          <w:numId w:val="33"/>
        </w:numPr>
        <w:spacing w:line="360" w:lineRule="auto"/>
        <w:ind w:left="0" w:firstLine="1440"/>
        <w:rPr>
          <w:sz w:val="24"/>
          <w:szCs w:val="24"/>
        </w:rPr>
      </w:pPr>
      <w:r>
        <w:rPr>
          <w:sz w:val="24"/>
          <w:szCs w:val="24"/>
        </w:rPr>
        <w:t>The Respondent is Steven A. Cintron/La Familia, Inc.</w:t>
      </w:r>
      <w:r w:rsidR="00181604">
        <w:rPr>
          <w:sz w:val="24"/>
          <w:szCs w:val="24"/>
        </w:rPr>
        <w:t>, a corporation.  Tr. at 4.</w:t>
      </w:r>
    </w:p>
    <w:p w:rsidR="007D13F3" w:rsidRDefault="007D13F3" w:rsidP="00CF5420">
      <w:pPr>
        <w:pStyle w:val="ListParagraph"/>
        <w:spacing w:line="360" w:lineRule="auto"/>
        <w:ind w:left="1440"/>
        <w:rPr>
          <w:sz w:val="24"/>
          <w:szCs w:val="24"/>
        </w:rPr>
      </w:pPr>
      <w:r>
        <w:rPr>
          <w:sz w:val="24"/>
          <w:szCs w:val="24"/>
        </w:rPr>
        <w:t xml:space="preserve"> </w:t>
      </w:r>
    </w:p>
    <w:p w:rsidR="007D13F3" w:rsidRDefault="007D13F3" w:rsidP="00CF5420">
      <w:pPr>
        <w:pStyle w:val="ListParagraph"/>
        <w:numPr>
          <w:ilvl w:val="0"/>
          <w:numId w:val="33"/>
        </w:numPr>
        <w:spacing w:line="360" w:lineRule="auto"/>
        <w:ind w:left="0" w:firstLine="1440"/>
        <w:rPr>
          <w:sz w:val="24"/>
          <w:szCs w:val="24"/>
        </w:rPr>
      </w:pPr>
      <w:r>
        <w:rPr>
          <w:sz w:val="24"/>
          <w:szCs w:val="24"/>
        </w:rPr>
        <w:t>Steven A. Cintron/La Familia, Inc. attended the scheduled hearing unrepresented by counsel.</w:t>
      </w:r>
    </w:p>
    <w:p w:rsidR="003065C0" w:rsidRDefault="003065C0" w:rsidP="00CF5420">
      <w:pPr>
        <w:pStyle w:val="ListParagraph"/>
        <w:spacing w:line="360" w:lineRule="auto"/>
        <w:ind w:left="1440"/>
        <w:rPr>
          <w:sz w:val="24"/>
          <w:szCs w:val="24"/>
        </w:rPr>
      </w:pPr>
      <w:r>
        <w:rPr>
          <w:sz w:val="24"/>
          <w:szCs w:val="24"/>
        </w:rPr>
        <w:t xml:space="preserve"> </w:t>
      </w:r>
    </w:p>
    <w:p w:rsidR="00101497" w:rsidRDefault="00101497" w:rsidP="00CF5420">
      <w:pPr>
        <w:pStyle w:val="ListParagraph"/>
        <w:numPr>
          <w:ilvl w:val="0"/>
          <w:numId w:val="33"/>
        </w:numPr>
        <w:spacing w:line="360" w:lineRule="auto"/>
        <w:ind w:left="0" w:firstLine="1440"/>
        <w:rPr>
          <w:sz w:val="24"/>
          <w:szCs w:val="24"/>
        </w:rPr>
      </w:pPr>
      <w:r>
        <w:rPr>
          <w:sz w:val="24"/>
          <w:szCs w:val="24"/>
        </w:rPr>
        <w:t>Steven A. Cintron/La Familia, Inc. does not hold a Commission</w:t>
      </w:r>
      <w:r w:rsidR="00F7240E">
        <w:rPr>
          <w:sz w:val="24"/>
          <w:szCs w:val="24"/>
        </w:rPr>
        <w:t>-</w:t>
      </w:r>
      <w:r>
        <w:rPr>
          <w:sz w:val="24"/>
          <w:szCs w:val="24"/>
        </w:rPr>
        <w:t>issued certificate of public convenience.  BI&amp;E Exh. 1.</w:t>
      </w:r>
    </w:p>
    <w:p w:rsidR="00101497" w:rsidRPr="00101497" w:rsidRDefault="00101497" w:rsidP="00CF5420">
      <w:pPr>
        <w:pStyle w:val="ListParagraph"/>
        <w:spacing w:line="360" w:lineRule="auto"/>
        <w:rPr>
          <w:sz w:val="24"/>
          <w:szCs w:val="24"/>
        </w:rPr>
      </w:pPr>
    </w:p>
    <w:p w:rsidR="00101497" w:rsidRDefault="00101497" w:rsidP="00CF5420">
      <w:pPr>
        <w:pStyle w:val="ListParagraph"/>
        <w:numPr>
          <w:ilvl w:val="0"/>
          <w:numId w:val="33"/>
        </w:numPr>
        <w:spacing w:line="360" w:lineRule="auto"/>
        <w:ind w:left="0" w:firstLine="1440"/>
        <w:rPr>
          <w:sz w:val="24"/>
          <w:szCs w:val="24"/>
        </w:rPr>
      </w:pPr>
      <w:r>
        <w:rPr>
          <w:sz w:val="24"/>
          <w:szCs w:val="24"/>
        </w:rPr>
        <w:t>Steven A. Cintron/La Familia, Inc. advertises on Craigslist to offer transportation throughout the Wilkes-Barre area.  BI&amp;E Exh. 2.</w:t>
      </w:r>
    </w:p>
    <w:p w:rsidR="00101497" w:rsidRPr="00101497" w:rsidRDefault="00101497" w:rsidP="00CF5420">
      <w:pPr>
        <w:pStyle w:val="ListParagraph"/>
        <w:spacing w:line="360" w:lineRule="auto"/>
        <w:rPr>
          <w:sz w:val="24"/>
          <w:szCs w:val="24"/>
        </w:rPr>
      </w:pPr>
    </w:p>
    <w:p w:rsidR="00101497" w:rsidRDefault="00101497" w:rsidP="00CF5420">
      <w:pPr>
        <w:pStyle w:val="ListParagraph"/>
        <w:numPr>
          <w:ilvl w:val="0"/>
          <w:numId w:val="33"/>
        </w:numPr>
        <w:spacing w:line="360" w:lineRule="auto"/>
        <w:ind w:left="0" w:firstLine="1440"/>
        <w:rPr>
          <w:sz w:val="24"/>
          <w:szCs w:val="24"/>
        </w:rPr>
      </w:pPr>
      <w:r>
        <w:rPr>
          <w:sz w:val="24"/>
          <w:szCs w:val="24"/>
        </w:rPr>
        <w:t>Officer Thomas Kepping met with Steven A. Cintron/La Familia, Inc. and explained that transporting passengers for compensation requires a certificate of public convenience.  BI&amp;E Exh. 3.</w:t>
      </w:r>
    </w:p>
    <w:p w:rsidR="00101497" w:rsidRPr="00101497" w:rsidRDefault="00101497" w:rsidP="00CF5420">
      <w:pPr>
        <w:pStyle w:val="ListParagraph"/>
        <w:spacing w:line="360" w:lineRule="auto"/>
        <w:rPr>
          <w:sz w:val="24"/>
          <w:szCs w:val="24"/>
        </w:rPr>
      </w:pPr>
    </w:p>
    <w:p w:rsidR="00101497" w:rsidRDefault="00101497" w:rsidP="00CF5420">
      <w:pPr>
        <w:pStyle w:val="ListParagraph"/>
        <w:numPr>
          <w:ilvl w:val="0"/>
          <w:numId w:val="33"/>
        </w:numPr>
        <w:spacing w:line="360" w:lineRule="auto"/>
        <w:ind w:left="0" w:firstLine="1440"/>
        <w:rPr>
          <w:sz w:val="24"/>
          <w:szCs w:val="24"/>
        </w:rPr>
      </w:pPr>
      <w:r>
        <w:rPr>
          <w:sz w:val="24"/>
          <w:szCs w:val="24"/>
        </w:rPr>
        <w:t>Steven A. Cintron/La Famil</w:t>
      </w:r>
      <w:r w:rsidR="00034D35">
        <w:rPr>
          <w:sz w:val="24"/>
          <w:szCs w:val="24"/>
        </w:rPr>
        <w:t>i</w:t>
      </w:r>
      <w:r>
        <w:rPr>
          <w:sz w:val="24"/>
          <w:szCs w:val="24"/>
        </w:rPr>
        <w:t>a, Inc. applied for a certificate of public convenience, was notified of the need for insurance forms and a copy of the incorporation papers, and never completed the application process.  BI&amp;E Exhs. 4a and 4b.</w:t>
      </w:r>
    </w:p>
    <w:p w:rsidR="00101497" w:rsidRPr="00101497" w:rsidRDefault="00101497" w:rsidP="00CF5420">
      <w:pPr>
        <w:pStyle w:val="ListParagraph"/>
        <w:spacing w:line="360" w:lineRule="auto"/>
        <w:rPr>
          <w:sz w:val="24"/>
          <w:szCs w:val="24"/>
        </w:rPr>
      </w:pPr>
    </w:p>
    <w:p w:rsidR="00101497" w:rsidRDefault="00101497" w:rsidP="00CF5420">
      <w:pPr>
        <w:pStyle w:val="ListParagraph"/>
        <w:numPr>
          <w:ilvl w:val="0"/>
          <w:numId w:val="33"/>
        </w:numPr>
        <w:spacing w:line="360" w:lineRule="auto"/>
        <w:ind w:left="0" w:firstLine="1440"/>
        <w:rPr>
          <w:sz w:val="24"/>
          <w:szCs w:val="24"/>
        </w:rPr>
      </w:pPr>
      <w:r>
        <w:rPr>
          <w:sz w:val="24"/>
          <w:szCs w:val="24"/>
        </w:rPr>
        <w:t xml:space="preserve">Steven A. Cintron/La Familia, Inc. has </w:t>
      </w:r>
      <w:r w:rsidR="005E171B">
        <w:rPr>
          <w:sz w:val="24"/>
          <w:szCs w:val="24"/>
        </w:rPr>
        <w:t>two</w:t>
      </w:r>
      <w:r>
        <w:rPr>
          <w:sz w:val="24"/>
          <w:szCs w:val="24"/>
        </w:rPr>
        <w:t xml:space="preserve"> prior complaint</w:t>
      </w:r>
      <w:r w:rsidR="005E171B">
        <w:rPr>
          <w:sz w:val="24"/>
          <w:szCs w:val="24"/>
        </w:rPr>
        <w:t>s</w:t>
      </w:r>
      <w:r>
        <w:rPr>
          <w:sz w:val="24"/>
          <w:szCs w:val="24"/>
        </w:rPr>
        <w:t xml:space="preserve"> for the same infraction, </w:t>
      </w:r>
      <w:r w:rsidR="00EB5CA7">
        <w:rPr>
          <w:sz w:val="24"/>
          <w:szCs w:val="24"/>
        </w:rPr>
        <w:t xml:space="preserve">i.e., </w:t>
      </w:r>
      <w:r>
        <w:rPr>
          <w:sz w:val="24"/>
          <w:szCs w:val="24"/>
        </w:rPr>
        <w:t xml:space="preserve">operating without a certificate of public convenience.  </w:t>
      </w:r>
      <w:r w:rsidR="005E171B">
        <w:rPr>
          <w:sz w:val="24"/>
          <w:szCs w:val="24"/>
        </w:rPr>
        <w:t xml:space="preserve">In both instances, a civil penalty was assessed.  It is not clear in the record if the civil penalties were ever paid.  </w:t>
      </w:r>
      <w:r>
        <w:rPr>
          <w:sz w:val="24"/>
          <w:szCs w:val="24"/>
        </w:rPr>
        <w:t>BI&amp;E Exh</w:t>
      </w:r>
      <w:r w:rsidR="00C133AC">
        <w:rPr>
          <w:sz w:val="24"/>
          <w:szCs w:val="24"/>
        </w:rPr>
        <w:t>s</w:t>
      </w:r>
      <w:r>
        <w:rPr>
          <w:sz w:val="24"/>
          <w:szCs w:val="24"/>
        </w:rPr>
        <w:t>. 5a</w:t>
      </w:r>
      <w:r w:rsidR="00C133AC">
        <w:rPr>
          <w:sz w:val="24"/>
          <w:szCs w:val="24"/>
        </w:rPr>
        <w:t xml:space="preserve"> and</w:t>
      </w:r>
      <w:r w:rsidR="00EB5CA7">
        <w:rPr>
          <w:sz w:val="24"/>
          <w:szCs w:val="24"/>
        </w:rPr>
        <w:t xml:space="preserve"> 6</w:t>
      </w:r>
      <w:r>
        <w:rPr>
          <w:sz w:val="24"/>
          <w:szCs w:val="24"/>
        </w:rPr>
        <w:t>.</w:t>
      </w:r>
    </w:p>
    <w:p w:rsidR="005E43B5" w:rsidRDefault="005E43B5" w:rsidP="005E43B5">
      <w:pPr>
        <w:pStyle w:val="ListParagraph"/>
        <w:spacing w:line="360" w:lineRule="auto"/>
        <w:ind w:left="1440"/>
        <w:rPr>
          <w:sz w:val="24"/>
          <w:szCs w:val="24"/>
        </w:rPr>
      </w:pPr>
    </w:p>
    <w:p w:rsidR="00CB495C" w:rsidRPr="00DC4452" w:rsidRDefault="00CB495C" w:rsidP="000F7327">
      <w:pPr>
        <w:spacing w:line="360" w:lineRule="auto"/>
        <w:jc w:val="center"/>
        <w:rPr>
          <w:sz w:val="24"/>
          <w:szCs w:val="24"/>
          <w:u w:val="single"/>
        </w:rPr>
      </w:pPr>
      <w:r w:rsidRPr="00DC4452">
        <w:rPr>
          <w:sz w:val="24"/>
          <w:szCs w:val="24"/>
          <w:u w:val="single"/>
        </w:rPr>
        <w:t>DISCUSSION</w:t>
      </w:r>
    </w:p>
    <w:p w:rsidR="00CB495C" w:rsidRPr="00DC4452" w:rsidRDefault="00CB495C" w:rsidP="000F7327">
      <w:pPr>
        <w:spacing w:line="360" w:lineRule="auto"/>
        <w:jc w:val="center"/>
        <w:rPr>
          <w:sz w:val="24"/>
          <w:szCs w:val="24"/>
          <w:u w:val="single"/>
        </w:rPr>
      </w:pPr>
    </w:p>
    <w:p w:rsidR="00EB5CA7" w:rsidRDefault="00EB5CA7" w:rsidP="00EB5CA7">
      <w:pPr>
        <w:tabs>
          <w:tab w:val="left" w:pos="-1440"/>
          <w:tab w:val="left" w:pos="-720"/>
        </w:tabs>
        <w:suppressAutoHyphens/>
        <w:spacing w:line="360" w:lineRule="auto"/>
        <w:ind w:firstLine="1440"/>
        <w:rPr>
          <w:spacing w:val="-3"/>
          <w:sz w:val="24"/>
          <w:szCs w:val="24"/>
        </w:rPr>
      </w:pPr>
      <w:r w:rsidRPr="00A941C5">
        <w:rPr>
          <w:sz w:val="24"/>
          <w:szCs w:val="24"/>
        </w:rPr>
        <w:t xml:space="preserve">As the party seeking affirmative relief from the Commission, </w:t>
      </w:r>
      <w:r>
        <w:rPr>
          <w:sz w:val="24"/>
          <w:szCs w:val="24"/>
        </w:rPr>
        <w:t xml:space="preserve">the Complainant </w:t>
      </w:r>
      <w:r w:rsidRPr="00A941C5">
        <w:rPr>
          <w:sz w:val="24"/>
          <w:szCs w:val="24"/>
        </w:rPr>
        <w:t>bear</w:t>
      </w:r>
      <w:r>
        <w:rPr>
          <w:sz w:val="24"/>
          <w:szCs w:val="24"/>
        </w:rPr>
        <w:t>s</w:t>
      </w:r>
      <w:r w:rsidRPr="00A941C5">
        <w:rPr>
          <w:sz w:val="24"/>
          <w:szCs w:val="24"/>
        </w:rPr>
        <w:t xml:space="preserve"> the burden of proof.  66 Pa.C.S. §</w:t>
      </w:r>
      <w:r>
        <w:rPr>
          <w:sz w:val="24"/>
          <w:szCs w:val="24"/>
        </w:rPr>
        <w:t xml:space="preserve"> </w:t>
      </w:r>
      <w:r w:rsidRPr="00A941C5">
        <w:rPr>
          <w:sz w:val="24"/>
          <w:szCs w:val="24"/>
        </w:rPr>
        <w:t>332(a).</w:t>
      </w:r>
      <w:r>
        <w:rPr>
          <w:sz w:val="24"/>
          <w:szCs w:val="24"/>
        </w:rPr>
        <w:t xml:space="preserve">  </w:t>
      </w:r>
      <w:r w:rsidRPr="00614336">
        <w:rPr>
          <w:spacing w:val="-3"/>
          <w:sz w:val="24"/>
          <w:szCs w:val="24"/>
        </w:rPr>
        <w:t>To establish a sufficient case and satisfy the burden of proof,</w:t>
      </w:r>
      <w:r>
        <w:rPr>
          <w:spacing w:val="-3"/>
          <w:sz w:val="24"/>
          <w:szCs w:val="24"/>
        </w:rPr>
        <w:t xml:space="preserve"> the</w:t>
      </w:r>
      <w:r w:rsidRPr="00614336">
        <w:rPr>
          <w:spacing w:val="-3"/>
          <w:sz w:val="24"/>
          <w:szCs w:val="24"/>
        </w:rPr>
        <w:t xml:space="preserve"> </w:t>
      </w:r>
      <w:r>
        <w:rPr>
          <w:spacing w:val="-3"/>
          <w:sz w:val="24"/>
          <w:szCs w:val="24"/>
        </w:rPr>
        <w:t>Complainant</w:t>
      </w:r>
      <w:r w:rsidRPr="00614336">
        <w:rPr>
          <w:spacing w:val="-3"/>
          <w:sz w:val="24"/>
          <w:szCs w:val="24"/>
        </w:rPr>
        <w:t xml:space="preserve"> must show that the </w:t>
      </w:r>
      <w:r>
        <w:rPr>
          <w:spacing w:val="-3"/>
          <w:sz w:val="24"/>
          <w:szCs w:val="24"/>
        </w:rPr>
        <w:t>Respondent</w:t>
      </w:r>
      <w:r w:rsidRPr="00614336">
        <w:rPr>
          <w:spacing w:val="-3"/>
          <w:sz w:val="24"/>
          <w:szCs w:val="24"/>
        </w:rPr>
        <w:t xml:space="preserve"> public utility is responsible or accountable for the problem described in the Complaint.  </w:t>
      </w:r>
      <w:r w:rsidRPr="0073245F">
        <w:rPr>
          <w:i/>
          <w:spacing w:val="-3"/>
          <w:sz w:val="24"/>
          <w:szCs w:val="24"/>
        </w:rPr>
        <w:t>Patterson v. Bell Telephone Company of Pennsylvania</w:t>
      </w:r>
      <w:r w:rsidRPr="00614336">
        <w:rPr>
          <w:spacing w:val="-3"/>
          <w:sz w:val="24"/>
          <w:szCs w:val="24"/>
        </w:rPr>
        <w:t>, 72 P</w:t>
      </w:r>
      <w:r>
        <w:rPr>
          <w:spacing w:val="-3"/>
          <w:sz w:val="24"/>
          <w:szCs w:val="24"/>
        </w:rPr>
        <w:t>a.</w:t>
      </w:r>
      <w:r w:rsidRPr="00614336">
        <w:rPr>
          <w:spacing w:val="-3"/>
          <w:sz w:val="24"/>
          <w:szCs w:val="24"/>
        </w:rPr>
        <w:t xml:space="preserve"> PUC 196</w:t>
      </w:r>
      <w:r>
        <w:rPr>
          <w:spacing w:val="-3"/>
          <w:sz w:val="24"/>
          <w:szCs w:val="24"/>
        </w:rPr>
        <w:t xml:space="preserve"> (</w:t>
      </w:r>
      <w:r w:rsidRPr="00614336">
        <w:rPr>
          <w:spacing w:val="-3"/>
          <w:sz w:val="24"/>
          <w:szCs w:val="24"/>
        </w:rPr>
        <w:t xml:space="preserve">1990), </w:t>
      </w:r>
      <w:r w:rsidRPr="0073245F">
        <w:rPr>
          <w:i/>
          <w:spacing w:val="-3"/>
          <w:sz w:val="24"/>
          <w:szCs w:val="24"/>
        </w:rPr>
        <w:t>Feinstein v. Philadelphia Suburban Water Company</w:t>
      </w:r>
      <w:r w:rsidRPr="00614336">
        <w:rPr>
          <w:spacing w:val="-3"/>
          <w:sz w:val="24"/>
          <w:szCs w:val="24"/>
        </w:rPr>
        <w:t>, 50 P</w:t>
      </w:r>
      <w:r>
        <w:rPr>
          <w:spacing w:val="-3"/>
          <w:sz w:val="24"/>
          <w:szCs w:val="24"/>
        </w:rPr>
        <w:t>a.</w:t>
      </w:r>
      <w:r w:rsidRPr="00614336">
        <w:rPr>
          <w:spacing w:val="-3"/>
          <w:sz w:val="24"/>
          <w:szCs w:val="24"/>
        </w:rPr>
        <w:t xml:space="preserve"> PUC 300</w:t>
      </w:r>
      <w:r>
        <w:rPr>
          <w:spacing w:val="-3"/>
          <w:sz w:val="24"/>
          <w:szCs w:val="24"/>
        </w:rPr>
        <w:t xml:space="preserve"> </w:t>
      </w:r>
      <w:r w:rsidRPr="00614336">
        <w:rPr>
          <w:spacing w:val="-3"/>
          <w:sz w:val="24"/>
          <w:szCs w:val="24"/>
        </w:rPr>
        <w:t xml:space="preserve">(1976).  Such a showing must be by a preponderance of the evidence.  </w:t>
      </w:r>
      <w:r w:rsidRPr="0073245F">
        <w:rPr>
          <w:i/>
          <w:spacing w:val="-3"/>
          <w:sz w:val="24"/>
          <w:szCs w:val="24"/>
        </w:rPr>
        <w:t>Samuel J. Lansberry, Inc. v. Pa. P</w:t>
      </w:r>
      <w:r w:rsidR="00062592">
        <w:rPr>
          <w:i/>
          <w:spacing w:val="-3"/>
          <w:sz w:val="24"/>
          <w:szCs w:val="24"/>
        </w:rPr>
        <w:t>ub. Util. Comm’n</w:t>
      </w:r>
      <w:r w:rsidRPr="00614336">
        <w:rPr>
          <w:spacing w:val="-3"/>
          <w:sz w:val="24"/>
          <w:szCs w:val="24"/>
        </w:rPr>
        <w:t>, 134 Pa.C</w:t>
      </w:r>
      <w:r w:rsidR="00062592">
        <w:rPr>
          <w:spacing w:val="-3"/>
          <w:sz w:val="24"/>
          <w:szCs w:val="24"/>
        </w:rPr>
        <w:t>mwlth</w:t>
      </w:r>
      <w:r w:rsidRPr="00614336">
        <w:rPr>
          <w:spacing w:val="-3"/>
          <w:sz w:val="24"/>
          <w:szCs w:val="24"/>
        </w:rPr>
        <w:t>. 218; 221-222, 578 A.2d 600; 602</w:t>
      </w:r>
      <w:r>
        <w:rPr>
          <w:spacing w:val="-3"/>
          <w:sz w:val="24"/>
          <w:szCs w:val="24"/>
        </w:rPr>
        <w:t xml:space="preserve"> </w:t>
      </w:r>
      <w:r w:rsidRPr="00614336">
        <w:rPr>
          <w:spacing w:val="-3"/>
          <w:sz w:val="24"/>
          <w:szCs w:val="24"/>
        </w:rPr>
        <w:t xml:space="preserve">(1990), </w:t>
      </w:r>
      <w:r w:rsidRPr="00614336">
        <w:rPr>
          <w:i/>
          <w:spacing w:val="-3"/>
          <w:sz w:val="24"/>
          <w:szCs w:val="24"/>
        </w:rPr>
        <w:t>alloc. den</w:t>
      </w:r>
      <w:r w:rsidRPr="00614336">
        <w:rPr>
          <w:spacing w:val="-3"/>
          <w:sz w:val="24"/>
          <w:szCs w:val="24"/>
        </w:rPr>
        <w:t>., 602 A.2d 863</w:t>
      </w:r>
      <w:r>
        <w:rPr>
          <w:spacing w:val="-3"/>
          <w:sz w:val="24"/>
          <w:szCs w:val="24"/>
        </w:rPr>
        <w:t xml:space="preserve"> </w:t>
      </w:r>
      <w:r w:rsidRPr="00614336">
        <w:rPr>
          <w:spacing w:val="-3"/>
          <w:sz w:val="24"/>
          <w:szCs w:val="24"/>
        </w:rPr>
        <w:t xml:space="preserve">(1992).  That is, </w:t>
      </w:r>
      <w:r>
        <w:rPr>
          <w:spacing w:val="-3"/>
          <w:sz w:val="24"/>
          <w:szCs w:val="24"/>
        </w:rPr>
        <w:t>a party must p</w:t>
      </w:r>
      <w:r w:rsidRPr="00614336">
        <w:rPr>
          <w:spacing w:val="-3"/>
          <w:sz w:val="24"/>
          <w:szCs w:val="24"/>
        </w:rPr>
        <w:t xml:space="preserve">resent evidence more convincing, by even the smallest amount, than that presented by the other party.  </w:t>
      </w:r>
      <w:r w:rsidRPr="0073245F">
        <w:rPr>
          <w:i/>
          <w:spacing w:val="-3"/>
          <w:sz w:val="24"/>
          <w:szCs w:val="24"/>
        </w:rPr>
        <w:t>Se-Ling Hosiery v. Margulies</w:t>
      </w:r>
      <w:r w:rsidRPr="00614336">
        <w:rPr>
          <w:spacing w:val="-3"/>
          <w:sz w:val="24"/>
          <w:szCs w:val="24"/>
        </w:rPr>
        <w:t>, 364 Pa. 45, 70 A.2d 854</w:t>
      </w:r>
      <w:r>
        <w:rPr>
          <w:spacing w:val="-3"/>
          <w:sz w:val="24"/>
          <w:szCs w:val="24"/>
        </w:rPr>
        <w:t xml:space="preserve"> </w:t>
      </w:r>
      <w:r w:rsidRPr="00614336">
        <w:rPr>
          <w:spacing w:val="-3"/>
          <w:sz w:val="24"/>
          <w:szCs w:val="24"/>
        </w:rPr>
        <w:t xml:space="preserve">(1950).  Additionally, any finding of fact necessary to support the Commission’s adjudication must be based upon substantial evidence.  </w:t>
      </w:r>
      <w:r w:rsidRPr="00CF5420">
        <w:rPr>
          <w:i/>
          <w:spacing w:val="-3"/>
          <w:sz w:val="24"/>
          <w:szCs w:val="24"/>
        </w:rPr>
        <w:t>Mill v. Pa. P</w:t>
      </w:r>
      <w:r w:rsidR="00062592">
        <w:rPr>
          <w:i/>
          <w:spacing w:val="-3"/>
          <w:sz w:val="24"/>
          <w:szCs w:val="24"/>
        </w:rPr>
        <w:t>ub. Util. Comm’n</w:t>
      </w:r>
      <w:r w:rsidRPr="009D011B">
        <w:rPr>
          <w:spacing w:val="-3"/>
          <w:sz w:val="24"/>
          <w:szCs w:val="24"/>
        </w:rPr>
        <w:t>,</w:t>
      </w:r>
      <w:r w:rsidR="00062592">
        <w:rPr>
          <w:spacing w:val="-3"/>
          <w:sz w:val="24"/>
          <w:szCs w:val="24"/>
        </w:rPr>
        <w:t xml:space="preserve"> </w:t>
      </w:r>
      <w:r w:rsidRPr="00614336">
        <w:rPr>
          <w:spacing w:val="-3"/>
          <w:sz w:val="24"/>
          <w:szCs w:val="24"/>
        </w:rPr>
        <w:t>67 Pa.C</w:t>
      </w:r>
      <w:r w:rsidR="00062592">
        <w:rPr>
          <w:spacing w:val="-3"/>
          <w:sz w:val="24"/>
          <w:szCs w:val="24"/>
        </w:rPr>
        <w:t>mwlth</w:t>
      </w:r>
      <w:r w:rsidRPr="00614336">
        <w:rPr>
          <w:spacing w:val="-3"/>
          <w:sz w:val="24"/>
          <w:szCs w:val="24"/>
        </w:rPr>
        <w:t>. 597, 447 A.2d 1100</w:t>
      </w:r>
      <w:r>
        <w:rPr>
          <w:spacing w:val="-3"/>
          <w:sz w:val="24"/>
          <w:szCs w:val="24"/>
        </w:rPr>
        <w:t xml:space="preserve"> </w:t>
      </w:r>
      <w:r w:rsidRPr="00614336">
        <w:rPr>
          <w:spacing w:val="-3"/>
          <w:sz w:val="24"/>
          <w:szCs w:val="24"/>
        </w:rPr>
        <w:t xml:space="preserve">(1982), </w:t>
      </w:r>
      <w:r w:rsidRPr="0073245F">
        <w:rPr>
          <w:i/>
          <w:spacing w:val="-3"/>
          <w:sz w:val="24"/>
          <w:szCs w:val="24"/>
        </w:rPr>
        <w:t>Edan Transportation Corp. v. Pa. P</w:t>
      </w:r>
      <w:r w:rsidR="00062592">
        <w:rPr>
          <w:i/>
          <w:spacing w:val="-3"/>
          <w:sz w:val="24"/>
          <w:szCs w:val="24"/>
        </w:rPr>
        <w:t>ub. Util. Comm’n</w:t>
      </w:r>
      <w:r w:rsidRPr="00614336">
        <w:rPr>
          <w:spacing w:val="-3"/>
          <w:sz w:val="24"/>
          <w:szCs w:val="24"/>
        </w:rPr>
        <w:t>, 154 Pa.C</w:t>
      </w:r>
      <w:r w:rsidR="00062592">
        <w:rPr>
          <w:spacing w:val="-3"/>
          <w:sz w:val="24"/>
          <w:szCs w:val="24"/>
        </w:rPr>
        <w:t>mwlth</w:t>
      </w:r>
      <w:r w:rsidRPr="00614336">
        <w:rPr>
          <w:spacing w:val="-3"/>
          <w:sz w:val="24"/>
          <w:szCs w:val="24"/>
        </w:rPr>
        <w:t>. 21, 623 A.2d 6</w:t>
      </w:r>
      <w:r>
        <w:rPr>
          <w:spacing w:val="-3"/>
          <w:sz w:val="24"/>
          <w:szCs w:val="24"/>
        </w:rPr>
        <w:t xml:space="preserve"> </w:t>
      </w:r>
      <w:r w:rsidRPr="00614336">
        <w:rPr>
          <w:spacing w:val="-3"/>
          <w:sz w:val="24"/>
          <w:szCs w:val="24"/>
        </w:rPr>
        <w:t>(1993), 2 Pa.C.S. §</w:t>
      </w:r>
      <w:r w:rsidR="00062592">
        <w:rPr>
          <w:spacing w:val="-3"/>
          <w:sz w:val="24"/>
          <w:szCs w:val="24"/>
        </w:rPr>
        <w:t xml:space="preserve"> </w:t>
      </w:r>
      <w:r w:rsidRPr="00614336">
        <w:rPr>
          <w:spacing w:val="-3"/>
          <w:sz w:val="24"/>
          <w:szCs w:val="24"/>
        </w:rPr>
        <w:t>704.  More is required than a mere trace of evidence or a suspicion of the existence of a fact sought to be establi</w:t>
      </w:r>
      <w:r>
        <w:rPr>
          <w:spacing w:val="-3"/>
          <w:sz w:val="24"/>
          <w:szCs w:val="24"/>
        </w:rPr>
        <w:t>sh</w:t>
      </w:r>
      <w:r w:rsidRPr="00614336">
        <w:rPr>
          <w:spacing w:val="-3"/>
          <w:sz w:val="24"/>
          <w:szCs w:val="24"/>
        </w:rPr>
        <w:t>ed</w:t>
      </w:r>
      <w:r w:rsidRPr="00EC2019">
        <w:rPr>
          <w:i/>
          <w:spacing w:val="-3"/>
          <w:sz w:val="24"/>
          <w:szCs w:val="24"/>
        </w:rPr>
        <w:t>.  Norfolk and Western Ry. v. Pa.</w:t>
      </w:r>
      <w:r w:rsidR="00062592" w:rsidRPr="00EC2019">
        <w:rPr>
          <w:i/>
          <w:spacing w:val="-3"/>
          <w:sz w:val="24"/>
          <w:szCs w:val="24"/>
        </w:rPr>
        <w:t xml:space="preserve"> </w:t>
      </w:r>
      <w:r w:rsidRPr="00EC2019">
        <w:rPr>
          <w:i/>
          <w:spacing w:val="-3"/>
          <w:sz w:val="24"/>
          <w:szCs w:val="24"/>
        </w:rPr>
        <w:t>P</w:t>
      </w:r>
      <w:r w:rsidR="00062592" w:rsidRPr="00EC2019">
        <w:rPr>
          <w:i/>
          <w:spacing w:val="-3"/>
          <w:sz w:val="24"/>
          <w:szCs w:val="24"/>
        </w:rPr>
        <w:t>ub.Util. Comm’n</w:t>
      </w:r>
      <w:r w:rsidRPr="00614336">
        <w:rPr>
          <w:spacing w:val="-3"/>
          <w:sz w:val="24"/>
          <w:szCs w:val="24"/>
        </w:rPr>
        <w:t>, 489 Pa. 109, 413 A.2d 1037</w:t>
      </w:r>
      <w:r>
        <w:rPr>
          <w:spacing w:val="-3"/>
          <w:sz w:val="24"/>
          <w:szCs w:val="24"/>
        </w:rPr>
        <w:t xml:space="preserve"> </w:t>
      </w:r>
      <w:r w:rsidRPr="00614336">
        <w:rPr>
          <w:spacing w:val="-3"/>
          <w:sz w:val="24"/>
          <w:szCs w:val="24"/>
        </w:rPr>
        <w:t xml:space="preserve">(1980); </w:t>
      </w:r>
      <w:r w:rsidRPr="0073245F">
        <w:rPr>
          <w:i/>
          <w:spacing w:val="-3"/>
          <w:sz w:val="24"/>
          <w:szCs w:val="24"/>
        </w:rPr>
        <w:t>Erie Resistor Corp. v. Unemployment Compensation Bd. of Review</w:t>
      </w:r>
      <w:r w:rsidRPr="00614336">
        <w:rPr>
          <w:spacing w:val="-3"/>
          <w:sz w:val="24"/>
          <w:szCs w:val="24"/>
        </w:rPr>
        <w:t>, 194 Pa.Super. 278, 166 A.2d 96</w:t>
      </w:r>
      <w:r>
        <w:rPr>
          <w:spacing w:val="-3"/>
          <w:sz w:val="24"/>
          <w:szCs w:val="24"/>
        </w:rPr>
        <w:t xml:space="preserve"> </w:t>
      </w:r>
      <w:r w:rsidRPr="00614336">
        <w:rPr>
          <w:spacing w:val="-3"/>
          <w:sz w:val="24"/>
          <w:szCs w:val="24"/>
        </w:rPr>
        <w:t xml:space="preserve">(1960); </w:t>
      </w:r>
      <w:r w:rsidRPr="0073245F">
        <w:rPr>
          <w:i/>
          <w:spacing w:val="-3"/>
          <w:sz w:val="24"/>
          <w:szCs w:val="24"/>
        </w:rPr>
        <w:t>Murphy v. Dep’t of Public Welfare, White Haven Center</w:t>
      </w:r>
      <w:r w:rsidRPr="00614336">
        <w:rPr>
          <w:spacing w:val="-3"/>
          <w:sz w:val="24"/>
          <w:szCs w:val="24"/>
        </w:rPr>
        <w:t>, 85 Pa.C</w:t>
      </w:r>
      <w:r w:rsidR="00062592">
        <w:rPr>
          <w:spacing w:val="-3"/>
          <w:sz w:val="24"/>
          <w:szCs w:val="24"/>
        </w:rPr>
        <w:t>mwlth</w:t>
      </w:r>
      <w:r w:rsidRPr="00614336">
        <w:rPr>
          <w:spacing w:val="-3"/>
          <w:sz w:val="24"/>
          <w:szCs w:val="24"/>
        </w:rPr>
        <w:t>. 23, 480 A.2d 382</w:t>
      </w:r>
      <w:r>
        <w:rPr>
          <w:spacing w:val="-3"/>
          <w:sz w:val="24"/>
          <w:szCs w:val="24"/>
        </w:rPr>
        <w:t xml:space="preserve"> </w:t>
      </w:r>
      <w:r w:rsidRPr="00614336">
        <w:rPr>
          <w:spacing w:val="-3"/>
          <w:sz w:val="24"/>
          <w:szCs w:val="24"/>
        </w:rPr>
        <w:t>(1984).</w:t>
      </w:r>
    </w:p>
    <w:p w:rsidR="00062592" w:rsidRDefault="00062592" w:rsidP="00EB5CA7">
      <w:pPr>
        <w:tabs>
          <w:tab w:val="left" w:pos="-1440"/>
          <w:tab w:val="left" w:pos="-720"/>
        </w:tabs>
        <w:suppressAutoHyphens/>
        <w:spacing w:line="360" w:lineRule="auto"/>
        <w:ind w:firstLine="1440"/>
        <w:rPr>
          <w:spacing w:val="-3"/>
          <w:sz w:val="24"/>
          <w:szCs w:val="24"/>
        </w:rPr>
      </w:pPr>
    </w:p>
    <w:p w:rsidR="0026727E" w:rsidRDefault="0026727E" w:rsidP="00EB5CA7">
      <w:pPr>
        <w:tabs>
          <w:tab w:val="left" w:pos="-1440"/>
          <w:tab w:val="left" w:pos="-720"/>
        </w:tabs>
        <w:suppressAutoHyphens/>
        <w:spacing w:line="360" w:lineRule="auto"/>
        <w:ind w:firstLine="1440"/>
        <w:rPr>
          <w:spacing w:val="-3"/>
          <w:sz w:val="24"/>
          <w:szCs w:val="24"/>
        </w:rPr>
      </w:pPr>
      <w:r>
        <w:rPr>
          <w:spacing w:val="-3"/>
          <w:sz w:val="24"/>
          <w:szCs w:val="24"/>
        </w:rPr>
        <w:t xml:space="preserve">In this proceeding, the Respondent failed to attend the scheduled hearing with counsel despite being put on notice twice of the need for </w:t>
      </w:r>
      <w:r w:rsidR="007D13F3">
        <w:rPr>
          <w:spacing w:val="-3"/>
          <w:sz w:val="24"/>
          <w:szCs w:val="24"/>
        </w:rPr>
        <w:t xml:space="preserve">a </w:t>
      </w:r>
      <w:r>
        <w:rPr>
          <w:spacing w:val="-3"/>
          <w:sz w:val="24"/>
          <w:szCs w:val="24"/>
        </w:rPr>
        <w:t>corporation to be represented by counsel.  The Respondent was notified of the need for counsel on the second page of the hearing notice dated August 28</w:t>
      </w:r>
      <w:r w:rsidR="00EC2019">
        <w:rPr>
          <w:spacing w:val="-3"/>
          <w:sz w:val="24"/>
          <w:szCs w:val="24"/>
        </w:rPr>
        <w:t>, 2015</w:t>
      </w:r>
      <w:r>
        <w:rPr>
          <w:spacing w:val="-3"/>
          <w:sz w:val="24"/>
          <w:szCs w:val="24"/>
        </w:rPr>
        <w:t xml:space="preserve"> where it plain</w:t>
      </w:r>
      <w:r w:rsidR="007D13F3">
        <w:rPr>
          <w:spacing w:val="-3"/>
          <w:sz w:val="24"/>
          <w:szCs w:val="24"/>
        </w:rPr>
        <w:t>ly</w:t>
      </w:r>
      <w:r>
        <w:rPr>
          <w:spacing w:val="-3"/>
          <w:sz w:val="24"/>
          <w:szCs w:val="24"/>
        </w:rPr>
        <w:t xml:space="preserve"> stated:</w:t>
      </w:r>
    </w:p>
    <w:p w:rsidR="00062592" w:rsidRDefault="00062592" w:rsidP="00062592">
      <w:pPr>
        <w:tabs>
          <w:tab w:val="left" w:pos="-1440"/>
          <w:tab w:val="left" w:pos="-720"/>
        </w:tabs>
        <w:suppressAutoHyphens/>
        <w:ind w:left="1440" w:right="1440" w:firstLine="720"/>
        <w:rPr>
          <w:spacing w:val="-3"/>
          <w:sz w:val="24"/>
          <w:szCs w:val="24"/>
        </w:rPr>
      </w:pPr>
    </w:p>
    <w:p w:rsidR="00EB5CA7" w:rsidRDefault="0026727E" w:rsidP="00062592">
      <w:pPr>
        <w:tabs>
          <w:tab w:val="left" w:pos="-1440"/>
          <w:tab w:val="left" w:pos="-720"/>
          <w:tab w:val="left" w:pos="8640"/>
        </w:tabs>
        <w:suppressAutoHyphens/>
        <w:ind w:left="1440" w:right="720" w:firstLine="720"/>
        <w:rPr>
          <w:spacing w:val="-3"/>
          <w:sz w:val="24"/>
          <w:szCs w:val="24"/>
        </w:rPr>
      </w:pPr>
      <w:r>
        <w:rPr>
          <w:spacing w:val="-3"/>
          <w:sz w:val="24"/>
          <w:szCs w:val="24"/>
        </w:rPr>
        <w:t xml:space="preserve">“Individuals representing themselves are not required to be represented by an attorney.  All others (corporation, partnership, association, trust or government agency or subdivision) </w:t>
      </w:r>
      <w:r w:rsidRPr="0026727E">
        <w:rPr>
          <w:spacing w:val="-3"/>
          <w:sz w:val="24"/>
          <w:szCs w:val="24"/>
          <w:u w:val="single"/>
        </w:rPr>
        <w:t>must</w:t>
      </w:r>
      <w:r>
        <w:rPr>
          <w:spacing w:val="-3"/>
          <w:sz w:val="24"/>
          <w:szCs w:val="24"/>
        </w:rPr>
        <w:t xml:space="preserve"> be represented by an attorney.”  (Emphasis in the original).</w:t>
      </w:r>
    </w:p>
    <w:p w:rsidR="0026727E" w:rsidRDefault="0026727E" w:rsidP="00EB5CA7">
      <w:pPr>
        <w:tabs>
          <w:tab w:val="left" w:pos="-1440"/>
          <w:tab w:val="left" w:pos="-720"/>
        </w:tabs>
        <w:suppressAutoHyphens/>
        <w:spacing w:line="360" w:lineRule="auto"/>
        <w:ind w:firstLine="1440"/>
        <w:rPr>
          <w:spacing w:val="-3"/>
          <w:sz w:val="24"/>
          <w:szCs w:val="24"/>
        </w:rPr>
      </w:pPr>
    </w:p>
    <w:p w:rsidR="0026727E" w:rsidRDefault="0026727E" w:rsidP="00EB5CA7">
      <w:pPr>
        <w:tabs>
          <w:tab w:val="left" w:pos="-1440"/>
          <w:tab w:val="left" w:pos="-720"/>
        </w:tabs>
        <w:suppressAutoHyphens/>
        <w:spacing w:line="360" w:lineRule="auto"/>
        <w:ind w:firstLine="1440"/>
        <w:rPr>
          <w:spacing w:val="-3"/>
          <w:sz w:val="24"/>
          <w:szCs w:val="24"/>
        </w:rPr>
      </w:pPr>
      <w:r>
        <w:rPr>
          <w:spacing w:val="-3"/>
          <w:sz w:val="24"/>
          <w:szCs w:val="24"/>
        </w:rPr>
        <w:t>The Respondent was notified a second time on the September 2</w:t>
      </w:r>
      <w:r w:rsidR="00015B71">
        <w:rPr>
          <w:spacing w:val="-3"/>
          <w:sz w:val="24"/>
          <w:szCs w:val="24"/>
        </w:rPr>
        <w:t>, 2015</w:t>
      </w:r>
      <w:r>
        <w:rPr>
          <w:spacing w:val="-3"/>
          <w:sz w:val="24"/>
          <w:szCs w:val="24"/>
        </w:rPr>
        <w:t xml:space="preserve"> Prehearing Order at paragraph 4 which stated:</w:t>
      </w:r>
    </w:p>
    <w:p w:rsidR="00062592" w:rsidRDefault="00062592" w:rsidP="00EB5CA7">
      <w:pPr>
        <w:tabs>
          <w:tab w:val="left" w:pos="-1440"/>
          <w:tab w:val="left" w:pos="-720"/>
        </w:tabs>
        <w:suppressAutoHyphens/>
        <w:spacing w:line="360" w:lineRule="auto"/>
        <w:ind w:firstLine="1440"/>
        <w:rPr>
          <w:spacing w:val="-3"/>
          <w:sz w:val="24"/>
          <w:szCs w:val="24"/>
        </w:rPr>
      </w:pPr>
    </w:p>
    <w:p w:rsidR="0026727E" w:rsidRDefault="0026727E" w:rsidP="00062592">
      <w:pPr>
        <w:tabs>
          <w:tab w:val="left" w:pos="-1440"/>
          <w:tab w:val="left" w:pos="-720"/>
        </w:tabs>
        <w:suppressAutoHyphens/>
        <w:ind w:left="1440" w:right="720" w:firstLine="720"/>
        <w:rPr>
          <w:spacing w:val="-3"/>
          <w:sz w:val="24"/>
          <w:szCs w:val="24"/>
        </w:rPr>
      </w:pPr>
      <w:r>
        <w:rPr>
          <w:spacing w:val="-3"/>
          <w:sz w:val="24"/>
          <w:szCs w:val="24"/>
        </w:rPr>
        <w:t>“Pursuant to 52 Pa.Code §§ 1.21 and 1.22, you may represent yourself, if you are an individual…However, if you are a partnership, limited liability company, corporation, trust, association…you must have an attorney…”</w:t>
      </w:r>
      <w:r w:rsidR="00C07AAB">
        <w:rPr>
          <w:spacing w:val="-3"/>
          <w:sz w:val="24"/>
          <w:szCs w:val="24"/>
        </w:rPr>
        <w:t xml:space="preserve">  52 Pa. Code §§ 1.21, 1.22.</w:t>
      </w:r>
    </w:p>
    <w:p w:rsidR="0026727E" w:rsidRDefault="0026727E" w:rsidP="00EB5CA7">
      <w:pPr>
        <w:tabs>
          <w:tab w:val="left" w:pos="-1440"/>
          <w:tab w:val="left" w:pos="-720"/>
        </w:tabs>
        <w:suppressAutoHyphens/>
        <w:spacing w:line="360" w:lineRule="auto"/>
        <w:ind w:firstLine="1440"/>
        <w:rPr>
          <w:spacing w:val="-3"/>
          <w:sz w:val="24"/>
          <w:szCs w:val="24"/>
        </w:rPr>
      </w:pPr>
    </w:p>
    <w:p w:rsidR="005E132B" w:rsidRDefault="00CF5420" w:rsidP="00EB5CA7">
      <w:pPr>
        <w:tabs>
          <w:tab w:val="left" w:pos="-1440"/>
          <w:tab w:val="left" w:pos="-720"/>
        </w:tabs>
        <w:suppressAutoHyphens/>
        <w:spacing w:line="360" w:lineRule="auto"/>
        <w:ind w:firstLine="1440"/>
        <w:rPr>
          <w:spacing w:val="-3"/>
          <w:sz w:val="24"/>
          <w:szCs w:val="24"/>
        </w:rPr>
      </w:pPr>
      <w:r>
        <w:rPr>
          <w:spacing w:val="-3"/>
          <w:sz w:val="24"/>
          <w:szCs w:val="24"/>
        </w:rPr>
        <w:t>BI&amp;E</w:t>
      </w:r>
      <w:r w:rsidR="005E132B">
        <w:rPr>
          <w:spacing w:val="-3"/>
          <w:sz w:val="24"/>
          <w:szCs w:val="24"/>
        </w:rPr>
        <w:t xml:space="preserve"> moved for sanction against </w:t>
      </w:r>
      <w:r>
        <w:rPr>
          <w:spacing w:val="-3"/>
          <w:sz w:val="24"/>
          <w:szCs w:val="24"/>
        </w:rPr>
        <w:t>Steven A. Cintron/La Familia</w:t>
      </w:r>
      <w:r w:rsidR="00015B71">
        <w:rPr>
          <w:spacing w:val="-3"/>
          <w:sz w:val="24"/>
          <w:szCs w:val="24"/>
        </w:rPr>
        <w:t>, Inc.</w:t>
      </w:r>
      <w:r w:rsidR="005E132B">
        <w:rPr>
          <w:spacing w:val="-3"/>
          <w:sz w:val="24"/>
          <w:szCs w:val="24"/>
        </w:rPr>
        <w:t xml:space="preserve"> in the form of not allowing </w:t>
      </w:r>
      <w:r w:rsidR="007D13F3">
        <w:rPr>
          <w:spacing w:val="-3"/>
          <w:sz w:val="24"/>
          <w:szCs w:val="24"/>
        </w:rPr>
        <w:t xml:space="preserve">Steven A. Cintron/La Familia, Inc. </w:t>
      </w:r>
      <w:r w:rsidR="005E132B">
        <w:rPr>
          <w:spacing w:val="-3"/>
          <w:sz w:val="24"/>
          <w:szCs w:val="24"/>
        </w:rPr>
        <w:t>to testify at the hearing.  Pursuant to 52 Pa.Code §§</w:t>
      </w:r>
      <w:r w:rsidR="00062592">
        <w:rPr>
          <w:spacing w:val="-3"/>
          <w:sz w:val="24"/>
          <w:szCs w:val="24"/>
        </w:rPr>
        <w:t> </w:t>
      </w:r>
      <w:r w:rsidR="005E132B">
        <w:rPr>
          <w:spacing w:val="-3"/>
          <w:sz w:val="24"/>
          <w:szCs w:val="24"/>
        </w:rPr>
        <w:t xml:space="preserve">1.21 and 1.22, </w:t>
      </w:r>
      <w:r>
        <w:rPr>
          <w:spacing w:val="-3"/>
          <w:sz w:val="24"/>
          <w:szCs w:val="24"/>
        </w:rPr>
        <w:t>Steven A. Cintron/La Familia</w:t>
      </w:r>
      <w:r w:rsidR="00015B71">
        <w:rPr>
          <w:spacing w:val="-3"/>
          <w:sz w:val="24"/>
          <w:szCs w:val="24"/>
        </w:rPr>
        <w:t>, Inc.</w:t>
      </w:r>
      <w:r w:rsidR="005E132B">
        <w:rPr>
          <w:spacing w:val="-3"/>
          <w:sz w:val="24"/>
          <w:szCs w:val="24"/>
        </w:rPr>
        <w:t xml:space="preserve"> cannot proceed without counsel, therefore, the motion was granted and the hearing was held</w:t>
      </w:r>
      <w:r w:rsidR="00306496">
        <w:rPr>
          <w:spacing w:val="-3"/>
          <w:sz w:val="24"/>
          <w:szCs w:val="24"/>
        </w:rPr>
        <w:t>.</w:t>
      </w:r>
      <w:r w:rsidR="007D13F3">
        <w:rPr>
          <w:spacing w:val="-3"/>
          <w:sz w:val="24"/>
          <w:szCs w:val="24"/>
        </w:rPr>
        <w:t xml:space="preserve"> </w:t>
      </w:r>
      <w:r w:rsidR="005E132B">
        <w:rPr>
          <w:spacing w:val="-3"/>
          <w:sz w:val="24"/>
          <w:szCs w:val="24"/>
        </w:rPr>
        <w:t xml:space="preserve"> </w:t>
      </w:r>
      <w:r w:rsidR="00306496">
        <w:rPr>
          <w:spacing w:val="-3"/>
          <w:sz w:val="24"/>
          <w:szCs w:val="24"/>
        </w:rPr>
        <w:t xml:space="preserve">By regulation, </w:t>
      </w:r>
      <w:r>
        <w:rPr>
          <w:spacing w:val="-3"/>
          <w:sz w:val="24"/>
          <w:szCs w:val="24"/>
        </w:rPr>
        <w:t>Steven A. Cintron/La Familia</w:t>
      </w:r>
      <w:r w:rsidR="00BE4B34">
        <w:rPr>
          <w:spacing w:val="-3"/>
          <w:sz w:val="24"/>
          <w:szCs w:val="24"/>
        </w:rPr>
        <w:t>, Inc.</w:t>
      </w:r>
      <w:r w:rsidR="005E132B">
        <w:rPr>
          <w:spacing w:val="-3"/>
          <w:sz w:val="24"/>
          <w:szCs w:val="24"/>
        </w:rPr>
        <w:t xml:space="preserve"> was not al</w:t>
      </w:r>
      <w:r w:rsidR="007D13F3">
        <w:rPr>
          <w:spacing w:val="-3"/>
          <w:sz w:val="24"/>
          <w:szCs w:val="24"/>
        </w:rPr>
        <w:t>low</w:t>
      </w:r>
      <w:r w:rsidR="005E132B">
        <w:rPr>
          <w:spacing w:val="-3"/>
          <w:sz w:val="24"/>
          <w:szCs w:val="24"/>
        </w:rPr>
        <w:t>e</w:t>
      </w:r>
      <w:r w:rsidR="007D13F3">
        <w:rPr>
          <w:spacing w:val="-3"/>
          <w:sz w:val="24"/>
          <w:szCs w:val="24"/>
        </w:rPr>
        <w:t>d</w:t>
      </w:r>
      <w:r w:rsidR="005E132B">
        <w:rPr>
          <w:spacing w:val="-3"/>
          <w:sz w:val="24"/>
          <w:szCs w:val="24"/>
        </w:rPr>
        <w:t xml:space="preserve"> to testify.</w:t>
      </w:r>
      <w:r w:rsidR="007D13F3">
        <w:rPr>
          <w:spacing w:val="-3"/>
          <w:sz w:val="24"/>
          <w:szCs w:val="24"/>
        </w:rPr>
        <w:t xml:space="preserve">  52 Pa.Code §§ 1.21 and 1.22.</w:t>
      </w:r>
    </w:p>
    <w:p w:rsidR="005E132B" w:rsidRDefault="005E132B" w:rsidP="00EB5CA7">
      <w:pPr>
        <w:tabs>
          <w:tab w:val="left" w:pos="-1440"/>
          <w:tab w:val="left" w:pos="-720"/>
        </w:tabs>
        <w:suppressAutoHyphens/>
        <w:spacing w:line="360" w:lineRule="auto"/>
        <w:ind w:firstLine="1440"/>
        <w:rPr>
          <w:spacing w:val="-3"/>
          <w:sz w:val="24"/>
          <w:szCs w:val="24"/>
        </w:rPr>
      </w:pPr>
    </w:p>
    <w:p w:rsidR="00F770BB" w:rsidRDefault="00F770BB" w:rsidP="00EB5CA7">
      <w:pPr>
        <w:tabs>
          <w:tab w:val="left" w:pos="-1440"/>
          <w:tab w:val="left" w:pos="-720"/>
        </w:tabs>
        <w:suppressAutoHyphens/>
        <w:spacing w:line="360" w:lineRule="auto"/>
        <w:ind w:firstLine="1440"/>
        <w:rPr>
          <w:spacing w:val="-3"/>
          <w:sz w:val="24"/>
          <w:szCs w:val="24"/>
        </w:rPr>
      </w:pPr>
      <w:r>
        <w:rPr>
          <w:spacing w:val="-3"/>
          <w:sz w:val="24"/>
          <w:szCs w:val="24"/>
        </w:rPr>
        <w:t>Section 1101 of the Public Utility Code states that upon application and approval it shall be lawful for a public utility to off</w:t>
      </w:r>
      <w:r w:rsidR="00915161">
        <w:rPr>
          <w:spacing w:val="-3"/>
          <w:sz w:val="24"/>
          <w:szCs w:val="24"/>
        </w:rPr>
        <w:t>er service.  66 Pa.</w:t>
      </w:r>
      <w:r>
        <w:rPr>
          <w:spacing w:val="-3"/>
          <w:sz w:val="24"/>
          <w:szCs w:val="24"/>
        </w:rPr>
        <w:t xml:space="preserve">C.S. § 1101.  Providing transportation for passengers </w:t>
      </w:r>
      <w:r w:rsidR="00915161">
        <w:rPr>
          <w:spacing w:val="-3"/>
          <w:sz w:val="24"/>
          <w:szCs w:val="24"/>
        </w:rPr>
        <w:t>as a common carrier</w:t>
      </w:r>
      <w:r>
        <w:rPr>
          <w:spacing w:val="-3"/>
          <w:sz w:val="24"/>
          <w:szCs w:val="24"/>
        </w:rPr>
        <w:t xml:space="preserve"> is defin</w:t>
      </w:r>
      <w:r w:rsidR="00915161">
        <w:rPr>
          <w:spacing w:val="-3"/>
          <w:sz w:val="24"/>
          <w:szCs w:val="24"/>
        </w:rPr>
        <w:t>ed as a public utility.  66 Pa.</w:t>
      </w:r>
      <w:r>
        <w:rPr>
          <w:spacing w:val="-3"/>
          <w:sz w:val="24"/>
          <w:szCs w:val="24"/>
        </w:rPr>
        <w:t>C.S. § 102</w:t>
      </w:r>
      <w:r w:rsidR="00915161">
        <w:rPr>
          <w:spacing w:val="-3"/>
          <w:sz w:val="24"/>
          <w:szCs w:val="24"/>
        </w:rPr>
        <w:t>.</w:t>
      </w:r>
    </w:p>
    <w:p w:rsidR="00F770BB" w:rsidRDefault="00F770BB" w:rsidP="00EB5CA7">
      <w:pPr>
        <w:tabs>
          <w:tab w:val="left" w:pos="-1440"/>
          <w:tab w:val="left" w:pos="-720"/>
        </w:tabs>
        <w:suppressAutoHyphens/>
        <w:spacing w:line="360" w:lineRule="auto"/>
        <w:ind w:firstLine="1440"/>
        <w:rPr>
          <w:spacing w:val="-3"/>
          <w:sz w:val="24"/>
          <w:szCs w:val="24"/>
        </w:rPr>
      </w:pPr>
    </w:p>
    <w:p w:rsidR="00915161" w:rsidRDefault="00CF5420" w:rsidP="00EB5CA7">
      <w:pPr>
        <w:tabs>
          <w:tab w:val="left" w:pos="-1440"/>
          <w:tab w:val="left" w:pos="-720"/>
        </w:tabs>
        <w:suppressAutoHyphens/>
        <w:spacing w:line="360" w:lineRule="auto"/>
        <w:ind w:firstLine="1440"/>
        <w:rPr>
          <w:spacing w:val="-3"/>
          <w:sz w:val="24"/>
          <w:szCs w:val="24"/>
        </w:rPr>
      </w:pPr>
      <w:r>
        <w:rPr>
          <w:spacing w:val="-3"/>
          <w:sz w:val="24"/>
          <w:szCs w:val="24"/>
        </w:rPr>
        <w:t>BI&amp;E</w:t>
      </w:r>
      <w:r w:rsidR="00062592">
        <w:rPr>
          <w:spacing w:val="-3"/>
          <w:sz w:val="24"/>
          <w:szCs w:val="24"/>
        </w:rPr>
        <w:t xml:space="preserve"> </w:t>
      </w:r>
      <w:r w:rsidR="005E132B">
        <w:rPr>
          <w:spacing w:val="-3"/>
          <w:sz w:val="24"/>
          <w:szCs w:val="24"/>
        </w:rPr>
        <w:t xml:space="preserve">met its burden of proof by showing that </w:t>
      </w:r>
      <w:r>
        <w:rPr>
          <w:spacing w:val="-3"/>
          <w:sz w:val="24"/>
          <w:szCs w:val="24"/>
        </w:rPr>
        <w:t>Steven A. Cintron/La Familia</w:t>
      </w:r>
      <w:r w:rsidR="00BE4B34">
        <w:rPr>
          <w:spacing w:val="-3"/>
          <w:sz w:val="24"/>
          <w:szCs w:val="24"/>
        </w:rPr>
        <w:t>, Inc.</w:t>
      </w:r>
      <w:r w:rsidR="005E132B">
        <w:rPr>
          <w:spacing w:val="-3"/>
          <w:sz w:val="24"/>
          <w:szCs w:val="24"/>
        </w:rPr>
        <w:t xml:space="preserve"> was advertising on Craigslist to provide transportation for compensation without a certificate of public convenience.</w:t>
      </w:r>
      <w:r w:rsidR="00306496">
        <w:rPr>
          <w:spacing w:val="-3"/>
          <w:sz w:val="24"/>
          <w:szCs w:val="24"/>
        </w:rPr>
        <w:t xml:space="preserve">  </w:t>
      </w:r>
      <w:r>
        <w:rPr>
          <w:spacing w:val="-3"/>
          <w:sz w:val="24"/>
          <w:szCs w:val="24"/>
        </w:rPr>
        <w:t>Steven A. Cintron/La Familia</w:t>
      </w:r>
      <w:r w:rsidR="00015B71">
        <w:rPr>
          <w:spacing w:val="-3"/>
          <w:sz w:val="24"/>
          <w:szCs w:val="24"/>
        </w:rPr>
        <w:t>, Inc.</w:t>
      </w:r>
      <w:r w:rsidR="00306496">
        <w:rPr>
          <w:spacing w:val="-3"/>
          <w:sz w:val="24"/>
          <w:szCs w:val="24"/>
        </w:rPr>
        <w:t xml:space="preserve"> is subject to </w:t>
      </w:r>
      <w:r w:rsidR="00915161">
        <w:rPr>
          <w:spacing w:val="-3"/>
          <w:sz w:val="24"/>
          <w:szCs w:val="24"/>
        </w:rPr>
        <w:t xml:space="preserve">the BI&amp;E’s assessment of a </w:t>
      </w:r>
      <w:r w:rsidR="00306496">
        <w:rPr>
          <w:spacing w:val="-3"/>
          <w:sz w:val="24"/>
          <w:szCs w:val="24"/>
        </w:rPr>
        <w:t xml:space="preserve"> </w:t>
      </w:r>
      <w:r w:rsidR="0099644E" w:rsidRPr="0099644E">
        <w:rPr>
          <w:spacing w:val="-3"/>
          <w:sz w:val="24"/>
          <w:szCs w:val="24"/>
        </w:rPr>
        <w:t xml:space="preserve"> </w:t>
      </w:r>
      <w:r w:rsidR="0099644E">
        <w:rPr>
          <w:spacing w:val="-3"/>
          <w:sz w:val="24"/>
          <w:szCs w:val="24"/>
        </w:rPr>
        <w:t>$1,000</w:t>
      </w:r>
      <w:r w:rsidR="00915161">
        <w:rPr>
          <w:spacing w:val="-3"/>
          <w:sz w:val="24"/>
          <w:szCs w:val="24"/>
        </w:rPr>
        <w:t xml:space="preserve"> </w:t>
      </w:r>
      <w:r w:rsidR="00954720">
        <w:rPr>
          <w:spacing w:val="-3"/>
          <w:sz w:val="24"/>
          <w:szCs w:val="24"/>
        </w:rPr>
        <w:t>civil penalty</w:t>
      </w:r>
      <w:r w:rsidR="00306496">
        <w:rPr>
          <w:spacing w:val="-3"/>
          <w:sz w:val="24"/>
          <w:szCs w:val="24"/>
        </w:rPr>
        <w:t xml:space="preserve">.  </w:t>
      </w:r>
    </w:p>
    <w:p w:rsidR="00C07AAB" w:rsidRDefault="00C07AAB" w:rsidP="00EB5CA7">
      <w:pPr>
        <w:tabs>
          <w:tab w:val="left" w:pos="-1440"/>
          <w:tab w:val="left" w:pos="-720"/>
        </w:tabs>
        <w:suppressAutoHyphens/>
        <w:spacing w:line="360" w:lineRule="auto"/>
        <w:ind w:firstLine="1440"/>
        <w:rPr>
          <w:spacing w:val="-3"/>
          <w:sz w:val="24"/>
          <w:szCs w:val="24"/>
        </w:rPr>
      </w:pPr>
    </w:p>
    <w:p w:rsidR="00C07AAB" w:rsidRDefault="00C07AAB" w:rsidP="00EB5CA7">
      <w:pPr>
        <w:tabs>
          <w:tab w:val="left" w:pos="-1440"/>
          <w:tab w:val="left" w:pos="-720"/>
        </w:tabs>
        <w:suppressAutoHyphens/>
        <w:spacing w:line="360" w:lineRule="auto"/>
        <w:ind w:firstLine="1440"/>
        <w:rPr>
          <w:spacing w:val="-3"/>
          <w:sz w:val="24"/>
          <w:szCs w:val="24"/>
        </w:rPr>
      </w:pPr>
      <w:r>
        <w:rPr>
          <w:spacing w:val="-3"/>
          <w:sz w:val="24"/>
          <w:szCs w:val="24"/>
        </w:rPr>
        <w:t>“If any public utility, or any other person or corporation subject to this part shall violate any of the provisions of this part, or shall do any matter or thing herein prohibited, or shall fail, omit, neglect or refuse to perform any duty enjoined upon it by this part…shall forfeit and pay to the Commonwealth a sum not exceeding $1000….”  66 Pa.C.S. § 3301.</w:t>
      </w:r>
    </w:p>
    <w:p w:rsidR="00915161" w:rsidRDefault="00915161" w:rsidP="00EB5CA7">
      <w:pPr>
        <w:tabs>
          <w:tab w:val="left" w:pos="-1440"/>
          <w:tab w:val="left" w:pos="-720"/>
        </w:tabs>
        <w:suppressAutoHyphens/>
        <w:spacing w:line="360" w:lineRule="auto"/>
        <w:ind w:firstLine="1440"/>
        <w:rPr>
          <w:spacing w:val="-3"/>
          <w:sz w:val="24"/>
          <w:szCs w:val="24"/>
        </w:rPr>
      </w:pPr>
    </w:p>
    <w:p w:rsidR="00915161" w:rsidRDefault="00915161" w:rsidP="00915161">
      <w:pPr>
        <w:spacing w:line="360" w:lineRule="auto"/>
        <w:ind w:firstLine="1440"/>
        <w:rPr>
          <w:sz w:val="24"/>
          <w:szCs w:val="24"/>
        </w:rPr>
      </w:pPr>
      <w:r>
        <w:rPr>
          <w:sz w:val="24"/>
          <w:szCs w:val="24"/>
        </w:rPr>
        <w:t xml:space="preserve">Commission standards for the application of a civil penalty were addressed in </w:t>
      </w:r>
      <w:r w:rsidRPr="00915161">
        <w:rPr>
          <w:i/>
          <w:sz w:val="24"/>
          <w:szCs w:val="24"/>
        </w:rPr>
        <w:t>Joseph A. Rosi v. Bell-Atlantic-Pennsylvania, Inc. and Sprint Communications Company, L.P</w:t>
      </w:r>
      <w:r w:rsidRPr="00784C59">
        <w:rPr>
          <w:sz w:val="24"/>
          <w:szCs w:val="24"/>
        </w:rPr>
        <w:t xml:space="preserve">., </w:t>
      </w:r>
      <w:r>
        <w:rPr>
          <w:sz w:val="24"/>
          <w:szCs w:val="24"/>
        </w:rPr>
        <w:t xml:space="preserve">Docket No. </w:t>
      </w:r>
      <w:r w:rsidRPr="00784C59">
        <w:rPr>
          <w:sz w:val="24"/>
          <w:szCs w:val="24"/>
        </w:rPr>
        <w:t>C-00992409 (</w:t>
      </w:r>
      <w:r>
        <w:rPr>
          <w:sz w:val="24"/>
          <w:szCs w:val="24"/>
        </w:rPr>
        <w:t xml:space="preserve">Order entered </w:t>
      </w:r>
      <w:r w:rsidRPr="00784C59">
        <w:rPr>
          <w:sz w:val="24"/>
          <w:szCs w:val="24"/>
        </w:rPr>
        <w:t>March 16, 2000)</w:t>
      </w:r>
      <w:r>
        <w:rPr>
          <w:sz w:val="24"/>
          <w:szCs w:val="24"/>
        </w:rPr>
        <w:t xml:space="preserve">.  The Commission uses the standards developed in </w:t>
      </w:r>
      <w:r w:rsidRPr="00915161">
        <w:rPr>
          <w:i/>
          <w:sz w:val="24"/>
          <w:szCs w:val="24"/>
        </w:rPr>
        <w:t>Rosi</w:t>
      </w:r>
      <w:r>
        <w:rPr>
          <w:sz w:val="24"/>
          <w:szCs w:val="24"/>
        </w:rPr>
        <w:t xml:space="preserve"> as a basis to develop the amount of civil penalties in cases regarding other utility issues.  </w:t>
      </w:r>
      <w:r w:rsidRPr="00915161">
        <w:rPr>
          <w:i/>
          <w:sz w:val="24"/>
          <w:szCs w:val="24"/>
        </w:rPr>
        <w:t>P</w:t>
      </w:r>
      <w:r w:rsidR="005E43B5">
        <w:rPr>
          <w:i/>
          <w:sz w:val="24"/>
          <w:szCs w:val="24"/>
        </w:rPr>
        <w:t>a. Pub. Util. Comm’n</w:t>
      </w:r>
      <w:r w:rsidRPr="00915161">
        <w:rPr>
          <w:i/>
          <w:sz w:val="24"/>
          <w:szCs w:val="24"/>
        </w:rPr>
        <w:t xml:space="preserve"> v. NCIC Operator Services</w:t>
      </w:r>
      <w:r w:rsidRPr="00C619AB">
        <w:rPr>
          <w:sz w:val="24"/>
          <w:szCs w:val="24"/>
        </w:rPr>
        <w:t>,</w:t>
      </w:r>
      <w:r>
        <w:rPr>
          <w:sz w:val="24"/>
          <w:szCs w:val="24"/>
        </w:rPr>
        <w:t xml:space="preserve"> Docket No. M-00001440 (Order entered December 21, 2000).</w:t>
      </w:r>
      <w:r w:rsidRPr="00E51215">
        <w:rPr>
          <w:sz w:val="24"/>
          <w:szCs w:val="24"/>
        </w:rPr>
        <w:t xml:space="preserve"> </w:t>
      </w:r>
      <w:r w:rsidR="00C07AAB">
        <w:rPr>
          <w:sz w:val="24"/>
          <w:szCs w:val="24"/>
        </w:rPr>
        <w:t xml:space="preserve">  See also 52 Pa. Code § 69.1201.</w:t>
      </w:r>
    </w:p>
    <w:p w:rsidR="00915161" w:rsidRDefault="00915161" w:rsidP="00915161">
      <w:pPr>
        <w:spacing w:line="360" w:lineRule="auto"/>
        <w:ind w:firstLine="1440"/>
        <w:rPr>
          <w:color w:val="000000"/>
          <w:sz w:val="24"/>
          <w:szCs w:val="24"/>
        </w:rPr>
      </w:pPr>
    </w:p>
    <w:p w:rsidR="00915161" w:rsidRDefault="00915161" w:rsidP="00915161">
      <w:pPr>
        <w:spacing w:line="360" w:lineRule="auto"/>
        <w:ind w:firstLine="1440"/>
        <w:rPr>
          <w:color w:val="000000"/>
          <w:sz w:val="24"/>
          <w:szCs w:val="24"/>
        </w:rPr>
      </w:pPr>
      <w:r w:rsidRPr="000C244F">
        <w:rPr>
          <w:color w:val="000000"/>
          <w:sz w:val="24"/>
          <w:szCs w:val="24"/>
        </w:rPr>
        <w:t xml:space="preserve">The first </w:t>
      </w:r>
      <w:r>
        <w:rPr>
          <w:color w:val="000000"/>
          <w:sz w:val="24"/>
          <w:szCs w:val="24"/>
        </w:rPr>
        <w:t>s</w:t>
      </w:r>
      <w:r w:rsidRPr="000C244F">
        <w:rPr>
          <w:color w:val="000000"/>
          <w:sz w:val="24"/>
          <w:szCs w:val="24"/>
        </w:rPr>
        <w:t>tandard to be considered is whether the violation</w:t>
      </w:r>
      <w:r>
        <w:rPr>
          <w:color w:val="000000"/>
          <w:sz w:val="24"/>
          <w:szCs w:val="24"/>
        </w:rPr>
        <w:t>s were</w:t>
      </w:r>
      <w:r w:rsidRPr="000C244F">
        <w:rPr>
          <w:color w:val="000000"/>
          <w:sz w:val="24"/>
          <w:szCs w:val="24"/>
        </w:rPr>
        <w:t xml:space="preserve"> intentional or negligent.  If the violation w</w:t>
      </w:r>
      <w:r>
        <w:rPr>
          <w:color w:val="000000"/>
          <w:sz w:val="24"/>
          <w:szCs w:val="24"/>
        </w:rPr>
        <w:t>as</w:t>
      </w:r>
      <w:r w:rsidRPr="000C244F">
        <w:rPr>
          <w:color w:val="000000"/>
          <w:sz w:val="24"/>
          <w:szCs w:val="24"/>
        </w:rPr>
        <w:t xml:space="preserve"> intentional, the Commission will start with the presumption that the penalty will be in the range of $500 to $1,000 per day.  If, on the other hand, the violation is negligent, the Commission will start with the presumption that the penalty will be in the range of </w:t>
      </w:r>
      <w:r>
        <w:rPr>
          <w:color w:val="000000"/>
          <w:sz w:val="24"/>
          <w:szCs w:val="24"/>
        </w:rPr>
        <w:t xml:space="preserve">$0 </w:t>
      </w:r>
      <w:r w:rsidRPr="000C244F">
        <w:rPr>
          <w:color w:val="000000"/>
          <w:sz w:val="24"/>
          <w:szCs w:val="24"/>
        </w:rPr>
        <w:t xml:space="preserve">to $500 per day. </w:t>
      </w:r>
      <w:r>
        <w:rPr>
          <w:color w:val="000000"/>
          <w:sz w:val="24"/>
          <w:szCs w:val="24"/>
        </w:rPr>
        <w:t xml:space="preserve"> </w:t>
      </w:r>
      <w:r w:rsidRPr="000C244F">
        <w:rPr>
          <w:color w:val="000000"/>
          <w:sz w:val="24"/>
          <w:szCs w:val="24"/>
        </w:rPr>
        <w:t xml:space="preserve">This first </w:t>
      </w:r>
      <w:r>
        <w:rPr>
          <w:color w:val="000000"/>
          <w:sz w:val="24"/>
          <w:szCs w:val="24"/>
        </w:rPr>
        <w:t>s</w:t>
      </w:r>
      <w:r w:rsidRPr="000C244F">
        <w:rPr>
          <w:color w:val="000000"/>
          <w:sz w:val="24"/>
          <w:szCs w:val="24"/>
        </w:rPr>
        <w:t xml:space="preserve">tandard is generic in nature and can be applied to any utility type.  </w:t>
      </w:r>
      <w:r w:rsidR="00F017F1">
        <w:rPr>
          <w:color w:val="000000"/>
          <w:sz w:val="24"/>
          <w:szCs w:val="24"/>
        </w:rPr>
        <w:t>Steven A Cintron/LaFamilia</w:t>
      </w:r>
      <w:r w:rsidR="0099644E">
        <w:rPr>
          <w:color w:val="000000"/>
          <w:sz w:val="24"/>
          <w:szCs w:val="24"/>
        </w:rPr>
        <w:t>,</w:t>
      </w:r>
      <w:r w:rsidR="00FF650B">
        <w:rPr>
          <w:color w:val="000000"/>
          <w:sz w:val="24"/>
          <w:szCs w:val="24"/>
        </w:rPr>
        <w:t xml:space="preserve"> Inc</w:t>
      </w:r>
      <w:r w:rsidR="0099644E">
        <w:rPr>
          <w:color w:val="000000"/>
          <w:sz w:val="24"/>
          <w:szCs w:val="24"/>
        </w:rPr>
        <w:t>.</w:t>
      </w:r>
      <w:r w:rsidR="00F017F1">
        <w:rPr>
          <w:color w:val="000000"/>
          <w:sz w:val="24"/>
          <w:szCs w:val="24"/>
        </w:rPr>
        <w:t xml:space="preserve">’s violation is </w:t>
      </w:r>
      <w:r w:rsidR="00E943EB">
        <w:rPr>
          <w:color w:val="000000"/>
          <w:sz w:val="24"/>
          <w:szCs w:val="24"/>
        </w:rPr>
        <w:t xml:space="preserve">intentional and </w:t>
      </w:r>
      <w:r w:rsidR="00181604">
        <w:rPr>
          <w:color w:val="000000"/>
          <w:sz w:val="24"/>
          <w:szCs w:val="24"/>
        </w:rPr>
        <w:t>repetitive</w:t>
      </w:r>
      <w:r w:rsidR="00181604">
        <w:rPr>
          <w:rStyle w:val="FootnoteReference"/>
          <w:color w:val="000000"/>
          <w:sz w:val="24"/>
          <w:szCs w:val="24"/>
        </w:rPr>
        <w:footnoteReference w:id="1"/>
      </w:r>
      <w:r w:rsidR="00181604">
        <w:rPr>
          <w:color w:val="000000"/>
          <w:sz w:val="24"/>
          <w:szCs w:val="24"/>
        </w:rPr>
        <w:t>;</w:t>
      </w:r>
      <w:r w:rsidR="00F017F1">
        <w:rPr>
          <w:color w:val="000000"/>
          <w:sz w:val="24"/>
          <w:szCs w:val="24"/>
        </w:rPr>
        <w:t xml:space="preserve"> therefore the assessment of a $1000 penalty is appropriate.</w:t>
      </w:r>
    </w:p>
    <w:p w:rsidR="00F017F1" w:rsidRDefault="00F017F1" w:rsidP="00915161">
      <w:pPr>
        <w:spacing w:line="360" w:lineRule="auto"/>
        <w:ind w:firstLine="1440"/>
        <w:rPr>
          <w:color w:val="000000"/>
          <w:sz w:val="24"/>
          <w:szCs w:val="24"/>
        </w:rPr>
      </w:pPr>
    </w:p>
    <w:p w:rsidR="00915161" w:rsidRDefault="00915161" w:rsidP="00915161">
      <w:pPr>
        <w:spacing w:line="360" w:lineRule="auto"/>
        <w:ind w:firstLine="1440"/>
        <w:rPr>
          <w:color w:val="000000"/>
          <w:sz w:val="24"/>
          <w:szCs w:val="24"/>
        </w:rPr>
      </w:pPr>
      <w:r w:rsidRPr="000C244F">
        <w:rPr>
          <w:color w:val="000000"/>
          <w:sz w:val="24"/>
          <w:szCs w:val="24"/>
        </w:rPr>
        <w:t xml:space="preserve">The next two </w:t>
      </w:r>
      <w:r>
        <w:rPr>
          <w:color w:val="000000"/>
          <w:sz w:val="24"/>
          <w:szCs w:val="24"/>
        </w:rPr>
        <w:t>s</w:t>
      </w:r>
      <w:r w:rsidRPr="000C244F">
        <w:rPr>
          <w:color w:val="000000"/>
          <w:sz w:val="24"/>
          <w:szCs w:val="24"/>
        </w:rPr>
        <w:t xml:space="preserve">tandards are phrased in </w:t>
      </w:r>
      <w:r w:rsidRPr="00F017F1">
        <w:rPr>
          <w:i/>
          <w:color w:val="000000"/>
          <w:sz w:val="24"/>
          <w:szCs w:val="24"/>
        </w:rPr>
        <w:t>Rosi</w:t>
      </w:r>
      <w:r w:rsidRPr="000C244F">
        <w:rPr>
          <w:color w:val="000000"/>
          <w:sz w:val="24"/>
          <w:szCs w:val="24"/>
        </w:rPr>
        <w:t xml:space="preserve"> to address the issue of slamming; however, they </w:t>
      </w:r>
      <w:r>
        <w:rPr>
          <w:color w:val="000000"/>
          <w:sz w:val="24"/>
          <w:szCs w:val="24"/>
        </w:rPr>
        <w:t>may</w:t>
      </w:r>
      <w:r w:rsidRPr="000C244F">
        <w:rPr>
          <w:color w:val="000000"/>
          <w:sz w:val="24"/>
          <w:szCs w:val="24"/>
        </w:rPr>
        <w:t xml:space="preserve"> be used in other utility penalty cases beyond those involving slamming.</w:t>
      </w:r>
      <w:r>
        <w:rPr>
          <w:color w:val="000000"/>
          <w:sz w:val="24"/>
          <w:szCs w:val="24"/>
        </w:rPr>
        <w:t xml:space="preserve">  </w:t>
      </w:r>
      <w:r w:rsidRPr="000C244F">
        <w:rPr>
          <w:color w:val="000000"/>
          <w:sz w:val="24"/>
          <w:szCs w:val="24"/>
        </w:rPr>
        <w:t xml:space="preserve">The second </w:t>
      </w:r>
      <w:r w:rsidRPr="00F017F1">
        <w:rPr>
          <w:i/>
          <w:color w:val="000000"/>
          <w:sz w:val="24"/>
          <w:szCs w:val="24"/>
        </w:rPr>
        <w:t>Rosi</w:t>
      </w:r>
      <w:r>
        <w:rPr>
          <w:color w:val="000000"/>
          <w:sz w:val="24"/>
          <w:szCs w:val="24"/>
        </w:rPr>
        <w:t xml:space="preserve"> s</w:t>
      </w:r>
      <w:r w:rsidRPr="00E30B72">
        <w:rPr>
          <w:color w:val="000000"/>
          <w:sz w:val="24"/>
          <w:szCs w:val="24"/>
        </w:rPr>
        <w:t>tandard</w:t>
      </w:r>
      <w:r w:rsidRPr="000C244F">
        <w:rPr>
          <w:color w:val="000000"/>
          <w:sz w:val="24"/>
          <w:szCs w:val="24"/>
        </w:rPr>
        <w:t xml:space="preserve"> addresse</w:t>
      </w:r>
      <w:r>
        <w:rPr>
          <w:color w:val="000000"/>
          <w:sz w:val="24"/>
          <w:szCs w:val="24"/>
        </w:rPr>
        <w:t>d</w:t>
      </w:r>
      <w:r w:rsidRPr="000C244F">
        <w:rPr>
          <w:color w:val="000000"/>
          <w:sz w:val="24"/>
          <w:szCs w:val="24"/>
        </w:rPr>
        <w:t xml:space="preserve"> the promptness with which the utility took steps to correct the issue, and the third </w:t>
      </w:r>
      <w:r w:rsidRPr="00F017F1">
        <w:rPr>
          <w:i/>
          <w:color w:val="000000"/>
          <w:sz w:val="24"/>
          <w:szCs w:val="24"/>
        </w:rPr>
        <w:t>Rosi</w:t>
      </w:r>
      <w:r w:rsidRPr="00E30B72">
        <w:rPr>
          <w:color w:val="000000"/>
          <w:sz w:val="24"/>
          <w:szCs w:val="24"/>
        </w:rPr>
        <w:t xml:space="preserve"> </w:t>
      </w:r>
      <w:r>
        <w:rPr>
          <w:color w:val="000000"/>
          <w:sz w:val="24"/>
          <w:szCs w:val="24"/>
        </w:rPr>
        <w:t>s</w:t>
      </w:r>
      <w:r w:rsidRPr="000C244F">
        <w:rPr>
          <w:color w:val="000000"/>
          <w:sz w:val="24"/>
          <w:szCs w:val="24"/>
        </w:rPr>
        <w:t>tandard questions whether the utility</w:t>
      </w:r>
      <w:r>
        <w:rPr>
          <w:color w:val="000000"/>
          <w:sz w:val="24"/>
          <w:szCs w:val="24"/>
        </w:rPr>
        <w:t>/Respondent</w:t>
      </w:r>
      <w:r w:rsidRPr="000C244F">
        <w:rPr>
          <w:color w:val="000000"/>
          <w:sz w:val="24"/>
          <w:szCs w:val="24"/>
        </w:rPr>
        <w:t xml:space="preserve"> initiated procedures to prevent th</w:t>
      </w:r>
      <w:r>
        <w:rPr>
          <w:color w:val="000000"/>
          <w:sz w:val="24"/>
          <w:szCs w:val="24"/>
        </w:rPr>
        <w:t>e violation</w:t>
      </w:r>
      <w:r w:rsidRPr="000C244F">
        <w:rPr>
          <w:color w:val="000000"/>
          <w:sz w:val="24"/>
          <w:szCs w:val="24"/>
        </w:rPr>
        <w:t xml:space="preserve"> from occurring again.  </w:t>
      </w:r>
      <w:r>
        <w:rPr>
          <w:color w:val="000000"/>
          <w:sz w:val="24"/>
          <w:szCs w:val="24"/>
        </w:rPr>
        <w:t xml:space="preserve">No evidence was provided by </w:t>
      </w:r>
      <w:r w:rsidR="00F017F1">
        <w:rPr>
          <w:color w:val="000000"/>
          <w:sz w:val="24"/>
          <w:szCs w:val="24"/>
        </w:rPr>
        <w:t>BI&amp;E</w:t>
      </w:r>
      <w:r>
        <w:rPr>
          <w:color w:val="000000"/>
          <w:sz w:val="24"/>
          <w:szCs w:val="24"/>
        </w:rPr>
        <w:t xml:space="preserve"> concerning whether </w:t>
      </w:r>
      <w:r w:rsidR="00F017F1">
        <w:rPr>
          <w:color w:val="000000"/>
          <w:sz w:val="24"/>
          <w:szCs w:val="24"/>
        </w:rPr>
        <w:t>Steven A. Cintron/La Familia</w:t>
      </w:r>
      <w:r w:rsidR="005E43B5">
        <w:rPr>
          <w:color w:val="000000"/>
          <w:sz w:val="24"/>
          <w:szCs w:val="24"/>
        </w:rPr>
        <w:t>,</w:t>
      </w:r>
      <w:r>
        <w:rPr>
          <w:color w:val="000000"/>
          <w:sz w:val="24"/>
          <w:szCs w:val="24"/>
        </w:rPr>
        <w:t xml:space="preserve"> </w:t>
      </w:r>
      <w:r w:rsidR="00FF650B">
        <w:rPr>
          <w:color w:val="000000"/>
          <w:sz w:val="24"/>
          <w:szCs w:val="24"/>
        </w:rPr>
        <w:t xml:space="preserve">Inc. </w:t>
      </w:r>
      <w:r>
        <w:rPr>
          <w:color w:val="000000"/>
          <w:sz w:val="24"/>
          <w:szCs w:val="24"/>
        </w:rPr>
        <w:t xml:space="preserve">promptly addressed the issues or instituted changes to </w:t>
      </w:r>
      <w:r w:rsidR="00F017F1">
        <w:rPr>
          <w:color w:val="000000"/>
          <w:sz w:val="24"/>
          <w:szCs w:val="24"/>
        </w:rPr>
        <w:t>its</w:t>
      </w:r>
      <w:r>
        <w:rPr>
          <w:color w:val="000000"/>
          <w:sz w:val="24"/>
          <w:szCs w:val="24"/>
        </w:rPr>
        <w:t xml:space="preserve"> business practices</w:t>
      </w:r>
      <w:r w:rsidR="00F017F1">
        <w:rPr>
          <w:color w:val="000000"/>
          <w:sz w:val="24"/>
          <w:szCs w:val="24"/>
        </w:rPr>
        <w:t>.</w:t>
      </w:r>
      <w:r>
        <w:rPr>
          <w:color w:val="000000"/>
          <w:sz w:val="24"/>
          <w:szCs w:val="24"/>
        </w:rPr>
        <w:t xml:space="preserve"> </w:t>
      </w:r>
      <w:r w:rsidR="005E43B5">
        <w:rPr>
          <w:color w:val="000000"/>
          <w:sz w:val="24"/>
          <w:szCs w:val="24"/>
        </w:rPr>
        <w:t xml:space="preserve"> </w:t>
      </w:r>
      <w:r>
        <w:rPr>
          <w:color w:val="000000"/>
          <w:sz w:val="24"/>
          <w:szCs w:val="24"/>
        </w:rPr>
        <w:t xml:space="preserve">Whether </w:t>
      </w:r>
      <w:r w:rsidR="00F017F1">
        <w:rPr>
          <w:color w:val="000000"/>
          <w:sz w:val="24"/>
          <w:szCs w:val="24"/>
        </w:rPr>
        <w:t>Steven A. Cintron/La Familia</w:t>
      </w:r>
      <w:r w:rsidR="005E43B5">
        <w:rPr>
          <w:color w:val="000000"/>
          <w:sz w:val="24"/>
          <w:szCs w:val="24"/>
        </w:rPr>
        <w:t>,</w:t>
      </w:r>
      <w:r w:rsidR="00F017F1">
        <w:rPr>
          <w:color w:val="000000"/>
          <w:sz w:val="24"/>
          <w:szCs w:val="24"/>
        </w:rPr>
        <w:t xml:space="preserve"> </w:t>
      </w:r>
      <w:r w:rsidR="00FF650B">
        <w:rPr>
          <w:color w:val="000000"/>
          <w:sz w:val="24"/>
          <w:szCs w:val="24"/>
        </w:rPr>
        <w:t xml:space="preserve">Inc. </w:t>
      </w:r>
      <w:r>
        <w:rPr>
          <w:color w:val="000000"/>
          <w:sz w:val="24"/>
          <w:szCs w:val="24"/>
        </w:rPr>
        <w:t xml:space="preserve">develops different business practices to address the violations remains to be seen.  </w:t>
      </w:r>
    </w:p>
    <w:p w:rsidR="00F017F1" w:rsidRDefault="00F017F1" w:rsidP="00915161">
      <w:pPr>
        <w:spacing w:line="360" w:lineRule="auto"/>
        <w:ind w:firstLine="1440"/>
        <w:rPr>
          <w:color w:val="000000"/>
          <w:sz w:val="24"/>
          <w:szCs w:val="24"/>
        </w:rPr>
      </w:pPr>
    </w:p>
    <w:p w:rsidR="00F017F1" w:rsidRDefault="00915161" w:rsidP="00915161">
      <w:pPr>
        <w:spacing w:line="360" w:lineRule="auto"/>
        <w:ind w:firstLine="1440"/>
        <w:rPr>
          <w:color w:val="000000"/>
          <w:sz w:val="24"/>
          <w:szCs w:val="24"/>
        </w:rPr>
      </w:pPr>
      <w:r w:rsidRPr="000C244F">
        <w:rPr>
          <w:color w:val="000000"/>
          <w:sz w:val="24"/>
          <w:szCs w:val="24"/>
        </w:rPr>
        <w:t>The fo</w:t>
      </w:r>
      <w:r>
        <w:rPr>
          <w:color w:val="000000"/>
          <w:sz w:val="24"/>
          <w:szCs w:val="24"/>
        </w:rPr>
        <w:t>u</w:t>
      </w:r>
      <w:r w:rsidRPr="000C244F">
        <w:rPr>
          <w:color w:val="000000"/>
          <w:sz w:val="24"/>
          <w:szCs w:val="24"/>
        </w:rPr>
        <w:t xml:space="preserve">rth and fifth </w:t>
      </w:r>
      <w:r w:rsidRPr="00E943EB">
        <w:rPr>
          <w:i/>
          <w:color w:val="000000"/>
          <w:sz w:val="24"/>
          <w:szCs w:val="24"/>
        </w:rPr>
        <w:t xml:space="preserve">Rosi </w:t>
      </w:r>
      <w:r>
        <w:rPr>
          <w:color w:val="000000"/>
          <w:sz w:val="24"/>
          <w:szCs w:val="24"/>
        </w:rPr>
        <w:t>s</w:t>
      </w:r>
      <w:r w:rsidRPr="000C244F">
        <w:rPr>
          <w:color w:val="000000"/>
          <w:sz w:val="24"/>
          <w:szCs w:val="24"/>
        </w:rPr>
        <w:t>tandards question the number of customers impacted by the violation</w:t>
      </w:r>
      <w:r>
        <w:rPr>
          <w:color w:val="000000"/>
          <w:sz w:val="24"/>
          <w:szCs w:val="24"/>
        </w:rPr>
        <w:t>s</w:t>
      </w:r>
      <w:r w:rsidRPr="000C244F">
        <w:rPr>
          <w:color w:val="000000"/>
          <w:sz w:val="24"/>
          <w:szCs w:val="24"/>
        </w:rPr>
        <w:t xml:space="preserve">, and whether the recommended penalty arises from a settlement or a litigated proceeding.  </w:t>
      </w:r>
      <w:r w:rsidR="00F017F1">
        <w:rPr>
          <w:color w:val="000000"/>
          <w:sz w:val="24"/>
          <w:szCs w:val="24"/>
        </w:rPr>
        <w:t>BI&amp;E presented no evidence of impacted customers.</w:t>
      </w:r>
    </w:p>
    <w:p w:rsidR="00915161" w:rsidRDefault="00F017F1" w:rsidP="00915161">
      <w:pPr>
        <w:spacing w:line="360" w:lineRule="auto"/>
        <w:ind w:firstLine="1440"/>
        <w:rPr>
          <w:color w:val="000000"/>
          <w:sz w:val="24"/>
          <w:szCs w:val="24"/>
        </w:rPr>
      </w:pPr>
      <w:r>
        <w:rPr>
          <w:color w:val="000000"/>
          <w:sz w:val="24"/>
          <w:szCs w:val="24"/>
        </w:rPr>
        <w:t xml:space="preserve"> </w:t>
      </w:r>
    </w:p>
    <w:p w:rsidR="00915161" w:rsidRDefault="00915161" w:rsidP="00915161">
      <w:pPr>
        <w:spacing w:line="360" w:lineRule="auto"/>
        <w:ind w:firstLine="1440"/>
        <w:rPr>
          <w:color w:val="000000"/>
          <w:sz w:val="24"/>
          <w:szCs w:val="24"/>
        </w:rPr>
      </w:pPr>
      <w:r>
        <w:rPr>
          <w:color w:val="000000"/>
          <w:sz w:val="24"/>
          <w:szCs w:val="24"/>
        </w:rPr>
        <w:t>S</w:t>
      </w:r>
      <w:r w:rsidRPr="000C244F">
        <w:rPr>
          <w:color w:val="000000"/>
          <w:sz w:val="24"/>
          <w:szCs w:val="24"/>
        </w:rPr>
        <w:t xml:space="preserve">tandards six and seven question the compliance history of the utility, and whether the utility cooperated with the Commission in attempting to correct the problem.  </w:t>
      </w:r>
      <w:r w:rsidR="00F017F1">
        <w:rPr>
          <w:color w:val="000000"/>
          <w:sz w:val="24"/>
          <w:szCs w:val="24"/>
        </w:rPr>
        <w:t>BI&amp;E presented evidence of two earlier complaints and civil penalty assessments for the same violation.  Compliance with the Public Utility Code is clearly not a priority for</w:t>
      </w:r>
      <w:r w:rsidR="00F017F1" w:rsidRPr="00F017F1">
        <w:rPr>
          <w:color w:val="000000"/>
          <w:sz w:val="24"/>
          <w:szCs w:val="24"/>
        </w:rPr>
        <w:t xml:space="preserve"> </w:t>
      </w:r>
      <w:r w:rsidR="00F017F1">
        <w:rPr>
          <w:color w:val="000000"/>
          <w:sz w:val="24"/>
          <w:szCs w:val="24"/>
        </w:rPr>
        <w:t>Steven A. Cintron/La Familia</w:t>
      </w:r>
      <w:r w:rsidR="005E43B5">
        <w:rPr>
          <w:color w:val="000000"/>
          <w:sz w:val="24"/>
          <w:szCs w:val="24"/>
        </w:rPr>
        <w:t>,</w:t>
      </w:r>
      <w:r w:rsidR="00FF650B">
        <w:rPr>
          <w:color w:val="000000"/>
          <w:sz w:val="24"/>
          <w:szCs w:val="24"/>
        </w:rPr>
        <w:t xml:space="preserve"> Inc.</w:t>
      </w:r>
      <w:r w:rsidR="009113E6">
        <w:rPr>
          <w:color w:val="000000"/>
          <w:sz w:val="24"/>
          <w:szCs w:val="24"/>
        </w:rPr>
        <w:t xml:space="preserve"> </w:t>
      </w:r>
      <w:r>
        <w:rPr>
          <w:color w:val="000000"/>
          <w:sz w:val="24"/>
          <w:szCs w:val="24"/>
        </w:rPr>
        <w:t xml:space="preserve"> Therefore, under </w:t>
      </w:r>
      <w:r w:rsidRPr="00F017F1">
        <w:rPr>
          <w:i/>
          <w:color w:val="000000"/>
          <w:sz w:val="24"/>
          <w:szCs w:val="24"/>
        </w:rPr>
        <w:t>Rosi</w:t>
      </w:r>
      <w:r>
        <w:rPr>
          <w:color w:val="000000"/>
          <w:sz w:val="24"/>
          <w:szCs w:val="24"/>
        </w:rPr>
        <w:t xml:space="preserve">, the penalty assessment </w:t>
      </w:r>
      <w:r w:rsidR="00F017F1">
        <w:rPr>
          <w:color w:val="000000"/>
          <w:sz w:val="24"/>
          <w:szCs w:val="24"/>
        </w:rPr>
        <w:t>of $1</w:t>
      </w:r>
      <w:r w:rsidR="00CA22EC">
        <w:rPr>
          <w:color w:val="000000"/>
          <w:sz w:val="24"/>
          <w:szCs w:val="24"/>
        </w:rPr>
        <w:t>,</w:t>
      </w:r>
      <w:r w:rsidR="00F017F1">
        <w:rPr>
          <w:color w:val="000000"/>
          <w:sz w:val="24"/>
          <w:szCs w:val="24"/>
        </w:rPr>
        <w:t>000 remains appropriate</w:t>
      </w:r>
      <w:r>
        <w:rPr>
          <w:color w:val="000000"/>
          <w:sz w:val="24"/>
          <w:szCs w:val="24"/>
        </w:rPr>
        <w:t xml:space="preserve">.  </w:t>
      </w:r>
    </w:p>
    <w:p w:rsidR="00915161" w:rsidRDefault="00915161" w:rsidP="00915161">
      <w:pPr>
        <w:spacing w:line="360" w:lineRule="auto"/>
        <w:ind w:firstLine="1440"/>
        <w:rPr>
          <w:color w:val="000000"/>
          <w:sz w:val="24"/>
          <w:szCs w:val="24"/>
        </w:rPr>
      </w:pPr>
    </w:p>
    <w:p w:rsidR="00915161" w:rsidRDefault="00915161" w:rsidP="00954720">
      <w:pPr>
        <w:spacing w:line="360" w:lineRule="auto"/>
        <w:ind w:firstLine="1440"/>
        <w:rPr>
          <w:color w:val="000000"/>
          <w:sz w:val="24"/>
          <w:szCs w:val="24"/>
        </w:rPr>
      </w:pPr>
      <w:r>
        <w:rPr>
          <w:color w:val="000000"/>
          <w:sz w:val="24"/>
          <w:szCs w:val="24"/>
        </w:rPr>
        <w:t>The eighth and ninth s</w:t>
      </w:r>
      <w:r w:rsidRPr="000C244F">
        <w:rPr>
          <w:color w:val="000000"/>
          <w:sz w:val="24"/>
          <w:szCs w:val="24"/>
        </w:rPr>
        <w:t xml:space="preserve">tandards consider the amount </w:t>
      </w:r>
      <w:r>
        <w:rPr>
          <w:color w:val="000000"/>
          <w:sz w:val="24"/>
          <w:szCs w:val="24"/>
        </w:rPr>
        <w:t xml:space="preserve">of a civil penalty </w:t>
      </w:r>
      <w:r w:rsidRPr="000C244F">
        <w:rPr>
          <w:color w:val="000000"/>
          <w:sz w:val="24"/>
          <w:szCs w:val="24"/>
        </w:rPr>
        <w:t xml:space="preserve">necessary to deter future violations and considers past Commission decisions regarding similar issues.  </w:t>
      </w:r>
      <w:r w:rsidR="00F017F1">
        <w:rPr>
          <w:color w:val="000000"/>
          <w:sz w:val="24"/>
          <w:szCs w:val="24"/>
        </w:rPr>
        <w:t>A $1</w:t>
      </w:r>
      <w:r w:rsidR="00FF650B">
        <w:rPr>
          <w:color w:val="000000"/>
          <w:sz w:val="24"/>
          <w:szCs w:val="24"/>
        </w:rPr>
        <w:t>,</w:t>
      </w:r>
      <w:r w:rsidR="00F017F1">
        <w:rPr>
          <w:color w:val="000000"/>
          <w:sz w:val="24"/>
          <w:szCs w:val="24"/>
        </w:rPr>
        <w:t>000 civil penalty should deter fut</w:t>
      </w:r>
      <w:r w:rsidR="00E943EB">
        <w:rPr>
          <w:color w:val="000000"/>
          <w:sz w:val="24"/>
          <w:szCs w:val="24"/>
        </w:rPr>
        <w:t>ure violations.  However, this I</w:t>
      </w:r>
      <w:r w:rsidR="00F017F1">
        <w:rPr>
          <w:color w:val="000000"/>
          <w:sz w:val="24"/>
          <w:szCs w:val="24"/>
        </w:rPr>
        <w:t xml:space="preserve">nitial Decision will also be forwarded to the Department of Transportation asking that they put an administrative hold on </w:t>
      </w:r>
    </w:p>
    <w:p w:rsidR="00F017F1" w:rsidRDefault="00F017F1" w:rsidP="00F017F1">
      <w:pPr>
        <w:spacing w:line="360" w:lineRule="auto"/>
        <w:rPr>
          <w:color w:val="000000"/>
          <w:sz w:val="24"/>
          <w:szCs w:val="24"/>
        </w:rPr>
      </w:pPr>
      <w:r>
        <w:rPr>
          <w:color w:val="000000"/>
          <w:sz w:val="24"/>
          <w:szCs w:val="24"/>
        </w:rPr>
        <w:t>Steven A. Cintron/La Familia</w:t>
      </w:r>
      <w:r w:rsidR="00FF650B">
        <w:rPr>
          <w:color w:val="000000"/>
          <w:sz w:val="24"/>
          <w:szCs w:val="24"/>
        </w:rPr>
        <w:t xml:space="preserve"> Inc.</w:t>
      </w:r>
      <w:r>
        <w:rPr>
          <w:color w:val="000000"/>
          <w:sz w:val="24"/>
          <w:szCs w:val="24"/>
        </w:rPr>
        <w:t>’s registered vehicles</w:t>
      </w:r>
      <w:r w:rsidR="00E943EB">
        <w:rPr>
          <w:color w:val="000000"/>
          <w:sz w:val="24"/>
          <w:szCs w:val="24"/>
        </w:rPr>
        <w:t xml:space="preserve"> until all assessments are paid</w:t>
      </w:r>
      <w:r>
        <w:rPr>
          <w:color w:val="000000"/>
          <w:sz w:val="24"/>
          <w:szCs w:val="24"/>
        </w:rPr>
        <w:t>.</w:t>
      </w:r>
    </w:p>
    <w:p w:rsidR="00F017F1" w:rsidRDefault="00F017F1" w:rsidP="00F017F1">
      <w:pPr>
        <w:spacing w:line="360" w:lineRule="auto"/>
        <w:rPr>
          <w:color w:val="000000"/>
          <w:sz w:val="24"/>
          <w:szCs w:val="24"/>
        </w:rPr>
      </w:pPr>
    </w:p>
    <w:p w:rsidR="00F017F1" w:rsidRDefault="00915161" w:rsidP="00F017F1">
      <w:pPr>
        <w:spacing w:line="360" w:lineRule="auto"/>
        <w:ind w:firstLine="1350"/>
        <w:rPr>
          <w:color w:val="000000"/>
          <w:sz w:val="24"/>
          <w:szCs w:val="24"/>
        </w:rPr>
      </w:pPr>
      <w:r>
        <w:rPr>
          <w:color w:val="000000"/>
          <w:sz w:val="24"/>
          <w:szCs w:val="24"/>
        </w:rPr>
        <w:t>T</w:t>
      </w:r>
      <w:r w:rsidRPr="000C244F">
        <w:rPr>
          <w:color w:val="000000"/>
          <w:sz w:val="24"/>
          <w:szCs w:val="24"/>
        </w:rPr>
        <w:t xml:space="preserve">he tenth </w:t>
      </w:r>
      <w:r w:rsidRPr="00E943EB">
        <w:rPr>
          <w:i/>
          <w:color w:val="000000"/>
          <w:sz w:val="24"/>
          <w:szCs w:val="24"/>
        </w:rPr>
        <w:t>Rosi</w:t>
      </w:r>
      <w:r w:rsidRPr="000C244F">
        <w:rPr>
          <w:color w:val="000000"/>
          <w:sz w:val="24"/>
          <w:szCs w:val="24"/>
        </w:rPr>
        <w:t xml:space="preserve"> standard is other relevant factors.</w:t>
      </w:r>
      <w:r>
        <w:rPr>
          <w:color w:val="000000"/>
          <w:sz w:val="24"/>
          <w:szCs w:val="24"/>
        </w:rPr>
        <w:t xml:space="preserve">  No other relevant factors were raised by </w:t>
      </w:r>
      <w:r w:rsidR="00F017F1">
        <w:rPr>
          <w:color w:val="000000"/>
          <w:sz w:val="24"/>
          <w:szCs w:val="24"/>
        </w:rPr>
        <w:t>BI&amp;E</w:t>
      </w:r>
      <w:r w:rsidR="00FF650B">
        <w:rPr>
          <w:color w:val="000000"/>
          <w:sz w:val="24"/>
          <w:szCs w:val="24"/>
        </w:rPr>
        <w:t>.</w:t>
      </w:r>
    </w:p>
    <w:p w:rsidR="00181604" w:rsidRDefault="00181604" w:rsidP="00F017F1">
      <w:pPr>
        <w:spacing w:line="360" w:lineRule="auto"/>
        <w:ind w:firstLine="1350"/>
        <w:rPr>
          <w:color w:val="000000"/>
          <w:sz w:val="24"/>
          <w:szCs w:val="24"/>
        </w:rPr>
      </w:pPr>
    </w:p>
    <w:p w:rsidR="00181604" w:rsidRDefault="00181604" w:rsidP="00F017F1">
      <w:pPr>
        <w:spacing w:line="360" w:lineRule="auto"/>
        <w:ind w:firstLine="1350"/>
        <w:rPr>
          <w:color w:val="000000"/>
          <w:sz w:val="24"/>
          <w:szCs w:val="24"/>
        </w:rPr>
      </w:pPr>
      <w:r>
        <w:rPr>
          <w:color w:val="000000"/>
          <w:sz w:val="24"/>
          <w:szCs w:val="24"/>
        </w:rPr>
        <w:t>In summary, after review of the Rosi factors, the penalty of $1,000 is warranted and appropriate.</w:t>
      </w:r>
    </w:p>
    <w:p w:rsidR="00306496" w:rsidRPr="00E943EB" w:rsidRDefault="00306496" w:rsidP="00E943EB">
      <w:pPr>
        <w:spacing w:line="360" w:lineRule="auto"/>
        <w:ind w:firstLine="1350"/>
        <w:rPr>
          <w:color w:val="000000"/>
          <w:sz w:val="24"/>
          <w:szCs w:val="24"/>
        </w:rPr>
      </w:pPr>
    </w:p>
    <w:p w:rsidR="00CB495C" w:rsidRDefault="00CB495C" w:rsidP="00062592">
      <w:pPr>
        <w:spacing w:line="360" w:lineRule="auto"/>
        <w:jc w:val="center"/>
        <w:rPr>
          <w:sz w:val="24"/>
          <w:szCs w:val="24"/>
          <w:u w:val="single"/>
        </w:rPr>
      </w:pPr>
      <w:r w:rsidRPr="00DC4452">
        <w:rPr>
          <w:sz w:val="24"/>
          <w:szCs w:val="24"/>
          <w:u w:val="single"/>
        </w:rPr>
        <w:t>CONCLUSIONS OF LAW</w:t>
      </w:r>
    </w:p>
    <w:p w:rsidR="007D13F3" w:rsidRDefault="007D13F3" w:rsidP="00CB495C">
      <w:pPr>
        <w:jc w:val="center"/>
        <w:rPr>
          <w:sz w:val="24"/>
          <w:szCs w:val="24"/>
          <w:u w:val="single"/>
        </w:rPr>
      </w:pPr>
    </w:p>
    <w:p w:rsidR="007D13F3" w:rsidRDefault="007D13F3" w:rsidP="007E743C">
      <w:pPr>
        <w:pStyle w:val="ListParagraph"/>
        <w:numPr>
          <w:ilvl w:val="0"/>
          <w:numId w:val="34"/>
        </w:numPr>
        <w:spacing w:line="360" w:lineRule="auto"/>
        <w:ind w:left="0" w:firstLine="1440"/>
        <w:rPr>
          <w:sz w:val="24"/>
          <w:szCs w:val="24"/>
        </w:rPr>
      </w:pPr>
      <w:r>
        <w:rPr>
          <w:sz w:val="24"/>
          <w:szCs w:val="24"/>
        </w:rPr>
        <w:t>The Commission has jurisdictio</w:t>
      </w:r>
      <w:bookmarkStart w:id="0" w:name="_GoBack"/>
      <w:bookmarkEnd w:id="0"/>
      <w:r>
        <w:rPr>
          <w:sz w:val="24"/>
          <w:szCs w:val="24"/>
        </w:rPr>
        <w:t>n over the parties and subject matter in this proceeding.</w:t>
      </w:r>
      <w:r w:rsidR="00C07AAB">
        <w:rPr>
          <w:sz w:val="24"/>
          <w:szCs w:val="24"/>
        </w:rPr>
        <w:t xml:space="preserve">  66 Pa.C.S. § 701</w:t>
      </w:r>
    </w:p>
    <w:p w:rsidR="00062592" w:rsidRDefault="00062592" w:rsidP="00062592">
      <w:pPr>
        <w:pStyle w:val="ListParagraph"/>
        <w:spacing w:line="360" w:lineRule="auto"/>
        <w:ind w:left="1440"/>
        <w:rPr>
          <w:sz w:val="24"/>
          <w:szCs w:val="24"/>
        </w:rPr>
      </w:pPr>
    </w:p>
    <w:p w:rsidR="007D13F3" w:rsidRDefault="007D13F3" w:rsidP="007E743C">
      <w:pPr>
        <w:pStyle w:val="ListParagraph"/>
        <w:numPr>
          <w:ilvl w:val="0"/>
          <w:numId w:val="34"/>
        </w:numPr>
        <w:spacing w:line="360" w:lineRule="auto"/>
        <w:ind w:left="0" w:firstLine="1440"/>
        <w:rPr>
          <w:sz w:val="24"/>
          <w:szCs w:val="24"/>
        </w:rPr>
      </w:pPr>
      <w:r>
        <w:rPr>
          <w:sz w:val="24"/>
          <w:szCs w:val="24"/>
        </w:rPr>
        <w:t>Steven A. Cintron/La Familia, Inc. is a corporation.</w:t>
      </w:r>
      <w:r w:rsidR="00181604">
        <w:rPr>
          <w:sz w:val="24"/>
          <w:szCs w:val="24"/>
        </w:rPr>
        <w:t xml:space="preserve">  52 Pa. Code §§ 1.21, 1.22</w:t>
      </w:r>
    </w:p>
    <w:p w:rsidR="007D13F3" w:rsidRDefault="007D13F3" w:rsidP="007E743C">
      <w:pPr>
        <w:pStyle w:val="ListParagraph"/>
        <w:spacing w:line="360" w:lineRule="auto"/>
        <w:ind w:left="1440"/>
        <w:rPr>
          <w:sz w:val="24"/>
          <w:szCs w:val="24"/>
        </w:rPr>
      </w:pPr>
      <w:r>
        <w:rPr>
          <w:sz w:val="24"/>
          <w:szCs w:val="24"/>
        </w:rPr>
        <w:t xml:space="preserve"> </w:t>
      </w:r>
    </w:p>
    <w:p w:rsidR="007D13F3" w:rsidRDefault="007D13F3" w:rsidP="007E743C">
      <w:pPr>
        <w:pStyle w:val="ListParagraph"/>
        <w:numPr>
          <w:ilvl w:val="0"/>
          <w:numId w:val="34"/>
        </w:numPr>
        <w:tabs>
          <w:tab w:val="left" w:pos="-1440"/>
          <w:tab w:val="left" w:pos="-720"/>
        </w:tabs>
        <w:suppressAutoHyphens/>
        <w:spacing w:line="360" w:lineRule="auto"/>
        <w:ind w:left="0" w:firstLine="1440"/>
        <w:rPr>
          <w:spacing w:val="-3"/>
          <w:sz w:val="24"/>
          <w:szCs w:val="24"/>
        </w:rPr>
      </w:pPr>
      <w:r>
        <w:rPr>
          <w:spacing w:val="-3"/>
          <w:sz w:val="24"/>
          <w:szCs w:val="24"/>
        </w:rPr>
        <w:t>Y</w:t>
      </w:r>
      <w:r w:rsidRPr="007D13F3">
        <w:rPr>
          <w:spacing w:val="-3"/>
          <w:sz w:val="24"/>
          <w:szCs w:val="24"/>
        </w:rPr>
        <w:t>ou may represent yourself, if you are an individual…However, if you are a partnership, limited liability company, corporation, trust, association…you must have an attorney…</w:t>
      </w:r>
      <w:r>
        <w:rPr>
          <w:spacing w:val="-3"/>
          <w:sz w:val="24"/>
          <w:szCs w:val="24"/>
        </w:rPr>
        <w:t xml:space="preserve"> 52 Pa.Code § 1.21.</w:t>
      </w:r>
    </w:p>
    <w:p w:rsidR="00CF5420" w:rsidRPr="00CF5420" w:rsidRDefault="00CF5420" w:rsidP="00CF5420">
      <w:pPr>
        <w:pStyle w:val="ListParagraph"/>
        <w:rPr>
          <w:spacing w:val="-3"/>
          <w:sz w:val="24"/>
          <w:szCs w:val="24"/>
        </w:rPr>
      </w:pPr>
    </w:p>
    <w:p w:rsidR="007D13F3" w:rsidRDefault="007E743C" w:rsidP="007E743C">
      <w:pPr>
        <w:pStyle w:val="ListParagraph"/>
        <w:numPr>
          <w:ilvl w:val="0"/>
          <w:numId w:val="34"/>
        </w:numPr>
        <w:spacing w:line="360" w:lineRule="auto"/>
        <w:ind w:left="0" w:firstLine="1440"/>
        <w:rPr>
          <w:sz w:val="24"/>
          <w:szCs w:val="24"/>
        </w:rPr>
      </w:pPr>
      <w:r>
        <w:rPr>
          <w:sz w:val="24"/>
          <w:szCs w:val="24"/>
        </w:rPr>
        <w:t>Pursuant to regulation, Steven A. Cintron/La Familia, Inc. was not allowed to testify due to lack of counsel.  52 Pa.Code § 1.21.</w:t>
      </w:r>
    </w:p>
    <w:p w:rsidR="007E743C" w:rsidRDefault="007E743C" w:rsidP="007E743C">
      <w:pPr>
        <w:pStyle w:val="ListParagraph"/>
        <w:spacing w:line="360" w:lineRule="auto"/>
        <w:ind w:left="1440"/>
        <w:rPr>
          <w:sz w:val="24"/>
          <w:szCs w:val="24"/>
        </w:rPr>
      </w:pPr>
      <w:r>
        <w:rPr>
          <w:sz w:val="24"/>
          <w:szCs w:val="24"/>
        </w:rPr>
        <w:t xml:space="preserve"> </w:t>
      </w:r>
    </w:p>
    <w:p w:rsidR="007E743C" w:rsidRDefault="007E743C" w:rsidP="007E743C">
      <w:pPr>
        <w:pStyle w:val="ListParagraph"/>
        <w:numPr>
          <w:ilvl w:val="0"/>
          <w:numId w:val="34"/>
        </w:numPr>
        <w:spacing w:line="360" w:lineRule="auto"/>
        <w:ind w:left="0" w:firstLine="1440"/>
        <w:rPr>
          <w:sz w:val="24"/>
          <w:szCs w:val="24"/>
        </w:rPr>
      </w:pPr>
      <w:r>
        <w:rPr>
          <w:sz w:val="24"/>
          <w:szCs w:val="24"/>
        </w:rPr>
        <w:t>The Bureau of Investigation and Enforcement met its burden of proof.</w:t>
      </w:r>
      <w:r w:rsidR="00915161">
        <w:rPr>
          <w:sz w:val="24"/>
          <w:szCs w:val="24"/>
        </w:rPr>
        <w:t xml:space="preserve">  66 Pa.C.S. § 332.</w:t>
      </w:r>
    </w:p>
    <w:p w:rsidR="007E743C" w:rsidRPr="007E743C" w:rsidRDefault="007E743C" w:rsidP="007E743C">
      <w:pPr>
        <w:pStyle w:val="ListParagraph"/>
        <w:spacing w:line="360" w:lineRule="auto"/>
        <w:rPr>
          <w:sz w:val="24"/>
          <w:szCs w:val="24"/>
        </w:rPr>
      </w:pPr>
    </w:p>
    <w:p w:rsidR="007E743C" w:rsidRPr="007D13F3" w:rsidRDefault="007E743C" w:rsidP="007E743C">
      <w:pPr>
        <w:pStyle w:val="ListParagraph"/>
        <w:numPr>
          <w:ilvl w:val="0"/>
          <w:numId w:val="34"/>
        </w:numPr>
        <w:spacing w:line="360" w:lineRule="auto"/>
        <w:ind w:left="0" w:firstLine="1440"/>
        <w:rPr>
          <w:sz w:val="24"/>
          <w:szCs w:val="24"/>
        </w:rPr>
      </w:pPr>
      <w:r>
        <w:rPr>
          <w:sz w:val="24"/>
          <w:szCs w:val="24"/>
        </w:rPr>
        <w:t>Steven A. Cintron/La Familia, Inc. violated Section</w:t>
      </w:r>
      <w:r w:rsidR="00CF5420">
        <w:rPr>
          <w:sz w:val="24"/>
          <w:szCs w:val="24"/>
        </w:rPr>
        <w:t xml:space="preserve"> </w:t>
      </w:r>
      <w:r>
        <w:rPr>
          <w:sz w:val="24"/>
          <w:szCs w:val="24"/>
        </w:rPr>
        <w:t xml:space="preserve">1101 of the Public Utility Code by offering transportation for compensation </w:t>
      </w:r>
      <w:r w:rsidR="00915161">
        <w:rPr>
          <w:sz w:val="24"/>
          <w:szCs w:val="24"/>
        </w:rPr>
        <w:t xml:space="preserve">as a common carrier </w:t>
      </w:r>
      <w:r>
        <w:rPr>
          <w:sz w:val="24"/>
          <w:szCs w:val="24"/>
        </w:rPr>
        <w:t xml:space="preserve">without a certificate of public convenience.  66 Pa.C.S. § 1101. </w:t>
      </w:r>
    </w:p>
    <w:p w:rsidR="00CB495C" w:rsidRDefault="00CB495C" w:rsidP="00CB495C">
      <w:pPr>
        <w:jc w:val="center"/>
        <w:rPr>
          <w:sz w:val="24"/>
          <w:szCs w:val="24"/>
          <w:u w:val="single"/>
        </w:rPr>
      </w:pPr>
      <w:r w:rsidRPr="00DC4452">
        <w:rPr>
          <w:sz w:val="24"/>
          <w:szCs w:val="24"/>
          <w:u w:val="single"/>
        </w:rPr>
        <w:t>ORDER</w:t>
      </w:r>
    </w:p>
    <w:p w:rsidR="0011756F" w:rsidRDefault="0011756F" w:rsidP="00CB495C">
      <w:pPr>
        <w:jc w:val="center"/>
        <w:rPr>
          <w:sz w:val="24"/>
          <w:szCs w:val="24"/>
          <w:u w:val="single"/>
        </w:rPr>
      </w:pPr>
    </w:p>
    <w:p w:rsidR="00062592" w:rsidRPr="00DC4452" w:rsidRDefault="00062592" w:rsidP="00CB495C">
      <w:pPr>
        <w:jc w:val="center"/>
        <w:rPr>
          <w:sz w:val="24"/>
          <w:szCs w:val="24"/>
          <w:u w:val="single"/>
        </w:rPr>
      </w:pPr>
    </w:p>
    <w:p w:rsidR="005C3634" w:rsidRDefault="005C3634" w:rsidP="00CB495C">
      <w:pPr>
        <w:jc w:val="center"/>
        <w:rPr>
          <w:sz w:val="24"/>
          <w:szCs w:val="24"/>
          <w:u w:val="single"/>
        </w:rPr>
      </w:pPr>
    </w:p>
    <w:p w:rsidR="00BE5F2D" w:rsidRDefault="00062592" w:rsidP="00062592">
      <w:pPr>
        <w:spacing w:line="360" w:lineRule="auto"/>
        <w:rPr>
          <w:sz w:val="24"/>
          <w:szCs w:val="24"/>
        </w:rPr>
      </w:pPr>
      <w:r>
        <w:rPr>
          <w:sz w:val="24"/>
          <w:szCs w:val="24"/>
        </w:rPr>
        <w:tab/>
      </w:r>
      <w:r>
        <w:rPr>
          <w:sz w:val="24"/>
          <w:szCs w:val="24"/>
        </w:rPr>
        <w:tab/>
      </w:r>
      <w:r w:rsidR="00BE5F2D">
        <w:rPr>
          <w:sz w:val="24"/>
          <w:szCs w:val="24"/>
        </w:rPr>
        <w:t>THEREFORE,</w:t>
      </w:r>
    </w:p>
    <w:p w:rsidR="00BE5F2D" w:rsidRDefault="00BE5F2D" w:rsidP="00BE5F2D">
      <w:pPr>
        <w:rPr>
          <w:sz w:val="24"/>
          <w:szCs w:val="24"/>
        </w:rPr>
      </w:pPr>
    </w:p>
    <w:p w:rsidR="00BE5F2D" w:rsidRDefault="00062592" w:rsidP="00062592">
      <w:pPr>
        <w:spacing w:line="360" w:lineRule="auto"/>
        <w:rPr>
          <w:sz w:val="24"/>
          <w:szCs w:val="24"/>
        </w:rPr>
      </w:pPr>
      <w:r>
        <w:rPr>
          <w:sz w:val="24"/>
          <w:szCs w:val="24"/>
        </w:rPr>
        <w:tab/>
      </w:r>
      <w:r>
        <w:rPr>
          <w:sz w:val="24"/>
          <w:szCs w:val="24"/>
        </w:rPr>
        <w:tab/>
      </w:r>
      <w:r w:rsidR="00BE5F2D">
        <w:rPr>
          <w:sz w:val="24"/>
          <w:szCs w:val="24"/>
        </w:rPr>
        <w:t>IT IS ORDERED</w:t>
      </w:r>
      <w:r w:rsidR="005E78AE">
        <w:rPr>
          <w:sz w:val="24"/>
          <w:szCs w:val="24"/>
        </w:rPr>
        <w:t>:</w:t>
      </w:r>
    </w:p>
    <w:p w:rsidR="007E743C" w:rsidRDefault="007E743C" w:rsidP="00062592">
      <w:pPr>
        <w:spacing w:line="360" w:lineRule="auto"/>
        <w:rPr>
          <w:sz w:val="24"/>
          <w:szCs w:val="24"/>
        </w:rPr>
      </w:pPr>
    </w:p>
    <w:p w:rsidR="007E743C" w:rsidRDefault="007E743C" w:rsidP="00CF5420">
      <w:pPr>
        <w:pStyle w:val="ListParagraph"/>
        <w:numPr>
          <w:ilvl w:val="0"/>
          <w:numId w:val="35"/>
        </w:numPr>
        <w:spacing w:line="360" w:lineRule="auto"/>
        <w:ind w:left="0" w:firstLine="1440"/>
        <w:rPr>
          <w:sz w:val="24"/>
          <w:szCs w:val="24"/>
        </w:rPr>
      </w:pPr>
      <w:r>
        <w:rPr>
          <w:sz w:val="24"/>
          <w:szCs w:val="24"/>
        </w:rPr>
        <w:t>That Steven A. Cintron/La Familia, Inc. shall cease and desist from violating the Public Utility Code.</w:t>
      </w:r>
    </w:p>
    <w:p w:rsidR="007E743C" w:rsidRDefault="007E743C" w:rsidP="00CF5420">
      <w:pPr>
        <w:pStyle w:val="ListParagraph"/>
        <w:spacing w:line="360" w:lineRule="auto"/>
        <w:ind w:left="0" w:firstLine="1440"/>
        <w:rPr>
          <w:sz w:val="24"/>
          <w:szCs w:val="24"/>
        </w:rPr>
      </w:pPr>
      <w:r>
        <w:rPr>
          <w:sz w:val="24"/>
          <w:szCs w:val="24"/>
        </w:rPr>
        <w:t xml:space="preserve"> </w:t>
      </w:r>
    </w:p>
    <w:p w:rsidR="00BB3EF8" w:rsidRDefault="007E743C" w:rsidP="00CF5420">
      <w:pPr>
        <w:pStyle w:val="ListParagraph"/>
        <w:numPr>
          <w:ilvl w:val="0"/>
          <w:numId w:val="35"/>
        </w:numPr>
        <w:spacing w:line="360" w:lineRule="auto"/>
        <w:ind w:left="0" w:firstLine="1440"/>
        <w:rPr>
          <w:sz w:val="24"/>
          <w:szCs w:val="24"/>
        </w:rPr>
      </w:pPr>
      <w:r>
        <w:rPr>
          <w:sz w:val="24"/>
          <w:szCs w:val="24"/>
        </w:rPr>
        <w:t>That Steven A. Cintron/La Familia, Inc. shall pay a civil penalty in the sum of $1,000</w:t>
      </w:r>
      <w:r w:rsidR="00BB3EF8">
        <w:rPr>
          <w:sz w:val="24"/>
          <w:szCs w:val="24"/>
        </w:rPr>
        <w:t xml:space="preserve"> for the violation of 66 Pa.C.S. </w:t>
      </w:r>
      <w:r w:rsidR="00015B71">
        <w:rPr>
          <w:sz w:val="24"/>
          <w:szCs w:val="24"/>
        </w:rPr>
        <w:t xml:space="preserve">§ </w:t>
      </w:r>
      <w:r w:rsidR="00BB3EF8">
        <w:rPr>
          <w:sz w:val="24"/>
          <w:szCs w:val="24"/>
        </w:rPr>
        <w:t>1101</w:t>
      </w:r>
      <w:r>
        <w:rPr>
          <w:sz w:val="24"/>
          <w:szCs w:val="24"/>
        </w:rPr>
        <w:t>.</w:t>
      </w:r>
    </w:p>
    <w:p w:rsidR="00BB3EF8" w:rsidRPr="00BB3EF8" w:rsidRDefault="00BB3EF8" w:rsidP="00CF5420">
      <w:pPr>
        <w:pStyle w:val="ListParagraph"/>
        <w:spacing w:line="360" w:lineRule="auto"/>
        <w:ind w:left="0" w:firstLine="1440"/>
        <w:rPr>
          <w:sz w:val="24"/>
          <w:szCs w:val="24"/>
        </w:rPr>
      </w:pPr>
    </w:p>
    <w:p w:rsidR="00BB3EF8" w:rsidRPr="00720F2A" w:rsidRDefault="00BB3EF8" w:rsidP="00BB3EF8">
      <w:pPr>
        <w:pStyle w:val="ListParagraph"/>
        <w:keepNext/>
        <w:numPr>
          <w:ilvl w:val="0"/>
          <w:numId w:val="35"/>
        </w:numPr>
        <w:spacing w:line="360" w:lineRule="auto"/>
        <w:ind w:left="0" w:firstLine="1440"/>
        <w:rPr>
          <w:sz w:val="24"/>
          <w:szCs w:val="24"/>
        </w:rPr>
      </w:pPr>
      <w:r w:rsidRPr="00720F2A">
        <w:rPr>
          <w:sz w:val="24"/>
          <w:szCs w:val="24"/>
        </w:rPr>
        <w:t>That, in accordance with Section 3301 of the Public Utility Code, 66 Pa.C.S. § 3301, within thirty (30) days of receipt of the Commission’s final Opinion and Order, Steven A. Cintron/La Familia</w:t>
      </w:r>
      <w:r w:rsidR="000059A8" w:rsidRPr="00720F2A">
        <w:rPr>
          <w:sz w:val="24"/>
          <w:szCs w:val="24"/>
        </w:rPr>
        <w:t>, Inc.</w:t>
      </w:r>
      <w:r w:rsidRPr="00720F2A">
        <w:rPr>
          <w:sz w:val="24"/>
          <w:szCs w:val="24"/>
        </w:rPr>
        <w:t xml:space="preserve"> shall pay a civil penalty in the amount of $1,000</w:t>
      </w:r>
      <w:r w:rsidR="0060478F" w:rsidRPr="00720F2A">
        <w:rPr>
          <w:sz w:val="24"/>
          <w:szCs w:val="24"/>
        </w:rPr>
        <w:t>.</w:t>
      </w:r>
      <w:r w:rsidRPr="00720F2A">
        <w:rPr>
          <w:sz w:val="24"/>
          <w:szCs w:val="24"/>
        </w:rPr>
        <w:t xml:space="preserve">  Said check or money order shall be made payable to “Commonwealth of Pennsylvania” and sent to:</w:t>
      </w:r>
      <w:r w:rsidRPr="00720F2A">
        <w:rPr>
          <w:sz w:val="24"/>
          <w:szCs w:val="24"/>
        </w:rPr>
        <w:tab/>
      </w:r>
    </w:p>
    <w:p w:rsidR="00BB3EF8" w:rsidRPr="009203D6" w:rsidRDefault="00BB3EF8" w:rsidP="00492FC2">
      <w:pPr>
        <w:pStyle w:val="ListParagraph"/>
        <w:keepNext/>
        <w:ind w:left="0" w:firstLine="2160"/>
        <w:rPr>
          <w:sz w:val="24"/>
          <w:szCs w:val="24"/>
        </w:rPr>
      </w:pPr>
      <w:r>
        <w:rPr>
          <w:sz w:val="24"/>
          <w:szCs w:val="24"/>
        </w:rPr>
        <w:tab/>
      </w:r>
      <w:r w:rsidRPr="009203D6">
        <w:rPr>
          <w:sz w:val="24"/>
          <w:szCs w:val="24"/>
        </w:rPr>
        <w:t>Secretary</w:t>
      </w:r>
    </w:p>
    <w:p w:rsidR="00BB3EF8" w:rsidRPr="009203D6" w:rsidRDefault="00BB3EF8" w:rsidP="00492FC2">
      <w:pPr>
        <w:pStyle w:val="ListParagraph"/>
        <w:keepNext/>
        <w:ind w:left="0" w:firstLine="2160"/>
        <w:rPr>
          <w:sz w:val="24"/>
          <w:szCs w:val="24"/>
        </w:rPr>
      </w:pPr>
      <w:r>
        <w:rPr>
          <w:sz w:val="24"/>
          <w:szCs w:val="24"/>
        </w:rPr>
        <w:tab/>
      </w:r>
      <w:r w:rsidRPr="009203D6">
        <w:rPr>
          <w:sz w:val="24"/>
          <w:szCs w:val="24"/>
        </w:rPr>
        <w:t>Pennsylvania Public Utility Commission</w:t>
      </w:r>
    </w:p>
    <w:p w:rsidR="00BB3EF8" w:rsidRPr="009203D6" w:rsidRDefault="00BB3EF8" w:rsidP="00492FC2">
      <w:pPr>
        <w:pStyle w:val="ListParagraph"/>
        <w:keepNext/>
        <w:ind w:left="0" w:firstLine="2160"/>
        <w:rPr>
          <w:sz w:val="24"/>
          <w:szCs w:val="24"/>
        </w:rPr>
      </w:pPr>
      <w:r>
        <w:rPr>
          <w:sz w:val="24"/>
          <w:szCs w:val="24"/>
        </w:rPr>
        <w:tab/>
      </w:r>
      <w:r w:rsidRPr="009203D6">
        <w:rPr>
          <w:sz w:val="24"/>
          <w:szCs w:val="24"/>
        </w:rPr>
        <w:t>P.O. Box 3265</w:t>
      </w:r>
    </w:p>
    <w:p w:rsidR="00BB3EF8" w:rsidRPr="009203D6" w:rsidRDefault="00BB3EF8" w:rsidP="00492FC2">
      <w:pPr>
        <w:pStyle w:val="ListParagraph"/>
        <w:ind w:left="0" w:firstLine="2160"/>
        <w:rPr>
          <w:sz w:val="24"/>
          <w:szCs w:val="24"/>
        </w:rPr>
      </w:pPr>
      <w:r>
        <w:rPr>
          <w:sz w:val="24"/>
          <w:szCs w:val="24"/>
        </w:rPr>
        <w:tab/>
      </w:r>
      <w:r w:rsidRPr="009203D6">
        <w:rPr>
          <w:sz w:val="24"/>
          <w:szCs w:val="24"/>
        </w:rPr>
        <w:t>Harrisburg, PA  17105-3265</w:t>
      </w:r>
    </w:p>
    <w:p w:rsidR="00BB3EF8" w:rsidRPr="009203D6" w:rsidRDefault="00BB3EF8" w:rsidP="00BB3EF8">
      <w:pPr>
        <w:pStyle w:val="ListParagraph"/>
        <w:spacing w:line="360" w:lineRule="auto"/>
        <w:ind w:left="0" w:firstLine="1440"/>
        <w:rPr>
          <w:sz w:val="24"/>
          <w:szCs w:val="24"/>
        </w:rPr>
      </w:pPr>
    </w:p>
    <w:p w:rsidR="00BB3EF8" w:rsidRDefault="00BB3EF8" w:rsidP="00BB3EF8">
      <w:pPr>
        <w:pStyle w:val="ListParagraph"/>
        <w:numPr>
          <w:ilvl w:val="0"/>
          <w:numId w:val="35"/>
        </w:numPr>
        <w:spacing w:line="360" w:lineRule="auto"/>
        <w:ind w:left="0" w:right="-630" w:firstLine="1440"/>
        <w:rPr>
          <w:sz w:val="24"/>
          <w:szCs w:val="24"/>
        </w:rPr>
      </w:pPr>
      <w:r w:rsidRPr="009203D6">
        <w:rPr>
          <w:sz w:val="24"/>
          <w:szCs w:val="24"/>
        </w:rPr>
        <w:t>That the Secretary’s Bureau shall mark this proceeding closed upon payment of the penalty.</w:t>
      </w:r>
    </w:p>
    <w:p w:rsidR="0060478F" w:rsidRPr="009203D6" w:rsidRDefault="0060478F" w:rsidP="0060478F">
      <w:pPr>
        <w:pStyle w:val="ListParagraph"/>
        <w:spacing w:line="360" w:lineRule="auto"/>
        <w:ind w:left="1440" w:right="-630"/>
        <w:rPr>
          <w:sz w:val="24"/>
          <w:szCs w:val="24"/>
        </w:rPr>
      </w:pPr>
    </w:p>
    <w:p w:rsidR="007E743C" w:rsidRPr="007E743C" w:rsidRDefault="007E743C" w:rsidP="00A744EC">
      <w:pPr>
        <w:pStyle w:val="ListParagraph"/>
        <w:numPr>
          <w:ilvl w:val="0"/>
          <w:numId w:val="35"/>
        </w:numPr>
        <w:spacing w:line="360" w:lineRule="auto"/>
        <w:ind w:left="0" w:firstLine="1440"/>
        <w:rPr>
          <w:sz w:val="24"/>
          <w:szCs w:val="24"/>
        </w:rPr>
      </w:pPr>
      <w:r>
        <w:rPr>
          <w:sz w:val="24"/>
          <w:szCs w:val="24"/>
        </w:rPr>
        <w:t xml:space="preserve"> </w:t>
      </w:r>
      <w:r w:rsidR="00BB3EF8">
        <w:rPr>
          <w:sz w:val="24"/>
          <w:szCs w:val="24"/>
        </w:rPr>
        <w:t xml:space="preserve">That the </w:t>
      </w:r>
      <w:r w:rsidR="00FA46BF">
        <w:rPr>
          <w:sz w:val="24"/>
          <w:szCs w:val="24"/>
        </w:rPr>
        <w:t>Secretary’s Bureau</w:t>
      </w:r>
      <w:r w:rsidR="00A744EC">
        <w:rPr>
          <w:sz w:val="24"/>
          <w:szCs w:val="24"/>
        </w:rPr>
        <w:t xml:space="preserve"> shall request the Pennsylvania Department of Transportation to put an administrative hold on Steven A. Cintron/La Familia, Inc.’s vehicle registrations</w:t>
      </w:r>
      <w:r w:rsidR="00181604">
        <w:rPr>
          <w:sz w:val="24"/>
          <w:szCs w:val="24"/>
        </w:rPr>
        <w:t xml:space="preserve"> until the civil penalty has been paid</w:t>
      </w:r>
      <w:r w:rsidR="00A744EC">
        <w:rPr>
          <w:sz w:val="24"/>
          <w:szCs w:val="24"/>
        </w:rPr>
        <w:t>.  75 Pa.C.S. § 1375.</w:t>
      </w:r>
      <w:r w:rsidR="00BB3EF8">
        <w:rPr>
          <w:sz w:val="24"/>
          <w:szCs w:val="24"/>
        </w:rPr>
        <w:t xml:space="preserve"> </w:t>
      </w:r>
      <w:r w:rsidR="00624E7D">
        <w:rPr>
          <w:sz w:val="24"/>
          <w:szCs w:val="24"/>
        </w:rPr>
        <w:t xml:space="preserve">  </w:t>
      </w:r>
    </w:p>
    <w:p w:rsidR="005C3634" w:rsidRDefault="005C3634" w:rsidP="00BB3EF8">
      <w:pPr>
        <w:ind w:firstLine="1440"/>
        <w:jc w:val="center"/>
        <w:rPr>
          <w:sz w:val="24"/>
          <w:szCs w:val="24"/>
          <w:u w:val="single"/>
        </w:rPr>
      </w:pPr>
    </w:p>
    <w:p w:rsidR="00BE5F2D" w:rsidRDefault="00BE5F2D" w:rsidP="00720F2A">
      <w:pPr>
        <w:ind w:firstLine="1440"/>
        <w:rPr>
          <w:sz w:val="24"/>
          <w:szCs w:val="24"/>
        </w:rPr>
      </w:pPr>
    </w:p>
    <w:p w:rsidR="00062592" w:rsidRDefault="00062592" w:rsidP="00720F2A">
      <w:pPr>
        <w:ind w:firstLine="1440"/>
        <w:rPr>
          <w:sz w:val="24"/>
          <w:szCs w:val="24"/>
        </w:rPr>
      </w:pPr>
    </w:p>
    <w:p w:rsidR="00B25299" w:rsidRDefault="005C3634" w:rsidP="00B25299">
      <w:r w:rsidRPr="00B25299">
        <w:rPr>
          <w:sz w:val="24"/>
          <w:szCs w:val="24"/>
        </w:rPr>
        <w:t>Date</w:t>
      </w:r>
      <w:r w:rsidR="009273E7" w:rsidRPr="00B25299">
        <w:rPr>
          <w:sz w:val="24"/>
          <w:szCs w:val="24"/>
        </w:rPr>
        <w:t>:</w:t>
      </w:r>
      <w:r w:rsidRPr="00B25299">
        <w:rPr>
          <w:sz w:val="24"/>
          <w:szCs w:val="24"/>
        </w:rPr>
        <w:t xml:space="preserve"> </w:t>
      </w:r>
      <w:r w:rsidRPr="00B25299">
        <w:rPr>
          <w:sz w:val="24"/>
          <w:szCs w:val="24"/>
        </w:rPr>
        <w:tab/>
      </w:r>
      <w:r w:rsidR="00CF5420" w:rsidRPr="00B25299">
        <w:rPr>
          <w:sz w:val="24"/>
          <w:szCs w:val="24"/>
          <w:u w:val="single"/>
        </w:rPr>
        <w:t>December 1</w:t>
      </w:r>
      <w:r w:rsidR="00720F2A">
        <w:rPr>
          <w:sz w:val="24"/>
          <w:szCs w:val="24"/>
          <w:u w:val="single"/>
        </w:rPr>
        <w:t>8</w:t>
      </w:r>
      <w:r w:rsidR="00CF5420" w:rsidRPr="00B25299">
        <w:rPr>
          <w:sz w:val="24"/>
          <w:szCs w:val="24"/>
          <w:u w:val="single"/>
        </w:rPr>
        <w:t>, 2015</w:t>
      </w:r>
      <w:r>
        <w:rPr>
          <w:sz w:val="24"/>
          <w:szCs w:val="24"/>
        </w:rPr>
        <w:tab/>
      </w:r>
      <w:r>
        <w:rPr>
          <w:sz w:val="24"/>
          <w:szCs w:val="24"/>
        </w:rPr>
        <w:tab/>
      </w:r>
      <w:r>
        <w:rPr>
          <w:sz w:val="24"/>
          <w:szCs w:val="24"/>
        </w:rPr>
        <w:tab/>
      </w:r>
      <w:r w:rsidR="00DC4452">
        <w:rPr>
          <w:sz w:val="24"/>
          <w:szCs w:val="24"/>
        </w:rPr>
        <w:tab/>
      </w:r>
      <w:r w:rsidR="00B25299">
        <w:rPr>
          <w:u w:val="single"/>
        </w:rPr>
        <w:tab/>
      </w:r>
      <w:r w:rsidR="00B25299">
        <w:rPr>
          <w:u w:val="single"/>
        </w:rPr>
        <w:tab/>
      </w:r>
      <w:r w:rsidR="00B25299" w:rsidRPr="00B25299">
        <w:rPr>
          <w:sz w:val="24"/>
          <w:szCs w:val="24"/>
          <w:u w:val="single"/>
        </w:rPr>
        <w:t>/s/</w:t>
      </w:r>
      <w:r w:rsidR="00B25299" w:rsidRPr="00B25299">
        <w:rPr>
          <w:sz w:val="24"/>
          <w:szCs w:val="24"/>
          <w:u w:val="single"/>
        </w:rPr>
        <w:tab/>
      </w:r>
      <w:r w:rsidR="00B25299">
        <w:rPr>
          <w:u w:val="single"/>
        </w:rPr>
        <w:tab/>
      </w:r>
      <w:r w:rsidR="00B25299">
        <w:rPr>
          <w:u w:val="single"/>
        </w:rPr>
        <w:tab/>
      </w:r>
      <w:r w:rsidR="00B25299">
        <w:rPr>
          <w:u w:val="single"/>
        </w:rPr>
        <w:tab/>
      </w:r>
    </w:p>
    <w:p w:rsidR="005C3634" w:rsidRDefault="005C3634" w:rsidP="005C363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Ember S. Jandebeur</w:t>
      </w:r>
    </w:p>
    <w:p w:rsidR="00DC4452" w:rsidRDefault="005C3634" w:rsidP="005C363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sectPr w:rsidR="00DC4452" w:rsidSect="00B51900">
      <w:footerReference w:type="even" r:id="rId9"/>
      <w:footerReference w:type="default" r:id="rId10"/>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43" w:rsidRDefault="00FD3B43">
      <w:r>
        <w:separator/>
      </w:r>
    </w:p>
  </w:endnote>
  <w:endnote w:type="continuationSeparator" w:id="0">
    <w:p w:rsidR="00FD3B43" w:rsidRDefault="00F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Default="005D4D0C" w:rsidP="0028114B">
    <w:pPr>
      <w:pStyle w:val="Footer"/>
      <w:framePr w:wrap="around" w:vAnchor="text" w:hAnchor="margin" w:xAlign="center" w:y="1"/>
      <w:rPr>
        <w:rStyle w:val="PageNumber"/>
      </w:rPr>
    </w:pPr>
    <w:r>
      <w:rPr>
        <w:rStyle w:val="PageNumber"/>
      </w:rPr>
      <w:fldChar w:fldCharType="begin"/>
    </w:r>
    <w:r w:rsidR="00223E7E">
      <w:rPr>
        <w:rStyle w:val="PageNumber"/>
      </w:rPr>
      <w:instrText xml:space="preserve">PAGE  </w:instrText>
    </w:r>
    <w:r>
      <w:rPr>
        <w:rStyle w:val="PageNumber"/>
      </w:rPr>
      <w:fldChar w:fldCharType="end"/>
    </w:r>
  </w:p>
  <w:p w:rsidR="00223E7E" w:rsidRDefault="0022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Pr="0028114B" w:rsidRDefault="005D4D0C" w:rsidP="0028114B">
    <w:pPr>
      <w:pStyle w:val="Footer"/>
      <w:framePr w:wrap="around" w:vAnchor="text" w:hAnchor="margin" w:xAlign="center" w:y="1"/>
      <w:rPr>
        <w:rStyle w:val="PageNumber"/>
        <w:sz w:val="20"/>
        <w:szCs w:val="20"/>
      </w:rPr>
    </w:pPr>
    <w:r w:rsidRPr="0028114B">
      <w:rPr>
        <w:rStyle w:val="PageNumber"/>
        <w:sz w:val="20"/>
        <w:szCs w:val="20"/>
      </w:rPr>
      <w:fldChar w:fldCharType="begin"/>
    </w:r>
    <w:r w:rsidR="00223E7E" w:rsidRPr="0028114B">
      <w:rPr>
        <w:rStyle w:val="PageNumber"/>
        <w:sz w:val="20"/>
        <w:szCs w:val="20"/>
      </w:rPr>
      <w:instrText xml:space="preserve">PAGE  </w:instrText>
    </w:r>
    <w:r w:rsidRPr="0028114B">
      <w:rPr>
        <w:rStyle w:val="PageNumber"/>
        <w:sz w:val="20"/>
        <w:szCs w:val="20"/>
      </w:rPr>
      <w:fldChar w:fldCharType="separate"/>
    </w:r>
    <w:r w:rsidR="00954720">
      <w:rPr>
        <w:rStyle w:val="PageNumber"/>
        <w:noProof/>
        <w:sz w:val="20"/>
        <w:szCs w:val="20"/>
      </w:rPr>
      <w:t>6</w:t>
    </w:r>
    <w:r w:rsidRPr="0028114B">
      <w:rPr>
        <w:rStyle w:val="PageNumber"/>
        <w:sz w:val="20"/>
        <w:szCs w:val="20"/>
      </w:rPr>
      <w:fldChar w:fldCharType="end"/>
    </w:r>
  </w:p>
  <w:p w:rsidR="00223E7E" w:rsidRDefault="00223E7E" w:rsidP="000A001F">
    <w:pPr>
      <w:pStyle w:val="Footer"/>
      <w:jc w:val="right"/>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43" w:rsidRDefault="00FD3B43">
      <w:r>
        <w:separator/>
      </w:r>
    </w:p>
  </w:footnote>
  <w:footnote w:type="continuationSeparator" w:id="0">
    <w:p w:rsidR="00FD3B43" w:rsidRDefault="00FD3B43">
      <w:r>
        <w:continuationSeparator/>
      </w:r>
    </w:p>
  </w:footnote>
  <w:footnote w:id="1">
    <w:p w:rsidR="00181604" w:rsidRDefault="00181604">
      <w:pPr>
        <w:pStyle w:val="FootnoteText"/>
      </w:pPr>
      <w:r>
        <w:rPr>
          <w:rStyle w:val="FootnoteReference"/>
        </w:rPr>
        <w:footnoteRef/>
      </w:r>
      <w:r>
        <w:t xml:space="preserve"> </w:t>
      </w:r>
      <w:r w:rsidR="00CA22EC">
        <w:t>The advertisements were intentional, and there are two prior complaints for the same activity.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7DB2"/>
    <w:multiLevelType w:val="hybridMultilevel"/>
    <w:tmpl w:val="CA140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8F66579"/>
    <w:multiLevelType w:val="hybridMultilevel"/>
    <w:tmpl w:val="3E3601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BF851B9"/>
    <w:multiLevelType w:val="hybridMultilevel"/>
    <w:tmpl w:val="77C09C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6571BB"/>
    <w:multiLevelType w:val="hybridMultilevel"/>
    <w:tmpl w:val="BFD24F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8A058B"/>
    <w:multiLevelType w:val="hybridMultilevel"/>
    <w:tmpl w:val="D07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6D34DB9"/>
    <w:multiLevelType w:val="hybridMultilevel"/>
    <w:tmpl w:val="F6C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B1ADE"/>
    <w:multiLevelType w:val="hybridMultilevel"/>
    <w:tmpl w:val="DF36D1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97F4475"/>
    <w:multiLevelType w:val="hybridMultilevel"/>
    <w:tmpl w:val="9E743D2E"/>
    <w:lvl w:ilvl="0" w:tplc="6E46EF6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13FA5"/>
    <w:multiLevelType w:val="hybridMultilevel"/>
    <w:tmpl w:val="B298F4A2"/>
    <w:lvl w:ilvl="0" w:tplc="D0969C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E0B88"/>
    <w:multiLevelType w:val="hybridMultilevel"/>
    <w:tmpl w:val="2710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F5B5C"/>
    <w:multiLevelType w:val="hybridMultilevel"/>
    <w:tmpl w:val="545E34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51E2212"/>
    <w:multiLevelType w:val="hybridMultilevel"/>
    <w:tmpl w:val="644ACEC0"/>
    <w:lvl w:ilvl="0" w:tplc="2602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91D16"/>
    <w:multiLevelType w:val="hybridMultilevel"/>
    <w:tmpl w:val="027C87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1B289E"/>
    <w:multiLevelType w:val="hybridMultilevel"/>
    <w:tmpl w:val="407C4DF6"/>
    <w:lvl w:ilvl="0" w:tplc="3F527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3E72CC"/>
    <w:multiLevelType w:val="hybridMultilevel"/>
    <w:tmpl w:val="77602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1386CFC"/>
    <w:multiLevelType w:val="hybridMultilevel"/>
    <w:tmpl w:val="7ADA5E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5BE6C1E"/>
    <w:multiLevelType w:val="hybridMultilevel"/>
    <w:tmpl w:val="BBDEED0C"/>
    <w:lvl w:ilvl="0" w:tplc="3F52775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C70D1"/>
    <w:multiLevelType w:val="hybridMultilevel"/>
    <w:tmpl w:val="3E1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66D07"/>
    <w:multiLevelType w:val="hybridMultilevel"/>
    <w:tmpl w:val="05249E4E"/>
    <w:lvl w:ilvl="0" w:tplc="DC5066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7D671D"/>
    <w:multiLevelType w:val="hybridMultilevel"/>
    <w:tmpl w:val="657CC782"/>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A5A82"/>
    <w:multiLevelType w:val="hybridMultilevel"/>
    <w:tmpl w:val="FF24B9E2"/>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0DF5D1A"/>
    <w:multiLevelType w:val="hybridMultilevel"/>
    <w:tmpl w:val="1736C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3B673D"/>
    <w:multiLevelType w:val="hybridMultilevel"/>
    <w:tmpl w:val="DD42DFFC"/>
    <w:lvl w:ilvl="0" w:tplc="EE20E6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A5B13"/>
    <w:multiLevelType w:val="hybridMultilevel"/>
    <w:tmpl w:val="362E08D8"/>
    <w:lvl w:ilvl="0" w:tplc="EAD8F434">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88F482E"/>
    <w:multiLevelType w:val="hybridMultilevel"/>
    <w:tmpl w:val="3E2CAD6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6">
    <w:nsid w:val="4FBF24B7"/>
    <w:multiLevelType w:val="hybridMultilevel"/>
    <w:tmpl w:val="7172AE08"/>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2E5819"/>
    <w:multiLevelType w:val="multilevel"/>
    <w:tmpl w:val="F4A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0596C"/>
    <w:multiLevelType w:val="hybridMultilevel"/>
    <w:tmpl w:val="2FEA996A"/>
    <w:lvl w:ilvl="0" w:tplc="5CDA72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2644860"/>
    <w:multiLevelType w:val="hybridMultilevel"/>
    <w:tmpl w:val="AA2CD5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94648C"/>
    <w:multiLevelType w:val="hybridMultilevel"/>
    <w:tmpl w:val="1D663C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72BA1A04"/>
    <w:multiLevelType w:val="hybridMultilevel"/>
    <w:tmpl w:val="40E05EEE"/>
    <w:lvl w:ilvl="0" w:tplc="5D4CBAFE">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889787C"/>
    <w:multiLevelType w:val="hybridMultilevel"/>
    <w:tmpl w:val="555AE3FE"/>
    <w:lvl w:ilvl="0" w:tplc="DC506610">
      <w:start w:val="1"/>
      <w:numFmt w:val="decimal"/>
      <w:lvlText w:val="%1."/>
      <w:lvlJc w:val="left"/>
      <w:pPr>
        <w:ind w:left="5040" w:hanging="2160"/>
      </w:pPr>
      <w:rPr>
        <w:rFonts w:hint="default"/>
      </w:rPr>
    </w:lvl>
    <w:lvl w:ilvl="1" w:tplc="04090019" w:tentative="1">
      <w:start w:val="1"/>
      <w:numFmt w:val="lowerLetter"/>
      <w:lvlText w:val="%2."/>
      <w:lvlJc w:val="left"/>
      <w:pPr>
        <w:ind w:left="2880" w:hanging="360"/>
      </w:pPr>
    </w:lvl>
    <w:lvl w:ilvl="2" w:tplc="DA3CCC9E">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AE62C34"/>
    <w:multiLevelType w:val="hybridMultilevel"/>
    <w:tmpl w:val="5046E7D6"/>
    <w:lvl w:ilvl="0" w:tplc="D65891C2">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5"/>
  </w:num>
  <w:num w:numId="4">
    <w:abstractNumId w:val="2"/>
  </w:num>
  <w:num w:numId="5">
    <w:abstractNumId w:val="20"/>
  </w:num>
  <w:num w:numId="6">
    <w:abstractNumId w:val="13"/>
  </w:num>
  <w:num w:numId="7">
    <w:abstractNumId w:val="7"/>
  </w:num>
  <w:num w:numId="8">
    <w:abstractNumId w:val="0"/>
  </w:num>
  <w:num w:numId="9">
    <w:abstractNumId w:val="21"/>
  </w:num>
  <w:num w:numId="10">
    <w:abstractNumId w:val="26"/>
  </w:num>
  <w:num w:numId="11">
    <w:abstractNumId w:val="24"/>
  </w:num>
  <w:num w:numId="12">
    <w:abstractNumId w:val="35"/>
  </w:num>
  <w:num w:numId="13">
    <w:abstractNumId w:val="1"/>
  </w:num>
  <w:num w:numId="14">
    <w:abstractNumId w:val="8"/>
  </w:num>
  <w:num w:numId="15">
    <w:abstractNumId w:val="30"/>
  </w:num>
  <w:num w:numId="16">
    <w:abstractNumId w:val="32"/>
  </w:num>
  <w:num w:numId="17">
    <w:abstractNumId w:val="15"/>
  </w:num>
  <w:num w:numId="18">
    <w:abstractNumId w:val="5"/>
  </w:num>
  <w:num w:numId="19">
    <w:abstractNumId w:val="27"/>
  </w:num>
  <w:num w:numId="20">
    <w:abstractNumId w:val="3"/>
  </w:num>
  <w:num w:numId="21">
    <w:abstractNumId w:val="6"/>
  </w:num>
  <w:num w:numId="22">
    <w:abstractNumId w:val="18"/>
  </w:num>
  <w:num w:numId="23">
    <w:abstractNumId w:val="19"/>
  </w:num>
  <w:num w:numId="24">
    <w:abstractNumId w:val="34"/>
  </w:num>
  <w:num w:numId="25">
    <w:abstractNumId w:val="31"/>
  </w:num>
  <w:num w:numId="26">
    <w:abstractNumId w:val="4"/>
  </w:num>
  <w:num w:numId="27">
    <w:abstractNumId w:val="22"/>
  </w:num>
  <w:num w:numId="28">
    <w:abstractNumId w:val="14"/>
  </w:num>
  <w:num w:numId="29">
    <w:abstractNumId w:val="17"/>
  </w:num>
  <w:num w:numId="30">
    <w:abstractNumId w:val="9"/>
  </w:num>
  <w:num w:numId="31">
    <w:abstractNumId w:val="33"/>
  </w:num>
  <w:num w:numId="32">
    <w:abstractNumId w:val="28"/>
  </w:num>
  <w:num w:numId="33">
    <w:abstractNumId w:val="11"/>
  </w:num>
  <w:num w:numId="34">
    <w:abstractNumId w:val="23"/>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3"/>
    <w:rsid w:val="00003ED9"/>
    <w:rsid w:val="000059A8"/>
    <w:rsid w:val="00015B71"/>
    <w:rsid w:val="00020AB1"/>
    <w:rsid w:val="00022997"/>
    <w:rsid w:val="00022D67"/>
    <w:rsid w:val="0002512E"/>
    <w:rsid w:val="00034A86"/>
    <w:rsid w:val="00034D35"/>
    <w:rsid w:val="00035C05"/>
    <w:rsid w:val="00035E78"/>
    <w:rsid w:val="000376EF"/>
    <w:rsid w:val="00042626"/>
    <w:rsid w:val="00055A89"/>
    <w:rsid w:val="000573C2"/>
    <w:rsid w:val="00062592"/>
    <w:rsid w:val="00064F92"/>
    <w:rsid w:val="0006610A"/>
    <w:rsid w:val="0006622C"/>
    <w:rsid w:val="00070E25"/>
    <w:rsid w:val="0007126E"/>
    <w:rsid w:val="000728A4"/>
    <w:rsid w:val="00075A22"/>
    <w:rsid w:val="00082976"/>
    <w:rsid w:val="00091672"/>
    <w:rsid w:val="00091CE2"/>
    <w:rsid w:val="00093DB9"/>
    <w:rsid w:val="000967DB"/>
    <w:rsid w:val="000A001F"/>
    <w:rsid w:val="000A1CB9"/>
    <w:rsid w:val="000A20A3"/>
    <w:rsid w:val="000B5F6A"/>
    <w:rsid w:val="000C6F32"/>
    <w:rsid w:val="000D2CE8"/>
    <w:rsid w:val="000E0BD8"/>
    <w:rsid w:val="000E277A"/>
    <w:rsid w:val="000E2934"/>
    <w:rsid w:val="000E3ADE"/>
    <w:rsid w:val="000E6B17"/>
    <w:rsid w:val="000F0833"/>
    <w:rsid w:val="000F1894"/>
    <w:rsid w:val="000F1F62"/>
    <w:rsid w:val="000F2F0A"/>
    <w:rsid w:val="000F6118"/>
    <w:rsid w:val="000F7327"/>
    <w:rsid w:val="00101497"/>
    <w:rsid w:val="0010177F"/>
    <w:rsid w:val="001027AA"/>
    <w:rsid w:val="00110C23"/>
    <w:rsid w:val="00111EA9"/>
    <w:rsid w:val="001122A9"/>
    <w:rsid w:val="001155B6"/>
    <w:rsid w:val="00116136"/>
    <w:rsid w:val="0011756F"/>
    <w:rsid w:val="00125871"/>
    <w:rsid w:val="00126207"/>
    <w:rsid w:val="001312A6"/>
    <w:rsid w:val="00134E8D"/>
    <w:rsid w:val="001404C5"/>
    <w:rsid w:val="00141DF5"/>
    <w:rsid w:val="00143C49"/>
    <w:rsid w:val="00144488"/>
    <w:rsid w:val="00147DEE"/>
    <w:rsid w:val="00152C6B"/>
    <w:rsid w:val="0015646C"/>
    <w:rsid w:val="001620CA"/>
    <w:rsid w:val="00162898"/>
    <w:rsid w:val="00176F82"/>
    <w:rsid w:val="00181604"/>
    <w:rsid w:val="0018160C"/>
    <w:rsid w:val="00187B87"/>
    <w:rsid w:val="001930DE"/>
    <w:rsid w:val="00193B6C"/>
    <w:rsid w:val="001A4CC0"/>
    <w:rsid w:val="001A721E"/>
    <w:rsid w:val="001B123C"/>
    <w:rsid w:val="001B3235"/>
    <w:rsid w:val="001C20B7"/>
    <w:rsid w:val="001C715B"/>
    <w:rsid w:val="001D3206"/>
    <w:rsid w:val="001D6FCF"/>
    <w:rsid w:val="001E4FAC"/>
    <w:rsid w:val="001F0787"/>
    <w:rsid w:val="001F08B4"/>
    <w:rsid w:val="001F2116"/>
    <w:rsid w:val="001F3112"/>
    <w:rsid w:val="001F6FC1"/>
    <w:rsid w:val="001F7F73"/>
    <w:rsid w:val="0020095D"/>
    <w:rsid w:val="00200D69"/>
    <w:rsid w:val="00215221"/>
    <w:rsid w:val="00220C5E"/>
    <w:rsid w:val="00223E7E"/>
    <w:rsid w:val="00234619"/>
    <w:rsid w:val="0023520D"/>
    <w:rsid w:val="00235C44"/>
    <w:rsid w:val="00236FF7"/>
    <w:rsid w:val="002416AB"/>
    <w:rsid w:val="0024496F"/>
    <w:rsid w:val="00244D86"/>
    <w:rsid w:val="00251D19"/>
    <w:rsid w:val="0025370D"/>
    <w:rsid w:val="00260D19"/>
    <w:rsid w:val="0026727E"/>
    <w:rsid w:val="002732DC"/>
    <w:rsid w:val="0028114B"/>
    <w:rsid w:val="0028185A"/>
    <w:rsid w:val="00290918"/>
    <w:rsid w:val="002919C6"/>
    <w:rsid w:val="00293557"/>
    <w:rsid w:val="002959E3"/>
    <w:rsid w:val="002A7C1C"/>
    <w:rsid w:val="002B19D4"/>
    <w:rsid w:val="002B3489"/>
    <w:rsid w:val="002B4EAE"/>
    <w:rsid w:val="002C3FDE"/>
    <w:rsid w:val="002C486F"/>
    <w:rsid w:val="002D13C5"/>
    <w:rsid w:val="002D554B"/>
    <w:rsid w:val="002E0985"/>
    <w:rsid w:val="002F66F9"/>
    <w:rsid w:val="002F6BC1"/>
    <w:rsid w:val="00300A0A"/>
    <w:rsid w:val="00300CB7"/>
    <w:rsid w:val="00300F91"/>
    <w:rsid w:val="0030207C"/>
    <w:rsid w:val="00306496"/>
    <w:rsid w:val="003065C0"/>
    <w:rsid w:val="00306B0D"/>
    <w:rsid w:val="00311AD2"/>
    <w:rsid w:val="003129F7"/>
    <w:rsid w:val="00312E1C"/>
    <w:rsid w:val="00317B5C"/>
    <w:rsid w:val="00323AAE"/>
    <w:rsid w:val="00324F3E"/>
    <w:rsid w:val="0033043C"/>
    <w:rsid w:val="0033647C"/>
    <w:rsid w:val="00337C53"/>
    <w:rsid w:val="00340AB8"/>
    <w:rsid w:val="003421E0"/>
    <w:rsid w:val="0034312D"/>
    <w:rsid w:val="00346E30"/>
    <w:rsid w:val="003539D2"/>
    <w:rsid w:val="00354E6F"/>
    <w:rsid w:val="0035737A"/>
    <w:rsid w:val="00364519"/>
    <w:rsid w:val="003657A8"/>
    <w:rsid w:val="00380450"/>
    <w:rsid w:val="00380AD7"/>
    <w:rsid w:val="00382B1A"/>
    <w:rsid w:val="003857DF"/>
    <w:rsid w:val="00386CDC"/>
    <w:rsid w:val="00392382"/>
    <w:rsid w:val="00394493"/>
    <w:rsid w:val="003959AC"/>
    <w:rsid w:val="00395E03"/>
    <w:rsid w:val="00396DE1"/>
    <w:rsid w:val="003A167D"/>
    <w:rsid w:val="003B715B"/>
    <w:rsid w:val="003C050F"/>
    <w:rsid w:val="003C0716"/>
    <w:rsid w:val="003C3664"/>
    <w:rsid w:val="003C7143"/>
    <w:rsid w:val="003D139F"/>
    <w:rsid w:val="003D15FA"/>
    <w:rsid w:val="003D77FF"/>
    <w:rsid w:val="003D7EC6"/>
    <w:rsid w:val="003E292B"/>
    <w:rsid w:val="003E594B"/>
    <w:rsid w:val="003F155A"/>
    <w:rsid w:val="003F5796"/>
    <w:rsid w:val="003F5965"/>
    <w:rsid w:val="003F69BF"/>
    <w:rsid w:val="00402359"/>
    <w:rsid w:val="004064A8"/>
    <w:rsid w:val="004107FD"/>
    <w:rsid w:val="00417087"/>
    <w:rsid w:val="0042160A"/>
    <w:rsid w:val="0042193A"/>
    <w:rsid w:val="00422E29"/>
    <w:rsid w:val="00424A76"/>
    <w:rsid w:val="00427E73"/>
    <w:rsid w:val="004312BE"/>
    <w:rsid w:val="00431BEF"/>
    <w:rsid w:val="00442854"/>
    <w:rsid w:val="00453B16"/>
    <w:rsid w:val="0046339D"/>
    <w:rsid w:val="00473BFF"/>
    <w:rsid w:val="00476C8A"/>
    <w:rsid w:val="00486535"/>
    <w:rsid w:val="00490174"/>
    <w:rsid w:val="004917C1"/>
    <w:rsid w:val="00491C99"/>
    <w:rsid w:val="00492FC2"/>
    <w:rsid w:val="00495450"/>
    <w:rsid w:val="00495B88"/>
    <w:rsid w:val="004A1805"/>
    <w:rsid w:val="004A5AD6"/>
    <w:rsid w:val="004C2124"/>
    <w:rsid w:val="004C3EFA"/>
    <w:rsid w:val="004D1B54"/>
    <w:rsid w:val="004D3108"/>
    <w:rsid w:val="004D46FD"/>
    <w:rsid w:val="004D65F3"/>
    <w:rsid w:val="004E187E"/>
    <w:rsid w:val="004E20CB"/>
    <w:rsid w:val="004E2912"/>
    <w:rsid w:val="004E2B03"/>
    <w:rsid w:val="004E533F"/>
    <w:rsid w:val="004F2D3D"/>
    <w:rsid w:val="005032B5"/>
    <w:rsid w:val="00515937"/>
    <w:rsid w:val="00517AD1"/>
    <w:rsid w:val="00523780"/>
    <w:rsid w:val="00526B2A"/>
    <w:rsid w:val="00530D1B"/>
    <w:rsid w:val="00531226"/>
    <w:rsid w:val="00531409"/>
    <w:rsid w:val="00535DF7"/>
    <w:rsid w:val="00542107"/>
    <w:rsid w:val="00553EEB"/>
    <w:rsid w:val="00564C41"/>
    <w:rsid w:val="0056706A"/>
    <w:rsid w:val="00582896"/>
    <w:rsid w:val="00584798"/>
    <w:rsid w:val="0059070D"/>
    <w:rsid w:val="00592C86"/>
    <w:rsid w:val="005A33D0"/>
    <w:rsid w:val="005B0818"/>
    <w:rsid w:val="005B13B6"/>
    <w:rsid w:val="005B250B"/>
    <w:rsid w:val="005B3C00"/>
    <w:rsid w:val="005B6749"/>
    <w:rsid w:val="005B7834"/>
    <w:rsid w:val="005C28EC"/>
    <w:rsid w:val="005C2971"/>
    <w:rsid w:val="005C2C90"/>
    <w:rsid w:val="005C3634"/>
    <w:rsid w:val="005D19C4"/>
    <w:rsid w:val="005D2DEE"/>
    <w:rsid w:val="005D4D0C"/>
    <w:rsid w:val="005D5E04"/>
    <w:rsid w:val="005E132B"/>
    <w:rsid w:val="005E171B"/>
    <w:rsid w:val="005E2068"/>
    <w:rsid w:val="005E3007"/>
    <w:rsid w:val="005E43B5"/>
    <w:rsid w:val="005E6321"/>
    <w:rsid w:val="005E6C27"/>
    <w:rsid w:val="005E78AE"/>
    <w:rsid w:val="005F17F5"/>
    <w:rsid w:val="005F38EC"/>
    <w:rsid w:val="005F3B50"/>
    <w:rsid w:val="005F452A"/>
    <w:rsid w:val="006034D3"/>
    <w:rsid w:val="0060478F"/>
    <w:rsid w:val="0062087D"/>
    <w:rsid w:val="006215E0"/>
    <w:rsid w:val="00624E7D"/>
    <w:rsid w:val="006306EB"/>
    <w:rsid w:val="00634A5C"/>
    <w:rsid w:val="006352B9"/>
    <w:rsid w:val="00641596"/>
    <w:rsid w:val="0064329B"/>
    <w:rsid w:val="006441F5"/>
    <w:rsid w:val="00644E60"/>
    <w:rsid w:val="00645B55"/>
    <w:rsid w:val="00652C21"/>
    <w:rsid w:val="0066237B"/>
    <w:rsid w:val="006656FC"/>
    <w:rsid w:val="00675607"/>
    <w:rsid w:val="00675986"/>
    <w:rsid w:val="00695694"/>
    <w:rsid w:val="006A21C2"/>
    <w:rsid w:val="006A3B47"/>
    <w:rsid w:val="006A7A0A"/>
    <w:rsid w:val="006C1047"/>
    <w:rsid w:val="006C3226"/>
    <w:rsid w:val="006D182E"/>
    <w:rsid w:val="006D4BB7"/>
    <w:rsid w:val="006D75BD"/>
    <w:rsid w:val="006E4407"/>
    <w:rsid w:val="006F44F9"/>
    <w:rsid w:val="007015FC"/>
    <w:rsid w:val="007114E7"/>
    <w:rsid w:val="0071588F"/>
    <w:rsid w:val="00720F2A"/>
    <w:rsid w:val="0073239A"/>
    <w:rsid w:val="0073727C"/>
    <w:rsid w:val="00737809"/>
    <w:rsid w:val="0074314A"/>
    <w:rsid w:val="00744AF3"/>
    <w:rsid w:val="00747E56"/>
    <w:rsid w:val="00751672"/>
    <w:rsid w:val="0075510C"/>
    <w:rsid w:val="00766C8E"/>
    <w:rsid w:val="0077255F"/>
    <w:rsid w:val="00775593"/>
    <w:rsid w:val="00782A08"/>
    <w:rsid w:val="00786153"/>
    <w:rsid w:val="00790EF3"/>
    <w:rsid w:val="00791ABB"/>
    <w:rsid w:val="00792C70"/>
    <w:rsid w:val="007965B0"/>
    <w:rsid w:val="007A49B5"/>
    <w:rsid w:val="007B1672"/>
    <w:rsid w:val="007B1D2D"/>
    <w:rsid w:val="007B46F9"/>
    <w:rsid w:val="007B6CFE"/>
    <w:rsid w:val="007C36CE"/>
    <w:rsid w:val="007C74E3"/>
    <w:rsid w:val="007D13F3"/>
    <w:rsid w:val="007D3E3E"/>
    <w:rsid w:val="007D6063"/>
    <w:rsid w:val="007E02C2"/>
    <w:rsid w:val="007E09E5"/>
    <w:rsid w:val="007E31DB"/>
    <w:rsid w:val="007E743C"/>
    <w:rsid w:val="007E7871"/>
    <w:rsid w:val="00801DEE"/>
    <w:rsid w:val="00803141"/>
    <w:rsid w:val="0081070B"/>
    <w:rsid w:val="008142EB"/>
    <w:rsid w:val="0081669B"/>
    <w:rsid w:val="0081696C"/>
    <w:rsid w:val="008228F3"/>
    <w:rsid w:val="00823F91"/>
    <w:rsid w:val="00824683"/>
    <w:rsid w:val="008354C5"/>
    <w:rsid w:val="0083691D"/>
    <w:rsid w:val="00840FD3"/>
    <w:rsid w:val="00841779"/>
    <w:rsid w:val="008506A0"/>
    <w:rsid w:val="00851A4F"/>
    <w:rsid w:val="00866264"/>
    <w:rsid w:val="008663C0"/>
    <w:rsid w:val="008746E1"/>
    <w:rsid w:val="0087572C"/>
    <w:rsid w:val="008803F7"/>
    <w:rsid w:val="00881C76"/>
    <w:rsid w:val="0088763C"/>
    <w:rsid w:val="00893B0E"/>
    <w:rsid w:val="00893F0B"/>
    <w:rsid w:val="00894839"/>
    <w:rsid w:val="0089761B"/>
    <w:rsid w:val="008A0235"/>
    <w:rsid w:val="008A60E2"/>
    <w:rsid w:val="008A68B7"/>
    <w:rsid w:val="008B1A8B"/>
    <w:rsid w:val="008B282A"/>
    <w:rsid w:val="008B2B8B"/>
    <w:rsid w:val="008D6D09"/>
    <w:rsid w:val="008D761F"/>
    <w:rsid w:val="008E3BE1"/>
    <w:rsid w:val="008E5A53"/>
    <w:rsid w:val="008F013A"/>
    <w:rsid w:val="008F22F9"/>
    <w:rsid w:val="008F554F"/>
    <w:rsid w:val="008F6AC3"/>
    <w:rsid w:val="009077E3"/>
    <w:rsid w:val="00910EF2"/>
    <w:rsid w:val="009113E6"/>
    <w:rsid w:val="00913B17"/>
    <w:rsid w:val="00915161"/>
    <w:rsid w:val="009166DD"/>
    <w:rsid w:val="0091672D"/>
    <w:rsid w:val="00922FE6"/>
    <w:rsid w:val="009273E7"/>
    <w:rsid w:val="0093170C"/>
    <w:rsid w:val="009342E4"/>
    <w:rsid w:val="00941A71"/>
    <w:rsid w:val="009445E9"/>
    <w:rsid w:val="00947175"/>
    <w:rsid w:val="00954720"/>
    <w:rsid w:val="00961314"/>
    <w:rsid w:val="009634B4"/>
    <w:rsid w:val="009643E3"/>
    <w:rsid w:val="009649FC"/>
    <w:rsid w:val="00965F82"/>
    <w:rsid w:val="00966FB7"/>
    <w:rsid w:val="0098237A"/>
    <w:rsid w:val="00982B8E"/>
    <w:rsid w:val="009830C8"/>
    <w:rsid w:val="00983B9A"/>
    <w:rsid w:val="009870EF"/>
    <w:rsid w:val="009877CF"/>
    <w:rsid w:val="00987B98"/>
    <w:rsid w:val="00995E0A"/>
    <w:rsid w:val="0099644E"/>
    <w:rsid w:val="009A475D"/>
    <w:rsid w:val="009A5C49"/>
    <w:rsid w:val="009B1C06"/>
    <w:rsid w:val="009B44FC"/>
    <w:rsid w:val="009C22D0"/>
    <w:rsid w:val="009C3174"/>
    <w:rsid w:val="009D5A08"/>
    <w:rsid w:val="009E69A1"/>
    <w:rsid w:val="009F24FB"/>
    <w:rsid w:val="009F4939"/>
    <w:rsid w:val="009F620C"/>
    <w:rsid w:val="009F7BD8"/>
    <w:rsid w:val="00A022C7"/>
    <w:rsid w:val="00A02D20"/>
    <w:rsid w:val="00A0627A"/>
    <w:rsid w:val="00A107BC"/>
    <w:rsid w:val="00A22653"/>
    <w:rsid w:val="00A23BC5"/>
    <w:rsid w:val="00A24F45"/>
    <w:rsid w:val="00A345AE"/>
    <w:rsid w:val="00A409B8"/>
    <w:rsid w:val="00A4383B"/>
    <w:rsid w:val="00A470ED"/>
    <w:rsid w:val="00A475EE"/>
    <w:rsid w:val="00A523A9"/>
    <w:rsid w:val="00A52E9C"/>
    <w:rsid w:val="00A67786"/>
    <w:rsid w:val="00A67C1E"/>
    <w:rsid w:val="00A7050E"/>
    <w:rsid w:val="00A744EC"/>
    <w:rsid w:val="00A761ED"/>
    <w:rsid w:val="00A76B1D"/>
    <w:rsid w:val="00A86505"/>
    <w:rsid w:val="00AA00A9"/>
    <w:rsid w:val="00AA0438"/>
    <w:rsid w:val="00AA1DE2"/>
    <w:rsid w:val="00AA6434"/>
    <w:rsid w:val="00AA7B5D"/>
    <w:rsid w:val="00AB3A78"/>
    <w:rsid w:val="00AC4DB7"/>
    <w:rsid w:val="00AC7513"/>
    <w:rsid w:val="00AC7FED"/>
    <w:rsid w:val="00AD0497"/>
    <w:rsid w:val="00AD0503"/>
    <w:rsid w:val="00AD0929"/>
    <w:rsid w:val="00AD507E"/>
    <w:rsid w:val="00AE00BA"/>
    <w:rsid w:val="00AE3E93"/>
    <w:rsid w:val="00AE6D1F"/>
    <w:rsid w:val="00AF2068"/>
    <w:rsid w:val="00AF7EAE"/>
    <w:rsid w:val="00B03092"/>
    <w:rsid w:val="00B0541E"/>
    <w:rsid w:val="00B13849"/>
    <w:rsid w:val="00B23067"/>
    <w:rsid w:val="00B25299"/>
    <w:rsid w:val="00B2590D"/>
    <w:rsid w:val="00B32E66"/>
    <w:rsid w:val="00B34848"/>
    <w:rsid w:val="00B40E21"/>
    <w:rsid w:val="00B41924"/>
    <w:rsid w:val="00B45676"/>
    <w:rsid w:val="00B45F71"/>
    <w:rsid w:val="00B5018B"/>
    <w:rsid w:val="00B51900"/>
    <w:rsid w:val="00B57687"/>
    <w:rsid w:val="00B625D9"/>
    <w:rsid w:val="00B665D7"/>
    <w:rsid w:val="00B70860"/>
    <w:rsid w:val="00B71D02"/>
    <w:rsid w:val="00B810E7"/>
    <w:rsid w:val="00B87994"/>
    <w:rsid w:val="00B922CF"/>
    <w:rsid w:val="00B94E3D"/>
    <w:rsid w:val="00BA178E"/>
    <w:rsid w:val="00BA47D2"/>
    <w:rsid w:val="00BA61F7"/>
    <w:rsid w:val="00BB3104"/>
    <w:rsid w:val="00BB352A"/>
    <w:rsid w:val="00BB3EF8"/>
    <w:rsid w:val="00BB7304"/>
    <w:rsid w:val="00BC122B"/>
    <w:rsid w:val="00BC2D8F"/>
    <w:rsid w:val="00BC2DE6"/>
    <w:rsid w:val="00BC7240"/>
    <w:rsid w:val="00BC7AF5"/>
    <w:rsid w:val="00BD42F1"/>
    <w:rsid w:val="00BE1D82"/>
    <w:rsid w:val="00BE4B34"/>
    <w:rsid w:val="00BE5F2D"/>
    <w:rsid w:val="00BE6352"/>
    <w:rsid w:val="00BF02FD"/>
    <w:rsid w:val="00BF5F04"/>
    <w:rsid w:val="00C052E4"/>
    <w:rsid w:val="00C07AAB"/>
    <w:rsid w:val="00C1140C"/>
    <w:rsid w:val="00C1195C"/>
    <w:rsid w:val="00C133AC"/>
    <w:rsid w:val="00C136F0"/>
    <w:rsid w:val="00C150A5"/>
    <w:rsid w:val="00C21F78"/>
    <w:rsid w:val="00C224B0"/>
    <w:rsid w:val="00C25C02"/>
    <w:rsid w:val="00C27A38"/>
    <w:rsid w:val="00C302A8"/>
    <w:rsid w:val="00C322C5"/>
    <w:rsid w:val="00C34D87"/>
    <w:rsid w:val="00C37F96"/>
    <w:rsid w:val="00C419F9"/>
    <w:rsid w:val="00C426F5"/>
    <w:rsid w:val="00C45D4C"/>
    <w:rsid w:val="00C47400"/>
    <w:rsid w:val="00C477B5"/>
    <w:rsid w:val="00C546D2"/>
    <w:rsid w:val="00C61510"/>
    <w:rsid w:val="00C61561"/>
    <w:rsid w:val="00C6634A"/>
    <w:rsid w:val="00C7068E"/>
    <w:rsid w:val="00C73912"/>
    <w:rsid w:val="00C769EE"/>
    <w:rsid w:val="00C86201"/>
    <w:rsid w:val="00C908AD"/>
    <w:rsid w:val="00C920E5"/>
    <w:rsid w:val="00C94BB9"/>
    <w:rsid w:val="00CA1E0E"/>
    <w:rsid w:val="00CA20D7"/>
    <w:rsid w:val="00CA22EC"/>
    <w:rsid w:val="00CA5BA3"/>
    <w:rsid w:val="00CB0D2B"/>
    <w:rsid w:val="00CB495C"/>
    <w:rsid w:val="00CB4F5E"/>
    <w:rsid w:val="00CB6A72"/>
    <w:rsid w:val="00CC3CC1"/>
    <w:rsid w:val="00CC49DA"/>
    <w:rsid w:val="00CC5E96"/>
    <w:rsid w:val="00CD4A78"/>
    <w:rsid w:val="00CD6B6A"/>
    <w:rsid w:val="00CE43B4"/>
    <w:rsid w:val="00CE68C6"/>
    <w:rsid w:val="00CF3BB0"/>
    <w:rsid w:val="00CF5420"/>
    <w:rsid w:val="00CF7138"/>
    <w:rsid w:val="00D02084"/>
    <w:rsid w:val="00D050DE"/>
    <w:rsid w:val="00D077EC"/>
    <w:rsid w:val="00D13B06"/>
    <w:rsid w:val="00D1728D"/>
    <w:rsid w:val="00D21BFC"/>
    <w:rsid w:val="00D21D55"/>
    <w:rsid w:val="00D21EF9"/>
    <w:rsid w:val="00D22F4A"/>
    <w:rsid w:val="00D23330"/>
    <w:rsid w:val="00D32326"/>
    <w:rsid w:val="00D34B76"/>
    <w:rsid w:val="00D35F74"/>
    <w:rsid w:val="00D4029A"/>
    <w:rsid w:val="00D416A5"/>
    <w:rsid w:val="00D50C56"/>
    <w:rsid w:val="00D5488B"/>
    <w:rsid w:val="00D55074"/>
    <w:rsid w:val="00D55AA4"/>
    <w:rsid w:val="00D5720C"/>
    <w:rsid w:val="00D6261D"/>
    <w:rsid w:val="00D6598A"/>
    <w:rsid w:val="00D65DF1"/>
    <w:rsid w:val="00D65F4B"/>
    <w:rsid w:val="00D671F6"/>
    <w:rsid w:val="00D71653"/>
    <w:rsid w:val="00D72436"/>
    <w:rsid w:val="00D8063C"/>
    <w:rsid w:val="00D81864"/>
    <w:rsid w:val="00D926F9"/>
    <w:rsid w:val="00D93182"/>
    <w:rsid w:val="00D961B5"/>
    <w:rsid w:val="00DA7FD6"/>
    <w:rsid w:val="00DB1328"/>
    <w:rsid w:val="00DB7EE0"/>
    <w:rsid w:val="00DC4452"/>
    <w:rsid w:val="00DD2411"/>
    <w:rsid w:val="00DD3E7F"/>
    <w:rsid w:val="00DE0ECC"/>
    <w:rsid w:val="00DE1193"/>
    <w:rsid w:val="00DE2348"/>
    <w:rsid w:val="00DE3943"/>
    <w:rsid w:val="00DE562E"/>
    <w:rsid w:val="00DE6FB0"/>
    <w:rsid w:val="00DE77F8"/>
    <w:rsid w:val="00DF0138"/>
    <w:rsid w:val="00DF294A"/>
    <w:rsid w:val="00DF57F5"/>
    <w:rsid w:val="00E00EAF"/>
    <w:rsid w:val="00E0236A"/>
    <w:rsid w:val="00E11739"/>
    <w:rsid w:val="00E12F72"/>
    <w:rsid w:val="00E15A2D"/>
    <w:rsid w:val="00E15B2B"/>
    <w:rsid w:val="00E23F95"/>
    <w:rsid w:val="00E267A5"/>
    <w:rsid w:val="00E32DA2"/>
    <w:rsid w:val="00E333BC"/>
    <w:rsid w:val="00E35AC9"/>
    <w:rsid w:val="00E413A9"/>
    <w:rsid w:val="00E5003A"/>
    <w:rsid w:val="00E514FA"/>
    <w:rsid w:val="00E51D1F"/>
    <w:rsid w:val="00E52738"/>
    <w:rsid w:val="00E56529"/>
    <w:rsid w:val="00E6135C"/>
    <w:rsid w:val="00E659AC"/>
    <w:rsid w:val="00E66725"/>
    <w:rsid w:val="00E67591"/>
    <w:rsid w:val="00E67A2A"/>
    <w:rsid w:val="00E728B0"/>
    <w:rsid w:val="00E75758"/>
    <w:rsid w:val="00E75BC0"/>
    <w:rsid w:val="00E83C51"/>
    <w:rsid w:val="00E85ECC"/>
    <w:rsid w:val="00E9292D"/>
    <w:rsid w:val="00E943EB"/>
    <w:rsid w:val="00EA2B0E"/>
    <w:rsid w:val="00EA319E"/>
    <w:rsid w:val="00EA56F6"/>
    <w:rsid w:val="00EA77CE"/>
    <w:rsid w:val="00EB1948"/>
    <w:rsid w:val="00EB1DAB"/>
    <w:rsid w:val="00EB1EEE"/>
    <w:rsid w:val="00EB5CA7"/>
    <w:rsid w:val="00EC15BD"/>
    <w:rsid w:val="00EC2019"/>
    <w:rsid w:val="00EC38D5"/>
    <w:rsid w:val="00EC41CE"/>
    <w:rsid w:val="00EC477B"/>
    <w:rsid w:val="00ED0F47"/>
    <w:rsid w:val="00EE34BE"/>
    <w:rsid w:val="00EE7E40"/>
    <w:rsid w:val="00EF653B"/>
    <w:rsid w:val="00EF6C7F"/>
    <w:rsid w:val="00F017F1"/>
    <w:rsid w:val="00F2180F"/>
    <w:rsid w:val="00F31732"/>
    <w:rsid w:val="00F31F04"/>
    <w:rsid w:val="00F327E2"/>
    <w:rsid w:val="00F34A38"/>
    <w:rsid w:val="00F375FF"/>
    <w:rsid w:val="00F50C2B"/>
    <w:rsid w:val="00F566E6"/>
    <w:rsid w:val="00F702DD"/>
    <w:rsid w:val="00F721A2"/>
    <w:rsid w:val="00F7240E"/>
    <w:rsid w:val="00F72B51"/>
    <w:rsid w:val="00F734B6"/>
    <w:rsid w:val="00F76C50"/>
    <w:rsid w:val="00F770BB"/>
    <w:rsid w:val="00F84427"/>
    <w:rsid w:val="00F85050"/>
    <w:rsid w:val="00F86303"/>
    <w:rsid w:val="00F95BD7"/>
    <w:rsid w:val="00FA1741"/>
    <w:rsid w:val="00FA2BEA"/>
    <w:rsid w:val="00FA46BF"/>
    <w:rsid w:val="00FA53B2"/>
    <w:rsid w:val="00FA6242"/>
    <w:rsid w:val="00FA643C"/>
    <w:rsid w:val="00FA7894"/>
    <w:rsid w:val="00FC4DCA"/>
    <w:rsid w:val="00FC4DD1"/>
    <w:rsid w:val="00FD1DCC"/>
    <w:rsid w:val="00FD2E3D"/>
    <w:rsid w:val="00FD30E4"/>
    <w:rsid w:val="00FD3B43"/>
    <w:rsid w:val="00FE51AD"/>
    <w:rsid w:val="00FE5CAF"/>
    <w:rsid w:val="00FE6157"/>
    <w:rsid w:val="00FE74BE"/>
    <w:rsid w:val="00FF0B73"/>
    <w:rsid w:val="00FF17C7"/>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4476">
      <w:bodyDiv w:val="1"/>
      <w:marLeft w:val="0"/>
      <w:marRight w:val="0"/>
      <w:marTop w:val="0"/>
      <w:marBottom w:val="0"/>
      <w:divBdr>
        <w:top w:val="none" w:sz="0" w:space="0" w:color="auto"/>
        <w:left w:val="none" w:sz="0" w:space="0" w:color="auto"/>
        <w:bottom w:val="none" w:sz="0" w:space="0" w:color="auto"/>
        <w:right w:val="none" w:sz="0" w:space="0" w:color="auto"/>
      </w:divBdr>
    </w:div>
    <w:div w:id="793329562">
      <w:bodyDiv w:val="1"/>
      <w:marLeft w:val="0"/>
      <w:marRight w:val="0"/>
      <w:marTop w:val="0"/>
      <w:marBottom w:val="0"/>
      <w:divBdr>
        <w:top w:val="none" w:sz="0" w:space="0" w:color="auto"/>
        <w:left w:val="none" w:sz="0" w:space="0" w:color="auto"/>
        <w:bottom w:val="none" w:sz="0" w:space="0" w:color="auto"/>
        <w:right w:val="none" w:sz="0" w:space="0" w:color="auto"/>
      </w:divBdr>
    </w:div>
    <w:div w:id="982974604">
      <w:bodyDiv w:val="1"/>
      <w:marLeft w:val="0"/>
      <w:marRight w:val="0"/>
      <w:marTop w:val="0"/>
      <w:marBottom w:val="0"/>
      <w:divBdr>
        <w:top w:val="none" w:sz="0" w:space="0" w:color="auto"/>
        <w:left w:val="none" w:sz="0" w:space="0" w:color="auto"/>
        <w:bottom w:val="none" w:sz="0" w:space="0" w:color="auto"/>
        <w:right w:val="none" w:sz="0" w:space="0" w:color="auto"/>
      </w:divBdr>
    </w:div>
    <w:div w:id="1035234966">
      <w:bodyDiv w:val="1"/>
      <w:marLeft w:val="0"/>
      <w:marRight w:val="0"/>
      <w:marTop w:val="0"/>
      <w:marBottom w:val="0"/>
      <w:divBdr>
        <w:top w:val="none" w:sz="0" w:space="0" w:color="auto"/>
        <w:left w:val="none" w:sz="0" w:space="0" w:color="auto"/>
        <w:bottom w:val="none" w:sz="0" w:space="0" w:color="auto"/>
        <w:right w:val="none" w:sz="0" w:space="0" w:color="auto"/>
      </w:divBdr>
    </w:div>
    <w:div w:id="1501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BA35-194F-4204-B591-61D17EF5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JANDEBEUR</dc:creator>
  <cp:lastModifiedBy>shoffner</cp:lastModifiedBy>
  <cp:revision>3</cp:revision>
  <cp:lastPrinted>2015-12-18T18:15:00Z</cp:lastPrinted>
  <dcterms:created xsi:type="dcterms:W3CDTF">2015-12-23T19:58:00Z</dcterms:created>
  <dcterms:modified xsi:type="dcterms:W3CDTF">2015-12-23T19:59:00Z</dcterms:modified>
</cp:coreProperties>
</file>