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206E57">
      <w:pPr>
        <w:jc w:val="center"/>
        <w:rPr>
          <w:b/>
          <w:bCs/>
        </w:rPr>
      </w:pPr>
      <w:r w:rsidRPr="00206E57">
        <w:rPr>
          <w:b/>
          <w:bCs/>
        </w:rPr>
        <w:t>BEFORE THE</w:t>
      </w:r>
    </w:p>
    <w:p w:rsidR="003A388C" w:rsidRPr="00206E57" w:rsidRDefault="003A388C" w:rsidP="00206E57">
      <w:pPr>
        <w:jc w:val="center"/>
        <w:rPr>
          <w:b/>
          <w:bCs/>
        </w:rPr>
      </w:pPr>
      <w:r w:rsidRPr="00206E57">
        <w:rPr>
          <w:b/>
          <w:bCs/>
        </w:rPr>
        <w:t>PENNSYLVANIA PUBLIC UTILITY COMMISSION</w:t>
      </w:r>
    </w:p>
    <w:p w:rsidR="003A388C" w:rsidRPr="00206E57" w:rsidRDefault="003A388C" w:rsidP="00206E57"/>
    <w:p w:rsidR="00BD64D9" w:rsidRPr="00206E57" w:rsidRDefault="00BD64D9" w:rsidP="00206E57"/>
    <w:p w:rsidR="003A388C" w:rsidRPr="00206E57" w:rsidRDefault="003A388C" w:rsidP="00206E57"/>
    <w:p w:rsidR="00735808" w:rsidRPr="00206E57" w:rsidRDefault="007E3DC9" w:rsidP="00206E57">
      <w:r>
        <w:t>Patrick Durkin</w:t>
      </w:r>
      <w:r>
        <w:tab/>
      </w:r>
      <w:r w:rsidR="00DA1854" w:rsidRPr="00206E57">
        <w:tab/>
      </w:r>
      <w:r>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206E57">
      <w:r w:rsidRPr="00206E57">
        <w:tab/>
      </w:r>
      <w:r w:rsidRPr="00206E57">
        <w:tab/>
      </w:r>
      <w:r w:rsidR="007E3DC9">
        <w:tab/>
      </w:r>
      <w:r w:rsidR="003A388C" w:rsidRPr="00206E57">
        <w:tab/>
      </w:r>
      <w:r w:rsidR="003A388C" w:rsidRPr="00206E57">
        <w:tab/>
      </w:r>
      <w:r w:rsidR="003A388C" w:rsidRPr="00206E57">
        <w:tab/>
      </w:r>
      <w:r w:rsidR="003A388C" w:rsidRPr="00206E57">
        <w:tab/>
        <w:t>:</w:t>
      </w:r>
    </w:p>
    <w:p w:rsidR="003A388C" w:rsidRPr="00206E57" w:rsidRDefault="003A388C" w:rsidP="00206E57">
      <w:r w:rsidRPr="00206E57">
        <w:tab/>
        <w:t>v.</w:t>
      </w:r>
      <w:r w:rsidRPr="00206E57">
        <w:tab/>
      </w:r>
      <w:r w:rsidRPr="00206E57">
        <w:tab/>
      </w:r>
      <w:r w:rsidRPr="00206E57">
        <w:tab/>
      </w:r>
      <w:r w:rsidRPr="00206E57">
        <w:tab/>
      </w:r>
      <w:r w:rsidRPr="00206E57">
        <w:tab/>
      </w:r>
      <w:r w:rsidRPr="00206E57">
        <w:tab/>
        <w:t>:</w:t>
      </w:r>
      <w:r w:rsidRPr="00206E57">
        <w:tab/>
      </w:r>
      <w:r w:rsidRPr="00206E57">
        <w:tab/>
      </w:r>
      <w:r w:rsidR="007E3DC9">
        <w:t>C</w:t>
      </w:r>
      <w:r w:rsidRPr="00206E57">
        <w:t>-201</w:t>
      </w:r>
      <w:r w:rsidR="004A4985" w:rsidRPr="00206E57">
        <w:t>5</w:t>
      </w:r>
      <w:r w:rsidRPr="00206E57">
        <w:t>-2</w:t>
      </w:r>
      <w:r w:rsidR="003F1B8F">
        <w:t>498774</w:t>
      </w:r>
    </w:p>
    <w:p w:rsidR="003A388C" w:rsidRPr="00206E57" w:rsidRDefault="003A388C" w:rsidP="00206E57">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E3DC9" w:rsidP="00206E57">
      <w:r>
        <w:t>Verizon Pennsylvania, LLC</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206E57"/>
    <w:p w:rsidR="00BD64D9" w:rsidRPr="00206E57" w:rsidRDefault="00BD64D9" w:rsidP="00206E57"/>
    <w:p w:rsidR="003A388C" w:rsidRPr="00206E57" w:rsidRDefault="003A388C" w:rsidP="00206E57"/>
    <w:p w:rsidR="003A388C" w:rsidRPr="00206E57" w:rsidRDefault="003A388C" w:rsidP="00206E57">
      <w:pPr>
        <w:jc w:val="center"/>
        <w:rPr>
          <w:b/>
          <w:u w:val="single"/>
        </w:rPr>
      </w:pPr>
      <w:r w:rsidRPr="00206E57">
        <w:rPr>
          <w:b/>
          <w:u w:val="single"/>
        </w:rPr>
        <w:t>INITIAL DECISION</w:t>
      </w:r>
    </w:p>
    <w:p w:rsidR="003A388C" w:rsidRPr="00206E57" w:rsidRDefault="003A388C" w:rsidP="00206E57">
      <w:pPr>
        <w:jc w:val="center"/>
        <w:rPr>
          <w:b/>
          <w:u w:val="single"/>
        </w:rPr>
      </w:pPr>
    </w:p>
    <w:p w:rsidR="003A388C" w:rsidRPr="00206E57" w:rsidRDefault="003A388C" w:rsidP="00206E57">
      <w:pPr>
        <w:jc w:val="center"/>
        <w:rPr>
          <w:b/>
          <w:u w:val="single"/>
        </w:rPr>
      </w:pPr>
    </w:p>
    <w:p w:rsidR="003A388C" w:rsidRPr="00206E57" w:rsidRDefault="003A388C" w:rsidP="00206E57">
      <w:pPr>
        <w:jc w:val="center"/>
      </w:pPr>
      <w:r w:rsidRPr="00206E57">
        <w:t>Before</w:t>
      </w:r>
    </w:p>
    <w:p w:rsidR="003A388C" w:rsidRPr="00206E57" w:rsidRDefault="003A388C" w:rsidP="00206E57">
      <w:pPr>
        <w:jc w:val="center"/>
      </w:pPr>
      <w:r w:rsidRPr="00206E57">
        <w:t>Angela T. Jones</w:t>
      </w:r>
    </w:p>
    <w:p w:rsidR="003A388C" w:rsidRPr="00206E57" w:rsidRDefault="003A388C" w:rsidP="00206E57">
      <w:pPr>
        <w:jc w:val="center"/>
      </w:pPr>
      <w:r w:rsidRPr="00206E57">
        <w:t>Administrative Law Judge</w:t>
      </w:r>
    </w:p>
    <w:p w:rsidR="003A388C" w:rsidRPr="00206E57" w:rsidRDefault="003A388C" w:rsidP="00206E57">
      <w:pPr>
        <w:jc w:val="center"/>
      </w:pPr>
    </w:p>
    <w:p w:rsidR="003A388C" w:rsidRPr="00206E57" w:rsidRDefault="003A388C" w:rsidP="00206E57">
      <w:pPr>
        <w:jc w:val="center"/>
        <w:rPr>
          <w:u w:val="single"/>
        </w:rPr>
      </w:pPr>
    </w:p>
    <w:p w:rsidR="00C8722E" w:rsidRPr="00206E57" w:rsidRDefault="00C8722E" w:rsidP="00206E57">
      <w:pPr>
        <w:jc w:val="center"/>
        <w:rPr>
          <w:u w:val="single"/>
        </w:rPr>
      </w:pPr>
      <w:r w:rsidRPr="00206E57">
        <w:rPr>
          <w:u w:val="single"/>
        </w:rPr>
        <w:t>INTRODUCTION</w:t>
      </w:r>
    </w:p>
    <w:p w:rsidR="00C8722E" w:rsidRPr="00206E57" w:rsidRDefault="00C8722E" w:rsidP="00206E57">
      <w:pPr>
        <w:jc w:val="center"/>
        <w:rPr>
          <w:u w:val="single"/>
        </w:rPr>
      </w:pPr>
    </w:p>
    <w:p w:rsidR="00855E15" w:rsidRPr="00206E57" w:rsidRDefault="00855E15" w:rsidP="00206E57">
      <w:pPr>
        <w:jc w:val="center"/>
        <w:rPr>
          <w:u w:val="single"/>
        </w:rPr>
      </w:pPr>
    </w:p>
    <w:p w:rsidR="00C8722E" w:rsidRPr="00206E57" w:rsidRDefault="00C8722E" w:rsidP="007E3DC9">
      <w:pPr>
        <w:spacing w:line="360" w:lineRule="auto"/>
        <w:ind w:firstLine="1440"/>
      </w:pPr>
      <w:r w:rsidRPr="00206E57">
        <w:t xml:space="preserve">This formal complaint (Complaint) concerns </w:t>
      </w:r>
      <w:r w:rsidR="007E3DC9">
        <w:t>whether Verizon Pennsylvania</w:t>
      </w:r>
      <w:r w:rsidR="009E7341">
        <w:t>,</w:t>
      </w:r>
      <w:r w:rsidR="007E3DC9">
        <w:t xml:space="preserve"> LLC (Respondent or Company or VZPA) provided the Complainant with adequate service.  </w:t>
      </w:r>
      <w:r w:rsidR="00035CA0"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206E57">
      <w:pPr>
        <w:spacing w:line="360" w:lineRule="auto"/>
        <w:ind w:firstLine="1440"/>
      </w:pPr>
    </w:p>
    <w:p w:rsidR="003A388C" w:rsidRPr="00206E57" w:rsidRDefault="003A388C" w:rsidP="00206E57">
      <w:pPr>
        <w:jc w:val="center"/>
        <w:rPr>
          <w:u w:val="single"/>
        </w:rPr>
      </w:pPr>
      <w:r w:rsidRPr="00206E57">
        <w:rPr>
          <w:u w:val="single"/>
        </w:rPr>
        <w:t>HISTORY OF THE PROCEEDING</w:t>
      </w:r>
    </w:p>
    <w:p w:rsidR="003A388C" w:rsidRPr="00206E57" w:rsidRDefault="003A388C" w:rsidP="00206E57">
      <w:pPr>
        <w:spacing w:line="360" w:lineRule="auto"/>
        <w:jc w:val="center"/>
        <w:rPr>
          <w:u w:val="single"/>
        </w:rPr>
      </w:pPr>
    </w:p>
    <w:p w:rsidR="006B1D44" w:rsidRPr="00206E57" w:rsidRDefault="00F11D5B" w:rsidP="00206E57">
      <w:pPr>
        <w:spacing w:line="360" w:lineRule="auto"/>
        <w:ind w:firstLine="1440"/>
      </w:pPr>
      <w:r w:rsidRPr="00206E57">
        <w:t xml:space="preserve">On </w:t>
      </w:r>
      <w:r w:rsidR="009B6A6A" w:rsidRPr="00206E57">
        <w:t xml:space="preserve">or about </w:t>
      </w:r>
      <w:r w:rsidR="00E24151" w:rsidRPr="00206E57">
        <w:t>August</w:t>
      </w:r>
      <w:r w:rsidR="00BA6414">
        <w:t xml:space="preserve"> 6</w:t>
      </w:r>
      <w:r w:rsidR="00DA1854" w:rsidRPr="00206E57">
        <w:t xml:space="preserve">, </w:t>
      </w:r>
      <w:r w:rsidRPr="00206E57">
        <w:t>201</w:t>
      </w:r>
      <w:r w:rsidR="00035CA0" w:rsidRPr="00206E57">
        <w:t>5</w:t>
      </w:r>
      <w:r w:rsidRPr="00206E57">
        <w:t>, Complainant</w:t>
      </w:r>
      <w:r w:rsidR="009B6A6A" w:rsidRPr="00206E57">
        <w:t xml:space="preserve">, </w:t>
      </w:r>
      <w:r w:rsidR="00BA6414">
        <w:t>Patrick Durkin</w:t>
      </w:r>
      <w:r w:rsidR="009B6A6A" w:rsidRPr="00206E57">
        <w:t>,</w:t>
      </w:r>
      <w:r w:rsidRPr="00206E57">
        <w:t xml:space="preserve"> filed a </w:t>
      </w:r>
      <w:r w:rsidR="00A313CE" w:rsidRPr="00206E57">
        <w:t>Complaint against</w:t>
      </w:r>
      <w:r w:rsidRPr="00206E57">
        <w:t xml:space="preserve"> </w:t>
      </w:r>
      <w:r w:rsidR="00BA6414">
        <w:t>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B645A0">
        <w:t>claimed R</w:t>
      </w:r>
      <w:r w:rsidR="009E7341">
        <w:t>espondent provided inadequate telecommunications services</w:t>
      </w:r>
      <w:r w:rsidR="00BA6414">
        <w:t>.  Complainant requested payment of lost wages for himself and his wife.  Complainant also requested that the Respondent’s infrastructure be upgraded and a stay</w:t>
      </w:r>
      <w:r w:rsidR="00B645A0">
        <w:t xml:space="preserve"> be placed</w:t>
      </w:r>
      <w:bookmarkStart w:id="0" w:name="_GoBack"/>
      <w:bookmarkEnd w:id="0"/>
      <w:r w:rsidR="00BA6414">
        <w:t xml:space="preserve"> on any rate actions pending before the Commission until an antitrust investigation is completed with federal agencies.   </w:t>
      </w:r>
    </w:p>
    <w:p w:rsidR="00831A50" w:rsidRPr="00206E57" w:rsidRDefault="00831A50" w:rsidP="00206E57">
      <w:pPr>
        <w:spacing w:line="360" w:lineRule="auto"/>
        <w:ind w:firstLine="1440"/>
      </w:pPr>
    </w:p>
    <w:p w:rsidR="00FC19DF" w:rsidRPr="00FC19DF" w:rsidRDefault="00FC19DF" w:rsidP="00FC19DF">
      <w:pPr>
        <w:spacing w:line="360" w:lineRule="auto"/>
        <w:ind w:firstLine="1440"/>
      </w:pPr>
      <w:r w:rsidRPr="00FC19DF">
        <w:lastRenderedPageBreak/>
        <w:t xml:space="preserve">On September 8, 2015, </w:t>
      </w:r>
      <w:r w:rsidR="001210B3">
        <w:t xml:space="preserve">Suzan Paiva, Esquire, on behalf of </w:t>
      </w:r>
      <w:r w:rsidRPr="00FC19DF">
        <w:t>Respondent</w:t>
      </w:r>
      <w:r w:rsidR="00BE08AE">
        <w:t>,</w:t>
      </w:r>
      <w:r w:rsidRPr="00FC19DF">
        <w:t xml:space="preserve"> timely filed and served an Answer</w:t>
      </w:r>
      <w:r w:rsidR="005225C9">
        <w:t>, Notice to Plead,</w:t>
      </w:r>
      <w:r w:rsidRPr="00FC19DF">
        <w:t xml:space="preserve"> New Matter (Answer)</w:t>
      </w:r>
      <w:r w:rsidR="005225C9">
        <w:t>,</w:t>
      </w:r>
      <w:r w:rsidRPr="00FC19DF">
        <w:t xml:space="preserve"> Preliminary Objections and </w:t>
      </w:r>
      <w:r w:rsidR="005225C9">
        <w:t xml:space="preserve">a </w:t>
      </w:r>
      <w:r w:rsidRPr="00FC19DF">
        <w:t xml:space="preserve">Motion to Strike.  The Answer admitted and denied various material facts averred in the Complaint.  </w:t>
      </w:r>
      <w:r>
        <w:t>Respondent</w:t>
      </w:r>
      <w:r w:rsidRPr="00FC19DF">
        <w:t xml:space="preserve"> admitted that it provides telephone service to the Complainant.  Respondent stated there were two requests from the Complainant for repair in July 2015.  </w:t>
      </w:r>
      <w:r>
        <w:t>Respondent stated that it responded to both requests.</w:t>
      </w:r>
      <w:r w:rsidRPr="00FC19DF">
        <w:t xml:space="preserve"> </w:t>
      </w:r>
    </w:p>
    <w:p w:rsidR="00FC19DF" w:rsidRPr="00FC19DF" w:rsidRDefault="00FC19DF" w:rsidP="00FC19DF">
      <w:pPr>
        <w:spacing w:line="360" w:lineRule="auto"/>
        <w:ind w:firstLine="1440"/>
      </w:pPr>
    </w:p>
    <w:p w:rsidR="00FC19DF" w:rsidRDefault="00FC19DF" w:rsidP="00FC19DF">
      <w:pPr>
        <w:spacing w:line="360" w:lineRule="auto"/>
        <w:ind w:firstLine="1440"/>
      </w:pPr>
      <w:r w:rsidRPr="00FC19DF">
        <w:t>In its New Matter, Respondent cited that the Complainant requested to be reimbursed for lost wages.  Respondent plead</w:t>
      </w:r>
      <w:r>
        <w:t>ed</w:t>
      </w:r>
      <w:r w:rsidRPr="00FC19DF">
        <w:t xml:space="preserve"> that any monetary damage related to this Complaint </w:t>
      </w:r>
      <w:r>
        <w:t>is</w:t>
      </w:r>
      <w:r w:rsidRPr="00FC19DF">
        <w:t xml:space="preserve"> outside the authority granted to the Commission.  </w:t>
      </w:r>
      <w:r w:rsidRPr="00FC19DF">
        <w:rPr>
          <w:i/>
        </w:rPr>
        <w:t>See, Feingold v. Bell of Pennsylvania</w:t>
      </w:r>
      <w:r w:rsidRPr="00FC19DF">
        <w:t xml:space="preserve">, 477 Pa.1, 383 A2d 791 (1977).  Respondent </w:t>
      </w:r>
      <w:r w:rsidR="005225C9">
        <w:t xml:space="preserve">moved to strike the Complainant’s request to be reimbursed for lost wages.  For the remainder of the Complaint, Respondent </w:t>
      </w:r>
      <w:r w:rsidRPr="00FC19DF">
        <w:t>alleged that the Complainant failed to state a claim upon which relief can be granted.</w:t>
      </w:r>
    </w:p>
    <w:p w:rsidR="001210B3" w:rsidRDefault="001210B3" w:rsidP="00FC19DF">
      <w:pPr>
        <w:spacing w:line="360" w:lineRule="auto"/>
        <w:ind w:firstLine="1440"/>
      </w:pPr>
    </w:p>
    <w:p w:rsidR="001210B3" w:rsidRDefault="001210B3" w:rsidP="00FC19DF">
      <w:pPr>
        <w:spacing w:line="360" w:lineRule="auto"/>
        <w:ind w:firstLine="1440"/>
      </w:pPr>
      <w:r w:rsidRPr="00206E57">
        <w:t xml:space="preserve">A Hearing Notice dated </w:t>
      </w:r>
      <w:r>
        <w:t>November 9</w:t>
      </w:r>
      <w:r w:rsidRPr="00206E57">
        <w:t xml:space="preserve">, 2015, notified the parties that an Initial Hearing was scheduled for </w:t>
      </w:r>
      <w:r>
        <w:t>Wedne</w:t>
      </w:r>
      <w:r w:rsidRPr="00206E57">
        <w:t xml:space="preserve">sday, December </w:t>
      </w:r>
      <w:r>
        <w:t>16</w:t>
      </w:r>
      <w:r w:rsidRPr="00206E57">
        <w:t>, 2015.  This Notice indicated that the case was assigned to the undersigned Administrative Law Judge</w:t>
      </w:r>
      <w:r>
        <w:t xml:space="preserve"> (ALJ)</w:t>
      </w:r>
      <w:r w:rsidRPr="00206E57">
        <w:t xml:space="preserve"> Angela T. Jones as the presiding officer.</w:t>
      </w:r>
      <w:r>
        <w:t xml:space="preserve"> </w:t>
      </w:r>
    </w:p>
    <w:p w:rsidR="00FC19DF" w:rsidRPr="00FC19DF" w:rsidRDefault="00FC19DF" w:rsidP="00FC19DF">
      <w:pPr>
        <w:spacing w:line="360" w:lineRule="auto"/>
        <w:ind w:firstLine="1440"/>
      </w:pPr>
    </w:p>
    <w:p w:rsidR="00831A50" w:rsidRDefault="00BC3E0B" w:rsidP="00206E57">
      <w:pPr>
        <w:spacing w:line="360" w:lineRule="auto"/>
        <w:ind w:firstLine="1440"/>
      </w:pPr>
      <w:r>
        <w:t>By Order dated November 16, 2015, the undersigned granted the Respondent’s request to strike the Complainant’s request for reimbursed wages.  The undersigned found that the Commission does not have the authority to grant damages.</w:t>
      </w:r>
      <w:r w:rsidRPr="00BC3E0B">
        <w:rPr>
          <w:i/>
        </w:rPr>
        <w:t xml:space="preserve"> </w:t>
      </w:r>
      <w:r>
        <w:rPr>
          <w:i/>
        </w:rPr>
        <w:t xml:space="preserve"> Id</w:t>
      </w:r>
      <w:r>
        <w:t xml:space="preserve">.  However, the undersigned </w:t>
      </w:r>
      <w:r w:rsidR="001210B3">
        <w:t>found that t</w:t>
      </w:r>
      <w:r w:rsidR="00831A50" w:rsidRPr="00206E57">
        <w:t xml:space="preserve">he Complaint </w:t>
      </w:r>
      <w:r w:rsidR="001210B3">
        <w:t>also alleged that the telecommunications service</w:t>
      </w:r>
      <w:r w:rsidR="005225C9">
        <w:t>s</w:t>
      </w:r>
      <w:r w:rsidR="001210B3">
        <w:t xml:space="preserve"> provided by the Respondent </w:t>
      </w:r>
      <w:r w:rsidR="005225C9">
        <w:t>were</w:t>
      </w:r>
      <w:r w:rsidR="001210B3">
        <w:t xml:space="preserve"> inadequate and the actions of the Respondent were unreasonable.  Consequently</w:t>
      </w:r>
      <w:r w:rsidR="00BE08AE">
        <w:t>,</w:t>
      </w:r>
      <w:r w:rsidR="001210B3">
        <w:t xml:space="preserve"> the Complaint did raise an adequate claim for relief</w:t>
      </w:r>
      <w:r w:rsidR="005225C9">
        <w:t xml:space="preserve">.  Because the Respondent’s </w:t>
      </w:r>
      <w:r w:rsidR="00BE08AE">
        <w:t>Motion to Strike was granted and</w:t>
      </w:r>
      <w:r w:rsidR="005225C9">
        <w:t xml:space="preserve"> the </w:t>
      </w:r>
      <w:r w:rsidR="003F1B8F">
        <w:t>undersigned found an adequate claim for relief in the Complaint, the</w:t>
      </w:r>
      <w:r w:rsidR="005225C9">
        <w:t xml:space="preserve"> Preliminary Objections were granted in part and denied in part</w:t>
      </w:r>
      <w:r w:rsidR="001210B3">
        <w:t>.</w:t>
      </w:r>
      <w:r w:rsidR="005225C9">
        <w:t xml:space="preserve">  </w:t>
      </w:r>
      <w:r w:rsidR="001210B3">
        <w:t xml:space="preserve">  </w:t>
      </w:r>
    </w:p>
    <w:p w:rsidR="001210B3" w:rsidRDefault="001210B3" w:rsidP="00206E57">
      <w:pPr>
        <w:spacing w:line="360" w:lineRule="auto"/>
        <w:ind w:firstLine="1440"/>
      </w:pPr>
    </w:p>
    <w:p w:rsidR="001210B3" w:rsidRPr="00206E57" w:rsidRDefault="001210B3" w:rsidP="001210B3">
      <w:pPr>
        <w:tabs>
          <w:tab w:val="left" w:pos="2160"/>
        </w:tabs>
        <w:spacing w:line="360" w:lineRule="auto"/>
        <w:ind w:firstLine="1440"/>
      </w:pPr>
      <w:r>
        <w:t xml:space="preserve">By separate Order also dated November 16, 2015, the undersigned issued a Prehearing Order, which </w:t>
      </w:r>
      <w:r w:rsidRPr="00206E57">
        <w:t>provided procedural rules and guidelines for the proceeding and emphasized the following:</w:t>
      </w:r>
    </w:p>
    <w:p w:rsidR="001210B3" w:rsidRPr="00206E57" w:rsidRDefault="001210B3" w:rsidP="001210B3">
      <w:pPr>
        <w:tabs>
          <w:tab w:val="left" w:pos="2160"/>
        </w:tabs>
        <w:ind w:left="1440" w:right="1440"/>
      </w:pPr>
      <w:r w:rsidRPr="00206E57">
        <w:lastRenderedPageBreak/>
        <w:t>(1) a request to change the scheduled hearing should be sent at least five days prior to the hearing date;</w:t>
      </w:r>
    </w:p>
    <w:p w:rsidR="001210B3" w:rsidRPr="00206E57" w:rsidRDefault="001210B3" w:rsidP="001210B3">
      <w:pPr>
        <w:tabs>
          <w:tab w:val="left" w:pos="2160"/>
        </w:tabs>
        <w:ind w:left="1440" w:right="1440"/>
      </w:pPr>
      <w:r w:rsidRPr="00206E57">
        <w:t>(2) the request for a hearing change is to be in writing and sent to all parties of record; and</w:t>
      </w:r>
    </w:p>
    <w:p w:rsidR="001210B3" w:rsidRPr="00206E57" w:rsidRDefault="001210B3" w:rsidP="001210B3">
      <w:pPr>
        <w:tabs>
          <w:tab w:val="left" w:pos="2160"/>
        </w:tabs>
        <w:ind w:left="1440" w:right="1440"/>
      </w:pPr>
      <w:r w:rsidRPr="00206E57">
        <w:t xml:space="preserve">(3) a caution that Complainant may lose the case if he does not take part in the hearing and present evidence on the issues raised. </w:t>
      </w:r>
    </w:p>
    <w:p w:rsidR="001210B3" w:rsidRPr="00206E57" w:rsidRDefault="001210B3" w:rsidP="001210B3">
      <w:pPr>
        <w:tabs>
          <w:tab w:val="left" w:pos="2160"/>
        </w:tabs>
        <w:spacing w:line="360" w:lineRule="auto"/>
        <w:ind w:left="1440" w:right="1440"/>
      </w:pPr>
    </w:p>
    <w:p w:rsidR="00414348" w:rsidRPr="00206E57" w:rsidRDefault="001210B3" w:rsidP="005225C9">
      <w:pPr>
        <w:spacing w:line="360" w:lineRule="auto"/>
        <w:ind w:firstLine="1440"/>
        <w:rPr>
          <w:spacing w:val="-3"/>
        </w:rPr>
      </w:pPr>
      <w:r w:rsidRPr="00206E57">
        <w:rPr>
          <w:spacing w:val="-3"/>
        </w:rPr>
        <w:t xml:space="preserve">The evidentiary hearing convened as scheduled.  </w:t>
      </w:r>
      <w:r w:rsidR="00333BB3" w:rsidRPr="00206E57">
        <w:rPr>
          <w:spacing w:val="-3"/>
        </w:rPr>
        <w:t xml:space="preserve">Ms. </w:t>
      </w:r>
      <w:r w:rsidR="005225C9">
        <w:rPr>
          <w:spacing w:val="-3"/>
        </w:rPr>
        <w:t xml:space="preserve">Paiva </w:t>
      </w:r>
      <w:r w:rsidR="00D85330" w:rsidRPr="00206E57">
        <w:rPr>
          <w:spacing w:val="-3"/>
        </w:rPr>
        <w:t xml:space="preserve">was present representing </w:t>
      </w:r>
      <w:r w:rsidR="005225C9">
        <w:rPr>
          <w:spacing w:val="-3"/>
        </w:rPr>
        <w:t>VZPA</w:t>
      </w:r>
      <w:r w:rsidR="00D85330" w:rsidRPr="00206E57">
        <w:rPr>
          <w:spacing w:val="-3"/>
        </w:rPr>
        <w:t xml:space="preserve">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 xml:space="preserve">Complainant, </w:t>
      </w:r>
      <w:r w:rsidR="005225C9">
        <w:rPr>
          <w:spacing w:val="-3"/>
        </w:rPr>
        <w:t>Patrick Durkin</w:t>
      </w:r>
      <w:r w:rsidR="004A5BB7" w:rsidRPr="00206E57">
        <w:rPr>
          <w:spacing w:val="-3"/>
        </w:rPr>
        <w:t>, failed to appear at the hearing.</w:t>
      </w:r>
      <w:r w:rsidR="00F45E87" w:rsidRPr="00206E57">
        <w:rPr>
          <w:spacing w:val="-3"/>
        </w:rPr>
        <w:t xml:space="preserve">  </w:t>
      </w:r>
      <w:r w:rsidR="00E82FB4" w:rsidRPr="00206E57">
        <w:rPr>
          <w:spacing w:val="-3"/>
        </w:rPr>
        <w:t xml:space="preserve">Counsel for </w:t>
      </w:r>
      <w:r w:rsidR="00192050" w:rsidRPr="00206E57">
        <w:rPr>
          <w:spacing w:val="-3"/>
        </w:rPr>
        <w:t>the Respondent</w:t>
      </w:r>
      <w:r w:rsidR="0032744A" w:rsidRPr="00206E57">
        <w:rPr>
          <w:spacing w:val="-3"/>
        </w:rPr>
        <w:t xml:space="preserve"> </w:t>
      </w:r>
      <w:r w:rsidR="00E82FB4" w:rsidRPr="00206E57">
        <w:rPr>
          <w:spacing w:val="-3"/>
        </w:rPr>
        <w:t xml:space="preserve">moved </w:t>
      </w:r>
      <w:r w:rsidR="00F0486D" w:rsidRPr="00206E57">
        <w:rPr>
          <w:spacing w:val="-3"/>
        </w:rPr>
        <w:t>that</w:t>
      </w:r>
      <w:r w:rsidR="00E82FB4" w:rsidRPr="00206E57">
        <w:rPr>
          <w:spacing w:val="-3"/>
        </w:rPr>
        <w:t xml:space="preserve"> the Complaint be dismissed</w:t>
      </w:r>
      <w:r w:rsidR="00EE1812" w:rsidRPr="00206E57">
        <w:rPr>
          <w:spacing w:val="-3"/>
        </w:rPr>
        <w:t xml:space="preserve"> with prejudice due to</w:t>
      </w:r>
      <w:r w:rsidR="00E82FB4" w:rsidRPr="00206E57">
        <w:rPr>
          <w:spacing w:val="-3"/>
        </w:rPr>
        <w:t xml:space="preserve"> failure to prosecute.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3E3039" w:rsidRPr="00206E57">
        <w:rPr>
          <w:spacing w:val="-3"/>
        </w:rPr>
        <w:t xml:space="preserve">December </w:t>
      </w:r>
      <w:r w:rsidR="005225C9">
        <w:rPr>
          <w:spacing w:val="-3"/>
        </w:rPr>
        <w:t>16</w:t>
      </w:r>
      <w:r w:rsidR="00C81232" w:rsidRPr="00206E57">
        <w:rPr>
          <w:spacing w:val="-3"/>
        </w:rPr>
        <w:t>, 201</w:t>
      </w:r>
      <w:r w:rsidR="00193AC9" w:rsidRPr="00206E57">
        <w:rPr>
          <w:spacing w:val="-3"/>
        </w:rPr>
        <w:t>5</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206E57">
      <w:pPr>
        <w:tabs>
          <w:tab w:val="left" w:pos="-720"/>
        </w:tabs>
        <w:suppressAutoHyphens/>
        <w:spacing w:line="360" w:lineRule="auto"/>
        <w:rPr>
          <w:spacing w:val="-3"/>
        </w:rPr>
      </w:pPr>
    </w:p>
    <w:p w:rsidR="007B35F5" w:rsidRPr="00206E57" w:rsidRDefault="00975607" w:rsidP="00206E57">
      <w:pPr>
        <w:tabs>
          <w:tab w:val="left" w:pos="-720"/>
        </w:tabs>
        <w:suppressAutoHyphens/>
        <w:spacing w:line="360" w:lineRule="auto"/>
        <w:ind w:firstLine="1440"/>
        <w:rPr>
          <w:spacing w:val="-3"/>
        </w:rPr>
      </w:pPr>
      <w:r w:rsidRPr="00206E57">
        <w:rPr>
          <w:spacing w:val="-3"/>
        </w:rPr>
        <w:t xml:space="preserve">This matter is ripe for decision. </w:t>
      </w:r>
    </w:p>
    <w:p w:rsidR="00975607" w:rsidRPr="00206E57" w:rsidRDefault="00975607" w:rsidP="00206E57">
      <w:pPr>
        <w:tabs>
          <w:tab w:val="left" w:pos="-720"/>
        </w:tabs>
        <w:suppressAutoHyphens/>
        <w:spacing w:line="360" w:lineRule="auto"/>
        <w:jc w:val="center"/>
        <w:rPr>
          <w:spacing w:val="-3"/>
        </w:rPr>
      </w:pPr>
    </w:p>
    <w:p w:rsidR="003A388C" w:rsidRPr="00206E57" w:rsidRDefault="003A388C" w:rsidP="00206E57">
      <w:pPr>
        <w:tabs>
          <w:tab w:val="left" w:pos="-720"/>
        </w:tabs>
        <w:suppressAutoHyphens/>
        <w:spacing w:line="360" w:lineRule="auto"/>
        <w:jc w:val="center"/>
      </w:pPr>
      <w:r w:rsidRPr="00206E57">
        <w:rPr>
          <w:u w:val="single"/>
        </w:rPr>
        <w:t>FINDINGS OF FACT</w:t>
      </w:r>
    </w:p>
    <w:p w:rsidR="003A388C" w:rsidRPr="00206E57" w:rsidRDefault="003A388C" w:rsidP="00206E57">
      <w:pPr>
        <w:tabs>
          <w:tab w:val="left" w:pos="2160"/>
        </w:tabs>
        <w:spacing w:line="360" w:lineRule="auto"/>
        <w:rPr>
          <w:u w:val="single"/>
        </w:rPr>
      </w:pPr>
    </w:p>
    <w:p w:rsidR="008269B7" w:rsidRPr="00206E57" w:rsidRDefault="006840CF" w:rsidP="00206E57">
      <w:pPr>
        <w:numPr>
          <w:ilvl w:val="0"/>
          <w:numId w:val="1"/>
        </w:numPr>
        <w:tabs>
          <w:tab w:val="left" w:pos="2160"/>
        </w:tabs>
        <w:spacing w:line="360" w:lineRule="auto"/>
        <w:ind w:left="0" w:firstLine="1440"/>
      </w:pPr>
      <w:r w:rsidRPr="00206E57">
        <w:t>Complainant</w:t>
      </w:r>
      <w:r w:rsidR="00D85330" w:rsidRPr="00206E57">
        <w:t xml:space="preserve"> </w:t>
      </w:r>
      <w:r w:rsidR="00043F6B" w:rsidRPr="00206E57">
        <w:t xml:space="preserve">is </w:t>
      </w:r>
      <w:r w:rsidR="005225C9">
        <w:t>Patrick Durkin</w:t>
      </w:r>
      <w:r w:rsidR="007F75E5" w:rsidRPr="00206E57">
        <w:t>, who</w:t>
      </w:r>
      <w:r w:rsidR="00F05625">
        <w:t xml:space="preserve"> receives</w:t>
      </w:r>
      <w:r w:rsidR="007F75E5" w:rsidRPr="00206E57">
        <w:t xml:space="preserve"> </w:t>
      </w:r>
      <w:r w:rsidR="005225C9">
        <w:t>telecommunications service</w:t>
      </w:r>
      <w:r w:rsidR="004925D2">
        <w:t xml:space="preserve"> </w:t>
      </w:r>
      <w:r w:rsidR="004925D2" w:rsidRPr="00206E57">
        <w:t>from the Respondent</w:t>
      </w:r>
      <w:r w:rsidR="007B4BB5">
        <w:t xml:space="preserve"> </w:t>
      </w:r>
      <w:r w:rsidR="004925D2">
        <w:t xml:space="preserve">at </w:t>
      </w:r>
      <w:r w:rsidR="003F1B8F">
        <w:t>7423 Hill Road, Philadelphia</w:t>
      </w:r>
      <w:r w:rsidR="004925D2">
        <w:t>, Pennsylvania.</w:t>
      </w:r>
    </w:p>
    <w:p w:rsidR="000E34BB" w:rsidRPr="00206E57" w:rsidRDefault="000E34BB" w:rsidP="000B43FE">
      <w:pPr>
        <w:tabs>
          <w:tab w:val="left" w:pos="2160"/>
        </w:tabs>
        <w:spacing w:line="360" w:lineRule="auto"/>
        <w:ind w:left="1440"/>
      </w:pPr>
    </w:p>
    <w:p w:rsidR="000E34BB" w:rsidRPr="00206E57" w:rsidRDefault="000E34BB" w:rsidP="00206E57">
      <w:pPr>
        <w:numPr>
          <w:ilvl w:val="0"/>
          <w:numId w:val="1"/>
        </w:numPr>
        <w:tabs>
          <w:tab w:val="left" w:pos="2160"/>
        </w:tabs>
        <w:spacing w:line="360" w:lineRule="auto"/>
        <w:ind w:left="0" w:firstLine="1440"/>
      </w:pPr>
      <w:r w:rsidRPr="00206E57">
        <w:t xml:space="preserve">Respondent is </w:t>
      </w:r>
      <w:r w:rsidR="003F1B8F">
        <w:t>Verizon Pennsylvania, LLC</w:t>
      </w:r>
      <w:r w:rsidR="007F75E5" w:rsidRPr="00206E57">
        <w:t xml:space="preserve">, a jurisdictional public utility providing </w:t>
      </w:r>
      <w:r w:rsidR="003F1B8F">
        <w:t>telecommunications services</w:t>
      </w:r>
      <w:r w:rsidR="007F75E5" w:rsidRPr="00206E57">
        <w:t xml:space="preserve"> in the Commonwealth of Pennsylvania</w:t>
      </w:r>
      <w:r w:rsidRPr="00206E57">
        <w:t>.</w:t>
      </w:r>
    </w:p>
    <w:p w:rsidR="00F0486D" w:rsidRPr="00206E57" w:rsidRDefault="00F0486D" w:rsidP="000B43FE">
      <w:pPr>
        <w:tabs>
          <w:tab w:val="left" w:pos="2160"/>
        </w:tabs>
        <w:spacing w:line="360" w:lineRule="auto"/>
        <w:ind w:left="1440"/>
      </w:pPr>
    </w:p>
    <w:p w:rsidR="00D85330" w:rsidRPr="00206E57" w:rsidRDefault="003E21D0" w:rsidP="00206E57">
      <w:pPr>
        <w:numPr>
          <w:ilvl w:val="0"/>
          <w:numId w:val="1"/>
        </w:numPr>
        <w:tabs>
          <w:tab w:val="left" w:pos="2160"/>
        </w:tabs>
        <w:spacing w:line="360" w:lineRule="auto"/>
        <w:ind w:left="0" w:firstLine="1440"/>
      </w:pPr>
      <w:r w:rsidRPr="00206E57">
        <w:t xml:space="preserve">On August </w:t>
      </w:r>
      <w:r w:rsidR="003F1B8F">
        <w:t>6</w:t>
      </w:r>
      <w:r w:rsidRPr="00206E57">
        <w:t xml:space="preserve">, 2015, </w:t>
      </w:r>
      <w:r w:rsidR="00A02C67" w:rsidRPr="00206E57">
        <w:t>Complainant</w:t>
      </w:r>
      <w:r w:rsidRPr="00206E57">
        <w:t xml:space="preserve"> filed a Complaint with the Commission against the Respondent, which</w:t>
      </w:r>
      <w:r w:rsidR="00A02C67" w:rsidRPr="00206E57">
        <w:t xml:space="preserve"> </w:t>
      </w:r>
      <w:r w:rsidR="00B358BD" w:rsidRPr="00206E57">
        <w:t xml:space="preserve">alleged </w:t>
      </w:r>
      <w:r w:rsidR="003F1B8F">
        <w:t>inadequate and unreasonable telecommunications services</w:t>
      </w:r>
      <w:r w:rsidR="00B358BD" w:rsidRPr="00206E57">
        <w:t>.</w:t>
      </w:r>
    </w:p>
    <w:p w:rsidR="006840CF" w:rsidRPr="00206E57" w:rsidRDefault="006840CF" w:rsidP="000B43FE">
      <w:pPr>
        <w:tabs>
          <w:tab w:val="left" w:pos="2160"/>
        </w:tabs>
        <w:spacing w:line="360" w:lineRule="auto"/>
        <w:ind w:left="1440"/>
      </w:pPr>
    </w:p>
    <w:p w:rsidR="00DF0C12" w:rsidRPr="00206E57" w:rsidRDefault="00BC69C7" w:rsidP="00206E57">
      <w:pPr>
        <w:numPr>
          <w:ilvl w:val="0"/>
          <w:numId w:val="1"/>
        </w:numPr>
        <w:tabs>
          <w:tab w:val="left" w:pos="2160"/>
        </w:tabs>
        <w:spacing w:line="360" w:lineRule="auto"/>
        <w:ind w:left="0" w:firstLine="1440"/>
      </w:pPr>
      <w:r w:rsidRPr="00206E57">
        <w:t>Respondent</w:t>
      </w:r>
      <w:r w:rsidR="00DF0C12" w:rsidRPr="00206E57">
        <w:t xml:space="preserve"> filed its Answer</w:t>
      </w:r>
      <w:r w:rsidRPr="00206E57">
        <w:t xml:space="preserve"> </w:t>
      </w:r>
      <w:r w:rsidR="00DF0C12" w:rsidRPr="00206E57">
        <w:t xml:space="preserve">on </w:t>
      </w:r>
      <w:r w:rsidR="003E21D0" w:rsidRPr="00206E57">
        <w:t xml:space="preserve">September </w:t>
      </w:r>
      <w:r w:rsidR="003F1B8F">
        <w:t>8</w:t>
      </w:r>
      <w:r w:rsidR="00F0486D" w:rsidRPr="00206E57">
        <w:t xml:space="preserve">, </w:t>
      </w:r>
      <w:r w:rsidR="00DF0C12" w:rsidRPr="00206E57">
        <w:t>201</w:t>
      </w:r>
      <w:r w:rsidR="00193AC9" w:rsidRPr="00206E57">
        <w:t>5</w:t>
      </w:r>
      <w:r w:rsidR="007F75E5" w:rsidRPr="00206E57">
        <w:t>, denying any wrongdoing</w:t>
      </w:r>
      <w:r w:rsidR="00DF0C12" w:rsidRPr="00206E57">
        <w:t>.</w:t>
      </w:r>
    </w:p>
    <w:p w:rsidR="00DF0C12" w:rsidRPr="00206E57" w:rsidRDefault="00DF0C12" w:rsidP="000B43FE">
      <w:pPr>
        <w:pStyle w:val="ListParagraph"/>
        <w:spacing w:line="360" w:lineRule="auto"/>
      </w:pPr>
    </w:p>
    <w:p w:rsidR="003A388C" w:rsidRPr="00206E57" w:rsidRDefault="003A388C" w:rsidP="00206E57">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3F1B8F">
        <w:t>Nov</w:t>
      </w:r>
      <w:r w:rsidR="003E21D0" w:rsidRPr="00206E57">
        <w:t>ember 9</w:t>
      </w:r>
      <w:r w:rsidRPr="00206E57">
        <w:t>, 201</w:t>
      </w:r>
      <w:r w:rsidR="00193AC9" w:rsidRPr="00206E57">
        <w:t>5</w:t>
      </w:r>
      <w:r w:rsidRPr="00206E57">
        <w:t xml:space="preserve">, </w:t>
      </w:r>
      <w:r w:rsidR="00C974D1" w:rsidRPr="00206E57">
        <w:t>was mailed to the Complainant and scheduled a</w:t>
      </w:r>
      <w:r w:rsidRPr="00206E57">
        <w:t>n Initial</w:t>
      </w:r>
      <w:r w:rsidR="00C974D1" w:rsidRPr="00206E57">
        <w:t xml:space="preserve"> </w:t>
      </w:r>
      <w:r w:rsidRPr="00206E57">
        <w:t xml:space="preserve">Hearing for </w:t>
      </w:r>
      <w:r w:rsidR="003F1B8F">
        <w:t>Wednes</w:t>
      </w:r>
      <w:r w:rsidR="003E21D0" w:rsidRPr="00206E57">
        <w:t xml:space="preserve">day, December </w:t>
      </w:r>
      <w:r w:rsidR="003F1B8F">
        <w:t>16</w:t>
      </w:r>
      <w:r w:rsidR="00B16F58" w:rsidRPr="00206E57">
        <w:t>, 201</w:t>
      </w:r>
      <w:r w:rsidR="00193AC9" w:rsidRPr="00206E57">
        <w:t>5</w:t>
      </w:r>
      <w:r w:rsidRPr="00206E57">
        <w:t xml:space="preserve">. </w:t>
      </w:r>
    </w:p>
    <w:p w:rsidR="003A388C" w:rsidRPr="00206E57" w:rsidRDefault="00B16F58" w:rsidP="00206E57">
      <w:pPr>
        <w:numPr>
          <w:ilvl w:val="0"/>
          <w:numId w:val="1"/>
        </w:numPr>
        <w:tabs>
          <w:tab w:val="left" w:pos="2160"/>
        </w:tabs>
        <w:spacing w:line="360" w:lineRule="auto"/>
        <w:ind w:left="0" w:firstLine="1440"/>
      </w:pPr>
      <w:r w:rsidRPr="00206E57">
        <w:lastRenderedPageBreak/>
        <w:t>A</w:t>
      </w:r>
      <w:r w:rsidR="005C3E08" w:rsidRPr="00206E57">
        <w:t xml:space="preserve"> </w:t>
      </w:r>
      <w:r w:rsidR="003A388C" w:rsidRPr="00206E57">
        <w:t>Prehearing Order</w:t>
      </w:r>
      <w:r w:rsidR="005C3E08" w:rsidRPr="00206E57">
        <w:t xml:space="preserve">, </w:t>
      </w:r>
      <w:r w:rsidR="003A388C" w:rsidRPr="00206E57">
        <w:t xml:space="preserve">dated </w:t>
      </w:r>
      <w:r w:rsidR="003F1B8F">
        <w:t>November</w:t>
      </w:r>
      <w:r w:rsidR="003E21D0" w:rsidRPr="00206E57">
        <w:t xml:space="preserve"> 1</w:t>
      </w:r>
      <w:r w:rsidR="003F1B8F">
        <w:t>6</w:t>
      </w:r>
      <w:r w:rsidR="005C3E08" w:rsidRPr="00206E57">
        <w:t>, 201</w:t>
      </w:r>
      <w:r w:rsidR="00193AC9" w:rsidRPr="00206E57">
        <w:t>5</w:t>
      </w:r>
      <w:r w:rsidR="005C3E08" w:rsidRPr="00206E57">
        <w:t xml:space="preserve">, </w:t>
      </w:r>
      <w:r w:rsidR="003A388C" w:rsidRPr="00206E57">
        <w:t>advised the Complainant of the proper procedure to obtain a continuance to reschedule the hearing date</w:t>
      </w:r>
      <w:r w:rsidR="00512898" w:rsidRPr="00206E57">
        <w:t>.</w:t>
      </w:r>
    </w:p>
    <w:p w:rsidR="00C974D1" w:rsidRPr="00206E57" w:rsidRDefault="00C974D1" w:rsidP="000B43FE">
      <w:pPr>
        <w:pStyle w:val="ListParagraph"/>
        <w:spacing w:line="360" w:lineRule="auto"/>
      </w:pPr>
    </w:p>
    <w:p w:rsidR="003A388C" w:rsidRPr="00206E57" w:rsidRDefault="00E63B78" w:rsidP="00206E57">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0B43FE">
      <w:pPr>
        <w:pStyle w:val="ListParagraph"/>
        <w:spacing w:line="360" w:lineRule="auto"/>
        <w:rPr>
          <w:spacing w:val="-3"/>
        </w:rPr>
      </w:pPr>
    </w:p>
    <w:p w:rsidR="00E43A42" w:rsidRPr="00206E57" w:rsidRDefault="003A388C" w:rsidP="00206E57">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E43A42" w:rsidRPr="00206E57">
        <w:rPr>
          <w:spacing w:val="-3"/>
        </w:rPr>
        <w:t>Initial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7F75E5" w:rsidRPr="00206E57">
        <w:rPr>
          <w:spacing w:val="-3"/>
        </w:rPr>
        <w:t xml:space="preserve">December </w:t>
      </w:r>
      <w:r w:rsidR="003F1B8F">
        <w:rPr>
          <w:spacing w:val="-3"/>
        </w:rPr>
        <w:t>16</w:t>
      </w:r>
      <w:r w:rsidR="00216719" w:rsidRPr="00206E57">
        <w:rPr>
          <w:spacing w:val="-3"/>
        </w:rPr>
        <w:t>, 201</w:t>
      </w:r>
      <w:r w:rsidR="00193AC9" w:rsidRPr="00206E57">
        <w:rPr>
          <w:spacing w:val="-3"/>
        </w:rPr>
        <w:t>5</w:t>
      </w:r>
      <w:r w:rsidR="00E43A42" w:rsidRPr="00206E57">
        <w:rPr>
          <w:spacing w:val="-3"/>
        </w:rPr>
        <w:t>.</w:t>
      </w:r>
    </w:p>
    <w:p w:rsidR="003A388C" w:rsidRPr="00206E57" w:rsidRDefault="003A388C" w:rsidP="000B43FE">
      <w:pPr>
        <w:pStyle w:val="ListParagraph"/>
        <w:spacing w:line="360" w:lineRule="auto"/>
        <w:rPr>
          <w:spacing w:val="-3"/>
        </w:rPr>
      </w:pPr>
    </w:p>
    <w:p w:rsidR="006D25DA" w:rsidRPr="00206E57" w:rsidRDefault="003A388C" w:rsidP="00206E57">
      <w:pPr>
        <w:numPr>
          <w:ilvl w:val="0"/>
          <w:numId w:val="1"/>
        </w:numPr>
        <w:tabs>
          <w:tab w:val="num" w:pos="2160"/>
        </w:tabs>
        <w:spacing w:line="360" w:lineRule="auto"/>
        <w:ind w:left="0" w:firstLine="1440"/>
        <w:rPr>
          <w:spacing w:val="-3"/>
        </w:rPr>
      </w:pPr>
      <w:r w:rsidRPr="00206E57">
        <w:rPr>
          <w:spacing w:val="-3"/>
        </w:rPr>
        <w:t>Complainant did not settle</w:t>
      </w:r>
      <w:r w:rsidR="00ED6EF5" w:rsidRPr="00206E57">
        <w:rPr>
          <w:spacing w:val="-3"/>
        </w:rPr>
        <w:t>, request a continuance</w:t>
      </w:r>
      <w:r w:rsidRPr="00206E57">
        <w:rPr>
          <w:spacing w:val="-3"/>
        </w:rPr>
        <w:t xml:space="preserve"> or withdraw</w:t>
      </w:r>
      <w:r w:rsidR="00043F6B" w:rsidRPr="00206E57">
        <w:rPr>
          <w:spacing w:val="-3"/>
        </w:rPr>
        <w:t xml:space="preserve"> the</w:t>
      </w:r>
      <w:r w:rsidRPr="00206E57">
        <w:rPr>
          <w:spacing w:val="-3"/>
        </w:rPr>
        <w:t xml:space="preserve"> Complaint.</w:t>
      </w:r>
    </w:p>
    <w:p w:rsidR="009B2F92" w:rsidRPr="00206E57" w:rsidRDefault="009B2F92" w:rsidP="00206E57">
      <w:pPr>
        <w:spacing w:line="360" w:lineRule="auto"/>
        <w:jc w:val="center"/>
        <w:rPr>
          <w:u w:val="single"/>
        </w:rPr>
      </w:pPr>
    </w:p>
    <w:p w:rsidR="003A388C" w:rsidRPr="00206E57" w:rsidRDefault="003A388C" w:rsidP="00206E57">
      <w:pPr>
        <w:spacing w:line="360" w:lineRule="auto"/>
        <w:jc w:val="center"/>
        <w:rPr>
          <w:u w:val="single"/>
        </w:rPr>
      </w:pPr>
      <w:r w:rsidRPr="00206E57">
        <w:rPr>
          <w:u w:val="single"/>
        </w:rPr>
        <w:t>DISCUSSION</w:t>
      </w:r>
    </w:p>
    <w:p w:rsidR="003A388C" w:rsidRPr="00206E57" w:rsidRDefault="003A388C" w:rsidP="00206E57">
      <w:pPr>
        <w:tabs>
          <w:tab w:val="left" w:pos="2160"/>
        </w:tabs>
        <w:spacing w:line="360" w:lineRule="auto"/>
        <w:jc w:val="center"/>
        <w:rPr>
          <w:u w:val="single"/>
        </w:rPr>
      </w:pPr>
    </w:p>
    <w:p w:rsidR="003A388C" w:rsidRPr="00206E57" w:rsidRDefault="003A388C" w:rsidP="00206E57">
      <w:pPr>
        <w:spacing w:line="360" w:lineRule="auto"/>
        <w:ind w:firstLine="1440"/>
      </w:pPr>
      <w:r w:rsidRPr="00206E57">
        <w:t>In this Complaint, Complainant</w:t>
      </w:r>
      <w:r w:rsidR="00650800">
        <w:t xml:space="preserve"> claimed Respondent failed to provide adequate telecommunications services.</w:t>
      </w:r>
      <w:r w:rsidR="007F75E5" w:rsidRPr="00206E57">
        <w:t xml:space="preserve"> </w:t>
      </w:r>
      <w:r w:rsidR="00D9640E" w:rsidRPr="00206E57">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Complainant was unable to meet this burden.</w:t>
      </w:r>
    </w:p>
    <w:p w:rsidR="00E07FF6" w:rsidRPr="00206E57" w:rsidRDefault="00E07FF6" w:rsidP="00206E57">
      <w:pPr>
        <w:spacing w:line="360" w:lineRule="auto"/>
        <w:ind w:firstLine="1440"/>
      </w:pPr>
    </w:p>
    <w:p w:rsidR="007F75E5" w:rsidRPr="00206E57" w:rsidRDefault="007F75E5" w:rsidP="00206E57">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PA,</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206E57">
      <w:pPr>
        <w:spacing w:line="360" w:lineRule="auto"/>
        <w:ind w:firstLine="1440"/>
      </w:pPr>
    </w:p>
    <w:p w:rsidR="003A388C" w:rsidRPr="00206E57" w:rsidRDefault="003A388C" w:rsidP="00206E57">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lastRenderedPageBreak/>
        <w:t>C</w:t>
      </w:r>
      <w:r w:rsidR="00855E15" w:rsidRPr="00206E57">
        <w:rPr>
          <w:i/>
        </w:rPr>
        <w:t>omm’n</w:t>
      </w:r>
      <w:r w:rsidRPr="00206E57">
        <w:t xml:space="preserve">, 83 Pa. Commw. 306, 479 A.2d 10 (1984).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165 Pa. Commw. 671, 645 A.2d 944 (1994).</w:t>
      </w:r>
    </w:p>
    <w:p w:rsidR="00280901" w:rsidRPr="00206E57" w:rsidRDefault="00280901" w:rsidP="00206E57">
      <w:pPr>
        <w:spacing w:line="360" w:lineRule="auto"/>
        <w:ind w:firstLine="1440"/>
      </w:pPr>
    </w:p>
    <w:p w:rsidR="00A93B36" w:rsidRPr="00206E57" w:rsidRDefault="003A388C" w:rsidP="00206E57">
      <w:pPr>
        <w:spacing w:line="360" w:lineRule="auto"/>
        <w:ind w:firstLine="1440"/>
      </w:pPr>
      <w:r w:rsidRPr="00206E57">
        <w:t xml:space="preserve">A Hearing Notice </w:t>
      </w:r>
      <w:r w:rsidR="00DE3FA7" w:rsidRPr="00206E57">
        <w:t xml:space="preserve">dated </w:t>
      </w:r>
      <w:r w:rsidR="003F1B8F">
        <w:t>Nov</w:t>
      </w:r>
      <w:r w:rsidR="00CB7867" w:rsidRPr="00206E57">
        <w:t>ember 9</w:t>
      </w:r>
      <w:r w:rsidR="00DE3FA7" w:rsidRPr="00206E57">
        <w:t>, 201</w:t>
      </w:r>
      <w:r w:rsidR="00F81698" w:rsidRPr="00206E57">
        <w:t>5</w:t>
      </w:r>
      <w:r w:rsidR="00DE3FA7" w:rsidRPr="00206E57">
        <w:t>,</w:t>
      </w:r>
      <w:r w:rsidR="00F66C2D" w:rsidRPr="00206E57">
        <w:t xml:space="preserve"> and</w:t>
      </w:r>
      <w:r w:rsidR="00650800">
        <w:t xml:space="preserve"> a</w:t>
      </w:r>
      <w:r w:rsidR="000B43FE">
        <w:t xml:space="preserve"> Prehearing Order dated </w:t>
      </w:r>
      <w:r w:rsidR="003F1B8F">
        <w:t>Novem</w:t>
      </w:r>
      <w:r w:rsidR="000B43FE">
        <w:t>ber </w:t>
      </w:r>
      <w:r w:rsidR="00F66C2D" w:rsidRPr="00206E57">
        <w:t>1</w:t>
      </w:r>
      <w:r w:rsidR="003F1B8F">
        <w:t>6</w:t>
      </w:r>
      <w:r w:rsidR="00F66C2D" w:rsidRPr="00206E57">
        <w:t>, 2015,</w:t>
      </w:r>
      <w:r w:rsidR="00DE3FA7" w:rsidRPr="00206E57">
        <w:t xml:space="preserve"> </w:t>
      </w:r>
      <w:r w:rsidRPr="00206E57">
        <w:t>w</w:t>
      </w:r>
      <w:r w:rsidR="00F66C2D" w:rsidRPr="00206E57">
        <w:t>ere</w:t>
      </w:r>
      <w:r w:rsidRPr="00206E57">
        <w:t xml:space="preserve"> mailed to Complainant at the address listed on the Complaint</w:t>
      </w:r>
      <w:r w:rsidR="000B43FE">
        <w:t>.  Both documents</w:t>
      </w:r>
      <w:r w:rsidR="004C7818" w:rsidRPr="00206E57">
        <w:t xml:space="preserve"> stated the day, date and time of the scheduled Initial Hearing</w:t>
      </w:r>
      <w:r w:rsidR="00DE3FA7" w:rsidRPr="00206E57">
        <w:t xml:space="preserve">.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 by the </w:t>
      </w:r>
      <w:r w:rsidR="003B289A" w:rsidRPr="00206E57">
        <w:t>U.S. p</w:t>
      </w:r>
      <w:r w:rsidR="00E63B78" w:rsidRPr="00206E57">
        <w:t xml:space="preserve">ost </w:t>
      </w:r>
      <w:r w:rsidR="003B289A" w:rsidRPr="00206E57">
        <w:t>o</w:t>
      </w:r>
      <w:r w:rsidR="00E63B78" w:rsidRPr="00206E57">
        <w:t>ffice</w:t>
      </w:r>
      <w:r w:rsidR="00F66C2D" w:rsidRPr="00206E57">
        <w:t xml:space="preserve"> as undeliverable</w:t>
      </w:r>
      <w:r w:rsidR="004925D2">
        <w:t xml:space="preserve"> (FOF</w:t>
      </w:r>
      <w:r w:rsidR="007B4BB5">
        <w:t xml:space="preserve"> </w:t>
      </w:r>
      <w:r w:rsidR="004925D2">
        <w:t>7).</w:t>
      </w:r>
      <w:r w:rsidR="00E63B78" w:rsidRPr="00206E57">
        <w:t xml:space="preserve">  </w:t>
      </w:r>
      <w:r w:rsidR="002A08B5" w:rsidRPr="00206E57">
        <w:t xml:space="preserve">Complainant is deemed to have received </w:t>
      </w:r>
      <w:r w:rsidR="006D25DA" w:rsidRPr="00206E57">
        <w:t xml:space="preserve">both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participate in the hearing.  </w:t>
      </w:r>
      <w:r w:rsidR="00F66C2D" w:rsidRPr="00206E57">
        <w:rPr>
          <w:i/>
        </w:rPr>
        <w:t xml:space="preserve">Sentner v. Bell Tel. Co. of PA, </w:t>
      </w:r>
      <w:r w:rsidR="00F66C2D" w:rsidRPr="00206E57">
        <w:t xml:space="preserve">Docket No. F-00161106, </w:t>
      </w:r>
      <w:r w:rsidR="00650800">
        <w:t>(</w:t>
      </w:r>
      <w:r w:rsidR="00F66C2D" w:rsidRPr="00206E57">
        <w:t>Opinion and Order entered October 25, 2003</w:t>
      </w:r>
      <w:r w:rsidR="00650800">
        <w:t>)</w:t>
      </w:r>
      <w:r w:rsidR="00F66C2D" w:rsidRPr="00206E57">
        <w:t xml:space="preserve">. </w:t>
      </w:r>
      <w:r w:rsidR="002A08B5" w:rsidRPr="00206E57">
        <w:t xml:space="preserve">  </w:t>
      </w:r>
    </w:p>
    <w:p w:rsidR="00A93B36" w:rsidRPr="00206E57" w:rsidRDefault="00A93B36" w:rsidP="00206E57">
      <w:pPr>
        <w:spacing w:line="360" w:lineRule="auto"/>
        <w:ind w:firstLine="1440"/>
      </w:pPr>
    </w:p>
    <w:p w:rsidR="00CB7867" w:rsidRDefault="00F66C2D" w:rsidP="00206E57">
      <w:pPr>
        <w:spacing w:line="360" w:lineRule="auto"/>
        <w:ind w:firstLine="1440"/>
      </w:pPr>
      <w:r w:rsidRPr="00206E57">
        <w:t xml:space="preserve">Both the Hearing Notice and the Prehearing Order warned the parties that failure to participate could result in dismissal of the case.  </w:t>
      </w:r>
      <w:r w:rsidR="00E63B78" w:rsidRPr="00206E57">
        <w:t xml:space="preserve">The record evidence </w:t>
      </w:r>
      <w:r w:rsidRPr="00206E57">
        <w:t xml:space="preserve">shows that the Complainant was warned in two different documents that his failure to participate in the evidentiary hearing could result in the loss of his claim.  The record evidence </w:t>
      </w:r>
      <w:r w:rsidR="00E63B78" w:rsidRPr="00206E57">
        <w:t xml:space="preserve">supports a finding that Complainant had sufficient notice of the day, date and time of the scheduled </w:t>
      </w:r>
      <w:r w:rsidR="003B289A" w:rsidRPr="00206E57">
        <w:t xml:space="preserve">Initial </w:t>
      </w:r>
      <w:r w:rsidR="00EE4639" w:rsidRPr="00206E57">
        <w:t>H</w:t>
      </w:r>
      <w:r w:rsidR="00E63B78" w:rsidRPr="00206E57">
        <w:t xml:space="preserve">earing.  To date, there is no further information about Complainant regarding this hearing.  </w:t>
      </w:r>
    </w:p>
    <w:p w:rsidR="00094F27" w:rsidRPr="00206E57" w:rsidRDefault="00094F27" w:rsidP="00206E57">
      <w:pPr>
        <w:spacing w:line="360" w:lineRule="auto"/>
        <w:ind w:firstLine="1440"/>
      </w:pPr>
    </w:p>
    <w:p w:rsidR="00E63B78" w:rsidRPr="00206E57" w:rsidRDefault="00E63B78" w:rsidP="00206E57">
      <w:pPr>
        <w:spacing w:line="360" w:lineRule="auto"/>
        <w:ind w:firstLine="1440"/>
      </w:pPr>
      <w:r w:rsidRPr="00206E57">
        <w:t>The failure of Complainant to appear at th</w:t>
      </w:r>
      <w:r w:rsidR="00EE4639" w:rsidRPr="00206E57">
        <w:t>is</w:t>
      </w:r>
      <w:r w:rsidRPr="00206E57">
        <w:t xml:space="preserve"> scheduled hearing is unexcused.</w:t>
      </w:r>
      <w:r w:rsidR="001151A8" w:rsidRPr="00206E57">
        <w:t xml:space="preserve">  </w:t>
      </w:r>
      <w:r w:rsidR="00F66C2D" w:rsidRPr="00206E57">
        <w:t>By his failure to attend the hearing and present evidence on the issue raised, Complainant failed to sustain his burden of proof.</w:t>
      </w:r>
    </w:p>
    <w:p w:rsidR="00C974D1" w:rsidRPr="00206E57" w:rsidRDefault="00C974D1" w:rsidP="00206E57">
      <w:pPr>
        <w:spacing w:line="360" w:lineRule="auto"/>
        <w:ind w:firstLine="1440"/>
      </w:pPr>
    </w:p>
    <w:p w:rsidR="00A510FA" w:rsidRPr="00206E57" w:rsidRDefault="003A388C" w:rsidP="00206E57">
      <w:pPr>
        <w:spacing w:line="360" w:lineRule="auto"/>
        <w:ind w:firstLine="1440"/>
        <w:rPr>
          <w:spacing w:val="-3"/>
        </w:rPr>
      </w:pPr>
      <w:r w:rsidRPr="00206E57">
        <w:t>Complainant waived the opportunity to participate in the hearing by failing to appear.  This case will be dismissed</w:t>
      </w:r>
      <w:r w:rsidR="00426901" w:rsidRPr="00206E57">
        <w:t>.</w:t>
      </w:r>
      <w:r w:rsidRPr="00206E57">
        <w:t xml:space="preserve">  52 Pa.Code § 5.245(a); </w:t>
      </w:r>
      <w:r w:rsidRPr="00206E57">
        <w:rPr>
          <w:i/>
          <w:spacing w:val="-3"/>
        </w:rPr>
        <w:t>Martin W. Jefferson v. UGI Utilities, Inc.</w:t>
      </w:r>
      <w:r w:rsidRPr="00206E57">
        <w:rPr>
          <w:spacing w:val="-3"/>
        </w:rPr>
        <w:t>, 1995 Pa. PUC LEXIS 159.</w:t>
      </w:r>
      <w:r w:rsidR="001151A8" w:rsidRPr="00206E57">
        <w:rPr>
          <w:spacing w:val="-3"/>
        </w:rPr>
        <w:t xml:space="preserve">  </w:t>
      </w:r>
    </w:p>
    <w:p w:rsidR="00503E41" w:rsidRDefault="00503E41">
      <w:pPr>
        <w:rPr>
          <w:spacing w:val="-3"/>
        </w:rPr>
      </w:pPr>
      <w:r>
        <w:rPr>
          <w:spacing w:val="-3"/>
        </w:rPr>
        <w:br w:type="page"/>
      </w:r>
    </w:p>
    <w:p w:rsidR="00BF6F11" w:rsidRDefault="00BF6F11" w:rsidP="00206E57">
      <w:pPr>
        <w:spacing w:line="360" w:lineRule="auto"/>
        <w:jc w:val="center"/>
        <w:rPr>
          <w:u w:val="single"/>
        </w:rPr>
      </w:pPr>
      <w:r w:rsidRPr="00206E57">
        <w:rPr>
          <w:u w:val="single"/>
        </w:rPr>
        <w:lastRenderedPageBreak/>
        <w:t>CONCLUSIONS OF LAW</w:t>
      </w:r>
    </w:p>
    <w:p w:rsidR="00503E41" w:rsidRPr="00206E57" w:rsidRDefault="00503E41" w:rsidP="00206E57">
      <w:pPr>
        <w:spacing w:line="360" w:lineRule="auto"/>
        <w:jc w:val="center"/>
        <w:rPr>
          <w:u w:val="single"/>
        </w:rPr>
      </w:pPr>
    </w:p>
    <w:p w:rsidR="00BF6F11" w:rsidRPr="00206E57" w:rsidRDefault="00BF6F11" w:rsidP="00206E57">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0B43FE">
      <w:pPr>
        <w:spacing w:line="360" w:lineRule="auto"/>
        <w:ind w:left="1440"/>
      </w:pPr>
    </w:p>
    <w:p w:rsidR="00CB7867" w:rsidRPr="00206E57" w:rsidRDefault="00CB7867" w:rsidP="00206E57">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0B43FE">
      <w:pPr>
        <w:pStyle w:val="ListParagraph"/>
        <w:spacing w:line="360" w:lineRule="auto"/>
        <w:rPr>
          <w:i/>
        </w:rPr>
      </w:pPr>
    </w:p>
    <w:p w:rsidR="00CB7867" w:rsidRPr="00206E57" w:rsidRDefault="00CB7867" w:rsidP="00206E57">
      <w:pPr>
        <w:numPr>
          <w:ilvl w:val="0"/>
          <w:numId w:val="2"/>
        </w:numPr>
        <w:tabs>
          <w:tab w:val="clear" w:pos="900"/>
          <w:tab w:val="num" w:pos="2160"/>
        </w:tabs>
        <w:spacing w:line="360" w:lineRule="auto"/>
        <w:ind w:left="0" w:firstLine="1440"/>
      </w:pPr>
      <w:r w:rsidRPr="00206E57">
        <w:t>As the party seeking affirmative relief from the Commission, Complainant bears the burden of proof.  66 Pa.C.S. § 332(a).</w:t>
      </w:r>
    </w:p>
    <w:p w:rsidR="00CB7867" w:rsidRPr="00206E57" w:rsidRDefault="00CB7867" w:rsidP="00206E57">
      <w:pPr>
        <w:pStyle w:val="ListParagraph"/>
        <w:rPr>
          <w:i/>
        </w:rPr>
      </w:pPr>
    </w:p>
    <w:p w:rsidR="00CB7867" w:rsidRPr="00206E57" w:rsidRDefault="00CB7867" w:rsidP="00206E57">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F8750F" w:rsidRPr="00206E57" w:rsidRDefault="00F8750F" w:rsidP="000B43FE">
      <w:pPr>
        <w:spacing w:line="360" w:lineRule="auto"/>
        <w:ind w:left="1440"/>
      </w:pPr>
    </w:p>
    <w:p w:rsidR="004E7B3C" w:rsidRPr="00206E57" w:rsidRDefault="00CB7867" w:rsidP="00206E57">
      <w:pPr>
        <w:numPr>
          <w:ilvl w:val="0"/>
          <w:numId w:val="2"/>
        </w:numPr>
        <w:tabs>
          <w:tab w:val="clear" w:pos="900"/>
          <w:tab w:val="num" w:pos="2160"/>
        </w:tabs>
        <w:spacing w:line="360" w:lineRule="auto"/>
        <w:ind w:left="0" w:firstLine="1440"/>
      </w:pPr>
      <w:r w:rsidRPr="00206E57">
        <w:t>T</w:t>
      </w:r>
      <w:r w:rsidR="00BF6F11" w:rsidRPr="00206E57">
        <w:t xml:space="preserve">he Complainant, </w:t>
      </w:r>
      <w:r w:rsidR="003F1B8F">
        <w:t>Patrick Durkin</w:t>
      </w:r>
      <w:r w:rsidRPr="00206E57">
        <w:t>,</w:t>
      </w:r>
      <w:r w:rsidR="00BF6F11" w:rsidRPr="00206E57">
        <w:t xml:space="preserve"> had the burden of proof and failed to carry that burden.  66 Pa.C.S. § 332(a).</w:t>
      </w:r>
    </w:p>
    <w:p w:rsidR="003F1B8F" w:rsidRDefault="003F1B8F" w:rsidP="00206E57">
      <w:pPr>
        <w:spacing w:line="360" w:lineRule="auto"/>
        <w:jc w:val="center"/>
        <w:rPr>
          <w:u w:val="single"/>
        </w:rPr>
      </w:pPr>
    </w:p>
    <w:p w:rsidR="003A388C" w:rsidRPr="00206E57" w:rsidRDefault="003A388C" w:rsidP="00206E57">
      <w:pPr>
        <w:spacing w:line="360" w:lineRule="auto"/>
        <w:jc w:val="center"/>
        <w:rPr>
          <w:u w:val="single"/>
        </w:rPr>
      </w:pPr>
      <w:r w:rsidRPr="00206E57">
        <w:rPr>
          <w:u w:val="single"/>
        </w:rPr>
        <w:t>ORDER</w:t>
      </w:r>
    </w:p>
    <w:p w:rsidR="003A388C" w:rsidRPr="00206E57" w:rsidRDefault="003A388C" w:rsidP="00206E57">
      <w:pPr>
        <w:tabs>
          <w:tab w:val="num" w:pos="2160"/>
        </w:tabs>
        <w:spacing w:line="360" w:lineRule="auto"/>
        <w:jc w:val="center"/>
        <w:rPr>
          <w:u w:val="single"/>
        </w:rPr>
      </w:pPr>
    </w:p>
    <w:p w:rsidR="005B1419" w:rsidRPr="00206E57" w:rsidRDefault="005B1419" w:rsidP="00206E57">
      <w:pPr>
        <w:tabs>
          <w:tab w:val="num" w:pos="2160"/>
        </w:tabs>
        <w:spacing w:line="360" w:lineRule="auto"/>
        <w:jc w:val="center"/>
        <w:rPr>
          <w:u w:val="single"/>
        </w:rPr>
      </w:pPr>
    </w:p>
    <w:p w:rsidR="003A388C" w:rsidRPr="00206E57" w:rsidRDefault="003A388C" w:rsidP="00206E57">
      <w:pPr>
        <w:tabs>
          <w:tab w:val="num" w:pos="2160"/>
        </w:tabs>
        <w:spacing w:line="360" w:lineRule="auto"/>
        <w:ind w:firstLine="1440"/>
      </w:pPr>
      <w:r w:rsidRPr="00206E57">
        <w:t xml:space="preserve">THEREFORE, </w:t>
      </w:r>
    </w:p>
    <w:p w:rsidR="003A388C" w:rsidRPr="00206E57" w:rsidRDefault="003A388C" w:rsidP="00206E57">
      <w:pPr>
        <w:tabs>
          <w:tab w:val="num" w:pos="2160"/>
        </w:tabs>
        <w:spacing w:line="360" w:lineRule="auto"/>
      </w:pPr>
    </w:p>
    <w:p w:rsidR="003A388C" w:rsidRPr="00206E57" w:rsidRDefault="003A388C" w:rsidP="00206E57">
      <w:pPr>
        <w:tabs>
          <w:tab w:val="num" w:pos="2160"/>
        </w:tabs>
        <w:spacing w:line="360" w:lineRule="auto"/>
        <w:ind w:firstLine="1440"/>
      </w:pPr>
      <w:r w:rsidRPr="00206E57">
        <w:t>IT IS ORDERED:</w:t>
      </w:r>
    </w:p>
    <w:p w:rsidR="003A388C" w:rsidRPr="00206E57" w:rsidRDefault="003A388C" w:rsidP="00206E57">
      <w:pPr>
        <w:tabs>
          <w:tab w:val="num" w:pos="2160"/>
        </w:tabs>
        <w:spacing w:line="360" w:lineRule="auto"/>
        <w:rPr>
          <w:b/>
        </w:rPr>
      </w:pPr>
    </w:p>
    <w:p w:rsidR="003A388C" w:rsidRPr="00206E57" w:rsidRDefault="003A388C" w:rsidP="00206E57">
      <w:pPr>
        <w:numPr>
          <w:ilvl w:val="0"/>
          <w:numId w:val="9"/>
        </w:numPr>
        <w:spacing w:line="360" w:lineRule="auto"/>
        <w:ind w:left="0" w:firstLine="1440"/>
      </w:pPr>
      <w:r w:rsidRPr="00206E57">
        <w:t xml:space="preserve">That the motion by </w:t>
      </w:r>
      <w:r w:rsidR="00D9640E" w:rsidRPr="00206E57">
        <w:t>S</w:t>
      </w:r>
      <w:r w:rsidR="003F1B8F">
        <w:t>uzan Paiva</w:t>
      </w:r>
      <w:r w:rsidRPr="00206E57">
        <w:t xml:space="preserve">, Esquire on behalf of </w:t>
      </w:r>
      <w:r w:rsidR="003F1B8F">
        <w:t xml:space="preserve">Verizon </w:t>
      </w:r>
      <w:r w:rsidRPr="00206E57">
        <w:t>P</w:t>
      </w:r>
      <w:r w:rsidR="003F1B8F">
        <w:t>ennsylvania, LLC</w:t>
      </w:r>
      <w:r w:rsidRPr="00206E57">
        <w:t xml:space="preserve"> to dismiss the formal Complaint of </w:t>
      </w:r>
      <w:r w:rsidR="003F1B8F">
        <w:t>Patrick</w:t>
      </w:r>
      <w:r w:rsidR="00CB7867" w:rsidRPr="00206E57">
        <w:t xml:space="preserve"> </w:t>
      </w:r>
      <w:r w:rsidR="003F1B8F">
        <w:t>Durkin</w:t>
      </w:r>
      <w:r w:rsidR="00043F6B" w:rsidRPr="00206E57">
        <w:t xml:space="preserve"> </w:t>
      </w:r>
      <w:r w:rsidR="00765BF6" w:rsidRPr="00206E57">
        <w:t xml:space="preserve">at Docket No. </w:t>
      </w:r>
      <w:r w:rsidR="003F1B8F">
        <w:t>C</w:t>
      </w:r>
      <w:r w:rsidR="00E63B78" w:rsidRPr="00206E57">
        <w:t>-201</w:t>
      </w:r>
      <w:r w:rsidR="00FE69B7" w:rsidRPr="00206E57">
        <w:t>5</w:t>
      </w:r>
      <w:r w:rsidR="00E63B78" w:rsidRPr="00206E57">
        <w:t>-</w:t>
      </w:r>
      <w:r w:rsidR="007206AD" w:rsidRPr="00206E57">
        <w:t>2</w:t>
      </w:r>
      <w:r w:rsidR="003F1B8F">
        <w:t>498774</w:t>
      </w:r>
      <w:r w:rsidRPr="00206E57">
        <w:t xml:space="preserve"> is </w:t>
      </w:r>
      <w:r w:rsidR="00C079EA" w:rsidRPr="00206E57">
        <w:t>granted</w:t>
      </w:r>
      <w:r w:rsidRPr="00206E57">
        <w:t>.</w:t>
      </w:r>
    </w:p>
    <w:p w:rsidR="00435021" w:rsidRPr="00206E57" w:rsidRDefault="00435021" w:rsidP="00206E57">
      <w:pPr>
        <w:numPr>
          <w:ilvl w:val="0"/>
          <w:numId w:val="9"/>
        </w:numPr>
        <w:spacing w:line="360" w:lineRule="auto"/>
        <w:ind w:left="0" w:firstLine="1440"/>
      </w:pPr>
      <w:r w:rsidRPr="00206E57">
        <w:lastRenderedPageBreak/>
        <w:t xml:space="preserve">That the formal Complaint filed by </w:t>
      </w:r>
      <w:r w:rsidR="003F1B8F">
        <w:t>Patrick Durkin</w:t>
      </w:r>
      <w:r w:rsidRPr="00206E57">
        <w:t xml:space="preserve"> against </w:t>
      </w:r>
      <w:r w:rsidR="003F1B8F">
        <w:t xml:space="preserve">Verizon </w:t>
      </w:r>
      <w:r w:rsidRPr="00206E57">
        <w:t>P</w:t>
      </w:r>
      <w:r w:rsidR="003F1B8F">
        <w:t>ennsylvania, LL</w:t>
      </w:r>
      <w:r w:rsidRPr="00206E57">
        <w:t xml:space="preserve">C at Docket No. </w:t>
      </w:r>
      <w:r w:rsidR="003F1B8F">
        <w:t>C</w:t>
      </w:r>
      <w:r w:rsidRPr="00206E57">
        <w:t>-201</w:t>
      </w:r>
      <w:r w:rsidR="00FE69B7" w:rsidRPr="00206E57">
        <w:t>5</w:t>
      </w:r>
      <w:r w:rsidRPr="00206E57">
        <w:t>-2</w:t>
      </w:r>
      <w:r w:rsidR="003F1B8F">
        <w:t>498774</w:t>
      </w:r>
      <w:r w:rsidRPr="00206E57">
        <w:t xml:space="preserve"> is dismissed with prejudice for failure to prosecute.</w:t>
      </w:r>
    </w:p>
    <w:p w:rsidR="003A388C" w:rsidRPr="00206E57" w:rsidRDefault="003A388C" w:rsidP="00206E57">
      <w:pPr>
        <w:tabs>
          <w:tab w:val="num" w:pos="2160"/>
        </w:tabs>
        <w:spacing w:line="360" w:lineRule="auto"/>
        <w:ind w:firstLine="1440"/>
      </w:pPr>
      <w:r w:rsidRPr="00206E57">
        <w:t>3.</w:t>
      </w:r>
      <w:r w:rsidRPr="00206E57">
        <w:tab/>
        <w:t>That the Secretary’s Bureau mark this matter closed.</w:t>
      </w:r>
    </w:p>
    <w:p w:rsidR="003A388C" w:rsidRPr="00206E57" w:rsidRDefault="003A388C" w:rsidP="00206E57">
      <w:pPr>
        <w:tabs>
          <w:tab w:val="num" w:pos="2160"/>
        </w:tabs>
        <w:spacing w:line="360" w:lineRule="auto"/>
        <w:ind w:firstLine="1440"/>
      </w:pPr>
    </w:p>
    <w:p w:rsidR="009A2041" w:rsidRPr="00206E57" w:rsidRDefault="009A2041" w:rsidP="00206E57">
      <w:pPr>
        <w:tabs>
          <w:tab w:val="num" w:pos="2160"/>
        </w:tabs>
        <w:spacing w:line="360" w:lineRule="auto"/>
        <w:ind w:firstLine="1440"/>
      </w:pPr>
    </w:p>
    <w:p w:rsidR="003A388C" w:rsidRPr="00206E57" w:rsidRDefault="003A388C" w:rsidP="00206E57">
      <w:pPr>
        <w:tabs>
          <w:tab w:val="num" w:pos="2160"/>
          <w:tab w:val="left" w:pos="5048"/>
        </w:tabs>
      </w:pPr>
      <w:r w:rsidRPr="00206E57">
        <w:t xml:space="preserve">Dated: </w:t>
      </w:r>
      <w:r w:rsidR="00CB7867" w:rsidRPr="00206E57">
        <w:rPr>
          <w:u w:val="single"/>
        </w:rPr>
        <w:t>December 1</w:t>
      </w:r>
      <w:r w:rsidR="003F1B8F">
        <w:rPr>
          <w:u w:val="single"/>
        </w:rPr>
        <w:t>8</w:t>
      </w:r>
      <w:r w:rsidRPr="00206E57">
        <w:rPr>
          <w:u w:val="single"/>
        </w:rPr>
        <w:t>, 201</w:t>
      </w:r>
      <w:r w:rsidR="00435021" w:rsidRPr="00206E57">
        <w:rPr>
          <w:u w:val="single"/>
        </w:rPr>
        <w:t>5</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206E57">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206E57">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4E" w:rsidRDefault="002D664E" w:rsidP="00671B99">
      <w:r>
        <w:separator/>
      </w:r>
    </w:p>
  </w:endnote>
  <w:endnote w:type="continuationSeparator" w:id="0">
    <w:p w:rsidR="002D664E" w:rsidRDefault="002D664E"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B645A0">
      <w:rPr>
        <w:noProof/>
        <w:sz w:val="20"/>
        <w:szCs w:val="20"/>
      </w:rPr>
      <w:t>2</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4E" w:rsidRDefault="002D664E" w:rsidP="00671B99">
      <w:r>
        <w:separator/>
      </w:r>
    </w:p>
  </w:footnote>
  <w:footnote w:type="continuationSeparator" w:id="0">
    <w:p w:rsidR="002D664E" w:rsidRDefault="002D664E"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3415"/>
    <w:rsid w:val="00013D9A"/>
    <w:rsid w:val="00015654"/>
    <w:rsid w:val="000216E6"/>
    <w:rsid w:val="000240B5"/>
    <w:rsid w:val="00024BCB"/>
    <w:rsid w:val="00024C3E"/>
    <w:rsid w:val="00035A18"/>
    <w:rsid w:val="00035CA0"/>
    <w:rsid w:val="0003642E"/>
    <w:rsid w:val="00043F6B"/>
    <w:rsid w:val="00046766"/>
    <w:rsid w:val="0005378A"/>
    <w:rsid w:val="000568BF"/>
    <w:rsid w:val="00061A0D"/>
    <w:rsid w:val="00080983"/>
    <w:rsid w:val="00093933"/>
    <w:rsid w:val="00093F7C"/>
    <w:rsid w:val="00094F27"/>
    <w:rsid w:val="000B4031"/>
    <w:rsid w:val="000B43FE"/>
    <w:rsid w:val="000B6245"/>
    <w:rsid w:val="000B7A49"/>
    <w:rsid w:val="000C1597"/>
    <w:rsid w:val="000D5C2F"/>
    <w:rsid w:val="000D6317"/>
    <w:rsid w:val="000E1EB5"/>
    <w:rsid w:val="000E33A2"/>
    <w:rsid w:val="000E34BB"/>
    <w:rsid w:val="000F478A"/>
    <w:rsid w:val="000F5C41"/>
    <w:rsid w:val="001058FB"/>
    <w:rsid w:val="001151A8"/>
    <w:rsid w:val="001210B3"/>
    <w:rsid w:val="0012619E"/>
    <w:rsid w:val="00131EA5"/>
    <w:rsid w:val="001330A1"/>
    <w:rsid w:val="001363D7"/>
    <w:rsid w:val="001368BC"/>
    <w:rsid w:val="001368F9"/>
    <w:rsid w:val="00140257"/>
    <w:rsid w:val="001527E7"/>
    <w:rsid w:val="00155EAF"/>
    <w:rsid w:val="00156C11"/>
    <w:rsid w:val="00157D81"/>
    <w:rsid w:val="00165950"/>
    <w:rsid w:val="00172118"/>
    <w:rsid w:val="00173ED1"/>
    <w:rsid w:val="00180B9F"/>
    <w:rsid w:val="00187F2D"/>
    <w:rsid w:val="00191475"/>
    <w:rsid w:val="00191915"/>
    <w:rsid w:val="00192050"/>
    <w:rsid w:val="00193AC9"/>
    <w:rsid w:val="00194014"/>
    <w:rsid w:val="00195C7C"/>
    <w:rsid w:val="001A0CCE"/>
    <w:rsid w:val="001A4A3D"/>
    <w:rsid w:val="001C3393"/>
    <w:rsid w:val="001C7916"/>
    <w:rsid w:val="001C7AA1"/>
    <w:rsid w:val="001D711E"/>
    <w:rsid w:val="001E21D4"/>
    <w:rsid w:val="001E2A34"/>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5F"/>
    <w:rsid w:val="002D664E"/>
    <w:rsid w:val="002D7BDD"/>
    <w:rsid w:val="002E36F5"/>
    <w:rsid w:val="002F0110"/>
    <w:rsid w:val="002F415A"/>
    <w:rsid w:val="003048B4"/>
    <w:rsid w:val="003073A4"/>
    <w:rsid w:val="003208BD"/>
    <w:rsid w:val="00320D23"/>
    <w:rsid w:val="003242C4"/>
    <w:rsid w:val="0032442A"/>
    <w:rsid w:val="00325038"/>
    <w:rsid w:val="0032688F"/>
    <w:rsid w:val="00326AD7"/>
    <w:rsid w:val="0032744A"/>
    <w:rsid w:val="00333BB3"/>
    <w:rsid w:val="00337525"/>
    <w:rsid w:val="00347146"/>
    <w:rsid w:val="00352C36"/>
    <w:rsid w:val="00356F95"/>
    <w:rsid w:val="00362862"/>
    <w:rsid w:val="00367ACA"/>
    <w:rsid w:val="00370CAA"/>
    <w:rsid w:val="00371633"/>
    <w:rsid w:val="003722A7"/>
    <w:rsid w:val="00377946"/>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1D0"/>
    <w:rsid w:val="003E2A33"/>
    <w:rsid w:val="003E3039"/>
    <w:rsid w:val="003E6177"/>
    <w:rsid w:val="003F08DA"/>
    <w:rsid w:val="003F0E6F"/>
    <w:rsid w:val="003F1B8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2D53"/>
    <w:rsid w:val="004457FF"/>
    <w:rsid w:val="004462FB"/>
    <w:rsid w:val="00450543"/>
    <w:rsid w:val="00461D4F"/>
    <w:rsid w:val="00465820"/>
    <w:rsid w:val="004667A5"/>
    <w:rsid w:val="004751A5"/>
    <w:rsid w:val="004829DE"/>
    <w:rsid w:val="00486506"/>
    <w:rsid w:val="00490A4C"/>
    <w:rsid w:val="004925D2"/>
    <w:rsid w:val="004A0D20"/>
    <w:rsid w:val="004A4985"/>
    <w:rsid w:val="004A5BB7"/>
    <w:rsid w:val="004B45C1"/>
    <w:rsid w:val="004C0007"/>
    <w:rsid w:val="004C0200"/>
    <w:rsid w:val="004C777A"/>
    <w:rsid w:val="004C7818"/>
    <w:rsid w:val="004D1411"/>
    <w:rsid w:val="004D6863"/>
    <w:rsid w:val="004E45FC"/>
    <w:rsid w:val="004E6FA4"/>
    <w:rsid w:val="004E7B3C"/>
    <w:rsid w:val="004F3826"/>
    <w:rsid w:val="00503E41"/>
    <w:rsid w:val="00503F63"/>
    <w:rsid w:val="0050520B"/>
    <w:rsid w:val="00507314"/>
    <w:rsid w:val="00512898"/>
    <w:rsid w:val="00513A96"/>
    <w:rsid w:val="00515A5C"/>
    <w:rsid w:val="00516B8F"/>
    <w:rsid w:val="005225C9"/>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5BF8"/>
    <w:rsid w:val="00650800"/>
    <w:rsid w:val="00654DBB"/>
    <w:rsid w:val="00655B0A"/>
    <w:rsid w:val="00656ED6"/>
    <w:rsid w:val="00671B99"/>
    <w:rsid w:val="00672BAC"/>
    <w:rsid w:val="006840CF"/>
    <w:rsid w:val="00684D0B"/>
    <w:rsid w:val="006A3112"/>
    <w:rsid w:val="006A69B7"/>
    <w:rsid w:val="006B1D44"/>
    <w:rsid w:val="006B5879"/>
    <w:rsid w:val="006C01FD"/>
    <w:rsid w:val="006C23BD"/>
    <w:rsid w:val="006C4D40"/>
    <w:rsid w:val="006D25DA"/>
    <w:rsid w:val="006E10BA"/>
    <w:rsid w:val="006E1386"/>
    <w:rsid w:val="006E73B9"/>
    <w:rsid w:val="00703CE7"/>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3BCE"/>
    <w:rsid w:val="00756172"/>
    <w:rsid w:val="00756526"/>
    <w:rsid w:val="00756B0B"/>
    <w:rsid w:val="007578AE"/>
    <w:rsid w:val="00761B3E"/>
    <w:rsid w:val="00762BAE"/>
    <w:rsid w:val="00765BF6"/>
    <w:rsid w:val="00767D96"/>
    <w:rsid w:val="00777B3A"/>
    <w:rsid w:val="0078081C"/>
    <w:rsid w:val="007845A8"/>
    <w:rsid w:val="00796A77"/>
    <w:rsid w:val="007A6113"/>
    <w:rsid w:val="007A6F67"/>
    <w:rsid w:val="007B1AA6"/>
    <w:rsid w:val="007B35F5"/>
    <w:rsid w:val="007B3B06"/>
    <w:rsid w:val="007B4BB5"/>
    <w:rsid w:val="007B5326"/>
    <w:rsid w:val="007B63A7"/>
    <w:rsid w:val="007C0BE8"/>
    <w:rsid w:val="007C2CF6"/>
    <w:rsid w:val="007D0C18"/>
    <w:rsid w:val="007D255B"/>
    <w:rsid w:val="007D3CC0"/>
    <w:rsid w:val="007E139F"/>
    <w:rsid w:val="007E37B9"/>
    <w:rsid w:val="007E3DC9"/>
    <w:rsid w:val="007F1B21"/>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7508"/>
    <w:rsid w:val="008760CF"/>
    <w:rsid w:val="008804D2"/>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A6A"/>
    <w:rsid w:val="009C3CE3"/>
    <w:rsid w:val="009D71B9"/>
    <w:rsid w:val="009E33BD"/>
    <w:rsid w:val="009E7341"/>
    <w:rsid w:val="009F3118"/>
    <w:rsid w:val="009F41A1"/>
    <w:rsid w:val="00A00279"/>
    <w:rsid w:val="00A028BC"/>
    <w:rsid w:val="00A02C67"/>
    <w:rsid w:val="00A05B02"/>
    <w:rsid w:val="00A15382"/>
    <w:rsid w:val="00A201AC"/>
    <w:rsid w:val="00A21F52"/>
    <w:rsid w:val="00A24CCC"/>
    <w:rsid w:val="00A30FD5"/>
    <w:rsid w:val="00A313CE"/>
    <w:rsid w:val="00A31967"/>
    <w:rsid w:val="00A350C4"/>
    <w:rsid w:val="00A376A6"/>
    <w:rsid w:val="00A40C25"/>
    <w:rsid w:val="00A45D37"/>
    <w:rsid w:val="00A46C92"/>
    <w:rsid w:val="00A47DB2"/>
    <w:rsid w:val="00A510FA"/>
    <w:rsid w:val="00A61517"/>
    <w:rsid w:val="00A6625A"/>
    <w:rsid w:val="00A71C4C"/>
    <w:rsid w:val="00A73516"/>
    <w:rsid w:val="00A74200"/>
    <w:rsid w:val="00A77BA9"/>
    <w:rsid w:val="00A85740"/>
    <w:rsid w:val="00A86ABD"/>
    <w:rsid w:val="00A90FB6"/>
    <w:rsid w:val="00A920B1"/>
    <w:rsid w:val="00A93B36"/>
    <w:rsid w:val="00A9541D"/>
    <w:rsid w:val="00AA3084"/>
    <w:rsid w:val="00AB20BB"/>
    <w:rsid w:val="00AB52F0"/>
    <w:rsid w:val="00AC4EBD"/>
    <w:rsid w:val="00AC7EAE"/>
    <w:rsid w:val="00AD3A60"/>
    <w:rsid w:val="00AD54CA"/>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299D"/>
    <w:rsid w:val="00B462D8"/>
    <w:rsid w:val="00B60A58"/>
    <w:rsid w:val="00B63087"/>
    <w:rsid w:val="00B645A0"/>
    <w:rsid w:val="00B82B0B"/>
    <w:rsid w:val="00B82F1D"/>
    <w:rsid w:val="00B84000"/>
    <w:rsid w:val="00B84C71"/>
    <w:rsid w:val="00BA28C9"/>
    <w:rsid w:val="00BA36EA"/>
    <w:rsid w:val="00BA6414"/>
    <w:rsid w:val="00BB7493"/>
    <w:rsid w:val="00BB7638"/>
    <w:rsid w:val="00BC3E0B"/>
    <w:rsid w:val="00BC69C7"/>
    <w:rsid w:val="00BD02F4"/>
    <w:rsid w:val="00BD3EA3"/>
    <w:rsid w:val="00BD64D9"/>
    <w:rsid w:val="00BD6E2C"/>
    <w:rsid w:val="00BE053F"/>
    <w:rsid w:val="00BE08AE"/>
    <w:rsid w:val="00BE4E0F"/>
    <w:rsid w:val="00BF144E"/>
    <w:rsid w:val="00BF3C09"/>
    <w:rsid w:val="00BF5D86"/>
    <w:rsid w:val="00BF6F11"/>
    <w:rsid w:val="00C00503"/>
    <w:rsid w:val="00C02628"/>
    <w:rsid w:val="00C0489C"/>
    <w:rsid w:val="00C079EA"/>
    <w:rsid w:val="00C14ED0"/>
    <w:rsid w:val="00C20513"/>
    <w:rsid w:val="00C207CD"/>
    <w:rsid w:val="00C27948"/>
    <w:rsid w:val="00C30185"/>
    <w:rsid w:val="00C32B5E"/>
    <w:rsid w:val="00C33E29"/>
    <w:rsid w:val="00C43343"/>
    <w:rsid w:val="00C45F1D"/>
    <w:rsid w:val="00C53142"/>
    <w:rsid w:val="00C55254"/>
    <w:rsid w:val="00C64238"/>
    <w:rsid w:val="00C669B9"/>
    <w:rsid w:val="00C74F76"/>
    <w:rsid w:val="00C76A1B"/>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330C"/>
    <w:rsid w:val="00CE4B36"/>
    <w:rsid w:val="00CE675B"/>
    <w:rsid w:val="00CF1302"/>
    <w:rsid w:val="00CF4CD0"/>
    <w:rsid w:val="00CF7F0D"/>
    <w:rsid w:val="00D03591"/>
    <w:rsid w:val="00D055B4"/>
    <w:rsid w:val="00D11BDA"/>
    <w:rsid w:val="00D15F85"/>
    <w:rsid w:val="00D20565"/>
    <w:rsid w:val="00D25029"/>
    <w:rsid w:val="00D2574A"/>
    <w:rsid w:val="00D27E15"/>
    <w:rsid w:val="00D33D95"/>
    <w:rsid w:val="00D4030A"/>
    <w:rsid w:val="00D40DDD"/>
    <w:rsid w:val="00D54FCA"/>
    <w:rsid w:val="00D5664A"/>
    <w:rsid w:val="00D65395"/>
    <w:rsid w:val="00D6799E"/>
    <w:rsid w:val="00D709D1"/>
    <w:rsid w:val="00D8314A"/>
    <w:rsid w:val="00D85330"/>
    <w:rsid w:val="00D961A1"/>
    <w:rsid w:val="00D9640E"/>
    <w:rsid w:val="00DA0FC1"/>
    <w:rsid w:val="00DA1854"/>
    <w:rsid w:val="00DA780B"/>
    <w:rsid w:val="00DB1007"/>
    <w:rsid w:val="00DB2E1C"/>
    <w:rsid w:val="00DB6896"/>
    <w:rsid w:val="00DC08D5"/>
    <w:rsid w:val="00DC7A93"/>
    <w:rsid w:val="00DD39BD"/>
    <w:rsid w:val="00DE2973"/>
    <w:rsid w:val="00DE3FA7"/>
    <w:rsid w:val="00DE55D3"/>
    <w:rsid w:val="00DE66E9"/>
    <w:rsid w:val="00DF0C12"/>
    <w:rsid w:val="00DF38CA"/>
    <w:rsid w:val="00DF7410"/>
    <w:rsid w:val="00DF7D4C"/>
    <w:rsid w:val="00E0363C"/>
    <w:rsid w:val="00E0421D"/>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05625"/>
    <w:rsid w:val="00F11D5B"/>
    <w:rsid w:val="00F15002"/>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2DFD"/>
    <w:rsid w:val="00F8636E"/>
    <w:rsid w:val="00F86983"/>
    <w:rsid w:val="00F8750F"/>
    <w:rsid w:val="00F941B8"/>
    <w:rsid w:val="00FA6001"/>
    <w:rsid w:val="00FA6D36"/>
    <w:rsid w:val="00FC19DF"/>
    <w:rsid w:val="00FC24B7"/>
    <w:rsid w:val="00FC3154"/>
    <w:rsid w:val="00FC563D"/>
    <w:rsid w:val="00FC5B6C"/>
    <w:rsid w:val="00FC704A"/>
    <w:rsid w:val="00FD0AB9"/>
    <w:rsid w:val="00FD48B6"/>
    <w:rsid w:val="00FD57EE"/>
    <w:rsid w:val="00FE3C72"/>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E17F-B74E-423A-A56B-C99BA198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Niesborella, Kathleen</cp:lastModifiedBy>
  <cp:revision>9</cp:revision>
  <cp:lastPrinted>2015-12-18T16:38:00Z</cp:lastPrinted>
  <dcterms:created xsi:type="dcterms:W3CDTF">2015-12-18T16:17:00Z</dcterms:created>
  <dcterms:modified xsi:type="dcterms:W3CDTF">2015-12-23T16:20:00Z</dcterms:modified>
</cp:coreProperties>
</file>