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EA0" w:rsidRPr="006C6758" w:rsidRDefault="00960EA0" w:rsidP="00960EA0">
      <w:pPr>
        <w:jc w:val="center"/>
        <w:rPr>
          <w:b/>
          <w:bCs/>
        </w:rPr>
      </w:pPr>
      <w:r w:rsidRPr="006C6758">
        <w:rPr>
          <w:b/>
          <w:bCs/>
        </w:rPr>
        <w:t>BEFORE THE</w:t>
      </w:r>
    </w:p>
    <w:p w:rsidR="00960EA0" w:rsidRPr="006C6758" w:rsidRDefault="00960EA0" w:rsidP="00960EA0">
      <w:pPr>
        <w:jc w:val="center"/>
        <w:rPr>
          <w:b/>
          <w:bCs/>
        </w:rPr>
      </w:pPr>
      <w:r w:rsidRPr="006C6758">
        <w:rPr>
          <w:b/>
          <w:bCs/>
        </w:rPr>
        <w:t>PENNSYLVANIA PUBLIC UTILITY COMMISSION</w:t>
      </w:r>
    </w:p>
    <w:p w:rsidR="00960EA0" w:rsidRPr="006C6758" w:rsidRDefault="00960EA0" w:rsidP="00960EA0">
      <w:pPr>
        <w:jc w:val="center"/>
        <w:rPr>
          <w:b/>
          <w:bCs/>
        </w:rPr>
      </w:pPr>
    </w:p>
    <w:p w:rsidR="00960EA0" w:rsidRPr="006C6758" w:rsidRDefault="00960EA0" w:rsidP="00960EA0">
      <w:pPr>
        <w:jc w:val="center"/>
        <w:rPr>
          <w:b/>
          <w:bCs/>
        </w:rPr>
      </w:pPr>
    </w:p>
    <w:p w:rsidR="00960EA0" w:rsidRPr="006C6758" w:rsidRDefault="00960EA0" w:rsidP="00960EA0">
      <w:pPr>
        <w:jc w:val="center"/>
        <w:rPr>
          <w:b/>
          <w:bCs/>
        </w:rPr>
      </w:pPr>
    </w:p>
    <w:p w:rsidR="00960EA0" w:rsidRPr="006C6758" w:rsidRDefault="00D3388C" w:rsidP="00960EA0">
      <w:r>
        <w:t>Morgan Wade</w:t>
      </w:r>
      <w:r>
        <w:tab/>
      </w:r>
      <w:r w:rsidR="00960EA0" w:rsidRPr="006C6758">
        <w:tab/>
      </w:r>
      <w:r w:rsidR="00960EA0" w:rsidRPr="006C6758">
        <w:tab/>
      </w:r>
      <w:r w:rsidR="00960EA0" w:rsidRPr="006C6758">
        <w:tab/>
      </w:r>
      <w:r w:rsidR="00960EA0" w:rsidRPr="006C6758">
        <w:tab/>
      </w:r>
      <w:r w:rsidR="00960EA0" w:rsidRPr="006C6758">
        <w:tab/>
        <w:t>:</w:t>
      </w:r>
    </w:p>
    <w:p w:rsidR="00960EA0" w:rsidRPr="006C6758" w:rsidRDefault="00960EA0" w:rsidP="00960EA0">
      <w:r w:rsidRPr="006C6758">
        <w:tab/>
      </w:r>
      <w:r w:rsidRPr="006C6758">
        <w:tab/>
      </w:r>
      <w:r w:rsidRPr="006C6758">
        <w:tab/>
      </w:r>
      <w:r w:rsidRPr="006C6758">
        <w:tab/>
      </w:r>
      <w:r w:rsidRPr="006C6758">
        <w:tab/>
      </w:r>
      <w:r w:rsidRPr="006C6758">
        <w:tab/>
      </w:r>
      <w:r w:rsidRPr="006C6758">
        <w:tab/>
        <w:t>:</w:t>
      </w:r>
    </w:p>
    <w:p w:rsidR="00960EA0" w:rsidRPr="006C6758" w:rsidRDefault="00960EA0" w:rsidP="00960EA0">
      <w:r w:rsidRPr="006C6758">
        <w:tab/>
        <w:t>v.</w:t>
      </w:r>
      <w:r w:rsidRPr="006C6758">
        <w:tab/>
      </w:r>
      <w:r w:rsidRPr="006C6758">
        <w:tab/>
      </w:r>
      <w:r w:rsidRPr="006C6758">
        <w:tab/>
      </w:r>
      <w:r w:rsidRPr="006C6758">
        <w:tab/>
      </w:r>
      <w:r w:rsidRPr="006C6758">
        <w:tab/>
      </w:r>
      <w:r w:rsidRPr="006C6758">
        <w:tab/>
      </w:r>
      <w:r w:rsidR="00D3388C">
        <w:t>:</w:t>
      </w:r>
      <w:r w:rsidR="00D3388C">
        <w:tab/>
      </w:r>
      <w:r w:rsidR="00D3388C">
        <w:tab/>
        <w:t>C</w:t>
      </w:r>
      <w:r w:rsidRPr="006C6758">
        <w:t>-201</w:t>
      </w:r>
      <w:r w:rsidR="00E0610F">
        <w:t>5</w:t>
      </w:r>
      <w:r w:rsidRPr="006C6758">
        <w:t>-</w:t>
      </w:r>
      <w:r w:rsidR="00D3388C">
        <w:t>2486838</w:t>
      </w:r>
    </w:p>
    <w:p w:rsidR="00960EA0" w:rsidRPr="006C6758" w:rsidRDefault="00960EA0" w:rsidP="00960EA0">
      <w:r w:rsidRPr="006C6758">
        <w:tab/>
      </w:r>
      <w:r w:rsidRPr="006C6758">
        <w:tab/>
      </w:r>
      <w:r w:rsidRPr="006C6758">
        <w:tab/>
      </w:r>
      <w:r w:rsidRPr="006C6758">
        <w:tab/>
      </w:r>
      <w:r w:rsidRPr="006C6758">
        <w:tab/>
      </w:r>
      <w:r w:rsidRPr="006C6758">
        <w:tab/>
      </w:r>
      <w:r w:rsidRPr="006C6758">
        <w:tab/>
        <w:t>:</w:t>
      </w:r>
    </w:p>
    <w:p w:rsidR="00960EA0" w:rsidRPr="006C6758" w:rsidRDefault="00D3388C" w:rsidP="00960EA0">
      <w:r>
        <w:t>PECO Energy Company</w:t>
      </w:r>
      <w:r>
        <w:tab/>
      </w:r>
      <w:r w:rsidR="00960EA0" w:rsidRPr="006C6758">
        <w:tab/>
      </w:r>
      <w:r w:rsidR="00960EA0" w:rsidRPr="006C6758">
        <w:tab/>
      </w:r>
      <w:r w:rsidR="00960EA0" w:rsidRPr="006C6758">
        <w:tab/>
        <w:t>:</w:t>
      </w:r>
    </w:p>
    <w:p w:rsidR="00960EA0" w:rsidRPr="006C6758" w:rsidRDefault="00960EA0" w:rsidP="00960EA0">
      <w:pPr>
        <w:tabs>
          <w:tab w:val="left" w:pos="1076"/>
        </w:tabs>
      </w:pPr>
    </w:p>
    <w:p w:rsidR="00960EA0" w:rsidRPr="006C6758" w:rsidRDefault="00960EA0" w:rsidP="00960EA0">
      <w:pPr>
        <w:tabs>
          <w:tab w:val="left" w:pos="1076"/>
        </w:tabs>
      </w:pPr>
    </w:p>
    <w:p w:rsidR="00960EA0" w:rsidRPr="006C6758" w:rsidRDefault="00960EA0" w:rsidP="00960EA0">
      <w:pPr>
        <w:tabs>
          <w:tab w:val="left" w:pos="1076"/>
        </w:tabs>
      </w:pPr>
    </w:p>
    <w:p w:rsidR="00960EA0" w:rsidRPr="006C6758" w:rsidRDefault="00960EA0" w:rsidP="00960EA0">
      <w:pPr>
        <w:jc w:val="center"/>
      </w:pPr>
      <w:r w:rsidRPr="006C6758">
        <w:rPr>
          <w:b/>
          <w:bCs/>
          <w:u w:val="single"/>
        </w:rPr>
        <w:t>INITIAL DECISION</w:t>
      </w:r>
    </w:p>
    <w:p w:rsidR="00960EA0" w:rsidRPr="006C6758" w:rsidRDefault="00960EA0" w:rsidP="00960EA0">
      <w:pPr>
        <w:jc w:val="center"/>
      </w:pPr>
    </w:p>
    <w:p w:rsidR="00960EA0" w:rsidRPr="006C6758" w:rsidRDefault="00960EA0" w:rsidP="00960EA0">
      <w:pPr>
        <w:jc w:val="center"/>
      </w:pPr>
    </w:p>
    <w:p w:rsidR="00960EA0" w:rsidRPr="006C6758" w:rsidRDefault="00960EA0" w:rsidP="00960EA0">
      <w:pPr>
        <w:jc w:val="center"/>
      </w:pPr>
      <w:r w:rsidRPr="006C6758">
        <w:t>Before</w:t>
      </w:r>
    </w:p>
    <w:p w:rsidR="00960EA0" w:rsidRPr="006C6758" w:rsidRDefault="00E0610F" w:rsidP="00960EA0">
      <w:pPr>
        <w:jc w:val="center"/>
      </w:pPr>
      <w:r>
        <w:t>Rebecca Waldemar</w:t>
      </w:r>
    </w:p>
    <w:p w:rsidR="00960EA0" w:rsidRPr="006C6758" w:rsidRDefault="00960EA0" w:rsidP="00960EA0">
      <w:pPr>
        <w:jc w:val="center"/>
      </w:pPr>
      <w:r w:rsidRPr="006C6758">
        <w:t>Special Agent</w:t>
      </w:r>
    </w:p>
    <w:p w:rsidR="00960EA0" w:rsidRPr="006C6758" w:rsidRDefault="00960EA0" w:rsidP="00775352">
      <w:pPr>
        <w:jc w:val="center"/>
      </w:pPr>
    </w:p>
    <w:p w:rsidR="00960EA0" w:rsidRPr="006C6758" w:rsidRDefault="00960EA0" w:rsidP="00775352">
      <w:pPr>
        <w:jc w:val="center"/>
        <w:rPr>
          <w:u w:val="single"/>
        </w:rPr>
      </w:pPr>
    </w:p>
    <w:p w:rsidR="00960EA0" w:rsidRPr="006C6758" w:rsidRDefault="00960EA0" w:rsidP="00960EA0">
      <w:pPr>
        <w:jc w:val="center"/>
      </w:pPr>
      <w:r w:rsidRPr="006C6758">
        <w:rPr>
          <w:u w:val="single"/>
        </w:rPr>
        <w:t>INTRODUCTION</w:t>
      </w:r>
    </w:p>
    <w:p w:rsidR="00960EA0" w:rsidRPr="006C6758" w:rsidRDefault="00960EA0" w:rsidP="00960EA0">
      <w:pPr>
        <w:jc w:val="center"/>
        <w:rPr>
          <w:u w:val="single"/>
        </w:rPr>
      </w:pPr>
    </w:p>
    <w:p w:rsidR="00960EA0" w:rsidRPr="006C6758" w:rsidRDefault="00960EA0" w:rsidP="00C76E72">
      <w:pPr>
        <w:jc w:val="center"/>
      </w:pPr>
    </w:p>
    <w:p w:rsidR="00960EA0" w:rsidRDefault="00960EA0" w:rsidP="00960EA0">
      <w:pPr>
        <w:spacing w:line="360" w:lineRule="auto"/>
        <w:ind w:firstLine="1440"/>
      </w:pPr>
      <w:r w:rsidRPr="006C6758">
        <w:t>The customer filed this Complaint</w:t>
      </w:r>
      <w:r w:rsidR="007E00E7">
        <w:t xml:space="preserve"> to appeal the payment arrangement</w:t>
      </w:r>
      <w:r w:rsidRPr="006C6758">
        <w:t xml:space="preserve"> issued by the Commission’s Bureau of Consumer Services (BCS).  This decision grants the customer’s request</w:t>
      </w:r>
      <w:r w:rsidR="00E0610F">
        <w:t xml:space="preserve"> for a payment arrangement</w:t>
      </w:r>
      <w:r w:rsidRPr="006C6758">
        <w:t>.</w:t>
      </w:r>
    </w:p>
    <w:p w:rsidR="00E0610F" w:rsidRDefault="00E0610F" w:rsidP="00960EA0">
      <w:pPr>
        <w:spacing w:line="360" w:lineRule="auto"/>
        <w:ind w:firstLine="1440"/>
      </w:pPr>
    </w:p>
    <w:p w:rsidR="00E0610F" w:rsidRPr="006C6758" w:rsidRDefault="00E0610F" w:rsidP="00E0610F">
      <w:pPr>
        <w:jc w:val="center"/>
      </w:pPr>
      <w:r w:rsidRPr="006C6758">
        <w:rPr>
          <w:u w:val="single"/>
        </w:rPr>
        <w:t>HISTORY OF THE PROCEEDING</w:t>
      </w:r>
    </w:p>
    <w:p w:rsidR="00E0610F" w:rsidRPr="006C6758" w:rsidRDefault="00E0610F" w:rsidP="00775352">
      <w:pPr>
        <w:spacing w:line="360" w:lineRule="auto"/>
      </w:pPr>
    </w:p>
    <w:p w:rsidR="00165723" w:rsidRDefault="00165723" w:rsidP="00775352">
      <w:pPr>
        <w:spacing w:line="360" w:lineRule="auto"/>
        <w:ind w:firstLine="1440"/>
      </w:pPr>
      <w:r>
        <w:t>On June 1, 2015, Morgan Wade</w:t>
      </w:r>
      <w:r w:rsidR="00E0610F" w:rsidRPr="006C6758">
        <w:t xml:space="preserve"> (Complainant) filed a formal Complaint with the Pennsylvani</w:t>
      </w:r>
      <w:r w:rsidR="00E0610F">
        <w:t xml:space="preserve">a Public Utility Commission </w:t>
      </w:r>
      <w:r w:rsidR="00E0610F" w:rsidRPr="006C6758">
        <w:t xml:space="preserve">against </w:t>
      </w:r>
      <w:r>
        <w:t xml:space="preserve">PECO Energy Company </w:t>
      </w:r>
      <w:r w:rsidR="00E0610F" w:rsidRPr="006C6758">
        <w:t xml:space="preserve">(Respondent) which alleged </w:t>
      </w:r>
      <w:r w:rsidR="00E0610F">
        <w:t>the utility was</w:t>
      </w:r>
      <w:r w:rsidR="00E0610F" w:rsidRPr="006C6758">
        <w:t xml:space="preserve"> threatening to shut off her service</w:t>
      </w:r>
      <w:r w:rsidR="00E0610F">
        <w:t xml:space="preserve"> and she could n</w:t>
      </w:r>
      <w:r w:rsidR="00CE7120">
        <w:t>o</w:t>
      </w:r>
      <w:r w:rsidR="00F9540B">
        <w:t>t afford the monthly payment established</w:t>
      </w:r>
      <w:r w:rsidR="00E0610F">
        <w:t xml:space="preserve"> by the Commission’s Bureau of Consumer Services (BCS).  </w:t>
      </w:r>
      <w:r>
        <w:t xml:space="preserve">In her Complaint, Ms. Wade explained that her past due balance consisted of amounts transferred from a previous address as well as amounts added when her current service was transferred to her name from her landlord’s name.  She further explained that she had recently started a new job </w:t>
      </w:r>
      <w:r w:rsidR="00D4425C">
        <w:t xml:space="preserve">and she had other debts </w:t>
      </w:r>
      <w:r>
        <w:t xml:space="preserve">consisting of student loans and credit card debt related to education and living expenses.   </w:t>
      </w:r>
      <w:r w:rsidR="00E0610F" w:rsidRPr="006C6758">
        <w:t xml:space="preserve">As relief, Ms. </w:t>
      </w:r>
      <w:r w:rsidR="00780390">
        <w:t>Wade</w:t>
      </w:r>
      <w:r w:rsidR="00E0610F" w:rsidRPr="006C6758">
        <w:t xml:space="preserve"> requested an affordable payment </w:t>
      </w:r>
      <w:r w:rsidR="00E0610F">
        <w:t>arrangement</w:t>
      </w:r>
      <w:r w:rsidR="00780390">
        <w:t xml:space="preserve"> spread out </w:t>
      </w:r>
      <w:r w:rsidR="00780390">
        <w:lastRenderedPageBreak/>
        <w:t>over at least 14 months</w:t>
      </w:r>
      <w:r w:rsidR="00E0610F" w:rsidRPr="006C6758">
        <w:t>.</w:t>
      </w:r>
      <w:r w:rsidR="002776EA">
        <w:t xml:space="preserve">  Attached to the Complaint</w:t>
      </w:r>
      <w:r w:rsidR="008B29AA">
        <w:t xml:space="preserve"> were </w:t>
      </w:r>
      <w:r w:rsidR="00664A72">
        <w:t>two screenshots of a transaction history, a screen shot of the Complain</w:t>
      </w:r>
      <w:r w:rsidR="002776EA">
        <w:t>an</w:t>
      </w:r>
      <w:r w:rsidR="00664A72">
        <w:t>t’s PECO account history with hand written notations, copies of four PECO bills, and a copy of a credit report for the Complainant.</w:t>
      </w:r>
      <w:r w:rsidR="00780390">
        <w:rPr>
          <w:rStyle w:val="FootnoteReference"/>
        </w:rPr>
        <w:footnoteReference w:id="1"/>
      </w:r>
      <w:r w:rsidR="00DA17C9">
        <w:t xml:space="preserve">  </w:t>
      </w:r>
    </w:p>
    <w:p w:rsidR="003D4B32" w:rsidRPr="006C6758" w:rsidRDefault="003D4B32" w:rsidP="00775352">
      <w:pPr>
        <w:spacing w:line="360" w:lineRule="auto"/>
        <w:ind w:firstLine="1440"/>
      </w:pPr>
    </w:p>
    <w:p w:rsidR="00856130" w:rsidRDefault="00E0610F" w:rsidP="00775352">
      <w:pPr>
        <w:spacing w:line="360" w:lineRule="auto"/>
        <w:ind w:firstLine="1440"/>
      </w:pPr>
      <w:r w:rsidRPr="006C6758">
        <w:t xml:space="preserve">On </w:t>
      </w:r>
      <w:r w:rsidR="00856130">
        <w:t>June 2</w:t>
      </w:r>
      <w:r w:rsidR="00DA17C9">
        <w:t>9, 2015</w:t>
      </w:r>
      <w:r w:rsidRPr="006C6758">
        <w:t xml:space="preserve">, </w:t>
      </w:r>
      <w:r w:rsidR="00856130">
        <w:t>PECO</w:t>
      </w:r>
      <w:r w:rsidR="00DA17C9">
        <w:t xml:space="preserve"> filed an Answer</w:t>
      </w:r>
      <w:r w:rsidRPr="006C6758">
        <w:t xml:space="preserve"> to the Complaint</w:t>
      </w:r>
      <w:r w:rsidR="00856130">
        <w:t>.  In its Answer, PECO</w:t>
      </w:r>
      <w:r w:rsidR="00F9540B">
        <w:t xml:space="preserve"> admitted that the c</w:t>
      </w:r>
      <w:r w:rsidRPr="006C6758">
        <w:t>ompany sent the Com</w:t>
      </w:r>
      <w:r w:rsidR="00DA17C9">
        <w:t>plainant a termination notice and</w:t>
      </w:r>
      <w:r w:rsidR="00856130">
        <w:t xml:space="preserve"> generally denied the remaining allegations in the Complaint.  PECO further stated that it has properly billed the Complainant, that she defaulted on a BCS issued payme</w:t>
      </w:r>
      <w:r w:rsidR="00A15551">
        <w:t>nt arrangement in May of 2015, s</w:t>
      </w:r>
      <w:r w:rsidR="00856130">
        <w:t>he is not entitled to another payment agreement, and she has a past</w:t>
      </w:r>
      <w:r w:rsidR="00B334CE">
        <w:t xml:space="preserve"> due balance of $2,476.63</w:t>
      </w:r>
      <w:r w:rsidR="00856130">
        <w:t>.</w:t>
      </w:r>
    </w:p>
    <w:p w:rsidR="00856130" w:rsidRDefault="00856130" w:rsidP="00775352">
      <w:pPr>
        <w:spacing w:line="360" w:lineRule="auto"/>
        <w:ind w:firstLine="1440"/>
      </w:pPr>
    </w:p>
    <w:p w:rsidR="00E0610F" w:rsidRPr="006C6758" w:rsidRDefault="00E0610F" w:rsidP="00775352">
      <w:pPr>
        <w:spacing w:line="360" w:lineRule="auto"/>
        <w:ind w:firstLine="1440"/>
      </w:pPr>
      <w:r w:rsidRPr="006C6758">
        <w:t xml:space="preserve">A Telephone Hearing Notice dated </w:t>
      </w:r>
      <w:r w:rsidR="00DA17C9">
        <w:t>July 24, 2015</w:t>
      </w:r>
      <w:r w:rsidRPr="006C6758">
        <w:t xml:space="preserve">, advised the parties that an initial telephonic hearing was scheduled for </w:t>
      </w:r>
      <w:r w:rsidR="00DB61D6">
        <w:t>Tuesday</w:t>
      </w:r>
      <w:r w:rsidRPr="006C6758">
        <w:t xml:space="preserve">, </w:t>
      </w:r>
      <w:r w:rsidR="00DB61D6">
        <w:t>September 15</w:t>
      </w:r>
      <w:r w:rsidRPr="006C6758">
        <w:t xml:space="preserve">, </w:t>
      </w:r>
      <w:r w:rsidR="00A15551">
        <w:t xml:space="preserve">2015.  Subsequently, upon </w:t>
      </w:r>
      <w:r w:rsidR="00DB61D6">
        <w:t xml:space="preserve">request of the parties, the hearing was continued and a Hearing Cancellation/Reschedule Notice </w:t>
      </w:r>
      <w:r w:rsidR="00CD60BC">
        <w:t xml:space="preserve">dated October 14, 2015 </w:t>
      </w:r>
      <w:r w:rsidR="00DB61D6">
        <w:t>advised the parties that the hearing had been rescheduled for Thursday November 5, 2015 at 1:30 p.m.</w:t>
      </w:r>
      <w:r w:rsidRPr="006C6758">
        <w:t xml:space="preserve">  The case was assigned to me, pursuant to 52 </w:t>
      </w:r>
      <w:proofErr w:type="spellStart"/>
      <w:r w:rsidRPr="006C6758">
        <w:t>Pa.Code</w:t>
      </w:r>
      <w:proofErr w:type="spellEnd"/>
      <w:r w:rsidRPr="006C6758">
        <w:t xml:space="preserve"> § 56.174.</w:t>
      </w:r>
    </w:p>
    <w:p w:rsidR="00E0610F" w:rsidRPr="006C6758" w:rsidRDefault="00E0610F" w:rsidP="00775352">
      <w:pPr>
        <w:spacing w:line="360" w:lineRule="auto"/>
      </w:pPr>
    </w:p>
    <w:p w:rsidR="00E0610F" w:rsidRDefault="00E0610F" w:rsidP="00775352">
      <w:pPr>
        <w:spacing w:line="360" w:lineRule="auto"/>
      </w:pPr>
      <w:r w:rsidRPr="006C6758">
        <w:tab/>
      </w:r>
      <w:r w:rsidRPr="006C6758">
        <w:tab/>
        <w:t xml:space="preserve">A Prehearing Order dated </w:t>
      </w:r>
      <w:r w:rsidR="00CD60BC">
        <w:t>August 25</w:t>
      </w:r>
      <w:r w:rsidR="00CF61D4">
        <w:t>, 2015</w:t>
      </w:r>
      <w:r w:rsidRPr="006C6758">
        <w:t>, advised the parties of the procedures applicable to this proceeding.</w:t>
      </w:r>
      <w:r w:rsidR="008B29AA">
        <w:t xml:space="preserve">  On October 15, 2015, PECO</w:t>
      </w:r>
      <w:r w:rsidR="00CF61D4">
        <w:t xml:space="preserve"> submitted</w:t>
      </w:r>
      <w:r w:rsidR="00F9540B">
        <w:t>,</w:t>
      </w:r>
      <w:r w:rsidR="00CF61D4">
        <w:t xml:space="preserve"> as </w:t>
      </w:r>
      <w:r w:rsidR="008B29AA">
        <w:t xml:space="preserve">proposed </w:t>
      </w:r>
      <w:r w:rsidR="00CF61D4">
        <w:t>exhibits</w:t>
      </w:r>
      <w:r w:rsidR="00F9540B">
        <w:t>,</w:t>
      </w:r>
      <w:r w:rsidR="008B29AA">
        <w:t xml:space="preserve"> (1) an account activity statement (Exhibit 1</w:t>
      </w:r>
      <w:r w:rsidR="00CF61D4">
        <w:t>)</w:t>
      </w:r>
      <w:r w:rsidR="008B29AA">
        <w:t>, (2) a second account act</w:t>
      </w:r>
      <w:r w:rsidR="00E80C69">
        <w:t xml:space="preserve">ivity statement </w:t>
      </w:r>
      <w:r w:rsidR="00A15551">
        <w:t>showing later</w:t>
      </w:r>
      <w:r w:rsidR="008B29AA">
        <w:t xml:space="preserve"> dates (Exhibit 2), (3) a statement of collections history for the Complainant (Exhibit 3), (4) a statement of the payment agreement history between PECO and the Complainant (Exhibit4), (5) A statement of financial history for the Complainant (Exhibit 5), (6) </w:t>
      </w:r>
      <w:r w:rsidR="00CF61D4">
        <w:t>the BCS informal complain</w:t>
      </w:r>
      <w:r w:rsidR="008B29AA">
        <w:t>t case details report (Exhibit 6</w:t>
      </w:r>
      <w:r w:rsidR="00CF61D4">
        <w:t>)</w:t>
      </w:r>
      <w:r w:rsidR="008B29AA">
        <w:t>, and (7) the BCS decision report (Exhibit 7)</w:t>
      </w:r>
      <w:r w:rsidR="00CF61D4">
        <w:t xml:space="preserve">.  </w:t>
      </w:r>
      <w:r w:rsidR="008B29AA">
        <w:t xml:space="preserve"> Ms. Wade did not submit an</w:t>
      </w:r>
      <w:r w:rsidR="00140F08">
        <w:t>y</w:t>
      </w:r>
      <w:r w:rsidR="008B29AA">
        <w:t xml:space="preserve"> proposed exhibits. </w:t>
      </w:r>
    </w:p>
    <w:p w:rsidR="00A923C0" w:rsidRPr="006C6758" w:rsidRDefault="00A923C0" w:rsidP="00775352">
      <w:pPr>
        <w:spacing w:line="360" w:lineRule="auto"/>
      </w:pPr>
    </w:p>
    <w:p w:rsidR="00E0610F" w:rsidRDefault="00E0610F" w:rsidP="00775352">
      <w:pPr>
        <w:spacing w:line="360" w:lineRule="auto"/>
        <w:ind w:firstLine="1440"/>
      </w:pPr>
      <w:r w:rsidRPr="006C6758">
        <w:t xml:space="preserve">The initial telephonic hearing convened as scheduled on </w:t>
      </w:r>
      <w:r w:rsidR="006C0FEE">
        <w:t>Thursday</w:t>
      </w:r>
      <w:r w:rsidRPr="006C6758">
        <w:t xml:space="preserve">, </w:t>
      </w:r>
      <w:r w:rsidR="006C0FEE">
        <w:t>November 5</w:t>
      </w:r>
      <w:r w:rsidRPr="006C6758">
        <w:t>, </w:t>
      </w:r>
      <w:r w:rsidR="00626A28">
        <w:t>2015</w:t>
      </w:r>
      <w:r w:rsidRPr="006C6758">
        <w:t xml:space="preserve">, at </w:t>
      </w:r>
      <w:r w:rsidR="006C0FEE">
        <w:t>1:30</w:t>
      </w:r>
      <w:r w:rsidRPr="006C6758">
        <w:t xml:space="preserve"> p.m.</w:t>
      </w:r>
      <w:r w:rsidRPr="006C6758">
        <w:rPr>
          <w:rStyle w:val="FootnoteReference"/>
        </w:rPr>
        <w:footnoteReference w:id="2"/>
      </w:r>
      <w:r w:rsidRPr="006C6758">
        <w:t xml:space="preserve">  Ms. </w:t>
      </w:r>
      <w:r w:rsidR="006C0FEE">
        <w:t>Wad</w:t>
      </w:r>
      <w:r w:rsidR="00A15551">
        <w:t>e</w:t>
      </w:r>
      <w:r w:rsidRPr="006C6758">
        <w:t xml:space="preserve"> appeared </w:t>
      </w:r>
      <w:r w:rsidRPr="006C6758">
        <w:rPr>
          <w:i/>
          <w:iCs/>
        </w:rPr>
        <w:t>pro se</w:t>
      </w:r>
      <w:r w:rsidRPr="006C6758">
        <w:t xml:space="preserve"> and testified on her own behalf</w:t>
      </w:r>
      <w:r w:rsidR="006C0FEE">
        <w:t>.</w:t>
      </w:r>
      <w:r w:rsidR="00626A28">
        <w:t xml:space="preserve"> </w:t>
      </w:r>
      <w:r w:rsidR="006C0FEE">
        <w:t xml:space="preserve">  Shawane L. Lee</w:t>
      </w:r>
      <w:r w:rsidRPr="006C6758">
        <w:t xml:space="preserve">, Esq., counsel for </w:t>
      </w:r>
      <w:proofErr w:type="gramStart"/>
      <w:r w:rsidR="00626A28" w:rsidRPr="006C6758">
        <w:t>Respondent</w:t>
      </w:r>
      <w:r w:rsidR="00626A28">
        <w:t>,</w:t>
      </w:r>
      <w:proofErr w:type="gramEnd"/>
      <w:r w:rsidRPr="006C6758">
        <w:t xml:space="preserve"> presented the testimony </w:t>
      </w:r>
      <w:r w:rsidR="006C0FEE">
        <w:t xml:space="preserve">of witness Elsa Leung, a regulatory </w:t>
      </w:r>
      <w:r w:rsidR="006C0FEE">
        <w:lastRenderedPageBreak/>
        <w:t>assessor</w:t>
      </w:r>
      <w:r w:rsidRPr="006C6758">
        <w:t xml:space="preserve"> for Respondent, who sponsored </w:t>
      </w:r>
      <w:r w:rsidR="006C0FEE">
        <w:t>seven</w:t>
      </w:r>
      <w:r w:rsidRPr="006C6758">
        <w:t xml:space="preserve"> exhibits which were admitted into the record.</w:t>
      </w:r>
      <w:r w:rsidR="00B21461">
        <w:t xml:space="preserve">  </w:t>
      </w:r>
      <w:r w:rsidRPr="006C6758">
        <w:t xml:space="preserve">The record closed on </w:t>
      </w:r>
      <w:r w:rsidR="006C0FEE">
        <w:t>November 5</w:t>
      </w:r>
      <w:r w:rsidR="00B21461">
        <w:t>, 2015 at the conclusion of the hearing</w:t>
      </w:r>
      <w:r w:rsidRPr="006C6758">
        <w:t>.</w:t>
      </w:r>
    </w:p>
    <w:p w:rsidR="00B21461" w:rsidRDefault="00B21461" w:rsidP="00775352">
      <w:pPr>
        <w:spacing w:line="360" w:lineRule="auto"/>
        <w:ind w:firstLine="1440"/>
      </w:pPr>
    </w:p>
    <w:p w:rsidR="00B21461" w:rsidRPr="006C6758" w:rsidRDefault="00B21461" w:rsidP="00B21461">
      <w:pPr>
        <w:spacing w:line="360" w:lineRule="auto"/>
        <w:jc w:val="center"/>
        <w:rPr>
          <w:u w:val="single"/>
        </w:rPr>
      </w:pPr>
      <w:r w:rsidRPr="006C6758">
        <w:rPr>
          <w:u w:val="single"/>
        </w:rPr>
        <w:t>FINDINGS OF FACT</w:t>
      </w:r>
    </w:p>
    <w:p w:rsidR="00B21461" w:rsidRPr="006C6758" w:rsidRDefault="00B21461" w:rsidP="00775352">
      <w:pPr>
        <w:spacing w:line="360" w:lineRule="auto"/>
        <w:rPr>
          <w:u w:val="single"/>
        </w:rPr>
      </w:pPr>
    </w:p>
    <w:p w:rsidR="00B21461" w:rsidRPr="006C6758" w:rsidRDefault="00B21461" w:rsidP="00775352">
      <w:pPr>
        <w:pStyle w:val="ListParagraph"/>
        <w:numPr>
          <w:ilvl w:val="0"/>
          <w:numId w:val="1"/>
        </w:numPr>
        <w:spacing w:line="360" w:lineRule="auto"/>
        <w:ind w:left="0" w:firstLine="1440"/>
      </w:pPr>
      <w:r w:rsidRPr="006C6758">
        <w:t xml:space="preserve">The Complainant is </w:t>
      </w:r>
      <w:r w:rsidR="00035D2A">
        <w:t>Morgan Wade</w:t>
      </w:r>
      <w:r w:rsidRPr="006C6758">
        <w:t xml:space="preserve">, who receives </w:t>
      </w:r>
      <w:r w:rsidR="00A15551">
        <w:t>electric</w:t>
      </w:r>
      <w:r w:rsidRPr="006C6758">
        <w:t xml:space="preserve"> service from Respondent </w:t>
      </w:r>
      <w:r w:rsidR="00CB7942">
        <w:t>at the service addres</w:t>
      </w:r>
      <w:r w:rsidR="00035D2A">
        <w:t xml:space="preserve">s located at 2701 West Girard Avenue, Unit 4, </w:t>
      </w:r>
      <w:proofErr w:type="gramStart"/>
      <w:r w:rsidR="00035D2A">
        <w:t>Philadelphia</w:t>
      </w:r>
      <w:proofErr w:type="gramEnd"/>
      <w:r w:rsidRPr="006C6758">
        <w:t>, PA.</w:t>
      </w:r>
    </w:p>
    <w:p w:rsidR="00B21461" w:rsidRPr="006C6758" w:rsidRDefault="00B21461" w:rsidP="00775352">
      <w:pPr>
        <w:pStyle w:val="ListParagraph"/>
        <w:spacing w:line="360" w:lineRule="auto"/>
        <w:ind w:left="0"/>
      </w:pPr>
    </w:p>
    <w:p w:rsidR="0007790D" w:rsidRDefault="00B21461" w:rsidP="00775352">
      <w:pPr>
        <w:pStyle w:val="ListParagraph"/>
        <w:numPr>
          <w:ilvl w:val="0"/>
          <w:numId w:val="1"/>
        </w:numPr>
        <w:spacing w:line="360" w:lineRule="auto"/>
        <w:ind w:left="0" w:firstLine="1440"/>
      </w:pPr>
      <w:r w:rsidRPr="006C6758">
        <w:t xml:space="preserve">The Respondent is </w:t>
      </w:r>
      <w:r w:rsidR="00035D2A">
        <w:t>PECO Energy Company</w:t>
      </w:r>
      <w:r w:rsidRPr="006C6758">
        <w:t>.</w:t>
      </w:r>
    </w:p>
    <w:p w:rsidR="0056652D" w:rsidRPr="006C6758" w:rsidRDefault="0056652D" w:rsidP="00775352">
      <w:pPr>
        <w:pStyle w:val="ListParagraph"/>
        <w:spacing w:line="360" w:lineRule="auto"/>
        <w:ind w:left="0"/>
      </w:pPr>
    </w:p>
    <w:p w:rsidR="00B21461" w:rsidRPr="006C6758" w:rsidRDefault="00D4425C" w:rsidP="00775352">
      <w:pPr>
        <w:pStyle w:val="ListParagraph"/>
        <w:numPr>
          <w:ilvl w:val="0"/>
          <w:numId w:val="1"/>
        </w:numPr>
        <w:spacing w:line="360" w:lineRule="auto"/>
        <w:ind w:left="0" w:firstLine="1440"/>
      </w:pPr>
      <w:r>
        <w:t>The Complainant</w:t>
      </w:r>
      <w:r w:rsidR="001F21EC">
        <w:t xml:space="preserve"> lives</w:t>
      </w:r>
      <w:r w:rsidR="00035D2A">
        <w:t xml:space="preserve"> alone at the service address</w:t>
      </w:r>
      <w:r w:rsidR="00B21461" w:rsidRPr="006C6758">
        <w:t>.</w:t>
      </w:r>
    </w:p>
    <w:p w:rsidR="00B21461" w:rsidRPr="006C6758" w:rsidRDefault="00B21461" w:rsidP="00775352">
      <w:pPr>
        <w:pStyle w:val="ListParagraph"/>
        <w:spacing w:line="360" w:lineRule="auto"/>
        <w:ind w:left="0"/>
      </w:pPr>
    </w:p>
    <w:p w:rsidR="00B21461" w:rsidRDefault="003222A9" w:rsidP="00775352">
      <w:pPr>
        <w:pStyle w:val="ListParagraph"/>
        <w:numPr>
          <w:ilvl w:val="0"/>
          <w:numId w:val="1"/>
        </w:numPr>
        <w:spacing w:line="360" w:lineRule="auto"/>
        <w:ind w:left="0" w:firstLine="1440"/>
      </w:pPr>
      <w:r>
        <w:t>The Complainant is employed ful</w:t>
      </w:r>
      <w:r w:rsidR="00035D2A">
        <w:t xml:space="preserve">l time and earns $5,769.98 </w:t>
      </w:r>
      <w:r w:rsidR="00B21461" w:rsidRPr="006C6758">
        <w:t>per month.</w:t>
      </w:r>
    </w:p>
    <w:p w:rsidR="008422CB" w:rsidRDefault="008422CB" w:rsidP="00775352">
      <w:pPr>
        <w:pStyle w:val="ListParagraph"/>
        <w:spacing w:line="360" w:lineRule="auto"/>
        <w:ind w:left="0"/>
      </w:pPr>
    </w:p>
    <w:p w:rsidR="008422CB" w:rsidRPr="006C6758" w:rsidRDefault="008422CB" w:rsidP="00775352">
      <w:pPr>
        <w:pStyle w:val="ListParagraph"/>
        <w:numPr>
          <w:ilvl w:val="0"/>
          <w:numId w:val="1"/>
        </w:numPr>
        <w:spacing w:line="360" w:lineRule="auto"/>
        <w:ind w:left="0" w:firstLine="1440"/>
      </w:pPr>
      <w:r>
        <w:t>The Complainant’s income places her above 400% of the Federal Poverty Income Guidelines.</w:t>
      </w:r>
    </w:p>
    <w:p w:rsidR="00B21461" w:rsidRPr="006C6758" w:rsidRDefault="00B21461" w:rsidP="00775352">
      <w:pPr>
        <w:pStyle w:val="ListParagraph"/>
        <w:spacing w:line="360" w:lineRule="auto"/>
        <w:ind w:left="0"/>
      </w:pPr>
    </w:p>
    <w:p w:rsidR="00B21461" w:rsidRDefault="003222A9" w:rsidP="00775352">
      <w:pPr>
        <w:pStyle w:val="ListParagraph"/>
        <w:numPr>
          <w:ilvl w:val="0"/>
          <w:numId w:val="1"/>
        </w:numPr>
        <w:spacing w:line="360" w:lineRule="auto"/>
        <w:ind w:left="0" w:firstLine="1440"/>
      </w:pPr>
      <w:r>
        <w:t>The Comp</w:t>
      </w:r>
      <w:r w:rsidR="00035D2A">
        <w:t>lainant began her current job in March of 2015</w:t>
      </w:r>
      <w:r w:rsidR="00B21461" w:rsidRPr="006C6758">
        <w:t>.</w:t>
      </w:r>
    </w:p>
    <w:p w:rsidR="006B3742" w:rsidRPr="006C6758" w:rsidRDefault="006B3742" w:rsidP="00775352">
      <w:pPr>
        <w:pStyle w:val="ListParagraph"/>
        <w:spacing w:line="360" w:lineRule="auto"/>
        <w:ind w:left="0"/>
      </w:pPr>
    </w:p>
    <w:p w:rsidR="00B21461" w:rsidRDefault="006B3742" w:rsidP="00775352">
      <w:pPr>
        <w:pStyle w:val="ListParagraph"/>
        <w:numPr>
          <w:ilvl w:val="0"/>
          <w:numId w:val="1"/>
        </w:numPr>
        <w:spacing w:line="360" w:lineRule="auto"/>
        <w:ind w:left="0" w:firstLine="1440"/>
      </w:pPr>
      <w:r>
        <w:t>As of the date of the hearing</w:t>
      </w:r>
      <w:r w:rsidR="00B21461" w:rsidRPr="006C6758">
        <w:t>, the Complainant’s account balance was $</w:t>
      </w:r>
      <w:r w:rsidR="00035D2A">
        <w:t>3,034.63</w:t>
      </w:r>
      <w:r>
        <w:t xml:space="preserve">.  </w:t>
      </w:r>
    </w:p>
    <w:p w:rsidR="00D4425C" w:rsidRDefault="00D4425C" w:rsidP="00775352">
      <w:pPr>
        <w:pStyle w:val="ListParagraph"/>
        <w:spacing w:line="360" w:lineRule="auto"/>
        <w:ind w:left="0"/>
      </w:pPr>
    </w:p>
    <w:p w:rsidR="00D4425C" w:rsidRDefault="00D4425C" w:rsidP="00775352">
      <w:pPr>
        <w:pStyle w:val="ListParagraph"/>
        <w:numPr>
          <w:ilvl w:val="0"/>
          <w:numId w:val="1"/>
        </w:numPr>
        <w:spacing w:line="360" w:lineRule="auto"/>
        <w:ind w:left="0" w:firstLine="1440"/>
      </w:pPr>
      <w:r>
        <w:t>The last payment made on the Complainant’s account was for $323.77 made on February 19, 2015.</w:t>
      </w:r>
    </w:p>
    <w:p w:rsidR="00C76E72" w:rsidRDefault="00C76E72" w:rsidP="00775352">
      <w:pPr>
        <w:spacing w:line="360" w:lineRule="auto"/>
      </w:pPr>
    </w:p>
    <w:p w:rsidR="006B3742" w:rsidRPr="006C6758" w:rsidRDefault="006B3742" w:rsidP="006B3742">
      <w:pPr>
        <w:spacing w:line="360" w:lineRule="auto"/>
        <w:jc w:val="center"/>
        <w:rPr>
          <w:u w:val="single"/>
        </w:rPr>
      </w:pPr>
      <w:r w:rsidRPr="006C6758">
        <w:rPr>
          <w:u w:val="single"/>
        </w:rPr>
        <w:t>DISCUSSION</w:t>
      </w:r>
    </w:p>
    <w:p w:rsidR="006B3742" w:rsidRPr="006C6758" w:rsidRDefault="006B3742" w:rsidP="006B3742">
      <w:pPr>
        <w:spacing w:line="360" w:lineRule="auto"/>
      </w:pPr>
    </w:p>
    <w:p w:rsidR="006B3742" w:rsidRPr="006C6758" w:rsidRDefault="006B3742" w:rsidP="006B3742">
      <w:pPr>
        <w:spacing w:line="360" w:lineRule="auto"/>
        <w:ind w:firstLine="1440"/>
      </w:pPr>
      <w:r w:rsidRPr="006C6758">
        <w:t xml:space="preserve">In her formal Complaint, Ms. </w:t>
      </w:r>
      <w:r w:rsidR="0031394B">
        <w:t>Wade</w:t>
      </w:r>
      <w:r w:rsidR="001A2C19">
        <w:t xml:space="preserve"> alleged the utility was</w:t>
      </w:r>
      <w:r w:rsidRPr="006C6758">
        <w:t xml:space="preserve"> threatening to shut off her service</w:t>
      </w:r>
      <w:r w:rsidR="0031394B">
        <w:t xml:space="preserve"> and that she could not</w:t>
      </w:r>
      <w:r w:rsidR="005A1E31">
        <w:t xml:space="preserve"> afford the monthly payment </w:t>
      </w:r>
      <w:r w:rsidR="001A2C19">
        <w:t xml:space="preserve">established </w:t>
      </w:r>
      <w:r w:rsidR="005A1E31">
        <w:t>by BCS.  As relief, she</w:t>
      </w:r>
      <w:r w:rsidRPr="006C6758">
        <w:t xml:space="preserve"> requested</w:t>
      </w:r>
      <w:r w:rsidR="001A2C19">
        <w:t xml:space="preserve"> an</w:t>
      </w:r>
      <w:r w:rsidRPr="006C6758">
        <w:t xml:space="preserve"> </w:t>
      </w:r>
      <w:r w:rsidR="005A1E31" w:rsidRPr="006C6758">
        <w:t xml:space="preserve">affordable payment </w:t>
      </w:r>
      <w:r w:rsidR="005A1E31">
        <w:t xml:space="preserve">arrangement. </w:t>
      </w:r>
    </w:p>
    <w:p w:rsidR="006B3742" w:rsidRPr="006C6758" w:rsidRDefault="006B3742" w:rsidP="006B3742">
      <w:pPr>
        <w:spacing w:line="360" w:lineRule="auto"/>
      </w:pPr>
    </w:p>
    <w:p w:rsidR="006B3742" w:rsidRPr="006C6758" w:rsidRDefault="006B3742" w:rsidP="006B3742">
      <w:pPr>
        <w:spacing w:line="360" w:lineRule="auto"/>
        <w:ind w:firstLine="1440"/>
      </w:pPr>
      <w:r w:rsidRPr="006C6758">
        <w:lastRenderedPageBreak/>
        <w:t xml:space="preserve">As the party seeking affirmative relief from the Commission, the Complainant bears the burden of proving by substantial evidence that she is entitled to the requested relief.  </w:t>
      </w:r>
      <w:proofErr w:type="gramStart"/>
      <w:r w:rsidRPr="006C6758">
        <w:t>66 Pa.C.S.</w:t>
      </w:r>
      <w:proofErr w:type="gramEnd"/>
      <w:r w:rsidRPr="006C6758">
        <w:t xml:space="preserve"> § 332(a).  To satisfy this burden, the Complainant must show that the named utility is responsible or accountable for the problem described in the Complaint</w:t>
      </w:r>
      <w:r w:rsidRPr="005A1E31">
        <w:t xml:space="preserve">.  </w:t>
      </w:r>
      <w:proofErr w:type="gramStart"/>
      <w:r w:rsidRPr="005A1E31">
        <w:rPr>
          <w:i/>
        </w:rPr>
        <w:t>Patterson v. Bell Telephone Co. of Pa</w:t>
      </w:r>
      <w:r w:rsidRPr="005A1E31">
        <w:t>.,</w:t>
      </w:r>
      <w:r w:rsidRPr="006C6758">
        <w:t xml:space="preserve"> 72 Pa. PUC 196 (1990); </w:t>
      </w:r>
      <w:r w:rsidRPr="005A1E31">
        <w:rPr>
          <w:i/>
        </w:rPr>
        <w:t>Feinstein v. Philadelphia Suburban Water Co.,</w:t>
      </w:r>
      <w:r w:rsidRPr="006C6758">
        <w:t xml:space="preserve"> 50 Pa. PUC 300 (1976).</w:t>
      </w:r>
      <w:proofErr w:type="gramEnd"/>
      <w:r w:rsidRPr="006C6758">
        <w:t xml:space="preserve">  This must be shown by a preponderance of the evidence, that is, by presenting evidence more convincing, by even the smallest amount, than that presented by the other party.  </w:t>
      </w:r>
      <w:proofErr w:type="gramStart"/>
      <w:r w:rsidRPr="005A1E31">
        <w:rPr>
          <w:i/>
        </w:rPr>
        <w:t xml:space="preserve">Samuel J. </w:t>
      </w:r>
      <w:proofErr w:type="spellStart"/>
      <w:r w:rsidRPr="005A1E31">
        <w:rPr>
          <w:i/>
        </w:rPr>
        <w:t>Lansberry</w:t>
      </w:r>
      <w:proofErr w:type="spellEnd"/>
      <w:r w:rsidRPr="005A1E31">
        <w:rPr>
          <w:i/>
        </w:rPr>
        <w:t>, Inc. v. Pa. Pub.</w:t>
      </w:r>
      <w:proofErr w:type="gramEnd"/>
      <w:r w:rsidRPr="005A1E31">
        <w:rPr>
          <w:i/>
        </w:rPr>
        <w:t xml:space="preserve"> </w:t>
      </w:r>
      <w:proofErr w:type="gramStart"/>
      <w:r w:rsidRPr="005A1E31">
        <w:rPr>
          <w:i/>
        </w:rPr>
        <w:t xml:space="preserve">Util. </w:t>
      </w:r>
      <w:proofErr w:type="spellStart"/>
      <w:r w:rsidRPr="005A1E31">
        <w:rPr>
          <w:i/>
        </w:rPr>
        <w:t>Comm’n</w:t>
      </w:r>
      <w:proofErr w:type="spellEnd"/>
      <w:r w:rsidRPr="005A1E31">
        <w:rPr>
          <w:i/>
        </w:rPr>
        <w:t>,</w:t>
      </w:r>
      <w:r w:rsidRPr="006C6758">
        <w:t xml:space="preserve"> 578 A.2d 600 (Pa. Cmwlth. 1990), </w:t>
      </w:r>
      <w:r w:rsidRPr="005A1E31">
        <w:rPr>
          <w:i/>
        </w:rPr>
        <w:t>alloc.</w:t>
      </w:r>
      <w:proofErr w:type="gramEnd"/>
      <w:r w:rsidRPr="005A1E31">
        <w:rPr>
          <w:i/>
        </w:rPr>
        <w:t xml:space="preserve"> </w:t>
      </w:r>
      <w:proofErr w:type="gramStart"/>
      <w:r w:rsidRPr="005A1E31">
        <w:rPr>
          <w:i/>
        </w:rPr>
        <w:t>den</w:t>
      </w:r>
      <w:r w:rsidRPr="006C6758">
        <w:rPr>
          <w:u w:val="single"/>
        </w:rPr>
        <w:t>.</w:t>
      </w:r>
      <w:r w:rsidRPr="006C6758">
        <w:t xml:space="preserve">, 602 A.2d 863 (Pa. 1992); </w:t>
      </w:r>
      <w:r w:rsidRPr="005A1E31">
        <w:rPr>
          <w:i/>
        </w:rPr>
        <w:t xml:space="preserve">Se-Ling Hosiery v. </w:t>
      </w:r>
      <w:r w:rsidRPr="005A1E31">
        <w:rPr>
          <w:i/>
          <w:spacing w:val="-3"/>
        </w:rPr>
        <w:t>Margulies</w:t>
      </w:r>
      <w:r w:rsidRPr="005A1E31">
        <w:rPr>
          <w:i/>
        </w:rPr>
        <w:t>,</w:t>
      </w:r>
      <w:r w:rsidRPr="006C6758">
        <w:t xml:space="preserve"> 70 A.2d 854 (Pa. 1950).</w:t>
      </w:r>
      <w:proofErr w:type="gramEnd"/>
      <w:r w:rsidRPr="006C6758">
        <w:t xml:space="preserve">  Additionally, any finding of fact necessary to support the Commission’s adjudication must be based upon substantial evidence.  </w:t>
      </w:r>
      <w:proofErr w:type="gramStart"/>
      <w:r w:rsidRPr="005A1E31">
        <w:rPr>
          <w:i/>
        </w:rPr>
        <w:t>Mill v. Pa. Pub.</w:t>
      </w:r>
      <w:proofErr w:type="gramEnd"/>
      <w:r w:rsidRPr="005A1E31">
        <w:rPr>
          <w:i/>
        </w:rPr>
        <w:t xml:space="preserve"> </w:t>
      </w:r>
      <w:proofErr w:type="gramStart"/>
      <w:r w:rsidRPr="005A1E31">
        <w:rPr>
          <w:i/>
        </w:rPr>
        <w:t xml:space="preserve">Util. </w:t>
      </w:r>
      <w:proofErr w:type="spellStart"/>
      <w:r w:rsidRPr="005A1E31">
        <w:rPr>
          <w:i/>
        </w:rPr>
        <w:t>Comm’n</w:t>
      </w:r>
      <w:proofErr w:type="spellEnd"/>
      <w:r w:rsidRPr="005A1E31">
        <w:rPr>
          <w:i/>
        </w:rPr>
        <w:t>,</w:t>
      </w:r>
      <w:r w:rsidRPr="006C6758">
        <w:t xml:space="preserve"> 447 A.2d 1100 (Pa. Cmwlth. 1982); </w:t>
      </w:r>
      <w:proofErr w:type="spellStart"/>
      <w:r w:rsidRPr="005A1E31">
        <w:rPr>
          <w:i/>
        </w:rPr>
        <w:t>Edan</w:t>
      </w:r>
      <w:proofErr w:type="spellEnd"/>
      <w:r w:rsidRPr="005A1E31">
        <w:rPr>
          <w:i/>
        </w:rPr>
        <w:t xml:space="preserve"> Transportation Corp. v. Pa. Pub.</w:t>
      </w:r>
      <w:proofErr w:type="gramEnd"/>
      <w:r w:rsidRPr="005A1E31">
        <w:rPr>
          <w:i/>
        </w:rPr>
        <w:t xml:space="preserve"> Util. Comm’n</w:t>
      </w:r>
      <w:r w:rsidRPr="006C6758">
        <w:t>, 623 A</w:t>
      </w:r>
      <w:r>
        <w:t>.2d 6 (Pa. Cmwlth. </w:t>
      </w:r>
      <w:r w:rsidRPr="006C6758">
        <w:t xml:space="preserve">1993); 2 Pa.C.S. § 704.  More is required than a mere trace of evidence or a suspicion of the existence of a fact sought to be established.  </w:t>
      </w:r>
      <w:proofErr w:type="gramStart"/>
      <w:r w:rsidRPr="005A1E31">
        <w:rPr>
          <w:i/>
        </w:rPr>
        <w:t>Norfolk and Western Ry. v. Pa. Pub.</w:t>
      </w:r>
      <w:proofErr w:type="gramEnd"/>
      <w:r w:rsidRPr="005A1E31">
        <w:rPr>
          <w:i/>
        </w:rPr>
        <w:t xml:space="preserve"> </w:t>
      </w:r>
      <w:proofErr w:type="gramStart"/>
      <w:r w:rsidRPr="005A1E31">
        <w:rPr>
          <w:i/>
        </w:rPr>
        <w:t xml:space="preserve">Util. </w:t>
      </w:r>
      <w:proofErr w:type="spellStart"/>
      <w:r w:rsidRPr="005A1E31">
        <w:rPr>
          <w:i/>
        </w:rPr>
        <w:t>Comm’n</w:t>
      </w:r>
      <w:proofErr w:type="spellEnd"/>
      <w:r w:rsidRPr="006C6758">
        <w:t xml:space="preserve">, 413 A.2d 1037 (Pa. 1980); </w:t>
      </w:r>
      <w:r w:rsidRPr="005A1E31">
        <w:rPr>
          <w:i/>
        </w:rPr>
        <w:t>Erie Resistor Corp. v. Unemployment Compensation Bd. of Review</w:t>
      </w:r>
      <w:r w:rsidRPr="006C6758">
        <w:t xml:space="preserve">, 166 A.2d 96 (Pa. Super. 1960); </w:t>
      </w:r>
      <w:r w:rsidRPr="005A1E31">
        <w:rPr>
          <w:i/>
        </w:rPr>
        <w:t>Murphy v. Dep’t.</w:t>
      </w:r>
      <w:proofErr w:type="gramEnd"/>
      <w:r w:rsidRPr="005A1E31">
        <w:rPr>
          <w:i/>
        </w:rPr>
        <w:t xml:space="preserve"> </w:t>
      </w:r>
      <w:proofErr w:type="gramStart"/>
      <w:r w:rsidRPr="005A1E31">
        <w:rPr>
          <w:i/>
        </w:rPr>
        <w:t>of</w:t>
      </w:r>
      <w:proofErr w:type="gramEnd"/>
      <w:r w:rsidRPr="005A1E31">
        <w:rPr>
          <w:i/>
        </w:rPr>
        <w:t xml:space="preserve"> Public Welfare, White Haven Center</w:t>
      </w:r>
      <w:r w:rsidRPr="006C6758">
        <w:t>, 480 A.2d 382 (Pa. Cmwlth. 1984).</w:t>
      </w:r>
    </w:p>
    <w:p w:rsidR="006B3742" w:rsidRPr="006C6758" w:rsidRDefault="006B3742" w:rsidP="006B3742">
      <w:pPr>
        <w:spacing w:line="360" w:lineRule="auto"/>
        <w:ind w:firstLine="1440"/>
      </w:pPr>
    </w:p>
    <w:p w:rsidR="006B3742" w:rsidRPr="006C6758" w:rsidRDefault="006B3742" w:rsidP="006B3742">
      <w:pPr>
        <w:spacing w:line="360" w:lineRule="auto"/>
        <w:ind w:firstLine="1440"/>
      </w:pPr>
      <w:r w:rsidRPr="006C6758">
        <w:t xml:space="preserve">This proceeding is a </w:t>
      </w:r>
      <w:r w:rsidRPr="006C6758">
        <w:rPr>
          <w:i/>
        </w:rPr>
        <w:t>de novo</w:t>
      </w:r>
      <w:r w:rsidRPr="006C6758">
        <w:t xml:space="preserve"> review of the BCS determination of an appropriate payment plan for this account.  </w:t>
      </w:r>
      <w:proofErr w:type="gramStart"/>
      <w:r w:rsidRPr="006C6758">
        <w:t xml:space="preserve">52 </w:t>
      </w:r>
      <w:proofErr w:type="spellStart"/>
      <w:r w:rsidRPr="006C6758">
        <w:t>Pa.Code</w:t>
      </w:r>
      <w:proofErr w:type="spellEnd"/>
      <w:r w:rsidRPr="006C6758">
        <w:t xml:space="preserve"> § 56.403(a).</w:t>
      </w:r>
      <w:proofErr w:type="gramEnd"/>
      <w:r w:rsidRPr="006C6758">
        <w:t xml:space="preserve">  The term “</w:t>
      </w:r>
      <w:r w:rsidRPr="006C6758">
        <w:rPr>
          <w:i/>
        </w:rPr>
        <w:t>de novo</w:t>
      </w:r>
      <w:r w:rsidRPr="006C6758">
        <w:t>” simply means “anew” or “over again.”</w:t>
      </w:r>
    </w:p>
    <w:p w:rsidR="006B3742" w:rsidRPr="006C6758" w:rsidRDefault="006B3742" w:rsidP="006B3742">
      <w:pPr>
        <w:spacing w:line="360" w:lineRule="auto"/>
      </w:pPr>
    </w:p>
    <w:p w:rsidR="00FF4E72" w:rsidRDefault="006B3742" w:rsidP="006B3742">
      <w:pPr>
        <w:spacing w:line="360" w:lineRule="auto"/>
        <w:ind w:firstLine="1440"/>
      </w:pPr>
      <w:r w:rsidRPr="006C6758">
        <w:t xml:space="preserve">The Responsible Utility Customer Protection Act, </w:t>
      </w:r>
      <w:proofErr w:type="gramStart"/>
      <w:r w:rsidRPr="006C6758">
        <w:t>66 Pa.C.S</w:t>
      </w:r>
      <w:proofErr w:type="gramEnd"/>
      <w:r w:rsidRPr="006C6758">
        <w:t xml:space="preserve">. § 1401, </w:t>
      </w:r>
      <w:proofErr w:type="gramStart"/>
      <w:r w:rsidRPr="006C6758">
        <w:rPr>
          <w:i/>
        </w:rPr>
        <w:t>et</w:t>
      </w:r>
      <w:proofErr w:type="gramEnd"/>
      <w:r w:rsidRPr="006C6758">
        <w:rPr>
          <w:i/>
        </w:rPr>
        <w:t xml:space="preserve"> </w:t>
      </w:r>
      <w:proofErr w:type="spellStart"/>
      <w:r w:rsidRPr="006C6758">
        <w:rPr>
          <w:i/>
        </w:rPr>
        <w:t>seq</w:t>
      </w:r>
      <w:proofErr w:type="spellEnd"/>
      <w:r w:rsidR="00FF4E72">
        <w:t xml:space="preserve"> (</w:t>
      </w:r>
      <w:r w:rsidRPr="006C6758">
        <w:t>Chapter 14) applies to complaints alleging inability to pay and requests for Commission-issued payment</w:t>
      </w:r>
      <w:r w:rsidR="004A0D9D">
        <w:t xml:space="preserve"> agreements.  This law authorizes the Commission to establish payment arrangements between a public utility and its customers within prescribed limits</w:t>
      </w:r>
      <w:r w:rsidRPr="006C6758">
        <w:t xml:space="preserve"> that the Commission must follow.</w:t>
      </w:r>
      <w:r w:rsidR="004A0D9D">
        <w:t xml:space="preserve">  </w:t>
      </w:r>
      <w:proofErr w:type="gramStart"/>
      <w:r w:rsidRPr="006C6758">
        <w:t>66 Pa.</w:t>
      </w:r>
      <w:r w:rsidR="004A0D9D">
        <w:t>C.S.</w:t>
      </w:r>
      <w:proofErr w:type="gramEnd"/>
      <w:r w:rsidR="004A0D9D">
        <w:t xml:space="preserve"> § 1405(a</w:t>
      </w:r>
      <w:r w:rsidRPr="006C6758">
        <w:t>).</w:t>
      </w:r>
      <w:r w:rsidR="006B332A">
        <w:t xml:space="preserve">  </w:t>
      </w:r>
    </w:p>
    <w:p w:rsidR="00FF4E72" w:rsidRDefault="00FF4E72" w:rsidP="006B3742">
      <w:pPr>
        <w:spacing w:line="360" w:lineRule="auto"/>
        <w:ind w:firstLine="1440"/>
      </w:pPr>
    </w:p>
    <w:p w:rsidR="006B3742" w:rsidRDefault="004356F2" w:rsidP="006B3742">
      <w:pPr>
        <w:spacing w:line="360" w:lineRule="auto"/>
        <w:ind w:firstLine="1440"/>
      </w:pPr>
      <w:r>
        <w:t>The maximum length of time to resolve an unpaid balance the Commission is authorized to allow depends upon the Complainant</w:t>
      </w:r>
      <w:r w:rsidR="00527F6A">
        <w:t>’</w:t>
      </w:r>
      <w:r>
        <w:t xml:space="preserve">s gross monthly household income as follows:  (1) Five years for customers with an income not exceeding 150% of the federal poverty </w:t>
      </w:r>
      <w:r>
        <w:lastRenderedPageBreak/>
        <w:t xml:space="preserve">level; (2) three years for customers with an income exceeding 150% of the federal poverty level but not by more than 250%; (3) one year for customers with an income exceeding 250% of the federal poverty level but not by more than 300%; and (4) six months for customers with an income exceeding 300% of the federal poverty level.  </w:t>
      </w:r>
      <w:proofErr w:type="gramStart"/>
      <w:r>
        <w:t>66 Pa.C.S.</w:t>
      </w:r>
      <w:proofErr w:type="gramEnd"/>
      <w:r>
        <w:t xml:space="preserve"> § 1405(b).</w:t>
      </w:r>
      <w:r w:rsidR="00386644">
        <w:t xml:space="preserve">  The Commission may not establish a subsequent payment arrangement if the customer has d</w:t>
      </w:r>
      <w:r w:rsidR="004F5D5F">
        <w:t>efaulted on a previous payment arrangement established by the Commission</w:t>
      </w:r>
      <w:r w:rsidR="0056652D">
        <w:t xml:space="preserve"> except in limited circumstances</w:t>
      </w:r>
      <w:r w:rsidR="004F5D5F">
        <w:t xml:space="preserve">.  </w:t>
      </w:r>
      <w:proofErr w:type="gramStart"/>
      <w:r w:rsidR="004F5D5F">
        <w:t>66 Pa.C.S.</w:t>
      </w:r>
      <w:proofErr w:type="gramEnd"/>
      <w:r w:rsidR="004F5D5F">
        <w:t xml:space="preserve"> § 1405(c). </w:t>
      </w:r>
    </w:p>
    <w:p w:rsidR="008422CB" w:rsidRPr="006C6758" w:rsidRDefault="008422CB" w:rsidP="006B3742">
      <w:pPr>
        <w:spacing w:line="360" w:lineRule="auto"/>
        <w:ind w:firstLine="1440"/>
      </w:pPr>
    </w:p>
    <w:p w:rsidR="006B3742" w:rsidRPr="006C6758" w:rsidRDefault="006B3742" w:rsidP="006B3742">
      <w:pPr>
        <w:spacing w:line="360" w:lineRule="auto"/>
        <w:ind w:firstLine="1440"/>
      </w:pPr>
      <w:r w:rsidRPr="006C6758">
        <w:t>The Commi</w:t>
      </w:r>
      <w:r w:rsidR="0057063B">
        <w:t>ssion issued a payme</w:t>
      </w:r>
      <w:r w:rsidR="00655A8B">
        <w:t>nt arrangement to the Ms. Wade</w:t>
      </w:r>
      <w:r w:rsidRPr="006C6758">
        <w:t xml:space="preserve"> at BCS Case No. </w:t>
      </w:r>
      <w:r w:rsidR="008422CB">
        <w:t xml:space="preserve">3334772.  BCS determined that her income for the purposes of a payment arrangement allowed her six months to pay back her balance under </w:t>
      </w:r>
      <w:r w:rsidR="008422CB" w:rsidRPr="008422CB">
        <w:t>66 Pa.C.S. § 1405(b</w:t>
      </w:r>
      <w:proofErr w:type="gramStart"/>
      <w:r w:rsidR="008422CB" w:rsidRPr="008422CB">
        <w:t>)</w:t>
      </w:r>
      <w:r w:rsidR="008422CB">
        <w:t>(</w:t>
      </w:r>
      <w:proofErr w:type="gramEnd"/>
      <w:r w:rsidR="008422CB">
        <w:t xml:space="preserve">4); a level 4 customer.  </w:t>
      </w:r>
      <w:r w:rsidRPr="006C6758">
        <w:t xml:space="preserve"> </w:t>
      </w:r>
      <w:r w:rsidR="004F5D5F">
        <w:t xml:space="preserve">As </w:t>
      </w:r>
      <w:r w:rsidRPr="006C6758">
        <w:t xml:space="preserve">Ms. </w:t>
      </w:r>
      <w:r w:rsidR="008422CB">
        <w:t>Wade</w:t>
      </w:r>
      <w:r w:rsidRPr="006C6758">
        <w:t xml:space="preserve"> ti</w:t>
      </w:r>
      <w:r w:rsidR="004F5D5F">
        <w:t xml:space="preserve">mely appealed this BCS decision, </w:t>
      </w:r>
      <w:r w:rsidR="0056652D">
        <w:t>the payment arrangement issued by BCS did not become final and I</w:t>
      </w:r>
      <w:r w:rsidR="004F5D5F">
        <w:t xml:space="preserve"> will establish a payment arrangement as discussed below.</w:t>
      </w:r>
      <w:r w:rsidR="00002756">
        <w:t xml:space="preserve"> </w:t>
      </w:r>
      <w:proofErr w:type="gramStart"/>
      <w:r w:rsidR="00002756" w:rsidRPr="00002756">
        <w:t>52 Pa. Code § 56.172</w:t>
      </w:r>
      <w:r w:rsidR="00002756">
        <w:t>(d).</w:t>
      </w:r>
      <w:proofErr w:type="gramEnd"/>
      <w:r w:rsidR="00002756">
        <w:t xml:space="preserve"> </w:t>
      </w:r>
    </w:p>
    <w:p w:rsidR="004D3F39" w:rsidRPr="006C6758" w:rsidRDefault="004D3F39" w:rsidP="006B3742">
      <w:pPr>
        <w:spacing w:line="360" w:lineRule="auto"/>
        <w:ind w:firstLine="1440"/>
      </w:pPr>
    </w:p>
    <w:p w:rsidR="0056652D" w:rsidRDefault="006B3742" w:rsidP="006B3742">
      <w:pPr>
        <w:spacing w:line="360" w:lineRule="auto"/>
        <w:ind w:firstLine="1354"/>
      </w:pPr>
      <w:r w:rsidRPr="006C6758">
        <w:t xml:space="preserve">Ms. </w:t>
      </w:r>
      <w:r w:rsidR="00655A8B">
        <w:t>Wade</w:t>
      </w:r>
      <w:r w:rsidR="00D811FC">
        <w:t xml:space="preserve"> testified </w:t>
      </w:r>
      <w:r w:rsidR="00655A8B">
        <w:t xml:space="preserve">at the hearing that </w:t>
      </w:r>
      <w:r w:rsidR="00D811FC">
        <w:t>her househ</w:t>
      </w:r>
      <w:r w:rsidR="00655A8B">
        <w:t xml:space="preserve">old consists of herself and that her monthly </w:t>
      </w:r>
      <w:r w:rsidR="00C329A8">
        <w:t>income is</w:t>
      </w:r>
      <w:r w:rsidR="00655A8B">
        <w:t xml:space="preserve"> </w:t>
      </w:r>
      <w:r w:rsidR="00655A8B" w:rsidRPr="00655A8B">
        <w:t>$5,769.98</w:t>
      </w:r>
      <w:r w:rsidR="00655A8B">
        <w:t xml:space="preserve"> from employment.  Ms. Wade also testified that she had </w:t>
      </w:r>
      <w:r w:rsidR="00655A8B" w:rsidRPr="00655A8B">
        <w:t>entered into a payment agreement with PECO</w:t>
      </w:r>
      <w:r w:rsidR="00E820D9">
        <w:t xml:space="preserve"> and had set up an automatic deduction from her checking account for the monthly payments but that PECO had not made the deductions.  She did not contest any amounts included in her past due balance but ask</w:t>
      </w:r>
      <w:r w:rsidR="00A15551">
        <w:t>ed that she be given at least twelve to fourteen</w:t>
      </w:r>
      <w:r w:rsidR="00E820D9">
        <w:t xml:space="preserve"> months to pay off her balance.  PECO’s witness</w:t>
      </w:r>
      <w:r w:rsidR="00A15551">
        <w:t>,</w:t>
      </w:r>
      <w:r w:rsidR="00E820D9">
        <w:t xml:space="preserve"> Ms. Leung</w:t>
      </w:r>
      <w:r w:rsidR="00A15551">
        <w:t>,</w:t>
      </w:r>
      <w:r w:rsidR="00E820D9">
        <w:t xml:space="preserve"> testified that PECO’s records did not indicate that Ms. Wade’s account was ever set up for </w:t>
      </w:r>
      <w:r w:rsidR="008E762F">
        <w:t>automatic monthly transfers and that PECO did not object to a payment arrangement.</w:t>
      </w:r>
    </w:p>
    <w:p w:rsidR="00AB6E70" w:rsidRDefault="00AB6E70" w:rsidP="006B3742">
      <w:pPr>
        <w:spacing w:line="360" w:lineRule="auto"/>
        <w:ind w:firstLine="1354"/>
      </w:pPr>
    </w:p>
    <w:p w:rsidR="001270C9" w:rsidRDefault="006B0ACC" w:rsidP="006B3742">
      <w:pPr>
        <w:spacing w:line="360" w:lineRule="auto"/>
        <w:ind w:firstLine="1354"/>
      </w:pPr>
      <w:r>
        <w:t>Ms. Wade</w:t>
      </w:r>
      <w:r w:rsidR="004F5D5F">
        <w:t xml:space="preserve"> has not defaulted on a previously issued </w:t>
      </w:r>
      <w:r w:rsidR="0056652D">
        <w:t xml:space="preserve">Commission </w:t>
      </w:r>
      <w:r w:rsidR="004F5D5F">
        <w:t>payment arrangement and is therefore eligible for a payment</w:t>
      </w:r>
      <w:r w:rsidR="00B1473B">
        <w:t xml:space="preserve"> arrangement.  Because her income is above 300% of the federal poverty level, she is a</w:t>
      </w:r>
      <w:r w:rsidR="0056652D">
        <w:t xml:space="preserve"> level 4 customer</w:t>
      </w:r>
      <w:r w:rsidR="00B1473B">
        <w:t xml:space="preserve"> under Chapter 14 and is allowed</w:t>
      </w:r>
      <w:r w:rsidR="004F5D5F">
        <w:t xml:space="preserve"> six months to bring her account current.</w:t>
      </w:r>
      <w:r w:rsidR="008E762F">
        <w:t xml:space="preserve">  Although I am cognizant that Ms. Wade only began her job earlier this year and that there appears to be confusion regarding automatic deductions from her checking account, the law does not allow for these factors to be considered in setting a payment arrangement and the request for a longer period of time to pay off the arrearages must be denied.</w:t>
      </w:r>
    </w:p>
    <w:p w:rsidR="00A15551" w:rsidRDefault="00A15551" w:rsidP="006B3742">
      <w:pPr>
        <w:spacing w:line="360" w:lineRule="auto"/>
        <w:ind w:firstLine="1354"/>
      </w:pPr>
    </w:p>
    <w:p w:rsidR="004F5D5F" w:rsidRPr="006C6758" w:rsidRDefault="004F5D5F" w:rsidP="004F5D5F">
      <w:pPr>
        <w:spacing w:line="360" w:lineRule="auto"/>
        <w:jc w:val="center"/>
        <w:rPr>
          <w:u w:val="single"/>
        </w:rPr>
      </w:pPr>
      <w:r w:rsidRPr="006C6758">
        <w:rPr>
          <w:u w:val="single"/>
        </w:rPr>
        <w:t>CONCLUSIONS OF LAW</w:t>
      </w:r>
    </w:p>
    <w:p w:rsidR="004F5D5F" w:rsidRPr="006C6758" w:rsidRDefault="004F5D5F" w:rsidP="00775352">
      <w:pPr>
        <w:spacing w:line="360" w:lineRule="auto"/>
        <w:rPr>
          <w:u w:val="single"/>
        </w:rPr>
      </w:pPr>
    </w:p>
    <w:p w:rsidR="004F5D5F" w:rsidRDefault="004F5D5F" w:rsidP="00775352">
      <w:pPr>
        <w:numPr>
          <w:ilvl w:val="0"/>
          <w:numId w:val="2"/>
        </w:numPr>
        <w:tabs>
          <w:tab w:val="clear" w:pos="900"/>
          <w:tab w:val="num" w:pos="2160"/>
        </w:tabs>
        <w:spacing w:line="360" w:lineRule="auto"/>
        <w:ind w:left="0" w:firstLine="1440"/>
      </w:pPr>
      <w:r w:rsidRPr="006C6758">
        <w:t xml:space="preserve">The Commission has jurisdiction over the parties and the subject matter of this proceeding.  </w:t>
      </w:r>
      <w:proofErr w:type="gramStart"/>
      <w:r w:rsidRPr="006C6758">
        <w:t>66 Pa.C.S.</w:t>
      </w:r>
      <w:proofErr w:type="gramEnd"/>
      <w:r w:rsidRPr="006C6758">
        <w:t xml:space="preserve"> § 701.</w:t>
      </w:r>
    </w:p>
    <w:p w:rsidR="00673431" w:rsidRPr="006C6758" w:rsidRDefault="00673431" w:rsidP="00775352">
      <w:pPr>
        <w:spacing w:line="360" w:lineRule="auto"/>
      </w:pPr>
    </w:p>
    <w:p w:rsidR="004F5D5F" w:rsidRPr="006C6758" w:rsidRDefault="004F5D5F" w:rsidP="00775352">
      <w:pPr>
        <w:pStyle w:val="FootnoteText"/>
        <w:spacing w:line="360" w:lineRule="auto"/>
        <w:rPr>
          <w:sz w:val="24"/>
          <w:szCs w:val="24"/>
        </w:rPr>
      </w:pPr>
      <w:r w:rsidRPr="006C6758">
        <w:rPr>
          <w:sz w:val="24"/>
          <w:szCs w:val="24"/>
        </w:rPr>
        <w:tab/>
      </w:r>
      <w:r w:rsidRPr="006C6758">
        <w:rPr>
          <w:sz w:val="24"/>
          <w:szCs w:val="24"/>
        </w:rPr>
        <w:tab/>
        <w:t>2.</w:t>
      </w:r>
      <w:r w:rsidRPr="006C6758">
        <w:rPr>
          <w:sz w:val="24"/>
          <w:szCs w:val="24"/>
        </w:rPr>
        <w:tab/>
        <w:t xml:space="preserve">The Complainant had the burden of proof.  </w:t>
      </w:r>
      <w:proofErr w:type="gramStart"/>
      <w:r w:rsidRPr="006C6758">
        <w:rPr>
          <w:sz w:val="24"/>
          <w:szCs w:val="24"/>
        </w:rPr>
        <w:t>66 Pa.C.S.</w:t>
      </w:r>
      <w:proofErr w:type="gramEnd"/>
      <w:r w:rsidRPr="006C6758">
        <w:rPr>
          <w:sz w:val="24"/>
          <w:szCs w:val="24"/>
        </w:rPr>
        <w:t xml:space="preserve"> § 332(a).</w:t>
      </w:r>
    </w:p>
    <w:p w:rsidR="004F5D5F" w:rsidRPr="006C6758" w:rsidRDefault="004F5D5F" w:rsidP="00775352">
      <w:pPr>
        <w:pStyle w:val="FootnoteText"/>
        <w:spacing w:line="360" w:lineRule="auto"/>
        <w:rPr>
          <w:sz w:val="24"/>
          <w:szCs w:val="24"/>
        </w:rPr>
      </w:pPr>
    </w:p>
    <w:p w:rsidR="004F5D5F" w:rsidRPr="006C6758" w:rsidRDefault="004F5D5F" w:rsidP="00775352">
      <w:pPr>
        <w:spacing w:line="360" w:lineRule="auto"/>
      </w:pPr>
      <w:r w:rsidRPr="006C6758">
        <w:tab/>
      </w:r>
      <w:r w:rsidRPr="006C6758">
        <w:tab/>
        <w:t>3.</w:t>
      </w:r>
      <w:r w:rsidRPr="006C6758">
        <w:tab/>
        <w:t xml:space="preserve">The Responsible Utility Customer Protection Act, </w:t>
      </w:r>
      <w:proofErr w:type="gramStart"/>
      <w:r w:rsidRPr="006C6758">
        <w:t>66 Pa.C.S</w:t>
      </w:r>
      <w:proofErr w:type="gramEnd"/>
      <w:r w:rsidRPr="006C6758">
        <w:t xml:space="preserve">. § 1401, </w:t>
      </w:r>
      <w:r w:rsidRPr="006C6758">
        <w:rPr>
          <w:i/>
          <w:iCs/>
        </w:rPr>
        <w:t>et seq</w:t>
      </w:r>
      <w:r w:rsidRPr="006C6758">
        <w:t>., applies to this proceeding.</w:t>
      </w:r>
    </w:p>
    <w:p w:rsidR="004F5D5F" w:rsidRPr="006C6758" w:rsidRDefault="004F5D5F" w:rsidP="00775352">
      <w:pPr>
        <w:spacing w:line="360" w:lineRule="auto"/>
      </w:pPr>
    </w:p>
    <w:p w:rsidR="004F5D5F" w:rsidRDefault="004F5D5F" w:rsidP="00775352">
      <w:pPr>
        <w:spacing w:line="360" w:lineRule="auto"/>
      </w:pPr>
      <w:r w:rsidRPr="006C6758">
        <w:tab/>
      </w:r>
      <w:r w:rsidRPr="006C6758">
        <w:tab/>
        <w:t>4.</w:t>
      </w:r>
      <w:r w:rsidRPr="006C6758">
        <w:tab/>
        <w:t>The Public Utility Code permits</w:t>
      </w:r>
      <w:r>
        <w:t xml:space="preserve"> Commission to establish payment arrangements between a public utility and its customers </w:t>
      </w:r>
      <w:r w:rsidR="00673431">
        <w:t xml:space="preserve">only </w:t>
      </w:r>
      <w:r>
        <w:t>within prescribed limits</w:t>
      </w:r>
      <w:r w:rsidRPr="006C6758">
        <w:t xml:space="preserve">.  </w:t>
      </w:r>
      <w:proofErr w:type="gramStart"/>
      <w:r w:rsidRPr="006C6758">
        <w:t>66 Pa.C.S.</w:t>
      </w:r>
      <w:proofErr w:type="gramEnd"/>
      <w:r w:rsidRPr="006C6758">
        <w:t xml:space="preserve"> </w:t>
      </w:r>
      <w:r>
        <w:t>§ 1405(a</w:t>
      </w:r>
      <w:r w:rsidRPr="006C6758">
        <w:t>).</w:t>
      </w:r>
    </w:p>
    <w:p w:rsidR="004F5D5F" w:rsidRDefault="004F5D5F" w:rsidP="00775352">
      <w:pPr>
        <w:spacing w:line="360" w:lineRule="auto"/>
      </w:pPr>
    </w:p>
    <w:p w:rsidR="004F5D5F" w:rsidRDefault="004F5D5F" w:rsidP="00775352">
      <w:pPr>
        <w:spacing w:line="360" w:lineRule="auto"/>
      </w:pPr>
      <w:r>
        <w:tab/>
      </w:r>
      <w:r>
        <w:tab/>
        <w:t xml:space="preserve">5.  </w:t>
      </w:r>
      <w:r>
        <w:tab/>
        <w:t>The Complainant is eligible for a payment arrangement</w:t>
      </w:r>
      <w:r w:rsidR="00EC0391">
        <w:t xml:space="preserve">.  </w:t>
      </w:r>
      <w:proofErr w:type="gramStart"/>
      <w:r w:rsidR="00EC0391">
        <w:t>66 Pa.C.S.</w:t>
      </w:r>
      <w:proofErr w:type="gramEnd"/>
      <w:r w:rsidR="00EC0391">
        <w:t xml:space="preserve"> § 1405(b</w:t>
      </w:r>
      <w:proofErr w:type="gramStart"/>
      <w:r w:rsidR="00EC0391">
        <w:t>)(</w:t>
      </w:r>
      <w:proofErr w:type="gramEnd"/>
      <w:r w:rsidR="00EC0391">
        <w:t xml:space="preserve">c). </w:t>
      </w:r>
    </w:p>
    <w:p w:rsidR="00673431" w:rsidRDefault="00673431" w:rsidP="00775352">
      <w:pPr>
        <w:spacing w:line="360" w:lineRule="auto"/>
      </w:pPr>
    </w:p>
    <w:p w:rsidR="00673431" w:rsidRDefault="00E14298" w:rsidP="00775352">
      <w:pPr>
        <w:spacing w:line="360" w:lineRule="auto"/>
      </w:pPr>
      <w:r>
        <w:tab/>
      </w:r>
      <w:r>
        <w:tab/>
        <w:t>6</w:t>
      </w:r>
      <w:r w:rsidR="00673431">
        <w:t>.</w:t>
      </w:r>
      <w:r w:rsidR="00673431">
        <w:tab/>
        <w:t>The</w:t>
      </w:r>
      <w:r w:rsidR="00BD5164">
        <w:t xml:space="preserve"> Complainant is allowed six months to bring her account current</w:t>
      </w:r>
      <w:r w:rsidR="00673431">
        <w:t xml:space="preserve">.  </w:t>
      </w:r>
      <w:proofErr w:type="gramStart"/>
      <w:r w:rsidR="00673431" w:rsidRPr="006C6758">
        <w:t>66 Pa.C.S.</w:t>
      </w:r>
      <w:proofErr w:type="gramEnd"/>
      <w:r w:rsidR="00673431" w:rsidRPr="006C6758">
        <w:t xml:space="preserve"> </w:t>
      </w:r>
      <w:r w:rsidR="00BD5164">
        <w:t>§ 1405(b</w:t>
      </w:r>
      <w:proofErr w:type="gramStart"/>
      <w:r w:rsidR="00673431" w:rsidRPr="006C6758">
        <w:t>)</w:t>
      </w:r>
      <w:r w:rsidR="00BD5164">
        <w:t>(</w:t>
      </w:r>
      <w:proofErr w:type="gramEnd"/>
      <w:r w:rsidR="00BD5164">
        <w:t>4)</w:t>
      </w:r>
      <w:r w:rsidR="00673431" w:rsidRPr="006C6758">
        <w:t>.</w:t>
      </w:r>
    </w:p>
    <w:p w:rsidR="00673431" w:rsidRDefault="00673431" w:rsidP="00775352">
      <w:pPr>
        <w:spacing w:line="360" w:lineRule="auto"/>
      </w:pPr>
    </w:p>
    <w:p w:rsidR="004F5D5F" w:rsidRPr="00EC0391" w:rsidRDefault="004F5D5F" w:rsidP="004F5D5F">
      <w:pPr>
        <w:spacing w:line="360" w:lineRule="auto"/>
        <w:jc w:val="center"/>
        <w:outlineLvl w:val="0"/>
        <w:rPr>
          <w:u w:val="single"/>
        </w:rPr>
      </w:pPr>
      <w:r w:rsidRPr="006C6758">
        <w:rPr>
          <w:u w:val="single"/>
        </w:rPr>
        <w:t>ORDER</w:t>
      </w:r>
    </w:p>
    <w:p w:rsidR="004F5D5F" w:rsidRPr="006C6758" w:rsidRDefault="004F5D5F" w:rsidP="004F5D5F">
      <w:pPr>
        <w:spacing w:line="360" w:lineRule="auto"/>
        <w:jc w:val="center"/>
        <w:outlineLvl w:val="0"/>
        <w:rPr>
          <w:u w:val="single"/>
        </w:rPr>
      </w:pPr>
    </w:p>
    <w:p w:rsidR="004F5D5F" w:rsidRPr="006C6758" w:rsidRDefault="004F5D5F" w:rsidP="00C76E72">
      <w:pPr>
        <w:tabs>
          <w:tab w:val="num" w:pos="2160"/>
        </w:tabs>
        <w:spacing w:line="360" w:lineRule="auto"/>
        <w:rPr>
          <w:u w:val="single"/>
        </w:rPr>
      </w:pPr>
    </w:p>
    <w:p w:rsidR="004F5D5F" w:rsidRPr="006C6758" w:rsidRDefault="004F5D5F" w:rsidP="00C76E72">
      <w:pPr>
        <w:tabs>
          <w:tab w:val="num" w:pos="2160"/>
        </w:tabs>
        <w:spacing w:line="360" w:lineRule="auto"/>
        <w:ind w:firstLine="1440"/>
      </w:pPr>
      <w:r w:rsidRPr="006C6758">
        <w:t>THEREFORE,</w:t>
      </w:r>
    </w:p>
    <w:p w:rsidR="004F5D5F" w:rsidRPr="006C6758" w:rsidRDefault="004F5D5F" w:rsidP="00C76E72">
      <w:pPr>
        <w:tabs>
          <w:tab w:val="num" w:pos="2160"/>
        </w:tabs>
        <w:spacing w:line="360" w:lineRule="auto"/>
      </w:pPr>
    </w:p>
    <w:p w:rsidR="004F5D5F" w:rsidRPr="006C6758" w:rsidRDefault="004F5D5F" w:rsidP="00C76E72">
      <w:pPr>
        <w:tabs>
          <w:tab w:val="num" w:pos="2160"/>
        </w:tabs>
        <w:spacing w:line="360" w:lineRule="auto"/>
        <w:ind w:firstLine="1440"/>
      </w:pPr>
      <w:r w:rsidRPr="006C6758">
        <w:t>IT IS ORDERED:</w:t>
      </w:r>
    </w:p>
    <w:p w:rsidR="004F5D5F" w:rsidRPr="006C6758" w:rsidRDefault="004F5D5F" w:rsidP="00C76E72">
      <w:pPr>
        <w:tabs>
          <w:tab w:val="num" w:pos="2160"/>
        </w:tabs>
        <w:spacing w:line="360" w:lineRule="auto"/>
        <w:ind w:firstLine="1440"/>
      </w:pPr>
    </w:p>
    <w:p w:rsidR="004F5D5F" w:rsidRPr="006C6758" w:rsidRDefault="00EC0391" w:rsidP="00C76E72">
      <w:pPr>
        <w:spacing w:line="360" w:lineRule="auto"/>
        <w:ind w:firstLine="1440"/>
      </w:pPr>
      <w:r>
        <w:t>1</w:t>
      </w:r>
      <w:r w:rsidR="004F5D5F" w:rsidRPr="006C6758">
        <w:t>.</w:t>
      </w:r>
      <w:r w:rsidR="004F5D5F" w:rsidRPr="006C6758">
        <w:tab/>
        <w:t xml:space="preserve">That the Formal Complaint filed by </w:t>
      </w:r>
      <w:r w:rsidR="00BD5164">
        <w:t>Morgan Wade</w:t>
      </w:r>
      <w:r w:rsidR="004F5D5F" w:rsidRPr="006C6758">
        <w:t xml:space="preserve"> against </w:t>
      </w:r>
      <w:r w:rsidR="00BD5164">
        <w:t>PECO Energy Company</w:t>
      </w:r>
      <w:r w:rsidR="004F5D5F" w:rsidRPr="006C6758">
        <w:t xml:space="preserve"> at Docket No.</w:t>
      </w:r>
      <w:r w:rsidRPr="00EC0391">
        <w:t xml:space="preserve"> </w:t>
      </w:r>
      <w:r w:rsidR="00BD5164" w:rsidRPr="00BD5164">
        <w:t>C-2015-2486838</w:t>
      </w:r>
      <w:r w:rsidR="00BD5164">
        <w:t xml:space="preserve"> </w:t>
      </w:r>
      <w:r w:rsidR="004F5D5F" w:rsidRPr="006C6758">
        <w:t>is sust</w:t>
      </w:r>
      <w:r>
        <w:t>ained</w:t>
      </w:r>
      <w:r w:rsidR="004F5D5F" w:rsidRPr="006C6758">
        <w:t>.</w:t>
      </w:r>
    </w:p>
    <w:p w:rsidR="004F5D5F" w:rsidRDefault="0036310E" w:rsidP="00C76E72">
      <w:pPr>
        <w:spacing w:line="360" w:lineRule="auto"/>
        <w:ind w:firstLine="1440"/>
      </w:pPr>
      <w:r>
        <w:lastRenderedPageBreak/>
        <w:t>2</w:t>
      </w:r>
      <w:r w:rsidR="00BD5164">
        <w:t>.</w:t>
      </w:r>
      <w:r w:rsidR="00BD5164">
        <w:tab/>
        <w:t>That Morgan Wade</w:t>
      </w:r>
      <w:r w:rsidR="004F5D5F" w:rsidRPr="006C6758">
        <w:t xml:space="preserve"> shall make monthly payments consisting of her c</w:t>
      </w:r>
      <w:r w:rsidR="00EC0391">
        <w:t>urrent charges plus one sixth</w:t>
      </w:r>
      <w:r w:rsidR="004F5D5F" w:rsidRPr="006C6758">
        <w:t xml:space="preserve"> of the balance accrued on her account, beginning with the first billing due date following the entry of a final Commission Order in this case.</w:t>
      </w:r>
    </w:p>
    <w:p w:rsidR="0036310E" w:rsidRDefault="0036310E" w:rsidP="00C76E72">
      <w:pPr>
        <w:spacing w:line="360" w:lineRule="auto"/>
        <w:ind w:firstLine="1440"/>
      </w:pPr>
    </w:p>
    <w:p w:rsidR="0036310E" w:rsidRPr="006C6758" w:rsidRDefault="0036310E" w:rsidP="00C76E72">
      <w:pPr>
        <w:spacing w:line="360" w:lineRule="auto"/>
        <w:ind w:firstLine="1440"/>
      </w:pPr>
      <w:r>
        <w:t>3.</w:t>
      </w:r>
      <w:r>
        <w:tab/>
      </w:r>
      <w:r w:rsidRPr="0036310E">
        <w:t>That Morgan Wade’s request for a payment arrangement longer than 6 months is denied.</w:t>
      </w:r>
    </w:p>
    <w:p w:rsidR="004F5D5F" w:rsidRPr="006C6758" w:rsidRDefault="004F5D5F" w:rsidP="00C76E72">
      <w:pPr>
        <w:spacing w:line="360" w:lineRule="auto"/>
        <w:ind w:firstLine="1440"/>
      </w:pPr>
    </w:p>
    <w:p w:rsidR="004F5D5F" w:rsidRPr="006C6758" w:rsidRDefault="0036310E" w:rsidP="00C76E72">
      <w:pPr>
        <w:pStyle w:val="ListParagraph"/>
        <w:spacing w:line="360" w:lineRule="auto"/>
        <w:ind w:left="0" w:firstLine="1440"/>
      </w:pPr>
      <w:r>
        <w:t>4</w:t>
      </w:r>
      <w:r w:rsidR="004F5D5F">
        <w:t>.</w:t>
      </w:r>
      <w:r w:rsidR="004F5D5F">
        <w:tab/>
      </w:r>
      <w:r w:rsidR="004F5D5F" w:rsidRPr="006C6758">
        <w:t>That as lon</w:t>
      </w:r>
      <w:r w:rsidR="00BD5164">
        <w:t>g as Morgan Wade</w:t>
      </w:r>
      <w:r w:rsidR="004F5D5F" w:rsidRPr="006C6758">
        <w:t xml:space="preserve"> keeps the payment schedule stated in this O</w:t>
      </w:r>
      <w:r w:rsidR="00EC0391">
        <w:t xml:space="preserve">rder, </w:t>
      </w:r>
      <w:r w:rsidR="00BD5164">
        <w:t xml:space="preserve">PECO Energy Company </w:t>
      </w:r>
      <w:r w:rsidR="004F5D5F" w:rsidRPr="006C6758">
        <w:t>shall not suspend or terminate her utility service except for valid safety or emergency reasons or assess late payments or finance charges against her account.</w:t>
      </w:r>
    </w:p>
    <w:p w:rsidR="004F5D5F" w:rsidRPr="006C6758" w:rsidRDefault="004F5D5F" w:rsidP="00C76E72">
      <w:pPr>
        <w:pStyle w:val="ListParagraph"/>
        <w:spacing w:line="360" w:lineRule="auto"/>
        <w:ind w:left="0"/>
      </w:pPr>
    </w:p>
    <w:p w:rsidR="004F5D5F" w:rsidRPr="006C6758" w:rsidRDefault="0036310E" w:rsidP="00C76E72">
      <w:pPr>
        <w:pStyle w:val="ListParagraph"/>
        <w:spacing w:line="360" w:lineRule="auto"/>
        <w:ind w:left="0" w:firstLine="1440"/>
      </w:pPr>
      <w:r>
        <w:t>5</w:t>
      </w:r>
      <w:r w:rsidR="00760B8A">
        <w:t>.</w:t>
      </w:r>
      <w:r w:rsidR="00760B8A">
        <w:tab/>
        <w:t>That</w:t>
      </w:r>
      <w:r w:rsidR="00BD5164">
        <w:t xml:space="preserve"> if Morgan Wade</w:t>
      </w:r>
      <w:r w:rsidR="004F5D5F" w:rsidRPr="006C6758">
        <w:t xml:space="preserve"> does not keep the payment schedule stated in this O</w:t>
      </w:r>
      <w:r w:rsidR="00EC0391">
        <w:t xml:space="preserve">rder, </w:t>
      </w:r>
      <w:r w:rsidR="00BD5164">
        <w:t xml:space="preserve">PECO Energy Company </w:t>
      </w:r>
      <w:r w:rsidR="004F5D5F" w:rsidRPr="006C6758">
        <w:t>is authorized to suspend or terminate her utility service in accordance with the Commission’s statute and regulations.</w:t>
      </w:r>
    </w:p>
    <w:p w:rsidR="004F5D5F" w:rsidRDefault="004F5D5F" w:rsidP="00C76E72">
      <w:pPr>
        <w:spacing w:line="360" w:lineRule="auto"/>
        <w:ind w:firstLine="1440"/>
      </w:pPr>
    </w:p>
    <w:p w:rsidR="004F5D5F" w:rsidRDefault="0036310E" w:rsidP="00C76E72">
      <w:pPr>
        <w:spacing w:line="360" w:lineRule="auto"/>
        <w:ind w:firstLine="1440"/>
      </w:pPr>
      <w:r>
        <w:t>6</w:t>
      </w:r>
      <w:r w:rsidR="004F5D5F" w:rsidRPr="006C6758">
        <w:t>.</w:t>
      </w:r>
      <w:r w:rsidR="004F5D5F" w:rsidRPr="006C6758">
        <w:tab/>
        <w:t>That the Secretary mark this docket closed.</w:t>
      </w:r>
    </w:p>
    <w:p w:rsidR="003E7AFA" w:rsidRDefault="003E7AFA" w:rsidP="00C76E72">
      <w:pPr>
        <w:spacing w:line="360" w:lineRule="auto"/>
        <w:ind w:firstLine="1440"/>
      </w:pPr>
    </w:p>
    <w:p w:rsidR="003E7AFA" w:rsidRDefault="003E7AFA" w:rsidP="00C76E72">
      <w:pPr>
        <w:spacing w:line="360" w:lineRule="auto"/>
        <w:ind w:firstLine="1440"/>
      </w:pPr>
    </w:p>
    <w:p w:rsidR="004F5D5F" w:rsidRPr="006C6758" w:rsidRDefault="004F5D5F" w:rsidP="00C76E72">
      <w:pPr>
        <w:tabs>
          <w:tab w:val="num" w:pos="2160"/>
          <w:tab w:val="left" w:pos="5048"/>
        </w:tabs>
        <w:rPr>
          <w:u w:val="single"/>
        </w:rPr>
      </w:pPr>
      <w:r w:rsidRPr="006C6758">
        <w:t xml:space="preserve">Date: </w:t>
      </w:r>
      <w:r w:rsidR="00BD5164">
        <w:rPr>
          <w:u w:val="single"/>
        </w:rPr>
        <w:t>November 24</w:t>
      </w:r>
      <w:r w:rsidR="00A83D0E">
        <w:rPr>
          <w:u w:val="single"/>
        </w:rPr>
        <w:t>, 2015</w:t>
      </w:r>
      <w:r w:rsidRPr="006C6758">
        <w:t xml:space="preserve"> </w:t>
      </w:r>
      <w:r w:rsidRPr="006C6758">
        <w:tab/>
      </w:r>
      <w:r w:rsidRPr="006C6758">
        <w:rPr>
          <w:u w:val="single"/>
        </w:rPr>
        <w:tab/>
      </w:r>
      <w:r w:rsidRPr="006C6758">
        <w:rPr>
          <w:u w:val="single"/>
        </w:rPr>
        <w:tab/>
        <w:t>/s/</w:t>
      </w:r>
      <w:r w:rsidRPr="006C6758">
        <w:rPr>
          <w:u w:val="single"/>
        </w:rPr>
        <w:tab/>
      </w:r>
      <w:r w:rsidRPr="006C6758">
        <w:rPr>
          <w:u w:val="single"/>
        </w:rPr>
        <w:tab/>
      </w:r>
      <w:r w:rsidRPr="006C6758">
        <w:rPr>
          <w:u w:val="single"/>
        </w:rPr>
        <w:tab/>
      </w:r>
    </w:p>
    <w:p w:rsidR="004F5D5F" w:rsidRPr="006C6758" w:rsidRDefault="001A0947" w:rsidP="004F5D5F">
      <w:pPr>
        <w:tabs>
          <w:tab w:val="num" w:pos="2160"/>
          <w:tab w:val="left" w:pos="5048"/>
        </w:tabs>
      </w:pPr>
      <w:r>
        <w:tab/>
      </w:r>
      <w:r>
        <w:tab/>
        <w:t>Rebecca Waldemar</w:t>
      </w:r>
    </w:p>
    <w:p w:rsidR="00000BB1" w:rsidRDefault="004F5D5F" w:rsidP="00760B8A">
      <w:pPr>
        <w:spacing w:line="360" w:lineRule="auto"/>
        <w:ind w:firstLine="1440"/>
      </w:pPr>
      <w:r w:rsidRPr="006C6758">
        <w:tab/>
      </w:r>
      <w:r w:rsidRPr="006C6758">
        <w:tab/>
      </w:r>
      <w:r w:rsidRPr="006C6758">
        <w:tab/>
      </w:r>
      <w:r w:rsidRPr="006C6758">
        <w:tab/>
      </w:r>
      <w:r w:rsidRPr="006C6758">
        <w:tab/>
        <w:t>Special Agent</w:t>
      </w:r>
      <w:bookmarkStart w:id="0" w:name="_GoBack"/>
      <w:bookmarkEnd w:id="0"/>
    </w:p>
    <w:sectPr w:rsidR="00000BB1" w:rsidSect="00F8737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BE" w:rsidRDefault="00A238BE" w:rsidP="00E0610F">
      <w:r>
        <w:separator/>
      </w:r>
    </w:p>
  </w:endnote>
  <w:endnote w:type="continuationSeparator" w:id="0">
    <w:p w:rsidR="00A238BE" w:rsidRDefault="00A238BE" w:rsidP="00E0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248643"/>
      <w:docPartObj>
        <w:docPartGallery w:val="Page Numbers (Bottom of Page)"/>
        <w:docPartUnique/>
      </w:docPartObj>
    </w:sdtPr>
    <w:sdtEndPr>
      <w:rPr>
        <w:noProof/>
      </w:rPr>
    </w:sdtEndPr>
    <w:sdtContent>
      <w:p w:rsidR="00F8737B" w:rsidRDefault="00F8737B">
        <w:pPr>
          <w:pStyle w:val="Footer"/>
          <w:jc w:val="center"/>
        </w:pPr>
        <w:r w:rsidRPr="00775352">
          <w:rPr>
            <w:sz w:val="20"/>
            <w:szCs w:val="20"/>
          </w:rPr>
          <w:fldChar w:fldCharType="begin"/>
        </w:r>
        <w:r w:rsidRPr="00775352">
          <w:rPr>
            <w:sz w:val="20"/>
            <w:szCs w:val="20"/>
          </w:rPr>
          <w:instrText xml:space="preserve"> PAGE   \* MERGEFORMAT </w:instrText>
        </w:r>
        <w:r w:rsidRPr="00775352">
          <w:rPr>
            <w:sz w:val="20"/>
            <w:szCs w:val="20"/>
          </w:rPr>
          <w:fldChar w:fldCharType="separate"/>
        </w:r>
        <w:r w:rsidR="00334338">
          <w:rPr>
            <w:noProof/>
            <w:sz w:val="20"/>
            <w:szCs w:val="20"/>
          </w:rPr>
          <w:t>7</w:t>
        </w:r>
        <w:r w:rsidRPr="00775352">
          <w:rPr>
            <w:noProof/>
            <w:sz w:val="20"/>
            <w:szCs w:val="20"/>
          </w:rPr>
          <w:fldChar w:fldCharType="end"/>
        </w:r>
      </w:p>
    </w:sdtContent>
  </w:sdt>
  <w:p w:rsidR="00F8737B" w:rsidRDefault="00F87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BE" w:rsidRDefault="00A238BE" w:rsidP="00E0610F">
      <w:r>
        <w:separator/>
      </w:r>
    </w:p>
  </w:footnote>
  <w:footnote w:type="continuationSeparator" w:id="0">
    <w:p w:rsidR="00A238BE" w:rsidRDefault="00A238BE" w:rsidP="00E0610F">
      <w:r>
        <w:continuationSeparator/>
      </w:r>
    </w:p>
  </w:footnote>
  <w:footnote w:id="1">
    <w:p w:rsidR="00780390" w:rsidRPr="00780390" w:rsidRDefault="00780390">
      <w:pPr>
        <w:pStyle w:val="FootnoteText"/>
      </w:pPr>
      <w:r>
        <w:rPr>
          <w:rStyle w:val="FootnoteReference"/>
        </w:rPr>
        <w:footnoteRef/>
      </w:r>
      <w:r w:rsidR="00E80C69">
        <w:t xml:space="preserve"> </w:t>
      </w:r>
      <w:r w:rsidR="00E80C69">
        <w:tab/>
      </w:r>
      <w:r w:rsidR="00527F6A">
        <w:t>D</w:t>
      </w:r>
      <w:r>
        <w:t>espite being assigned a C docket, t</w:t>
      </w:r>
      <w:r w:rsidRPr="00780390">
        <w:t xml:space="preserve">his Complaint is a timely appeal of a decision issued, on </w:t>
      </w:r>
      <w:r>
        <w:t>April 30</w:t>
      </w:r>
      <w:r w:rsidRPr="00780390">
        <w:t xml:space="preserve">, 2015, by BCS at BCS Case No. </w:t>
      </w:r>
      <w:r w:rsidRPr="00780390">
        <w:rPr>
          <w:bCs/>
        </w:rPr>
        <w:t>3334772</w:t>
      </w:r>
      <w:r w:rsidRPr="00780390">
        <w:t>.</w:t>
      </w:r>
      <w:r w:rsidR="00527F6A">
        <w:t xml:space="preserve">  </w:t>
      </w:r>
      <w:proofErr w:type="gramStart"/>
      <w:r w:rsidR="00527F6A" w:rsidRPr="00527F6A">
        <w:t>52 Pa. Code § 56.172(c)</w:t>
      </w:r>
      <w:r w:rsidR="00527F6A">
        <w:t>.</w:t>
      </w:r>
      <w:proofErr w:type="gramEnd"/>
    </w:p>
  </w:footnote>
  <w:footnote w:id="2">
    <w:p w:rsidR="00E0610F" w:rsidRDefault="00E0610F" w:rsidP="00E0610F">
      <w:pPr>
        <w:pStyle w:val="FootnoteText"/>
      </w:pPr>
      <w:r w:rsidRPr="002772FA">
        <w:rPr>
          <w:rStyle w:val="FootnoteReference"/>
        </w:rPr>
        <w:footnoteRef/>
      </w:r>
      <w:r>
        <w:t xml:space="preserve"> </w:t>
      </w:r>
      <w:r>
        <w:tab/>
        <w:t>A tape rec</w:t>
      </w:r>
      <w:r w:rsidRPr="002772FA">
        <w:t>ording of the hearing was made, no court reporter being present.</w:t>
      </w:r>
    </w:p>
    <w:p w:rsidR="00E0610F" w:rsidRPr="002772FA" w:rsidRDefault="00E0610F" w:rsidP="00E0610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A0"/>
    <w:rsid w:val="00000BB1"/>
    <w:rsid w:val="00002756"/>
    <w:rsid w:val="00035D2A"/>
    <w:rsid w:val="00040EE6"/>
    <w:rsid w:val="0007790D"/>
    <w:rsid w:val="000E2E3E"/>
    <w:rsid w:val="001270C9"/>
    <w:rsid w:val="00140F08"/>
    <w:rsid w:val="0014708C"/>
    <w:rsid w:val="00160706"/>
    <w:rsid w:val="00165723"/>
    <w:rsid w:val="001750D1"/>
    <w:rsid w:val="001A0947"/>
    <w:rsid w:val="001A0C16"/>
    <w:rsid w:val="001A2C19"/>
    <w:rsid w:val="001B758D"/>
    <w:rsid w:val="001F21EC"/>
    <w:rsid w:val="00276696"/>
    <w:rsid w:val="002776EA"/>
    <w:rsid w:val="002A2A9F"/>
    <w:rsid w:val="0031394B"/>
    <w:rsid w:val="003222A9"/>
    <w:rsid w:val="00334338"/>
    <w:rsid w:val="0036310E"/>
    <w:rsid w:val="0037293D"/>
    <w:rsid w:val="00386644"/>
    <w:rsid w:val="003D4B32"/>
    <w:rsid w:val="003E7AFA"/>
    <w:rsid w:val="004356F2"/>
    <w:rsid w:val="00481AB4"/>
    <w:rsid w:val="004A0D9D"/>
    <w:rsid w:val="004D3F39"/>
    <w:rsid w:val="004E74F8"/>
    <w:rsid w:val="004F5D5F"/>
    <w:rsid w:val="00527F6A"/>
    <w:rsid w:val="0056652D"/>
    <w:rsid w:val="0057063B"/>
    <w:rsid w:val="005A1E31"/>
    <w:rsid w:val="00626A28"/>
    <w:rsid w:val="00636D4D"/>
    <w:rsid w:val="00655A8B"/>
    <w:rsid w:val="00664A72"/>
    <w:rsid w:val="00673431"/>
    <w:rsid w:val="006B0ACC"/>
    <w:rsid w:val="006B332A"/>
    <w:rsid w:val="006B3742"/>
    <w:rsid w:val="006C0FEE"/>
    <w:rsid w:val="00704888"/>
    <w:rsid w:val="00711CFD"/>
    <w:rsid w:val="00760B8A"/>
    <w:rsid w:val="00775352"/>
    <w:rsid w:val="00780390"/>
    <w:rsid w:val="007B25C8"/>
    <w:rsid w:val="007E00E7"/>
    <w:rsid w:val="007E7684"/>
    <w:rsid w:val="007F0760"/>
    <w:rsid w:val="00810638"/>
    <w:rsid w:val="00814051"/>
    <w:rsid w:val="008422CB"/>
    <w:rsid w:val="00856130"/>
    <w:rsid w:val="008B29AA"/>
    <w:rsid w:val="008E762F"/>
    <w:rsid w:val="00931EC1"/>
    <w:rsid w:val="00960EA0"/>
    <w:rsid w:val="00993D90"/>
    <w:rsid w:val="009C62F1"/>
    <w:rsid w:val="009D47E8"/>
    <w:rsid w:val="00A00A1D"/>
    <w:rsid w:val="00A15551"/>
    <w:rsid w:val="00A238BE"/>
    <w:rsid w:val="00A83D0E"/>
    <w:rsid w:val="00A923C0"/>
    <w:rsid w:val="00AB6E70"/>
    <w:rsid w:val="00B1473B"/>
    <w:rsid w:val="00B21461"/>
    <w:rsid w:val="00B334CE"/>
    <w:rsid w:val="00BD5164"/>
    <w:rsid w:val="00C2101A"/>
    <w:rsid w:val="00C329A8"/>
    <w:rsid w:val="00C71B89"/>
    <w:rsid w:val="00C76E72"/>
    <w:rsid w:val="00CB7942"/>
    <w:rsid w:val="00CD29A3"/>
    <w:rsid w:val="00CD408D"/>
    <w:rsid w:val="00CD60BC"/>
    <w:rsid w:val="00CD714D"/>
    <w:rsid w:val="00CE7120"/>
    <w:rsid w:val="00CF610E"/>
    <w:rsid w:val="00CF61D4"/>
    <w:rsid w:val="00D06074"/>
    <w:rsid w:val="00D3388C"/>
    <w:rsid w:val="00D4425C"/>
    <w:rsid w:val="00D77D23"/>
    <w:rsid w:val="00D811FC"/>
    <w:rsid w:val="00DA17C9"/>
    <w:rsid w:val="00DB61D6"/>
    <w:rsid w:val="00DC3D95"/>
    <w:rsid w:val="00E03C5D"/>
    <w:rsid w:val="00E0610F"/>
    <w:rsid w:val="00E14298"/>
    <w:rsid w:val="00E554CA"/>
    <w:rsid w:val="00E80C69"/>
    <w:rsid w:val="00E820D9"/>
    <w:rsid w:val="00EC0391"/>
    <w:rsid w:val="00F8737B"/>
    <w:rsid w:val="00F9540B"/>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A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0610F"/>
    <w:rPr>
      <w:vertAlign w:val="superscript"/>
    </w:rPr>
  </w:style>
  <w:style w:type="paragraph" w:styleId="FootnoteText">
    <w:name w:val="footnote text"/>
    <w:aliases w:val="Car"/>
    <w:basedOn w:val="Normal"/>
    <w:link w:val="FootnoteTextChar"/>
    <w:uiPriority w:val="99"/>
    <w:qFormat/>
    <w:rsid w:val="00E0610F"/>
    <w:rPr>
      <w:rFonts w:eastAsia="Times New Roman"/>
      <w:sz w:val="20"/>
      <w:szCs w:val="20"/>
    </w:rPr>
  </w:style>
  <w:style w:type="character" w:customStyle="1" w:styleId="FootnoteTextChar">
    <w:name w:val="Footnote Text Char"/>
    <w:aliases w:val="Car Char"/>
    <w:basedOn w:val="DefaultParagraphFont"/>
    <w:link w:val="FootnoteText"/>
    <w:uiPriority w:val="99"/>
    <w:rsid w:val="00E0610F"/>
    <w:rPr>
      <w:rFonts w:ascii="Times New Roman" w:eastAsia="Times New Roman" w:hAnsi="Times New Roman" w:cs="Times New Roman"/>
      <w:sz w:val="20"/>
      <w:szCs w:val="20"/>
    </w:rPr>
  </w:style>
  <w:style w:type="paragraph" w:styleId="ListParagraph">
    <w:name w:val="List Paragraph"/>
    <w:basedOn w:val="Normal"/>
    <w:uiPriority w:val="99"/>
    <w:qFormat/>
    <w:rsid w:val="00B21461"/>
    <w:pPr>
      <w:ind w:left="720"/>
    </w:pPr>
  </w:style>
  <w:style w:type="paragraph" w:styleId="Header">
    <w:name w:val="header"/>
    <w:basedOn w:val="Normal"/>
    <w:link w:val="HeaderChar"/>
    <w:uiPriority w:val="99"/>
    <w:unhideWhenUsed/>
    <w:rsid w:val="00F8737B"/>
    <w:pPr>
      <w:tabs>
        <w:tab w:val="center" w:pos="4680"/>
        <w:tab w:val="right" w:pos="9360"/>
      </w:tabs>
    </w:pPr>
  </w:style>
  <w:style w:type="character" w:customStyle="1" w:styleId="HeaderChar">
    <w:name w:val="Header Char"/>
    <w:basedOn w:val="DefaultParagraphFont"/>
    <w:link w:val="Header"/>
    <w:uiPriority w:val="99"/>
    <w:rsid w:val="00F8737B"/>
    <w:rPr>
      <w:rFonts w:ascii="Times New Roman" w:eastAsia="Calibri" w:hAnsi="Times New Roman" w:cs="Times New Roman"/>
      <w:sz w:val="24"/>
      <w:szCs w:val="24"/>
    </w:rPr>
  </w:style>
  <w:style w:type="paragraph" w:styleId="Footer">
    <w:name w:val="footer"/>
    <w:basedOn w:val="Normal"/>
    <w:link w:val="FooterChar"/>
    <w:uiPriority w:val="99"/>
    <w:unhideWhenUsed/>
    <w:rsid w:val="00F8737B"/>
    <w:pPr>
      <w:tabs>
        <w:tab w:val="center" w:pos="4680"/>
        <w:tab w:val="right" w:pos="9360"/>
      </w:tabs>
    </w:pPr>
  </w:style>
  <w:style w:type="character" w:customStyle="1" w:styleId="FooterChar">
    <w:name w:val="Footer Char"/>
    <w:basedOn w:val="DefaultParagraphFont"/>
    <w:link w:val="Footer"/>
    <w:uiPriority w:val="99"/>
    <w:rsid w:val="00F8737B"/>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34338"/>
    <w:rPr>
      <w:rFonts w:ascii="Tahoma" w:hAnsi="Tahoma" w:cs="Tahoma"/>
      <w:sz w:val="16"/>
      <w:szCs w:val="16"/>
    </w:rPr>
  </w:style>
  <w:style w:type="character" w:customStyle="1" w:styleId="BalloonTextChar">
    <w:name w:val="Balloon Text Char"/>
    <w:basedOn w:val="DefaultParagraphFont"/>
    <w:link w:val="BalloonText"/>
    <w:uiPriority w:val="99"/>
    <w:semiHidden/>
    <w:rsid w:val="0033433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A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0610F"/>
    <w:rPr>
      <w:vertAlign w:val="superscript"/>
    </w:rPr>
  </w:style>
  <w:style w:type="paragraph" w:styleId="FootnoteText">
    <w:name w:val="footnote text"/>
    <w:aliases w:val="Car"/>
    <w:basedOn w:val="Normal"/>
    <w:link w:val="FootnoteTextChar"/>
    <w:uiPriority w:val="99"/>
    <w:qFormat/>
    <w:rsid w:val="00E0610F"/>
    <w:rPr>
      <w:rFonts w:eastAsia="Times New Roman"/>
      <w:sz w:val="20"/>
      <w:szCs w:val="20"/>
    </w:rPr>
  </w:style>
  <w:style w:type="character" w:customStyle="1" w:styleId="FootnoteTextChar">
    <w:name w:val="Footnote Text Char"/>
    <w:aliases w:val="Car Char"/>
    <w:basedOn w:val="DefaultParagraphFont"/>
    <w:link w:val="FootnoteText"/>
    <w:uiPriority w:val="99"/>
    <w:rsid w:val="00E0610F"/>
    <w:rPr>
      <w:rFonts w:ascii="Times New Roman" w:eastAsia="Times New Roman" w:hAnsi="Times New Roman" w:cs="Times New Roman"/>
      <w:sz w:val="20"/>
      <w:szCs w:val="20"/>
    </w:rPr>
  </w:style>
  <w:style w:type="paragraph" w:styleId="ListParagraph">
    <w:name w:val="List Paragraph"/>
    <w:basedOn w:val="Normal"/>
    <w:uiPriority w:val="99"/>
    <w:qFormat/>
    <w:rsid w:val="00B21461"/>
    <w:pPr>
      <w:ind w:left="720"/>
    </w:pPr>
  </w:style>
  <w:style w:type="paragraph" w:styleId="Header">
    <w:name w:val="header"/>
    <w:basedOn w:val="Normal"/>
    <w:link w:val="HeaderChar"/>
    <w:uiPriority w:val="99"/>
    <w:unhideWhenUsed/>
    <w:rsid w:val="00F8737B"/>
    <w:pPr>
      <w:tabs>
        <w:tab w:val="center" w:pos="4680"/>
        <w:tab w:val="right" w:pos="9360"/>
      </w:tabs>
    </w:pPr>
  </w:style>
  <w:style w:type="character" w:customStyle="1" w:styleId="HeaderChar">
    <w:name w:val="Header Char"/>
    <w:basedOn w:val="DefaultParagraphFont"/>
    <w:link w:val="Header"/>
    <w:uiPriority w:val="99"/>
    <w:rsid w:val="00F8737B"/>
    <w:rPr>
      <w:rFonts w:ascii="Times New Roman" w:eastAsia="Calibri" w:hAnsi="Times New Roman" w:cs="Times New Roman"/>
      <w:sz w:val="24"/>
      <w:szCs w:val="24"/>
    </w:rPr>
  </w:style>
  <w:style w:type="paragraph" w:styleId="Footer">
    <w:name w:val="footer"/>
    <w:basedOn w:val="Normal"/>
    <w:link w:val="FooterChar"/>
    <w:uiPriority w:val="99"/>
    <w:unhideWhenUsed/>
    <w:rsid w:val="00F8737B"/>
    <w:pPr>
      <w:tabs>
        <w:tab w:val="center" w:pos="4680"/>
        <w:tab w:val="right" w:pos="9360"/>
      </w:tabs>
    </w:pPr>
  </w:style>
  <w:style w:type="character" w:customStyle="1" w:styleId="FooterChar">
    <w:name w:val="Footer Char"/>
    <w:basedOn w:val="DefaultParagraphFont"/>
    <w:link w:val="Footer"/>
    <w:uiPriority w:val="99"/>
    <w:rsid w:val="00F8737B"/>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34338"/>
    <w:rPr>
      <w:rFonts w:ascii="Tahoma" w:hAnsi="Tahoma" w:cs="Tahoma"/>
      <w:sz w:val="16"/>
      <w:szCs w:val="16"/>
    </w:rPr>
  </w:style>
  <w:style w:type="character" w:customStyle="1" w:styleId="BalloonTextChar">
    <w:name w:val="Balloon Text Char"/>
    <w:basedOn w:val="DefaultParagraphFont"/>
    <w:link w:val="BalloonText"/>
    <w:uiPriority w:val="99"/>
    <w:semiHidden/>
    <w:rsid w:val="0033433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0EE0-3538-4D55-8D7A-E52713D4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Lewis, Meska</cp:lastModifiedBy>
  <cp:revision>30</cp:revision>
  <cp:lastPrinted>2015-12-21T15:46:00Z</cp:lastPrinted>
  <dcterms:created xsi:type="dcterms:W3CDTF">2015-11-24T13:34:00Z</dcterms:created>
  <dcterms:modified xsi:type="dcterms:W3CDTF">2015-12-21T15:48:00Z</dcterms:modified>
</cp:coreProperties>
</file>