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210131">
      <w:r>
        <w:t>Petition of Metropolitan</w:t>
      </w:r>
      <w:r w:rsidR="00484519">
        <w:t xml:space="preserve"> </w:t>
      </w:r>
      <w:r>
        <w:t xml:space="preserve">Edison </w:t>
      </w:r>
      <w:proofErr w:type="gramStart"/>
      <w:r>
        <w:t>Company,</w:t>
      </w:r>
      <w:r>
        <w:tab/>
      </w:r>
      <w:r w:rsidR="00484519">
        <w:tab/>
      </w:r>
      <w:r w:rsidR="00A33DC1">
        <w:t>:</w:t>
      </w:r>
      <w:proofErr w:type="gramEnd"/>
    </w:p>
    <w:p w:rsidR="00484519" w:rsidRDefault="00210131">
      <w:r>
        <w:t>Pennsylvania Electric Company, Pennsylvania</w:t>
      </w:r>
      <w:r w:rsidR="00A33DC1">
        <w:tab/>
        <w:t>:</w:t>
      </w:r>
      <w:r w:rsidR="00A33DC1">
        <w:tab/>
      </w:r>
      <w:r w:rsidR="00E40996">
        <w:t>M-2015-2514767</w:t>
      </w:r>
    </w:p>
    <w:p w:rsidR="00210131" w:rsidRDefault="00210131">
      <w:r>
        <w:t>Power Company and West Penn Power Company</w:t>
      </w:r>
      <w:r>
        <w:tab/>
      </w:r>
      <w:r w:rsidR="006A2304">
        <w:t>:</w:t>
      </w:r>
      <w:r>
        <w:tab/>
      </w:r>
      <w:r w:rsidR="00E40996">
        <w:t>M-2015-2514768</w:t>
      </w:r>
    </w:p>
    <w:p w:rsidR="00E40996" w:rsidRDefault="00210131">
      <w:r>
        <w:t xml:space="preserve">For </w:t>
      </w:r>
      <w:r w:rsidR="00E40996">
        <w:t>Approval of their Act 129 Phase III Energy</w:t>
      </w:r>
      <w:r w:rsidR="00E40996">
        <w:tab/>
        <w:t>:</w:t>
      </w:r>
      <w:r w:rsidR="00E40996">
        <w:tab/>
        <w:t>M-2015-2514769</w:t>
      </w:r>
    </w:p>
    <w:p w:rsidR="00484519" w:rsidRDefault="00E40996">
      <w:r>
        <w:t>Efficiency and Conservation Plan</w:t>
      </w:r>
      <w:r>
        <w:tab/>
      </w:r>
      <w:r w:rsidR="00484519">
        <w:t xml:space="preserve"> </w:t>
      </w:r>
      <w:r w:rsidR="00484519">
        <w:tab/>
      </w:r>
      <w:r w:rsidR="00484519">
        <w:tab/>
        <w:t>:</w:t>
      </w:r>
      <w:r w:rsidR="00484519">
        <w:tab/>
      </w:r>
      <w:r>
        <w:t>M-2015-2514772</w:t>
      </w:r>
    </w:p>
    <w:p w:rsidR="007F6D56" w:rsidRDefault="007F6D56"/>
    <w:p w:rsidR="00E22703" w:rsidRDefault="00E22703"/>
    <w:p w:rsidR="00717AAE" w:rsidRPr="00E22703" w:rsidRDefault="00717AAE"/>
    <w:p w:rsidR="00922597" w:rsidRDefault="00E21F02" w:rsidP="00922597">
      <w:pPr>
        <w:tabs>
          <w:tab w:val="center" w:pos="4680"/>
        </w:tabs>
        <w:suppressAutoHyphens/>
        <w:jc w:val="center"/>
        <w:rPr>
          <w:b/>
          <w:spacing w:val="-3"/>
          <w:u w:val="single"/>
        </w:rPr>
      </w:pPr>
      <w:r>
        <w:rPr>
          <w:b/>
          <w:spacing w:val="-3"/>
          <w:u w:val="single"/>
        </w:rPr>
        <w:t>PREHEARING CONFERENCE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17AAE" w:rsidRDefault="00717AAE" w:rsidP="00922597">
      <w:pPr>
        <w:tabs>
          <w:tab w:val="center" w:pos="4680"/>
        </w:tabs>
        <w:suppressAutoHyphens/>
        <w:jc w:val="center"/>
        <w:rPr>
          <w:b/>
          <w:spacing w:val="-3"/>
          <w:u w:val="single"/>
        </w:rPr>
      </w:pPr>
    </w:p>
    <w:p w:rsidR="00C46201" w:rsidRDefault="00B84CEF">
      <w:pPr>
        <w:spacing w:line="360" w:lineRule="auto"/>
        <w:ind w:firstLine="1440"/>
        <w:rPr>
          <w:szCs w:val="26"/>
        </w:rPr>
      </w:pPr>
      <w:r>
        <w:t xml:space="preserve">On June 19, 2015, the Commission entered an Implementation Order regarding the </w:t>
      </w:r>
      <w:r w:rsidR="008A5470">
        <w:rPr>
          <w:i/>
        </w:rPr>
        <w:t>Energy Efficiency and Conservation Program</w:t>
      </w:r>
      <w:r w:rsidR="008A5470">
        <w:t xml:space="preserve"> at Docket Nos. </w:t>
      </w:r>
      <w:proofErr w:type="gramStart"/>
      <w:r w:rsidR="008A5470">
        <w:t>M-201</w:t>
      </w:r>
      <w:r>
        <w:t>4</w:t>
      </w:r>
      <w:r w:rsidR="008A5470">
        <w:t>-2</w:t>
      </w:r>
      <w:r>
        <w:t>424864</w:t>
      </w:r>
      <w:r w:rsidR="008A5470">
        <w:t>.</w:t>
      </w:r>
      <w:proofErr w:type="gramEnd"/>
      <w:r w:rsidR="008A5470">
        <w:t xml:space="preserve">  </w:t>
      </w:r>
      <w:r>
        <w:rPr>
          <w:szCs w:val="26"/>
        </w:rPr>
        <w:t xml:space="preserve">With this Implementation Order, the Commission tentatively adopted additional incremental reductions in electric consumption and peak demand for the period of June 1, 2016 through May 31, 2021.  </w:t>
      </w:r>
    </w:p>
    <w:p w:rsidR="00B84CEF" w:rsidRDefault="00B84CEF">
      <w:pPr>
        <w:spacing w:line="360" w:lineRule="auto"/>
        <w:ind w:firstLine="1440"/>
        <w:rPr>
          <w:szCs w:val="26"/>
        </w:rPr>
      </w:pPr>
    </w:p>
    <w:p w:rsidR="00B84CEF" w:rsidRDefault="00B84CEF">
      <w:pPr>
        <w:spacing w:line="360" w:lineRule="auto"/>
        <w:ind w:firstLine="1440"/>
        <w:rPr>
          <w:szCs w:val="26"/>
        </w:rPr>
      </w:pPr>
      <w:r>
        <w:rPr>
          <w:szCs w:val="26"/>
        </w:rPr>
        <w:t xml:space="preserve">Specifically, the Commission held: </w:t>
      </w:r>
    </w:p>
    <w:p w:rsidR="00B84CEF" w:rsidRDefault="00B84CEF" w:rsidP="00C51027">
      <w:pPr>
        <w:pStyle w:val="p3"/>
        <w:widowControl/>
        <w:tabs>
          <w:tab w:val="clear" w:pos="204"/>
          <w:tab w:val="left" w:pos="720"/>
        </w:tabs>
        <w:ind w:left="720" w:right="720"/>
        <w:rPr>
          <w:sz w:val="24"/>
          <w:szCs w:val="26"/>
        </w:rPr>
      </w:pPr>
      <w:r w:rsidRPr="00C51027">
        <w:rPr>
          <w:sz w:val="24"/>
          <w:szCs w:val="26"/>
        </w:rPr>
        <w:t xml:space="preserve">The Act requires EDCs to file a new EE&amp;C Plan with the Commission every five years or as otherwise required by the Commission.  Such new plans must set forth the manner in which the EDC will meet the required reductions in consumption under subsections (c) and (d) of the Act.  </w:t>
      </w:r>
      <w:r w:rsidRPr="00C51027">
        <w:rPr>
          <w:i/>
          <w:sz w:val="24"/>
          <w:szCs w:val="26"/>
        </w:rPr>
        <w:t>See</w:t>
      </w:r>
      <w:r w:rsidRPr="00C51027">
        <w:rPr>
          <w:sz w:val="24"/>
          <w:szCs w:val="26"/>
        </w:rPr>
        <w:t xml:space="preserve"> 66 Pa. C.S. § 2806.1(b</w:t>
      </w:r>
      <w:proofErr w:type="gramStart"/>
      <w:r w:rsidRPr="00C51027">
        <w:rPr>
          <w:sz w:val="24"/>
          <w:szCs w:val="26"/>
        </w:rPr>
        <w:t>)(</w:t>
      </w:r>
      <w:proofErr w:type="gramEnd"/>
      <w:r w:rsidRPr="00C51027">
        <w:rPr>
          <w:sz w:val="24"/>
          <w:szCs w:val="26"/>
        </w:rPr>
        <w:t>1)(ii).  Therefore, we proposed that the EDCs file new EE&amp;C Plans outlining how they will implement measures/programs necessary to attain the consumption and peak demand reduction targets proposed in our Tentative Implementation Order.  Additionally, we proposed, for the approval of the EDCs’ Phase III EE&amp;C Plans, the same process that was utilized in Phase II.  We expressed a belief that this process balanced the needs of all stakeholders while recognizing the time constraints and resource allocation required in the litigation of the Plans.</w:t>
      </w:r>
    </w:p>
    <w:p w:rsidR="00C51027" w:rsidRDefault="00C51027" w:rsidP="00C51027">
      <w:pPr>
        <w:pStyle w:val="p3"/>
        <w:widowControl/>
        <w:tabs>
          <w:tab w:val="clear" w:pos="204"/>
          <w:tab w:val="left" w:pos="720"/>
        </w:tabs>
        <w:ind w:left="720" w:right="720"/>
        <w:rPr>
          <w:sz w:val="24"/>
          <w:szCs w:val="26"/>
        </w:rPr>
      </w:pPr>
    </w:p>
    <w:p w:rsidR="00C51027" w:rsidRPr="00C51027" w:rsidRDefault="00C51027" w:rsidP="00C51027">
      <w:pPr>
        <w:pStyle w:val="p3"/>
        <w:widowControl/>
        <w:tabs>
          <w:tab w:val="clear" w:pos="204"/>
          <w:tab w:val="left" w:pos="720"/>
        </w:tabs>
        <w:ind w:right="720"/>
        <w:rPr>
          <w:sz w:val="24"/>
          <w:szCs w:val="26"/>
        </w:rPr>
      </w:pPr>
      <w:r>
        <w:rPr>
          <w:sz w:val="24"/>
          <w:szCs w:val="26"/>
          <w:u w:val="single"/>
        </w:rPr>
        <w:t>Id.</w:t>
      </w:r>
      <w:r>
        <w:rPr>
          <w:sz w:val="24"/>
          <w:szCs w:val="26"/>
        </w:rPr>
        <w:t xml:space="preserve"> at 89-90.</w:t>
      </w:r>
    </w:p>
    <w:p w:rsidR="00B84CEF" w:rsidRDefault="00B84CEF">
      <w:pPr>
        <w:spacing w:line="360" w:lineRule="auto"/>
        <w:ind w:firstLine="1440"/>
      </w:pPr>
    </w:p>
    <w:p w:rsidR="00B86712" w:rsidRDefault="00210131" w:rsidP="00C46201">
      <w:pPr>
        <w:spacing w:line="360" w:lineRule="auto"/>
        <w:ind w:firstLine="1440"/>
      </w:pPr>
      <w:r>
        <w:t xml:space="preserve">Metropolitan Edison Company (Met-Ed), Pennsylvania Electric Company (Penelec), Pennsylvania Power Company (Penn Power), and West Penn Power Company (West Penn) </w:t>
      </w:r>
      <w:r w:rsidR="00915756">
        <w:t xml:space="preserve">jointly </w:t>
      </w:r>
      <w:r>
        <w:t xml:space="preserve">filed a </w:t>
      </w:r>
      <w:r w:rsidR="000E0BB3">
        <w:t>Joint Petition for</w:t>
      </w:r>
      <w:r>
        <w:t xml:space="preserve"> </w:t>
      </w:r>
      <w:r w:rsidR="00C51027">
        <w:t xml:space="preserve">Consolidation </w:t>
      </w:r>
      <w:r w:rsidR="000E0BB3">
        <w:t xml:space="preserve">of Proceedings </w:t>
      </w:r>
      <w:r w:rsidR="00C51027">
        <w:t xml:space="preserve">and </w:t>
      </w:r>
      <w:r w:rsidR="000E0BB3">
        <w:t xml:space="preserve">Approval of </w:t>
      </w:r>
      <w:r w:rsidR="00C51027">
        <w:t>Energy Efficiency and Conservation Plan</w:t>
      </w:r>
      <w:r w:rsidR="000E0BB3">
        <w:t>s Phase III</w:t>
      </w:r>
      <w:r w:rsidR="00C51027">
        <w:t xml:space="preserve"> on November 23, 2015.    </w:t>
      </w:r>
      <w:r w:rsidR="00C46201">
        <w:t xml:space="preserve">The </w:t>
      </w:r>
      <w:r w:rsidR="000E0BB3">
        <w:t>Joint Petition</w:t>
      </w:r>
      <w:r w:rsidR="00C46201">
        <w:t xml:space="preserve"> </w:t>
      </w:r>
      <w:r w:rsidR="00EE2FC8">
        <w:t>w</w:t>
      </w:r>
      <w:r w:rsidR="000E0BB3">
        <w:t>as</w:t>
      </w:r>
      <w:r w:rsidR="00EE2FC8">
        <w:t xml:space="preserve"> assigned four separate docket numbers by the Secretary’s Bureau as follows:</w:t>
      </w:r>
      <w:r w:rsidR="00DC14A6">
        <w:t xml:space="preserve"> 1) </w:t>
      </w:r>
      <w:r w:rsidR="00C51027">
        <w:t>M-2015-</w:t>
      </w:r>
      <w:r w:rsidR="00C51027">
        <w:lastRenderedPageBreak/>
        <w:t>2514767</w:t>
      </w:r>
      <w:r w:rsidR="00DC14A6">
        <w:t xml:space="preserve"> (Met-Ed); 2) </w:t>
      </w:r>
      <w:r w:rsidR="00C51027">
        <w:t>M-2015-2514768</w:t>
      </w:r>
      <w:r w:rsidR="00DC14A6">
        <w:t xml:space="preserve"> (Penelec); 3) </w:t>
      </w:r>
      <w:r w:rsidR="00C51027">
        <w:t>M-2015-2514769</w:t>
      </w:r>
      <w:r w:rsidR="00DC14A6">
        <w:t xml:space="preserve"> (Penn Power); and 4) </w:t>
      </w:r>
      <w:r w:rsidR="00C51027">
        <w:t>M-2015-2514772</w:t>
      </w:r>
      <w:r w:rsidR="00DC14A6">
        <w:t xml:space="preserve"> (West Penn).  </w:t>
      </w:r>
    </w:p>
    <w:p w:rsidR="007F6D56" w:rsidRDefault="007F6D56" w:rsidP="00C46201">
      <w:pPr>
        <w:spacing w:line="360" w:lineRule="auto"/>
        <w:ind w:firstLine="1440"/>
      </w:pPr>
    </w:p>
    <w:p w:rsidR="00B86712" w:rsidRDefault="00B86712" w:rsidP="00C46201">
      <w:pPr>
        <w:spacing w:line="360" w:lineRule="auto"/>
        <w:ind w:firstLine="1440"/>
      </w:pPr>
      <w:r>
        <w:t>A proposed certified record date in these proceedings is depicted in the following table.</w:t>
      </w:r>
    </w:p>
    <w:p w:rsidR="00B86712" w:rsidRDefault="00B86712" w:rsidP="00B86712">
      <w:pPr>
        <w:rPr>
          <w:rFonts w:asciiTheme="minorHAnsi" w:eastAsiaTheme="minorEastAsia" w:hAnsiTheme="minorHAnsi" w:cstheme="minorBidi"/>
          <w:color w:val="1F497D" w:themeColor="dark2"/>
        </w:rPr>
      </w:pPr>
    </w:p>
    <w:tbl>
      <w:tblPr>
        <w:tblStyle w:val="TableGrid"/>
        <w:tblW w:w="4897" w:type="pct"/>
        <w:tblInd w:w="0" w:type="dxa"/>
        <w:tblLook w:val="04A0" w:firstRow="1" w:lastRow="0" w:firstColumn="1" w:lastColumn="0" w:noHBand="0" w:noVBand="1"/>
      </w:tblPr>
      <w:tblGrid>
        <w:gridCol w:w="1420"/>
        <w:gridCol w:w="1272"/>
        <w:gridCol w:w="1287"/>
        <w:gridCol w:w="1457"/>
        <w:gridCol w:w="1306"/>
        <w:gridCol w:w="2637"/>
      </w:tblGrid>
      <w:tr w:rsidR="007F6D56" w:rsidTr="007F6D56">
        <w:tc>
          <w:tcPr>
            <w:tcW w:w="757" w:type="pct"/>
            <w:tcBorders>
              <w:top w:val="single" w:sz="4" w:space="0" w:color="auto"/>
              <w:left w:val="single" w:sz="4" w:space="0" w:color="auto"/>
              <w:bottom w:val="single" w:sz="4" w:space="0" w:color="auto"/>
              <w:right w:val="single" w:sz="4" w:space="0" w:color="auto"/>
            </w:tcBorders>
            <w:hideMark/>
          </w:tcPr>
          <w:p w:rsidR="007F6D56" w:rsidRDefault="007F6D56" w:rsidP="00A81E56">
            <w:pPr>
              <w:rPr>
                <w:b/>
              </w:rPr>
            </w:pPr>
            <w:r>
              <w:rPr>
                <w:b/>
              </w:rPr>
              <w:t>Company</w:t>
            </w:r>
          </w:p>
        </w:tc>
        <w:tc>
          <w:tcPr>
            <w:tcW w:w="678" w:type="pct"/>
            <w:tcBorders>
              <w:top w:val="single" w:sz="4" w:space="0" w:color="auto"/>
              <w:left w:val="single" w:sz="4" w:space="0" w:color="auto"/>
              <w:bottom w:val="single" w:sz="4" w:space="0" w:color="auto"/>
              <w:right w:val="single" w:sz="4" w:space="0" w:color="auto"/>
            </w:tcBorders>
            <w:hideMark/>
          </w:tcPr>
          <w:p w:rsidR="007F6D56" w:rsidRDefault="007F6D56" w:rsidP="00A81E56">
            <w:pPr>
              <w:rPr>
                <w:b/>
              </w:rPr>
            </w:pPr>
            <w:r>
              <w:rPr>
                <w:b/>
              </w:rPr>
              <w:t>Docket No.</w:t>
            </w:r>
          </w:p>
        </w:tc>
        <w:tc>
          <w:tcPr>
            <w:tcW w:w="686" w:type="pct"/>
            <w:tcBorders>
              <w:top w:val="single" w:sz="4" w:space="0" w:color="auto"/>
              <w:left w:val="single" w:sz="4" w:space="0" w:color="auto"/>
              <w:bottom w:val="single" w:sz="4" w:space="0" w:color="auto"/>
              <w:right w:val="single" w:sz="4" w:space="0" w:color="auto"/>
            </w:tcBorders>
            <w:hideMark/>
          </w:tcPr>
          <w:p w:rsidR="007F6D56" w:rsidRDefault="007F6D56" w:rsidP="00A81E56">
            <w:pPr>
              <w:rPr>
                <w:b/>
              </w:rPr>
            </w:pPr>
            <w:r>
              <w:rPr>
                <w:b/>
              </w:rPr>
              <w:t>Filed</w:t>
            </w:r>
          </w:p>
        </w:tc>
        <w:tc>
          <w:tcPr>
            <w:tcW w:w="777" w:type="pct"/>
            <w:tcBorders>
              <w:top w:val="single" w:sz="4" w:space="0" w:color="auto"/>
              <w:left w:val="single" w:sz="4" w:space="0" w:color="auto"/>
              <w:bottom w:val="single" w:sz="4" w:space="0" w:color="auto"/>
              <w:right w:val="single" w:sz="4" w:space="0" w:color="auto"/>
            </w:tcBorders>
            <w:hideMark/>
          </w:tcPr>
          <w:p w:rsidR="007F6D56" w:rsidRDefault="007F6D56" w:rsidP="00A81E56">
            <w:pPr>
              <w:rPr>
                <w:b/>
              </w:rPr>
            </w:pPr>
            <w:r>
              <w:rPr>
                <w:b/>
              </w:rPr>
              <w:t xml:space="preserve">Proposed certification date </w:t>
            </w:r>
          </w:p>
        </w:tc>
        <w:tc>
          <w:tcPr>
            <w:tcW w:w="696" w:type="pct"/>
            <w:tcBorders>
              <w:top w:val="single" w:sz="4" w:space="0" w:color="auto"/>
              <w:left w:val="single" w:sz="4" w:space="0" w:color="auto"/>
              <w:bottom w:val="single" w:sz="4" w:space="0" w:color="auto"/>
              <w:right w:val="single" w:sz="4" w:space="0" w:color="auto"/>
            </w:tcBorders>
            <w:hideMark/>
          </w:tcPr>
          <w:p w:rsidR="007F6D56" w:rsidRDefault="007F6D56" w:rsidP="00A81E56">
            <w:pPr>
              <w:rPr>
                <w:b/>
              </w:rPr>
            </w:pPr>
            <w:r>
              <w:rPr>
                <w:b/>
              </w:rPr>
              <w:t>120-day Deadline</w:t>
            </w:r>
          </w:p>
        </w:tc>
        <w:tc>
          <w:tcPr>
            <w:tcW w:w="1407" w:type="pct"/>
            <w:tcBorders>
              <w:top w:val="single" w:sz="4" w:space="0" w:color="auto"/>
              <w:left w:val="single" w:sz="4" w:space="0" w:color="auto"/>
              <w:bottom w:val="single" w:sz="4" w:space="0" w:color="auto"/>
              <w:right w:val="single" w:sz="4" w:space="0" w:color="auto"/>
            </w:tcBorders>
            <w:hideMark/>
          </w:tcPr>
          <w:p w:rsidR="007F6D56" w:rsidRDefault="007F6D56" w:rsidP="00A81E56">
            <w:pPr>
              <w:rPr>
                <w:b/>
              </w:rPr>
            </w:pPr>
            <w:r>
              <w:rPr>
                <w:b/>
              </w:rPr>
              <w:t xml:space="preserve">Last Public Meeting Date Prior to 120-day deadline </w:t>
            </w:r>
          </w:p>
        </w:tc>
      </w:tr>
      <w:tr w:rsidR="007F6D56" w:rsidTr="007F6D56">
        <w:tc>
          <w:tcPr>
            <w:tcW w:w="757" w:type="pct"/>
            <w:tcBorders>
              <w:top w:val="single" w:sz="4" w:space="0" w:color="auto"/>
              <w:left w:val="single" w:sz="4" w:space="0" w:color="auto"/>
              <w:bottom w:val="single" w:sz="4" w:space="0" w:color="auto"/>
              <w:right w:val="single" w:sz="4" w:space="0" w:color="auto"/>
            </w:tcBorders>
            <w:hideMark/>
          </w:tcPr>
          <w:p w:rsidR="007F6D56" w:rsidRDefault="007F6D56" w:rsidP="00A81E56">
            <w:r>
              <w:t>Met. Ed.</w:t>
            </w:r>
          </w:p>
        </w:tc>
        <w:tc>
          <w:tcPr>
            <w:tcW w:w="678" w:type="pct"/>
            <w:tcBorders>
              <w:top w:val="single" w:sz="4" w:space="0" w:color="auto"/>
              <w:left w:val="single" w:sz="4" w:space="0" w:color="auto"/>
              <w:bottom w:val="single" w:sz="4" w:space="0" w:color="auto"/>
              <w:right w:val="single" w:sz="4" w:space="0" w:color="auto"/>
            </w:tcBorders>
            <w:hideMark/>
          </w:tcPr>
          <w:p w:rsidR="007F6D56" w:rsidRDefault="007F6D56" w:rsidP="00A81E56">
            <w:r>
              <w:t>M-2015-2514767</w:t>
            </w:r>
          </w:p>
        </w:tc>
        <w:tc>
          <w:tcPr>
            <w:tcW w:w="686" w:type="pct"/>
            <w:tcBorders>
              <w:top w:val="single" w:sz="4" w:space="0" w:color="auto"/>
              <w:left w:val="single" w:sz="4" w:space="0" w:color="auto"/>
              <w:bottom w:val="single" w:sz="4" w:space="0" w:color="auto"/>
              <w:right w:val="single" w:sz="4" w:space="0" w:color="auto"/>
            </w:tcBorders>
            <w:hideMark/>
          </w:tcPr>
          <w:p w:rsidR="007F6D56" w:rsidRDefault="007F6D56" w:rsidP="00A81E56">
            <w:r>
              <w:t>11/23/15</w:t>
            </w:r>
          </w:p>
        </w:tc>
        <w:tc>
          <w:tcPr>
            <w:tcW w:w="777" w:type="pct"/>
            <w:tcBorders>
              <w:top w:val="single" w:sz="4" w:space="0" w:color="auto"/>
              <w:left w:val="single" w:sz="4" w:space="0" w:color="auto"/>
              <w:bottom w:val="single" w:sz="4" w:space="0" w:color="auto"/>
              <w:right w:val="single" w:sz="4" w:space="0" w:color="auto"/>
            </w:tcBorders>
            <w:hideMark/>
          </w:tcPr>
          <w:p w:rsidR="007F6D56" w:rsidRDefault="007F6D56" w:rsidP="00A81E56">
            <w:r>
              <w:t>2/12/16</w:t>
            </w:r>
          </w:p>
        </w:tc>
        <w:tc>
          <w:tcPr>
            <w:tcW w:w="696" w:type="pct"/>
            <w:tcBorders>
              <w:top w:val="single" w:sz="4" w:space="0" w:color="auto"/>
              <w:left w:val="single" w:sz="4" w:space="0" w:color="auto"/>
              <w:bottom w:val="single" w:sz="4" w:space="0" w:color="auto"/>
              <w:right w:val="single" w:sz="4" w:space="0" w:color="auto"/>
            </w:tcBorders>
            <w:hideMark/>
          </w:tcPr>
          <w:p w:rsidR="007F6D56" w:rsidRDefault="007F6D56" w:rsidP="00A81E56">
            <w:r>
              <w:t>3/22/16</w:t>
            </w:r>
          </w:p>
        </w:tc>
        <w:tc>
          <w:tcPr>
            <w:tcW w:w="1407" w:type="pct"/>
            <w:tcBorders>
              <w:top w:val="single" w:sz="4" w:space="0" w:color="auto"/>
              <w:left w:val="single" w:sz="4" w:space="0" w:color="auto"/>
              <w:bottom w:val="single" w:sz="4" w:space="0" w:color="auto"/>
              <w:right w:val="single" w:sz="4" w:space="0" w:color="auto"/>
            </w:tcBorders>
            <w:hideMark/>
          </w:tcPr>
          <w:p w:rsidR="007F6D56" w:rsidRDefault="007F6D56" w:rsidP="00A81E56">
            <w:r>
              <w:t>3/10/16</w:t>
            </w:r>
          </w:p>
        </w:tc>
      </w:tr>
      <w:tr w:rsidR="007F6D56" w:rsidTr="007F6D56">
        <w:tc>
          <w:tcPr>
            <w:tcW w:w="757" w:type="pct"/>
            <w:tcBorders>
              <w:top w:val="single" w:sz="4" w:space="0" w:color="auto"/>
              <w:left w:val="single" w:sz="4" w:space="0" w:color="auto"/>
              <w:bottom w:val="single" w:sz="4" w:space="0" w:color="auto"/>
              <w:right w:val="single" w:sz="4" w:space="0" w:color="auto"/>
            </w:tcBorders>
            <w:hideMark/>
          </w:tcPr>
          <w:p w:rsidR="007F6D56" w:rsidRDefault="007F6D56" w:rsidP="00A81E56">
            <w:r>
              <w:t>Penelec</w:t>
            </w:r>
          </w:p>
        </w:tc>
        <w:tc>
          <w:tcPr>
            <w:tcW w:w="678" w:type="pct"/>
            <w:tcBorders>
              <w:top w:val="single" w:sz="4" w:space="0" w:color="auto"/>
              <w:left w:val="single" w:sz="4" w:space="0" w:color="auto"/>
              <w:bottom w:val="single" w:sz="4" w:space="0" w:color="auto"/>
              <w:right w:val="single" w:sz="4" w:space="0" w:color="auto"/>
            </w:tcBorders>
            <w:hideMark/>
          </w:tcPr>
          <w:p w:rsidR="007F6D56" w:rsidRDefault="007F6D56" w:rsidP="00A81E56">
            <w:r>
              <w:t>M-2015-2514768</w:t>
            </w:r>
          </w:p>
        </w:tc>
        <w:tc>
          <w:tcPr>
            <w:tcW w:w="686" w:type="pct"/>
            <w:tcBorders>
              <w:top w:val="single" w:sz="4" w:space="0" w:color="auto"/>
              <w:left w:val="single" w:sz="4" w:space="0" w:color="auto"/>
              <w:bottom w:val="single" w:sz="4" w:space="0" w:color="auto"/>
              <w:right w:val="single" w:sz="4" w:space="0" w:color="auto"/>
            </w:tcBorders>
            <w:hideMark/>
          </w:tcPr>
          <w:p w:rsidR="007F6D56" w:rsidRDefault="007F6D56" w:rsidP="00A81E56">
            <w:r>
              <w:t>11/23/15</w:t>
            </w:r>
          </w:p>
        </w:tc>
        <w:tc>
          <w:tcPr>
            <w:tcW w:w="777" w:type="pct"/>
            <w:tcBorders>
              <w:top w:val="single" w:sz="4" w:space="0" w:color="auto"/>
              <w:left w:val="single" w:sz="4" w:space="0" w:color="auto"/>
              <w:bottom w:val="single" w:sz="4" w:space="0" w:color="auto"/>
              <w:right w:val="single" w:sz="4" w:space="0" w:color="auto"/>
            </w:tcBorders>
            <w:hideMark/>
          </w:tcPr>
          <w:p w:rsidR="007F6D56" w:rsidRDefault="007F6D56" w:rsidP="00A81E56">
            <w:r>
              <w:t>2/12/16</w:t>
            </w:r>
          </w:p>
        </w:tc>
        <w:tc>
          <w:tcPr>
            <w:tcW w:w="696" w:type="pct"/>
            <w:tcBorders>
              <w:top w:val="single" w:sz="4" w:space="0" w:color="auto"/>
              <w:left w:val="single" w:sz="4" w:space="0" w:color="auto"/>
              <w:bottom w:val="single" w:sz="4" w:space="0" w:color="auto"/>
              <w:right w:val="single" w:sz="4" w:space="0" w:color="auto"/>
            </w:tcBorders>
            <w:hideMark/>
          </w:tcPr>
          <w:p w:rsidR="007F6D56" w:rsidRDefault="007F6D56" w:rsidP="00A81E56">
            <w:r>
              <w:t>3/22/16</w:t>
            </w:r>
          </w:p>
        </w:tc>
        <w:tc>
          <w:tcPr>
            <w:tcW w:w="1407" w:type="pct"/>
            <w:tcBorders>
              <w:top w:val="single" w:sz="4" w:space="0" w:color="auto"/>
              <w:left w:val="single" w:sz="4" w:space="0" w:color="auto"/>
              <w:bottom w:val="single" w:sz="4" w:space="0" w:color="auto"/>
              <w:right w:val="single" w:sz="4" w:space="0" w:color="auto"/>
            </w:tcBorders>
            <w:hideMark/>
          </w:tcPr>
          <w:p w:rsidR="007F6D56" w:rsidRDefault="007F6D56" w:rsidP="00A81E56">
            <w:r>
              <w:t>3/10/16</w:t>
            </w:r>
          </w:p>
        </w:tc>
      </w:tr>
      <w:tr w:rsidR="007F6D56" w:rsidTr="007F6D56">
        <w:tc>
          <w:tcPr>
            <w:tcW w:w="757" w:type="pct"/>
            <w:tcBorders>
              <w:top w:val="single" w:sz="4" w:space="0" w:color="auto"/>
              <w:left w:val="single" w:sz="4" w:space="0" w:color="auto"/>
              <w:bottom w:val="single" w:sz="4" w:space="0" w:color="auto"/>
              <w:right w:val="single" w:sz="4" w:space="0" w:color="auto"/>
            </w:tcBorders>
            <w:hideMark/>
          </w:tcPr>
          <w:p w:rsidR="007F6D56" w:rsidRDefault="007F6D56" w:rsidP="00A81E56">
            <w:r>
              <w:t>Penn Power</w:t>
            </w:r>
          </w:p>
        </w:tc>
        <w:tc>
          <w:tcPr>
            <w:tcW w:w="678" w:type="pct"/>
            <w:tcBorders>
              <w:top w:val="single" w:sz="4" w:space="0" w:color="auto"/>
              <w:left w:val="single" w:sz="4" w:space="0" w:color="auto"/>
              <w:bottom w:val="single" w:sz="4" w:space="0" w:color="auto"/>
              <w:right w:val="single" w:sz="4" w:space="0" w:color="auto"/>
            </w:tcBorders>
            <w:hideMark/>
          </w:tcPr>
          <w:p w:rsidR="007F6D56" w:rsidRDefault="007F6D56" w:rsidP="00A81E56">
            <w:r>
              <w:t>M-2015-2514769</w:t>
            </w:r>
          </w:p>
        </w:tc>
        <w:tc>
          <w:tcPr>
            <w:tcW w:w="686" w:type="pct"/>
            <w:tcBorders>
              <w:top w:val="single" w:sz="4" w:space="0" w:color="auto"/>
              <w:left w:val="single" w:sz="4" w:space="0" w:color="auto"/>
              <w:bottom w:val="single" w:sz="4" w:space="0" w:color="auto"/>
              <w:right w:val="single" w:sz="4" w:space="0" w:color="auto"/>
            </w:tcBorders>
            <w:hideMark/>
          </w:tcPr>
          <w:p w:rsidR="007F6D56" w:rsidRDefault="007F6D56" w:rsidP="00A81E56">
            <w:r>
              <w:t>11/23/15</w:t>
            </w:r>
          </w:p>
        </w:tc>
        <w:tc>
          <w:tcPr>
            <w:tcW w:w="777" w:type="pct"/>
            <w:tcBorders>
              <w:top w:val="single" w:sz="4" w:space="0" w:color="auto"/>
              <w:left w:val="single" w:sz="4" w:space="0" w:color="auto"/>
              <w:bottom w:val="single" w:sz="4" w:space="0" w:color="auto"/>
              <w:right w:val="single" w:sz="4" w:space="0" w:color="auto"/>
            </w:tcBorders>
            <w:hideMark/>
          </w:tcPr>
          <w:p w:rsidR="007F6D56" w:rsidRDefault="007F6D56" w:rsidP="00A81E56">
            <w:r>
              <w:t>2/12/16</w:t>
            </w:r>
          </w:p>
        </w:tc>
        <w:tc>
          <w:tcPr>
            <w:tcW w:w="696" w:type="pct"/>
            <w:tcBorders>
              <w:top w:val="single" w:sz="4" w:space="0" w:color="auto"/>
              <w:left w:val="single" w:sz="4" w:space="0" w:color="auto"/>
              <w:bottom w:val="single" w:sz="4" w:space="0" w:color="auto"/>
              <w:right w:val="single" w:sz="4" w:space="0" w:color="auto"/>
            </w:tcBorders>
            <w:hideMark/>
          </w:tcPr>
          <w:p w:rsidR="007F6D56" w:rsidRDefault="007F6D56" w:rsidP="00A81E56">
            <w:r>
              <w:t>3/22/16</w:t>
            </w:r>
          </w:p>
        </w:tc>
        <w:tc>
          <w:tcPr>
            <w:tcW w:w="1407" w:type="pct"/>
            <w:tcBorders>
              <w:top w:val="single" w:sz="4" w:space="0" w:color="auto"/>
              <w:left w:val="single" w:sz="4" w:space="0" w:color="auto"/>
              <w:bottom w:val="single" w:sz="4" w:space="0" w:color="auto"/>
              <w:right w:val="single" w:sz="4" w:space="0" w:color="auto"/>
            </w:tcBorders>
            <w:hideMark/>
          </w:tcPr>
          <w:p w:rsidR="007F6D56" w:rsidRDefault="007F6D56" w:rsidP="00A81E56">
            <w:r>
              <w:t>3/10/16</w:t>
            </w:r>
          </w:p>
        </w:tc>
      </w:tr>
      <w:tr w:rsidR="007F6D56" w:rsidTr="007F6D56">
        <w:tc>
          <w:tcPr>
            <w:tcW w:w="757" w:type="pct"/>
            <w:tcBorders>
              <w:top w:val="single" w:sz="4" w:space="0" w:color="auto"/>
              <w:left w:val="single" w:sz="4" w:space="0" w:color="auto"/>
              <w:bottom w:val="single" w:sz="4" w:space="0" w:color="auto"/>
              <w:right w:val="single" w:sz="4" w:space="0" w:color="auto"/>
            </w:tcBorders>
            <w:hideMark/>
          </w:tcPr>
          <w:p w:rsidR="007F6D56" w:rsidRDefault="007F6D56" w:rsidP="00A81E56">
            <w:r>
              <w:t>West Penn</w:t>
            </w:r>
          </w:p>
        </w:tc>
        <w:tc>
          <w:tcPr>
            <w:tcW w:w="678" w:type="pct"/>
            <w:tcBorders>
              <w:top w:val="single" w:sz="4" w:space="0" w:color="auto"/>
              <w:left w:val="single" w:sz="4" w:space="0" w:color="auto"/>
              <w:bottom w:val="single" w:sz="4" w:space="0" w:color="auto"/>
              <w:right w:val="single" w:sz="4" w:space="0" w:color="auto"/>
            </w:tcBorders>
            <w:hideMark/>
          </w:tcPr>
          <w:p w:rsidR="007F6D56" w:rsidRDefault="007F6D56" w:rsidP="00A81E56">
            <w:r>
              <w:t>M-2015-2514772</w:t>
            </w:r>
          </w:p>
        </w:tc>
        <w:tc>
          <w:tcPr>
            <w:tcW w:w="686" w:type="pct"/>
            <w:tcBorders>
              <w:top w:val="single" w:sz="4" w:space="0" w:color="auto"/>
              <w:left w:val="single" w:sz="4" w:space="0" w:color="auto"/>
              <w:bottom w:val="single" w:sz="4" w:space="0" w:color="auto"/>
              <w:right w:val="single" w:sz="4" w:space="0" w:color="auto"/>
            </w:tcBorders>
            <w:hideMark/>
          </w:tcPr>
          <w:p w:rsidR="007F6D56" w:rsidRDefault="007F6D56" w:rsidP="00A81E56">
            <w:r>
              <w:t>11/23/15</w:t>
            </w:r>
          </w:p>
        </w:tc>
        <w:tc>
          <w:tcPr>
            <w:tcW w:w="777" w:type="pct"/>
            <w:tcBorders>
              <w:top w:val="single" w:sz="4" w:space="0" w:color="auto"/>
              <w:left w:val="single" w:sz="4" w:space="0" w:color="auto"/>
              <w:bottom w:val="single" w:sz="4" w:space="0" w:color="auto"/>
              <w:right w:val="single" w:sz="4" w:space="0" w:color="auto"/>
            </w:tcBorders>
            <w:hideMark/>
          </w:tcPr>
          <w:p w:rsidR="007F6D56" w:rsidRDefault="007F6D56" w:rsidP="00A81E56">
            <w:r>
              <w:t>2/12/16</w:t>
            </w:r>
          </w:p>
        </w:tc>
        <w:tc>
          <w:tcPr>
            <w:tcW w:w="696" w:type="pct"/>
            <w:tcBorders>
              <w:top w:val="single" w:sz="4" w:space="0" w:color="auto"/>
              <w:left w:val="single" w:sz="4" w:space="0" w:color="auto"/>
              <w:bottom w:val="single" w:sz="4" w:space="0" w:color="auto"/>
              <w:right w:val="single" w:sz="4" w:space="0" w:color="auto"/>
            </w:tcBorders>
            <w:hideMark/>
          </w:tcPr>
          <w:p w:rsidR="007F6D56" w:rsidRDefault="007F6D56" w:rsidP="00A81E56">
            <w:r>
              <w:t>3/22/16</w:t>
            </w:r>
          </w:p>
        </w:tc>
        <w:tc>
          <w:tcPr>
            <w:tcW w:w="1407" w:type="pct"/>
            <w:tcBorders>
              <w:top w:val="single" w:sz="4" w:space="0" w:color="auto"/>
              <w:left w:val="single" w:sz="4" w:space="0" w:color="auto"/>
              <w:bottom w:val="single" w:sz="4" w:space="0" w:color="auto"/>
              <w:right w:val="single" w:sz="4" w:space="0" w:color="auto"/>
            </w:tcBorders>
            <w:hideMark/>
          </w:tcPr>
          <w:p w:rsidR="007F6D56" w:rsidRDefault="007F6D56" w:rsidP="00A81E56">
            <w:r>
              <w:t>3/10/16</w:t>
            </w:r>
          </w:p>
        </w:tc>
      </w:tr>
    </w:tbl>
    <w:p w:rsidR="00B86712" w:rsidRDefault="00B86712" w:rsidP="00B86712">
      <w:pPr>
        <w:rPr>
          <w:rFonts w:asciiTheme="minorHAnsi" w:eastAsiaTheme="minorEastAsia" w:hAnsiTheme="minorHAnsi" w:cstheme="minorBidi"/>
          <w:color w:val="1F497D" w:themeColor="dark2"/>
          <w:sz w:val="22"/>
          <w:szCs w:val="22"/>
        </w:rPr>
      </w:pPr>
    </w:p>
    <w:p w:rsidR="00B86712" w:rsidRDefault="00B86712" w:rsidP="00C46201">
      <w:pPr>
        <w:spacing w:line="360" w:lineRule="auto"/>
        <w:ind w:firstLine="1440"/>
      </w:pPr>
    </w:p>
    <w:p w:rsidR="006D33B5" w:rsidRDefault="005F5D43">
      <w:pPr>
        <w:spacing w:line="360" w:lineRule="auto"/>
        <w:ind w:firstLine="1440"/>
      </w:pPr>
      <w:r>
        <w:t xml:space="preserve">In accordance with the provisions of 66 Pa. C.S. A. §333 and 52 </w:t>
      </w:r>
      <w:proofErr w:type="spellStart"/>
      <w:r>
        <w:t>Pa.Code</w:t>
      </w:r>
      <w:proofErr w:type="spellEnd"/>
      <w:r>
        <w:t xml:space="preserve"> §§ 5.221 – 5.223, an Initial Prehearing Conference has been scheduled in the above-captioned case.</w:t>
      </w:r>
      <w:r w:rsidR="000B2613">
        <w:t xml:space="preserve">  Although the Notice dated December 8, 2015, indicates ALJ Steven Haas and ALJ Elizabeth Barnes are the presiding officers, ALJ Haas is no longer assigned to this matter.</w:t>
      </w:r>
    </w:p>
    <w:p w:rsidR="005F5D43" w:rsidRDefault="005F5D43">
      <w:pPr>
        <w:spacing w:line="360" w:lineRule="auto"/>
        <w:ind w:firstLine="1440"/>
      </w:pPr>
    </w:p>
    <w:p w:rsidR="00717AAE" w:rsidRDefault="00717AAE" w:rsidP="00717AAE">
      <w:pPr>
        <w:spacing w:line="360" w:lineRule="auto"/>
        <w:jc w:val="center"/>
      </w:pPr>
      <w:r>
        <w:t>ORDER</w:t>
      </w:r>
    </w:p>
    <w:p w:rsidR="00717AAE" w:rsidRDefault="00717AAE" w:rsidP="00717AAE">
      <w:pPr>
        <w:spacing w:line="360" w:lineRule="auto"/>
        <w:jc w:val="center"/>
      </w:pPr>
    </w:p>
    <w:p w:rsidR="00717AAE" w:rsidRDefault="00717AAE" w:rsidP="00717AAE">
      <w:pPr>
        <w:spacing w:line="360" w:lineRule="auto"/>
        <w:jc w:val="center"/>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13770C" w:rsidRDefault="0013770C" w:rsidP="0013770C">
      <w:pPr>
        <w:spacing w:line="360" w:lineRule="auto"/>
        <w:ind w:firstLine="1440"/>
        <w:rPr>
          <w:bCs/>
        </w:rPr>
      </w:pPr>
    </w:p>
    <w:p w:rsidR="00B428B5" w:rsidRPr="00D7167B" w:rsidRDefault="00B428B5" w:rsidP="00717AAE">
      <w:pPr>
        <w:numPr>
          <w:ilvl w:val="0"/>
          <w:numId w:val="4"/>
        </w:numPr>
        <w:spacing w:line="360" w:lineRule="auto"/>
        <w:ind w:left="0" w:firstLine="1440"/>
        <w:rPr>
          <w:bCs/>
        </w:rPr>
      </w:pPr>
      <w:r>
        <w:t xml:space="preserve">That </w:t>
      </w:r>
      <w:r w:rsidR="005F5D43">
        <w:t>an Initial Prehearing Conference shall be held at 1:</w:t>
      </w:r>
      <w:r w:rsidR="0052450A">
        <w:t>3</w:t>
      </w:r>
      <w:r w:rsidR="005F5D43">
        <w:t xml:space="preserve">0 </w:t>
      </w:r>
      <w:r w:rsidR="0052450A">
        <w:t>p</w:t>
      </w:r>
      <w:r w:rsidR="005F5D43">
        <w:t xml:space="preserve">.m. on </w:t>
      </w:r>
      <w:r w:rsidR="0052450A">
        <w:t>Tuesday, January 5, 2016</w:t>
      </w:r>
      <w:r w:rsidR="005F5D43">
        <w:t>, in Hearing Room #</w:t>
      </w:r>
      <w:r w:rsidR="0052450A">
        <w:t>3</w:t>
      </w:r>
      <w:r w:rsidR="005F5D43">
        <w:t>, Commonwealth Keystone Building, 400 North Street, Harrisburg, PA.</w:t>
      </w:r>
    </w:p>
    <w:p w:rsidR="00D7167B" w:rsidRPr="005F5D43" w:rsidRDefault="00D7167B" w:rsidP="00717AAE">
      <w:pPr>
        <w:spacing w:line="360" w:lineRule="auto"/>
        <w:rPr>
          <w:bCs/>
        </w:rPr>
      </w:pPr>
    </w:p>
    <w:p w:rsidR="005F5D43" w:rsidRPr="00D7167B" w:rsidRDefault="005F5D43" w:rsidP="00717AAE">
      <w:pPr>
        <w:numPr>
          <w:ilvl w:val="0"/>
          <w:numId w:val="4"/>
        </w:numPr>
        <w:spacing w:line="360" w:lineRule="auto"/>
        <w:ind w:left="0" w:firstLine="1440"/>
        <w:rPr>
          <w:bCs/>
        </w:rPr>
      </w:pPr>
      <w:r>
        <w:lastRenderedPageBreak/>
        <w:t>That absent a continuance for good cause, all parties must be prepared to participate in the scheduled prehearing conference.  Failure of a party to participate in the conference, after being served with notice of the time thereof, without good ca</w:t>
      </w:r>
      <w:r w:rsidR="007F6D56">
        <w:t>u</w:t>
      </w:r>
      <w:r>
        <w:t>se shown, shall constitute a waiver of all objections to the agreements reached and an order or ruling with respect thereto.</w:t>
      </w:r>
    </w:p>
    <w:p w:rsidR="00D7167B" w:rsidRPr="005F5D43" w:rsidRDefault="00D7167B" w:rsidP="00717AAE">
      <w:pPr>
        <w:spacing w:line="360" w:lineRule="auto"/>
        <w:rPr>
          <w:bCs/>
        </w:rPr>
      </w:pPr>
    </w:p>
    <w:p w:rsidR="005F5D43" w:rsidRPr="00D7167B" w:rsidRDefault="005F5D43" w:rsidP="00717AAE">
      <w:pPr>
        <w:numPr>
          <w:ilvl w:val="0"/>
          <w:numId w:val="4"/>
        </w:numPr>
        <w:spacing w:line="360" w:lineRule="auto"/>
        <w:ind w:left="0" w:firstLine="1440"/>
        <w:rPr>
          <w:bCs/>
        </w:rPr>
      </w:pPr>
      <w:r>
        <w:t>That all parties shall review</w:t>
      </w:r>
      <w:r w:rsidR="006F0FF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717AAE">
      <w:pPr>
        <w:spacing w:line="360" w:lineRule="auto"/>
        <w:rPr>
          <w:bCs/>
        </w:rPr>
      </w:pPr>
    </w:p>
    <w:p w:rsidR="00A07A16" w:rsidRPr="00A07A16" w:rsidRDefault="006F0FF6" w:rsidP="00717AAE">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 xml:space="preserve">pro </w:t>
      </w:r>
      <w:proofErr w:type="spellStart"/>
      <w:r w:rsidRPr="006F0FF6">
        <w:rPr>
          <w:i/>
        </w:rPr>
        <w:t>hac</w:t>
      </w:r>
      <w:proofErr w:type="spellEnd"/>
      <w:r w:rsidRPr="006F0FF6">
        <w:rPr>
          <w:i/>
        </w:rPr>
        <w:t xml:space="preserve"> vice</w:t>
      </w:r>
      <w:r>
        <w:t>, represent you.  However, if you are a partnership, corporation, trust, association, or governmental agency or subdivision, you must have an attorney licensed to practice l</w:t>
      </w:r>
      <w:r w:rsidR="00A07A16">
        <w:t xml:space="preserve">aw in the Commonwealth of Pennsylvania, or admitted </w:t>
      </w:r>
      <w:r w:rsidR="00A07A16" w:rsidRPr="00D7167B">
        <w:rPr>
          <w:i/>
        </w:rPr>
        <w:t xml:space="preserve">pro </w:t>
      </w:r>
      <w:proofErr w:type="spellStart"/>
      <w:r w:rsidR="00A07A16" w:rsidRPr="00D7167B">
        <w:rPr>
          <w:i/>
        </w:rPr>
        <w:t>hac</w:t>
      </w:r>
      <w:proofErr w:type="spellEnd"/>
      <w:r w:rsidR="00A07A16" w:rsidRPr="00D7167B">
        <w:rPr>
          <w:i/>
        </w:rPr>
        <w:t xml:space="preserve"> vice</w:t>
      </w:r>
      <w:r w:rsidR="00A07A16">
        <w:t xml:space="preserve">, represent you in this proceeding.  Unless you are an attorney, you may not represent someone else.  Attorneys shall insure that their appearance is entered in accordance with the provisions of 52 </w:t>
      </w:r>
      <w:proofErr w:type="spellStart"/>
      <w:r w:rsidR="00A07A16">
        <w:t>Pa.Code</w:t>
      </w:r>
      <w:proofErr w:type="spellEnd"/>
      <w:r w:rsidR="00A07A16">
        <w:t xml:space="preserve"> § 1.24(b).</w:t>
      </w:r>
    </w:p>
    <w:p w:rsidR="00D7167B" w:rsidRPr="00D7167B" w:rsidRDefault="00D7167B" w:rsidP="00717AAE">
      <w:pPr>
        <w:spacing w:line="360" w:lineRule="auto"/>
        <w:rPr>
          <w:bCs/>
        </w:rPr>
      </w:pPr>
    </w:p>
    <w:p w:rsidR="00A74AF3" w:rsidRPr="00A74AF3" w:rsidRDefault="00A07A16" w:rsidP="00717AAE">
      <w:pPr>
        <w:numPr>
          <w:ilvl w:val="0"/>
          <w:numId w:val="4"/>
        </w:numPr>
        <w:spacing w:line="360" w:lineRule="auto"/>
        <w:ind w:left="0" w:firstLine="1440"/>
        <w:rPr>
          <w:bCs/>
        </w:rPr>
      </w:pPr>
      <w:r>
        <w:t xml:space="preserve">That you must serve </w:t>
      </w:r>
      <w:r w:rsidR="00EB55EF">
        <w:t>me</w:t>
      </w:r>
      <w:r>
        <w:t xml:space="preserve"> directly with a copy of any document</w:t>
      </w:r>
      <w:r w:rsidR="00A74AF3">
        <w:t xml:space="preserve"> that you file in this proceeding.  If you send </w:t>
      </w:r>
      <w:r w:rsidR="00EB55EF">
        <w:t>me</w:t>
      </w:r>
      <w:r w:rsidR="00A74AF3">
        <w:t xml:space="preserve"> any correspondence or document, you must send a copy to all other parties.  For your convenience, a copy of the Commission’s current service list of the parties to this proceeding is enclosed with this Order. </w:t>
      </w:r>
    </w:p>
    <w:p w:rsidR="00D7167B" w:rsidRPr="00D7167B" w:rsidRDefault="00D7167B" w:rsidP="00717AAE">
      <w:pPr>
        <w:spacing w:line="360" w:lineRule="auto"/>
        <w:rPr>
          <w:bCs/>
        </w:rPr>
      </w:pPr>
    </w:p>
    <w:p w:rsidR="00A74AF3" w:rsidRPr="00A74AF3" w:rsidRDefault="00A74AF3" w:rsidP="00717AAE">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8866F6" w:rsidRDefault="008866F6" w:rsidP="00717AAE">
      <w:pPr>
        <w:spacing w:line="360" w:lineRule="auto"/>
      </w:pPr>
    </w:p>
    <w:p w:rsidR="00A74AF3" w:rsidRDefault="00A74AF3" w:rsidP="00A74AF3">
      <w:pPr>
        <w:ind w:left="720" w:right="720"/>
      </w:pPr>
      <w:r>
        <w:lastRenderedPageBreak/>
        <w:t>(d)</w:t>
      </w:r>
      <w:r>
        <w:tab/>
        <w:t>Parties and counsel will be expected to attend the conference fully prepared for useful discussion of all problems involved in the proceeding, both procedural and substantive, and fully authorized to make commitments with respect thereto.</w:t>
      </w: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DC14A6" w:rsidRDefault="00DC14A6" w:rsidP="005575D1">
      <w:pPr>
        <w:pStyle w:val="ListParagraph"/>
        <w:numPr>
          <w:ilvl w:val="0"/>
          <w:numId w:val="7"/>
        </w:numPr>
        <w:spacing w:line="360" w:lineRule="auto"/>
      </w:pPr>
      <w:r>
        <w:t>Consolidation of the above-referenced docket numbers or coordination of the hearings</w:t>
      </w:r>
      <w:r w:rsidR="00B86712">
        <w:t xml:space="preserve"> such that records including any revised plans may be certified to the Commission on or before February 12, 2015</w:t>
      </w:r>
      <w:r>
        <w:t>.</w:t>
      </w:r>
    </w:p>
    <w:p w:rsidR="00DC14A6" w:rsidRDefault="00DC14A6" w:rsidP="00DC14A6">
      <w:pPr>
        <w:pStyle w:val="ListParagraph"/>
        <w:spacing w:line="360" w:lineRule="auto"/>
        <w:ind w:left="2160"/>
      </w:pPr>
    </w:p>
    <w:p w:rsidR="00DC14A6" w:rsidRDefault="00C46201" w:rsidP="005575D1">
      <w:pPr>
        <w:pStyle w:val="ListParagraph"/>
        <w:numPr>
          <w:ilvl w:val="0"/>
          <w:numId w:val="7"/>
        </w:numPr>
        <w:spacing w:line="360" w:lineRule="auto"/>
      </w:pPr>
      <w:r>
        <w:t>Coordination of th</w:t>
      </w:r>
      <w:r w:rsidR="00DC14A6">
        <w:t>e</w:t>
      </w:r>
      <w:r>
        <w:t>s</w:t>
      </w:r>
      <w:r w:rsidR="00DC14A6">
        <w:t>e</w:t>
      </w:r>
      <w:r>
        <w:t xml:space="preserve"> case</w:t>
      </w:r>
      <w:r w:rsidR="00DC14A6">
        <w:t>s</w:t>
      </w:r>
      <w:r w:rsidR="0052450A">
        <w:t>’ hearing date(s)</w:t>
      </w:r>
      <w:r>
        <w:t xml:space="preserve"> with</w:t>
      </w:r>
      <w:r w:rsidR="0052450A">
        <w:t xml:space="preserve"> </w:t>
      </w:r>
      <w:r w:rsidR="007F6D56">
        <w:t xml:space="preserve">Duquesne Light’s, PECO Energy Company’s and PPL Electric Utilities </w:t>
      </w:r>
      <w:r w:rsidR="000E0BB3">
        <w:t>Corporation’s evidentiary</w:t>
      </w:r>
      <w:r w:rsidR="0052450A">
        <w:t xml:space="preserve"> hearing dates. </w:t>
      </w:r>
      <w:r>
        <w:t xml:space="preserve"> </w:t>
      </w:r>
    </w:p>
    <w:p w:rsidR="00DC14A6" w:rsidRDefault="00DC14A6" w:rsidP="00DC14A6">
      <w:pPr>
        <w:pStyle w:val="ListParagraph"/>
        <w:spacing w:line="360" w:lineRule="auto"/>
        <w:ind w:left="2160"/>
      </w:pPr>
    </w:p>
    <w:p w:rsidR="006E3B8A" w:rsidRDefault="006E3B8A" w:rsidP="005575D1">
      <w:pPr>
        <w:pStyle w:val="ListParagraph"/>
        <w:numPr>
          <w:ilvl w:val="0"/>
          <w:numId w:val="7"/>
        </w:numPr>
        <w:spacing w:line="360" w:lineRule="auto"/>
      </w:pPr>
      <w:r>
        <w:t>The possibility for settlement of the proceeding, subject to the Commission’s approval.</w:t>
      </w:r>
    </w:p>
    <w:p w:rsidR="00C46201" w:rsidRDefault="00C46201" w:rsidP="00C46201">
      <w:pPr>
        <w:pStyle w:val="ListParagraph"/>
        <w:spacing w:line="360" w:lineRule="auto"/>
        <w:ind w:left="2160"/>
      </w:pPr>
    </w:p>
    <w:p w:rsidR="00666CE7" w:rsidRDefault="006E3B8A" w:rsidP="006E3B8A">
      <w:pPr>
        <w:spacing w:line="360" w:lineRule="auto"/>
        <w:ind w:left="1800"/>
      </w:pPr>
      <w:r>
        <w:t>(</w:t>
      </w:r>
      <w:r w:rsidR="008866F6">
        <w:t>d</w:t>
      </w:r>
      <w:r>
        <w:t>)</w:t>
      </w:r>
      <w:r>
        <w:tab/>
      </w:r>
      <w:r w:rsidR="00B70E1E">
        <w:t>If a hearing is required, a procedural schedule will be discussed including t</w:t>
      </w:r>
      <w:r w:rsidR="00666CE7">
        <w:t xml:space="preserve">he amount of </w:t>
      </w:r>
      <w:r>
        <w:t xml:space="preserve">hearing time </w:t>
      </w:r>
      <w:r w:rsidR="00B70E1E">
        <w:t>necessary</w:t>
      </w:r>
      <w:r>
        <w:t xml:space="preserve"> to dispose of the proceeding</w:t>
      </w:r>
      <w:r w:rsidR="00666CE7">
        <w:t>.</w:t>
      </w:r>
    </w:p>
    <w:p w:rsidR="00C46201" w:rsidRDefault="00C46201" w:rsidP="006E3B8A">
      <w:pPr>
        <w:spacing w:line="360" w:lineRule="auto"/>
        <w:ind w:left="1800"/>
      </w:pPr>
    </w:p>
    <w:p w:rsidR="00666CE7" w:rsidRDefault="00666CE7" w:rsidP="006E3B8A">
      <w:pPr>
        <w:spacing w:line="360" w:lineRule="auto"/>
        <w:ind w:left="1800"/>
      </w:pPr>
      <w:r>
        <w:t>(</w:t>
      </w:r>
      <w:r w:rsidR="008866F6">
        <w:t>e</w:t>
      </w:r>
      <w:r>
        <w:t>)</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rsidR="00C46201" w:rsidRDefault="00C46201" w:rsidP="006E3B8A">
      <w:pPr>
        <w:spacing w:line="360" w:lineRule="auto"/>
        <w:ind w:left="1800"/>
      </w:pPr>
    </w:p>
    <w:p w:rsidR="00666CE7" w:rsidRDefault="00666CE7" w:rsidP="006E3B8A">
      <w:pPr>
        <w:spacing w:line="360" w:lineRule="auto"/>
        <w:ind w:left="1800"/>
      </w:pPr>
      <w:r>
        <w:t>(</w:t>
      </w:r>
      <w:r w:rsidR="008866F6">
        <w:t>f</w:t>
      </w:r>
      <w:r>
        <w:t>)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w:t>
      </w:r>
      <w:proofErr w:type="spellStart"/>
      <w:r>
        <w:t>i</w:t>
      </w:r>
      <w:proofErr w:type="spellEnd"/>
      <w:r>
        <w:t>)</w:t>
      </w:r>
      <w:r>
        <w:tab/>
        <w:t>The exchange and acceptance of exhibits proposed to be offered into evidence.</w:t>
      </w:r>
    </w:p>
    <w:p w:rsidR="00666CE7" w:rsidRDefault="00666CE7" w:rsidP="006E3B8A">
      <w:pPr>
        <w:spacing w:line="360" w:lineRule="auto"/>
        <w:ind w:left="1800"/>
      </w:pPr>
      <w:r>
        <w:lastRenderedPageBreak/>
        <w:tab/>
        <w:t>(ii)</w:t>
      </w:r>
      <w:r>
        <w:tab/>
        <w:t>The obtaining of admissions as to, or stipulations of, facts not remaining in dispute, or the authenticity of documents which might properly shorten the hearing.</w:t>
      </w:r>
    </w:p>
    <w:p w:rsidR="00FF4F5F" w:rsidRDefault="00666CE7" w:rsidP="006E3B8A">
      <w:pPr>
        <w:spacing w:line="360" w:lineRule="auto"/>
        <w:ind w:left="1800"/>
      </w:pPr>
      <w:r>
        <w:tab/>
        <w:t xml:space="preserve">(iii) </w:t>
      </w:r>
      <w:r>
        <w:tab/>
        <w:t>The</w:t>
      </w:r>
      <w:r w:rsidR="00FF4F5F">
        <w:t xml:space="preserve"> </w:t>
      </w:r>
      <w:r w:rsidR="00D55377">
        <w:t>limitation of the number of witnesses</w:t>
      </w:r>
      <w:r w:rsidR="00FF4F5F">
        <w:t>.</w:t>
      </w:r>
    </w:p>
    <w:p w:rsidR="00FF4F5F" w:rsidRDefault="00FF4F5F" w:rsidP="006E3B8A">
      <w:pPr>
        <w:spacing w:line="360" w:lineRule="auto"/>
        <w:ind w:left="1800"/>
      </w:pPr>
      <w:r>
        <w:tab/>
      </w:r>
      <w:proofErr w:type="gramStart"/>
      <w:r>
        <w:t>(iv)</w:t>
      </w:r>
      <w:r>
        <w:tab/>
      </w:r>
      <w:r w:rsidR="00915756">
        <w:t>Di</w:t>
      </w:r>
      <w:r>
        <w:t>scovery</w:t>
      </w:r>
      <w:proofErr w:type="gramEnd"/>
      <w:r>
        <w:t xml:space="preserve"> </w:t>
      </w:r>
      <w:r w:rsidR="00915756">
        <w:t>rules modifications</w:t>
      </w:r>
      <w:r>
        <w:t>.</w:t>
      </w:r>
    </w:p>
    <w:p w:rsidR="007F6D56" w:rsidRDefault="007F6D56" w:rsidP="006E3B8A">
      <w:pPr>
        <w:spacing w:line="360" w:lineRule="auto"/>
        <w:ind w:left="1800"/>
      </w:pPr>
      <w:r>
        <w:tab/>
        <w:t>(v)</w:t>
      </w:r>
      <w:r>
        <w:tab/>
        <w:t>A briefing outline</w:t>
      </w:r>
      <w:r w:rsidR="000E0BB3">
        <w:t>.</w:t>
      </w:r>
    </w:p>
    <w:p w:rsidR="00476814" w:rsidRDefault="005575D1" w:rsidP="00717AAE">
      <w:pPr>
        <w:spacing w:line="360" w:lineRule="auto"/>
      </w:pPr>
      <w:r>
        <w:tab/>
      </w:r>
    </w:p>
    <w:p w:rsidR="00A74AF3" w:rsidRPr="00333A41" w:rsidRDefault="00FF4F5F" w:rsidP="00717AAE">
      <w:pPr>
        <w:numPr>
          <w:ilvl w:val="0"/>
          <w:numId w:val="4"/>
        </w:numPr>
        <w:spacing w:line="360" w:lineRule="auto"/>
        <w:ind w:left="0" w:firstLine="1440"/>
        <w:rPr>
          <w:bCs/>
        </w:rPr>
      </w:pPr>
      <w:r>
        <w:rPr>
          <w:bCs/>
        </w:rPr>
        <w:t xml:space="preserve">That on or before </w:t>
      </w:r>
      <w:r w:rsidR="0052450A">
        <w:rPr>
          <w:b/>
          <w:bCs/>
        </w:rPr>
        <w:t xml:space="preserve">Wednesday, December 30, 2015, </w:t>
      </w:r>
      <w:r>
        <w:rPr>
          <w:bCs/>
        </w:rPr>
        <w:t xml:space="preserve">the parties shall </w:t>
      </w:r>
      <w:r w:rsidR="000B2613">
        <w:rPr>
          <w:bCs/>
        </w:rPr>
        <w:t>serve Administrative Law Judge Elizabeth Barnes</w:t>
      </w:r>
      <w:r w:rsidRPr="00333A41">
        <w:rPr>
          <w:bCs/>
        </w:rPr>
        <w:t xml:space="preserve"> and each other with a Prehearing Conference Memorandum addressing each of the subjects included in Paragraph 7 above.</w:t>
      </w:r>
    </w:p>
    <w:p w:rsidR="00FF4F5F" w:rsidRDefault="00FF4F5F" w:rsidP="00717AAE">
      <w:pPr>
        <w:spacing w:line="360" w:lineRule="auto"/>
      </w:pPr>
    </w:p>
    <w:p w:rsidR="00FF4F5F" w:rsidRDefault="00FF4F5F" w:rsidP="00717AAE">
      <w:pPr>
        <w:spacing w:line="360" w:lineRule="auto"/>
      </w:pPr>
    </w:p>
    <w:p w:rsidR="006D33B5" w:rsidRPr="00717AAE" w:rsidRDefault="006D33B5">
      <w:pPr>
        <w:rPr>
          <w:u w:val="single"/>
        </w:rPr>
      </w:pPr>
      <w:r w:rsidRPr="00E22703">
        <w:t xml:space="preserve">Date: </w:t>
      </w:r>
      <w:r w:rsidR="0052450A">
        <w:rPr>
          <w:u w:val="single"/>
        </w:rPr>
        <w:t xml:space="preserve">December </w:t>
      </w:r>
      <w:r w:rsidR="000B2613">
        <w:rPr>
          <w:u w:val="single"/>
        </w:rPr>
        <w:t>18</w:t>
      </w:r>
      <w:r w:rsidR="0052450A">
        <w:rPr>
          <w:u w:val="single"/>
        </w:rPr>
        <w:t>, 2015</w:t>
      </w:r>
      <w:r w:rsidR="00774975">
        <w:tab/>
      </w:r>
      <w:r w:rsidR="00002E79">
        <w:tab/>
      </w:r>
      <w:r w:rsidR="00717AAE">
        <w:tab/>
      </w:r>
      <w:r w:rsidR="00717AAE">
        <w:tab/>
      </w:r>
      <w:r w:rsidR="00717AAE">
        <w:rPr>
          <w:u w:val="single"/>
        </w:rPr>
        <w:tab/>
      </w:r>
      <w:r w:rsidR="00717AAE">
        <w:rPr>
          <w:u w:val="single"/>
        </w:rPr>
        <w:tab/>
      </w:r>
      <w:r w:rsidR="00717AAE">
        <w:rPr>
          <w:u w:val="single"/>
        </w:rPr>
        <w:tab/>
      </w:r>
      <w:r w:rsidR="00717AAE">
        <w:rPr>
          <w:u w:val="single"/>
        </w:rPr>
        <w:tab/>
      </w:r>
      <w:r w:rsidR="00717AAE">
        <w:rPr>
          <w:u w:val="single"/>
        </w:rPr>
        <w:tab/>
      </w:r>
      <w:r w:rsidR="00717AAE">
        <w:rPr>
          <w:u w:val="single"/>
        </w:rPr>
        <w:tab/>
      </w:r>
    </w:p>
    <w:p w:rsidR="006D33B5" w:rsidRPr="00E22703" w:rsidRDefault="006D33B5">
      <w:r w:rsidRPr="00E22703">
        <w:tab/>
      </w:r>
      <w:r w:rsidRPr="00E22703">
        <w:tab/>
      </w:r>
      <w:r w:rsidRPr="00E22703">
        <w:tab/>
      </w:r>
      <w:r w:rsidRPr="00E22703">
        <w:tab/>
      </w:r>
      <w:r w:rsidRPr="00E22703">
        <w:tab/>
      </w:r>
      <w:r w:rsidR="00717AAE">
        <w:tab/>
      </w:r>
      <w:r w:rsidR="00717AAE">
        <w:tab/>
      </w:r>
      <w:r w:rsidR="0056328E">
        <w:t>Elizabeth H. Barnes</w:t>
      </w:r>
    </w:p>
    <w:p w:rsidR="00573F1F" w:rsidRDefault="006D33B5" w:rsidP="0052450A">
      <w:pPr>
        <w:sectPr w:rsidR="00573F1F" w:rsidSect="00573F1F">
          <w:footerReference w:type="default" r:id="rId9"/>
          <w:pgSz w:w="12240" w:h="15840"/>
          <w:pgMar w:top="1440" w:right="1440" w:bottom="1440" w:left="1440" w:header="720" w:footer="720" w:gutter="0"/>
          <w:cols w:space="720"/>
          <w:titlePg/>
          <w:docGrid w:linePitch="360"/>
        </w:sectPr>
      </w:pPr>
      <w:r w:rsidRPr="00E22703">
        <w:tab/>
      </w:r>
      <w:r w:rsidRPr="00E22703">
        <w:tab/>
      </w:r>
      <w:r w:rsidRPr="00E22703">
        <w:tab/>
      </w:r>
      <w:r w:rsidRPr="00E22703">
        <w:tab/>
      </w:r>
      <w:r w:rsidRPr="00E22703">
        <w:tab/>
      </w:r>
      <w:r w:rsidR="00717AAE">
        <w:tab/>
      </w:r>
      <w:r w:rsidR="00717AAE">
        <w:tab/>
      </w:r>
      <w:r w:rsidRPr="00E22703">
        <w:t>Administrative Law Judge</w:t>
      </w:r>
    </w:p>
    <w:p w:rsidR="00573F1F" w:rsidRPr="00BC2FA0" w:rsidRDefault="00573F1F" w:rsidP="00573F1F">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lastRenderedPageBreak/>
        <w:t xml:space="preserve">PETITION OF: </w:t>
      </w:r>
    </w:p>
    <w:p w:rsidR="00573F1F" w:rsidRPr="00BC2FA0" w:rsidRDefault="00573F1F" w:rsidP="00573F1F">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M-2015-2514767 – METROPOLITAN EDISON COMPANY</w:t>
      </w:r>
    </w:p>
    <w:p w:rsidR="00573F1F" w:rsidRPr="00BC2FA0" w:rsidRDefault="00573F1F" w:rsidP="00573F1F">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M-2015-2514768 – PENNSYLVANIA ELECTRIC COMPANY</w:t>
      </w:r>
    </w:p>
    <w:p w:rsidR="00573F1F" w:rsidRPr="00BC2FA0" w:rsidRDefault="00573F1F" w:rsidP="00573F1F">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M-2015-2514769 – PENNSYLVANIA POWER COMPANY</w:t>
      </w:r>
    </w:p>
    <w:p w:rsidR="00573F1F" w:rsidRPr="00BC2FA0" w:rsidRDefault="00573F1F" w:rsidP="00573F1F">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M-2015-2514772 – WEST PENN POWER COMPANY - FOR APPROVAL OF ITS ACT</w:t>
      </w:r>
      <w:proofErr w:type="gramStart"/>
      <w:r w:rsidRPr="00BC2FA0">
        <w:rPr>
          <w:rFonts w:ascii="Microsoft Sans Serif" w:hAnsi="Microsoft Sans Serif" w:cs="Microsoft Sans Serif"/>
          <w:b/>
          <w:u w:val="single"/>
        </w:rPr>
        <w:t>  129</w:t>
      </w:r>
      <w:proofErr w:type="gramEnd"/>
      <w:r w:rsidRPr="00BC2FA0">
        <w:rPr>
          <w:rFonts w:ascii="Microsoft Sans Serif" w:hAnsi="Microsoft Sans Serif" w:cs="Microsoft Sans Serif"/>
          <w:b/>
          <w:u w:val="single"/>
        </w:rPr>
        <w:t xml:space="preserve"> PHASE III ENERGY EFFICIENCY AND CONSERVATION PLAN.</w:t>
      </w:r>
    </w:p>
    <w:p w:rsidR="00573F1F" w:rsidRDefault="00573F1F" w:rsidP="00573F1F">
      <w:pPr>
        <w:rPr>
          <w:rFonts w:ascii="Microsoft Sans Serif"/>
          <w:b/>
          <w:u w:val="single"/>
        </w:rPr>
      </w:pPr>
    </w:p>
    <w:p w:rsidR="00573F1F" w:rsidRDefault="00573F1F" w:rsidP="00573F1F">
      <w:pPr>
        <w:rPr>
          <w:rFonts w:ascii="Microsoft Sans Serif"/>
          <w:b/>
          <w:u w:val="single"/>
        </w:rPr>
      </w:pPr>
    </w:p>
    <w:p w:rsidR="00573F1F" w:rsidRDefault="00573F1F" w:rsidP="00573F1F">
      <w:pPr>
        <w:rPr>
          <w:rFonts w:ascii="Microsoft Sans Serif"/>
          <w:b/>
          <w:u w:val="single"/>
        </w:rPr>
      </w:pPr>
    </w:p>
    <w:p w:rsidR="00573F1F" w:rsidRDefault="00573F1F" w:rsidP="00573F1F">
      <w:pPr>
        <w:rPr>
          <w:rFonts w:ascii="Microsoft Sans Serif"/>
          <w:b/>
          <w:i/>
          <w:u w:val="single"/>
        </w:rPr>
        <w:sectPr w:rsidR="00573F1F" w:rsidSect="00D77AFB">
          <w:footerReference w:type="default" r:id="rId10"/>
          <w:pgSz w:w="12240" w:h="15840"/>
          <w:pgMar w:top="720" w:right="720" w:bottom="720" w:left="720" w:header="720" w:footer="720" w:gutter="0"/>
          <w:cols w:space="720"/>
          <w:docGrid w:linePitch="360"/>
        </w:sectPr>
      </w:pPr>
    </w:p>
    <w:p w:rsidR="00573F1F" w:rsidRPr="00D77AFB" w:rsidRDefault="00573F1F" w:rsidP="00573F1F">
      <w:pPr>
        <w:rPr>
          <w:rFonts w:ascii="Microsoft Sans Serif"/>
          <w:b/>
          <w:i/>
          <w:u w:val="single"/>
        </w:rPr>
      </w:pPr>
      <w:r>
        <w:rPr>
          <w:rFonts w:ascii="Microsoft Sans Serif"/>
          <w:b/>
          <w:i/>
          <w:u w:val="single"/>
        </w:rPr>
        <w:lastRenderedPageBreak/>
        <w:t>Revised 12/18/15</w:t>
      </w:r>
    </w:p>
    <w:p w:rsidR="00573F1F" w:rsidRDefault="00573F1F" w:rsidP="00573F1F">
      <w:pPr>
        <w:rPr>
          <w:rFonts w:ascii="Microsoft Sans Serif"/>
          <w:b/>
          <w:u w:val="single"/>
        </w:rPr>
      </w:pPr>
      <w:r>
        <w:rPr>
          <w:rFonts w:ascii="Microsoft Sans Serif"/>
          <w:b/>
          <w:u w:val="single"/>
        </w:rPr>
        <w:cr/>
      </w:r>
      <w:r>
        <w:rPr>
          <w:rFonts w:ascii="Microsoft Sans Serif"/>
        </w:rPr>
        <w:t>KATHY J KOLICH ESQUIRE</w:t>
      </w:r>
      <w:r>
        <w:rPr>
          <w:rFonts w:ascii="Microsoft Sans Serif"/>
        </w:rPr>
        <w:cr/>
        <w:t>KOLICH &amp; ASSOCIATES LLC</w:t>
      </w:r>
      <w:r>
        <w:rPr>
          <w:rFonts w:ascii="Microsoft Sans Serif"/>
        </w:rPr>
        <w:cr/>
        <w:t>1521 HIGHTOWER DRIVE</w:t>
      </w:r>
      <w:r>
        <w:rPr>
          <w:rFonts w:ascii="Microsoft Sans Serif"/>
        </w:rPr>
        <w:cr/>
        <w:t>UNIONTOWN OH  44685</w:t>
      </w:r>
      <w:r>
        <w:rPr>
          <w:rFonts w:ascii="Microsoft Sans Serif"/>
        </w:rPr>
        <w:cr/>
      </w:r>
      <w:r w:rsidRPr="00106118">
        <w:rPr>
          <w:rFonts w:ascii="Microsoft Sans Serif"/>
          <w:b/>
        </w:rPr>
        <w:t>330-316-2378</w:t>
      </w:r>
      <w:r>
        <w:rPr>
          <w:rFonts w:ascii="Microsoft Sans Serif"/>
        </w:rPr>
        <w:cr/>
      </w:r>
    </w:p>
    <w:p w:rsidR="00573F1F" w:rsidRDefault="00573F1F" w:rsidP="00573F1F">
      <w:pPr>
        <w:rPr>
          <w:rFonts w:ascii="Microsoft Sans Serif"/>
          <w:b/>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r>
      <w:r w:rsidRPr="00106118">
        <w:rPr>
          <w:rFonts w:ascii="Microsoft Sans Serif"/>
          <w:b/>
        </w:rPr>
        <w:t>724-838-6210</w:t>
      </w:r>
      <w:r w:rsidRPr="00106118">
        <w:rPr>
          <w:rFonts w:ascii="Microsoft Sans Serif"/>
          <w:b/>
        </w:rPr>
        <w:cr/>
      </w:r>
    </w:p>
    <w:p w:rsidR="00573F1F" w:rsidRDefault="00573F1F" w:rsidP="00573F1F">
      <w:pPr>
        <w:rPr>
          <w:rFonts w:ascii="Microsoft Sans Serif"/>
        </w:rPr>
      </w:pPr>
      <w:r>
        <w:rPr>
          <w:rFonts w:ascii="Microsoft Sans Serif"/>
        </w:rPr>
        <w:t>CHRISTY M APPLEBY ESQUIRE</w:t>
      </w:r>
    </w:p>
    <w:p w:rsidR="00573F1F" w:rsidRDefault="00573F1F" w:rsidP="00573F1F">
      <w:pPr>
        <w:rPr>
          <w:rFonts w:ascii="Microsoft Sans Serif"/>
        </w:rPr>
      </w:pPr>
      <w:r>
        <w:rPr>
          <w:rFonts w:ascii="Microsoft Sans Serif"/>
        </w:rPr>
        <w:t>DARRYL LAWRENCE ESQUIRE</w:t>
      </w:r>
    </w:p>
    <w:p w:rsidR="00573F1F" w:rsidRDefault="00573F1F" w:rsidP="00573F1F">
      <w:pPr>
        <w:rPr>
          <w:rFonts w:ascii="Microsoft Sans Serif"/>
        </w:rPr>
      </w:pPr>
      <w:r>
        <w:rPr>
          <w:rFonts w:ascii="Microsoft Sans Serif"/>
        </w:rPr>
        <w:t>OFFICE OF CONSUMER ADVOCATE</w:t>
      </w:r>
    </w:p>
    <w:p w:rsidR="00573F1F" w:rsidRDefault="00573F1F" w:rsidP="00573F1F">
      <w:pPr>
        <w:rPr>
          <w:rFonts w:ascii="Microsoft Sans Serif"/>
        </w:rPr>
      </w:pPr>
      <w:r>
        <w:rPr>
          <w:rFonts w:ascii="Microsoft Sans Serif"/>
        </w:rPr>
        <w:t>555 WALNUT STREET</w:t>
      </w:r>
    </w:p>
    <w:p w:rsidR="00573F1F" w:rsidRDefault="00573F1F" w:rsidP="00573F1F">
      <w:pPr>
        <w:rPr>
          <w:rFonts w:ascii="Microsoft Sans Serif"/>
        </w:rPr>
      </w:pPr>
      <w:r>
        <w:rPr>
          <w:rFonts w:ascii="Microsoft Sans Serif"/>
        </w:rPr>
        <w:t>5</w:t>
      </w:r>
      <w:r w:rsidRPr="00687246">
        <w:rPr>
          <w:rFonts w:ascii="Microsoft Sans Serif"/>
          <w:vertAlign w:val="superscript"/>
        </w:rPr>
        <w:t>TH</w:t>
      </w:r>
      <w:r>
        <w:rPr>
          <w:rFonts w:ascii="Microsoft Sans Serif"/>
        </w:rPr>
        <w:t xml:space="preserve"> FLOOR FORUM PLACE</w:t>
      </w:r>
    </w:p>
    <w:p w:rsidR="00573F1F" w:rsidRDefault="00573F1F" w:rsidP="00573F1F">
      <w:pPr>
        <w:rPr>
          <w:rFonts w:ascii="Microsoft Sans Serif"/>
        </w:rPr>
      </w:pPr>
      <w:r>
        <w:rPr>
          <w:rFonts w:ascii="Microsoft Sans Serif"/>
        </w:rPr>
        <w:t>HARRISBURG PA  17101-1932</w:t>
      </w:r>
    </w:p>
    <w:p w:rsidR="00573F1F" w:rsidRDefault="00573F1F" w:rsidP="00573F1F">
      <w:pPr>
        <w:rPr>
          <w:rFonts w:ascii="Microsoft Sans Serif"/>
          <w:b/>
          <w:i/>
          <w:u w:val="single"/>
        </w:rPr>
      </w:pPr>
      <w:r>
        <w:rPr>
          <w:rFonts w:ascii="Microsoft Sans Serif"/>
          <w:b/>
          <w:i/>
          <w:u w:val="single"/>
        </w:rPr>
        <w:t>Accepts e-Service</w:t>
      </w:r>
    </w:p>
    <w:p w:rsidR="00573F1F" w:rsidRPr="00D77AFB" w:rsidRDefault="00573F1F" w:rsidP="00573F1F">
      <w:pPr>
        <w:rPr>
          <w:rFonts w:ascii="Microsoft Sans Serif"/>
          <w:b/>
          <w:i/>
          <w:u w:val="single"/>
        </w:rPr>
      </w:pPr>
    </w:p>
    <w:p w:rsidR="00573F1F" w:rsidRDefault="00573F1F" w:rsidP="00573F1F">
      <w:pPr>
        <w:rPr>
          <w:rFonts w:ascii="Microsoft Sans Serif"/>
        </w:rPr>
      </w:pPr>
      <w:r>
        <w:rPr>
          <w:rFonts w:ascii="Microsoft Sans Serif"/>
        </w:rPr>
        <w:t>OFFICE OF SMALL BUSINESS ADVOCATE</w:t>
      </w:r>
    </w:p>
    <w:p w:rsidR="00573F1F" w:rsidRDefault="00573F1F" w:rsidP="00573F1F">
      <w:pPr>
        <w:rPr>
          <w:rFonts w:ascii="Microsoft Sans Serif"/>
        </w:rPr>
      </w:pPr>
      <w:r>
        <w:rPr>
          <w:rFonts w:ascii="Microsoft Sans Serif"/>
        </w:rPr>
        <w:t>300 NORTH 2</w:t>
      </w:r>
      <w:r w:rsidRPr="00687246">
        <w:rPr>
          <w:rFonts w:ascii="Microsoft Sans Serif"/>
          <w:vertAlign w:val="superscript"/>
        </w:rPr>
        <w:t>ND</w:t>
      </w:r>
      <w:r>
        <w:rPr>
          <w:rFonts w:ascii="Microsoft Sans Serif"/>
        </w:rPr>
        <w:t xml:space="preserve"> STREET SUITE 202</w:t>
      </w:r>
    </w:p>
    <w:p w:rsidR="00573F1F" w:rsidRDefault="00573F1F" w:rsidP="00573F1F">
      <w:pPr>
        <w:rPr>
          <w:rFonts w:ascii="Microsoft Sans Serif"/>
        </w:rPr>
      </w:pPr>
      <w:r>
        <w:rPr>
          <w:rFonts w:ascii="Microsoft Sans Serif"/>
        </w:rPr>
        <w:t>HARRISBURG PA  17101</w:t>
      </w:r>
    </w:p>
    <w:p w:rsidR="00573F1F" w:rsidRDefault="00573F1F" w:rsidP="00573F1F">
      <w:pPr>
        <w:rPr>
          <w:rFonts w:ascii="Microsoft Sans Serif"/>
        </w:rPr>
      </w:pPr>
    </w:p>
    <w:p w:rsidR="00573F1F" w:rsidRDefault="00573F1F" w:rsidP="00573F1F">
      <w:pPr>
        <w:rPr>
          <w:rFonts w:ascii="Microsoft Sans Serif"/>
        </w:rPr>
      </w:pPr>
      <w:r>
        <w:rPr>
          <w:rFonts w:ascii="Microsoft Sans Serif"/>
        </w:rPr>
        <w:t>PA PUBLIC UTILITY COMMISSION</w:t>
      </w:r>
    </w:p>
    <w:p w:rsidR="00573F1F" w:rsidRDefault="00573F1F" w:rsidP="00573F1F">
      <w:pPr>
        <w:rPr>
          <w:rFonts w:ascii="Microsoft Sans Serif"/>
        </w:rPr>
      </w:pPr>
      <w:r>
        <w:rPr>
          <w:rFonts w:ascii="Microsoft Sans Serif"/>
        </w:rPr>
        <w:t>BUREAU OF INVESTIGATION &amp; ENFORCEMENT</w:t>
      </w:r>
    </w:p>
    <w:p w:rsidR="00573F1F" w:rsidRDefault="00573F1F" w:rsidP="00573F1F">
      <w:pPr>
        <w:rPr>
          <w:rFonts w:ascii="Microsoft Sans Serif"/>
        </w:rPr>
      </w:pPr>
      <w:r>
        <w:rPr>
          <w:rFonts w:ascii="Microsoft Sans Serif"/>
        </w:rPr>
        <w:t>PO BOX 3265</w:t>
      </w:r>
    </w:p>
    <w:p w:rsidR="00573F1F" w:rsidRPr="00687246" w:rsidRDefault="00573F1F" w:rsidP="00573F1F">
      <w:pPr>
        <w:rPr>
          <w:rFonts w:ascii="Microsoft Sans Serif"/>
        </w:rPr>
      </w:pPr>
      <w:r>
        <w:rPr>
          <w:rFonts w:ascii="Microsoft Sans Serif"/>
        </w:rPr>
        <w:t>HARRISBURG PA  17105-3265</w:t>
      </w:r>
    </w:p>
    <w:p w:rsidR="00573F1F" w:rsidRDefault="00573F1F" w:rsidP="00573F1F">
      <w:pPr>
        <w:rPr>
          <w:rFonts w:ascii="Microsoft Sans Serif"/>
        </w:rPr>
      </w:pPr>
      <w:r>
        <w:rPr>
          <w:rFonts w:ascii="Microsoft Sans Serif"/>
        </w:rPr>
        <w:cr/>
        <w:t>THOMAS J SNISCAK ESQUIRE</w:t>
      </w:r>
      <w:r>
        <w:rPr>
          <w:rFonts w:ascii="Microsoft Sans Serif"/>
        </w:rPr>
        <w:cr/>
        <w:t>WILLIAM E LEHMAN ESQUIRE</w:t>
      </w:r>
    </w:p>
    <w:p w:rsidR="00573F1F" w:rsidRPr="000A463E" w:rsidRDefault="00573F1F" w:rsidP="00573F1F">
      <w:pPr>
        <w:rPr>
          <w:rFonts w:ascii="Microsoft Sans Serif" w:hAnsi="Microsoft Sans Serif" w:cs="Microsoft Sans Serif"/>
          <w:b/>
          <w:i/>
          <w:u w:val="single"/>
        </w:rPr>
      </w:pPr>
      <w:r>
        <w:rPr>
          <w:rFonts w:ascii="Microsoft Sans Serif"/>
        </w:rPr>
        <w:t>HAWKE MCKEON AND SNISCAK LLP</w:t>
      </w:r>
      <w:r>
        <w:rPr>
          <w:rFonts w:ascii="Microsoft Sans Serif"/>
        </w:rPr>
        <w:cr/>
        <w:t>100 N TENTH STREET</w:t>
      </w:r>
      <w:r>
        <w:rPr>
          <w:rFonts w:ascii="Microsoft Sans Serif"/>
        </w:rPr>
        <w:cr/>
        <w:t>HARRISBURG PA  17101</w:t>
      </w:r>
      <w:r>
        <w:rPr>
          <w:rFonts w:ascii="Microsoft Sans Serif"/>
        </w:rPr>
        <w:cr/>
      </w:r>
      <w:r w:rsidRPr="00106118">
        <w:rPr>
          <w:rFonts w:ascii="Microsoft Sans Serif"/>
          <w:b/>
        </w:rPr>
        <w:t>717-236-1300</w:t>
      </w:r>
      <w:r w:rsidRPr="00106118">
        <w:rPr>
          <w:rFonts w:ascii="Microsoft Sans Serif"/>
          <w:b/>
        </w:rPr>
        <w:cr/>
      </w:r>
      <w:r>
        <w:rPr>
          <w:rFonts w:ascii="Microsoft Sans Serif"/>
          <w:b/>
          <w:i/>
          <w:u w:val="single"/>
        </w:rPr>
        <w:t>Accepts e-Service</w:t>
      </w:r>
    </w:p>
    <w:p w:rsidR="00573F1F" w:rsidRDefault="00573F1F" w:rsidP="00573F1F">
      <w:pPr>
        <w:rPr>
          <w:rFonts w:ascii="Microsoft Sans Serif" w:hAnsi="Microsoft Sans Serif" w:cs="Microsoft Sans Serif"/>
        </w:rPr>
      </w:pPr>
    </w:p>
    <w:p w:rsidR="00005552" w:rsidRDefault="00005552" w:rsidP="00573F1F">
      <w:pPr>
        <w:rPr>
          <w:rFonts w:ascii="Microsoft Sans Serif" w:hAnsi="Microsoft Sans Serif" w:cs="Microsoft Sans Serif"/>
        </w:rPr>
      </w:pPr>
    </w:p>
    <w:p w:rsidR="00005552" w:rsidRDefault="00005552" w:rsidP="00573F1F">
      <w:pPr>
        <w:rPr>
          <w:rFonts w:ascii="Microsoft Sans Serif" w:hAnsi="Microsoft Sans Serif" w:cs="Microsoft Sans Serif"/>
        </w:rPr>
      </w:pPr>
    </w:p>
    <w:p w:rsidR="00005552" w:rsidRDefault="00005552" w:rsidP="00573F1F">
      <w:pPr>
        <w:rPr>
          <w:rFonts w:ascii="Microsoft Sans Serif" w:hAnsi="Microsoft Sans Serif" w:cs="Microsoft Sans Serif"/>
        </w:rPr>
      </w:pPr>
    </w:p>
    <w:p w:rsidR="00573F1F" w:rsidRDefault="00573F1F" w:rsidP="00573F1F">
      <w:pPr>
        <w:rPr>
          <w:rFonts w:ascii="Microsoft Sans Serif" w:hAnsi="Microsoft Sans Serif" w:cs="Microsoft Sans Serif"/>
        </w:rPr>
      </w:pPr>
      <w:r>
        <w:rPr>
          <w:rFonts w:ascii="Microsoft Sans Serif" w:hAnsi="Microsoft Sans Serif" w:cs="Microsoft Sans Serif"/>
        </w:rPr>
        <w:lastRenderedPageBreak/>
        <w:t>PATRICK M CICERO ESQUIRE</w:t>
      </w:r>
    </w:p>
    <w:p w:rsidR="00573F1F" w:rsidRDefault="00573F1F" w:rsidP="00573F1F">
      <w:pPr>
        <w:rPr>
          <w:rFonts w:ascii="Microsoft Sans Serif" w:hAnsi="Microsoft Sans Serif" w:cs="Microsoft Sans Serif"/>
        </w:rPr>
      </w:pPr>
      <w:r>
        <w:rPr>
          <w:rFonts w:ascii="Microsoft Sans Serif" w:hAnsi="Microsoft Sans Serif" w:cs="Microsoft Sans Serif"/>
        </w:rPr>
        <w:t>JOLINE PRICE ESQUIRE</w:t>
      </w:r>
    </w:p>
    <w:p w:rsidR="00573F1F" w:rsidRDefault="00573F1F" w:rsidP="00573F1F">
      <w:pPr>
        <w:rPr>
          <w:rFonts w:ascii="Microsoft Sans Serif" w:hAnsi="Microsoft Sans Serif" w:cs="Microsoft Sans Serif"/>
        </w:rPr>
      </w:pPr>
      <w:r>
        <w:rPr>
          <w:rFonts w:ascii="Microsoft Sans Serif" w:hAnsi="Microsoft Sans Serif" w:cs="Microsoft Sans Serif"/>
        </w:rPr>
        <w:t>ELIZABETH MARX ESQUIRE</w:t>
      </w:r>
    </w:p>
    <w:p w:rsidR="00573F1F" w:rsidRDefault="00573F1F" w:rsidP="00573F1F">
      <w:pPr>
        <w:rPr>
          <w:rFonts w:ascii="Microsoft Sans Serif" w:hAnsi="Microsoft Sans Serif" w:cs="Microsoft Sans Serif"/>
        </w:rPr>
      </w:pPr>
      <w:r>
        <w:rPr>
          <w:rFonts w:ascii="Microsoft Sans Serif" w:hAnsi="Microsoft Sans Serif" w:cs="Microsoft Sans Serif"/>
        </w:rPr>
        <w:t>PA ULITITY LAW ROJECT</w:t>
      </w:r>
    </w:p>
    <w:p w:rsidR="00573F1F" w:rsidRDefault="00573F1F" w:rsidP="00573F1F">
      <w:pPr>
        <w:rPr>
          <w:rFonts w:ascii="Microsoft Sans Serif" w:hAnsi="Microsoft Sans Serif" w:cs="Microsoft Sans Serif"/>
        </w:rPr>
      </w:pPr>
      <w:r>
        <w:rPr>
          <w:rFonts w:ascii="Microsoft Sans Serif" w:hAnsi="Microsoft Sans Serif" w:cs="Microsoft Sans Serif"/>
        </w:rPr>
        <w:t>118 LOCUST STREET</w:t>
      </w:r>
    </w:p>
    <w:p w:rsidR="00573F1F" w:rsidRDefault="00573F1F" w:rsidP="00573F1F">
      <w:pPr>
        <w:rPr>
          <w:rFonts w:ascii="Microsoft Sans Serif" w:hAnsi="Microsoft Sans Serif" w:cs="Microsoft Sans Serif"/>
        </w:rPr>
      </w:pPr>
      <w:r>
        <w:rPr>
          <w:rFonts w:ascii="Microsoft Sans Serif" w:hAnsi="Microsoft Sans Serif" w:cs="Microsoft Sans Serif"/>
        </w:rPr>
        <w:t>HARRISBURG PA  17101</w:t>
      </w:r>
    </w:p>
    <w:p w:rsidR="00573F1F" w:rsidRPr="00D77AFB" w:rsidRDefault="00573F1F" w:rsidP="00573F1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333A41" w:rsidRPr="00E22703" w:rsidRDefault="00333A41" w:rsidP="0052450A">
      <w:pPr>
        <w:rPr>
          <w:u w:val="single"/>
        </w:rPr>
      </w:pPr>
      <w:bookmarkStart w:id="0" w:name="_GoBack"/>
      <w:bookmarkEnd w:id="0"/>
    </w:p>
    <w:sectPr w:rsidR="00333A41" w:rsidRPr="00E22703" w:rsidSect="00573F1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7A" w:rsidRDefault="00827B7A">
      <w:r>
        <w:separator/>
      </w:r>
    </w:p>
  </w:endnote>
  <w:endnote w:type="continuationSeparator" w:id="0">
    <w:p w:rsidR="00827B7A" w:rsidRDefault="0082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96" w:rsidRPr="00717AAE" w:rsidRDefault="00E40996">
    <w:pPr>
      <w:pStyle w:val="Footer"/>
      <w:framePr w:wrap="auto" w:vAnchor="text" w:hAnchor="margin" w:xAlign="center" w:y="1"/>
      <w:rPr>
        <w:rStyle w:val="PageNumber"/>
        <w:sz w:val="20"/>
        <w:szCs w:val="20"/>
      </w:rPr>
    </w:pPr>
    <w:r w:rsidRPr="00717AAE">
      <w:rPr>
        <w:rStyle w:val="PageNumber"/>
        <w:sz w:val="20"/>
        <w:szCs w:val="20"/>
      </w:rPr>
      <w:fldChar w:fldCharType="begin"/>
    </w:r>
    <w:r w:rsidRPr="00717AAE">
      <w:rPr>
        <w:rStyle w:val="PageNumber"/>
        <w:sz w:val="20"/>
        <w:szCs w:val="20"/>
      </w:rPr>
      <w:instrText xml:space="preserve">PAGE  </w:instrText>
    </w:r>
    <w:r w:rsidRPr="00717AAE">
      <w:rPr>
        <w:rStyle w:val="PageNumber"/>
        <w:sz w:val="20"/>
        <w:szCs w:val="20"/>
      </w:rPr>
      <w:fldChar w:fldCharType="separate"/>
    </w:r>
    <w:r w:rsidR="00005552">
      <w:rPr>
        <w:rStyle w:val="PageNumber"/>
        <w:noProof/>
        <w:sz w:val="20"/>
        <w:szCs w:val="20"/>
      </w:rPr>
      <w:t>5</w:t>
    </w:r>
    <w:r w:rsidRPr="00717AAE">
      <w:rPr>
        <w:rStyle w:val="PageNumber"/>
        <w:sz w:val="20"/>
        <w:szCs w:val="20"/>
      </w:rPr>
      <w:fldChar w:fldCharType="end"/>
    </w:r>
  </w:p>
  <w:p w:rsidR="00E40996" w:rsidRPr="003C02CC" w:rsidRDefault="00E40996">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F1F" w:rsidRPr="003C02CC" w:rsidRDefault="00573F1F">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7A" w:rsidRDefault="00827B7A">
      <w:r>
        <w:separator/>
      </w:r>
    </w:p>
  </w:footnote>
  <w:footnote w:type="continuationSeparator" w:id="0">
    <w:p w:rsidR="00827B7A" w:rsidRDefault="00827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77E1E"/>
    <w:multiLevelType w:val="hybridMultilevel"/>
    <w:tmpl w:val="37CE264C"/>
    <w:lvl w:ilvl="0" w:tplc="16B470FE">
      <w:start w:val="1"/>
      <w:numFmt w:val="decimal"/>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1"/>
  </w:num>
  <w:num w:numId="4">
    <w:abstractNumId w:val="6"/>
  </w:num>
  <w:num w:numId="5">
    <w:abstractNumId w:val="2"/>
  </w:num>
  <w:num w:numId="6">
    <w:abstractNumId w:val="7"/>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3E18"/>
    <w:rsid w:val="00005247"/>
    <w:rsid w:val="00005552"/>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2613"/>
    <w:rsid w:val="000B6D6C"/>
    <w:rsid w:val="000C3A73"/>
    <w:rsid w:val="000C5271"/>
    <w:rsid w:val="000C5888"/>
    <w:rsid w:val="000D2CCA"/>
    <w:rsid w:val="000D4032"/>
    <w:rsid w:val="000D67B4"/>
    <w:rsid w:val="000E0BB3"/>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2E9E"/>
    <w:rsid w:val="001E41F1"/>
    <w:rsid w:val="001E755C"/>
    <w:rsid w:val="001F3D60"/>
    <w:rsid w:val="001F59C0"/>
    <w:rsid w:val="002026C5"/>
    <w:rsid w:val="002069A1"/>
    <w:rsid w:val="00210131"/>
    <w:rsid w:val="00212459"/>
    <w:rsid w:val="0022121D"/>
    <w:rsid w:val="00224765"/>
    <w:rsid w:val="00241733"/>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36CA"/>
    <w:rsid w:val="00444026"/>
    <w:rsid w:val="00446AEA"/>
    <w:rsid w:val="004509B5"/>
    <w:rsid w:val="004677A9"/>
    <w:rsid w:val="0046782D"/>
    <w:rsid w:val="00476814"/>
    <w:rsid w:val="0048022D"/>
    <w:rsid w:val="00484519"/>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450A"/>
    <w:rsid w:val="00526B7E"/>
    <w:rsid w:val="00531C6A"/>
    <w:rsid w:val="0053542E"/>
    <w:rsid w:val="00535728"/>
    <w:rsid w:val="00535B47"/>
    <w:rsid w:val="00540D57"/>
    <w:rsid w:val="00541FA5"/>
    <w:rsid w:val="005534AB"/>
    <w:rsid w:val="00555AB2"/>
    <w:rsid w:val="005575D1"/>
    <w:rsid w:val="0056090B"/>
    <w:rsid w:val="00562740"/>
    <w:rsid w:val="0056328E"/>
    <w:rsid w:val="00564A1C"/>
    <w:rsid w:val="00573F1F"/>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17AAE"/>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D56"/>
    <w:rsid w:val="007F6F2B"/>
    <w:rsid w:val="007F7EA4"/>
    <w:rsid w:val="00801014"/>
    <w:rsid w:val="008027C4"/>
    <w:rsid w:val="00802923"/>
    <w:rsid w:val="00817C41"/>
    <w:rsid w:val="00820EA8"/>
    <w:rsid w:val="008253A9"/>
    <w:rsid w:val="00827B7A"/>
    <w:rsid w:val="00830CF6"/>
    <w:rsid w:val="008413F8"/>
    <w:rsid w:val="008438CF"/>
    <w:rsid w:val="00845A5B"/>
    <w:rsid w:val="00854EC8"/>
    <w:rsid w:val="008733C7"/>
    <w:rsid w:val="00874F41"/>
    <w:rsid w:val="0088262B"/>
    <w:rsid w:val="00883E39"/>
    <w:rsid w:val="00886427"/>
    <w:rsid w:val="008866F6"/>
    <w:rsid w:val="008921ED"/>
    <w:rsid w:val="00894A7C"/>
    <w:rsid w:val="008A048B"/>
    <w:rsid w:val="008A28B8"/>
    <w:rsid w:val="008A5470"/>
    <w:rsid w:val="008A7776"/>
    <w:rsid w:val="008C0504"/>
    <w:rsid w:val="008C2266"/>
    <w:rsid w:val="008C53F0"/>
    <w:rsid w:val="008C6629"/>
    <w:rsid w:val="008C6C08"/>
    <w:rsid w:val="008C7929"/>
    <w:rsid w:val="008D015F"/>
    <w:rsid w:val="008D34B8"/>
    <w:rsid w:val="008E6D84"/>
    <w:rsid w:val="008F2A08"/>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49E"/>
    <w:rsid w:val="00A87B3D"/>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4CEF"/>
    <w:rsid w:val="00B85A59"/>
    <w:rsid w:val="00B86712"/>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582A"/>
    <w:rsid w:val="00BF718F"/>
    <w:rsid w:val="00BF7CDA"/>
    <w:rsid w:val="00C0065E"/>
    <w:rsid w:val="00C16397"/>
    <w:rsid w:val="00C201CA"/>
    <w:rsid w:val="00C23D73"/>
    <w:rsid w:val="00C241A1"/>
    <w:rsid w:val="00C27500"/>
    <w:rsid w:val="00C27ADF"/>
    <w:rsid w:val="00C306E8"/>
    <w:rsid w:val="00C35956"/>
    <w:rsid w:val="00C407D6"/>
    <w:rsid w:val="00C46201"/>
    <w:rsid w:val="00C51027"/>
    <w:rsid w:val="00C5657B"/>
    <w:rsid w:val="00C60A73"/>
    <w:rsid w:val="00C6203D"/>
    <w:rsid w:val="00C6299E"/>
    <w:rsid w:val="00C67551"/>
    <w:rsid w:val="00C72120"/>
    <w:rsid w:val="00C77DA0"/>
    <w:rsid w:val="00C843D7"/>
    <w:rsid w:val="00C90325"/>
    <w:rsid w:val="00CA3396"/>
    <w:rsid w:val="00CA6293"/>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A40"/>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14A6"/>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0996"/>
    <w:rsid w:val="00E445D8"/>
    <w:rsid w:val="00E46ACA"/>
    <w:rsid w:val="00E526F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176"/>
    <w:rsid w:val="00EE2FC8"/>
    <w:rsid w:val="00F00D62"/>
    <w:rsid w:val="00F0305C"/>
    <w:rsid w:val="00F1692D"/>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ALTS FOOTNOTE Char,fn Char,Footnote Text Char1 Char,Footnote Text Char Char Char,ALTS FOOTNOTE Char Char Char,fn Char Char Char,Footnote Text Char2 Char Char Char,Footnote Text1 Char"/>
    <w:basedOn w:val="Normal"/>
    <w:link w:val="FootnoteTextChar"/>
    <w:uiPriority w:val="99"/>
    <w:semiHidden/>
    <w:rsid w:val="00713D64"/>
    <w:rPr>
      <w:sz w:val="20"/>
      <w:szCs w:val="20"/>
    </w:rPr>
  </w:style>
  <w:style w:type="character" w:styleId="FootnoteReference">
    <w:name w:val="footnote reference"/>
    <w:aliases w:val="o,fr"/>
    <w:basedOn w:val="DefaultParagraphFont"/>
    <w:uiPriority w:val="99"/>
    <w:semiHidden/>
    <w:qForma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table" w:styleId="TableGrid">
    <w:name w:val="Table Grid"/>
    <w:basedOn w:val="TableNormal"/>
    <w:uiPriority w:val="59"/>
    <w:rsid w:val="00B84C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1,fn Char1,Footnote Text 2 Char,FOOTNOTE Char,ALTS FOOTNOTE Char Char,fn Char Char,Footnote Text Char1 Char Char,Footnote Text Char Char Char Char,ALTS FOOTNOTE Char Char Char Char,fn Char Char Char Char"/>
    <w:basedOn w:val="DefaultParagraphFont"/>
    <w:link w:val="FootnoteText"/>
    <w:uiPriority w:val="99"/>
    <w:semiHidden/>
    <w:locked/>
    <w:rsid w:val="00B84CEF"/>
  </w:style>
  <w:style w:type="paragraph" w:customStyle="1" w:styleId="p3">
    <w:name w:val="p3"/>
    <w:basedOn w:val="Normal"/>
    <w:uiPriority w:val="99"/>
    <w:rsid w:val="00B84CEF"/>
    <w:pPr>
      <w:widowControl w:val="0"/>
      <w:tabs>
        <w:tab w:val="left" w:pos="204"/>
      </w:tabs>
      <w:adjustRightInd w:val="0"/>
    </w:pPr>
    <w:rPr>
      <w:rFonts w:eastAsia="SimSu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ALTS FOOTNOTE Char,fn Char,Footnote Text Char1 Char,Footnote Text Char Char Char,ALTS FOOTNOTE Char Char Char,fn Char Char Char,Footnote Text Char2 Char Char Char,Footnote Text1 Char"/>
    <w:basedOn w:val="Normal"/>
    <w:link w:val="FootnoteTextChar"/>
    <w:uiPriority w:val="99"/>
    <w:semiHidden/>
    <w:rsid w:val="00713D64"/>
    <w:rPr>
      <w:sz w:val="20"/>
      <w:szCs w:val="20"/>
    </w:rPr>
  </w:style>
  <w:style w:type="character" w:styleId="FootnoteReference">
    <w:name w:val="footnote reference"/>
    <w:aliases w:val="o,fr"/>
    <w:basedOn w:val="DefaultParagraphFont"/>
    <w:uiPriority w:val="99"/>
    <w:semiHidden/>
    <w:qForma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table" w:styleId="TableGrid">
    <w:name w:val="Table Grid"/>
    <w:basedOn w:val="TableNormal"/>
    <w:uiPriority w:val="59"/>
    <w:rsid w:val="00B84C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1,fn Char1,Footnote Text 2 Char,FOOTNOTE Char,ALTS FOOTNOTE Char Char,fn Char Char,Footnote Text Char1 Char Char,Footnote Text Char Char Char Char,ALTS FOOTNOTE Char Char Char Char,fn Char Char Char Char"/>
    <w:basedOn w:val="DefaultParagraphFont"/>
    <w:link w:val="FootnoteText"/>
    <w:uiPriority w:val="99"/>
    <w:semiHidden/>
    <w:locked/>
    <w:rsid w:val="00B84CEF"/>
  </w:style>
  <w:style w:type="paragraph" w:customStyle="1" w:styleId="p3">
    <w:name w:val="p3"/>
    <w:basedOn w:val="Normal"/>
    <w:uiPriority w:val="99"/>
    <w:rsid w:val="00B84CEF"/>
    <w:pPr>
      <w:widowControl w:val="0"/>
      <w:tabs>
        <w:tab w:val="left" w:pos="204"/>
      </w:tabs>
      <w:adjustRightInd w:val="0"/>
    </w:pPr>
    <w:rPr>
      <w:rFonts w:eastAsia="SimSu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1282">
      <w:bodyDiv w:val="1"/>
      <w:marLeft w:val="0"/>
      <w:marRight w:val="0"/>
      <w:marTop w:val="0"/>
      <w:marBottom w:val="0"/>
      <w:divBdr>
        <w:top w:val="none" w:sz="0" w:space="0" w:color="auto"/>
        <w:left w:val="none" w:sz="0" w:space="0" w:color="auto"/>
        <w:bottom w:val="none" w:sz="0" w:space="0" w:color="auto"/>
        <w:right w:val="none" w:sz="0" w:space="0" w:color="auto"/>
      </w:divBdr>
    </w:div>
    <w:div w:id="1761296435">
      <w:bodyDiv w:val="1"/>
      <w:marLeft w:val="0"/>
      <w:marRight w:val="0"/>
      <w:marTop w:val="0"/>
      <w:marBottom w:val="0"/>
      <w:divBdr>
        <w:top w:val="none" w:sz="0" w:space="0" w:color="auto"/>
        <w:left w:val="none" w:sz="0" w:space="0" w:color="auto"/>
        <w:bottom w:val="none" w:sz="0" w:space="0" w:color="auto"/>
        <w:right w:val="none" w:sz="0" w:space="0" w:color="auto"/>
      </w:divBdr>
    </w:div>
    <w:div w:id="18176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1017-E2B0-44FF-868C-516E8CEC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2015-12-18T20:12:00Z</cp:lastPrinted>
  <dcterms:created xsi:type="dcterms:W3CDTF">2015-12-18T19:58:00Z</dcterms:created>
  <dcterms:modified xsi:type="dcterms:W3CDTF">2015-12-18T20:13:00Z</dcterms:modified>
</cp:coreProperties>
</file>