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101496" w:rsidRDefault="005E1066" w:rsidP="00600548">
      <w:pPr>
        <w:jc w:val="center"/>
        <w:rPr>
          <w:b/>
        </w:rPr>
      </w:pPr>
      <w:r w:rsidRPr="00101496">
        <w:rPr>
          <w:b/>
        </w:rPr>
        <w:t>BEFORE THE</w:t>
      </w:r>
    </w:p>
    <w:p w:rsidR="005E1066" w:rsidRPr="00101496" w:rsidRDefault="005E1066" w:rsidP="00600548">
      <w:pPr>
        <w:jc w:val="center"/>
        <w:rPr>
          <w:b/>
        </w:rPr>
      </w:pPr>
      <w:r w:rsidRPr="00101496">
        <w:rPr>
          <w:b/>
        </w:rPr>
        <w:t>PENNSYLVANIA PUBLIC UTILITY COMMISSION</w:t>
      </w: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6D4502" w:rsidP="00600548">
      <w:r>
        <w:t>Imogene Patterson</w:t>
      </w:r>
      <w:r w:rsidR="00BD624C" w:rsidRPr="00101496">
        <w:tab/>
      </w:r>
      <w:r w:rsidR="00AB18F3" w:rsidRPr="00101496">
        <w:tab/>
      </w:r>
      <w:r w:rsidR="00AB18F3" w:rsidRPr="00101496">
        <w:tab/>
      </w:r>
      <w:r w:rsidR="00350408">
        <w:tab/>
      </w:r>
      <w:r w:rsidR="00AB18F3" w:rsidRPr="00101496">
        <w:tab/>
      </w:r>
      <w:r w:rsidR="005E1066" w:rsidRPr="00101496">
        <w:t>:</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5E1066" w:rsidP="00600548">
      <w:r w:rsidRPr="00101496">
        <w:tab/>
        <w:t>v.</w:t>
      </w:r>
      <w:r w:rsidRPr="00101496">
        <w:tab/>
      </w:r>
      <w:r w:rsidRPr="00101496">
        <w:tab/>
      </w:r>
      <w:r w:rsidRPr="00101496">
        <w:tab/>
      </w:r>
      <w:r w:rsidRPr="00101496">
        <w:tab/>
      </w:r>
      <w:r w:rsidRPr="00101496">
        <w:tab/>
      </w:r>
      <w:r w:rsidRPr="00101496">
        <w:tab/>
        <w:t>:</w:t>
      </w:r>
      <w:r w:rsidRPr="00101496">
        <w:tab/>
      </w:r>
      <w:r w:rsidRPr="00101496">
        <w:tab/>
      </w:r>
      <w:r w:rsidR="00B46A80">
        <w:tab/>
      </w:r>
      <w:r w:rsidR="006D4502">
        <w:t>F-2015-2513478</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6D4502" w:rsidP="00600548">
      <w:r>
        <w:t>Duquesne Light</w:t>
      </w:r>
      <w:r w:rsidR="00350408">
        <w:t xml:space="preserve"> Company</w:t>
      </w:r>
      <w:r w:rsidR="00350408">
        <w:tab/>
      </w:r>
      <w:r w:rsidR="00350408">
        <w:tab/>
      </w:r>
      <w:r w:rsidR="00350408">
        <w:tab/>
      </w:r>
      <w:r w:rsidR="00350408">
        <w:tab/>
        <w:t>:</w:t>
      </w:r>
    </w:p>
    <w:p w:rsidR="005E1066" w:rsidRPr="00101496" w:rsidRDefault="005E1066" w:rsidP="00600548"/>
    <w:p w:rsidR="005E1066" w:rsidRDefault="005E1066" w:rsidP="00600548">
      <w:pPr>
        <w:tabs>
          <w:tab w:val="left" w:pos="1076"/>
        </w:tabs>
      </w:pPr>
    </w:p>
    <w:p w:rsidR="00C94DBC" w:rsidRPr="00101496" w:rsidRDefault="00C94DBC" w:rsidP="00600548">
      <w:pPr>
        <w:tabs>
          <w:tab w:val="left" w:pos="1076"/>
        </w:tabs>
      </w:pPr>
    </w:p>
    <w:p w:rsidR="00EA5CEA" w:rsidRDefault="00EA5CEA" w:rsidP="00451017">
      <w:pPr>
        <w:jc w:val="center"/>
        <w:rPr>
          <w:b/>
          <w:u w:val="single"/>
        </w:rPr>
      </w:pPr>
      <w:r w:rsidRPr="00101496">
        <w:rPr>
          <w:b/>
          <w:u w:val="single"/>
        </w:rPr>
        <w:t xml:space="preserve">INTERIM </w:t>
      </w:r>
      <w:r w:rsidR="008D798E" w:rsidRPr="00101496">
        <w:rPr>
          <w:b/>
          <w:u w:val="single"/>
        </w:rPr>
        <w:t xml:space="preserve">ORDER </w:t>
      </w:r>
    </w:p>
    <w:p w:rsidR="000E2207" w:rsidRPr="00101496" w:rsidRDefault="000E2207" w:rsidP="000E2207">
      <w:pPr>
        <w:jc w:val="center"/>
        <w:rPr>
          <w:b/>
          <w:u w:val="single"/>
        </w:rPr>
      </w:pPr>
      <w:r w:rsidRPr="00101496">
        <w:rPr>
          <w:b/>
          <w:u w:val="single"/>
        </w:rPr>
        <w:t xml:space="preserve">GRANTING RESPONDENT’S REQUEST FOR </w:t>
      </w:r>
    </w:p>
    <w:p w:rsidR="000E2207" w:rsidRPr="00101496" w:rsidRDefault="000E2207" w:rsidP="000E2207">
      <w:pPr>
        <w:jc w:val="center"/>
        <w:rPr>
          <w:b/>
          <w:u w:val="single"/>
        </w:rPr>
      </w:pPr>
      <w:r w:rsidRPr="00101496">
        <w:rPr>
          <w:b/>
          <w:u w:val="single"/>
        </w:rPr>
        <w:t>CONTINUANCE OF HEARING</w:t>
      </w:r>
    </w:p>
    <w:p w:rsidR="000E2207" w:rsidRPr="00101496" w:rsidRDefault="000E2207" w:rsidP="00451017">
      <w:pPr>
        <w:jc w:val="center"/>
        <w:rPr>
          <w:b/>
          <w:u w:val="single"/>
        </w:rPr>
      </w:pPr>
    </w:p>
    <w:p w:rsidR="005E1066" w:rsidRPr="00101496" w:rsidRDefault="005E1066" w:rsidP="00600548">
      <w:pPr>
        <w:jc w:val="center"/>
      </w:pPr>
    </w:p>
    <w:p w:rsidR="005E1066" w:rsidRPr="00101496" w:rsidRDefault="005E1066" w:rsidP="00600548">
      <w:pPr>
        <w:jc w:val="center"/>
      </w:pPr>
      <w:r w:rsidRPr="00101496">
        <w:t>Before</w:t>
      </w:r>
    </w:p>
    <w:p w:rsidR="005E1066" w:rsidRPr="00101496" w:rsidRDefault="005E1066" w:rsidP="00600548">
      <w:pPr>
        <w:jc w:val="center"/>
      </w:pPr>
      <w:r w:rsidRPr="00101496">
        <w:t xml:space="preserve">Tiffany </w:t>
      </w:r>
      <w:r w:rsidR="00350408">
        <w:t>L. Tran</w:t>
      </w:r>
    </w:p>
    <w:p w:rsidR="005E1066" w:rsidRDefault="005E1066" w:rsidP="00600548">
      <w:pPr>
        <w:jc w:val="center"/>
      </w:pPr>
      <w:r w:rsidRPr="00101496">
        <w:t>Special Agent</w:t>
      </w:r>
    </w:p>
    <w:p w:rsidR="00C94DBC" w:rsidRDefault="00C94DBC" w:rsidP="00600548">
      <w:pPr>
        <w:jc w:val="center"/>
      </w:pPr>
    </w:p>
    <w:p w:rsidR="00C94DBC" w:rsidRPr="00101496" w:rsidRDefault="00C94DBC" w:rsidP="00600548">
      <w:pPr>
        <w:jc w:val="center"/>
      </w:pPr>
    </w:p>
    <w:p w:rsidR="005E1066" w:rsidRDefault="006D4502" w:rsidP="00C94DBC">
      <w:pPr>
        <w:spacing w:line="360" w:lineRule="auto"/>
        <w:jc w:val="center"/>
        <w:rPr>
          <w:u w:val="single"/>
        </w:rPr>
      </w:pPr>
      <w:r>
        <w:rPr>
          <w:u w:val="single"/>
        </w:rPr>
        <w:t>HISTORY OF TH</w:t>
      </w:r>
      <w:r w:rsidR="005E1066" w:rsidRPr="00101496">
        <w:rPr>
          <w:u w:val="single"/>
        </w:rPr>
        <w:t>E PROCEEDING</w:t>
      </w:r>
    </w:p>
    <w:p w:rsidR="005E1066" w:rsidRPr="00101496" w:rsidRDefault="005E1066" w:rsidP="00C94DBC">
      <w:pPr>
        <w:spacing w:line="360" w:lineRule="auto"/>
      </w:pPr>
    </w:p>
    <w:p w:rsidR="008D798E" w:rsidRPr="00101496" w:rsidRDefault="008D798E" w:rsidP="00C94DBC">
      <w:pPr>
        <w:tabs>
          <w:tab w:val="num" w:pos="2160"/>
        </w:tabs>
        <w:spacing w:line="360" w:lineRule="auto"/>
        <w:ind w:firstLine="1440"/>
      </w:pPr>
      <w:r w:rsidRPr="00101496">
        <w:t>By</w:t>
      </w:r>
      <w:r w:rsidR="00F72956">
        <w:t xml:space="preserve"> Telephone Hearing Notice dated December 1</w:t>
      </w:r>
      <w:r w:rsidR="00350408">
        <w:t>6, 2015</w:t>
      </w:r>
      <w:r w:rsidR="00451017" w:rsidRPr="00101496">
        <w:t>, the above-captioned case was assigne</w:t>
      </w:r>
      <w:r w:rsidR="006D57E4" w:rsidRPr="00101496">
        <w:t>d to me and an Initial Telephonic</w:t>
      </w:r>
      <w:r w:rsidR="00451017" w:rsidRPr="00101496">
        <w:t xml:space="preserve"> Hearing was scheduled for </w:t>
      </w:r>
      <w:r w:rsidR="00F72956">
        <w:t>Wednesday, January 20, 2016</w:t>
      </w:r>
      <w:r w:rsidR="008E2A71" w:rsidRPr="00101496">
        <w:t>, at 1</w:t>
      </w:r>
      <w:r w:rsidR="00796D34" w:rsidRPr="00101496">
        <w:t>0:0</w:t>
      </w:r>
      <w:r w:rsidR="008E2A71" w:rsidRPr="00101496">
        <w:t xml:space="preserve">0 </w:t>
      </w:r>
      <w:r w:rsidR="00796D34" w:rsidRPr="00101496">
        <w:t>a</w:t>
      </w:r>
      <w:r w:rsidR="00451017" w:rsidRPr="00101496">
        <w:t>.m.</w:t>
      </w:r>
      <w:bookmarkStart w:id="0" w:name="_GoBack"/>
      <w:bookmarkEnd w:id="0"/>
    </w:p>
    <w:p w:rsidR="00451017" w:rsidRPr="00101496" w:rsidRDefault="00451017" w:rsidP="00C94DBC">
      <w:pPr>
        <w:tabs>
          <w:tab w:val="num" w:pos="2160"/>
        </w:tabs>
        <w:spacing w:line="360" w:lineRule="auto"/>
        <w:ind w:firstLine="1440"/>
      </w:pPr>
    </w:p>
    <w:p w:rsidR="00F63800" w:rsidRDefault="00247F37" w:rsidP="00C94DBC">
      <w:pPr>
        <w:tabs>
          <w:tab w:val="num" w:pos="2160"/>
        </w:tabs>
        <w:spacing w:line="360" w:lineRule="auto"/>
        <w:ind w:firstLine="1440"/>
      </w:pPr>
      <w:r w:rsidRPr="00101496">
        <w:t xml:space="preserve">On </w:t>
      </w:r>
      <w:r w:rsidR="00F72956">
        <w:t>December 17, 2015</w:t>
      </w:r>
      <w:r w:rsidR="00451017" w:rsidRPr="00101496">
        <w:t xml:space="preserve">, </w:t>
      </w:r>
      <w:r w:rsidR="00904BE4" w:rsidRPr="00101496">
        <w:t xml:space="preserve">Respondent, </w:t>
      </w:r>
      <w:r w:rsidR="00F72956">
        <w:t>Duquesne Light Company,</w:t>
      </w:r>
      <w:r w:rsidR="00796D34" w:rsidRPr="00101496">
        <w:t xml:space="preserve"> </w:t>
      </w:r>
      <w:r w:rsidR="00881DC7" w:rsidRPr="00101496">
        <w:t>by and through its attorney</w:t>
      </w:r>
      <w:r w:rsidR="00F72956">
        <w:t>s Jeremy V. Farrell and Lauren N. Woleslagle</w:t>
      </w:r>
      <w:r w:rsidR="00350408">
        <w:t>,</w:t>
      </w:r>
      <w:r w:rsidR="00E07E31">
        <w:t xml:space="preserve"> Esq.</w:t>
      </w:r>
      <w:r w:rsidR="00881DC7" w:rsidRPr="00101496">
        <w:t xml:space="preserve">, </w:t>
      </w:r>
      <w:r w:rsidR="00E07E31">
        <w:t xml:space="preserve">requested </w:t>
      </w:r>
      <w:r w:rsidR="00BB356A">
        <w:t>the</w:t>
      </w:r>
      <w:r w:rsidR="00F72956">
        <w:t xml:space="preserve"> Initial Telephonic Hearing be</w:t>
      </w:r>
      <w:r w:rsidR="00BB356A">
        <w:t xml:space="preserve"> rescheduled</w:t>
      </w:r>
      <w:r w:rsidR="00F72956">
        <w:t xml:space="preserve"> because certain witnesses Respondent intended to have testify at the Initial Telephonic Hearing would be unavailable due to a mandatory employee conference scheduled on the date of the hearing.  Therefore, Respondent requested a two-week continuance of the hearing in this matter.  </w:t>
      </w:r>
    </w:p>
    <w:p w:rsidR="00F72956" w:rsidRDefault="00F72956" w:rsidP="00101496">
      <w:pPr>
        <w:tabs>
          <w:tab w:val="num" w:pos="2160"/>
        </w:tabs>
        <w:spacing w:line="360" w:lineRule="auto"/>
        <w:ind w:firstLine="1440"/>
      </w:pPr>
    </w:p>
    <w:p w:rsidR="00F72956" w:rsidRDefault="00F72956" w:rsidP="00101496">
      <w:pPr>
        <w:tabs>
          <w:tab w:val="num" w:pos="2160"/>
        </w:tabs>
        <w:spacing w:line="360" w:lineRule="auto"/>
        <w:ind w:firstLine="1440"/>
      </w:pPr>
      <w:r>
        <w:t>Respondent noted that it attempted to contact Complainant by telephone to obtain consent for a continuance, but ha</w:t>
      </w:r>
      <w:r w:rsidR="0027329A">
        <w:t>d</w:t>
      </w:r>
      <w:r>
        <w:t xml:space="preserve"> not received a response as of the date of filing of the motion.</w:t>
      </w:r>
    </w:p>
    <w:p w:rsidR="00C94DBC" w:rsidRDefault="00C94DBC" w:rsidP="00101496">
      <w:pPr>
        <w:tabs>
          <w:tab w:val="num" w:pos="2160"/>
        </w:tabs>
        <w:spacing w:line="360" w:lineRule="auto"/>
        <w:ind w:firstLine="1440"/>
        <w:sectPr w:rsidR="00C94DBC"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pPr>
    </w:p>
    <w:p w:rsidR="00F63800" w:rsidRPr="00700AB6" w:rsidRDefault="00F72956" w:rsidP="00700AB6">
      <w:pPr>
        <w:tabs>
          <w:tab w:val="num" w:pos="2160"/>
        </w:tabs>
        <w:spacing w:line="360" w:lineRule="auto"/>
        <w:ind w:firstLine="1440"/>
        <w:rPr>
          <w:color w:val="000000" w:themeColor="text1"/>
        </w:rPr>
      </w:pPr>
      <w:r w:rsidRPr="00700AB6">
        <w:rPr>
          <w:color w:val="000000" w:themeColor="text1"/>
        </w:rPr>
        <w:lastRenderedPageBreak/>
        <w:t>Furthermore, Respondent requested that, given the short time frame between the date of the Motion for Continuance and the scheduled date of the hearing, the response period for the Complainant to respond to Respondent’s Motion for Continuance be shortened to 10 days in this matter.</w:t>
      </w:r>
    </w:p>
    <w:p w:rsidR="00BC0A78" w:rsidRPr="00700AB6" w:rsidRDefault="00BC0A78" w:rsidP="00700AB6">
      <w:pPr>
        <w:tabs>
          <w:tab w:val="num" w:pos="2160"/>
        </w:tabs>
        <w:spacing w:line="360" w:lineRule="auto"/>
        <w:ind w:firstLine="1440"/>
        <w:rPr>
          <w:color w:val="000000" w:themeColor="text1"/>
        </w:rPr>
      </w:pPr>
    </w:p>
    <w:p w:rsidR="00BC0A78" w:rsidRPr="00700AB6" w:rsidRDefault="00BC0A78" w:rsidP="00700AB6">
      <w:pPr>
        <w:spacing w:line="360" w:lineRule="auto"/>
        <w:rPr>
          <w:color w:val="000000" w:themeColor="text1"/>
        </w:rPr>
      </w:pPr>
      <w:r w:rsidRPr="00700AB6">
        <w:rPr>
          <w:color w:val="000000" w:themeColor="text1"/>
        </w:rPr>
        <w:tab/>
      </w:r>
      <w:r w:rsidRPr="00700AB6">
        <w:rPr>
          <w:color w:val="000000" w:themeColor="text1"/>
        </w:rPr>
        <w:tab/>
        <w:t xml:space="preserve">As part of my review of the record, I noticed that there were some inconsistencies with Ms. Patterson’s contact information in the Commission’s records.  Therefore, out of an abundance of caution, I had the Office of Administrative Law Judge’s Legal Division Supervisor, Kimberly Hafner, </w:t>
      </w:r>
      <w:r w:rsidR="007A5720">
        <w:rPr>
          <w:color w:val="000000" w:themeColor="text1"/>
        </w:rPr>
        <w:t>Esq</w:t>
      </w:r>
      <w:r w:rsidR="00D6200E">
        <w:rPr>
          <w:color w:val="000000" w:themeColor="text1"/>
        </w:rPr>
        <w:t>.</w:t>
      </w:r>
      <w:r w:rsidR="007A5720">
        <w:rPr>
          <w:color w:val="000000" w:themeColor="text1"/>
        </w:rPr>
        <w:t xml:space="preserve">, </w:t>
      </w:r>
      <w:r w:rsidR="00D6200E">
        <w:rPr>
          <w:color w:val="000000" w:themeColor="text1"/>
        </w:rPr>
        <w:t>contact</w:t>
      </w:r>
      <w:r w:rsidRPr="00700AB6">
        <w:rPr>
          <w:color w:val="000000" w:themeColor="text1"/>
        </w:rPr>
        <w:t xml:space="preserve"> </w:t>
      </w:r>
      <w:r w:rsidR="000E2207">
        <w:rPr>
          <w:color w:val="000000" w:themeColor="text1"/>
        </w:rPr>
        <w:t>the Complainant</w:t>
      </w:r>
      <w:r w:rsidRPr="00700AB6">
        <w:rPr>
          <w:color w:val="000000" w:themeColor="text1"/>
        </w:rPr>
        <w:t xml:space="preserve"> by</w:t>
      </w:r>
      <w:r w:rsidR="00C94DBC">
        <w:rPr>
          <w:color w:val="000000" w:themeColor="text1"/>
        </w:rPr>
        <w:t xml:space="preserve"> telephone on or about December </w:t>
      </w:r>
      <w:r w:rsidRPr="00700AB6">
        <w:rPr>
          <w:color w:val="000000" w:themeColor="text1"/>
        </w:rPr>
        <w:t xml:space="preserve">21, 2015, to ascertain whether she was aware of the request for continuance.  </w:t>
      </w:r>
      <w:r w:rsidR="000E2207">
        <w:rPr>
          <w:color w:val="000000" w:themeColor="text1"/>
        </w:rPr>
        <w:t xml:space="preserve">The Complainant </w:t>
      </w:r>
      <w:r w:rsidRPr="00700AB6">
        <w:rPr>
          <w:color w:val="000000" w:themeColor="text1"/>
        </w:rPr>
        <w:t>indicated that she was unaware of the request for continuance, and would contact Respondent’s by telephone to convey her decision regarding the request.</w:t>
      </w:r>
    </w:p>
    <w:p w:rsidR="00BC0A78" w:rsidRPr="00700AB6" w:rsidRDefault="00BC0A78" w:rsidP="00700AB6">
      <w:pPr>
        <w:spacing w:line="360" w:lineRule="auto"/>
        <w:rPr>
          <w:color w:val="000000" w:themeColor="text1"/>
        </w:rPr>
      </w:pPr>
    </w:p>
    <w:p w:rsidR="00BC0A78" w:rsidRPr="00700AB6" w:rsidRDefault="00BC0A78" w:rsidP="00700AB6">
      <w:pPr>
        <w:spacing w:line="360" w:lineRule="auto"/>
        <w:rPr>
          <w:color w:val="000000" w:themeColor="text1"/>
        </w:rPr>
      </w:pPr>
      <w:r w:rsidRPr="00700AB6">
        <w:rPr>
          <w:color w:val="000000" w:themeColor="text1"/>
        </w:rPr>
        <w:tab/>
      </w:r>
      <w:r w:rsidRPr="00700AB6">
        <w:rPr>
          <w:color w:val="000000" w:themeColor="text1"/>
        </w:rPr>
        <w:tab/>
      </w:r>
      <w:r w:rsidR="00AA0C93" w:rsidRPr="00700AB6">
        <w:rPr>
          <w:color w:val="000000" w:themeColor="text1"/>
        </w:rPr>
        <w:t>Hearing</w:t>
      </w:r>
      <w:r w:rsidR="005F7525" w:rsidRPr="00700AB6">
        <w:rPr>
          <w:color w:val="000000" w:themeColor="text1"/>
        </w:rPr>
        <w:t xml:space="preserve"> nothing further </w:t>
      </w:r>
      <w:r w:rsidR="00AA0C93" w:rsidRPr="00700AB6">
        <w:rPr>
          <w:color w:val="000000" w:themeColor="text1"/>
        </w:rPr>
        <w:t xml:space="preserve">from the parties, on December 28, 2015 </w:t>
      </w:r>
      <w:r w:rsidR="005F7525" w:rsidRPr="00700AB6">
        <w:rPr>
          <w:color w:val="000000" w:themeColor="text1"/>
        </w:rPr>
        <w:t>I contacted Respondent’s counsel via email requesting an update on the status</w:t>
      </w:r>
      <w:r w:rsidR="000E2207">
        <w:rPr>
          <w:color w:val="000000" w:themeColor="text1"/>
        </w:rPr>
        <w:t xml:space="preserve"> the Complainant’s</w:t>
      </w:r>
      <w:r w:rsidR="00AA0C93" w:rsidRPr="00700AB6">
        <w:rPr>
          <w:color w:val="000000" w:themeColor="text1"/>
        </w:rPr>
        <w:t xml:space="preserve"> decision regarding the request for continuance and proposing that the parties schedule a conference call with me if they had not yet discussed the matter.  I also left a voicemail with the Complainant inquiring whether she had contacted Respondent’s counsel and asked that she return my call.</w:t>
      </w:r>
    </w:p>
    <w:p w:rsidR="00BC0A78" w:rsidRPr="00700AB6" w:rsidRDefault="00BC0A78" w:rsidP="00700AB6">
      <w:pPr>
        <w:spacing w:line="360" w:lineRule="auto"/>
        <w:rPr>
          <w:color w:val="000000" w:themeColor="text1"/>
        </w:rPr>
      </w:pPr>
    </w:p>
    <w:p w:rsidR="00BC0A78" w:rsidRPr="00700AB6" w:rsidRDefault="00BC0A78" w:rsidP="00700AB6">
      <w:pPr>
        <w:spacing w:line="360" w:lineRule="auto"/>
        <w:rPr>
          <w:color w:val="000000" w:themeColor="text1"/>
        </w:rPr>
      </w:pPr>
      <w:r w:rsidRPr="00700AB6">
        <w:rPr>
          <w:color w:val="000000" w:themeColor="text1"/>
        </w:rPr>
        <w:tab/>
      </w:r>
      <w:r w:rsidRPr="00700AB6">
        <w:rPr>
          <w:color w:val="000000" w:themeColor="text1"/>
        </w:rPr>
        <w:tab/>
      </w:r>
      <w:r w:rsidR="00AA0C93" w:rsidRPr="00700AB6">
        <w:rPr>
          <w:color w:val="000000" w:themeColor="text1"/>
        </w:rPr>
        <w:t xml:space="preserve">On December 29, 2015, Respondent’s counsel responded to my email.  Respondent’s counsel indicated that </w:t>
      </w:r>
      <w:r w:rsidR="000E2207">
        <w:rPr>
          <w:color w:val="000000" w:themeColor="text1"/>
        </w:rPr>
        <w:t xml:space="preserve">the Complainant </w:t>
      </w:r>
      <w:r w:rsidR="00AA0C93" w:rsidRPr="00700AB6">
        <w:rPr>
          <w:color w:val="000000" w:themeColor="text1"/>
        </w:rPr>
        <w:t xml:space="preserve">left a voicemail on December 21, 2015, indicating her consent to the continuance, and also attached an audio file of </w:t>
      </w:r>
      <w:r w:rsidR="000E2207">
        <w:rPr>
          <w:color w:val="000000" w:themeColor="text1"/>
        </w:rPr>
        <w:t>the Complainant’s</w:t>
      </w:r>
      <w:r w:rsidR="00AA0C93" w:rsidRPr="00700AB6">
        <w:rPr>
          <w:color w:val="000000" w:themeColor="text1"/>
        </w:rPr>
        <w:t xml:space="preserve"> voice message.  I informed Respondent’s counsel that in light of this information a conference call would not be necessary, and requested that he file a written notice of </w:t>
      </w:r>
      <w:r w:rsidR="000E2207">
        <w:rPr>
          <w:color w:val="000000" w:themeColor="text1"/>
        </w:rPr>
        <w:t xml:space="preserve">the Complainant’s </w:t>
      </w:r>
      <w:r w:rsidR="00AA0C93" w:rsidRPr="00700AB6">
        <w:rPr>
          <w:color w:val="000000" w:themeColor="text1"/>
        </w:rPr>
        <w:t>consent to the request for continuance with the Commission’s Secretary’s Bureau.  Said notice</w:t>
      </w:r>
      <w:r w:rsidR="00700AB6" w:rsidRPr="00700AB6">
        <w:rPr>
          <w:color w:val="000000" w:themeColor="text1"/>
        </w:rPr>
        <w:t xml:space="preserve">, which also indicated that Respondent’s counsel had called </w:t>
      </w:r>
      <w:r w:rsidR="000E2207">
        <w:rPr>
          <w:color w:val="000000" w:themeColor="text1"/>
        </w:rPr>
        <w:t>the Complainant</w:t>
      </w:r>
      <w:r w:rsidR="00700AB6" w:rsidRPr="00700AB6">
        <w:rPr>
          <w:color w:val="000000" w:themeColor="text1"/>
        </w:rPr>
        <w:t xml:space="preserve"> on December 29</w:t>
      </w:r>
      <w:r w:rsidR="00700AB6" w:rsidRPr="00700AB6">
        <w:rPr>
          <w:color w:val="000000" w:themeColor="text1"/>
          <w:vertAlign w:val="superscript"/>
        </w:rPr>
        <w:t>th</w:t>
      </w:r>
      <w:r w:rsidR="00700AB6" w:rsidRPr="00700AB6">
        <w:rPr>
          <w:color w:val="000000" w:themeColor="text1"/>
        </w:rPr>
        <w:t xml:space="preserve"> and</w:t>
      </w:r>
      <w:r w:rsidR="000E2207">
        <w:rPr>
          <w:color w:val="000000" w:themeColor="text1"/>
        </w:rPr>
        <w:t xml:space="preserve"> received</w:t>
      </w:r>
      <w:r w:rsidR="00700AB6" w:rsidRPr="00700AB6">
        <w:rPr>
          <w:color w:val="000000" w:themeColor="text1"/>
        </w:rPr>
        <w:t xml:space="preserve"> her verbal consent to continuance,</w:t>
      </w:r>
      <w:r w:rsidR="00AA0C93" w:rsidRPr="00700AB6">
        <w:rPr>
          <w:color w:val="000000" w:themeColor="text1"/>
        </w:rPr>
        <w:t xml:space="preserve"> was filed accordingly by the end of the day. </w:t>
      </w:r>
    </w:p>
    <w:p w:rsidR="00F72956" w:rsidRPr="00700AB6" w:rsidRDefault="00F72956" w:rsidP="00700AB6">
      <w:pPr>
        <w:tabs>
          <w:tab w:val="num" w:pos="2160"/>
        </w:tabs>
        <w:spacing w:line="360" w:lineRule="auto"/>
        <w:ind w:firstLine="1440"/>
        <w:rPr>
          <w:color w:val="000000" w:themeColor="text1"/>
        </w:rPr>
      </w:pPr>
    </w:p>
    <w:p w:rsidR="0027329A" w:rsidRDefault="009B15CA" w:rsidP="00700AB6">
      <w:pPr>
        <w:tabs>
          <w:tab w:val="num" w:pos="2160"/>
        </w:tabs>
        <w:spacing w:line="360" w:lineRule="auto"/>
        <w:ind w:firstLine="1440"/>
      </w:pPr>
      <w:r w:rsidRPr="00700AB6">
        <w:rPr>
          <w:color w:val="000000" w:themeColor="text1"/>
        </w:rPr>
        <w:t xml:space="preserve">A party has 20 days from the date of service within which to answer or object to a </w:t>
      </w:r>
      <w:r w:rsidRPr="009B15CA">
        <w:t>motion, unless the period of time is otherwise fixed by the Commission or the presiding officer.</w:t>
      </w:r>
      <w:r>
        <w:t xml:space="preserve">  51 Pa.Code §5.103(c).  A presiding officer is authorized to rule and will rule upon motions not formerly acted upon by the Commission prior to the commencement of the hearing where an immediate ruling is essential in order to proceed with the hearing. 51 Pa.Code §5.103(d)(1)(i).</w:t>
      </w:r>
    </w:p>
    <w:p w:rsidR="00101496" w:rsidRDefault="00101496" w:rsidP="00101496">
      <w:pPr>
        <w:tabs>
          <w:tab w:val="num" w:pos="2160"/>
        </w:tabs>
        <w:spacing w:line="360" w:lineRule="auto"/>
        <w:ind w:firstLine="1440"/>
      </w:pPr>
    </w:p>
    <w:p w:rsidR="009B15CA" w:rsidRDefault="00B66E50" w:rsidP="00101496">
      <w:pPr>
        <w:tabs>
          <w:tab w:val="num" w:pos="2160"/>
        </w:tabs>
        <w:spacing w:line="360" w:lineRule="auto"/>
        <w:ind w:firstLine="1440"/>
      </w:pPr>
      <w:r>
        <w:t xml:space="preserve">In this matter, </w:t>
      </w:r>
      <w:r w:rsidR="00700AB6">
        <w:t>Responde</w:t>
      </w:r>
      <w:r w:rsidR="00C94DBC">
        <w:t>n</w:t>
      </w:r>
      <w:r w:rsidR="005C4E4D">
        <w:t>t</w:t>
      </w:r>
      <w:r w:rsidR="00700AB6">
        <w:t xml:space="preserve"> requested that the undersigned presiding officer shorten the Complainant’s response period from 20 days to 10 days.  </w:t>
      </w:r>
      <w:r w:rsidR="002547E2">
        <w:t>Since</w:t>
      </w:r>
      <w:r w:rsidR="00700AB6">
        <w:t xml:space="preserve"> Respondent has obtained Complainant’s consent to the continuance, th</w:t>
      </w:r>
      <w:r w:rsidR="005F0860">
        <w:t>e</w:t>
      </w:r>
      <w:r w:rsidR="00700AB6">
        <w:t xml:space="preserve"> request</w:t>
      </w:r>
      <w:r w:rsidR="00C94DBC">
        <w:t xml:space="preserve"> for a 10-</w:t>
      </w:r>
      <w:r w:rsidR="005F0860">
        <w:t>day response period is now moot and the request for a continuance is unopposed.</w:t>
      </w:r>
    </w:p>
    <w:p w:rsidR="00700AB6" w:rsidRDefault="00700AB6" w:rsidP="00101496">
      <w:pPr>
        <w:tabs>
          <w:tab w:val="num" w:pos="2160"/>
        </w:tabs>
        <w:spacing w:line="360" w:lineRule="auto"/>
        <w:ind w:firstLine="1440"/>
      </w:pPr>
    </w:p>
    <w:p w:rsidR="00E14244" w:rsidRPr="00101496" w:rsidRDefault="00E14244" w:rsidP="00E14244">
      <w:pPr>
        <w:tabs>
          <w:tab w:val="num" w:pos="2160"/>
        </w:tabs>
        <w:spacing w:line="360" w:lineRule="auto"/>
        <w:ind w:firstLine="1440"/>
      </w:pPr>
      <w:r w:rsidRPr="00101496">
        <w:t>The Commission’s Rules of Administrative Practice and Procedure at 52 Pa. Code § 1.15(b) state that, “Only for good cause shown will requests for continuance be considered.”</w:t>
      </w:r>
      <w:r>
        <w:t xml:space="preserve">  In this case, Respondent’s request for a continuance was submitted in writing more than five (5) days prior to the hearing.  This is the first continuance requested by either party in this matter.  I conclude that </w:t>
      </w:r>
      <w:r w:rsidRPr="00101496">
        <w:t>Respondent has shown good cause for requesting a continuance.</w:t>
      </w:r>
      <w:r>
        <w:t xml:space="preserve">  </w:t>
      </w:r>
    </w:p>
    <w:p w:rsidR="00E14244" w:rsidRPr="00101496" w:rsidRDefault="00E14244" w:rsidP="00E14244">
      <w:pPr>
        <w:tabs>
          <w:tab w:val="num" w:pos="2160"/>
        </w:tabs>
        <w:spacing w:line="360" w:lineRule="auto"/>
        <w:ind w:firstLine="1440"/>
      </w:pPr>
    </w:p>
    <w:p w:rsidR="00E14244" w:rsidRPr="00101496" w:rsidRDefault="00E14244" w:rsidP="00E14244">
      <w:pPr>
        <w:spacing w:line="360" w:lineRule="auto"/>
      </w:pPr>
      <w:r w:rsidRPr="00101496">
        <w:tab/>
      </w:r>
      <w:r w:rsidRPr="00101496">
        <w:tab/>
      </w:r>
      <w:r>
        <w:t>Respondent’s</w:t>
      </w:r>
      <w:r w:rsidRPr="00101496">
        <w:t xml:space="preserve"> </w:t>
      </w:r>
      <w:r w:rsidR="00472823">
        <w:t xml:space="preserve">unopposed </w:t>
      </w:r>
      <w:r>
        <w:t>request for a continuance</w:t>
      </w:r>
      <w:r w:rsidRPr="00101496">
        <w:t xml:space="preserve"> due to the unavailability of </w:t>
      </w:r>
      <w:r>
        <w:t>its witness</w:t>
      </w:r>
      <w:r w:rsidR="00B169E9">
        <w:t>es</w:t>
      </w:r>
      <w:r w:rsidRPr="00101496">
        <w:t xml:space="preserve"> is reasonable and will be granted.</w:t>
      </w:r>
    </w:p>
    <w:p w:rsidR="00881DC7" w:rsidRPr="00101496" w:rsidRDefault="00881DC7" w:rsidP="00600548">
      <w:pPr>
        <w:tabs>
          <w:tab w:val="num" w:pos="2160"/>
        </w:tabs>
        <w:spacing w:line="360" w:lineRule="auto"/>
        <w:ind w:firstLine="1440"/>
      </w:pPr>
    </w:p>
    <w:p w:rsidR="006D6E10" w:rsidRPr="00101496" w:rsidRDefault="006D6E10" w:rsidP="00600548">
      <w:pPr>
        <w:tabs>
          <w:tab w:val="num" w:pos="2160"/>
        </w:tabs>
        <w:spacing w:line="360" w:lineRule="auto"/>
        <w:ind w:firstLine="1440"/>
      </w:pPr>
      <w:r w:rsidRPr="00101496">
        <w:t>THEREFORE,</w:t>
      </w:r>
    </w:p>
    <w:p w:rsidR="006D6E10" w:rsidRPr="00101496" w:rsidRDefault="006D6E10" w:rsidP="00600548">
      <w:pPr>
        <w:tabs>
          <w:tab w:val="num" w:pos="2160"/>
        </w:tabs>
        <w:spacing w:line="360" w:lineRule="auto"/>
        <w:ind w:firstLine="1440"/>
      </w:pPr>
    </w:p>
    <w:p w:rsidR="006D6E10" w:rsidRDefault="006D6E10" w:rsidP="00600548">
      <w:pPr>
        <w:tabs>
          <w:tab w:val="num" w:pos="2160"/>
        </w:tabs>
        <w:spacing w:line="360" w:lineRule="auto"/>
        <w:ind w:firstLine="1440"/>
      </w:pPr>
      <w:r w:rsidRPr="00101496">
        <w:t>IT IS ORDERED:</w:t>
      </w:r>
    </w:p>
    <w:p w:rsidR="00C94DBC" w:rsidRDefault="00C94DBC" w:rsidP="00B66E50">
      <w:pPr>
        <w:pStyle w:val="ListParagraph"/>
        <w:tabs>
          <w:tab w:val="num" w:pos="2160"/>
        </w:tabs>
        <w:spacing w:line="360" w:lineRule="auto"/>
        <w:ind w:left="0" w:firstLine="2160"/>
      </w:pPr>
    </w:p>
    <w:p w:rsidR="009B15CA" w:rsidRPr="00101496" w:rsidRDefault="00C94DBC" w:rsidP="00C94DBC">
      <w:pPr>
        <w:pStyle w:val="ListParagraph"/>
        <w:tabs>
          <w:tab w:val="num" w:pos="2160"/>
        </w:tabs>
        <w:spacing w:line="360" w:lineRule="auto"/>
        <w:ind w:left="0" w:firstLine="1440"/>
      </w:pPr>
      <w:r>
        <w:t>1.</w:t>
      </w:r>
      <w:r w:rsidR="005F0860">
        <w:tab/>
      </w:r>
      <w:r w:rsidR="005F0860" w:rsidRPr="00101496">
        <w:t xml:space="preserve">That </w:t>
      </w:r>
      <w:r w:rsidR="005F0860">
        <w:t>Duquesne Light Company</w:t>
      </w:r>
      <w:r w:rsidR="005F0860" w:rsidRPr="00101496">
        <w:t xml:space="preserve">’s </w:t>
      </w:r>
      <w:r w:rsidR="005F0860">
        <w:t>request for a continuance</w:t>
      </w:r>
      <w:r w:rsidR="005F0860" w:rsidRPr="00101496">
        <w:t xml:space="preserve"> in the matter of </w:t>
      </w:r>
      <w:r w:rsidR="00BD2040">
        <w:t>Imogene Patterson</w:t>
      </w:r>
      <w:r w:rsidR="005F0860">
        <w:t xml:space="preserve"> v. </w:t>
      </w:r>
      <w:r w:rsidR="00BD2040">
        <w:t>Duquesne Light Company</w:t>
      </w:r>
      <w:r w:rsidR="005F0860" w:rsidRPr="00101496">
        <w:t xml:space="preserve">, at Docket No. </w:t>
      </w:r>
      <w:r w:rsidR="00BD2040">
        <w:t>F-2015-2513478</w:t>
      </w:r>
      <w:r w:rsidR="005F0860">
        <w:t xml:space="preserve"> </w:t>
      </w:r>
      <w:r w:rsidR="005F0860" w:rsidRPr="00101496">
        <w:t xml:space="preserve">is </w:t>
      </w:r>
      <w:r w:rsidR="005F0860">
        <w:t>granted.</w:t>
      </w:r>
    </w:p>
    <w:p w:rsidR="00451017" w:rsidRPr="00101496" w:rsidRDefault="00451017" w:rsidP="00C94DBC">
      <w:pPr>
        <w:pStyle w:val="ListParagraph"/>
        <w:spacing w:line="360" w:lineRule="auto"/>
        <w:ind w:left="0" w:firstLine="1440"/>
      </w:pPr>
    </w:p>
    <w:p w:rsidR="000E2207" w:rsidRPr="00101496" w:rsidRDefault="00B66E50" w:rsidP="00C94DBC">
      <w:pPr>
        <w:pStyle w:val="ListParagraph"/>
        <w:spacing w:line="360" w:lineRule="auto"/>
        <w:ind w:left="0" w:firstLine="1440"/>
      </w:pPr>
      <w:r>
        <w:t>2.</w:t>
      </w:r>
      <w:r w:rsidR="005F0860" w:rsidRPr="005F0860">
        <w:tab/>
        <w:t>That the hearing scheduled for</w:t>
      </w:r>
      <w:r w:rsidR="005F0860">
        <w:t xml:space="preserve"> January 20</w:t>
      </w:r>
      <w:r w:rsidR="005F0860" w:rsidRPr="005F0860">
        <w:t>,</w:t>
      </w:r>
      <w:r w:rsidR="005F0860">
        <w:t xml:space="preserve"> 2016</w:t>
      </w:r>
      <w:r w:rsidR="005F0860" w:rsidRPr="005F0860">
        <w:t xml:space="preserve"> be and hereby is continued and will be rescheduled.</w:t>
      </w:r>
    </w:p>
    <w:p w:rsidR="00715EAA" w:rsidRDefault="00715EAA" w:rsidP="00600548">
      <w:pPr>
        <w:tabs>
          <w:tab w:val="num" w:pos="2160"/>
          <w:tab w:val="left" w:pos="5048"/>
        </w:tabs>
      </w:pPr>
    </w:p>
    <w:p w:rsidR="00C94DBC" w:rsidRDefault="00C94DBC" w:rsidP="00600548">
      <w:pPr>
        <w:tabs>
          <w:tab w:val="num" w:pos="2160"/>
          <w:tab w:val="left" w:pos="5048"/>
        </w:tabs>
      </w:pPr>
    </w:p>
    <w:p w:rsidR="00C94DBC" w:rsidRPr="00101496" w:rsidRDefault="00C94DBC" w:rsidP="00600548">
      <w:pPr>
        <w:tabs>
          <w:tab w:val="num" w:pos="2160"/>
          <w:tab w:val="left" w:pos="5048"/>
        </w:tabs>
      </w:pPr>
    </w:p>
    <w:p w:rsidR="005E1066" w:rsidRPr="00101496" w:rsidRDefault="005E1066" w:rsidP="00600548">
      <w:pPr>
        <w:tabs>
          <w:tab w:val="num" w:pos="2160"/>
          <w:tab w:val="left" w:pos="5048"/>
        </w:tabs>
      </w:pPr>
      <w:r w:rsidRPr="00101496">
        <w:t xml:space="preserve">Dated: </w:t>
      </w:r>
      <w:r w:rsidR="00C94DBC">
        <w:rPr>
          <w:u w:val="single"/>
        </w:rPr>
        <w:t>December 30</w:t>
      </w:r>
      <w:r w:rsidR="0027329A">
        <w:rPr>
          <w:u w:val="single"/>
        </w:rPr>
        <w:t>, 2015</w:t>
      </w:r>
      <w:r w:rsidRPr="00101496">
        <w:tab/>
        <w:t>_________________________________</w:t>
      </w:r>
    </w:p>
    <w:p w:rsidR="005E1066" w:rsidRPr="00101496" w:rsidRDefault="005E1066" w:rsidP="00600548">
      <w:pPr>
        <w:tabs>
          <w:tab w:val="num" w:pos="2160"/>
        </w:tabs>
      </w:pPr>
      <w:r w:rsidRPr="00101496">
        <w:tab/>
      </w:r>
      <w:r w:rsidRPr="00101496">
        <w:tab/>
      </w:r>
      <w:r w:rsidRPr="00101496">
        <w:tab/>
      </w:r>
      <w:r w:rsidRPr="00101496">
        <w:tab/>
      </w:r>
      <w:r w:rsidRPr="00101496">
        <w:tab/>
        <w:t xml:space="preserve">Tiffany </w:t>
      </w:r>
      <w:r w:rsidR="00350408">
        <w:t>L. Tran</w:t>
      </w:r>
    </w:p>
    <w:p w:rsidR="005E1066" w:rsidRPr="00101496" w:rsidRDefault="005E1066" w:rsidP="00600548">
      <w:pPr>
        <w:tabs>
          <w:tab w:val="num" w:pos="2160"/>
        </w:tabs>
      </w:pPr>
      <w:r w:rsidRPr="00101496">
        <w:tab/>
      </w:r>
      <w:r w:rsidRPr="00101496">
        <w:tab/>
      </w:r>
      <w:r w:rsidRPr="00101496">
        <w:tab/>
      </w:r>
      <w:r w:rsidRPr="00101496">
        <w:tab/>
      </w:r>
      <w:r w:rsidRPr="00101496">
        <w:tab/>
        <w:t>Special Agent</w:t>
      </w:r>
    </w:p>
    <w:p w:rsidR="00C94DBC" w:rsidRDefault="00C94DBC">
      <w:pPr>
        <w:sectPr w:rsidR="00C94DBC" w:rsidSect="00B56A97">
          <w:footerReference w:type="first" r:id="rId11"/>
          <w:pgSz w:w="12240" w:h="15840" w:code="1"/>
          <w:pgMar w:top="1440" w:right="1440" w:bottom="1440" w:left="1440" w:header="720" w:footer="720" w:gutter="0"/>
          <w:paperSrc w:first="15"/>
          <w:cols w:space="720"/>
          <w:noEndnote/>
          <w:titlePg/>
          <w:docGrid w:linePitch="326"/>
        </w:sectPr>
      </w:pPr>
    </w:p>
    <w:p w:rsidR="00C94DBC" w:rsidRPr="00C94DBC" w:rsidRDefault="00C94DBC" w:rsidP="00C94DBC">
      <w:pPr>
        <w:contextualSpacing/>
        <w:rPr>
          <w:rFonts w:ascii="Microsoft Sans Serif" w:hAnsi="Calibri"/>
          <w:b/>
          <w:szCs w:val="22"/>
          <w:u w:val="single"/>
        </w:rPr>
      </w:pPr>
      <w:r w:rsidRPr="00C94DBC">
        <w:rPr>
          <w:rFonts w:ascii="Microsoft Sans Serif" w:hAnsi="Calibri"/>
          <w:b/>
          <w:szCs w:val="22"/>
          <w:u w:val="single"/>
        </w:rPr>
        <w:t>F-2015-2513478 - IMOGENE PATTERSON v. DUQUESNE LIGHT COMPANY</w:t>
      </w:r>
    </w:p>
    <w:p w:rsidR="00C94DBC" w:rsidRPr="00C94DBC" w:rsidRDefault="00C94DBC" w:rsidP="00C94DBC">
      <w:pPr>
        <w:contextualSpacing/>
        <w:rPr>
          <w:rFonts w:ascii="Microsoft Sans Serif" w:hAnsi="Calibri"/>
          <w:b/>
          <w:szCs w:val="22"/>
          <w:u w:val="single"/>
        </w:rPr>
      </w:pPr>
    </w:p>
    <w:p w:rsidR="00C94DBC" w:rsidRPr="00C94DBC" w:rsidRDefault="00C94DBC" w:rsidP="00C94DBC">
      <w:pPr>
        <w:contextualSpacing/>
        <w:rPr>
          <w:rFonts w:ascii="Microsoft Sans Serif" w:hAnsi="Calibri"/>
          <w:szCs w:val="22"/>
        </w:rPr>
      </w:pPr>
      <w:r w:rsidRPr="00C94DBC">
        <w:rPr>
          <w:rFonts w:ascii="Microsoft Sans Serif" w:hAnsi="Calibri"/>
          <w:szCs w:val="22"/>
        </w:rPr>
        <w:t>IMOGENE PATTERSON</w:t>
      </w:r>
    </w:p>
    <w:p w:rsidR="00C94DBC" w:rsidRPr="00C94DBC" w:rsidRDefault="00C94DBC" w:rsidP="00C94DBC">
      <w:pPr>
        <w:contextualSpacing/>
        <w:rPr>
          <w:rFonts w:ascii="Microsoft Sans Serif" w:hAnsi="Calibri"/>
          <w:szCs w:val="22"/>
        </w:rPr>
      </w:pPr>
      <w:r w:rsidRPr="00C94DBC">
        <w:rPr>
          <w:rFonts w:ascii="Microsoft Sans Serif" w:hAnsi="Calibri"/>
          <w:szCs w:val="22"/>
        </w:rPr>
        <w:t>1208 WADE STREET</w:t>
      </w:r>
    </w:p>
    <w:p w:rsidR="00C94DBC" w:rsidRPr="00C94DBC" w:rsidRDefault="00C94DBC" w:rsidP="00C94DBC">
      <w:pPr>
        <w:contextualSpacing/>
        <w:rPr>
          <w:rFonts w:ascii="Microsoft Sans Serif" w:hAnsi="Calibri"/>
          <w:szCs w:val="22"/>
        </w:rPr>
      </w:pPr>
      <w:r w:rsidRPr="00C94DBC">
        <w:rPr>
          <w:rFonts w:ascii="Microsoft Sans Serif" w:hAnsi="Calibri"/>
          <w:szCs w:val="22"/>
        </w:rPr>
        <w:t>ALIQUIPPA PA  15001</w:t>
      </w:r>
    </w:p>
    <w:p w:rsidR="00C94DBC" w:rsidRPr="00C94DBC" w:rsidRDefault="00C94DBC" w:rsidP="00C94DBC">
      <w:pPr>
        <w:contextualSpacing/>
        <w:rPr>
          <w:rFonts w:ascii="Microsoft Sans Serif" w:hAnsi="Calibri"/>
          <w:szCs w:val="22"/>
        </w:rPr>
      </w:pPr>
      <w:r w:rsidRPr="00C94DBC">
        <w:rPr>
          <w:rFonts w:ascii="Microsoft Sans Serif" w:hAnsi="Calibri"/>
          <w:szCs w:val="22"/>
        </w:rPr>
        <w:t>724.375.5954</w:t>
      </w:r>
    </w:p>
    <w:p w:rsidR="00C94DBC" w:rsidRPr="00C94DBC" w:rsidRDefault="00C94DBC" w:rsidP="00C94DBC">
      <w:pPr>
        <w:contextualSpacing/>
        <w:rPr>
          <w:rFonts w:ascii="Microsoft Sans Serif" w:hAnsi="Calibri"/>
          <w:szCs w:val="22"/>
        </w:rPr>
      </w:pPr>
    </w:p>
    <w:p w:rsidR="00C94DBC" w:rsidRPr="00C94DBC" w:rsidRDefault="00C94DBC" w:rsidP="00C94DBC">
      <w:pPr>
        <w:contextualSpacing/>
        <w:rPr>
          <w:rFonts w:ascii="Microsoft Sans Serif" w:hAnsi="Calibri"/>
          <w:szCs w:val="22"/>
        </w:rPr>
      </w:pPr>
    </w:p>
    <w:p w:rsidR="00C94DBC" w:rsidRPr="00C94DBC" w:rsidRDefault="00C94DBC" w:rsidP="00C94DBC">
      <w:pPr>
        <w:contextualSpacing/>
        <w:rPr>
          <w:rFonts w:ascii="Microsoft Sans Serif" w:hAnsi="Calibri"/>
          <w:szCs w:val="22"/>
        </w:rPr>
      </w:pPr>
      <w:r w:rsidRPr="00C94DBC">
        <w:rPr>
          <w:rFonts w:ascii="Microsoft Sans Serif" w:hAnsi="Calibri"/>
          <w:szCs w:val="22"/>
        </w:rPr>
        <w:t xml:space="preserve">LAUREN N WOLESLAGLE ESQUIRE </w:t>
      </w:r>
    </w:p>
    <w:p w:rsidR="00C94DBC" w:rsidRPr="00C94DBC" w:rsidRDefault="00C94DBC" w:rsidP="00C94DBC">
      <w:pPr>
        <w:contextualSpacing/>
        <w:rPr>
          <w:rFonts w:ascii="Microsoft Sans Serif" w:hAnsi="Calibri"/>
          <w:szCs w:val="22"/>
        </w:rPr>
      </w:pPr>
      <w:r w:rsidRPr="00C94DBC">
        <w:rPr>
          <w:rFonts w:ascii="Microsoft Sans Serif" w:hAnsi="Calibri"/>
          <w:szCs w:val="22"/>
        </w:rPr>
        <w:t>JEREMY V FARRELL ESQUIRE</w:t>
      </w:r>
    </w:p>
    <w:p w:rsidR="00C94DBC" w:rsidRPr="00C94DBC" w:rsidRDefault="00C94DBC" w:rsidP="00C94DBC">
      <w:pPr>
        <w:contextualSpacing/>
        <w:rPr>
          <w:rFonts w:ascii="Microsoft Sans Serif" w:hAnsi="Calibri"/>
          <w:szCs w:val="22"/>
        </w:rPr>
      </w:pPr>
      <w:r w:rsidRPr="00C94DBC">
        <w:rPr>
          <w:rFonts w:ascii="Microsoft Sans Serif" w:hAnsi="Calibri"/>
          <w:szCs w:val="22"/>
        </w:rPr>
        <w:t>TUCKER ARENSBERG PC</w:t>
      </w:r>
    </w:p>
    <w:p w:rsidR="00C94DBC" w:rsidRPr="00C94DBC" w:rsidRDefault="00C94DBC" w:rsidP="00C94DBC">
      <w:pPr>
        <w:contextualSpacing/>
        <w:rPr>
          <w:rFonts w:ascii="Microsoft Sans Serif" w:hAnsi="Calibri"/>
          <w:szCs w:val="22"/>
        </w:rPr>
      </w:pPr>
      <w:r w:rsidRPr="00C94DBC">
        <w:rPr>
          <w:rFonts w:ascii="Microsoft Sans Serif" w:hAnsi="Calibri"/>
          <w:szCs w:val="22"/>
        </w:rPr>
        <w:t>1500 ONE PPG PLACE</w:t>
      </w:r>
    </w:p>
    <w:p w:rsidR="00C94DBC" w:rsidRPr="00C94DBC" w:rsidRDefault="00C94DBC" w:rsidP="00C94DBC">
      <w:pPr>
        <w:contextualSpacing/>
        <w:rPr>
          <w:rFonts w:ascii="Microsoft Sans Serif" w:hAnsi="Calibri"/>
          <w:szCs w:val="22"/>
        </w:rPr>
      </w:pPr>
      <w:r w:rsidRPr="00C94DBC">
        <w:rPr>
          <w:rFonts w:ascii="Microsoft Sans Serif" w:hAnsi="Calibri"/>
          <w:szCs w:val="22"/>
        </w:rPr>
        <w:t>PITTSBURGH PA  15222</w:t>
      </w:r>
    </w:p>
    <w:p w:rsidR="00C94DBC" w:rsidRPr="00C94DBC" w:rsidRDefault="00C94DBC" w:rsidP="00C94DBC">
      <w:pPr>
        <w:contextualSpacing/>
        <w:rPr>
          <w:rFonts w:ascii="Microsoft Sans Serif" w:hAnsi="Calibri"/>
          <w:szCs w:val="22"/>
        </w:rPr>
      </w:pPr>
      <w:r w:rsidRPr="00C94DBC">
        <w:rPr>
          <w:rFonts w:ascii="Microsoft Sans Serif" w:hAnsi="Calibri"/>
          <w:szCs w:val="22"/>
        </w:rPr>
        <w:t>412.594.3938</w:t>
      </w:r>
    </w:p>
    <w:p w:rsidR="00C94DBC" w:rsidRPr="00C94DBC" w:rsidRDefault="00C94DBC" w:rsidP="00C94DBC">
      <w:pPr>
        <w:contextualSpacing/>
        <w:rPr>
          <w:rFonts w:ascii="Calibri" w:hAnsi="Calibri"/>
          <w:b/>
          <w:i/>
          <w:sz w:val="22"/>
          <w:szCs w:val="22"/>
          <w:u w:val="single"/>
        </w:rPr>
      </w:pPr>
      <w:r w:rsidRPr="00C94DBC">
        <w:rPr>
          <w:rFonts w:ascii="Microsoft Sans Serif" w:hAnsi="Calibri"/>
          <w:b/>
          <w:i/>
          <w:szCs w:val="22"/>
          <w:u w:val="single"/>
        </w:rPr>
        <w:t>-ACCEPTS ELECTRONIC SERVICE-</w:t>
      </w:r>
    </w:p>
    <w:p w:rsidR="00796D34" w:rsidRPr="00101496" w:rsidRDefault="00796D34"/>
    <w:sectPr w:rsidR="00796D34" w:rsidRPr="00101496" w:rsidSect="00B56A97">
      <w:footerReference w:type="first" r:id="rId12"/>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E0" w:rsidRDefault="002136E0" w:rsidP="002D00BA">
      <w:r>
        <w:separator/>
      </w:r>
    </w:p>
  </w:endnote>
  <w:endnote w:type="continuationSeparator" w:id="0">
    <w:p w:rsidR="002136E0" w:rsidRDefault="002136E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213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063287">
      <w:rPr>
        <w:rStyle w:val="PageNumber"/>
        <w:noProof/>
        <w:sz w:val="20"/>
        <w:szCs w:val="20"/>
      </w:rPr>
      <w:t>3</w:t>
    </w:r>
    <w:r w:rsidRPr="0014242F">
      <w:rPr>
        <w:rStyle w:val="PageNumber"/>
        <w:sz w:val="20"/>
        <w:szCs w:val="20"/>
      </w:rPr>
      <w:fldChar w:fldCharType="end"/>
    </w:r>
  </w:p>
  <w:p w:rsidR="00B56A97" w:rsidRDefault="00213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20167"/>
      <w:docPartObj>
        <w:docPartGallery w:val="Page Numbers (Bottom of Page)"/>
        <w:docPartUnique/>
      </w:docPartObj>
    </w:sdtPr>
    <w:sdtEndPr>
      <w:rPr>
        <w:noProof/>
        <w:sz w:val="20"/>
        <w:szCs w:val="20"/>
      </w:rPr>
    </w:sdtEndPr>
    <w:sdtContent>
      <w:p w:rsidR="00C94DBC" w:rsidRPr="00C94DBC" w:rsidRDefault="00C94DBC">
        <w:pPr>
          <w:pStyle w:val="Footer"/>
          <w:jc w:val="center"/>
          <w:rPr>
            <w:sz w:val="20"/>
            <w:szCs w:val="20"/>
          </w:rPr>
        </w:pPr>
        <w:r w:rsidRPr="00C94DBC">
          <w:rPr>
            <w:sz w:val="20"/>
            <w:szCs w:val="20"/>
          </w:rPr>
          <w:fldChar w:fldCharType="begin"/>
        </w:r>
        <w:r w:rsidRPr="00C94DBC">
          <w:rPr>
            <w:sz w:val="20"/>
            <w:szCs w:val="20"/>
          </w:rPr>
          <w:instrText xml:space="preserve"> PAGE   \* MERGEFORMAT </w:instrText>
        </w:r>
        <w:r w:rsidRPr="00C94DBC">
          <w:rPr>
            <w:sz w:val="20"/>
            <w:szCs w:val="20"/>
          </w:rPr>
          <w:fldChar w:fldCharType="separate"/>
        </w:r>
        <w:r w:rsidR="00063287">
          <w:rPr>
            <w:noProof/>
            <w:sz w:val="20"/>
            <w:szCs w:val="20"/>
          </w:rPr>
          <w:t>2</w:t>
        </w:r>
        <w:r w:rsidRPr="00C94DBC">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BC" w:rsidRPr="00C94DBC" w:rsidRDefault="00C94DB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E0" w:rsidRDefault="002136E0" w:rsidP="002D00BA">
      <w:r>
        <w:separator/>
      </w:r>
    </w:p>
  </w:footnote>
  <w:footnote w:type="continuationSeparator" w:id="0">
    <w:p w:rsidR="002136E0" w:rsidRDefault="002136E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2931F9"/>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7734100"/>
    <w:multiLevelType w:val="hybridMultilevel"/>
    <w:tmpl w:val="543043DC"/>
    <w:lvl w:ilvl="0" w:tplc="52747B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2124"/>
    <w:rsid w:val="00014603"/>
    <w:rsid w:val="00014641"/>
    <w:rsid w:val="000147D3"/>
    <w:rsid w:val="00025102"/>
    <w:rsid w:val="00032D69"/>
    <w:rsid w:val="00046141"/>
    <w:rsid w:val="00054349"/>
    <w:rsid w:val="00063287"/>
    <w:rsid w:val="000648A8"/>
    <w:rsid w:val="0006552F"/>
    <w:rsid w:val="0008408B"/>
    <w:rsid w:val="0009673F"/>
    <w:rsid w:val="000D378F"/>
    <w:rsid w:val="000E2207"/>
    <w:rsid w:val="00101496"/>
    <w:rsid w:val="00106ABB"/>
    <w:rsid w:val="00111EB0"/>
    <w:rsid w:val="001134A1"/>
    <w:rsid w:val="00142E9B"/>
    <w:rsid w:val="00144FE0"/>
    <w:rsid w:val="001C3D0D"/>
    <w:rsid w:val="001D201E"/>
    <w:rsid w:val="001E0230"/>
    <w:rsid w:val="002136E0"/>
    <w:rsid w:val="00243074"/>
    <w:rsid w:val="00247F37"/>
    <w:rsid w:val="002547E2"/>
    <w:rsid w:val="00261F6F"/>
    <w:rsid w:val="0027102C"/>
    <w:rsid w:val="0027329A"/>
    <w:rsid w:val="00285F9A"/>
    <w:rsid w:val="00293DA4"/>
    <w:rsid w:val="002D00BA"/>
    <w:rsid w:val="002E6FEC"/>
    <w:rsid w:val="002F691A"/>
    <w:rsid w:val="00314184"/>
    <w:rsid w:val="00350408"/>
    <w:rsid w:val="003A1351"/>
    <w:rsid w:val="003A4AF5"/>
    <w:rsid w:val="004046C3"/>
    <w:rsid w:val="0041671A"/>
    <w:rsid w:val="00430A42"/>
    <w:rsid w:val="00431FCD"/>
    <w:rsid w:val="004438AB"/>
    <w:rsid w:val="00451017"/>
    <w:rsid w:val="00451BDC"/>
    <w:rsid w:val="00454119"/>
    <w:rsid w:val="0046111E"/>
    <w:rsid w:val="0046299B"/>
    <w:rsid w:val="00470CC3"/>
    <w:rsid w:val="00472823"/>
    <w:rsid w:val="00485A6F"/>
    <w:rsid w:val="00496BEF"/>
    <w:rsid w:val="004A2A6B"/>
    <w:rsid w:val="004B6F9F"/>
    <w:rsid w:val="004F00A0"/>
    <w:rsid w:val="004F2CB2"/>
    <w:rsid w:val="004F715B"/>
    <w:rsid w:val="00500B48"/>
    <w:rsid w:val="00503D3D"/>
    <w:rsid w:val="00507DAB"/>
    <w:rsid w:val="005204B9"/>
    <w:rsid w:val="005533AA"/>
    <w:rsid w:val="00553799"/>
    <w:rsid w:val="005613F5"/>
    <w:rsid w:val="005628BE"/>
    <w:rsid w:val="00575A71"/>
    <w:rsid w:val="005B233E"/>
    <w:rsid w:val="005B5B2C"/>
    <w:rsid w:val="005B6599"/>
    <w:rsid w:val="005C24B1"/>
    <w:rsid w:val="005C4E4D"/>
    <w:rsid w:val="005D1204"/>
    <w:rsid w:val="005E1066"/>
    <w:rsid w:val="005F0860"/>
    <w:rsid w:val="005F543D"/>
    <w:rsid w:val="005F7525"/>
    <w:rsid w:val="00600548"/>
    <w:rsid w:val="0061512C"/>
    <w:rsid w:val="00627CC1"/>
    <w:rsid w:val="00630410"/>
    <w:rsid w:val="006408A3"/>
    <w:rsid w:val="006722E8"/>
    <w:rsid w:val="00674D86"/>
    <w:rsid w:val="006A24CA"/>
    <w:rsid w:val="006B1224"/>
    <w:rsid w:val="006C1EEF"/>
    <w:rsid w:val="006D1BA9"/>
    <w:rsid w:val="006D4502"/>
    <w:rsid w:val="006D57E4"/>
    <w:rsid w:val="006D6E10"/>
    <w:rsid w:val="006E1F28"/>
    <w:rsid w:val="00700AB6"/>
    <w:rsid w:val="00715EAA"/>
    <w:rsid w:val="0072133B"/>
    <w:rsid w:val="00743085"/>
    <w:rsid w:val="0075143A"/>
    <w:rsid w:val="00785F44"/>
    <w:rsid w:val="00796D34"/>
    <w:rsid w:val="007A2130"/>
    <w:rsid w:val="007A31AC"/>
    <w:rsid w:val="007A5720"/>
    <w:rsid w:val="007B1254"/>
    <w:rsid w:val="007B7792"/>
    <w:rsid w:val="007C6E1B"/>
    <w:rsid w:val="0082202F"/>
    <w:rsid w:val="00867AA7"/>
    <w:rsid w:val="00881DC7"/>
    <w:rsid w:val="00884DD3"/>
    <w:rsid w:val="008C0CD8"/>
    <w:rsid w:val="008D798E"/>
    <w:rsid w:val="008E2A71"/>
    <w:rsid w:val="008E70AB"/>
    <w:rsid w:val="00904BE4"/>
    <w:rsid w:val="00920D7C"/>
    <w:rsid w:val="00975DBC"/>
    <w:rsid w:val="00977564"/>
    <w:rsid w:val="009B15CA"/>
    <w:rsid w:val="009B4006"/>
    <w:rsid w:val="009B61D0"/>
    <w:rsid w:val="009D7C61"/>
    <w:rsid w:val="009E66EF"/>
    <w:rsid w:val="009F0343"/>
    <w:rsid w:val="00A01A98"/>
    <w:rsid w:val="00A030D4"/>
    <w:rsid w:val="00A05024"/>
    <w:rsid w:val="00A0515A"/>
    <w:rsid w:val="00A06BC7"/>
    <w:rsid w:val="00A42438"/>
    <w:rsid w:val="00A60B4F"/>
    <w:rsid w:val="00A8008A"/>
    <w:rsid w:val="00A96A71"/>
    <w:rsid w:val="00AA0C93"/>
    <w:rsid w:val="00AB18F3"/>
    <w:rsid w:val="00AB29EE"/>
    <w:rsid w:val="00AC0A7D"/>
    <w:rsid w:val="00AD0172"/>
    <w:rsid w:val="00AE70E4"/>
    <w:rsid w:val="00AF7827"/>
    <w:rsid w:val="00B05992"/>
    <w:rsid w:val="00B169E9"/>
    <w:rsid w:val="00B2418B"/>
    <w:rsid w:val="00B30166"/>
    <w:rsid w:val="00B330DC"/>
    <w:rsid w:val="00B44EEA"/>
    <w:rsid w:val="00B46A80"/>
    <w:rsid w:val="00B50E55"/>
    <w:rsid w:val="00B50F8C"/>
    <w:rsid w:val="00B66E50"/>
    <w:rsid w:val="00B724FC"/>
    <w:rsid w:val="00B95D17"/>
    <w:rsid w:val="00B964C1"/>
    <w:rsid w:val="00BB356A"/>
    <w:rsid w:val="00BB5F6F"/>
    <w:rsid w:val="00BC0A78"/>
    <w:rsid w:val="00BC7CCB"/>
    <w:rsid w:val="00BD2040"/>
    <w:rsid w:val="00BD624C"/>
    <w:rsid w:val="00C018EE"/>
    <w:rsid w:val="00C04F07"/>
    <w:rsid w:val="00C05CC0"/>
    <w:rsid w:val="00C13374"/>
    <w:rsid w:val="00C2285E"/>
    <w:rsid w:val="00C321BB"/>
    <w:rsid w:val="00C3359D"/>
    <w:rsid w:val="00C36324"/>
    <w:rsid w:val="00C55638"/>
    <w:rsid w:val="00C71E1E"/>
    <w:rsid w:val="00C8415C"/>
    <w:rsid w:val="00C8470F"/>
    <w:rsid w:val="00C94DBC"/>
    <w:rsid w:val="00CB4D06"/>
    <w:rsid w:val="00CD0A36"/>
    <w:rsid w:val="00D03977"/>
    <w:rsid w:val="00D0400C"/>
    <w:rsid w:val="00D0665C"/>
    <w:rsid w:val="00D10199"/>
    <w:rsid w:val="00D15AD9"/>
    <w:rsid w:val="00D2511F"/>
    <w:rsid w:val="00D300F6"/>
    <w:rsid w:val="00D34CF9"/>
    <w:rsid w:val="00D6161D"/>
    <w:rsid w:val="00D6200E"/>
    <w:rsid w:val="00DB4771"/>
    <w:rsid w:val="00DB6BB9"/>
    <w:rsid w:val="00DC6024"/>
    <w:rsid w:val="00E0325F"/>
    <w:rsid w:val="00E055DB"/>
    <w:rsid w:val="00E07E31"/>
    <w:rsid w:val="00E14244"/>
    <w:rsid w:val="00E53639"/>
    <w:rsid w:val="00E737B5"/>
    <w:rsid w:val="00E84019"/>
    <w:rsid w:val="00EA2BEF"/>
    <w:rsid w:val="00EA5CEA"/>
    <w:rsid w:val="00EB7FB5"/>
    <w:rsid w:val="00EE7F80"/>
    <w:rsid w:val="00EF1233"/>
    <w:rsid w:val="00EF42B9"/>
    <w:rsid w:val="00EF7B1F"/>
    <w:rsid w:val="00F13889"/>
    <w:rsid w:val="00F17051"/>
    <w:rsid w:val="00F43A13"/>
    <w:rsid w:val="00F46335"/>
    <w:rsid w:val="00F62C87"/>
    <w:rsid w:val="00F63800"/>
    <w:rsid w:val="00F65406"/>
    <w:rsid w:val="00F72956"/>
    <w:rsid w:val="00F779C2"/>
    <w:rsid w:val="00F80476"/>
    <w:rsid w:val="00F95642"/>
    <w:rsid w:val="00FA38A9"/>
    <w:rsid w:val="00FA4930"/>
    <w:rsid w:val="00FB38FE"/>
    <w:rsid w:val="00FC68F8"/>
    <w:rsid w:val="00FC6F2B"/>
    <w:rsid w:val="00FD0E59"/>
    <w:rsid w:val="00FD4675"/>
    <w:rsid w:val="00FE1F85"/>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3889"/>
    <w:pPr>
      <w:tabs>
        <w:tab w:val="center" w:pos="4320"/>
        <w:tab w:val="right" w:pos="8640"/>
      </w:tabs>
    </w:pPr>
  </w:style>
  <w:style w:type="character" w:customStyle="1" w:styleId="FooterChar">
    <w:name w:val="Footer Char"/>
    <w:basedOn w:val="DefaultParagraphFont"/>
    <w:link w:val="Footer"/>
    <w:uiPriority w:val="99"/>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3889"/>
    <w:pPr>
      <w:tabs>
        <w:tab w:val="center" w:pos="4320"/>
        <w:tab w:val="right" w:pos="8640"/>
      </w:tabs>
    </w:pPr>
  </w:style>
  <w:style w:type="character" w:customStyle="1" w:styleId="FooterChar">
    <w:name w:val="Footer Char"/>
    <w:basedOn w:val="DefaultParagraphFont"/>
    <w:link w:val="Footer"/>
    <w:uiPriority w:val="99"/>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6029">
      <w:bodyDiv w:val="1"/>
      <w:marLeft w:val="0"/>
      <w:marRight w:val="0"/>
      <w:marTop w:val="0"/>
      <w:marBottom w:val="0"/>
      <w:divBdr>
        <w:top w:val="none" w:sz="0" w:space="0" w:color="auto"/>
        <w:left w:val="none" w:sz="0" w:space="0" w:color="auto"/>
        <w:bottom w:val="none" w:sz="0" w:space="0" w:color="auto"/>
        <w:right w:val="none" w:sz="0" w:space="0" w:color="auto"/>
      </w:divBdr>
    </w:div>
    <w:div w:id="8609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68C1-F693-4430-8904-D668EEA8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28</cp:revision>
  <cp:lastPrinted>2015-12-30T14:16:00Z</cp:lastPrinted>
  <dcterms:created xsi:type="dcterms:W3CDTF">2015-12-21T13:37:00Z</dcterms:created>
  <dcterms:modified xsi:type="dcterms:W3CDTF">2015-12-30T15:28:00Z</dcterms:modified>
</cp:coreProperties>
</file>