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13A42" w:rsidRDefault="008A07F3" w:rsidP="00C13A42">
      <w:pPr>
        <w:jc w:val="center"/>
        <w:rPr>
          <w:b/>
          <w:sz w:val="24"/>
          <w:szCs w:val="24"/>
        </w:rPr>
      </w:pPr>
      <w:r>
        <w:rPr>
          <w:b/>
          <w:sz w:val="24"/>
          <w:szCs w:val="24"/>
        </w:rPr>
        <w:lastRenderedPageBreak/>
        <w:t>December 31, 2015</w:t>
      </w:r>
    </w:p>
    <w:p w:rsidR="00F00F7F" w:rsidRDefault="00130671" w:rsidP="00B95A27">
      <w:pPr>
        <w:jc w:val="right"/>
        <w:rPr>
          <w:sz w:val="21"/>
          <w:szCs w:val="21"/>
        </w:rPr>
      </w:pPr>
      <w:r>
        <w:rPr>
          <w:sz w:val="21"/>
          <w:szCs w:val="21"/>
        </w:rPr>
        <w:t xml:space="preserve">Docket No. </w:t>
      </w:r>
      <w:r w:rsidR="0043103D">
        <w:rPr>
          <w:sz w:val="21"/>
          <w:szCs w:val="21"/>
        </w:rPr>
        <w:t>R-</w:t>
      </w:r>
      <w:r w:rsidR="000D2E37">
        <w:rPr>
          <w:sz w:val="21"/>
          <w:szCs w:val="21"/>
        </w:rPr>
        <w:t>2015-2469275</w:t>
      </w: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B45AC9" w:rsidRDefault="000D2E37" w:rsidP="00B45673">
      <w:pPr>
        <w:rPr>
          <w:sz w:val="21"/>
          <w:szCs w:val="21"/>
        </w:rPr>
      </w:pPr>
      <w:r>
        <w:rPr>
          <w:sz w:val="21"/>
          <w:szCs w:val="21"/>
        </w:rPr>
        <w:t>DAVID B MACGREGOR</w:t>
      </w:r>
    </w:p>
    <w:p w:rsidR="000D2E37" w:rsidRDefault="000D2E37" w:rsidP="00B45673">
      <w:pPr>
        <w:rPr>
          <w:sz w:val="21"/>
          <w:szCs w:val="21"/>
        </w:rPr>
      </w:pPr>
      <w:r>
        <w:rPr>
          <w:sz w:val="21"/>
          <w:szCs w:val="21"/>
        </w:rPr>
        <w:t xml:space="preserve">POST &amp; SCHELL </w:t>
      </w:r>
    </w:p>
    <w:p w:rsidR="000D2E37" w:rsidRDefault="000D2E37" w:rsidP="00B45673">
      <w:pPr>
        <w:rPr>
          <w:sz w:val="21"/>
          <w:szCs w:val="21"/>
        </w:rPr>
      </w:pPr>
      <w:r>
        <w:rPr>
          <w:sz w:val="21"/>
          <w:szCs w:val="21"/>
        </w:rPr>
        <w:t>17 NORTH SECOND STREET</w:t>
      </w:r>
    </w:p>
    <w:p w:rsidR="000D2E37" w:rsidRDefault="000D2E37" w:rsidP="00B45673">
      <w:pPr>
        <w:rPr>
          <w:sz w:val="21"/>
          <w:szCs w:val="21"/>
        </w:rPr>
      </w:pPr>
      <w:r>
        <w:rPr>
          <w:sz w:val="21"/>
          <w:szCs w:val="21"/>
        </w:rPr>
        <w:t>12</w:t>
      </w:r>
      <w:r w:rsidRPr="000D2E37">
        <w:rPr>
          <w:sz w:val="21"/>
          <w:szCs w:val="21"/>
          <w:vertAlign w:val="superscript"/>
        </w:rPr>
        <w:t>TH</w:t>
      </w:r>
      <w:r>
        <w:rPr>
          <w:sz w:val="21"/>
          <w:szCs w:val="21"/>
        </w:rPr>
        <w:t xml:space="preserve"> FLOOR</w:t>
      </w:r>
    </w:p>
    <w:p w:rsidR="000D2E37" w:rsidRPr="00AB60E6" w:rsidRDefault="000D2E37" w:rsidP="00B45673">
      <w:pPr>
        <w:rPr>
          <w:sz w:val="21"/>
          <w:szCs w:val="21"/>
        </w:rPr>
      </w:pPr>
      <w:r>
        <w:rPr>
          <w:sz w:val="21"/>
          <w:szCs w:val="21"/>
        </w:rPr>
        <w:t>HARRISBURG PA  17101-1601</w:t>
      </w:r>
    </w:p>
    <w:p w:rsidR="00B45673" w:rsidRDefault="00B45673" w:rsidP="00B45673">
      <w:pPr>
        <w:rPr>
          <w:sz w:val="21"/>
          <w:szCs w:val="21"/>
        </w:rPr>
      </w:pPr>
    </w:p>
    <w:p w:rsidR="00C13A42" w:rsidRDefault="00C13A42" w:rsidP="00B45673">
      <w:pPr>
        <w:rPr>
          <w:sz w:val="21"/>
          <w:szCs w:val="21"/>
        </w:rPr>
      </w:pPr>
    </w:p>
    <w:p w:rsidR="00C13A42" w:rsidRDefault="00C13A42" w:rsidP="00B45673">
      <w:pPr>
        <w:rPr>
          <w:sz w:val="21"/>
          <w:szCs w:val="21"/>
        </w:rPr>
      </w:pPr>
    </w:p>
    <w:p w:rsidR="005B55BC" w:rsidRDefault="005B55BC" w:rsidP="00D16063">
      <w:pPr>
        <w:ind w:left="1080" w:hanging="360"/>
        <w:rPr>
          <w:sz w:val="21"/>
          <w:szCs w:val="21"/>
        </w:rPr>
      </w:pPr>
    </w:p>
    <w:p w:rsidR="005B55BC" w:rsidRDefault="005B55BC" w:rsidP="00D16063">
      <w:pPr>
        <w:ind w:left="1080" w:hanging="360"/>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5B55BC">
        <w:rPr>
          <w:sz w:val="21"/>
          <w:szCs w:val="21"/>
        </w:rPr>
        <w:t>PPL Electric Utilities Corporation Supplement No. 194 to Tariff Electric Pa. P.U.C. No. 201</w:t>
      </w:r>
    </w:p>
    <w:p w:rsidR="00130671" w:rsidRPr="00873C66" w:rsidRDefault="00130671" w:rsidP="00D16063">
      <w:pPr>
        <w:ind w:left="1080" w:hanging="360"/>
        <w:rPr>
          <w:sz w:val="21"/>
          <w:szCs w:val="21"/>
        </w:rPr>
      </w:pPr>
      <w:r>
        <w:rPr>
          <w:sz w:val="21"/>
          <w:szCs w:val="21"/>
        </w:rPr>
        <w:t xml:space="preserve">      </w:t>
      </w:r>
    </w:p>
    <w:p w:rsidR="005B55BC" w:rsidRDefault="005B55BC" w:rsidP="00B45673">
      <w:pPr>
        <w:rPr>
          <w:sz w:val="21"/>
          <w:szCs w:val="21"/>
        </w:rPr>
      </w:pPr>
    </w:p>
    <w:p w:rsidR="00B45673" w:rsidRPr="00AB60E6" w:rsidRDefault="00B45673" w:rsidP="00B45673">
      <w:pPr>
        <w:rPr>
          <w:sz w:val="21"/>
          <w:szCs w:val="21"/>
        </w:rPr>
      </w:pPr>
      <w:r w:rsidRPr="00AB60E6">
        <w:rPr>
          <w:sz w:val="21"/>
          <w:szCs w:val="21"/>
        </w:rPr>
        <w:t xml:space="preserve">Dear </w:t>
      </w:r>
      <w:r w:rsidR="005B55BC">
        <w:rPr>
          <w:sz w:val="21"/>
          <w:szCs w:val="21"/>
        </w:rPr>
        <w:t>Mr. MacGregor</w:t>
      </w:r>
      <w:r w:rsidR="006D5846">
        <w:rPr>
          <w:sz w:val="21"/>
          <w:szCs w:val="21"/>
        </w:rPr>
        <w:t>:</w:t>
      </w:r>
    </w:p>
    <w:p w:rsidR="00B45673" w:rsidRPr="00AB60E6" w:rsidRDefault="00B45673" w:rsidP="00B45673">
      <w:pPr>
        <w:rPr>
          <w:sz w:val="21"/>
          <w:szCs w:val="21"/>
        </w:rPr>
      </w:pPr>
    </w:p>
    <w:p w:rsidR="00E8069B" w:rsidRDefault="00B45673" w:rsidP="00DD2FE2">
      <w:pPr>
        <w:rPr>
          <w:sz w:val="21"/>
          <w:szCs w:val="21"/>
        </w:rPr>
      </w:pPr>
      <w:r w:rsidRPr="00AB60E6">
        <w:rPr>
          <w:sz w:val="21"/>
          <w:szCs w:val="21"/>
        </w:rPr>
        <w:tab/>
      </w:r>
      <w:r w:rsidR="00AB60E6" w:rsidRPr="00AB60E6">
        <w:rPr>
          <w:sz w:val="21"/>
          <w:szCs w:val="21"/>
        </w:rPr>
        <w:tab/>
      </w:r>
      <w:r w:rsidR="009527F2">
        <w:rPr>
          <w:sz w:val="21"/>
          <w:szCs w:val="21"/>
        </w:rPr>
        <w:t>By Order entered</w:t>
      </w:r>
      <w:r w:rsidR="00C13A42">
        <w:rPr>
          <w:sz w:val="21"/>
          <w:szCs w:val="21"/>
        </w:rPr>
        <w:t xml:space="preserve"> </w:t>
      </w:r>
      <w:r w:rsidR="00483A05">
        <w:rPr>
          <w:sz w:val="21"/>
          <w:szCs w:val="21"/>
        </w:rPr>
        <w:t>November 19, 2015</w:t>
      </w:r>
      <w:r w:rsidR="004C741D">
        <w:rPr>
          <w:sz w:val="21"/>
          <w:szCs w:val="21"/>
        </w:rPr>
        <w:t xml:space="preserve">, the Commission </w:t>
      </w:r>
      <w:r w:rsidR="006861B6">
        <w:rPr>
          <w:sz w:val="21"/>
          <w:szCs w:val="21"/>
        </w:rPr>
        <w:t xml:space="preserve">authorized </w:t>
      </w:r>
      <w:r w:rsidR="00483A05">
        <w:rPr>
          <w:sz w:val="21"/>
          <w:szCs w:val="21"/>
        </w:rPr>
        <w:t>PPL Electric Utilities Corporation</w:t>
      </w:r>
      <w:r w:rsidR="00255B27">
        <w:rPr>
          <w:sz w:val="21"/>
          <w:szCs w:val="21"/>
        </w:rPr>
        <w:t xml:space="preserve"> (C</w:t>
      </w:r>
      <w:r w:rsidR="006861B6">
        <w:rPr>
          <w:sz w:val="21"/>
          <w:szCs w:val="21"/>
        </w:rPr>
        <w:t>ompany)</w:t>
      </w:r>
      <w:r w:rsidR="005E0496">
        <w:rPr>
          <w:sz w:val="21"/>
          <w:szCs w:val="21"/>
        </w:rPr>
        <w:t xml:space="preserve"> </w:t>
      </w:r>
      <w:r w:rsidR="006861B6">
        <w:rPr>
          <w:sz w:val="21"/>
          <w:szCs w:val="21"/>
        </w:rPr>
        <w:t xml:space="preserve">to file </w:t>
      </w:r>
      <w:r w:rsidR="005E0496">
        <w:rPr>
          <w:sz w:val="21"/>
          <w:szCs w:val="21"/>
        </w:rPr>
        <w:t xml:space="preserve">a </w:t>
      </w:r>
      <w:r w:rsidR="00130671">
        <w:rPr>
          <w:sz w:val="21"/>
          <w:szCs w:val="21"/>
        </w:rPr>
        <w:t xml:space="preserve">tariff supplement </w:t>
      </w:r>
      <w:r w:rsidR="00255B27">
        <w:rPr>
          <w:sz w:val="21"/>
          <w:szCs w:val="21"/>
        </w:rPr>
        <w:t>in</w:t>
      </w:r>
      <w:r w:rsidR="00483A05">
        <w:rPr>
          <w:sz w:val="21"/>
          <w:szCs w:val="21"/>
        </w:rPr>
        <w:t>corporating the terms of</w:t>
      </w:r>
      <w:r w:rsidR="00255B27">
        <w:rPr>
          <w:sz w:val="21"/>
          <w:szCs w:val="21"/>
        </w:rPr>
        <w:t xml:space="preserve"> the Joint Petition</w:t>
      </w:r>
      <w:r w:rsidR="00483A05">
        <w:rPr>
          <w:sz w:val="21"/>
          <w:szCs w:val="21"/>
        </w:rPr>
        <w:t xml:space="preserve"> for Approval of Settlement of All Issues and changes to rates, rules and regulations as set forth in Appendix A of the Joint Petition for Approval of Settlement of All Issues</w:t>
      </w:r>
      <w:r w:rsidR="00B34CCF">
        <w:rPr>
          <w:sz w:val="21"/>
          <w:szCs w:val="21"/>
        </w:rPr>
        <w:t>,</w:t>
      </w:r>
      <w:r w:rsidR="00255B27">
        <w:rPr>
          <w:sz w:val="21"/>
          <w:szCs w:val="21"/>
        </w:rPr>
        <w:t xml:space="preserve"> filed in the above docketed rate investigation</w:t>
      </w:r>
      <w:r w:rsidR="00A4155F">
        <w:rPr>
          <w:sz w:val="21"/>
          <w:szCs w:val="21"/>
        </w:rPr>
        <w:t xml:space="preserve">.  </w:t>
      </w:r>
      <w:r w:rsidR="006861B6">
        <w:rPr>
          <w:sz w:val="21"/>
          <w:szCs w:val="21"/>
        </w:rPr>
        <w:t xml:space="preserve">On </w:t>
      </w:r>
      <w:r w:rsidR="00B34CCF">
        <w:rPr>
          <w:sz w:val="21"/>
          <w:szCs w:val="21"/>
        </w:rPr>
        <w:t>December 18, 2015</w:t>
      </w:r>
      <w:r w:rsidR="006861B6">
        <w:rPr>
          <w:sz w:val="21"/>
          <w:szCs w:val="21"/>
        </w:rPr>
        <w:t xml:space="preserve">, the </w:t>
      </w:r>
      <w:r w:rsidR="004F5F75">
        <w:rPr>
          <w:sz w:val="21"/>
          <w:szCs w:val="21"/>
        </w:rPr>
        <w:t>C</w:t>
      </w:r>
      <w:r w:rsidR="006861B6">
        <w:rPr>
          <w:sz w:val="21"/>
          <w:szCs w:val="21"/>
        </w:rPr>
        <w:t>ompany</w:t>
      </w:r>
      <w:r w:rsidR="004F5F75">
        <w:rPr>
          <w:sz w:val="21"/>
          <w:szCs w:val="21"/>
        </w:rPr>
        <w:t xml:space="preserve"> filed </w:t>
      </w:r>
      <w:r w:rsidR="00B34CCF">
        <w:rPr>
          <w:sz w:val="21"/>
          <w:szCs w:val="21"/>
        </w:rPr>
        <w:t xml:space="preserve">Supplement No. 194 to Tariff Electric Pa. P.U.C. No. 201 </w:t>
      </w:r>
      <w:r w:rsidR="00E8069B">
        <w:rPr>
          <w:sz w:val="21"/>
          <w:szCs w:val="21"/>
        </w:rPr>
        <w:t xml:space="preserve">to become effective </w:t>
      </w:r>
      <w:r w:rsidR="00B34CCF">
        <w:rPr>
          <w:sz w:val="21"/>
          <w:szCs w:val="21"/>
        </w:rPr>
        <w:t>January 1, 2016 which increases rates so as to produce an annual increase in distribution rate revenues of not more than $124,000,000</w:t>
      </w:r>
      <w:r w:rsidR="00E8069B">
        <w:rPr>
          <w:sz w:val="21"/>
          <w:szCs w:val="21"/>
        </w:rPr>
        <w:t>.</w:t>
      </w:r>
      <w:r w:rsidR="00B34CCF">
        <w:rPr>
          <w:sz w:val="21"/>
          <w:szCs w:val="21"/>
        </w:rPr>
        <w:t xml:space="preserve">  </w:t>
      </w:r>
      <w:r w:rsidR="00E8069B">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w:t>
      </w:r>
      <w:r w:rsidR="00B34CCF">
        <w:rPr>
          <w:sz w:val="21"/>
          <w:szCs w:val="21"/>
        </w:rPr>
        <w:t>Supplement No. 194 to Tariff Electric Pa. P.U.C. No. 201</w:t>
      </w:r>
      <w:r w:rsidR="00A4155F">
        <w:rPr>
          <w:sz w:val="21"/>
          <w:szCs w:val="21"/>
        </w:rPr>
        <w:t xml:space="preserve"> is effective by operation of law according to the effective dates contained on each page of the supplement.  However, this is without prejudice to any formal complaints timely filed against said tariff revision</w:t>
      </w:r>
      <w:r w:rsidR="009420A5">
        <w:rPr>
          <w:sz w:val="21"/>
          <w:szCs w:val="21"/>
        </w:rPr>
        <w:t>s</w:t>
      </w:r>
      <w:r w:rsidR="00A4155F">
        <w:rPr>
          <w:sz w:val="21"/>
          <w:szCs w:val="21"/>
        </w:rPr>
        <w:t>.</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r>
      <w:r w:rsidR="009527F2">
        <w:rPr>
          <w:sz w:val="21"/>
          <w:szCs w:val="21"/>
        </w:rPr>
        <w:t xml:space="preserve">If you have any questions in this matter, please contact Marissa Boyle, Bureau of Technical Utility Services, at 717-787-7237 or </w:t>
      </w:r>
      <w:hyperlink r:id="rId9" w:history="1">
        <w:r w:rsidR="009527F2" w:rsidRPr="00374796">
          <w:rPr>
            <w:rStyle w:val="Hyperlink"/>
            <w:sz w:val="21"/>
            <w:szCs w:val="21"/>
          </w:rPr>
          <w:t>maboyle@pa.gov</w:t>
        </w:r>
      </w:hyperlink>
      <w:r w:rsidR="009527F2">
        <w:rPr>
          <w:sz w:val="21"/>
          <w:szCs w:val="21"/>
        </w:rPr>
        <w:t>.</w:t>
      </w: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DD2FE2" w:rsidRPr="00AB60E6" w:rsidRDefault="008A07F3" w:rsidP="00DD2FE2">
      <w:pPr>
        <w:rPr>
          <w:sz w:val="21"/>
          <w:szCs w:val="21"/>
        </w:rPr>
      </w:pPr>
      <w:r>
        <w:rPr>
          <w:noProof/>
        </w:rPr>
        <w:drawing>
          <wp:anchor distT="0" distB="0" distL="114300" distR="114300" simplePos="0" relativeHeight="251659264" behindDoc="1" locked="0" layoutInCell="1" allowOverlap="1" wp14:anchorId="4ED4EED8" wp14:editId="59DBBD98">
            <wp:simplePos x="0" y="0"/>
            <wp:positionH relativeFrom="column">
              <wp:posOffset>3535680</wp:posOffset>
            </wp:positionH>
            <wp:positionV relativeFrom="paragraph">
              <wp:posOffset>88265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bookmarkStart w:id="0" w:name="_GoBack"/>
      <w:bookmarkEnd w:id="0"/>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8A07F3" w:rsidP="008A07F3">
      <w:pPr>
        <w:tabs>
          <w:tab w:val="left" w:pos="6345"/>
        </w:tabs>
        <w:rPr>
          <w:sz w:val="21"/>
          <w:szCs w:val="21"/>
        </w:rPr>
      </w:pPr>
      <w:r>
        <w:rPr>
          <w:sz w:val="21"/>
          <w:szCs w:val="21"/>
        </w:rPr>
        <w:tab/>
      </w: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BED" w:rsidRDefault="005B1BED">
      <w:r>
        <w:separator/>
      </w:r>
    </w:p>
  </w:endnote>
  <w:endnote w:type="continuationSeparator" w:id="0">
    <w:p w:rsidR="005B1BED" w:rsidRDefault="005B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BED" w:rsidRDefault="005B1BED">
      <w:r>
        <w:separator/>
      </w:r>
    </w:p>
  </w:footnote>
  <w:footnote w:type="continuationSeparator" w:id="0">
    <w:p w:rsidR="005B1BED" w:rsidRDefault="005B1B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C326E"/>
    <w:rsid w:val="000C6967"/>
    <w:rsid w:val="000D2908"/>
    <w:rsid w:val="000D2E37"/>
    <w:rsid w:val="000D353A"/>
    <w:rsid w:val="000E7F59"/>
    <w:rsid w:val="000F4747"/>
    <w:rsid w:val="00130671"/>
    <w:rsid w:val="001508ED"/>
    <w:rsid w:val="0017227E"/>
    <w:rsid w:val="001878A7"/>
    <w:rsid w:val="00255B27"/>
    <w:rsid w:val="00260FC4"/>
    <w:rsid w:val="002824E7"/>
    <w:rsid w:val="003461CD"/>
    <w:rsid w:val="003D1F83"/>
    <w:rsid w:val="003D45ED"/>
    <w:rsid w:val="003D613B"/>
    <w:rsid w:val="003F15D5"/>
    <w:rsid w:val="00400D28"/>
    <w:rsid w:val="0043103D"/>
    <w:rsid w:val="00480B00"/>
    <w:rsid w:val="00483A05"/>
    <w:rsid w:val="004C741D"/>
    <w:rsid w:val="004E42FD"/>
    <w:rsid w:val="004F5F75"/>
    <w:rsid w:val="005026DC"/>
    <w:rsid w:val="005056CA"/>
    <w:rsid w:val="00512D8A"/>
    <w:rsid w:val="0056517B"/>
    <w:rsid w:val="005B1BED"/>
    <w:rsid w:val="005B55BC"/>
    <w:rsid w:val="005C7262"/>
    <w:rsid w:val="005E0496"/>
    <w:rsid w:val="005F0888"/>
    <w:rsid w:val="00610700"/>
    <w:rsid w:val="00612FDC"/>
    <w:rsid w:val="0064012A"/>
    <w:rsid w:val="00652F4C"/>
    <w:rsid w:val="006861B6"/>
    <w:rsid w:val="006B2538"/>
    <w:rsid w:val="006D3506"/>
    <w:rsid w:val="006D3801"/>
    <w:rsid w:val="006D5846"/>
    <w:rsid w:val="006E681C"/>
    <w:rsid w:val="00727946"/>
    <w:rsid w:val="00735B63"/>
    <w:rsid w:val="00744865"/>
    <w:rsid w:val="00757E90"/>
    <w:rsid w:val="007C2FEA"/>
    <w:rsid w:val="00826337"/>
    <w:rsid w:val="00873C66"/>
    <w:rsid w:val="008A07F3"/>
    <w:rsid w:val="008A4C7A"/>
    <w:rsid w:val="008C4062"/>
    <w:rsid w:val="008D31D7"/>
    <w:rsid w:val="00920579"/>
    <w:rsid w:val="00926F9A"/>
    <w:rsid w:val="009420A5"/>
    <w:rsid w:val="00946C8F"/>
    <w:rsid w:val="009527F2"/>
    <w:rsid w:val="00953D93"/>
    <w:rsid w:val="009963A1"/>
    <w:rsid w:val="009D51DE"/>
    <w:rsid w:val="009E0384"/>
    <w:rsid w:val="00A338C4"/>
    <w:rsid w:val="00A4155F"/>
    <w:rsid w:val="00A51995"/>
    <w:rsid w:val="00AB60E6"/>
    <w:rsid w:val="00AC103C"/>
    <w:rsid w:val="00AC6EFD"/>
    <w:rsid w:val="00AE41F7"/>
    <w:rsid w:val="00B014FE"/>
    <w:rsid w:val="00B12AA0"/>
    <w:rsid w:val="00B224B4"/>
    <w:rsid w:val="00B32263"/>
    <w:rsid w:val="00B34CCF"/>
    <w:rsid w:val="00B45673"/>
    <w:rsid w:val="00B45AC9"/>
    <w:rsid w:val="00B646A4"/>
    <w:rsid w:val="00B731A6"/>
    <w:rsid w:val="00B7409A"/>
    <w:rsid w:val="00B86822"/>
    <w:rsid w:val="00B93058"/>
    <w:rsid w:val="00B95A27"/>
    <w:rsid w:val="00BB78EB"/>
    <w:rsid w:val="00BF6C18"/>
    <w:rsid w:val="00C04F4E"/>
    <w:rsid w:val="00C10E1B"/>
    <w:rsid w:val="00C13A42"/>
    <w:rsid w:val="00CD6821"/>
    <w:rsid w:val="00CE01FD"/>
    <w:rsid w:val="00D10508"/>
    <w:rsid w:val="00D16063"/>
    <w:rsid w:val="00D24FA2"/>
    <w:rsid w:val="00D678BC"/>
    <w:rsid w:val="00DA08E9"/>
    <w:rsid w:val="00DB7619"/>
    <w:rsid w:val="00DD2FE2"/>
    <w:rsid w:val="00DF3361"/>
    <w:rsid w:val="00E079DB"/>
    <w:rsid w:val="00E127CA"/>
    <w:rsid w:val="00E20E7B"/>
    <w:rsid w:val="00E372DE"/>
    <w:rsid w:val="00E605A0"/>
    <w:rsid w:val="00E8069B"/>
    <w:rsid w:val="00F00F7F"/>
    <w:rsid w:val="00F2123C"/>
    <w:rsid w:val="00F22423"/>
    <w:rsid w:val="00F24BE1"/>
    <w:rsid w:val="00F4231E"/>
    <w:rsid w:val="00F70CBC"/>
    <w:rsid w:val="00F76505"/>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4</cp:revision>
  <cp:lastPrinted>2011-11-22T19:37:00Z</cp:lastPrinted>
  <dcterms:created xsi:type="dcterms:W3CDTF">2015-12-22T18:54:00Z</dcterms:created>
  <dcterms:modified xsi:type="dcterms:W3CDTF">2015-12-31T12:46:00Z</dcterms:modified>
</cp:coreProperties>
</file>