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5861CE" w:rsidP="005861CE">
      <w:pPr>
        <w:spacing w:line="240" w:lineRule="auto"/>
        <w:rPr>
          <w:b/>
        </w:rPr>
      </w:pPr>
      <w:r>
        <w:rPr>
          <w:b/>
        </w:rPr>
        <w:t xml:space="preserve">BEFORE THE </w:t>
      </w:r>
    </w:p>
    <w:p w:rsidR="005861CE" w:rsidRDefault="005861CE" w:rsidP="005861CE">
      <w:pPr>
        <w:spacing w:line="240" w:lineRule="auto"/>
        <w:rPr>
          <w:b/>
        </w:rPr>
      </w:pPr>
      <w:r>
        <w:rPr>
          <w:b/>
        </w:rPr>
        <w:t>PENNSYLVANIA PUBLIC UTILITY COMMISSION</w:t>
      </w:r>
    </w:p>
    <w:p w:rsidR="005861CE" w:rsidRDefault="005861CE" w:rsidP="005861CE">
      <w:pPr>
        <w:spacing w:line="240" w:lineRule="auto"/>
        <w:rPr>
          <w:b/>
        </w:rPr>
      </w:pPr>
    </w:p>
    <w:p w:rsidR="005861CE" w:rsidRDefault="005861CE" w:rsidP="005861CE">
      <w:pPr>
        <w:spacing w:line="240" w:lineRule="auto"/>
        <w:rPr>
          <w:b/>
        </w:rPr>
      </w:pPr>
    </w:p>
    <w:p w:rsidR="006F5DDB" w:rsidRDefault="006F5DDB" w:rsidP="005861CE">
      <w:pPr>
        <w:spacing w:line="240" w:lineRule="auto"/>
        <w:rPr>
          <w:b/>
        </w:rPr>
      </w:pPr>
    </w:p>
    <w:p w:rsidR="005861CE" w:rsidRDefault="0029596D" w:rsidP="005861CE">
      <w:pPr>
        <w:spacing w:line="240" w:lineRule="auto"/>
        <w:jc w:val="left"/>
      </w:pPr>
      <w:r>
        <w:t>David M. Quir</w:t>
      </w:r>
      <w:r w:rsidR="00517F0D">
        <w:t>k</w:t>
      </w:r>
      <w:r w:rsidR="00517F0D">
        <w:tab/>
      </w:r>
      <w:r w:rsidR="00232397">
        <w:tab/>
      </w:r>
      <w:r w:rsidR="00232397">
        <w:tab/>
      </w:r>
      <w:r w:rsidR="00232397">
        <w:tab/>
      </w:r>
      <w:r w:rsidR="00BA1A63">
        <w:tab/>
      </w:r>
      <w:r w:rsidR="005861CE">
        <w:t>:</w:t>
      </w:r>
    </w:p>
    <w:p w:rsidR="005861CE" w:rsidRDefault="005861CE" w:rsidP="005861CE">
      <w:pPr>
        <w:spacing w:line="240" w:lineRule="auto"/>
        <w:jc w:val="left"/>
      </w:pPr>
      <w:r>
        <w:tab/>
      </w:r>
      <w:r>
        <w:tab/>
      </w:r>
      <w:r>
        <w:tab/>
      </w:r>
      <w:r>
        <w:tab/>
      </w:r>
      <w:r>
        <w:tab/>
      </w:r>
      <w:r>
        <w:tab/>
      </w:r>
      <w:r>
        <w:tab/>
        <w:t>:</w:t>
      </w:r>
    </w:p>
    <w:p w:rsidR="005861CE" w:rsidRDefault="006F5DDB" w:rsidP="005861CE">
      <w:pPr>
        <w:spacing w:line="240" w:lineRule="auto"/>
        <w:jc w:val="left"/>
      </w:pPr>
      <w:r>
        <w:tab/>
        <w:t>v.</w:t>
      </w:r>
      <w:r>
        <w:tab/>
      </w:r>
      <w:r>
        <w:tab/>
      </w:r>
      <w:r>
        <w:tab/>
      </w:r>
      <w:r>
        <w:tab/>
      </w:r>
      <w:r>
        <w:tab/>
      </w:r>
      <w:r>
        <w:tab/>
        <w:t>:</w:t>
      </w:r>
      <w:r>
        <w:tab/>
      </w:r>
      <w:r>
        <w:tab/>
      </w:r>
      <w:r w:rsidR="00517F0D">
        <w:t>F-2015-2506992</w:t>
      </w:r>
      <w:r w:rsidR="005861CE">
        <w:tab/>
      </w:r>
    </w:p>
    <w:p w:rsidR="005861CE" w:rsidRDefault="005861CE" w:rsidP="005861CE">
      <w:pPr>
        <w:spacing w:line="240" w:lineRule="auto"/>
        <w:jc w:val="left"/>
      </w:pPr>
      <w:r>
        <w:tab/>
      </w:r>
      <w:r>
        <w:tab/>
      </w:r>
      <w:r>
        <w:tab/>
      </w:r>
      <w:r>
        <w:tab/>
      </w:r>
      <w:r>
        <w:tab/>
      </w:r>
      <w:r>
        <w:tab/>
      </w:r>
      <w:r>
        <w:tab/>
        <w:t>:</w:t>
      </w:r>
    </w:p>
    <w:p w:rsidR="005861CE" w:rsidRDefault="00517F0D" w:rsidP="005861CE">
      <w:pPr>
        <w:spacing w:line="240" w:lineRule="auto"/>
        <w:jc w:val="left"/>
      </w:pPr>
      <w:r>
        <w:t>PPL Electric Utilities Corporation</w:t>
      </w:r>
      <w:r w:rsidR="00232397">
        <w:tab/>
      </w:r>
      <w:r w:rsidR="00232397">
        <w:tab/>
      </w:r>
      <w:r w:rsidR="00232397">
        <w:tab/>
        <w:t>:</w:t>
      </w:r>
    </w:p>
    <w:p w:rsidR="005861CE" w:rsidRDefault="005861CE" w:rsidP="006F5DDB">
      <w:pPr>
        <w:spacing w:line="240" w:lineRule="auto"/>
      </w:pPr>
    </w:p>
    <w:p w:rsidR="007E44BD" w:rsidRDefault="007E44BD" w:rsidP="00AE00E2">
      <w:pPr>
        <w:spacing w:line="240" w:lineRule="auto"/>
        <w:rPr>
          <w:b/>
          <w:color w:val="000000" w:themeColor="text1"/>
          <w:u w:val="single"/>
        </w:rPr>
      </w:pPr>
    </w:p>
    <w:p w:rsidR="006F5DDB" w:rsidRDefault="006F5DDB" w:rsidP="00AE00E2">
      <w:pPr>
        <w:spacing w:line="240" w:lineRule="auto"/>
        <w:rPr>
          <w:b/>
          <w:color w:val="000000" w:themeColor="text1"/>
          <w:u w:val="single"/>
        </w:rPr>
      </w:pPr>
    </w:p>
    <w:p w:rsidR="007E44BD" w:rsidRDefault="00120955" w:rsidP="00AE00E2">
      <w:pPr>
        <w:spacing w:line="240" w:lineRule="auto"/>
        <w:rPr>
          <w:b/>
          <w:color w:val="000000" w:themeColor="text1"/>
          <w:u w:val="single"/>
        </w:rPr>
      </w:pPr>
      <w:r>
        <w:rPr>
          <w:b/>
          <w:color w:val="000000" w:themeColor="text1"/>
          <w:u w:val="single"/>
        </w:rPr>
        <w:t xml:space="preserve">ORDER </w:t>
      </w:r>
    </w:p>
    <w:p w:rsidR="00120955" w:rsidRDefault="00120955" w:rsidP="00AE00E2">
      <w:pPr>
        <w:spacing w:line="240" w:lineRule="auto"/>
        <w:rPr>
          <w:b/>
          <w:color w:val="000000" w:themeColor="text1"/>
          <w:u w:val="single"/>
        </w:rPr>
      </w:pPr>
      <w:r>
        <w:rPr>
          <w:b/>
          <w:color w:val="000000" w:themeColor="text1"/>
          <w:u w:val="single"/>
        </w:rPr>
        <w:t>GRANTING IN PART AND DENYING IN PART</w:t>
      </w:r>
    </w:p>
    <w:p w:rsidR="00120955" w:rsidRDefault="00120955" w:rsidP="00AE00E2">
      <w:pPr>
        <w:spacing w:line="240" w:lineRule="auto"/>
        <w:rPr>
          <w:b/>
          <w:color w:val="000000" w:themeColor="text1"/>
          <w:u w:val="single"/>
        </w:rPr>
      </w:pPr>
      <w:r>
        <w:rPr>
          <w:b/>
          <w:color w:val="000000" w:themeColor="text1"/>
          <w:u w:val="single"/>
        </w:rPr>
        <w:t>PRELIMINARY OBJECTIONS</w:t>
      </w:r>
    </w:p>
    <w:p w:rsidR="007C12D9" w:rsidRDefault="007C12D9" w:rsidP="005861CE">
      <w:pPr>
        <w:spacing w:line="240" w:lineRule="auto"/>
        <w:rPr>
          <w:b/>
          <w:color w:val="FF0000"/>
        </w:rPr>
      </w:pPr>
    </w:p>
    <w:p w:rsidR="0042227A" w:rsidRPr="0042227A" w:rsidRDefault="0042227A" w:rsidP="005861CE">
      <w:pPr>
        <w:spacing w:line="240" w:lineRule="auto"/>
        <w:rPr>
          <w:b/>
          <w:color w:val="FF0000"/>
        </w:rPr>
      </w:pPr>
    </w:p>
    <w:p w:rsidR="000F5D78" w:rsidRPr="00280FDD" w:rsidRDefault="00D3778A" w:rsidP="006F5DDB">
      <w:pPr>
        <w:jc w:val="left"/>
        <w:rPr>
          <w:rFonts w:eastAsia="Calibri"/>
        </w:rPr>
      </w:pPr>
      <w:r>
        <w:rPr>
          <w:rFonts w:eastAsia="Calibri"/>
        </w:rPr>
        <w:tab/>
      </w:r>
      <w:r>
        <w:rPr>
          <w:rFonts w:eastAsia="Calibri"/>
        </w:rPr>
        <w:tab/>
        <w:t xml:space="preserve">This </w:t>
      </w:r>
      <w:r w:rsidR="00120955">
        <w:rPr>
          <w:rFonts w:eastAsia="Calibri"/>
        </w:rPr>
        <w:t xml:space="preserve">Order sustains in part and </w:t>
      </w:r>
      <w:r w:rsidR="00517F0D">
        <w:rPr>
          <w:rFonts w:eastAsia="Calibri"/>
        </w:rPr>
        <w:t>denies</w:t>
      </w:r>
      <w:r w:rsidR="00120955">
        <w:rPr>
          <w:rFonts w:eastAsia="Calibri"/>
        </w:rPr>
        <w:t xml:space="preserve"> in part</w:t>
      </w:r>
      <w:r>
        <w:rPr>
          <w:rFonts w:eastAsia="Calibri"/>
        </w:rPr>
        <w:t xml:space="preserve"> the </w:t>
      </w:r>
      <w:r w:rsidR="00273679">
        <w:rPr>
          <w:rFonts w:eastAsia="Calibri"/>
        </w:rPr>
        <w:t xml:space="preserve">Respondent’s </w:t>
      </w:r>
      <w:r w:rsidR="00DA7628">
        <w:rPr>
          <w:rFonts w:eastAsia="Calibri"/>
        </w:rPr>
        <w:t>Preliminary Objections</w:t>
      </w:r>
      <w:r w:rsidR="00120955">
        <w:rPr>
          <w:rFonts w:eastAsia="Calibri"/>
        </w:rPr>
        <w:t>.  The P</w:t>
      </w:r>
      <w:r w:rsidR="00176368">
        <w:rPr>
          <w:rFonts w:eastAsia="Calibri"/>
        </w:rPr>
        <w:t>reliminary Objections</w:t>
      </w:r>
      <w:r w:rsidR="00120955">
        <w:rPr>
          <w:rFonts w:eastAsia="Calibri"/>
        </w:rPr>
        <w:t xml:space="preserve"> are sustained</w:t>
      </w:r>
      <w:r w:rsidR="000A1347">
        <w:rPr>
          <w:rFonts w:eastAsia="Calibri"/>
        </w:rPr>
        <w:t xml:space="preserve"> </w:t>
      </w:r>
      <w:r w:rsidR="00120955">
        <w:rPr>
          <w:rFonts w:eastAsia="Calibri"/>
        </w:rPr>
        <w:t>to the extent the Complainant is alleging problems with either his landlord or his telephone service.  The P</w:t>
      </w:r>
      <w:r w:rsidR="00176368">
        <w:rPr>
          <w:rFonts w:eastAsia="Calibri"/>
        </w:rPr>
        <w:t>reliminary Objections</w:t>
      </w:r>
      <w:r w:rsidR="00120955">
        <w:rPr>
          <w:rFonts w:eastAsia="Calibri"/>
        </w:rPr>
        <w:t xml:space="preserve"> are denied to the extent they seek dismissal of the complaint, since the Complainant has raised allegations about i</w:t>
      </w:r>
      <w:r w:rsidR="00176368">
        <w:rPr>
          <w:rFonts w:eastAsia="Calibri"/>
        </w:rPr>
        <w:t xml:space="preserve">ncorrect charges on his bills, thereby creating a factual dispute which necessitates a hearing for resolution. </w:t>
      </w:r>
      <w:r w:rsidR="002754BF">
        <w:rPr>
          <w:rFonts w:eastAsia="Calibri"/>
        </w:rPr>
        <w:t xml:space="preserve"> </w:t>
      </w:r>
    </w:p>
    <w:p w:rsidR="0042227A" w:rsidRPr="00280FDD" w:rsidRDefault="0042227A" w:rsidP="006F5DDB">
      <w:pPr>
        <w:rPr>
          <w:rFonts w:eastAsia="Calibri"/>
        </w:rPr>
      </w:pPr>
    </w:p>
    <w:p w:rsidR="00FB05E3" w:rsidRPr="000F5D78" w:rsidRDefault="0042227A" w:rsidP="000F5D78">
      <w:pPr>
        <w:spacing w:line="240" w:lineRule="auto"/>
        <w:rPr>
          <w:rFonts w:eastAsia="Calibri"/>
          <w:i/>
          <w:color w:val="4F81BD" w:themeColor="accent1"/>
        </w:rPr>
      </w:pPr>
      <w:r w:rsidRPr="00280FDD">
        <w:rPr>
          <w:rFonts w:eastAsia="Calibri"/>
          <w:u w:val="single"/>
        </w:rPr>
        <w:t>HISTORY OF THE PROCEEDING</w:t>
      </w:r>
      <w:r>
        <w:rPr>
          <w:rFonts w:eastAsia="Calibri"/>
          <w:i/>
          <w:color w:val="4F81BD" w:themeColor="accent1"/>
        </w:rPr>
        <w:t xml:space="preserve"> </w:t>
      </w:r>
    </w:p>
    <w:p w:rsidR="007C12D9" w:rsidRPr="003C7514" w:rsidRDefault="007C12D9" w:rsidP="006F5DDB">
      <w:pPr>
        <w:rPr>
          <w:color w:val="FF0000"/>
        </w:rPr>
      </w:pPr>
    </w:p>
    <w:p w:rsidR="00AD2E2E" w:rsidRDefault="004C583B" w:rsidP="00BA1A63">
      <w:pPr>
        <w:jc w:val="left"/>
      </w:pPr>
      <w:r>
        <w:tab/>
      </w:r>
      <w:r>
        <w:tab/>
      </w:r>
      <w:r w:rsidR="00006BD3">
        <w:t xml:space="preserve">On </w:t>
      </w:r>
      <w:r w:rsidR="0029596D">
        <w:t>October 5, 2015, David M. Quirk (Complainant) filed a Formal Complaint (complaint) against PPL Electric Utilities Corporation (PPL or Respondent) with the Pennsylvania Public Utility Commission (Commission).  Complainant allege</w:t>
      </w:r>
      <w:r w:rsidR="008275EB">
        <w:t>d</w:t>
      </w:r>
      <w:r w:rsidR="0029596D">
        <w:t xml:space="preserve"> in his complaint that there were incorrect charges on his bill, which he </w:t>
      </w:r>
      <w:r w:rsidR="008275EB">
        <w:t>claims</w:t>
      </w:r>
      <w:r w:rsidR="00176368">
        <w:t xml:space="preserve"> to have </w:t>
      </w:r>
      <w:r w:rsidR="0029596D">
        <w:t>“</w:t>
      </w:r>
      <w:r w:rsidR="00A22DCB">
        <w:t>previously explained in detail</w:t>
      </w:r>
      <w:r w:rsidR="0069445B">
        <w:t>.</w:t>
      </w:r>
      <w:r w:rsidR="00667500">
        <w:t xml:space="preserve">” </w:t>
      </w:r>
      <w:r w:rsidR="00AF4377">
        <w:t xml:space="preserve"> </w:t>
      </w:r>
      <w:proofErr w:type="gramStart"/>
      <w:r w:rsidR="00667500">
        <w:t>(</w:t>
      </w:r>
      <w:r w:rsidR="0069445B">
        <w:t>C</w:t>
      </w:r>
      <w:r w:rsidR="0029596D">
        <w:t xml:space="preserve">omplaint </w:t>
      </w:r>
      <w:r w:rsidR="00667500">
        <w:t xml:space="preserve">¶ </w:t>
      </w:r>
      <w:r w:rsidR="0029596D">
        <w:t>4).</w:t>
      </w:r>
      <w:proofErr w:type="gramEnd"/>
      <w:r w:rsidR="0029596D">
        <w:t xml:space="preserve">  As relief, he requested a refund.  He also stated that his landlord had been having trouble with</w:t>
      </w:r>
      <w:r w:rsidR="00AA6CAD">
        <w:t xml:space="preserve"> connecting landline</w:t>
      </w:r>
      <w:r w:rsidR="0029596D">
        <w:t xml:space="preserve"> telephone service to the service address, that there </w:t>
      </w:r>
      <w:r w:rsidR="00AA6CAD">
        <w:t>ha</w:t>
      </w:r>
      <w:r w:rsidR="00791ACD">
        <w:t>d</w:t>
      </w:r>
      <w:r w:rsidR="00A23148">
        <w:t xml:space="preserve"> been</w:t>
      </w:r>
      <w:r w:rsidR="0029596D">
        <w:t xml:space="preserve"> no </w:t>
      </w:r>
      <w:r w:rsidR="00AA6CAD">
        <w:t xml:space="preserve">landline </w:t>
      </w:r>
      <w:r w:rsidR="0029596D">
        <w:t xml:space="preserve">telephone service to the service </w:t>
      </w:r>
      <w:r w:rsidR="00AA6CAD">
        <w:t>address for a month, and that the Complainant</w:t>
      </w:r>
      <w:r w:rsidR="0029596D">
        <w:t xml:space="preserve"> had to buy three c</w:t>
      </w:r>
      <w:r w:rsidR="00AA6CAD">
        <w:t xml:space="preserve">ellular phones and airtime.  </w:t>
      </w:r>
      <w:r w:rsidR="00025B0B">
        <w:t xml:space="preserve">In addition, he alleges that the landlord keeps changing his building number.  </w:t>
      </w:r>
      <w:r w:rsidR="00AA6CAD">
        <w:t>This complaint i</w:t>
      </w:r>
      <w:r w:rsidR="0029596D">
        <w:t xml:space="preserve">s a timely appeal of a BCS decision at Case #3324054. </w:t>
      </w:r>
    </w:p>
    <w:p w:rsidR="003B4DD9" w:rsidRPr="0029596D" w:rsidRDefault="003B4DD9" w:rsidP="00BA1A63">
      <w:pPr>
        <w:jc w:val="left"/>
        <w:rPr>
          <w:color w:val="FF0000"/>
        </w:rPr>
      </w:pPr>
    </w:p>
    <w:p w:rsidR="002C4241" w:rsidRPr="0029596D" w:rsidRDefault="003B4DD9" w:rsidP="008120D0">
      <w:pPr>
        <w:jc w:val="left"/>
        <w:rPr>
          <w:color w:val="FF0000"/>
        </w:rPr>
      </w:pPr>
      <w:r w:rsidRPr="0029596D">
        <w:rPr>
          <w:color w:val="FF0000"/>
        </w:rPr>
        <w:tab/>
      </w:r>
      <w:r w:rsidRPr="0029596D">
        <w:rPr>
          <w:color w:val="FF0000"/>
        </w:rPr>
        <w:tab/>
      </w:r>
      <w:r w:rsidR="002C4241" w:rsidRPr="007A392A">
        <w:t xml:space="preserve">On </w:t>
      </w:r>
      <w:r w:rsidR="007A392A" w:rsidRPr="007A392A">
        <w:t>October 26</w:t>
      </w:r>
      <w:r w:rsidR="008120D0" w:rsidRPr="007A392A">
        <w:t>, 2015, P</w:t>
      </w:r>
      <w:r w:rsidR="007A392A" w:rsidRPr="007A392A">
        <w:t xml:space="preserve">PL </w:t>
      </w:r>
      <w:r w:rsidR="008120D0" w:rsidRPr="007A392A">
        <w:t>fil</w:t>
      </w:r>
      <w:r w:rsidR="00BC6EEE" w:rsidRPr="007A392A">
        <w:t>ed its Answer</w:t>
      </w:r>
      <w:r w:rsidR="002F7413">
        <w:t xml:space="preserve"> and Preliminary Objections </w:t>
      </w:r>
      <w:r w:rsidR="00176368">
        <w:t xml:space="preserve">(POs) </w:t>
      </w:r>
      <w:r w:rsidR="00B63AF5" w:rsidRPr="007A392A">
        <w:t>properly accompanied by a Notice to Plead</w:t>
      </w:r>
      <w:r w:rsidR="006A5B74">
        <w:t xml:space="preserve">.  In its Answer, PPL </w:t>
      </w:r>
      <w:r w:rsidR="008275EB">
        <w:t>denied the allegations raised in paragraph 4 of the compla</w:t>
      </w:r>
      <w:r w:rsidR="005758C8">
        <w:t>i</w:t>
      </w:r>
      <w:r w:rsidR="008275EB">
        <w:t xml:space="preserve">nt, It </w:t>
      </w:r>
      <w:r w:rsidR="006A5B74">
        <w:t>note</w:t>
      </w:r>
      <w:r w:rsidR="0097624C">
        <w:t>s</w:t>
      </w:r>
      <w:r w:rsidR="006A5B74">
        <w:t xml:space="preserve"> that no further information has been provided by the Complainant</w:t>
      </w:r>
      <w:r w:rsidR="00AA6CAD">
        <w:t xml:space="preserve"> with regard to his allegation of incorrect charges on his bill</w:t>
      </w:r>
      <w:r w:rsidR="006A5B74">
        <w:t>.  PPL also state</w:t>
      </w:r>
      <w:r w:rsidR="0097624C">
        <w:t>s</w:t>
      </w:r>
      <w:r w:rsidR="006A5B74">
        <w:t xml:space="preserve"> that </w:t>
      </w:r>
      <w:r w:rsidR="00791ACD">
        <w:t xml:space="preserve">the </w:t>
      </w:r>
      <w:r w:rsidR="006A5B74">
        <w:t xml:space="preserve">relief sought by Complainant refers to difficulties with his landlord and house phone hookup and that </w:t>
      </w:r>
      <w:r w:rsidR="008C08D7">
        <w:t>these allegations do not relate</w:t>
      </w:r>
      <w:r w:rsidR="00667500">
        <w:t xml:space="preserve"> to PPL </w:t>
      </w:r>
      <w:r w:rsidR="006A5B74">
        <w:t>and are denie</w:t>
      </w:r>
      <w:r w:rsidR="008C08D7">
        <w:t>d</w:t>
      </w:r>
      <w:r w:rsidR="006A5B74">
        <w:t xml:space="preserve">. </w:t>
      </w:r>
      <w:r w:rsidR="0097624C">
        <w:t xml:space="preserve"> PPL</w:t>
      </w:r>
      <w:r w:rsidR="00AA6CAD">
        <w:t xml:space="preserve"> therefore requests that the c</w:t>
      </w:r>
      <w:r w:rsidR="0097624C">
        <w:t>omplaint be denied.</w:t>
      </w:r>
      <w:r w:rsidR="006A5B74">
        <w:t xml:space="preserve"> </w:t>
      </w:r>
    </w:p>
    <w:p w:rsidR="002A5EFC" w:rsidRPr="00D57DB5" w:rsidRDefault="002A5EFC" w:rsidP="008120D0">
      <w:pPr>
        <w:jc w:val="left"/>
        <w:rPr>
          <w:color w:val="000000" w:themeColor="text1"/>
        </w:rPr>
      </w:pPr>
    </w:p>
    <w:p w:rsidR="002C4241" w:rsidRPr="00D57DB5" w:rsidRDefault="002C4241" w:rsidP="008120D0">
      <w:pPr>
        <w:jc w:val="left"/>
        <w:rPr>
          <w:color w:val="000000" w:themeColor="text1"/>
        </w:rPr>
      </w:pPr>
      <w:r w:rsidRPr="00D57DB5">
        <w:rPr>
          <w:color w:val="000000" w:themeColor="text1"/>
        </w:rPr>
        <w:tab/>
      </w:r>
      <w:r w:rsidRPr="00D57DB5">
        <w:rPr>
          <w:color w:val="000000" w:themeColor="text1"/>
        </w:rPr>
        <w:tab/>
      </w:r>
      <w:r w:rsidR="00B63AF5" w:rsidRPr="00D57DB5">
        <w:rPr>
          <w:color w:val="000000" w:themeColor="text1"/>
        </w:rPr>
        <w:t xml:space="preserve">In its </w:t>
      </w:r>
      <w:r w:rsidR="002F7413" w:rsidRPr="00D57DB5">
        <w:rPr>
          <w:color w:val="000000" w:themeColor="text1"/>
        </w:rPr>
        <w:t>POs</w:t>
      </w:r>
      <w:r w:rsidR="00B63AF5" w:rsidRPr="00D57DB5">
        <w:rPr>
          <w:color w:val="000000" w:themeColor="text1"/>
        </w:rPr>
        <w:t>,</w:t>
      </w:r>
      <w:r w:rsidRPr="00D57DB5">
        <w:rPr>
          <w:color w:val="000000" w:themeColor="text1"/>
        </w:rPr>
        <w:t xml:space="preserve"> </w:t>
      </w:r>
      <w:r w:rsidR="00B63AF5" w:rsidRPr="00D57DB5">
        <w:rPr>
          <w:color w:val="000000" w:themeColor="text1"/>
        </w:rPr>
        <w:t>P</w:t>
      </w:r>
      <w:r w:rsidR="002F7413" w:rsidRPr="00D57DB5">
        <w:rPr>
          <w:color w:val="000000" w:themeColor="text1"/>
        </w:rPr>
        <w:t>PL</w:t>
      </w:r>
      <w:r w:rsidR="00A96803" w:rsidRPr="00D57DB5">
        <w:rPr>
          <w:color w:val="000000" w:themeColor="text1"/>
        </w:rPr>
        <w:t xml:space="preserve"> asserts that the only details provided by the Complainant in the complaint refer to telephon</w:t>
      </w:r>
      <w:r w:rsidR="008275EB">
        <w:rPr>
          <w:color w:val="000000" w:themeColor="text1"/>
        </w:rPr>
        <w:t>e</w:t>
      </w:r>
      <w:r w:rsidR="00A96803" w:rsidRPr="00D57DB5">
        <w:rPr>
          <w:color w:val="000000" w:themeColor="text1"/>
        </w:rPr>
        <w:t xml:space="preserve"> service.  PPL states that it provides Complainant with electric service, not telephon</w:t>
      </w:r>
      <w:r w:rsidR="008275EB">
        <w:rPr>
          <w:color w:val="000000" w:themeColor="text1"/>
        </w:rPr>
        <w:t>e</w:t>
      </w:r>
      <w:r w:rsidR="00A96803" w:rsidRPr="00D57DB5">
        <w:rPr>
          <w:color w:val="000000" w:themeColor="text1"/>
        </w:rPr>
        <w:t xml:space="preserve"> service.  PPL avers that the Complainant does not allege any facts that could be construed as a violation by Respondent of any statute, regulation, or order which the Commission has jurisdiction to administer. </w:t>
      </w:r>
      <w:r w:rsidR="00C53620">
        <w:rPr>
          <w:color w:val="000000" w:themeColor="text1"/>
        </w:rPr>
        <w:t xml:space="preserve"> </w:t>
      </w:r>
      <w:r w:rsidR="00A96803" w:rsidRPr="00D57DB5">
        <w:rPr>
          <w:color w:val="000000" w:themeColor="text1"/>
        </w:rPr>
        <w:t>Therefore, PPL asserts that the complaint is legally insufficient and should be dismissed.</w:t>
      </w:r>
    </w:p>
    <w:p w:rsidR="0073735A" w:rsidRPr="00CF7A4F" w:rsidRDefault="0073735A" w:rsidP="005861CE">
      <w:pPr>
        <w:jc w:val="left"/>
        <w:rPr>
          <w:color w:val="000000" w:themeColor="text1"/>
        </w:rPr>
      </w:pPr>
    </w:p>
    <w:p w:rsidR="0074623E" w:rsidRPr="00CF7A4F" w:rsidRDefault="0073735A" w:rsidP="005861CE">
      <w:pPr>
        <w:jc w:val="left"/>
        <w:rPr>
          <w:color w:val="000000" w:themeColor="text1"/>
        </w:rPr>
      </w:pPr>
      <w:r w:rsidRPr="00CF7A4F">
        <w:rPr>
          <w:color w:val="000000" w:themeColor="text1"/>
        </w:rPr>
        <w:tab/>
      </w:r>
      <w:r w:rsidRPr="00CF7A4F">
        <w:rPr>
          <w:color w:val="000000" w:themeColor="text1"/>
        </w:rPr>
        <w:tab/>
        <w:t>On November 9, 2015</w:t>
      </w:r>
      <w:r w:rsidR="008C08D7" w:rsidRPr="00CF7A4F">
        <w:rPr>
          <w:color w:val="000000" w:themeColor="text1"/>
        </w:rPr>
        <w:t>, the Complainant filed a letter with the Commission</w:t>
      </w:r>
      <w:r w:rsidR="00CF7A4F" w:rsidRPr="00CF7A4F">
        <w:rPr>
          <w:color w:val="000000" w:themeColor="text1"/>
        </w:rPr>
        <w:t xml:space="preserve"> (letter)</w:t>
      </w:r>
      <w:r w:rsidR="008C08D7" w:rsidRPr="00CF7A4F">
        <w:rPr>
          <w:color w:val="000000" w:themeColor="text1"/>
        </w:rPr>
        <w:t>.</w:t>
      </w:r>
      <w:r w:rsidR="004155F4" w:rsidRPr="00CF7A4F">
        <w:rPr>
          <w:rStyle w:val="FootnoteReference"/>
          <w:color w:val="000000" w:themeColor="text1"/>
        </w:rPr>
        <w:footnoteReference w:id="1"/>
      </w:r>
      <w:r w:rsidR="008C08D7" w:rsidRPr="00CF7A4F">
        <w:rPr>
          <w:color w:val="000000" w:themeColor="text1"/>
        </w:rPr>
        <w:t xml:space="preserve">  In </w:t>
      </w:r>
      <w:r w:rsidR="004D3803" w:rsidRPr="00CF7A4F">
        <w:rPr>
          <w:color w:val="000000" w:themeColor="text1"/>
        </w:rPr>
        <w:t>the</w:t>
      </w:r>
      <w:r w:rsidR="008C08D7" w:rsidRPr="00CF7A4F">
        <w:rPr>
          <w:color w:val="000000" w:themeColor="text1"/>
        </w:rPr>
        <w:t xml:space="preserve"> letter, the Complainant</w:t>
      </w:r>
      <w:r w:rsidR="004B48B9">
        <w:rPr>
          <w:color w:val="000000" w:themeColor="text1"/>
        </w:rPr>
        <w:t xml:space="preserve"> </w:t>
      </w:r>
      <w:r w:rsidR="00EB001E">
        <w:rPr>
          <w:color w:val="000000" w:themeColor="text1"/>
        </w:rPr>
        <w:t>averred</w:t>
      </w:r>
      <w:r w:rsidR="004B48B9">
        <w:rPr>
          <w:color w:val="000000" w:themeColor="text1"/>
        </w:rPr>
        <w:t xml:space="preserve"> that his previous</w:t>
      </w:r>
      <w:r w:rsidR="00A23148">
        <w:rPr>
          <w:color w:val="000000" w:themeColor="text1"/>
        </w:rPr>
        <w:t xml:space="preserve"> allegations had been omitted from the </w:t>
      </w:r>
      <w:r w:rsidR="00A95278">
        <w:rPr>
          <w:color w:val="000000" w:themeColor="text1"/>
        </w:rPr>
        <w:t>complaint</w:t>
      </w:r>
      <w:r w:rsidR="00A23148">
        <w:rPr>
          <w:color w:val="000000" w:themeColor="text1"/>
        </w:rPr>
        <w:t xml:space="preserve"> and</w:t>
      </w:r>
      <w:r w:rsidR="008C08D7" w:rsidRPr="00CF7A4F">
        <w:rPr>
          <w:color w:val="000000" w:themeColor="text1"/>
        </w:rPr>
        <w:t xml:space="preserve"> </w:t>
      </w:r>
      <w:r w:rsidR="004D3803" w:rsidRPr="00CF7A4F">
        <w:rPr>
          <w:color w:val="000000" w:themeColor="text1"/>
        </w:rPr>
        <w:t>set forth more detailed allegation</w:t>
      </w:r>
      <w:r w:rsidR="00AA6CAD">
        <w:rPr>
          <w:color w:val="000000" w:themeColor="text1"/>
        </w:rPr>
        <w:t>s</w:t>
      </w:r>
      <w:r w:rsidR="004D3803" w:rsidRPr="00CF7A4F">
        <w:rPr>
          <w:color w:val="000000" w:themeColor="text1"/>
        </w:rPr>
        <w:t xml:space="preserve"> </w:t>
      </w:r>
      <w:r w:rsidR="008275EB">
        <w:rPr>
          <w:color w:val="000000" w:themeColor="text1"/>
        </w:rPr>
        <w:t xml:space="preserve">about </w:t>
      </w:r>
      <w:r w:rsidR="004D3803" w:rsidRPr="00CF7A4F">
        <w:rPr>
          <w:color w:val="000000" w:themeColor="text1"/>
        </w:rPr>
        <w:t xml:space="preserve">incorrect charges on his bill.  Specifically, the Complainant set forth a usage comparison between his previous address and the current service address, </w:t>
      </w:r>
      <w:r w:rsidR="00791ACD">
        <w:rPr>
          <w:color w:val="000000" w:themeColor="text1"/>
        </w:rPr>
        <w:t xml:space="preserve">to </w:t>
      </w:r>
      <w:r w:rsidR="004D3803" w:rsidRPr="00CF7A4F">
        <w:rPr>
          <w:color w:val="000000" w:themeColor="text1"/>
        </w:rPr>
        <w:t xml:space="preserve">which he moved on November 1, 2013. </w:t>
      </w:r>
      <w:r w:rsidR="004E204D">
        <w:rPr>
          <w:color w:val="000000" w:themeColor="text1"/>
        </w:rPr>
        <w:t xml:space="preserve"> The Complainant’s calculations allegedly show a significant increase in the amount of usage at the </w:t>
      </w:r>
      <w:r w:rsidR="00791ACD">
        <w:rPr>
          <w:color w:val="000000" w:themeColor="text1"/>
        </w:rPr>
        <w:t xml:space="preserve">current </w:t>
      </w:r>
      <w:r w:rsidR="004E204D">
        <w:rPr>
          <w:color w:val="000000" w:themeColor="text1"/>
        </w:rPr>
        <w:t xml:space="preserve">service address compared to the previous address. </w:t>
      </w:r>
      <w:r w:rsidR="004D3803" w:rsidRPr="00CF7A4F">
        <w:rPr>
          <w:color w:val="000000" w:themeColor="text1"/>
        </w:rPr>
        <w:t xml:space="preserve"> The Complainant </w:t>
      </w:r>
      <w:r w:rsidR="00331FC0">
        <w:rPr>
          <w:color w:val="000000" w:themeColor="text1"/>
        </w:rPr>
        <w:t>state</w:t>
      </w:r>
      <w:r w:rsidR="004D3803" w:rsidRPr="00CF7A4F">
        <w:rPr>
          <w:color w:val="000000" w:themeColor="text1"/>
        </w:rPr>
        <w:t xml:space="preserve">d that </w:t>
      </w:r>
      <w:r w:rsidR="00331FC0" w:rsidRPr="00CF7A4F">
        <w:rPr>
          <w:color w:val="000000" w:themeColor="text1"/>
        </w:rPr>
        <w:t xml:space="preserve">the </w:t>
      </w:r>
      <w:r w:rsidR="00331FC0">
        <w:rPr>
          <w:color w:val="000000" w:themeColor="text1"/>
        </w:rPr>
        <w:t xml:space="preserve">amount of </w:t>
      </w:r>
      <w:r w:rsidR="00331FC0" w:rsidRPr="00CF7A4F">
        <w:rPr>
          <w:color w:val="000000" w:themeColor="text1"/>
        </w:rPr>
        <w:t>usage should be the same</w:t>
      </w:r>
      <w:r w:rsidR="00331FC0">
        <w:rPr>
          <w:color w:val="000000" w:themeColor="text1"/>
        </w:rPr>
        <w:t xml:space="preserve"> between the previous address and the service address</w:t>
      </w:r>
      <w:r w:rsidR="00331FC0" w:rsidRPr="00CF7A4F">
        <w:rPr>
          <w:color w:val="000000" w:themeColor="text1"/>
        </w:rPr>
        <w:t xml:space="preserve"> </w:t>
      </w:r>
      <w:r w:rsidR="004D3803" w:rsidRPr="00CF7A4F">
        <w:rPr>
          <w:color w:val="000000" w:themeColor="text1"/>
        </w:rPr>
        <w:t>since he live</w:t>
      </w:r>
      <w:r w:rsidR="00CF7A4F" w:rsidRPr="00CF7A4F">
        <w:rPr>
          <w:color w:val="000000" w:themeColor="text1"/>
        </w:rPr>
        <w:t>d</w:t>
      </w:r>
      <w:r w:rsidR="004D3803" w:rsidRPr="00CF7A4F">
        <w:rPr>
          <w:color w:val="000000" w:themeColor="text1"/>
        </w:rPr>
        <w:t xml:space="preserve"> </w:t>
      </w:r>
      <w:r w:rsidR="00CF7A4F" w:rsidRPr="00CF7A4F">
        <w:rPr>
          <w:color w:val="000000" w:themeColor="text1"/>
        </w:rPr>
        <w:t>alone at both addre</w:t>
      </w:r>
      <w:r w:rsidR="00B62F97">
        <w:rPr>
          <w:color w:val="000000" w:themeColor="text1"/>
        </w:rPr>
        <w:t>sses and</w:t>
      </w:r>
      <w:r w:rsidR="00331FC0">
        <w:rPr>
          <w:color w:val="000000" w:themeColor="text1"/>
        </w:rPr>
        <w:t xml:space="preserve"> because of the nature of</w:t>
      </w:r>
      <w:r w:rsidR="00B62F97">
        <w:rPr>
          <w:color w:val="000000" w:themeColor="text1"/>
        </w:rPr>
        <w:t xml:space="preserve"> </w:t>
      </w:r>
      <w:r w:rsidR="00CF7A4F" w:rsidRPr="00CF7A4F">
        <w:rPr>
          <w:color w:val="000000" w:themeColor="text1"/>
        </w:rPr>
        <w:t xml:space="preserve">his </w:t>
      </w:r>
      <w:r w:rsidR="00B62F97">
        <w:rPr>
          <w:color w:val="000000" w:themeColor="text1"/>
        </w:rPr>
        <w:t>usage habits</w:t>
      </w:r>
      <w:r w:rsidR="00CF7A4F" w:rsidRPr="00CF7A4F">
        <w:rPr>
          <w:color w:val="000000" w:themeColor="text1"/>
        </w:rPr>
        <w:t xml:space="preserve">.  The Complainant also described how the landlord repeatedly changed the street address of the service address, which the Complainant </w:t>
      </w:r>
      <w:r w:rsidR="00B62F97">
        <w:rPr>
          <w:color w:val="000000" w:themeColor="text1"/>
        </w:rPr>
        <w:t>believes</w:t>
      </w:r>
      <w:r w:rsidR="00CF7A4F" w:rsidRPr="00CF7A4F">
        <w:rPr>
          <w:color w:val="000000" w:themeColor="text1"/>
        </w:rPr>
        <w:t xml:space="preserve"> is a deliberate attempt to cause confusion.  </w:t>
      </w:r>
      <w:r w:rsidR="0069445B">
        <w:rPr>
          <w:color w:val="000000" w:themeColor="text1"/>
        </w:rPr>
        <w:t>The</w:t>
      </w:r>
      <w:r w:rsidR="00CF7A4F" w:rsidRPr="00CF7A4F">
        <w:rPr>
          <w:color w:val="000000" w:themeColor="text1"/>
        </w:rPr>
        <w:t xml:space="preserve"> Complainant</w:t>
      </w:r>
      <w:r w:rsidR="00AA6CAD">
        <w:rPr>
          <w:color w:val="000000" w:themeColor="text1"/>
        </w:rPr>
        <w:t xml:space="preserve"> estimates that he is “out $550</w:t>
      </w:r>
      <w:r w:rsidR="00CF7A4F" w:rsidRPr="00CF7A4F">
        <w:rPr>
          <w:color w:val="000000" w:themeColor="text1"/>
        </w:rPr>
        <w:t>”</w:t>
      </w:r>
      <w:r w:rsidR="004E204D">
        <w:rPr>
          <w:color w:val="000000" w:themeColor="text1"/>
        </w:rPr>
        <w:t xml:space="preserve"> </w:t>
      </w:r>
      <w:r w:rsidR="0069445B">
        <w:rPr>
          <w:color w:val="000000" w:themeColor="text1"/>
        </w:rPr>
        <w:t>(Letter Pg. 2, ¶</w:t>
      </w:r>
      <w:r w:rsidR="00AA6CAD">
        <w:rPr>
          <w:color w:val="000000" w:themeColor="text1"/>
        </w:rPr>
        <w:t xml:space="preserve"> 3) as a result of </w:t>
      </w:r>
      <w:r w:rsidR="00791ACD">
        <w:rPr>
          <w:color w:val="000000" w:themeColor="text1"/>
        </w:rPr>
        <w:t xml:space="preserve">these </w:t>
      </w:r>
      <w:r w:rsidR="00AA6CAD">
        <w:rPr>
          <w:color w:val="000000" w:themeColor="text1"/>
        </w:rPr>
        <w:t>problems.</w:t>
      </w:r>
      <w:r w:rsidR="00791ACD">
        <w:rPr>
          <w:color w:val="000000" w:themeColor="text1"/>
        </w:rPr>
        <w:t xml:space="preserve"> </w:t>
      </w:r>
      <w:r w:rsidR="00791ACD" w:rsidRPr="00A6563F">
        <w:rPr>
          <w:rFonts w:eastAsia="Calibri"/>
          <w:color w:val="000000" w:themeColor="text1"/>
        </w:rPr>
        <w:t xml:space="preserve">I saw no evidence in the record that PPL had been served with </w:t>
      </w:r>
      <w:r w:rsidR="00791ACD">
        <w:rPr>
          <w:rFonts w:eastAsia="Calibri"/>
          <w:color w:val="000000" w:themeColor="text1"/>
        </w:rPr>
        <w:t xml:space="preserve">the </w:t>
      </w:r>
      <w:r w:rsidR="00791ACD" w:rsidRPr="00A6563F">
        <w:rPr>
          <w:rFonts w:eastAsia="Calibri"/>
          <w:color w:val="000000" w:themeColor="text1"/>
        </w:rPr>
        <w:t xml:space="preserve">Complainant’s letter.  Therefore, on December 28, 2015, I sent a courtesy copy of the letter to counsel </w:t>
      </w:r>
      <w:r w:rsidR="00791ACD">
        <w:rPr>
          <w:rFonts w:eastAsia="Calibri"/>
          <w:color w:val="000000" w:themeColor="text1"/>
        </w:rPr>
        <w:t xml:space="preserve">for </w:t>
      </w:r>
      <w:r w:rsidR="00791ACD" w:rsidRPr="00A6563F">
        <w:rPr>
          <w:rFonts w:eastAsia="Calibri"/>
          <w:color w:val="000000" w:themeColor="text1"/>
        </w:rPr>
        <w:t xml:space="preserve">PPL. </w:t>
      </w:r>
      <w:r w:rsidR="00791ACD">
        <w:rPr>
          <w:color w:val="000000" w:themeColor="text1"/>
        </w:rPr>
        <w:t xml:space="preserve"> </w:t>
      </w:r>
    </w:p>
    <w:p w:rsidR="0073735A" w:rsidRPr="00D57DB5" w:rsidRDefault="0073735A" w:rsidP="005861CE">
      <w:pPr>
        <w:jc w:val="left"/>
        <w:rPr>
          <w:color w:val="000000" w:themeColor="text1"/>
        </w:rPr>
      </w:pPr>
    </w:p>
    <w:p w:rsidR="003E54B5" w:rsidRPr="00CF7A4F" w:rsidRDefault="00B459CF" w:rsidP="005861CE">
      <w:pPr>
        <w:jc w:val="left"/>
        <w:rPr>
          <w:color w:val="000000" w:themeColor="text1"/>
        </w:rPr>
      </w:pPr>
      <w:r w:rsidRPr="00D57DB5">
        <w:rPr>
          <w:rFonts w:eastAsia="Calibri"/>
          <w:color w:val="000000" w:themeColor="text1"/>
        </w:rPr>
        <w:tab/>
      </w:r>
      <w:r w:rsidRPr="00D57DB5">
        <w:rPr>
          <w:rFonts w:eastAsia="Calibri"/>
          <w:color w:val="000000" w:themeColor="text1"/>
        </w:rPr>
        <w:tab/>
        <w:t xml:space="preserve">On </w:t>
      </w:r>
      <w:r w:rsidR="00D57DB5" w:rsidRPr="00D57DB5">
        <w:rPr>
          <w:rFonts w:eastAsia="Calibri"/>
          <w:color w:val="000000" w:themeColor="text1"/>
        </w:rPr>
        <w:t>December 11</w:t>
      </w:r>
      <w:r w:rsidRPr="00D57DB5">
        <w:rPr>
          <w:rFonts w:eastAsia="Calibri"/>
          <w:color w:val="000000" w:themeColor="text1"/>
        </w:rPr>
        <w:t>, 2015, the matter was assigned to me by Motion Judge Assignment Notice.</w:t>
      </w:r>
      <w:r w:rsidR="00791ACD">
        <w:rPr>
          <w:rFonts w:eastAsia="Calibri"/>
          <w:color w:val="000000" w:themeColor="text1"/>
        </w:rPr>
        <w:t xml:space="preserve">  </w:t>
      </w:r>
      <w:r w:rsidR="00F41B20">
        <w:rPr>
          <w:color w:val="000000" w:themeColor="text1"/>
        </w:rPr>
        <w:t xml:space="preserve">The matter is now ripe for decision.  </w:t>
      </w:r>
      <w:r w:rsidR="002F7413" w:rsidRPr="00CF7A4F">
        <w:rPr>
          <w:color w:val="000000" w:themeColor="text1"/>
        </w:rPr>
        <w:t xml:space="preserve">For the reasons stated below, I will </w:t>
      </w:r>
      <w:r w:rsidR="001F6EE6">
        <w:rPr>
          <w:color w:val="000000" w:themeColor="text1"/>
        </w:rPr>
        <w:t>deny the POs in part and sustain them in part.</w:t>
      </w:r>
    </w:p>
    <w:p w:rsidR="00802AF2" w:rsidRPr="0029596D" w:rsidRDefault="00802AF2" w:rsidP="005861CE">
      <w:pPr>
        <w:jc w:val="left"/>
        <w:rPr>
          <w:color w:val="FF0000"/>
        </w:rPr>
      </w:pPr>
    </w:p>
    <w:p w:rsidR="003E54B5" w:rsidRPr="00231F41" w:rsidRDefault="003E54B5" w:rsidP="003E54B5">
      <w:pPr>
        <w:rPr>
          <w:color w:val="000000" w:themeColor="text1"/>
          <w:u w:val="single"/>
        </w:rPr>
      </w:pPr>
      <w:r w:rsidRPr="00231F41">
        <w:rPr>
          <w:color w:val="000000" w:themeColor="text1"/>
          <w:u w:val="single"/>
        </w:rPr>
        <w:t>DISCUSSION</w:t>
      </w:r>
    </w:p>
    <w:p w:rsidR="008C4D41" w:rsidRPr="00F47344" w:rsidRDefault="008C4D41" w:rsidP="008C4D41">
      <w:pPr>
        <w:jc w:val="left"/>
        <w:rPr>
          <w:color w:val="000000" w:themeColor="text1"/>
        </w:rPr>
      </w:pPr>
    </w:p>
    <w:p w:rsidR="00B63AF5" w:rsidRDefault="00B63AF5" w:rsidP="00D1514D">
      <w:pPr>
        <w:jc w:val="left"/>
        <w:rPr>
          <w:color w:val="000000" w:themeColor="text1"/>
        </w:rPr>
      </w:pPr>
      <w:r>
        <w:rPr>
          <w:color w:val="000000" w:themeColor="text1"/>
        </w:rPr>
        <w:tab/>
      </w:r>
      <w:r>
        <w:rPr>
          <w:color w:val="000000" w:themeColor="text1"/>
        </w:rPr>
        <w:tab/>
      </w:r>
      <w:r w:rsidR="00B72C2F">
        <w:rPr>
          <w:color w:val="000000" w:themeColor="text1"/>
        </w:rPr>
        <w:t>Complainant seeks a refund on alleged incorrect charges on his service account with Respondent.</w:t>
      </w:r>
      <w:r w:rsidR="008C4D41" w:rsidRPr="00F47344">
        <w:rPr>
          <w:color w:val="000000" w:themeColor="text1"/>
        </w:rPr>
        <w:tab/>
      </w:r>
    </w:p>
    <w:p w:rsidR="00B63AF5" w:rsidRDefault="00B63AF5" w:rsidP="00D1514D">
      <w:pPr>
        <w:jc w:val="left"/>
        <w:rPr>
          <w:color w:val="000000" w:themeColor="text1"/>
        </w:rPr>
      </w:pPr>
    </w:p>
    <w:p w:rsidR="00D1514D" w:rsidRPr="00F47344" w:rsidRDefault="00B63AF5" w:rsidP="00D1514D">
      <w:pPr>
        <w:jc w:val="left"/>
        <w:rPr>
          <w:color w:val="000000" w:themeColor="text1"/>
        </w:rPr>
      </w:pPr>
      <w:r>
        <w:rPr>
          <w:color w:val="000000" w:themeColor="text1"/>
        </w:rPr>
        <w:tab/>
      </w:r>
      <w:r>
        <w:rPr>
          <w:color w:val="000000" w:themeColor="text1"/>
        </w:rPr>
        <w:tab/>
      </w:r>
      <w:r w:rsidR="008C4D41" w:rsidRPr="00F47344">
        <w:rPr>
          <w:color w:val="000000" w:themeColor="text1"/>
        </w:rPr>
        <w:t>Res</w:t>
      </w:r>
      <w:r w:rsidR="00285C9A" w:rsidRPr="00F47344">
        <w:rPr>
          <w:color w:val="000000" w:themeColor="text1"/>
        </w:rPr>
        <w:t>pondent’s P</w:t>
      </w:r>
      <w:r w:rsidR="003E13E3" w:rsidRPr="00F47344">
        <w:rPr>
          <w:color w:val="000000" w:themeColor="text1"/>
        </w:rPr>
        <w:t>O</w:t>
      </w:r>
      <w:r w:rsidR="004D4E7A" w:rsidRPr="00F47344">
        <w:rPr>
          <w:color w:val="000000" w:themeColor="text1"/>
        </w:rPr>
        <w:t>s</w:t>
      </w:r>
      <w:r w:rsidR="008C4D41" w:rsidRPr="00F47344">
        <w:rPr>
          <w:color w:val="000000" w:themeColor="text1"/>
        </w:rPr>
        <w:t xml:space="preserve"> seek </w:t>
      </w:r>
      <w:r w:rsidR="00D1514D" w:rsidRPr="00F47344">
        <w:rPr>
          <w:color w:val="000000" w:themeColor="text1"/>
        </w:rPr>
        <w:t xml:space="preserve">to dismiss the case </w:t>
      </w:r>
      <w:r w:rsidR="0011038E">
        <w:rPr>
          <w:color w:val="000000" w:themeColor="text1"/>
        </w:rPr>
        <w:t>on the grounds that</w:t>
      </w:r>
      <w:r w:rsidR="00D1514D" w:rsidRPr="00F47344">
        <w:rPr>
          <w:color w:val="000000" w:themeColor="text1"/>
        </w:rPr>
        <w:t xml:space="preserve"> </w:t>
      </w:r>
      <w:r w:rsidR="00AA6CAD">
        <w:rPr>
          <w:color w:val="000000" w:themeColor="text1"/>
        </w:rPr>
        <w:t>the c</w:t>
      </w:r>
      <w:r w:rsidR="00F47344" w:rsidRPr="00F47344">
        <w:rPr>
          <w:color w:val="000000" w:themeColor="text1"/>
        </w:rPr>
        <w:t>omplaint is legally insufficient and there are no genuine issues of fact</w:t>
      </w:r>
      <w:r w:rsidR="00F50997">
        <w:rPr>
          <w:color w:val="000000" w:themeColor="text1"/>
        </w:rPr>
        <w:t xml:space="preserve"> because </w:t>
      </w:r>
      <w:r w:rsidR="00AA6CAD">
        <w:rPr>
          <w:color w:val="000000" w:themeColor="text1"/>
        </w:rPr>
        <w:t>the c</w:t>
      </w:r>
      <w:r w:rsidR="00B72C2F">
        <w:rPr>
          <w:color w:val="000000" w:themeColor="text1"/>
        </w:rPr>
        <w:t>omplaint only sets forth facts pertaining to telephon</w:t>
      </w:r>
      <w:r w:rsidR="00176368">
        <w:rPr>
          <w:color w:val="000000" w:themeColor="text1"/>
        </w:rPr>
        <w:t>e</w:t>
      </w:r>
      <w:r w:rsidR="00B72C2F">
        <w:rPr>
          <w:color w:val="000000" w:themeColor="text1"/>
        </w:rPr>
        <w:t xml:space="preserve"> service, whereas Respondent provides elec</w:t>
      </w:r>
      <w:r w:rsidR="004B7C6D">
        <w:rPr>
          <w:color w:val="000000" w:themeColor="text1"/>
        </w:rPr>
        <w:t>tric service to the Complainant</w:t>
      </w:r>
      <w:r w:rsidR="00AA6CAD">
        <w:rPr>
          <w:color w:val="000000" w:themeColor="text1"/>
        </w:rPr>
        <w:t>; and because the c</w:t>
      </w:r>
      <w:r w:rsidR="004B7C6D">
        <w:rPr>
          <w:color w:val="000000" w:themeColor="text1"/>
        </w:rPr>
        <w:t>omplaint involves a dispute between the Complainant and his landlord.</w:t>
      </w:r>
    </w:p>
    <w:p w:rsidR="003E54B5" w:rsidRPr="0014145C" w:rsidRDefault="00D1514D" w:rsidP="00D1514D">
      <w:pPr>
        <w:jc w:val="left"/>
        <w:rPr>
          <w:color w:val="7F7F7F" w:themeColor="text1" w:themeTint="80"/>
          <w:u w:val="single"/>
        </w:rPr>
      </w:pPr>
      <w:r w:rsidRPr="0014145C">
        <w:rPr>
          <w:color w:val="7F7F7F" w:themeColor="text1" w:themeTint="80"/>
          <w:u w:val="single"/>
        </w:rPr>
        <w:t xml:space="preserve"> </w:t>
      </w:r>
    </w:p>
    <w:p w:rsidR="009943BE" w:rsidRPr="0014145C" w:rsidRDefault="009943BE" w:rsidP="009943BE">
      <w:pPr>
        <w:jc w:val="left"/>
        <w:rPr>
          <w:color w:val="000000" w:themeColor="text1"/>
        </w:rPr>
      </w:pPr>
      <w:r w:rsidRPr="0014145C">
        <w:rPr>
          <w:color w:val="7F7F7F" w:themeColor="text1" w:themeTint="80"/>
        </w:rPr>
        <w:tab/>
      </w:r>
      <w:r w:rsidRPr="0014145C">
        <w:rPr>
          <w:color w:val="000000" w:themeColor="text1"/>
        </w:rPr>
        <w:tab/>
        <w:t xml:space="preserve">Commission preliminary objection practice is similar to Pennsylvania civil practice.  </w:t>
      </w:r>
      <w:r w:rsidRPr="0014145C">
        <w:rPr>
          <w:i/>
          <w:color w:val="000000" w:themeColor="text1"/>
        </w:rPr>
        <w:t xml:space="preserve">Equitable Small Transportation Interveners v. Equitable Gas Company, </w:t>
      </w:r>
      <w:r w:rsidRPr="0014145C">
        <w:rPr>
          <w:color w:val="000000" w:themeColor="text1"/>
        </w:rPr>
        <w:t xml:space="preserve">1994 Pa. PUC LEXIS 69, PUC Docket No. </w:t>
      </w:r>
      <w:proofErr w:type="gramStart"/>
      <w:r w:rsidRPr="0014145C">
        <w:rPr>
          <w:color w:val="000000" w:themeColor="text1"/>
        </w:rPr>
        <w:t>C-000935435 (July 18, 1994).</w:t>
      </w:r>
      <w:proofErr w:type="gramEnd"/>
      <w:r w:rsidRPr="0014145C">
        <w:rPr>
          <w:color w:val="000000" w:themeColor="text1"/>
        </w:rPr>
        <w:t xml:space="preserve"> </w:t>
      </w:r>
      <w:r w:rsidRPr="0014145C">
        <w:rPr>
          <w:color w:val="000000" w:themeColor="text1"/>
        </w:rPr>
        <w:tab/>
        <w:t xml:space="preserve"> When considering the preliminary objection, the Commission must determine “whether the law says with certainty, based on well-pleaded factual averments . . . that no recovery or relief is possible.  </w:t>
      </w:r>
      <w:proofErr w:type="gramStart"/>
      <w:r w:rsidRPr="0014145C">
        <w:rPr>
          <w:i/>
          <w:color w:val="000000" w:themeColor="text1"/>
        </w:rPr>
        <w:t xml:space="preserve">P. J. S. v. Pa. State Ethics Commission, </w:t>
      </w:r>
      <w:r w:rsidR="00B63AF5">
        <w:rPr>
          <w:color w:val="000000" w:themeColor="text1"/>
        </w:rPr>
        <w:t>669 A.2d 1105 (</w:t>
      </w:r>
      <w:proofErr w:type="spellStart"/>
      <w:r w:rsidR="00B63AF5">
        <w:rPr>
          <w:color w:val="000000" w:themeColor="text1"/>
        </w:rPr>
        <w:t>Pa.</w:t>
      </w:r>
      <w:r w:rsidRPr="0014145C">
        <w:rPr>
          <w:color w:val="000000" w:themeColor="text1"/>
        </w:rPr>
        <w:t>Cmwlth</w:t>
      </w:r>
      <w:proofErr w:type="spellEnd"/>
      <w:r w:rsidRPr="0014145C">
        <w:rPr>
          <w:color w:val="000000" w:themeColor="text1"/>
        </w:rPr>
        <w:t>. 1996).</w:t>
      </w:r>
      <w:proofErr w:type="gramEnd"/>
      <w:r w:rsidRPr="0014145C">
        <w:rPr>
          <w:color w:val="000000" w:themeColor="text1"/>
        </w:rPr>
        <w:t xml:space="preserve">  Any doubt must be resolved in favor of the non-moving party by refusing to sustain the preliminary objections.  </w:t>
      </w:r>
      <w:proofErr w:type="gramStart"/>
      <w:r w:rsidRPr="0014145C">
        <w:rPr>
          <w:i/>
          <w:color w:val="000000" w:themeColor="text1"/>
        </w:rPr>
        <w:t xml:space="preserve">Boyd v. Ward, </w:t>
      </w:r>
      <w:r w:rsidR="00B63AF5">
        <w:rPr>
          <w:color w:val="000000" w:themeColor="text1"/>
        </w:rPr>
        <w:t>802 A.2d 705 (</w:t>
      </w:r>
      <w:proofErr w:type="spellStart"/>
      <w:r w:rsidR="00B63AF5">
        <w:rPr>
          <w:color w:val="000000" w:themeColor="text1"/>
        </w:rPr>
        <w:t>Pa.</w:t>
      </w:r>
      <w:r w:rsidRPr="0014145C">
        <w:rPr>
          <w:color w:val="000000" w:themeColor="text1"/>
        </w:rPr>
        <w:t>Cmwlth</w:t>
      </w:r>
      <w:proofErr w:type="spellEnd"/>
      <w:r w:rsidRPr="0014145C">
        <w:rPr>
          <w:color w:val="000000" w:themeColor="text1"/>
        </w:rPr>
        <w:t>. 2002).”</w:t>
      </w:r>
      <w:proofErr w:type="gramEnd"/>
      <w:r w:rsidRPr="0014145C">
        <w:rPr>
          <w:color w:val="000000" w:themeColor="text1"/>
        </w:rPr>
        <w:t xml:space="preserve">  </w:t>
      </w:r>
      <w:proofErr w:type="gramStart"/>
      <w:r w:rsidRPr="0014145C">
        <w:rPr>
          <w:i/>
          <w:color w:val="000000" w:themeColor="text1"/>
        </w:rPr>
        <w:t xml:space="preserve">Dept. of Auditor General, et al. v. State Employees’ Retirement System, et al., </w:t>
      </w:r>
      <w:r w:rsidRPr="0014145C">
        <w:rPr>
          <w:color w:val="000000" w:themeColor="text1"/>
        </w:rPr>
        <w:t>836 A.2d 1053, 1064 (</w:t>
      </w:r>
      <w:proofErr w:type="spellStart"/>
      <w:r w:rsidRPr="0014145C">
        <w:rPr>
          <w:color w:val="000000" w:themeColor="text1"/>
        </w:rPr>
        <w:t>Pa.Cmwlth</w:t>
      </w:r>
      <w:proofErr w:type="spellEnd"/>
      <w:r w:rsidRPr="0014145C">
        <w:rPr>
          <w:color w:val="000000" w:themeColor="text1"/>
        </w:rPr>
        <w:t>. 2003).</w:t>
      </w:r>
      <w:proofErr w:type="gramEnd"/>
      <w:r w:rsidRPr="0014145C">
        <w:rPr>
          <w:color w:val="000000" w:themeColor="text1"/>
        </w:rPr>
        <w:t xml:space="preserve">  </w:t>
      </w:r>
      <w:r w:rsidRPr="0014145C">
        <w:rPr>
          <w:i/>
          <w:color w:val="000000" w:themeColor="text1"/>
        </w:rPr>
        <w:t xml:space="preserve"> </w:t>
      </w:r>
    </w:p>
    <w:p w:rsidR="009943BE" w:rsidRPr="0014145C" w:rsidRDefault="009943BE" w:rsidP="009943BE">
      <w:pPr>
        <w:rPr>
          <w:color w:val="000000" w:themeColor="text1"/>
        </w:rPr>
      </w:pPr>
    </w:p>
    <w:p w:rsidR="009943BE" w:rsidRPr="0014145C" w:rsidRDefault="009943BE" w:rsidP="009943BE">
      <w:pPr>
        <w:jc w:val="left"/>
        <w:rPr>
          <w:color w:val="000000" w:themeColor="text1"/>
        </w:rPr>
      </w:pPr>
      <w:r w:rsidRPr="0014145C">
        <w:rPr>
          <w:color w:val="000000" w:themeColor="text1"/>
        </w:rPr>
        <w:tab/>
      </w:r>
      <w:r w:rsidRPr="0014145C">
        <w:rPr>
          <w:color w:val="000000" w:themeColor="text1"/>
        </w:rPr>
        <w:tab/>
        <w:t>The rules regarding preliminary objections are as follows:</w:t>
      </w:r>
    </w:p>
    <w:p w:rsidR="009943BE" w:rsidRPr="0014145C" w:rsidRDefault="009943BE" w:rsidP="009943BE">
      <w:pPr>
        <w:jc w:val="left"/>
        <w:rPr>
          <w:color w:val="000000" w:themeColor="text1"/>
        </w:rPr>
      </w:pPr>
    </w:p>
    <w:p w:rsidR="009943BE" w:rsidRPr="0014145C" w:rsidRDefault="009943BE" w:rsidP="009943BE">
      <w:pPr>
        <w:spacing w:line="240" w:lineRule="auto"/>
        <w:ind w:left="1440" w:right="1440"/>
        <w:contextualSpacing/>
        <w:jc w:val="left"/>
        <w:rPr>
          <w:b/>
          <w:color w:val="000000" w:themeColor="text1"/>
        </w:rPr>
      </w:pPr>
      <w:r w:rsidRPr="0014145C">
        <w:rPr>
          <w:b/>
          <w:color w:val="000000" w:themeColor="text1"/>
        </w:rPr>
        <w:t xml:space="preserve">§ 5.101.  </w:t>
      </w:r>
      <w:proofErr w:type="gramStart"/>
      <w:r w:rsidRPr="0014145C">
        <w:rPr>
          <w:b/>
          <w:color w:val="000000" w:themeColor="text1"/>
        </w:rPr>
        <w:t>Preliminary objections.</w:t>
      </w:r>
      <w:proofErr w:type="gramEnd"/>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(a)</w:t>
      </w:r>
      <w:r w:rsidRPr="0014145C">
        <w:rPr>
          <w:color w:val="000000" w:themeColor="text1"/>
        </w:rPr>
        <w:tab/>
      </w:r>
      <w:r w:rsidRPr="0014145C">
        <w:rPr>
          <w:i/>
          <w:color w:val="000000" w:themeColor="text1"/>
        </w:rPr>
        <w:t>Grounds.</w:t>
      </w:r>
      <w:r w:rsidRPr="0014145C">
        <w:rPr>
          <w:color w:val="000000" w:themeColor="text1"/>
        </w:rPr>
        <w:t xml:space="preserve"> Preliminary objections are available to parties and may be filed in response to a pleading except motions and prior preliminary objections.  Preliminary objections must be </w:t>
      </w:r>
      <w:r w:rsidRPr="0014145C">
        <w:rPr>
          <w:color w:val="000000" w:themeColor="text1"/>
        </w:rPr>
        <w:lastRenderedPageBreak/>
        <w:t>accompanied by a notice to plead, must state specifically the legal and factual grounds relied upon and be limited to the following:</w:t>
      </w:r>
    </w:p>
    <w:p w:rsidR="009943BE" w:rsidRPr="0014145C" w:rsidRDefault="009943BE" w:rsidP="009943BE">
      <w:pPr>
        <w:spacing w:line="240" w:lineRule="auto"/>
        <w:ind w:left="1440" w:right="1440"/>
        <w:contextualSpacing/>
        <w:jc w:val="left"/>
        <w:rPr>
          <w:i/>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(1)  Lack of Commission jurisdiction or improper service of the pleading initiating the proceeding.</w:t>
      </w:r>
    </w:p>
    <w:p w:rsidR="009943BE" w:rsidRPr="0014145C" w:rsidRDefault="009943BE"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(2)  Failure of a pleading to conform to this chapter or the inclusion of scandalous or impertinent matter.</w:t>
      </w:r>
    </w:p>
    <w:p w:rsidR="009943BE" w:rsidRPr="0014145C" w:rsidRDefault="009943BE"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(3)  Insufficient specificity of a pleading.</w:t>
      </w:r>
    </w:p>
    <w:p w:rsidR="009943BE" w:rsidRPr="0014145C" w:rsidRDefault="009943BE"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(4)  Legal insufficiency of a pleading.</w:t>
      </w:r>
    </w:p>
    <w:p w:rsidR="009943BE" w:rsidRPr="0014145C" w:rsidRDefault="009943BE"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jc w:val="left"/>
        <w:rPr>
          <w:color w:val="000000" w:themeColor="text1"/>
        </w:rPr>
      </w:pPr>
      <w:r w:rsidRPr="0014145C">
        <w:rPr>
          <w:color w:val="000000" w:themeColor="text1"/>
        </w:rPr>
        <w:t xml:space="preserve">(5) Lack of capacity to sue, </w:t>
      </w:r>
      <w:proofErr w:type="spellStart"/>
      <w:r w:rsidRPr="0014145C">
        <w:rPr>
          <w:color w:val="000000" w:themeColor="text1"/>
        </w:rPr>
        <w:t>nonjoinder</w:t>
      </w:r>
      <w:proofErr w:type="spellEnd"/>
      <w:r w:rsidRPr="0014145C">
        <w:rPr>
          <w:color w:val="000000" w:themeColor="text1"/>
        </w:rPr>
        <w:t xml:space="preserve"> of a necessary party or misjoinder of a cause of action.</w:t>
      </w:r>
    </w:p>
    <w:p w:rsidR="009943BE" w:rsidRPr="0014145C" w:rsidRDefault="009943BE" w:rsidP="009943BE">
      <w:pPr>
        <w:spacing w:line="240" w:lineRule="auto"/>
        <w:ind w:left="1440" w:right="1440"/>
        <w:contextualSpacing/>
        <w:jc w:val="left"/>
        <w:rPr>
          <w:color w:val="000000" w:themeColor="text1"/>
        </w:rPr>
      </w:pPr>
    </w:p>
    <w:p w:rsidR="00BB2E03" w:rsidRPr="0014145C" w:rsidRDefault="009943BE" w:rsidP="009943BE">
      <w:pPr>
        <w:spacing w:line="240" w:lineRule="auto"/>
        <w:ind w:left="1440" w:right="1440"/>
        <w:contextualSpacing/>
        <w:jc w:val="left"/>
        <w:rPr>
          <w:color w:val="000000" w:themeColor="text1"/>
        </w:rPr>
      </w:pPr>
      <w:r w:rsidRPr="0014145C">
        <w:rPr>
          <w:color w:val="000000" w:themeColor="text1"/>
        </w:rPr>
        <w:t xml:space="preserve">(6)  Pendency of a prior proceeding or agreement for alternative </w:t>
      </w:r>
    </w:p>
    <w:p w:rsidR="009943BE" w:rsidRPr="0014145C" w:rsidRDefault="009943BE" w:rsidP="009943BE">
      <w:pPr>
        <w:spacing w:line="240" w:lineRule="auto"/>
        <w:ind w:left="1440" w:right="1440"/>
        <w:contextualSpacing/>
        <w:jc w:val="left"/>
        <w:rPr>
          <w:color w:val="000000" w:themeColor="text1"/>
        </w:rPr>
      </w:pPr>
      <w:proofErr w:type="gramStart"/>
      <w:r w:rsidRPr="0014145C">
        <w:rPr>
          <w:color w:val="000000" w:themeColor="text1"/>
        </w:rPr>
        <w:t>dispute</w:t>
      </w:r>
      <w:proofErr w:type="gramEnd"/>
      <w:r w:rsidRPr="0014145C">
        <w:rPr>
          <w:color w:val="000000" w:themeColor="text1"/>
        </w:rPr>
        <w:t xml:space="preserve"> resolution.</w:t>
      </w:r>
    </w:p>
    <w:p w:rsidR="00BB2E03" w:rsidRPr="0014145C" w:rsidRDefault="00BB2E03" w:rsidP="009943BE">
      <w:pPr>
        <w:spacing w:line="240" w:lineRule="auto"/>
        <w:ind w:left="1440" w:right="1440"/>
        <w:contextualSpacing/>
        <w:jc w:val="left"/>
        <w:rPr>
          <w:color w:val="000000" w:themeColor="text1"/>
        </w:rPr>
      </w:pPr>
    </w:p>
    <w:p w:rsidR="00BB2E03" w:rsidRPr="0014145C" w:rsidRDefault="00BB2E03" w:rsidP="009943BE">
      <w:pPr>
        <w:spacing w:line="240" w:lineRule="auto"/>
        <w:ind w:left="1440" w:right="1440"/>
        <w:contextualSpacing/>
        <w:jc w:val="left"/>
        <w:rPr>
          <w:color w:val="000000" w:themeColor="text1"/>
        </w:rPr>
      </w:pPr>
      <w:r w:rsidRPr="0014145C">
        <w:rPr>
          <w:color w:val="000000" w:themeColor="text1"/>
        </w:rPr>
        <w:t>(7)  Standing of a party to participate in the proceeding.</w:t>
      </w:r>
    </w:p>
    <w:p w:rsidR="00BB2E03" w:rsidRPr="0014145C" w:rsidRDefault="00BB2E03" w:rsidP="009943BE">
      <w:pPr>
        <w:spacing w:line="240" w:lineRule="auto"/>
        <w:ind w:left="1440" w:right="1440"/>
        <w:contextualSpacing/>
        <w:jc w:val="left"/>
        <w:rPr>
          <w:color w:val="000000" w:themeColor="text1"/>
        </w:rPr>
      </w:pPr>
    </w:p>
    <w:p w:rsidR="009943BE" w:rsidRPr="0014145C" w:rsidRDefault="009943BE" w:rsidP="009943BE">
      <w:pPr>
        <w:spacing w:line="240" w:lineRule="auto"/>
        <w:ind w:left="1440" w:right="1440"/>
        <w:contextualSpacing/>
        <w:rPr>
          <w:color w:val="000000" w:themeColor="text1"/>
        </w:rPr>
      </w:pPr>
      <w:r w:rsidRPr="0014145C">
        <w:rPr>
          <w:color w:val="000000" w:themeColor="text1"/>
        </w:rPr>
        <w:t>* * *</w:t>
      </w:r>
    </w:p>
    <w:p w:rsidR="009943BE" w:rsidRPr="0014145C" w:rsidRDefault="009943BE" w:rsidP="00B31D9A">
      <w:pPr>
        <w:spacing w:line="240" w:lineRule="auto"/>
        <w:ind w:right="1440"/>
        <w:contextualSpacing/>
        <w:jc w:val="left"/>
        <w:rPr>
          <w:color w:val="000000" w:themeColor="text1"/>
        </w:rPr>
      </w:pPr>
      <w:proofErr w:type="gramStart"/>
      <w:r w:rsidRPr="0014145C">
        <w:rPr>
          <w:color w:val="000000" w:themeColor="text1"/>
        </w:rPr>
        <w:t xml:space="preserve">52 </w:t>
      </w:r>
      <w:proofErr w:type="spellStart"/>
      <w:r w:rsidRPr="0014145C">
        <w:rPr>
          <w:color w:val="000000" w:themeColor="text1"/>
        </w:rPr>
        <w:t>Pa.Code</w:t>
      </w:r>
      <w:proofErr w:type="spellEnd"/>
      <w:r w:rsidRPr="0014145C">
        <w:rPr>
          <w:color w:val="000000" w:themeColor="text1"/>
        </w:rPr>
        <w:t xml:space="preserve"> § 5.101(a).</w:t>
      </w:r>
      <w:proofErr w:type="gramEnd"/>
      <w:r w:rsidRPr="0014145C">
        <w:rPr>
          <w:color w:val="000000" w:themeColor="text1"/>
        </w:rPr>
        <w:t xml:space="preserve">  </w:t>
      </w:r>
    </w:p>
    <w:p w:rsidR="009943BE" w:rsidRPr="0014145C" w:rsidRDefault="009943BE" w:rsidP="009943BE">
      <w:pPr>
        <w:ind w:left="1440" w:right="1440"/>
        <w:jc w:val="left"/>
        <w:rPr>
          <w:color w:val="000000" w:themeColor="text1"/>
        </w:rPr>
      </w:pPr>
    </w:p>
    <w:p w:rsidR="001E4B2B" w:rsidRDefault="009943BE" w:rsidP="00EB32E3">
      <w:pPr>
        <w:jc w:val="left"/>
        <w:rPr>
          <w:color w:val="000000" w:themeColor="text1"/>
        </w:rPr>
      </w:pPr>
      <w:r w:rsidRPr="0014145C">
        <w:rPr>
          <w:color w:val="000000" w:themeColor="text1"/>
        </w:rPr>
        <w:tab/>
      </w:r>
      <w:r w:rsidRPr="0014145C">
        <w:rPr>
          <w:color w:val="000000" w:themeColor="text1"/>
        </w:rPr>
        <w:tab/>
        <w:t xml:space="preserve"> In reviewing preliminary obj</w:t>
      </w:r>
      <w:r w:rsidR="00AA6CAD">
        <w:rPr>
          <w:color w:val="000000" w:themeColor="text1"/>
        </w:rPr>
        <w:t xml:space="preserve">ections, only the </w:t>
      </w:r>
      <w:r w:rsidR="00F92B1E">
        <w:rPr>
          <w:color w:val="000000" w:themeColor="text1"/>
        </w:rPr>
        <w:t xml:space="preserve">well pled </w:t>
      </w:r>
      <w:r w:rsidR="008275EB">
        <w:rPr>
          <w:color w:val="000000" w:themeColor="text1"/>
        </w:rPr>
        <w:t xml:space="preserve">material </w:t>
      </w:r>
      <w:r w:rsidR="00AA6CAD">
        <w:rPr>
          <w:color w:val="000000" w:themeColor="text1"/>
        </w:rPr>
        <w:t xml:space="preserve">facts </w:t>
      </w:r>
      <w:r w:rsidR="00F92B1E">
        <w:rPr>
          <w:color w:val="000000" w:themeColor="text1"/>
        </w:rPr>
        <w:t>of the non-moving party</w:t>
      </w:r>
      <w:r w:rsidRPr="0014145C">
        <w:rPr>
          <w:color w:val="000000" w:themeColor="text1"/>
        </w:rPr>
        <w:t xml:space="preserve"> </w:t>
      </w:r>
      <w:r w:rsidR="00E73938">
        <w:rPr>
          <w:color w:val="000000" w:themeColor="text1"/>
        </w:rPr>
        <w:t>may</w:t>
      </w:r>
      <w:r w:rsidRPr="0014145C">
        <w:rPr>
          <w:color w:val="000000" w:themeColor="text1"/>
        </w:rPr>
        <w:t xml:space="preserve"> be presumed to be true in order to determine whether recovery is possible.  In order for Complainant to prevail ultimately, there must be a statute, regulation or order which the Commission is authorized to enforce.  The Complaint must set forth anything done or omitted to be done by </w:t>
      </w:r>
      <w:r w:rsidR="00E3743F" w:rsidRPr="0014145C">
        <w:rPr>
          <w:color w:val="000000" w:themeColor="text1"/>
        </w:rPr>
        <w:t xml:space="preserve">the utility company </w:t>
      </w:r>
      <w:r w:rsidRPr="0014145C">
        <w:rPr>
          <w:color w:val="000000" w:themeColor="text1"/>
        </w:rPr>
        <w:t xml:space="preserve">in violation of any law which the Commission has jurisdiction to administer.  </w:t>
      </w:r>
      <w:proofErr w:type="gramStart"/>
      <w:r w:rsidRPr="0014145C">
        <w:rPr>
          <w:color w:val="000000" w:themeColor="text1"/>
        </w:rPr>
        <w:t xml:space="preserve">66 </w:t>
      </w:r>
      <w:proofErr w:type="spellStart"/>
      <w:r w:rsidRPr="0014145C">
        <w:rPr>
          <w:color w:val="000000" w:themeColor="text1"/>
        </w:rPr>
        <w:t>Pa.</w:t>
      </w:r>
      <w:r w:rsidR="00B63AF5">
        <w:rPr>
          <w:color w:val="000000" w:themeColor="text1"/>
        </w:rPr>
        <w:t>C.S</w:t>
      </w:r>
      <w:proofErr w:type="spellEnd"/>
      <w:r w:rsidR="00B63AF5">
        <w:rPr>
          <w:color w:val="000000" w:themeColor="text1"/>
        </w:rPr>
        <w:t>.</w:t>
      </w:r>
      <w:proofErr w:type="gramEnd"/>
      <w:r w:rsidR="00B63AF5">
        <w:rPr>
          <w:color w:val="000000" w:themeColor="text1"/>
        </w:rPr>
        <w:t xml:space="preserve"> § 701; 52 </w:t>
      </w:r>
      <w:proofErr w:type="spellStart"/>
      <w:r w:rsidR="00B63AF5">
        <w:rPr>
          <w:color w:val="000000" w:themeColor="text1"/>
        </w:rPr>
        <w:t>Pa.</w:t>
      </w:r>
      <w:r w:rsidR="001E4B2B">
        <w:rPr>
          <w:color w:val="000000" w:themeColor="text1"/>
        </w:rPr>
        <w:t>Code</w:t>
      </w:r>
      <w:proofErr w:type="spellEnd"/>
      <w:r w:rsidR="001E4B2B">
        <w:rPr>
          <w:color w:val="000000" w:themeColor="text1"/>
        </w:rPr>
        <w:t xml:space="preserve"> § 5.21(a). </w:t>
      </w:r>
    </w:p>
    <w:p w:rsidR="00D958A1" w:rsidRDefault="00D958A1" w:rsidP="00793C13">
      <w:pPr>
        <w:jc w:val="left"/>
        <w:rPr>
          <w:b/>
        </w:rPr>
      </w:pPr>
    </w:p>
    <w:p w:rsidR="00793C13" w:rsidRPr="00793C13" w:rsidRDefault="00793C13" w:rsidP="00793C13">
      <w:pPr>
        <w:pStyle w:val="ListParagraph"/>
        <w:numPr>
          <w:ilvl w:val="0"/>
          <w:numId w:val="4"/>
        </w:numPr>
        <w:jc w:val="left"/>
        <w:rPr>
          <w:b/>
          <w:color w:val="000000" w:themeColor="text1"/>
        </w:rPr>
      </w:pPr>
      <w:r w:rsidRPr="00793C13">
        <w:rPr>
          <w:b/>
          <w:color w:val="000000" w:themeColor="text1"/>
        </w:rPr>
        <w:t>Legal Insufficiency</w:t>
      </w:r>
    </w:p>
    <w:p w:rsidR="00793C13" w:rsidRDefault="00793C13" w:rsidP="00D57DB5">
      <w:pPr>
        <w:jc w:val="left"/>
      </w:pPr>
    </w:p>
    <w:p w:rsidR="000F5460" w:rsidRDefault="000F5460" w:rsidP="00D57DB5">
      <w:pPr>
        <w:jc w:val="left"/>
      </w:pPr>
      <w:r>
        <w:tab/>
      </w:r>
      <w:r>
        <w:tab/>
        <w:t xml:space="preserve">PPL’s POs seek </w:t>
      </w:r>
      <w:r w:rsidR="008275EB">
        <w:t xml:space="preserve">dismissal of </w:t>
      </w:r>
      <w:r>
        <w:t xml:space="preserve">the Complaint </w:t>
      </w:r>
      <w:r w:rsidR="00A93B31">
        <w:t xml:space="preserve">for legal insufficiency due to Complainant’s alleged failure to state a claim that PPL has violated any law which the Commission has jurisdiction to administer. </w:t>
      </w:r>
    </w:p>
    <w:p w:rsidR="000F5460" w:rsidRDefault="000F5460" w:rsidP="00D57DB5">
      <w:pPr>
        <w:jc w:val="left"/>
      </w:pPr>
    </w:p>
    <w:p w:rsidR="00D57DB5" w:rsidRPr="00417515" w:rsidRDefault="00E52D8C" w:rsidP="00417515">
      <w:pPr>
        <w:pStyle w:val="ParaTab1"/>
        <w:spacing w:line="360" w:lineRule="auto"/>
        <w:rPr>
          <w:rFonts w:ascii="Times New Roman" w:hAnsi="Times New Roman" w:cs="Times New Roman"/>
        </w:rPr>
      </w:pPr>
      <w:r w:rsidRPr="001E75F7">
        <w:rPr>
          <w:rFonts w:ascii="Times New Roman" w:hAnsi="Times New Roman" w:cs="Times New Roman"/>
        </w:rPr>
        <w:lastRenderedPageBreak/>
        <w:t xml:space="preserve">The regulation at 52 </w:t>
      </w:r>
      <w:proofErr w:type="spellStart"/>
      <w:r w:rsidRPr="001E75F7">
        <w:rPr>
          <w:rFonts w:ascii="Times New Roman" w:hAnsi="Times New Roman" w:cs="Times New Roman"/>
        </w:rPr>
        <w:t>Pa.Code</w:t>
      </w:r>
      <w:proofErr w:type="spellEnd"/>
      <w:r w:rsidRPr="001E75F7">
        <w:rPr>
          <w:rFonts w:ascii="Times New Roman" w:hAnsi="Times New Roman" w:cs="Times New Roman"/>
        </w:rPr>
        <w:t xml:space="preserve"> § 5.101(a</w:t>
      </w:r>
      <w:proofErr w:type="gramStart"/>
      <w:r w:rsidRPr="001E75F7">
        <w:rPr>
          <w:rFonts w:ascii="Times New Roman" w:hAnsi="Times New Roman" w:cs="Times New Roman"/>
        </w:rPr>
        <w:t>)(</w:t>
      </w:r>
      <w:proofErr w:type="gramEnd"/>
      <w:r w:rsidRPr="001E75F7">
        <w:rPr>
          <w:rFonts w:ascii="Times New Roman" w:hAnsi="Times New Roman" w:cs="Times New Roman"/>
        </w:rPr>
        <w:t xml:space="preserve">4) permits the filing of a preliminary objection to dismiss a pleading for legal insufficiency.  </w:t>
      </w:r>
      <w:r w:rsidR="0085400A" w:rsidRPr="001E4B2B">
        <w:t>Parties have ten days to file a responsive pleading to</w:t>
      </w:r>
      <w:r w:rsidR="00D57DB5" w:rsidRPr="001E4B2B">
        <w:t xml:space="preserve"> </w:t>
      </w:r>
      <w:r w:rsidR="00EB75E7" w:rsidRPr="001E4B2B">
        <w:t>preliminary o</w:t>
      </w:r>
      <w:r w:rsidR="00D57DB5" w:rsidRPr="001E4B2B">
        <w:t>bjections.  52 Pa. Code § 5.101(f</w:t>
      </w:r>
      <w:proofErr w:type="gramStart"/>
      <w:r w:rsidR="00D57DB5" w:rsidRPr="001E4B2B">
        <w:t>)(</w:t>
      </w:r>
      <w:proofErr w:type="gramEnd"/>
      <w:r w:rsidR="00D57DB5" w:rsidRPr="001E4B2B">
        <w:t xml:space="preserve">1).  </w:t>
      </w:r>
    </w:p>
    <w:p w:rsidR="0039414E" w:rsidRDefault="0039414E" w:rsidP="00D57DB5">
      <w:pPr>
        <w:jc w:val="left"/>
      </w:pPr>
    </w:p>
    <w:p w:rsidR="00AA6CAD" w:rsidRDefault="0039414E" w:rsidP="00D57DB5">
      <w:pPr>
        <w:jc w:val="left"/>
      </w:pPr>
      <w:r>
        <w:tab/>
      </w:r>
      <w:r>
        <w:tab/>
        <w:t>On November 9, 2015, Complainant filed a letter with the Commission.</w:t>
      </w:r>
      <w:r w:rsidR="00AA6CAD">
        <w:t xml:space="preserve">  This letter was dated November 4, 2015 and postmarked November 5, 2015.  Since the Respondent’s POs were filed on</w:t>
      </w:r>
      <w:r>
        <w:t xml:space="preserve"> </w:t>
      </w:r>
      <w:r w:rsidR="00AA6CAD">
        <w:t xml:space="preserve">October 26, 2015, the Complainant had ten days to file a responsive pleading. </w:t>
      </w:r>
      <w:r w:rsidR="006F4330">
        <w:t xml:space="preserve"> I will treat the letter as timely filed under </w:t>
      </w:r>
      <w:r w:rsidR="006F4330" w:rsidRPr="00650A4A">
        <w:t>56 Pa. Code § 1.11(a).</w:t>
      </w:r>
      <w:r w:rsidR="006F4330">
        <w:t xml:space="preserve"> </w:t>
      </w:r>
    </w:p>
    <w:p w:rsidR="00AA6CAD" w:rsidRDefault="00AA6CAD" w:rsidP="00D57DB5">
      <w:pPr>
        <w:jc w:val="left"/>
      </w:pPr>
    </w:p>
    <w:p w:rsidR="0039414E" w:rsidRDefault="00AA6CAD" w:rsidP="00D57DB5">
      <w:pPr>
        <w:jc w:val="left"/>
      </w:pPr>
      <w:r>
        <w:tab/>
      </w:r>
      <w:r>
        <w:tab/>
      </w:r>
      <w:r w:rsidR="0039414E">
        <w:t xml:space="preserve">The letter, which </w:t>
      </w:r>
      <w:r w:rsidR="00A47CAB">
        <w:t>contains</w:t>
      </w:r>
      <w:r w:rsidR="0039414E">
        <w:t xml:space="preserve"> more detailed allegations</w:t>
      </w:r>
      <w:r w:rsidR="00A47CAB">
        <w:t xml:space="preserve"> about improper billing</w:t>
      </w:r>
      <w:r w:rsidR="0039414E">
        <w:t xml:space="preserve"> tha</w:t>
      </w:r>
      <w:r w:rsidR="00A47CAB">
        <w:t>n</w:t>
      </w:r>
      <w:r w:rsidR="0039414E">
        <w:t xml:space="preserve"> had previously been made in the </w:t>
      </w:r>
      <w:r w:rsidR="00791ACD">
        <w:t>c</w:t>
      </w:r>
      <w:r w:rsidR="0039414E">
        <w:t xml:space="preserve">omplaint, appeared to be in response to Respondent’s POs, but was not marked as such. </w:t>
      </w:r>
    </w:p>
    <w:p w:rsidR="00E7527F" w:rsidRPr="0039414E" w:rsidRDefault="00E7527F" w:rsidP="00D57DB5">
      <w:pPr>
        <w:jc w:val="left"/>
        <w:rPr>
          <w:color w:val="000000" w:themeColor="text1"/>
        </w:rPr>
      </w:pPr>
    </w:p>
    <w:p w:rsidR="0039414E" w:rsidRDefault="00E7527F" w:rsidP="00D57DB5">
      <w:pPr>
        <w:jc w:val="left"/>
        <w:rPr>
          <w:color w:val="000000" w:themeColor="text1"/>
        </w:rPr>
      </w:pPr>
      <w:r w:rsidRPr="0039414E">
        <w:rPr>
          <w:color w:val="000000" w:themeColor="text1"/>
        </w:rPr>
        <w:tab/>
      </w:r>
      <w:r w:rsidRPr="0039414E">
        <w:rPr>
          <w:color w:val="000000" w:themeColor="text1"/>
        </w:rPr>
        <w:tab/>
        <w:t xml:space="preserve">The regulation at 52 Pa. Code §1.2(a) provides that the presiding officer or Commission may disregard an error or defect of procedure which does not affect the substantive rights of the parties.  </w:t>
      </w:r>
      <w:r w:rsidR="00791ACD">
        <w:rPr>
          <w:color w:val="000000" w:themeColor="text1"/>
        </w:rPr>
        <w:t>I</w:t>
      </w:r>
      <w:r w:rsidR="0039414E" w:rsidRPr="0039414E">
        <w:rPr>
          <w:color w:val="000000" w:themeColor="text1"/>
        </w:rPr>
        <w:t xml:space="preserve"> will treat the Complainant’s letter as a responsive pleading to Respondent’s </w:t>
      </w:r>
      <w:proofErr w:type="spellStart"/>
      <w:r w:rsidR="0039414E" w:rsidRPr="0039414E">
        <w:rPr>
          <w:color w:val="000000" w:themeColor="text1"/>
        </w:rPr>
        <w:t>POs.</w:t>
      </w:r>
      <w:proofErr w:type="spellEnd"/>
      <w:r w:rsidR="0039414E" w:rsidRPr="0039414E">
        <w:rPr>
          <w:color w:val="000000" w:themeColor="text1"/>
        </w:rPr>
        <w:t xml:space="preserve">  The content of this letter contains, in pertinent part, allegations of </w:t>
      </w:r>
      <w:r w:rsidR="00E73938">
        <w:rPr>
          <w:color w:val="000000" w:themeColor="text1"/>
        </w:rPr>
        <w:t>excessive</w:t>
      </w:r>
      <w:r w:rsidR="0039414E" w:rsidRPr="0039414E">
        <w:rPr>
          <w:color w:val="000000" w:themeColor="text1"/>
        </w:rPr>
        <w:t xml:space="preserve"> billing on the Complainant’s electrical service account with the PPL.</w:t>
      </w:r>
      <w:r w:rsidR="00E73938">
        <w:rPr>
          <w:color w:val="000000" w:themeColor="text1"/>
        </w:rPr>
        <w:t xml:space="preserve">  Accepting these allegations as true, the Comp</w:t>
      </w:r>
      <w:r w:rsidR="00A47CAB">
        <w:rPr>
          <w:color w:val="000000" w:themeColor="text1"/>
        </w:rPr>
        <w:t xml:space="preserve">lainant has raised a factual dispute that renders preliminary dismissal of the complaint inappropriate.  Accordingly, a hearing will be scheduled to allow the parties to present evidence on the issue of improper billing. </w:t>
      </w:r>
      <w:r w:rsidR="00E73938">
        <w:rPr>
          <w:color w:val="000000" w:themeColor="text1"/>
        </w:rPr>
        <w:t xml:space="preserve">   </w:t>
      </w:r>
    </w:p>
    <w:p w:rsidR="000F5460" w:rsidRDefault="000F5460" w:rsidP="00D57DB5">
      <w:pPr>
        <w:jc w:val="left"/>
        <w:rPr>
          <w:color w:val="FF0000"/>
        </w:rPr>
      </w:pPr>
    </w:p>
    <w:p w:rsidR="00793C13" w:rsidRPr="00793C13" w:rsidRDefault="00793C13" w:rsidP="00793C13">
      <w:pPr>
        <w:pStyle w:val="ListParagraph"/>
        <w:numPr>
          <w:ilvl w:val="0"/>
          <w:numId w:val="4"/>
        </w:numPr>
        <w:jc w:val="left"/>
        <w:rPr>
          <w:b/>
        </w:rPr>
      </w:pPr>
      <w:r w:rsidRPr="00793C13">
        <w:rPr>
          <w:b/>
        </w:rPr>
        <w:t>Telephonic Service</w:t>
      </w:r>
      <w:r>
        <w:rPr>
          <w:b/>
        </w:rPr>
        <w:t xml:space="preserve"> </w:t>
      </w:r>
    </w:p>
    <w:p w:rsidR="00D57DB5" w:rsidRPr="002C7D08" w:rsidRDefault="00D57DB5" w:rsidP="00EB32E3">
      <w:pPr>
        <w:jc w:val="left"/>
        <w:rPr>
          <w:color w:val="000000" w:themeColor="text1"/>
        </w:rPr>
      </w:pPr>
    </w:p>
    <w:p w:rsidR="000F5460" w:rsidRPr="002C7D08" w:rsidRDefault="000F5460" w:rsidP="00EB32E3">
      <w:pPr>
        <w:jc w:val="left"/>
        <w:rPr>
          <w:color w:val="000000" w:themeColor="text1"/>
        </w:rPr>
      </w:pPr>
      <w:r w:rsidRPr="002C7D08">
        <w:rPr>
          <w:color w:val="000000" w:themeColor="text1"/>
        </w:rPr>
        <w:tab/>
      </w:r>
      <w:r w:rsidRPr="002C7D08">
        <w:rPr>
          <w:color w:val="000000" w:themeColor="text1"/>
        </w:rPr>
        <w:tab/>
      </w:r>
      <w:r w:rsidR="004D30CE">
        <w:rPr>
          <w:color w:val="000000" w:themeColor="text1"/>
        </w:rPr>
        <w:t>In both the c</w:t>
      </w:r>
      <w:r w:rsidRPr="002C7D08">
        <w:rPr>
          <w:color w:val="000000" w:themeColor="text1"/>
        </w:rPr>
        <w:t xml:space="preserve">omplaint and the letter responding to </w:t>
      </w:r>
      <w:r w:rsidR="00A47CAB">
        <w:rPr>
          <w:color w:val="000000" w:themeColor="text1"/>
        </w:rPr>
        <w:t xml:space="preserve">PPL’s </w:t>
      </w:r>
      <w:r w:rsidRPr="002C7D08">
        <w:rPr>
          <w:color w:val="000000" w:themeColor="text1"/>
        </w:rPr>
        <w:t xml:space="preserve">POs, the Complainant discusses </w:t>
      </w:r>
      <w:r w:rsidR="004D30CE">
        <w:rPr>
          <w:color w:val="000000" w:themeColor="text1"/>
        </w:rPr>
        <w:t xml:space="preserve">alleged </w:t>
      </w:r>
      <w:r w:rsidRPr="002C7D08">
        <w:rPr>
          <w:color w:val="000000" w:themeColor="text1"/>
        </w:rPr>
        <w:t>problems he is</w:t>
      </w:r>
      <w:r w:rsidR="00C3167F">
        <w:rPr>
          <w:color w:val="000000" w:themeColor="text1"/>
        </w:rPr>
        <w:t xml:space="preserve"> </w:t>
      </w:r>
      <w:r w:rsidRPr="002C7D08">
        <w:rPr>
          <w:color w:val="000000" w:themeColor="text1"/>
        </w:rPr>
        <w:t xml:space="preserve">having with </w:t>
      </w:r>
      <w:r w:rsidR="002C7D08" w:rsidRPr="002C7D08">
        <w:rPr>
          <w:color w:val="000000" w:themeColor="text1"/>
        </w:rPr>
        <w:t xml:space="preserve">landline </w:t>
      </w:r>
      <w:r w:rsidRPr="002C7D08">
        <w:rPr>
          <w:color w:val="000000" w:themeColor="text1"/>
        </w:rPr>
        <w:t xml:space="preserve">telephonic service </w:t>
      </w:r>
      <w:r w:rsidR="002C7D08" w:rsidRPr="002C7D08">
        <w:rPr>
          <w:color w:val="000000" w:themeColor="text1"/>
        </w:rPr>
        <w:t xml:space="preserve">and </w:t>
      </w:r>
      <w:r w:rsidR="004D30CE">
        <w:rPr>
          <w:color w:val="000000" w:themeColor="text1"/>
        </w:rPr>
        <w:t xml:space="preserve">costs incurred from </w:t>
      </w:r>
      <w:r w:rsidR="002C7D08" w:rsidRPr="002C7D08">
        <w:rPr>
          <w:color w:val="000000" w:themeColor="text1"/>
        </w:rPr>
        <w:t xml:space="preserve">cellular telephonic service </w:t>
      </w:r>
      <w:r w:rsidRPr="002C7D08">
        <w:rPr>
          <w:color w:val="000000" w:themeColor="text1"/>
        </w:rPr>
        <w:t>as a result of his landlord’s alleged failure to properly connect the service address to a telephon</w:t>
      </w:r>
      <w:r w:rsidR="00791ACD">
        <w:rPr>
          <w:color w:val="000000" w:themeColor="text1"/>
        </w:rPr>
        <w:t>e</w:t>
      </w:r>
      <w:r w:rsidRPr="002C7D08">
        <w:rPr>
          <w:color w:val="000000" w:themeColor="text1"/>
        </w:rPr>
        <w:t xml:space="preserve"> land line. </w:t>
      </w:r>
    </w:p>
    <w:p w:rsidR="000F5460" w:rsidRDefault="000F5460" w:rsidP="00EB32E3">
      <w:pPr>
        <w:jc w:val="left"/>
        <w:rPr>
          <w:color w:val="FF0000"/>
        </w:rPr>
      </w:pPr>
    </w:p>
    <w:p w:rsidR="0005448C" w:rsidRDefault="0005448C" w:rsidP="00EB32E3">
      <w:pPr>
        <w:jc w:val="left"/>
        <w:rPr>
          <w:color w:val="000000" w:themeColor="text1"/>
        </w:rPr>
      </w:pPr>
      <w:r>
        <w:rPr>
          <w:color w:val="FF0000"/>
        </w:rPr>
        <w:lastRenderedPageBreak/>
        <w:tab/>
      </w:r>
      <w:r>
        <w:rPr>
          <w:color w:val="FF0000"/>
        </w:rPr>
        <w:tab/>
      </w:r>
      <w:r w:rsidR="008E6750" w:rsidRPr="008E6750">
        <w:rPr>
          <w:color w:val="000000" w:themeColor="text1"/>
        </w:rPr>
        <w:t xml:space="preserve">As previously stated, </w:t>
      </w:r>
      <w:r w:rsidR="008E6750">
        <w:rPr>
          <w:color w:val="000000" w:themeColor="text1"/>
        </w:rPr>
        <w:t>t</w:t>
      </w:r>
      <w:r w:rsidR="004D30CE">
        <w:rPr>
          <w:color w:val="000000" w:themeColor="text1"/>
        </w:rPr>
        <w:t>he c</w:t>
      </w:r>
      <w:r w:rsidR="008E6750" w:rsidRPr="0014145C">
        <w:rPr>
          <w:color w:val="000000" w:themeColor="text1"/>
        </w:rPr>
        <w:t xml:space="preserve">omplaint must set forth anything done or omitted to be done by the utility company in violation of any law which the Commission has jurisdiction to administer.  </w:t>
      </w:r>
      <w:proofErr w:type="gramStart"/>
      <w:r w:rsidR="008E6750" w:rsidRPr="0014145C">
        <w:rPr>
          <w:color w:val="000000" w:themeColor="text1"/>
        </w:rPr>
        <w:t xml:space="preserve">66 </w:t>
      </w:r>
      <w:proofErr w:type="spellStart"/>
      <w:r w:rsidR="008E6750" w:rsidRPr="0014145C">
        <w:rPr>
          <w:color w:val="000000" w:themeColor="text1"/>
        </w:rPr>
        <w:t>Pa.</w:t>
      </w:r>
      <w:r w:rsidR="008E6750">
        <w:rPr>
          <w:color w:val="000000" w:themeColor="text1"/>
        </w:rPr>
        <w:t>C.S</w:t>
      </w:r>
      <w:proofErr w:type="spellEnd"/>
      <w:r w:rsidR="008E6750">
        <w:rPr>
          <w:color w:val="000000" w:themeColor="text1"/>
        </w:rPr>
        <w:t>.</w:t>
      </w:r>
      <w:proofErr w:type="gramEnd"/>
      <w:r w:rsidR="008E6750">
        <w:rPr>
          <w:color w:val="000000" w:themeColor="text1"/>
        </w:rPr>
        <w:t xml:space="preserve"> § 701; 52 </w:t>
      </w:r>
      <w:proofErr w:type="spellStart"/>
      <w:r w:rsidR="008E6750">
        <w:rPr>
          <w:color w:val="000000" w:themeColor="text1"/>
        </w:rPr>
        <w:t>Pa.Code</w:t>
      </w:r>
      <w:proofErr w:type="spellEnd"/>
      <w:r w:rsidR="008E6750">
        <w:rPr>
          <w:color w:val="000000" w:themeColor="text1"/>
        </w:rPr>
        <w:t xml:space="preserve"> § 5.21(a).</w:t>
      </w:r>
    </w:p>
    <w:p w:rsidR="000F5460" w:rsidRDefault="000F5460" w:rsidP="00EB32E3">
      <w:pPr>
        <w:jc w:val="left"/>
        <w:rPr>
          <w:color w:val="000000" w:themeColor="text1"/>
        </w:rPr>
      </w:pPr>
    </w:p>
    <w:p w:rsidR="000F5460" w:rsidRDefault="000F5460" w:rsidP="00EB32E3">
      <w:pPr>
        <w:jc w:val="left"/>
        <w:rPr>
          <w:color w:val="000000" w:themeColor="text1"/>
        </w:rPr>
      </w:pPr>
      <w:r>
        <w:rPr>
          <w:color w:val="000000" w:themeColor="text1"/>
        </w:rPr>
        <w:tab/>
      </w:r>
      <w:r>
        <w:rPr>
          <w:color w:val="000000" w:themeColor="text1"/>
        </w:rPr>
        <w:tab/>
      </w:r>
      <w:r w:rsidR="004D30CE">
        <w:rPr>
          <w:color w:val="000000" w:themeColor="text1"/>
        </w:rPr>
        <w:t>It is</w:t>
      </w:r>
      <w:r>
        <w:rPr>
          <w:color w:val="000000" w:themeColor="text1"/>
        </w:rPr>
        <w:t xml:space="preserve"> evident that PPL is not involved in the provision of telephon</w:t>
      </w:r>
      <w:r w:rsidR="008275EB">
        <w:rPr>
          <w:color w:val="000000" w:themeColor="text1"/>
        </w:rPr>
        <w:t>e</w:t>
      </w:r>
      <w:r>
        <w:rPr>
          <w:color w:val="000000" w:themeColor="text1"/>
        </w:rPr>
        <w:t xml:space="preserve"> service to the Complainant.  </w:t>
      </w:r>
      <w:r w:rsidR="008275EB">
        <w:rPr>
          <w:color w:val="000000" w:themeColor="text1"/>
        </w:rPr>
        <w:t>Accordingly, e</w:t>
      </w:r>
      <w:r w:rsidR="00A47CAB">
        <w:rPr>
          <w:color w:val="000000" w:themeColor="text1"/>
        </w:rPr>
        <w:t>ven accepting these allegations as true, they do not a</w:t>
      </w:r>
      <w:r w:rsidR="008275EB">
        <w:rPr>
          <w:color w:val="000000" w:themeColor="text1"/>
        </w:rPr>
        <w:t>ss</w:t>
      </w:r>
      <w:r w:rsidR="00A47CAB">
        <w:rPr>
          <w:color w:val="000000" w:themeColor="text1"/>
        </w:rPr>
        <w:t xml:space="preserve">ert any wrongdoing on the part of PPL.  </w:t>
      </w:r>
      <w:r>
        <w:rPr>
          <w:color w:val="000000" w:themeColor="text1"/>
        </w:rPr>
        <w:t>Any dispute regarding Complainant’s telephon</w:t>
      </w:r>
      <w:r w:rsidR="008275EB">
        <w:rPr>
          <w:color w:val="000000" w:themeColor="text1"/>
        </w:rPr>
        <w:t>e</w:t>
      </w:r>
      <w:r>
        <w:rPr>
          <w:color w:val="000000" w:themeColor="text1"/>
        </w:rPr>
        <w:t xml:space="preserve"> service must be separately filed before the Commission against the appropriate telephon</w:t>
      </w:r>
      <w:r w:rsidR="00A47CAB">
        <w:rPr>
          <w:color w:val="000000" w:themeColor="text1"/>
        </w:rPr>
        <w:t>e</w:t>
      </w:r>
      <w:r>
        <w:rPr>
          <w:color w:val="000000" w:themeColor="text1"/>
        </w:rPr>
        <w:t xml:space="preserve"> company. </w:t>
      </w:r>
    </w:p>
    <w:p w:rsidR="00BD316F" w:rsidRDefault="00BD316F" w:rsidP="00EB32E3">
      <w:pPr>
        <w:jc w:val="left"/>
        <w:rPr>
          <w:color w:val="000000" w:themeColor="text1"/>
        </w:rPr>
      </w:pPr>
    </w:p>
    <w:p w:rsidR="00BD316F" w:rsidRDefault="00BD316F" w:rsidP="00EB32E3">
      <w:pPr>
        <w:jc w:val="left"/>
        <w:rPr>
          <w:color w:val="000000" w:themeColor="text1"/>
        </w:rPr>
      </w:pPr>
      <w:r>
        <w:rPr>
          <w:color w:val="000000" w:themeColor="text1"/>
        </w:rPr>
        <w:tab/>
      </w:r>
      <w:r>
        <w:rPr>
          <w:color w:val="000000" w:themeColor="text1"/>
        </w:rPr>
        <w:tab/>
        <w:t xml:space="preserve">Therefore, </w:t>
      </w:r>
      <w:r w:rsidR="00A47CAB">
        <w:rPr>
          <w:color w:val="000000" w:themeColor="text1"/>
        </w:rPr>
        <w:t>the POs are sustained to the extent the Complainant raise</w:t>
      </w:r>
      <w:r w:rsidR="008275EB">
        <w:rPr>
          <w:color w:val="000000" w:themeColor="text1"/>
        </w:rPr>
        <w:t>s</w:t>
      </w:r>
      <w:r w:rsidR="00A47CAB">
        <w:rPr>
          <w:color w:val="000000" w:themeColor="text1"/>
        </w:rPr>
        <w:t xml:space="preserve"> allegations about his telephone service and </w:t>
      </w:r>
      <w:r>
        <w:rPr>
          <w:color w:val="000000" w:themeColor="text1"/>
        </w:rPr>
        <w:t xml:space="preserve">any discussion of Complainant’s telephonic service will be barred from </w:t>
      </w:r>
      <w:r w:rsidR="008275EB">
        <w:rPr>
          <w:color w:val="000000" w:themeColor="text1"/>
        </w:rPr>
        <w:t xml:space="preserve">consideration at </w:t>
      </w:r>
      <w:r>
        <w:rPr>
          <w:color w:val="000000" w:themeColor="text1"/>
        </w:rPr>
        <w:t>the evidentiary hearing.</w:t>
      </w:r>
    </w:p>
    <w:p w:rsidR="00793C13" w:rsidRDefault="00793C13" w:rsidP="00EB32E3">
      <w:pPr>
        <w:jc w:val="left"/>
        <w:rPr>
          <w:color w:val="000000" w:themeColor="text1"/>
        </w:rPr>
      </w:pPr>
    </w:p>
    <w:p w:rsidR="002C7D08" w:rsidRPr="00417515" w:rsidRDefault="00793C13" w:rsidP="00EB32E3">
      <w:pPr>
        <w:pStyle w:val="ListParagraph"/>
        <w:numPr>
          <w:ilvl w:val="0"/>
          <w:numId w:val="4"/>
        </w:numPr>
        <w:jc w:val="left"/>
        <w:rPr>
          <w:rFonts w:eastAsia="Calibri"/>
          <w:color w:val="000000" w:themeColor="text1"/>
        </w:rPr>
      </w:pPr>
      <w:r w:rsidRPr="00417515">
        <w:rPr>
          <w:b/>
          <w:color w:val="000000" w:themeColor="text1"/>
        </w:rPr>
        <w:t>Landlord-Tenant Disputes</w:t>
      </w:r>
      <w:r w:rsidR="008E6750" w:rsidRPr="00417515">
        <w:rPr>
          <w:b/>
          <w:color w:val="000000" w:themeColor="text1"/>
        </w:rPr>
        <w:t xml:space="preserve"> </w:t>
      </w:r>
    </w:p>
    <w:p w:rsidR="00417515" w:rsidRPr="00417515" w:rsidRDefault="00417515" w:rsidP="00B55ADD">
      <w:pPr>
        <w:pStyle w:val="ListParagraph"/>
        <w:ind w:left="0"/>
        <w:jc w:val="left"/>
        <w:rPr>
          <w:rFonts w:eastAsia="Calibri"/>
          <w:color w:val="000000" w:themeColor="text1"/>
        </w:rPr>
      </w:pPr>
    </w:p>
    <w:p w:rsidR="002C7D08" w:rsidRDefault="002C7D08" w:rsidP="00B55ADD">
      <w:pPr>
        <w:jc w:val="left"/>
        <w:rPr>
          <w:rFonts w:eastAsia="Calibri"/>
          <w:color w:val="000000" w:themeColor="text1"/>
        </w:rPr>
      </w:pPr>
      <w:r>
        <w:rPr>
          <w:rFonts w:eastAsia="Calibri"/>
          <w:color w:val="000000" w:themeColor="text1"/>
        </w:rPr>
        <w:tab/>
      </w:r>
      <w:r>
        <w:rPr>
          <w:rFonts w:eastAsia="Calibri"/>
          <w:color w:val="000000" w:themeColor="text1"/>
        </w:rPr>
        <w:tab/>
        <w:t xml:space="preserve">In both the </w:t>
      </w:r>
      <w:r w:rsidR="004D30CE">
        <w:rPr>
          <w:rFonts w:eastAsia="Calibri"/>
          <w:color w:val="000000" w:themeColor="text1"/>
        </w:rPr>
        <w:t>c</w:t>
      </w:r>
      <w:r>
        <w:rPr>
          <w:rFonts w:eastAsia="Calibri"/>
          <w:color w:val="000000" w:themeColor="text1"/>
        </w:rPr>
        <w:t xml:space="preserve">omplaint and the letter responding to </w:t>
      </w:r>
      <w:r w:rsidR="008275EB">
        <w:rPr>
          <w:rFonts w:eastAsia="Calibri"/>
          <w:color w:val="000000" w:themeColor="text1"/>
        </w:rPr>
        <w:t xml:space="preserve">the </w:t>
      </w:r>
      <w:r>
        <w:rPr>
          <w:rFonts w:eastAsia="Calibri"/>
          <w:color w:val="000000" w:themeColor="text1"/>
        </w:rPr>
        <w:t>POs, the Complainant discusses problems he is allegedly having with his landlord’s handling of the provision of telephon</w:t>
      </w:r>
      <w:r w:rsidR="00025B0B">
        <w:rPr>
          <w:rFonts w:eastAsia="Calibri"/>
          <w:color w:val="000000" w:themeColor="text1"/>
        </w:rPr>
        <w:t>e</w:t>
      </w:r>
      <w:r>
        <w:rPr>
          <w:rFonts w:eastAsia="Calibri"/>
          <w:color w:val="000000" w:themeColor="text1"/>
        </w:rPr>
        <w:t xml:space="preserve"> service and repeated changing of the street address of the service address.</w:t>
      </w:r>
      <w:r w:rsidR="00F61B49">
        <w:rPr>
          <w:rFonts w:eastAsia="Calibri"/>
          <w:color w:val="000000" w:themeColor="text1"/>
        </w:rPr>
        <w:tab/>
      </w:r>
    </w:p>
    <w:p w:rsidR="00F61B49" w:rsidRDefault="00F61B49" w:rsidP="00B55ADD">
      <w:pPr>
        <w:jc w:val="left"/>
        <w:rPr>
          <w:rFonts w:eastAsia="Calibri"/>
          <w:color w:val="000000" w:themeColor="text1"/>
        </w:rPr>
      </w:pPr>
      <w:r>
        <w:rPr>
          <w:rFonts w:eastAsia="Calibri"/>
          <w:color w:val="000000" w:themeColor="text1"/>
        </w:rPr>
        <w:tab/>
      </w:r>
    </w:p>
    <w:p w:rsidR="0005448C" w:rsidRDefault="00F61B49" w:rsidP="00B55ADD">
      <w:pPr>
        <w:jc w:val="left"/>
        <w:rPr>
          <w:color w:val="FF0000"/>
        </w:rPr>
      </w:pPr>
      <w:r>
        <w:rPr>
          <w:rFonts w:eastAsia="Calibri"/>
          <w:color w:val="000000" w:themeColor="text1"/>
        </w:rPr>
        <w:tab/>
      </w:r>
      <w:r>
        <w:rPr>
          <w:rFonts w:eastAsia="Calibri"/>
          <w:color w:val="000000" w:themeColor="text1"/>
        </w:rPr>
        <w:tab/>
      </w:r>
      <w:r w:rsidRPr="00336928">
        <w:rPr>
          <w:rFonts w:eastAsia="Calibri"/>
          <w:color w:val="000000" w:themeColor="text1"/>
        </w:rPr>
        <w:t xml:space="preserve">The Commission must act within and cannot exceed its jurisdiction.  </w:t>
      </w:r>
      <w:proofErr w:type="spellStart"/>
      <w:proofErr w:type="gramStart"/>
      <w:r w:rsidRPr="005B2851">
        <w:rPr>
          <w:rFonts w:eastAsia="Calibri"/>
          <w:i/>
          <w:color w:val="000000" w:themeColor="text1"/>
        </w:rPr>
        <w:t>Behrend</w:t>
      </w:r>
      <w:proofErr w:type="spellEnd"/>
      <w:r w:rsidRPr="005B2851">
        <w:rPr>
          <w:rFonts w:eastAsia="Calibri"/>
          <w:i/>
          <w:color w:val="000000" w:themeColor="text1"/>
        </w:rPr>
        <w:t xml:space="preserve"> v. Bell Telephone Co.,</w:t>
      </w:r>
      <w:r w:rsidRPr="00336928">
        <w:rPr>
          <w:rFonts w:eastAsia="Calibri"/>
          <w:color w:val="000000" w:themeColor="text1"/>
        </w:rPr>
        <w:t xml:space="preserve"> 363 A.2d 1152 (Pa. Super 1976).</w:t>
      </w:r>
      <w:proofErr w:type="gramEnd"/>
      <w:r>
        <w:rPr>
          <w:rFonts w:eastAsia="Calibri"/>
          <w:color w:val="000000" w:themeColor="text1"/>
        </w:rPr>
        <w:t xml:space="preserve"> </w:t>
      </w:r>
      <w:r w:rsidRPr="00336928">
        <w:rPr>
          <w:rFonts w:eastAsia="Calibri"/>
          <w:color w:val="000000" w:themeColor="text1"/>
        </w:rPr>
        <w:t xml:space="preserve"> </w:t>
      </w:r>
      <w:r w:rsidRPr="00BB1402">
        <w:rPr>
          <w:rFonts w:eastAsia="Calibri"/>
          <w:color w:val="000000" w:themeColor="text1"/>
        </w:rPr>
        <w:t xml:space="preserve">Jurisdiction may not be conferred by the parties where none exists.  </w:t>
      </w:r>
      <w:proofErr w:type="gramStart"/>
      <w:r w:rsidRPr="00BB1402">
        <w:rPr>
          <w:rFonts w:eastAsia="Calibri"/>
          <w:i/>
          <w:color w:val="000000" w:themeColor="text1"/>
        </w:rPr>
        <w:t xml:space="preserve">Roberts v. </w:t>
      </w:r>
      <w:proofErr w:type="spellStart"/>
      <w:r w:rsidRPr="00BB1402">
        <w:rPr>
          <w:rFonts w:eastAsia="Calibri"/>
          <w:i/>
          <w:color w:val="000000" w:themeColor="text1"/>
        </w:rPr>
        <w:t>Martorano</w:t>
      </w:r>
      <w:proofErr w:type="spellEnd"/>
      <w:r w:rsidRPr="00BB1402">
        <w:rPr>
          <w:rFonts w:eastAsia="Calibri"/>
          <w:color w:val="000000" w:themeColor="text1"/>
        </w:rPr>
        <w:t>, 427 Pa. 581, 235 A.2d 602 (1967).</w:t>
      </w:r>
      <w:proofErr w:type="gramEnd"/>
      <w:r w:rsidRPr="00BB1402">
        <w:rPr>
          <w:rFonts w:eastAsia="Calibri"/>
          <w:color w:val="000000" w:themeColor="text1"/>
        </w:rPr>
        <w:t xml:space="preserve">  </w:t>
      </w:r>
      <w:r w:rsidRPr="00EC5C8A">
        <w:rPr>
          <w:color w:val="000000" w:themeColor="text1"/>
        </w:rPr>
        <w:t xml:space="preserve">Neither silence nor agreement of the parties will confer jurisdiction where it otherwise would not exist, </w:t>
      </w:r>
      <w:r w:rsidRPr="00EC5C8A">
        <w:rPr>
          <w:i/>
          <w:color w:val="000000" w:themeColor="text1"/>
        </w:rPr>
        <w:t xml:space="preserve">Commonwealth v. </w:t>
      </w:r>
      <w:proofErr w:type="spellStart"/>
      <w:r w:rsidRPr="00EC5C8A">
        <w:rPr>
          <w:i/>
          <w:color w:val="000000" w:themeColor="text1"/>
        </w:rPr>
        <w:t>VanBuskirk</w:t>
      </w:r>
      <w:proofErr w:type="spellEnd"/>
      <w:r w:rsidRPr="00EC5C8A">
        <w:rPr>
          <w:color w:val="000000" w:themeColor="text1"/>
        </w:rPr>
        <w:t xml:space="preserve">, 303 </w:t>
      </w:r>
      <w:proofErr w:type="spellStart"/>
      <w:r w:rsidRPr="00EC5C8A">
        <w:rPr>
          <w:color w:val="000000" w:themeColor="text1"/>
        </w:rPr>
        <w:t>Pa.Super</w:t>
      </w:r>
      <w:proofErr w:type="spellEnd"/>
      <w:r w:rsidRPr="00EC5C8A">
        <w:rPr>
          <w:color w:val="000000" w:themeColor="text1"/>
        </w:rPr>
        <w:t xml:space="preserve">. 148, 449 A.2d 621 (1982); nor can jurisdiction be obtained by waiver or estoppel, </w:t>
      </w:r>
      <w:r w:rsidRPr="00EC5C8A">
        <w:rPr>
          <w:i/>
          <w:color w:val="000000" w:themeColor="text1"/>
        </w:rPr>
        <w:t>Scott v. Bristol Twp. Police Dep’t</w:t>
      </w:r>
      <w:r w:rsidRPr="00EC5C8A">
        <w:rPr>
          <w:color w:val="000000" w:themeColor="text1"/>
        </w:rPr>
        <w:t>, 669 A.2d 457 (</w:t>
      </w:r>
      <w:proofErr w:type="spellStart"/>
      <w:r w:rsidRPr="00EC5C8A">
        <w:rPr>
          <w:color w:val="000000" w:themeColor="text1"/>
        </w:rPr>
        <w:t>Pa.Cmwlth</w:t>
      </w:r>
      <w:proofErr w:type="spellEnd"/>
      <w:r w:rsidRPr="00EC5C8A">
        <w:rPr>
          <w:color w:val="000000" w:themeColor="text1"/>
        </w:rPr>
        <w:t xml:space="preserve">. 1995).  Therefore, the Commission must act within, and cannot exceed, its jurisdiction.  </w:t>
      </w:r>
      <w:proofErr w:type="gramStart"/>
      <w:r w:rsidRPr="00EC5C8A">
        <w:rPr>
          <w:i/>
          <w:color w:val="000000" w:themeColor="text1"/>
        </w:rPr>
        <w:t>City of Pittsburgh v. Pa. Pub.</w:t>
      </w:r>
      <w:proofErr w:type="gramEnd"/>
      <w:r w:rsidRPr="00EC5C8A">
        <w:rPr>
          <w:i/>
          <w:color w:val="000000" w:themeColor="text1"/>
        </w:rPr>
        <w:t xml:space="preserve"> Util. </w:t>
      </w:r>
      <w:proofErr w:type="spellStart"/>
      <w:r w:rsidRPr="00EC5C8A">
        <w:rPr>
          <w:i/>
          <w:color w:val="000000" w:themeColor="text1"/>
        </w:rPr>
        <w:t>Comm’n</w:t>
      </w:r>
      <w:proofErr w:type="spellEnd"/>
      <w:r w:rsidRPr="00EC5C8A">
        <w:rPr>
          <w:color w:val="000000" w:themeColor="text1"/>
        </w:rPr>
        <w:t xml:space="preserve">, </w:t>
      </w:r>
      <w:proofErr w:type="gramStart"/>
      <w:r w:rsidRPr="00EC5C8A">
        <w:rPr>
          <w:color w:val="000000" w:themeColor="text1"/>
        </w:rPr>
        <w:t xml:space="preserve">157 </w:t>
      </w:r>
      <w:proofErr w:type="spellStart"/>
      <w:r w:rsidRPr="00EC5C8A">
        <w:rPr>
          <w:color w:val="000000" w:themeColor="text1"/>
        </w:rPr>
        <w:t>Pa.Super</w:t>
      </w:r>
      <w:proofErr w:type="spellEnd"/>
      <w:proofErr w:type="gramEnd"/>
      <w:r w:rsidRPr="00EC5C8A">
        <w:rPr>
          <w:color w:val="000000" w:themeColor="text1"/>
        </w:rPr>
        <w:t xml:space="preserve">. </w:t>
      </w:r>
      <w:proofErr w:type="gramStart"/>
      <w:r w:rsidRPr="00EC5C8A">
        <w:rPr>
          <w:color w:val="000000" w:themeColor="text1"/>
        </w:rPr>
        <w:t>595, 43 A.2d 348 (1945).</w:t>
      </w:r>
      <w:proofErr w:type="gramEnd"/>
    </w:p>
    <w:p w:rsidR="005B528C" w:rsidRPr="000F5460" w:rsidRDefault="00C23A5B" w:rsidP="00B55ADD">
      <w:pPr>
        <w:jc w:val="left"/>
        <w:rPr>
          <w:color w:val="000000" w:themeColor="text1"/>
        </w:rPr>
      </w:pPr>
      <w:r w:rsidRPr="000F5460">
        <w:rPr>
          <w:color w:val="000000" w:themeColor="text1"/>
        </w:rPr>
        <w:tab/>
      </w:r>
      <w:r w:rsidR="00224C6E" w:rsidRPr="000F5460">
        <w:rPr>
          <w:color w:val="000000" w:themeColor="text1"/>
        </w:rPr>
        <w:t xml:space="preserve"> </w:t>
      </w:r>
      <w:r w:rsidR="00703BA9" w:rsidRPr="000F5460">
        <w:rPr>
          <w:color w:val="000000" w:themeColor="text1"/>
        </w:rPr>
        <w:tab/>
      </w:r>
    </w:p>
    <w:p w:rsidR="00BD316F" w:rsidRPr="000F5460" w:rsidRDefault="005B528C" w:rsidP="00B55ADD">
      <w:pPr>
        <w:jc w:val="left"/>
        <w:rPr>
          <w:color w:val="000000" w:themeColor="text1"/>
        </w:rPr>
      </w:pPr>
      <w:r w:rsidRPr="000F5460">
        <w:rPr>
          <w:color w:val="000000" w:themeColor="text1"/>
        </w:rPr>
        <w:tab/>
      </w:r>
      <w:r w:rsidRPr="000F5460">
        <w:rPr>
          <w:color w:val="000000" w:themeColor="text1"/>
        </w:rPr>
        <w:tab/>
      </w:r>
      <w:r w:rsidR="00BD316F" w:rsidRPr="000F5460">
        <w:rPr>
          <w:color w:val="000000" w:themeColor="text1"/>
        </w:rPr>
        <w:t xml:space="preserve">Enforcement of a </w:t>
      </w:r>
      <w:r w:rsidRPr="000F5460">
        <w:rPr>
          <w:color w:val="000000" w:themeColor="text1"/>
        </w:rPr>
        <w:t xml:space="preserve">lease or other agreement between the Complainant and </w:t>
      </w:r>
      <w:r w:rsidR="00BD316F" w:rsidRPr="000F5460">
        <w:rPr>
          <w:color w:val="000000" w:themeColor="text1"/>
        </w:rPr>
        <w:t xml:space="preserve">his </w:t>
      </w:r>
      <w:r w:rsidRPr="000F5460">
        <w:rPr>
          <w:color w:val="000000" w:themeColor="text1"/>
        </w:rPr>
        <w:t xml:space="preserve">landlord is outside the Commission’s jurisdiction.  </w:t>
      </w:r>
      <w:proofErr w:type="spellStart"/>
      <w:r w:rsidRPr="000F5460">
        <w:rPr>
          <w:i/>
          <w:color w:val="000000" w:themeColor="text1"/>
        </w:rPr>
        <w:t>Corazzini</w:t>
      </w:r>
      <w:proofErr w:type="spellEnd"/>
      <w:r w:rsidRPr="000F5460">
        <w:rPr>
          <w:i/>
          <w:color w:val="000000" w:themeColor="text1"/>
        </w:rPr>
        <w:t xml:space="preserve"> v. UGI Penn Natural Gas, Inc.,</w:t>
      </w:r>
      <w:r w:rsidRPr="000F5460">
        <w:rPr>
          <w:color w:val="000000" w:themeColor="text1"/>
        </w:rPr>
        <w:t xml:space="preserve"> Docket No. F-2009-2101282 (Order entered July 16, 2010).</w:t>
      </w:r>
    </w:p>
    <w:p w:rsidR="000F5460" w:rsidRPr="00C3167F" w:rsidRDefault="000F5460" w:rsidP="00B55ADD">
      <w:pPr>
        <w:jc w:val="left"/>
        <w:rPr>
          <w:color w:val="FF0000"/>
        </w:rPr>
      </w:pPr>
      <w:r w:rsidRPr="000F5460">
        <w:rPr>
          <w:color w:val="000000" w:themeColor="text1"/>
        </w:rPr>
        <w:lastRenderedPageBreak/>
        <w:tab/>
      </w:r>
      <w:r w:rsidRPr="000F5460">
        <w:rPr>
          <w:color w:val="000000" w:themeColor="text1"/>
        </w:rPr>
        <w:tab/>
        <w:t xml:space="preserve">Any dispute the Complainant may have regarding the terms of his agreement with his landlord must be handled in the appropriate judicial venue. </w:t>
      </w:r>
    </w:p>
    <w:p w:rsidR="000F5460" w:rsidRPr="000F5460" w:rsidRDefault="000F5460" w:rsidP="00B55ADD">
      <w:pPr>
        <w:jc w:val="left"/>
        <w:rPr>
          <w:color w:val="000000" w:themeColor="text1"/>
        </w:rPr>
      </w:pPr>
    </w:p>
    <w:p w:rsidR="009D2D41" w:rsidRDefault="00BD316F" w:rsidP="00B55ADD">
      <w:pPr>
        <w:jc w:val="left"/>
        <w:rPr>
          <w:color w:val="000000" w:themeColor="text1"/>
        </w:rPr>
      </w:pPr>
      <w:r w:rsidRPr="000F5460">
        <w:rPr>
          <w:color w:val="000000" w:themeColor="text1"/>
        </w:rPr>
        <w:tab/>
      </w:r>
      <w:r w:rsidRPr="000F5460">
        <w:rPr>
          <w:color w:val="000000" w:themeColor="text1"/>
        </w:rPr>
        <w:tab/>
        <w:t xml:space="preserve">Therefore, any discussion of </w:t>
      </w:r>
      <w:r w:rsidR="00005E2A" w:rsidRPr="000F5460">
        <w:rPr>
          <w:color w:val="000000" w:themeColor="text1"/>
        </w:rPr>
        <w:t xml:space="preserve">disputes between the Complainant and his landlord will </w:t>
      </w:r>
      <w:r w:rsidR="00A47CAB">
        <w:rPr>
          <w:color w:val="000000" w:themeColor="text1"/>
        </w:rPr>
        <w:t xml:space="preserve">also </w:t>
      </w:r>
      <w:r w:rsidR="00005E2A" w:rsidRPr="000F5460">
        <w:rPr>
          <w:color w:val="000000" w:themeColor="text1"/>
        </w:rPr>
        <w:t>be barred from the evidentiary hearing.</w:t>
      </w:r>
    </w:p>
    <w:p w:rsidR="009D2D41" w:rsidRDefault="009D2D41" w:rsidP="00B55ADD">
      <w:pPr>
        <w:jc w:val="left"/>
        <w:rPr>
          <w:color w:val="000000" w:themeColor="text1"/>
        </w:rPr>
      </w:pPr>
    </w:p>
    <w:p w:rsidR="009943BE" w:rsidRPr="00A64D9F" w:rsidRDefault="009943BE" w:rsidP="009943BE">
      <w:pPr>
        <w:rPr>
          <w:color w:val="000000" w:themeColor="text1"/>
          <w:u w:val="single"/>
        </w:rPr>
      </w:pPr>
      <w:r w:rsidRPr="00A64D9F">
        <w:rPr>
          <w:color w:val="000000" w:themeColor="text1"/>
          <w:u w:val="single"/>
        </w:rPr>
        <w:t>ORDER</w:t>
      </w:r>
    </w:p>
    <w:p w:rsidR="009943BE" w:rsidRDefault="009943BE" w:rsidP="009943BE">
      <w:pPr>
        <w:rPr>
          <w:b/>
          <w:color w:val="000000" w:themeColor="text1"/>
        </w:rPr>
      </w:pPr>
    </w:p>
    <w:p w:rsidR="00B55ADD" w:rsidRPr="00A64D9F" w:rsidRDefault="00B55ADD" w:rsidP="009943BE">
      <w:pPr>
        <w:rPr>
          <w:b/>
          <w:color w:val="000000" w:themeColor="text1"/>
        </w:rPr>
      </w:pPr>
    </w:p>
    <w:p w:rsidR="009943BE" w:rsidRPr="00A64D9F" w:rsidRDefault="009943BE" w:rsidP="009943BE">
      <w:pPr>
        <w:jc w:val="left"/>
        <w:rPr>
          <w:color w:val="000000" w:themeColor="text1"/>
        </w:rPr>
      </w:pPr>
      <w:r w:rsidRPr="00A64D9F">
        <w:rPr>
          <w:color w:val="000000" w:themeColor="text1"/>
        </w:rPr>
        <w:tab/>
      </w:r>
      <w:r w:rsidRPr="00A64D9F">
        <w:rPr>
          <w:color w:val="000000" w:themeColor="text1"/>
        </w:rPr>
        <w:tab/>
        <w:t>THEREFORE,</w:t>
      </w:r>
    </w:p>
    <w:p w:rsidR="009943BE" w:rsidRPr="00A64D9F" w:rsidRDefault="009943BE" w:rsidP="009943BE">
      <w:pPr>
        <w:jc w:val="left"/>
        <w:rPr>
          <w:color w:val="000000" w:themeColor="text1"/>
        </w:rPr>
      </w:pPr>
    </w:p>
    <w:p w:rsidR="009943BE" w:rsidRPr="00A64D9F" w:rsidRDefault="009943BE" w:rsidP="009943BE">
      <w:pPr>
        <w:jc w:val="left"/>
        <w:rPr>
          <w:color w:val="000000" w:themeColor="text1"/>
        </w:rPr>
      </w:pPr>
      <w:r w:rsidRPr="00A64D9F">
        <w:rPr>
          <w:color w:val="000000" w:themeColor="text1"/>
        </w:rPr>
        <w:tab/>
      </w:r>
      <w:r w:rsidRPr="00A64D9F">
        <w:rPr>
          <w:color w:val="000000" w:themeColor="text1"/>
        </w:rPr>
        <w:tab/>
        <w:t>IT IS ORDERED:</w:t>
      </w:r>
    </w:p>
    <w:p w:rsidR="009943BE" w:rsidRPr="00A64D9F" w:rsidRDefault="009943BE" w:rsidP="009943BE">
      <w:pPr>
        <w:jc w:val="left"/>
        <w:rPr>
          <w:color w:val="000000" w:themeColor="text1"/>
        </w:rPr>
      </w:pPr>
    </w:p>
    <w:p w:rsidR="00224C6E" w:rsidRDefault="00387215" w:rsidP="009943BE">
      <w:pPr>
        <w:jc w:val="left"/>
        <w:rPr>
          <w:color w:val="000000" w:themeColor="text1"/>
        </w:rPr>
      </w:pPr>
      <w:r w:rsidRPr="00A64D9F">
        <w:rPr>
          <w:color w:val="000000" w:themeColor="text1"/>
        </w:rPr>
        <w:tab/>
      </w:r>
      <w:r w:rsidRPr="00A64D9F">
        <w:rPr>
          <w:color w:val="000000" w:themeColor="text1"/>
        </w:rPr>
        <w:tab/>
      </w:r>
      <w:r w:rsidRPr="00613B7A">
        <w:rPr>
          <w:color w:val="000000" w:themeColor="text1"/>
        </w:rPr>
        <w:t>1.</w:t>
      </w:r>
      <w:r w:rsidRPr="00613B7A">
        <w:rPr>
          <w:color w:val="000000" w:themeColor="text1"/>
        </w:rPr>
        <w:tab/>
        <w:t xml:space="preserve">That the </w:t>
      </w:r>
      <w:r w:rsidR="00DA7628">
        <w:rPr>
          <w:color w:val="000000" w:themeColor="text1"/>
        </w:rPr>
        <w:t>Preliminary Objections</w:t>
      </w:r>
      <w:r w:rsidR="00A57359" w:rsidRPr="00613B7A">
        <w:rPr>
          <w:color w:val="000000" w:themeColor="text1"/>
        </w:rPr>
        <w:t xml:space="preserve"> </w:t>
      </w:r>
      <w:r w:rsidR="009943BE" w:rsidRPr="00613B7A">
        <w:rPr>
          <w:color w:val="000000" w:themeColor="text1"/>
        </w:rPr>
        <w:t>filed in the case captioned</w:t>
      </w:r>
      <w:r w:rsidR="00354FC3" w:rsidRPr="00613B7A">
        <w:rPr>
          <w:i/>
          <w:color w:val="000000" w:themeColor="text1"/>
        </w:rPr>
        <w:t xml:space="preserve"> </w:t>
      </w:r>
      <w:r w:rsidR="00C70BD8">
        <w:rPr>
          <w:i/>
          <w:color w:val="000000" w:themeColor="text1"/>
        </w:rPr>
        <w:t>David M. Quirk v. PPL Electric Utilities Company</w:t>
      </w:r>
      <w:r w:rsidR="003C3761">
        <w:rPr>
          <w:i/>
          <w:color w:val="000000" w:themeColor="text1"/>
        </w:rPr>
        <w:t xml:space="preserve"> </w:t>
      </w:r>
      <w:r w:rsidR="009943BE" w:rsidRPr="00613B7A">
        <w:rPr>
          <w:color w:val="000000" w:themeColor="text1"/>
        </w:rPr>
        <w:t xml:space="preserve">at Docket No. </w:t>
      </w:r>
      <w:r w:rsidR="00C70BD8">
        <w:rPr>
          <w:color w:val="000000" w:themeColor="text1"/>
        </w:rPr>
        <w:t>F-2015-2506992</w:t>
      </w:r>
      <w:r w:rsidR="00E21E2B" w:rsidRPr="00613B7A">
        <w:rPr>
          <w:color w:val="000000" w:themeColor="text1"/>
        </w:rPr>
        <w:t xml:space="preserve"> </w:t>
      </w:r>
      <w:proofErr w:type="gramStart"/>
      <w:r w:rsidR="00DA7628">
        <w:rPr>
          <w:color w:val="000000" w:themeColor="text1"/>
        </w:rPr>
        <w:t>are</w:t>
      </w:r>
      <w:proofErr w:type="gramEnd"/>
      <w:r w:rsidR="00DA7628">
        <w:rPr>
          <w:color w:val="000000" w:themeColor="text1"/>
        </w:rPr>
        <w:t xml:space="preserve"> </w:t>
      </w:r>
      <w:r w:rsidR="00C70BD8">
        <w:rPr>
          <w:color w:val="000000" w:themeColor="text1"/>
        </w:rPr>
        <w:t>denied</w:t>
      </w:r>
      <w:r w:rsidR="004D2C92">
        <w:rPr>
          <w:color w:val="000000" w:themeColor="text1"/>
        </w:rPr>
        <w:t xml:space="preserve"> in part</w:t>
      </w:r>
      <w:r w:rsidR="00651603">
        <w:rPr>
          <w:color w:val="000000" w:themeColor="text1"/>
        </w:rPr>
        <w:t xml:space="preserve"> insofar as they seek to dismiss the Complaint in its entirety.</w:t>
      </w:r>
    </w:p>
    <w:p w:rsidR="004D2C92" w:rsidRPr="00613B7A" w:rsidRDefault="004D2C92" w:rsidP="009943BE">
      <w:pPr>
        <w:jc w:val="left"/>
        <w:rPr>
          <w:color w:val="000000" w:themeColor="text1"/>
        </w:rPr>
      </w:pPr>
    </w:p>
    <w:p w:rsidR="009943BE" w:rsidRPr="00613B7A" w:rsidRDefault="004D2C92" w:rsidP="009943BE">
      <w:pPr>
        <w:jc w:val="left"/>
        <w:rPr>
          <w:color w:val="000000" w:themeColor="text1"/>
        </w:rPr>
      </w:pPr>
      <w:r>
        <w:rPr>
          <w:color w:val="000000" w:themeColor="text1"/>
        </w:rPr>
        <w:tab/>
      </w:r>
      <w:r>
        <w:rPr>
          <w:color w:val="000000" w:themeColor="text1"/>
        </w:rPr>
        <w:tab/>
        <w:t>2.</w:t>
      </w:r>
      <w:r>
        <w:rPr>
          <w:color w:val="000000" w:themeColor="text1"/>
        </w:rPr>
        <w:tab/>
        <w:t>That the</w:t>
      </w:r>
      <w:r w:rsidRPr="004D2C92">
        <w:rPr>
          <w:color w:val="000000" w:themeColor="text1"/>
        </w:rPr>
        <w:t xml:space="preserve"> </w:t>
      </w:r>
      <w:r>
        <w:rPr>
          <w:color w:val="000000" w:themeColor="text1"/>
        </w:rPr>
        <w:t>Preliminary Objections</w:t>
      </w:r>
      <w:r w:rsidRPr="00613B7A">
        <w:rPr>
          <w:color w:val="000000" w:themeColor="text1"/>
        </w:rPr>
        <w:t xml:space="preserve"> filed in the case captioned</w:t>
      </w:r>
      <w:r w:rsidRPr="00613B7A">
        <w:rPr>
          <w:i/>
          <w:color w:val="000000" w:themeColor="text1"/>
        </w:rPr>
        <w:t xml:space="preserve"> </w:t>
      </w:r>
      <w:r>
        <w:rPr>
          <w:i/>
          <w:color w:val="000000" w:themeColor="text1"/>
        </w:rPr>
        <w:t xml:space="preserve">David M. Quirk v. PPL Electric Utilities Company </w:t>
      </w:r>
      <w:r w:rsidRPr="00613B7A">
        <w:rPr>
          <w:color w:val="000000" w:themeColor="text1"/>
        </w:rPr>
        <w:t xml:space="preserve">at Docket No. </w:t>
      </w:r>
      <w:r>
        <w:rPr>
          <w:color w:val="000000" w:themeColor="text1"/>
        </w:rPr>
        <w:t>F-2015-2506992</w:t>
      </w:r>
      <w:r w:rsidRPr="00613B7A">
        <w:rPr>
          <w:color w:val="000000" w:themeColor="text1"/>
        </w:rPr>
        <w:t xml:space="preserve"> </w:t>
      </w:r>
      <w:proofErr w:type="gramStart"/>
      <w:r>
        <w:rPr>
          <w:color w:val="000000" w:themeColor="text1"/>
        </w:rPr>
        <w:t>are</w:t>
      </w:r>
      <w:proofErr w:type="gramEnd"/>
      <w:r>
        <w:rPr>
          <w:color w:val="000000" w:themeColor="text1"/>
        </w:rPr>
        <w:t xml:space="preserve"> sustained in part</w:t>
      </w:r>
      <w:r w:rsidR="00651603">
        <w:rPr>
          <w:color w:val="000000" w:themeColor="text1"/>
        </w:rPr>
        <w:t xml:space="preserve"> with regard to </w:t>
      </w:r>
      <w:r w:rsidR="00437363">
        <w:rPr>
          <w:color w:val="000000" w:themeColor="text1"/>
        </w:rPr>
        <w:t>barring</w:t>
      </w:r>
      <w:r w:rsidR="004D30CE">
        <w:rPr>
          <w:color w:val="000000" w:themeColor="text1"/>
        </w:rPr>
        <w:t xml:space="preserve"> </w:t>
      </w:r>
      <w:r w:rsidR="00437363">
        <w:rPr>
          <w:color w:val="000000" w:themeColor="text1"/>
        </w:rPr>
        <w:t xml:space="preserve">discussion of </w:t>
      </w:r>
      <w:r w:rsidR="004D30CE">
        <w:rPr>
          <w:color w:val="000000" w:themeColor="text1"/>
        </w:rPr>
        <w:t xml:space="preserve">the </w:t>
      </w:r>
      <w:r w:rsidR="00651603">
        <w:rPr>
          <w:color w:val="000000" w:themeColor="text1"/>
        </w:rPr>
        <w:t xml:space="preserve">Complainant’s </w:t>
      </w:r>
      <w:r w:rsidR="004D30CE">
        <w:rPr>
          <w:color w:val="000000" w:themeColor="text1"/>
        </w:rPr>
        <w:t xml:space="preserve">allegations regarding </w:t>
      </w:r>
      <w:r w:rsidR="00651603">
        <w:rPr>
          <w:color w:val="000000" w:themeColor="text1"/>
        </w:rPr>
        <w:t>telephon</w:t>
      </w:r>
      <w:r w:rsidR="004B25E7">
        <w:rPr>
          <w:color w:val="000000" w:themeColor="text1"/>
        </w:rPr>
        <w:t>e</w:t>
      </w:r>
      <w:r w:rsidR="00651603">
        <w:rPr>
          <w:color w:val="000000" w:themeColor="text1"/>
        </w:rPr>
        <w:t xml:space="preserve"> service </w:t>
      </w:r>
      <w:r w:rsidR="004D30CE">
        <w:rPr>
          <w:color w:val="000000" w:themeColor="text1"/>
        </w:rPr>
        <w:t>and</w:t>
      </w:r>
      <w:r w:rsidR="00437363">
        <w:rPr>
          <w:color w:val="000000" w:themeColor="text1"/>
        </w:rPr>
        <w:t xml:space="preserve"> landlord-tenant disputes at the evidentiary hearing.</w:t>
      </w:r>
    </w:p>
    <w:p w:rsidR="004D2C92" w:rsidRDefault="008E785D" w:rsidP="009943BE">
      <w:pPr>
        <w:jc w:val="left"/>
        <w:rPr>
          <w:color w:val="000000" w:themeColor="text1"/>
        </w:rPr>
      </w:pPr>
      <w:r>
        <w:rPr>
          <w:color w:val="000000" w:themeColor="text1"/>
        </w:rPr>
        <w:tab/>
      </w:r>
    </w:p>
    <w:p w:rsidR="009943BE" w:rsidRPr="00613B7A" w:rsidRDefault="004D2C92" w:rsidP="009943BE">
      <w:pPr>
        <w:jc w:val="left"/>
        <w:rPr>
          <w:color w:val="000000" w:themeColor="text1"/>
        </w:rPr>
      </w:pPr>
      <w:r>
        <w:rPr>
          <w:color w:val="000000" w:themeColor="text1"/>
        </w:rPr>
        <w:tab/>
      </w:r>
      <w:r w:rsidR="008E785D">
        <w:rPr>
          <w:color w:val="000000" w:themeColor="text1"/>
        </w:rPr>
        <w:tab/>
      </w:r>
      <w:r>
        <w:rPr>
          <w:color w:val="000000" w:themeColor="text1"/>
        </w:rPr>
        <w:t>3</w:t>
      </w:r>
      <w:r w:rsidR="009943BE" w:rsidRPr="00613B7A">
        <w:rPr>
          <w:color w:val="000000" w:themeColor="text1"/>
        </w:rPr>
        <w:t>.</w:t>
      </w:r>
      <w:r w:rsidR="009943BE" w:rsidRPr="00613B7A">
        <w:rPr>
          <w:color w:val="000000" w:themeColor="text1"/>
        </w:rPr>
        <w:tab/>
      </w:r>
      <w:r w:rsidR="009A7481" w:rsidRPr="00613B7A">
        <w:rPr>
          <w:color w:val="000000" w:themeColor="text1"/>
        </w:rPr>
        <w:t xml:space="preserve">That </w:t>
      </w:r>
      <w:r w:rsidR="00224C6E">
        <w:rPr>
          <w:color w:val="000000" w:themeColor="text1"/>
        </w:rPr>
        <w:t xml:space="preserve">the </w:t>
      </w:r>
      <w:r w:rsidR="00C70BD8">
        <w:rPr>
          <w:color w:val="000000" w:themeColor="text1"/>
        </w:rPr>
        <w:t>matter be set for a hearing.</w:t>
      </w:r>
    </w:p>
    <w:p w:rsidR="009943BE" w:rsidRPr="00A64D9F" w:rsidRDefault="009943BE" w:rsidP="009943BE">
      <w:pPr>
        <w:jc w:val="left"/>
        <w:rPr>
          <w:color w:val="000000" w:themeColor="text1"/>
        </w:rPr>
      </w:pPr>
    </w:p>
    <w:p w:rsidR="009943BE" w:rsidRPr="00A64D9F" w:rsidRDefault="009943BE" w:rsidP="009943BE">
      <w:pPr>
        <w:jc w:val="left"/>
        <w:rPr>
          <w:color w:val="000000" w:themeColor="text1"/>
        </w:rPr>
      </w:pPr>
    </w:p>
    <w:p w:rsidR="009943BE" w:rsidRPr="00A64D9F" w:rsidRDefault="009943BE" w:rsidP="009943BE">
      <w:pPr>
        <w:spacing w:line="240" w:lineRule="auto"/>
        <w:contextualSpacing/>
        <w:jc w:val="left"/>
        <w:rPr>
          <w:color w:val="000000" w:themeColor="text1"/>
        </w:rPr>
      </w:pPr>
      <w:r w:rsidRPr="00A64D9F">
        <w:rPr>
          <w:color w:val="000000" w:themeColor="text1"/>
        </w:rPr>
        <w:t>Dated:</w:t>
      </w:r>
      <w:r w:rsidRPr="00A64D9F">
        <w:rPr>
          <w:color w:val="000000" w:themeColor="text1"/>
        </w:rPr>
        <w:tab/>
      </w:r>
      <w:r w:rsidR="00AA6CAD">
        <w:rPr>
          <w:color w:val="000000" w:themeColor="text1"/>
          <w:u w:val="single"/>
        </w:rPr>
        <w:t>January</w:t>
      </w:r>
      <w:r w:rsidR="00C70BD8">
        <w:rPr>
          <w:color w:val="000000" w:themeColor="text1"/>
          <w:u w:val="single"/>
        </w:rPr>
        <w:t xml:space="preserve"> </w:t>
      </w:r>
      <w:r w:rsidR="004B25E7">
        <w:rPr>
          <w:color w:val="000000" w:themeColor="text1"/>
          <w:u w:val="single"/>
        </w:rPr>
        <w:t>5</w:t>
      </w:r>
      <w:r w:rsidR="00C70BD8">
        <w:rPr>
          <w:color w:val="000000" w:themeColor="text1"/>
          <w:u w:val="single"/>
        </w:rPr>
        <w:t>,</w:t>
      </w:r>
      <w:r w:rsidR="008B155B" w:rsidRPr="00A64D9F">
        <w:rPr>
          <w:color w:val="000000" w:themeColor="text1"/>
          <w:u w:val="single"/>
        </w:rPr>
        <w:t xml:space="preserve"> 2015</w:t>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t>______________________</w:t>
      </w:r>
    </w:p>
    <w:p w:rsidR="009943BE" w:rsidRPr="00A64D9F" w:rsidRDefault="009943BE" w:rsidP="009943BE">
      <w:pPr>
        <w:spacing w:line="240" w:lineRule="auto"/>
        <w:contextualSpacing/>
        <w:jc w:val="left"/>
        <w:rPr>
          <w:color w:val="000000" w:themeColor="text1"/>
        </w:rPr>
      </w:pP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00C70BD8">
        <w:rPr>
          <w:color w:val="000000" w:themeColor="text1"/>
        </w:rPr>
        <w:t>Steven K. Haas</w:t>
      </w:r>
    </w:p>
    <w:p w:rsidR="00B55ADD" w:rsidRDefault="009943BE" w:rsidP="002F4DA2">
      <w:pPr>
        <w:spacing w:line="240" w:lineRule="auto"/>
        <w:contextualSpacing/>
        <w:jc w:val="left"/>
        <w:rPr>
          <w:color w:val="000000" w:themeColor="text1"/>
        </w:rPr>
        <w:sectPr w:rsidR="00B55ADD" w:rsidSect="00986649">
          <w:footerReference w:type="default" r:id="rId9"/>
          <w:pgSz w:w="12240" w:h="15840"/>
          <w:pgMar w:top="1440" w:right="1440" w:bottom="1440" w:left="1440" w:header="720" w:footer="720" w:gutter="0"/>
          <w:cols w:space="720"/>
          <w:titlePg/>
          <w:docGrid w:linePitch="360"/>
        </w:sectPr>
      </w:pP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r>
      <w:r w:rsidRPr="00A64D9F">
        <w:rPr>
          <w:color w:val="000000" w:themeColor="text1"/>
        </w:rPr>
        <w:tab/>
        <w:t>Administrative Law Judge</w:t>
      </w:r>
    </w:p>
    <w:p w:rsidR="00B55ADD" w:rsidRDefault="00B55ADD" w:rsidP="00B55ADD">
      <w:pPr>
        <w:spacing w:line="240" w:lineRule="auto"/>
        <w:contextualSpacing/>
        <w:jc w:val="left"/>
        <w:rPr>
          <w:rFonts w:ascii="Microsoft Sans Serif"/>
          <w:b/>
        </w:rPr>
      </w:pPr>
      <w:r>
        <w:rPr>
          <w:rFonts w:ascii="Microsoft Sans Serif"/>
          <w:b/>
          <w:u w:val="single"/>
        </w:rPr>
        <w:lastRenderedPageBreak/>
        <w:t>F-2015-2506992 - DAVID M QUIRK v. PPL ELECTRIC UTILITIES CORPORATION</w:t>
      </w:r>
      <w:r>
        <w:rPr>
          <w:rFonts w:ascii="Microsoft Sans Serif"/>
          <w:b/>
          <w:u w:val="single"/>
        </w:rPr>
        <w:cr/>
      </w:r>
      <w:r>
        <w:rPr>
          <w:rFonts w:ascii="Microsoft Sans Serif"/>
        </w:rPr>
        <w:cr/>
        <w:t>DAVID M QUIRK</w:t>
      </w:r>
      <w:r>
        <w:rPr>
          <w:rFonts w:ascii="Microsoft Sans Serif"/>
        </w:rPr>
        <w:cr/>
        <w:t>25 FRONT ST APT 2</w:t>
      </w:r>
      <w:r>
        <w:rPr>
          <w:rFonts w:ascii="Microsoft Sans Serif"/>
        </w:rPr>
        <w:cr/>
        <w:t>CRESSONA PA  17929</w:t>
      </w:r>
      <w:r>
        <w:rPr>
          <w:rFonts w:ascii="Microsoft Sans Serif"/>
        </w:rPr>
        <w:cr/>
      </w:r>
      <w:r w:rsidRPr="00633304">
        <w:rPr>
          <w:rFonts w:ascii="Microsoft Sans Serif"/>
          <w:b/>
        </w:rPr>
        <w:t>570.385.1673</w:t>
      </w:r>
    </w:p>
    <w:p w:rsidR="00B55ADD" w:rsidRDefault="00B55ADD" w:rsidP="00B55ADD">
      <w:pPr>
        <w:spacing w:line="240" w:lineRule="auto"/>
        <w:contextualSpacing/>
        <w:jc w:val="left"/>
        <w:rPr>
          <w:rFonts w:ascii="Microsoft Sans Serif"/>
          <w:b/>
        </w:rPr>
      </w:pPr>
      <w:bookmarkStart w:id="0" w:name="_GoBack"/>
      <w:bookmarkEnd w:id="0"/>
    </w:p>
    <w:p w:rsidR="00B55ADD" w:rsidRPr="00633304" w:rsidRDefault="00B55ADD" w:rsidP="00B55ADD">
      <w:pPr>
        <w:spacing w:line="240" w:lineRule="auto"/>
        <w:contextualSpacing/>
        <w:jc w:val="left"/>
        <w:rPr>
          <w:rFonts w:ascii="Microsoft Sans Serif"/>
          <w:b/>
        </w:rPr>
      </w:pPr>
      <w:r>
        <w:rPr>
          <w:rFonts w:ascii="Microsoft Sans Serif"/>
        </w:rPr>
        <w:t>KIMBERLY G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r>
      <w:r w:rsidRPr="00633304">
        <w:rPr>
          <w:rFonts w:ascii="Microsoft Sans Serif"/>
          <w:b/>
        </w:rPr>
        <w:t>610.820.5450</w:t>
      </w:r>
      <w:r w:rsidRPr="00633304">
        <w:rPr>
          <w:rFonts w:ascii="Microsoft Sans Serif"/>
          <w:b/>
        </w:rPr>
        <w:cr/>
      </w:r>
      <w:r>
        <w:rPr>
          <w:rFonts w:ascii="Microsoft Sans Serif"/>
          <w:i/>
        </w:rPr>
        <w:t>Does not a</w:t>
      </w:r>
      <w:r w:rsidRPr="00633304">
        <w:rPr>
          <w:rFonts w:ascii="Microsoft Sans Serif"/>
          <w:i/>
        </w:rPr>
        <w:t>ccepts E-service</w:t>
      </w:r>
    </w:p>
    <w:p w:rsidR="00B55ADD" w:rsidRPr="00633304" w:rsidRDefault="00B55ADD" w:rsidP="00B55ADD">
      <w:pPr>
        <w:spacing w:line="240" w:lineRule="auto"/>
        <w:contextualSpacing/>
        <w:jc w:val="left"/>
        <w:rPr>
          <w:i/>
        </w:rPr>
      </w:pPr>
      <w:r w:rsidRPr="00633304">
        <w:rPr>
          <w:rFonts w:ascii="Microsoft Sans Serif"/>
          <w:i/>
        </w:rPr>
        <w:t>Representing PPL Electric Utilities Corporation</w:t>
      </w:r>
      <w:r w:rsidRPr="00633304">
        <w:rPr>
          <w:rFonts w:ascii="Microsoft Sans Serif"/>
          <w:i/>
        </w:rPr>
        <w:cr/>
      </w:r>
    </w:p>
    <w:p w:rsidR="00B55ADD" w:rsidRDefault="00B55ADD" w:rsidP="00B55ADD">
      <w:pPr>
        <w:spacing w:line="240" w:lineRule="auto"/>
        <w:contextualSpacing/>
      </w:pPr>
    </w:p>
    <w:p w:rsidR="009943BE" w:rsidRPr="00A64D9F" w:rsidRDefault="009943BE" w:rsidP="002F4DA2">
      <w:pPr>
        <w:spacing w:line="240" w:lineRule="auto"/>
        <w:contextualSpacing/>
        <w:jc w:val="left"/>
        <w:rPr>
          <w:color w:val="000000" w:themeColor="text1"/>
        </w:rPr>
      </w:pPr>
    </w:p>
    <w:sectPr w:rsidR="009943BE" w:rsidRPr="00A64D9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733" w:rsidRDefault="00CA0733" w:rsidP="009943BE">
      <w:pPr>
        <w:spacing w:line="240" w:lineRule="auto"/>
      </w:pPr>
      <w:r>
        <w:separator/>
      </w:r>
    </w:p>
  </w:endnote>
  <w:endnote w:type="continuationSeparator" w:id="0">
    <w:p w:rsidR="00CA0733" w:rsidRDefault="00CA0733" w:rsidP="00994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85522"/>
      <w:docPartObj>
        <w:docPartGallery w:val="Page Numbers (Bottom of Page)"/>
        <w:docPartUnique/>
      </w:docPartObj>
    </w:sdtPr>
    <w:sdtEndPr>
      <w:rPr>
        <w:noProof/>
      </w:rPr>
    </w:sdtEndPr>
    <w:sdtContent>
      <w:p w:rsidR="00986649" w:rsidRDefault="00986649">
        <w:pPr>
          <w:pStyle w:val="Footer"/>
        </w:pPr>
        <w:r w:rsidRPr="00B55ADD">
          <w:rPr>
            <w:sz w:val="20"/>
            <w:szCs w:val="20"/>
          </w:rPr>
          <w:fldChar w:fldCharType="begin"/>
        </w:r>
        <w:r w:rsidRPr="00B55ADD">
          <w:rPr>
            <w:sz w:val="20"/>
            <w:szCs w:val="20"/>
          </w:rPr>
          <w:instrText xml:space="preserve"> PAGE   \* MERGEFORMAT </w:instrText>
        </w:r>
        <w:r w:rsidRPr="00B55ADD">
          <w:rPr>
            <w:sz w:val="20"/>
            <w:szCs w:val="20"/>
          </w:rPr>
          <w:fldChar w:fldCharType="separate"/>
        </w:r>
        <w:r w:rsidR="00B55ADD">
          <w:rPr>
            <w:noProof/>
            <w:sz w:val="20"/>
            <w:szCs w:val="20"/>
          </w:rPr>
          <w:t>7</w:t>
        </w:r>
        <w:r w:rsidRPr="00B55ADD">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ADD" w:rsidRDefault="00B55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733" w:rsidRDefault="00CA0733" w:rsidP="006F5DDB">
      <w:pPr>
        <w:spacing w:line="240" w:lineRule="auto"/>
        <w:jc w:val="both"/>
      </w:pPr>
      <w:r>
        <w:separator/>
      </w:r>
    </w:p>
  </w:footnote>
  <w:footnote w:type="continuationSeparator" w:id="0">
    <w:p w:rsidR="00CA0733" w:rsidRDefault="00CA0733" w:rsidP="009943BE">
      <w:pPr>
        <w:spacing w:line="240" w:lineRule="auto"/>
      </w:pPr>
      <w:r>
        <w:continuationSeparator/>
      </w:r>
    </w:p>
  </w:footnote>
  <w:footnote w:id="1">
    <w:p w:rsidR="004155F4" w:rsidRDefault="004155F4" w:rsidP="004155F4">
      <w:pPr>
        <w:pStyle w:val="FootnoteText"/>
        <w:jc w:val="left"/>
      </w:pPr>
      <w:r>
        <w:rPr>
          <w:rStyle w:val="FootnoteReference"/>
        </w:rPr>
        <w:footnoteRef/>
      </w:r>
      <w:r>
        <w:t xml:space="preserve"> </w:t>
      </w:r>
      <w:r w:rsidR="006F5DDB">
        <w:tab/>
      </w:r>
      <w:r>
        <w:t>The letter was postmarked November 5,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5254"/>
    <w:multiLevelType w:val="hybridMultilevel"/>
    <w:tmpl w:val="46966942"/>
    <w:lvl w:ilvl="0" w:tplc="FB520A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80417C"/>
    <w:multiLevelType w:val="hybridMultilevel"/>
    <w:tmpl w:val="E4DC87CC"/>
    <w:lvl w:ilvl="0" w:tplc="DF9C1E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2A12226"/>
    <w:multiLevelType w:val="hybridMultilevel"/>
    <w:tmpl w:val="6D6074FA"/>
    <w:lvl w:ilvl="0" w:tplc="3B020F6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087CEC"/>
    <w:multiLevelType w:val="hybridMultilevel"/>
    <w:tmpl w:val="3FF2ACB0"/>
    <w:lvl w:ilvl="0" w:tplc="C60417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CE"/>
    <w:rsid w:val="000018A7"/>
    <w:rsid w:val="00001E3A"/>
    <w:rsid w:val="00001EF6"/>
    <w:rsid w:val="000028EA"/>
    <w:rsid w:val="00003D11"/>
    <w:rsid w:val="0000476A"/>
    <w:rsid w:val="000049D4"/>
    <w:rsid w:val="00004AA3"/>
    <w:rsid w:val="00005558"/>
    <w:rsid w:val="00005E2A"/>
    <w:rsid w:val="00006BD3"/>
    <w:rsid w:val="000079FE"/>
    <w:rsid w:val="0001073D"/>
    <w:rsid w:val="00012104"/>
    <w:rsid w:val="00012268"/>
    <w:rsid w:val="00012655"/>
    <w:rsid w:val="0001305A"/>
    <w:rsid w:val="00016E55"/>
    <w:rsid w:val="0002023D"/>
    <w:rsid w:val="00020760"/>
    <w:rsid w:val="0002105C"/>
    <w:rsid w:val="0002110E"/>
    <w:rsid w:val="0002235C"/>
    <w:rsid w:val="00022B3F"/>
    <w:rsid w:val="00025B0B"/>
    <w:rsid w:val="00025D7A"/>
    <w:rsid w:val="000304BF"/>
    <w:rsid w:val="00030BC9"/>
    <w:rsid w:val="00032379"/>
    <w:rsid w:val="0003306B"/>
    <w:rsid w:val="00033303"/>
    <w:rsid w:val="000338CD"/>
    <w:rsid w:val="00035BB8"/>
    <w:rsid w:val="000372C5"/>
    <w:rsid w:val="00037484"/>
    <w:rsid w:val="000377F5"/>
    <w:rsid w:val="00037E0F"/>
    <w:rsid w:val="00040EB6"/>
    <w:rsid w:val="0004162D"/>
    <w:rsid w:val="00044B8B"/>
    <w:rsid w:val="00044DA7"/>
    <w:rsid w:val="00044FC0"/>
    <w:rsid w:val="0004643F"/>
    <w:rsid w:val="000466BF"/>
    <w:rsid w:val="00046714"/>
    <w:rsid w:val="00046940"/>
    <w:rsid w:val="000478E2"/>
    <w:rsid w:val="00052359"/>
    <w:rsid w:val="00053B9A"/>
    <w:rsid w:val="000541C0"/>
    <w:rsid w:val="0005423F"/>
    <w:rsid w:val="0005448C"/>
    <w:rsid w:val="00055078"/>
    <w:rsid w:val="00055CC5"/>
    <w:rsid w:val="000576ED"/>
    <w:rsid w:val="000605B6"/>
    <w:rsid w:val="00061278"/>
    <w:rsid w:val="00061AFB"/>
    <w:rsid w:val="000634EB"/>
    <w:rsid w:val="00063801"/>
    <w:rsid w:val="0006752D"/>
    <w:rsid w:val="000676B2"/>
    <w:rsid w:val="00067CBC"/>
    <w:rsid w:val="000700A4"/>
    <w:rsid w:val="00070AA1"/>
    <w:rsid w:val="00071A36"/>
    <w:rsid w:val="00072595"/>
    <w:rsid w:val="00072D46"/>
    <w:rsid w:val="0007397C"/>
    <w:rsid w:val="00073BE1"/>
    <w:rsid w:val="00074065"/>
    <w:rsid w:val="00074DBE"/>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80D"/>
    <w:rsid w:val="00097D77"/>
    <w:rsid w:val="000A0123"/>
    <w:rsid w:val="000A1347"/>
    <w:rsid w:val="000A2192"/>
    <w:rsid w:val="000A397E"/>
    <w:rsid w:val="000A4551"/>
    <w:rsid w:val="000A4D4A"/>
    <w:rsid w:val="000A4E7A"/>
    <w:rsid w:val="000A5DEA"/>
    <w:rsid w:val="000A6171"/>
    <w:rsid w:val="000A652E"/>
    <w:rsid w:val="000A69B5"/>
    <w:rsid w:val="000A770B"/>
    <w:rsid w:val="000B1BFC"/>
    <w:rsid w:val="000B1D64"/>
    <w:rsid w:val="000B2D0C"/>
    <w:rsid w:val="000B339A"/>
    <w:rsid w:val="000B7111"/>
    <w:rsid w:val="000B7866"/>
    <w:rsid w:val="000C0311"/>
    <w:rsid w:val="000C2696"/>
    <w:rsid w:val="000C27AC"/>
    <w:rsid w:val="000C2A2B"/>
    <w:rsid w:val="000C34F3"/>
    <w:rsid w:val="000C4163"/>
    <w:rsid w:val="000C56DC"/>
    <w:rsid w:val="000C5976"/>
    <w:rsid w:val="000C5DC7"/>
    <w:rsid w:val="000C683B"/>
    <w:rsid w:val="000C6B6E"/>
    <w:rsid w:val="000C6D5C"/>
    <w:rsid w:val="000C6EF0"/>
    <w:rsid w:val="000C6FAA"/>
    <w:rsid w:val="000C7A4F"/>
    <w:rsid w:val="000D29BA"/>
    <w:rsid w:val="000D3E49"/>
    <w:rsid w:val="000D5763"/>
    <w:rsid w:val="000D67F6"/>
    <w:rsid w:val="000E1EAB"/>
    <w:rsid w:val="000E2F36"/>
    <w:rsid w:val="000E44C4"/>
    <w:rsid w:val="000E49E6"/>
    <w:rsid w:val="000E4A42"/>
    <w:rsid w:val="000E503F"/>
    <w:rsid w:val="000E6655"/>
    <w:rsid w:val="000E6827"/>
    <w:rsid w:val="000E71B3"/>
    <w:rsid w:val="000E7515"/>
    <w:rsid w:val="000E7EF5"/>
    <w:rsid w:val="000F1890"/>
    <w:rsid w:val="000F2E5F"/>
    <w:rsid w:val="000F3819"/>
    <w:rsid w:val="000F3B32"/>
    <w:rsid w:val="000F47F1"/>
    <w:rsid w:val="000F51F1"/>
    <w:rsid w:val="000F5460"/>
    <w:rsid w:val="000F5D78"/>
    <w:rsid w:val="000F678B"/>
    <w:rsid w:val="000F680A"/>
    <w:rsid w:val="000F78BE"/>
    <w:rsid w:val="0010080E"/>
    <w:rsid w:val="001021FB"/>
    <w:rsid w:val="00102A77"/>
    <w:rsid w:val="0010420D"/>
    <w:rsid w:val="00104518"/>
    <w:rsid w:val="00106EE8"/>
    <w:rsid w:val="001077F1"/>
    <w:rsid w:val="0011038E"/>
    <w:rsid w:val="00113655"/>
    <w:rsid w:val="00113B1B"/>
    <w:rsid w:val="001155EF"/>
    <w:rsid w:val="00115BB6"/>
    <w:rsid w:val="00116578"/>
    <w:rsid w:val="00116D2C"/>
    <w:rsid w:val="001170B8"/>
    <w:rsid w:val="0012035F"/>
    <w:rsid w:val="00120955"/>
    <w:rsid w:val="00120D02"/>
    <w:rsid w:val="00120DE8"/>
    <w:rsid w:val="00121291"/>
    <w:rsid w:val="00121792"/>
    <w:rsid w:val="001219A5"/>
    <w:rsid w:val="0012343C"/>
    <w:rsid w:val="00124101"/>
    <w:rsid w:val="00124D49"/>
    <w:rsid w:val="00126739"/>
    <w:rsid w:val="0012770C"/>
    <w:rsid w:val="0013068D"/>
    <w:rsid w:val="00130A2C"/>
    <w:rsid w:val="0013273A"/>
    <w:rsid w:val="00135526"/>
    <w:rsid w:val="00135C30"/>
    <w:rsid w:val="00137521"/>
    <w:rsid w:val="00137C91"/>
    <w:rsid w:val="00140273"/>
    <w:rsid w:val="0014105E"/>
    <w:rsid w:val="0014145C"/>
    <w:rsid w:val="0014208B"/>
    <w:rsid w:val="00143142"/>
    <w:rsid w:val="00143C25"/>
    <w:rsid w:val="00144D2D"/>
    <w:rsid w:val="00145327"/>
    <w:rsid w:val="0014747C"/>
    <w:rsid w:val="00150084"/>
    <w:rsid w:val="00150BAA"/>
    <w:rsid w:val="00152794"/>
    <w:rsid w:val="00152FD8"/>
    <w:rsid w:val="001537E3"/>
    <w:rsid w:val="00153C39"/>
    <w:rsid w:val="00154F0C"/>
    <w:rsid w:val="0015569F"/>
    <w:rsid w:val="00155E87"/>
    <w:rsid w:val="0015737B"/>
    <w:rsid w:val="00157490"/>
    <w:rsid w:val="00157E46"/>
    <w:rsid w:val="001612DE"/>
    <w:rsid w:val="001627EF"/>
    <w:rsid w:val="00162A12"/>
    <w:rsid w:val="00162D2F"/>
    <w:rsid w:val="001632AC"/>
    <w:rsid w:val="0016332A"/>
    <w:rsid w:val="0016435F"/>
    <w:rsid w:val="0016521D"/>
    <w:rsid w:val="001658B2"/>
    <w:rsid w:val="00170FE6"/>
    <w:rsid w:val="00171416"/>
    <w:rsid w:val="001717BC"/>
    <w:rsid w:val="00172857"/>
    <w:rsid w:val="00172B0B"/>
    <w:rsid w:val="00172E8C"/>
    <w:rsid w:val="00173570"/>
    <w:rsid w:val="00173C70"/>
    <w:rsid w:val="00174F7E"/>
    <w:rsid w:val="0017580D"/>
    <w:rsid w:val="00175F76"/>
    <w:rsid w:val="00176368"/>
    <w:rsid w:val="001764BA"/>
    <w:rsid w:val="00176C44"/>
    <w:rsid w:val="00181AB1"/>
    <w:rsid w:val="001857EA"/>
    <w:rsid w:val="00186328"/>
    <w:rsid w:val="001868F5"/>
    <w:rsid w:val="00186ED4"/>
    <w:rsid w:val="00190B2C"/>
    <w:rsid w:val="00191522"/>
    <w:rsid w:val="001918C5"/>
    <w:rsid w:val="00192D00"/>
    <w:rsid w:val="00192EB5"/>
    <w:rsid w:val="00195C2B"/>
    <w:rsid w:val="001966CB"/>
    <w:rsid w:val="001969A7"/>
    <w:rsid w:val="00196C5A"/>
    <w:rsid w:val="0019791B"/>
    <w:rsid w:val="00197E5D"/>
    <w:rsid w:val="001A0F84"/>
    <w:rsid w:val="001A103D"/>
    <w:rsid w:val="001A1644"/>
    <w:rsid w:val="001A216A"/>
    <w:rsid w:val="001A33F5"/>
    <w:rsid w:val="001A35C3"/>
    <w:rsid w:val="001A3A31"/>
    <w:rsid w:val="001A3D48"/>
    <w:rsid w:val="001A41D4"/>
    <w:rsid w:val="001A5421"/>
    <w:rsid w:val="001A6541"/>
    <w:rsid w:val="001A7F95"/>
    <w:rsid w:val="001B06B8"/>
    <w:rsid w:val="001B1B1D"/>
    <w:rsid w:val="001B3572"/>
    <w:rsid w:val="001B3D6F"/>
    <w:rsid w:val="001B45CC"/>
    <w:rsid w:val="001B477B"/>
    <w:rsid w:val="001B4B2B"/>
    <w:rsid w:val="001B4EC8"/>
    <w:rsid w:val="001B6470"/>
    <w:rsid w:val="001B68A0"/>
    <w:rsid w:val="001B760E"/>
    <w:rsid w:val="001C0410"/>
    <w:rsid w:val="001C054D"/>
    <w:rsid w:val="001C2101"/>
    <w:rsid w:val="001C2234"/>
    <w:rsid w:val="001C537D"/>
    <w:rsid w:val="001C64B4"/>
    <w:rsid w:val="001C65CD"/>
    <w:rsid w:val="001C6AC3"/>
    <w:rsid w:val="001C7BD9"/>
    <w:rsid w:val="001D05DB"/>
    <w:rsid w:val="001D0876"/>
    <w:rsid w:val="001D0F91"/>
    <w:rsid w:val="001D1F1B"/>
    <w:rsid w:val="001D30CE"/>
    <w:rsid w:val="001D4223"/>
    <w:rsid w:val="001D4A21"/>
    <w:rsid w:val="001D556B"/>
    <w:rsid w:val="001E2642"/>
    <w:rsid w:val="001E3C0A"/>
    <w:rsid w:val="001E3C9A"/>
    <w:rsid w:val="001E4B2B"/>
    <w:rsid w:val="001E4C68"/>
    <w:rsid w:val="001E5411"/>
    <w:rsid w:val="001E5447"/>
    <w:rsid w:val="001E5DF5"/>
    <w:rsid w:val="001E604F"/>
    <w:rsid w:val="001E76FD"/>
    <w:rsid w:val="001E79A7"/>
    <w:rsid w:val="001F0835"/>
    <w:rsid w:val="001F09A7"/>
    <w:rsid w:val="001F1049"/>
    <w:rsid w:val="001F1139"/>
    <w:rsid w:val="001F2815"/>
    <w:rsid w:val="001F33A3"/>
    <w:rsid w:val="001F4882"/>
    <w:rsid w:val="001F49C0"/>
    <w:rsid w:val="001F4DA0"/>
    <w:rsid w:val="001F6848"/>
    <w:rsid w:val="001F6A1A"/>
    <w:rsid w:val="001F6E43"/>
    <w:rsid w:val="001F6EE6"/>
    <w:rsid w:val="001F6F77"/>
    <w:rsid w:val="001F74FC"/>
    <w:rsid w:val="001F77B2"/>
    <w:rsid w:val="002004A8"/>
    <w:rsid w:val="002019B1"/>
    <w:rsid w:val="00201E65"/>
    <w:rsid w:val="00205C33"/>
    <w:rsid w:val="00211216"/>
    <w:rsid w:val="0021162B"/>
    <w:rsid w:val="002120B2"/>
    <w:rsid w:val="002125E4"/>
    <w:rsid w:val="002131B7"/>
    <w:rsid w:val="00213336"/>
    <w:rsid w:val="00213BF6"/>
    <w:rsid w:val="00214E49"/>
    <w:rsid w:val="00215381"/>
    <w:rsid w:val="00215BA6"/>
    <w:rsid w:val="002163B7"/>
    <w:rsid w:val="00216C32"/>
    <w:rsid w:val="00216F76"/>
    <w:rsid w:val="0021750E"/>
    <w:rsid w:val="002178EA"/>
    <w:rsid w:val="0022017F"/>
    <w:rsid w:val="002205EC"/>
    <w:rsid w:val="00220D97"/>
    <w:rsid w:val="00221A88"/>
    <w:rsid w:val="00222D81"/>
    <w:rsid w:val="002241D0"/>
    <w:rsid w:val="002244B5"/>
    <w:rsid w:val="00224756"/>
    <w:rsid w:val="0022478F"/>
    <w:rsid w:val="00224C6E"/>
    <w:rsid w:val="00227A4A"/>
    <w:rsid w:val="00230CC6"/>
    <w:rsid w:val="00231F41"/>
    <w:rsid w:val="00232397"/>
    <w:rsid w:val="002337D7"/>
    <w:rsid w:val="00233A70"/>
    <w:rsid w:val="00234712"/>
    <w:rsid w:val="00234DEB"/>
    <w:rsid w:val="0023584A"/>
    <w:rsid w:val="00236C44"/>
    <w:rsid w:val="00240343"/>
    <w:rsid w:val="0024037F"/>
    <w:rsid w:val="002403E6"/>
    <w:rsid w:val="002422D0"/>
    <w:rsid w:val="00243671"/>
    <w:rsid w:val="00245181"/>
    <w:rsid w:val="002451F7"/>
    <w:rsid w:val="002455CC"/>
    <w:rsid w:val="00246523"/>
    <w:rsid w:val="0024777B"/>
    <w:rsid w:val="00247CE0"/>
    <w:rsid w:val="002502F2"/>
    <w:rsid w:val="00250571"/>
    <w:rsid w:val="002508DC"/>
    <w:rsid w:val="00251E5A"/>
    <w:rsid w:val="00252DB6"/>
    <w:rsid w:val="00252DFD"/>
    <w:rsid w:val="00252F2A"/>
    <w:rsid w:val="0025351B"/>
    <w:rsid w:val="002546D8"/>
    <w:rsid w:val="002557C7"/>
    <w:rsid w:val="002558A3"/>
    <w:rsid w:val="00255930"/>
    <w:rsid w:val="00255ABE"/>
    <w:rsid w:val="00256505"/>
    <w:rsid w:val="00260459"/>
    <w:rsid w:val="00260814"/>
    <w:rsid w:val="00262A17"/>
    <w:rsid w:val="00262AF8"/>
    <w:rsid w:val="00263AD5"/>
    <w:rsid w:val="00263F7F"/>
    <w:rsid w:val="00263FD9"/>
    <w:rsid w:val="0026705F"/>
    <w:rsid w:val="002704DD"/>
    <w:rsid w:val="00270AF3"/>
    <w:rsid w:val="00270FE4"/>
    <w:rsid w:val="0027182F"/>
    <w:rsid w:val="0027207B"/>
    <w:rsid w:val="0027210A"/>
    <w:rsid w:val="00273679"/>
    <w:rsid w:val="0027475D"/>
    <w:rsid w:val="002748C2"/>
    <w:rsid w:val="002752C3"/>
    <w:rsid w:val="002754BF"/>
    <w:rsid w:val="00275659"/>
    <w:rsid w:val="002757B6"/>
    <w:rsid w:val="002761E2"/>
    <w:rsid w:val="00277591"/>
    <w:rsid w:val="002809C9"/>
    <w:rsid w:val="00283282"/>
    <w:rsid w:val="00284760"/>
    <w:rsid w:val="00285C9A"/>
    <w:rsid w:val="00286A34"/>
    <w:rsid w:val="002871C2"/>
    <w:rsid w:val="00287CB1"/>
    <w:rsid w:val="0029096F"/>
    <w:rsid w:val="00290AD2"/>
    <w:rsid w:val="0029353E"/>
    <w:rsid w:val="00293EB9"/>
    <w:rsid w:val="00293F4E"/>
    <w:rsid w:val="0029596D"/>
    <w:rsid w:val="00296B74"/>
    <w:rsid w:val="00297286"/>
    <w:rsid w:val="002A0037"/>
    <w:rsid w:val="002A05C6"/>
    <w:rsid w:val="002A0817"/>
    <w:rsid w:val="002A1522"/>
    <w:rsid w:val="002A170E"/>
    <w:rsid w:val="002A17F4"/>
    <w:rsid w:val="002A4E7E"/>
    <w:rsid w:val="002A5EFC"/>
    <w:rsid w:val="002A5F4D"/>
    <w:rsid w:val="002A7068"/>
    <w:rsid w:val="002A70E9"/>
    <w:rsid w:val="002A7119"/>
    <w:rsid w:val="002A7A0A"/>
    <w:rsid w:val="002B0D61"/>
    <w:rsid w:val="002B2AF4"/>
    <w:rsid w:val="002B3E20"/>
    <w:rsid w:val="002B541A"/>
    <w:rsid w:val="002B754D"/>
    <w:rsid w:val="002C0694"/>
    <w:rsid w:val="002C0BA6"/>
    <w:rsid w:val="002C0EFB"/>
    <w:rsid w:val="002C1023"/>
    <w:rsid w:val="002C4241"/>
    <w:rsid w:val="002C4F02"/>
    <w:rsid w:val="002C69AD"/>
    <w:rsid w:val="002C7D08"/>
    <w:rsid w:val="002D0E4D"/>
    <w:rsid w:val="002D11F2"/>
    <w:rsid w:val="002D1E71"/>
    <w:rsid w:val="002D29B0"/>
    <w:rsid w:val="002D400B"/>
    <w:rsid w:val="002D40F8"/>
    <w:rsid w:val="002D56A9"/>
    <w:rsid w:val="002D5798"/>
    <w:rsid w:val="002D5B2A"/>
    <w:rsid w:val="002D6B36"/>
    <w:rsid w:val="002D7136"/>
    <w:rsid w:val="002D7978"/>
    <w:rsid w:val="002E2283"/>
    <w:rsid w:val="002E2CAD"/>
    <w:rsid w:val="002E32C2"/>
    <w:rsid w:val="002E5790"/>
    <w:rsid w:val="002E6CB4"/>
    <w:rsid w:val="002E7DDB"/>
    <w:rsid w:val="002F21B6"/>
    <w:rsid w:val="002F222D"/>
    <w:rsid w:val="002F2A4A"/>
    <w:rsid w:val="002F42FC"/>
    <w:rsid w:val="002F4ADD"/>
    <w:rsid w:val="002F4DA2"/>
    <w:rsid w:val="002F5C03"/>
    <w:rsid w:val="002F6F4F"/>
    <w:rsid w:val="002F6F57"/>
    <w:rsid w:val="002F7413"/>
    <w:rsid w:val="002F75DA"/>
    <w:rsid w:val="00303526"/>
    <w:rsid w:val="00303761"/>
    <w:rsid w:val="00304AA1"/>
    <w:rsid w:val="0030682B"/>
    <w:rsid w:val="00306C33"/>
    <w:rsid w:val="00311531"/>
    <w:rsid w:val="003115D2"/>
    <w:rsid w:val="00312CA3"/>
    <w:rsid w:val="00312F06"/>
    <w:rsid w:val="00313595"/>
    <w:rsid w:val="0031425A"/>
    <w:rsid w:val="00314713"/>
    <w:rsid w:val="003149F5"/>
    <w:rsid w:val="003151E4"/>
    <w:rsid w:val="003156B2"/>
    <w:rsid w:val="003156D7"/>
    <w:rsid w:val="003169C1"/>
    <w:rsid w:val="00317261"/>
    <w:rsid w:val="0032130D"/>
    <w:rsid w:val="00321B3A"/>
    <w:rsid w:val="00321DB1"/>
    <w:rsid w:val="00323726"/>
    <w:rsid w:val="00325E56"/>
    <w:rsid w:val="00326EEE"/>
    <w:rsid w:val="00326F3E"/>
    <w:rsid w:val="00330A67"/>
    <w:rsid w:val="0033159D"/>
    <w:rsid w:val="00331FC0"/>
    <w:rsid w:val="00332673"/>
    <w:rsid w:val="00332A51"/>
    <w:rsid w:val="00333ADD"/>
    <w:rsid w:val="00334F62"/>
    <w:rsid w:val="00336496"/>
    <w:rsid w:val="003364EB"/>
    <w:rsid w:val="00336CE8"/>
    <w:rsid w:val="003371FC"/>
    <w:rsid w:val="003415B9"/>
    <w:rsid w:val="003425CF"/>
    <w:rsid w:val="0034272B"/>
    <w:rsid w:val="00342BFE"/>
    <w:rsid w:val="00344C34"/>
    <w:rsid w:val="00345C65"/>
    <w:rsid w:val="00346679"/>
    <w:rsid w:val="003470E8"/>
    <w:rsid w:val="00347634"/>
    <w:rsid w:val="0035100D"/>
    <w:rsid w:val="003522AE"/>
    <w:rsid w:val="003534EB"/>
    <w:rsid w:val="00353F10"/>
    <w:rsid w:val="00354574"/>
    <w:rsid w:val="00354BD0"/>
    <w:rsid w:val="00354FC3"/>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087F"/>
    <w:rsid w:val="00370BCE"/>
    <w:rsid w:val="00375889"/>
    <w:rsid w:val="003760EB"/>
    <w:rsid w:val="00376671"/>
    <w:rsid w:val="003769A9"/>
    <w:rsid w:val="00380892"/>
    <w:rsid w:val="00381B05"/>
    <w:rsid w:val="00383321"/>
    <w:rsid w:val="00385BF0"/>
    <w:rsid w:val="00385DAD"/>
    <w:rsid w:val="003864D5"/>
    <w:rsid w:val="00386626"/>
    <w:rsid w:val="00387215"/>
    <w:rsid w:val="003908D7"/>
    <w:rsid w:val="00390929"/>
    <w:rsid w:val="00390DBB"/>
    <w:rsid w:val="00391CFF"/>
    <w:rsid w:val="003924CC"/>
    <w:rsid w:val="0039414E"/>
    <w:rsid w:val="00396333"/>
    <w:rsid w:val="00396ADD"/>
    <w:rsid w:val="0039716B"/>
    <w:rsid w:val="003A0B9C"/>
    <w:rsid w:val="003A0E5A"/>
    <w:rsid w:val="003A0F8D"/>
    <w:rsid w:val="003A37B0"/>
    <w:rsid w:val="003A3A3A"/>
    <w:rsid w:val="003A43C3"/>
    <w:rsid w:val="003A5E83"/>
    <w:rsid w:val="003A645E"/>
    <w:rsid w:val="003A6A5F"/>
    <w:rsid w:val="003A7581"/>
    <w:rsid w:val="003A7600"/>
    <w:rsid w:val="003B2E77"/>
    <w:rsid w:val="003B2FAC"/>
    <w:rsid w:val="003B3FDD"/>
    <w:rsid w:val="003B4D40"/>
    <w:rsid w:val="003B4DD9"/>
    <w:rsid w:val="003B5D19"/>
    <w:rsid w:val="003B610B"/>
    <w:rsid w:val="003C34F1"/>
    <w:rsid w:val="003C3761"/>
    <w:rsid w:val="003C3DEA"/>
    <w:rsid w:val="003C421E"/>
    <w:rsid w:val="003C47E8"/>
    <w:rsid w:val="003C5102"/>
    <w:rsid w:val="003C5586"/>
    <w:rsid w:val="003C5952"/>
    <w:rsid w:val="003C610C"/>
    <w:rsid w:val="003C6962"/>
    <w:rsid w:val="003C6F65"/>
    <w:rsid w:val="003C7514"/>
    <w:rsid w:val="003D0C76"/>
    <w:rsid w:val="003D1F46"/>
    <w:rsid w:val="003D3B64"/>
    <w:rsid w:val="003D41CF"/>
    <w:rsid w:val="003D5045"/>
    <w:rsid w:val="003D7707"/>
    <w:rsid w:val="003E13E3"/>
    <w:rsid w:val="003E1442"/>
    <w:rsid w:val="003E2B14"/>
    <w:rsid w:val="003E2FDE"/>
    <w:rsid w:val="003E31DD"/>
    <w:rsid w:val="003E447A"/>
    <w:rsid w:val="003E5240"/>
    <w:rsid w:val="003E54B5"/>
    <w:rsid w:val="003E7E85"/>
    <w:rsid w:val="003F01A7"/>
    <w:rsid w:val="003F11A7"/>
    <w:rsid w:val="003F2E62"/>
    <w:rsid w:val="003F3925"/>
    <w:rsid w:val="003F425B"/>
    <w:rsid w:val="003F676A"/>
    <w:rsid w:val="004002AF"/>
    <w:rsid w:val="00401386"/>
    <w:rsid w:val="004016A2"/>
    <w:rsid w:val="004017C5"/>
    <w:rsid w:val="0040308F"/>
    <w:rsid w:val="004047B1"/>
    <w:rsid w:val="00404E55"/>
    <w:rsid w:val="0040584C"/>
    <w:rsid w:val="00406753"/>
    <w:rsid w:val="00406807"/>
    <w:rsid w:val="004078EF"/>
    <w:rsid w:val="00407C2F"/>
    <w:rsid w:val="0041082C"/>
    <w:rsid w:val="004109FE"/>
    <w:rsid w:val="00411425"/>
    <w:rsid w:val="00413B28"/>
    <w:rsid w:val="00413BA5"/>
    <w:rsid w:val="00413DAC"/>
    <w:rsid w:val="00414D68"/>
    <w:rsid w:val="004155F4"/>
    <w:rsid w:val="0041623E"/>
    <w:rsid w:val="00416A3B"/>
    <w:rsid w:val="00416AB2"/>
    <w:rsid w:val="00417515"/>
    <w:rsid w:val="00421203"/>
    <w:rsid w:val="004212AA"/>
    <w:rsid w:val="0042227A"/>
    <w:rsid w:val="004222CB"/>
    <w:rsid w:val="00423359"/>
    <w:rsid w:val="00424835"/>
    <w:rsid w:val="00425C94"/>
    <w:rsid w:val="00426277"/>
    <w:rsid w:val="004262B3"/>
    <w:rsid w:val="00426605"/>
    <w:rsid w:val="00427215"/>
    <w:rsid w:val="00431130"/>
    <w:rsid w:val="00433AE5"/>
    <w:rsid w:val="0043485A"/>
    <w:rsid w:val="00434FD6"/>
    <w:rsid w:val="00436035"/>
    <w:rsid w:val="00437363"/>
    <w:rsid w:val="0044010C"/>
    <w:rsid w:val="00440521"/>
    <w:rsid w:val="004407EE"/>
    <w:rsid w:val="00440960"/>
    <w:rsid w:val="00441078"/>
    <w:rsid w:val="00441963"/>
    <w:rsid w:val="00442254"/>
    <w:rsid w:val="00443307"/>
    <w:rsid w:val="0044490C"/>
    <w:rsid w:val="00444DBF"/>
    <w:rsid w:val="00444E41"/>
    <w:rsid w:val="00445003"/>
    <w:rsid w:val="00445B46"/>
    <w:rsid w:val="00446B02"/>
    <w:rsid w:val="00446C81"/>
    <w:rsid w:val="00446CF6"/>
    <w:rsid w:val="0044708D"/>
    <w:rsid w:val="00447133"/>
    <w:rsid w:val="00447A63"/>
    <w:rsid w:val="00447DB3"/>
    <w:rsid w:val="0045034E"/>
    <w:rsid w:val="00451446"/>
    <w:rsid w:val="0045199A"/>
    <w:rsid w:val="004521D4"/>
    <w:rsid w:val="00452EEE"/>
    <w:rsid w:val="0045300F"/>
    <w:rsid w:val="00453A6E"/>
    <w:rsid w:val="00454158"/>
    <w:rsid w:val="00454723"/>
    <w:rsid w:val="00455691"/>
    <w:rsid w:val="004556D5"/>
    <w:rsid w:val="004565C0"/>
    <w:rsid w:val="00456D4A"/>
    <w:rsid w:val="00457320"/>
    <w:rsid w:val="00457571"/>
    <w:rsid w:val="00460024"/>
    <w:rsid w:val="00460031"/>
    <w:rsid w:val="00460140"/>
    <w:rsid w:val="0046238B"/>
    <w:rsid w:val="004625E8"/>
    <w:rsid w:val="00464B18"/>
    <w:rsid w:val="00465D71"/>
    <w:rsid w:val="00466D15"/>
    <w:rsid w:val="0047070D"/>
    <w:rsid w:val="00477A71"/>
    <w:rsid w:val="00481269"/>
    <w:rsid w:val="00483704"/>
    <w:rsid w:val="004839FC"/>
    <w:rsid w:val="00483C70"/>
    <w:rsid w:val="00484589"/>
    <w:rsid w:val="00484654"/>
    <w:rsid w:val="00484BCE"/>
    <w:rsid w:val="00487E8F"/>
    <w:rsid w:val="00490EE8"/>
    <w:rsid w:val="00491F39"/>
    <w:rsid w:val="004938B5"/>
    <w:rsid w:val="00493AC3"/>
    <w:rsid w:val="0049422F"/>
    <w:rsid w:val="0049475D"/>
    <w:rsid w:val="004953C8"/>
    <w:rsid w:val="0049575D"/>
    <w:rsid w:val="00496D95"/>
    <w:rsid w:val="00496DB8"/>
    <w:rsid w:val="004A11A6"/>
    <w:rsid w:val="004A1729"/>
    <w:rsid w:val="004A21F4"/>
    <w:rsid w:val="004A3363"/>
    <w:rsid w:val="004A3402"/>
    <w:rsid w:val="004A4B6C"/>
    <w:rsid w:val="004A5318"/>
    <w:rsid w:val="004A5D57"/>
    <w:rsid w:val="004A741E"/>
    <w:rsid w:val="004B0194"/>
    <w:rsid w:val="004B0321"/>
    <w:rsid w:val="004B1ADE"/>
    <w:rsid w:val="004B25E7"/>
    <w:rsid w:val="004B2625"/>
    <w:rsid w:val="004B48B9"/>
    <w:rsid w:val="004B50E1"/>
    <w:rsid w:val="004B570B"/>
    <w:rsid w:val="004B5BBD"/>
    <w:rsid w:val="004B652A"/>
    <w:rsid w:val="004B6805"/>
    <w:rsid w:val="004B7C6D"/>
    <w:rsid w:val="004B7DB2"/>
    <w:rsid w:val="004C015B"/>
    <w:rsid w:val="004C125D"/>
    <w:rsid w:val="004C1845"/>
    <w:rsid w:val="004C1ABF"/>
    <w:rsid w:val="004C30D2"/>
    <w:rsid w:val="004C3AE2"/>
    <w:rsid w:val="004C4C1E"/>
    <w:rsid w:val="004C583B"/>
    <w:rsid w:val="004C657C"/>
    <w:rsid w:val="004D0BE0"/>
    <w:rsid w:val="004D14F0"/>
    <w:rsid w:val="004D1505"/>
    <w:rsid w:val="004D17DF"/>
    <w:rsid w:val="004D2C92"/>
    <w:rsid w:val="004D30CE"/>
    <w:rsid w:val="004D3803"/>
    <w:rsid w:val="004D38F8"/>
    <w:rsid w:val="004D4699"/>
    <w:rsid w:val="004D4A68"/>
    <w:rsid w:val="004D4E7A"/>
    <w:rsid w:val="004D5646"/>
    <w:rsid w:val="004D6D13"/>
    <w:rsid w:val="004D6DCE"/>
    <w:rsid w:val="004E1B61"/>
    <w:rsid w:val="004E1FD5"/>
    <w:rsid w:val="004E204D"/>
    <w:rsid w:val="004E23ED"/>
    <w:rsid w:val="004E4216"/>
    <w:rsid w:val="004E429F"/>
    <w:rsid w:val="004E5152"/>
    <w:rsid w:val="004E60E4"/>
    <w:rsid w:val="004E76CD"/>
    <w:rsid w:val="004E7BD6"/>
    <w:rsid w:val="004F03C7"/>
    <w:rsid w:val="004F160A"/>
    <w:rsid w:val="004F2F62"/>
    <w:rsid w:val="004F37CB"/>
    <w:rsid w:val="004F3BAD"/>
    <w:rsid w:val="004F45CA"/>
    <w:rsid w:val="004F5216"/>
    <w:rsid w:val="004F616B"/>
    <w:rsid w:val="004F64E4"/>
    <w:rsid w:val="00500A53"/>
    <w:rsid w:val="00503634"/>
    <w:rsid w:val="00504F92"/>
    <w:rsid w:val="00505518"/>
    <w:rsid w:val="00505551"/>
    <w:rsid w:val="005078B3"/>
    <w:rsid w:val="00510A28"/>
    <w:rsid w:val="005114A5"/>
    <w:rsid w:val="00511663"/>
    <w:rsid w:val="00511C54"/>
    <w:rsid w:val="0051292E"/>
    <w:rsid w:val="00515785"/>
    <w:rsid w:val="00515AD5"/>
    <w:rsid w:val="005160AC"/>
    <w:rsid w:val="00516207"/>
    <w:rsid w:val="00517995"/>
    <w:rsid w:val="00517F0D"/>
    <w:rsid w:val="00520C27"/>
    <w:rsid w:val="005216F6"/>
    <w:rsid w:val="00521B57"/>
    <w:rsid w:val="00522DE9"/>
    <w:rsid w:val="00522EF8"/>
    <w:rsid w:val="0052399F"/>
    <w:rsid w:val="00523F60"/>
    <w:rsid w:val="00523FBA"/>
    <w:rsid w:val="00524079"/>
    <w:rsid w:val="00524699"/>
    <w:rsid w:val="005255C0"/>
    <w:rsid w:val="005258BD"/>
    <w:rsid w:val="00526890"/>
    <w:rsid w:val="0052764F"/>
    <w:rsid w:val="00527AFE"/>
    <w:rsid w:val="005305CF"/>
    <w:rsid w:val="00532156"/>
    <w:rsid w:val="00532319"/>
    <w:rsid w:val="005328F4"/>
    <w:rsid w:val="005335CF"/>
    <w:rsid w:val="00535220"/>
    <w:rsid w:val="00536ABE"/>
    <w:rsid w:val="00536B5A"/>
    <w:rsid w:val="00540B74"/>
    <w:rsid w:val="00540B8B"/>
    <w:rsid w:val="00540ED6"/>
    <w:rsid w:val="00541C1D"/>
    <w:rsid w:val="005449AC"/>
    <w:rsid w:val="00544A16"/>
    <w:rsid w:val="005472EC"/>
    <w:rsid w:val="00547C82"/>
    <w:rsid w:val="00547DC4"/>
    <w:rsid w:val="00550845"/>
    <w:rsid w:val="0055122B"/>
    <w:rsid w:val="00552915"/>
    <w:rsid w:val="005534BD"/>
    <w:rsid w:val="005623DE"/>
    <w:rsid w:val="00562A9A"/>
    <w:rsid w:val="00564A3A"/>
    <w:rsid w:val="005650FF"/>
    <w:rsid w:val="005659E3"/>
    <w:rsid w:val="00566DDB"/>
    <w:rsid w:val="005674B3"/>
    <w:rsid w:val="005674EF"/>
    <w:rsid w:val="00570742"/>
    <w:rsid w:val="00570C2E"/>
    <w:rsid w:val="00571577"/>
    <w:rsid w:val="00571C60"/>
    <w:rsid w:val="0057213D"/>
    <w:rsid w:val="005729E9"/>
    <w:rsid w:val="005731E7"/>
    <w:rsid w:val="005732E9"/>
    <w:rsid w:val="0057454E"/>
    <w:rsid w:val="0057492B"/>
    <w:rsid w:val="005758C8"/>
    <w:rsid w:val="00575D4F"/>
    <w:rsid w:val="00575F27"/>
    <w:rsid w:val="00576BB2"/>
    <w:rsid w:val="0058036C"/>
    <w:rsid w:val="0058073B"/>
    <w:rsid w:val="00580815"/>
    <w:rsid w:val="00582289"/>
    <w:rsid w:val="0058363F"/>
    <w:rsid w:val="00584CB9"/>
    <w:rsid w:val="00585BD9"/>
    <w:rsid w:val="005861CE"/>
    <w:rsid w:val="00587B74"/>
    <w:rsid w:val="00591696"/>
    <w:rsid w:val="00593FF1"/>
    <w:rsid w:val="00594648"/>
    <w:rsid w:val="00594E77"/>
    <w:rsid w:val="0059623B"/>
    <w:rsid w:val="00596D1D"/>
    <w:rsid w:val="00597A54"/>
    <w:rsid w:val="005A1839"/>
    <w:rsid w:val="005A2923"/>
    <w:rsid w:val="005A3759"/>
    <w:rsid w:val="005A44D9"/>
    <w:rsid w:val="005A4E8C"/>
    <w:rsid w:val="005A5826"/>
    <w:rsid w:val="005A6ADE"/>
    <w:rsid w:val="005B15DD"/>
    <w:rsid w:val="005B3D45"/>
    <w:rsid w:val="005B528C"/>
    <w:rsid w:val="005B78C4"/>
    <w:rsid w:val="005C2527"/>
    <w:rsid w:val="005C2BD8"/>
    <w:rsid w:val="005C373B"/>
    <w:rsid w:val="005C3DD2"/>
    <w:rsid w:val="005C4AAA"/>
    <w:rsid w:val="005C610A"/>
    <w:rsid w:val="005D1442"/>
    <w:rsid w:val="005D1922"/>
    <w:rsid w:val="005D22EB"/>
    <w:rsid w:val="005D2788"/>
    <w:rsid w:val="005D4281"/>
    <w:rsid w:val="005D6E32"/>
    <w:rsid w:val="005E06D4"/>
    <w:rsid w:val="005E0726"/>
    <w:rsid w:val="005E1521"/>
    <w:rsid w:val="005E29DB"/>
    <w:rsid w:val="005E3768"/>
    <w:rsid w:val="005E448D"/>
    <w:rsid w:val="005F064D"/>
    <w:rsid w:val="005F512E"/>
    <w:rsid w:val="005F5A21"/>
    <w:rsid w:val="005F5CA8"/>
    <w:rsid w:val="005F6A04"/>
    <w:rsid w:val="00600458"/>
    <w:rsid w:val="0060118D"/>
    <w:rsid w:val="0060281B"/>
    <w:rsid w:val="0060369E"/>
    <w:rsid w:val="00603824"/>
    <w:rsid w:val="0060530E"/>
    <w:rsid w:val="00605D75"/>
    <w:rsid w:val="006073B5"/>
    <w:rsid w:val="00610AA5"/>
    <w:rsid w:val="00610CE1"/>
    <w:rsid w:val="006113D8"/>
    <w:rsid w:val="006114BA"/>
    <w:rsid w:val="00612C6B"/>
    <w:rsid w:val="00613B7A"/>
    <w:rsid w:val="006151E3"/>
    <w:rsid w:val="00616232"/>
    <w:rsid w:val="00620850"/>
    <w:rsid w:val="00620DB5"/>
    <w:rsid w:val="00621A59"/>
    <w:rsid w:val="0062201A"/>
    <w:rsid w:val="006225AC"/>
    <w:rsid w:val="006230A9"/>
    <w:rsid w:val="00623799"/>
    <w:rsid w:val="00624D32"/>
    <w:rsid w:val="006273ED"/>
    <w:rsid w:val="006276BF"/>
    <w:rsid w:val="00627DA2"/>
    <w:rsid w:val="00630C84"/>
    <w:rsid w:val="0063256A"/>
    <w:rsid w:val="006326D0"/>
    <w:rsid w:val="00634EB5"/>
    <w:rsid w:val="0063516D"/>
    <w:rsid w:val="00635AE1"/>
    <w:rsid w:val="00635DA6"/>
    <w:rsid w:val="006416B8"/>
    <w:rsid w:val="006428D4"/>
    <w:rsid w:val="0064349A"/>
    <w:rsid w:val="00643E46"/>
    <w:rsid w:val="006466B3"/>
    <w:rsid w:val="0064692D"/>
    <w:rsid w:val="00646FCC"/>
    <w:rsid w:val="0064750C"/>
    <w:rsid w:val="00651603"/>
    <w:rsid w:val="00651F0A"/>
    <w:rsid w:val="006538FE"/>
    <w:rsid w:val="006540C5"/>
    <w:rsid w:val="0065415A"/>
    <w:rsid w:val="006543FB"/>
    <w:rsid w:val="006549F5"/>
    <w:rsid w:val="00655505"/>
    <w:rsid w:val="00655AA7"/>
    <w:rsid w:val="00655F80"/>
    <w:rsid w:val="00656541"/>
    <w:rsid w:val="00657F05"/>
    <w:rsid w:val="00660216"/>
    <w:rsid w:val="006609B7"/>
    <w:rsid w:val="00661A3F"/>
    <w:rsid w:val="006621E9"/>
    <w:rsid w:val="00662904"/>
    <w:rsid w:val="00664A57"/>
    <w:rsid w:val="00664C73"/>
    <w:rsid w:val="00665CED"/>
    <w:rsid w:val="00665F1F"/>
    <w:rsid w:val="00667500"/>
    <w:rsid w:val="00671405"/>
    <w:rsid w:val="00671999"/>
    <w:rsid w:val="006739D3"/>
    <w:rsid w:val="006764EA"/>
    <w:rsid w:val="00677DDE"/>
    <w:rsid w:val="00680B65"/>
    <w:rsid w:val="00681287"/>
    <w:rsid w:val="006815A6"/>
    <w:rsid w:val="00681FD9"/>
    <w:rsid w:val="0068285E"/>
    <w:rsid w:val="00684EF6"/>
    <w:rsid w:val="006856E2"/>
    <w:rsid w:val="00685D49"/>
    <w:rsid w:val="00690E46"/>
    <w:rsid w:val="00692736"/>
    <w:rsid w:val="00693743"/>
    <w:rsid w:val="00693995"/>
    <w:rsid w:val="00693C61"/>
    <w:rsid w:val="0069445B"/>
    <w:rsid w:val="00695397"/>
    <w:rsid w:val="0069562F"/>
    <w:rsid w:val="00695D4A"/>
    <w:rsid w:val="006A177A"/>
    <w:rsid w:val="006A1A5D"/>
    <w:rsid w:val="006A1EFE"/>
    <w:rsid w:val="006A3267"/>
    <w:rsid w:val="006A4533"/>
    <w:rsid w:val="006A5968"/>
    <w:rsid w:val="006A5B74"/>
    <w:rsid w:val="006A5F8B"/>
    <w:rsid w:val="006A600F"/>
    <w:rsid w:val="006A6AC6"/>
    <w:rsid w:val="006A7387"/>
    <w:rsid w:val="006B1A6D"/>
    <w:rsid w:val="006B2411"/>
    <w:rsid w:val="006B2B00"/>
    <w:rsid w:val="006B2FA8"/>
    <w:rsid w:val="006B3210"/>
    <w:rsid w:val="006B3E08"/>
    <w:rsid w:val="006B49AE"/>
    <w:rsid w:val="006B529B"/>
    <w:rsid w:val="006C1901"/>
    <w:rsid w:val="006C34BE"/>
    <w:rsid w:val="006C3BAF"/>
    <w:rsid w:val="006C4536"/>
    <w:rsid w:val="006C46F3"/>
    <w:rsid w:val="006C47D6"/>
    <w:rsid w:val="006C4D4E"/>
    <w:rsid w:val="006C51E2"/>
    <w:rsid w:val="006C5247"/>
    <w:rsid w:val="006C588E"/>
    <w:rsid w:val="006C5BBC"/>
    <w:rsid w:val="006C62F8"/>
    <w:rsid w:val="006C6723"/>
    <w:rsid w:val="006C71BB"/>
    <w:rsid w:val="006D071F"/>
    <w:rsid w:val="006D09D1"/>
    <w:rsid w:val="006D1276"/>
    <w:rsid w:val="006D13C4"/>
    <w:rsid w:val="006D1E5C"/>
    <w:rsid w:val="006D2C14"/>
    <w:rsid w:val="006D3945"/>
    <w:rsid w:val="006D4C15"/>
    <w:rsid w:val="006D7692"/>
    <w:rsid w:val="006D7E62"/>
    <w:rsid w:val="006E168F"/>
    <w:rsid w:val="006E1753"/>
    <w:rsid w:val="006E3BF0"/>
    <w:rsid w:val="006E4E29"/>
    <w:rsid w:val="006E5D2E"/>
    <w:rsid w:val="006E670A"/>
    <w:rsid w:val="006E6D76"/>
    <w:rsid w:val="006E7C3B"/>
    <w:rsid w:val="006E7C63"/>
    <w:rsid w:val="006F04B0"/>
    <w:rsid w:val="006F15E9"/>
    <w:rsid w:val="006F252A"/>
    <w:rsid w:val="006F27FC"/>
    <w:rsid w:val="006F3153"/>
    <w:rsid w:val="006F4330"/>
    <w:rsid w:val="006F4B6F"/>
    <w:rsid w:val="006F4F6D"/>
    <w:rsid w:val="006F5DDB"/>
    <w:rsid w:val="006F6668"/>
    <w:rsid w:val="0070008A"/>
    <w:rsid w:val="007021FA"/>
    <w:rsid w:val="00702F04"/>
    <w:rsid w:val="0070357F"/>
    <w:rsid w:val="00703BA9"/>
    <w:rsid w:val="00703DA7"/>
    <w:rsid w:val="00703E05"/>
    <w:rsid w:val="00704A16"/>
    <w:rsid w:val="00704D35"/>
    <w:rsid w:val="00704DCD"/>
    <w:rsid w:val="00705178"/>
    <w:rsid w:val="00705262"/>
    <w:rsid w:val="00705CA5"/>
    <w:rsid w:val="0070653C"/>
    <w:rsid w:val="00706ED7"/>
    <w:rsid w:val="0071027F"/>
    <w:rsid w:val="00710289"/>
    <w:rsid w:val="00712396"/>
    <w:rsid w:val="00712901"/>
    <w:rsid w:val="00713444"/>
    <w:rsid w:val="0071374E"/>
    <w:rsid w:val="007138BC"/>
    <w:rsid w:val="00714B6A"/>
    <w:rsid w:val="00716D0A"/>
    <w:rsid w:val="00717AF6"/>
    <w:rsid w:val="00717C76"/>
    <w:rsid w:val="00720157"/>
    <w:rsid w:val="00720579"/>
    <w:rsid w:val="00720848"/>
    <w:rsid w:val="00720E55"/>
    <w:rsid w:val="00721ECF"/>
    <w:rsid w:val="00722D13"/>
    <w:rsid w:val="007230FE"/>
    <w:rsid w:val="00725BEA"/>
    <w:rsid w:val="00725F7C"/>
    <w:rsid w:val="00726409"/>
    <w:rsid w:val="00726EF4"/>
    <w:rsid w:val="007306D1"/>
    <w:rsid w:val="007308C0"/>
    <w:rsid w:val="00730BE2"/>
    <w:rsid w:val="00732046"/>
    <w:rsid w:val="007335EB"/>
    <w:rsid w:val="007337E0"/>
    <w:rsid w:val="007344C3"/>
    <w:rsid w:val="00734F8A"/>
    <w:rsid w:val="00736C31"/>
    <w:rsid w:val="0073735A"/>
    <w:rsid w:val="007377A9"/>
    <w:rsid w:val="0074239D"/>
    <w:rsid w:val="00742CE1"/>
    <w:rsid w:val="0074372C"/>
    <w:rsid w:val="00744C7C"/>
    <w:rsid w:val="00745862"/>
    <w:rsid w:val="00745CB6"/>
    <w:rsid w:val="0074623E"/>
    <w:rsid w:val="00746657"/>
    <w:rsid w:val="0074687F"/>
    <w:rsid w:val="00746973"/>
    <w:rsid w:val="00747C4D"/>
    <w:rsid w:val="00751055"/>
    <w:rsid w:val="007517A4"/>
    <w:rsid w:val="00754340"/>
    <w:rsid w:val="007552DD"/>
    <w:rsid w:val="0075585E"/>
    <w:rsid w:val="00755A77"/>
    <w:rsid w:val="00757985"/>
    <w:rsid w:val="00762EEA"/>
    <w:rsid w:val="007631D1"/>
    <w:rsid w:val="007635AC"/>
    <w:rsid w:val="007673DE"/>
    <w:rsid w:val="0077049B"/>
    <w:rsid w:val="00772458"/>
    <w:rsid w:val="0077258E"/>
    <w:rsid w:val="007733DB"/>
    <w:rsid w:val="00775812"/>
    <w:rsid w:val="00781368"/>
    <w:rsid w:val="00781AFB"/>
    <w:rsid w:val="00782461"/>
    <w:rsid w:val="0078261F"/>
    <w:rsid w:val="007833DA"/>
    <w:rsid w:val="00783492"/>
    <w:rsid w:val="00784522"/>
    <w:rsid w:val="0078470A"/>
    <w:rsid w:val="007848A5"/>
    <w:rsid w:val="00784C15"/>
    <w:rsid w:val="0078583D"/>
    <w:rsid w:val="00785939"/>
    <w:rsid w:val="00785D73"/>
    <w:rsid w:val="00786FA8"/>
    <w:rsid w:val="00787AF1"/>
    <w:rsid w:val="0079132B"/>
    <w:rsid w:val="00791ACD"/>
    <w:rsid w:val="0079360E"/>
    <w:rsid w:val="00793C13"/>
    <w:rsid w:val="00794794"/>
    <w:rsid w:val="00794E70"/>
    <w:rsid w:val="00795245"/>
    <w:rsid w:val="00795AF3"/>
    <w:rsid w:val="007963EA"/>
    <w:rsid w:val="007969E6"/>
    <w:rsid w:val="00796DA1"/>
    <w:rsid w:val="007A2C57"/>
    <w:rsid w:val="007A3440"/>
    <w:rsid w:val="007A34B3"/>
    <w:rsid w:val="007A392A"/>
    <w:rsid w:val="007B1039"/>
    <w:rsid w:val="007B1644"/>
    <w:rsid w:val="007B1FB0"/>
    <w:rsid w:val="007B2D1D"/>
    <w:rsid w:val="007B33F8"/>
    <w:rsid w:val="007B3B6F"/>
    <w:rsid w:val="007B3F3D"/>
    <w:rsid w:val="007B413B"/>
    <w:rsid w:val="007B4E54"/>
    <w:rsid w:val="007B4FD7"/>
    <w:rsid w:val="007B5461"/>
    <w:rsid w:val="007B6474"/>
    <w:rsid w:val="007B7F0F"/>
    <w:rsid w:val="007C042F"/>
    <w:rsid w:val="007C12D9"/>
    <w:rsid w:val="007C19EC"/>
    <w:rsid w:val="007C342D"/>
    <w:rsid w:val="007C3C7F"/>
    <w:rsid w:val="007C51EB"/>
    <w:rsid w:val="007C60E2"/>
    <w:rsid w:val="007C7435"/>
    <w:rsid w:val="007D10FF"/>
    <w:rsid w:val="007D158A"/>
    <w:rsid w:val="007D5B1C"/>
    <w:rsid w:val="007D6D87"/>
    <w:rsid w:val="007D6FD6"/>
    <w:rsid w:val="007D79A7"/>
    <w:rsid w:val="007E02B4"/>
    <w:rsid w:val="007E0ADA"/>
    <w:rsid w:val="007E15CF"/>
    <w:rsid w:val="007E1DB4"/>
    <w:rsid w:val="007E2483"/>
    <w:rsid w:val="007E42FE"/>
    <w:rsid w:val="007E44BD"/>
    <w:rsid w:val="007E5866"/>
    <w:rsid w:val="007F07AF"/>
    <w:rsid w:val="007F2A44"/>
    <w:rsid w:val="007F2C43"/>
    <w:rsid w:val="007F6E2B"/>
    <w:rsid w:val="007F6FA4"/>
    <w:rsid w:val="007F7699"/>
    <w:rsid w:val="007F773D"/>
    <w:rsid w:val="008003C8"/>
    <w:rsid w:val="00802118"/>
    <w:rsid w:val="00802AF2"/>
    <w:rsid w:val="00804065"/>
    <w:rsid w:val="008047DD"/>
    <w:rsid w:val="008058A3"/>
    <w:rsid w:val="0080611B"/>
    <w:rsid w:val="00806213"/>
    <w:rsid w:val="0081164C"/>
    <w:rsid w:val="008120D0"/>
    <w:rsid w:val="008121D7"/>
    <w:rsid w:val="00812B80"/>
    <w:rsid w:val="008130D4"/>
    <w:rsid w:val="008159D4"/>
    <w:rsid w:val="00815C12"/>
    <w:rsid w:val="008168A2"/>
    <w:rsid w:val="00820421"/>
    <w:rsid w:val="008213E7"/>
    <w:rsid w:val="00821687"/>
    <w:rsid w:val="0082217D"/>
    <w:rsid w:val="00822A40"/>
    <w:rsid w:val="008236C7"/>
    <w:rsid w:val="00823E67"/>
    <w:rsid w:val="00826045"/>
    <w:rsid w:val="008275EB"/>
    <w:rsid w:val="008300D1"/>
    <w:rsid w:val="008307DB"/>
    <w:rsid w:val="00830A48"/>
    <w:rsid w:val="00833331"/>
    <w:rsid w:val="00833C36"/>
    <w:rsid w:val="00834B96"/>
    <w:rsid w:val="00836409"/>
    <w:rsid w:val="00836415"/>
    <w:rsid w:val="00836B47"/>
    <w:rsid w:val="00840743"/>
    <w:rsid w:val="00840A53"/>
    <w:rsid w:val="008427B3"/>
    <w:rsid w:val="008428A1"/>
    <w:rsid w:val="008450E0"/>
    <w:rsid w:val="0085047D"/>
    <w:rsid w:val="00851019"/>
    <w:rsid w:val="008524EA"/>
    <w:rsid w:val="0085263B"/>
    <w:rsid w:val="008530B9"/>
    <w:rsid w:val="008537C0"/>
    <w:rsid w:val="0085400A"/>
    <w:rsid w:val="00855167"/>
    <w:rsid w:val="0085577C"/>
    <w:rsid w:val="00857642"/>
    <w:rsid w:val="00857872"/>
    <w:rsid w:val="00857F8E"/>
    <w:rsid w:val="00860759"/>
    <w:rsid w:val="008608F5"/>
    <w:rsid w:val="0086230F"/>
    <w:rsid w:val="0086268A"/>
    <w:rsid w:val="008644EC"/>
    <w:rsid w:val="00864B15"/>
    <w:rsid w:val="00864D3B"/>
    <w:rsid w:val="00864FC0"/>
    <w:rsid w:val="00865C18"/>
    <w:rsid w:val="0086621E"/>
    <w:rsid w:val="0086688E"/>
    <w:rsid w:val="0086717D"/>
    <w:rsid w:val="0087121E"/>
    <w:rsid w:val="00874E9F"/>
    <w:rsid w:val="00876B32"/>
    <w:rsid w:val="00882CB8"/>
    <w:rsid w:val="00884366"/>
    <w:rsid w:val="00884650"/>
    <w:rsid w:val="008851B9"/>
    <w:rsid w:val="00885239"/>
    <w:rsid w:val="00885F50"/>
    <w:rsid w:val="00887314"/>
    <w:rsid w:val="00890EB4"/>
    <w:rsid w:val="00891D35"/>
    <w:rsid w:val="0089232B"/>
    <w:rsid w:val="00893901"/>
    <w:rsid w:val="00894A8B"/>
    <w:rsid w:val="00894D00"/>
    <w:rsid w:val="0089667B"/>
    <w:rsid w:val="0089728F"/>
    <w:rsid w:val="008A0874"/>
    <w:rsid w:val="008A0FF6"/>
    <w:rsid w:val="008A28F5"/>
    <w:rsid w:val="008A344C"/>
    <w:rsid w:val="008A4069"/>
    <w:rsid w:val="008A4089"/>
    <w:rsid w:val="008A51AD"/>
    <w:rsid w:val="008A6A13"/>
    <w:rsid w:val="008A70AE"/>
    <w:rsid w:val="008A75B6"/>
    <w:rsid w:val="008B155B"/>
    <w:rsid w:val="008B2982"/>
    <w:rsid w:val="008B2F05"/>
    <w:rsid w:val="008B456E"/>
    <w:rsid w:val="008B51B9"/>
    <w:rsid w:val="008B5BC6"/>
    <w:rsid w:val="008B6119"/>
    <w:rsid w:val="008B62FA"/>
    <w:rsid w:val="008B7153"/>
    <w:rsid w:val="008C03AD"/>
    <w:rsid w:val="008C08D7"/>
    <w:rsid w:val="008C11EE"/>
    <w:rsid w:val="008C1485"/>
    <w:rsid w:val="008C175C"/>
    <w:rsid w:val="008C2DAF"/>
    <w:rsid w:val="008C3720"/>
    <w:rsid w:val="008C4D41"/>
    <w:rsid w:val="008C668F"/>
    <w:rsid w:val="008D05A7"/>
    <w:rsid w:val="008D1761"/>
    <w:rsid w:val="008D1C71"/>
    <w:rsid w:val="008D2DBA"/>
    <w:rsid w:val="008D530C"/>
    <w:rsid w:val="008D56D1"/>
    <w:rsid w:val="008D638B"/>
    <w:rsid w:val="008D7A23"/>
    <w:rsid w:val="008D7ECE"/>
    <w:rsid w:val="008E01A0"/>
    <w:rsid w:val="008E1BF6"/>
    <w:rsid w:val="008E44FF"/>
    <w:rsid w:val="008E5A58"/>
    <w:rsid w:val="008E5F96"/>
    <w:rsid w:val="008E6750"/>
    <w:rsid w:val="008E6FB7"/>
    <w:rsid w:val="008E7557"/>
    <w:rsid w:val="008E785D"/>
    <w:rsid w:val="008E7FE5"/>
    <w:rsid w:val="008F03D3"/>
    <w:rsid w:val="008F1874"/>
    <w:rsid w:val="008F25DF"/>
    <w:rsid w:val="008F29E0"/>
    <w:rsid w:val="008F302B"/>
    <w:rsid w:val="008F4FCE"/>
    <w:rsid w:val="008F59B3"/>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6F9"/>
    <w:rsid w:val="00923CE8"/>
    <w:rsid w:val="009252D3"/>
    <w:rsid w:val="009256B9"/>
    <w:rsid w:val="00926002"/>
    <w:rsid w:val="009273C9"/>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4B5F"/>
    <w:rsid w:val="0095579C"/>
    <w:rsid w:val="00955D81"/>
    <w:rsid w:val="00956929"/>
    <w:rsid w:val="00956E7E"/>
    <w:rsid w:val="00957D53"/>
    <w:rsid w:val="00961E49"/>
    <w:rsid w:val="0096539B"/>
    <w:rsid w:val="00965AF9"/>
    <w:rsid w:val="00966487"/>
    <w:rsid w:val="009669E3"/>
    <w:rsid w:val="009671DB"/>
    <w:rsid w:val="0096755D"/>
    <w:rsid w:val="00972738"/>
    <w:rsid w:val="009727FE"/>
    <w:rsid w:val="00974C35"/>
    <w:rsid w:val="0097624C"/>
    <w:rsid w:val="00976E81"/>
    <w:rsid w:val="00977159"/>
    <w:rsid w:val="009808B0"/>
    <w:rsid w:val="00980958"/>
    <w:rsid w:val="00983488"/>
    <w:rsid w:val="00983EDB"/>
    <w:rsid w:val="009849EF"/>
    <w:rsid w:val="00984E36"/>
    <w:rsid w:val="0098553B"/>
    <w:rsid w:val="0098586D"/>
    <w:rsid w:val="00986649"/>
    <w:rsid w:val="00987014"/>
    <w:rsid w:val="009871AC"/>
    <w:rsid w:val="00990892"/>
    <w:rsid w:val="00991AA6"/>
    <w:rsid w:val="009927F6"/>
    <w:rsid w:val="009943BE"/>
    <w:rsid w:val="00997443"/>
    <w:rsid w:val="009A0A90"/>
    <w:rsid w:val="009A1BA1"/>
    <w:rsid w:val="009A2A81"/>
    <w:rsid w:val="009A2AFB"/>
    <w:rsid w:val="009A2DE2"/>
    <w:rsid w:val="009A3B62"/>
    <w:rsid w:val="009A3BCF"/>
    <w:rsid w:val="009A3ED4"/>
    <w:rsid w:val="009A4DCC"/>
    <w:rsid w:val="009A56EE"/>
    <w:rsid w:val="009A5C47"/>
    <w:rsid w:val="009A68E7"/>
    <w:rsid w:val="009A6BC5"/>
    <w:rsid w:val="009A7481"/>
    <w:rsid w:val="009A7F29"/>
    <w:rsid w:val="009B0164"/>
    <w:rsid w:val="009B2458"/>
    <w:rsid w:val="009B2B90"/>
    <w:rsid w:val="009B4A92"/>
    <w:rsid w:val="009B4AB7"/>
    <w:rsid w:val="009B4B7B"/>
    <w:rsid w:val="009B4CB6"/>
    <w:rsid w:val="009B52F8"/>
    <w:rsid w:val="009B66C0"/>
    <w:rsid w:val="009B72A1"/>
    <w:rsid w:val="009B74A5"/>
    <w:rsid w:val="009C046E"/>
    <w:rsid w:val="009C0E90"/>
    <w:rsid w:val="009C24F9"/>
    <w:rsid w:val="009C4EC7"/>
    <w:rsid w:val="009C638A"/>
    <w:rsid w:val="009C6931"/>
    <w:rsid w:val="009D0D08"/>
    <w:rsid w:val="009D1437"/>
    <w:rsid w:val="009D2D41"/>
    <w:rsid w:val="009D3650"/>
    <w:rsid w:val="009D3AAC"/>
    <w:rsid w:val="009D5B63"/>
    <w:rsid w:val="009D6B67"/>
    <w:rsid w:val="009D6C48"/>
    <w:rsid w:val="009D7C96"/>
    <w:rsid w:val="009E1679"/>
    <w:rsid w:val="009E1BE9"/>
    <w:rsid w:val="009E2348"/>
    <w:rsid w:val="009E239E"/>
    <w:rsid w:val="009E271D"/>
    <w:rsid w:val="009E362F"/>
    <w:rsid w:val="009E3779"/>
    <w:rsid w:val="009E40DF"/>
    <w:rsid w:val="009E59CA"/>
    <w:rsid w:val="009F0442"/>
    <w:rsid w:val="009F0A6B"/>
    <w:rsid w:val="009F1AEE"/>
    <w:rsid w:val="009F1DB1"/>
    <w:rsid w:val="009F1EA5"/>
    <w:rsid w:val="009F231B"/>
    <w:rsid w:val="009F5E68"/>
    <w:rsid w:val="009F69E5"/>
    <w:rsid w:val="009F7476"/>
    <w:rsid w:val="009F768D"/>
    <w:rsid w:val="00A00770"/>
    <w:rsid w:val="00A00F26"/>
    <w:rsid w:val="00A018F7"/>
    <w:rsid w:val="00A02ABC"/>
    <w:rsid w:val="00A039B4"/>
    <w:rsid w:val="00A03F1A"/>
    <w:rsid w:val="00A049F6"/>
    <w:rsid w:val="00A0555A"/>
    <w:rsid w:val="00A063F2"/>
    <w:rsid w:val="00A0799C"/>
    <w:rsid w:val="00A07D8F"/>
    <w:rsid w:val="00A12531"/>
    <w:rsid w:val="00A1274B"/>
    <w:rsid w:val="00A13511"/>
    <w:rsid w:val="00A13C95"/>
    <w:rsid w:val="00A15615"/>
    <w:rsid w:val="00A16076"/>
    <w:rsid w:val="00A1707A"/>
    <w:rsid w:val="00A215E2"/>
    <w:rsid w:val="00A2164F"/>
    <w:rsid w:val="00A22DCB"/>
    <w:rsid w:val="00A230DB"/>
    <w:rsid w:val="00A23148"/>
    <w:rsid w:val="00A23803"/>
    <w:rsid w:val="00A249F6"/>
    <w:rsid w:val="00A2509D"/>
    <w:rsid w:val="00A250AD"/>
    <w:rsid w:val="00A26704"/>
    <w:rsid w:val="00A27248"/>
    <w:rsid w:val="00A27289"/>
    <w:rsid w:val="00A31528"/>
    <w:rsid w:val="00A321F9"/>
    <w:rsid w:val="00A32786"/>
    <w:rsid w:val="00A33515"/>
    <w:rsid w:val="00A34AEC"/>
    <w:rsid w:val="00A35487"/>
    <w:rsid w:val="00A35AFD"/>
    <w:rsid w:val="00A3659B"/>
    <w:rsid w:val="00A40295"/>
    <w:rsid w:val="00A40731"/>
    <w:rsid w:val="00A40A39"/>
    <w:rsid w:val="00A41FAD"/>
    <w:rsid w:val="00A429D5"/>
    <w:rsid w:val="00A42E39"/>
    <w:rsid w:val="00A433E2"/>
    <w:rsid w:val="00A43BC4"/>
    <w:rsid w:val="00A4470F"/>
    <w:rsid w:val="00A448EF"/>
    <w:rsid w:val="00A4598C"/>
    <w:rsid w:val="00A46087"/>
    <w:rsid w:val="00A47CAB"/>
    <w:rsid w:val="00A510EE"/>
    <w:rsid w:val="00A51638"/>
    <w:rsid w:val="00A52A4E"/>
    <w:rsid w:val="00A5343C"/>
    <w:rsid w:val="00A53441"/>
    <w:rsid w:val="00A55081"/>
    <w:rsid w:val="00A5538B"/>
    <w:rsid w:val="00A56E00"/>
    <w:rsid w:val="00A57359"/>
    <w:rsid w:val="00A57796"/>
    <w:rsid w:val="00A57AB1"/>
    <w:rsid w:val="00A60725"/>
    <w:rsid w:val="00A62901"/>
    <w:rsid w:val="00A634FE"/>
    <w:rsid w:val="00A635D9"/>
    <w:rsid w:val="00A64C8D"/>
    <w:rsid w:val="00A64D9F"/>
    <w:rsid w:val="00A6563F"/>
    <w:rsid w:val="00A6637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813"/>
    <w:rsid w:val="00A77C4C"/>
    <w:rsid w:val="00A8008F"/>
    <w:rsid w:val="00A8092D"/>
    <w:rsid w:val="00A80D3B"/>
    <w:rsid w:val="00A80E74"/>
    <w:rsid w:val="00A851A4"/>
    <w:rsid w:val="00A86BD8"/>
    <w:rsid w:val="00A8787E"/>
    <w:rsid w:val="00A87EDF"/>
    <w:rsid w:val="00A90897"/>
    <w:rsid w:val="00A909E1"/>
    <w:rsid w:val="00A90C67"/>
    <w:rsid w:val="00A90D37"/>
    <w:rsid w:val="00A92B4B"/>
    <w:rsid w:val="00A93509"/>
    <w:rsid w:val="00A935BC"/>
    <w:rsid w:val="00A93B31"/>
    <w:rsid w:val="00A940DD"/>
    <w:rsid w:val="00A95278"/>
    <w:rsid w:val="00A9585F"/>
    <w:rsid w:val="00A96803"/>
    <w:rsid w:val="00AA013D"/>
    <w:rsid w:val="00AA0422"/>
    <w:rsid w:val="00AA1496"/>
    <w:rsid w:val="00AA155D"/>
    <w:rsid w:val="00AA1706"/>
    <w:rsid w:val="00AA3354"/>
    <w:rsid w:val="00AA3D06"/>
    <w:rsid w:val="00AA4899"/>
    <w:rsid w:val="00AA4D37"/>
    <w:rsid w:val="00AA4D66"/>
    <w:rsid w:val="00AA59F2"/>
    <w:rsid w:val="00AA639F"/>
    <w:rsid w:val="00AA6461"/>
    <w:rsid w:val="00AA6CAD"/>
    <w:rsid w:val="00AA753E"/>
    <w:rsid w:val="00AB10AE"/>
    <w:rsid w:val="00AB16AD"/>
    <w:rsid w:val="00AB24CE"/>
    <w:rsid w:val="00AB3CE6"/>
    <w:rsid w:val="00AB3E2B"/>
    <w:rsid w:val="00AB56D4"/>
    <w:rsid w:val="00AB65C7"/>
    <w:rsid w:val="00AB671D"/>
    <w:rsid w:val="00AB6BFE"/>
    <w:rsid w:val="00AB7130"/>
    <w:rsid w:val="00AB7181"/>
    <w:rsid w:val="00AB7311"/>
    <w:rsid w:val="00AB78D0"/>
    <w:rsid w:val="00AC0D42"/>
    <w:rsid w:val="00AC17D2"/>
    <w:rsid w:val="00AC2C30"/>
    <w:rsid w:val="00AC350C"/>
    <w:rsid w:val="00AC3558"/>
    <w:rsid w:val="00AC3A1B"/>
    <w:rsid w:val="00AC46EE"/>
    <w:rsid w:val="00AC5254"/>
    <w:rsid w:val="00AC701A"/>
    <w:rsid w:val="00AC74A3"/>
    <w:rsid w:val="00AC7DAD"/>
    <w:rsid w:val="00AD02BB"/>
    <w:rsid w:val="00AD0393"/>
    <w:rsid w:val="00AD11DB"/>
    <w:rsid w:val="00AD2E2E"/>
    <w:rsid w:val="00AD344D"/>
    <w:rsid w:val="00AD3F55"/>
    <w:rsid w:val="00AD49BE"/>
    <w:rsid w:val="00AD4CFD"/>
    <w:rsid w:val="00AD53F5"/>
    <w:rsid w:val="00AD5E7B"/>
    <w:rsid w:val="00AD7989"/>
    <w:rsid w:val="00AD7FC0"/>
    <w:rsid w:val="00AE00E2"/>
    <w:rsid w:val="00AE0945"/>
    <w:rsid w:val="00AE0BFC"/>
    <w:rsid w:val="00AE134F"/>
    <w:rsid w:val="00AE1705"/>
    <w:rsid w:val="00AE1A08"/>
    <w:rsid w:val="00AE1BBA"/>
    <w:rsid w:val="00AE3B57"/>
    <w:rsid w:val="00AE43A3"/>
    <w:rsid w:val="00AE4BA3"/>
    <w:rsid w:val="00AE6BE0"/>
    <w:rsid w:val="00AE722F"/>
    <w:rsid w:val="00AE7422"/>
    <w:rsid w:val="00AE7CD5"/>
    <w:rsid w:val="00AE7E8A"/>
    <w:rsid w:val="00AF317D"/>
    <w:rsid w:val="00AF32D8"/>
    <w:rsid w:val="00AF3F64"/>
    <w:rsid w:val="00AF40CA"/>
    <w:rsid w:val="00AF4377"/>
    <w:rsid w:val="00AF4C64"/>
    <w:rsid w:val="00AF5133"/>
    <w:rsid w:val="00AF70FF"/>
    <w:rsid w:val="00B00A76"/>
    <w:rsid w:val="00B01BE5"/>
    <w:rsid w:val="00B02385"/>
    <w:rsid w:val="00B0355A"/>
    <w:rsid w:val="00B03878"/>
    <w:rsid w:val="00B05D4A"/>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42F6"/>
    <w:rsid w:val="00B24591"/>
    <w:rsid w:val="00B263E1"/>
    <w:rsid w:val="00B2793E"/>
    <w:rsid w:val="00B3022C"/>
    <w:rsid w:val="00B30D3F"/>
    <w:rsid w:val="00B31D9A"/>
    <w:rsid w:val="00B32ABD"/>
    <w:rsid w:val="00B32E35"/>
    <w:rsid w:val="00B33B37"/>
    <w:rsid w:val="00B3470F"/>
    <w:rsid w:val="00B34CBA"/>
    <w:rsid w:val="00B35017"/>
    <w:rsid w:val="00B374E5"/>
    <w:rsid w:val="00B3764A"/>
    <w:rsid w:val="00B37AA5"/>
    <w:rsid w:val="00B41FA0"/>
    <w:rsid w:val="00B42826"/>
    <w:rsid w:val="00B430FA"/>
    <w:rsid w:val="00B43982"/>
    <w:rsid w:val="00B44A0E"/>
    <w:rsid w:val="00B459AF"/>
    <w:rsid w:val="00B459CF"/>
    <w:rsid w:val="00B475B6"/>
    <w:rsid w:val="00B54BB5"/>
    <w:rsid w:val="00B55869"/>
    <w:rsid w:val="00B55ADD"/>
    <w:rsid w:val="00B567F1"/>
    <w:rsid w:val="00B569FA"/>
    <w:rsid w:val="00B571D3"/>
    <w:rsid w:val="00B60957"/>
    <w:rsid w:val="00B60D49"/>
    <w:rsid w:val="00B60E2D"/>
    <w:rsid w:val="00B62F97"/>
    <w:rsid w:val="00B635A5"/>
    <w:rsid w:val="00B63AF5"/>
    <w:rsid w:val="00B63BE5"/>
    <w:rsid w:val="00B644BE"/>
    <w:rsid w:val="00B644C6"/>
    <w:rsid w:val="00B64CAA"/>
    <w:rsid w:val="00B66D36"/>
    <w:rsid w:val="00B7272B"/>
    <w:rsid w:val="00B72C2F"/>
    <w:rsid w:val="00B732FB"/>
    <w:rsid w:val="00B7342D"/>
    <w:rsid w:val="00B73BCE"/>
    <w:rsid w:val="00B73E48"/>
    <w:rsid w:val="00B7490A"/>
    <w:rsid w:val="00B74F73"/>
    <w:rsid w:val="00B75734"/>
    <w:rsid w:val="00B759EC"/>
    <w:rsid w:val="00B75C0E"/>
    <w:rsid w:val="00B75D6F"/>
    <w:rsid w:val="00B75F96"/>
    <w:rsid w:val="00B76143"/>
    <w:rsid w:val="00B773AD"/>
    <w:rsid w:val="00B774F6"/>
    <w:rsid w:val="00B778CB"/>
    <w:rsid w:val="00B809D9"/>
    <w:rsid w:val="00B8168B"/>
    <w:rsid w:val="00B823D9"/>
    <w:rsid w:val="00B824F8"/>
    <w:rsid w:val="00B83072"/>
    <w:rsid w:val="00B8362D"/>
    <w:rsid w:val="00B8368B"/>
    <w:rsid w:val="00B83A9E"/>
    <w:rsid w:val="00B83FA9"/>
    <w:rsid w:val="00B84CF0"/>
    <w:rsid w:val="00B86F52"/>
    <w:rsid w:val="00B878F5"/>
    <w:rsid w:val="00B90E37"/>
    <w:rsid w:val="00B91893"/>
    <w:rsid w:val="00B926BD"/>
    <w:rsid w:val="00B92DE8"/>
    <w:rsid w:val="00B93540"/>
    <w:rsid w:val="00B9366F"/>
    <w:rsid w:val="00B93D8F"/>
    <w:rsid w:val="00B96A32"/>
    <w:rsid w:val="00B9727C"/>
    <w:rsid w:val="00B9799D"/>
    <w:rsid w:val="00BA1322"/>
    <w:rsid w:val="00BA1A63"/>
    <w:rsid w:val="00BA25FD"/>
    <w:rsid w:val="00BA2D85"/>
    <w:rsid w:val="00BA3AA7"/>
    <w:rsid w:val="00BA3C3F"/>
    <w:rsid w:val="00BA5CEA"/>
    <w:rsid w:val="00BA5F88"/>
    <w:rsid w:val="00BA690D"/>
    <w:rsid w:val="00BA74D2"/>
    <w:rsid w:val="00BA7612"/>
    <w:rsid w:val="00BA7773"/>
    <w:rsid w:val="00BB1D36"/>
    <w:rsid w:val="00BB2E03"/>
    <w:rsid w:val="00BB3631"/>
    <w:rsid w:val="00BB3FF6"/>
    <w:rsid w:val="00BB5630"/>
    <w:rsid w:val="00BB6BE1"/>
    <w:rsid w:val="00BC3134"/>
    <w:rsid w:val="00BC392E"/>
    <w:rsid w:val="00BC3F30"/>
    <w:rsid w:val="00BC542C"/>
    <w:rsid w:val="00BC60A6"/>
    <w:rsid w:val="00BC62E0"/>
    <w:rsid w:val="00BC6EEE"/>
    <w:rsid w:val="00BC6FBF"/>
    <w:rsid w:val="00BD00D9"/>
    <w:rsid w:val="00BD065C"/>
    <w:rsid w:val="00BD08F8"/>
    <w:rsid w:val="00BD1886"/>
    <w:rsid w:val="00BD23E3"/>
    <w:rsid w:val="00BD316F"/>
    <w:rsid w:val="00BD40BC"/>
    <w:rsid w:val="00BD6234"/>
    <w:rsid w:val="00BE0437"/>
    <w:rsid w:val="00BE04F6"/>
    <w:rsid w:val="00BE107D"/>
    <w:rsid w:val="00BE2D6C"/>
    <w:rsid w:val="00BE34D0"/>
    <w:rsid w:val="00BE4C2B"/>
    <w:rsid w:val="00BE52CA"/>
    <w:rsid w:val="00BE5D1C"/>
    <w:rsid w:val="00BE701E"/>
    <w:rsid w:val="00BE7640"/>
    <w:rsid w:val="00BF0242"/>
    <w:rsid w:val="00BF0AE5"/>
    <w:rsid w:val="00BF144D"/>
    <w:rsid w:val="00BF214A"/>
    <w:rsid w:val="00BF2D44"/>
    <w:rsid w:val="00BF35B4"/>
    <w:rsid w:val="00BF377B"/>
    <w:rsid w:val="00BF3E1B"/>
    <w:rsid w:val="00BF635B"/>
    <w:rsid w:val="00BF7D51"/>
    <w:rsid w:val="00C00699"/>
    <w:rsid w:val="00C01975"/>
    <w:rsid w:val="00C02723"/>
    <w:rsid w:val="00C02A91"/>
    <w:rsid w:val="00C04960"/>
    <w:rsid w:val="00C05ABD"/>
    <w:rsid w:val="00C06163"/>
    <w:rsid w:val="00C10713"/>
    <w:rsid w:val="00C10E6A"/>
    <w:rsid w:val="00C11061"/>
    <w:rsid w:val="00C1120E"/>
    <w:rsid w:val="00C11391"/>
    <w:rsid w:val="00C114A8"/>
    <w:rsid w:val="00C12744"/>
    <w:rsid w:val="00C12EC0"/>
    <w:rsid w:val="00C1324E"/>
    <w:rsid w:val="00C138A5"/>
    <w:rsid w:val="00C14B96"/>
    <w:rsid w:val="00C158D4"/>
    <w:rsid w:val="00C16854"/>
    <w:rsid w:val="00C17BBA"/>
    <w:rsid w:val="00C211F9"/>
    <w:rsid w:val="00C2161C"/>
    <w:rsid w:val="00C22F92"/>
    <w:rsid w:val="00C238EE"/>
    <w:rsid w:val="00C23A5B"/>
    <w:rsid w:val="00C25927"/>
    <w:rsid w:val="00C27126"/>
    <w:rsid w:val="00C273D7"/>
    <w:rsid w:val="00C2755A"/>
    <w:rsid w:val="00C3028D"/>
    <w:rsid w:val="00C30436"/>
    <w:rsid w:val="00C30FD6"/>
    <w:rsid w:val="00C310B8"/>
    <w:rsid w:val="00C3167F"/>
    <w:rsid w:val="00C31DBD"/>
    <w:rsid w:val="00C32633"/>
    <w:rsid w:val="00C3305D"/>
    <w:rsid w:val="00C3343C"/>
    <w:rsid w:val="00C3343E"/>
    <w:rsid w:val="00C3643C"/>
    <w:rsid w:val="00C36C29"/>
    <w:rsid w:val="00C41646"/>
    <w:rsid w:val="00C42CA8"/>
    <w:rsid w:val="00C4383B"/>
    <w:rsid w:val="00C45EF9"/>
    <w:rsid w:val="00C4601A"/>
    <w:rsid w:val="00C46E7A"/>
    <w:rsid w:val="00C478FE"/>
    <w:rsid w:val="00C47DC9"/>
    <w:rsid w:val="00C502DD"/>
    <w:rsid w:val="00C53620"/>
    <w:rsid w:val="00C54380"/>
    <w:rsid w:val="00C57E9A"/>
    <w:rsid w:val="00C6076A"/>
    <w:rsid w:val="00C613E2"/>
    <w:rsid w:val="00C621E3"/>
    <w:rsid w:val="00C6430C"/>
    <w:rsid w:val="00C64E24"/>
    <w:rsid w:val="00C65047"/>
    <w:rsid w:val="00C653CC"/>
    <w:rsid w:val="00C65B4D"/>
    <w:rsid w:val="00C665D4"/>
    <w:rsid w:val="00C67E56"/>
    <w:rsid w:val="00C70BD8"/>
    <w:rsid w:val="00C7308A"/>
    <w:rsid w:val="00C73CE1"/>
    <w:rsid w:val="00C74775"/>
    <w:rsid w:val="00C76F9B"/>
    <w:rsid w:val="00C77064"/>
    <w:rsid w:val="00C77955"/>
    <w:rsid w:val="00C80AB6"/>
    <w:rsid w:val="00C824FE"/>
    <w:rsid w:val="00C833D6"/>
    <w:rsid w:val="00C84CDE"/>
    <w:rsid w:val="00C85A51"/>
    <w:rsid w:val="00C871AE"/>
    <w:rsid w:val="00C8762A"/>
    <w:rsid w:val="00C9050E"/>
    <w:rsid w:val="00C91E82"/>
    <w:rsid w:val="00C9216F"/>
    <w:rsid w:val="00C9306D"/>
    <w:rsid w:val="00C93320"/>
    <w:rsid w:val="00C95318"/>
    <w:rsid w:val="00C95A99"/>
    <w:rsid w:val="00C96B98"/>
    <w:rsid w:val="00C96F6B"/>
    <w:rsid w:val="00C97ED3"/>
    <w:rsid w:val="00CA043D"/>
    <w:rsid w:val="00CA069B"/>
    <w:rsid w:val="00CA0733"/>
    <w:rsid w:val="00CA09C4"/>
    <w:rsid w:val="00CA27F9"/>
    <w:rsid w:val="00CA28AD"/>
    <w:rsid w:val="00CA4F28"/>
    <w:rsid w:val="00CA506C"/>
    <w:rsid w:val="00CA5B6B"/>
    <w:rsid w:val="00CA7388"/>
    <w:rsid w:val="00CA78AC"/>
    <w:rsid w:val="00CB067C"/>
    <w:rsid w:val="00CB15CA"/>
    <w:rsid w:val="00CB2317"/>
    <w:rsid w:val="00CB26B3"/>
    <w:rsid w:val="00CB3B7D"/>
    <w:rsid w:val="00CB4DC8"/>
    <w:rsid w:val="00CB51F5"/>
    <w:rsid w:val="00CB687E"/>
    <w:rsid w:val="00CC0250"/>
    <w:rsid w:val="00CC074E"/>
    <w:rsid w:val="00CC1659"/>
    <w:rsid w:val="00CC3092"/>
    <w:rsid w:val="00CC30C3"/>
    <w:rsid w:val="00CC363A"/>
    <w:rsid w:val="00CC3D4E"/>
    <w:rsid w:val="00CC4003"/>
    <w:rsid w:val="00CC5645"/>
    <w:rsid w:val="00CC74BD"/>
    <w:rsid w:val="00CD0768"/>
    <w:rsid w:val="00CD1399"/>
    <w:rsid w:val="00CD3CC4"/>
    <w:rsid w:val="00CD788F"/>
    <w:rsid w:val="00CE047D"/>
    <w:rsid w:val="00CE1017"/>
    <w:rsid w:val="00CE358A"/>
    <w:rsid w:val="00CE373E"/>
    <w:rsid w:val="00CE41EE"/>
    <w:rsid w:val="00CE43AF"/>
    <w:rsid w:val="00CE577D"/>
    <w:rsid w:val="00CE60AF"/>
    <w:rsid w:val="00CE665D"/>
    <w:rsid w:val="00CE6758"/>
    <w:rsid w:val="00CE7731"/>
    <w:rsid w:val="00CF096F"/>
    <w:rsid w:val="00CF1226"/>
    <w:rsid w:val="00CF329F"/>
    <w:rsid w:val="00CF41EA"/>
    <w:rsid w:val="00CF6106"/>
    <w:rsid w:val="00CF6159"/>
    <w:rsid w:val="00CF6A79"/>
    <w:rsid w:val="00CF73D7"/>
    <w:rsid w:val="00CF7A4F"/>
    <w:rsid w:val="00D00625"/>
    <w:rsid w:val="00D00AAE"/>
    <w:rsid w:val="00D00F4A"/>
    <w:rsid w:val="00D019F2"/>
    <w:rsid w:val="00D02D5A"/>
    <w:rsid w:val="00D033B1"/>
    <w:rsid w:val="00D03B9D"/>
    <w:rsid w:val="00D0498A"/>
    <w:rsid w:val="00D065E6"/>
    <w:rsid w:val="00D06F2D"/>
    <w:rsid w:val="00D07B74"/>
    <w:rsid w:val="00D10843"/>
    <w:rsid w:val="00D11601"/>
    <w:rsid w:val="00D11B6A"/>
    <w:rsid w:val="00D13661"/>
    <w:rsid w:val="00D13B2D"/>
    <w:rsid w:val="00D1514D"/>
    <w:rsid w:val="00D154A5"/>
    <w:rsid w:val="00D15660"/>
    <w:rsid w:val="00D16E7D"/>
    <w:rsid w:val="00D176A2"/>
    <w:rsid w:val="00D17731"/>
    <w:rsid w:val="00D20E86"/>
    <w:rsid w:val="00D20FB3"/>
    <w:rsid w:val="00D21DFB"/>
    <w:rsid w:val="00D227C4"/>
    <w:rsid w:val="00D23048"/>
    <w:rsid w:val="00D23374"/>
    <w:rsid w:val="00D2352A"/>
    <w:rsid w:val="00D23DD0"/>
    <w:rsid w:val="00D2402B"/>
    <w:rsid w:val="00D24DA7"/>
    <w:rsid w:val="00D251C3"/>
    <w:rsid w:val="00D266D5"/>
    <w:rsid w:val="00D26CB5"/>
    <w:rsid w:val="00D27AD9"/>
    <w:rsid w:val="00D27EA0"/>
    <w:rsid w:val="00D313BB"/>
    <w:rsid w:val="00D31593"/>
    <w:rsid w:val="00D33231"/>
    <w:rsid w:val="00D36240"/>
    <w:rsid w:val="00D36D3E"/>
    <w:rsid w:val="00D36DB7"/>
    <w:rsid w:val="00D3778A"/>
    <w:rsid w:val="00D40AF9"/>
    <w:rsid w:val="00D40E5E"/>
    <w:rsid w:val="00D41165"/>
    <w:rsid w:val="00D4138D"/>
    <w:rsid w:val="00D41493"/>
    <w:rsid w:val="00D4152F"/>
    <w:rsid w:val="00D42516"/>
    <w:rsid w:val="00D438DC"/>
    <w:rsid w:val="00D43EF1"/>
    <w:rsid w:val="00D43F6F"/>
    <w:rsid w:val="00D44015"/>
    <w:rsid w:val="00D443EF"/>
    <w:rsid w:val="00D46755"/>
    <w:rsid w:val="00D46CFF"/>
    <w:rsid w:val="00D46FBF"/>
    <w:rsid w:val="00D47A7B"/>
    <w:rsid w:val="00D47BB6"/>
    <w:rsid w:val="00D54C37"/>
    <w:rsid w:val="00D5779A"/>
    <w:rsid w:val="00D57DB5"/>
    <w:rsid w:val="00D62214"/>
    <w:rsid w:val="00D62ADB"/>
    <w:rsid w:val="00D632D1"/>
    <w:rsid w:val="00D64B7A"/>
    <w:rsid w:val="00D65095"/>
    <w:rsid w:val="00D65AB8"/>
    <w:rsid w:val="00D65E10"/>
    <w:rsid w:val="00D67ADC"/>
    <w:rsid w:val="00D67D44"/>
    <w:rsid w:val="00D706BA"/>
    <w:rsid w:val="00D709A0"/>
    <w:rsid w:val="00D70A78"/>
    <w:rsid w:val="00D71394"/>
    <w:rsid w:val="00D7252A"/>
    <w:rsid w:val="00D72CF1"/>
    <w:rsid w:val="00D73BC0"/>
    <w:rsid w:val="00D73C1D"/>
    <w:rsid w:val="00D74667"/>
    <w:rsid w:val="00D76C93"/>
    <w:rsid w:val="00D771CC"/>
    <w:rsid w:val="00D80799"/>
    <w:rsid w:val="00D808BE"/>
    <w:rsid w:val="00D81512"/>
    <w:rsid w:val="00D84747"/>
    <w:rsid w:val="00D84BD3"/>
    <w:rsid w:val="00D85346"/>
    <w:rsid w:val="00D86E60"/>
    <w:rsid w:val="00D90B52"/>
    <w:rsid w:val="00D90E7B"/>
    <w:rsid w:val="00D91EDC"/>
    <w:rsid w:val="00D92D94"/>
    <w:rsid w:val="00D958A1"/>
    <w:rsid w:val="00D961DB"/>
    <w:rsid w:val="00DA0625"/>
    <w:rsid w:val="00DA0964"/>
    <w:rsid w:val="00DA2C03"/>
    <w:rsid w:val="00DA3748"/>
    <w:rsid w:val="00DA3AA1"/>
    <w:rsid w:val="00DA4C82"/>
    <w:rsid w:val="00DA533F"/>
    <w:rsid w:val="00DA5A5B"/>
    <w:rsid w:val="00DA671A"/>
    <w:rsid w:val="00DA756A"/>
    <w:rsid w:val="00DA7628"/>
    <w:rsid w:val="00DA7819"/>
    <w:rsid w:val="00DA78D9"/>
    <w:rsid w:val="00DA7E64"/>
    <w:rsid w:val="00DA7E6E"/>
    <w:rsid w:val="00DB07B8"/>
    <w:rsid w:val="00DB2D76"/>
    <w:rsid w:val="00DB345B"/>
    <w:rsid w:val="00DB3871"/>
    <w:rsid w:val="00DB38BB"/>
    <w:rsid w:val="00DB45E2"/>
    <w:rsid w:val="00DB4790"/>
    <w:rsid w:val="00DB4F49"/>
    <w:rsid w:val="00DB57FA"/>
    <w:rsid w:val="00DB6D5A"/>
    <w:rsid w:val="00DC1ACA"/>
    <w:rsid w:val="00DC441C"/>
    <w:rsid w:val="00DC4772"/>
    <w:rsid w:val="00DC48CF"/>
    <w:rsid w:val="00DC5BB0"/>
    <w:rsid w:val="00DC5D2E"/>
    <w:rsid w:val="00DC6711"/>
    <w:rsid w:val="00DC6826"/>
    <w:rsid w:val="00DD0260"/>
    <w:rsid w:val="00DD20E3"/>
    <w:rsid w:val="00DD2605"/>
    <w:rsid w:val="00DD2AAA"/>
    <w:rsid w:val="00DD4C66"/>
    <w:rsid w:val="00DD50B5"/>
    <w:rsid w:val="00DD5275"/>
    <w:rsid w:val="00DD58A8"/>
    <w:rsid w:val="00DD5F86"/>
    <w:rsid w:val="00DD6047"/>
    <w:rsid w:val="00DD6EA2"/>
    <w:rsid w:val="00DD7205"/>
    <w:rsid w:val="00DD771A"/>
    <w:rsid w:val="00DD7F78"/>
    <w:rsid w:val="00DE1564"/>
    <w:rsid w:val="00DE262A"/>
    <w:rsid w:val="00DE2759"/>
    <w:rsid w:val="00DE2977"/>
    <w:rsid w:val="00DE3748"/>
    <w:rsid w:val="00DE4037"/>
    <w:rsid w:val="00DE43F4"/>
    <w:rsid w:val="00DE466B"/>
    <w:rsid w:val="00DE4A72"/>
    <w:rsid w:val="00DE5D8B"/>
    <w:rsid w:val="00DE6535"/>
    <w:rsid w:val="00DE7607"/>
    <w:rsid w:val="00DE761A"/>
    <w:rsid w:val="00DE780F"/>
    <w:rsid w:val="00DF04C2"/>
    <w:rsid w:val="00DF1BAF"/>
    <w:rsid w:val="00DF21AE"/>
    <w:rsid w:val="00DF2338"/>
    <w:rsid w:val="00DF27DA"/>
    <w:rsid w:val="00DF37CE"/>
    <w:rsid w:val="00DF4C70"/>
    <w:rsid w:val="00DF4D56"/>
    <w:rsid w:val="00DF5352"/>
    <w:rsid w:val="00DF63EB"/>
    <w:rsid w:val="00DF78BC"/>
    <w:rsid w:val="00E0212C"/>
    <w:rsid w:val="00E02A20"/>
    <w:rsid w:val="00E030AE"/>
    <w:rsid w:val="00E030E4"/>
    <w:rsid w:val="00E04587"/>
    <w:rsid w:val="00E04EFF"/>
    <w:rsid w:val="00E05212"/>
    <w:rsid w:val="00E05D02"/>
    <w:rsid w:val="00E0690D"/>
    <w:rsid w:val="00E101A9"/>
    <w:rsid w:val="00E12954"/>
    <w:rsid w:val="00E12A2F"/>
    <w:rsid w:val="00E12D9F"/>
    <w:rsid w:val="00E12FAE"/>
    <w:rsid w:val="00E133B6"/>
    <w:rsid w:val="00E13468"/>
    <w:rsid w:val="00E1638A"/>
    <w:rsid w:val="00E17172"/>
    <w:rsid w:val="00E21E2B"/>
    <w:rsid w:val="00E24203"/>
    <w:rsid w:val="00E24543"/>
    <w:rsid w:val="00E2457B"/>
    <w:rsid w:val="00E247DE"/>
    <w:rsid w:val="00E257AB"/>
    <w:rsid w:val="00E31BE8"/>
    <w:rsid w:val="00E3212A"/>
    <w:rsid w:val="00E32221"/>
    <w:rsid w:val="00E32512"/>
    <w:rsid w:val="00E333C7"/>
    <w:rsid w:val="00E3374E"/>
    <w:rsid w:val="00E33A7F"/>
    <w:rsid w:val="00E34A79"/>
    <w:rsid w:val="00E3743F"/>
    <w:rsid w:val="00E376F7"/>
    <w:rsid w:val="00E4104D"/>
    <w:rsid w:val="00E41293"/>
    <w:rsid w:val="00E41C3F"/>
    <w:rsid w:val="00E41CE3"/>
    <w:rsid w:val="00E41D18"/>
    <w:rsid w:val="00E423E6"/>
    <w:rsid w:val="00E44479"/>
    <w:rsid w:val="00E45108"/>
    <w:rsid w:val="00E4622A"/>
    <w:rsid w:val="00E475F0"/>
    <w:rsid w:val="00E5099A"/>
    <w:rsid w:val="00E50CA8"/>
    <w:rsid w:val="00E519D9"/>
    <w:rsid w:val="00E52672"/>
    <w:rsid w:val="00E52D8C"/>
    <w:rsid w:val="00E536DE"/>
    <w:rsid w:val="00E538E6"/>
    <w:rsid w:val="00E5535A"/>
    <w:rsid w:val="00E553E9"/>
    <w:rsid w:val="00E563DF"/>
    <w:rsid w:val="00E569B2"/>
    <w:rsid w:val="00E569BD"/>
    <w:rsid w:val="00E577FD"/>
    <w:rsid w:val="00E61098"/>
    <w:rsid w:val="00E619A4"/>
    <w:rsid w:val="00E62177"/>
    <w:rsid w:val="00E622AF"/>
    <w:rsid w:val="00E62A45"/>
    <w:rsid w:val="00E638EF"/>
    <w:rsid w:val="00E643ED"/>
    <w:rsid w:val="00E645FC"/>
    <w:rsid w:val="00E6494D"/>
    <w:rsid w:val="00E6634F"/>
    <w:rsid w:val="00E6716A"/>
    <w:rsid w:val="00E67F40"/>
    <w:rsid w:val="00E70167"/>
    <w:rsid w:val="00E703C3"/>
    <w:rsid w:val="00E72FCA"/>
    <w:rsid w:val="00E73938"/>
    <w:rsid w:val="00E73F29"/>
    <w:rsid w:val="00E74899"/>
    <w:rsid w:val="00E7527F"/>
    <w:rsid w:val="00E759B1"/>
    <w:rsid w:val="00E779AA"/>
    <w:rsid w:val="00E80333"/>
    <w:rsid w:val="00E8107B"/>
    <w:rsid w:val="00E82A13"/>
    <w:rsid w:val="00E83629"/>
    <w:rsid w:val="00E838DB"/>
    <w:rsid w:val="00E83F7E"/>
    <w:rsid w:val="00E865F0"/>
    <w:rsid w:val="00E868E7"/>
    <w:rsid w:val="00E9310C"/>
    <w:rsid w:val="00E93979"/>
    <w:rsid w:val="00E93CD3"/>
    <w:rsid w:val="00E93F61"/>
    <w:rsid w:val="00E9501F"/>
    <w:rsid w:val="00E950C6"/>
    <w:rsid w:val="00E957F6"/>
    <w:rsid w:val="00E962BC"/>
    <w:rsid w:val="00E9676A"/>
    <w:rsid w:val="00EA379C"/>
    <w:rsid w:val="00EA4361"/>
    <w:rsid w:val="00EA4CB5"/>
    <w:rsid w:val="00EA67B2"/>
    <w:rsid w:val="00EA6D2E"/>
    <w:rsid w:val="00EB001E"/>
    <w:rsid w:val="00EB0757"/>
    <w:rsid w:val="00EB32E3"/>
    <w:rsid w:val="00EB3610"/>
    <w:rsid w:val="00EB3C74"/>
    <w:rsid w:val="00EB5926"/>
    <w:rsid w:val="00EB5D98"/>
    <w:rsid w:val="00EB75E7"/>
    <w:rsid w:val="00EB7A35"/>
    <w:rsid w:val="00EC027A"/>
    <w:rsid w:val="00EC05B4"/>
    <w:rsid w:val="00EC074E"/>
    <w:rsid w:val="00EC091A"/>
    <w:rsid w:val="00EC0B10"/>
    <w:rsid w:val="00EC0BD7"/>
    <w:rsid w:val="00EC0C56"/>
    <w:rsid w:val="00EC2126"/>
    <w:rsid w:val="00EC33EA"/>
    <w:rsid w:val="00EC41C2"/>
    <w:rsid w:val="00EC4E71"/>
    <w:rsid w:val="00EC62F1"/>
    <w:rsid w:val="00EC6D41"/>
    <w:rsid w:val="00EC79CA"/>
    <w:rsid w:val="00ED03A3"/>
    <w:rsid w:val="00ED0AA7"/>
    <w:rsid w:val="00ED2F8A"/>
    <w:rsid w:val="00ED56E8"/>
    <w:rsid w:val="00ED57D7"/>
    <w:rsid w:val="00ED58AF"/>
    <w:rsid w:val="00ED7658"/>
    <w:rsid w:val="00EE13F4"/>
    <w:rsid w:val="00EE171F"/>
    <w:rsid w:val="00EE1EE5"/>
    <w:rsid w:val="00EE2928"/>
    <w:rsid w:val="00EE2E23"/>
    <w:rsid w:val="00EE359A"/>
    <w:rsid w:val="00EE46A5"/>
    <w:rsid w:val="00EE4BD0"/>
    <w:rsid w:val="00EE5BA1"/>
    <w:rsid w:val="00EF07BE"/>
    <w:rsid w:val="00EF0DFF"/>
    <w:rsid w:val="00EF2966"/>
    <w:rsid w:val="00EF5346"/>
    <w:rsid w:val="00EF7235"/>
    <w:rsid w:val="00F004A9"/>
    <w:rsid w:val="00F00A4D"/>
    <w:rsid w:val="00F014D5"/>
    <w:rsid w:val="00F01EA8"/>
    <w:rsid w:val="00F023A3"/>
    <w:rsid w:val="00F02A6F"/>
    <w:rsid w:val="00F030F9"/>
    <w:rsid w:val="00F04308"/>
    <w:rsid w:val="00F04C8C"/>
    <w:rsid w:val="00F054DA"/>
    <w:rsid w:val="00F06144"/>
    <w:rsid w:val="00F06530"/>
    <w:rsid w:val="00F07B2D"/>
    <w:rsid w:val="00F07BCF"/>
    <w:rsid w:val="00F125EE"/>
    <w:rsid w:val="00F127D3"/>
    <w:rsid w:val="00F14929"/>
    <w:rsid w:val="00F1597D"/>
    <w:rsid w:val="00F16EF8"/>
    <w:rsid w:val="00F16FAB"/>
    <w:rsid w:val="00F170B7"/>
    <w:rsid w:val="00F17BC0"/>
    <w:rsid w:val="00F21CA5"/>
    <w:rsid w:val="00F2343B"/>
    <w:rsid w:val="00F24632"/>
    <w:rsid w:val="00F255B6"/>
    <w:rsid w:val="00F26ED7"/>
    <w:rsid w:val="00F31625"/>
    <w:rsid w:val="00F31BDC"/>
    <w:rsid w:val="00F321C2"/>
    <w:rsid w:val="00F32232"/>
    <w:rsid w:val="00F32242"/>
    <w:rsid w:val="00F361A3"/>
    <w:rsid w:val="00F36B70"/>
    <w:rsid w:val="00F36CDE"/>
    <w:rsid w:val="00F36E39"/>
    <w:rsid w:val="00F4003B"/>
    <w:rsid w:val="00F40A8F"/>
    <w:rsid w:val="00F40FF5"/>
    <w:rsid w:val="00F41B20"/>
    <w:rsid w:val="00F41E1E"/>
    <w:rsid w:val="00F4277F"/>
    <w:rsid w:val="00F43ED1"/>
    <w:rsid w:val="00F43F01"/>
    <w:rsid w:val="00F44217"/>
    <w:rsid w:val="00F44759"/>
    <w:rsid w:val="00F45144"/>
    <w:rsid w:val="00F46284"/>
    <w:rsid w:val="00F4680B"/>
    <w:rsid w:val="00F47344"/>
    <w:rsid w:val="00F4734D"/>
    <w:rsid w:val="00F473D4"/>
    <w:rsid w:val="00F47445"/>
    <w:rsid w:val="00F47CD8"/>
    <w:rsid w:val="00F5046F"/>
    <w:rsid w:val="00F5088C"/>
    <w:rsid w:val="00F50997"/>
    <w:rsid w:val="00F510AC"/>
    <w:rsid w:val="00F5374F"/>
    <w:rsid w:val="00F53DEA"/>
    <w:rsid w:val="00F545DD"/>
    <w:rsid w:val="00F55E69"/>
    <w:rsid w:val="00F579BE"/>
    <w:rsid w:val="00F606F4"/>
    <w:rsid w:val="00F60DF6"/>
    <w:rsid w:val="00F61B49"/>
    <w:rsid w:val="00F61E12"/>
    <w:rsid w:val="00F626E7"/>
    <w:rsid w:val="00F62D04"/>
    <w:rsid w:val="00F63243"/>
    <w:rsid w:val="00F6434A"/>
    <w:rsid w:val="00F64F54"/>
    <w:rsid w:val="00F655E1"/>
    <w:rsid w:val="00F70887"/>
    <w:rsid w:val="00F70A7D"/>
    <w:rsid w:val="00F748DD"/>
    <w:rsid w:val="00F76633"/>
    <w:rsid w:val="00F7666A"/>
    <w:rsid w:val="00F77EEC"/>
    <w:rsid w:val="00F81710"/>
    <w:rsid w:val="00F819C4"/>
    <w:rsid w:val="00F81BF6"/>
    <w:rsid w:val="00F81FF7"/>
    <w:rsid w:val="00F83E64"/>
    <w:rsid w:val="00F86EF9"/>
    <w:rsid w:val="00F86FB1"/>
    <w:rsid w:val="00F87E61"/>
    <w:rsid w:val="00F9058E"/>
    <w:rsid w:val="00F908E0"/>
    <w:rsid w:val="00F90B86"/>
    <w:rsid w:val="00F92B1E"/>
    <w:rsid w:val="00F9335A"/>
    <w:rsid w:val="00F93755"/>
    <w:rsid w:val="00F93A32"/>
    <w:rsid w:val="00F94769"/>
    <w:rsid w:val="00F95CF5"/>
    <w:rsid w:val="00F97EE2"/>
    <w:rsid w:val="00FA0810"/>
    <w:rsid w:val="00FA14B5"/>
    <w:rsid w:val="00FA16BB"/>
    <w:rsid w:val="00FA2895"/>
    <w:rsid w:val="00FA29A4"/>
    <w:rsid w:val="00FA33A0"/>
    <w:rsid w:val="00FA3DD7"/>
    <w:rsid w:val="00FA4D12"/>
    <w:rsid w:val="00FA5031"/>
    <w:rsid w:val="00FA56FF"/>
    <w:rsid w:val="00FA7DD2"/>
    <w:rsid w:val="00FB05E3"/>
    <w:rsid w:val="00FB106B"/>
    <w:rsid w:val="00FB4326"/>
    <w:rsid w:val="00FB45EB"/>
    <w:rsid w:val="00FB4C6F"/>
    <w:rsid w:val="00FB64A1"/>
    <w:rsid w:val="00FB6506"/>
    <w:rsid w:val="00FB6732"/>
    <w:rsid w:val="00FB7D16"/>
    <w:rsid w:val="00FC0858"/>
    <w:rsid w:val="00FC110D"/>
    <w:rsid w:val="00FC3800"/>
    <w:rsid w:val="00FC4527"/>
    <w:rsid w:val="00FC5B85"/>
    <w:rsid w:val="00FC5DCE"/>
    <w:rsid w:val="00FC6041"/>
    <w:rsid w:val="00FC6186"/>
    <w:rsid w:val="00FC65BE"/>
    <w:rsid w:val="00FC70C0"/>
    <w:rsid w:val="00FC71AE"/>
    <w:rsid w:val="00FC7307"/>
    <w:rsid w:val="00FD0B64"/>
    <w:rsid w:val="00FD1B42"/>
    <w:rsid w:val="00FD1EEA"/>
    <w:rsid w:val="00FD219D"/>
    <w:rsid w:val="00FD30C0"/>
    <w:rsid w:val="00FD33CF"/>
    <w:rsid w:val="00FD36CA"/>
    <w:rsid w:val="00FD3B41"/>
    <w:rsid w:val="00FD4E22"/>
    <w:rsid w:val="00FD6C73"/>
    <w:rsid w:val="00FE263F"/>
    <w:rsid w:val="00FE486C"/>
    <w:rsid w:val="00FE4BFD"/>
    <w:rsid w:val="00FE53E5"/>
    <w:rsid w:val="00FE578A"/>
    <w:rsid w:val="00FE6A0F"/>
    <w:rsid w:val="00FE7C48"/>
    <w:rsid w:val="00FF0BE2"/>
    <w:rsid w:val="00FF14A5"/>
    <w:rsid w:val="00FF2000"/>
    <w:rsid w:val="00FF45BD"/>
    <w:rsid w:val="00FF45BF"/>
    <w:rsid w:val="00FF621F"/>
    <w:rsid w:val="00FF67DA"/>
    <w:rsid w:val="00FF74BD"/>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43BE"/>
    <w:pPr>
      <w:spacing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9943BE"/>
    <w:rPr>
      <w:rFonts w:eastAsia="Calibri"/>
      <w:sz w:val="20"/>
      <w:szCs w:val="20"/>
    </w:rPr>
  </w:style>
  <w:style w:type="character" w:styleId="FootnoteReference">
    <w:name w:val="footnote reference"/>
    <w:basedOn w:val="DefaultParagraphFont"/>
    <w:uiPriority w:val="99"/>
    <w:semiHidden/>
    <w:unhideWhenUsed/>
    <w:rsid w:val="009943BE"/>
    <w:rPr>
      <w:vertAlign w:val="superscript"/>
    </w:rPr>
  </w:style>
  <w:style w:type="paragraph" w:styleId="Header">
    <w:name w:val="header"/>
    <w:basedOn w:val="Normal"/>
    <w:link w:val="HeaderChar"/>
    <w:uiPriority w:val="99"/>
    <w:unhideWhenUsed/>
    <w:rsid w:val="00986649"/>
    <w:pPr>
      <w:tabs>
        <w:tab w:val="center" w:pos="4680"/>
        <w:tab w:val="right" w:pos="9360"/>
      </w:tabs>
      <w:spacing w:line="240" w:lineRule="auto"/>
    </w:pPr>
  </w:style>
  <w:style w:type="character" w:customStyle="1" w:styleId="HeaderChar">
    <w:name w:val="Header Char"/>
    <w:basedOn w:val="DefaultParagraphFont"/>
    <w:link w:val="Header"/>
    <w:uiPriority w:val="99"/>
    <w:rsid w:val="00986649"/>
  </w:style>
  <w:style w:type="paragraph" w:styleId="Footer">
    <w:name w:val="footer"/>
    <w:basedOn w:val="Normal"/>
    <w:link w:val="FooterChar"/>
    <w:uiPriority w:val="99"/>
    <w:unhideWhenUsed/>
    <w:rsid w:val="00986649"/>
    <w:pPr>
      <w:tabs>
        <w:tab w:val="center" w:pos="4680"/>
        <w:tab w:val="right" w:pos="9360"/>
      </w:tabs>
      <w:spacing w:line="240" w:lineRule="auto"/>
    </w:pPr>
  </w:style>
  <w:style w:type="character" w:customStyle="1" w:styleId="FooterChar">
    <w:name w:val="Footer Char"/>
    <w:basedOn w:val="DefaultParagraphFont"/>
    <w:link w:val="Footer"/>
    <w:uiPriority w:val="99"/>
    <w:rsid w:val="00986649"/>
  </w:style>
  <w:style w:type="paragraph" w:styleId="BalloonText">
    <w:name w:val="Balloon Text"/>
    <w:basedOn w:val="Normal"/>
    <w:link w:val="BalloonTextChar"/>
    <w:uiPriority w:val="99"/>
    <w:semiHidden/>
    <w:unhideWhenUsed/>
    <w:rsid w:val="009866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49"/>
    <w:rPr>
      <w:rFonts w:ascii="Tahoma" w:hAnsi="Tahoma" w:cs="Tahoma"/>
      <w:sz w:val="16"/>
      <w:szCs w:val="16"/>
    </w:rPr>
  </w:style>
  <w:style w:type="paragraph" w:styleId="ListParagraph">
    <w:name w:val="List Paragraph"/>
    <w:basedOn w:val="Normal"/>
    <w:uiPriority w:val="34"/>
    <w:qFormat/>
    <w:rsid w:val="002D5B2A"/>
    <w:pPr>
      <w:ind w:left="720"/>
      <w:contextualSpacing/>
    </w:pPr>
  </w:style>
  <w:style w:type="paragraph" w:styleId="EndnoteText">
    <w:name w:val="endnote text"/>
    <w:basedOn w:val="Normal"/>
    <w:link w:val="EndnoteTextChar"/>
    <w:uiPriority w:val="99"/>
    <w:semiHidden/>
    <w:unhideWhenUsed/>
    <w:rsid w:val="00BC6EEE"/>
    <w:pPr>
      <w:spacing w:line="240" w:lineRule="auto"/>
    </w:pPr>
    <w:rPr>
      <w:sz w:val="20"/>
      <w:szCs w:val="20"/>
    </w:rPr>
  </w:style>
  <w:style w:type="character" w:customStyle="1" w:styleId="EndnoteTextChar">
    <w:name w:val="Endnote Text Char"/>
    <w:basedOn w:val="DefaultParagraphFont"/>
    <w:link w:val="EndnoteText"/>
    <w:uiPriority w:val="99"/>
    <w:semiHidden/>
    <w:rsid w:val="00BC6EEE"/>
    <w:rPr>
      <w:sz w:val="20"/>
      <w:szCs w:val="20"/>
    </w:rPr>
  </w:style>
  <w:style w:type="character" w:styleId="EndnoteReference">
    <w:name w:val="endnote reference"/>
    <w:basedOn w:val="DefaultParagraphFont"/>
    <w:uiPriority w:val="99"/>
    <w:semiHidden/>
    <w:unhideWhenUsed/>
    <w:rsid w:val="00BC6EEE"/>
    <w:rPr>
      <w:vertAlign w:val="superscript"/>
    </w:rPr>
  </w:style>
  <w:style w:type="paragraph" w:customStyle="1" w:styleId="ParaTab1">
    <w:name w:val="ParaTab 1"/>
    <w:rsid w:val="00E52D8C"/>
    <w:pPr>
      <w:tabs>
        <w:tab w:val="left" w:pos="-720"/>
      </w:tabs>
      <w:suppressAutoHyphens/>
      <w:autoSpaceDE w:val="0"/>
      <w:autoSpaceDN w:val="0"/>
      <w:spacing w:line="240" w:lineRule="auto"/>
      <w:ind w:firstLine="1440"/>
      <w:jc w:val="left"/>
    </w:pPr>
    <w:rPr>
      <w:rFonts w:ascii="CG Times" w:eastAsia="Times New Roman" w:hAnsi="CG Times" w:cs="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43BE"/>
    <w:pPr>
      <w:spacing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9943BE"/>
    <w:rPr>
      <w:rFonts w:eastAsia="Calibri"/>
      <w:sz w:val="20"/>
      <w:szCs w:val="20"/>
    </w:rPr>
  </w:style>
  <w:style w:type="character" w:styleId="FootnoteReference">
    <w:name w:val="footnote reference"/>
    <w:basedOn w:val="DefaultParagraphFont"/>
    <w:uiPriority w:val="99"/>
    <w:semiHidden/>
    <w:unhideWhenUsed/>
    <w:rsid w:val="009943BE"/>
    <w:rPr>
      <w:vertAlign w:val="superscript"/>
    </w:rPr>
  </w:style>
  <w:style w:type="paragraph" w:styleId="Header">
    <w:name w:val="header"/>
    <w:basedOn w:val="Normal"/>
    <w:link w:val="HeaderChar"/>
    <w:uiPriority w:val="99"/>
    <w:unhideWhenUsed/>
    <w:rsid w:val="00986649"/>
    <w:pPr>
      <w:tabs>
        <w:tab w:val="center" w:pos="4680"/>
        <w:tab w:val="right" w:pos="9360"/>
      </w:tabs>
      <w:spacing w:line="240" w:lineRule="auto"/>
    </w:pPr>
  </w:style>
  <w:style w:type="character" w:customStyle="1" w:styleId="HeaderChar">
    <w:name w:val="Header Char"/>
    <w:basedOn w:val="DefaultParagraphFont"/>
    <w:link w:val="Header"/>
    <w:uiPriority w:val="99"/>
    <w:rsid w:val="00986649"/>
  </w:style>
  <w:style w:type="paragraph" w:styleId="Footer">
    <w:name w:val="footer"/>
    <w:basedOn w:val="Normal"/>
    <w:link w:val="FooterChar"/>
    <w:uiPriority w:val="99"/>
    <w:unhideWhenUsed/>
    <w:rsid w:val="00986649"/>
    <w:pPr>
      <w:tabs>
        <w:tab w:val="center" w:pos="4680"/>
        <w:tab w:val="right" w:pos="9360"/>
      </w:tabs>
      <w:spacing w:line="240" w:lineRule="auto"/>
    </w:pPr>
  </w:style>
  <w:style w:type="character" w:customStyle="1" w:styleId="FooterChar">
    <w:name w:val="Footer Char"/>
    <w:basedOn w:val="DefaultParagraphFont"/>
    <w:link w:val="Footer"/>
    <w:uiPriority w:val="99"/>
    <w:rsid w:val="00986649"/>
  </w:style>
  <w:style w:type="paragraph" w:styleId="BalloonText">
    <w:name w:val="Balloon Text"/>
    <w:basedOn w:val="Normal"/>
    <w:link w:val="BalloonTextChar"/>
    <w:uiPriority w:val="99"/>
    <w:semiHidden/>
    <w:unhideWhenUsed/>
    <w:rsid w:val="009866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49"/>
    <w:rPr>
      <w:rFonts w:ascii="Tahoma" w:hAnsi="Tahoma" w:cs="Tahoma"/>
      <w:sz w:val="16"/>
      <w:szCs w:val="16"/>
    </w:rPr>
  </w:style>
  <w:style w:type="paragraph" w:styleId="ListParagraph">
    <w:name w:val="List Paragraph"/>
    <w:basedOn w:val="Normal"/>
    <w:uiPriority w:val="34"/>
    <w:qFormat/>
    <w:rsid w:val="002D5B2A"/>
    <w:pPr>
      <w:ind w:left="720"/>
      <w:contextualSpacing/>
    </w:pPr>
  </w:style>
  <w:style w:type="paragraph" w:styleId="EndnoteText">
    <w:name w:val="endnote text"/>
    <w:basedOn w:val="Normal"/>
    <w:link w:val="EndnoteTextChar"/>
    <w:uiPriority w:val="99"/>
    <w:semiHidden/>
    <w:unhideWhenUsed/>
    <w:rsid w:val="00BC6EEE"/>
    <w:pPr>
      <w:spacing w:line="240" w:lineRule="auto"/>
    </w:pPr>
    <w:rPr>
      <w:sz w:val="20"/>
      <w:szCs w:val="20"/>
    </w:rPr>
  </w:style>
  <w:style w:type="character" w:customStyle="1" w:styleId="EndnoteTextChar">
    <w:name w:val="Endnote Text Char"/>
    <w:basedOn w:val="DefaultParagraphFont"/>
    <w:link w:val="EndnoteText"/>
    <w:uiPriority w:val="99"/>
    <w:semiHidden/>
    <w:rsid w:val="00BC6EEE"/>
    <w:rPr>
      <w:sz w:val="20"/>
      <w:szCs w:val="20"/>
    </w:rPr>
  </w:style>
  <w:style w:type="character" w:styleId="EndnoteReference">
    <w:name w:val="endnote reference"/>
    <w:basedOn w:val="DefaultParagraphFont"/>
    <w:uiPriority w:val="99"/>
    <w:semiHidden/>
    <w:unhideWhenUsed/>
    <w:rsid w:val="00BC6EEE"/>
    <w:rPr>
      <w:vertAlign w:val="superscript"/>
    </w:rPr>
  </w:style>
  <w:style w:type="paragraph" w:customStyle="1" w:styleId="ParaTab1">
    <w:name w:val="ParaTab 1"/>
    <w:rsid w:val="00E52D8C"/>
    <w:pPr>
      <w:tabs>
        <w:tab w:val="left" w:pos="-720"/>
      </w:tabs>
      <w:suppressAutoHyphens/>
      <w:autoSpaceDE w:val="0"/>
      <w:autoSpaceDN w:val="0"/>
      <w:spacing w:line="240" w:lineRule="auto"/>
      <w:ind w:firstLine="1440"/>
      <w:jc w:val="left"/>
    </w:pPr>
    <w:rPr>
      <w:rFonts w:ascii="CG Times" w:eastAsia="Times New Roman"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3CE85-29D3-4608-BB14-E98626BF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2015-12-28T19:16:00Z</cp:lastPrinted>
  <dcterms:created xsi:type="dcterms:W3CDTF">2016-01-05T15:16:00Z</dcterms:created>
  <dcterms:modified xsi:type="dcterms:W3CDTF">2016-01-05T15:21:00Z</dcterms:modified>
</cp:coreProperties>
</file>