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B08" w:rsidRPr="004E5432" w:rsidRDefault="008A5B08" w:rsidP="008A5B08">
      <w:pPr>
        <w:suppressAutoHyphens/>
        <w:jc w:val="center"/>
        <w:outlineLvl w:val="0"/>
        <w:rPr>
          <w:rFonts w:ascii="Times New Roman" w:hAnsi="Times New Roman"/>
          <w:b/>
          <w:bCs/>
          <w:spacing w:val="-3"/>
        </w:rPr>
      </w:pPr>
      <w:r w:rsidRPr="004E5432">
        <w:rPr>
          <w:rFonts w:ascii="Times New Roman" w:hAnsi="Times New Roman"/>
          <w:b/>
          <w:bCs/>
          <w:spacing w:val="-3"/>
        </w:rPr>
        <w:t>BEFORE THE</w:t>
      </w:r>
    </w:p>
    <w:p w:rsidR="008A5B08" w:rsidRPr="004E5432" w:rsidRDefault="008A5B08" w:rsidP="008A5B08">
      <w:pPr>
        <w:suppressAutoHyphens/>
        <w:jc w:val="center"/>
        <w:outlineLvl w:val="0"/>
        <w:rPr>
          <w:rFonts w:ascii="Times New Roman" w:hAnsi="Times New Roman"/>
          <w:b/>
          <w:bCs/>
          <w:spacing w:val="-3"/>
        </w:rPr>
      </w:pPr>
      <w:r w:rsidRPr="004E5432">
        <w:rPr>
          <w:rFonts w:ascii="Times New Roman" w:hAnsi="Times New Roman"/>
          <w:b/>
          <w:bCs/>
          <w:spacing w:val="-3"/>
        </w:rPr>
        <w:t>PENNSYLVANIA PUBLIC UTILITY COMMISSION</w:t>
      </w:r>
    </w:p>
    <w:p w:rsidR="008A5B08" w:rsidRPr="00B47C1E" w:rsidRDefault="008A5B08" w:rsidP="008A5B08">
      <w:pPr>
        <w:suppressAutoHyphens/>
        <w:jc w:val="center"/>
        <w:outlineLvl w:val="0"/>
        <w:rPr>
          <w:rFonts w:ascii="Times New Roman" w:hAnsi="Times New Roman"/>
          <w:b/>
          <w:bCs/>
          <w:spacing w:val="-3"/>
        </w:rPr>
      </w:pPr>
    </w:p>
    <w:p w:rsidR="008A5B08" w:rsidRPr="00B47C1E" w:rsidRDefault="008A5B08" w:rsidP="008A5B08">
      <w:pPr>
        <w:suppressAutoHyphens/>
        <w:jc w:val="center"/>
        <w:outlineLvl w:val="0"/>
        <w:rPr>
          <w:rFonts w:ascii="Times New Roman" w:hAnsi="Times New Roman"/>
          <w:b/>
          <w:bCs/>
          <w:spacing w:val="-3"/>
        </w:rPr>
      </w:pPr>
    </w:p>
    <w:p w:rsidR="008A5B08" w:rsidRPr="00B47C1E" w:rsidRDefault="008A5B08" w:rsidP="007C49F8">
      <w:pPr>
        <w:pStyle w:val="NoSpacing"/>
        <w:jc w:val="center"/>
        <w:rPr>
          <w:rFonts w:ascii="Times New Roman" w:hAnsi="Times New Roman" w:cs="Times New Roman"/>
        </w:rPr>
      </w:pPr>
    </w:p>
    <w:p w:rsidR="008A5B08" w:rsidRPr="004E5432" w:rsidRDefault="008A5B08" w:rsidP="008A5B08">
      <w:pPr>
        <w:pStyle w:val="NoSpacing"/>
        <w:rPr>
          <w:rFonts w:ascii="Times New Roman" w:hAnsi="Times New Roman" w:cs="Times New Roman"/>
        </w:rPr>
      </w:pPr>
      <w:r w:rsidRPr="004E5432">
        <w:rPr>
          <w:rFonts w:ascii="Times New Roman" w:hAnsi="Times New Roman" w:cs="Times New Roman"/>
        </w:rPr>
        <w:t>Petition of PPL Electric Utilities for Approval</w:t>
      </w:r>
      <w:r w:rsidRPr="004E5432">
        <w:rPr>
          <w:rFonts w:ascii="Times New Roman" w:hAnsi="Times New Roman" w:cs="Times New Roman"/>
        </w:rPr>
        <w:tab/>
        <w:t>:</w:t>
      </w:r>
    </w:p>
    <w:p w:rsidR="008A5B08" w:rsidRPr="004E5432" w:rsidRDefault="008A5B08" w:rsidP="008A5B08">
      <w:pPr>
        <w:pStyle w:val="NoSpacing"/>
        <w:rPr>
          <w:rFonts w:ascii="Times New Roman" w:hAnsi="Times New Roman" w:cs="Times New Roman"/>
        </w:rPr>
      </w:pPr>
      <w:r w:rsidRPr="004E5432">
        <w:rPr>
          <w:rFonts w:ascii="Times New Roman" w:hAnsi="Times New Roman" w:cs="Times New Roman"/>
        </w:rPr>
        <w:t xml:space="preserve">of its </w:t>
      </w:r>
      <w:r>
        <w:rPr>
          <w:rFonts w:ascii="Times New Roman" w:hAnsi="Times New Roman" w:cs="Times New Roman"/>
        </w:rPr>
        <w:t xml:space="preserve">Act 129 Phase III </w:t>
      </w:r>
      <w:r w:rsidRPr="004E5432">
        <w:rPr>
          <w:rFonts w:ascii="Times New Roman" w:hAnsi="Times New Roman" w:cs="Times New Roman"/>
        </w:rPr>
        <w:t>Energy Efficiency and</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sidRPr="004E5432">
        <w:rPr>
          <w:rFonts w:ascii="Times New Roman" w:hAnsi="Times New Roman" w:cs="Times New Roman"/>
        </w:rPr>
        <w:t>M-20</w:t>
      </w:r>
      <w:r>
        <w:rPr>
          <w:rFonts w:ascii="Times New Roman" w:hAnsi="Times New Roman" w:cs="Times New Roman"/>
        </w:rPr>
        <w:t>15</w:t>
      </w:r>
      <w:r w:rsidRPr="004E5432">
        <w:rPr>
          <w:rFonts w:ascii="Times New Roman" w:hAnsi="Times New Roman" w:cs="Times New Roman"/>
        </w:rPr>
        <w:t>-2</w:t>
      </w:r>
      <w:r>
        <w:rPr>
          <w:rFonts w:ascii="Times New Roman" w:hAnsi="Times New Roman" w:cs="Times New Roman"/>
        </w:rPr>
        <w:t>515642</w:t>
      </w:r>
    </w:p>
    <w:p w:rsidR="008A5B08" w:rsidRDefault="008A5B08" w:rsidP="008A5B08">
      <w:pPr>
        <w:pStyle w:val="NoSpacing"/>
        <w:rPr>
          <w:rFonts w:ascii="Times New Roman" w:hAnsi="Times New Roman" w:cs="Times New Roman"/>
        </w:rPr>
      </w:pPr>
      <w:r>
        <w:rPr>
          <w:rFonts w:ascii="Times New Roman" w:hAnsi="Times New Roman" w:cs="Times New Roman"/>
        </w:rPr>
        <w:t xml:space="preserve">Conservation </w:t>
      </w:r>
      <w:r w:rsidR="007C49F8">
        <w:rPr>
          <w:rFonts w:ascii="Times New Roman" w:hAnsi="Times New Roman" w:cs="Times New Roman"/>
        </w:rPr>
        <w:t>Plan</w:t>
      </w:r>
      <w:r w:rsidR="007C49F8">
        <w:rPr>
          <w:rFonts w:ascii="Times New Roman" w:hAnsi="Times New Roman" w:cs="Times New Roman"/>
        </w:rPr>
        <w:tab/>
      </w:r>
      <w:r w:rsidR="007C49F8">
        <w:rPr>
          <w:rFonts w:ascii="Times New Roman" w:hAnsi="Times New Roman" w:cs="Times New Roman"/>
        </w:rPr>
        <w:tab/>
      </w:r>
      <w:r w:rsidR="007C49F8">
        <w:rPr>
          <w:rFonts w:ascii="Times New Roman" w:hAnsi="Times New Roman" w:cs="Times New Roman"/>
        </w:rPr>
        <w:tab/>
      </w:r>
      <w:r w:rsidR="007C49F8">
        <w:rPr>
          <w:rFonts w:ascii="Times New Roman" w:hAnsi="Times New Roman" w:cs="Times New Roman"/>
        </w:rPr>
        <w:tab/>
      </w:r>
      <w:r w:rsidR="007C49F8">
        <w:rPr>
          <w:rFonts w:ascii="Times New Roman" w:hAnsi="Times New Roman" w:cs="Times New Roman"/>
        </w:rPr>
        <w:tab/>
        <w:t>:</w:t>
      </w:r>
    </w:p>
    <w:p w:rsidR="008A5B08" w:rsidRDefault="008A5B08" w:rsidP="008A5B08">
      <w:pPr>
        <w:pStyle w:val="NoSpacing"/>
        <w:rPr>
          <w:rFonts w:ascii="Times New Roman" w:hAnsi="Times New Roman" w:cs="Times New Roman"/>
        </w:rPr>
      </w:pPr>
    </w:p>
    <w:p w:rsidR="008A5B08" w:rsidRDefault="008A5B08" w:rsidP="008A5B08">
      <w:pPr>
        <w:pStyle w:val="NoSpacing"/>
        <w:rPr>
          <w:rFonts w:ascii="Times New Roman" w:hAnsi="Times New Roman"/>
          <w:spacing w:val="-3"/>
        </w:rPr>
      </w:pPr>
    </w:p>
    <w:p w:rsidR="007C49F8" w:rsidRPr="004E5432" w:rsidRDefault="007C49F8" w:rsidP="008A5B08">
      <w:pPr>
        <w:pStyle w:val="NoSpacing"/>
        <w:rPr>
          <w:rFonts w:ascii="Times New Roman" w:hAnsi="Times New Roman"/>
          <w:spacing w:val="-3"/>
        </w:rPr>
      </w:pPr>
    </w:p>
    <w:p w:rsidR="008A5B08" w:rsidRDefault="00C75CCC" w:rsidP="008A5B08">
      <w:pPr>
        <w:tabs>
          <w:tab w:val="center" w:pos="4680"/>
        </w:tabs>
        <w:suppressAutoHyphens/>
        <w:contextualSpacing/>
        <w:jc w:val="center"/>
        <w:rPr>
          <w:rFonts w:ascii="Times New Roman" w:hAnsi="Times New Roman"/>
          <w:b/>
          <w:spacing w:val="-3"/>
          <w:u w:val="single"/>
        </w:rPr>
      </w:pPr>
      <w:r>
        <w:rPr>
          <w:rFonts w:ascii="Times New Roman" w:hAnsi="Times New Roman"/>
          <w:b/>
          <w:spacing w:val="-3"/>
          <w:u w:val="single"/>
        </w:rPr>
        <w:t>SCHEDULING ORDER</w:t>
      </w:r>
    </w:p>
    <w:p w:rsidR="008A5B08" w:rsidRDefault="008A5B08" w:rsidP="008A5B08">
      <w:pPr>
        <w:tabs>
          <w:tab w:val="center" w:pos="4680"/>
        </w:tabs>
        <w:suppressAutoHyphens/>
        <w:contextualSpacing/>
        <w:jc w:val="center"/>
        <w:rPr>
          <w:rFonts w:ascii="Times New Roman" w:hAnsi="Times New Roman"/>
          <w:b/>
          <w:spacing w:val="-3"/>
          <w:u w:val="single"/>
        </w:rPr>
      </w:pPr>
    </w:p>
    <w:p w:rsidR="008A5B08" w:rsidRPr="004E5432" w:rsidRDefault="008A5B08" w:rsidP="008A5B08">
      <w:pPr>
        <w:tabs>
          <w:tab w:val="center" w:pos="4680"/>
        </w:tabs>
        <w:suppressAutoHyphens/>
        <w:contextualSpacing/>
        <w:jc w:val="center"/>
        <w:rPr>
          <w:rFonts w:ascii="Times New Roman" w:hAnsi="Times New Roman"/>
          <w:spacing w:val="-3"/>
        </w:rPr>
      </w:pPr>
    </w:p>
    <w:p w:rsidR="008A5B08" w:rsidRPr="008A5B08" w:rsidRDefault="008A5B08" w:rsidP="008A5B08">
      <w:pPr>
        <w:spacing w:line="360" w:lineRule="auto"/>
        <w:rPr>
          <w:rFonts w:ascii="Times New Roman" w:hAnsi="Times New Roman"/>
          <w:bCs/>
        </w:rPr>
      </w:pPr>
      <w:r w:rsidRPr="004E5432">
        <w:rPr>
          <w:rFonts w:ascii="Times New Roman" w:hAnsi="Times New Roman"/>
          <w:bCs/>
        </w:rPr>
        <w:tab/>
      </w:r>
      <w:r w:rsidRPr="004E5432">
        <w:rPr>
          <w:rFonts w:ascii="Times New Roman" w:hAnsi="Times New Roman"/>
          <w:bCs/>
        </w:rPr>
        <w:tab/>
      </w:r>
      <w:r>
        <w:t xml:space="preserve">The Commission's Order in docket no. M-2014-2424864, entered June 19, 2015, requires each electric distribution company to file a plan in Phase III of the Act 129 Energy Efficiency and Conservation Plan (EE&amp;C) series.  </w:t>
      </w:r>
      <w:r>
        <w:rPr>
          <w:i/>
        </w:rPr>
        <w:t>Energy Efficiency and Conservation Program,</w:t>
      </w:r>
      <w:r>
        <w:t xml:space="preserve"> Docket No. M-2014-2424864 (</w:t>
      </w:r>
      <w:r>
        <w:rPr>
          <w:i/>
        </w:rPr>
        <w:t xml:space="preserve">Implementation Order </w:t>
      </w:r>
      <w:r>
        <w:t xml:space="preserve">entered June 19, 2015).  </w:t>
      </w:r>
    </w:p>
    <w:p w:rsidR="008A5B08" w:rsidRDefault="008A5B08" w:rsidP="008A5B08">
      <w:pPr>
        <w:spacing w:line="360" w:lineRule="auto"/>
        <w:rPr>
          <w:rFonts w:ascii="Times New Roman" w:hAnsi="Times New Roman"/>
          <w:bCs/>
        </w:rPr>
      </w:pPr>
    </w:p>
    <w:p w:rsidR="008A5B08" w:rsidRDefault="008A5B08" w:rsidP="008A5B08">
      <w:pPr>
        <w:spacing w:line="360" w:lineRule="auto"/>
        <w:rPr>
          <w:rFonts w:ascii="Times New Roman" w:hAnsi="Times New Roman"/>
          <w:bCs/>
        </w:rPr>
      </w:pPr>
      <w:r>
        <w:rPr>
          <w:rFonts w:ascii="Times New Roman" w:hAnsi="Times New Roman"/>
          <w:bCs/>
        </w:rPr>
        <w:tab/>
      </w:r>
      <w:r>
        <w:rPr>
          <w:rFonts w:ascii="Times New Roman" w:hAnsi="Times New Roman"/>
          <w:bCs/>
        </w:rPr>
        <w:tab/>
      </w:r>
      <w:r w:rsidRPr="004E5432">
        <w:rPr>
          <w:rFonts w:ascii="Times New Roman" w:hAnsi="Times New Roman"/>
          <w:bCs/>
        </w:rPr>
        <w:t xml:space="preserve">On </w:t>
      </w:r>
      <w:r>
        <w:rPr>
          <w:rFonts w:ascii="Times New Roman" w:hAnsi="Times New Roman"/>
          <w:bCs/>
        </w:rPr>
        <w:t>November 30, 2015,</w:t>
      </w:r>
      <w:r w:rsidRPr="004E5432">
        <w:rPr>
          <w:rFonts w:ascii="Times New Roman" w:hAnsi="Times New Roman"/>
          <w:bCs/>
        </w:rPr>
        <w:t xml:space="preserve"> </w:t>
      </w:r>
      <w:r>
        <w:rPr>
          <w:rFonts w:ascii="Times New Roman" w:hAnsi="Times New Roman"/>
          <w:bCs/>
        </w:rPr>
        <w:t>PPL Electric Utilities Corporation (PPL</w:t>
      </w:r>
      <w:r>
        <w:rPr>
          <w:rFonts w:ascii="Times New Roman" w:hAnsi="Times New Roman"/>
        </w:rPr>
        <w:t xml:space="preserve"> </w:t>
      </w:r>
      <w:r w:rsidR="00355847">
        <w:rPr>
          <w:rFonts w:ascii="Times New Roman" w:hAnsi="Times New Roman"/>
        </w:rPr>
        <w:t xml:space="preserve">Electric </w:t>
      </w:r>
      <w:r>
        <w:rPr>
          <w:rFonts w:ascii="Times New Roman" w:hAnsi="Times New Roman"/>
        </w:rPr>
        <w:t>or P</w:t>
      </w:r>
      <w:r w:rsidRPr="004E5432">
        <w:rPr>
          <w:rFonts w:ascii="Times New Roman" w:hAnsi="Times New Roman"/>
        </w:rPr>
        <w:t>etitioner) filed with the Pennsylvania Public Utility Commission(Commission) its Petition</w:t>
      </w:r>
      <w:r w:rsidRPr="004E5432">
        <w:rPr>
          <w:rFonts w:ascii="Times New Roman" w:hAnsi="Times New Roman"/>
          <w:bCs/>
        </w:rPr>
        <w:t xml:space="preserve"> </w:t>
      </w:r>
      <w:r w:rsidRPr="004E5432">
        <w:rPr>
          <w:rFonts w:ascii="Times New Roman" w:hAnsi="Times New Roman"/>
        </w:rPr>
        <w:t xml:space="preserve">for Approval of its </w:t>
      </w:r>
      <w:r>
        <w:rPr>
          <w:rFonts w:ascii="Times New Roman" w:hAnsi="Times New Roman"/>
        </w:rPr>
        <w:t xml:space="preserve">Act 129 Phase III </w:t>
      </w:r>
      <w:r w:rsidRPr="004E5432">
        <w:rPr>
          <w:rFonts w:ascii="Times New Roman" w:hAnsi="Times New Roman"/>
        </w:rPr>
        <w:t xml:space="preserve">Energy Efficiency and Conservation Plan, asking that the Commission approve the Energy Efficiency and Conservation Plan (EE&amp;C Plan), which is designed to reduce energy consumption and demand in its service territory in accordance with the requirements of Act 129, 66 Pa.C.S.A.§2806.1, and </w:t>
      </w:r>
      <w:r w:rsidRPr="004E5432">
        <w:rPr>
          <w:rFonts w:ascii="Times New Roman" w:hAnsi="Times New Roman"/>
          <w:bCs/>
        </w:rPr>
        <w:t xml:space="preserve">the </w:t>
      </w:r>
      <w:r w:rsidRPr="008A5B08">
        <w:rPr>
          <w:rFonts w:ascii="Times New Roman" w:hAnsi="Times New Roman"/>
          <w:bCs/>
          <w:i/>
        </w:rPr>
        <w:t>Implementation Order</w:t>
      </w:r>
      <w:r w:rsidRPr="004E5432">
        <w:rPr>
          <w:rFonts w:ascii="Times New Roman" w:hAnsi="Times New Roman"/>
          <w:bCs/>
        </w:rPr>
        <w:t>.</w:t>
      </w:r>
    </w:p>
    <w:p w:rsidR="008A5B08" w:rsidRDefault="008A5B08" w:rsidP="008A5B08">
      <w:pPr>
        <w:spacing w:line="360" w:lineRule="auto"/>
        <w:rPr>
          <w:rFonts w:ascii="Times New Roman" w:hAnsi="Times New Roman"/>
          <w:bCs/>
        </w:rPr>
      </w:pPr>
    </w:p>
    <w:p w:rsidR="008A5B08" w:rsidRDefault="008A5B08" w:rsidP="008A5B08">
      <w:pPr>
        <w:spacing w:line="360" w:lineRule="auto"/>
        <w:rPr>
          <w:rFonts w:ascii="Times New Roman" w:hAnsi="Times New Roman"/>
          <w:bCs/>
        </w:rPr>
      </w:pPr>
      <w:r>
        <w:tab/>
      </w:r>
      <w:r>
        <w:tab/>
        <w:t xml:space="preserve">The </w:t>
      </w:r>
      <w:r w:rsidRPr="008A5B08">
        <w:rPr>
          <w:rFonts w:ascii="Times New Roman" w:hAnsi="Times New Roman"/>
          <w:bCs/>
          <w:i/>
        </w:rPr>
        <w:t>Implementation Order</w:t>
      </w:r>
      <w:r>
        <w:t xml:space="preserve"> sets up the litigation process to be followed.  The </w:t>
      </w:r>
      <w:r w:rsidRPr="008A5B08">
        <w:rPr>
          <w:rFonts w:ascii="Times New Roman" w:hAnsi="Times New Roman"/>
          <w:bCs/>
          <w:i/>
        </w:rPr>
        <w:t>Implementation Order</w:t>
      </w:r>
      <w:r>
        <w:t xml:space="preserve"> requires publication of notice of the filing, which was accomplished on December 12, 2015, 45 Pa.B. </w:t>
      </w:r>
      <w:r w:rsidR="00B77565">
        <w:t xml:space="preserve">7078, </w:t>
      </w:r>
      <w:r>
        <w:t>and set a 20-day deadline for answers with comments and recommendations.  Hearings must be held before the 65</w:t>
      </w:r>
      <w:r w:rsidRPr="00F16D45">
        <w:rPr>
          <w:vertAlign w:val="superscript"/>
        </w:rPr>
        <w:t>th</w:t>
      </w:r>
      <w:r>
        <w:t xml:space="preserve"> day following the filing of the plan, and briefing is to be 10 days after the hearing.  The Company has the </w:t>
      </w:r>
      <w:r w:rsidR="00B77565">
        <w:t>following</w:t>
      </w:r>
      <w:r>
        <w:t xml:space="preserve"> ten days to file a revised plan, reply comments or both, and then I will certify the record to the Commission's Office of Special Assistants for preparation of a Commission order.  The Commission Order approving or rejecting the plan, in full or in part, </w:t>
      </w:r>
      <w:r w:rsidR="00B77565">
        <w:t xml:space="preserve">is </w:t>
      </w:r>
      <w:r>
        <w:t>t</w:t>
      </w:r>
      <w:r w:rsidR="00B77565">
        <w:t>o</w:t>
      </w:r>
      <w:r>
        <w:t xml:space="preserve"> be adopted within 120 days of the filing of the plan, which from</w:t>
      </w:r>
      <w:r w:rsidR="008955CF">
        <w:t xml:space="preserve"> the</w:t>
      </w:r>
      <w:r>
        <w:t xml:space="preserve"> November 30</w:t>
      </w:r>
      <w:r w:rsidRPr="00F16D45">
        <w:rPr>
          <w:vertAlign w:val="superscript"/>
        </w:rPr>
        <w:t>th</w:t>
      </w:r>
      <w:r>
        <w:t xml:space="preserve"> </w:t>
      </w:r>
      <w:r w:rsidR="008955CF">
        <w:t xml:space="preserve">filing day, </w:t>
      </w:r>
      <w:r>
        <w:t>is March 31</w:t>
      </w:r>
      <w:r w:rsidRPr="00F16D45">
        <w:rPr>
          <w:vertAlign w:val="superscript"/>
        </w:rPr>
        <w:t>st</w:t>
      </w:r>
      <w:r>
        <w:t xml:space="preserve">.  </w:t>
      </w:r>
    </w:p>
    <w:p w:rsidR="008A5B08" w:rsidRDefault="008A5B08" w:rsidP="008A5B08">
      <w:pPr>
        <w:tabs>
          <w:tab w:val="center" w:pos="4680"/>
        </w:tabs>
        <w:suppressAutoHyphens/>
        <w:spacing w:line="360" w:lineRule="auto"/>
        <w:ind w:firstLine="1440"/>
        <w:rPr>
          <w:rFonts w:ascii="Times New Roman" w:hAnsi="Times New Roman"/>
        </w:rPr>
      </w:pPr>
    </w:p>
    <w:p w:rsidR="00B77565" w:rsidRDefault="00B77565" w:rsidP="008A5B08">
      <w:pPr>
        <w:tabs>
          <w:tab w:val="center" w:pos="4680"/>
        </w:tabs>
        <w:suppressAutoHyphens/>
        <w:spacing w:line="360" w:lineRule="auto"/>
        <w:ind w:firstLine="1440"/>
        <w:rPr>
          <w:rFonts w:ascii="Times New Roman" w:hAnsi="Times New Roman"/>
        </w:rPr>
      </w:pPr>
      <w:r>
        <w:rPr>
          <w:rFonts w:ascii="Times New Roman" w:hAnsi="Times New Roman"/>
        </w:rPr>
        <w:lastRenderedPageBreak/>
        <w:t xml:space="preserve">On December 8, 2015, notice was issued for the prehearing conference set for January 5, 2016 and listed me as the assigned administrative law judge (ALJ).  On December 18, 2015, I issued a prehearing order which set forth some of the requirements for participation in a formal proceeding before the Commission, and which included a schedule which would be imposed should an alternative schedule not be presented by party consensus.  </w:t>
      </w:r>
    </w:p>
    <w:p w:rsidR="00534B14" w:rsidRDefault="00534B14" w:rsidP="008A5B08">
      <w:pPr>
        <w:tabs>
          <w:tab w:val="center" w:pos="4680"/>
        </w:tabs>
        <w:suppressAutoHyphens/>
        <w:spacing w:line="360" w:lineRule="auto"/>
        <w:ind w:firstLine="1440"/>
        <w:rPr>
          <w:rFonts w:ascii="Times New Roman" w:hAnsi="Times New Roman"/>
        </w:rPr>
      </w:pPr>
    </w:p>
    <w:p w:rsidR="00534B14" w:rsidRDefault="00534B14" w:rsidP="008A5B08">
      <w:pPr>
        <w:tabs>
          <w:tab w:val="center" w:pos="4680"/>
        </w:tabs>
        <w:suppressAutoHyphens/>
        <w:spacing w:line="360" w:lineRule="auto"/>
        <w:ind w:firstLine="1440"/>
        <w:rPr>
          <w:rFonts w:ascii="Times New Roman" w:hAnsi="Times New Roman"/>
        </w:rPr>
      </w:pPr>
      <w:r>
        <w:rPr>
          <w:rFonts w:ascii="Times New Roman" w:hAnsi="Times New Roman"/>
        </w:rPr>
        <w:t>On December 10, 2015, the Office of Consumer Advocate (OCA) filed its notice of intervention and public statement, and the Office of Small Business Advocate (OSBA) filed its notice of intervention, public statement and notice of appearance.</w:t>
      </w:r>
      <w:r>
        <w:rPr>
          <w:rFonts w:ascii="Times New Roman" w:hAnsi="Times New Roman"/>
        </w:rPr>
        <w:tab/>
      </w:r>
    </w:p>
    <w:p w:rsidR="004D7D7B" w:rsidRDefault="004D7D7B" w:rsidP="008A5B08">
      <w:pPr>
        <w:tabs>
          <w:tab w:val="center" w:pos="4680"/>
        </w:tabs>
        <w:suppressAutoHyphens/>
        <w:spacing w:line="360" w:lineRule="auto"/>
        <w:ind w:firstLine="1440"/>
        <w:rPr>
          <w:rFonts w:ascii="Times New Roman" w:hAnsi="Times New Roman"/>
        </w:rPr>
      </w:pPr>
    </w:p>
    <w:p w:rsidR="004D7D7B" w:rsidRDefault="004D7D7B" w:rsidP="008A5B08">
      <w:pPr>
        <w:tabs>
          <w:tab w:val="center" w:pos="4680"/>
        </w:tabs>
        <w:suppressAutoHyphens/>
        <w:spacing w:line="360" w:lineRule="auto"/>
        <w:ind w:firstLine="1440"/>
        <w:rPr>
          <w:rFonts w:ascii="Times New Roman" w:hAnsi="Times New Roman"/>
        </w:rPr>
      </w:pPr>
      <w:r>
        <w:rPr>
          <w:rFonts w:ascii="Times New Roman" w:hAnsi="Times New Roman"/>
        </w:rPr>
        <w:t>On December 11. 2015, PPL Electric filed corrected tables to its Plan.</w:t>
      </w:r>
    </w:p>
    <w:p w:rsidR="004D7D7B" w:rsidRDefault="004D7D7B" w:rsidP="008A5B08">
      <w:pPr>
        <w:tabs>
          <w:tab w:val="center" w:pos="4680"/>
        </w:tabs>
        <w:suppressAutoHyphens/>
        <w:spacing w:line="360" w:lineRule="auto"/>
        <w:ind w:firstLine="1440"/>
        <w:rPr>
          <w:rFonts w:ascii="Times New Roman" w:hAnsi="Times New Roman"/>
        </w:rPr>
      </w:pPr>
    </w:p>
    <w:p w:rsidR="004D7D7B" w:rsidRDefault="004D7D7B" w:rsidP="008A5B08">
      <w:pPr>
        <w:tabs>
          <w:tab w:val="center" w:pos="4680"/>
        </w:tabs>
        <w:suppressAutoHyphens/>
        <w:spacing w:line="360" w:lineRule="auto"/>
        <w:ind w:firstLine="1440"/>
        <w:rPr>
          <w:rFonts w:ascii="Times New Roman" w:hAnsi="Times New Roman"/>
        </w:rPr>
      </w:pPr>
      <w:r>
        <w:rPr>
          <w:rFonts w:ascii="Times New Roman" w:hAnsi="Times New Roman"/>
        </w:rPr>
        <w:t xml:space="preserve">On December 17, 2015, the Coalition for Affordable Utility Services and Energy Efficiency in Pennsylvania (CAUSE-PA) filed its petition to intervene </w:t>
      </w:r>
    </w:p>
    <w:p w:rsidR="004D7D7B" w:rsidRDefault="004D7D7B" w:rsidP="008A5B08">
      <w:pPr>
        <w:tabs>
          <w:tab w:val="center" w:pos="4680"/>
        </w:tabs>
        <w:suppressAutoHyphens/>
        <w:spacing w:line="360" w:lineRule="auto"/>
        <w:ind w:firstLine="1440"/>
        <w:rPr>
          <w:rFonts w:ascii="Times New Roman" w:hAnsi="Times New Roman"/>
        </w:rPr>
      </w:pPr>
    </w:p>
    <w:p w:rsidR="00534B14" w:rsidRDefault="00534B14" w:rsidP="008A5B08">
      <w:pPr>
        <w:tabs>
          <w:tab w:val="center" w:pos="4680"/>
        </w:tabs>
        <w:suppressAutoHyphens/>
        <w:spacing w:line="360" w:lineRule="auto"/>
        <w:ind w:firstLine="1440"/>
        <w:rPr>
          <w:rFonts w:ascii="Times New Roman" w:hAnsi="Times New Roman"/>
        </w:rPr>
      </w:pPr>
      <w:r>
        <w:rPr>
          <w:rFonts w:ascii="Times New Roman" w:hAnsi="Times New Roman"/>
        </w:rPr>
        <w:t xml:space="preserve">On December 21, 2015, the Sustainable Energy Fund (SEF) filed its petition to intervene and notice of appearance.  </w:t>
      </w:r>
    </w:p>
    <w:p w:rsidR="00534B14" w:rsidRDefault="00534B14" w:rsidP="008A5B08">
      <w:pPr>
        <w:tabs>
          <w:tab w:val="center" w:pos="4680"/>
        </w:tabs>
        <w:suppressAutoHyphens/>
        <w:spacing w:line="360" w:lineRule="auto"/>
        <w:ind w:firstLine="1440"/>
        <w:rPr>
          <w:rFonts w:ascii="Times New Roman" w:hAnsi="Times New Roman"/>
        </w:rPr>
      </w:pPr>
    </w:p>
    <w:p w:rsidR="004D7D7B" w:rsidRDefault="004D7D7B" w:rsidP="008A5B08">
      <w:pPr>
        <w:tabs>
          <w:tab w:val="center" w:pos="4680"/>
        </w:tabs>
        <w:suppressAutoHyphens/>
        <w:spacing w:line="360" w:lineRule="auto"/>
        <w:ind w:firstLine="1440"/>
        <w:rPr>
          <w:rFonts w:ascii="Times New Roman" w:hAnsi="Times New Roman"/>
        </w:rPr>
      </w:pPr>
      <w:r>
        <w:rPr>
          <w:rFonts w:ascii="Times New Roman" w:hAnsi="Times New Roman"/>
        </w:rPr>
        <w:t>On December 22, 2015, the Commission on Economic Opportunity filed its petition to intervene</w:t>
      </w:r>
      <w:r w:rsidR="007669C5">
        <w:rPr>
          <w:rFonts w:ascii="Times New Roman" w:hAnsi="Times New Roman"/>
        </w:rPr>
        <w:t>.</w:t>
      </w:r>
    </w:p>
    <w:p w:rsidR="00534B14" w:rsidRDefault="00534B14" w:rsidP="008A5B08">
      <w:pPr>
        <w:tabs>
          <w:tab w:val="center" w:pos="4680"/>
        </w:tabs>
        <w:suppressAutoHyphens/>
        <w:spacing w:line="360" w:lineRule="auto"/>
        <w:ind w:firstLine="1440"/>
        <w:rPr>
          <w:rFonts w:ascii="Times New Roman" w:hAnsi="Times New Roman"/>
        </w:rPr>
      </w:pPr>
    </w:p>
    <w:p w:rsidR="00534B14" w:rsidRDefault="00534B14" w:rsidP="008A5B08">
      <w:pPr>
        <w:tabs>
          <w:tab w:val="center" w:pos="4680"/>
        </w:tabs>
        <w:suppressAutoHyphens/>
        <w:spacing w:line="360" w:lineRule="auto"/>
        <w:ind w:firstLine="1440"/>
        <w:rPr>
          <w:rFonts w:ascii="Times New Roman" w:hAnsi="Times New Roman"/>
        </w:rPr>
      </w:pPr>
      <w:r>
        <w:rPr>
          <w:rFonts w:ascii="Times New Roman" w:hAnsi="Times New Roman"/>
        </w:rPr>
        <w:t xml:space="preserve">On December 31, 2015, Wal-Mart Stores East and Sam's East, Inc. (Walmart) filed its petition to intervene.  </w:t>
      </w:r>
      <w:r w:rsidR="007669C5">
        <w:rPr>
          <w:rFonts w:ascii="Times New Roman" w:hAnsi="Times New Roman"/>
        </w:rPr>
        <w:t>Also on that date, CAUSE-PA filed its prehearing memo and letter in lieu of comments.</w:t>
      </w:r>
    </w:p>
    <w:p w:rsidR="004D7D7B" w:rsidRDefault="004D7D7B" w:rsidP="008A5B08">
      <w:pPr>
        <w:tabs>
          <w:tab w:val="center" w:pos="4680"/>
        </w:tabs>
        <w:suppressAutoHyphens/>
        <w:spacing w:line="360" w:lineRule="auto"/>
        <w:ind w:firstLine="1440"/>
        <w:rPr>
          <w:rFonts w:ascii="Times New Roman" w:hAnsi="Times New Roman"/>
        </w:rPr>
      </w:pPr>
    </w:p>
    <w:p w:rsidR="007669C5" w:rsidRDefault="004D7D7B" w:rsidP="008A5B08">
      <w:pPr>
        <w:tabs>
          <w:tab w:val="center" w:pos="4680"/>
        </w:tabs>
        <w:suppressAutoHyphens/>
        <w:spacing w:line="360" w:lineRule="auto"/>
        <w:ind w:firstLine="1440"/>
        <w:rPr>
          <w:rFonts w:ascii="Times New Roman" w:hAnsi="Times New Roman"/>
        </w:rPr>
      </w:pPr>
      <w:r>
        <w:rPr>
          <w:rFonts w:ascii="Times New Roman" w:hAnsi="Times New Roman"/>
        </w:rPr>
        <w:t>On January 4, 2016</w:t>
      </w:r>
      <w:r w:rsidR="00534B14">
        <w:rPr>
          <w:rFonts w:ascii="Times New Roman" w:hAnsi="Times New Roman"/>
        </w:rPr>
        <w:t>:  (1)</w:t>
      </w:r>
      <w:r>
        <w:rPr>
          <w:rFonts w:ascii="Times New Roman" w:hAnsi="Times New Roman"/>
        </w:rPr>
        <w:t xml:space="preserve"> Nest Labs, Inc.,</w:t>
      </w:r>
      <w:r w:rsidR="00534B14">
        <w:rPr>
          <w:rFonts w:ascii="Times New Roman" w:hAnsi="Times New Roman"/>
        </w:rPr>
        <w:t xml:space="preserve"> </w:t>
      </w:r>
      <w:r>
        <w:rPr>
          <w:rFonts w:ascii="Times New Roman" w:hAnsi="Times New Roman"/>
        </w:rPr>
        <w:t>filed its petition to intervene, comments</w:t>
      </w:r>
      <w:r w:rsidR="00534B14">
        <w:rPr>
          <w:rFonts w:ascii="Times New Roman" w:hAnsi="Times New Roman"/>
        </w:rPr>
        <w:t xml:space="preserve"> and prehearing memo; (2) the Retail Energy Supply Association (RESA) filed its petition to intervene</w:t>
      </w:r>
      <w:r w:rsidR="007669C5">
        <w:rPr>
          <w:rFonts w:ascii="Times New Roman" w:hAnsi="Times New Roman"/>
        </w:rPr>
        <w:t>, comments</w:t>
      </w:r>
      <w:r w:rsidR="00534B14">
        <w:rPr>
          <w:rFonts w:ascii="Times New Roman" w:hAnsi="Times New Roman"/>
        </w:rPr>
        <w:t xml:space="preserve"> and prehearing memo; (3) PP&amp;L Industrial Customer Alliance (PPLICA) filed its petition to intervene, answer, </w:t>
      </w:r>
      <w:r w:rsidR="007669C5">
        <w:rPr>
          <w:rFonts w:ascii="Times New Roman" w:hAnsi="Times New Roman"/>
        </w:rPr>
        <w:t xml:space="preserve">comments, </w:t>
      </w:r>
      <w:r w:rsidR="00534B14">
        <w:rPr>
          <w:rFonts w:ascii="Times New Roman" w:hAnsi="Times New Roman"/>
        </w:rPr>
        <w:t>and prehearing memo</w:t>
      </w:r>
      <w:r w:rsidR="007669C5">
        <w:rPr>
          <w:rFonts w:ascii="Times New Roman" w:hAnsi="Times New Roman"/>
        </w:rPr>
        <w:t>; and (4) OSBA filed its Answer and prehearing memo</w:t>
      </w:r>
      <w:r w:rsidR="00534B14">
        <w:rPr>
          <w:rFonts w:ascii="Times New Roman" w:hAnsi="Times New Roman"/>
        </w:rPr>
        <w:t xml:space="preserve">.  </w:t>
      </w:r>
    </w:p>
    <w:p w:rsidR="004D7D7B" w:rsidRDefault="004D7D7B" w:rsidP="007C49F8">
      <w:pPr>
        <w:tabs>
          <w:tab w:val="center" w:pos="4680"/>
        </w:tabs>
        <w:suppressAutoHyphens/>
        <w:spacing w:line="360" w:lineRule="auto"/>
        <w:rPr>
          <w:rFonts w:ascii="Times New Roman" w:hAnsi="Times New Roman"/>
        </w:rPr>
      </w:pPr>
    </w:p>
    <w:p w:rsidR="004D7D7B" w:rsidRDefault="00534B14" w:rsidP="008A5B08">
      <w:pPr>
        <w:tabs>
          <w:tab w:val="center" w:pos="4680"/>
        </w:tabs>
        <w:suppressAutoHyphens/>
        <w:spacing w:line="360" w:lineRule="auto"/>
        <w:ind w:firstLine="1440"/>
        <w:rPr>
          <w:rFonts w:ascii="Times New Roman" w:hAnsi="Times New Roman"/>
        </w:rPr>
      </w:pPr>
      <w:r>
        <w:rPr>
          <w:rFonts w:ascii="Times New Roman" w:hAnsi="Times New Roman"/>
        </w:rPr>
        <w:lastRenderedPageBreak/>
        <w:t>Prehearing memos were also filed by PPL Electric, CEO, OCA</w:t>
      </w:r>
      <w:r w:rsidR="007669C5">
        <w:rPr>
          <w:rFonts w:ascii="Times New Roman" w:hAnsi="Times New Roman"/>
        </w:rPr>
        <w:t xml:space="preserve"> (plus comments)</w:t>
      </w:r>
      <w:r>
        <w:rPr>
          <w:rFonts w:ascii="Times New Roman" w:hAnsi="Times New Roman"/>
        </w:rPr>
        <w:t xml:space="preserve">, </w:t>
      </w:r>
      <w:r w:rsidR="0026523E">
        <w:rPr>
          <w:rFonts w:ascii="Times New Roman" w:hAnsi="Times New Roman"/>
        </w:rPr>
        <w:t xml:space="preserve">SEF </w:t>
      </w:r>
      <w:r w:rsidR="007669C5">
        <w:rPr>
          <w:rFonts w:ascii="Times New Roman" w:hAnsi="Times New Roman"/>
        </w:rPr>
        <w:t xml:space="preserve">(plus comments) </w:t>
      </w:r>
      <w:r w:rsidR="0026523E">
        <w:rPr>
          <w:rFonts w:ascii="Times New Roman" w:hAnsi="Times New Roman"/>
        </w:rPr>
        <w:t xml:space="preserve">and Walmart.  </w:t>
      </w:r>
    </w:p>
    <w:p w:rsidR="0026523E" w:rsidRDefault="0026523E" w:rsidP="008A5B08">
      <w:pPr>
        <w:tabs>
          <w:tab w:val="center" w:pos="4680"/>
        </w:tabs>
        <w:suppressAutoHyphens/>
        <w:spacing w:line="360" w:lineRule="auto"/>
        <w:ind w:firstLine="1440"/>
        <w:rPr>
          <w:rFonts w:ascii="Times New Roman" w:hAnsi="Times New Roman"/>
        </w:rPr>
      </w:pPr>
    </w:p>
    <w:p w:rsidR="0026523E" w:rsidRDefault="0026523E" w:rsidP="008A5B08">
      <w:pPr>
        <w:tabs>
          <w:tab w:val="center" w:pos="4680"/>
        </w:tabs>
        <w:suppressAutoHyphens/>
        <w:spacing w:line="360" w:lineRule="auto"/>
        <w:ind w:firstLine="1440"/>
        <w:rPr>
          <w:rFonts w:ascii="Times New Roman" w:hAnsi="Times New Roman"/>
        </w:rPr>
      </w:pPr>
      <w:r>
        <w:rPr>
          <w:rFonts w:ascii="Times New Roman" w:hAnsi="Times New Roman"/>
        </w:rPr>
        <w:t xml:space="preserve">The prehearing conference was held as scheduled, with the following attorneys present:  on behalf of PPL Electric, David B. MacGregor, Esq., Paul E. Russel, Esq., Devin T. Ryan, Esq., and Kimberly A. </w:t>
      </w:r>
      <w:proofErr w:type="spellStart"/>
      <w:r>
        <w:rPr>
          <w:rFonts w:ascii="Times New Roman" w:hAnsi="Times New Roman"/>
        </w:rPr>
        <w:t>Klock</w:t>
      </w:r>
      <w:proofErr w:type="spellEnd"/>
      <w:r>
        <w:rPr>
          <w:rFonts w:ascii="Times New Roman" w:hAnsi="Times New Roman"/>
        </w:rPr>
        <w:t xml:space="preserve">, Esq.; on behalf of OCA, Amy </w:t>
      </w:r>
      <w:proofErr w:type="spellStart"/>
      <w:r>
        <w:rPr>
          <w:rFonts w:ascii="Times New Roman" w:hAnsi="Times New Roman"/>
        </w:rPr>
        <w:t>Hirakis</w:t>
      </w:r>
      <w:proofErr w:type="spellEnd"/>
      <w:r>
        <w:rPr>
          <w:rFonts w:ascii="Times New Roman" w:hAnsi="Times New Roman"/>
        </w:rPr>
        <w:t xml:space="preserve">, Esq.; on behalf of OSBA, Elizabeth Rose Triscari, Esq.; on behalf of Walmart, Barry A. </w:t>
      </w:r>
      <w:proofErr w:type="spellStart"/>
      <w:r>
        <w:rPr>
          <w:rFonts w:ascii="Times New Roman" w:hAnsi="Times New Roman"/>
        </w:rPr>
        <w:t>Naum</w:t>
      </w:r>
      <w:proofErr w:type="spellEnd"/>
      <w:r>
        <w:rPr>
          <w:rFonts w:ascii="Times New Roman" w:hAnsi="Times New Roman"/>
        </w:rPr>
        <w:t xml:space="preserve">, Esq.; on behalf of CEO, Joseph Vullo, Esq.; on behalf of CAUSE-PA, Elizabeth Marx, Esq.; on behalf of PPLICA, Adeolu Bakare, Esq.; on behalf of RESA, Sarah Stoner, Esq.; on behalf of SEF, Micah R. </w:t>
      </w:r>
      <w:proofErr w:type="spellStart"/>
      <w:r>
        <w:rPr>
          <w:rFonts w:ascii="Times New Roman" w:hAnsi="Times New Roman"/>
        </w:rPr>
        <w:t>Bucy</w:t>
      </w:r>
      <w:proofErr w:type="spellEnd"/>
      <w:r>
        <w:rPr>
          <w:rFonts w:ascii="Times New Roman" w:hAnsi="Times New Roman"/>
        </w:rPr>
        <w:t>, Esq., and Judith Cassel, Esq.; and, on behalf of Nest Labs, Inc., Scott H. DeBroff, Esq.</w:t>
      </w:r>
    </w:p>
    <w:p w:rsidR="007964F9" w:rsidRDefault="007964F9" w:rsidP="008A5B08">
      <w:pPr>
        <w:tabs>
          <w:tab w:val="center" w:pos="4680"/>
        </w:tabs>
        <w:suppressAutoHyphens/>
        <w:spacing w:line="360" w:lineRule="auto"/>
        <w:ind w:firstLine="1440"/>
        <w:rPr>
          <w:rFonts w:ascii="Times New Roman" w:hAnsi="Times New Roman"/>
        </w:rPr>
      </w:pPr>
    </w:p>
    <w:p w:rsidR="007964F9" w:rsidRDefault="007964F9" w:rsidP="008A5B08">
      <w:pPr>
        <w:tabs>
          <w:tab w:val="center" w:pos="4680"/>
        </w:tabs>
        <w:suppressAutoHyphens/>
        <w:spacing w:line="360" w:lineRule="auto"/>
        <w:ind w:firstLine="1440"/>
        <w:rPr>
          <w:rFonts w:ascii="Times New Roman" w:hAnsi="Times New Roman"/>
        </w:rPr>
      </w:pPr>
      <w:r>
        <w:rPr>
          <w:rFonts w:ascii="Times New Roman" w:hAnsi="Times New Roman"/>
        </w:rPr>
        <w:t xml:space="preserve">The parties agreed to shorten the discovery response time to ten (10) days, and for discovery after January 12, 2016, to seven (7) calendar days.  Additional shortened time periods are also included, and parties responding to discovery and filing discovery-related motions or answers are </w:t>
      </w:r>
      <w:r w:rsidR="007669C5">
        <w:rPr>
          <w:rFonts w:ascii="Times New Roman" w:hAnsi="Times New Roman"/>
        </w:rPr>
        <w:t>cautione</w:t>
      </w:r>
      <w:r>
        <w:rPr>
          <w:rFonts w:ascii="Times New Roman" w:hAnsi="Times New Roman"/>
        </w:rPr>
        <w:t>d to pay attention to these modifications in the ordering paragraphs, below.</w:t>
      </w:r>
    </w:p>
    <w:p w:rsidR="007964F9" w:rsidRDefault="007964F9" w:rsidP="008A5B08">
      <w:pPr>
        <w:tabs>
          <w:tab w:val="center" w:pos="4680"/>
        </w:tabs>
        <w:suppressAutoHyphens/>
        <w:spacing w:line="360" w:lineRule="auto"/>
        <w:ind w:firstLine="1440"/>
        <w:rPr>
          <w:rFonts w:ascii="Times New Roman" w:hAnsi="Times New Roman"/>
        </w:rPr>
      </w:pPr>
    </w:p>
    <w:p w:rsidR="007964F9" w:rsidRDefault="007964F9" w:rsidP="007964F9">
      <w:pPr>
        <w:tabs>
          <w:tab w:val="center" w:pos="4680"/>
        </w:tabs>
        <w:suppressAutoHyphens/>
        <w:spacing w:line="360" w:lineRule="auto"/>
        <w:ind w:firstLine="1440"/>
        <w:rPr>
          <w:rFonts w:ascii="Times New Roman" w:hAnsi="Times New Roman"/>
        </w:rPr>
      </w:pPr>
      <w:r>
        <w:rPr>
          <w:rFonts w:ascii="Times New Roman" w:hAnsi="Times New Roman"/>
        </w:rPr>
        <w:t>The parties agreed upon a litigation schedule, which is adopted in the ordering paragraphs below.   In addition, the parties agreed to slight modifications to the common briefing outline, attached to this Scheduling Order as Appendix A.  While there is no requirement that the parties file briefs, those who do file briefs are required to follow the common outline.  Note that there is no requirement that all topics be addressed by all briefing parties, but the parties should adhere to the numbering in the common outline and indicate that topics not addressed are skipped.</w:t>
      </w:r>
    </w:p>
    <w:p w:rsidR="00333448" w:rsidRDefault="00333448" w:rsidP="007964F9">
      <w:pPr>
        <w:tabs>
          <w:tab w:val="center" w:pos="4680"/>
        </w:tabs>
        <w:suppressAutoHyphens/>
        <w:spacing w:line="360" w:lineRule="auto"/>
        <w:ind w:firstLine="1440"/>
        <w:rPr>
          <w:rFonts w:ascii="Times New Roman" w:hAnsi="Times New Roman"/>
        </w:rPr>
      </w:pPr>
      <w:r>
        <w:rPr>
          <w:rFonts w:ascii="Times New Roman" w:hAnsi="Times New Roman"/>
        </w:rPr>
        <w:br w:type="page"/>
      </w:r>
    </w:p>
    <w:p w:rsidR="00333448" w:rsidRDefault="00333448" w:rsidP="007964F9">
      <w:pPr>
        <w:tabs>
          <w:tab w:val="center" w:pos="4680"/>
        </w:tabs>
        <w:suppressAutoHyphens/>
        <w:spacing w:line="360" w:lineRule="auto"/>
        <w:ind w:firstLine="1440"/>
        <w:rPr>
          <w:rFonts w:ascii="Times New Roman" w:hAnsi="Times New Roman"/>
        </w:rPr>
      </w:pPr>
    </w:p>
    <w:p w:rsidR="00333448" w:rsidRDefault="00333448" w:rsidP="00333448">
      <w:pPr>
        <w:tabs>
          <w:tab w:val="center" w:pos="4680"/>
        </w:tabs>
        <w:suppressAutoHyphens/>
        <w:spacing w:line="360" w:lineRule="auto"/>
        <w:jc w:val="center"/>
        <w:rPr>
          <w:rFonts w:ascii="Times New Roman" w:hAnsi="Times New Roman"/>
          <w:u w:val="single"/>
        </w:rPr>
      </w:pPr>
      <w:r w:rsidRPr="00333448">
        <w:rPr>
          <w:rFonts w:ascii="Times New Roman" w:hAnsi="Times New Roman"/>
          <w:u w:val="single"/>
        </w:rPr>
        <w:t>ORDER</w:t>
      </w:r>
    </w:p>
    <w:p w:rsidR="00333448" w:rsidRPr="00333448" w:rsidRDefault="00333448" w:rsidP="00333448">
      <w:pPr>
        <w:tabs>
          <w:tab w:val="center" w:pos="4680"/>
        </w:tabs>
        <w:suppressAutoHyphens/>
        <w:spacing w:line="360" w:lineRule="auto"/>
        <w:rPr>
          <w:rFonts w:ascii="Times New Roman" w:hAnsi="Times New Roman"/>
          <w:u w:val="single"/>
        </w:rPr>
      </w:pPr>
    </w:p>
    <w:p w:rsidR="007964F9" w:rsidRDefault="007964F9" w:rsidP="007964F9">
      <w:pPr>
        <w:tabs>
          <w:tab w:val="center" w:pos="4680"/>
        </w:tabs>
        <w:suppressAutoHyphens/>
        <w:spacing w:line="360" w:lineRule="auto"/>
        <w:ind w:firstLine="1440"/>
        <w:rPr>
          <w:rFonts w:ascii="Times New Roman" w:hAnsi="Times New Roman"/>
        </w:rPr>
      </w:pPr>
    </w:p>
    <w:p w:rsidR="007964F9" w:rsidRDefault="007964F9" w:rsidP="007964F9">
      <w:pPr>
        <w:tabs>
          <w:tab w:val="center" w:pos="4680"/>
        </w:tabs>
        <w:suppressAutoHyphens/>
        <w:spacing w:line="360" w:lineRule="auto"/>
        <w:ind w:firstLine="1440"/>
        <w:rPr>
          <w:rFonts w:ascii="Times New Roman" w:hAnsi="Times New Roman"/>
        </w:rPr>
      </w:pPr>
      <w:r>
        <w:rPr>
          <w:rFonts w:ascii="Times New Roman" w:hAnsi="Times New Roman"/>
        </w:rPr>
        <w:t>THEREFORE,</w:t>
      </w:r>
    </w:p>
    <w:p w:rsidR="007964F9" w:rsidRDefault="007964F9" w:rsidP="007964F9">
      <w:pPr>
        <w:tabs>
          <w:tab w:val="center" w:pos="4680"/>
        </w:tabs>
        <w:suppressAutoHyphens/>
        <w:spacing w:line="360" w:lineRule="auto"/>
        <w:ind w:firstLine="1440"/>
        <w:rPr>
          <w:rFonts w:ascii="Times New Roman" w:hAnsi="Times New Roman"/>
        </w:rPr>
      </w:pPr>
    </w:p>
    <w:p w:rsidR="007964F9" w:rsidRDefault="007964F9" w:rsidP="007964F9">
      <w:pPr>
        <w:tabs>
          <w:tab w:val="center" w:pos="4680"/>
        </w:tabs>
        <w:suppressAutoHyphens/>
        <w:spacing w:line="360" w:lineRule="auto"/>
        <w:ind w:firstLine="1440"/>
        <w:rPr>
          <w:rFonts w:ascii="Times New Roman" w:hAnsi="Times New Roman"/>
        </w:rPr>
      </w:pPr>
      <w:r>
        <w:rPr>
          <w:rFonts w:ascii="Times New Roman" w:hAnsi="Times New Roman"/>
        </w:rPr>
        <w:t>IT IS ORDERED:</w:t>
      </w:r>
    </w:p>
    <w:p w:rsidR="007964F9" w:rsidRDefault="007964F9" w:rsidP="007964F9">
      <w:pPr>
        <w:tabs>
          <w:tab w:val="center" w:pos="4680"/>
        </w:tabs>
        <w:suppressAutoHyphens/>
        <w:spacing w:line="360" w:lineRule="auto"/>
        <w:ind w:firstLine="1440"/>
        <w:rPr>
          <w:rFonts w:ascii="Times New Roman" w:hAnsi="Times New Roman"/>
        </w:rPr>
      </w:pPr>
    </w:p>
    <w:p w:rsidR="007964F9" w:rsidRDefault="007964F9" w:rsidP="007964F9">
      <w:pPr>
        <w:tabs>
          <w:tab w:val="center" w:pos="4680"/>
        </w:tabs>
        <w:suppressAutoHyphens/>
        <w:spacing w:line="360" w:lineRule="auto"/>
        <w:ind w:firstLine="1440"/>
        <w:rPr>
          <w:rFonts w:ascii="Times New Roman" w:hAnsi="Times New Roman"/>
        </w:rPr>
      </w:pPr>
      <w:r>
        <w:rPr>
          <w:rFonts w:ascii="Times New Roman" w:hAnsi="Times New Roman"/>
        </w:rPr>
        <w:t xml:space="preserve">1.     That the petitions to intervene of the following parties are granted:  </w:t>
      </w:r>
      <w:r w:rsidR="00355847">
        <w:rPr>
          <w:rFonts w:ascii="Times New Roman" w:hAnsi="Times New Roman"/>
        </w:rPr>
        <w:t>the Commission on Economic Opportunity, the Coalition for Affordable Utility Services and Energy Efficiency in Pennsylvania, Nest Labs, Inc., the PP&amp;L Industrial Customer Alliance, the Retail Energy Supply Association, the Sustainable Energy Fund, and Wal-Mart Stores East and Sam's East, Inc.</w:t>
      </w:r>
    </w:p>
    <w:p w:rsidR="00355847" w:rsidRDefault="00355847" w:rsidP="007964F9">
      <w:pPr>
        <w:tabs>
          <w:tab w:val="center" w:pos="4680"/>
        </w:tabs>
        <w:suppressAutoHyphens/>
        <w:spacing w:line="360" w:lineRule="auto"/>
        <w:ind w:firstLine="1440"/>
        <w:rPr>
          <w:rFonts w:ascii="Times New Roman" w:hAnsi="Times New Roman"/>
        </w:rPr>
      </w:pPr>
    </w:p>
    <w:p w:rsidR="00355847" w:rsidRDefault="00355847" w:rsidP="007964F9">
      <w:pPr>
        <w:tabs>
          <w:tab w:val="center" w:pos="4680"/>
        </w:tabs>
        <w:suppressAutoHyphens/>
        <w:spacing w:line="360" w:lineRule="auto"/>
        <w:ind w:firstLine="1440"/>
        <w:rPr>
          <w:rFonts w:ascii="Times New Roman" w:hAnsi="Times New Roman"/>
        </w:rPr>
      </w:pPr>
      <w:r>
        <w:rPr>
          <w:rFonts w:ascii="Times New Roman" w:hAnsi="Times New Roman"/>
        </w:rPr>
        <w:t>2.     That the following litigation schedule is adopted:</w:t>
      </w:r>
    </w:p>
    <w:p w:rsidR="00355847" w:rsidRDefault="00355847" w:rsidP="007964F9">
      <w:pPr>
        <w:tabs>
          <w:tab w:val="center" w:pos="4680"/>
        </w:tabs>
        <w:suppressAutoHyphens/>
        <w:spacing w:line="360" w:lineRule="auto"/>
        <w:ind w:firstLine="1440"/>
        <w:rPr>
          <w:rFonts w:ascii="Times New Roman" w:hAnsi="Times New Roman"/>
        </w:rPr>
      </w:pPr>
    </w:p>
    <w:p w:rsidR="00355847" w:rsidRDefault="00355847" w:rsidP="007964F9">
      <w:pPr>
        <w:tabs>
          <w:tab w:val="center" w:pos="4680"/>
        </w:tabs>
        <w:suppressAutoHyphens/>
        <w:spacing w:line="360" w:lineRule="auto"/>
        <w:ind w:firstLine="1440"/>
        <w:rPr>
          <w:rFonts w:ascii="Times New Roman" w:hAnsi="Times New Roman"/>
        </w:rPr>
      </w:pPr>
      <w:r>
        <w:rPr>
          <w:rFonts w:ascii="Times New Roman" w:hAnsi="Times New Roman"/>
        </w:rPr>
        <w:tab/>
        <w:t>Due Date</w:t>
      </w:r>
    </w:p>
    <w:p w:rsidR="00355847" w:rsidRDefault="00355847" w:rsidP="007964F9">
      <w:pPr>
        <w:tabs>
          <w:tab w:val="center" w:pos="4680"/>
        </w:tabs>
        <w:suppressAutoHyphens/>
        <w:spacing w:line="360" w:lineRule="auto"/>
        <w:ind w:firstLine="1440"/>
        <w:rPr>
          <w:rFonts w:ascii="Times New Roman" w:hAnsi="Times New Roman"/>
        </w:rPr>
      </w:pPr>
      <w:r>
        <w:rPr>
          <w:rFonts w:ascii="Times New Roman" w:hAnsi="Times New Roman"/>
        </w:rPr>
        <w:t>Other parties' direct</w:t>
      </w:r>
      <w:r>
        <w:rPr>
          <w:rFonts w:ascii="Times New Roman" w:hAnsi="Times New Roman"/>
        </w:rPr>
        <w:tab/>
        <w:t>January 12, 2016</w:t>
      </w:r>
    </w:p>
    <w:p w:rsidR="00355847" w:rsidRDefault="00355847" w:rsidP="007964F9">
      <w:pPr>
        <w:tabs>
          <w:tab w:val="center" w:pos="4680"/>
        </w:tabs>
        <w:suppressAutoHyphens/>
        <w:spacing w:line="360" w:lineRule="auto"/>
        <w:ind w:firstLine="1440"/>
        <w:rPr>
          <w:rFonts w:ascii="Times New Roman" w:hAnsi="Times New Roman"/>
        </w:rPr>
      </w:pPr>
      <w:r>
        <w:rPr>
          <w:rFonts w:ascii="Times New Roman" w:hAnsi="Times New Roman"/>
        </w:rPr>
        <w:t>Settlement discussion</w:t>
      </w:r>
      <w:r>
        <w:rPr>
          <w:rFonts w:ascii="Times New Roman" w:hAnsi="Times New Roman"/>
        </w:rPr>
        <w:tab/>
        <w:t>January 14, 2016</w:t>
      </w:r>
    </w:p>
    <w:p w:rsidR="00355847" w:rsidRDefault="00355847" w:rsidP="007964F9">
      <w:pPr>
        <w:tabs>
          <w:tab w:val="center" w:pos="4680"/>
        </w:tabs>
        <w:suppressAutoHyphens/>
        <w:spacing w:line="360" w:lineRule="auto"/>
        <w:ind w:firstLine="1440"/>
        <w:rPr>
          <w:rFonts w:ascii="Times New Roman" w:hAnsi="Times New Roman"/>
        </w:rPr>
      </w:pPr>
      <w:r>
        <w:rPr>
          <w:rFonts w:ascii="Times New Roman" w:hAnsi="Times New Roman"/>
        </w:rPr>
        <w:t>Rebuttal testimony</w:t>
      </w:r>
      <w:r>
        <w:rPr>
          <w:rFonts w:ascii="Times New Roman" w:hAnsi="Times New Roman"/>
        </w:rPr>
        <w:tab/>
        <w:t>January 25, 2016</w:t>
      </w:r>
    </w:p>
    <w:p w:rsidR="00355847" w:rsidRDefault="00355847" w:rsidP="007964F9">
      <w:pPr>
        <w:tabs>
          <w:tab w:val="center" w:pos="4680"/>
        </w:tabs>
        <w:suppressAutoHyphens/>
        <w:spacing w:line="360" w:lineRule="auto"/>
        <w:ind w:firstLine="1440"/>
        <w:rPr>
          <w:rFonts w:ascii="Times New Roman" w:hAnsi="Times New Roman"/>
        </w:rPr>
      </w:pPr>
      <w:r>
        <w:rPr>
          <w:rFonts w:ascii="Times New Roman" w:hAnsi="Times New Roman"/>
        </w:rPr>
        <w:t>Hearing</w:t>
      </w:r>
      <w:r>
        <w:rPr>
          <w:rFonts w:ascii="Times New Roman" w:hAnsi="Times New Roman"/>
        </w:rPr>
        <w:tab/>
        <w:t>January 29, 2016</w:t>
      </w:r>
    </w:p>
    <w:p w:rsidR="00355847" w:rsidRDefault="00355847" w:rsidP="007964F9">
      <w:pPr>
        <w:tabs>
          <w:tab w:val="center" w:pos="4680"/>
        </w:tabs>
        <w:suppressAutoHyphens/>
        <w:spacing w:line="360" w:lineRule="auto"/>
        <w:ind w:firstLine="1440"/>
        <w:rPr>
          <w:rFonts w:ascii="Times New Roman" w:hAnsi="Times New Roman"/>
        </w:rPr>
      </w:pPr>
      <w:r>
        <w:rPr>
          <w:rFonts w:ascii="Times New Roman" w:hAnsi="Times New Roman"/>
        </w:rPr>
        <w:t>Main briefs</w:t>
      </w:r>
      <w:r>
        <w:rPr>
          <w:rFonts w:ascii="Times New Roman" w:hAnsi="Times New Roman"/>
        </w:rPr>
        <w:tab/>
        <w:t>February 16, 2016</w:t>
      </w:r>
    </w:p>
    <w:p w:rsidR="00355847" w:rsidRDefault="00355847" w:rsidP="007964F9">
      <w:pPr>
        <w:tabs>
          <w:tab w:val="center" w:pos="4680"/>
        </w:tabs>
        <w:suppressAutoHyphens/>
        <w:spacing w:line="360" w:lineRule="auto"/>
        <w:ind w:firstLine="1440"/>
        <w:rPr>
          <w:rFonts w:ascii="Times New Roman" w:hAnsi="Times New Roman"/>
        </w:rPr>
      </w:pPr>
      <w:r>
        <w:rPr>
          <w:rFonts w:ascii="Times New Roman" w:hAnsi="Times New Roman"/>
        </w:rPr>
        <w:t>Reply comment/revised plan</w:t>
      </w:r>
      <w:r>
        <w:rPr>
          <w:rFonts w:ascii="Times New Roman" w:hAnsi="Times New Roman"/>
        </w:rPr>
        <w:tab/>
        <w:t xml:space="preserve">  February 18, 2016</w:t>
      </w:r>
    </w:p>
    <w:p w:rsidR="00355847" w:rsidRDefault="00355847" w:rsidP="007964F9">
      <w:pPr>
        <w:tabs>
          <w:tab w:val="center" w:pos="4680"/>
        </w:tabs>
        <w:suppressAutoHyphens/>
        <w:spacing w:line="360" w:lineRule="auto"/>
        <w:ind w:firstLine="1440"/>
        <w:rPr>
          <w:rFonts w:ascii="Times New Roman" w:hAnsi="Times New Roman"/>
        </w:rPr>
      </w:pPr>
      <w:r>
        <w:rPr>
          <w:rFonts w:ascii="Times New Roman" w:hAnsi="Times New Roman"/>
        </w:rPr>
        <w:t>Record certification</w:t>
      </w:r>
      <w:r>
        <w:rPr>
          <w:rFonts w:ascii="Times New Roman" w:hAnsi="Times New Roman"/>
        </w:rPr>
        <w:tab/>
        <w:t>February 19, 2016</w:t>
      </w:r>
    </w:p>
    <w:p w:rsidR="00355847" w:rsidRDefault="00355847" w:rsidP="00333448">
      <w:pPr>
        <w:tabs>
          <w:tab w:val="center" w:pos="4680"/>
        </w:tabs>
        <w:suppressAutoHyphens/>
        <w:spacing w:line="360" w:lineRule="auto"/>
        <w:ind w:firstLine="1440"/>
        <w:rPr>
          <w:rFonts w:ascii="Times New Roman" w:hAnsi="Times New Roman"/>
        </w:rPr>
      </w:pPr>
    </w:p>
    <w:p w:rsidR="008D1C18" w:rsidRDefault="008D1C18" w:rsidP="00333448">
      <w:pPr>
        <w:spacing w:line="360" w:lineRule="auto"/>
      </w:pPr>
      <w:r>
        <w:t>3.</w:t>
      </w:r>
      <w:r>
        <w:tab/>
        <w:t>That the Commission's regulations regarding discovery are modified as follows:</w:t>
      </w:r>
    </w:p>
    <w:p w:rsidR="008D1C18" w:rsidRDefault="008D1C18" w:rsidP="00333448">
      <w:pPr>
        <w:spacing w:line="360" w:lineRule="auto"/>
      </w:pPr>
    </w:p>
    <w:p w:rsidR="008D1C18" w:rsidRDefault="008D1C18" w:rsidP="008D1C18">
      <w:pPr>
        <w:ind w:left="720"/>
        <w:contextualSpacing/>
      </w:pPr>
      <w:r>
        <w:tab/>
        <w:t>A.</w:t>
      </w:r>
      <w:r>
        <w:tab/>
        <w:t>Answers to written interrogatories shall be served in-hand within ten (10) calendar days of service of the interrogatories.</w:t>
      </w:r>
      <w:r w:rsidR="008955CF">
        <w:t xml:space="preserve">  Answers to written interrogatories served after January 12, 2016 shall be served in-hand within seven (7) calendar days of service of the interrogatories.</w:t>
      </w:r>
    </w:p>
    <w:p w:rsidR="008D1C18" w:rsidRDefault="008D1C18" w:rsidP="008D1C18">
      <w:pPr>
        <w:ind w:left="720"/>
        <w:contextualSpacing/>
      </w:pPr>
    </w:p>
    <w:p w:rsidR="008D1C18" w:rsidRDefault="008D1C18" w:rsidP="008D1C18">
      <w:pPr>
        <w:ind w:left="720"/>
        <w:contextualSpacing/>
      </w:pPr>
      <w:r>
        <w:lastRenderedPageBreak/>
        <w:tab/>
        <w:t>B.</w:t>
      </w:r>
      <w:r>
        <w:tab/>
        <w:t>Objections to interrogatories shall be communicated orally within three (3) days of service; unresolved objections shall be served to the ALJ in writing within five (5) days of service of interrogatories.</w:t>
      </w:r>
    </w:p>
    <w:p w:rsidR="008D1C18" w:rsidRDefault="008D1C18" w:rsidP="008D1C18">
      <w:pPr>
        <w:ind w:left="720"/>
        <w:contextualSpacing/>
      </w:pPr>
    </w:p>
    <w:p w:rsidR="008D1C18" w:rsidRDefault="008D1C18" w:rsidP="008D1C18">
      <w:pPr>
        <w:ind w:left="720"/>
        <w:contextualSpacing/>
      </w:pPr>
      <w:r>
        <w:tab/>
        <w:t>C.</w:t>
      </w:r>
      <w:r>
        <w:tab/>
        <w:t>Motions to dismiss objections and/or direct the answering of interrogatories shall be filed within three (3) days of service or written objections.</w:t>
      </w:r>
    </w:p>
    <w:p w:rsidR="008D1C18" w:rsidRDefault="008D1C18" w:rsidP="008D1C18">
      <w:pPr>
        <w:ind w:left="720"/>
        <w:contextualSpacing/>
      </w:pPr>
    </w:p>
    <w:p w:rsidR="008D1C18" w:rsidRDefault="008D1C18" w:rsidP="008D1C18">
      <w:pPr>
        <w:ind w:left="720"/>
        <w:contextualSpacing/>
      </w:pPr>
      <w:r>
        <w:tab/>
        <w:t>D.</w:t>
      </w:r>
      <w:r>
        <w:tab/>
        <w:t>Answers to motions to dismiss objections and/or direct the answering of interrogatories shall be filed within three (3) days of service of such motions.</w:t>
      </w:r>
    </w:p>
    <w:p w:rsidR="008D1C18" w:rsidRDefault="008D1C18" w:rsidP="008D1C18">
      <w:pPr>
        <w:ind w:left="720"/>
        <w:contextualSpacing/>
      </w:pPr>
    </w:p>
    <w:p w:rsidR="008D1C18" w:rsidRDefault="008D1C18" w:rsidP="008D1C18">
      <w:pPr>
        <w:ind w:left="720"/>
        <w:contextualSpacing/>
      </w:pPr>
      <w:r>
        <w:tab/>
        <w:t>E.</w:t>
      </w:r>
      <w:r>
        <w:tab/>
        <w:t>Requests for admissions will be deemed admitted unless answered within ten (10) calendar days or objected to within five (5) calendar days of service of the requests.</w:t>
      </w:r>
      <w:r>
        <w:tab/>
      </w:r>
    </w:p>
    <w:p w:rsidR="008D1C18" w:rsidRDefault="008D1C18" w:rsidP="008D1C18">
      <w:pPr>
        <w:ind w:left="720"/>
        <w:contextualSpacing/>
      </w:pPr>
    </w:p>
    <w:p w:rsidR="008D1C18" w:rsidRDefault="008D1C18" w:rsidP="008D1C18">
      <w:pPr>
        <w:ind w:left="720"/>
        <w:contextualSpacing/>
      </w:pPr>
      <w:r>
        <w:tab/>
        <w:t>F.</w:t>
      </w:r>
      <w:r>
        <w:tab/>
        <w:t xml:space="preserve">Discovery served after 12:00 PM on a Friday will be deemed to have been served on the following business day.  </w:t>
      </w:r>
    </w:p>
    <w:p w:rsidR="008D1C18" w:rsidRDefault="008D1C18" w:rsidP="008D1C18">
      <w:pPr>
        <w:ind w:left="720"/>
        <w:contextualSpacing/>
      </w:pPr>
    </w:p>
    <w:p w:rsidR="008D1C18" w:rsidRDefault="008D1C18" w:rsidP="008D1C18">
      <w:pPr>
        <w:ind w:left="720"/>
        <w:contextualSpacing/>
      </w:pPr>
      <w:r>
        <w:tab/>
        <w:t>G.</w:t>
      </w:r>
      <w:r>
        <w:tab/>
        <w:t xml:space="preserve">Discovery due dates are "in-hand."  Electronic or fax service on the due date will satisfy the "in-hand" requirement, where such service is immediately followed by a hard copy sent by first-class mail.  </w:t>
      </w:r>
    </w:p>
    <w:p w:rsidR="00355847" w:rsidRDefault="00355847" w:rsidP="00333448">
      <w:pPr>
        <w:spacing w:line="360" w:lineRule="auto"/>
        <w:ind w:left="720"/>
        <w:contextualSpacing/>
      </w:pPr>
    </w:p>
    <w:p w:rsidR="00355847" w:rsidRDefault="00355847" w:rsidP="00333448">
      <w:pPr>
        <w:spacing w:line="360" w:lineRule="auto"/>
      </w:pPr>
      <w:r>
        <w:tab/>
      </w:r>
      <w:r>
        <w:tab/>
        <w:t>6.</w:t>
      </w:r>
      <w:r>
        <w:tab/>
        <w:t>That discovery disputes may be resolved via telephone conference with the presiding officer without need of a motion to compel, although the propounding party may choose to file a formal motion to compel.</w:t>
      </w:r>
    </w:p>
    <w:p w:rsidR="00355847" w:rsidRDefault="00355847" w:rsidP="00333448">
      <w:pPr>
        <w:spacing w:line="360" w:lineRule="auto"/>
      </w:pPr>
    </w:p>
    <w:p w:rsidR="00355847" w:rsidRDefault="00355847" w:rsidP="00333448">
      <w:pPr>
        <w:spacing w:line="360" w:lineRule="auto"/>
      </w:pPr>
      <w:r>
        <w:tab/>
      </w:r>
      <w:r>
        <w:tab/>
      </w:r>
      <w:r w:rsidR="008955CF">
        <w:t>7</w:t>
      </w:r>
      <w:r>
        <w:t>.</w:t>
      </w:r>
      <w:r>
        <w:tab/>
        <w:t xml:space="preserve">Testimony shall be served but not filed.  </w:t>
      </w:r>
    </w:p>
    <w:p w:rsidR="00355847" w:rsidRDefault="00355847" w:rsidP="00333448">
      <w:pPr>
        <w:spacing w:line="360" w:lineRule="auto"/>
      </w:pPr>
    </w:p>
    <w:p w:rsidR="00355847" w:rsidRDefault="00355847" w:rsidP="00333448">
      <w:pPr>
        <w:spacing w:line="360" w:lineRule="auto"/>
      </w:pPr>
      <w:r>
        <w:tab/>
      </w:r>
      <w:r>
        <w:tab/>
      </w:r>
      <w:r w:rsidR="008955CF">
        <w:t>8</w:t>
      </w:r>
      <w:r>
        <w:t>.</w:t>
      </w:r>
      <w:r>
        <w:tab/>
      </w:r>
      <w:r w:rsidR="008955CF">
        <w:t>Three days</w:t>
      </w:r>
      <w:r>
        <w:t xml:space="preserve"> prior to the start of the evidentiary hearings, the Complainant shall provide a completed daily witness listing and cross-examination grid to the presiding officer.  Parties shall complete the daily witness listing and cross-examination grid as developed by the Company.  </w:t>
      </w:r>
    </w:p>
    <w:p w:rsidR="008955CF" w:rsidRDefault="008955CF" w:rsidP="008955CF">
      <w:pPr>
        <w:spacing w:line="360" w:lineRule="auto"/>
      </w:pPr>
    </w:p>
    <w:p w:rsidR="008955CF" w:rsidRDefault="008955CF" w:rsidP="008955CF">
      <w:pPr>
        <w:spacing w:line="360" w:lineRule="auto"/>
      </w:pPr>
      <w:r>
        <w:tab/>
      </w:r>
      <w:r>
        <w:tab/>
        <w:t>9.</w:t>
      </w:r>
      <w:r>
        <w:tab/>
        <w:t xml:space="preserve">Briefs must comply with 52 Pa. Code §§ 5.501 and 5.502, and shall </w:t>
      </w:r>
    </w:p>
    <w:p w:rsidR="008955CF" w:rsidRDefault="008955CF" w:rsidP="008955CF">
      <w:pPr>
        <w:spacing w:line="360" w:lineRule="auto"/>
      </w:pPr>
      <w:r>
        <w:t>follow the common briefing outline, attached to this Scheduling Order as Appendix A.  The numbering for sections not addresses by a party shall be included and marked as "not addressed." (For example:  "V.A.2.  Not addressed.")</w:t>
      </w:r>
    </w:p>
    <w:p w:rsidR="002035A8" w:rsidRDefault="002035A8" w:rsidP="008955CF">
      <w:pPr>
        <w:spacing w:line="360" w:lineRule="auto"/>
      </w:pPr>
      <w:r>
        <w:br w:type="page"/>
      </w:r>
    </w:p>
    <w:p w:rsidR="008955CF" w:rsidRDefault="008955CF" w:rsidP="008955CF">
      <w:pPr>
        <w:spacing w:line="360" w:lineRule="auto"/>
      </w:pPr>
    </w:p>
    <w:p w:rsidR="008955CF" w:rsidRDefault="008955CF" w:rsidP="008955CF">
      <w:pPr>
        <w:spacing w:line="360" w:lineRule="auto"/>
      </w:pPr>
      <w:r>
        <w:tab/>
      </w:r>
      <w:r>
        <w:tab/>
        <w:t>10.</w:t>
      </w:r>
      <w:r>
        <w:tab/>
        <w:t xml:space="preserve">All parties are directed to comply with the provisions of 52 Pa. Code </w:t>
      </w:r>
    </w:p>
    <w:p w:rsidR="008955CF" w:rsidRDefault="008955CF" w:rsidP="008955CF">
      <w:pPr>
        <w:spacing w:line="360" w:lineRule="auto"/>
      </w:pPr>
      <w:r>
        <w:t>§ 5.243(e) which prohibits the introduction of evidence during rebuttal or surrebuttal which should have been included in the case-in-chief or which substantially varies from the case-in-chief, unless the evidence is introduced in support of a proposed settlement.</w:t>
      </w:r>
    </w:p>
    <w:p w:rsidR="008955CF" w:rsidRDefault="008955CF" w:rsidP="008955CF">
      <w:pPr>
        <w:spacing w:line="360" w:lineRule="auto"/>
      </w:pPr>
    </w:p>
    <w:p w:rsidR="00355847" w:rsidRDefault="00355847" w:rsidP="008955CF">
      <w:pPr>
        <w:spacing w:line="360" w:lineRule="auto"/>
      </w:pPr>
    </w:p>
    <w:p w:rsidR="00355847" w:rsidRDefault="00355847" w:rsidP="00355847">
      <w:r>
        <w:t xml:space="preserve">Dated: </w:t>
      </w:r>
      <w:r>
        <w:tab/>
      </w:r>
      <w:r w:rsidR="00E608FF">
        <w:rPr>
          <w:u w:val="single"/>
        </w:rPr>
        <w:t>January 7</w:t>
      </w:r>
      <w:r w:rsidR="008955CF">
        <w:rPr>
          <w:u w:val="single"/>
        </w:rPr>
        <w:t>, 2016</w:t>
      </w:r>
      <w:r w:rsidR="00A43872">
        <w:tab/>
      </w:r>
      <w:r w:rsidR="00A43872">
        <w:tab/>
      </w:r>
      <w:r w:rsidR="00A43872">
        <w:tab/>
      </w:r>
      <w:r w:rsidR="0089025C">
        <w:tab/>
      </w:r>
      <w:bookmarkStart w:id="0" w:name="_GoBack"/>
      <w:bookmarkEnd w:id="0"/>
      <w:r w:rsidR="00A43872">
        <w:t>__________________________________</w:t>
      </w:r>
    </w:p>
    <w:p w:rsidR="00355847" w:rsidRDefault="00355847" w:rsidP="00355847">
      <w:pPr>
        <w:ind w:left="720"/>
      </w:pPr>
      <w:r>
        <w:tab/>
      </w:r>
      <w:r>
        <w:tab/>
      </w:r>
      <w:r>
        <w:tab/>
      </w:r>
      <w:r>
        <w:tab/>
      </w:r>
      <w:r>
        <w:tab/>
      </w:r>
      <w:r>
        <w:tab/>
        <w:t>Susan D. Colwell</w:t>
      </w:r>
    </w:p>
    <w:p w:rsidR="002035A8" w:rsidRDefault="00355847" w:rsidP="00355847">
      <w:pPr>
        <w:ind w:left="720"/>
        <w:sectPr w:rsidR="002035A8" w:rsidSect="00613C61">
          <w:footerReference w:type="default" r:id="rId9"/>
          <w:footerReference w:type="first" r:id="rId10"/>
          <w:pgSz w:w="12240" w:h="15840"/>
          <w:pgMar w:top="1440" w:right="1440" w:bottom="1440" w:left="1440" w:header="720" w:footer="720" w:gutter="0"/>
          <w:cols w:space="720"/>
          <w:titlePg/>
          <w:docGrid w:linePitch="360"/>
        </w:sectPr>
      </w:pPr>
      <w:r>
        <w:tab/>
      </w:r>
      <w:r>
        <w:tab/>
      </w:r>
      <w:r>
        <w:tab/>
      </w:r>
      <w:r>
        <w:tab/>
      </w:r>
      <w:r>
        <w:tab/>
      </w:r>
      <w:r>
        <w:tab/>
        <w:t>Administrative Law Judge</w:t>
      </w:r>
    </w:p>
    <w:p w:rsidR="002035A8" w:rsidRDefault="002035A8" w:rsidP="002035A8">
      <w:pPr>
        <w:rPr>
          <w:rFonts w:ascii="Microsoft Sans Serif"/>
          <w:b/>
          <w:u w:val="single"/>
        </w:rPr>
      </w:pPr>
      <w:r>
        <w:rPr>
          <w:rFonts w:ascii="Microsoft Sans Serif"/>
          <w:b/>
          <w:u w:val="single"/>
        </w:rPr>
        <w:lastRenderedPageBreak/>
        <w:t xml:space="preserve">M-2015-2515642 -  PETITION OF </w:t>
      </w:r>
      <w:r w:rsidRPr="002A046A">
        <w:rPr>
          <w:rFonts w:ascii="Microsoft Sans Serif"/>
          <w:b/>
          <w:u w:val="single"/>
        </w:rPr>
        <w:t>PPL ELECTRIC UTILITIES CORPORATION FOR APPROVAL OF ITS ACT 129 PHASE III ENERGY EFFICIENCY &amp; CONSERVATION PLAN.</w:t>
      </w:r>
    </w:p>
    <w:p w:rsidR="002035A8" w:rsidRDefault="002035A8" w:rsidP="002035A8">
      <w:pPr>
        <w:rPr>
          <w:rFonts w:ascii="Microsoft Sans Serif"/>
          <w:b/>
          <w:u w:val="single"/>
        </w:rPr>
      </w:pPr>
    </w:p>
    <w:p w:rsidR="002035A8" w:rsidRPr="004A0978" w:rsidRDefault="002035A8" w:rsidP="002035A8">
      <w:pPr>
        <w:rPr>
          <w:rFonts w:ascii="Microsoft Sans Serif"/>
          <w:b/>
          <w:i/>
          <w:u w:val="single"/>
        </w:rPr>
      </w:pPr>
      <w:r>
        <w:rPr>
          <w:rFonts w:ascii="Microsoft Sans Serif"/>
          <w:b/>
          <w:i/>
          <w:u w:val="single"/>
        </w:rPr>
        <w:t>Revised 1/6/16</w:t>
      </w:r>
    </w:p>
    <w:p w:rsidR="002035A8" w:rsidRDefault="002035A8" w:rsidP="002035A8">
      <w:pPr>
        <w:rPr>
          <w:rFonts w:ascii="Microsoft Sans Serif"/>
        </w:rPr>
      </w:pPr>
    </w:p>
    <w:p w:rsidR="002035A8" w:rsidRDefault="002035A8" w:rsidP="002035A8">
      <w:pPr>
        <w:rPr>
          <w:rFonts w:ascii="Microsoft Sans Serif"/>
        </w:rPr>
        <w:sectPr w:rsidR="002035A8" w:rsidSect="008955CF">
          <w:pgSz w:w="12240" w:h="15840"/>
          <w:pgMar w:top="1440" w:right="1440" w:bottom="1440" w:left="1440" w:header="720" w:footer="720" w:gutter="0"/>
          <w:cols w:space="720"/>
          <w:titlePg/>
          <w:docGrid w:linePitch="360"/>
        </w:sectPr>
      </w:pPr>
    </w:p>
    <w:p w:rsidR="002035A8" w:rsidRDefault="002035A8" w:rsidP="002035A8">
      <w:pPr>
        <w:rPr>
          <w:rFonts w:ascii="Microsoft Sans Serif"/>
        </w:rPr>
      </w:pPr>
      <w:r>
        <w:rPr>
          <w:rFonts w:ascii="Microsoft Sans Serif"/>
        </w:rPr>
        <w:lastRenderedPageBreak/>
        <w:t>PAUL E RUSSELL ESQUIRE</w:t>
      </w:r>
      <w:r>
        <w:rPr>
          <w:rFonts w:ascii="Microsoft Sans Serif"/>
        </w:rPr>
        <w:cr/>
        <w:t>KIMBERLY A KLOCK ESQUIRE</w:t>
      </w:r>
    </w:p>
    <w:p w:rsidR="002035A8" w:rsidRDefault="002035A8" w:rsidP="002035A8">
      <w:pPr>
        <w:rPr>
          <w:rFonts w:ascii="Microsoft Sans Serif"/>
          <w:b/>
          <w:i/>
          <w:u w:val="single"/>
        </w:rPr>
      </w:pPr>
      <w:r>
        <w:rPr>
          <w:rFonts w:ascii="Microsoft Sans Serif"/>
        </w:rPr>
        <w:t>PPL ELECTRIC UTILITIES CORPORATION</w:t>
      </w:r>
      <w:r>
        <w:rPr>
          <w:rFonts w:ascii="Microsoft Sans Serif"/>
        </w:rPr>
        <w:cr/>
        <w:t>2 NORTH NINTH STREET</w:t>
      </w:r>
      <w:r>
        <w:rPr>
          <w:rFonts w:ascii="Microsoft Sans Serif"/>
        </w:rPr>
        <w:cr/>
        <w:t>ALLENTOWN PA  18101</w:t>
      </w:r>
      <w:r>
        <w:rPr>
          <w:rFonts w:ascii="Microsoft Sans Serif"/>
        </w:rPr>
        <w:cr/>
      </w:r>
      <w:r w:rsidRPr="0094748D">
        <w:rPr>
          <w:rFonts w:ascii="Microsoft Sans Serif"/>
          <w:b/>
        </w:rPr>
        <w:t>610-774-4254</w:t>
      </w:r>
      <w:r w:rsidRPr="0094748D">
        <w:rPr>
          <w:rFonts w:ascii="Microsoft Sans Serif"/>
          <w:b/>
        </w:rPr>
        <w:cr/>
      </w:r>
      <w:r w:rsidRPr="0094748D">
        <w:rPr>
          <w:rFonts w:ascii="Microsoft Sans Serif"/>
          <w:b/>
          <w:i/>
          <w:u w:val="single"/>
        </w:rPr>
        <w:t>Accepts e-Service</w:t>
      </w:r>
    </w:p>
    <w:p w:rsidR="002035A8" w:rsidRPr="0094748D" w:rsidRDefault="002035A8" w:rsidP="002035A8">
      <w:pPr>
        <w:rPr>
          <w:rFonts w:ascii="Microsoft Sans Serif"/>
          <w:i/>
          <w:u w:val="single"/>
        </w:rPr>
      </w:pPr>
    </w:p>
    <w:p w:rsidR="002035A8" w:rsidRPr="0094748D" w:rsidRDefault="002035A8" w:rsidP="002035A8">
      <w:pPr>
        <w:rPr>
          <w:rFonts w:ascii="Microsoft Sans Serif"/>
          <w:b/>
          <w:i/>
          <w:u w:val="single"/>
        </w:rPr>
      </w:pPr>
      <w:r>
        <w:rPr>
          <w:rFonts w:ascii="Microsoft Sans Serif"/>
        </w:rPr>
        <w:t>DAVID B MACGREGOR ESQUIRE</w:t>
      </w:r>
      <w:r>
        <w:rPr>
          <w:rFonts w:ascii="Microsoft Sans Serif"/>
        </w:rPr>
        <w:cr/>
        <w:t>POST &amp; SCHELL PC</w:t>
      </w:r>
      <w:r>
        <w:rPr>
          <w:rFonts w:ascii="Microsoft Sans Serif"/>
        </w:rPr>
        <w:cr/>
        <w:t>FOUR PENN CENTER</w:t>
      </w:r>
      <w:r>
        <w:rPr>
          <w:rFonts w:ascii="Microsoft Sans Serif"/>
        </w:rPr>
        <w:cr/>
        <w:t>1600 JOHN F KENNEDY BOULEVARD</w:t>
      </w:r>
      <w:r>
        <w:rPr>
          <w:rFonts w:ascii="Microsoft Sans Serif"/>
        </w:rPr>
        <w:cr/>
        <w:t>PHILADELPHIA PA  19103-2808</w:t>
      </w:r>
      <w:r>
        <w:rPr>
          <w:rFonts w:ascii="Microsoft Sans Serif"/>
        </w:rPr>
        <w:cr/>
      </w:r>
      <w:r w:rsidRPr="004537A4">
        <w:rPr>
          <w:rFonts w:ascii="Microsoft Sans Serif"/>
          <w:b/>
        </w:rPr>
        <w:t>215-587-1197</w:t>
      </w:r>
      <w:r w:rsidRPr="004537A4">
        <w:rPr>
          <w:rFonts w:ascii="Microsoft Sans Serif"/>
          <w:b/>
        </w:rPr>
        <w:cr/>
      </w:r>
    </w:p>
    <w:p w:rsidR="002035A8" w:rsidRDefault="002035A8" w:rsidP="002035A8">
      <w:pPr>
        <w:rPr>
          <w:rFonts w:ascii="Microsoft Sans Serif"/>
          <w:b/>
          <w:i/>
          <w:u w:val="single"/>
        </w:rPr>
      </w:pPr>
      <w:r>
        <w:rPr>
          <w:rFonts w:ascii="Microsoft Sans Serif"/>
        </w:rPr>
        <w:t>DEVIN T RYAN ESQUIRE</w:t>
      </w:r>
      <w:r>
        <w:rPr>
          <w:rFonts w:ascii="Microsoft Sans Serif"/>
        </w:rPr>
        <w:cr/>
        <w:t>POST &amp; SCHELL PC</w:t>
      </w:r>
      <w:r>
        <w:rPr>
          <w:rFonts w:ascii="Microsoft Sans Serif"/>
        </w:rPr>
        <w:cr/>
        <w:t>17 NORTH 2ND STREET</w:t>
      </w:r>
      <w:r>
        <w:rPr>
          <w:rFonts w:ascii="Microsoft Sans Serif"/>
        </w:rPr>
        <w:cr/>
        <w:t>12</w:t>
      </w:r>
      <w:r w:rsidRPr="004537A4">
        <w:rPr>
          <w:rFonts w:ascii="Microsoft Sans Serif"/>
          <w:vertAlign w:val="superscript"/>
        </w:rPr>
        <w:t>TH</w:t>
      </w:r>
      <w:r>
        <w:rPr>
          <w:rFonts w:ascii="Microsoft Sans Serif"/>
        </w:rPr>
        <w:t xml:space="preserve"> FLOOR</w:t>
      </w:r>
      <w:r>
        <w:rPr>
          <w:rFonts w:ascii="Microsoft Sans Serif"/>
        </w:rPr>
        <w:cr/>
        <w:t>HARRISBURG PA  17101-1601</w:t>
      </w:r>
      <w:r>
        <w:rPr>
          <w:rFonts w:ascii="Microsoft Sans Serif"/>
        </w:rPr>
        <w:cr/>
      </w:r>
      <w:r w:rsidRPr="004537A4">
        <w:rPr>
          <w:rFonts w:ascii="Microsoft Sans Serif"/>
          <w:b/>
        </w:rPr>
        <w:t>717-612-6052</w:t>
      </w:r>
      <w:r w:rsidRPr="004537A4">
        <w:rPr>
          <w:rFonts w:ascii="Microsoft Sans Serif"/>
          <w:b/>
        </w:rPr>
        <w:cr/>
      </w:r>
      <w:r>
        <w:rPr>
          <w:rFonts w:ascii="Microsoft Sans Serif"/>
          <w:b/>
          <w:i/>
          <w:u w:val="single"/>
        </w:rPr>
        <w:t>Accepts e-Service</w:t>
      </w:r>
    </w:p>
    <w:p w:rsidR="002035A8" w:rsidRPr="0094748D" w:rsidRDefault="002035A8" w:rsidP="002035A8">
      <w:pPr>
        <w:rPr>
          <w:rFonts w:ascii="Microsoft Sans Serif"/>
          <w:b/>
          <w:i/>
          <w:u w:val="single"/>
        </w:rPr>
      </w:pPr>
    </w:p>
    <w:p w:rsidR="002035A8" w:rsidRDefault="002035A8" w:rsidP="002035A8">
      <w:pPr>
        <w:rPr>
          <w:rFonts w:ascii="Microsoft Sans Serif"/>
        </w:rPr>
      </w:pPr>
      <w:r>
        <w:rPr>
          <w:rFonts w:ascii="Microsoft Sans Serif"/>
        </w:rPr>
        <w:t>AMY E HIRAKIS ESQUIRE</w:t>
      </w:r>
    </w:p>
    <w:p w:rsidR="002035A8" w:rsidRPr="0094748D" w:rsidRDefault="002035A8" w:rsidP="002035A8">
      <w:pPr>
        <w:rPr>
          <w:rFonts w:ascii="Microsoft Sans Serif"/>
          <w:b/>
          <w:i/>
          <w:u w:val="single"/>
        </w:rPr>
      </w:pPr>
      <w:r>
        <w:rPr>
          <w:rFonts w:ascii="Microsoft Sans Serif"/>
        </w:rPr>
        <w:t>OFFICE OF CONSUMER ADVOCATE</w:t>
      </w:r>
      <w:r>
        <w:rPr>
          <w:rFonts w:ascii="Microsoft Sans Serif"/>
        </w:rPr>
        <w:cr/>
        <w:t>5</w:t>
      </w:r>
      <w:r w:rsidRPr="004537A4">
        <w:rPr>
          <w:rFonts w:ascii="Microsoft Sans Serif"/>
          <w:vertAlign w:val="superscript"/>
        </w:rPr>
        <w:t>TH</w:t>
      </w:r>
      <w:r>
        <w:rPr>
          <w:rFonts w:ascii="Microsoft Sans Serif"/>
        </w:rPr>
        <w:t xml:space="preserve"> FLOOR FORUM PLACE</w:t>
      </w:r>
      <w:r>
        <w:rPr>
          <w:rFonts w:ascii="Microsoft Sans Serif"/>
        </w:rPr>
        <w:cr/>
        <w:t>555 WALNUT STREET</w:t>
      </w:r>
      <w:r>
        <w:rPr>
          <w:rFonts w:ascii="Microsoft Sans Serif"/>
        </w:rPr>
        <w:cr/>
        <w:t>HARRISBURG PA  17101</w:t>
      </w:r>
      <w:r>
        <w:rPr>
          <w:rFonts w:ascii="Microsoft Sans Serif"/>
        </w:rPr>
        <w:cr/>
      </w:r>
      <w:r w:rsidRPr="004537A4">
        <w:rPr>
          <w:rFonts w:ascii="Microsoft Sans Serif"/>
          <w:b/>
        </w:rPr>
        <w:t>717-783-5048</w:t>
      </w:r>
      <w:r w:rsidRPr="004537A4">
        <w:rPr>
          <w:rFonts w:ascii="Microsoft Sans Serif"/>
          <w:b/>
        </w:rPr>
        <w:cr/>
      </w:r>
    </w:p>
    <w:p w:rsidR="002035A8" w:rsidRDefault="002035A8" w:rsidP="002035A8">
      <w:pPr>
        <w:rPr>
          <w:rFonts w:ascii="Microsoft Sans Serif"/>
          <w:b/>
          <w:i/>
          <w:u w:val="single"/>
        </w:rPr>
      </w:pPr>
      <w:r>
        <w:rPr>
          <w:rFonts w:ascii="Microsoft Sans Serif"/>
        </w:rPr>
        <w:t>ELIZABETH ROSE TRISCARI ESQUIRE</w:t>
      </w:r>
      <w:r>
        <w:rPr>
          <w:rFonts w:ascii="Microsoft Sans Serif"/>
        </w:rPr>
        <w:cr/>
        <w:t>OFFICE OF SMALL BUSINESS ADVOCATE</w:t>
      </w:r>
      <w:r>
        <w:rPr>
          <w:rFonts w:ascii="Microsoft Sans Serif"/>
        </w:rPr>
        <w:cr/>
        <w:t>300 NORTH SECOND STREET SUITE 202</w:t>
      </w:r>
      <w:r>
        <w:rPr>
          <w:rFonts w:ascii="Microsoft Sans Serif"/>
        </w:rPr>
        <w:cr/>
        <w:t>HARRISBURG PA  17101</w:t>
      </w:r>
      <w:r>
        <w:rPr>
          <w:rFonts w:ascii="Microsoft Sans Serif"/>
        </w:rPr>
        <w:cr/>
      </w:r>
      <w:r w:rsidRPr="004537A4">
        <w:rPr>
          <w:rFonts w:ascii="Microsoft Sans Serif"/>
          <w:b/>
        </w:rPr>
        <w:t>717-783-2525</w:t>
      </w:r>
      <w:r w:rsidRPr="004537A4">
        <w:rPr>
          <w:rFonts w:ascii="Microsoft Sans Serif"/>
          <w:b/>
        </w:rPr>
        <w:cr/>
      </w:r>
    </w:p>
    <w:p w:rsidR="002035A8" w:rsidRDefault="002035A8" w:rsidP="002035A8">
      <w:pPr>
        <w:rPr>
          <w:rFonts w:ascii="Microsoft Sans Serif"/>
        </w:rPr>
      </w:pPr>
      <w:r>
        <w:rPr>
          <w:rFonts w:ascii="Microsoft Sans Serif"/>
        </w:rPr>
        <w:lastRenderedPageBreak/>
        <w:t>PATRICK CICERO ESQUIRE</w:t>
      </w:r>
      <w:r>
        <w:rPr>
          <w:rFonts w:ascii="Microsoft Sans Serif"/>
        </w:rPr>
        <w:cr/>
        <w:t>ELIZABETH R MARX ESQUIRE</w:t>
      </w:r>
    </w:p>
    <w:p w:rsidR="002035A8" w:rsidRDefault="002035A8" w:rsidP="002035A8">
      <w:pPr>
        <w:rPr>
          <w:rFonts w:ascii="Microsoft Sans Serif"/>
          <w:i/>
        </w:rPr>
      </w:pPr>
      <w:r>
        <w:rPr>
          <w:rFonts w:ascii="Microsoft Sans Serif"/>
        </w:rPr>
        <w:t>PA UTILITY LAW PROJECT</w:t>
      </w:r>
      <w:r>
        <w:rPr>
          <w:rFonts w:ascii="Microsoft Sans Serif"/>
        </w:rPr>
        <w:cr/>
        <w:t>118 LOCUST STREET</w:t>
      </w:r>
      <w:r>
        <w:rPr>
          <w:rFonts w:ascii="Microsoft Sans Serif"/>
        </w:rPr>
        <w:cr/>
        <w:t>HARRISBURG PA  17101</w:t>
      </w:r>
      <w:r>
        <w:rPr>
          <w:rFonts w:ascii="Microsoft Sans Serif"/>
        </w:rPr>
        <w:cr/>
      </w:r>
      <w:r w:rsidRPr="004537A4">
        <w:rPr>
          <w:rFonts w:ascii="Microsoft Sans Serif"/>
          <w:b/>
        </w:rPr>
        <w:t>717-236-9486</w:t>
      </w:r>
      <w:r w:rsidRPr="004537A4">
        <w:rPr>
          <w:rFonts w:ascii="Microsoft Sans Serif"/>
          <w:b/>
        </w:rPr>
        <w:cr/>
      </w:r>
      <w:r>
        <w:rPr>
          <w:rFonts w:ascii="Microsoft Sans Serif"/>
          <w:i/>
        </w:rPr>
        <w:t>(For CAUSE-PA)</w:t>
      </w:r>
    </w:p>
    <w:p w:rsidR="002035A8" w:rsidRPr="00A05E9A" w:rsidRDefault="002035A8" w:rsidP="002035A8">
      <w:pPr>
        <w:rPr>
          <w:rFonts w:ascii="Microsoft Sans Serif"/>
          <w:b/>
          <w:i/>
          <w:u w:val="single"/>
        </w:rPr>
      </w:pPr>
      <w:r w:rsidRPr="00A05E9A">
        <w:rPr>
          <w:rFonts w:ascii="Microsoft Sans Serif"/>
          <w:b/>
          <w:i/>
          <w:u w:val="single"/>
        </w:rPr>
        <w:t>Accepts e-Service</w:t>
      </w:r>
    </w:p>
    <w:p w:rsidR="002035A8" w:rsidRPr="00A05E9A" w:rsidRDefault="002035A8" w:rsidP="002035A8">
      <w:pPr>
        <w:rPr>
          <w:rFonts w:ascii="Microsoft Sans Serif"/>
          <w:b/>
          <w:u w:val="single"/>
        </w:rPr>
      </w:pPr>
    </w:p>
    <w:p w:rsidR="002035A8" w:rsidRDefault="002035A8" w:rsidP="002035A8">
      <w:pPr>
        <w:rPr>
          <w:rFonts w:ascii="Microsoft Sans Serif"/>
        </w:rPr>
      </w:pPr>
      <w:r>
        <w:rPr>
          <w:rFonts w:ascii="Microsoft Sans Serif"/>
        </w:rPr>
        <w:t>JOSEPH L VULLO ESQUIRE</w:t>
      </w:r>
      <w:r>
        <w:rPr>
          <w:rFonts w:ascii="Microsoft Sans Serif"/>
        </w:rPr>
        <w:cr/>
        <w:t>BURKE VULLO REILLY ROBERTS</w:t>
      </w:r>
    </w:p>
    <w:p w:rsidR="002035A8" w:rsidRDefault="002035A8" w:rsidP="002035A8">
      <w:pPr>
        <w:rPr>
          <w:rFonts w:ascii="Microsoft Sans Serif"/>
          <w:i/>
        </w:rPr>
      </w:pPr>
      <w:r>
        <w:rPr>
          <w:rFonts w:ascii="Microsoft Sans Serif"/>
        </w:rPr>
        <w:t>1460 WYOMING AVENUE</w:t>
      </w:r>
      <w:r>
        <w:rPr>
          <w:rFonts w:ascii="Microsoft Sans Serif"/>
        </w:rPr>
        <w:cr/>
        <w:t>FORTY FORT PA  18704</w:t>
      </w:r>
      <w:r>
        <w:rPr>
          <w:rFonts w:ascii="Microsoft Sans Serif"/>
        </w:rPr>
        <w:cr/>
      </w:r>
      <w:r w:rsidRPr="004537A4">
        <w:rPr>
          <w:rFonts w:ascii="Microsoft Sans Serif"/>
          <w:b/>
        </w:rPr>
        <w:t>570-288-6441</w:t>
      </w:r>
      <w:r w:rsidRPr="004537A4">
        <w:rPr>
          <w:rFonts w:ascii="Microsoft Sans Serif"/>
          <w:b/>
        </w:rPr>
        <w:cr/>
      </w:r>
      <w:r>
        <w:rPr>
          <w:rFonts w:ascii="Microsoft Sans Serif"/>
          <w:i/>
        </w:rPr>
        <w:t>(For Commission on Economic Opportunity)</w:t>
      </w:r>
    </w:p>
    <w:p w:rsidR="002035A8" w:rsidRDefault="002035A8" w:rsidP="002035A8">
      <w:pPr>
        <w:rPr>
          <w:rFonts w:ascii="Microsoft Sans Serif"/>
          <w:b/>
          <w:i/>
          <w:u w:val="single"/>
        </w:rPr>
      </w:pPr>
      <w:r>
        <w:rPr>
          <w:rFonts w:ascii="Microsoft Sans Serif"/>
          <w:b/>
          <w:i/>
          <w:u w:val="single"/>
        </w:rPr>
        <w:t>Accepts e-Service</w:t>
      </w:r>
    </w:p>
    <w:p w:rsidR="002035A8" w:rsidRPr="00A05E9A" w:rsidRDefault="002035A8" w:rsidP="002035A8">
      <w:pPr>
        <w:rPr>
          <w:rFonts w:ascii="Microsoft Sans Serif"/>
          <w:b/>
          <w:i/>
          <w:u w:val="single"/>
        </w:rPr>
      </w:pPr>
    </w:p>
    <w:p w:rsidR="002035A8" w:rsidRDefault="002035A8" w:rsidP="002035A8">
      <w:pPr>
        <w:rPr>
          <w:rFonts w:ascii="Microsoft Sans Serif"/>
        </w:rPr>
      </w:pPr>
      <w:r>
        <w:rPr>
          <w:rFonts w:ascii="Microsoft Sans Serif"/>
        </w:rPr>
        <w:t>DERRICK PRICE WILLIAMSON ESQUIRE</w:t>
      </w:r>
    </w:p>
    <w:p w:rsidR="002035A8" w:rsidRDefault="002035A8" w:rsidP="002035A8">
      <w:pPr>
        <w:rPr>
          <w:rFonts w:ascii="Microsoft Sans Serif"/>
          <w:i/>
        </w:rPr>
      </w:pPr>
      <w:r>
        <w:rPr>
          <w:rFonts w:ascii="Microsoft Sans Serif"/>
        </w:rPr>
        <w:t xml:space="preserve">BARRY A NAUM </w:t>
      </w:r>
      <w:r>
        <w:rPr>
          <w:rFonts w:ascii="Microsoft Sans Serif"/>
          <w:i/>
        </w:rPr>
        <w:t>ESQUIRE</w:t>
      </w:r>
    </w:p>
    <w:p w:rsidR="002035A8" w:rsidRDefault="002035A8" w:rsidP="002035A8">
      <w:pPr>
        <w:rPr>
          <w:rFonts w:ascii="Microsoft Sans Serif"/>
          <w:i/>
        </w:rPr>
      </w:pPr>
      <w:r w:rsidRPr="00EF0C51">
        <w:rPr>
          <w:rFonts w:ascii="Microsoft Sans Serif"/>
          <w:i/>
        </w:rPr>
        <w:t>SPILMAN</w:t>
      </w:r>
      <w:r>
        <w:rPr>
          <w:rFonts w:ascii="Microsoft Sans Serif"/>
        </w:rPr>
        <w:t xml:space="preserve"> THOMAS &amp; BATTLE PLLC</w:t>
      </w:r>
      <w:r>
        <w:rPr>
          <w:rFonts w:ascii="Microsoft Sans Serif"/>
        </w:rPr>
        <w:cr/>
        <w:t>1100 BENT CREEK BOULEVARD SUITE 101</w:t>
      </w:r>
      <w:r>
        <w:rPr>
          <w:rFonts w:ascii="Microsoft Sans Serif"/>
        </w:rPr>
        <w:cr/>
        <w:t>MECHANICSBURG PA  17050</w:t>
      </w:r>
      <w:r>
        <w:rPr>
          <w:rFonts w:ascii="Microsoft Sans Serif"/>
        </w:rPr>
        <w:cr/>
      </w:r>
      <w:r w:rsidRPr="004537A4">
        <w:rPr>
          <w:rFonts w:ascii="Microsoft Sans Serif"/>
          <w:b/>
        </w:rPr>
        <w:t>717-795-2740</w:t>
      </w:r>
      <w:r w:rsidRPr="004537A4">
        <w:rPr>
          <w:rFonts w:ascii="Microsoft Sans Serif"/>
          <w:b/>
        </w:rPr>
        <w:cr/>
      </w:r>
      <w:r>
        <w:rPr>
          <w:rFonts w:ascii="Microsoft Sans Serif"/>
          <w:i/>
        </w:rPr>
        <w:t>(For Wal-Mart Stores East LP &amp; Sam</w:t>
      </w:r>
      <w:r>
        <w:rPr>
          <w:rFonts w:ascii="Microsoft Sans Serif"/>
          <w:i/>
        </w:rPr>
        <w:t>’</w:t>
      </w:r>
      <w:r>
        <w:rPr>
          <w:rFonts w:ascii="Microsoft Sans Serif"/>
          <w:i/>
        </w:rPr>
        <w:t>s East Inc.)</w:t>
      </w:r>
    </w:p>
    <w:p w:rsidR="002035A8" w:rsidRPr="00A05E9A" w:rsidRDefault="002035A8" w:rsidP="002035A8">
      <w:pPr>
        <w:rPr>
          <w:rFonts w:ascii="Microsoft Sans Serif"/>
          <w:b/>
          <w:i/>
          <w:u w:val="single"/>
        </w:rPr>
      </w:pPr>
      <w:r>
        <w:rPr>
          <w:rFonts w:ascii="Microsoft Sans Serif"/>
          <w:b/>
          <w:i/>
          <w:u w:val="single"/>
        </w:rPr>
        <w:t>Accepts e-Service</w:t>
      </w:r>
    </w:p>
    <w:p w:rsidR="002035A8" w:rsidRDefault="002035A8" w:rsidP="002035A8">
      <w:pPr>
        <w:rPr>
          <w:rFonts w:ascii="Microsoft Sans Serif"/>
          <w:i/>
        </w:rPr>
      </w:pPr>
    </w:p>
    <w:p w:rsidR="002035A8" w:rsidRDefault="002035A8" w:rsidP="002035A8">
      <w:pPr>
        <w:rPr>
          <w:rFonts w:ascii="Microsoft Sans Serif"/>
        </w:rPr>
      </w:pPr>
      <w:r>
        <w:rPr>
          <w:rFonts w:ascii="Microsoft Sans Serif"/>
        </w:rPr>
        <w:t>MICAH R BUCY ESQUIRE</w:t>
      </w:r>
    </w:p>
    <w:p w:rsidR="002035A8" w:rsidRDefault="002035A8" w:rsidP="002035A8">
      <w:pPr>
        <w:rPr>
          <w:rFonts w:ascii="Microsoft Sans Serif"/>
          <w:i/>
        </w:rPr>
      </w:pPr>
      <w:r>
        <w:rPr>
          <w:rFonts w:ascii="Microsoft Sans Serif"/>
        </w:rPr>
        <w:t>JUDITH D CASSEL ESQUIRE</w:t>
      </w:r>
      <w:r>
        <w:rPr>
          <w:rFonts w:ascii="Microsoft Sans Serif"/>
        </w:rPr>
        <w:cr/>
        <w:t>HAWKE MCKEON AND SNISCAK LLP</w:t>
      </w:r>
      <w:r>
        <w:rPr>
          <w:rFonts w:ascii="Microsoft Sans Serif"/>
        </w:rPr>
        <w:cr/>
        <w:t>100 N TENTH ST</w:t>
      </w:r>
      <w:r>
        <w:rPr>
          <w:rFonts w:ascii="Microsoft Sans Serif"/>
        </w:rPr>
        <w:cr/>
        <w:t>HARRISBURG PA  17101</w:t>
      </w:r>
      <w:r>
        <w:rPr>
          <w:rFonts w:ascii="Microsoft Sans Serif"/>
        </w:rPr>
        <w:cr/>
      </w:r>
      <w:r w:rsidRPr="004537A4">
        <w:rPr>
          <w:rFonts w:ascii="Microsoft Sans Serif"/>
          <w:b/>
        </w:rPr>
        <w:t>717-236-1300</w:t>
      </w:r>
      <w:r w:rsidRPr="004537A4">
        <w:rPr>
          <w:rFonts w:ascii="Microsoft Sans Serif"/>
          <w:b/>
        </w:rPr>
        <w:cr/>
      </w:r>
      <w:r>
        <w:rPr>
          <w:rFonts w:ascii="Microsoft Sans Serif"/>
          <w:i/>
        </w:rPr>
        <w:t>(Sustainable Energy Fund of Central Eastern PA)</w:t>
      </w:r>
    </w:p>
    <w:p w:rsidR="002035A8" w:rsidRDefault="002035A8" w:rsidP="002035A8">
      <w:pPr>
        <w:rPr>
          <w:rFonts w:ascii="Microsoft Sans Serif"/>
          <w:b/>
          <w:i/>
          <w:u w:val="single"/>
        </w:rPr>
      </w:pPr>
      <w:r>
        <w:rPr>
          <w:rFonts w:ascii="Microsoft Sans Serif"/>
          <w:b/>
          <w:i/>
          <w:u w:val="single"/>
        </w:rPr>
        <w:t>Accepts e-Service</w:t>
      </w:r>
    </w:p>
    <w:p w:rsidR="002035A8" w:rsidRDefault="002035A8" w:rsidP="002035A8">
      <w:pPr>
        <w:rPr>
          <w:rFonts w:ascii="Microsoft Sans Serif"/>
          <w:b/>
          <w:i/>
          <w:u w:val="single"/>
        </w:rPr>
      </w:pPr>
    </w:p>
    <w:p w:rsidR="002035A8" w:rsidRPr="00A05E9A" w:rsidRDefault="002035A8" w:rsidP="002035A8">
      <w:pPr>
        <w:rPr>
          <w:rFonts w:ascii="Microsoft Sans Serif"/>
          <w:b/>
          <w:i/>
          <w:u w:val="single"/>
        </w:rPr>
      </w:pPr>
    </w:p>
    <w:p w:rsidR="002035A8" w:rsidRDefault="002035A8" w:rsidP="002035A8">
      <w:pPr>
        <w:rPr>
          <w:rFonts w:ascii="Microsoft Sans Serif"/>
        </w:rPr>
      </w:pPr>
      <w:r>
        <w:rPr>
          <w:rFonts w:ascii="Microsoft Sans Serif"/>
        </w:rPr>
        <w:lastRenderedPageBreak/>
        <w:t>ADEOULE A BAKARE ESQUIRE</w:t>
      </w:r>
    </w:p>
    <w:p w:rsidR="002035A8" w:rsidRDefault="002035A8" w:rsidP="002035A8">
      <w:pPr>
        <w:rPr>
          <w:rFonts w:ascii="Microsoft Sans Serif"/>
          <w:b/>
        </w:rPr>
      </w:pPr>
      <w:r>
        <w:rPr>
          <w:rFonts w:ascii="Microsoft Sans Serif"/>
        </w:rPr>
        <w:t>MCNEES WALLACE &amp; NURICK</w:t>
      </w:r>
      <w:r>
        <w:rPr>
          <w:rFonts w:ascii="Microsoft Sans Serif"/>
        </w:rPr>
        <w:cr/>
        <w:t>100 PINE STREET</w:t>
      </w:r>
      <w:r>
        <w:rPr>
          <w:rFonts w:ascii="Microsoft Sans Serif"/>
        </w:rPr>
        <w:cr/>
        <w:t>PO BOX 1166</w:t>
      </w:r>
      <w:r>
        <w:rPr>
          <w:rFonts w:ascii="Microsoft Sans Serif"/>
        </w:rPr>
        <w:cr/>
        <w:t>HARRISBURG PA  17108-1166</w:t>
      </w:r>
      <w:r>
        <w:rPr>
          <w:rFonts w:ascii="Microsoft Sans Serif"/>
        </w:rPr>
        <w:cr/>
      </w:r>
      <w:r w:rsidRPr="004537A4">
        <w:rPr>
          <w:rFonts w:ascii="Microsoft Sans Serif"/>
          <w:b/>
        </w:rPr>
        <w:t>717.237.5368</w:t>
      </w:r>
    </w:p>
    <w:p w:rsidR="002035A8" w:rsidRDefault="002035A8" w:rsidP="002035A8">
      <w:pPr>
        <w:rPr>
          <w:rFonts w:ascii="Microsoft Sans Serif" w:hAnsi="Microsoft Sans Serif" w:cs="Microsoft Sans Serif"/>
          <w:i/>
        </w:rPr>
      </w:pPr>
      <w:r>
        <w:rPr>
          <w:rFonts w:ascii="Microsoft Sans Serif" w:hAnsi="Microsoft Sans Serif" w:cs="Microsoft Sans Serif"/>
          <w:i/>
        </w:rPr>
        <w:t>(For PPLICA)</w:t>
      </w:r>
    </w:p>
    <w:p w:rsidR="002035A8" w:rsidRDefault="002035A8" w:rsidP="002035A8">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2035A8" w:rsidRDefault="002035A8" w:rsidP="002035A8">
      <w:pPr>
        <w:rPr>
          <w:rFonts w:ascii="Microsoft Sans Serif" w:hAnsi="Microsoft Sans Serif" w:cs="Microsoft Sans Serif"/>
        </w:rPr>
      </w:pPr>
    </w:p>
    <w:p w:rsidR="002035A8" w:rsidRDefault="002035A8" w:rsidP="002035A8">
      <w:pPr>
        <w:rPr>
          <w:rFonts w:ascii="Microsoft Sans Serif"/>
          <w:b/>
        </w:rPr>
      </w:pPr>
      <w:r>
        <w:rPr>
          <w:rFonts w:ascii="Microsoft Sans Serif"/>
        </w:rPr>
        <w:t>SARAH C STONER ESQUIRE</w:t>
      </w:r>
      <w:r>
        <w:rPr>
          <w:rFonts w:ascii="Microsoft Sans Serif"/>
        </w:rPr>
        <w:cr/>
        <w:t>ECKERT SEAMANS</w:t>
      </w:r>
      <w:r>
        <w:rPr>
          <w:rFonts w:ascii="Microsoft Sans Serif"/>
        </w:rPr>
        <w:cr/>
      </w:r>
      <w:r>
        <w:rPr>
          <w:rFonts w:ascii="Microsoft Sans Serif"/>
        </w:rPr>
        <w:lastRenderedPageBreak/>
        <w:cr/>
      </w:r>
      <w:r w:rsidRPr="00991E73">
        <w:rPr>
          <w:rFonts w:ascii="Microsoft Sans Serif"/>
          <w:b/>
        </w:rPr>
        <w:cr/>
      </w:r>
    </w:p>
    <w:p w:rsidR="002035A8" w:rsidRDefault="002035A8" w:rsidP="002035A8">
      <w:pPr>
        <w:rPr>
          <w:rFonts w:ascii="Microsoft Sans Serif"/>
          <w:i/>
        </w:rPr>
      </w:pPr>
    </w:p>
    <w:p w:rsidR="002035A8" w:rsidRDefault="002035A8" w:rsidP="002035A8">
      <w:pPr>
        <w:rPr>
          <w:rFonts w:ascii="Microsoft Sans Serif"/>
        </w:rPr>
      </w:pPr>
      <w:r>
        <w:rPr>
          <w:rFonts w:ascii="Microsoft Sans Serif"/>
        </w:rPr>
        <w:t>SCOTT DEBROFF ESQUIRE</w:t>
      </w:r>
      <w:r>
        <w:rPr>
          <w:rFonts w:ascii="Microsoft Sans Serif"/>
        </w:rPr>
        <w:cr/>
        <w:t>TUCKER ARENSBERG PC</w:t>
      </w:r>
      <w:r>
        <w:rPr>
          <w:rFonts w:ascii="Microsoft Sans Serif"/>
        </w:rPr>
        <w:cr/>
        <w:t>2 LEMOYNE DRIVE SUITE 200</w:t>
      </w:r>
      <w:r>
        <w:rPr>
          <w:rFonts w:ascii="Microsoft Sans Serif"/>
        </w:rPr>
        <w:cr/>
        <w:t>LEMOYNE PA  17043</w:t>
      </w:r>
    </w:p>
    <w:p w:rsidR="002035A8" w:rsidRDefault="002035A8" w:rsidP="002035A8">
      <w:pPr>
        <w:rPr>
          <w:rFonts w:ascii="Microsoft Sans Serif"/>
          <w:i/>
        </w:rPr>
        <w:sectPr w:rsidR="002035A8" w:rsidSect="002035A8">
          <w:footerReference w:type="default" r:id="rId11"/>
          <w:type w:val="continuous"/>
          <w:pgSz w:w="12240" w:h="15840"/>
          <w:pgMar w:top="1440" w:right="1440" w:bottom="1440" w:left="1440" w:header="720" w:footer="720" w:gutter="0"/>
          <w:cols w:num="2" w:space="720"/>
          <w:titlePg/>
          <w:docGrid w:linePitch="360"/>
        </w:sectPr>
      </w:pPr>
      <w:r>
        <w:rPr>
          <w:rFonts w:ascii="Microsoft Sans Serif"/>
          <w:i/>
        </w:rPr>
        <w:t xml:space="preserve">(For Nest Labs </w:t>
      </w:r>
      <w:proofErr w:type="spellStart"/>
      <w:r>
        <w:rPr>
          <w:rFonts w:ascii="Microsoft Sans Serif"/>
          <w:i/>
        </w:rPr>
        <w:t>Inc</w:t>
      </w:r>
      <w:proofErr w:type="spellEnd"/>
      <w:r>
        <w:rPr>
          <w:rFonts w:ascii="Microsoft Sans Serif"/>
          <w:i/>
        </w:rPr>
        <w:t>)</w:t>
      </w:r>
    </w:p>
    <w:p w:rsidR="002035A8" w:rsidRDefault="002035A8" w:rsidP="002035A8">
      <w:pPr>
        <w:rPr>
          <w:rFonts w:ascii="Microsoft Sans Serif" w:hAnsi="Microsoft Sans Serif" w:cs="Microsoft Sans Serif"/>
          <w:i/>
        </w:rPr>
      </w:pPr>
      <w:r>
        <w:rPr>
          <w:rFonts w:ascii="Microsoft Sans Serif"/>
        </w:rPr>
        <w:lastRenderedPageBreak/>
        <w:t>213 MARKET STREET 8</w:t>
      </w:r>
      <w:r w:rsidRPr="00991E73">
        <w:rPr>
          <w:rFonts w:ascii="Microsoft Sans Serif"/>
          <w:vertAlign w:val="superscript"/>
        </w:rPr>
        <w:t>TH</w:t>
      </w:r>
      <w:r>
        <w:rPr>
          <w:rFonts w:ascii="Microsoft Sans Serif"/>
        </w:rPr>
        <w:t xml:space="preserve"> FLOOR</w:t>
      </w:r>
      <w:r>
        <w:rPr>
          <w:rFonts w:ascii="Microsoft Sans Serif"/>
        </w:rPr>
        <w:cr/>
        <w:t>HARRISBURG PA  17101</w:t>
      </w:r>
      <w:r>
        <w:rPr>
          <w:rFonts w:ascii="Microsoft Sans Serif"/>
        </w:rPr>
        <w:cr/>
      </w:r>
      <w:r w:rsidRPr="00991E73">
        <w:rPr>
          <w:rFonts w:ascii="Microsoft Sans Serif"/>
          <w:b/>
        </w:rPr>
        <w:t>717-237-6026</w:t>
      </w:r>
      <w:r w:rsidRPr="00991E73">
        <w:rPr>
          <w:rFonts w:ascii="Microsoft Sans Serif"/>
          <w:b/>
        </w:rPr>
        <w:cr/>
      </w:r>
      <w:r w:rsidRPr="00991E73">
        <w:rPr>
          <w:rFonts w:ascii="Microsoft Sans Serif"/>
          <w:i/>
        </w:rPr>
        <w:t>(For  RESA)</w:t>
      </w:r>
    </w:p>
    <w:p w:rsidR="002035A8" w:rsidRPr="00991E73" w:rsidRDefault="002035A8" w:rsidP="002035A8">
      <w:pPr>
        <w:rPr>
          <w:rFonts w:ascii="Microsoft Sans Serif" w:hAnsi="Microsoft Sans Serif" w:cs="Microsoft Sans Serif"/>
          <w:i/>
        </w:rPr>
      </w:pPr>
    </w:p>
    <w:p w:rsidR="002035A8" w:rsidRDefault="002035A8" w:rsidP="00355847">
      <w:pPr>
        <w:ind w:left="720"/>
        <w:sectPr w:rsidR="002035A8" w:rsidSect="002035A8">
          <w:type w:val="continuous"/>
          <w:pgSz w:w="12240" w:h="15840"/>
          <w:pgMar w:top="1440" w:right="1440" w:bottom="1440" w:left="1440" w:header="720" w:footer="720" w:gutter="0"/>
          <w:cols w:space="720"/>
          <w:titlePg/>
          <w:docGrid w:linePitch="360"/>
        </w:sectPr>
      </w:pPr>
    </w:p>
    <w:p w:rsidR="00333448" w:rsidRDefault="00333448" w:rsidP="00333448">
      <w:pPr>
        <w:tabs>
          <w:tab w:val="center" w:pos="4680"/>
        </w:tabs>
        <w:suppressAutoHyphens/>
        <w:spacing w:line="360" w:lineRule="auto"/>
        <w:jc w:val="center"/>
        <w:rPr>
          <w:rFonts w:ascii="Times New Roman" w:hAnsi="Times New Roman"/>
          <w:b/>
        </w:rPr>
      </w:pPr>
    </w:p>
    <w:p w:rsidR="00333448" w:rsidRDefault="00333448" w:rsidP="00333448">
      <w:pPr>
        <w:tabs>
          <w:tab w:val="center" w:pos="4680"/>
        </w:tabs>
        <w:suppressAutoHyphens/>
        <w:spacing w:line="360" w:lineRule="auto"/>
        <w:jc w:val="center"/>
        <w:rPr>
          <w:rFonts w:ascii="Times New Roman" w:hAnsi="Times New Roman"/>
          <w:b/>
        </w:rPr>
      </w:pPr>
    </w:p>
    <w:p w:rsidR="00333448" w:rsidRDefault="00333448" w:rsidP="00333448">
      <w:pPr>
        <w:tabs>
          <w:tab w:val="center" w:pos="4680"/>
        </w:tabs>
        <w:suppressAutoHyphens/>
        <w:spacing w:line="360" w:lineRule="auto"/>
        <w:jc w:val="center"/>
        <w:rPr>
          <w:rFonts w:ascii="Times New Roman" w:hAnsi="Times New Roman"/>
          <w:b/>
        </w:rPr>
      </w:pPr>
    </w:p>
    <w:p w:rsidR="00333448" w:rsidRDefault="00333448" w:rsidP="00333448">
      <w:pPr>
        <w:tabs>
          <w:tab w:val="center" w:pos="4680"/>
        </w:tabs>
        <w:suppressAutoHyphens/>
        <w:spacing w:line="360" w:lineRule="auto"/>
        <w:jc w:val="center"/>
        <w:rPr>
          <w:rFonts w:ascii="Times New Roman" w:hAnsi="Times New Roman"/>
          <w:b/>
        </w:rPr>
      </w:pPr>
    </w:p>
    <w:p w:rsidR="00333448" w:rsidRDefault="00333448" w:rsidP="00333448">
      <w:pPr>
        <w:tabs>
          <w:tab w:val="center" w:pos="4680"/>
        </w:tabs>
        <w:suppressAutoHyphens/>
        <w:spacing w:line="360" w:lineRule="auto"/>
        <w:jc w:val="center"/>
        <w:rPr>
          <w:rFonts w:ascii="Times New Roman" w:hAnsi="Times New Roman"/>
          <w:b/>
        </w:rPr>
      </w:pPr>
    </w:p>
    <w:p w:rsidR="007964F9" w:rsidRDefault="003E65AC" w:rsidP="00333448">
      <w:pPr>
        <w:tabs>
          <w:tab w:val="center" w:pos="4680"/>
        </w:tabs>
        <w:suppressAutoHyphens/>
        <w:spacing w:line="360" w:lineRule="auto"/>
        <w:jc w:val="center"/>
        <w:rPr>
          <w:rFonts w:ascii="Times New Roman" w:hAnsi="Times New Roman"/>
          <w:b/>
        </w:rPr>
      </w:pPr>
      <w:r>
        <w:rPr>
          <w:rFonts w:ascii="Times New Roman" w:hAnsi="Times New Roman"/>
          <w:b/>
        </w:rPr>
        <w:t>APPENDIX A</w:t>
      </w:r>
    </w:p>
    <w:p w:rsidR="009B409B" w:rsidRDefault="009B409B" w:rsidP="003E65AC">
      <w:pPr>
        <w:tabs>
          <w:tab w:val="center" w:pos="4680"/>
        </w:tabs>
        <w:suppressAutoHyphens/>
        <w:spacing w:line="360" w:lineRule="auto"/>
        <w:ind w:firstLine="1440"/>
        <w:jc w:val="center"/>
        <w:rPr>
          <w:rFonts w:ascii="Times New Roman" w:hAnsi="Times New Roman"/>
          <w:b/>
        </w:rPr>
        <w:sectPr w:rsidR="009B409B" w:rsidSect="008955CF">
          <w:pgSz w:w="12240" w:h="15840"/>
          <w:pgMar w:top="1440" w:right="1440" w:bottom="1440" w:left="1440" w:header="720" w:footer="720" w:gutter="0"/>
          <w:cols w:space="720"/>
          <w:titlePg/>
          <w:docGrid w:linePitch="360"/>
        </w:sectPr>
      </w:pPr>
    </w:p>
    <w:p w:rsidR="00333448" w:rsidRDefault="00333448" w:rsidP="003E65AC">
      <w:pPr>
        <w:tabs>
          <w:tab w:val="center" w:pos="4680"/>
        </w:tabs>
        <w:suppressAutoHyphens/>
        <w:spacing w:line="360" w:lineRule="auto"/>
        <w:ind w:firstLine="1440"/>
        <w:jc w:val="center"/>
        <w:rPr>
          <w:rFonts w:ascii="Times New Roman" w:hAnsi="Times New Roman"/>
          <w:b/>
        </w:rPr>
      </w:pPr>
    </w:p>
    <w:p w:rsidR="003E65AC" w:rsidRPr="00CA2023" w:rsidRDefault="003E65AC" w:rsidP="003E65AC">
      <w:pPr>
        <w:tabs>
          <w:tab w:val="left" w:pos="1440"/>
          <w:tab w:val="left" w:pos="4608"/>
        </w:tabs>
        <w:jc w:val="center"/>
        <w:rPr>
          <w:b/>
        </w:rPr>
      </w:pPr>
      <w:r w:rsidRPr="00CA2023">
        <w:rPr>
          <w:b/>
        </w:rPr>
        <w:t>Act 129</w:t>
      </w:r>
    </w:p>
    <w:p w:rsidR="003E65AC" w:rsidRPr="00CA2023" w:rsidRDefault="003E65AC" w:rsidP="003E65AC">
      <w:pPr>
        <w:tabs>
          <w:tab w:val="left" w:pos="1440"/>
          <w:tab w:val="left" w:pos="4608"/>
        </w:tabs>
        <w:jc w:val="center"/>
        <w:rPr>
          <w:b/>
          <w:u w:val="single"/>
        </w:rPr>
      </w:pPr>
      <w:r w:rsidRPr="00CA2023">
        <w:rPr>
          <w:b/>
          <w:u w:val="single"/>
        </w:rPr>
        <w:t>Generic Outline of Briefs</w:t>
      </w:r>
    </w:p>
    <w:p w:rsidR="003E65AC" w:rsidRDefault="003E65AC" w:rsidP="003E65AC">
      <w:pPr>
        <w:tabs>
          <w:tab w:val="left" w:pos="1440"/>
          <w:tab w:val="left" w:pos="4608"/>
        </w:tabs>
        <w:jc w:val="center"/>
        <w:rPr>
          <w:u w:val="single"/>
        </w:rPr>
      </w:pPr>
    </w:p>
    <w:p w:rsidR="003E65AC" w:rsidRPr="00CA2023" w:rsidRDefault="003E65AC" w:rsidP="003E65AC">
      <w:pPr>
        <w:tabs>
          <w:tab w:val="left" w:pos="1440"/>
          <w:tab w:val="left" w:pos="4608"/>
        </w:tabs>
        <w:jc w:val="center"/>
        <w:rPr>
          <w:b/>
        </w:rPr>
      </w:pPr>
    </w:p>
    <w:p w:rsidR="003E65AC" w:rsidRPr="00C367B3" w:rsidRDefault="003E65AC" w:rsidP="003E65AC">
      <w:pPr>
        <w:numPr>
          <w:ilvl w:val="0"/>
          <w:numId w:val="1"/>
        </w:numPr>
        <w:tabs>
          <w:tab w:val="left" w:pos="1440"/>
          <w:tab w:val="left" w:pos="4608"/>
        </w:tabs>
        <w:autoSpaceDE/>
        <w:autoSpaceDN/>
        <w:rPr>
          <w:u w:val="single"/>
        </w:rPr>
      </w:pPr>
      <w:r>
        <w:t>Introduction</w:t>
      </w:r>
    </w:p>
    <w:p w:rsidR="003E65AC" w:rsidRDefault="003E65AC" w:rsidP="003E65AC">
      <w:pPr>
        <w:tabs>
          <w:tab w:val="left" w:pos="1440"/>
          <w:tab w:val="left" w:pos="4608"/>
        </w:tabs>
      </w:pPr>
    </w:p>
    <w:p w:rsidR="003E65AC" w:rsidRPr="00C367B3" w:rsidRDefault="003E65AC" w:rsidP="003E65AC">
      <w:pPr>
        <w:numPr>
          <w:ilvl w:val="0"/>
          <w:numId w:val="1"/>
        </w:numPr>
        <w:tabs>
          <w:tab w:val="left" w:pos="1440"/>
          <w:tab w:val="left" w:pos="4608"/>
        </w:tabs>
        <w:autoSpaceDE/>
        <w:autoSpaceDN/>
        <w:rPr>
          <w:u w:val="single"/>
        </w:rPr>
      </w:pPr>
      <w:r>
        <w:t>Procedural History</w:t>
      </w:r>
    </w:p>
    <w:p w:rsidR="003E65AC" w:rsidRDefault="003E65AC" w:rsidP="003E65AC">
      <w:pPr>
        <w:tabs>
          <w:tab w:val="left" w:pos="1440"/>
          <w:tab w:val="left" w:pos="4608"/>
        </w:tabs>
        <w:rPr>
          <w:u w:val="single"/>
        </w:rPr>
      </w:pPr>
    </w:p>
    <w:p w:rsidR="003E65AC" w:rsidRPr="00C367B3" w:rsidRDefault="003E65AC" w:rsidP="003E65AC">
      <w:pPr>
        <w:numPr>
          <w:ilvl w:val="0"/>
          <w:numId w:val="1"/>
        </w:numPr>
        <w:tabs>
          <w:tab w:val="left" w:pos="1440"/>
          <w:tab w:val="left" w:pos="4608"/>
        </w:tabs>
        <w:autoSpaceDE/>
        <w:autoSpaceDN/>
        <w:rPr>
          <w:u w:val="single"/>
        </w:rPr>
      </w:pPr>
      <w:r>
        <w:t>Description of EDC Plan</w:t>
      </w:r>
    </w:p>
    <w:p w:rsidR="003E65AC" w:rsidRDefault="003E65AC" w:rsidP="003E65AC">
      <w:pPr>
        <w:tabs>
          <w:tab w:val="left" w:pos="1440"/>
          <w:tab w:val="left" w:pos="4608"/>
        </w:tabs>
        <w:rPr>
          <w:u w:val="single"/>
        </w:rPr>
      </w:pPr>
    </w:p>
    <w:p w:rsidR="003E65AC" w:rsidRPr="003E65AC" w:rsidRDefault="003E65AC" w:rsidP="003E65AC">
      <w:pPr>
        <w:numPr>
          <w:ilvl w:val="0"/>
          <w:numId w:val="1"/>
        </w:numPr>
        <w:tabs>
          <w:tab w:val="left" w:pos="1440"/>
          <w:tab w:val="left" w:pos="4608"/>
        </w:tabs>
        <w:autoSpaceDE/>
        <w:autoSpaceDN/>
        <w:spacing w:line="480" w:lineRule="auto"/>
        <w:ind w:left="734" w:hanging="187"/>
        <w:rPr>
          <w:u w:val="single"/>
        </w:rPr>
      </w:pPr>
      <w:r>
        <w:t>Legal Standards</w:t>
      </w:r>
    </w:p>
    <w:p w:rsidR="003E65AC" w:rsidRPr="00C367B3" w:rsidRDefault="003E65AC" w:rsidP="003E65AC">
      <w:pPr>
        <w:numPr>
          <w:ilvl w:val="0"/>
          <w:numId w:val="1"/>
        </w:numPr>
        <w:tabs>
          <w:tab w:val="left" w:pos="1440"/>
          <w:tab w:val="left" w:pos="4608"/>
        </w:tabs>
        <w:autoSpaceDE/>
        <w:autoSpaceDN/>
        <w:spacing w:line="480" w:lineRule="auto"/>
        <w:ind w:left="734" w:hanging="187"/>
        <w:rPr>
          <w:u w:val="single"/>
        </w:rPr>
      </w:pPr>
      <w:r>
        <w:t>Summary of Argument</w:t>
      </w:r>
    </w:p>
    <w:p w:rsidR="003E65AC" w:rsidRDefault="003E65AC" w:rsidP="003E65AC">
      <w:pPr>
        <w:tabs>
          <w:tab w:val="left" w:pos="1440"/>
          <w:tab w:val="left" w:pos="4608"/>
        </w:tabs>
        <w:rPr>
          <w:u w:val="single"/>
        </w:rPr>
      </w:pPr>
    </w:p>
    <w:p w:rsidR="003E65AC" w:rsidRPr="00C367B3" w:rsidRDefault="003E65AC" w:rsidP="003E65AC">
      <w:pPr>
        <w:numPr>
          <w:ilvl w:val="0"/>
          <w:numId w:val="1"/>
        </w:numPr>
        <w:tabs>
          <w:tab w:val="left" w:pos="1440"/>
          <w:tab w:val="left" w:pos="4608"/>
        </w:tabs>
        <w:autoSpaceDE/>
        <w:autoSpaceDN/>
        <w:rPr>
          <w:u w:val="single"/>
        </w:rPr>
      </w:pPr>
      <w:r>
        <w:t>Argument</w:t>
      </w:r>
    </w:p>
    <w:p w:rsidR="003E65AC" w:rsidRDefault="003E65AC" w:rsidP="003E65AC">
      <w:pPr>
        <w:tabs>
          <w:tab w:val="left" w:pos="1440"/>
          <w:tab w:val="left" w:pos="4608"/>
        </w:tabs>
        <w:rPr>
          <w:u w:val="single"/>
        </w:rPr>
      </w:pPr>
    </w:p>
    <w:p w:rsidR="003E65AC" w:rsidRPr="00C367B3" w:rsidRDefault="003E65AC" w:rsidP="003E65AC">
      <w:pPr>
        <w:tabs>
          <w:tab w:val="left" w:pos="4608"/>
        </w:tabs>
        <w:ind w:left="900"/>
        <w:rPr>
          <w:u w:val="single"/>
        </w:rPr>
      </w:pPr>
      <w:r>
        <w:t>A. Act 129 Conservation and Demand Reduction Requirements</w:t>
      </w:r>
    </w:p>
    <w:p w:rsidR="003E65AC" w:rsidRDefault="003E65AC" w:rsidP="003E65AC">
      <w:pPr>
        <w:tabs>
          <w:tab w:val="left" w:pos="1440"/>
          <w:tab w:val="left" w:pos="4608"/>
        </w:tabs>
      </w:pPr>
    </w:p>
    <w:p w:rsidR="003E65AC" w:rsidRPr="00C367B3" w:rsidRDefault="003E65AC" w:rsidP="003E65AC">
      <w:pPr>
        <w:tabs>
          <w:tab w:val="left" w:pos="900"/>
          <w:tab w:val="left" w:pos="1440"/>
          <w:tab w:val="left" w:pos="4608"/>
        </w:tabs>
        <w:ind w:left="1170"/>
        <w:rPr>
          <w:u w:val="single"/>
        </w:rPr>
      </w:pPr>
      <w:r>
        <w:t>1.  Overall Conservation Requirements</w:t>
      </w:r>
    </w:p>
    <w:p w:rsidR="003E65AC" w:rsidRDefault="003E65AC" w:rsidP="003E65AC">
      <w:pPr>
        <w:tabs>
          <w:tab w:val="left" w:pos="1440"/>
          <w:tab w:val="left" w:pos="4608"/>
        </w:tabs>
      </w:pPr>
    </w:p>
    <w:p w:rsidR="003E65AC" w:rsidRDefault="003E65AC" w:rsidP="003E65AC">
      <w:pPr>
        <w:tabs>
          <w:tab w:val="left" w:pos="1170"/>
          <w:tab w:val="left" w:pos="4608"/>
        </w:tabs>
      </w:pPr>
      <w:r>
        <w:tab/>
        <w:t>2.  Overall Demand Reduction Requirements</w:t>
      </w:r>
    </w:p>
    <w:p w:rsidR="003E65AC" w:rsidRDefault="003E65AC" w:rsidP="003E65AC">
      <w:pPr>
        <w:tabs>
          <w:tab w:val="left" w:pos="1170"/>
          <w:tab w:val="left" w:pos="4608"/>
        </w:tabs>
      </w:pPr>
    </w:p>
    <w:p w:rsidR="003E65AC" w:rsidRDefault="003E65AC" w:rsidP="003E65AC">
      <w:pPr>
        <w:numPr>
          <w:ilvl w:val="0"/>
          <w:numId w:val="2"/>
        </w:numPr>
        <w:tabs>
          <w:tab w:val="left" w:pos="1170"/>
          <w:tab w:val="left" w:pos="4608"/>
        </w:tabs>
        <w:autoSpaceDE/>
        <w:autoSpaceDN/>
      </w:pPr>
      <w:r>
        <w:t>Requirements for a Variety of Programs Equitably Distributed</w:t>
      </w:r>
    </w:p>
    <w:p w:rsidR="003E65AC" w:rsidRDefault="003E65AC" w:rsidP="003E65AC">
      <w:pPr>
        <w:tabs>
          <w:tab w:val="left" w:pos="1170"/>
          <w:tab w:val="left" w:pos="4608"/>
        </w:tabs>
      </w:pPr>
    </w:p>
    <w:p w:rsidR="003E65AC" w:rsidRDefault="003E65AC" w:rsidP="003E65AC">
      <w:pPr>
        <w:numPr>
          <w:ilvl w:val="0"/>
          <w:numId w:val="2"/>
        </w:numPr>
        <w:tabs>
          <w:tab w:val="left" w:pos="1170"/>
          <w:tab w:val="left" w:pos="4608"/>
        </w:tabs>
        <w:autoSpaceDE/>
        <w:autoSpaceDN/>
      </w:pPr>
      <w:r>
        <w:t>Government/Non-Profit Requirement</w:t>
      </w:r>
    </w:p>
    <w:p w:rsidR="003E65AC" w:rsidRDefault="003E65AC" w:rsidP="003E65AC">
      <w:pPr>
        <w:tabs>
          <w:tab w:val="left" w:pos="1170"/>
          <w:tab w:val="left" w:pos="4608"/>
        </w:tabs>
      </w:pPr>
    </w:p>
    <w:p w:rsidR="003E65AC" w:rsidRDefault="003E65AC" w:rsidP="003E65AC">
      <w:pPr>
        <w:numPr>
          <w:ilvl w:val="0"/>
          <w:numId w:val="2"/>
        </w:numPr>
        <w:tabs>
          <w:tab w:val="left" w:pos="1170"/>
          <w:tab w:val="left" w:pos="4608"/>
        </w:tabs>
        <w:autoSpaceDE/>
        <w:autoSpaceDN/>
        <w:spacing w:line="480" w:lineRule="auto"/>
        <w:ind w:left="1526"/>
      </w:pPr>
      <w:r>
        <w:t>Low Income Program Requirements</w:t>
      </w:r>
    </w:p>
    <w:p w:rsidR="003E65AC" w:rsidRDefault="003E65AC" w:rsidP="003E65AC">
      <w:pPr>
        <w:numPr>
          <w:ilvl w:val="0"/>
          <w:numId w:val="2"/>
        </w:numPr>
        <w:tabs>
          <w:tab w:val="left" w:pos="1170"/>
          <w:tab w:val="left" w:pos="4608"/>
        </w:tabs>
        <w:autoSpaceDE/>
        <w:autoSpaceDN/>
        <w:spacing w:line="480" w:lineRule="auto"/>
        <w:ind w:left="1526"/>
      </w:pPr>
      <w:r>
        <w:t>Comprehensive Program Requirements</w:t>
      </w:r>
    </w:p>
    <w:p w:rsidR="003E65AC" w:rsidRDefault="003E65AC" w:rsidP="003E65AC">
      <w:pPr>
        <w:numPr>
          <w:ilvl w:val="0"/>
          <w:numId w:val="2"/>
        </w:numPr>
        <w:tabs>
          <w:tab w:val="left" w:pos="1170"/>
          <w:tab w:val="left" w:pos="4608"/>
        </w:tabs>
        <w:autoSpaceDE/>
        <w:autoSpaceDN/>
      </w:pPr>
      <w:r>
        <w:t>Issues Relating to Individual Conservation and Demand Reduction Programs</w:t>
      </w:r>
    </w:p>
    <w:p w:rsidR="003E65AC" w:rsidRDefault="003E65AC" w:rsidP="003E65AC">
      <w:pPr>
        <w:tabs>
          <w:tab w:val="left" w:pos="1170"/>
          <w:tab w:val="left" w:pos="4608"/>
        </w:tabs>
      </w:pPr>
    </w:p>
    <w:p w:rsidR="003E65AC" w:rsidRDefault="003E65AC" w:rsidP="003E65AC">
      <w:pPr>
        <w:numPr>
          <w:ilvl w:val="1"/>
          <w:numId w:val="2"/>
        </w:numPr>
        <w:tabs>
          <w:tab w:val="left" w:pos="1170"/>
          <w:tab w:val="left" w:pos="1980"/>
          <w:tab w:val="left" w:pos="4608"/>
        </w:tabs>
        <w:autoSpaceDE/>
        <w:autoSpaceDN/>
        <w:ind w:hanging="630"/>
      </w:pPr>
      <w:r>
        <w:t>Residential</w:t>
      </w:r>
    </w:p>
    <w:p w:rsidR="003E65AC" w:rsidRDefault="003E65AC" w:rsidP="003E65AC">
      <w:pPr>
        <w:numPr>
          <w:ilvl w:val="1"/>
          <w:numId w:val="2"/>
        </w:numPr>
        <w:tabs>
          <w:tab w:val="left" w:pos="1170"/>
          <w:tab w:val="left" w:pos="1980"/>
          <w:tab w:val="left" w:pos="4608"/>
        </w:tabs>
        <w:autoSpaceDE/>
        <w:autoSpaceDN/>
        <w:ind w:hanging="630"/>
      </w:pPr>
      <w:r>
        <w:t>Commercial</w:t>
      </w:r>
    </w:p>
    <w:p w:rsidR="003E65AC" w:rsidRDefault="003E65AC" w:rsidP="003E65AC">
      <w:pPr>
        <w:numPr>
          <w:ilvl w:val="1"/>
          <w:numId w:val="2"/>
        </w:numPr>
        <w:tabs>
          <w:tab w:val="left" w:pos="1170"/>
          <w:tab w:val="left" w:pos="1980"/>
          <w:tab w:val="left" w:pos="4608"/>
        </w:tabs>
        <w:autoSpaceDE/>
        <w:autoSpaceDN/>
        <w:ind w:hanging="630"/>
      </w:pPr>
      <w:r>
        <w:t>Industrial</w:t>
      </w:r>
    </w:p>
    <w:p w:rsidR="003E65AC" w:rsidRDefault="003E65AC" w:rsidP="003E65AC">
      <w:pPr>
        <w:tabs>
          <w:tab w:val="left" w:pos="1170"/>
          <w:tab w:val="left" w:pos="4608"/>
        </w:tabs>
      </w:pPr>
    </w:p>
    <w:p w:rsidR="003E65AC" w:rsidRDefault="003E65AC" w:rsidP="003E65AC">
      <w:pPr>
        <w:numPr>
          <w:ilvl w:val="0"/>
          <w:numId w:val="2"/>
        </w:numPr>
        <w:tabs>
          <w:tab w:val="left" w:pos="1170"/>
          <w:tab w:val="left" w:pos="4608"/>
        </w:tabs>
        <w:autoSpaceDE/>
        <w:autoSpaceDN/>
      </w:pPr>
      <w:r>
        <w:t>Proposals for Improvement of EDC Plan</w:t>
      </w:r>
    </w:p>
    <w:p w:rsidR="003E65AC" w:rsidRDefault="003E65AC" w:rsidP="003E65AC">
      <w:pPr>
        <w:tabs>
          <w:tab w:val="left" w:pos="1170"/>
          <w:tab w:val="left" w:pos="4608"/>
        </w:tabs>
        <w:ind w:left="1170"/>
      </w:pPr>
    </w:p>
    <w:p w:rsidR="003E65AC" w:rsidRDefault="003E65AC" w:rsidP="003E65AC">
      <w:pPr>
        <w:numPr>
          <w:ilvl w:val="1"/>
          <w:numId w:val="2"/>
        </w:numPr>
        <w:tabs>
          <w:tab w:val="left" w:pos="1170"/>
          <w:tab w:val="left" w:pos="1980"/>
          <w:tab w:val="left" w:pos="4608"/>
        </w:tabs>
        <w:autoSpaceDE/>
        <w:autoSpaceDN/>
        <w:ind w:hanging="630"/>
      </w:pPr>
      <w:r>
        <w:t>Residential</w:t>
      </w:r>
    </w:p>
    <w:p w:rsidR="003E65AC" w:rsidRDefault="003E65AC" w:rsidP="003E65AC">
      <w:pPr>
        <w:numPr>
          <w:ilvl w:val="1"/>
          <w:numId w:val="2"/>
        </w:numPr>
        <w:tabs>
          <w:tab w:val="left" w:pos="1170"/>
          <w:tab w:val="left" w:pos="1980"/>
          <w:tab w:val="left" w:pos="4608"/>
        </w:tabs>
        <w:autoSpaceDE/>
        <w:autoSpaceDN/>
        <w:ind w:hanging="630"/>
      </w:pPr>
      <w:r>
        <w:t>Commercial</w:t>
      </w:r>
    </w:p>
    <w:p w:rsidR="003E65AC" w:rsidRDefault="003E65AC" w:rsidP="003E65AC">
      <w:pPr>
        <w:numPr>
          <w:ilvl w:val="1"/>
          <w:numId w:val="2"/>
        </w:numPr>
        <w:tabs>
          <w:tab w:val="left" w:pos="1170"/>
          <w:tab w:val="left" w:pos="1980"/>
          <w:tab w:val="left" w:pos="4608"/>
        </w:tabs>
        <w:autoSpaceDE/>
        <w:autoSpaceDN/>
        <w:ind w:hanging="630"/>
      </w:pPr>
      <w:r>
        <w:t>Industrial</w:t>
      </w:r>
    </w:p>
    <w:p w:rsidR="00333448" w:rsidRDefault="00333448" w:rsidP="003E65AC">
      <w:pPr>
        <w:tabs>
          <w:tab w:val="left" w:pos="1170"/>
          <w:tab w:val="left" w:pos="4608"/>
        </w:tabs>
      </w:pPr>
      <w:r>
        <w:br w:type="page"/>
      </w:r>
    </w:p>
    <w:p w:rsidR="003E65AC" w:rsidRDefault="003E65AC" w:rsidP="003E65AC">
      <w:pPr>
        <w:tabs>
          <w:tab w:val="left" w:pos="1170"/>
          <w:tab w:val="left" w:pos="4608"/>
        </w:tabs>
      </w:pPr>
    </w:p>
    <w:p w:rsidR="003E65AC" w:rsidRDefault="003E65AC" w:rsidP="003E65AC">
      <w:pPr>
        <w:numPr>
          <w:ilvl w:val="0"/>
          <w:numId w:val="3"/>
        </w:numPr>
        <w:tabs>
          <w:tab w:val="left" w:pos="900"/>
          <w:tab w:val="left" w:pos="1440"/>
          <w:tab w:val="left" w:pos="4608"/>
        </w:tabs>
        <w:autoSpaceDE/>
        <w:autoSpaceDN/>
      </w:pPr>
      <w:r>
        <w:t>Cost Issues</w:t>
      </w:r>
    </w:p>
    <w:p w:rsidR="003E65AC" w:rsidRDefault="003E65AC" w:rsidP="003E65AC">
      <w:pPr>
        <w:tabs>
          <w:tab w:val="left" w:pos="900"/>
          <w:tab w:val="left" w:pos="1440"/>
          <w:tab w:val="left" w:pos="4608"/>
        </w:tabs>
      </w:pPr>
    </w:p>
    <w:p w:rsidR="003E65AC" w:rsidRDefault="003E65AC" w:rsidP="003E65AC">
      <w:pPr>
        <w:tabs>
          <w:tab w:val="left" w:pos="900"/>
          <w:tab w:val="left" w:pos="1440"/>
          <w:tab w:val="left" w:pos="1530"/>
          <w:tab w:val="left" w:pos="4608"/>
        </w:tabs>
        <w:ind w:left="1620" w:hanging="360"/>
      </w:pPr>
      <w:r>
        <w:t>1.  Plan Cost Issues</w:t>
      </w:r>
    </w:p>
    <w:p w:rsidR="003E65AC" w:rsidRDefault="003E65AC" w:rsidP="003E65AC">
      <w:pPr>
        <w:tabs>
          <w:tab w:val="left" w:pos="900"/>
          <w:tab w:val="left" w:pos="1440"/>
          <w:tab w:val="left" w:pos="1530"/>
          <w:tab w:val="left" w:pos="4608"/>
        </w:tabs>
      </w:pPr>
    </w:p>
    <w:p w:rsidR="003E65AC" w:rsidRDefault="003E65AC" w:rsidP="003E65AC">
      <w:pPr>
        <w:tabs>
          <w:tab w:val="left" w:pos="900"/>
          <w:tab w:val="left" w:pos="1260"/>
          <w:tab w:val="left" w:pos="4608"/>
        </w:tabs>
        <w:ind w:left="1260"/>
      </w:pPr>
      <w:r>
        <w:t>2.  Cost Effectiveness/Cost-Benefit Issues</w:t>
      </w:r>
    </w:p>
    <w:p w:rsidR="003E65AC" w:rsidRDefault="003E65AC" w:rsidP="003E65AC">
      <w:pPr>
        <w:tabs>
          <w:tab w:val="left" w:pos="900"/>
          <w:tab w:val="left" w:pos="1530"/>
          <w:tab w:val="left" w:pos="4608"/>
        </w:tabs>
      </w:pPr>
    </w:p>
    <w:p w:rsidR="003E65AC" w:rsidRDefault="003E65AC" w:rsidP="003E65AC">
      <w:pPr>
        <w:tabs>
          <w:tab w:val="left" w:pos="900"/>
          <w:tab w:val="left" w:pos="1530"/>
          <w:tab w:val="left" w:pos="4608"/>
        </w:tabs>
        <w:ind w:left="1620" w:hanging="360"/>
      </w:pPr>
      <w:r>
        <w:t>3.  Cost Allocation Issues</w:t>
      </w:r>
    </w:p>
    <w:p w:rsidR="003E65AC" w:rsidRDefault="003E65AC" w:rsidP="003E65AC">
      <w:pPr>
        <w:tabs>
          <w:tab w:val="left" w:pos="900"/>
          <w:tab w:val="left" w:pos="1530"/>
          <w:tab w:val="left" w:pos="4608"/>
        </w:tabs>
        <w:ind w:hanging="360"/>
      </w:pPr>
    </w:p>
    <w:p w:rsidR="003E65AC" w:rsidRDefault="003E65AC" w:rsidP="003E65AC">
      <w:pPr>
        <w:tabs>
          <w:tab w:val="left" w:pos="900"/>
          <w:tab w:val="left" w:pos="1530"/>
          <w:tab w:val="left" w:pos="4608"/>
        </w:tabs>
        <w:ind w:left="1620" w:hanging="360"/>
      </w:pPr>
      <w:r>
        <w:t>4.  Cost Recovery Issues</w:t>
      </w:r>
    </w:p>
    <w:p w:rsidR="003E65AC" w:rsidRDefault="003E65AC" w:rsidP="003E65AC">
      <w:pPr>
        <w:tabs>
          <w:tab w:val="left" w:pos="900"/>
          <w:tab w:val="left" w:pos="1530"/>
          <w:tab w:val="left" w:pos="4608"/>
        </w:tabs>
        <w:ind w:left="1620" w:hanging="360"/>
      </w:pPr>
    </w:p>
    <w:p w:rsidR="003E65AC" w:rsidRDefault="003E65AC" w:rsidP="003E65AC">
      <w:pPr>
        <w:numPr>
          <w:ilvl w:val="0"/>
          <w:numId w:val="3"/>
        </w:numPr>
        <w:tabs>
          <w:tab w:val="left" w:pos="900"/>
          <w:tab w:val="left" w:pos="1530"/>
          <w:tab w:val="left" w:pos="4608"/>
        </w:tabs>
        <w:autoSpaceDE/>
        <w:autoSpaceDN/>
      </w:pPr>
      <w:r>
        <w:t>CSP Issues</w:t>
      </w:r>
    </w:p>
    <w:p w:rsidR="003E65AC" w:rsidRDefault="003E65AC" w:rsidP="003E65AC">
      <w:pPr>
        <w:tabs>
          <w:tab w:val="left" w:pos="900"/>
          <w:tab w:val="left" w:pos="1530"/>
          <w:tab w:val="left" w:pos="4608"/>
        </w:tabs>
      </w:pPr>
    </w:p>
    <w:p w:rsidR="003E65AC" w:rsidRDefault="003E65AC" w:rsidP="003E65AC">
      <w:pPr>
        <w:numPr>
          <w:ilvl w:val="0"/>
          <w:numId w:val="3"/>
        </w:numPr>
        <w:tabs>
          <w:tab w:val="left" w:pos="900"/>
          <w:tab w:val="left" w:pos="1530"/>
          <w:tab w:val="left" w:pos="4608"/>
        </w:tabs>
        <w:autoSpaceDE/>
        <w:autoSpaceDN/>
      </w:pPr>
      <w:r>
        <w:t>Implementation and Evaluation Issues</w:t>
      </w:r>
    </w:p>
    <w:p w:rsidR="003E65AC" w:rsidRDefault="003E65AC" w:rsidP="003E65AC">
      <w:pPr>
        <w:tabs>
          <w:tab w:val="left" w:pos="900"/>
          <w:tab w:val="left" w:pos="1530"/>
          <w:tab w:val="left" w:pos="4608"/>
        </w:tabs>
      </w:pPr>
    </w:p>
    <w:p w:rsidR="003E65AC" w:rsidRDefault="003E65AC" w:rsidP="003E65AC">
      <w:pPr>
        <w:numPr>
          <w:ilvl w:val="1"/>
          <w:numId w:val="3"/>
        </w:numPr>
        <w:tabs>
          <w:tab w:val="left" w:pos="900"/>
          <w:tab w:val="left" w:pos="1530"/>
          <w:tab w:val="left" w:pos="4608"/>
        </w:tabs>
        <w:autoSpaceDE/>
        <w:autoSpaceDN/>
      </w:pPr>
      <w:r>
        <w:t>Implementation Issues</w:t>
      </w:r>
    </w:p>
    <w:p w:rsidR="003E65AC" w:rsidRDefault="003E65AC" w:rsidP="003E65AC">
      <w:pPr>
        <w:tabs>
          <w:tab w:val="left" w:pos="900"/>
          <w:tab w:val="left" w:pos="1530"/>
          <w:tab w:val="left" w:pos="4608"/>
        </w:tabs>
      </w:pPr>
    </w:p>
    <w:p w:rsidR="003E65AC" w:rsidRDefault="003E65AC" w:rsidP="003E65AC">
      <w:pPr>
        <w:numPr>
          <w:ilvl w:val="1"/>
          <w:numId w:val="3"/>
        </w:numPr>
        <w:tabs>
          <w:tab w:val="left" w:pos="900"/>
          <w:tab w:val="left" w:pos="1260"/>
          <w:tab w:val="left" w:pos="1530"/>
          <w:tab w:val="left" w:pos="4608"/>
        </w:tabs>
        <w:autoSpaceDE/>
        <w:autoSpaceDN/>
        <w:spacing w:line="360" w:lineRule="auto"/>
      </w:pPr>
      <w:r>
        <w:t>QA Issues</w:t>
      </w:r>
    </w:p>
    <w:p w:rsidR="003E65AC" w:rsidRDefault="003E65AC" w:rsidP="003E65AC">
      <w:pPr>
        <w:tabs>
          <w:tab w:val="left" w:pos="900"/>
          <w:tab w:val="left" w:pos="1530"/>
          <w:tab w:val="left" w:pos="4608"/>
        </w:tabs>
      </w:pPr>
    </w:p>
    <w:p w:rsidR="003E65AC" w:rsidRDefault="003E65AC" w:rsidP="003E65AC">
      <w:pPr>
        <w:numPr>
          <w:ilvl w:val="1"/>
          <w:numId w:val="3"/>
        </w:numPr>
        <w:tabs>
          <w:tab w:val="left" w:pos="900"/>
          <w:tab w:val="left" w:pos="1260"/>
          <w:tab w:val="left" w:pos="1530"/>
          <w:tab w:val="left" w:pos="4608"/>
        </w:tabs>
        <w:autoSpaceDE/>
        <w:autoSpaceDN/>
      </w:pPr>
      <w:r>
        <w:t>Monitoring and Reporting Issues</w:t>
      </w:r>
    </w:p>
    <w:p w:rsidR="003E65AC" w:rsidRDefault="003E65AC" w:rsidP="003E65AC">
      <w:pPr>
        <w:tabs>
          <w:tab w:val="left" w:pos="900"/>
          <w:tab w:val="left" w:pos="1530"/>
          <w:tab w:val="left" w:pos="4608"/>
        </w:tabs>
      </w:pPr>
    </w:p>
    <w:p w:rsidR="003E65AC" w:rsidRDefault="003E65AC" w:rsidP="003E65AC">
      <w:pPr>
        <w:numPr>
          <w:ilvl w:val="1"/>
          <w:numId w:val="3"/>
        </w:numPr>
        <w:tabs>
          <w:tab w:val="left" w:pos="900"/>
          <w:tab w:val="left" w:pos="1260"/>
          <w:tab w:val="left" w:pos="1530"/>
          <w:tab w:val="left" w:pos="4608"/>
        </w:tabs>
        <w:autoSpaceDE/>
        <w:autoSpaceDN/>
      </w:pPr>
      <w:r>
        <w:t>Evaluation Issues</w:t>
      </w:r>
    </w:p>
    <w:p w:rsidR="003E65AC" w:rsidRDefault="003E65AC" w:rsidP="003E65AC">
      <w:pPr>
        <w:tabs>
          <w:tab w:val="left" w:pos="900"/>
          <w:tab w:val="left" w:pos="1530"/>
          <w:tab w:val="left" w:pos="4608"/>
        </w:tabs>
      </w:pPr>
    </w:p>
    <w:p w:rsidR="003E65AC" w:rsidRDefault="003E65AC" w:rsidP="003E65AC">
      <w:pPr>
        <w:numPr>
          <w:ilvl w:val="0"/>
          <w:numId w:val="3"/>
        </w:numPr>
        <w:tabs>
          <w:tab w:val="left" w:pos="900"/>
          <w:tab w:val="left" w:pos="1530"/>
          <w:tab w:val="left" w:pos="4608"/>
        </w:tabs>
        <w:autoSpaceDE/>
        <w:autoSpaceDN/>
      </w:pPr>
      <w:r>
        <w:t>Other Issues</w:t>
      </w:r>
    </w:p>
    <w:p w:rsidR="003E65AC" w:rsidRDefault="003E65AC" w:rsidP="003E65AC">
      <w:pPr>
        <w:tabs>
          <w:tab w:val="left" w:pos="900"/>
          <w:tab w:val="left" w:pos="1260"/>
          <w:tab w:val="left" w:pos="1530"/>
          <w:tab w:val="left" w:pos="4608"/>
        </w:tabs>
        <w:ind w:left="900"/>
      </w:pPr>
    </w:p>
    <w:p w:rsidR="003E65AC" w:rsidRDefault="003E65AC" w:rsidP="003E65AC">
      <w:pPr>
        <w:numPr>
          <w:ilvl w:val="0"/>
          <w:numId w:val="1"/>
        </w:numPr>
        <w:tabs>
          <w:tab w:val="left" w:pos="1260"/>
          <w:tab w:val="left" w:pos="1530"/>
          <w:tab w:val="left" w:pos="4608"/>
        </w:tabs>
        <w:autoSpaceDE/>
        <w:autoSpaceDN/>
      </w:pPr>
      <w:r>
        <w:t>Conclusion</w:t>
      </w:r>
    </w:p>
    <w:p w:rsidR="003E65AC" w:rsidRDefault="003E65AC" w:rsidP="003E65AC">
      <w:pPr>
        <w:tabs>
          <w:tab w:val="left" w:pos="720"/>
          <w:tab w:val="left" w:pos="1260"/>
          <w:tab w:val="left" w:pos="1530"/>
          <w:tab w:val="left" w:pos="4608"/>
        </w:tabs>
      </w:pPr>
    </w:p>
    <w:p w:rsidR="003E65AC" w:rsidRDefault="003E65AC" w:rsidP="003E65AC">
      <w:pPr>
        <w:numPr>
          <w:ilvl w:val="0"/>
          <w:numId w:val="1"/>
        </w:numPr>
        <w:tabs>
          <w:tab w:val="left" w:pos="1260"/>
          <w:tab w:val="left" w:pos="1530"/>
          <w:tab w:val="left" w:pos="4608"/>
        </w:tabs>
        <w:autoSpaceDE/>
        <w:autoSpaceDN/>
      </w:pPr>
      <w:r>
        <w:t xml:space="preserve"> Proposed Ordering Paragraphs</w:t>
      </w:r>
    </w:p>
    <w:p w:rsidR="003E65AC" w:rsidRDefault="003E65AC" w:rsidP="003E65AC">
      <w:pPr>
        <w:tabs>
          <w:tab w:val="left" w:pos="900"/>
          <w:tab w:val="left" w:pos="1260"/>
          <w:tab w:val="left" w:pos="1530"/>
          <w:tab w:val="left" w:pos="4608"/>
        </w:tabs>
      </w:pPr>
    </w:p>
    <w:sectPr w:rsidR="003E65AC" w:rsidSect="00613C61">
      <w:footerReference w:type="default" r:id="rId12"/>
      <w:footerReference w:type="first" r:id="rId13"/>
      <w:pgSz w:w="12240" w:h="15840"/>
      <w:pgMar w:top="1440" w:right="1440" w:bottom="1440" w:left="1440" w:header="720" w:footer="720" w:gutter="0"/>
      <w:pgNumType w:start="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56C" w:rsidRDefault="0068156C" w:rsidP="008955CF">
      <w:r>
        <w:separator/>
      </w:r>
    </w:p>
  </w:endnote>
  <w:endnote w:type="continuationSeparator" w:id="0">
    <w:p w:rsidR="0068156C" w:rsidRDefault="0068156C" w:rsidP="0089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374811"/>
      <w:docPartObj>
        <w:docPartGallery w:val="Page Numbers (Bottom of Page)"/>
        <w:docPartUnique/>
      </w:docPartObj>
    </w:sdtPr>
    <w:sdtEndPr>
      <w:rPr>
        <w:rFonts w:ascii="Times New Roman" w:hAnsi="Times New Roman" w:cs="Times New Roman"/>
        <w:noProof/>
        <w:sz w:val="20"/>
        <w:szCs w:val="20"/>
      </w:rPr>
    </w:sdtEndPr>
    <w:sdtContent>
      <w:p w:rsidR="00613C61" w:rsidRPr="00613C61" w:rsidRDefault="00613C61">
        <w:pPr>
          <w:pStyle w:val="Footer"/>
          <w:jc w:val="center"/>
          <w:rPr>
            <w:rFonts w:ascii="Times New Roman" w:hAnsi="Times New Roman" w:cs="Times New Roman"/>
            <w:sz w:val="20"/>
            <w:szCs w:val="20"/>
          </w:rPr>
        </w:pPr>
        <w:r w:rsidRPr="00613C61">
          <w:rPr>
            <w:rFonts w:ascii="Times New Roman" w:hAnsi="Times New Roman" w:cs="Times New Roman"/>
            <w:sz w:val="20"/>
            <w:szCs w:val="20"/>
          </w:rPr>
          <w:fldChar w:fldCharType="begin"/>
        </w:r>
        <w:r w:rsidRPr="00613C61">
          <w:rPr>
            <w:rFonts w:ascii="Times New Roman" w:hAnsi="Times New Roman" w:cs="Times New Roman"/>
            <w:sz w:val="20"/>
            <w:szCs w:val="20"/>
          </w:rPr>
          <w:instrText xml:space="preserve"> PAGE   \* MERGEFORMAT </w:instrText>
        </w:r>
        <w:r w:rsidRPr="00613C61">
          <w:rPr>
            <w:rFonts w:ascii="Times New Roman" w:hAnsi="Times New Roman" w:cs="Times New Roman"/>
            <w:sz w:val="20"/>
            <w:szCs w:val="20"/>
          </w:rPr>
          <w:fldChar w:fldCharType="separate"/>
        </w:r>
        <w:r w:rsidR="0089025C">
          <w:rPr>
            <w:rFonts w:ascii="Times New Roman" w:hAnsi="Times New Roman" w:cs="Times New Roman"/>
            <w:noProof/>
            <w:sz w:val="20"/>
            <w:szCs w:val="20"/>
          </w:rPr>
          <w:t>6</w:t>
        </w:r>
        <w:r w:rsidRPr="00613C61">
          <w:rPr>
            <w:rFonts w:ascii="Times New Roman" w:hAnsi="Times New Roman" w:cs="Times New Roman"/>
            <w:noProof/>
            <w:sz w:val="20"/>
            <w:szCs w:val="20"/>
          </w:rPr>
          <w:fldChar w:fldCharType="end"/>
        </w:r>
      </w:p>
    </w:sdtContent>
  </w:sdt>
  <w:p w:rsidR="002035A8" w:rsidRDefault="002035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C61" w:rsidRDefault="00613C61">
    <w:pPr>
      <w:pStyle w:val="Footer"/>
      <w:jc w:val="center"/>
    </w:pPr>
  </w:p>
  <w:p w:rsidR="00613C61" w:rsidRDefault="00613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40F" w:rsidRDefault="000B240F">
    <w:pPr>
      <w:pStyle w:val="Footer"/>
      <w:jc w:val="center"/>
    </w:pPr>
  </w:p>
  <w:p w:rsidR="000B240F" w:rsidRDefault="000B240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657330"/>
      <w:docPartObj>
        <w:docPartGallery w:val="Page Numbers (Bottom of Page)"/>
        <w:docPartUnique/>
      </w:docPartObj>
    </w:sdtPr>
    <w:sdtEndPr>
      <w:rPr>
        <w:rFonts w:ascii="Times New Roman" w:hAnsi="Times New Roman" w:cs="Times New Roman"/>
        <w:noProof/>
        <w:sz w:val="20"/>
        <w:szCs w:val="20"/>
      </w:rPr>
    </w:sdtEndPr>
    <w:sdtContent>
      <w:p w:rsidR="00613C61" w:rsidRPr="00613C61" w:rsidRDefault="00613C61">
        <w:pPr>
          <w:pStyle w:val="Footer"/>
          <w:jc w:val="center"/>
          <w:rPr>
            <w:rFonts w:ascii="Times New Roman" w:hAnsi="Times New Roman" w:cs="Times New Roman"/>
            <w:sz w:val="20"/>
            <w:szCs w:val="20"/>
          </w:rPr>
        </w:pPr>
        <w:r w:rsidRPr="00613C61">
          <w:rPr>
            <w:rFonts w:ascii="Times New Roman" w:hAnsi="Times New Roman" w:cs="Times New Roman"/>
            <w:sz w:val="20"/>
            <w:szCs w:val="20"/>
          </w:rPr>
          <w:fldChar w:fldCharType="begin"/>
        </w:r>
        <w:r w:rsidRPr="00613C61">
          <w:rPr>
            <w:rFonts w:ascii="Times New Roman" w:hAnsi="Times New Roman" w:cs="Times New Roman"/>
            <w:sz w:val="20"/>
            <w:szCs w:val="20"/>
          </w:rPr>
          <w:instrText xml:space="preserve"> PAGE   \* MERGEFORMAT </w:instrText>
        </w:r>
        <w:r w:rsidRPr="00613C61">
          <w:rPr>
            <w:rFonts w:ascii="Times New Roman" w:hAnsi="Times New Roman" w:cs="Times New Roman"/>
            <w:sz w:val="20"/>
            <w:szCs w:val="20"/>
          </w:rPr>
          <w:fldChar w:fldCharType="separate"/>
        </w:r>
        <w:r w:rsidR="0089025C">
          <w:rPr>
            <w:rFonts w:ascii="Times New Roman" w:hAnsi="Times New Roman" w:cs="Times New Roman"/>
            <w:noProof/>
            <w:sz w:val="20"/>
            <w:szCs w:val="20"/>
          </w:rPr>
          <w:t>8</w:t>
        </w:r>
        <w:r w:rsidRPr="00613C61">
          <w:rPr>
            <w:rFonts w:ascii="Times New Roman" w:hAnsi="Times New Roman" w:cs="Times New Roman"/>
            <w:noProof/>
            <w:sz w:val="20"/>
            <w:szCs w:val="20"/>
          </w:rPr>
          <w:fldChar w:fldCharType="end"/>
        </w:r>
      </w:p>
    </w:sdtContent>
  </w:sdt>
  <w:p w:rsidR="000B240F" w:rsidRDefault="000B240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879077"/>
      <w:docPartObj>
        <w:docPartGallery w:val="Page Numbers (Bottom of Page)"/>
        <w:docPartUnique/>
      </w:docPartObj>
    </w:sdtPr>
    <w:sdtEndPr>
      <w:rPr>
        <w:noProof/>
      </w:rPr>
    </w:sdtEndPr>
    <w:sdtContent>
      <w:p w:rsidR="00613C61" w:rsidRDefault="00613C61">
        <w:pPr>
          <w:pStyle w:val="Footer"/>
          <w:jc w:val="center"/>
        </w:pPr>
        <w:r w:rsidRPr="00613C61">
          <w:rPr>
            <w:rFonts w:ascii="Times New Roman" w:hAnsi="Times New Roman" w:cs="Times New Roman"/>
            <w:sz w:val="20"/>
            <w:szCs w:val="20"/>
          </w:rPr>
          <w:fldChar w:fldCharType="begin"/>
        </w:r>
        <w:r w:rsidRPr="00613C61">
          <w:rPr>
            <w:rFonts w:ascii="Times New Roman" w:hAnsi="Times New Roman" w:cs="Times New Roman"/>
            <w:sz w:val="20"/>
            <w:szCs w:val="20"/>
          </w:rPr>
          <w:instrText xml:space="preserve"> PAGE   \* MERGEFORMAT </w:instrText>
        </w:r>
        <w:r w:rsidRPr="00613C61">
          <w:rPr>
            <w:rFonts w:ascii="Times New Roman" w:hAnsi="Times New Roman" w:cs="Times New Roman"/>
            <w:sz w:val="20"/>
            <w:szCs w:val="20"/>
          </w:rPr>
          <w:fldChar w:fldCharType="separate"/>
        </w:r>
        <w:r w:rsidR="0089025C">
          <w:rPr>
            <w:rFonts w:ascii="Times New Roman" w:hAnsi="Times New Roman" w:cs="Times New Roman"/>
            <w:noProof/>
            <w:sz w:val="20"/>
            <w:szCs w:val="20"/>
          </w:rPr>
          <w:t>7</w:t>
        </w:r>
        <w:r w:rsidRPr="00613C61">
          <w:rPr>
            <w:rFonts w:ascii="Times New Roman" w:hAnsi="Times New Roman" w:cs="Times New Roman"/>
            <w:noProof/>
            <w:sz w:val="20"/>
            <w:szCs w:val="20"/>
          </w:rPr>
          <w:fldChar w:fldCharType="end"/>
        </w:r>
      </w:p>
    </w:sdtContent>
  </w:sdt>
  <w:p w:rsidR="009B409B" w:rsidRPr="009B409B" w:rsidRDefault="009B409B" w:rsidP="009B40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56C" w:rsidRDefault="0068156C" w:rsidP="008955CF">
      <w:r>
        <w:separator/>
      </w:r>
    </w:p>
  </w:footnote>
  <w:footnote w:type="continuationSeparator" w:id="0">
    <w:p w:rsidR="0068156C" w:rsidRDefault="0068156C" w:rsidP="00895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51D91"/>
    <w:multiLevelType w:val="hybridMultilevel"/>
    <w:tmpl w:val="061CC28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E74AAC"/>
    <w:multiLevelType w:val="hybridMultilevel"/>
    <w:tmpl w:val="F0269608"/>
    <w:lvl w:ilvl="0" w:tplc="B8E4B170">
      <w:start w:val="3"/>
      <w:numFmt w:val="decimal"/>
      <w:lvlText w:val="%1."/>
      <w:lvlJc w:val="left"/>
      <w:pPr>
        <w:tabs>
          <w:tab w:val="num" w:pos="1530"/>
        </w:tabs>
        <w:ind w:left="1530" w:hanging="360"/>
      </w:pPr>
      <w:rPr>
        <w:rFonts w:hint="default"/>
      </w:rPr>
    </w:lvl>
    <w:lvl w:ilvl="1" w:tplc="04090019">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
    <w:nsid w:val="55F721A7"/>
    <w:multiLevelType w:val="hybridMultilevel"/>
    <w:tmpl w:val="D166BEB2"/>
    <w:lvl w:ilvl="0" w:tplc="43383226">
      <w:start w:val="2"/>
      <w:numFmt w:val="upperLetter"/>
      <w:lvlText w:val="%1."/>
      <w:lvlJc w:val="left"/>
      <w:pPr>
        <w:tabs>
          <w:tab w:val="num" w:pos="1260"/>
        </w:tabs>
        <w:ind w:left="1260" w:hanging="360"/>
      </w:pPr>
      <w:rPr>
        <w:rFonts w:hint="default"/>
      </w:rPr>
    </w:lvl>
    <w:lvl w:ilvl="1" w:tplc="0409000F">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B08"/>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40F"/>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1C7"/>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35A8"/>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523E"/>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331B"/>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448"/>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5847"/>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65AC"/>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769"/>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D7D7B"/>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4B1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3C61"/>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6C"/>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69C5"/>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4F9"/>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49F8"/>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25C"/>
    <w:rsid w:val="00890EB4"/>
    <w:rsid w:val="00891D35"/>
    <w:rsid w:val="00893901"/>
    <w:rsid w:val="008955CF"/>
    <w:rsid w:val="0089667B"/>
    <w:rsid w:val="0089728F"/>
    <w:rsid w:val="008A0874"/>
    <w:rsid w:val="008A0FF6"/>
    <w:rsid w:val="008A28F5"/>
    <w:rsid w:val="008A51AD"/>
    <w:rsid w:val="008A5B08"/>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1C18"/>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7703C"/>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09B"/>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387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565"/>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24A"/>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CCC"/>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08FF"/>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B08"/>
    <w:pPr>
      <w:autoSpaceDE w:val="0"/>
      <w:autoSpaceDN w:val="0"/>
      <w:spacing w:line="240" w:lineRule="auto"/>
      <w:jc w:val="left"/>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A5B08"/>
  </w:style>
  <w:style w:type="paragraph" w:styleId="Header">
    <w:name w:val="header"/>
    <w:basedOn w:val="Normal"/>
    <w:link w:val="HeaderChar"/>
    <w:uiPriority w:val="99"/>
    <w:unhideWhenUsed/>
    <w:rsid w:val="008955CF"/>
    <w:pPr>
      <w:tabs>
        <w:tab w:val="center" w:pos="4680"/>
        <w:tab w:val="right" w:pos="9360"/>
      </w:tabs>
    </w:pPr>
  </w:style>
  <w:style w:type="character" w:customStyle="1" w:styleId="HeaderChar">
    <w:name w:val="Header Char"/>
    <w:basedOn w:val="DefaultParagraphFont"/>
    <w:link w:val="Header"/>
    <w:uiPriority w:val="99"/>
    <w:rsid w:val="008955CF"/>
    <w:rPr>
      <w:rFonts w:ascii="CG Times" w:eastAsia="Times New Roman" w:hAnsi="CG Times" w:cs="CG Times"/>
    </w:rPr>
  </w:style>
  <w:style w:type="paragraph" w:styleId="Footer">
    <w:name w:val="footer"/>
    <w:basedOn w:val="Normal"/>
    <w:link w:val="FooterChar"/>
    <w:uiPriority w:val="99"/>
    <w:unhideWhenUsed/>
    <w:rsid w:val="008955CF"/>
    <w:pPr>
      <w:tabs>
        <w:tab w:val="center" w:pos="4680"/>
        <w:tab w:val="right" w:pos="9360"/>
      </w:tabs>
    </w:pPr>
  </w:style>
  <w:style w:type="character" w:customStyle="1" w:styleId="FooterChar">
    <w:name w:val="Footer Char"/>
    <w:basedOn w:val="DefaultParagraphFont"/>
    <w:link w:val="Footer"/>
    <w:uiPriority w:val="99"/>
    <w:rsid w:val="008955CF"/>
    <w:rPr>
      <w:rFonts w:ascii="CG Times" w:eastAsia="Times New Roman" w:hAnsi="CG Times" w:cs="CG Times"/>
    </w:rPr>
  </w:style>
  <w:style w:type="paragraph" w:styleId="BalloonText">
    <w:name w:val="Balloon Text"/>
    <w:basedOn w:val="Normal"/>
    <w:link w:val="BalloonTextChar"/>
    <w:uiPriority w:val="99"/>
    <w:semiHidden/>
    <w:unhideWhenUsed/>
    <w:rsid w:val="00E608FF"/>
    <w:rPr>
      <w:rFonts w:ascii="Tahoma" w:hAnsi="Tahoma" w:cs="Tahoma"/>
      <w:sz w:val="16"/>
      <w:szCs w:val="16"/>
    </w:rPr>
  </w:style>
  <w:style w:type="character" w:customStyle="1" w:styleId="BalloonTextChar">
    <w:name w:val="Balloon Text Char"/>
    <w:basedOn w:val="DefaultParagraphFont"/>
    <w:link w:val="BalloonText"/>
    <w:uiPriority w:val="99"/>
    <w:semiHidden/>
    <w:rsid w:val="00E608F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B08"/>
    <w:pPr>
      <w:autoSpaceDE w:val="0"/>
      <w:autoSpaceDN w:val="0"/>
      <w:spacing w:line="240" w:lineRule="auto"/>
      <w:jc w:val="left"/>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A5B08"/>
  </w:style>
  <w:style w:type="paragraph" w:styleId="Header">
    <w:name w:val="header"/>
    <w:basedOn w:val="Normal"/>
    <w:link w:val="HeaderChar"/>
    <w:uiPriority w:val="99"/>
    <w:unhideWhenUsed/>
    <w:rsid w:val="008955CF"/>
    <w:pPr>
      <w:tabs>
        <w:tab w:val="center" w:pos="4680"/>
        <w:tab w:val="right" w:pos="9360"/>
      </w:tabs>
    </w:pPr>
  </w:style>
  <w:style w:type="character" w:customStyle="1" w:styleId="HeaderChar">
    <w:name w:val="Header Char"/>
    <w:basedOn w:val="DefaultParagraphFont"/>
    <w:link w:val="Header"/>
    <w:uiPriority w:val="99"/>
    <w:rsid w:val="008955CF"/>
    <w:rPr>
      <w:rFonts w:ascii="CG Times" w:eastAsia="Times New Roman" w:hAnsi="CG Times" w:cs="CG Times"/>
    </w:rPr>
  </w:style>
  <w:style w:type="paragraph" w:styleId="Footer">
    <w:name w:val="footer"/>
    <w:basedOn w:val="Normal"/>
    <w:link w:val="FooterChar"/>
    <w:uiPriority w:val="99"/>
    <w:unhideWhenUsed/>
    <w:rsid w:val="008955CF"/>
    <w:pPr>
      <w:tabs>
        <w:tab w:val="center" w:pos="4680"/>
        <w:tab w:val="right" w:pos="9360"/>
      </w:tabs>
    </w:pPr>
  </w:style>
  <w:style w:type="character" w:customStyle="1" w:styleId="FooterChar">
    <w:name w:val="Footer Char"/>
    <w:basedOn w:val="DefaultParagraphFont"/>
    <w:link w:val="Footer"/>
    <w:uiPriority w:val="99"/>
    <w:rsid w:val="008955CF"/>
    <w:rPr>
      <w:rFonts w:ascii="CG Times" w:eastAsia="Times New Roman" w:hAnsi="CG Times" w:cs="CG Times"/>
    </w:rPr>
  </w:style>
  <w:style w:type="paragraph" w:styleId="BalloonText">
    <w:name w:val="Balloon Text"/>
    <w:basedOn w:val="Normal"/>
    <w:link w:val="BalloonTextChar"/>
    <w:uiPriority w:val="99"/>
    <w:semiHidden/>
    <w:unhideWhenUsed/>
    <w:rsid w:val="00E608FF"/>
    <w:rPr>
      <w:rFonts w:ascii="Tahoma" w:hAnsi="Tahoma" w:cs="Tahoma"/>
      <w:sz w:val="16"/>
      <w:szCs w:val="16"/>
    </w:rPr>
  </w:style>
  <w:style w:type="character" w:customStyle="1" w:styleId="BalloonTextChar">
    <w:name w:val="Balloon Text Char"/>
    <w:basedOn w:val="DefaultParagraphFont"/>
    <w:link w:val="BalloonText"/>
    <w:uiPriority w:val="99"/>
    <w:semiHidden/>
    <w:rsid w:val="00E608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590FB-03FF-495B-B1D1-D0E669BD2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7</cp:revision>
  <cp:lastPrinted>2016-01-07T14:46:00Z</cp:lastPrinted>
  <dcterms:created xsi:type="dcterms:W3CDTF">2016-01-06T14:29:00Z</dcterms:created>
  <dcterms:modified xsi:type="dcterms:W3CDTF">2016-01-07T14:46:00Z</dcterms:modified>
</cp:coreProperties>
</file>