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61" w:rsidRDefault="00A22B61" w:rsidP="00A22B61">
      <w:pPr>
        <w:jc w:val="center"/>
      </w:pPr>
      <w:r>
        <w:rPr>
          <w:b/>
        </w:rPr>
        <w:t>BEFORE THE</w:t>
      </w:r>
    </w:p>
    <w:p w:rsidR="00A22B61" w:rsidRDefault="00A22B61" w:rsidP="00A22B61">
      <w:pPr>
        <w:jc w:val="center"/>
        <w:rPr>
          <w:b/>
        </w:rPr>
      </w:pPr>
      <w:r>
        <w:rPr>
          <w:b/>
        </w:rPr>
        <w:t>PENNSYLVANIA PUBLIC UTILITY COMMISSION</w:t>
      </w:r>
    </w:p>
    <w:p w:rsidR="00457C97" w:rsidRDefault="00457C97" w:rsidP="00A22B61">
      <w:pPr>
        <w:jc w:val="center"/>
        <w:rPr>
          <w:b/>
        </w:rPr>
      </w:pPr>
    </w:p>
    <w:p w:rsidR="00457C97" w:rsidRDefault="00457C97" w:rsidP="00A22B61">
      <w:pPr>
        <w:jc w:val="center"/>
      </w:pPr>
    </w:p>
    <w:p w:rsidR="00A22B61" w:rsidRDefault="00A22B61" w:rsidP="00A22B61">
      <w:pPr>
        <w:jc w:val="center"/>
      </w:pPr>
    </w:p>
    <w:p w:rsidR="00457C97" w:rsidRPr="00457C97" w:rsidRDefault="00457C97" w:rsidP="00457C97">
      <w:pPr>
        <w:tabs>
          <w:tab w:val="left" w:pos="-720"/>
          <w:tab w:val="left" w:pos="0"/>
        </w:tabs>
        <w:suppressAutoHyphens/>
        <w:contextualSpacing/>
      </w:pPr>
      <w:r w:rsidRPr="00457C97">
        <w:t>Core Communications, Inc.</w:t>
      </w:r>
      <w:r w:rsidRPr="00457C97">
        <w:tab/>
      </w:r>
      <w:r w:rsidRPr="00457C97">
        <w:tab/>
      </w:r>
      <w:r>
        <w:tab/>
      </w:r>
      <w:r>
        <w:tab/>
        <w:t>:</w:t>
      </w:r>
    </w:p>
    <w:p w:rsidR="00457C97" w:rsidRDefault="00457C97" w:rsidP="00457C97">
      <w:pPr>
        <w:tabs>
          <w:tab w:val="left" w:pos="-720"/>
          <w:tab w:val="left" w:pos="0"/>
        </w:tabs>
        <w:suppressAutoHyphens/>
        <w:contextualSpacing/>
      </w:pPr>
      <w:r w:rsidRPr="00457C97">
        <w:tab/>
      </w:r>
      <w:r w:rsidRPr="00457C97">
        <w:tab/>
      </w:r>
      <w:r>
        <w:tab/>
      </w:r>
      <w:r>
        <w:tab/>
      </w:r>
      <w:r>
        <w:tab/>
      </w:r>
      <w:r>
        <w:tab/>
      </w:r>
      <w:r>
        <w:tab/>
        <w:t>:</w:t>
      </w:r>
    </w:p>
    <w:p w:rsidR="00457C97" w:rsidRDefault="00457C97" w:rsidP="00457C97">
      <w:pPr>
        <w:tabs>
          <w:tab w:val="left" w:pos="-720"/>
          <w:tab w:val="left" w:pos="0"/>
        </w:tabs>
        <w:suppressAutoHyphens/>
        <w:contextualSpacing/>
      </w:pPr>
      <w:r>
        <w:tab/>
        <w:t>v.</w:t>
      </w:r>
      <w:r>
        <w:tab/>
      </w:r>
      <w:r>
        <w:tab/>
      </w:r>
      <w:r>
        <w:tab/>
      </w:r>
      <w:r>
        <w:tab/>
      </w:r>
      <w:r>
        <w:tab/>
      </w:r>
      <w:r>
        <w:tab/>
        <w:t>:</w:t>
      </w:r>
      <w:r>
        <w:tab/>
      </w:r>
      <w:r>
        <w:tab/>
        <w:t>C-2011-2253750</w:t>
      </w:r>
    </w:p>
    <w:p w:rsidR="00457C97" w:rsidRDefault="00457C97" w:rsidP="00457C97">
      <w:pPr>
        <w:tabs>
          <w:tab w:val="left" w:pos="-720"/>
          <w:tab w:val="left" w:pos="0"/>
        </w:tabs>
        <w:suppressAutoHyphens/>
        <w:contextualSpacing/>
      </w:pPr>
      <w:r>
        <w:tab/>
      </w:r>
      <w:r>
        <w:tab/>
      </w:r>
      <w:r>
        <w:tab/>
      </w:r>
      <w:r>
        <w:tab/>
      </w:r>
      <w:r>
        <w:tab/>
      </w:r>
      <w:r>
        <w:tab/>
      </w:r>
      <w:r>
        <w:tab/>
        <w:t>:</w:t>
      </w:r>
      <w:r>
        <w:tab/>
      </w:r>
      <w:r>
        <w:tab/>
        <w:t>C-2011-2253787</w:t>
      </w:r>
    </w:p>
    <w:p w:rsidR="00457C97" w:rsidRDefault="00457C97" w:rsidP="00457C97">
      <w:pPr>
        <w:tabs>
          <w:tab w:val="left" w:pos="-720"/>
          <w:tab w:val="left" w:pos="0"/>
        </w:tabs>
        <w:suppressAutoHyphens/>
        <w:contextualSpacing/>
      </w:pPr>
      <w:r w:rsidRPr="00457C97">
        <w:t>Verizon Pennsylvania Inc.</w:t>
      </w:r>
      <w:r>
        <w:t>, and</w:t>
      </w:r>
      <w:r>
        <w:tab/>
      </w:r>
      <w:r>
        <w:tab/>
      </w:r>
      <w:r>
        <w:tab/>
        <w:t>:</w:t>
      </w:r>
    </w:p>
    <w:p w:rsidR="00A22B61" w:rsidRDefault="00457C97" w:rsidP="00457C97">
      <w:pPr>
        <w:tabs>
          <w:tab w:val="left" w:pos="-720"/>
          <w:tab w:val="left" w:pos="0"/>
        </w:tabs>
        <w:suppressAutoHyphens/>
        <w:contextualSpacing/>
        <w:rPr>
          <w:b/>
        </w:rPr>
      </w:pPr>
      <w:r w:rsidRPr="00457C97">
        <w:t>Verizon North, LLC</w:t>
      </w:r>
      <w:r>
        <w:tab/>
      </w:r>
      <w:r>
        <w:tab/>
      </w:r>
      <w:r>
        <w:tab/>
      </w:r>
      <w:r>
        <w:tab/>
      </w:r>
      <w:r>
        <w:tab/>
        <w:t>:</w:t>
      </w:r>
    </w:p>
    <w:p w:rsidR="00A22B61" w:rsidRDefault="00A22B61" w:rsidP="00A22B61"/>
    <w:p w:rsidR="00A22B61" w:rsidRDefault="00A22B61" w:rsidP="00A22B61"/>
    <w:p w:rsidR="00A22B61" w:rsidRDefault="00A22B61" w:rsidP="00A22B61">
      <w:r>
        <w:t> </w:t>
      </w:r>
    </w:p>
    <w:p w:rsidR="00A22B61" w:rsidRDefault="00371B81" w:rsidP="00A22B61">
      <w:pPr>
        <w:jc w:val="center"/>
        <w:rPr>
          <w:b/>
          <w:u w:val="single"/>
        </w:rPr>
      </w:pPr>
      <w:r>
        <w:rPr>
          <w:b/>
          <w:u w:val="single"/>
        </w:rPr>
        <w:t>SUPPLEMENTAL INITIAL</w:t>
      </w:r>
      <w:r w:rsidR="00A22B61">
        <w:rPr>
          <w:b/>
          <w:u w:val="single"/>
        </w:rPr>
        <w:t xml:space="preserve"> DECISION</w:t>
      </w:r>
      <w:r>
        <w:rPr>
          <w:b/>
          <w:u w:val="single"/>
        </w:rPr>
        <w:t xml:space="preserve"> ON REMAND</w:t>
      </w:r>
    </w:p>
    <w:p w:rsidR="004577CF" w:rsidRDefault="004577CF" w:rsidP="00A22B61">
      <w:pPr>
        <w:jc w:val="center"/>
        <w:rPr>
          <w:b/>
          <w:u w:val="single"/>
        </w:rPr>
      </w:pPr>
    </w:p>
    <w:p w:rsidR="00A22B61" w:rsidRDefault="00A22B61" w:rsidP="00A22B61">
      <w:pPr>
        <w:jc w:val="center"/>
      </w:pPr>
    </w:p>
    <w:p w:rsidR="00A22B61" w:rsidRDefault="00A22B61" w:rsidP="00A22B61">
      <w:pPr>
        <w:jc w:val="center"/>
      </w:pPr>
      <w:r>
        <w:t>Before</w:t>
      </w:r>
    </w:p>
    <w:p w:rsidR="00A22B61" w:rsidRDefault="00A22B61" w:rsidP="00A22B61">
      <w:pPr>
        <w:jc w:val="center"/>
      </w:pPr>
      <w:r>
        <w:t>Susan D. Colwell</w:t>
      </w:r>
    </w:p>
    <w:p w:rsidR="00A22B61" w:rsidRDefault="00A22B61" w:rsidP="00A22B61">
      <w:pPr>
        <w:jc w:val="center"/>
      </w:pPr>
      <w:r>
        <w:t>Administrative Law Judge</w:t>
      </w:r>
    </w:p>
    <w:p w:rsidR="00A22B61" w:rsidRDefault="00A22B61" w:rsidP="00A22B61">
      <w:pPr>
        <w:jc w:val="center"/>
        <w:rPr>
          <w:b/>
        </w:rPr>
      </w:pPr>
    </w:p>
    <w:p w:rsidR="00786CA4" w:rsidRDefault="00786CA4">
      <w:pPr>
        <w:spacing w:line="360" w:lineRule="auto"/>
        <w:jc w:val="center"/>
        <w:sectPr w:rsidR="00786CA4" w:rsidSect="00ED0B13">
          <w:footerReference w:type="default" r:id="rId9"/>
          <w:pgSz w:w="12240" w:h="15840"/>
          <w:pgMar w:top="1440" w:right="1440" w:bottom="1440" w:left="1440" w:header="720" w:footer="720" w:gutter="0"/>
          <w:cols w:space="720"/>
          <w:titlePg/>
          <w:docGrid w:linePitch="360"/>
        </w:sectPr>
      </w:pPr>
    </w:p>
    <w:p w:rsidR="00CE731B" w:rsidRDefault="00CE731B" w:rsidP="00CE731B">
      <w:pPr>
        <w:pStyle w:val="TOC1"/>
      </w:pPr>
      <w:r>
        <w:lastRenderedPageBreak/>
        <w:t>TABLE OF CONTENTS</w:t>
      </w:r>
    </w:p>
    <w:p w:rsidR="00CE731B" w:rsidRDefault="00CE731B" w:rsidP="00CE731B">
      <w:pPr>
        <w:pStyle w:val="TOC1"/>
      </w:pPr>
    </w:p>
    <w:bookmarkStart w:id="0" w:name="_GoBack"/>
    <w:bookmarkEnd w:id="0"/>
    <w:p w:rsidR="00074D9E" w:rsidRPr="00CE731B" w:rsidRDefault="00074D9E" w:rsidP="00CE731B">
      <w:pPr>
        <w:pStyle w:val="TOC1"/>
        <w:rPr>
          <w:rFonts w:asciiTheme="minorHAnsi" w:eastAsiaTheme="minorEastAsia" w:hAnsiTheme="minorHAnsi" w:cstheme="minorBidi"/>
          <w:sz w:val="22"/>
          <w:szCs w:val="22"/>
        </w:rPr>
      </w:pPr>
      <w:r>
        <w:fldChar w:fldCharType="begin"/>
      </w:r>
      <w:r>
        <w:instrText xml:space="preserve"> TOC \f \h \z </w:instrText>
      </w:r>
      <w:r>
        <w:fldChar w:fldCharType="separate"/>
      </w:r>
      <w:hyperlink w:anchor="_Toc438210385" w:history="1">
        <w:r w:rsidRPr="00CE731B">
          <w:rPr>
            <w:rStyle w:val="Hyperlink"/>
          </w:rPr>
          <w:t>I.</w:t>
        </w:r>
        <w:r w:rsidRPr="00CE731B">
          <w:rPr>
            <w:rFonts w:asciiTheme="minorHAnsi" w:eastAsiaTheme="minorEastAsia" w:hAnsiTheme="minorHAnsi" w:cstheme="minorBidi"/>
            <w:sz w:val="22"/>
            <w:szCs w:val="22"/>
          </w:rPr>
          <w:tab/>
        </w:r>
        <w:r w:rsidRPr="00CE731B">
          <w:rPr>
            <w:rStyle w:val="Hyperlink"/>
          </w:rPr>
          <w:t>INTRODUCTION</w:t>
        </w:r>
        <w:r w:rsidRPr="00CE731B">
          <w:rPr>
            <w:webHidden/>
          </w:rPr>
          <w:tab/>
        </w:r>
        <w:r w:rsidR="00246921">
          <w:rPr>
            <w:webHidden/>
          </w:rPr>
          <w:t>1</w:t>
        </w:r>
      </w:hyperlink>
    </w:p>
    <w:p w:rsidR="00074D9E" w:rsidRPr="00CE731B" w:rsidRDefault="009520FA" w:rsidP="00CE731B">
      <w:pPr>
        <w:pStyle w:val="TOC1"/>
        <w:rPr>
          <w:rFonts w:asciiTheme="minorHAnsi" w:eastAsiaTheme="minorEastAsia" w:hAnsiTheme="minorHAnsi" w:cstheme="minorBidi"/>
          <w:sz w:val="22"/>
          <w:szCs w:val="22"/>
        </w:rPr>
      </w:pPr>
      <w:hyperlink w:anchor="_Toc438210386" w:history="1">
        <w:r w:rsidR="00074D9E" w:rsidRPr="00CE731B">
          <w:rPr>
            <w:rStyle w:val="Hyperlink"/>
          </w:rPr>
          <w:t>II.</w:t>
        </w:r>
        <w:r w:rsidR="00074D9E" w:rsidRPr="00CE731B">
          <w:rPr>
            <w:rFonts w:asciiTheme="minorHAnsi" w:eastAsiaTheme="minorEastAsia" w:hAnsiTheme="minorHAnsi" w:cstheme="minorBidi"/>
            <w:sz w:val="22"/>
            <w:szCs w:val="22"/>
          </w:rPr>
          <w:tab/>
        </w:r>
        <w:r w:rsidR="00074D9E" w:rsidRPr="00CE731B">
          <w:rPr>
            <w:rStyle w:val="Hyperlink"/>
          </w:rPr>
          <w:t>HISTORY OF THE PROCEEDING</w:t>
        </w:r>
        <w:r w:rsidR="00074D9E" w:rsidRPr="00CE731B">
          <w:rPr>
            <w:webHidden/>
          </w:rPr>
          <w:tab/>
        </w:r>
        <w:r w:rsidR="00607126">
          <w:rPr>
            <w:webHidden/>
          </w:rPr>
          <w:t>1</w:t>
        </w:r>
      </w:hyperlink>
    </w:p>
    <w:p w:rsidR="00074D9E" w:rsidRPr="00CE731B" w:rsidRDefault="009520FA" w:rsidP="00CE731B">
      <w:pPr>
        <w:pStyle w:val="TOC1"/>
        <w:rPr>
          <w:rFonts w:asciiTheme="minorHAnsi" w:eastAsiaTheme="minorEastAsia" w:hAnsiTheme="minorHAnsi" w:cstheme="minorBidi"/>
          <w:sz w:val="22"/>
          <w:szCs w:val="22"/>
        </w:rPr>
      </w:pPr>
      <w:hyperlink w:anchor="_Toc438210387" w:history="1">
        <w:r w:rsidR="00074D9E" w:rsidRPr="00CE731B">
          <w:rPr>
            <w:rStyle w:val="Hyperlink"/>
          </w:rPr>
          <w:t>III.</w:t>
        </w:r>
        <w:r w:rsidR="00074D9E" w:rsidRPr="00CE731B">
          <w:rPr>
            <w:rFonts w:asciiTheme="minorHAnsi" w:eastAsiaTheme="minorEastAsia" w:hAnsiTheme="minorHAnsi" w:cstheme="minorBidi"/>
            <w:sz w:val="22"/>
            <w:szCs w:val="22"/>
          </w:rPr>
          <w:tab/>
        </w:r>
        <w:r w:rsidR="00074D9E" w:rsidRPr="00CE731B">
          <w:rPr>
            <w:rStyle w:val="Hyperlink"/>
          </w:rPr>
          <w:t>DISCUSSION</w:t>
        </w:r>
        <w:r w:rsidR="00074D9E" w:rsidRPr="00CE731B">
          <w:rPr>
            <w:webHidden/>
          </w:rPr>
          <w:tab/>
        </w:r>
        <w:r w:rsidR="00074D9E" w:rsidRPr="00CE731B">
          <w:rPr>
            <w:webHidden/>
          </w:rPr>
          <w:fldChar w:fldCharType="begin"/>
        </w:r>
        <w:r w:rsidR="00074D9E" w:rsidRPr="00CE731B">
          <w:rPr>
            <w:webHidden/>
          </w:rPr>
          <w:instrText xml:space="preserve"> PAGEREF _Toc438210387 \h </w:instrText>
        </w:r>
        <w:r w:rsidR="00074D9E" w:rsidRPr="00CE731B">
          <w:rPr>
            <w:webHidden/>
          </w:rPr>
        </w:r>
        <w:r w:rsidR="00074D9E" w:rsidRPr="00CE731B">
          <w:rPr>
            <w:webHidden/>
          </w:rPr>
          <w:fldChar w:fldCharType="separate"/>
        </w:r>
        <w:r w:rsidR="00C12144">
          <w:rPr>
            <w:webHidden/>
          </w:rPr>
          <w:t>4</w:t>
        </w:r>
        <w:r w:rsidR="00074D9E" w:rsidRPr="00CE731B">
          <w:rPr>
            <w:webHidden/>
          </w:rPr>
          <w:fldChar w:fldCharType="end"/>
        </w:r>
      </w:hyperlink>
    </w:p>
    <w:p w:rsidR="00074D9E" w:rsidRPr="00CE731B" w:rsidRDefault="009520FA" w:rsidP="00CE731B">
      <w:pPr>
        <w:pStyle w:val="TOC2"/>
        <w:spacing w:line="360" w:lineRule="auto"/>
        <w:rPr>
          <w:rFonts w:asciiTheme="minorHAnsi" w:eastAsiaTheme="minorEastAsia" w:hAnsiTheme="minorHAnsi" w:cstheme="minorBidi"/>
          <w:noProof/>
          <w:sz w:val="22"/>
          <w:szCs w:val="22"/>
        </w:rPr>
      </w:pPr>
      <w:hyperlink w:anchor="_Toc438210388" w:history="1">
        <w:r w:rsidR="00074D9E" w:rsidRPr="00CE731B">
          <w:rPr>
            <w:rStyle w:val="Hyperlink"/>
            <w:noProof/>
          </w:rPr>
          <w:t>A.</w:t>
        </w:r>
        <w:r w:rsidR="00074D9E" w:rsidRPr="00CE731B">
          <w:rPr>
            <w:rFonts w:asciiTheme="minorHAnsi" w:eastAsiaTheme="minorEastAsia" w:hAnsiTheme="minorHAnsi" w:cstheme="minorBidi"/>
            <w:noProof/>
            <w:sz w:val="22"/>
            <w:szCs w:val="22"/>
          </w:rPr>
          <w:tab/>
        </w:r>
        <w:r w:rsidR="00074D9E" w:rsidRPr="00CE731B">
          <w:rPr>
            <w:rStyle w:val="Hyperlink"/>
            <w:noProof/>
          </w:rPr>
          <w:t>The Remand</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_Toc438210388 \h </w:instrText>
        </w:r>
        <w:r w:rsidR="00074D9E" w:rsidRPr="00CE731B">
          <w:rPr>
            <w:noProof/>
            <w:webHidden/>
          </w:rPr>
        </w:r>
        <w:r w:rsidR="00074D9E" w:rsidRPr="00CE731B">
          <w:rPr>
            <w:noProof/>
            <w:webHidden/>
          </w:rPr>
          <w:fldChar w:fldCharType="separate"/>
        </w:r>
        <w:r w:rsidR="00C12144">
          <w:rPr>
            <w:noProof/>
            <w:webHidden/>
          </w:rPr>
          <w:t>6</w:t>
        </w:r>
        <w:r w:rsidR="00074D9E" w:rsidRPr="00CE731B">
          <w:rPr>
            <w:noProof/>
            <w:webHidden/>
          </w:rPr>
          <w:fldChar w:fldCharType="end"/>
        </w:r>
      </w:hyperlink>
    </w:p>
    <w:p w:rsidR="00074D9E" w:rsidRPr="00CE731B" w:rsidRDefault="009520FA" w:rsidP="00CE731B">
      <w:pPr>
        <w:pStyle w:val="TOC2"/>
        <w:spacing w:line="360" w:lineRule="auto"/>
        <w:rPr>
          <w:rFonts w:asciiTheme="minorHAnsi" w:eastAsiaTheme="minorEastAsia" w:hAnsiTheme="minorHAnsi" w:cstheme="minorBidi"/>
          <w:noProof/>
          <w:sz w:val="22"/>
          <w:szCs w:val="22"/>
        </w:rPr>
      </w:pPr>
      <w:hyperlink w:anchor="_Toc438210389" w:history="1">
        <w:r w:rsidR="00074D9E" w:rsidRPr="00CE731B">
          <w:rPr>
            <w:rStyle w:val="Hyperlink"/>
            <w:noProof/>
          </w:rPr>
          <w:t>B.</w:t>
        </w:r>
        <w:r w:rsidR="00074D9E" w:rsidRPr="00CE731B">
          <w:rPr>
            <w:rFonts w:asciiTheme="minorHAnsi" w:eastAsiaTheme="minorEastAsia" w:hAnsiTheme="minorHAnsi" w:cstheme="minorBidi"/>
            <w:noProof/>
            <w:sz w:val="22"/>
            <w:szCs w:val="22"/>
          </w:rPr>
          <w:tab/>
        </w:r>
        <w:r w:rsidR="00074D9E" w:rsidRPr="00CE731B">
          <w:rPr>
            <w:rStyle w:val="Hyperlink"/>
            <w:noProof/>
          </w:rPr>
          <w:t>Burden of Proof</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_Toc438210389 \h </w:instrText>
        </w:r>
        <w:r w:rsidR="00074D9E" w:rsidRPr="00CE731B">
          <w:rPr>
            <w:noProof/>
            <w:webHidden/>
          </w:rPr>
        </w:r>
        <w:r w:rsidR="00074D9E" w:rsidRPr="00CE731B">
          <w:rPr>
            <w:noProof/>
            <w:webHidden/>
          </w:rPr>
          <w:fldChar w:fldCharType="separate"/>
        </w:r>
        <w:r w:rsidR="00C12144">
          <w:rPr>
            <w:noProof/>
            <w:webHidden/>
          </w:rPr>
          <w:t>7</w:t>
        </w:r>
        <w:r w:rsidR="00074D9E" w:rsidRPr="00CE731B">
          <w:rPr>
            <w:noProof/>
            <w:webHidden/>
          </w:rPr>
          <w:fldChar w:fldCharType="end"/>
        </w:r>
      </w:hyperlink>
    </w:p>
    <w:p w:rsidR="00074D9E" w:rsidRPr="00CE731B" w:rsidRDefault="009520FA" w:rsidP="00CE731B">
      <w:pPr>
        <w:pStyle w:val="TOC2"/>
        <w:spacing w:line="360" w:lineRule="auto"/>
        <w:rPr>
          <w:rFonts w:asciiTheme="minorHAnsi" w:eastAsiaTheme="minorEastAsia" w:hAnsiTheme="minorHAnsi" w:cstheme="minorBidi"/>
          <w:noProof/>
          <w:sz w:val="22"/>
          <w:szCs w:val="22"/>
        </w:rPr>
      </w:pPr>
      <w:hyperlink w:anchor="_Toc438210390" w:history="1">
        <w:r w:rsidR="00074D9E" w:rsidRPr="00CE731B">
          <w:rPr>
            <w:rStyle w:val="Hyperlink"/>
            <w:noProof/>
          </w:rPr>
          <w:t>C.</w:t>
        </w:r>
        <w:r w:rsidR="00074D9E" w:rsidRPr="00CE731B">
          <w:rPr>
            <w:rFonts w:asciiTheme="minorHAnsi" w:eastAsiaTheme="minorEastAsia" w:hAnsiTheme="minorHAnsi" w:cstheme="minorBidi"/>
            <w:noProof/>
            <w:sz w:val="22"/>
            <w:szCs w:val="22"/>
          </w:rPr>
          <w:tab/>
        </w:r>
        <w:r w:rsidR="00074D9E" w:rsidRPr="00CE731B">
          <w:rPr>
            <w:rStyle w:val="Hyperlink"/>
            <w:noProof/>
          </w:rPr>
          <w:t>Core's Argument</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_Toc438210390 \h </w:instrText>
        </w:r>
        <w:r w:rsidR="00074D9E" w:rsidRPr="00CE731B">
          <w:rPr>
            <w:noProof/>
            <w:webHidden/>
          </w:rPr>
        </w:r>
        <w:r w:rsidR="00074D9E" w:rsidRPr="00CE731B">
          <w:rPr>
            <w:noProof/>
            <w:webHidden/>
          </w:rPr>
          <w:fldChar w:fldCharType="separate"/>
        </w:r>
        <w:r w:rsidR="00C12144">
          <w:rPr>
            <w:noProof/>
            <w:webHidden/>
          </w:rPr>
          <w:t>8</w:t>
        </w:r>
        <w:r w:rsidR="00074D9E" w:rsidRPr="00CE731B">
          <w:rPr>
            <w:noProof/>
            <w:webHidden/>
          </w:rPr>
          <w:fldChar w:fldCharType="end"/>
        </w:r>
      </w:hyperlink>
    </w:p>
    <w:p w:rsidR="00074D9E" w:rsidRPr="00CE731B" w:rsidRDefault="009520FA" w:rsidP="00CE731B">
      <w:pPr>
        <w:pStyle w:val="TOC2"/>
        <w:spacing w:line="360" w:lineRule="auto"/>
        <w:rPr>
          <w:rFonts w:asciiTheme="minorHAnsi" w:eastAsiaTheme="minorEastAsia" w:hAnsiTheme="minorHAnsi" w:cstheme="minorBidi"/>
          <w:noProof/>
          <w:sz w:val="22"/>
          <w:szCs w:val="22"/>
        </w:rPr>
      </w:pPr>
      <w:hyperlink w:anchor="_Toc438210391" w:history="1">
        <w:r w:rsidR="00074D9E" w:rsidRPr="00CE731B">
          <w:rPr>
            <w:rStyle w:val="Hyperlink"/>
            <w:noProof/>
          </w:rPr>
          <w:t>D.</w:t>
        </w:r>
        <w:r w:rsidR="00074D9E" w:rsidRPr="00CE731B">
          <w:rPr>
            <w:rFonts w:asciiTheme="minorHAnsi" w:eastAsiaTheme="minorEastAsia" w:hAnsiTheme="minorHAnsi" w:cstheme="minorBidi"/>
            <w:noProof/>
            <w:sz w:val="22"/>
            <w:szCs w:val="22"/>
          </w:rPr>
          <w:tab/>
        </w:r>
        <w:r w:rsidR="00074D9E" w:rsidRPr="00CE731B">
          <w:rPr>
            <w:rStyle w:val="Hyperlink"/>
            <w:noProof/>
          </w:rPr>
          <w:t>Verizon's Argument</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_Toc438210391 \h </w:instrText>
        </w:r>
        <w:r w:rsidR="00074D9E" w:rsidRPr="00CE731B">
          <w:rPr>
            <w:noProof/>
            <w:webHidden/>
          </w:rPr>
        </w:r>
        <w:r w:rsidR="00074D9E" w:rsidRPr="00CE731B">
          <w:rPr>
            <w:noProof/>
            <w:webHidden/>
          </w:rPr>
          <w:fldChar w:fldCharType="separate"/>
        </w:r>
        <w:r w:rsidR="00C12144">
          <w:rPr>
            <w:noProof/>
            <w:webHidden/>
          </w:rPr>
          <w:t>11</w:t>
        </w:r>
        <w:r w:rsidR="00074D9E" w:rsidRPr="00CE731B">
          <w:rPr>
            <w:noProof/>
            <w:webHidden/>
          </w:rPr>
          <w:fldChar w:fldCharType="end"/>
        </w:r>
      </w:hyperlink>
    </w:p>
    <w:p w:rsidR="00074D9E" w:rsidRPr="00CE731B" w:rsidRDefault="009520FA" w:rsidP="00CE731B">
      <w:pPr>
        <w:pStyle w:val="TOC2"/>
        <w:spacing w:line="360" w:lineRule="auto"/>
        <w:rPr>
          <w:rFonts w:asciiTheme="minorHAnsi" w:eastAsiaTheme="minorEastAsia" w:hAnsiTheme="minorHAnsi" w:cstheme="minorBidi"/>
          <w:noProof/>
          <w:sz w:val="22"/>
          <w:szCs w:val="22"/>
        </w:rPr>
      </w:pPr>
      <w:hyperlink w:anchor="_Toc438210392" w:history="1">
        <w:r w:rsidR="00074D9E" w:rsidRPr="00CE731B">
          <w:rPr>
            <w:rStyle w:val="Hyperlink"/>
            <w:noProof/>
          </w:rPr>
          <w:t>E.</w:t>
        </w:r>
        <w:r w:rsidR="00074D9E" w:rsidRPr="00CE731B">
          <w:rPr>
            <w:rFonts w:asciiTheme="minorHAnsi" w:eastAsiaTheme="minorEastAsia" w:hAnsiTheme="minorHAnsi" w:cstheme="minorBidi"/>
            <w:noProof/>
            <w:sz w:val="22"/>
            <w:szCs w:val="22"/>
          </w:rPr>
          <w:tab/>
        </w:r>
        <w:r w:rsidR="00074D9E" w:rsidRPr="00CE731B">
          <w:rPr>
            <w:rStyle w:val="Hyperlink"/>
            <w:noProof/>
          </w:rPr>
          <w:t>Analysis</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_Toc438210392 \h </w:instrText>
        </w:r>
        <w:r w:rsidR="00074D9E" w:rsidRPr="00CE731B">
          <w:rPr>
            <w:noProof/>
            <w:webHidden/>
          </w:rPr>
        </w:r>
        <w:r w:rsidR="00074D9E" w:rsidRPr="00CE731B">
          <w:rPr>
            <w:noProof/>
            <w:webHidden/>
          </w:rPr>
          <w:fldChar w:fldCharType="separate"/>
        </w:r>
        <w:r w:rsidR="00C12144">
          <w:rPr>
            <w:noProof/>
            <w:webHidden/>
          </w:rPr>
          <w:t>13</w:t>
        </w:r>
        <w:r w:rsidR="00074D9E" w:rsidRPr="00CE731B">
          <w:rPr>
            <w:noProof/>
            <w:webHidden/>
          </w:rPr>
          <w:fldChar w:fldCharType="end"/>
        </w:r>
      </w:hyperlink>
    </w:p>
    <w:p w:rsidR="00074D9E" w:rsidRPr="00CE731B" w:rsidRDefault="009520FA" w:rsidP="00CE731B">
      <w:pPr>
        <w:pStyle w:val="TOC3"/>
        <w:spacing w:line="360" w:lineRule="auto"/>
        <w:rPr>
          <w:rFonts w:asciiTheme="minorHAnsi" w:eastAsiaTheme="minorEastAsia" w:hAnsiTheme="minorHAnsi" w:cstheme="minorBidi"/>
          <w:noProof/>
          <w:sz w:val="22"/>
          <w:szCs w:val="22"/>
        </w:rPr>
      </w:pPr>
      <w:hyperlink w:anchor="_Toc438210393" w:history="1">
        <w:r w:rsidR="00074D9E" w:rsidRPr="00CE731B">
          <w:rPr>
            <w:rStyle w:val="Hyperlink"/>
            <w:noProof/>
          </w:rPr>
          <w:t>1.</w:t>
        </w:r>
        <w:r w:rsidR="00074D9E" w:rsidRPr="00CE731B">
          <w:rPr>
            <w:rFonts w:asciiTheme="minorHAnsi" w:eastAsiaTheme="minorEastAsia" w:hAnsiTheme="minorHAnsi" w:cstheme="minorBidi"/>
            <w:noProof/>
            <w:sz w:val="22"/>
            <w:szCs w:val="22"/>
          </w:rPr>
          <w:tab/>
        </w:r>
        <w:r w:rsidR="00074D9E" w:rsidRPr="00CE731B">
          <w:rPr>
            <w:rStyle w:val="Hyperlink"/>
            <w:noProof/>
          </w:rPr>
          <w:t>Issues</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_Toc438210393 \h </w:instrText>
        </w:r>
        <w:r w:rsidR="00074D9E" w:rsidRPr="00CE731B">
          <w:rPr>
            <w:noProof/>
            <w:webHidden/>
          </w:rPr>
        </w:r>
        <w:r w:rsidR="00074D9E" w:rsidRPr="00CE731B">
          <w:rPr>
            <w:noProof/>
            <w:webHidden/>
          </w:rPr>
          <w:fldChar w:fldCharType="separate"/>
        </w:r>
        <w:r w:rsidR="00C12144">
          <w:rPr>
            <w:noProof/>
            <w:webHidden/>
          </w:rPr>
          <w:t>13</w:t>
        </w:r>
        <w:r w:rsidR="00074D9E" w:rsidRPr="00CE731B">
          <w:rPr>
            <w:noProof/>
            <w:webHidden/>
          </w:rPr>
          <w:fldChar w:fldCharType="end"/>
        </w:r>
      </w:hyperlink>
    </w:p>
    <w:p w:rsidR="00074D9E" w:rsidRPr="00CE731B" w:rsidRDefault="009520FA" w:rsidP="00CE731B">
      <w:pPr>
        <w:pStyle w:val="TOC3"/>
        <w:spacing w:line="360" w:lineRule="auto"/>
        <w:rPr>
          <w:rFonts w:asciiTheme="minorHAnsi" w:eastAsiaTheme="minorEastAsia" w:hAnsiTheme="minorHAnsi" w:cstheme="minorBidi"/>
          <w:noProof/>
          <w:sz w:val="22"/>
          <w:szCs w:val="22"/>
        </w:rPr>
      </w:pPr>
      <w:hyperlink w:anchor="_Toc438210394" w:history="1">
        <w:r w:rsidR="00074D9E" w:rsidRPr="00CE731B">
          <w:rPr>
            <w:rStyle w:val="Hyperlink"/>
            <w:noProof/>
          </w:rPr>
          <w:t>2.</w:t>
        </w:r>
        <w:r w:rsidR="00074D9E" w:rsidRPr="00CE731B">
          <w:rPr>
            <w:rFonts w:asciiTheme="minorHAnsi" w:eastAsiaTheme="minorEastAsia" w:hAnsiTheme="minorHAnsi" w:cstheme="minorBidi"/>
            <w:noProof/>
            <w:sz w:val="22"/>
            <w:szCs w:val="22"/>
          </w:rPr>
          <w:tab/>
        </w:r>
        <w:r w:rsidR="00074D9E" w:rsidRPr="00CE731B">
          <w:rPr>
            <w:rStyle w:val="Hyperlink"/>
            <w:noProof/>
          </w:rPr>
          <w:t>Description of services between carriers</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_Toc438210394 \h </w:instrText>
        </w:r>
        <w:r w:rsidR="00074D9E" w:rsidRPr="00CE731B">
          <w:rPr>
            <w:noProof/>
            <w:webHidden/>
          </w:rPr>
        </w:r>
        <w:r w:rsidR="00074D9E" w:rsidRPr="00CE731B">
          <w:rPr>
            <w:noProof/>
            <w:webHidden/>
          </w:rPr>
          <w:fldChar w:fldCharType="separate"/>
        </w:r>
        <w:r w:rsidR="00C12144">
          <w:rPr>
            <w:noProof/>
            <w:webHidden/>
          </w:rPr>
          <w:t>14</w:t>
        </w:r>
        <w:r w:rsidR="00074D9E" w:rsidRPr="00CE731B">
          <w:rPr>
            <w:noProof/>
            <w:webHidden/>
          </w:rPr>
          <w:fldChar w:fldCharType="end"/>
        </w:r>
      </w:hyperlink>
    </w:p>
    <w:p w:rsidR="00074D9E" w:rsidRPr="00CE731B" w:rsidRDefault="009520FA" w:rsidP="00CE731B">
      <w:pPr>
        <w:pStyle w:val="TOC3"/>
        <w:spacing w:line="360" w:lineRule="auto"/>
        <w:rPr>
          <w:rFonts w:asciiTheme="minorHAnsi" w:eastAsiaTheme="minorEastAsia" w:hAnsiTheme="minorHAnsi" w:cstheme="minorBidi"/>
          <w:noProof/>
          <w:sz w:val="22"/>
          <w:szCs w:val="22"/>
        </w:rPr>
      </w:pPr>
      <w:hyperlink w:anchor="_Toc438210395" w:history="1">
        <w:r w:rsidR="00074D9E" w:rsidRPr="00CE731B">
          <w:rPr>
            <w:rStyle w:val="Hyperlink"/>
            <w:noProof/>
          </w:rPr>
          <w:t>3</w:t>
        </w:r>
        <w:r w:rsidR="00074D9E" w:rsidRPr="00CE731B">
          <w:rPr>
            <w:rFonts w:asciiTheme="minorHAnsi" w:eastAsiaTheme="minorEastAsia" w:hAnsiTheme="minorHAnsi" w:cstheme="minorBidi"/>
            <w:noProof/>
            <w:sz w:val="22"/>
            <w:szCs w:val="22"/>
          </w:rPr>
          <w:tab/>
        </w:r>
        <w:r w:rsidR="00074D9E" w:rsidRPr="00CE731B">
          <w:rPr>
            <w:rStyle w:val="Hyperlink"/>
            <w:noProof/>
          </w:rPr>
          <w:t>VoIP Symmetry Rule and Declaratory Order</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_Toc438210395 \h </w:instrText>
        </w:r>
        <w:r w:rsidR="00074D9E" w:rsidRPr="00CE731B">
          <w:rPr>
            <w:noProof/>
            <w:webHidden/>
          </w:rPr>
        </w:r>
        <w:r w:rsidR="00074D9E" w:rsidRPr="00CE731B">
          <w:rPr>
            <w:noProof/>
            <w:webHidden/>
          </w:rPr>
          <w:fldChar w:fldCharType="separate"/>
        </w:r>
        <w:r w:rsidR="00C12144">
          <w:rPr>
            <w:noProof/>
            <w:webHidden/>
          </w:rPr>
          <w:t>15</w:t>
        </w:r>
        <w:r w:rsidR="00074D9E" w:rsidRPr="00CE731B">
          <w:rPr>
            <w:noProof/>
            <w:webHidden/>
          </w:rPr>
          <w:fldChar w:fldCharType="end"/>
        </w:r>
      </w:hyperlink>
    </w:p>
    <w:p w:rsidR="00074D9E" w:rsidRPr="00CE731B" w:rsidRDefault="009520FA" w:rsidP="00CE731B">
      <w:pPr>
        <w:pStyle w:val="TOC3"/>
        <w:spacing w:line="360" w:lineRule="auto"/>
        <w:rPr>
          <w:rFonts w:asciiTheme="minorHAnsi" w:eastAsiaTheme="minorEastAsia" w:hAnsiTheme="minorHAnsi" w:cstheme="minorBidi"/>
          <w:noProof/>
          <w:sz w:val="22"/>
          <w:szCs w:val="22"/>
        </w:rPr>
      </w:pPr>
      <w:hyperlink w:anchor="_Toc438210396" w:history="1">
        <w:r w:rsidR="00074D9E" w:rsidRPr="00CE731B">
          <w:rPr>
            <w:rStyle w:val="Hyperlink"/>
            <w:noProof/>
          </w:rPr>
          <w:t>4.</w:t>
        </w:r>
        <w:r w:rsidR="00074D9E" w:rsidRPr="00CE731B">
          <w:rPr>
            <w:rFonts w:asciiTheme="minorHAnsi" w:eastAsiaTheme="minorEastAsia" w:hAnsiTheme="minorHAnsi" w:cstheme="minorBidi"/>
            <w:noProof/>
            <w:sz w:val="22"/>
            <w:szCs w:val="22"/>
          </w:rPr>
          <w:tab/>
        </w:r>
        <w:r w:rsidR="00074D9E" w:rsidRPr="00CE731B">
          <w:rPr>
            <w:rStyle w:val="Hyperlink"/>
            <w:noProof/>
          </w:rPr>
          <w:t>Coretel Virginia, LLC. v. Verizon Virginia, LLC.</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_Toc438210396 \h </w:instrText>
        </w:r>
        <w:r w:rsidR="00074D9E" w:rsidRPr="00CE731B">
          <w:rPr>
            <w:noProof/>
            <w:webHidden/>
          </w:rPr>
        </w:r>
        <w:r w:rsidR="00074D9E" w:rsidRPr="00CE731B">
          <w:rPr>
            <w:noProof/>
            <w:webHidden/>
          </w:rPr>
          <w:fldChar w:fldCharType="separate"/>
        </w:r>
        <w:r w:rsidR="00C12144">
          <w:rPr>
            <w:noProof/>
            <w:webHidden/>
          </w:rPr>
          <w:t>18</w:t>
        </w:r>
        <w:r w:rsidR="00074D9E" w:rsidRPr="00CE731B">
          <w:rPr>
            <w:noProof/>
            <w:webHidden/>
          </w:rPr>
          <w:fldChar w:fldCharType="end"/>
        </w:r>
      </w:hyperlink>
    </w:p>
    <w:p w:rsidR="00074D9E" w:rsidRPr="00CE731B" w:rsidRDefault="009520FA" w:rsidP="00CE731B">
      <w:pPr>
        <w:pStyle w:val="TOC3"/>
        <w:spacing w:line="360" w:lineRule="auto"/>
        <w:rPr>
          <w:rFonts w:asciiTheme="minorHAnsi" w:eastAsiaTheme="minorEastAsia" w:hAnsiTheme="minorHAnsi" w:cstheme="minorBidi"/>
          <w:noProof/>
          <w:sz w:val="22"/>
          <w:szCs w:val="22"/>
        </w:rPr>
      </w:pPr>
      <w:hyperlink w:anchor="_Toc438210397" w:history="1">
        <w:r w:rsidR="00074D9E" w:rsidRPr="00CE731B">
          <w:rPr>
            <w:rStyle w:val="Hyperlink"/>
            <w:noProof/>
          </w:rPr>
          <w:t>5.</w:t>
        </w:r>
        <w:r w:rsidR="00074D9E" w:rsidRPr="00CE731B">
          <w:rPr>
            <w:rFonts w:asciiTheme="minorHAnsi" w:eastAsiaTheme="minorEastAsia" w:hAnsiTheme="minorHAnsi" w:cstheme="minorBidi"/>
            <w:noProof/>
            <w:sz w:val="22"/>
            <w:szCs w:val="22"/>
          </w:rPr>
          <w:tab/>
        </w:r>
        <w:r w:rsidR="00074D9E" w:rsidRPr="00CE731B">
          <w:rPr>
            <w:rStyle w:val="Hyperlink"/>
            <w:noProof/>
          </w:rPr>
          <w:t>AT&amp;T v. Core</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_Toc438210397 \h </w:instrText>
        </w:r>
        <w:r w:rsidR="00074D9E" w:rsidRPr="00CE731B">
          <w:rPr>
            <w:noProof/>
            <w:webHidden/>
          </w:rPr>
        </w:r>
        <w:r w:rsidR="00074D9E" w:rsidRPr="00CE731B">
          <w:rPr>
            <w:noProof/>
            <w:webHidden/>
          </w:rPr>
          <w:fldChar w:fldCharType="separate"/>
        </w:r>
        <w:r w:rsidR="00C12144">
          <w:rPr>
            <w:noProof/>
            <w:webHidden/>
          </w:rPr>
          <w:t>20</w:t>
        </w:r>
        <w:r w:rsidR="00074D9E" w:rsidRPr="00CE731B">
          <w:rPr>
            <w:noProof/>
            <w:webHidden/>
          </w:rPr>
          <w:fldChar w:fldCharType="end"/>
        </w:r>
      </w:hyperlink>
    </w:p>
    <w:p w:rsidR="00074D9E" w:rsidRPr="00CE731B" w:rsidRDefault="009520FA" w:rsidP="00CE731B">
      <w:pPr>
        <w:pStyle w:val="TOC3"/>
        <w:spacing w:line="360" w:lineRule="auto"/>
        <w:rPr>
          <w:rFonts w:asciiTheme="minorHAnsi" w:eastAsiaTheme="minorEastAsia" w:hAnsiTheme="minorHAnsi" w:cstheme="minorBidi"/>
          <w:noProof/>
          <w:sz w:val="22"/>
          <w:szCs w:val="22"/>
        </w:rPr>
      </w:pPr>
      <w:hyperlink w:anchor="_Toc438210398" w:history="1">
        <w:r w:rsidR="00074D9E" w:rsidRPr="00CE731B">
          <w:rPr>
            <w:rStyle w:val="Hyperlink"/>
            <w:noProof/>
          </w:rPr>
          <w:t>6.</w:t>
        </w:r>
        <w:r w:rsidR="00074D9E" w:rsidRPr="00CE731B">
          <w:rPr>
            <w:rFonts w:asciiTheme="minorHAnsi" w:eastAsiaTheme="minorEastAsia" w:hAnsiTheme="minorHAnsi" w:cstheme="minorBidi"/>
            <w:noProof/>
            <w:sz w:val="22"/>
            <w:szCs w:val="22"/>
          </w:rPr>
          <w:tab/>
        </w:r>
        <w:r w:rsidR="00074D9E" w:rsidRPr="00CE731B">
          <w:rPr>
            <w:rStyle w:val="Hyperlink"/>
            <w:noProof/>
          </w:rPr>
          <w:t>Evidence and Disposition</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_Toc438210398 \h </w:instrText>
        </w:r>
        <w:r w:rsidR="00074D9E" w:rsidRPr="00CE731B">
          <w:rPr>
            <w:noProof/>
            <w:webHidden/>
          </w:rPr>
        </w:r>
        <w:r w:rsidR="00074D9E" w:rsidRPr="00CE731B">
          <w:rPr>
            <w:noProof/>
            <w:webHidden/>
          </w:rPr>
          <w:fldChar w:fldCharType="separate"/>
        </w:r>
        <w:r w:rsidR="00C12144">
          <w:rPr>
            <w:noProof/>
            <w:webHidden/>
          </w:rPr>
          <w:t>23</w:t>
        </w:r>
        <w:r w:rsidR="00074D9E" w:rsidRPr="00CE731B">
          <w:rPr>
            <w:noProof/>
            <w:webHidden/>
          </w:rPr>
          <w:fldChar w:fldCharType="end"/>
        </w:r>
      </w:hyperlink>
    </w:p>
    <w:p w:rsidR="00074D9E" w:rsidRPr="00CE731B" w:rsidRDefault="009520FA" w:rsidP="00CE731B">
      <w:pPr>
        <w:pStyle w:val="TOC2"/>
        <w:spacing w:line="360" w:lineRule="auto"/>
        <w:rPr>
          <w:rFonts w:asciiTheme="minorHAnsi" w:eastAsiaTheme="minorEastAsia" w:hAnsiTheme="minorHAnsi" w:cstheme="minorBidi"/>
          <w:noProof/>
          <w:sz w:val="22"/>
          <w:szCs w:val="22"/>
        </w:rPr>
      </w:pPr>
      <w:hyperlink w:anchor="_Toc438210399" w:history="1">
        <w:r w:rsidR="00074D9E" w:rsidRPr="00CE731B">
          <w:rPr>
            <w:rStyle w:val="Hyperlink"/>
            <w:noProof/>
          </w:rPr>
          <w:t>F.</w:t>
        </w:r>
        <w:r w:rsidR="00074D9E" w:rsidRPr="00CE731B">
          <w:rPr>
            <w:rFonts w:asciiTheme="minorHAnsi" w:eastAsiaTheme="minorEastAsia" w:hAnsiTheme="minorHAnsi" w:cstheme="minorBidi"/>
            <w:noProof/>
            <w:sz w:val="22"/>
            <w:szCs w:val="22"/>
          </w:rPr>
          <w:tab/>
        </w:r>
        <w:r w:rsidR="00074D9E" w:rsidRPr="00CE731B">
          <w:rPr>
            <w:rStyle w:val="Hyperlink"/>
            <w:noProof/>
          </w:rPr>
          <w:t>Conclusion</w:t>
        </w:r>
        <w:r w:rsidR="00074D9E" w:rsidRPr="00CE731B">
          <w:rPr>
            <w:noProof/>
            <w:webHidden/>
          </w:rPr>
          <w:tab/>
        </w:r>
        <w:r w:rsidR="00074D9E" w:rsidRPr="00CE731B">
          <w:rPr>
            <w:noProof/>
            <w:webHidden/>
          </w:rPr>
          <w:fldChar w:fldCharType="begin"/>
        </w:r>
        <w:r w:rsidR="00074D9E" w:rsidRPr="00CE731B">
          <w:rPr>
            <w:noProof/>
            <w:webHidden/>
          </w:rPr>
          <w:instrText xml:space="preserve"> PAGEREF _Toc438210399 \h </w:instrText>
        </w:r>
        <w:r w:rsidR="00074D9E" w:rsidRPr="00CE731B">
          <w:rPr>
            <w:noProof/>
            <w:webHidden/>
          </w:rPr>
        </w:r>
        <w:r w:rsidR="00074D9E" w:rsidRPr="00CE731B">
          <w:rPr>
            <w:noProof/>
            <w:webHidden/>
          </w:rPr>
          <w:fldChar w:fldCharType="separate"/>
        </w:r>
        <w:r w:rsidR="00C12144">
          <w:rPr>
            <w:noProof/>
            <w:webHidden/>
          </w:rPr>
          <w:t>30</w:t>
        </w:r>
        <w:r w:rsidR="00074D9E" w:rsidRPr="00CE731B">
          <w:rPr>
            <w:noProof/>
            <w:webHidden/>
          </w:rPr>
          <w:fldChar w:fldCharType="end"/>
        </w:r>
      </w:hyperlink>
    </w:p>
    <w:p w:rsidR="00074D9E" w:rsidRPr="00CE731B" w:rsidRDefault="009520FA" w:rsidP="00CE731B">
      <w:pPr>
        <w:pStyle w:val="TOC1"/>
        <w:rPr>
          <w:rFonts w:asciiTheme="minorHAnsi" w:eastAsiaTheme="minorEastAsia" w:hAnsiTheme="minorHAnsi" w:cstheme="minorBidi"/>
          <w:sz w:val="22"/>
          <w:szCs w:val="22"/>
        </w:rPr>
      </w:pPr>
      <w:hyperlink w:anchor="_Toc438210400" w:history="1">
        <w:r w:rsidR="00074D9E" w:rsidRPr="00CE731B">
          <w:rPr>
            <w:rStyle w:val="Hyperlink"/>
          </w:rPr>
          <w:t>IV.</w:t>
        </w:r>
        <w:r w:rsidR="00074D9E" w:rsidRPr="00CE731B">
          <w:rPr>
            <w:rFonts w:asciiTheme="minorHAnsi" w:eastAsiaTheme="minorEastAsia" w:hAnsiTheme="minorHAnsi" w:cstheme="minorBidi"/>
            <w:sz w:val="22"/>
            <w:szCs w:val="22"/>
          </w:rPr>
          <w:tab/>
        </w:r>
        <w:r w:rsidR="00074D9E" w:rsidRPr="00CE731B">
          <w:rPr>
            <w:rStyle w:val="Hyperlink"/>
          </w:rPr>
          <w:t>SUPPLEMENTAL CONCLUSIONS OF LAW</w:t>
        </w:r>
        <w:r w:rsidR="00074D9E" w:rsidRPr="00CE731B">
          <w:rPr>
            <w:webHidden/>
          </w:rPr>
          <w:tab/>
        </w:r>
        <w:r w:rsidR="00074D9E" w:rsidRPr="00CE731B">
          <w:rPr>
            <w:webHidden/>
          </w:rPr>
          <w:fldChar w:fldCharType="begin"/>
        </w:r>
        <w:r w:rsidR="00074D9E" w:rsidRPr="00CE731B">
          <w:rPr>
            <w:webHidden/>
          </w:rPr>
          <w:instrText xml:space="preserve"> PAGEREF _Toc438210400 \h </w:instrText>
        </w:r>
        <w:r w:rsidR="00074D9E" w:rsidRPr="00CE731B">
          <w:rPr>
            <w:webHidden/>
          </w:rPr>
        </w:r>
        <w:r w:rsidR="00074D9E" w:rsidRPr="00CE731B">
          <w:rPr>
            <w:webHidden/>
          </w:rPr>
          <w:fldChar w:fldCharType="separate"/>
        </w:r>
        <w:r w:rsidR="00C12144">
          <w:rPr>
            <w:webHidden/>
          </w:rPr>
          <w:t>32</w:t>
        </w:r>
        <w:r w:rsidR="00074D9E" w:rsidRPr="00CE731B">
          <w:rPr>
            <w:webHidden/>
          </w:rPr>
          <w:fldChar w:fldCharType="end"/>
        </w:r>
      </w:hyperlink>
    </w:p>
    <w:p w:rsidR="00074D9E" w:rsidRPr="00CE731B" w:rsidRDefault="009520FA" w:rsidP="00CE731B">
      <w:pPr>
        <w:pStyle w:val="TOC1"/>
        <w:rPr>
          <w:rFonts w:asciiTheme="minorHAnsi" w:eastAsiaTheme="minorEastAsia" w:hAnsiTheme="minorHAnsi" w:cstheme="minorBidi"/>
          <w:sz w:val="22"/>
          <w:szCs w:val="22"/>
        </w:rPr>
      </w:pPr>
      <w:hyperlink w:anchor="_Toc438210401" w:history="1">
        <w:r w:rsidR="00074D9E" w:rsidRPr="00CE731B">
          <w:rPr>
            <w:rStyle w:val="Hyperlink"/>
            <w:u w:val="none"/>
          </w:rPr>
          <w:t>V.</w:t>
        </w:r>
        <w:r w:rsidR="00074D9E" w:rsidRPr="00CE731B">
          <w:rPr>
            <w:rFonts w:asciiTheme="minorHAnsi" w:eastAsiaTheme="minorEastAsia" w:hAnsiTheme="minorHAnsi" w:cstheme="minorBidi"/>
            <w:sz w:val="22"/>
            <w:szCs w:val="22"/>
          </w:rPr>
          <w:tab/>
        </w:r>
        <w:r w:rsidR="00074D9E" w:rsidRPr="00CE731B">
          <w:rPr>
            <w:rStyle w:val="Hyperlink"/>
            <w:u w:val="none"/>
          </w:rPr>
          <w:t>ORDER</w:t>
        </w:r>
        <w:r w:rsidR="00074D9E" w:rsidRPr="00CE731B">
          <w:rPr>
            <w:webHidden/>
          </w:rPr>
          <w:tab/>
        </w:r>
        <w:r w:rsidR="00074D9E" w:rsidRPr="00CE731B">
          <w:rPr>
            <w:webHidden/>
          </w:rPr>
          <w:fldChar w:fldCharType="begin"/>
        </w:r>
        <w:r w:rsidR="00074D9E" w:rsidRPr="00CE731B">
          <w:rPr>
            <w:webHidden/>
          </w:rPr>
          <w:instrText xml:space="preserve"> PAGEREF _Toc438210401 \h </w:instrText>
        </w:r>
        <w:r w:rsidR="00074D9E" w:rsidRPr="00CE731B">
          <w:rPr>
            <w:webHidden/>
          </w:rPr>
        </w:r>
        <w:r w:rsidR="00074D9E" w:rsidRPr="00CE731B">
          <w:rPr>
            <w:webHidden/>
          </w:rPr>
          <w:fldChar w:fldCharType="separate"/>
        </w:r>
        <w:r w:rsidR="00C12144">
          <w:rPr>
            <w:webHidden/>
          </w:rPr>
          <w:t>33</w:t>
        </w:r>
        <w:r w:rsidR="00074D9E" w:rsidRPr="00CE731B">
          <w:rPr>
            <w:webHidden/>
          </w:rPr>
          <w:fldChar w:fldCharType="end"/>
        </w:r>
      </w:hyperlink>
    </w:p>
    <w:p w:rsidR="000D7AE1" w:rsidRDefault="00074D9E">
      <w:pPr>
        <w:spacing w:line="360" w:lineRule="auto"/>
        <w:jc w:val="center"/>
      </w:pPr>
      <w:r>
        <w:fldChar w:fldCharType="end"/>
      </w:r>
    </w:p>
    <w:p w:rsidR="00FA27C8" w:rsidRDefault="00FA27C8">
      <w:pPr>
        <w:spacing w:line="360" w:lineRule="auto"/>
        <w:jc w:val="center"/>
      </w:pPr>
    </w:p>
    <w:p w:rsidR="00786CA4" w:rsidRDefault="00786CA4">
      <w:pPr>
        <w:spacing w:line="360" w:lineRule="auto"/>
        <w:jc w:val="center"/>
        <w:sectPr w:rsidR="00786CA4" w:rsidSect="00607126">
          <w:footerReference w:type="default" r:id="rId10"/>
          <w:footerReference w:type="first" r:id="rId11"/>
          <w:pgSz w:w="12240" w:h="15840"/>
          <w:pgMar w:top="1440" w:right="1440" w:bottom="1440" w:left="1440" w:header="720" w:footer="720" w:gutter="0"/>
          <w:pgNumType w:fmt="lowerRoman" w:start="1"/>
          <w:cols w:space="720"/>
          <w:docGrid w:linePitch="360"/>
        </w:sectPr>
      </w:pPr>
    </w:p>
    <w:p w:rsidR="00786CA4" w:rsidRDefault="00786CA4">
      <w:pPr>
        <w:spacing w:line="360" w:lineRule="auto"/>
        <w:jc w:val="center"/>
      </w:pPr>
    </w:p>
    <w:p w:rsidR="00A22B61" w:rsidRDefault="00A22B61" w:rsidP="00A22B61">
      <w:pPr>
        <w:jc w:val="center"/>
      </w:pPr>
      <w:r w:rsidRPr="00F83A4F">
        <w:t>I.</w:t>
      </w:r>
      <w:r w:rsidRPr="00F83A4F">
        <w:tab/>
      </w:r>
      <w:r>
        <w:rPr>
          <w:u w:val="single"/>
        </w:rPr>
        <w:t>INTRODUCTION</w:t>
      </w:r>
      <w:r w:rsidR="00AE0DF0">
        <w:rPr>
          <w:u w:val="single"/>
        </w:rPr>
        <w:fldChar w:fldCharType="begin"/>
      </w:r>
      <w:r w:rsidR="00AE0DF0">
        <w:instrText xml:space="preserve"> TC "</w:instrText>
      </w:r>
      <w:bookmarkStart w:id="1" w:name="_Toc438209059"/>
      <w:bookmarkStart w:id="2" w:name="_Toc438209152"/>
      <w:bookmarkStart w:id="3" w:name="_Toc438209668"/>
      <w:bookmarkStart w:id="4" w:name="_Toc438210385"/>
      <w:r w:rsidR="00AE0DF0" w:rsidRPr="00EE71FF">
        <w:instrText>I.</w:instrText>
      </w:r>
      <w:r w:rsidR="00AE0DF0" w:rsidRPr="00EE71FF">
        <w:tab/>
      </w:r>
      <w:r w:rsidR="00AE0DF0" w:rsidRPr="00EE71FF">
        <w:rPr>
          <w:u w:val="single"/>
        </w:rPr>
        <w:instrText>INTRODUCTION</w:instrText>
      </w:r>
      <w:bookmarkEnd w:id="1"/>
      <w:bookmarkEnd w:id="2"/>
      <w:bookmarkEnd w:id="3"/>
      <w:bookmarkEnd w:id="4"/>
      <w:r w:rsidR="00AE0DF0">
        <w:instrText xml:space="preserve">" \f C \l "1" </w:instrText>
      </w:r>
      <w:r w:rsidR="00AE0DF0">
        <w:rPr>
          <w:u w:val="single"/>
        </w:rPr>
        <w:fldChar w:fldCharType="end"/>
      </w:r>
    </w:p>
    <w:p w:rsidR="00A22B61" w:rsidRDefault="00A22B61" w:rsidP="00A22B61">
      <w:pPr>
        <w:jc w:val="center"/>
      </w:pPr>
    </w:p>
    <w:p w:rsidR="00A22B61" w:rsidRDefault="00A22B61" w:rsidP="00A22B61">
      <w:r>
        <w:t> </w:t>
      </w:r>
    </w:p>
    <w:p w:rsidR="00A22B61" w:rsidRDefault="00A22B61" w:rsidP="00A22B61">
      <w:pPr>
        <w:spacing w:line="360" w:lineRule="auto"/>
      </w:pPr>
      <w:r>
        <w:tab/>
      </w:r>
      <w:r>
        <w:tab/>
        <w:t xml:space="preserve">This </w:t>
      </w:r>
      <w:r w:rsidR="006D4494">
        <w:t>Supplemental Initial</w:t>
      </w:r>
      <w:r>
        <w:t xml:space="preserve"> Decision</w:t>
      </w:r>
      <w:r w:rsidR="006D4494">
        <w:t xml:space="preserve"> on Remand </w:t>
      </w:r>
      <w:r w:rsidR="00A04236">
        <w:t>considers the fully litigated complaints filed by two local exchange carriers against each other in the context of legal decisions issued since the Initial Decision was issued on Ju</w:t>
      </w:r>
      <w:r w:rsidR="007B2401">
        <w:t xml:space="preserve">ne 6, 2013, and finds that the </w:t>
      </w:r>
      <w:r w:rsidR="00A04236">
        <w:t xml:space="preserve"> </w:t>
      </w:r>
      <w:r w:rsidR="007B2401">
        <w:t>C</w:t>
      </w:r>
      <w:r w:rsidR="00A04236">
        <w:t>omplaint filed by Core Communications, Inc.</w:t>
      </w:r>
      <w:r w:rsidR="007B2401">
        <w:t xml:space="preserve"> (Core)</w:t>
      </w:r>
      <w:r w:rsidR="00A04236">
        <w:t>, against Verizon</w:t>
      </w:r>
      <w:r w:rsidR="007B2401">
        <w:t xml:space="preserve"> Pennsylvania, Inc.,</w:t>
      </w:r>
      <w:r w:rsidR="00A04236">
        <w:t xml:space="preserve"> and Verizon North</w:t>
      </w:r>
      <w:r w:rsidR="007B2401">
        <w:t>, LLC</w:t>
      </w:r>
      <w:r w:rsidR="00FC7E5F">
        <w:t xml:space="preserve"> (collectively </w:t>
      </w:r>
      <w:r w:rsidR="007B2401">
        <w:t>Verizon),</w:t>
      </w:r>
      <w:r w:rsidR="00A04236">
        <w:t xml:space="preserve"> is </w:t>
      </w:r>
      <w:r w:rsidR="007B2401">
        <w:t>unsupported by sufficient evidence</w:t>
      </w:r>
      <w:r w:rsidR="00A04236">
        <w:t>, while the outstanding bills issued by Verizon to Core should be paid.</w:t>
      </w:r>
    </w:p>
    <w:p w:rsidR="006D4494" w:rsidRDefault="006D4494" w:rsidP="00A22B61">
      <w:pPr>
        <w:spacing w:line="360" w:lineRule="auto"/>
      </w:pPr>
    </w:p>
    <w:p w:rsidR="001B7B7D" w:rsidRDefault="00A22B61" w:rsidP="00A22B61">
      <w:pPr>
        <w:spacing w:line="360" w:lineRule="auto"/>
        <w:jc w:val="center"/>
        <w:rPr>
          <w:u w:val="single"/>
        </w:rPr>
      </w:pPr>
      <w:r w:rsidRPr="00F83A4F">
        <w:t>II.</w:t>
      </w:r>
      <w:r w:rsidRPr="00F83A4F">
        <w:tab/>
      </w:r>
      <w:r>
        <w:rPr>
          <w:u w:val="single"/>
        </w:rPr>
        <w:t>HISTORY OF THE PROCEEDING</w:t>
      </w:r>
      <w:r w:rsidR="00AE0DF0">
        <w:rPr>
          <w:u w:val="single"/>
        </w:rPr>
        <w:fldChar w:fldCharType="begin"/>
      </w:r>
      <w:r w:rsidR="00AE0DF0">
        <w:instrText xml:space="preserve"> TC "</w:instrText>
      </w:r>
      <w:bookmarkStart w:id="5" w:name="_Toc438209061"/>
      <w:bookmarkStart w:id="6" w:name="_Toc438209153"/>
      <w:bookmarkStart w:id="7" w:name="_Toc438209669"/>
      <w:bookmarkStart w:id="8" w:name="_Toc438210386"/>
      <w:r w:rsidR="00AE0DF0" w:rsidRPr="00361519">
        <w:instrText>II.</w:instrText>
      </w:r>
      <w:r w:rsidR="00AE0DF0" w:rsidRPr="00361519">
        <w:tab/>
      </w:r>
      <w:r w:rsidR="00AE0DF0" w:rsidRPr="00361519">
        <w:rPr>
          <w:u w:val="single"/>
        </w:rPr>
        <w:instrText>HISTORY OF THE PROCEEDING</w:instrText>
      </w:r>
      <w:bookmarkEnd w:id="5"/>
      <w:bookmarkEnd w:id="6"/>
      <w:bookmarkEnd w:id="7"/>
      <w:bookmarkEnd w:id="8"/>
      <w:r w:rsidR="00AE0DF0">
        <w:instrText xml:space="preserve">" \f C \l "1" </w:instrText>
      </w:r>
      <w:r w:rsidR="00AE0DF0">
        <w:rPr>
          <w:u w:val="single"/>
        </w:rPr>
        <w:fldChar w:fldCharType="end"/>
      </w:r>
    </w:p>
    <w:p w:rsidR="001B7B7D" w:rsidRDefault="001B7B7D" w:rsidP="00A22B61">
      <w:pPr>
        <w:spacing w:line="360" w:lineRule="auto"/>
        <w:jc w:val="center"/>
        <w:rPr>
          <w:u w:val="single"/>
        </w:rPr>
      </w:pPr>
    </w:p>
    <w:p w:rsidR="00411C55" w:rsidRDefault="001B7B7D" w:rsidP="001B7B7D">
      <w:pPr>
        <w:spacing w:line="360" w:lineRule="auto"/>
      </w:pPr>
      <w:r>
        <w:tab/>
      </w:r>
      <w:r>
        <w:tab/>
      </w:r>
      <w:r w:rsidR="00836E83">
        <w:t>A thorough History is presented in the Initial Decision at pages 2-5.  A summary follows.</w:t>
      </w:r>
    </w:p>
    <w:p w:rsidR="00836E83" w:rsidRDefault="00836E83" w:rsidP="001B7B7D">
      <w:pPr>
        <w:spacing w:line="360" w:lineRule="auto"/>
      </w:pPr>
    </w:p>
    <w:p w:rsidR="001B7B7D" w:rsidRPr="001B7B7D" w:rsidRDefault="00411C55" w:rsidP="001B7B7D">
      <w:pPr>
        <w:spacing w:line="360" w:lineRule="auto"/>
        <w:ind w:firstLine="1440"/>
      </w:pPr>
      <w:r>
        <w:t xml:space="preserve"> O</w:t>
      </w:r>
      <w:r w:rsidR="001B7B7D" w:rsidRPr="001B7B7D">
        <w:t xml:space="preserve">n July 22, 2011, Core filed Formal Complaints (Original Complaint) against Verizon alleging that Verizon had suddenly ceased payment for </w:t>
      </w:r>
      <w:proofErr w:type="spellStart"/>
      <w:r w:rsidR="001B7B7D" w:rsidRPr="001B7B7D">
        <w:t>intercarrier</w:t>
      </w:r>
      <w:proofErr w:type="spellEnd"/>
      <w:r w:rsidR="001B7B7D" w:rsidRPr="001B7B7D">
        <w:t xml:space="preserve"> compensation invoices.  Core also filed a Petition seeking an order directing Verizon to resume immediate payment pending the resolution of the underlying substantive dispute between the Parties. On July 29, 2011, a hearing was held regarding the Petition.</w:t>
      </w:r>
    </w:p>
    <w:p w:rsidR="001B7B7D" w:rsidRPr="001B7B7D" w:rsidRDefault="001B7B7D" w:rsidP="001B7B7D">
      <w:pPr>
        <w:spacing w:line="360" w:lineRule="auto"/>
        <w:ind w:firstLine="1440"/>
      </w:pPr>
    </w:p>
    <w:p w:rsidR="001B7B7D" w:rsidRPr="001B7B7D" w:rsidRDefault="001B7B7D" w:rsidP="001B7B7D">
      <w:pPr>
        <w:spacing w:line="360" w:lineRule="auto"/>
        <w:ind w:firstLine="1440"/>
      </w:pPr>
      <w:r w:rsidRPr="001B7B7D">
        <w:t>By Order entered September 23, 2011 (</w:t>
      </w:r>
      <w:r w:rsidRPr="001B7B7D">
        <w:rPr>
          <w:i/>
        </w:rPr>
        <w:t>September 2011 Order</w:t>
      </w:r>
      <w:r w:rsidRPr="001B7B7D">
        <w:t>), the Commission directed Verizon to continue to pay Core’s invoices during the proceeding, subject to refund, in the same ratio by which Verizon previously paid invoices issued by Core, and sent the Complaint to mediation.  The case was not resolved through the mediation process and mediation terminated on March 22, 2012.</w:t>
      </w:r>
    </w:p>
    <w:p w:rsidR="001B7B7D" w:rsidRPr="001B7B7D" w:rsidRDefault="001B7B7D" w:rsidP="001B7B7D">
      <w:pPr>
        <w:spacing w:line="360" w:lineRule="auto"/>
        <w:ind w:firstLine="1440"/>
      </w:pPr>
    </w:p>
    <w:p w:rsidR="001B7B7D" w:rsidRPr="001B7B7D" w:rsidRDefault="001B7B7D" w:rsidP="001B7B7D">
      <w:pPr>
        <w:spacing w:line="360" w:lineRule="auto"/>
        <w:ind w:firstLine="1440"/>
      </w:pPr>
      <w:r w:rsidRPr="001B7B7D">
        <w:t>On April 16, 2012, Core filed an Amended Complaint (Amended Complaint). On May 16, 2012, Verizon filed an Answer, New Matter, and Amended Counterclaims Seeking Affirmative Relief to Core’s Amended Complaint.</w:t>
      </w:r>
    </w:p>
    <w:p w:rsidR="001B7B7D" w:rsidRPr="001B7B7D" w:rsidRDefault="001B7B7D" w:rsidP="001B7B7D">
      <w:pPr>
        <w:spacing w:line="360" w:lineRule="auto"/>
        <w:ind w:firstLine="1440"/>
      </w:pPr>
    </w:p>
    <w:p w:rsidR="001B7B7D" w:rsidRPr="001B7B7D" w:rsidRDefault="001B7B7D" w:rsidP="001B7B7D">
      <w:pPr>
        <w:spacing w:line="360" w:lineRule="auto"/>
        <w:ind w:firstLine="1440"/>
      </w:pPr>
      <w:r w:rsidRPr="001B7B7D">
        <w:lastRenderedPageBreak/>
        <w:t xml:space="preserve">On December 4 and 5, 2012, an evidentiary hearing was held where various statements and exhibits presented by Core and Verizon were admitted into the record. On January 23, 2013, both Parties filed Main Briefs.  Both Parties filed Reply Briefs on March 18, 2013.  Verizon filed </w:t>
      </w:r>
      <w:proofErr w:type="spellStart"/>
      <w:r w:rsidRPr="001B7B7D">
        <w:t>Surreply</w:t>
      </w:r>
      <w:proofErr w:type="spellEnd"/>
      <w:r w:rsidRPr="001B7B7D">
        <w:t xml:space="preserve"> Briefs on March 25, 2012, and the record closed upon their receipt.</w:t>
      </w:r>
    </w:p>
    <w:p w:rsidR="001B7B7D" w:rsidRPr="001B7B7D" w:rsidRDefault="001B7B7D" w:rsidP="001B7B7D">
      <w:pPr>
        <w:spacing w:line="360" w:lineRule="auto"/>
        <w:ind w:firstLine="1440"/>
      </w:pPr>
    </w:p>
    <w:p w:rsidR="001B7B7D" w:rsidRPr="001B7B7D" w:rsidRDefault="001B7B7D" w:rsidP="001B7B7D">
      <w:pPr>
        <w:spacing w:line="360" w:lineRule="auto"/>
        <w:ind w:firstLine="1440"/>
      </w:pPr>
      <w:r w:rsidRPr="001B7B7D">
        <w:t xml:space="preserve">On July 11, 2013, the ALJ’s Initial Decision was issued, which </w:t>
      </w:r>
      <w:r w:rsidR="000A0046">
        <w:t>sustained</w:t>
      </w:r>
      <w:r w:rsidRPr="001B7B7D">
        <w:t xml:space="preserve"> the Amended Complaint</w:t>
      </w:r>
      <w:r w:rsidR="000A0046">
        <w:t xml:space="preserve"> and counterclaims</w:t>
      </w:r>
      <w:r w:rsidRPr="001B7B7D">
        <w:t>, in part, and dismissed</w:t>
      </w:r>
      <w:r w:rsidR="000A0046">
        <w:t xml:space="preserve"> them</w:t>
      </w:r>
      <w:r w:rsidRPr="001B7B7D">
        <w:t xml:space="preserve">, in part. As noted, </w:t>
      </w:r>
      <w:r w:rsidRPr="001B7B7D">
        <w:rPr>
          <w:i/>
        </w:rPr>
        <w:t>supra</w:t>
      </w:r>
      <w:r w:rsidRPr="001B7B7D">
        <w:t>, Exceptions to the Initial Decision were filed by Core and Verizon on August 16, 2013, and Replies to Exceptions were filed by Core and Verizon on September 16, 2013.</w:t>
      </w:r>
    </w:p>
    <w:p w:rsidR="001B7B7D" w:rsidRPr="001B7B7D" w:rsidRDefault="001B7B7D" w:rsidP="001B7B7D">
      <w:pPr>
        <w:spacing w:line="360" w:lineRule="auto"/>
        <w:ind w:firstLine="1440"/>
      </w:pPr>
    </w:p>
    <w:p w:rsidR="001B7B7D" w:rsidRPr="001B7B7D" w:rsidRDefault="001B7B7D" w:rsidP="001B7B7D">
      <w:pPr>
        <w:spacing w:line="360" w:lineRule="auto"/>
        <w:ind w:firstLine="1440"/>
      </w:pPr>
      <w:r w:rsidRPr="001B7B7D">
        <w:t>On June 16, 2014, Verizon submitted a letter (</w:t>
      </w:r>
      <w:r w:rsidRPr="001B7B7D">
        <w:rPr>
          <w:i/>
        </w:rPr>
        <w:t>June 2014 Letter</w:t>
      </w:r>
      <w:r w:rsidRPr="001B7B7D">
        <w:t xml:space="preserve">) in which it attached a decision by the  United States Court of Appeals for the Fourth Circuit as supplemental authority for this case.  </w:t>
      </w:r>
      <w:r w:rsidR="00A04236" w:rsidRPr="001B7B7D">
        <w:rPr>
          <w:i/>
        </w:rPr>
        <w:t>See</w:t>
      </w:r>
      <w:r w:rsidR="00A04236" w:rsidRPr="001B7B7D">
        <w:t xml:space="preserve"> </w:t>
      </w:r>
      <w:proofErr w:type="spellStart"/>
      <w:r w:rsidR="00A04236" w:rsidRPr="001B7B7D">
        <w:rPr>
          <w:i/>
        </w:rPr>
        <w:t>Core</w:t>
      </w:r>
      <w:r w:rsidR="00A04236">
        <w:rPr>
          <w:i/>
        </w:rPr>
        <w:t>T</w:t>
      </w:r>
      <w:r w:rsidR="00A04236" w:rsidRPr="001B7B7D">
        <w:rPr>
          <w:i/>
        </w:rPr>
        <w:t>el</w:t>
      </w:r>
      <w:proofErr w:type="spellEnd"/>
      <w:r w:rsidR="00A04236" w:rsidRPr="001B7B7D">
        <w:rPr>
          <w:i/>
        </w:rPr>
        <w:t xml:space="preserve"> Virginia, LLC</w:t>
      </w:r>
      <w:r w:rsidR="00A04236" w:rsidRPr="001B7B7D">
        <w:t xml:space="preserve"> </w:t>
      </w:r>
      <w:r w:rsidR="00A04236" w:rsidRPr="001B7B7D">
        <w:rPr>
          <w:i/>
        </w:rPr>
        <w:t xml:space="preserve">v. Verizon Virginia, LLC, </w:t>
      </w:r>
      <w:r w:rsidR="00A04236" w:rsidRPr="001B7B7D">
        <w:t xml:space="preserve">et al, </w:t>
      </w:r>
      <w:proofErr w:type="gramStart"/>
      <w:r w:rsidR="00A04236" w:rsidRPr="001B7B7D">
        <w:t>752</w:t>
      </w:r>
      <w:proofErr w:type="gramEnd"/>
      <w:r w:rsidR="00A04236" w:rsidRPr="001B7B7D">
        <w:t xml:space="preserve"> F.3d 364 (4</w:t>
      </w:r>
      <w:r w:rsidR="00A04236" w:rsidRPr="001B7B7D">
        <w:rPr>
          <w:vertAlign w:val="superscript"/>
        </w:rPr>
        <w:t>th</w:t>
      </w:r>
      <w:r w:rsidR="00A04236" w:rsidRPr="001B7B7D">
        <w:t xml:space="preserve"> Cir. 2014) (</w:t>
      </w:r>
      <w:proofErr w:type="spellStart"/>
      <w:r w:rsidR="00A04236">
        <w:rPr>
          <w:i/>
        </w:rPr>
        <w:t>CoreTel</w:t>
      </w:r>
      <w:proofErr w:type="spellEnd"/>
      <w:r w:rsidR="00A04236" w:rsidRPr="001B7B7D">
        <w:rPr>
          <w:i/>
        </w:rPr>
        <w:t xml:space="preserve"> VA Order</w:t>
      </w:r>
      <w:r w:rsidR="00A04236" w:rsidRPr="001B7B7D">
        <w:t xml:space="preserve">).  </w:t>
      </w:r>
      <w:r w:rsidRPr="001B7B7D">
        <w:t xml:space="preserve">In its </w:t>
      </w:r>
      <w:r w:rsidRPr="001B7B7D">
        <w:rPr>
          <w:i/>
        </w:rPr>
        <w:t>June 2014 Letter</w:t>
      </w:r>
      <w:r w:rsidR="00411C55">
        <w:rPr>
          <w:i/>
        </w:rPr>
        <w:t>,</w:t>
      </w:r>
      <w:r w:rsidRPr="001B7B7D">
        <w:t xml:space="preserve"> Verizon </w:t>
      </w:r>
      <w:r w:rsidR="000A0046">
        <w:t>explains that</w:t>
      </w:r>
      <w:r w:rsidRPr="001B7B7D">
        <w:t xml:space="preserve"> it believes this decision relates to the Parties’ Exceptions and Replies to Exceptions in the instant case.  On June 25, 2014, Core submitted a response to Verizon’s </w:t>
      </w:r>
      <w:r w:rsidRPr="001B7B7D">
        <w:rPr>
          <w:i/>
        </w:rPr>
        <w:t>June 2014 Letter</w:t>
      </w:r>
      <w:r w:rsidRPr="001B7B7D">
        <w:t>.</w:t>
      </w:r>
    </w:p>
    <w:p w:rsidR="001B7B7D" w:rsidRPr="001B7B7D" w:rsidRDefault="001B7B7D" w:rsidP="001B7B7D">
      <w:pPr>
        <w:spacing w:line="360" w:lineRule="auto"/>
        <w:ind w:firstLine="1440"/>
      </w:pPr>
    </w:p>
    <w:p w:rsidR="001B7B7D" w:rsidRDefault="001B7B7D" w:rsidP="001B7B7D">
      <w:pPr>
        <w:spacing w:line="360" w:lineRule="auto"/>
        <w:ind w:firstLine="1440"/>
        <w:rPr>
          <w:i/>
        </w:rPr>
      </w:pPr>
      <w:r w:rsidRPr="001B7B7D">
        <w:t>On February 24, 2015, Core submitted a letter (</w:t>
      </w:r>
      <w:r w:rsidRPr="001B7B7D">
        <w:rPr>
          <w:i/>
        </w:rPr>
        <w:t>February 2015 Letter</w:t>
      </w:r>
      <w:r w:rsidRPr="001B7B7D">
        <w:t xml:space="preserve">) </w:t>
      </w:r>
      <w:r w:rsidR="005F755B">
        <w:t>with</w:t>
      </w:r>
      <w:r w:rsidRPr="001B7B7D">
        <w:t xml:space="preserve"> which it </w:t>
      </w:r>
      <w:r w:rsidR="005F755B">
        <w:t>submitted</w:t>
      </w:r>
      <w:r w:rsidRPr="001B7B7D">
        <w:t xml:space="preserve"> a Declarat</w:t>
      </w:r>
      <w:r w:rsidR="005F755B">
        <w:t xml:space="preserve">ory Ruling released by the FCC </w:t>
      </w:r>
      <w:r w:rsidRPr="001B7B7D">
        <w:t>clarif</w:t>
      </w:r>
      <w:r w:rsidR="005F755B">
        <w:t>ying</w:t>
      </w:r>
      <w:r w:rsidRPr="001B7B7D">
        <w:t xml:space="preserve"> its Voice </w:t>
      </w:r>
      <w:proofErr w:type="gramStart"/>
      <w:r w:rsidRPr="001B7B7D">
        <w:t>Over</w:t>
      </w:r>
      <w:proofErr w:type="gramEnd"/>
      <w:r w:rsidRPr="001B7B7D">
        <w:t xml:space="preserve"> Internet Protocol (VoIP) Symmetry Rule.  </w:t>
      </w:r>
      <w:r w:rsidRPr="001B7B7D">
        <w:rPr>
          <w:i/>
        </w:rPr>
        <w:t>See</w:t>
      </w:r>
      <w:r w:rsidRPr="001B7B7D">
        <w:t xml:space="preserve"> </w:t>
      </w:r>
      <w:r w:rsidRPr="001B7B7D">
        <w:rPr>
          <w:i/>
        </w:rPr>
        <w:t xml:space="preserve">In the Matter of Connect America Fund-Developing a Unified </w:t>
      </w:r>
      <w:proofErr w:type="spellStart"/>
      <w:r w:rsidRPr="001B7B7D">
        <w:rPr>
          <w:i/>
        </w:rPr>
        <w:t>Intercarrier</w:t>
      </w:r>
      <w:proofErr w:type="spellEnd"/>
      <w:r w:rsidRPr="001B7B7D">
        <w:rPr>
          <w:i/>
        </w:rPr>
        <w:t xml:space="preserve"> Compensation Regime</w:t>
      </w:r>
      <w:r w:rsidRPr="001B7B7D">
        <w:t>, WC Docket No. 10-90 (FCC, Rel. Feb 11, 2015), Declaratory Ruling, FCC 15-14 (</w:t>
      </w:r>
      <w:r w:rsidRPr="001B7B7D">
        <w:rPr>
          <w:i/>
        </w:rPr>
        <w:t>VoIP Symmetry Order</w:t>
      </w:r>
      <w:r w:rsidRPr="001B7B7D">
        <w:t xml:space="preserve">), </w:t>
      </w:r>
      <w:r w:rsidRPr="001B7B7D">
        <w:rPr>
          <w:i/>
        </w:rPr>
        <w:t>appeal pending</w:t>
      </w:r>
      <w:r w:rsidRPr="001B7B7D">
        <w:t xml:space="preserve">, </w:t>
      </w:r>
      <w:r w:rsidRPr="001B7B7D">
        <w:rPr>
          <w:i/>
        </w:rPr>
        <w:t>AT&amp;T Corp. v. FCC</w:t>
      </w:r>
      <w:r w:rsidRPr="001B7B7D">
        <w:t xml:space="preserve">, Case No. 15-1059, (DC Cir., filed March 18, 2015).  In its </w:t>
      </w:r>
      <w:r w:rsidRPr="001B7B7D">
        <w:rPr>
          <w:i/>
        </w:rPr>
        <w:t>February 2015 Letter</w:t>
      </w:r>
      <w:r w:rsidRPr="001B7B7D">
        <w:t xml:space="preserve"> Core alleges how it believes this Declaratory Ruling relates to the Parties’ Exceptions and Replies to Exceptions in the instant case. On February 26, 2015, Verizon submitted a response (Response) to Core’s </w:t>
      </w:r>
      <w:r w:rsidRPr="001B7B7D">
        <w:rPr>
          <w:i/>
        </w:rPr>
        <w:t>February 2015 Letter.</w:t>
      </w:r>
    </w:p>
    <w:p w:rsidR="001B7B7D" w:rsidRDefault="001B7B7D" w:rsidP="001B7B7D">
      <w:pPr>
        <w:spacing w:line="360" w:lineRule="auto"/>
        <w:ind w:firstLine="1440"/>
        <w:rPr>
          <w:sz w:val="26"/>
          <w:szCs w:val="26"/>
        </w:rPr>
      </w:pPr>
    </w:p>
    <w:p w:rsidR="00836E83" w:rsidRDefault="001B7B7D" w:rsidP="00424170">
      <w:pPr>
        <w:spacing w:line="360" w:lineRule="auto"/>
        <w:ind w:firstLine="1440"/>
        <w:rPr>
          <w:i/>
        </w:rPr>
      </w:pPr>
      <w:r w:rsidRPr="00BA6108">
        <w:t xml:space="preserve">In the meantime, </w:t>
      </w:r>
      <w:r w:rsidR="00BA6108">
        <w:t>another proceeding between the same parties had been litigated.  O</w:t>
      </w:r>
      <w:r w:rsidR="00BA6108" w:rsidRPr="00BA6108">
        <w:t xml:space="preserve">n April 3, 2015, </w:t>
      </w:r>
      <w:r w:rsidR="00BA6108">
        <w:t>t</w:t>
      </w:r>
      <w:r w:rsidR="00424170" w:rsidRPr="00BA6108">
        <w:t xml:space="preserve">he Commission issued </w:t>
      </w:r>
      <w:r w:rsidR="000F75EC" w:rsidRPr="00BA6108">
        <w:t xml:space="preserve">my Initial Decision in </w:t>
      </w:r>
      <w:r w:rsidR="00424170" w:rsidRPr="00BA6108">
        <w:rPr>
          <w:i/>
        </w:rPr>
        <w:t>Core v. Verizon PA</w:t>
      </w:r>
      <w:r w:rsidR="000F75EC" w:rsidRPr="00BA6108">
        <w:rPr>
          <w:i/>
        </w:rPr>
        <w:t>, LLC,</w:t>
      </w:r>
      <w:r w:rsidR="00424170" w:rsidRPr="00BA6108">
        <w:rPr>
          <w:i/>
        </w:rPr>
        <w:t xml:space="preserve"> </w:t>
      </w:r>
    </w:p>
    <w:p w:rsidR="000F75EC" w:rsidRDefault="000F75EC" w:rsidP="00836E83">
      <w:pPr>
        <w:spacing w:line="360" w:lineRule="auto"/>
      </w:pPr>
      <w:proofErr w:type="gramStart"/>
      <w:r w:rsidRPr="00BA6108">
        <w:t>C-2014-2406550</w:t>
      </w:r>
      <w:r w:rsidR="00424170" w:rsidRPr="00BA6108">
        <w:t xml:space="preserve"> </w:t>
      </w:r>
      <w:r w:rsidRPr="00BA6108">
        <w:t>(no final Commission determination at the time of this writing</w:t>
      </w:r>
      <w:r w:rsidR="00A04236" w:rsidRPr="00BA6108">
        <w:t>) (</w:t>
      </w:r>
      <w:r w:rsidRPr="00BA6108">
        <w:rPr>
          <w:i/>
        </w:rPr>
        <w:t>Core v. VZ II)</w:t>
      </w:r>
      <w:r w:rsidRPr="00BA6108">
        <w:t>.</w:t>
      </w:r>
      <w:proofErr w:type="gramEnd"/>
    </w:p>
    <w:p w:rsidR="00836E83" w:rsidRPr="00BA6108" w:rsidRDefault="00836E83" w:rsidP="00424170">
      <w:pPr>
        <w:spacing w:line="360" w:lineRule="auto"/>
        <w:ind w:firstLine="1440"/>
      </w:pPr>
    </w:p>
    <w:p w:rsidR="00457C97" w:rsidRDefault="000F75EC" w:rsidP="00457C97">
      <w:pPr>
        <w:spacing w:line="360" w:lineRule="auto"/>
        <w:ind w:firstLine="1440"/>
        <w:contextualSpacing/>
      </w:pPr>
      <w:r w:rsidRPr="00BA6108">
        <w:lastRenderedPageBreak/>
        <w:t xml:space="preserve"> </w:t>
      </w:r>
      <w:r w:rsidR="00457C97" w:rsidRPr="00411C55">
        <w:t xml:space="preserve">By Commission Order entered May 28, 2015, the Commission held the Initial Decision and the Exceptions filed by each party in abeyance and remanded the matter to the Office of Administrative Law Judge for further deliberation on the Federal Communications Commission’s February 11, 2015 Declaratory Ruling in </w:t>
      </w:r>
      <w:r w:rsidR="00457C97" w:rsidRPr="00411C55">
        <w:rPr>
          <w:i/>
        </w:rPr>
        <w:t xml:space="preserve">In the Matter of Connect America Fund Developing a Unified </w:t>
      </w:r>
      <w:proofErr w:type="spellStart"/>
      <w:r w:rsidR="00457C97" w:rsidRPr="00411C55">
        <w:rPr>
          <w:i/>
        </w:rPr>
        <w:t>Intercarrier</w:t>
      </w:r>
      <w:proofErr w:type="spellEnd"/>
      <w:r w:rsidR="00457C97" w:rsidRPr="00411C55">
        <w:rPr>
          <w:i/>
        </w:rPr>
        <w:t xml:space="preserve"> Compensation Regime, </w:t>
      </w:r>
      <w:r w:rsidR="00457C97" w:rsidRPr="00411C55">
        <w:t xml:space="preserve">WC Docket No. 10-90 and CC Docket No. 01-92, </w:t>
      </w:r>
      <w:r w:rsidR="00457C97" w:rsidRPr="00411C55">
        <w:rPr>
          <w:i/>
        </w:rPr>
        <w:t>appeal pending</w:t>
      </w:r>
      <w:r w:rsidR="00457C97" w:rsidRPr="00411C55">
        <w:t>,</w:t>
      </w:r>
      <w:r w:rsidR="00457C97" w:rsidRPr="00411C55">
        <w:rPr>
          <w:i/>
        </w:rPr>
        <w:t xml:space="preserve"> AT&amp;T Corp. v. FCC</w:t>
      </w:r>
      <w:r w:rsidR="00457C97" w:rsidRPr="00411C55">
        <w:t>, Case No. 15-1059, (DC Cir., filed March 18, 2015), consistent with the Opinion and Order. Th</w:t>
      </w:r>
      <w:r w:rsidR="005F755B">
        <w:t>ese</w:t>
      </w:r>
      <w:r w:rsidR="00457C97" w:rsidRPr="00411C55">
        <w:t xml:space="preserve"> proceedings were directed to be held on an expedited basis and for the issuance of a Supplemental Initial Decision on Remand.</w:t>
      </w:r>
    </w:p>
    <w:p w:rsidR="00411C55" w:rsidRDefault="00411C55" w:rsidP="00457C97">
      <w:pPr>
        <w:spacing w:line="360" w:lineRule="auto"/>
        <w:ind w:firstLine="1440"/>
        <w:contextualSpacing/>
      </w:pPr>
    </w:p>
    <w:p w:rsidR="009105AC" w:rsidRDefault="009105AC" w:rsidP="009105AC">
      <w:pPr>
        <w:spacing w:line="360" w:lineRule="auto"/>
        <w:ind w:firstLine="1440"/>
        <w:contextualSpacing/>
      </w:pPr>
      <w:r>
        <w:t xml:space="preserve">Verizon filed its Petition for Partial Reconsideration in the present case on </w:t>
      </w:r>
    </w:p>
    <w:p w:rsidR="009105AC" w:rsidRPr="00411C55" w:rsidRDefault="009105AC" w:rsidP="009105AC">
      <w:pPr>
        <w:spacing w:line="360" w:lineRule="auto"/>
        <w:contextualSpacing/>
      </w:pPr>
      <w:r>
        <w:t xml:space="preserve">June 2, 2015, which was granted to preserve jurisdiction by Order entered June 11, 2015, pending further review of, and consideration on, the merits.  Core filed its Answer to the Petition on June 12, 2015.  </w:t>
      </w:r>
      <w:r>
        <w:tab/>
      </w:r>
    </w:p>
    <w:p w:rsidR="009105AC" w:rsidRPr="00BA6108" w:rsidRDefault="009105AC" w:rsidP="009105AC">
      <w:pPr>
        <w:spacing w:line="360" w:lineRule="auto"/>
        <w:ind w:firstLine="1440"/>
        <w:contextualSpacing/>
      </w:pPr>
    </w:p>
    <w:p w:rsidR="009105AC" w:rsidRDefault="009105AC" w:rsidP="009105AC">
      <w:pPr>
        <w:spacing w:line="360" w:lineRule="auto"/>
        <w:ind w:firstLine="1440"/>
        <w:contextualSpacing/>
      </w:pPr>
      <w:r w:rsidRPr="00411C55">
        <w:rPr>
          <w:i/>
        </w:rPr>
        <w:t xml:space="preserve"> </w:t>
      </w:r>
      <w:r w:rsidRPr="00411C55">
        <w:t xml:space="preserve">On June 25, 2015, Verizon filed </w:t>
      </w:r>
      <w:r>
        <w:t>its</w:t>
      </w:r>
      <w:r w:rsidRPr="00411C55">
        <w:t xml:space="preserve"> Opposition to Core’s Motion</w:t>
      </w:r>
      <w:r>
        <w:t>.</w:t>
      </w:r>
      <w:r w:rsidRPr="00411C55">
        <w:t xml:space="preserve"> </w:t>
      </w:r>
    </w:p>
    <w:p w:rsidR="009105AC" w:rsidRDefault="009105AC" w:rsidP="009105AC">
      <w:pPr>
        <w:spacing w:line="360" w:lineRule="auto"/>
        <w:ind w:firstLine="1440"/>
        <w:contextualSpacing/>
      </w:pPr>
    </w:p>
    <w:p w:rsidR="009105AC" w:rsidRDefault="009105AC" w:rsidP="009105AC">
      <w:pPr>
        <w:spacing w:line="360" w:lineRule="auto"/>
        <w:ind w:firstLine="1440"/>
        <w:contextualSpacing/>
      </w:pPr>
      <w:r>
        <w:t>By Opinion and Order entered November 9, 2015, the Commission:</w:t>
      </w:r>
    </w:p>
    <w:p w:rsidR="009105AC" w:rsidRDefault="009105AC" w:rsidP="005F755B">
      <w:pPr>
        <w:ind w:left="1440"/>
        <w:contextualSpacing/>
      </w:pPr>
      <w:proofErr w:type="gramStart"/>
      <w:r>
        <w:t>a</w:t>
      </w:r>
      <w:proofErr w:type="gramEnd"/>
      <w:r>
        <w:t xml:space="preserve">)  declined to address the </w:t>
      </w:r>
      <w:proofErr w:type="spellStart"/>
      <w:r>
        <w:t>intercarrier</w:t>
      </w:r>
      <w:proofErr w:type="spellEnd"/>
      <w:r>
        <w:t xml:space="preserve"> compensation claims of the parties;</w:t>
      </w:r>
    </w:p>
    <w:p w:rsidR="005F755B" w:rsidRDefault="005F755B" w:rsidP="005F755B">
      <w:pPr>
        <w:ind w:left="1440"/>
        <w:contextualSpacing/>
      </w:pPr>
    </w:p>
    <w:p w:rsidR="009105AC" w:rsidRDefault="009105AC" w:rsidP="005F755B">
      <w:pPr>
        <w:ind w:left="1440"/>
        <w:contextualSpacing/>
      </w:pPr>
      <w:r>
        <w:t xml:space="preserve">b)  </w:t>
      </w:r>
      <w:proofErr w:type="gramStart"/>
      <w:r>
        <w:t>declined</w:t>
      </w:r>
      <w:proofErr w:type="gramEnd"/>
      <w:r>
        <w:t xml:space="preserve"> to lift the directive that Verizon continue to pay Core's bills but not requiring Core to pay Verizon's bills;</w:t>
      </w:r>
    </w:p>
    <w:p w:rsidR="005F755B" w:rsidRDefault="005F755B" w:rsidP="005F755B">
      <w:pPr>
        <w:ind w:left="1440"/>
        <w:contextualSpacing/>
      </w:pPr>
    </w:p>
    <w:p w:rsidR="009105AC" w:rsidRDefault="009105AC" w:rsidP="005F755B">
      <w:pPr>
        <w:ind w:left="1440"/>
        <w:contextualSpacing/>
      </w:pPr>
      <w:r>
        <w:t xml:space="preserve">c)  </w:t>
      </w:r>
      <w:proofErr w:type="gramStart"/>
      <w:r>
        <w:t>denied</w:t>
      </w:r>
      <w:proofErr w:type="gramEnd"/>
      <w:r>
        <w:t xml:space="preserve"> Core's Motion to Consolidate the</w:t>
      </w:r>
      <w:r w:rsidR="005F755B">
        <w:t>se</w:t>
      </w:r>
      <w:r>
        <w:t xml:space="preserve"> cases</w:t>
      </w:r>
      <w:r w:rsidR="005F755B">
        <w:t xml:space="preserve"> with </w:t>
      </w:r>
      <w:r w:rsidR="005F755B">
        <w:rPr>
          <w:i/>
        </w:rPr>
        <w:t>Core v. VZ II</w:t>
      </w:r>
      <w:r>
        <w:t>; and</w:t>
      </w:r>
    </w:p>
    <w:p w:rsidR="005F755B" w:rsidRDefault="005F755B" w:rsidP="005F755B">
      <w:pPr>
        <w:ind w:left="1440"/>
        <w:contextualSpacing/>
      </w:pPr>
    </w:p>
    <w:p w:rsidR="00DC0811" w:rsidRDefault="009105AC" w:rsidP="005F755B">
      <w:pPr>
        <w:ind w:left="1440"/>
        <w:contextualSpacing/>
      </w:pPr>
      <w:r>
        <w:t xml:space="preserve">d)  </w:t>
      </w:r>
      <w:proofErr w:type="gramStart"/>
      <w:r>
        <w:t>restated</w:t>
      </w:r>
      <w:proofErr w:type="gramEnd"/>
      <w:r>
        <w:t xml:space="preserve"> the terms of the remand as they appear in the May 28, 2015 Order.</w:t>
      </w:r>
    </w:p>
    <w:p w:rsidR="00DC0811" w:rsidRDefault="00DC0811" w:rsidP="009105AC">
      <w:pPr>
        <w:spacing w:line="360" w:lineRule="auto"/>
        <w:ind w:firstLine="1440"/>
        <w:contextualSpacing/>
      </w:pPr>
    </w:p>
    <w:p w:rsidR="009105AC" w:rsidRDefault="00DC0811" w:rsidP="009105AC">
      <w:pPr>
        <w:spacing w:line="360" w:lineRule="auto"/>
        <w:ind w:firstLine="1440"/>
        <w:contextualSpacing/>
      </w:pPr>
      <w:r>
        <w:t xml:space="preserve">The remand is for the specific purpose of determining the impact of the FCC's VoIP Symmetry Order and its impact on the </w:t>
      </w:r>
      <w:proofErr w:type="spellStart"/>
      <w:r>
        <w:t>intercarrier</w:t>
      </w:r>
      <w:proofErr w:type="spellEnd"/>
      <w:r>
        <w:t xml:space="preserve"> compensation issues in this case</w:t>
      </w:r>
      <w:r w:rsidR="00371B81">
        <w:t>.  This is a purely legal question and requires no additional fact finding.  Accordingly, o</w:t>
      </w:r>
      <w:r>
        <w:t xml:space="preserve">n November 9, 2015, I issued a </w:t>
      </w:r>
      <w:r w:rsidR="00371B81">
        <w:t>briefing order which set November 20, 2014 as the deadline for filing main briefs and November 30, 2015 for reply briefs.  Both parties filed timely main</w:t>
      </w:r>
      <w:r w:rsidR="00C246AE">
        <w:t xml:space="preserve"> briefs on remand (MBR)</w:t>
      </w:r>
      <w:r w:rsidR="00371B81">
        <w:t xml:space="preserve"> and reply briefs</w:t>
      </w:r>
      <w:r w:rsidR="00C246AE">
        <w:t xml:space="preserve"> on remand (RBR)</w:t>
      </w:r>
      <w:r w:rsidR="00371B81">
        <w:t>.  This Supplemental Initial Decision on Remand is due January 9, 2016.</w:t>
      </w:r>
      <w:r w:rsidR="009105AC">
        <w:tab/>
      </w:r>
    </w:p>
    <w:p w:rsidR="00CD1FD6" w:rsidRDefault="00CD1FD6" w:rsidP="00457C97">
      <w:pPr>
        <w:spacing w:line="360" w:lineRule="auto"/>
        <w:ind w:firstLine="1440"/>
        <w:contextualSpacing/>
        <w:rPr>
          <w:sz w:val="26"/>
          <w:szCs w:val="26"/>
        </w:rPr>
      </w:pPr>
    </w:p>
    <w:p w:rsidR="001F163D" w:rsidRDefault="00FA27C8" w:rsidP="006D4494">
      <w:pPr>
        <w:spacing w:line="360" w:lineRule="auto"/>
        <w:contextualSpacing/>
        <w:jc w:val="center"/>
        <w:rPr>
          <w:u w:val="single"/>
        </w:rPr>
      </w:pPr>
      <w:r>
        <w:lastRenderedPageBreak/>
        <w:t>III.</w:t>
      </w:r>
      <w:r>
        <w:tab/>
      </w:r>
      <w:r w:rsidR="001F163D">
        <w:rPr>
          <w:u w:val="single"/>
        </w:rPr>
        <w:t>DISCUSSION</w:t>
      </w:r>
      <w:r>
        <w:rPr>
          <w:u w:val="single"/>
        </w:rPr>
        <w:fldChar w:fldCharType="begin"/>
      </w:r>
      <w:r>
        <w:instrText xml:space="preserve"> TC "</w:instrText>
      </w:r>
      <w:bookmarkStart w:id="9" w:name="_Toc438210387"/>
      <w:r w:rsidRPr="00027D9B">
        <w:instrText>III.</w:instrText>
      </w:r>
      <w:r w:rsidRPr="00027D9B">
        <w:tab/>
      </w:r>
      <w:r w:rsidRPr="00027D9B">
        <w:rPr>
          <w:u w:val="single"/>
        </w:rPr>
        <w:instrText>DISCUSSION</w:instrText>
      </w:r>
      <w:bookmarkEnd w:id="9"/>
      <w:r>
        <w:instrText xml:space="preserve">" \f C \l "1" </w:instrText>
      </w:r>
      <w:r>
        <w:rPr>
          <w:u w:val="single"/>
        </w:rPr>
        <w:fldChar w:fldCharType="end"/>
      </w:r>
    </w:p>
    <w:p w:rsidR="00FC7E5F" w:rsidRDefault="00FC7E5F" w:rsidP="006D4494">
      <w:pPr>
        <w:spacing w:line="360" w:lineRule="auto"/>
        <w:contextualSpacing/>
        <w:jc w:val="center"/>
        <w:rPr>
          <w:u w:val="single"/>
        </w:rPr>
      </w:pPr>
    </w:p>
    <w:p w:rsidR="00FC7E5F" w:rsidRPr="006D4494" w:rsidRDefault="00FC7E5F" w:rsidP="00FC7E5F">
      <w:pPr>
        <w:suppressAutoHyphens/>
        <w:spacing w:line="360" w:lineRule="auto"/>
        <w:ind w:firstLine="1440"/>
      </w:pPr>
      <w:r w:rsidRPr="006D4494">
        <w:t xml:space="preserve">This proceeding involves two Formal Complaints that were filed by Core against Verizon at Docket Nos. C-2011-2253750 and C-2011-2253787 alleging that Verizon suddenly ceased the payment of </w:t>
      </w:r>
      <w:proofErr w:type="spellStart"/>
      <w:r w:rsidRPr="006D4494">
        <w:t>intercarrier</w:t>
      </w:r>
      <w:proofErr w:type="spellEnd"/>
      <w:r w:rsidRPr="006D4494">
        <w:t xml:space="preserve"> compensation invoices (</w:t>
      </w:r>
      <w:r w:rsidRPr="006D4494">
        <w:rPr>
          <w:i/>
        </w:rPr>
        <w:t>i.e.</w:t>
      </w:r>
      <w:r w:rsidRPr="006D4494">
        <w:t xml:space="preserve">, bills for reciprocal compensation and switched access) that were issued by Core pursuant to the interconnection agreements (ICAs) entered among the Parties and long-standing practice.  The Parties’ dispute centers around two main categories: Core’s billings to Verizon and Verizon’s billings to Core. </w:t>
      </w:r>
    </w:p>
    <w:p w:rsidR="00FC7E5F" w:rsidRPr="006D4494" w:rsidRDefault="00FC7E5F" w:rsidP="00FC7E5F">
      <w:pPr>
        <w:suppressAutoHyphens/>
        <w:spacing w:line="360" w:lineRule="auto"/>
        <w:ind w:firstLine="1440"/>
      </w:pPr>
    </w:p>
    <w:p w:rsidR="00FC7E5F" w:rsidRPr="006D4494" w:rsidRDefault="00FC7E5F" w:rsidP="00FC7E5F">
      <w:pPr>
        <w:suppressAutoHyphens/>
        <w:spacing w:line="360" w:lineRule="auto"/>
        <w:ind w:firstLine="1440"/>
      </w:pPr>
      <w:r w:rsidRPr="006D4494">
        <w:t xml:space="preserve">Core argues that Verizon breached the Parties’ ICAs when it withheld payment of </w:t>
      </w:r>
      <w:proofErr w:type="spellStart"/>
      <w:r w:rsidRPr="006D4494">
        <w:t>intercarrier</w:t>
      </w:r>
      <w:proofErr w:type="spellEnd"/>
      <w:r w:rsidRPr="006D4494">
        <w:t xml:space="preserve"> compensation invoices in the spring of 2011, without any legitimate basis for doing so.</w:t>
      </w:r>
      <w:r w:rsidRPr="006D4494">
        <w:rPr>
          <w:rStyle w:val="FootnoteReference"/>
          <w:sz w:val="24"/>
          <w:szCs w:val="24"/>
        </w:rPr>
        <w:t xml:space="preserve"> </w:t>
      </w:r>
      <w:r w:rsidRPr="006D4494">
        <w:rPr>
          <w:rStyle w:val="FootnoteReference"/>
          <w:sz w:val="24"/>
          <w:szCs w:val="24"/>
        </w:rPr>
        <w:footnoteReference w:id="1"/>
      </w:r>
      <w:r w:rsidRPr="006D4494">
        <w:t xml:space="preserve">  Core asserts that it issued these </w:t>
      </w:r>
      <w:proofErr w:type="spellStart"/>
      <w:r w:rsidRPr="006D4494">
        <w:t>intercarrier</w:t>
      </w:r>
      <w:proofErr w:type="spellEnd"/>
      <w:r w:rsidRPr="006D4494">
        <w:t xml:space="preserve"> compensation bills to Verizon in complete accordance with the provisions of the ICAs and that it also provided Verizon with substantial evidence in support of these bills.  Therefore, Core contends that Verizon must pay all such amounts owed to Core.  Additionally, Core alleges that Verizon breached the Parties’ Verizon PA ICA by failing to mirror rates as outlined in the order of the Federal Communications Commission (FCC) in </w:t>
      </w:r>
      <w:r w:rsidRPr="006D4494">
        <w:rPr>
          <w:i/>
        </w:rPr>
        <w:t xml:space="preserve">In the Matter of Implementation of the Local Competition Provisions in the Telecommunications Act of 1996; </w:t>
      </w:r>
      <w:proofErr w:type="spellStart"/>
      <w:r w:rsidRPr="006D4494">
        <w:rPr>
          <w:i/>
        </w:rPr>
        <w:t>Intercarrier</w:t>
      </w:r>
      <w:proofErr w:type="spellEnd"/>
      <w:r w:rsidRPr="006D4494">
        <w:rPr>
          <w:i/>
        </w:rPr>
        <w:t xml:space="preserve"> Compensation for ISP-Bound Traffic</w:t>
      </w:r>
      <w:r w:rsidRPr="006D4494">
        <w:t xml:space="preserve">, 16 FCC </w:t>
      </w:r>
      <w:proofErr w:type="spellStart"/>
      <w:r w:rsidRPr="006D4494">
        <w:t>Rcd</w:t>
      </w:r>
      <w:proofErr w:type="spellEnd"/>
      <w:r w:rsidRPr="006D4494">
        <w:t>. 9151 (2001) (</w:t>
      </w:r>
      <w:r w:rsidRPr="006D4494">
        <w:rPr>
          <w:i/>
        </w:rPr>
        <w:t>ISP Remand Order</w:t>
      </w:r>
      <w:r w:rsidRPr="006D4494">
        <w:t xml:space="preserve">).  In this regard, Core argues that, although Verizon has paid Core at the FCC’s prescribed mirroring rate of $0.0007 per minute of use (MOU) for locally-dialed traffic destined for Internet Service Providers (ISPs), such ISP-bound traffic is compensable at the higher reciprocal compensation rate due to Verizon’s failure to mirror rates or to properly “opt-in” to the </w:t>
      </w:r>
      <w:r w:rsidRPr="006D4494">
        <w:rPr>
          <w:i/>
        </w:rPr>
        <w:t>ISP Remand Order</w:t>
      </w:r>
      <w:r w:rsidRPr="006D4494">
        <w:t>.</w:t>
      </w:r>
    </w:p>
    <w:p w:rsidR="00FC7E5F" w:rsidRPr="006D4494" w:rsidRDefault="00FC7E5F" w:rsidP="00FC7E5F">
      <w:pPr>
        <w:suppressAutoHyphens/>
        <w:spacing w:line="360" w:lineRule="auto"/>
        <w:ind w:firstLine="1440"/>
      </w:pPr>
    </w:p>
    <w:p w:rsidR="00FC7E5F" w:rsidRPr="006D4494" w:rsidRDefault="00FC7E5F" w:rsidP="00FC7E5F">
      <w:pPr>
        <w:spacing w:line="360" w:lineRule="auto"/>
        <w:ind w:firstLine="1440"/>
      </w:pPr>
      <w:r w:rsidRPr="006D4494">
        <w:t xml:space="preserve">In counterclaims, Verizon submits that it is Core who breached the Parties’ ICAs by immediately filing a complaint with the Commission when Verizon withheld payment, instead of engaging in the mandatory dispute resolution procedures outlined in the ICAs.  Verizon asserts that it legitimately disputed the bills for which it withheld payment to Core </w:t>
      </w:r>
      <w:r w:rsidRPr="006D4494">
        <w:lastRenderedPageBreak/>
        <w:t xml:space="preserve">because they appeared to be improper.  Namely, Verizon argues that Core’s </w:t>
      </w:r>
      <w:proofErr w:type="spellStart"/>
      <w:r w:rsidRPr="006D4494">
        <w:t>intercarrier</w:t>
      </w:r>
      <w:proofErr w:type="spellEnd"/>
      <w:r w:rsidRPr="006D4494">
        <w:t xml:space="preserve"> compensation bills are not valid because Core has billed Verizon for traffic that transited Verizon’s network but which was originated by third-party telecommunications carriers.  Further, Verizon alleges that Core has double-billed Verizon and these third parties for the same traffic.  Verizon seeks a refund from Core, in the amount of $2,725,140, for reciprocal compensation traffic that it claims was not billable to Verizon.  Further, Verizon argues that Verizon PA has properly “opted-in” to the </w:t>
      </w:r>
      <w:r w:rsidRPr="006D4494">
        <w:rPr>
          <w:i/>
        </w:rPr>
        <w:t>ISP Remand Order</w:t>
      </w:r>
      <w:r w:rsidRPr="006D4494">
        <w:t xml:space="preserve"> and has thereby properly compensated Core at a rate of $0.0007/MOU for locally-dialed ISP-bound traffic under the Parties’ Verizon PA ICA.</w:t>
      </w:r>
    </w:p>
    <w:p w:rsidR="00FC7E5F" w:rsidRPr="006D4494" w:rsidRDefault="00FC7E5F" w:rsidP="00FC7E5F">
      <w:pPr>
        <w:spacing w:line="360" w:lineRule="auto"/>
        <w:ind w:firstLine="1440"/>
      </w:pPr>
    </w:p>
    <w:p w:rsidR="00FC7E5F" w:rsidRPr="006D4494" w:rsidRDefault="00FC7E5F" w:rsidP="00FC7E5F">
      <w:pPr>
        <w:spacing w:line="360" w:lineRule="auto"/>
        <w:ind w:firstLine="1440"/>
      </w:pPr>
      <w:r w:rsidRPr="006D4494">
        <w:t>Verizon also points out that Core has not paid any bills that Verizon has issued to Core for the facilities that Core has leased from Verizon.  These facilities include one-way Local Interconnection Trunk Groups (LITGs)</w:t>
      </w:r>
      <w:r w:rsidRPr="006D4494">
        <w:rPr>
          <w:rStyle w:val="FootnoteReference"/>
          <w:sz w:val="24"/>
          <w:szCs w:val="24"/>
        </w:rPr>
        <w:t xml:space="preserve"> </w:t>
      </w:r>
      <w:r w:rsidRPr="006D4494">
        <w:rPr>
          <w:rStyle w:val="FootnoteReference"/>
          <w:sz w:val="24"/>
          <w:szCs w:val="24"/>
        </w:rPr>
        <w:footnoteReference w:id="2"/>
      </w:r>
      <w:r w:rsidRPr="006D4494">
        <w:t xml:space="preserve"> which carry local and non-Feature Group D </w:t>
      </w:r>
      <w:proofErr w:type="spellStart"/>
      <w:r w:rsidRPr="006D4494">
        <w:t>intraLATA</w:t>
      </w:r>
      <w:proofErr w:type="spellEnd"/>
      <w:r w:rsidRPr="006D4494">
        <w:t xml:space="preserve"> toll traffic from Core to Verizon, and two-way Access Toll Connecting Trunks (ATCs), which carry traffic exchanged between Core and interexchange carriers (IXCs). Finally, Verizon argues that, in addition to failing to pay for the use of Verizon’s facilities, Core has also failed to pay any bills Verizon has issued for reciprocal compensation, switched access, or directory listing services.</w:t>
      </w:r>
    </w:p>
    <w:p w:rsidR="00FC7E5F" w:rsidRPr="006D4494" w:rsidRDefault="00FC7E5F" w:rsidP="00FC7E5F">
      <w:pPr>
        <w:spacing w:line="360" w:lineRule="auto"/>
        <w:ind w:firstLine="1440"/>
      </w:pPr>
    </w:p>
    <w:p w:rsidR="00FC7E5F" w:rsidRPr="006D4494" w:rsidRDefault="00FC7E5F" w:rsidP="00FC7E5F">
      <w:pPr>
        <w:spacing w:line="360" w:lineRule="auto"/>
        <w:ind w:firstLine="1440"/>
      </w:pPr>
      <w:r w:rsidRPr="006D4494">
        <w:t>On the other hand, Core reasons that it has not paid Verizon for the use of the LITGs and ATCs because it is entitled to pay such bills at Total Element Long-Run Incremental Cost (TELRIC) rates and not at the tariffed special access rates at which Verizon has issued these bills.  Further, Core claims that the facilities Verizon provisioned failed to function properly.</w:t>
      </w:r>
    </w:p>
    <w:p w:rsidR="00526227" w:rsidRDefault="00526227" w:rsidP="00FC7E5F">
      <w:pPr>
        <w:spacing w:line="360" w:lineRule="auto"/>
      </w:pPr>
      <w:r>
        <w:br w:type="page"/>
      </w:r>
    </w:p>
    <w:p w:rsidR="00FC7E5F" w:rsidRPr="006D4494" w:rsidRDefault="00FC7E5F" w:rsidP="00FC7E5F">
      <w:pPr>
        <w:spacing w:line="360" w:lineRule="auto"/>
      </w:pPr>
    </w:p>
    <w:p w:rsidR="001F163D" w:rsidRPr="00973A12" w:rsidRDefault="00D319FC" w:rsidP="00973A12">
      <w:pPr>
        <w:rPr>
          <w:b/>
        </w:rPr>
      </w:pPr>
      <w:proofErr w:type="gramStart"/>
      <w:r>
        <w:rPr>
          <w:b/>
        </w:rPr>
        <w:t>A.</w:t>
      </w:r>
      <w:r>
        <w:rPr>
          <w:b/>
        </w:rPr>
        <w:tab/>
      </w:r>
      <w:r w:rsidR="00973A12" w:rsidRPr="00973A12">
        <w:rPr>
          <w:b/>
        </w:rPr>
        <w:t>The</w:t>
      </w:r>
      <w:proofErr w:type="gramEnd"/>
      <w:r w:rsidR="00973A12" w:rsidRPr="00973A12">
        <w:rPr>
          <w:b/>
        </w:rPr>
        <w:t xml:space="preserve"> Remand</w:t>
      </w:r>
      <w:r>
        <w:rPr>
          <w:b/>
        </w:rPr>
        <w:fldChar w:fldCharType="begin"/>
      </w:r>
      <w:r>
        <w:instrText xml:space="preserve"> TC "</w:instrText>
      </w:r>
      <w:bookmarkStart w:id="10" w:name="_Toc438210388"/>
      <w:r w:rsidRPr="00E43A39">
        <w:rPr>
          <w:b/>
        </w:rPr>
        <w:instrText>A.</w:instrText>
      </w:r>
      <w:r w:rsidRPr="00E43A39">
        <w:rPr>
          <w:b/>
        </w:rPr>
        <w:tab/>
        <w:instrText>The Remand</w:instrText>
      </w:r>
      <w:bookmarkEnd w:id="10"/>
      <w:r>
        <w:instrText xml:space="preserve">" \f C \l "2" </w:instrText>
      </w:r>
      <w:r>
        <w:rPr>
          <w:b/>
        </w:rPr>
        <w:fldChar w:fldCharType="end"/>
      </w:r>
    </w:p>
    <w:p w:rsidR="00973A12" w:rsidRPr="00973A12" w:rsidRDefault="00973A12" w:rsidP="00973A12"/>
    <w:p w:rsidR="00595408" w:rsidRDefault="00595408" w:rsidP="00595408">
      <w:pPr>
        <w:spacing w:line="360" w:lineRule="auto"/>
      </w:pPr>
      <w:r>
        <w:tab/>
      </w:r>
      <w:r>
        <w:tab/>
        <w:t>In its Remand Order, the Commission stated:</w:t>
      </w:r>
    </w:p>
    <w:p w:rsidR="00CA19FB" w:rsidRDefault="00CA19FB" w:rsidP="00CA19FB"/>
    <w:p w:rsidR="00595408" w:rsidRPr="00371B81" w:rsidRDefault="0072553A" w:rsidP="0072553A">
      <w:pPr>
        <w:ind w:left="1440" w:right="1440"/>
        <w:contextualSpacing/>
      </w:pPr>
      <w:r w:rsidRPr="00371B81">
        <w:tab/>
      </w:r>
      <w:r w:rsidR="00595408" w:rsidRPr="00371B81">
        <w:t xml:space="preserve">It is evident from the ALJ’s ruling that this matter is a highly complex </w:t>
      </w:r>
      <w:proofErr w:type="spellStart"/>
      <w:r w:rsidR="00595408" w:rsidRPr="00371B81">
        <w:t>intercarrier</w:t>
      </w:r>
      <w:proofErr w:type="spellEnd"/>
      <w:r w:rsidR="00595408" w:rsidRPr="00371B81">
        <w:t xml:space="preserve"> compensation dispute in which the Parties have alleged numerous claims resulting in significant amounts of </w:t>
      </w:r>
      <w:proofErr w:type="spellStart"/>
      <w:r w:rsidR="00595408" w:rsidRPr="00371B81">
        <w:t>intercarrier</w:t>
      </w:r>
      <w:proofErr w:type="spellEnd"/>
      <w:r w:rsidR="00595408" w:rsidRPr="00371B81">
        <w:t xml:space="preserve"> compensation owed or credited.  This complexity is further compounded by developments that have occurred at the federal level subsequent to the issuance of the I.D.  We find that such developments may have an impact on the record evidence that the ALJ relied on to support her ruling in this matter.  As noted, </w:t>
      </w:r>
      <w:r w:rsidR="00595408" w:rsidRPr="00371B81">
        <w:rPr>
          <w:i/>
        </w:rPr>
        <w:t>supra</w:t>
      </w:r>
      <w:r w:rsidR="00595408" w:rsidRPr="00371B81">
        <w:t xml:space="preserve">, the FCC released its </w:t>
      </w:r>
      <w:r w:rsidR="00595408" w:rsidRPr="00371B81">
        <w:rPr>
          <w:i/>
        </w:rPr>
        <w:t>VoIP Symmetry Order</w:t>
      </w:r>
      <w:r w:rsidR="00595408" w:rsidRPr="00371B81">
        <w:t xml:space="preserve"> on February 11, 2015, in which it clarified the VoIP Symmetry Rule it set forth in </w:t>
      </w:r>
      <w:r w:rsidR="00595408" w:rsidRPr="00371B81">
        <w:rPr>
          <w:i/>
        </w:rPr>
        <w:t>In the Matter of Connect America Fund</w:t>
      </w:r>
      <w:r w:rsidR="00595408" w:rsidRPr="00371B81">
        <w:t xml:space="preserve">, 26 FCC </w:t>
      </w:r>
      <w:proofErr w:type="spellStart"/>
      <w:r w:rsidR="00595408" w:rsidRPr="00371B81">
        <w:t>Rcd</w:t>
      </w:r>
      <w:proofErr w:type="spellEnd"/>
      <w:r w:rsidR="00595408" w:rsidRPr="00371B81">
        <w:t>. 17663 (2011) (</w:t>
      </w:r>
      <w:r w:rsidR="00595408" w:rsidRPr="00371B81">
        <w:rPr>
          <w:i/>
        </w:rPr>
        <w:t>USF/ICC Transformation Order</w:t>
      </w:r>
      <w:r w:rsidR="00595408" w:rsidRPr="00371B81">
        <w:t xml:space="preserve">), </w:t>
      </w:r>
      <w:r w:rsidR="00595408" w:rsidRPr="00371B81">
        <w:rPr>
          <w:i/>
        </w:rPr>
        <w:t>aff’d, In re FCC 11-161</w:t>
      </w:r>
      <w:r w:rsidR="00595408" w:rsidRPr="00371B81">
        <w:t>, 753 F.3d 1015 (10</w:t>
      </w:r>
      <w:r w:rsidR="00595408" w:rsidRPr="00371B81">
        <w:rPr>
          <w:vertAlign w:val="superscript"/>
        </w:rPr>
        <w:t>th</w:t>
      </w:r>
      <w:r w:rsidR="00595408" w:rsidRPr="00371B81">
        <w:t xml:space="preserve"> Cir. 2014), </w:t>
      </w:r>
      <w:proofErr w:type="spellStart"/>
      <w:r w:rsidR="00595408" w:rsidRPr="00371B81">
        <w:rPr>
          <w:i/>
        </w:rPr>
        <w:t>reh’g</w:t>
      </w:r>
      <w:proofErr w:type="spellEnd"/>
      <w:r w:rsidR="00595408" w:rsidRPr="00371B81">
        <w:rPr>
          <w:i/>
        </w:rPr>
        <w:t xml:space="preserve"> petitions denied, cert. denied,</w:t>
      </w:r>
      <w:r w:rsidR="00595408" w:rsidRPr="00371B81">
        <w:t xml:space="preserve"> </w:t>
      </w:r>
      <w:proofErr w:type="gramStart"/>
      <w:r w:rsidR="00595408" w:rsidRPr="00371B81">
        <w:t xml:space="preserve">–  </w:t>
      </w:r>
      <w:proofErr w:type="spellStart"/>
      <w:r w:rsidR="00595408" w:rsidRPr="00371B81">
        <w:t>S.Ct</w:t>
      </w:r>
      <w:proofErr w:type="spellEnd"/>
      <w:proofErr w:type="gramEnd"/>
      <w:r w:rsidR="00595408" w:rsidRPr="00371B81">
        <w:t xml:space="preserve">. – (U.S. May 4, 2015) (14-901).  Specifically, the FCC clarified that its VoIP Symmetry Rule is technology and facilities neutral and does not mandate that an entity use a specific technology or its own facilities in order to charge for the services that it considers </w:t>
      </w:r>
      <w:proofErr w:type="gramStart"/>
      <w:r w:rsidR="00595408" w:rsidRPr="00371B81">
        <w:t>to be</w:t>
      </w:r>
      <w:proofErr w:type="gramEnd"/>
      <w:r w:rsidR="00595408" w:rsidRPr="00371B81">
        <w:t xml:space="preserve"> the equivalent of end office switching.  </w:t>
      </w:r>
      <w:r w:rsidR="00595408" w:rsidRPr="00371B81">
        <w:rPr>
          <w:i/>
        </w:rPr>
        <w:t>VoIP Symmetry Order</w:t>
      </w:r>
      <w:r w:rsidR="00595408" w:rsidRPr="00371B81">
        <w:t xml:space="preserve"> at ¶¶ 1-3.  </w:t>
      </w:r>
    </w:p>
    <w:p w:rsidR="00595408" w:rsidRPr="00371B81" w:rsidRDefault="00595408" w:rsidP="00595408">
      <w:pPr>
        <w:ind w:left="1440" w:right="1440" w:firstLine="1440"/>
        <w:contextualSpacing/>
      </w:pPr>
    </w:p>
    <w:p w:rsidR="00595408" w:rsidRPr="00371B81" w:rsidRDefault="0072553A" w:rsidP="0072553A">
      <w:pPr>
        <w:ind w:left="1440" w:right="1440"/>
        <w:contextualSpacing/>
      </w:pPr>
      <w:r w:rsidRPr="00371B81">
        <w:tab/>
      </w:r>
      <w:r w:rsidR="00595408" w:rsidRPr="00371B81">
        <w:t xml:space="preserve">In its </w:t>
      </w:r>
      <w:r w:rsidR="00595408" w:rsidRPr="00371B81">
        <w:rPr>
          <w:i/>
        </w:rPr>
        <w:t>February 2015 Letter,</w:t>
      </w:r>
      <w:r w:rsidR="00595408" w:rsidRPr="00371B81">
        <w:t xml:space="preserve"> referenced above, Core contends that the </w:t>
      </w:r>
      <w:r w:rsidR="00595408" w:rsidRPr="00371B81">
        <w:rPr>
          <w:i/>
        </w:rPr>
        <w:t xml:space="preserve">VoIP Symmetry Order </w:t>
      </w:r>
      <w:r w:rsidR="00595408" w:rsidRPr="00371B81">
        <w:t xml:space="preserve">lends support to its argument relative to the unpaid switched access bills it rendered, and continues to render, to Verizon.  On the other hand, Verizon’s Response to Core’s </w:t>
      </w:r>
      <w:r w:rsidR="00595408" w:rsidRPr="00371B81">
        <w:rPr>
          <w:i/>
        </w:rPr>
        <w:t>February 2015 Letter</w:t>
      </w:r>
      <w:r w:rsidR="00595408" w:rsidRPr="00371B81">
        <w:t xml:space="preserve"> counters that the FCC’s ruling does nothing to alter, but instead confirms the ALJ’s ruling in the matter before us.  In a similar fashion, Verizon, in its </w:t>
      </w:r>
      <w:r w:rsidR="00595408" w:rsidRPr="00371B81">
        <w:rPr>
          <w:i/>
        </w:rPr>
        <w:t>June 2014 Letter</w:t>
      </w:r>
      <w:r w:rsidR="00595408" w:rsidRPr="00371B81">
        <w:t xml:space="preserve">, asserts that the Fourth Circuit’s </w:t>
      </w:r>
      <w:proofErr w:type="spellStart"/>
      <w:r w:rsidR="00595408" w:rsidRPr="00371B81">
        <w:rPr>
          <w:i/>
        </w:rPr>
        <w:t>Core</w:t>
      </w:r>
      <w:r w:rsidR="005F755B">
        <w:rPr>
          <w:i/>
        </w:rPr>
        <w:t>T</w:t>
      </w:r>
      <w:r w:rsidR="00595408" w:rsidRPr="00371B81">
        <w:rPr>
          <w:i/>
        </w:rPr>
        <w:t>el</w:t>
      </w:r>
      <w:proofErr w:type="spellEnd"/>
      <w:r w:rsidR="00595408" w:rsidRPr="00371B81">
        <w:rPr>
          <w:i/>
        </w:rPr>
        <w:t>-Verizon VA Order</w:t>
      </w:r>
      <w:r w:rsidR="00595408" w:rsidRPr="00371B81">
        <w:t xml:space="preserve"> examines a dispute with issues that are similar to those in the matter before us.  Therefore, Verizon argues that the </w:t>
      </w:r>
      <w:proofErr w:type="spellStart"/>
      <w:r w:rsidR="00595408" w:rsidRPr="00371B81">
        <w:rPr>
          <w:i/>
        </w:rPr>
        <w:t>Core</w:t>
      </w:r>
      <w:r w:rsidR="005F755B">
        <w:rPr>
          <w:i/>
        </w:rPr>
        <w:t>T</w:t>
      </w:r>
      <w:r w:rsidR="00595408" w:rsidRPr="00371B81">
        <w:rPr>
          <w:i/>
        </w:rPr>
        <w:t>el</w:t>
      </w:r>
      <w:proofErr w:type="spellEnd"/>
      <w:r w:rsidR="00595408" w:rsidRPr="00371B81">
        <w:rPr>
          <w:i/>
        </w:rPr>
        <w:t xml:space="preserve">-Verizon VA Order </w:t>
      </w:r>
      <w:r w:rsidR="00595408" w:rsidRPr="00371B81">
        <w:t xml:space="preserve">supports certain of its Replies to Core’s Exceptions in the instant case.  Core’s Response to Verizon’s </w:t>
      </w:r>
      <w:r w:rsidR="00595408" w:rsidRPr="00371B81">
        <w:rPr>
          <w:i/>
        </w:rPr>
        <w:t>June 2014 Letter</w:t>
      </w:r>
      <w:r w:rsidR="00595408" w:rsidRPr="00371B81">
        <w:t xml:space="preserve"> refutes Verizon’s arguments.</w:t>
      </w:r>
    </w:p>
    <w:p w:rsidR="00595408" w:rsidRPr="00371B81" w:rsidRDefault="00595408" w:rsidP="00595408">
      <w:pPr>
        <w:ind w:left="1440" w:right="1440" w:firstLine="1440"/>
        <w:contextualSpacing/>
      </w:pPr>
    </w:p>
    <w:p w:rsidR="00595408" w:rsidRPr="00371B81" w:rsidRDefault="0072553A" w:rsidP="0072553A">
      <w:pPr>
        <w:ind w:left="1440" w:right="1440"/>
      </w:pPr>
      <w:r w:rsidRPr="00371B81">
        <w:tab/>
      </w:r>
      <w:r w:rsidR="00595408" w:rsidRPr="00371B81">
        <w:t xml:space="preserve">As explained above, the issues involved in this case are governed by the existing ICAs as well as state and federal law.  Additionally, the subsequent rulings issued at the federal level may impact the initial findings and ALJ recommendation in this proceeding.  In review of the record as developed thus far, we find that it is unclear whether either party has met its burden of proof with regard to the amount of traffic for the claimed </w:t>
      </w:r>
      <w:r w:rsidR="00A04236" w:rsidRPr="00371B81">
        <w:t>back billing</w:t>
      </w:r>
      <w:r w:rsidR="00595408" w:rsidRPr="00371B81">
        <w:t xml:space="preserve"> as well as the appropriate compensation.  In light of the changed </w:t>
      </w:r>
      <w:r w:rsidR="00595408" w:rsidRPr="00371B81">
        <w:lastRenderedPageBreak/>
        <w:t xml:space="preserve">circumstances, we are of the opinion that a limited remand of this proceeding is necessary so that FCC’s </w:t>
      </w:r>
      <w:r w:rsidR="00595408" w:rsidRPr="00371B81">
        <w:rPr>
          <w:i/>
        </w:rPr>
        <w:t>VoIP Symmetry Order</w:t>
      </w:r>
      <w:r w:rsidR="00595408" w:rsidRPr="00371B81">
        <w:t xml:space="preserve">, at a minimum, may be reviewed to determine its impact on the </w:t>
      </w:r>
      <w:proofErr w:type="spellStart"/>
      <w:r w:rsidR="00595408" w:rsidRPr="00371B81">
        <w:t>intercarrier</w:t>
      </w:r>
      <w:proofErr w:type="spellEnd"/>
      <w:r w:rsidR="00595408" w:rsidRPr="00371B81">
        <w:t xml:space="preserve"> compensation issues in the matter before us and subsequently addressed in a Supplemental Initial Decision on Remand.  Once the OALJ concludes the limited remand, we will consider all of the outstanding issues pending in this proceeding in light of these more recent developments as ripe for disposition. </w:t>
      </w:r>
    </w:p>
    <w:p w:rsidR="00595408" w:rsidRPr="00371B81" w:rsidRDefault="00595408" w:rsidP="00595408">
      <w:pPr>
        <w:ind w:left="1440" w:right="1440" w:firstLine="1440"/>
      </w:pPr>
    </w:p>
    <w:p w:rsidR="00595408" w:rsidRPr="00371B81" w:rsidRDefault="00595408" w:rsidP="00595408">
      <w:pPr>
        <w:spacing w:line="360" w:lineRule="auto"/>
      </w:pPr>
      <w:r w:rsidRPr="00371B81">
        <w:t xml:space="preserve">Order of May 28, 2015 at </w:t>
      </w:r>
      <w:r w:rsidR="00AE1A28" w:rsidRPr="00371B81">
        <w:t>9-10.</w:t>
      </w:r>
    </w:p>
    <w:p w:rsidR="002305F4" w:rsidRDefault="002305F4" w:rsidP="00237454">
      <w:pPr>
        <w:spacing w:line="360" w:lineRule="auto"/>
        <w:ind w:firstLine="1440"/>
        <w:contextualSpacing/>
      </w:pPr>
    </w:p>
    <w:p w:rsidR="00D566B2" w:rsidRDefault="00E279E6" w:rsidP="00D566B2">
      <w:pPr>
        <w:spacing w:line="360" w:lineRule="auto"/>
      </w:pPr>
      <w:r>
        <w:tab/>
      </w:r>
      <w:r>
        <w:tab/>
      </w:r>
      <w:r w:rsidR="00D566B2">
        <w:t>The Commission's direction is that</w:t>
      </w:r>
      <w:r w:rsidR="00D566B2" w:rsidRPr="00371B81">
        <w:t xml:space="preserve"> a limited remand of this proceeding is necessary so that FCC’s </w:t>
      </w:r>
      <w:r w:rsidR="00D566B2" w:rsidRPr="00371B81">
        <w:rPr>
          <w:i/>
        </w:rPr>
        <w:t>VoIP Symmetry Order</w:t>
      </w:r>
      <w:r w:rsidR="00D566B2" w:rsidRPr="00371B81">
        <w:t xml:space="preserve">, at a minimum, may be reviewed to determine its impact on the </w:t>
      </w:r>
      <w:proofErr w:type="spellStart"/>
      <w:r w:rsidR="00D566B2" w:rsidRPr="00371B81">
        <w:t>intercarrier</w:t>
      </w:r>
      <w:proofErr w:type="spellEnd"/>
      <w:r w:rsidR="00D566B2" w:rsidRPr="00371B81">
        <w:t xml:space="preserve"> compensation issues in the matter before us and subsequently addressed in a Supplemental Initial Decision on Remand.</w:t>
      </w:r>
      <w:r w:rsidR="00D566B2">
        <w:t xml:space="preserve">  </w:t>
      </w:r>
      <w:r w:rsidR="00D566B2" w:rsidRPr="00371B81">
        <w:t>Order of May 28, 2015 at 9-10.</w:t>
      </w:r>
    </w:p>
    <w:p w:rsidR="00FA26CC" w:rsidRDefault="00FA26CC" w:rsidP="00D566B2">
      <w:pPr>
        <w:spacing w:line="360" w:lineRule="auto"/>
      </w:pPr>
    </w:p>
    <w:p w:rsidR="00590E0C" w:rsidRDefault="000D7AE1" w:rsidP="00590E0C">
      <w:pPr>
        <w:spacing w:line="360" w:lineRule="auto"/>
        <w:contextualSpacing/>
        <w:rPr>
          <w:b/>
        </w:rPr>
      </w:pPr>
      <w:r>
        <w:rPr>
          <w:b/>
        </w:rPr>
        <w:t>B.</w:t>
      </w:r>
      <w:r>
        <w:rPr>
          <w:b/>
        </w:rPr>
        <w:tab/>
      </w:r>
      <w:r w:rsidR="00590E0C">
        <w:rPr>
          <w:b/>
        </w:rPr>
        <w:t>Burden of Proof</w:t>
      </w:r>
      <w:r>
        <w:rPr>
          <w:b/>
        </w:rPr>
        <w:fldChar w:fldCharType="begin"/>
      </w:r>
      <w:r>
        <w:instrText xml:space="preserve"> TC "</w:instrText>
      </w:r>
      <w:bookmarkStart w:id="11" w:name="_Toc438209672"/>
      <w:bookmarkStart w:id="12" w:name="_Toc438210389"/>
      <w:r w:rsidRPr="00590FFB">
        <w:rPr>
          <w:b/>
        </w:rPr>
        <w:instrText>B.</w:instrText>
      </w:r>
      <w:r w:rsidRPr="00590FFB">
        <w:rPr>
          <w:b/>
        </w:rPr>
        <w:tab/>
        <w:instrText>Burden of Proof</w:instrText>
      </w:r>
      <w:bookmarkEnd w:id="11"/>
      <w:bookmarkEnd w:id="12"/>
      <w:r>
        <w:instrText xml:space="preserve">" \f C \l "2" </w:instrText>
      </w:r>
      <w:r>
        <w:rPr>
          <w:b/>
        </w:rPr>
        <w:fldChar w:fldCharType="end"/>
      </w:r>
    </w:p>
    <w:p w:rsidR="00D53EA7" w:rsidRPr="00482E09" w:rsidRDefault="00D53EA7" w:rsidP="00590E0C">
      <w:pPr>
        <w:spacing w:line="360" w:lineRule="auto"/>
        <w:contextualSpacing/>
        <w:rPr>
          <w:b/>
        </w:rPr>
      </w:pPr>
    </w:p>
    <w:p w:rsidR="00590E0C" w:rsidRPr="007853B5" w:rsidRDefault="00590E0C" w:rsidP="00590E0C">
      <w:pPr>
        <w:spacing w:line="360" w:lineRule="auto"/>
      </w:pPr>
      <w:r>
        <w:tab/>
      </w:r>
      <w:r>
        <w:tab/>
      </w:r>
      <w:r w:rsidRPr="007853B5">
        <w:t>There is no</w:t>
      </w:r>
      <w:r w:rsidR="00973A12">
        <w:t xml:space="preserve"> change to the </w:t>
      </w:r>
      <w:r w:rsidRPr="007853B5">
        <w:t>burden of proof</w:t>
      </w:r>
      <w:r w:rsidR="00973A12">
        <w:t>, nor is there dispute</w:t>
      </w:r>
      <w:r w:rsidRPr="007853B5">
        <w:t xml:space="preserve">.  </w:t>
      </w:r>
      <w:r>
        <w:t xml:space="preserve">Section </w:t>
      </w:r>
      <w:r w:rsidRPr="007853B5">
        <w:t xml:space="preserve">332(a) of the Code, </w:t>
      </w:r>
      <w:proofErr w:type="gramStart"/>
      <w:r w:rsidRPr="007853B5">
        <w:t>66 Pa.C.S</w:t>
      </w:r>
      <w:proofErr w:type="gramEnd"/>
      <w:r w:rsidRPr="007853B5">
        <w:t xml:space="preserve">. §332(a), provides that the party seeking a rule or order from the Commission has the burden of proof in that proceeding.  It is well-established that “[a] litigant’s burden of proof before administrative tribunals as well as before most civil proceedings is satisfied by establishing a preponderance of evidence which is substantial and legally credible.”  </w:t>
      </w:r>
      <w:proofErr w:type="gramStart"/>
      <w:r>
        <w:rPr>
          <w:i/>
        </w:rPr>
        <w:t xml:space="preserve">Samuel J. </w:t>
      </w:r>
      <w:proofErr w:type="spellStart"/>
      <w:r>
        <w:rPr>
          <w:i/>
        </w:rPr>
        <w:t>Lansberry</w:t>
      </w:r>
      <w:proofErr w:type="spellEnd"/>
      <w:r>
        <w:rPr>
          <w:i/>
        </w:rPr>
        <w:t xml:space="preserve">, Inc. </w:t>
      </w:r>
      <w:r w:rsidRPr="007853B5">
        <w:rPr>
          <w:i/>
        </w:rPr>
        <w:t>v. Pa. P</w:t>
      </w:r>
      <w:r w:rsidR="00D53EA7">
        <w:rPr>
          <w:i/>
        </w:rPr>
        <w:t>ub.</w:t>
      </w:r>
      <w:proofErr w:type="gramEnd"/>
      <w:r w:rsidR="00D53EA7">
        <w:rPr>
          <w:i/>
        </w:rPr>
        <w:t xml:space="preserve"> </w:t>
      </w:r>
      <w:proofErr w:type="gramStart"/>
      <w:r w:rsidRPr="007853B5">
        <w:rPr>
          <w:i/>
        </w:rPr>
        <w:t>U</w:t>
      </w:r>
      <w:r w:rsidR="00D53EA7">
        <w:rPr>
          <w:i/>
        </w:rPr>
        <w:t xml:space="preserve">til. </w:t>
      </w:r>
      <w:proofErr w:type="spellStart"/>
      <w:r w:rsidRPr="007853B5">
        <w:rPr>
          <w:i/>
        </w:rPr>
        <w:t>C</w:t>
      </w:r>
      <w:r w:rsidR="00D53EA7">
        <w:rPr>
          <w:i/>
        </w:rPr>
        <w:t>omm'n</w:t>
      </w:r>
      <w:proofErr w:type="spellEnd"/>
      <w:r>
        <w:t xml:space="preserve">, 578 </w:t>
      </w:r>
      <w:r w:rsidRPr="007853B5">
        <w:t>A.2d 600, 602 (</w:t>
      </w:r>
      <w:proofErr w:type="spellStart"/>
      <w:r w:rsidRPr="007853B5">
        <w:t>Pa.Cmwlth</w:t>
      </w:r>
      <w:proofErr w:type="spellEnd"/>
      <w:r w:rsidRPr="007853B5">
        <w:t>. 1990).</w:t>
      </w:r>
      <w:proofErr w:type="gramEnd"/>
    </w:p>
    <w:p w:rsidR="00590E0C" w:rsidRPr="007853B5" w:rsidRDefault="00590E0C" w:rsidP="00590E0C">
      <w:pPr>
        <w:spacing w:line="360" w:lineRule="auto"/>
      </w:pPr>
    </w:p>
    <w:p w:rsidR="00590E0C" w:rsidRPr="007853B5" w:rsidRDefault="00590E0C" w:rsidP="00590E0C">
      <w:pPr>
        <w:spacing w:line="360" w:lineRule="auto"/>
      </w:pPr>
      <w:r w:rsidRPr="007853B5">
        <w:tab/>
      </w:r>
      <w:r w:rsidRPr="007853B5">
        <w:tab/>
        <w:t>The burden of proof is comp</w:t>
      </w:r>
      <w:r>
        <w:t xml:space="preserve">rised of two distinct burdens: </w:t>
      </w:r>
      <w:r w:rsidRPr="007853B5">
        <w:t xml:space="preserve">the burden of production and the burden of persuasion.  The burden of production tells the adjudicator which party must come forward with evidence to support a particular proposition.  See </w:t>
      </w:r>
      <w:r w:rsidRPr="007853B5">
        <w:rPr>
          <w:i/>
        </w:rPr>
        <w:t xml:space="preserve">In re </w:t>
      </w:r>
      <w:proofErr w:type="spellStart"/>
      <w:r w:rsidRPr="007853B5">
        <w:rPr>
          <w:i/>
        </w:rPr>
        <w:t>Loudenslager’s</w:t>
      </w:r>
      <w:proofErr w:type="spellEnd"/>
      <w:r w:rsidRPr="007853B5">
        <w:rPr>
          <w:i/>
        </w:rPr>
        <w:t xml:space="preserve"> Estate</w:t>
      </w:r>
      <w:r w:rsidRPr="007853B5">
        <w:t xml:space="preserve">, 430 Pa. 33, 240 A.2d 477, 482 (1968).  The burden of persuasion determines which party must produce sufficient evidence to convince a judge that a fact has been established, and it never leaves the party on whom it is originally cast.  </w:t>
      </w:r>
      <w:proofErr w:type="spellStart"/>
      <w:proofErr w:type="gramStart"/>
      <w:r w:rsidRPr="007853B5">
        <w:rPr>
          <w:i/>
        </w:rPr>
        <w:t>Reidel</w:t>
      </w:r>
      <w:proofErr w:type="spellEnd"/>
      <w:r w:rsidRPr="007853B5">
        <w:rPr>
          <w:i/>
        </w:rPr>
        <w:t xml:space="preserve"> v. County of Allegheny</w:t>
      </w:r>
      <w:r w:rsidRPr="007853B5">
        <w:t>, 633 A.2d 1325, 1329 n. 11 (Pa.Cmwlth.</w:t>
      </w:r>
      <w:r w:rsidR="00D53EA7">
        <w:t xml:space="preserve"> </w:t>
      </w:r>
      <w:r w:rsidRPr="007853B5">
        <w:t>1993).</w:t>
      </w:r>
      <w:proofErr w:type="gramEnd"/>
    </w:p>
    <w:p w:rsidR="00590E0C" w:rsidRPr="007853B5" w:rsidRDefault="00590E0C" w:rsidP="00590E0C">
      <w:pPr>
        <w:spacing w:line="360" w:lineRule="auto"/>
      </w:pPr>
    </w:p>
    <w:p w:rsidR="00590E0C" w:rsidRDefault="00590E0C" w:rsidP="00590E0C">
      <w:pPr>
        <w:spacing w:line="360" w:lineRule="auto"/>
      </w:pPr>
      <w:r w:rsidRPr="007853B5">
        <w:tab/>
      </w:r>
      <w:r w:rsidRPr="007853B5">
        <w:tab/>
        <w:t xml:space="preserve">Therefore, Core bears the burden of proving its claims, while Verizon bears the burden of proving the Verizon claims.  </w:t>
      </w:r>
    </w:p>
    <w:p w:rsidR="00590E0C" w:rsidRDefault="00590E0C" w:rsidP="00590E0C">
      <w:pPr>
        <w:spacing w:line="360" w:lineRule="auto"/>
        <w:contextualSpacing/>
      </w:pPr>
    </w:p>
    <w:p w:rsidR="002151EA" w:rsidRDefault="000D7AE1" w:rsidP="002151EA">
      <w:pPr>
        <w:spacing w:line="360" w:lineRule="auto"/>
        <w:contextualSpacing/>
        <w:rPr>
          <w:b/>
        </w:rPr>
      </w:pPr>
      <w:r>
        <w:rPr>
          <w:b/>
        </w:rPr>
        <w:t>C.</w:t>
      </w:r>
      <w:r>
        <w:rPr>
          <w:b/>
        </w:rPr>
        <w:tab/>
      </w:r>
      <w:r w:rsidR="002151EA">
        <w:rPr>
          <w:b/>
        </w:rPr>
        <w:t>Core's Argument</w:t>
      </w:r>
      <w:r>
        <w:rPr>
          <w:b/>
        </w:rPr>
        <w:fldChar w:fldCharType="begin"/>
      </w:r>
      <w:r>
        <w:instrText xml:space="preserve"> TC "</w:instrText>
      </w:r>
      <w:bookmarkStart w:id="13" w:name="_Toc438209673"/>
      <w:bookmarkStart w:id="14" w:name="_Toc438210390"/>
      <w:r w:rsidRPr="00D53C03">
        <w:rPr>
          <w:b/>
        </w:rPr>
        <w:instrText>C.</w:instrText>
      </w:r>
      <w:r w:rsidRPr="00D53C03">
        <w:rPr>
          <w:b/>
        </w:rPr>
        <w:tab/>
        <w:instrText>Core's Argument</w:instrText>
      </w:r>
      <w:bookmarkEnd w:id="13"/>
      <w:bookmarkEnd w:id="14"/>
      <w:r>
        <w:instrText xml:space="preserve">" \f C \l "2" </w:instrText>
      </w:r>
      <w:r>
        <w:rPr>
          <w:b/>
        </w:rPr>
        <w:fldChar w:fldCharType="end"/>
      </w:r>
    </w:p>
    <w:p w:rsidR="002151EA" w:rsidRDefault="002151EA" w:rsidP="002151EA">
      <w:pPr>
        <w:spacing w:line="360" w:lineRule="auto"/>
      </w:pPr>
    </w:p>
    <w:p w:rsidR="00767A73" w:rsidRDefault="00767A73" w:rsidP="002151EA">
      <w:pPr>
        <w:spacing w:line="360" w:lineRule="auto"/>
      </w:pPr>
      <w:r>
        <w:tab/>
      </w:r>
      <w:r>
        <w:tab/>
        <w:t xml:space="preserve">Core argues that it submitted evidence demonstrating that Verizon owes Core $2,532,142.22 in switched access charges for traffic delivered to Core's SS7 network, with $711,259.34 being due for interstate switched access charges pursuant to core's FCC Tariff No. 1 and $1,820,883.88 for intrastate switched access charges pursuant to Core's Pa. P.U.C. Tariff No. 4, for toll traffic Verizon sent to Core over SS7 trunk groups.  </w:t>
      </w:r>
      <w:proofErr w:type="gramStart"/>
      <w:r>
        <w:t>Core MB at 5.</w:t>
      </w:r>
      <w:proofErr w:type="gramEnd"/>
      <w:r>
        <w:t xml:space="preserve">  Some of this traffic had been paid at the $0.0007/MOU price, which Core submits is the wrong price.  Core also avers that Verizon owes Core an additional $2,661,655.78 in switched access charges for traffic delivered on Core's older MF network.  Core MB</w:t>
      </w:r>
      <w:r w:rsidR="00C246AE">
        <w:t>R</w:t>
      </w:r>
      <w:r>
        <w:t xml:space="preserve"> at 5.  </w:t>
      </w:r>
    </w:p>
    <w:p w:rsidR="00767A73" w:rsidRPr="00767A73" w:rsidRDefault="00767A73" w:rsidP="002151EA">
      <w:pPr>
        <w:spacing w:line="360" w:lineRule="auto"/>
      </w:pPr>
      <w:r>
        <w:t xml:space="preserve">  </w:t>
      </w:r>
    </w:p>
    <w:p w:rsidR="002151EA" w:rsidRDefault="002151EA" w:rsidP="002151EA">
      <w:pPr>
        <w:spacing w:line="360" w:lineRule="auto"/>
      </w:pPr>
      <w:r>
        <w:rPr>
          <w:b/>
        </w:rPr>
        <w:tab/>
      </w:r>
      <w:r>
        <w:rPr>
          <w:b/>
        </w:rPr>
        <w:tab/>
      </w:r>
      <w:r>
        <w:t xml:space="preserve">Core identifies the </w:t>
      </w:r>
      <w:r w:rsidR="00A04236">
        <w:t>back billing</w:t>
      </w:r>
      <w:r>
        <w:t xml:space="preserve"> as Core's intrastate and interstate switched access bills to Verizon in January 2012, covering the period from February 2009 to December 2011, and the monthly switched access bills issued by Core between January 2012 and June 2012.  </w:t>
      </w:r>
      <w:r w:rsidR="00C246AE">
        <w:t>Core MBR at 1.</w:t>
      </w:r>
    </w:p>
    <w:p w:rsidR="002151EA" w:rsidRDefault="002151EA" w:rsidP="002151EA">
      <w:pPr>
        <w:spacing w:line="360" w:lineRule="auto"/>
      </w:pPr>
    </w:p>
    <w:p w:rsidR="002151EA" w:rsidRDefault="002151EA" w:rsidP="002151EA">
      <w:pPr>
        <w:spacing w:line="360" w:lineRule="auto"/>
      </w:pPr>
      <w:r>
        <w:tab/>
      </w:r>
      <w:r>
        <w:tab/>
        <w:t xml:space="preserve">Core states that the traffic at issue is comprised entirely of non-local, toll traffic that Verizon transmitted to Core for termination to Core's end users.  This traffic was a mix of toll calls terminated to dial-up ISPs and toll VoIP calls terminated to Core's VoIP-carrier customers.  Core's position is that the Interconnection Agreements (ICAs) between the parties permit the party terminating toll traffic to bill the sending party at intrastate or interstate switched access rates, by rating each call using the Calling Party's Number (CPN).  Its switched access billings to Verizon were calculated using the rate elements set forth in Core's Commission-approved intrastate switched access tariff and FCC-approved interstate switched access tariff, depending on the CPN of each call.  </w:t>
      </w:r>
      <w:r w:rsidR="00C246AE">
        <w:t>Core MBR at 1-2.</w:t>
      </w:r>
    </w:p>
    <w:p w:rsidR="002151EA" w:rsidRDefault="002151EA" w:rsidP="002151EA">
      <w:pPr>
        <w:spacing w:line="360" w:lineRule="auto"/>
      </w:pPr>
    </w:p>
    <w:p w:rsidR="002151EA" w:rsidRDefault="002151EA" w:rsidP="002151EA">
      <w:pPr>
        <w:spacing w:line="360" w:lineRule="auto"/>
      </w:pPr>
      <w:r>
        <w:tab/>
      </w:r>
      <w:r>
        <w:tab/>
        <w:t xml:space="preserve">Core avers that the toll traffic sent by Verizon to Core is billable at switched access rates, regardless of whether the traffic was ISP-bound traffic or VoIP traffic.  </w:t>
      </w:r>
    </w:p>
    <w:p w:rsidR="002151EA" w:rsidRDefault="002151EA" w:rsidP="002151EA">
      <w:pPr>
        <w:spacing w:line="360" w:lineRule="auto"/>
      </w:pPr>
    </w:p>
    <w:p w:rsidR="002151EA" w:rsidRDefault="002151EA" w:rsidP="002151EA">
      <w:pPr>
        <w:spacing w:line="360" w:lineRule="auto"/>
      </w:pPr>
      <w:r>
        <w:lastRenderedPageBreak/>
        <w:tab/>
      </w:r>
      <w:r>
        <w:tab/>
        <w:t>Core argues that the Commission has consistently ruled that IP-based communications are subject to switched access charges.</w:t>
      </w:r>
      <w:r>
        <w:rPr>
          <w:rStyle w:val="FootnoteReference"/>
        </w:rPr>
        <w:footnoteReference w:id="3"/>
      </w:r>
      <w:r>
        <w:t xml:space="preserve"> </w:t>
      </w:r>
      <w:r w:rsidR="00C246AE">
        <w:t xml:space="preserve">Core MBR at 6.  </w:t>
      </w:r>
      <w:r>
        <w:t>The FCC approved new rules effective January 1, 2012, which clarify compensation for VoIP traffic moving forward.</w:t>
      </w:r>
      <w:r>
        <w:rPr>
          <w:rStyle w:val="FootnoteReference"/>
        </w:rPr>
        <w:footnoteReference w:id="4"/>
      </w:r>
      <w:r>
        <w:t xml:space="preserve">  VoIP-PSTN traffic is defined as traffic "exchanged between a local exchange carrier and another telecommunications carrier in Time Division Multiplexing (TDM) format that originates and/or terminates in IP format,"</w:t>
      </w:r>
      <w:r>
        <w:rPr>
          <w:rStyle w:val="FootnoteReference"/>
        </w:rPr>
        <w:footnoteReference w:id="5"/>
      </w:r>
      <w:r>
        <w:t xml:space="preserve"> noting further that telecommunications traffic originates and/or terminates in IP format if it originates from and/or terminates to an end-user customer of a service that requires Internet protocol-compatible customer premises equipment.</w:t>
      </w:r>
      <w:r>
        <w:rPr>
          <w:rStyle w:val="FootnoteReference"/>
        </w:rPr>
        <w:footnoteReference w:id="6"/>
      </w:r>
      <w:r>
        <w:t xml:space="preserve">  </w:t>
      </w:r>
      <w:r w:rsidR="000161EA">
        <w:t>Core MBR at 6-7.</w:t>
      </w:r>
      <w:r>
        <w:t xml:space="preserve"> </w:t>
      </w:r>
    </w:p>
    <w:p w:rsidR="002151EA" w:rsidRDefault="002151EA" w:rsidP="002151EA">
      <w:pPr>
        <w:spacing w:line="360" w:lineRule="auto"/>
      </w:pPr>
    </w:p>
    <w:p w:rsidR="002151EA" w:rsidRDefault="002151EA" w:rsidP="002151EA">
      <w:pPr>
        <w:spacing w:line="360" w:lineRule="auto"/>
      </w:pPr>
      <w:r>
        <w:tab/>
      </w:r>
      <w:r>
        <w:tab/>
        <w:t xml:space="preserve">The VoIP Symmetry Rule states that a local exchange carrier (LEC) may charge the relevant </w:t>
      </w:r>
      <w:proofErr w:type="spellStart"/>
      <w:r>
        <w:t>intercarrier</w:t>
      </w:r>
      <w:proofErr w:type="spellEnd"/>
      <w:r>
        <w:t xml:space="preserve"> compensation for functions performed by it and/or by its retail VoIP partner, regardless of whether the functions performed or the technology used correspond precisely to those used under a traditional TDM architecture.</w:t>
      </w:r>
      <w:r>
        <w:rPr>
          <w:rStyle w:val="FootnoteReference"/>
        </w:rPr>
        <w:footnoteReference w:id="7"/>
      </w:r>
      <w:r>
        <w:t xml:space="preserve">  Core states that, in accordance with the </w:t>
      </w:r>
      <w:r>
        <w:rPr>
          <w:i/>
        </w:rPr>
        <w:t xml:space="preserve">ICC Transformation Order, </w:t>
      </w:r>
      <w:r>
        <w:t>Core revised its FCC and Pennsylvania switched access tariffs to explicitly list the charges for VoIP-PSTN traffic.</w:t>
      </w:r>
      <w:r>
        <w:rPr>
          <w:rStyle w:val="FootnoteReference"/>
        </w:rPr>
        <w:footnoteReference w:id="8"/>
      </w:r>
      <w:r w:rsidR="000161EA">
        <w:t xml:space="preserve">  Core MBR at 8.  </w:t>
      </w:r>
    </w:p>
    <w:p w:rsidR="002151EA" w:rsidRDefault="002151EA" w:rsidP="002151EA">
      <w:pPr>
        <w:spacing w:line="360" w:lineRule="auto"/>
      </w:pPr>
    </w:p>
    <w:p w:rsidR="002151EA" w:rsidRDefault="002151EA" w:rsidP="002151EA">
      <w:pPr>
        <w:spacing w:line="360" w:lineRule="auto"/>
      </w:pPr>
      <w:r>
        <w:tab/>
      </w:r>
      <w:r>
        <w:tab/>
        <w:t xml:space="preserve">In its Reply Brief, Core argues that the </w:t>
      </w:r>
      <w:proofErr w:type="spellStart"/>
      <w:r>
        <w:rPr>
          <w:i/>
        </w:rPr>
        <w:t>CoreTel</w:t>
      </w:r>
      <w:proofErr w:type="spellEnd"/>
      <w:r>
        <w:rPr>
          <w:i/>
        </w:rPr>
        <w:t xml:space="preserve"> VA</w:t>
      </w:r>
      <w:r>
        <w:t xml:space="preserve"> decision does not support Verizon's argument, that Core's switched access tariffs fully authorize charges for VoIP traffic, and, that jurisdictional access rates for VoIP traffic vary over time.</w:t>
      </w:r>
    </w:p>
    <w:p w:rsidR="002151EA" w:rsidRDefault="002151EA" w:rsidP="002151EA">
      <w:pPr>
        <w:spacing w:line="360" w:lineRule="auto"/>
      </w:pPr>
    </w:p>
    <w:p w:rsidR="002151EA" w:rsidRDefault="002151EA" w:rsidP="002151EA">
      <w:pPr>
        <w:spacing w:line="360" w:lineRule="auto"/>
      </w:pPr>
      <w:r>
        <w:lastRenderedPageBreak/>
        <w:tab/>
      </w:r>
      <w:r>
        <w:tab/>
        <w:t xml:space="preserve">Core distinguishes the </w:t>
      </w:r>
      <w:proofErr w:type="spellStart"/>
      <w:r>
        <w:rPr>
          <w:i/>
        </w:rPr>
        <w:t>CoreTel</w:t>
      </w:r>
      <w:proofErr w:type="spellEnd"/>
      <w:r>
        <w:rPr>
          <w:i/>
        </w:rPr>
        <w:t xml:space="preserve"> VA</w:t>
      </w:r>
      <w:r>
        <w:t xml:space="preserve"> case from the present case by pointing out that the Court there found that the language of </w:t>
      </w:r>
      <w:proofErr w:type="spellStart"/>
      <w:r>
        <w:t>CoreTel's</w:t>
      </w:r>
      <w:proofErr w:type="spellEnd"/>
      <w:r>
        <w:t xml:space="preserve"> end-office switching service does not permit that specific tariff rate to be applied when </w:t>
      </w:r>
      <w:proofErr w:type="spellStart"/>
      <w:r>
        <w:t>CoreTel</w:t>
      </w:r>
      <w:proofErr w:type="spellEnd"/>
      <w:r>
        <w:t xml:space="preserve"> delivers calls to customers over the public internet rather than using a physical facility owned by </w:t>
      </w:r>
      <w:proofErr w:type="spellStart"/>
      <w:r>
        <w:t>CoreTel</w:t>
      </w:r>
      <w:proofErr w:type="spellEnd"/>
      <w:r>
        <w:t>.</w:t>
      </w:r>
      <w:r>
        <w:rPr>
          <w:rStyle w:val="FootnoteReference"/>
        </w:rPr>
        <w:footnoteReference w:id="9"/>
      </w:r>
      <w:r>
        <w:t xml:space="preserve">  In the present case, Core delivers calls to its ISP and CSC customers' servers over physical connections owned and controlled by Core.  Core RB</w:t>
      </w:r>
      <w:r w:rsidR="000161EA">
        <w:t>R</w:t>
      </w:r>
      <w:r>
        <w:t xml:space="preserve"> at 11.</w:t>
      </w:r>
    </w:p>
    <w:p w:rsidR="002151EA" w:rsidRDefault="002151EA" w:rsidP="002151EA">
      <w:pPr>
        <w:spacing w:line="360" w:lineRule="auto"/>
      </w:pPr>
    </w:p>
    <w:p w:rsidR="002151EA" w:rsidRDefault="002151EA" w:rsidP="002151EA">
      <w:pPr>
        <w:spacing w:line="360" w:lineRule="auto"/>
      </w:pPr>
      <w:r>
        <w:tab/>
      </w:r>
      <w:r>
        <w:tab/>
        <w:t xml:space="preserve">Core argues further that, even if Core did not provide physical lines, the </w:t>
      </w:r>
      <w:r>
        <w:rPr>
          <w:i/>
        </w:rPr>
        <w:t>VoIP Symmetry Order</w:t>
      </w:r>
      <w:r>
        <w:t xml:space="preserve"> does not conclude that it would not apply to Core's tariffs, as the FCC did not review Core's tariffs or the underlying facts in </w:t>
      </w:r>
      <w:proofErr w:type="spellStart"/>
      <w:r>
        <w:rPr>
          <w:i/>
        </w:rPr>
        <w:t>CoreTel</w:t>
      </w:r>
      <w:proofErr w:type="spellEnd"/>
      <w:r>
        <w:rPr>
          <w:i/>
        </w:rPr>
        <w:t xml:space="preserve"> Virginia.  </w:t>
      </w:r>
      <w:r>
        <w:t>The FCC merely acknowledged that in some cases, a carrier may have failed to incorporate the VoIP Symmetry Rule into its tariffs.</w:t>
      </w:r>
      <w:r>
        <w:rPr>
          <w:rStyle w:val="FootnoteReference"/>
        </w:rPr>
        <w:footnoteReference w:id="10"/>
      </w:r>
      <w:r>
        <w:t xml:space="preserve">  </w:t>
      </w:r>
      <w:r w:rsidR="000161EA">
        <w:t xml:space="preserve">Core RBR at 11-13.  </w:t>
      </w:r>
    </w:p>
    <w:p w:rsidR="000161EA" w:rsidRDefault="000161EA" w:rsidP="002151EA">
      <w:pPr>
        <w:spacing w:line="360" w:lineRule="auto"/>
      </w:pPr>
    </w:p>
    <w:p w:rsidR="000161EA" w:rsidRDefault="000161EA" w:rsidP="002151EA">
      <w:pPr>
        <w:spacing w:line="360" w:lineRule="auto"/>
      </w:pPr>
      <w:r>
        <w:tab/>
      </w:r>
      <w:r>
        <w:tab/>
        <w:t xml:space="preserve">Core compares its billing to Verizon's regarding failure to incorporate VoIP language into tariffs after the </w:t>
      </w:r>
      <w:r>
        <w:rPr>
          <w:i/>
        </w:rPr>
        <w:t xml:space="preserve">ICC Transformation Order, </w:t>
      </w:r>
      <w:r w:rsidR="002921C9">
        <w:t>effective January 1, 2012, after which Core states that it revised its own tariffs to include language to include the FCC's VoIP-PSTN compensation regime.  Core states that Verizon did not change its own tariffs, although it continued to charge Core under those tariffs.  Core RBR at 13-14.  Core states:</w:t>
      </w:r>
    </w:p>
    <w:p w:rsidR="00CA19FB" w:rsidRDefault="00CA19FB" w:rsidP="00CA19FB"/>
    <w:p w:rsidR="002921C9" w:rsidRDefault="002921C9" w:rsidP="002921C9">
      <w:pPr>
        <w:ind w:left="1440" w:right="1440"/>
      </w:pPr>
      <w:r>
        <w:tab/>
        <w:t xml:space="preserve">Three of these four tariffs fail to reference "VOIP" traffic or even the term "Internet."  Only the fourth tariff (Verizon North's intrastate tariff) incorporates the FCC's VoIP rules to any degree.  This defect in three out of four referenced tariffs is glaring in this case because Verizon itself states that 100% of the traffic for which it billed Core was VOIP-originated.  Verizon, by its own argument, has failed to establish its entitlement to any compensation for Core's 100% VOIP traffic.  Should the Commission conclude that Core somehow failed to incorporation VOIP provisions into its tariffs, at the very </w:t>
      </w:r>
      <w:proofErr w:type="gramStart"/>
      <w:r>
        <w:t>least,</w:t>
      </w:r>
      <w:proofErr w:type="gramEnd"/>
      <w:r>
        <w:t xml:space="preserve"> the Commission must also then conclude that Verizon, too, has failed in this respect.</w:t>
      </w:r>
    </w:p>
    <w:p w:rsidR="002921C9" w:rsidRDefault="002921C9" w:rsidP="002151EA">
      <w:pPr>
        <w:spacing w:line="360" w:lineRule="auto"/>
      </w:pPr>
      <w:r>
        <w:t>Core RBR at 14 (footnotes omitted).</w:t>
      </w:r>
    </w:p>
    <w:p w:rsidR="002921C9" w:rsidRDefault="002921C9" w:rsidP="002151EA">
      <w:pPr>
        <w:spacing w:line="360" w:lineRule="auto"/>
      </w:pPr>
    </w:p>
    <w:p w:rsidR="002151EA" w:rsidRDefault="00D53EA7" w:rsidP="002151EA">
      <w:pPr>
        <w:spacing w:line="360" w:lineRule="auto"/>
      </w:pPr>
      <w:r>
        <w:lastRenderedPageBreak/>
        <w:tab/>
      </w:r>
      <w:r>
        <w:tab/>
      </w:r>
      <w:r w:rsidR="009B3030">
        <w:t>In addition, Core's switched access claims start in February 2009 and run through June, 2012.  Therefore, only six invoices, issued between January and June 2012, are arguably invalid under this claim.  Core RBR at 15.  This revision means that the total Core switched access claim is reduced to $2,168,706.12.  Core RBR at 16.</w:t>
      </w:r>
    </w:p>
    <w:p w:rsidR="00590E0C" w:rsidRDefault="00590E0C" w:rsidP="00590E0C">
      <w:pPr>
        <w:spacing w:line="360" w:lineRule="auto"/>
        <w:contextualSpacing/>
      </w:pPr>
    </w:p>
    <w:p w:rsidR="002151EA" w:rsidRDefault="000D7AE1" w:rsidP="002151EA">
      <w:pPr>
        <w:spacing w:line="360" w:lineRule="auto"/>
        <w:rPr>
          <w:b/>
        </w:rPr>
      </w:pPr>
      <w:r>
        <w:rPr>
          <w:b/>
        </w:rPr>
        <w:t>D.</w:t>
      </w:r>
      <w:r>
        <w:rPr>
          <w:b/>
        </w:rPr>
        <w:tab/>
      </w:r>
      <w:r w:rsidR="00973A12" w:rsidRPr="00973A12">
        <w:rPr>
          <w:b/>
        </w:rPr>
        <w:t>V</w:t>
      </w:r>
      <w:r w:rsidR="002151EA" w:rsidRPr="00973A12">
        <w:rPr>
          <w:b/>
        </w:rPr>
        <w:t>erizon</w:t>
      </w:r>
      <w:r w:rsidR="00973A12" w:rsidRPr="00973A12">
        <w:rPr>
          <w:b/>
        </w:rPr>
        <w:t>'s</w:t>
      </w:r>
      <w:r w:rsidR="00973A12">
        <w:rPr>
          <w:b/>
        </w:rPr>
        <w:t xml:space="preserve"> Argument</w:t>
      </w:r>
      <w:r>
        <w:rPr>
          <w:b/>
        </w:rPr>
        <w:fldChar w:fldCharType="begin"/>
      </w:r>
      <w:r>
        <w:instrText xml:space="preserve"> TC "</w:instrText>
      </w:r>
      <w:bookmarkStart w:id="15" w:name="_Toc438209674"/>
      <w:bookmarkStart w:id="16" w:name="_Toc438210391"/>
      <w:r w:rsidRPr="00551DE9">
        <w:rPr>
          <w:b/>
        </w:rPr>
        <w:instrText>D.</w:instrText>
      </w:r>
      <w:r w:rsidRPr="00551DE9">
        <w:rPr>
          <w:b/>
        </w:rPr>
        <w:tab/>
        <w:instrText>Verizon's Argument</w:instrText>
      </w:r>
      <w:bookmarkEnd w:id="15"/>
      <w:bookmarkEnd w:id="16"/>
      <w:r>
        <w:instrText xml:space="preserve">" \f C \l "2" </w:instrText>
      </w:r>
      <w:r>
        <w:rPr>
          <w:b/>
        </w:rPr>
        <w:fldChar w:fldCharType="end"/>
      </w:r>
    </w:p>
    <w:p w:rsidR="002151EA" w:rsidRDefault="002151EA" w:rsidP="002151EA">
      <w:pPr>
        <w:spacing w:line="360" w:lineRule="auto"/>
        <w:rPr>
          <w:b/>
        </w:rPr>
      </w:pPr>
    </w:p>
    <w:p w:rsidR="002151EA" w:rsidRDefault="002151EA" w:rsidP="002151EA">
      <w:pPr>
        <w:spacing w:line="360" w:lineRule="auto"/>
      </w:pPr>
      <w:r>
        <w:rPr>
          <w:b/>
        </w:rPr>
        <w:tab/>
      </w:r>
      <w:r>
        <w:rPr>
          <w:b/>
        </w:rPr>
        <w:tab/>
      </w:r>
      <w:r w:rsidRPr="00AD334C">
        <w:t>Verizon</w:t>
      </w:r>
      <w:r>
        <w:t xml:space="preserve"> argues that the </w:t>
      </w:r>
      <w:r>
        <w:rPr>
          <w:i/>
        </w:rPr>
        <w:t>VoIP Symmetry Order</w:t>
      </w:r>
      <w:r>
        <w:t xml:space="preserve"> does not alter the conclusion in the Initial Decision that Core has been overbilling Verizon for </w:t>
      </w:r>
      <w:proofErr w:type="spellStart"/>
      <w:r>
        <w:t>intercarrier</w:t>
      </w:r>
      <w:proofErr w:type="spellEnd"/>
      <w:r>
        <w:t xml:space="preserve"> compensation while withholding payment on valid invoices for the wholesale services that Verizon provides to Core.</w:t>
      </w:r>
      <w:r w:rsidRPr="00AD334C">
        <w:tab/>
      </w:r>
    </w:p>
    <w:p w:rsidR="002151EA" w:rsidRDefault="002151EA" w:rsidP="002151EA">
      <w:pPr>
        <w:spacing w:line="360" w:lineRule="auto"/>
      </w:pPr>
    </w:p>
    <w:p w:rsidR="002151EA" w:rsidRPr="00371B81" w:rsidRDefault="002151EA" w:rsidP="002151EA">
      <w:pPr>
        <w:spacing w:line="360" w:lineRule="auto"/>
        <w:rPr>
          <w:i/>
        </w:rPr>
      </w:pPr>
      <w:r>
        <w:tab/>
      </w:r>
      <w:r>
        <w:tab/>
        <w:t xml:space="preserve">Verizon's Main Brief begins with a discussion of the intent of the </w:t>
      </w:r>
    </w:p>
    <w:p w:rsidR="002151EA" w:rsidRDefault="002151EA" w:rsidP="002151EA">
      <w:pPr>
        <w:spacing w:line="360" w:lineRule="auto"/>
      </w:pPr>
      <w:r w:rsidRPr="00371B81">
        <w:rPr>
          <w:i/>
        </w:rPr>
        <w:t>VoIP Symmetry Order</w:t>
      </w:r>
      <w:r>
        <w:t xml:space="preserve">, acknowledging that its purpose was to resolve industry disputes over what constituted the functional equivalent of end office switching as referenced in the rule, and pointing out that the </w:t>
      </w:r>
      <w:r w:rsidRPr="00371B81">
        <w:rPr>
          <w:i/>
        </w:rPr>
        <w:t>VoIP Symmetry Order</w:t>
      </w:r>
      <w:r>
        <w:t xml:space="preserve"> states that the specific terms of a carrier's tariff ultimately governs whether switched access charges are due on VoIP traffic.  </w:t>
      </w:r>
      <w:proofErr w:type="gramStart"/>
      <w:r w:rsidRPr="00371B81">
        <w:rPr>
          <w:i/>
        </w:rPr>
        <w:t>VoIP Symmetry Order</w:t>
      </w:r>
      <w:r>
        <w:rPr>
          <w:i/>
        </w:rPr>
        <w:t xml:space="preserve"> </w:t>
      </w:r>
      <w:r>
        <w:t>¶ 18, FN 54; VZ MB</w:t>
      </w:r>
      <w:r w:rsidR="00A1544A">
        <w:t>R</w:t>
      </w:r>
      <w:r>
        <w:t xml:space="preserve"> at 4.</w:t>
      </w:r>
      <w:proofErr w:type="gramEnd"/>
      <w:r>
        <w:t xml:space="preserve">  </w:t>
      </w:r>
    </w:p>
    <w:p w:rsidR="002151EA" w:rsidRDefault="002151EA" w:rsidP="002151EA">
      <w:pPr>
        <w:spacing w:line="360" w:lineRule="auto"/>
      </w:pPr>
    </w:p>
    <w:p w:rsidR="002151EA" w:rsidRDefault="002151EA" w:rsidP="002151EA">
      <w:pPr>
        <w:spacing w:line="360" w:lineRule="auto"/>
      </w:pPr>
      <w:r>
        <w:tab/>
      </w:r>
      <w:r>
        <w:tab/>
        <w:t xml:space="preserve">Verizon contends that the </w:t>
      </w:r>
      <w:r w:rsidRPr="00371B81">
        <w:rPr>
          <w:i/>
        </w:rPr>
        <w:t>VoIP Symmetry Order</w:t>
      </w:r>
      <w:r>
        <w:t xml:space="preserve"> does not alter the Initial Decision's reasoning and conclusion that Core's switched access back bills should be rejected for two reasons:  (1) the bills were rejected for reasons independent of the </w:t>
      </w:r>
      <w:r w:rsidRPr="00371B81">
        <w:rPr>
          <w:i/>
        </w:rPr>
        <w:t>VoIP Symmetry Order</w:t>
      </w:r>
      <w:r>
        <w:t xml:space="preserve">, and (2) the </w:t>
      </w:r>
      <w:r w:rsidRPr="00371B81">
        <w:rPr>
          <w:i/>
        </w:rPr>
        <w:t>VoIP Symmetry Order</w:t>
      </w:r>
      <w:r>
        <w:t xml:space="preserve"> itself does not apply to change the outcome.</w:t>
      </w:r>
    </w:p>
    <w:p w:rsidR="002151EA" w:rsidRDefault="002151EA" w:rsidP="002151EA">
      <w:pPr>
        <w:spacing w:line="360" w:lineRule="auto"/>
      </w:pPr>
    </w:p>
    <w:p w:rsidR="002151EA" w:rsidRDefault="002151EA" w:rsidP="002151EA">
      <w:pPr>
        <w:spacing w:line="360" w:lineRule="auto"/>
      </w:pPr>
      <w:r>
        <w:tab/>
      </w:r>
      <w:r>
        <w:tab/>
        <w:t xml:space="preserve">Verizon argues that the conclusion in the Initial Decision that Core had billed Verizon for switched access for traffic originated by IXCs, which should be billable to those IXCs, not to Verizon, ID at 14, proves fatal to Core's claim.  Even if Core were found to be theoretically entitled to bill switched access charges on some amount of traffic, it billed the wrong party.  </w:t>
      </w:r>
      <w:proofErr w:type="gramStart"/>
      <w:r>
        <w:t>VZ MB</w:t>
      </w:r>
      <w:r w:rsidR="00A1544A">
        <w:t>R</w:t>
      </w:r>
      <w:r>
        <w:t xml:space="preserve"> at 5.</w:t>
      </w:r>
      <w:proofErr w:type="gramEnd"/>
      <w:r>
        <w:t xml:space="preserve">  </w:t>
      </w:r>
    </w:p>
    <w:p w:rsidR="002151EA" w:rsidRDefault="002151EA" w:rsidP="002151EA">
      <w:pPr>
        <w:spacing w:line="360" w:lineRule="auto"/>
      </w:pPr>
    </w:p>
    <w:p w:rsidR="002151EA" w:rsidRDefault="002151EA" w:rsidP="002151EA">
      <w:pPr>
        <w:spacing w:line="360" w:lineRule="auto"/>
      </w:pPr>
      <w:r>
        <w:tab/>
      </w:r>
      <w:r>
        <w:tab/>
        <w:t xml:space="preserve">In addition, the ID found that the system used by Core to determine its back bills was flawed and unreliable.  Therefore, even if Core were entitled to bill switched access, Core </w:t>
      </w:r>
      <w:r>
        <w:lastRenderedPageBreak/>
        <w:t xml:space="preserve">failed to meet its burden of proof on the reliability of the over $2.5 million in back-bills it seeks to collect.  </w:t>
      </w:r>
      <w:proofErr w:type="gramStart"/>
      <w:r>
        <w:t>ID at 14; VZ MB</w:t>
      </w:r>
      <w:r w:rsidR="00A1544A">
        <w:t>R</w:t>
      </w:r>
      <w:r>
        <w:t xml:space="preserve"> at 6.</w:t>
      </w:r>
      <w:proofErr w:type="gramEnd"/>
    </w:p>
    <w:p w:rsidR="002151EA" w:rsidRDefault="002151EA" w:rsidP="002151EA">
      <w:pPr>
        <w:spacing w:line="360" w:lineRule="auto"/>
      </w:pPr>
    </w:p>
    <w:p w:rsidR="002151EA" w:rsidRDefault="002151EA" w:rsidP="002151EA">
      <w:pPr>
        <w:spacing w:line="360" w:lineRule="auto"/>
      </w:pPr>
      <w:r>
        <w:tab/>
      </w:r>
      <w:r>
        <w:tab/>
        <w:t xml:space="preserve">Further, the ID states that Core's switched access bills are too flawed and unreliable to support its claim.  In other words, the evidence submitted by Core was insufficient to sustain its burden of proving a prima facie case, and the evaluation of its Complaint need go no further.  The question of whether its function might be aided by the </w:t>
      </w:r>
      <w:r>
        <w:rPr>
          <w:i/>
        </w:rPr>
        <w:t>VoIP Symmetry Order</w:t>
      </w:r>
      <w:r>
        <w:t xml:space="preserve"> is never reached.  </w:t>
      </w:r>
      <w:proofErr w:type="gramStart"/>
      <w:r>
        <w:t>VZ MB</w:t>
      </w:r>
      <w:r w:rsidR="00A1544A">
        <w:t>R</w:t>
      </w:r>
      <w:r>
        <w:t xml:space="preserve"> at 6.</w:t>
      </w:r>
      <w:proofErr w:type="gramEnd"/>
      <w:r>
        <w:t xml:space="preserve">  </w:t>
      </w:r>
    </w:p>
    <w:p w:rsidR="002151EA" w:rsidRDefault="002151EA" w:rsidP="002151EA">
      <w:pPr>
        <w:spacing w:line="360" w:lineRule="auto"/>
      </w:pPr>
    </w:p>
    <w:p w:rsidR="002151EA" w:rsidRDefault="002151EA" w:rsidP="002151EA">
      <w:pPr>
        <w:spacing w:line="360" w:lineRule="auto"/>
      </w:pPr>
      <w:r>
        <w:tab/>
      </w:r>
      <w:r>
        <w:tab/>
      </w:r>
      <w:proofErr w:type="gramStart"/>
      <w:r>
        <w:t>Finally, but importantly, Core's intrastate tariff precludes back-billing and the Commission lacks jurisdiction over Core's back-bills for interstate access charges.</w:t>
      </w:r>
      <w:proofErr w:type="gramEnd"/>
      <w:r>
        <w:t xml:space="preserve">  </w:t>
      </w:r>
      <w:proofErr w:type="gramStart"/>
      <w:r>
        <w:t>VZ MB</w:t>
      </w:r>
      <w:r w:rsidR="00A1544A">
        <w:t>R</w:t>
      </w:r>
      <w:r>
        <w:t xml:space="preserve"> at 7.</w:t>
      </w:r>
      <w:proofErr w:type="gramEnd"/>
      <w:r>
        <w:t xml:space="preserve">  </w:t>
      </w:r>
    </w:p>
    <w:p w:rsidR="002151EA" w:rsidRDefault="002151EA" w:rsidP="002151EA">
      <w:pPr>
        <w:spacing w:line="360" w:lineRule="auto"/>
      </w:pPr>
    </w:p>
    <w:p w:rsidR="002151EA" w:rsidRDefault="002151EA" w:rsidP="002151EA">
      <w:pPr>
        <w:spacing w:line="360" w:lineRule="auto"/>
      </w:pPr>
      <w:r>
        <w:tab/>
      </w:r>
      <w:r>
        <w:tab/>
        <w:t xml:space="preserve">Verizon points out that Core admitted at hearing that it could not determine what portion of the traffic is VoIP, and the </w:t>
      </w:r>
      <w:r>
        <w:rPr>
          <w:i/>
        </w:rPr>
        <w:t>VoIP Symmetry Order</w:t>
      </w:r>
      <w:r>
        <w:t xml:space="preserve"> applies only to traffic that originates and/or terminated in IP format.  </w:t>
      </w:r>
      <w:proofErr w:type="gramStart"/>
      <w:r>
        <w:t>VZ MB</w:t>
      </w:r>
      <w:r w:rsidR="00A1544A">
        <w:t>R</w:t>
      </w:r>
      <w:r>
        <w:t xml:space="preserve"> at 7.</w:t>
      </w:r>
      <w:proofErr w:type="gramEnd"/>
      <w:r>
        <w:t xml:space="preserve">  </w:t>
      </w:r>
    </w:p>
    <w:p w:rsidR="002151EA" w:rsidRDefault="002151EA" w:rsidP="002151EA">
      <w:pPr>
        <w:spacing w:line="360" w:lineRule="auto"/>
      </w:pPr>
    </w:p>
    <w:p w:rsidR="002151EA" w:rsidRDefault="002151EA" w:rsidP="002151EA">
      <w:pPr>
        <w:spacing w:line="360" w:lineRule="auto"/>
      </w:pPr>
      <w:r>
        <w:tab/>
      </w:r>
      <w:r>
        <w:tab/>
        <w:t xml:space="preserve">Verizon cites to the </w:t>
      </w:r>
      <w:proofErr w:type="spellStart"/>
      <w:r>
        <w:rPr>
          <w:i/>
        </w:rPr>
        <w:t>CoreTel</w:t>
      </w:r>
      <w:proofErr w:type="spellEnd"/>
      <w:r>
        <w:rPr>
          <w:i/>
        </w:rPr>
        <w:t xml:space="preserve"> Virginia</w:t>
      </w:r>
      <w:r>
        <w:t xml:space="preserve"> decision, which ultimately concluded that the </w:t>
      </w:r>
      <w:r w:rsidRPr="00F762AA">
        <w:t xml:space="preserve">VoIP Symmetry </w:t>
      </w:r>
      <w:r>
        <w:t xml:space="preserve">rule did not apply because the language of the tariff controlled.  </w:t>
      </w:r>
      <w:r>
        <w:rPr>
          <w:i/>
        </w:rPr>
        <w:t>VoIP Symmetry Order</w:t>
      </w:r>
      <w:r>
        <w:t xml:space="preserve"> ¶¶ 19, 39-40; VZ MB</w:t>
      </w:r>
      <w:r w:rsidR="00A1544A">
        <w:t>R</w:t>
      </w:r>
      <w:r>
        <w:t xml:space="preserve"> at 8-9.  </w:t>
      </w:r>
    </w:p>
    <w:p w:rsidR="002151EA" w:rsidRDefault="002151EA" w:rsidP="002151EA">
      <w:pPr>
        <w:spacing w:line="360" w:lineRule="auto"/>
      </w:pPr>
    </w:p>
    <w:p w:rsidR="002151EA" w:rsidRDefault="002151EA" w:rsidP="002151EA">
      <w:pPr>
        <w:spacing w:line="360" w:lineRule="auto"/>
      </w:pPr>
      <w:r>
        <w:tab/>
      </w:r>
      <w:r>
        <w:tab/>
        <w:t xml:space="preserve">In addition, the </w:t>
      </w:r>
      <w:r>
        <w:rPr>
          <w:i/>
        </w:rPr>
        <w:t>VoIP Symmetry Order</w:t>
      </w:r>
      <w:r>
        <w:t xml:space="preserve"> acknowledged the Fourth Circuit's decision rejecting </w:t>
      </w:r>
      <w:proofErr w:type="spellStart"/>
      <w:r>
        <w:t>CoreTel</w:t>
      </w:r>
      <w:proofErr w:type="spellEnd"/>
      <w:r>
        <w:t xml:space="preserve"> Virginia's attempt to </w:t>
      </w:r>
      <w:r w:rsidR="00272C35">
        <w:t>b</w:t>
      </w:r>
      <w:r>
        <w:t>ill Verizon's Virginia affiliates switched access charges base</w:t>
      </w:r>
      <w:r w:rsidR="00A1544A">
        <w:t>d</w:t>
      </w:r>
      <w:r>
        <w:t xml:space="preserve"> on the same tariff language at issue here, and concluded that the </w:t>
      </w:r>
      <w:r>
        <w:rPr>
          <w:i/>
        </w:rPr>
        <w:t>VoIP Symmetry Order</w:t>
      </w:r>
      <w:r>
        <w:t xml:space="preserve"> did not apply because the language of the t</w:t>
      </w:r>
      <w:r w:rsidR="00A1544A">
        <w:t xml:space="preserve">ariff controlled.   The </w:t>
      </w:r>
      <w:proofErr w:type="spellStart"/>
      <w:r w:rsidR="00A1544A" w:rsidRPr="00A1544A">
        <w:rPr>
          <w:i/>
        </w:rPr>
        <w:t>CoreTel</w:t>
      </w:r>
      <w:proofErr w:type="spellEnd"/>
      <w:r w:rsidRPr="00A1544A">
        <w:rPr>
          <w:i/>
        </w:rPr>
        <w:t xml:space="preserve"> V</w:t>
      </w:r>
      <w:r w:rsidR="00A1544A">
        <w:rPr>
          <w:i/>
        </w:rPr>
        <w:t>A</w:t>
      </w:r>
      <w:r>
        <w:t xml:space="preserve"> case also states that a carrier cannot use the </w:t>
      </w:r>
      <w:r>
        <w:rPr>
          <w:i/>
        </w:rPr>
        <w:t xml:space="preserve">VoIP Symmetry </w:t>
      </w:r>
      <w:r w:rsidRPr="00BE6637">
        <w:t xml:space="preserve">Order to bill for functions not described in its tariffs.  </w:t>
      </w:r>
      <w:proofErr w:type="spellStart"/>
      <w:proofErr w:type="gramStart"/>
      <w:r w:rsidR="00A04236">
        <w:rPr>
          <w:i/>
        </w:rPr>
        <w:t>CoreTel</w:t>
      </w:r>
      <w:proofErr w:type="spellEnd"/>
      <w:r>
        <w:rPr>
          <w:i/>
        </w:rPr>
        <w:t xml:space="preserve"> Virginia </w:t>
      </w:r>
      <w:r>
        <w:t>at 374.</w:t>
      </w:r>
      <w:proofErr w:type="gramEnd"/>
      <w:r>
        <w:t xml:space="preserve">  Verizon points out that the Core affiliates all use the same FCC language, which is then identical to that evaluated by the Fourth Circuit Court of Appeals.  </w:t>
      </w:r>
      <w:proofErr w:type="gramStart"/>
      <w:r>
        <w:t>VZ MB</w:t>
      </w:r>
      <w:r w:rsidR="00A1544A">
        <w:t>R</w:t>
      </w:r>
      <w:r>
        <w:t xml:space="preserve"> at 10.</w:t>
      </w:r>
      <w:proofErr w:type="gramEnd"/>
    </w:p>
    <w:p w:rsidR="002151EA" w:rsidRDefault="002151EA" w:rsidP="002151EA">
      <w:pPr>
        <w:spacing w:line="360" w:lineRule="auto"/>
      </w:pPr>
    </w:p>
    <w:p w:rsidR="002151EA" w:rsidRDefault="002151EA" w:rsidP="002151EA">
      <w:pPr>
        <w:spacing w:line="360" w:lineRule="auto"/>
      </w:pPr>
      <w:r>
        <w:tab/>
      </w:r>
      <w:r>
        <w:tab/>
        <w:t xml:space="preserve">As Verizon explains, the specific governs the general, and the </w:t>
      </w:r>
      <w:r>
        <w:rPr>
          <w:i/>
        </w:rPr>
        <w:t>VoIP Symmetry Order</w:t>
      </w:r>
      <w:r>
        <w:t xml:space="preserve"> covers only the general and does not mean that charges for end office switching are due in </w:t>
      </w:r>
      <w:r>
        <w:lastRenderedPageBreak/>
        <w:t xml:space="preserve">every circumstance because such charges are governed by applicable tariffs.  Verizon claims that Core does not provide the end office switching service described in its tariffs and is precluded from collecting switched access charges on VoIP traffic from Verizon.  </w:t>
      </w:r>
      <w:proofErr w:type="gramStart"/>
      <w:r>
        <w:t>VZ MB</w:t>
      </w:r>
      <w:r w:rsidR="00A1544A">
        <w:t>R</w:t>
      </w:r>
      <w:r>
        <w:t xml:space="preserve"> at 11.</w:t>
      </w:r>
      <w:proofErr w:type="gramEnd"/>
    </w:p>
    <w:p w:rsidR="002151EA" w:rsidRDefault="002151EA" w:rsidP="002151EA">
      <w:pPr>
        <w:spacing w:line="360" w:lineRule="auto"/>
      </w:pPr>
    </w:p>
    <w:p w:rsidR="002151EA" w:rsidRDefault="002151EA" w:rsidP="002151EA">
      <w:pPr>
        <w:spacing w:line="360" w:lineRule="auto"/>
      </w:pPr>
      <w:r>
        <w:tab/>
      </w:r>
      <w:r>
        <w:tab/>
        <w:t xml:space="preserve">In its Reply Brief, Verizon repeats that there are three fundamental points that are fatal to Core's claims:  the ID rejected Core's switched access bills for independent reasons unaffected by the </w:t>
      </w:r>
      <w:r>
        <w:rPr>
          <w:i/>
        </w:rPr>
        <w:t>VoIP Symmetry Order</w:t>
      </w:r>
      <w:r>
        <w:t xml:space="preserve">, and are not eligible for </w:t>
      </w:r>
      <w:proofErr w:type="spellStart"/>
      <w:r>
        <w:t>reargument</w:t>
      </w:r>
      <w:proofErr w:type="spellEnd"/>
      <w:r>
        <w:t xml:space="preserve"> here; Core cannot quantify what portion of the back-billed traffic is VoIP; and the </w:t>
      </w:r>
      <w:r>
        <w:rPr>
          <w:i/>
        </w:rPr>
        <w:t>VoIP Symmetry Order</w:t>
      </w:r>
      <w:r>
        <w:t xml:space="preserve"> confirms that carriers may not collect switched access charges if they do not provide the service described in their tariffs, which precludes Core's switched access billing here.  VZ RB</w:t>
      </w:r>
      <w:r w:rsidR="00A1544A">
        <w:t>R</w:t>
      </w:r>
      <w:r>
        <w:t xml:space="preserve"> at 1-2.  </w:t>
      </w:r>
    </w:p>
    <w:p w:rsidR="002151EA" w:rsidRDefault="002151EA" w:rsidP="002151EA">
      <w:pPr>
        <w:spacing w:line="360" w:lineRule="auto"/>
      </w:pPr>
    </w:p>
    <w:p w:rsidR="00590E0C" w:rsidRDefault="000D7AE1" w:rsidP="00590E0C">
      <w:pPr>
        <w:spacing w:line="360" w:lineRule="auto"/>
        <w:rPr>
          <w:b/>
        </w:rPr>
      </w:pPr>
      <w:r>
        <w:rPr>
          <w:b/>
        </w:rPr>
        <w:t>E.</w:t>
      </w:r>
      <w:r>
        <w:rPr>
          <w:b/>
        </w:rPr>
        <w:tab/>
      </w:r>
      <w:r w:rsidR="00973A12" w:rsidRPr="00973A12">
        <w:rPr>
          <w:b/>
        </w:rPr>
        <w:t>Analysis</w:t>
      </w:r>
      <w:r>
        <w:rPr>
          <w:b/>
        </w:rPr>
        <w:fldChar w:fldCharType="begin"/>
      </w:r>
      <w:r>
        <w:instrText xml:space="preserve"> TC "</w:instrText>
      </w:r>
      <w:bookmarkStart w:id="17" w:name="_Toc438209675"/>
      <w:bookmarkStart w:id="18" w:name="_Toc438210392"/>
      <w:r w:rsidRPr="00271155">
        <w:rPr>
          <w:b/>
        </w:rPr>
        <w:instrText>E.</w:instrText>
      </w:r>
      <w:r w:rsidRPr="00271155">
        <w:rPr>
          <w:b/>
        </w:rPr>
        <w:tab/>
        <w:instrText>Analysis</w:instrText>
      </w:r>
      <w:bookmarkEnd w:id="17"/>
      <w:bookmarkEnd w:id="18"/>
      <w:r>
        <w:instrText xml:space="preserve">" \f C \l "2" </w:instrText>
      </w:r>
      <w:r>
        <w:rPr>
          <w:b/>
        </w:rPr>
        <w:fldChar w:fldCharType="end"/>
      </w:r>
    </w:p>
    <w:p w:rsidR="00D53EA7" w:rsidRPr="00973A12" w:rsidRDefault="00D53EA7" w:rsidP="00590E0C">
      <w:pPr>
        <w:spacing w:line="360" w:lineRule="auto"/>
        <w:rPr>
          <w:b/>
        </w:rPr>
      </w:pPr>
    </w:p>
    <w:p w:rsidR="00590E0C" w:rsidRPr="00973A12" w:rsidRDefault="00590E0C" w:rsidP="00590E0C">
      <w:pPr>
        <w:spacing w:line="360" w:lineRule="auto"/>
        <w:rPr>
          <w:b/>
        </w:rPr>
      </w:pPr>
      <w:r w:rsidRPr="00973A12">
        <w:rPr>
          <w:b/>
        </w:rPr>
        <w:tab/>
      </w:r>
      <w:r w:rsidR="00973A12" w:rsidRPr="00973A12">
        <w:rPr>
          <w:b/>
        </w:rPr>
        <w:t>1.</w:t>
      </w:r>
      <w:r w:rsidR="002151EA" w:rsidRPr="00973A12">
        <w:rPr>
          <w:b/>
        </w:rPr>
        <w:tab/>
      </w:r>
      <w:r w:rsidR="00973A12" w:rsidRPr="00973A12">
        <w:rPr>
          <w:b/>
        </w:rPr>
        <w:t>Issues</w:t>
      </w:r>
      <w:r w:rsidR="009805D5">
        <w:rPr>
          <w:b/>
        </w:rPr>
        <w:fldChar w:fldCharType="begin"/>
      </w:r>
      <w:r w:rsidR="009805D5">
        <w:instrText xml:space="preserve"> TC "</w:instrText>
      </w:r>
      <w:bookmarkStart w:id="19" w:name="_Toc438209068"/>
      <w:bookmarkStart w:id="20" w:name="_Toc438209160"/>
      <w:bookmarkStart w:id="21" w:name="_Toc438209676"/>
      <w:bookmarkStart w:id="22" w:name="_Toc438210393"/>
      <w:r w:rsidR="009805D5" w:rsidRPr="00E6523F">
        <w:rPr>
          <w:b/>
        </w:rPr>
        <w:instrText>1.</w:instrText>
      </w:r>
      <w:r w:rsidR="009805D5" w:rsidRPr="00E6523F">
        <w:rPr>
          <w:b/>
        </w:rPr>
        <w:tab/>
        <w:instrText>Issues</w:instrText>
      </w:r>
      <w:bookmarkEnd w:id="19"/>
      <w:bookmarkEnd w:id="20"/>
      <w:bookmarkEnd w:id="21"/>
      <w:bookmarkEnd w:id="22"/>
      <w:r w:rsidR="009805D5">
        <w:instrText xml:space="preserve">" \f C \l "3" </w:instrText>
      </w:r>
      <w:r w:rsidR="009805D5">
        <w:rPr>
          <w:b/>
        </w:rPr>
        <w:fldChar w:fldCharType="end"/>
      </w:r>
    </w:p>
    <w:p w:rsidR="00590E0C" w:rsidRPr="00973A12" w:rsidRDefault="00590E0C" w:rsidP="00590E0C">
      <w:pPr>
        <w:spacing w:line="360" w:lineRule="auto"/>
        <w:rPr>
          <w:b/>
        </w:rPr>
      </w:pPr>
    </w:p>
    <w:p w:rsidR="002151EA" w:rsidRDefault="002151EA" w:rsidP="002151EA">
      <w:pPr>
        <w:spacing w:line="360" w:lineRule="auto"/>
        <w:ind w:firstLine="1440"/>
        <w:contextualSpacing/>
      </w:pPr>
      <w:r>
        <w:t>The Initial Decision described the claims as follows:</w:t>
      </w:r>
    </w:p>
    <w:p w:rsidR="002151EA" w:rsidRDefault="002151EA" w:rsidP="002151EA">
      <w:pPr>
        <w:spacing w:line="360" w:lineRule="auto"/>
        <w:ind w:firstLine="1440"/>
        <w:contextualSpacing/>
      </w:pPr>
    </w:p>
    <w:p w:rsidR="002151EA" w:rsidRPr="007853B5" w:rsidRDefault="002151EA" w:rsidP="002151EA">
      <w:pPr>
        <w:ind w:left="1440" w:right="1440"/>
      </w:pPr>
      <w:r>
        <w:tab/>
      </w:r>
      <w:r w:rsidRPr="007853B5">
        <w:t>Core has three counts, and alleges</w:t>
      </w:r>
      <w:r>
        <w:t xml:space="preserve">: </w:t>
      </w:r>
      <w:r w:rsidRPr="007853B5">
        <w:t xml:space="preserve">(1) that Verizon has violated the ICAs by refusing to pay reciprocal compensation bills; (2) that Verizon has violated the ICAs and Core's switched access tariffs by refusing to pay switched access fees for traffic it surreptitiously sent to Core over </w:t>
      </w:r>
      <w:r>
        <w:t>L</w:t>
      </w:r>
      <w:r w:rsidRPr="007853B5">
        <w:t xml:space="preserve">ocal </w:t>
      </w:r>
      <w:r>
        <w:t>I</w:t>
      </w:r>
      <w:r w:rsidRPr="007853B5">
        <w:t xml:space="preserve">nterconnections </w:t>
      </w:r>
      <w:r>
        <w:t>T</w:t>
      </w:r>
      <w:r w:rsidRPr="007853B5">
        <w:t xml:space="preserve">runk </w:t>
      </w:r>
      <w:r>
        <w:t>G</w:t>
      </w:r>
      <w:r w:rsidRPr="007853B5">
        <w:t xml:space="preserve">roups; and (3) that Verizon has failed to comply with the </w:t>
      </w:r>
      <w:r>
        <w:t>"</w:t>
      </w:r>
      <w:r w:rsidRPr="007853B5">
        <w:t>mirroring</w:t>
      </w:r>
      <w:r>
        <w:t>"</w:t>
      </w:r>
      <w:r w:rsidRPr="007853B5">
        <w:t xml:space="preserve"> rule that originated in the FCC's 2001 </w:t>
      </w:r>
      <w:r w:rsidRPr="007853B5">
        <w:rPr>
          <w:i/>
        </w:rPr>
        <w:t>ISP Remand Order</w:t>
      </w:r>
      <w:r w:rsidRPr="007853B5">
        <w:t xml:space="preserve">, which was incorporated into the Core/Verizon PA ICA by Commission Order.  </w:t>
      </w:r>
      <w:proofErr w:type="gramStart"/>
      <w:r w:rsidRPr="007853B5">
        <w:t>Amended Complaint; Core Stmt. 2 at 1.</w:t>
      </w:r>
      <w:proofErr w:type="gramEnd"/>
    </w:p>
    <w:p w:rsidR="002151EA" w:rsidRPr="007853B5" w:rsidRDefault="002151EA" w:rsidP="002151EA">
      <w:pPr>
        <w:ind w:left="1440" w:right="1440"/>
      </w:pPr>
    </w:p>
    <w:p w:rsidR="002151EA" w:rsidRPr="007853B5" w:rsidRDefault="002151EA" w:rsidP="002151EA">
      <w:pPr>
        <w:ind w:left="1440" w:right="1440"/>
      </w:pPr>
      <w:r w:rsidRPr="007853B5">
        <w:tab/>
        <w:t>In addition to disputing the Core averments, Verizon has four</w:t>
      </w:r>
      <w:r>
        <w:t xml:space="preserve"> counterclaims: </w:t>
      </w:r>
      <w:r w:rsidRPr="007853B5">
        <w:t xml:space="preserve">(1) that Core must compensate Verizon for use of Verizon's facilities and services to serve its ISP and conference calling service customers; (2) that Core is grossly overcharging Verizon for traffic termination by charging for traffic that does not originate with Verizon's customers; and (3) that Core has not paid for directory listing services in the amount of $32,685.92; and (4) that Core is collecting tens of millions of dollars from Verizon for reciprocal compensation payments through a contorted </w:t>
      </w:r>
      <w:r>
        <w:t>methodology</w:t>
      </w:r>
      <w:r w:rsidRPr="007853B5">
        <w:t xml:space="preserve"> misconstruing the FCC's </w:t>
      </w:r>
      <w:r w:rsidRPr="007853B5">
        <w:rPr>
          <w:i/>
        </w:rPr>
        <w:t>ISP Remand Order.</w:t>
      </w:r>
      <w:r w:rsidRPr="007853B5">
        <w:t xml:space="preserve">  VZ Stmt. 1.0 at 5-6.</w:t>
      </w:r>
    </w:p>
    <w:p w:rsidR="002151EA" w:rsidRPr="007853B5" w:rsidRDefault="002151EA" w:rsidP="002151EA"/>
    <w:p w:rsidR="002151EA" w:rsidRDefault="002151EA" w:rsidP="002151EA">
      <w:pPr>
        <w:spacing w:line="360" w:lineRule="auto"/>
        <w:contextualSpacing/>
      </w:pPr>
      <w:proofErr w:type="gramStart"/>
      <w:r>
        <w:lastRenderedPageBreak/>
        <w:t>Initial Decision at 21.</w:t>
      </w:r>
      <w:proofErr w:type="gramEnd"/>
      <w:r>
        <w:t xml:space="preserve">  </w:t>
      </w:r>
    </w:p>
    <w:p w:rsidR="00A1544A" w:rsidRDefault="00A1544A" w:rsidP="002151EA">
      <w:pPr>
        <w:spacing w:line="360" w:lineRule="auto"/>
        <w:contextualSpacing/>
      </w:pPr>
    </w:p>
    <w:p w:rsidR="002151EA" w:rsidRPr="007853B5" w:rsidRDefault="00973A12" w:rsidP="002151EA">
      <w:pPr>
        <w:rPr>
          <w:b/>
        </w:rPr>
      </w:pPr>
      <w:r>
        <w:rPr>
          <w:b/>
        </w:rPr>
        <w:tab/>
        <w:t>2.</w:t>
      </w:r>
      <w:r>
        <w:rPr>
          <w:b/>
        </w:rPr>
        <w:tab/>
      </w:r>
      <w:r w:rsidR="002151EA" w:rsidRPr="007853B5">
        <w:rPr>
          <w:b/>
        </w:rPr>
        <w:t>Description of services between carriers</w:t>
      </w:r>
      <w:r w:rsidR="009805D5">
        <w:rPr>
          <w:b/>
        </w:rPr>
        <w:fldChar w:fldCharType="begin"/>
      </w:r>
      <w:r w:rsidR="009805D5">
        <w:instrText xml:space="preserve"> TC "</w:instrText>
      </w:r>
      <w:bookmarkStart w:id="23" w:name="_Toc438209069"/>
      <w:bookmarkStart w:id="24" w:name="_Toc438209161"/>
      <w:bookmarkStart w:id="25" w:name="_Toc438209677"/>
      <w:bookmarkStart w:id="26" w:name="_Toc438210394"/>
      <w:r w:rsidR="009805D5" w:rsidRPr="00B652E6">
        <w:rPr>
          <w:b/>
        </w:rPr>
        <w:instrText>2.</w:instrText>
      </w:r>
      <w:r w:rsidR="009805D5" w:rsidRPr="00B652E6">
        <w:rPr>
          <w:b/>
        </w:rPr>
        <w:tab/>
        <w:instrText>Description of services between carriers</w:instrText>
      </w:r>
      <w:bookmarkEnd w:id="23"/>
      <w:bookmarkEnd w:id="24"/>
      <w:bookmarkEnd w:id="25"/>
      <w:bookmarkEnd w:id="26"/>
      <w:r w:rsidR="009805D5">
        <w:instrText xml:space="preserve">" \f C \l "3" </w:instrText>
      </w:r>
      <w:r w:rsidR="009805D5">
        <w:rPr>
          <w:b/>
        </w:rPr>
        <w:fldChar w:fldCharType="end"/>
      </w:r>
    </w:p>
    <w:p w:rsidR="002151EA" w:rsidRPr="007853B5" w:rsidRDefault="002151EA" w:rsidP="002151EA">
      <w:pPr>
        <w:rPr>
          <w:b/>
        </w:rPr>
      </w:pPr>
    </w:p>
    <w:p w:rsidR="002151EA" w:rsidRPr="007853B5" w:rsidRDefault="002151EA" w:rsidP="002151EA">
      <w:pPr>
        <w:ind w:left="1440" w:right="1440"/>
      </w:pPr>
      <w:r w:rsidRPr="007853B5">
        <w:rPr>
          <w:b/>
        </w:rPr>
        <w:tab/>
      </w:r>
      <w:r w:rsidRPr="007853B5">
        <w:t>Core ordered high capacity circuits referred to as "trunks" to carry traffic coming from or destined to Core's network.  The trunks that Core has ordered from Verizon may be described a</w:t>
      </w:r>
      <w:r>
        <w:t xml:space="preserve">s fitting into two categories: </w:t>
      </w:r>
      <w:r w:rsidRPr="007853B5">
        <w:t xml:space="preserve">(1) one-way Local Interconnection trunks that carry local and non-Feature Group D </w:t>
      </w:r>
      <w:proofErr w:type="spellStart"/>
      <w:r>
        <w:t>I</w:t>
      </w:r>
      <w:r w:rsidRPr="007853B5">
        <w:t>ntraLATA</w:t>
      </w:r>
      <w:proofErr w:type="spellEnd"/>
      <w:r w:rsidRPr="007853B5">
        <w:t xml:space="preserve"> toll calls originated on Core's network, and (2) two-way Access Toll Connecting (ATC) trunks that carry traffic exchanged between Core and IXCs. </w:t>
      </w:r>
      <w:r>
        <w:t xml:space="preserve"> </w:t>
      </w:r>
      <w:proofErr w:type="gramStart"/>
      <w:r w:rsidRPr="007853B5">
        <w:t>VZ Stmt. 1 at 32.</w:t>
      </w:r>
      <w:proofErr w:type="gramEnd"/>
    </w:p>
    <w:p w:rsidR="002151EA" w:rsidRPr="007853B5" w:rsidRDefault="002151EA" w:rsidP="002151EA">
      <w:pPr>
        <w:ind w:left="1440" w:right="1440"/>
      </w:pPr>
    </w:p>
    <w:p w:rsidR="002151EA" w:rsidRPr="007853B5" w:rsidRDefault="002151EA" w:rsidP="002151EA">
      <w:pPr>
        <w:ind w:left="1440" w:right="1440"/>
      </w:pPr>
      <w:r w:rsidRPr="007853B5">
        <w:tab/>
        <w:t>Initially, Core ordered both sets of trunks as Multi-Frequency (MF) trunks.  MF is an old signaling protocol that passes very little call data.  More recently, Core's trunks were transitioned to Signaling System 7 (SS</w:t>
      </w:r>
      <w:r>
        <w:t>7</w:t>
      </w:r>
      <w:r w:rsidRPr="007853B5">
        <w:t xml:space="preserve">).  SS7 is the modern protocol that includes a relatively robust stream of call data.  </w:t>
      </w:r>
      <w:proofErr w:type="gramStart"/>
      <w:r w:rsidRPr="007853B5">
        <w:t>VZ Stmt. 1.0 at 46.</w:t>
      </w:r>
      <w:proofErr w:type="gramEnd"/>
    </w:p>
    <w:p w:rsidR="002151EA" w:rsidRPr="007853B5" w:rsidRDefault="002151EA" w:rsidP="002151EA">
      <w:pPr>
        <w:ind w:left="1440" w:right="1440"/>
      </w:pPr>
    </w:p>
    <w:p w:rsidR="002151EA" w:rsidRPr="007853B5" w:rsidRDefault="002151EA" w:rsidP="002151EA">
      <w:pPr>
        <w:ind w:left="1440" w:right="1440"/>
      </w:pPr>
      <w:r w:rsidRPr="007853B5">
        <w:tab/>
        <w:t xml:space="preserve">End office Local Interconnection trunks provide access only to end users served by each end office.  Local Interconnection trunks established between an end office and a tandem switch expand the universe of calls that can be routed over the Local Interconnection </w:t>
      </w:r>
      <w:r>
        <w:t>T</w:t>
      </w:r>
      <w:r w:rsidRPr="007853B5">
        <w:t xml:space="preserve">runk </w:t>
      </w:r>
      <w:r>
        <w:t>G</w:t>
      </w:r>
      <w:r w:rsidRPr="007853B5">
        <w:t xml:space="preserve">roup to include calls from other local service providers that also have local interconnection trunks to that tandem.  </w:t>
      </w:r>
      <w:proofErr w:type="gramStart"/>
      <w:r w:rsidRPr="007853B5">
        <w:t>VZ Stmt. 1.0 at 32.</w:t>
      </w:r>
      <w:proofErr w:type="gramEnd"/>
    </w:p>
    <w:p w:rsidR="002151EA" w:rsidRPr="007853B5" w:rsidRDefault="002151EA" w:rsidP="002151EA">
      <w:pPr>
        <w:ind w:left="1440" w:right="1440"/>
      </w:pPr>
    </w:p>
    <w:p w:rsidR="002151EA" w:rsidRPr="007853B5" w:rsidRDefault="002151EA" w:rsidP="002151EA">
      <w:pPr>
        <w:ind w:left="1440" w:right="1440"/>
      </w:pPr>
      <w:r w:rsidRPr="007853B5">
        <w:tab/>
        <w:t>ATC trunks are necessary for the proper routing of traffic, and without them, calls would be dropped.  Core's telephone numbers are shown in the Local Exchange Routing Guide (LERG) as subtending Verizon's tandems.  When another carrier h</w:t>
      </w:r>
      <w:r>
        <w:t xml:space="preserve">as a call that is destined for </w:t>
      </w:r>
      <w:r w:rsidRPr="007853B5">
        <w:t xml:space="preserve">one of Core's telephone numbers, the LERG tells that carrier to route the call to Verizon's tandem.  If the call is carried by an interexchange carrier, that carrier will deliver it to Verizon's relevant access tandem.  But if Core has not established ATC trunks, the call will have nowhere to go, and would fail at the tandem.  The ICAs require ATC trunks because they are necessary from an operational perspective to ensure call completion.  </w:t>
      </w:r>
      <w:proofErr w:type="gramStart"/>
      <w:r w:rsidRPr="007853B5">
        <w:t>VZ Stmt. 1 at 36.</w:t>
      </w:r>
      <w:proofErr w:type="gramEnd"/>
    </w:p>
    <w:p w:rsidR="002151EA" w:rsidRPr="007853B5" w:rsidRDefault="002151EA" w:rsidP="002151EA">
      <w:pPr>
        <w:ind w:left="1440" w:right="1440"/>
      </w:pPr>
    </w:p>
    <w:p w:rsidR="002151EA" w:rsidRPr="007853B5" w:rsidRDefault="002151EA" w:rsidP="002151EA">
      <w:pPr>
        <w:ind w:left="1440" w:right="1440"/>
      </w:pPr>
      <w:r w:rsidRPr="007853B5">
        <w:tab/>
        <w:t>For both</w:t>
      </w:r>
      <w:r>
        <w:t xml:space="preserve"> types of</w:t>
      </w:r>
      <w:r w:rsidRPr="007853B5">
        <w:t xml:space="preserve"> trunks, Verizon provides to Core the same information that it provides to other CLECs, which is sufficient to bill other carriers for terminating charges where appropriate.  </w:t>
      </w:r>
      <w:proofErr w:type="gramStart"/>
      <w:r w:rsidRPr="007853B5">
        <w:t>VZ Stmt. 1 at 47.</w:t>
      </w:r>
      <w:proofErr w:type="gramEnd"/>
    </w:p>
    <w:p w:rsidR="002151EA" w:rsidRPr="007853B5" w:rsidRDefault="002151EA" w:rsidP="002151EA">
      <w:pPr>
        <w:ind w:left="1440" w:right="1440"/>
      </w:pPr>
    </w:p>
    <w:p w:rsidR="002151EA" w:rsidRPr="007853B5" w:rsidRDefault="002151EA" w:rsidP="002151EA">
      <w:pPr>
        <w:ind w:left="1440" w:right="1440"/>
      </w:pPr>
      <w:r w:rsidRPr="007853B5">
        <w:lastRenderedPageBreak/>
        <w:tab/>
        <w:t xml:space="preserve">"Entrance facilities" are the transport links between Core's wire center and Verizon's tandem switch office.  </w:t>
      </w:r>
      <w:proofErr w:type="gramStart"/>
      <w:r w:rsidRPr="007853B5">
        <w:t>Core Stmt. 3 at 19.</w:t>
      </w:r>
      <w:proofErr w:type="gramEnd"/>
    </w:p>
    <w:p w:rsidR="002151EA" w:rsidRPr="007853B5" w:rsidRDefault="002151EA" w:rsidP="002151EA">
      <w:pPr>
        <w:ind w:left="1440" w:right="1440"/>
      </w:pPr>
    </w:p>
    <w:p w:rsidR="002151EA" w:rsidRPr="007853B5" w:rsidRDefault="002151EA" w:rsidP="002151EA">
      <w:pPr>
        <w:ind w:left="1440" w:right="1440"/>
      </w:pPr>
      <w:r w:rsidRPr="007853B5">
        <w:tab/>
        <w:t xml:space="preserve">"Dedicated transport" </w:t>
      </w:r>
      <w:proofErr w:type="gramStart"/>
      <w:r w:rsidRPr="007853B5">
        <w:t>are</w:t>
      </w:r>
      <w:proofErr w:type="gramEnd"/>
      <w:r w:rsidRPr="007853B5">
        <w:t xml:space="preserve"> the links between the Verizon tandem connected to Core and more distant Verizon tandems and end offices.  </w:t>
      </w:r>
      <w:proofErr w:type="gramStart"/>
      <w:r w:rsidRPr="007853B5">
        <w:t>Core Stmt. 3 at 19.</w:t>
      </w:r>
      <w:proofErr w:type="gramEnd"/>
    </w:p>
    <w:p w:rsidR="002151EA" w:rsidRPr="007853B5" w:rsidRDefault="002151EA" w:rsidP="002151EA">
      <w:pPr>
        <w:ind w:left="1440" w:right="1440"/>
      </w:pPr>
    </w:p>
    <w:p w:rsidR="002151EA" w:rsidRPr="007853B5" w:rsidRDefault="002151EA" w:rsidP="002151EA">
      <w:pPr>
        <w:ind w:left="1440" w:right="1440"/>
      </w:pPr>
      <w:r w:rsidRPr="007853B5">
        <w:tab/>
        <w:t>Local transit service is where the tandem provider provides the ability for other ILECs/CLECs/CMRS providers to connect with one another for the exchange of local traffic and non</w:t>
      </w:r>
      <w:r>
        <w:t>-</w:t>
      </w:r>
      <w:r w:rsidRPr="007853B5">
        <w:t xml:space="preserve">Feature Group D </w:t>
      </w:r>
      <w:proofErr w:type="spellStart"/>
      <w:r>
        <w:t>I</w:t>
      </w:r>
      <w:r w:rsidRPr="007853B5">
        <w:t>ntraLATA</w:t>
      </w:r>
      <w:proofErr w:type="spellEnd"/>
      <w:r w:rsidRPr="007853B5">
        <w:t xml:space="preserve"> toll traffic without having to establish direct trunk groups between each and every service </w:t>
      </w:r>
      <w:proofErr w:type="gramStart"/>
      <w:r w:rsidRPr="007853B5">
        <w:t>provider</w:t>
      </w:r>
      <w:proofErr w:type="gramEnd"/>
      <w:r w:rsidRPr="007853B5">
        <w:t xml:space="preserve">, which would be cost prohibitive for many service providers.  </w:t>
      </w:r>
      <w:proofErr w:type="gramStart"/>
      <w:r w:rsidRPr="007853B5">
        <w:t>VZ Stmt. 1 at 45.</w:t>
      </w:r>
      <w:proofErr w:type="gramEnd"/>
    </w:p>
    <w:p w:rsidR="002151EA" w:rsidRPr="007853B5" w:rsidRDefault="002151EA" w:rsidP="002151EA">
      <w:pPr>
        <w:ind w:left="1440" w:right="1440"/>
      </w:pPr>
    </w:p>
    <w:p w:rsidR="002151EA" w:rsidRPr="007853B5" w:rsidRDefault="002151EA" w:rsidP="002151EA">
      <w:pPr>
        <w:ind w:left="1440" w:right="1440"/>
      </w:pPr>
      <w:r w:rsidRPr="007853B5">
        <w:tab/>
        <w:t xml:space="preserve">Instead of establishing direct connections with every provider, ILECs/CLECs/CMRS providers can route calls through Verizon's tandem, and Verizon transits them on to their destined terminating carrier.  </w:t>
      </w:r>
      <w:proofErr w:type="gramStart"/>
      <w:r w:rsidRPr="007853B5">
        <w:t>VZ Stmt. 1 at 45.</w:t>
      </w:r>
      <w:proofErr w:type="gramEnd"/>
    </w:p>
    <w:p w:rsidR="002151EA" w:rsidRPr="007853B5" w:rsidRDefault="002151EA" w:rsidP="002151EA">
      <w:pPr>
        <w:ind w:left="1440" w:right="1440"/>
      </w:pPr>
    </w:p>
    <w:p w:rsidR="002151EA" w:rsidRPr="007853B5" w:rsidRDefault="002151EA" w:rsidP="002151EA">
      <w:pPr>
        <w:ind w:left="1440" w:right="1440"/>
      </w:pPr>
      <w:r w:rsidRPr="007853B5">
        <w:tab/>
        <w:t xml:space="preserve">For any third party-originated transit traffic from other CLECs or CMRS providers that Verizon routes to Core for termination (local transit traffic), Verizon provides Core with industry standard Exchange Message Interface (EMI) records that identify the company that sent the call to Verizon.  </w:t>
      </w:r>
      <w:proofErr w:type="gramStart"/>
      <w:r w:rsidRPr="007853B5">
        <w:t>VZ Stmt. 1 at 47.</w:t>
      </w:r>
      <w:proofErr w:type="gramEnd"/>
    </w:p>
    <w:p w:rsidR="002151EA" w:rsidRPr="007853B5" w:rsidRDefault="002151EA" w:rsidP="002151EA">
      <w:pPr>
        <w:ind w:left="1440" w:right="1440"/>
      </w:pPr>
    </w:p>
    <w:p w:rsidR="002151EA" w:rsidRPr="007853B5" w:rsidRDefault="002151EA" w:rsidP="002151EA">
      <w:pPr>
        <w:ind w:left="1440" w:right="1440"/>
      </w:pPr>
      <w:r w:rsidRPr="007853B5">
        <w:tab/>
        <w:t xml:space="preserve">Verizon also provides termination of traffic originated by Core, and directory listing services.  </w:t>
      </w:r>
      <w:proofErr w:type="gramStart"/>
      <w:r w:rsidRPr="007853B5">
        <w:t>VZ Stmt. 1 at 30.</w:t>
      </w:r>
      <w:proofErr w:type="gramEnd"/>
    </w:p>
    <w:p w:rsidR="002151EA" w:rsidRPr="007853B5" w:rsidRDefault="002151EA" w:rsidP="002151EA">
      <w:pPr>
        <w:ind w:left="1440" w:right="1440"/>
      </w:pPr>
    </w:p>
    <w:p w:rsidR="002151EA" w:rsidRDefault="002151EA" w:rsidP="002151EA">
      <w:pPr>
        <w:spacing w:line="360" w:lineRule="auto"/>
      </w:pPr>
      <w:r>
        <w:t>Initial Decision at 22-24.</w:t>
      </w:r>
    </w:p>
    <w:p w:rsidR="002151EA" w:rsidRDefault="002151EA" w:rsidP="002151EA">
      <w:pPr>
        <w:spacing w:line="360" w:lineRule="auto"/>
      </w:pPr>
    </w:p>
    <w:p w:rsidR="002151EA" w:rsidRDefault="002151EA" w:rsidP="002151EA">
      <w:pPr>
        <w:spacing w:line="360" w:lineRule="auto"/>
      </w:pPr>
      <w:r>
        <w:tab/>
      </w:r>
      <w:r>
        <w:tab/>
        <w:t xml:space="preserve">The May 2015 Order directs the parties to explore whether either party has met its burden of proof with regard to the amount of traffic for the claimed </w:t>
      </w:r>
      <w:r w:rsidR="00A04236">
        <w:t>back billing</w:t>
      </w:r>
      <w:r>
        <w:t xml:space="preserve"> as well as the appropriate compensation.  </w:t>
      </w:r>
    </w:p>
    <w:p w:rsidR="002151EA" w:rsidRDefault="002151EA" w:rsidP="002151EA">
      <w:pPr>
        <w:spacing w:line="360" w:lineRule="auto"/>
        <w:contextualSpacing/>
      </w:pPr>
    </w:p>
    <w:p w:rsidR="00B93EF7" w:rsidRDefault="00590E0C" w:rsidP="00590E0C">
      <w:pPr>
        <w:spacing w:line="360" w:lineRule="auto"/>
        <w:rPr>
          <w:b/>
        </w:rPr>
      </w:pPr>
      <w:r>
        <w:tab/>
      </w:r>
      <w:r w:rsidR="00973A12" w:rsidRPr="00973A12">
        <w:rPr>
          <w:b/>
        </w:rPr>
        <w:t>3</w:t>
      </w:r>
      <w:r w:rsidR="00B01FEE">
        <w:rPr>
          <w:b/>
        </w:rPr>
        <w:tab/>
      </w:r>
      <w:r w:rsidR="00B01FEE">
        <w:rPr>
          <w:b/>
        </w:rPr>
        <w:tab/>
      </w:r>
      <w:r w:rsidR="00973A12" w:rsidRPr="00973A12">
        <w:rPr>
          <w:b/>
        </w:rPr>
        <w:t>VoIP Symmetry Rule and Declaratory Order</w:t>
      </w:r>
      <w:r w:rsidR="00074D9E">
        <w:rPr>
          <w:b/>
        </w:rPr>
        <w:fldChar w:fldCharType="begin"/>
      </w:r>
      <w:r w:rsidR="00074D9E">
        <w:instrText xml:space="preserve"> TC "</w:instrText>
      </w:r>
      <w:bookmarkStart w:id="27" w:name="_Toc438210395"/>
      <w:r w:rsidR="00074D9E" w:rsidRPr="00116506">
        <w:rPr>
          <w:b/>
        </w:rPr>
        <w:instrText>3</w:instrText>
      </w:r>
      <w:r w:rsidR="00074D9E" w:rsidRPr="00116506">
        <w:rPr>
          <w:b/>
        </w:rPr>
        <w:tab/>
      </w:r>
      <w:r w:rsidR="00074D9E" w:rsidRPr="00116506">
        <w:rPr>
          <w:b/>
        </w:rPr>
        <w:tab/>
        <w:instrText>VoIP Symmetry Rule and Declaratory Order</w:instrText>
      </w:r>
      <w:bookmarkEnd w:id="27"/>
      <w:r w:rsidR="00074D9E">
        <w:instrText xml:space="preserve">" \f C \l "3" </w:instrText>
      </w:r>
      <w:r w:rsidR="00074D9E">
        <w:rPr>
          <w:b/>
        </w:rPr>
        <w:fldChar w:fldCharType="end"/>
      </w:r>
    </w:p>
    <w:p w:rsidR="00B01FEE" w:rsidRPr="00973A12" w:rsidRDefault="00B01FEE" w:rsidP="00590E0C">
      <w:pPr>
        <w:spacing w:line="360" w:lineRule="auto"/>
        <w:rPr>
          <w:b/>
        </w:rPr>
      </w:pPr>
    </w:p>
    <w:p w:rsidR="002151EA" w:rsidRDefault="002151EA" w:rsidP="002151EA">
      <w:pPr>
        <w:spacing w:line="360" w:lineRule="auto"/>
      </w:pPr>
      <w:r>
        <w:lastRenderedPageBreak/>
        <w:tab/>
      </w:r>
      <w:r>
        <w:tab/>
        <w:t xml:space="preserve">The stated purpose of the </w:t>
      </w:r>
      <w:r w:rsidRPr="00371B81">
        <w:rPr>
          <w:i/>
        </w:rPr>
        <w:t>VoIP Symmetry Order</w:t>
      </w:r>
      <w:r>
        <w:rPr>
          <w:i/>
        </w:rPr>
        <w:t xml:space="preserve"> </w:t>
      </w:r>
      <w:r>
        <w:t xml:space="preserve">is to "ensure that the policies enacted by Congress and implemented by the Commission embrace modern communications networks, and encourage the deployment of, and transition to, IP-based networks and </w:t>
      </w:r>
    </w:p>
    <w:p w:rsidR="002151EA" w:rsidRDefault="002151EA" w:rsidP="002151EA">
      <w:pPr>
        <w:spacing w:line="360" w:lineRule="auto"/>
      </w:pPr>
      <w:proofErr w:type="gramStart"/>
      <w:r>
        <w:t>services</w:t>
      </w:r>
      <w:proofErr w:type="gramEnd"/>
      <w:r>
        <w:t xml:space="preserve">. . . .  To further the goals enacted by Congress and implemented by the Commission of promoting and protecting competition and increased access for voice services, we clarify that the VoIP symmetry rule applies in a technology- and facilities-neutral manner."  </w:t>
      </w:r>
      <w:r>
        <w:br/>
      </w:r>
      <w:proofErr w:type="gramStart"/>
      <w:r w:rsidRPr="00371B81">
        <w:rPr>
          <w:i/>
        </w:rPr>
        <w:t>VoIP Symmetry Order</w:t>
      </w:r>
      <w:r>
        <w:t xml:space="preserve"> ¶ 1 (footnote omitted).</w:t>
      </w:r>
      <w:proofErr w:type="gramEnd"/>
      <w:r>
        <w:t xml:space="preserve">    </w:t>
      </w:r>
    </w:p>
    <w:p w:rsidR="002151EA" w:rsidRDefault="002151EA" w:rsidP="002151EA">
      <w:pPr>
        <w:spacing w:line="360" w:lineRule="auto"/>
      </w:pPr>
    </w:p>
    <w:p w:rsidR="002151EA" w:rsidRDefault="002151EA" w:rsidP="002151EA">
      <w:pPr>
        <w:spacing w:line="360" w:lineRule="auto"/>
      </w:pPr>
      <w:r>
        <w:tab/>
      </w:r>
      <w:r>
        <w:tab/>
        <w:t xml:space="preserve">"Technology-neutral" means that the entities are not required to use a specific technology or even its own facilities for the service provided to be the functional equivalent of end office switching.  A competitive LEC partnering with a facilities-based VoIP provider provides the functional equivalent of end office switching, just as when the CLEC partners with an over-the-top VoIP provider to exchange traffic with interconnected carriers.  In both instances, the CLECs may assess end office switching charges.  </w:t>
      </w:r>
      <w:proofErr w:type="gramStart"/>
      <w:r w:rsidRPr="00371B81">
        <w:rPr>
          <w:i/>
        </w:rPr>
        <w:t>VoIP Symmetry Order</w:t>
      </w:r>
      <w:r>
        <w:t xml:space="preserve"> ¶3.</w:t>
      </w:r>
      <w:proofErr w:type="gramEnd"/>
    </w:p>
    <w:p w:rsidR="002151EA" w:rsidRDefault="002151EA" w:rsidP="002151EA">
      <w:pPr>
        <w:spacing w:line="360" w:lineRule="auto"/>
      </w:pPr>
    </w:p>
    <w:p w:rsidR="002151EA" w:rsidRDefault="002151EA" w:rsidP="002151EA">
      <w:pPr>
        <w:spacing w:line="360" w:lineRule="auto"/>
      </w:pPr>
      <w:r>
        <w:tab/>
      </w:r>
      <w:r>
        <w:tab/>
        <w:t>The VoIP Symmetry rule reads:</w:t>
      </w:r>
    </w:p>
    <w:p w:rsidR="002151EA" w:rsidRDefault="002151EA" w:rsidP="002151EA">
      <w:pPr>
        <w:spacing w:line="360" w:lineRule="auto"/>
      </w:pPr>
    </w:p>
    <w:p w:rsidR="002151EA" w:rsidRDefault="002151EA" w:rsidP="002151EA">
      <w:pPr>
        <w:ind w:left="1440" w:right="1440"/>
      </w:pPr>
      <w:r>
        <w:t>Notwithstanding any other provision of the Commission's rules, a local exchange carrier shall be entitled to assess and collect the full Access Reciprocal Compensation charges prescribed by this subpart that are set forth in a local exchange carrier's interstate or intrastate tariff for the access services defined in § 51.903 regardless of whether the local exchange carrier itself delivers such traffic to the called party's premises or delivers the call to the called party's premises via contractual or other arrangements with an affiliated or unaffiliated provider of interconnected VoIP service, as defined in 47 U.S.C. 153(25), or a non-interconnected VoIP service, as defined in 47 U.S.C. 153(36), that does not itself seek to collect Access Reciprocal Compensation charges prescribed by this subpart for that traffic.</w:t>
      </w:r>
    </w:p>
    <w:p w:rsidR="002151EA" w:rsidRDefault="002151EA" w:rsidP="002151EA">
      <w:pPr>
        <w:spacing w:line="360" w:lineRule="auto"/>
      </w:pPr>
      <w:proofErr w:type="gramStart"/>
      <w:r>
        <w:t>47 C.F.R. § 51.913(b).</w:t>
      </w:r>
      <w:proofErr w:type="gramEnd"/>
    </w:p>
    <w:p w:rsidR="002151EA" w:rsidRDefault="002151EA" w:rsidP="002151EA">
      <w:pPr>
        <w:spacing w:line="360" w:lineRule="auto"/>
      </w:pPr>
    </w:p>
    <w:p w:rsidR="002151EA" w:rsidRDefault="002151EA" w:rsidP="002151EA">
      <w:pPr>
        <w:spacing w:line="360" w:lineRule="auto"/>
      </w:pPr>
      <w:r>
        <w:tab/>
      </w:r>
      <w:r>
        <w:tab/>
        <w:t xml:space="preserve">The above section provides that a LEC is entitled to assess and collect access charges for services defined in Section 51.903, which includes End Office Access Services, defined as "the switching of access traffic at the carrier's end office switch and the delivery to or from of such traffic to the called party's premises."  </w:t>
      </w:r>
      <w:proofErr w:type="gramStart"/>
      <w:r w:rsidRPr="00371B81">
        <w:rPr>
          <w:i/>
        </w:rPr>
        <w:t>VoIP Symmetry Order</w:t>
      </w:r>
      <w:r>
        <w:t xml:space="preserve"> ¶8.</w:t>
      </w:r>
      <w:proofErr w:type="gramEnd"/>
      <w:r>
        <w:t xml:space="preserve">  End Office </w:t>
      </w:r>
      <w:r>
        <w:lastRenderedPageBreak/>
        <w:t>Access Services include local switching as a rate element, and also includes any functionally equivalent access service.  Importantly, the VoIP s</w:t>
      </w:r>
      <w:r w:rsidRPr="002162C5">
        <w:t xml:space="preserve">ymmetry </w:t>
      </w:r>
      <w:r>
        <w:t xml:space="preserve">rule does not permit a LEC to charge for functions performed neither by the LEC nor its retail service provider partner.  </w:t>
      </w:r>
      <w:proofErr w:type="gramStart"/>
      <w:r w:rsidRPr="00371B81">
        <w:rPr>
          <w:i/>
        </w:rPr>
        <w:t>VoIP Symmetry Order</w:t>
      </w:r>
      <w:r>
        <w:t xml:space="preserve"> ¶ 9.</w:t>
      </w:r>
      <w:proofErr w:type="gramEnd"/>
      <w:r>
        <w:t xml:space="preserve">  </w:t>
      </w:r>
    </w:p>
    <w:p w:rsidR="002151EA" w:rsidRDefault="002151EA" w:rsidP="002151EA">
      <w:pPr>
        <w:spacing w:line="360" w:lineRule="auto"/>
      </w:pPr>
    </w:p>
    <w:p w:rsidR="002151EA" w:rsidRDefault="002151EA" w:rsidP="002151EA">
      <w:pPr>
        <w:spacing w:line="360" w:lineRule="auto"/>
      </w:pPr>
      <w:r>
        <w:tab/>
      </w:r>
      <w:r>
        <w:tab/>
        <w:t xml:space="preserve">The </w:t>
      </w:r>
      <w:r w:rsidRPr="00371B81">
        <w:rPr>
          <w:i/>
        </w:rPr>
        <w:t xml:space="preserve">VoIP Symmetry </w:t>
      </w:r>
      <w:proofErr w:type="gramStart"/>
      <w:r w:rsidRPr="00371B81">
        <w:rPr>
          <w:i/>
        </w:rPr>
        <w:t>Order</w:t>
      </w:r>
      <w:r>
        <w:t xml:space="preserve">  states</w:t>
      </w:r>
      <w:proofErr w:type="gramEnd"/>
      <w:r>
        <w:t>:</w:t>
      </w:r>
    </w:p>
    <w:p w:rsidR="002151EA" w:rsidRDefault="002151EA" w:rsidP="002151EA">
      <w:pPr>
        <w:ind w:left="1440" w:right="1440"/>
      </w:pPr>
      <w:r>
        <w:tab/>
        <w:t>19.</w:t>
      </w:r>
      <w:r>
        <w:tab/>
        <w:t xml:space="preserve">For the reasons described below, we clarify that the Commission's VoIP symmetry rule does not require a competitive LEC or its VoIP provider partner to provide the physical last-mile facility to the VoIP provider's end user customers in order to provide the functional equivalent of end office switching, and thus for the competitive LEC to be eligible to assess access charges for this service. </w:t>
      </w:r>
    </w:p>
    <w:p w:rsidR="002151EA" w:rsidRDefault="002151EA" w:rsidP="002151EA">
      <w:pPr>
        <w:spacing w:line="360" w:lineRule="auto"/>
      </w:pPr>
      <w:r>
        <w:t xml:space="preserve">(Qualified by Footnote 64, reproduced here as directly on point to the issue in the Remand:  </w:t>
      </w:r>
    </w:p>
    <w:p w:rsidR="002151EA" w:rsidRDefault="002151EA" w:rsidP="002151EA">
      <w:pPr>
        <w:ind w:left="1440" w:right="1440"/>
      </w:pPr>
      <w:r>
        <w:t>Because such charges ultimately are governed by applicable tariffs, however, we cannot conclude that access charges for end office switching are due in every circumstance.  Assuming that the applicable tariff language contemplates charging for functionally equivalent services, a competitive LEC partnering with an over-the-top VoIP provider partner would presumably be entitled to collect for such charges.</w:t>
      </w:r>
    </w:p>
    <w:p w:rsidR="002151EA" w:rsidRDefault="002151EA" w:rsidP="002151EA">
      <w:pPr>
        <w:spacing w:line="360" w:lineRule="auto"/>
      </w:pPr>
    </w:p>
    <w:p w:rsidR="002151EA" w:rsidRDefault="002151EA" w:rsidP="002151EA">
      <w:pPr>
        <w:spacing w:line="360" w:lineRule="auto"/>
        <w:jc w:val="center"/>
      </w:pPr>
      <w:r>
        <w:t>* * *</w:t>
      </w:r>
    </w:p>
    <w:p w:rsidR="002151EA" w:rsidRPr="002162C5" w:rsidRDefault="002151EA" w:rsidP="002151EA">
      <w:pPr>
        <w:spacing w:line="360" w:lineRule="auto"/>
      </w:pPr>
    </w:p>
    <w:p w:rsidR="002151EA" w:rsidRDefault="002151EA" w:rsidP="002151EA">
      <w:pPr>
        <w:ind w:left="1440" w:right="1440"/>
      </w:pPr>
      <w:r>
        <w:tab/>
        <w:t>26.</w:t>
      </w:r>
      <w:r>
        <w:tab/>
        <w:t>The definition of "end office access service" in section 51.903 of the Commission's rules, as referenced in the language of the VoIP symmetry rule, allows for assessment of charges for services that are a "functionally equivalent access service.  By its terms, "this "functionally equivalent" language applies to all VoIP traffic, but disputes have arisen regarding whether a competitive LEC and an over-the-top V</w:t>
      </w:r>
      <w:r w:rsidR="00A1544A">
        <w:t>o</w:t>
      </w:r>
      <w:r>
        <w:t xml:space="preserve">IP provider together provide the functional equivalent of end office switching.  As discussed above, the Commission reasoned that a new functional equivalence approach to VoIP-PSTN traffic best balanced its policy goals of promoting competition in the voice marketplace, encouraging migration to all-IP networks, reducing </w:t>
      </w:r>
      <w:proofErr w:type="spellStart"/>
      <w:r>
        <w:t>intercarrier</w:t>
      </w:r>
      <w:proofErr w:type="spellEnd"/>
      <w:r>
        <w:t xml:space="preserve"> compensation disputes, providing greater certainty to the industry regarding </w:t>
      </w:r>
      <w:proofErr w:type="spellStart"/>
      <w:r>
        <w:t>intercarrier</w:t>
      </w:r>
      <w:proofErr w:type="spellEnd"/>
      <w:r>
        <w:t xml:space="preserve"> compensation revenue streams, and avoiding marketplace distortions and arbitrage that could arise from an asymmetrical approach to compensation.  This new approach takes a more holistic look at how calls are delivered to the end user, and represents a departure from prior Commission </w:t>
      </w:r>
      <w:r>
        <w:lastRenderedPageBreak/>
        <w:t>policy in which providers were allowed to charge access for services that only they themselves provided.  (</w:t>
      </w:r>
      <w:proofErr w:type="gramStart"/>
      <w:r>
        <w:t>footnotes</w:t>
      </w:r>
      <w:proofErr w:type="gramEnd"/>
      <w:r>
        <w:t xml:space="preserve"> omitted).</w:t>
      </w:r>
    </w:p>
    <w:p w:rsidR="00A53769" w:rsidRDefault="00A53769" w:rsidP="002151EA">
      <w:pPr>
        <w:spacing w:line="360" w:lineRule="auto"/>
      </w:pPr>
    </w:p>
    <w:p w:rsidR="002151EA" w:rsidRPr="00D109CC" w:rsidRDefault="00A53769" w:rsidP="002151EA">
      <w:pPr>
        <w:spacing w:line="360" w:lineRule="auto"/>
      </w:pPr>
      <w:r>
        <w:tab/>
      </w:r>
      <w:r>
        <w:tab/>
        <w:t xml:space="preserve">This rule was further clarified in the FCC's Declaratory Order issued February 11, 2015, </w:t>
      </w:r>
      <w:r>
        <w:rPr>
          <w:i/>
        </w:rPr>
        <w:t xml:space="preserve">In the Matter of Connect America Fund, </w:t>
      </w:r>
      <w:r>
        <w:t xml:space="preserve">WC Docket No. 10-90, </w:t>
      </w:r>
      <w:r>
        <w:rPr>
          <w:i/>
        </w:rPr>
        <w:t>Developi</w:t>
      </w:r>
      <w:r w:rsidR="000E4250">
        <w:rPr>
          <w:i/>
        </w:rPr>
        <w:t>n</w:t>
      </w:r>
      <w:r>
        <w:rPr>
          <w:i/>
        </w:rPr>
        <w:t xml:space="preserve">g a Unified </w:t>
      </w:r>
      <w:proofErr w:type="spellStart"/>
      <w:r>
        <w:rPr>
          <w:i/>
        </w:rPr>
        <w:t>Intercarrier</w:t>
      </w:r>
      <w:proofErr w:type="spellEnd"/>
      <w:r>
        <w:rPr>
          <w:i/>
        </w:rPr>
        <w:t xml:space="preserve"> Compensation Regime, </w:t>
      </w:r>
      <w:r>
        <w:t>CC Docket No. 01-92</w:t>
      </w:r>
      <w:r w:rsidR="000E4250">
        <w:t xml:space="preserve"> (</w:t>
      </w:r>
      <w:r w:rsidR="000E4250" w:rsidRPr="000E4250">
        <w:rPr>
          <w:i/>
        </w:rPr>
        <w:t>February 2015 Declaratory Order</w:t>
      </w:r>
      <w:r w:rsidR="000E4250">
        <w:t>)</w:t>
      </w:r>
      <w:r>
        <w:t xml:space="preserve">.  </w:t>
      </w:r>
      <w:r w:rsidR="000E4250">
        <w:t xml:space="preserve">There, the FCC explained that the VoIP Symmetry Rule really does mean what it says, and that applying the Rule to cases which have arisen since the implementation of the rule is acceptable.  </w:t>
      </w:r>
    </w:p>
    <w:p w:rsidR="002151EA" w:rsidRDefault="002151EA" w:rsidP="002151EA">
      <w:pPr>
        <w:spacing w:line="360" w:lineRule="auto"/>
        <w:ind w:firstLine="1440"/>
        <w:contextualSpacing/>
      </w:pPr>
    </w:p>
    <w:p w:rsidR="002151EA" w:rsidRPr="00973A12" w:rsidRDefault="00973A12" w:rsidP="002151EA">
      <w:pPr>
        <w:spacing w:line="360" w:lineRule="auto"/>
        <w:ind w:firstLine="1440"/>
        <w:contextualSpacing/>
        <w:rPr>
          <w:b/>
        </w:rPr>
      </w:pPr>
      <w:r>
        <w:rPr>
          <w:b/>
        </w:rPr>
        <w:t>4.</w:t>
      </w:r>
      <w:r>
        <w:rPr>
          <w:b/>
        </w:rPr>
        <w:tab/>
      </w:r>
      <w:proofErr w:type="spellStart"/>
      <w:r>
        <w:rPr>
          <w:b/>
        </w:rPr>
        <w:t>Coretel</w:t>
      </w:r>
      <w:proofErr w:type="spellEnd"/>
      <w:r>
        <w:rPr>
          <w:b/>
        </w:rPr>
        <w:t xml:space="preserve"> </w:t>
      </w:r>
      <w:r w:rsidR="00A04236">
        <w:rPr>
          <w:b/>
        </w:rPr>
        <w:t>Virginia</w:t>
      </w:r>
      <w:r>
        <w:rPr>
          <w:b/>
        </w:rPr>
        <w:t xml:space="preserve">, LLC. </w:t>
      </w:r>
      <w:proofErr w:type="gramStart"/>
      <w:r>
        <w:rPr>
          <w:b/>
        </w:rPr>
        <w:t>v. Verizon</w:t>
      </w:r>
      <w:proofErr w:type="gramEnd"/>
      <w:r>
        <w:rPr>
          <w:b/>
        </w:rPr>
        <w:t xml:space="preserve"> Virginia, LLC.</w:t>
      </w:r>
      <w:r w:rsidR="009805D5">
        <w:rPr>
          <w:b/>
        </w:rPr>
        <w:fldChar w:fldCharType="begin"/>
      </w:r>
      <w:r w:rsidR="009805D5">
        <w:instrText xml:space="preserve"> </w:instrText>
      </w:r>
      <w:proofErr w:type="gramStart"/>
      <w:r w:rsidR="009805D5">
        <w:instrText>TC "</w:instrText>
      </w:r>
      <w:bookmarkStart w:id="28" w:name="_Toc438209071"/>
      <w:bookmarkStart w:id="29" w:name="_Toc438209163"/>
      <w:bookmarkStart w:id="30" w:name="_Toc438209679"/>
      <w:bookmarkStart w:id="31" w:name="_Toc438210396"/>
      <w:r w:rsidR="009805D5" w:rsidRPr="00A97A29">
        <w:rPr>
          <w:b/>
        </w:rPr>
        <w:instrText>4.</w:instrText>
      </w:r>
      <w:proofErr w:type="gramEnd"/>
      <w:r w:rsidR="009805D5" w:rsidRPr="00A97A29">
        <w:rPr>
          <w:b/>
        </w:rPr>
        <w:tab/>
      </w:r>
      <w:proofErr w:type="spellStart"/>
      <w:r w:rsidR="009805D5" w:rsidRPr="00A97A29">
        <w:rPr>
          <w:b/>
        </w:rPr>
        <w:instrText>Coretel</w:instrText>
      </w:r>
      <w:proofErr w:type="spellEnd"/>
      <w:r w:rsidR="009805D5" w:rsidRPr="00A97A29">
        <w:rPr>
          <w:b/>
        </w:rPr>
        <w:instrText xml:space="preserve"> Virginia, LLC. </w:instrText>
      </w:r>
      <w:proofErr w:type="gramStart"/>
      <w:r w:rsidR="009805D5" w:rsidRPr="00A97A29">
        <w:rPr>
          <w:b/>
        </w:rPr>
        <w:instrText>v. Verizon</w:instrText>
      </w:r>
      <w:proofErr w:type="gramEnd"/>
      <w:r w:rsidR="009805D5" w:rsidRPr="00A97A29">
        <w:rPr>
          <w:b/>
        </w:rPr>
        <w:instrText xml:space="preserve"> Virginia, LLC.</w:instrText>
      </w:r>
      <w:bookmarkEnd w:id="28"/>
      <w:bookmarkEnd w:id="29"/>
      <w:bookmarkEnd w:id="30"/>
      <w:bookmarkEnd w:id="31"/>
      <w:r w:rsidR="009805D5">
        <w:instrText xml:space="preserve">" \f C \l "3" </w:instrText>
      </w:r>
      <w:r w:rsidR="009805D5">
        <w:rPr>
          <w:b/>
        </w:rPr>
        <w:fldChar w:fldCharType="end"/>
      </w:r>
    </w:p>
    <w:p w:rsidR="00590E0C" w:rsidRDefault="00590E0C" w:rsidP="00590E0C">
      <w:pPr>
        <w:spacing w:line="360" w:lineRule="auto"/>
      </w:pPr>
    </w:p>
    <w:p w:rsidR="002151EA" w:rsidRDefault="00973A12" w:rsidP="002151EA">
      <w:pPr>
        <w:spacing w:line="360" w:lineRule="auto"/>
        <w:contextualSpacing/>
      </w:pPr>
      <w:r>
        <w:tab/>
      </w:r>
      <w:r>
        <w:tab/>
      </w:r>
      <w:r w:rsidR="002151EA">
        <w:t xml:space="preserve">The other factor in the changed circumstances referenced by the Commission is the decision in the case captioned </w:t>
      </w:r>
      <w:proofErr w:type="spellStart"/>
      <w:r w:rsidR="002151EA">
        <w:rPr>
          <w:i/>
        </w:rPr>
        <w:t>Coretel</w:t>
      </w:r>
      <w:proofErr w:type="spellEnd"/>
      <w:r w:rsidR="002151EA">
        <w:rPr>
          <w:i/>
        </w:rPr>
        <w:t xml:space="preserve"> Virginia, LLC v. Verizon Virginia, LLC, </w:t>
      </w:r>
      <w:r w:rsidR="002151EA">
        <w:t>752 F.3d 364; 2014 U.S. App. LEXIS 8902; 60 Comm. Reg. (P&amp;F) 307; 2104 WL 1891233 (4</w:t>
      </w:r>
      <w:r w:rsidR="002151EA" w:rsidRPr="003C5843">
        <w:rPr>
          <w:vertAlign w:val="superscript"/>
        </w:rPr>
        <w:t>th</w:t>
      </w:r>
      <w:r w:rsidR="002151EA">
        <w:t xml:space="preserve"> Cir. 2014)(</w:t>
      </w:r>
      <w:proofErr w:type="spellStart"/>
      <w:r w:rsidR="002151EA">
        <w:rPr>
          <w:i/>
        </w:rPr>
        <w:t>Core</w:t>
      </w:r>
      <w:r w:rsidR="00A1544A">
        <w:rPr>
          <w:i/>
        </w:rPr>
        <w:t>T</w:t>
      </w:r>
      <w:r w:rsidR="002151EA">
        <w:rPr>
          <w:i/>
        </w:rPr>
        <w:t>el</w:t>
      </w:r>
      <w:proofErr w:type="spellEnd"/>
      <w:r w:rsidR="002151EA">
        <w:rPr>
          <w:i/>
        </w:rPr>
        <w:t xml:space="preserve"> VA)</w:t>
      </w:r>
      <w:r w:rsidR="002151EA">
        <w:t xml:space="preserve">.    </w:t>
      </w:r>
    </w:p>
    <w:p w:rsidR="002151EA" w:rsidRDefault="002151EA" w:rsidP="002151EA">
      <w:pPr>
        <w:spacing w:line="360" w:lineRule="auto"/>
        <w:contextualSpacing/>
      </w:pPr>
    </w:p>
    <w:p w:rsidR="002151EA" w:rsidRDefault="002151EA" w:rsidP="002151EA">
      <w:pPr>
        <w:spacing w:line="360" w:lineRule="auto"/>
        <w:contextualSpacing/>
      </w:pPr>
      <w:r>
        <w:tab/>
      </w:r>
      <w:r>
        <w:tab/>
        <w:t>The Fourth Circuit explains that the Telecommunications Act, 47 U.S.C.S. § 251, seeks to foster competition in the telecommunications market by reducing the competitive advantages enjoyed by the incumbent carriers which previously held monopolies in the industry, by requiring these incumbent carriers to share their networks with new market entrants (competing carriers).  These competing carriers can lease components to an incumbent carrier's physical network if failure to provide these components would impair the competing carrier's ability to provide services.  Provision must be at cost-based rates, or TELRIC, and they must be unbundled.   47 U.S.C.S. § 251(c</w:t>
      </w:r>
      <w:proofErr w:type="gramStart"/>
      <w:r>
        <w:t>)(</w:t>
      </w:r>
      <w:proofErr w:type="gramEnd"/>
      <w:r>
        <w:t xml:space="preserve">3).  </w:t>
      </w:r>
    </w:p>
    <w:p w:rsidR="002151EA" w:rsidRDefault="002151EA" w:rsidP="002151EA">
      <w:pPr>
        <w:spacing w:line="360" w:lineRule="auto"/>
        <w:contextualSpacing/>
      </w:pPr>
    </w:p>
    <w:p w:rsidR="002151EA" w:rsidRDefault="002151EA" w:rsidP="002151EA">
      <w:pPr>
        <w:spacing w:line="360" w:lineRule="auto"/>
        <w:contextualSpacing/>
      </w:pPr>
      <w:r>
        <w:tab/>
      </w:r>
      <w:r>
        <w:tab/>
        <w:t>"Entrance facilities" are less expensive to build, and therefore, the incumbents are no longer obligated to provide these on an unbundled basis at cost-based rates under 47 U.S.C.S. § 251(c</w:t>
      </w:r>
      <w:proofErr w:type="gramStart"/>
      <w:r>
        <w:t>)(</w:t>
      </w:r>
      <w:proofErr w:type="gramEnd"/>
      <w:r>
        <w:t>3).  However, incumbents are required to provide entrance facilities when they are used for interconnection under § 251(c</w:t>
      </w:r>
      <w:proofErr w:type="gramStart"/>
      <w:r>
        <w:t>)(</w:t>
      </w:r>
      <w:proofErr w:type="gramEnd"/>
      <w:r>
        <w:t xml:space="preserve">2).  Section 251 duties are only enforceable when they are incorporated into an interconnection agreement.  </w:t>
      </w:r>
      <w:proofErr w:type="spellStart"/>
      <w:proofErr w:type="gramStart"/>
      <w:r>
        <w:rPr>
          <w:i/>
        </w:rPr>
        <w:t>CoreTel</w:t>
      </w:r>
      <w:proofErr w:type="spellEnd"/>
      <w:r>
        <w:rPr>
          <w:i/>
        </w:rPr>
        <w:t xml:space="preserve"> VA </w:t>
      </w:r>
      <w:r>
        <w:t>at 368.</w:t>
      </w:r>
      <w:proofErr w:type="gramEnd"/>
      <w:r>
        <w:t xml:space="preserve">  </w:t>
      </w:r>
    </w:p>
    <w:p w:rsidR="002151EA" w:rsidRDefault="002151EA" w:rsidP="002151EA">
      <w:pPr>
        <w:spacing w:line="360" w:lineRule="auto"/>
        <w:contextualSpacing/>
      </w:pPr>
    </w:p>
    <w:p w:rsidR="002151EA" w:rsidRDefault="002151EA" w:rsidP="002151EA">
      <w:pPr>
        <w:spacing w:line="360" w:lineRule="auto"/>
        <w:contextualSpacing/>
      </w:pPr>
      <w:r>
        <w:lastRenderedPageBreak/>
        <w:tab/>
      </w:r>
      <w:r>
        <w:tab/>
        <w:t xml:space="preserve">The Fourth Circuit characterizes the case as primarily a contract dispute, and states that the cardinal principle of contract construction is to read the document to give effect to all of its provisions, and where written terms are clear, evidence of intent is inadmissible.  </w:t>
      </w:r>
      <w:proofErr w:type="spellStart"/>
      <w:proofErr w:type="gramStart"/>
      <w:r>
        <w:rPr>
          <w:i/>
        </w:rPr>
        <w:t>CoreTel</w:t>
      </w:r>
      <w:proofErr w:type="spellEnd"/>
      <w:r>
        <w:rPr>
          <w:i/>
        </w:rPr>
        <w:t xml:space="preserve"> VA </w:t>
      </w:r>
      <w:r>
        <w:t>at 369.</w:t>
      </w:r>
      <w:proofErr w:type="gramEnd"/>
      <w:r>
        <w:t xml:space="preserve">  </w:t>
      </w:r>
    </w:p>
    <w:p w:rsidR="002151EA" w:rsidRDefault="002151EA" w:rsidP="002151EA">
      <w:pPr>
        <w:spacing w:line="360" w:lineRule="auto"/>
        <w:contextualSpacing/>
      </w:pPr>
    </w:p>
    <w:p w:rsidR="002151EA" w:rsidRDefault="002151EA" w:rsidP="002151EA">
      <w:pPr>
        <w:spacing w:line="360" w:lineRule="auto"/>
        <w:contextualSpacing/>
      </w:pPr>
      <w:r>
        <w:tab/>
      </w:r>
      <w:r>
        <w:tab/>
        <w:t xml:space="preserve">After initiating the underlying complaint, Core submitted bills totaling $1.7 million to Verizon for facilities charges beginning in 2009, for trunk ports and multiplexers used to handle calls delivered by Verizon to </w:t>
      </w:r>
      <w:proofErr w:type="spellStart"/>
      <w:r>
        <w:t>CoreTel</w:t>
      </w:r>
      <w:proofErr w:type="spellEnd"/>
      <w:r>
        <w:t xml:space="preserve">.  While </w:t>
      </w:r>
      <w:proofErr w:type="spellStart"/>
      <w:r>
        <w:t>CoreTel</w:t>
      </w:r>
      <w:proofErr w:type="spellEnd"/>
      <w:r>
        <w:t xml:space="preserve"> admitted that Verizon provided its own means of reaching </w:t>
      </w:r>
      <w:proofErr w:type="spellStart"/>
      <w:r>
        <w:t>CoreTel's</w:t>
      </w:r>
      <w:proofErr w:type="spellEnd"/>
      <w:r>
        <w:t xml:space="preserve"> switch, it argued that the ports it provided on its side of the interconnection point qualify as entrance facilities and may be billed to Verizon under the ICAs.  </w:t>
      </w:r>
    </w:p>
    <w:p w:rsidR="002151EA" w:rsidRDefault="002151EA" w:rsidP="002151EA">
      <w:pPr>
        <w:spacing w:line="360" w:lineRule="auto"/>
        <w:contextualSpacing/>
      </w:pPr>
    </w:p>
    <w:p w:rsidR="002151EA" w:rsidRDefault="002151EA" w:rsidP="002151EA">
      <w:pPr>
        <w:spacing w:line="360" w:lineRule="auto"/>
        <w:contextualSpacing/>
      </w:pPr>
      <w:r>
        <w:tab/>
      </w:r>
      <w:r>
        <w:tab/>
        <w:t xml:space="preserve">The Fourth Circuit agreed with Verizon that the multiplexing and trunk ports at issue were not entrance facilities under the ICA.  An entrance facility is a facility that is between the interconnecting carrier's premises and the other party's central office.  But the trunk ports and multiplexers at issue were within </w:t>
      </w:r>
      <w:proofErr w:type="spellStart"/>
      <w:r>
        <w:t>CoreTel's</w:t>
      </w:r>
      <w:proofErr w:type="spellEnd"/>
      <w:r>
        <w:t xml:space="preserve"> central office, not between the central office and Verizon's premises.  </w:t>
      </w:r>
      <w:proofErr w:type="spellStart"/>
      <w:proofErr w:type="gramStart"/>
      <w:r>
        <w:rPr>
          <w:i/>
        </w:rPr>
        <w:t>CoreTel</w:t>
      </w:r>
      <w:proofErr w:type="spellEnd"/>
      <w:r>
        <w:rPr>
          <w:i/>
        </w:rPr>
        <w:t xml:space="preserve"> VA </w:t>
      </w:r>
      <w:r w:rsidRPr="00B379A1">
        <w:t>at</w:t>
      </w:r>
      <w:r>
        <w:t xml:space="preserve"> 372.</w:t>
      </w:r>
      <w:proofErr w:type="gramEnd"/>
      <w:r>
        <w:t xml:space="preserve">  The Court similarly dismissed </w:t>
      </w:r>
      <w:proofErr w:type="spellStart"/>
      <w:r>
        <w:t>CoreTel's</w:t>
      </w:r>
      <w:proofErr w:type="spellEnd"/>
      <w:r>
        <w:t xml:space="preserve"> claims that it was entitled to bill Verizon for its use of these facilities because they were necessary to the use of Verizon's self-provisioned facilities.  However, there is no provision in the ICA which provides for such billing.  Rather, the ICA provided that </w:t>
      </w:r>
      <w:proofErr w:type="spellStart"/>
      <w:r>
        <w:t>CoreTel</w:t>
      </w:r>
      <w:proofErr w:type="spellEnd"/>
      <w:r>
        <w:t xml:space="preserve"> would be compensated for the use of these facilities on its side of the interconnection point exclusively under the rubric of reciprocal compensation.  </w:t>
      </w:r>
      <w:proofErr w:type="spellStart"/>
      <w:proofErr w:type="gramStart"/>
      <w:r>
        <w:rPr>
          <w:i/>
        </w:rPr>
        <w:t>CoreTel</w:t>
      </w:r>
      <w:proofErr w:type="spellEnd"/>
      <w:r>
        <w:rPr>
          <w:i/>
        </w:rPr>
        <w:t xml:space="preserve"> VA </w:t>
      </w:r>
      <w:r>
        <w:t>at 372.</w:t>
      </w:r>
      <w:proofErr w:type="gramEnd"/>
      <w:r>
        <w:t xml:space="preserve">  </w:t>
      </w:r>
    </w:p>
    <w:p w:rsidR="002151EA" w:rsidRDefault="002151EA" w:rsidP="002151EA">
      <w:pPr>
        <w:spacing w:line="360" w:lineRule="auto"/>
        <w:contextualSpacing/>
      </w:pPr>
    </w:p>
    <w:p w:rsidR="002151EA" w:rsidRDefault="002151EA" w:rsidP="002151EA">
      <w:pPr>
        <w:spacing w:line="360" w:lineRule="auto"/>
        <w:contextualSpacing/>
      </w:pPr>
      <w:r>
        <w:tab/>
      </w:r>
      <w:r>
        <w:tab/>
        <w:t xml:space="preserve">Finally, the Court addressed Verizon's claims that </w:t>
      </w:r>
      <w:proofErr w:type="spellStart"/>
      <w:r>
        <w:t>CoreTel</w:t>
      </w:r>
      <w:proofErr w:type="spellEnd"/>
      <w:r>
        <w:t xml:space="preserve"> improperly billed it and that Verizon was entitled to recoup the payments under the filed-rate doctrine those sums it paid to </w:t>
      </w:r>
      <w:proofErr w:type="spellStart"/>
      <w:r>
        <w:t>CoreTel</w:t>
      </w:r>
      <w:proofErr w:type="spellEnd"/>
      <w:r>
        <w:t xml:space="preserve"> for end-office switched access.  </w:t>
      </w:r>
      <w:proofErr w:type="spellStart"/>
      <w:r>
        <w:t>CoreTel's</w:t>
      </w:r>
      <w:proofErr w:type="spellEnd"/>
      <w:r>
        <w:t xml:space="preserve"> tariffs provide that its end-office switching service will include terminations in the end office of end user lines.  The Court states:</w:t>
      </w:r>
    </w:p>
    <w:p w:rsidR="00CA19FB" w:rsidRDefault="00CA19FB" w:rsidP="00CA19FB">
      <w:pPr>
        <w:contextualSpacing/>
      </w:pPr>
    </w:p>
    <w:p w:rsidR="002151EA" w:rsidRDefault="002151EA" w:rsidP="002151EA">
      <w:pPr>
        <w:ind w:left="1440" w:right="1440"/>
        <w:contextualSpacing/>
      </w:pPr>
      <w:r>
        <w:t xml:space="preserve">The FCC has held that this tariff language carries a specific and established meaning:  "a physical transmission facility that provides a point-to-point connection between a customer premises and a telephone company office."  </w:t>
      </w:r>
      <w:proofErr w:type="gramStart"/>
      <w:r>
        <w:rPr>
          <w:i/>
        </w:rPr>
        <w:t xml:space="preserve">AT&amp;T Corp. v. </w:t>
      </w:r>
      <w:proofErr w:type="spellStart"/>
      <w:r>
        <w:rPr>
          <w:i/>
        </w:rPr>
        <w:t>YMax</w:t>
      </w:r>
      <w:proofErr w:type="spellEnd"/>
      <w:r>
        <w:rPr>
          <w:i/>
        </w:rPr>
        <w:t xml:space="preserve"> Comm. Corp. (</w:t>
      </w:r>
      <w:proofErr w:type="spellStart"/>
      <w:r>
        <w:rPr>
          <w:i/>
        </w:rPr>
        <w:t>YMax</w:t>
      </w:r>
      <w:proofErr w:type="spellEnd"/>
      <w:r>
        <w:rPr>
          <w:i/>
        </w:rPr>
        <w:t>)</w:t>
      </w:r>
      <w:r>
        <w:t>, 26 F.C.C.R. 4752 § 40 (2011).</w:t>
      </w:r>
      <w:proofErr w:type="gramEnd"/>
      <w:r>
        <w:t xml:space="preserve">  To provide "terminations in the end office of end user lines," a carrier must "provide . . . physical transmission facilities that establish point-to-</w:t>
      </w:r>
      <w:r>
        <w:lastRenderedPageBreak/>
        <w:t xml:space="preserve">point connections between the premises of Called/Calling Parties and [the carrier's] equipment.  </w:t>
      </w:r>
      <w:proofErr w:type="spellStart"/>
      <w:proofErr w:type="gramStart"/>
      <w:r>
        <w:rPr>
          <w:i/>
        </w:rPr>
        <w:t>YMax</w:t>
      </w:r>
      <w:proofErr w:type="spellEnd"/>
      <w:r>
        <w:t>, 26 F.C.C.R. 5742 ¶ 37, 41.</w:t>
      </w:r>
      <w:proofErr w:type="gramEnd"/>
    </w:p>
    <w:p w:rsidR="002151EA" w:rsidRDefault="002151EA" w:rsidP="002151EA">
      <w:pPr>
        <w:ind w:left="1440" w:right="1440"/>
        <w:contextualSpacing/>
      </w:pPr>
      <w:r>
        <w:tab/>
        <w:t xml:space="preserve">The undisputed evidence establishes that </w:t>
      </w:r>
      <w:proofErr w:type="spellStart"/>
      <w:r>
        <w:t>CoreTel</w:t>
      </w:r>
      <w:proofErr w:type="spellEnd"/>
      <w:r>
        <w:t xml:space="preserve"> does not provide the physical infrastructure over which calls are delivered from </w:t>
      </w:r>
      <w:proofErr w:type="spellStart"/>
      <w:r>
        <w:t>CoreTel's</w:t>
      </w:r>
      <w:proofErr w:type="spellEnd"/>
      <w:r>
        <w:t xml:space="preserve"> premises to its customers.  Instead, as in </w:t>
      </w:r>
      <w:proofErr w:type="spellStart"/>
      <w:r>
        <w:rPr>
          <w:i/>
        </w:rPr>
        <w:t>YMax</w:t>
      </w:r>
      <w:proofErr w:type="spellEnd"/>
      <w:r>
        <w:t xml:space="preserve">, </w:t>
      </w:r>
      <w:proofErr w:type="spellStart"/>
      <w:r>
        <w:t>CoreTel</w:t>
      </w:r>
      <w:proofErr w:type="spellEnd"/>
      <w:r>
        <w:t xml:space="preserve"> converts incoming calls into a data stream once they reach its office and then delivers these calls to its customers over the public internet.  </w:t>
      </w:r>
      <w:r>
        <w:rPr>
          <w:i/>
        </w:rPr>
        <w:t xml:space="preserve">See </w:t>
      </w:r>
      <w:proofErr w:type="spellStart"/>
      <w:r>
        <w:rPr>
          <w:i/>
        </w:rPr>
        <w:t>Ymax</w:t>
      </w:r>
      <w:proofErr w:type="spellEnd"/>
      <w:r>
        <w:t>, 26 F.C.C.R. 5742, ¶ 41; J.S. 390(k), (Q)-</w:t>
      </w:r>
      <w:r w:rsidR="00CD6419">
        <w:t>(R)</w:t>
      </w:r>
      <w:r>
        <w:t xml:space="preserve">, (T)-(W).  This evidence makes clear that </w:t>
      </w:r>
      <w:proofErr w:type="spellStart"/>
      <w:r>
        <w:t>CoreTel</w:t>
      </w:r>
      <w:proofErr w:type="spellEnd"/>
      <w:r>
        <w:t xml:space="preserve"> has not deployed its own physical facilities to connect it to its customers and, accordingly, does not provide "terminations in the end office of end user lines" as required by its tariffs.</w:t>
      </w:r>
    </w:p>
    <w:p w:rsidR="002151EA" w:rsidRDefault="002151EA" w:rsidP="002151EA">
      <w:pPr>
        <w:ind w:left="1440" w:right="1440"/>
        <w:contextualSpacing/>
      </w:pPr>
      <w:r>
        <w:tab/>
        <w:t xml:space="preserve">It is no mere technicality that the language of </w:t>
      </w:r>
      <w:proofErr w:type="spellStart"/>
      <w:r>
        <w:t>CoreTel's</w:t>
      </w:r>
      <w:proofErr w:type="spellEnd"/>
      <w:r>
        <w:t xml:space="preserve"> tariff requires that </w:t>
      </w:r>
      <w:proofErr w:type="spellStart"/>
      <w:r>
        <w:t>CoreTel</w:t>
      </w:r>
      <w:proofErr w:type="spellEnd"/>
      <w:r>
        <w:t xml:space="preserve"> itself provide the facilities.  End-office switching charges are among the highest recurring charges in any carrier's tariff, a price that is ordinarily justified by the need "to allow local exchange carriers to recover the substantial investment required to construct the tangible connections between themselves and their customer throughout their service territory."  </w:t>
      </w:r>
      <w:proofErr w:type="spellStart"/>
      <w:r>
        <w:rPr>
          <w:i/>
        </w:rPr>
        <w:t>YMax</w:t>
      </w:r>
      <w:proofErr w:type="spellEnd"/>
      <w:r>
        <w:rPr>
          <w:i/>
        </w:rPr>
        <w:t xml:space="preserve">, </w:t>
      </w:r>
      <w:r>
        <w:t xml:space="preserve">26 F.C.C.R. 5742, ¶40.  A carrier that finds a way to deliver incoming calls to its customer without building physical connections to each of them has far less infrastructure investment to recoup. . . .  The language of </w:t>
      </w:r>
      <w:proofErr w:type="spellStart"/>
      <w:r>
        <w:t>CoreTel's</w:t>
      </w:r>
      <w:proofErr w:type="spellEnd"/>
      <w:r>
        <w:t xml:space="preserve"> end-office switching service does not permit that specific tariff rate to be applied when </w:t>
      </w:r>
      <w:proofErr w:type="spellStart"/>
      <w:r>
        <w:t>CoreTel</w:t>
      </w:r>
      <w:proofErr w:type="spellEnd"/>
      <w:r>
        <w:t xml:space="preserve"> delivers calls to customers over the public Internet rather than using a physical facility owed to </w:t>
      </w:r>
      <w:proofErr w:type="spellStart"/>
      <w:r>
        <w:t>CoreTel</w:t>
      </w:r>
      <w:proofErr w:type="spellEnd"/>
      <w:r>
        <w:t>.</w:t>
      </w:r>
    </w:p>
    <w:p w:rsidR="002151EA" w:rsidRDefault="002151EA" w:rsidP="002151EA">
      <w:pPr>
        <w:spacing w:line="360" w:lineRule="auto"/>
        <w:contextualSpacing/>
      </w:pPr>
      <w:proofErr w:type="spellStart"/>
      <w:proofErr w:type="gramStart"/>
      <w:r>
        <w:rPr>
          <w:i/>
        </w:rPr>
        <w:t>CoreTel</w:t>
      </w:r>
      <w:proofErr w:type="spellEnd"/>
      <w:r>
        <w:rPr>
          <w:i/>
        </w:rPr>
        <w:t xml:space="preserve"> VA</w:t>
      </w:r>
      <w:r>
        <w:t xml:space="preserve"> at 374.</w:t>
      </w:r>
      <w:proofErr w:type="gramEnd"/>
      <w:r>
        <w:t xml:space="preserve">   </w:t>
      </w:r>
    </w:p>
    <w:p w:rsidR="002151EA" w:rsidRDefault="002151EA" w:rsidP="002151EA">
      <w:pPr>
        <w:spacing w:line="360" w:lineRule="auto"/>
        <w:contextualSpacing/>
        <w:rPr>
          <w:b/>
        </w:rPr>
      </w:pPr>
    </w:p>
    <w:p w:rsidR="000E4250" w:rsidRDefault="000E4250" w:rsidP="002151EA">
      <w:pPr>
        <w:spacing w:line="360" w:lineRule="auto"/>
        <w:contextualSpacing/>
      </w:pPr>
      <w:r>
        <w:rPr>
          <w:b/>
        </w:rPr>
        <w:tab/>
      </w:r>
      <w:r>
        <w:rPr>
          <w:b/>
        </w:rPr>
        <w:tab/>
      </w:r>
      <w:r>
        <w:t xml:space="preserve">In the </w:t>
      </w:r>
      <w:r>
        <w:rPr>
          <w:i/>
        </w:rPr>
        <w:t>February 2015 Declaratory Order,</w:t>
      </w:r>
      <w:r>
        <w:t xml:space="preserve"> the FCC notes that the case turned on the specific definition of switched access service in </w:t>
      </w:r>
      <w:proofErr w:type="spellStart"/>
      <w:r>
        <w:t>CoreTel's</w:t>
      </w:r>
      <w:proofErr w:type="spellEnd"/>
      <w:r>
        <w:t xml:space="preserve"> tariff, which was not the same as the service for which </w:t>
      </w:r>
      <w:proofErr w:type="spellStart"/>
      <w:r>
        <w:t>CoreTel</w:t>
      </w:r>
      <w:proofErr w:type="spellEnd"/>
      <w:r>
        <w:t xml:space="preserve"> billed Verizon Virginia.  The Court stated that the specific governed the general, and that this was a contract interpretation case</w:t>
      </w:r>
      <w:r w:rsidR="00037A29">
        <w:t xml:space="preserve"> rather than a </w:t>
      </w:r>
      <w:r w:rsidR="00366C5C">
        <w:t xml:space="preserve">question of strict application of the VoIP Symmetry Rule.  </w:t>
      </w:r>
      <w:r w:rsidR="00366C5C">
        <w:rPr>
          <w:i/>
        </w:rPr>
        <w:t xml:space="preserve">February 2015 Declaratory Order </w:t>
      </w:r>
      <w:r w:rsidR="00366C5C">
        <w:t>¶ 39.</w:t>
      </w:r>
    </w:p>
    <w:p w:rsidR="00366C5C" w:rsidRPr="00366C5C" w:rsidRDefault="00366C5C" w:rsidP="002151EA">
      <w:pPr>
        <w:spacing w:line="360" w:lineRule="auto"/>
        <w:contextualSpacing/>
      </w:pPr>
    </w:p>
    <w:p w:rsidR="002151EA" w:rsidRPr="00973A12" w:rsidRDefault="00973A12" w:rsidP="00590E0C">
      <w:pPr>
        <w:spacing w:line="360" w:lineRule="auto"/>
        <w:rPr>
          <w:b/>
        </w:rPr>
      </w:pPr>
      <w:r>
        <w:tab/>
      </w:r>
      <w:r>
        <w:rPr>
          <w:b/>
        </w:rPr>
        <w:t>5.</w:t>
      </w:r>
      <w:r>
        <w:rPr>
          <w:b/>
        </w:rPr>
        <w:tab/>
        <w:t xml:space="preserve">AT&amp;T v. </w:t>
      </w:r>
      <w:r w:rsidR="00FC7E5F">
        <w:rPr>
          <w:b/>
        </w:rPr>
        <w:t>Core</w:t>
      </w:r>
      <w:r w:rsidR="009805D5">
        <w:rPr>
          <w:b/>
        </w:rPr>
        <w:fldChar w:fldCharType="begin"/>
      </w:r>
      <w:r w:rsidR="009805D5">
        <w:instrText xml:space="preserve"> TC "</w:instrText>
      </w:r>
      <w:bookmarkStart w:id="32" w:name="_Toc438209072"/>
      <w:bookmarkStart w:id="33" w:name="_Toc438209164"/>
      <w:bookmarkStart w:id="34" w:name="_Toc438209680"/>
      <w:bookmarkStart w:id="35" w:name="_Toc438210397"/>
      <w:r w:rsidR="009805D5" w:rsidRPr="00F02F07">
        <w:rPr>
          <w:b/>
        </w:rPr>
        <w:instrText>5.</w:instrText>
      </w:r>
      <w:r w:rsidR="009805D5" w:rsidRPr="00F02F07">
        <w:rPr>
          <w:b/>
        </w:rPr>
        <w:tab/>
        <w:instrText>AT&amp;T v. Core</w:instrText>
      </w:r>
      <w:bookmarkEnd w:id="32"/>
      <w:bookmarkEnd w:id="33"/>
      <w:bookmarkEnd w:id="34"/>
      <w:bookmarkEnd w:id="35"/>
      <w:r w:rsidR="009805D5">
        <w:instrText xml:space="preserve">" \f C \l "3" </w:instrText>
      </w:r>
      <w:r w:rsidR="009805D5">
        <w:rPr>
          <w:b/>
        </w:rPr>
        <w:fldChar w:fldCharType="end"/>
      </w:r>
    </w:p>
    <w:p w:rsidR="002151EA" w:rsidRDefault="002151EA" w:rsidP="00590E0C">
      <w:pPr>
        <w:spacing w:line="360" w:lineRule="auto"/>
      </w:pPr>
    </w:p>
    <w:p w:rsidR="00AF14F2" w:rsidRDefault="00E2004D" w:rsidP="00590E0C">
      <w:pPr>
        <w:spacing w:line="360" w:lineRule="auto"/>
      </w:pPr>
      <w:r>
        <w:tab/>
      </w:r>
      <w:r>
        <w:tab/>
      </w:r>
      <w:r w:rsidR="00D53EA7">
        <w:t>Although not in the Commission's Remand Order, also relevant is t</w:t>
      </w:r>
      <w:r>
        <w:t xml:space="preserve">he case of </w:t>
      </w:r>
      <w:r>
        <w:rPr>
          <w:i/>
        </w:rPr>
        <w:t xml:space="preserve">AT&amp;T Corp.; Teleport Communications of America, LLC v. Core Communications, Inc., and the Pa. Pub. Util. Comm'n, </w:t>
      </w:r>
      <w:r>
        <w:t>Nos. 14-1499 &amp; 14-1664 (Opinion filed November 25, 2015) (3</w:t>
      </w:r>
      <w:r w:rsidRPr="00E2004D">
        <w:rPr>
          <w:vertAlign w:val="superscript"/>
        </w:rPr>
        <w:t>rd</w:t>
      </w:r>
      <w:r>
        <w:t xml:space="preserve"> Cir. 2015), provides a useful history of the evolution of telecommunications law from the passage of </w:t>
      </w:r>
      <w:r>
        <w:lastRenderedPageBreak/>
        <w:t>the Telecommunications Act of 1996</w:t>
      </w:r>
      <w:r w:rsidR="00AF14F2">
        <w:t xml:space="preserve"> (TCA)</w:t>
      </w:r>
      <w:r>
        <w:t xml:space="preserve">, 47 U.S.C. § 151 </w:t>
      </w:r>
      <w:r>
        <w:rPr>
          <w:i/>
        </w:rPr>
        <w:t>et seq.,</w:t>
      </w:r>
      <w:r>
        <w:t xml:space="preserve"> to the state of the law today. </w:t>
      </w:r>
      <w:r w:rsidR="00AF14F2">
        <w:t xml:space="preserve"> The "nutshell" version follows.</w:t>
      </w:r>
    </w:p>
    <w:p w:rsidR="00AF14F2" w:rsidRDefault="00AF14F2" w:rsidP="00590E0C">
      <w:pPr>
        <w:spacing w:line="360" w:lineRule="auto"/>
      </w:pPr>
    </w:p>
    <w:p w:rsidR="00AF14F2" w:rsidRDefault="00AF14F2" w:rsidP="00590E0C">
      <w:pPr>
        <w:spacing w:line="360" w:lineRule="auto"/>
      </w:pPr>
      <w:r>
        <w:tab/>
      </w:r>
      <w:r>
        <w:tab/>
      </w:r>
      <w:r w:rsidR="00E2004D">
        <w:t>The Court</w:t>
      </w:r>
      <w:r>
        <w:t xml:space="preserve"> began by stating that one of the principal goals of the TCA was to end local telephone monopolies and to develop a national telecommunications policy that strongly favored local telephone competition, and two classes of LECs were created:  new market entrants, called "competitive" LECs, and the former state-regulated monopolies, called "incumbent" LECs.</w:t>
      </w:r>
    </w:p>
    <w:p w:rsidR="00AF14F2" w:rsidRDefault="00AF14F2" w:rsidP="00590E0C">
      <w:pPr>
        <w:spacing w:line="360" w:lineRule="auto"/>
      </w:pPr>
    </w:p>
    <w:p w:rsidR="00AF14F2" w:rsidRDefault="00AF14F2" w:rsidP="00590E0C">
      <w:pPr>
        <w:spacing w:line="360" w:lineRule="auto"/>
      </w:pPr>
      <w:r>
        <w:tab/>
      </w:r>
      <w:r>
        <w:tab/>
        <w:t>Because of the barriers to entry associated with building a network, the TCA required ILECs to allow CLECs to connect to their preexisting networks.  47 U.S.C. § 251(c</w:t>
      </w:r>
      <w:proofErr w:type="gramStart"/>
      <w:r>
        <w:t>)(</w:t>
      </w:r>
      <w:proofErr w:type="gramEnd"/>
      <w:r>
        <w:t>2).  The Court explains:</w:t>
      </w:r>
    </w:p>
    <w:p w:rsidR="00CA19FB" w:rsidRDefault="00CA19FB" w:rsidP="00CA19FB"/>
    <w:p w:rsidR="00E327D1" w:rsidRDefault="00AF14F2" w:rsidP="00E327D1">
      <w:pPr>
        <w:ind w:left="1440" w:right="1440"/>
      </w:pPr>
      <w:r>
        <w:t>"Interconnection allows customers of one LEC to call the customers of another, with the calling party's LEC (the "originating" carrier) transporting the call to the connection point, where the called party's LEC (the "terminating" carrier) takes over and transports the call to its end point.:</w:t>
      </w:r>
      <w:r>
        <w:rPr>
          <w:rStyle w:val="FootnoteReference"/>
        </w:rPr>
        <w:footnoteReference w:id="11"/>
      </w:r>
      <w:r w:rsidR="00E2004D">
        <w:t xml:space="preserve"> </w:t>
      </w:r>
      <w:r w:rsidR="00E327D1">
        <w:t>Without mandatory interconnection, a CLEC's customers would not be able to connect with friends or family who are customers of other phone companies – whether ILEC or CLEC.</w:t>
      </w:r>
    </w:p>
    <w:p w:rsidR="00E2004D" w:rsidRDefault="00E2004D" w:rsidP="00E327D1">
      <w:pPr>
        <w:ind w:left="1440" w:right="1440"/>
      </w:pPr>
    </w:p>
    <w:p w:rsidR="00E2004D" w:rsidRDefault="00E327D1" w:rsidP="00590E0C">
      <w:pPr>
        <w:spacing w:line="360" w:lineRule="auto"/>
        <w:rPr>
          <w:i/>
        </w:rPr>
      </w:pPr>
      <w:proofErr w:type="gramStart"/>
      <w:r>
        <w:rPr>
          <w:i/>
        </w:rPr>
        <w:t xml:space="preserve">AT&amp;T v. </w:t>
      </w:r>
      <w:r w:rsidR="00295B6E">
        <w:rPr>
          <w:i/>
        </w:rPr>
        <w:t>Core</w:t>
      </w:r>
      <w:r>
        <w:rPr>
          <w:i/>
        </w:rPr>
        <w:t xml:space="preserve"> </w:t>
      </w:r>
      <w:r w:rsidRPr="00E327D1">
        <w:t>at 5.</w:t>
      </w:r>
      <w:proofErr w:type="gramEnd"/>
      <w:r>
        <w:rPr>
          <w:i/>
        </w:rPr>
        <w:t xml:space="preserve"> </w:t>
      </w:r>
    </w:p>
    <w:p w:rsidR="00E327D1" w:rsidRDefault="00E327D1" w:rsidP="00590E0C">
      <w:pPr>
        <w:spacing w:line="360" w:lineRule="auto"/>
      </w:pPr>
    </w:p>
    <w:p w:rsidR="00E327D1" w:rsidRDefault="00E327D1" w:rsidP="00590E0C">
      <w:pPr>
        <w:spacing w:line="360" w:lineRule="auto"/>
      </w:pPr>
      <w:r>
        <w:tab/>
      </w:r>
      <w:r>
        <w:tab/>
        <w:t xml:space="preserve">Financing is provided according to the "originator pays" rule, where a customer of Carrier A places a local call to a customer of Carrier B, Carrier A must pay Carrier B for terminating the call.  The theory was that the costs would even out, as the calls were made back and forth between the carriers.  Consequently, all LECs have a duty to establish reciprocal compensation arrangements for the transport and termination of telecommunications.  </w:t>
      </w:r>
    </w:p>
    <w:p w:rsidR="00E327D1" w:rsidRDefault="00E327D1" w:rsidP="00590E0C">
      <w:pPr>
        <w:spacing w:line="360" w:lineRule="auto"/>
      </w:pPr>
    </w:p>
    <w:p w:rsidR="00CD6419" w:rsidRDefault="00E327D1" w:rsidP="00590E0C">
      <w:pPr>
        <w:spacing w:line="360" w:lineRule="auto"/>
      </w:pPr>
      <w:r>
        <w:tab/>
      </w:r>
      <w:r>
        <w:tab/>
        <w:t xml:space="preserve">However, when dial-up Internet appeared, it invalidated the assumptions that had been made to support the </w:t>
      </w:r>
      <w:r w:rsidR="00CD6419">
        <w:t>"</w:t>
      </w:r>
      <w:r>
        <w:t>originator pays</w:t>
      </w:r>
      <w:r w:rsidR="00CD6419">
        <w:t>"</w:t>
      </w:r>
      <w:r>
        <w:t xml:space="preserve"> rule, as calls were made to ISP providers and no calls were returned.  This created the opportunity for regulatory arbitrage, as both traffic and the money flow in one direction.  A carrier with a customer base of ISPs could be paid to terminate </w:t>
      </w:r>
      <w:r>
        <w:lastRenderedPageBreak/>
        <w:t xml:space="preserve">calls without reciprocating.  This became a costly problem for the ILECs, and the FCC recognized and addressed it </w:t>
      </w:r>
      <w:r w:rsidR="00456120">
        <w:t xml:space="preserve">in </w:t>
      </w:r>
      <w:r>
        <w:t xml:space="preserve">its 1999 </w:t>
      </w:r>
      <w:r w:rsidRPr="00456120">
        <w:rPr>
          <w:i/>
        </w:rPr>
        <w:t>Declaratory Ruling</w:t>
      </w:r>
      <w:r>
        <w:t>.</w:t>
      </w:r>
      <w:r>
        <w:rPr>
          <w:rStyle w:val="FootnoteReference"/>
        </w:rPr>
        <w:footnoteReference w:id="12"/>
      </w:r>
      <w:r w:rsidR="00456120">
        <w:t xml:space="preserve">  The FCC found that the reciprocal compensation scheme of § 251 does not apply to ISP-bound traffic.  Following litigation, the FCC issued the </w:t>
      </w:r>
      <w:r w:rsidR="00456120">
        <w:rPr>
          <w:i/>
        </w:rPr>
        <w:t xml:space="preserve">ISP Remand Order, </w:t>
      </w:r>
      <w:r w:rsidR="00456120">
        <w:t xml:space="preserve">which recognized ISP-bound traffic as a hybrid between interstate and intrastate traffic, and categorized it as "information access," thus exempted from </w:t>
      </w:r>
    </w:p>
    <w:p w:rsidR="00E62D8B" w:rsidRDefault="00456120" w:rsidP="00590E0C">
      <w:pPr>
        <w:spacing w:line="360" w:lineRule="auto"/>
      </w:pPr>
      <w:r>
        <w:t>§ 251(b</w:t>
      </w:r>
      <w:proofErr w:type="gramStart"/>
      <w:r>
        <w:t>)(</w:t>
      </w:r>
      <w:proofErr w:type="gramEnd"/>
      <w:r>
        <w:t>5) by its inclusion in § 251(g).</w:t>
      </w:r>
      <w:r w:rsidR="00AC0CC1">
        <w:t xml:space="preserve">  Importantly, the FCC set a rate cap for ISP-bound traffic at $0.0007 per minute of use (MOU)</w:t>
      </w:r>
      <w:r w:rsidR="00E62D8B">
        <w:t>, which still exists,</w:t>
      </w:r>
      <w:r w:rsidR="00E62D8B">
        <w:rPr>
          <w:rStyle w:val="FootnoteReference"/>
        </w:rPr>
        <w:footnoteReference w:id="13"/>
      </w:r>
      <w:r w:rsidR="00E62D8B">
        <w:t xml:space="preserve">  and the mirroring rule, under which ILECs that seek to benefit from the rate caps must also terminate their own traffic at the same rate, also still in effect.  </w:t>
      </w:r>
    </w:p>
    <w:p w:rsidR="00E62D8B" w:rsidRDefault="00E62D8B" w:rsidP="00590E0C">
      <w:pPr>
        <w:spacing w:line="360" w:lineRule="auto"/>
      </w:pPr>
    </w:p>
    <w:p w:rsidR="00E62D8B" w:rsidRDefault="00E62D8B" w:rsidP="00590E0C">
      <w:pPr>
        <w:spacing w:line="360" w:lineRule="auto"/>
      </w:pPr>
      <w:r>
        <w:tab/>
      </w:r>
      <w:r>
        <w:tab/>
        <w:t xml:space="preserve">The subject matter of the </w:t>
      </w:r>
      <w:r>
        <w:rPr>
          <w:i/>
        </w:rPr>
        <w:t xml:space="preserve">AT&amp;T v. Core </w:t>
      </w:r>
      <w:r>
        <w:t xml:space="preserve">case was Core's </w:t>
      </w:r>
      <w:r w:rsidR="00A04236">
        <w:t>back billing</w:t>
      </w:r>
      <w:r>
        <w:t xml:space="preserve"> to AT&amp;T for the period of time from 2004 and 2009.  Core's only customers at that time were ISPs that provided dial-up internet connections to at-home internet users.  AT&amp;T's customers placed calls to Core's customers in order to gain dial-up access to the internet.  All of the calls at issue were local, originating and terminating in the same local exchange area.  Each AT&amp;T customer's call was delivered by AT&amp;T to Verizon, which then sent the call to Core, and Core terminated the call to the ISP.  </w:t>
      </w:r>
    </w:p>
    <w:p w:rsidR="00E62D8B" w:rsidRDefault="00E62D8B" w:rsidP="00590E0C">
      <w:pPr>
        <w:spacing w:line="360" w:lineRule="auto"/>
      </w:pPr>
    </w:p>
    <w:p w:rsidR="00AC0CC1" w:rsidRDefault="00E62D8B" w:rsidP="00590E0C">
      <w:pPr>
        <w:spacing w:line="360" w:lineRule="auto"/>
      </w:pPr>
      <w:r>
        <w:tab/>
      </w:r>
      <w:r>
        <w:tab/>
        <w:t xml:space="preserve">Core's tariff on file with the Commission was an intrastate switched access tariff that specified Core's rate for terminating long-distance calls but did not relate to local calls.  </w:t>
      </w:r>
      <w:r w:rsidR="00B7011F">
        <w:t>In January 2008, Core billed AT&amp;T for calls dating back to June 2004 at the long-distance rate specified in its state tariff, $0.014/MOU.  AT&amp;T refused to pay, claiming that the traffic had been exchanged on a bill-and-keep basis.  The Commission ruled that Core could recover at the rate cap level of $0.0007/MOU, and that the claim was limited by the applicable four-year statute of limitations.</w:t>
      </w:r>
      <w:r>
        <w:t xml:space="preserve"> </w:t>
      </w:r>
      <w:r w:rsidR="00B7011F">
        <w:t xml:space="preserve">AT&amp;T filed suit in the District Court, which reversed the Commission.  The Third Circuit reversed the District Court, finding that jurisdiction over the matter was concurrent with </w:t>
      </w:r>
      <w:r w:rsidR="00B7011F">
        <w:lastRenderedPageBreak/>
        <w:t xml:space="preserve">the FCC and not preempted by federal law, so long as the state law does not conflict with federal law, i.e., the rate cap is respected.  </w:t>
      </w:r>
      <w:r w:rsidR="00B15B73">
        <w:t>The Court states:</w:t>
      </w:r>
    </w:p>
    <w:p w:rsidR="00CA19FB" w:rsidRDefault="00CA19FB" w:rsidP="00CA19FB"/>
    <w:p w:rsidR="00B15B73" w:rsidRDefault="00B15B73" w:rsidP="00B15B73">
      <w:pPr>
        <w:ind w:left="1440" w:right="1440"/>
      </w:pPr>
      <w:r>
        <w:t xml:space="preserve">. . . </w:t>
      </w:r>
      <w:proofErr w:type="gramStart"/>
      <w:r>
        <w:t>although</w:t>
      </w:r>
      <w:proofErr w:type="gramEnd"/>
      <w:r>
        <w:t xml:space="preserve"> ISP-bound local traffic is </w:t>
      </w:r>
      <w:r>
        <w:rPr>
          <w:i/>
        </w:rPr>
        <w:t xml:space="preserve">jurisdictionally </w:t>
      </w:r>
      <w:r>
        <w:t>interstate, it is still subject to state control unless otherwise preempted by the FCC.  Nothing in the ISP</w:t>
      </w:r>
      <w:r>
        <w:rPr>
          <w:i/>
        </w:rPr>
        <w:t xml:space="preserve"> Remand Order</w:t>
      </w:r>
      <w:r>
        <w:t xml:space="preserve"> requires federal tariffing; had the FCC intended that ISP-bound traffic rates be governed by federal tariffs, it would have set rates to be tariffed, not </w:t>
      </w:r>
      <w:r>
        <w:rPr>
          <w:i/>
        </w:rPr>
        <w:t>rate caps</w:t>
      </w:r>
      <w:r>
        <w:t xml:space="preserve"> that set the upper limits to state tariffs.  ISP-bound traffic is therefore fundamentally different from interstate switched-access services, and there is no federal tariffing requirement.</w:t>
      </w:r>
    </w:p>
    <w:p w:rsidR="00B15B73" w:rsidRDefault="00B15B73" w:rsidP="00590E0C">
      <w:pPr>
        <w:spacing w:line="360" w:lineRule="auto"/>
      </w:pPr>
      <w:proofErr w:type="gramStart"/>
      <w:r>
        <w:rPr>
          <w:i/>
        </w:rPr>
        <w:t xml:space="preserve">AT&amp;T v. Core </w:t>
      </w:r>
      <w:r>
        <w:t>at 30.</w:t>
      </w:r>
      <w:proofErr w:type="gramEnd"/>
    </w:p>
    <w:p w:rsidR="00B15B73" w:rsidRDefault="00B15B73" w:rsidP="00590E0C">
      <w:pPr>
        <w:spacing w:line="360" w:lineRule="auto"/>
      </w:pPr>
    </w:p>
    <w:p w:rsidR="00B15B73" w:rsidRDefault="00B15B73" w:rsidP="00590E0C">
      <w:pPr>
        <w:spacing w:line="360" w:lineRule="auto"/>
      </w:pPr>
      <w:r>
        <w:tab/>
      </w:r>
      <w:r>
        <w:tab/>
        <w:t xml:space="preserve">Still, AT&amp;T argued that the </w:t>
      </w:r>
      <w:r w:rsidR="00A04236">
        <w:t>back billing</w:t>
      </w:r>
      <w:r>
        <w:t xml:space="preserve"> was in violation of the rule against retroactivity and the </w:t>
      </w:r>
      <w:proofErr w:type="spellStart"/>
      <w:r>
        <w:t>filed</w:t>
      </w:r>
      <w:proofErr w:type="spellEnd"/>
      <w:r>
        <w:t xml:space="preserve"> rate doctrine.  The Court explained:</w:t>
      </w:r>
    </w:p>
    <w:p w:rsidR="00B15B73" w:rsidRDefault="00B15B73" w:rsidP="00590E0C">
      <w:pPr>
        <w:spacing w:line="360" w:lineRule="auto"/>
      </w:pPr>
    </w:p>
    <w:p w:rsidR="00B15B73" w:rsidRDefault="00B15B73" w:rsidP="00830F3D">
      <w:pPr>
        <w:ind w:left="1440" w:right="1440"/>
      </w:pPr>
      <w:r>
        <w:t>"The purpose of the rule against retroactivity, and the closely related filed rate doctrine, is to ensure predictability."</w:t>
      </w:r>
      <w:r>
        <w:rPr>
          <w:rStyle w:val="FootnoteReference"/>
        </w:rPr>
        <w:footnoteReference w:id="14"/>
      </w:r>
      <w:r>
        <w:t xml:space="preserve">  The question is therefore whether, absent an agreement, it was predictable that the state commission would apply a rate equal to the federal rate cap.  AT&amp;T was on notice since 2001 that it could be subject to payment for the exchange of ISP-bound traffic and on notice since 2004 that a $0/MOU rate would not be the general default.  While AT&amp;T assumed this traffic was being transmitted on a bill-and-keep basis and it had bill-and-keep arrangements with other CLECs, Core charges other CLECs it interconnects with</w:t>
      </w:r>
      <w:r w:rsidR="00830F3D">
        <w:t xml:space="preserve">, so there is no reason to think AT&amp;T's assumption is the industry norm.  </w:t>
      </w:r>
    </w:p>
    <w:p w:rsidR="00526227" w:rsidRDefault="00526227" w:rsidP="00830F3D">
      <w:pPr>
        <w:ind w:left="1440" w:right="1440"/>
      </w:pPr>
    </w:p>
    <w:p w:rsidR="00830F3D" w:rsidRPr="00830F3D" w:rsidRDefault="00830F3D" w:rsidP="00590E0C">
      <w:pPr>
        <w:spacing w:line="360" w:lineRule="auto"/>
      </w:pPr>
      <w:proofErr w:type="gramStart"/>
      <w:r>
        <w:rPr>
          <w:i/>
        </w:rPr>
        <w:t>AT&amp;T v. Core at 32.</w:t>
      </w:r>
      <w:proofErr w:type="gramEnd"/>
      <w:r>
        <w:rPr>
          <w:i/>
        </w:rPr>
        <w:t xml:space="preserve"> </w:t>
      </w:r>
      <w:r>
        <w:t>(</w:t>
      </w:r>
      <w:proofErr w:type="gramStart"/>
      <w:r>
        <w:t>reference</w:t>
      </w:r>
      <w:proofErr w:type="gramEnd"/>
      <w:r>
        <w:t xml:space="preserve"> to PUC's Initial Decision omitted)  Ultimately, the Third Circuit found that federal law did not require that Core be compensated but neither did it bar Pennsylvania from finding that Core should be compensated under state law.  </w:t>
      </w:r>
    </w:p>
    <w:p w:rsidR="00AC0CC1" w:rsidRDefault="00AC0CC1" w:rsidP="00590E0C">
      <w:pPr>
        <w:spacing w:line="360" w:lineRule="auto"/>
      </w:pPr>
    </w:p>
    <w:p w:rsidR="00590E0C" w:rsidRPr="00973A12" w:rsidRDefault="00590E0C" w:rsidP="00590E0C">
      <w:pPr>
        <w:spacing w:line="360" w:lineRule="auto"/>
        <w:rPr>
          <w:b/>
        </w:rPr>
      </w:pPr>
      <w:r>
        <w:tab/>
      </w:r>
      <w:r w:rsidR="00973A12" w:rsidRPr="00973A12">
        <w:rPr>
          <w:b/>
        </w:rPr>
        <w:t>6.</w:t>
      </w:r>
      <w:r w:rsidR="002151EA" w:rsidRPr="00973A12">
        <w:rPr>
          <w:b/>
        </w:rPr>
        <w:tab/>
      </w:r>
      <w:r w:rsidR="00FC7E5F">
        <w:rPr>
          <w:b/>
        </w:rPr>
        <w:t>Evidence and Disposition</w:t>
      </w:r>
      <w:r w:rsidR="009805D5">
        <w:rPr>
          <w:b/>
        </w:rPr>
        <w:fldChar w:fldCharType="begin"/>
      </w:r>
      <w:r w:rsidR="009805D5">
        <w:instrText xml:space="preserve"> TC "</w:instrText>
      </w:r>
      <w:bookmarkStart w:id="36" w:name="_Toc438209073"/>
      <w:bookmarkStart w:id="37" w:name="_Toc438209165"/>
      <w:bookmarkStart w:id="38" w:name="_Toc438209681"/>
      <w:bookmarkStart w:id="39" w:name="_Toc438210398"/>
      <w:r w:rsidR="009805D5" w:rsidRPr="001C1B82">
        <w:rPr>
          <w:b/>
        </w:rPr>
        <w:instrText>6.</w:instrText>
      </w:r>
      <w:r w:rsidR="009805D5" w:rsidRPr="001C1B82">
        <w:rPr>
          <w:b/>
        </w:rPr>
        <w:tab/>
        <w:instrText>Evidence and Disposition</w:instrText>
      </w:r>
      <w:bookmarkEnd w:id="36"/>
      <w:bookmarkEnd w:id="37"/>
      <w:bookmarkEnd w:id="38"/>
      <w:bookmarkEnd w:id="39"/>
      <w:r w:rsidR="009805D5">
        <w:instrText xml:space="preserve">" \f C \l "3" </w:instrText>
      </w:r>
      <w:r w:rsidR="009805D5">
        <w:rPr>
          <w:b/>
        </w:rPr>
        <w:fldChar w:fldCharType="end"/>
      </w:r>
    </w:p>
    <w:p w:rsidR="00290C5A" w:rsidRDefault="00290C5A" w:rsidP="001055D6">
      <w:pPr>
        <w:spacing w:line="360" w:lineRule="auto"/>
      </w:pPr>
    </w:p>
    <w:p w:rsidR="001055D6" w:rsidRDefault="00290C5A" w:rsidP="001055D6">
      <w:pPr>
        <w:spacing w:line="360" w:lineRule="auto"/>
      </w:pPr>
      <w:r>
        <w:tab/>
      </w:r>
      <w:r>
        <w:tab/>
      </w:r>
      <w:r w:rsidR="001055D6">
        <w:t>The questions are:</w:t>
      </w:r>
    </w:p>
    <w:p w:rsidR="001055D6" w:rsidRDefault="001055D6" w:rsidP="00290C5A">
      <w:pPr>
        <w:ind w:left="1440" w:right="1440"/>
      </w:pPr>
      <w:r>
        <w:t>1.</w:t>
      </w:r>
      <w:r>
        <w:tab/>
        <w:t xml:space="preserve">Whether the services performed by Core for Verizon are billable under applicable law?  </w:t>
      </w:r>
    </w:p>
    <w:p w:rsidR="001055D6" w:rsidRDefault="001055D6" w:rsidP="00290C5A">
      <w:pPr>
        <w:ind w:left="1440" w:right="1440"/>
      </w:pPr>
    </w:p>
    <w:p w:rsidR="001055D6" w:rsidRDefault="001055D6" w:rsidP="00290C5A">
      <w:pPr>
        <w:ind w:left="1440" w:right="1440"/>
      </w:pPr>
      <w:r>
        <w:t>2.</w:t>
      </w:r>
      <w:r>
        <w:tab/>
        <w:t>Whether bills submitted by Verizon to Core are proper under applicable law?</w:t>
      </w:r>
    </w:p>
    <w:p w:rsidR="001055D6" w:rsidRDefault="001055D6" w:rsidP="00290C5A">
      <w:pPr>
        <w:ind w:left="1440" w:right="1440"/>
      </w:pPr>
    </w:p>
    <w:p w:rsidR="001055D6" w:rsidRDefault="0017679A" w:rsidP="00290C5A">
      <w:pPr>
        <w:ind w:left="1440" w:right="1440"/>
      </w:pPr>
      <w:r>
        <w:t>3</w:t>
      </w:r>
      <w:r w:rsidR="001055D6">
        <w:t>.</w:t>
      </w:r>
      <w:r w:rsidR="001055D6">
        <w:tab/>
        <w:t>Whether any of the actual bills are supported by the evidence?</w:t>
      </w:r>
    </w:p>
    <w:p w:rsidR="001055D6" w:rsidRDefault="001055D6" w:rsidP="00290C5A">
      <w:pPr>
        <w:spacing w:line="360" w:lineRule="auto"/>
        <w:ind w:right="1440"/>
      </w:pPr>
    </w:p>
    <w:p w:rsidR="001055D6" w:rsidRDefault="001055D6" w:rsidP="00590E0C">
      <w:pPr>
        <w:spacing w:line="360" w:lineRule="auto"/>
      </w:pPr>
      <w:r>
        <w:tab/>
      </w:r>
      <w:r>
        <w:tab/>
        <w:t>Facts found in this proceeding regarding the services that Core performs for Verizon are</w:t>
      </w:r>
      <w:r w:rsidR="00D53EA7">
        <w:t xml:space="preserve"> taken from the Initial Decision's Findings of Fact (FOF)</w:t>
      </w:r>
      <w:r>
        <w:t>:</w:t>
      </w:r>
    </w:p>
    <w:p w:rsidR="001055D6" w:rsidRDefault="001055D6" w:rsidP="00590E0C">
      <w:pPr>
        <w:spacing w:line="360" w:lineRule="auto"/>
      </w:pPr>
    </w:p>
    <w:p w:rsidR="00830F3D" w:rsidRDefault="00BA24C8" w:rsidP="00164A30">
      <w:pPr>
        <w:pStyle w:val="ListParagraph"/>
        <w:numPr>
          <w:ilvl w:val="0"/>
          <w:numId w:val="1"/>
        </w:numPr>
      </w:pPr>
      <w:r>
        <w:t xml:space="preserve">Core's customers include local, regional and national ISPs and VoIP providers.  FOF 5.   </w:t>
      </w:r>
    </w:p>
    <w:p w:rsidR="00BA24C8" w:rsidRDefault="00BA24C8" w:rsidP="00164A30"/>
    <w:p w:rsidR="00BA24C8" w:rsidRDefault="00BA24C8" w:rsidP="00164A30">
      <w:pPr>
        <w:pStyle w:val="ListParagraph"/>
        <w:numPr>
          <w:ilvl w:val="0"/>
          <w:numId w:val="1"/>
        </w:numPr>
      </w:pPr>
      <w:r>
        <w:t>Core ordered high capacity</w:t>
      </w:r>
      <w:r w:rsidR="002F5BB8">
        <w:t xml:space="preserve"> "trunks" to carry traffic from Core customers to Verizon and third party local service providers but has not paid Verizon's invoices for them.  FOF 8.  Verizon also terminates traffic originated by Core.  FOF 13.  The trunks that Core has ordered from Verizon may be described as fitting into two categories:  one-way Local Interconnection trunks that carry local and non-Feature Group D </w:t>
      </w:r>
      <w:proofErr w:type="spellStart"/>
      <w:r w:rsidR="002F5BB8">
        <w:t>intraLATA</w:t>
      </w:r>
      <w:proofErr w:type="spellEnd"/>
      <w:r w:rsidR="002F5BB8">
        <w:t xml:space="preserve"> toll calls originated on Core's network, and two-way Access Toll Connecting (ATC) trunks that carry traffic exchanged between Core and interexchange carriers (IXCs).  FOF 16. </w:t>
      </w:r>
    </w:p>
    <w:p w:rsidR="002F5BB8" w:rsidRDefault="002F5BB8" w:rsidP="00164A30"/>
    <w:p w:rsidR="00C87173" w:rsidRDefault="005570E8" w:rsidP="00164A30">
      <w:pPr>
        <w:pStyle w:val="ListParagraph"/>
        <w:numPr>
          <w:ilvl w:val="0"/>
          <w:numId w:val="1"/>
        </w:numPr>
      </w:pPr>
      <w:r>
        <w:t xml:space="preserve">Core uses ATC trunks to exchange long distance traffic with IXCs because Core subtends Verizon's access tandems instead of directly connecting with these IXCs.  The ATCs are used for transiting interexchange traffic, which is a switched access service provided under </w:t>
      </w:r>
      <w:r w:rsidR="00230616">
        <w:t xml:space="preserve">Verizon's access tariffs.  FOF 24.  </w:t>
      </w:r>
    </w:p>
    <w:p w:rsidR="002F5BB8" w:rsidRDefault="00230616" w:rsidP="00164A30">
      <w:pPr>
        <w:ind w:left="1800"/>
      </w:pPr>
      <w:r>
        <w:t xml:space="preserve">  </w:t>
      </w:r>
    </w:p>
    <w:p w:rsidR="00093305" w:rsidRDefault="00093305" w:rsidP="00164A30">
      <w:pPr>
        <w:pStyle w:val="ListParagraph"/>
        <w:numPr>
          <w:ilvl w:val="0"/>
          <w:numId w:val="1"/>
        </w:numPr>
      </w:pPr>
      <w:r>
        <w:t xml:space="preserve">The trunks that Core has ordered from Verizon may be described as fitting into two categories:  (1) one-way Local Interconnection trunks that carry local and non-Feature Group D </w:t>
      </w:r>
      <w:proofErr w:type="spellStart"/>
      <w:r>
        <w:t>intraLATA</w:t>
      </w:r>
      <w:proofErr w:type="spellEnd"/>
      <w:r>
        <w:t xml:space="preserve"> toll calls originated on Core's network, and (2) two-way Access Toll Connecting (ATC) trunks that carry traffic exchanged between Core and interexchange carriers (IXCs).  FOF 16.</w:t>
      </w:r>
      <w:r>
        <w:br/>
      </w:r>
    </w:p>
    <w:p w:rsidR="00C87173" w:rsidRDefault="00C87173" w:rsidP="00164A30">
      <w:pPr>
        <w:pStyle w:val="ListParagraph"/>
        <w:numPr>
          <w:ilvl w:val="0"/>
          <w:numId w:val="1"/>
        </w:numPr>
      </w:pPr>
      <w:r>
        <w:t>Core uses ATC trunks to exchange long distance traffic with IXCs because Core subtends Verizon's access tandems instead of directly connecting with these IXCs.  The ATCs are used for transiting interexchange traffic, which is a switched access service provided under Verizon's access tariffs.  FOF 24.  Verizon has billed Core for facilities charges since approximately 2002.  Other than a single payment of $30.</w:t>
      </w:r>
      <w:r w:rsidR="00B26E92">
        <w:t>66</w:t>
      </w:r>
      <w:r>
        <w:t xml:space="preserve">, Core has not paid Verizon for the use of any facilities.  FOF 25.  </w:t>
      </w:r>
    </w:p>
    <w:p w:rsidR="00093305" w:rsidRDefault="00093305" w:rsidP="00164A30">
      <w:pPr>
        <w:ind w:left="1800"/>
      </w:pPr>
    </w:p>
    <w:p w:rsidR="00093305" w:rsidRDefault="00093305" w:rsidP="00164A30">
      <w:pPr>
        <w:ind w:left="1440"/>
      </w:pPr>
    </w:p>
    <w:p w:rsidR="00093305" w:rsidRDefault="00093305" w:rsidP="00164A30">
      <w:pPr>
        <w:pStyle w:val="ListParagraph"/>
        <w:numPr>
          <w:ilvl w:val="0"/>
          <w:numId w:val="1"/>
        </w:numPr>
      </w:pPr>
      <w:r>
        <w:lastRenderedPageBreak/>
        <w:t xml:space="preserve">Core bills Verizon for all of the minutes terminated to Core over the LITGs that it does not pay for, and Core also bills Verizon for locally dialed and non-Feature Group D toll traffic transited to Core from other local exchange carriers via Verizon's tandem switches, and all intra-MTA traffic from wireless carriers that transits Verizon's tandems.  FOF 39.  </w:t>
      </w:r>
    </w:p>
    <w:p w:rsidR="00093305" w:rsidRDefault="00093305" w:rsidP="00164A30"/>
    <w:p w:rsidR="00B80EAE" w:rsidRDefault="00B80EAE" w:rsidP="00164A30">
      <w:pPr>
        <w:pStyle w:val="ListParagraph"/>
        <w:numPr>
          <w:ilvl w:val="0"/>
          <w:numId w:val="2"/>
        </w:numPr>
        <w:ind w:left="2160"/>
      </w:pPr>
      <w:r>
        <w:t>Core improperly billed Verizon reciprocal compensation for all locally dialed calls originated by other carriers and merely transited by Verizon.  FOF 42.</w:t>
      </w:r>
    </w:p>
    <w:p w:rsidR="00B80EAE" w:rsidRDefault="00B80EAE" w:rsidP="00164A30">
      <w:pPr>
        <w:ind w:left="2160"/>
      </w:pPr>
    </w:p>
    <w:p w:rsidR="00B80EAE" w:rsidRDefault="00B80EAE" w:rsidP="00164A30">
      <w:pPr>
        <w:pStyle w:val="ListParagraph"/>
        <w:numPr>
          <w:ilvl w:val="0"/>
          <w:numId w:val="2"/>
        </w:numPr>
        <w:ind w:left="2160"/>
      </w:pPr>
      <w:r>
        <w:t>All traffic originated by all carriers transmitted over the M</w:t>
      </w:r>
      <w:r w:rsidR="002E6168">
        <w:t>F</w:t>
      </w:r>
      <w:r>
        <w:t xml:space="preserve"> trunks was billed to Verizon.  FOF 43.</w:t>
      </w:r>
    </w:p>
    <w:p w:rsidR="00B80EAE" w:rsidRDefault="00B80EAE" w:rsidP="00164A30">
      <w:pPr>
        <w:ind w:left="2160"/>
      </w:pPr>
    </w:p>
    <w:p w:rsidR="009E5552" w:rsidRDefault="00B80EAE" w:rsidP="00164A30">
      <w:pPr>
        <w:pStyle w:val="ListParagraph"/>
        <w:numPr>
          <w:ilvl w:val="0"/>
          <w:numId w:val="2"/>
        </w:numPr>
        <w:ind w:left="2160"/>
      </w:pPr>
      <w:r>
        <w:t>Core's process of estimating the billable minutes to Verizon for all calls regardless of trunks or carriers failed to exclude third party traffic, including</w:t>
      </w:r>
      <w:r w:rsidR="009E5552">
        <w:t xml:space="preserve"> interexchange minutes that should have been billed to IXCs, and resulted in overstating the minutes billable to Verizon.  FOF 46</w:t>
      </w:r>
      <w:r w:rsidR="002E6168">
        <w:t>, 56</w:t>
      </w:r>
      <w:r w:rsidR="009E5552">
        <w:t>.</w:t>
      </w:r>
    </w:p>
    <w:p w:rsidR="009E5552" w:rsidRDefault="009E5552" w:rsidP="00164A30">
      <w:pPr>
        <w:ind w:left="2160"/>
      </w:pPr>
    </w:p>
    <w:p w:rsidR="002E6168" w:rsidRDefault="009E5552" w:rsidP="00164A30">
      <w:pPr>
        <w:pStyle w:val="ListParagraph"/>
        <w:numPr>
          <w:ilvl w:val="0"/>
          <w:numId w:val="2"/>
        </w:numPr>
        <w:ind w:left="2160"/>
      </w:pPr>
      <w:r>
        <w:t xml:space="preserve">Core has offered no data to support the process it used to </w:t>
      </w:r>
      <w:proofErr w:type="spellStart"/>
      <w:r>
        <w:t>rejurisdictionalize</w:t>
      </w:r>
      <w:proofErr w:type="spellEnd"/>
      <w:r>
        <w:t xml:space="preserve"> the calls to issue the </w:t>
      </w:r>
      <w:r w:rsidR="00A04236">
        <w:t>back bills</w:t>
      </w:r>
      <w:r>
        <w:t xml:space="preserve"> (already paid at the lower rate).  Core provided only the pertinent call detail records mixed with other call records, which did not disclose which calls it considered local versus non-local, or intrastate versus interstate, for purposes of its </w:t>
      </w:r>
      <w:r w:rsidR="00A04236">
        <w:t>back billing</w:t>
      </w:r>
      <w:r>
        <w:t>, rendering Core'</w:t>
      </w:r>
      <w:r w:rsidR="002E6168">
        <w:t>s</w:t>
      </w:r>
      <w:r>
        <w:t xml:space="preserve"> switched access </w:t>
      </w:r>
      <w:r w:rsidR="00A04236">
        <w:t>back bills</w:t>
      </w:r>
      <w:r>
        <w:t xml:space="preserve"> unsupported and invalid.  FOF 55.</w:t>
      </w:r>
    </w:p>
    <w:p w:rsidR="002E6168" w:rsidRDefault="002E6168" w:rsidP="00164A30">
      <w:pPr>
        <w:ind w:left="2160"/>
      </w:pPr>
    </w:p>
    <w:p w:rsidR="002E6168" w:rsidRDefault="002E6168" w:rsidP="00164A30">
      <w:pPr>
        <w:pStyle w:val="ListParagraph"/>
        <w:numPr>
          <w:ilvl w:val="0"/>
          <w:numId w:val="2"/>
        </w:numPr>
        <w:ind w:left="2160"/>
      </w:pPr>
      <w:r>
        <w:t>Core has billed Verizon for switched access for traditional ILEC access rate elements, such as tandem related charges and the carrier common line, but Core does not provide these functions.  FOF 59.</w:t>
      </w:r>
    </w:p>
    <w:p w:rsidR="002E6168" w:rsidRDefault="002E6168" w:rsidP="00164A30">
      <w:pPr>
        <w:ind w:left="2160"/>
      </w:pPr>
    </w:p>
    <w:p w:rsidR="002E6168" w:rsidRDefault="002E6168" w:rsidP="00164A30">
      <w:pPr>
        <w:pStyle w:val="ListParagraph"/>
        <w:numPr>
          <w:ilvl w:val="0"/>
          <w:numId w:val="2"/>
        </w:numPr>
        <w:ind w:left="2160"/>
      </w:pPr>
      <w:r>
        <w:t>Core operates no tandem switches and does not provide tandem switching or tandem transport to Verizon, yet Core has billed Verizon both intrastate and interstate tandem facility charges, double tandem termination charges and tandem switching charges.  FOF 61.</w:t>
      </w:r>
    </w:p>
    <w:p w:rsidR="002E6168" w:rsidRDefault="002E6168" w:rsidP="00164A30">
      <w:pPr>
        <w:ind w:left="2160"/>
      </w:pPr>
    </w:p>
    <w:p w:rsidR="002E6168" w:rsidRDefault="002E6168" w:rsidP="00164A30">
      <w:pPr>
        <w:pStyle w:val="ListParagraph"/>
        <w:numPr>
          <w:ilvl w:val="0"/>
          <w:numId w:val="2"/>
        </w:numPr>
        <w:ind w:left="2160"/>
      </w:pPr>
      <w:r>
        <w:t>Core provides no local loops or carrier common lines, yet Core billed Verizon intrastate carrier common line charges.  FOF 62.</w:t>
      </w:r>
    </w:p>
    <w:p w:rsidR="002E6168" w:rsidRDefault="002E6168" w:rsidP="00164A30">
      <w:pPr>
        <w:ind w:left="2160"/>
      </w:pPr>
    </w:p>
    <w:p w:rsidR="002E6168" w:rsidRDefault="002E6168" w:rsidP="00164A30">
      <w:pPr>
        <w:pStyle w:val="ListParagraph"/>
        <w:numPr>
          <w:ilvl w:val="0"/>
          <w:numId w:val="2"/>
        </w:numPr>
        <w:ind w:left="2160"/>
      </w:pPr>
      <w:r>
        <w:t xml:space="preserve">Core's switched access </w:t>
      </w:r>
      <w:r w:rsidR="00A04236">
        <w:t>back bills</w:t>
      </w:r>
      <w:r>
        <w:t xml:space="preserve"> to Verizon are unreliable because they contain rate and rate application errors, and the Core witness could not verify the calculation of the carrier common line charges billed to Verizon (which constitute the majority of the amounts billed).  FOF 62.</w:t>
      </w:r>
    </w:p>
    <w:p w:rsidR="002E6168" w:rsidRDefault="002E6168" w:rsidP="00164A30">
      <w:pPr>
        <w:ind w:left="2160"/>
      </w:pPr>
    </w:p>
    <w:p w:rsidR="002E6168" w:rsidRDefault="002E6168" w:rsidP="00164A30">
      <w:pPr>
        <w:pStyle w:val="ListParagraph"/>
        <w:numPr>
          <w:ilvl w:val="0"/>
          <w:numId w:val="2"/>
        </w:numPr>
        <w:ind w:left="2160"/>
      </w:pPr>
      <w:r>
        <w:t>Core claims $2,661,655.78 in lost revenues damages representing switched access charges Core believes it could have collected for past traffic terminated over the MF trunks, and for which Core has not billed Verizon</w:t>
      </w:r>
      <w:r w:rsidR="00C87173">
        <w:t xml:space="preserve"> and lacks the information necessary to support them</w:t>
      </w:r>
      <w:r>
        <w:t>.  FOF 64, 65.</w:t>
      </w:r>
    </w:p>
    <w:p w:rsidR="00C87173" w:rsidRDefault="00C87173" w:rsidP="00164A30">
      <w:pPr>
        <w:ind w:left="2160"/>
      </w:pPr>
    </w:p>
    <w:p w:rsidR="00C87173" w:rsidRDefault="00C87173" w:rsidP="00164A30">
      <w:pPr>
        <w:pStyle w:val="ListParagraph"/>
        <w:numPr>
          <w:ilvl w:val="0"/>
          <w:numId w:val="2"/>
        </w:numPr>
        <w:ind w:left="2160"/>
      </w:pPr>
      <w:r>
        <w:t>Core's matching process used for the SS7 trunks was flawed because the criteria used made it impossible to find matches on wireless calls and calls from multi-line accounts, resulting in Verizon being billed for all minutes originated by wireless carriers or from other carriers' multi-line accounts.  FOF 70.</w:t>
      </w:r>
    </w:p>
    <w:p w:rsidR="00C87173" w:rsidRDefault="00C87173" w:rsidP="00164A30">
      <w:pPr>
        <w:ind w:left="2160"/>
      </w:pPr>
    </w:p>
    <w:p w:rsidR="00C87173" w:rsidRDefault="00C87173" w:rsidP="00164A30">
      <w:pPr>
        <w:pStyle w:val="ListParagraph"/>
        <w:numPr>
          <w:ilvl w:val="0"/>
          <w:numId w:val="2"/>
        </w:numPr>
        <w:ind w:left="2160"/>
      </w:pPr>
      <w:r>
        <w:t>Core billed Verizon for IXC traffic because it categorized some ATCTs as LITS, meaning that 100% of the minutes were billed to Verizon as local traffic even though it was IXC traffic.  FOF 71.</w:t>
      </w:r>
    </w:p>
    <w:p w:rsidR="00C87173" w:rsidRDefault="00C87173" w:rsidP="00164A30">
      <w:pPr>
        <w:ind w:left="2160"/>
      </w:pPr>
    </w:p>
    <w:p w:rsidR="00C227AF" w:rsidRDefault="00C227AF" w:rsidP="00164A30">
      <w:pPr>
        <w:pStyle w:val="ListParagraph"/>
        <w:numPr>
          <w:ilvl w:val="0"/>
          <w:numId w:val="2"/>
        </w:numPr>
        <w:ind w:left="2160"/>
      </w:pPr>
      <w:r>
        <w:t xml:space="preserve">Until 2012, Core used MF trunks to carry traffic from Verizon to Core, but failed to abide by the ICAs' requirement to create valid billing records.  Instead, Core used a sampling method of estimating the minutes billable to Verizon which failed to exclude third party traffic, </w:t>
      </w:r>
      <w:r w:rsidR="00B26E92">
        <w:t xml:space="preserve">and </w:t>
      </w:r>
      <w:r>
        <w:t>included interexchange minutes that should have been billed to IXCs.  FOF 72, 73.</w:t>
      </w:r>
    </w:p>
    <w:p w:rsidR="00C227AF" w:rsidRDefault="00C227AF" w:rsidP="00164A30">
      <w:pPr>
        <w:ind w:left="2160"/>
      </w:pPr>
    </w:p>
    <w:p w:rsidR="00C227AF" w:rsidRDefault="00C227AF" w:rsidP="00164A30">
      <w:pPr>
        <w:pStyle w:val="ListParagraph"/>
        <w:numPr>
          <w:ilvl w:val="0"/>
          <w:numId w:val="2"/>
        </w:numPr>
        <w:ind w:left="2160"/>
      </w:pPr>
      <w:r>
        <w:t>The parties' ICAs require Core to generate per-call AMA records for all calls, including those terminated over the MF trunks, but Core did not do so.  FOF 75.</w:t>
      </w:r>
    </w:p>
    <w:p w:rsidR="005A021D" w:rsidRDefault="005A021D" w:rsidP="00164A30">
      <w:pPr>
        <w:ind w:left="2160"/>
      </w:pPr>
    </w:p>
    <w:p w:rsidR="005A021D" w:rsidRDefault="005A021D" w:rsidP="00164A30">
      <w:pPr>
        <w:pStyle w:val="ListParagraph"/>
        <w:numPr>
          <w:ilvl w:val="0"/>
          <w:numId w:val="2"/>
        </w:numPr>
        <w:ind w:left="2160"/>
      </w:pPr>
      <w:r w:rsidRPr="007853B5">
        <w:t xml:space="preserve">For all of the outbound traffic it sends to Verizon for termination, Core is acting as a least-cost router, taking traffic from other wholesale traffic aggregators and terminating it in Pennsylvania.  The traffic is all Voice over Internet Protocol (“VoIP”), is not from numbers assigned to Core, and is not even necessarily originated in Pennsylvania.  </w:t>
      </w:r>
      <w:r>
        <w:t>FOF 81.</w:t>
      </w:r>
    </w:p>
    <w:p w:rsidR="005A021D" w:rsidRDefault="005A021D" w:rsidP="00164A30">
      <w:pPr>
        <w:ind w:left="2160"/>
      </w:pPr>
    </w:p>
    <w:p w:rsidR="005A021D" w:rsidRPr="007853B5" w:rsidRDefault="005A021D" w:rsidP="00164A30">
      <w:pPr>
        <w:pStyle w:val="ListParagraph"/>
        <w:numPr>
          <w:ilvl w:val="0"/>
          <w:numId w:val="2"/>
        </w:numPr>
        <w:tabs>
          <w:tab w:val="left" w:pos="-1440"/>
          <w:tab w:val="left" w:pos="-720"/>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pPr>
      <w:r w:rsidRPr="007853B5">
        <w:t>Core provided Verizon with a sampling of records that Core claimed constituted Core-originated local calls for which Verizon should have credited Core for purposes of the 3:1 ratio calculation</w:t>
      </w:r>
      <w:r>
        <w:t>.  F</w:t>
      </w:r>
      <w:r w:rsidRPr="00164A30">
        <w:rPr>
          <w:color w:val="000000"/>
        </w:rPr>
        <w:t>or the calls Verizon reviewed that had a valid originating number that could be associated with an originating carrier, Verizon was unable to associate more than a miniscule fraction to Core as the local service provider</w:t>
      </w:r>
      <w:r w:rsidRPr="007853B5">
        <w:t xml:space="preserve">.  VZ Stmt. 3.0 at 61.  The analysis showed that most of the calls were not originated by Core and many were interexchange or interstate.  </w:t>
      </w:r>
      <w:r w:rsidRPr="00164A30">
        <w:rPr>
          <w:i/>
        </w:rPr>
        <w:t>Id</w:t>
      </w:r>
      <w:r w:rsidRPr="007853B5">
        <w:t>.</w:t>
      </w:r>
      <w:r>
        <w:t xml:space="preserve"> FOF 82</w:t>
      </w:r>
    </w:p>
    <w:p w:rsidR="005A021D" w:rsidRDefault="005A021D" w:rsidP="00164A30">
      <w:pPr>
        <w:ind w:left="2160"/>
      </w:pPr>
    </w:p>
    <w:p w:rsidR="00C227AF" w:rsidRDefault="00C227AF" w:rsidP="00164A30">
      <w:pPr>
        <w:ind w:left="2160"/>
      </w:pPr>
    </w:p>
    <w:p w:rsidR="00F0506D" w:rsidRDefault="00F0506D" w:rsidP="00F0506D">
      <w:pPr>
        <w:pStyle w:val="ListParagraph"/>
        <w:numPr>
          <w:ilvl w:val="0"/>
          <w:numId w:val="2"/>
        </w:numPr>
        <w:ind w:left="2160"/>
      </w:pPr>
      <w:r>
        <w:t xml:space="preserve">Core's tariff amendments incorporating the VoIP Symmetry Rule were effective February 11, 2012 for Pennsylvania and March 27, 2012 for its FCC tariff.  The back-billing for which Core seeks payment predate those tariff amendments, and most of the bills predate the Rule itself.  VZ RBR at 8.  </w:t>
      </w:r>
    </w:p>
    <w:p w:rsidR="00F0506D" w:rsidRDefault="00F0506D" w:rsidP="00F0506D">
      <w:pPr>
        <w:ind w:left="2160"/>
      </w:pPr>
    </w:p>
    <w:p w:rsidR="00F0506D" w:rsidRDefault="00F0506D" w:rsidP="00F0506D">
      <w:pPr>
        <w:ind w:left="2160"/>
      </w:pPr>
    </w:p>
    <w:p w:rsidR="00164A30" w:rsidRDefault="00164A30" w:rsidP="00164A30">
      <w:pPr>
        <w:spacing w:line="360" w:lineRule="auto"/>
      </w:pPr>
      <w:r>
        <w:tab/>
      </w:r>
      <w:r>
        <w:tab/>
        <w:t>Evidence supporting Verizon's claims includes:</w:t>
      </w:r>
    </w:p>
    <w:p w:rsidR="00C87173" w:rsidRDefault="00C87173" w:rsidP="00164A30">
      <w:pPr>
        <w:spacing w:line="360" w:lineRule="auto"/>
      </w:pPr>
    </w:p>
    <w:p w:rsidR="00B80EAE" w:rsidRDefault="00B80EAE" w:rsidP="00164A30">
      <w:pPr>
        <w:pStyle w:val="ListParagraph"/>
        <w:numPr>
          <w:ilvl w:val="0"/>
          <w:numId w:val="3"/>
        </w:numPr>
        <w:ind w:left="2160"/>
      </w:pPr>
      <w:r>
        <w:lastRenderedPageBreak/>
        <w:t>From January 2008 through June 2012, Verizon paid Core $7,786,114.95 for local traffic termination services (reciprocal compensation at the FCC's $0.0007/MOU rate for ISP-bound traffic).  FOF 35.</w:t>
      </w:r>
    </w:p>
    <w:p w:rsidR="00093305" w:rsidRDefault="00093305" w:rsidP="00164A30">
      <w:pPr>
        <w:ind w:left="2160" w:firstLine="60"/>
      </w:pPr>
    </w:p>
    <w:p w:rsidR="00093305" w:rsidRDefault="00093305" w:rsidP="00164A30">
      <w:pPr>
        <w:pStyle w:val="ListParagraph"/>
        <w:numPr>
          <w:ilvl w:val="2"/>
          <w:numId w:val="3"/>
        </w:numPr>
      </w:pPr>
      <w:r>
        <w:t xml:space="preserve">Verizon provisions one-way Local Interconnection trunks for the carriage of local and non-Feature Group D </w:t>
      </w:r>
      <w:proofErr w:type="spellStart"/>
      <w:r>
        <w:t>intraLATA</w:t>
      </w:r>
      <w:proofErr w:type="spellEnd"/>
      <w:r>
        <w:t xml:space="preserve"> toll traffic from Verizon's switches to Core, but it does not bill Core for those facilities.  FOF 17.</w:t>
      </w:r>
    </w:p>
    <w:p w:rsidR="00093305" w:rsidRDefault="00093305" w:rsidP="00164A30">
      <w:pPr>
        <w:ind w:left="2160"/>
      </w:pPr>
    </w:p>
    <w:p w:rsidR="00093305" w:rsidRDefault="00093305" w:rsidP="00164A30">
      <w:pPr>
        <w:pStyle w:val="ListParagraph"/>
        <w:numPr>
          <w:ilvl w:val="2"/>
          <w:numId w:val="3"/>
        </w:numPr>
      </w:pPr>
      <w:r>
        <w:t xml:space="preserve">Local Interconnection trunks are established for the exchange of locally dialed calls, and non-Feature Group D </w:t>
      </w:r>
      <w:proofErr w:type="spellStart"/>
      <w:r>
        <w:t>IntraLATA</w:t>
      </w:r>
      <w:proofErr w:type="spellEnd"/>
      <w:r>
        <w:t xml:space="preserve"> toll calls originated by customers on the network of one party and terminated on the network of the other party.  FOF 18.</w:t>
      </w:r>
    </w:p>
    <w:p w:rsidR="00093305" w:rsidRDefault="00093305" w:rsidP="00164A30">
      <w:pPr>
        <w:ind w:left="2160"/>
      </w:pPr>
    </w:p>
    <w:p w:rsidR="00093305" w:rsidRDefault="00093305" w:rsidP="00164A30">
      <w:pPr>
        <w:pStyle w:val="ListParagraph"/>
        <w:numPr>
          <w:ilvl w:val="2"/>
          <w:numId w:val="3"/>
        </w:numPr>
      </w:pPr>
      <w:r>
        <w:t>ATC trunks ordered from Verizon are switched access services provided subject to Verizon's access tariffs.  FOF 23.</w:t>
      </w:r>
    </w:p>
    <w:p w:rsidR="00093305" w:rsidRDefault="00093305" w:rsidP="00164A30">
      <w:pPr>
        <w:ind w:left="2160"/>
      </w:pPr>
    </w:p>
    <w:p w:rsidR="00093305" w:rsidRDefault="00093305" w:rsidP="00164A30">
      <w:pPr>
        <w:pStyle w:val="ListParagraph"/>
        <w:numPr>
          <w:ilvl w:val="2"/>
          <w:numId w:val="3"/>
        </w:numPr>
      </w:pPr>
      <w:r>
        <w:t>Verizon has billed Core for facilities charges since approximately 2002 with only a single payment of $30.66 having been paid.  FOF 25.</w:t>
      </w:r>
    </w:p>
    <w:p w:rsidR="00093305" w:rsidRDefault="00093305" w:rsidP="00164A30">
      <w:pPr>
        <w:ind w:left="2160"/>
      </w:pPr>
    </w:p>
    <w:p w:rsidR="00230616" w:rsidRDefault="00230616" w:rsidP="00164A30">
      <w:pPr>
        <w:pStyle w:val="ListParagraph"/>
        <w:numPr>
          <w:ilvl w:val="2"/>
          <w:numId w:val="3"/>
        </w:numPr>
      </w:pPr>
      <w:r>
        <w:t>Verizon charged Core rates as set forth in Verizon's access tariffs for the use of the trunks and associated facilities.  FOF 26.  Core sends outbound traffic to Verizon for which Verizon bills Core the industry standard reciprocal compensation and switched access terminating rates, and Core does not pay the bills.  FOF 30.</w:t>
      </w:r>
    </w:p>
    <w:p w:rsidR="00230616" w:rsidRDefault="00230616" w:rsidP="00164A30">
      <w:pPr>
        <w:ind w:left="2160"/>
      </w:pPr>
    </w:p>
    <w:p w:rsidR="00B80EAE" w:rsidRDefault="00B80EAE" w:rsidP="00164A30">
      <w:pPr>
        <w:pStyle w:val="ListParagraph"/>
        <w:numPr>
          <w:ilvl w:val="2"/>
          <w:numId w:val="3"/>
        </w:numPr>
      </w:pPr>
      <w:r>
        <w:t>Verizon's combined unpaid invoices to Core for reciprocal compensation and switched access services provided by Verizon in terminating Core's outbound traffic total approximately $93,000.  FOF 31.</w:t>
      </w:r>
    </w:p>
    <w:p w:rsidR="00B80EAE" w:rsidRDefault="00B80EAE" w:rsidP="00164A30">
      <w:pPr>
        <w:ind w:left="2160"/>
      </w:pPr>
    </w:p>
    <w:p w:rsidR="00B80EAE" w:rsidRDefault="00B80EAE" w:rsidP="00164A30">
      <w:pPr>
        <w:pStyle w:val="ListParagraph"/>
        <w:numPr>
          <w:ilvl w:val="2"/>
          <w:numId w:val="3"/>
        </w:numPr>
      </w:pPr>
      <w:r>
        <w:t>Core owes Verizon $32,685.91 for directory listing services.  FOF 33.</w:t>
      </w:r>
    </w:p>
    <w:p w:rsidR="00B80EAE" w:rsidRDefault="00B80EAE" w:rsidP="00164A30">
      <w:pPr>
        <w:ind w:left="2160"/>
      </w:pPr>
    </w:p>
    <w:p w:rsidR="00230616" w:rsidRDefault="00B961A5" w:rsidP="00164A30">
      <w:pPr>
        <w:pStyle w:val="ListParagraph"/>
        <w:numPr>
          <w:ilvl w:val="2"/>
          <w:numId w:val="3"/>
        </w:numPr>
      </w:pPr>
      <w:r>
        <w:t xml:space="preserve">In its capacity as transit provider, Verizon delivers to Core not only Verizon-originated traffic, but also traffic originated from other carriers and destined to Core's ISP and calling </w:t>
      </w:r>
      <w:proofErr w:type="gramStart"/>
      <w:r>
        <w:t>service company</w:t>
      </w:r>
      <w:proofErr w:type="gramEnd"/>
      <w:r>
        <w:t xml:space="preserve"> (CSC) customer.  Verizon delivers local and non-Feature Group D toll traffic from other local exchange carriers and intra-MTA (message transfer agent) traffic from wireless carriers over the LITGs from Verizon to Core</w:t>
      </w:r>
      <w:r w:rsidR="00CD176C">
        <w:t>.  FOF 36.</w:t>
      </w:r>
    </w:p>
    <w:p w:rsidR="00CD176C" w:rsidRDefault="00CD176C" w:rsidP="00164A30">
      <w:pPr>
        <w:ind w:left="2160"/>
      </w:pPr>
    </w:p>
    <w:p w:rsidR="00CD176C" w:rsidRDefault="00C87173" w:rsidP="00164A30">
      <w:pPr>
        <w:pStyle w:val="ListParagraph"/>
        <w:numPr>
          <w:ilvl w:val="2"/>
          <w:numId w:val="3"/>
        </w:numPr>
      </w:pPr>
      <w:r>
        <w:t>Core sends outbound traffic to Verizon, for which Verizon bills Core the industry standard terminating charges (reciprocal compensation and switched access).  Verizon began billing for terminating traffic originated by core in August of 2010, and Core has not paid those bills.  FOF 66-67.</w:t>
      </w:r>
    </w:p>
    <w:p w:rsidR="001055D6" w:rsidRDefault="001055D6" w:rsidP="001055D6">
      <w:pPr>
        <w:spacing w:line="360" w:lineRule="auto"/>
      </w:pPr>
    </w:p>
    <w:p w:rsidR="00CD176C" w:rsidRDefault="00CD176C" w:rsidP="00590E0C">
      <w:pPr>
        <w:spacing w:line="360" w:lineRule="auto"/>
      </w:pPr>
      <w:r>
        <w:tab/>
      </w:r>
      <w:r>
        <w:tab/>
        <w:t xml:space="preserve">Based on the evidence in the record, both Verizon and Core are </w:t>
      </w:r>
      <w:r w:rsidR="001055D6">
        <w:t>permitted</w:t>
      </w:r>
      <w:r>
        <w:t xml:space="preserve"> to bill each other for interconnection</w:t>
      </w:r>
      <w:r w:rsidR="001055D6">
        <w:t xml:space="preserve">.  The Third Circuit Court of Appeals made it clear that retroactive billing is permissible where the billed party knew or should have known that such bills could be </w:t>
      </w:r>
      <w:r w:rsidR="001055D6">
        <w:lastRenderedPageBreak/>
        <w:t xml:space="preserve">forthcoming, </w:t>
      </w:r>
      <w:r w:rsidR="00460078">
        <w:t xml:space="preserve">restricted by the applicable statute of limitations, </w:t>
      </w:r>
      <w:r w:rsidR="001055D6">
        <w:t>and therefore, the Core billing of Verizon for switched access</w:t>
      </w:r>
      <w:r>
        <w:t xml:space="preserve">, and the terms of that interconnection billing are governed by their interconnection agreements.  </w:t>
      </w:r>
    </w:p>
    <w:p w:rsidR="005B6B03" w:rsidRDefault="005B6B03" w:rsidP="00590E0C">
      <w:pPr>
        <w:spacing w:line="360" w:lineRule="auto"/>
      </w:pPr>
    </w:p>
    <w:p w:rsidR="00841176" w:rsidRDefault="00852CF6" w:rsidP="00590E0C">
      <w:pPr>
        <w:spacing w:line="360" w:lineRule="auto"/>
      </w:pPr>
      <w:r>
        <w:tab/>
      </w:r>
      <w:r>
        <w:tab/>
        <w:t xml:space="preserve">The </w:t>
      </w:r>
      <w:r>
        <w:rPr>
          <w:i/>
        </w:rPr>
        <w:t xml:space="preserve">VoIP Symmetry Rule </w:t>
      </w:r>
      <w:r>
        <w:t xml:space="preserve">provides that a LEC is entitled to assess and collect access charges for services defined in Section 51.903, which includes End Office Access Services </w:t>
      </w:r>
      <w:r w:rsidR="00841176">
        <w:t>described as the switching of access traffic at the carrier's end office switch and the delivery to or from of such traffic to the called party's premises.  This can be done with a physical last-mile facility, or its functional equivalent, although the charges are ultimately governed by the ICA between the parties.</w:t>
      </w:r>
    </w:p>
    <w:p w:rsidR="00E74738" w:rsidRDefault="00E74738" w:rsidP="00590E0C">
      <w:pPr>
        <w:spacing w:line="360" w:lineRule="auto"/>
      </w:pPr>
    </w:p>
    <w:p w:rsidR="00E74738" w:rsidRDefault="00E74738" w:rsidP="00590E0C">
      <w:pPr>
        <w:spacing w:line="360" w:lineRule="auto"/>
      </w:pPr>
      <w:r>
        <w:tab/>
      </w:r>
      <w:r>
        <w:tab/>
        <w:t xml:space="preserve">The </w:t>
      </w:r>
      <w:proofErr w:type="spellStart"/>
      <w:r>
        <w:rPr>
          <w:i/>
        </w:rPr>
        <w:t>CoreTel</w:t>
      </w:r>
      <w:proofErr w:type="spellEnd"/>
      <w:r>
        <w:rPr>
          <w:i/>
        </w:rPr>
        <w:t xml:space="preserve"> VA </w:t>
      </w:r>
      <w:r>
        <w:t xml:space="preserve">case found that the </w:t>
      </w:r>
      <w:proofErr w:type="spellStart"/>
      <w:r>
        <w:t>CoreTel</w:t>
      </w:r>
      <w:proofErr w:type="spellEnd"/>
      <w:r>
        <w:t xml:space="preserve"> tariff provided that </w:t>
      </w:r>
      <w:proofErr w:type="spellStart"/>
      <w:r>
        <w:t>CoreTel</w:t>
      </w:r>
      <w:proofErr w:type="spellEnd"/>
      <w:r>
        <w:t xml:space="preserve"> was entitled to assess switching charges only when it provides the facilities to deliver the calls to the receiving party.  As Core points out, in the present case, it has those facilities in Pennsylvania, and consequently, the </w:t>
      </w:r>
      <w:proofErr w:type="spellStart"/>
      <w:r>
        <w:rPr>
          <w:i/>
        </w:rPr>
        <w:t>CoreTel</w:t>
      </w:r>
      <w:proofErr w:type="spellEnd"/>
      <w:r>
        <w:rPr>
          <w:i/>
        </w:rPr>
        <w:t xml:space="preserve"> VA </w:t>
      </w:r>
      <w:r>
        <w:t xml:space="preserve">case does not bar its right to bill for this service here.  </w:t>
      </w:r>
    </w:p>
    <w:p w:rsidR="00626827" w:rsidRDefault="00626827" w:rsidP="00590E0C">
      <w:pPr>
        <w:spacing w:line="360" w:lineRule="auto"/>
      </w:pPr>
    </w:p>
    <w:p w:rsidR="00626827" w:rsidRDefault="00626827" w:rsidP="00590E0C">
      <w:pPr>
        <w:spacing w:line="360" w:lineRule="auto"/>
      </w:pPr>
      <w:r>
        <w:tab/>
      </w:r>
      <w:r>
        <w:tab/>
      </w:r>
      <w:r>
        <w:rPr>
          <w:i/>
        </w:rPr>
        <w:t>AT&amp;T v. Core</w:t>
      </w:r>
      <w:r>
        <w:t xml:space="preserve"> found that </w:t>
      </w:r>
      <w:r w:rsidR="00A04236">
        <w:t>back bills</w:t>
      </w:r>
      <w:r>
        <w:t xml:space="preserve"> issued by Core to AT&amp;T for four years of service during which time no bills had been issued were payable at the $0.0007/MOU FCC cap rate.  While AT&amp;T raised the rule against retroactivity and the </w:t>
      </w:r>
      <w:proofErr w:type="spellStart"/>
      <w:r>
        <w:t>filed</w:t>
      </w:r>
      <w:proofErr w:type="spellEnd"/>
      <w:r>
        <w:t xml:space="preserve"> rate doctrine, the Commission found, and the Third Circuit Court of Appeals agreed, that AT&amp;T had been on notice since 2001 that the service could be subject to billing</w:t>
      </w:r>
      <w:r w:rsidR="009F0352">
        <w:t xml:space="preserve"> and had no reason to think that the service would be free.  </w:t>
      </w:r>
    </w:p>
    <w:p w:rsidR="009F0352" w:rsidRDefault="009F0352" w:rsidP="00590E0C">
      <w:pPr>
        <w:spacing w:line="360" w:lineRule="auto"/>
      </w:pPr>
    </w:p>
    <w:p w:rsidR="009F0352" w:rsidRDefault="009F0352" w:rsidP="00590E0C">
      <w:pPr>
        <w:spacing w:line="360" w:lineRule="auto"/>
      </w:pPr>
      <w:r>
        <w:tab/>
      </w:r>
      <w:r>
        <w:tab/>
        <w:t xml:space="preserve">Applying these matters to the present facts, Core – and Verizon -- can </w:t>
      </w:r>
      <w:r w:rsidR="00A04236">
        <w:t>back bill</w:t>
      </w:r>
      <w:r>
        <w:t xml:space="preserve"> for switched access services which are covered under its tariff at the $0.0007/MOU rate </w:t>
      </w:r>
      <w:r w:rsidRPr="00460078">
        <w:rPr>
          <w:i/>
        </w:rPr>
        <w:t>where it can verify that the service had been rendered</w:t>
      </w:r>
      <w:r>
        <w:t>.  The discussion of the evidence follows.</w:t>
      </w:r>
    </w:p>
    <w:p w:rsidR="009F0352" w:rsidRDefault="009F0352" w:rsidP="00590E0C">
      <w:pPr>
        <w:spacing w:line="360" w:lineRule="auto"/>
      </w:pPr>
    </w:p>
    <w:p w:rsidR="00164A30" w:rsidRDefault="009F0352" w:rsidP="00590E0C">
      <w:pPr>
        <w:spacing w:line="360" w:lineRule="auto"/>
      </w:pPr>
      <w:r>
        <w:tab/>
      </w:r>
      <w:r>
        <w:tab/>
      </w:r>
      <w:r w:rsidR="005B6B03">
        <w:t xml:space="preserve">The evidence to support the amounts to which each party is entitled is discussed in detail in the Initial Decision.  Core seeks </w:t>
      </w:r>
      <w:r w:rsidR="00164A30">
        <w:t xml:space="preserve">compensation for back bills and rebills at a higher rate from Verizon, which has disputed all of them.  </w:t>
      </w:r>
    </w:p>
    <w:p w:rsidR="00164A30" w:rsidRDefault="00164A30" w:rsidP="00590E0C">
      <w:pPr>
        <w:spacing w:line="360" w:lineRule="auto"/>
      </w:pPr>
    </w:p>
    <w:p w:rsidR="005B6B03" w:rsidRDefault="00164A30" w:rsidP="00590E0C">
      <w:pPr>
        <w:spacing w:line="360" w:lineRule="auto"/>
      </w:pPr>
      <w:r>
        <w:lastRenderedPageBreak/>
        <w:tab/>
      </w:r>
      <w:r>
        <w:tab/>
        <w:t xml:space="preserve">Core's </w:t>
      </w:r>
      <w:r w:rsidR="005B6B03">
        <w:t>evidence shows inconsistencies and</w:t>
      </w:r>
      <w:r>
        <w:t xml:space="preserve"> a</w:t>
      </w:r>
      <w:r w:rsidR="005B6B03">
        <w:t xml:space="preserve"> lack of reliability.  For example, Core double-billed Verizon and other carriers for terminating the same minutes of use.  </w:t>
      </w:r>
      <w:proofErr w:type="gramStart"/>
      <w:r w:rsidR="005B6B03">
        <w:t>FOF 40.</w:t>
      </w:r>
      <w:proofErr w:type="gramEnd"/>
      <w:r w:rsidR="005B6B03">
        <w:t xml:space="preserve">  The process used by Core did not eliminate the improper billing to Verizon.  </w:t>
      </w:r>
      <w:proofErr w:type="gramStart"/>
      <w:r w:rsidR="005B6B03">
        <w:t>FOF 41.</w:t>
      </w:r>
      <w:proofErr w:type="gramEnd"/>
      <w:r w:rsidR="005B6B03">
        <w:t xml:space="preserve">  Core improperly billed Verizon reciprocal compensation for all locally dialed calls originated by other carriers and merely transited by Verizon, because Core did not exclude such traffic from its bills to Verizon.  </w:t>
      </w:r>
      <w:proofErr w:type="gramStart"/>
      <w:r w:rsidR="005B6B03">
        <w:t>FOF 42.</w:t>
      </w:r>
      <w:proofErr w:type="gramEnd"/>
    </w:p>
    <w:p w:rsidR="005B6B03" w:rsidRDefault="005B6B03" w:rsidP="00590E0C">
      <w:pPr>
        <w:spacing w:line="360" w:lineRule="auto"/>
      </w:pPr>
    </w:p>
    <w:p w:rsidR="005B6B03" w:rsidRDefault="005B6B03" w:rsidP="00590E0C">
      <w:pPr>
        <w:spacing w:line="360" w:lineRule="auto"/>
      </w:pPr>
      <w:r>
        <w:tab/>
      </w:r>
      <w:r>
        <w:tab/>
        <w:t xml:space="preserve">Core's matching process for calls terminated over the SS7 trunks is flawed, and because Core did not match calls carried over the MF trunks resulted in all traffic originated by all carriers transmitted over the MF trunks begin billed to Verizon.  FOF 43-44.  Third party traffic was not excluded and was instead billed to Verizon.  </w:t>
      </w:r>
      <w:proofErr w:type="gramStart"/>
      <w:r>
        <w:t>Tr. 46.</w:t>
      </w:r>
      <w:proofErr w:type="gramEnd"/>
      <w:r>
        <w:t xml:space="preserve">  </w:t>
      </w:r>
    </w:p>
    <w:p w:rsidR="005B6B03" w:rsidRDefault="005B6B03" w:rsidP="00590E0C">
      <w:pPr>
        <w:spacing w:line="360" w:lineRule="auto"/>
      </w:pPr>
    </w:p>
    <w:p w:rsidR="00830F3D" w:rsidRDefault="005B6B03" w:rsidP="00590E0C">
      <w:pPr>
        <w:spacing w:line="360" w:lineRule="auto"/>
      </w:pPr>
      <w:r>
        <w:tab/>
      </w:r>
      <w:r>
        <w:tab/>
        <w:t xml:space="preserve">The </w:t>
      </w:r>
      <w:r w:rsidR="0086309C">
        <w:t xml:space="preserve">Core billing was proven to be unreliable in the factual record, </w:t>
      </w:r>
      <w:r w:rsidR="0086309C">
        <w:rPr>
          <w:i/>
        </w:rPr>
        <w:t xml:space="preserve">see </w:t>
      </w:r>
      <w:r w:rsidR="0086309C">
        <w:t xml:space="preserve">Findings of Fact in the Initial Decision.  Despite Core's theoretical and legally supportable ability to issue bills to Verizon, Core's inability to establish that the bills were accurate for the service provided resulted in the conclusion that Core had not proven that the </w:t>
      </w:r>
      <w:r w:rsidR="004B32CA">
        <w:t xml:space="preserve">actual </w:t>
      </w:r>
      <w:r w:rsidR="0086309C">
        <w:t xml:space="preserve">bills were legitimate.  Those facts have not changed.  Core's haphazard billing and inability to support the bills with any amount of reliability render its formal Complaint unsustainable.  </w:t>
      </w:r>
    </w:p>
    <w:p w:rsidR="005A021D" w:rsidRDefault="005A021D" w:rsidP="00590E0C">
      <w:pPr>
        <w:spacing w:line="360" w:lineRule="auto"/>
      </w:pPr>
    </w:p>
    <w:p w:rsidR="005A021D" w:rsidRDefault="005A021D" w:rsidP="005A021D">
      <w:pPr>
        <w:spacing w:line="360" w:lineRule="auto"/>
        <w:contextualSpacing/>
      </w:pPr>
      <w:r>
        <w:tab/>
      </w:r>
      <w:r>
        <w:tab/>
        <w:t xml:space="preserve">As for operating in good faith, the record shows that </w:t>
      </w:r>
      <w:r w:rsidRPr="007853B5">
        <w:t xml:space="preserve">Core has not escrowed </w:t>
      </w:r>
      <w:r w:rsidRPr="007853B5">
        <w:rPr>
          <w:i/>
        </w:rPr>
        <w:t>any</w:t>
      </w:r>
      <w:r w:rsidRPr="007853B5">
        <w:t xml:space="preserve"> funds to pay whatever amounts the Commission may eventually determine are due from Core to Verizon</w:t>
      </w:r>
      <w:r>
        <w:t xml:space="preserve">. </w:t>
      </w:r>
      <w:proofErr w:type="gramStart"/>
      <w:r>
        <w:t>FOF 84.</w:t>
      </w:r>
      <w:proofErr w:type="gramEnd"/>
      <w:r>
        <w:t xml:space="preserve"> </w:t>
      </w:r>
      <w:r w:rsidRPr="007853B5">
        <w:t xml:space="preserve">Core has failed to make reasonable provisions to ensure that it can pay amounts determined to be due to Verizon, even though its president has testified that it likely will not be financially able to pay Verizon at the conclusion of this case, should it be ordered to do so.  </w:t>
      </w:r>
      <w:proofErr w:type="gramStart"/>
      <w:r w:rsidRPr="007853B5">
        <w:t>Tr. 259-60, 267.</w:t>
      </w:r>
      <w:proofErr w:type="gramEnd"/>
      <w:r>
        <w:t xml:space="preserve">  Despite the Commission's Order requiring Verizon to pay disputed bills, Core </w:t>
      </w:r>
      <w:proofErr w:type="gramStart"/>
      <w:r>
        <w:t xml:space="preserve">has </w:t>
      </w:r>
      <w:r w:rsidRPr="007853B5">
        <w:t xml:space="preserve"> refuse</w:t>
      </w:r>
      <w:r>
        <w:t>d</w:t>
      </w:r>
      <w:proofErr w:type="gramEnd"/>
      <w:r w:rsidRPr="007853B5">
        <w:t xml:space="preserve"> to pay anything to Verizon pending litigation, even the lower amounts that it claims are due to Verizon.  </w:t>
      </w:r>
      <w:proofErr w:type="gramStart"/>
      <w:r>
        <w:t>FOF 88.</w:t>
      </w:r>
      <w:proofErr w:type="gramEnd"/>
      <w:r>
        <w:t xml:space="preserve">  This is alarming, as </w:t>
      </w:r>
      <w:r w:rsidRPr="007853B5">
        <w:t xml:space="preserve">Core’s </w:t>
      </w:r>
      <w:r w:rsidR="00460078">
        <w:t xml:space="preserve">president </w:t>
      </w:r>
      <w:r w:rsidRPr="007853B5">
        <w:t xml:space="preserve">also testified that even if Core is not required to pay anything to </w:t>
      </w:r>
      <w:proofErr w:type="gramStart"/>
      <w:r w:rsidRPr="007853B5">
        <w:t>Verizon,</w:t>
      </w:r>
      <w:proofErr w:type="gramEnd"/>
      <w:r w:rsidRPr="007853B5">
        <w:t xml:space="preserve"> it is “unlikely” that Core can survive if it loses on its affirmative claims against Verizon.  </w:t>
      </w:r>
      <w:proofErr w:type="gramStart"/>
      <w:r>
        <w:t>FOF 87.</w:t>
      </w:r>
      <w:proofErr w:type="gramEnd"/>
      <w:r>
        <w:t xml:space="preserve">  </w:t>
      </w:r>
    </w:p>
    <w:p w:rsidR="00366C5C" w:rsidRDefault="00366C5C" w:rsidP="005A021D">
      <w:pPr>
        <w:spacing w:line="360" w:lineRule="auto"/>
        <w:contextualSpacing/>
      </w:pPr>
    </w:p>
    <w:p w:rsidR="00D605A6" w:rsidRPr="00295B6E" w:rsidRDefault="00366C5C" w:rsidP="005A021D">
      <w:pPr>
        <w:spacing w:line="360" w:lineRule="auto"/>
        <w:contextualSpacing/>
      </w:pPr>
      <w:r>
        <w:tab/>
      </w:r>
      <w:r>
        <w:tab/>
        <w:t xml:space="preserve">Verizon argues that Core had argued </w:t>
      </w:r>
      <w:r w:rsidR="00295B6E">
        <w:t xml:space="preserve">that there is never a situation in which access charges are due on ISP-bound traffic.  </w:t>
      </w:r>
      <w:proofErr w:type="gramStart"/>
      <w:r w:rsidR="00295B6E">
        <w:t>VZ RBR at 6.</w:t>
      </w:r>
      <w:proofErr w:type="gramEnd"/>
      <w:r w:rsidR="00295B6E">
        <w:t xml:space="preserve">  </w:t>
      </w:r>
      <w:r>
        <w:t xml:space="preserve"> Note that judicial estoppel is properly </w:t>
      </w:r>
      <w:r>
        <w:lastRenderedPageBreak/>
        <w:t xml:space="preserve">applied only if the court concludes that the party assumed an inconsistent position in an earlier action and that that contention was successfully maintained in that action.  </w:t>
      </w:r>
      <w:proofErr w:type="spellStart"/>
      <w:proofErr w:type="gramStart"/>
      <w:r>
        <w:rPr>
          <w:i/>
        </w:rPr>
        <w:t>Marazas</w:t>
      </w:r>
      <w:proofErr w:type="spellEnd"/>
      <w:r>
        <w:rPr>
          <w:i/>
        </w:rPr>
        <w:t xml:space="preserve"> v. Workers' Compensation Appeal Board (Vitas Healthcare Corporation)</w:t>
      </w:r>
      <w:r>
        <w:t>, 97 A.3d 854 (</w:t>
      </w:r>
      <w:proofErr w:type="spellStart"/>
      <w:r>
        <w:t>Pa.Cmwlth</w:t>
      </w:r>
      <w:proofErr w:type="spellEnd"/>
      <w:r>
        <w:t xml:space="preserve">. 2014), citing </w:t>
      </w:r>
      <w:r>
        <w:rPr>
          <w:i/>
        </w:rPr>
        <w:t xml:space="preserve">Black v. Labor Ready, Inc., </w:t>
      </w:r>
      <w:r>
        <w:t>995 A.2d 875 (</w:t>
      </w:r>
      <w:proofErr w:type="spellStart"/>
      <w:r>
        <w:t>Pa.Super</w:t>
      </w:r>
      <w:proofErr w:type="spellEnd"/>
      <w:r>
        <w:t>. 2010).</w:t>
      </w:r>
      <w:proofErr w:type="gramEnd"/>
      <w:r>
        <w:t xml:space="preserve">  Here, a change in the actual FCC rulings began with the implementation of the VoIP Symmetry Rule.  Hence, this argument is not controlling.</w:t>
      </w:r>
      <w:r w:rsidR="00295B6E">
        <w:t xml:space="preserve">  However, Verizon's companion argument that the Third Circuit confirmed that ISP-bound traffic is not subject to access charges is supported by the </w:t>
      </w:r>
      <w:r w:rsidR="00295B6E">
        <w:rPr>
          <w:i/>
        </w:rPr>
        <w:t>AT&amp;T v. Core</w:t>
      </w:r>
      <w:r w:rsidR="00295B6E">
        <w:t xml:space="preserve"> decision.</w:t>
      </w:r>
      <w:r w:rsidR="00295B6E">
        <w:rPr>
          <w:rStyle w:val="FootnoteReference"/>
        </w:rPr>
        <w:footnoteReference w:id="15"/>
      </w:r>
      <w:r w:rsidR="00295B6E">
        <w:t xml:space="preserve">  </w:t>
      </w:r>
    </w:p>
    <w:p w:rsidR="00D605A6" w:rsidRDefault="00D605A6" w:rsidP="005A021D">
      <w:pPr>
        <w:spacing w:line="360" w:lineRule="auto"/>
        <w:contextualSpacing/>
      </w:pPr>
    </w:p>
    <w:p w:rsidR="00366C5C" w:rsidRPr="00366C5C" w:rsidRDefault="00D605A6" w:rsidP="005A021D">
      <w:pPr>
        <w:spacing w:line="360" w:lineRule="auto"/>
        <w:contextualSpacing/>
      </w:pPr>
      <w:r>
        <w:tab/>
      </w:r>
      <w:r>
        <w:tab/>
        <w:t xml:space="preserve">Verizon argues that Core has failed to support its burden of proof that the traffic in question was VoIP traffic, as must be shown because the VoIP Symmetry Rule only applies to VoIP traffic.  </w:t>
      </w:r>
      <w:r w:rsidR="00295B6E">
        <w:t xml:space="preserve">Finding of Fact 5 in the Initial Decision states that Core's customers include local, regional and national internet service providers and VoIP providers, citing the Core Amended Complaint at ¶2.  </w:t>
      </w:r>
      <w:r w:rsidR="00F0506D">
        <w:t>That leaves some portion of the Core customer base which is ISP traffic, not VoIP, and Verizon is correct that the VoIP Symmetry Rule applies to only VoIP traffic.  The inability to discern the amount of traffic subject to the VoIP Symmetry Rule further supports the dismissal of the Complaint.</w:t>
      </w:r>
      <w:r w:rsidR="00366C5C">
        <w:t xml:space="preserve"> </w:t>
      </w:r>
    </w:p>
    <w:p w:rsidR="005A021D" w:rsidRDefault="005A021D" w:rsidP="00590E0C">
      <w:pPr>
        <w:spacing w:line="360" w:lineRule="auto"/>
      </w:pPr>
    </w:p>
    <w:p w:rsidR="005A021D" w:rsidRDefault="005A021D" w:rsidP="00590E0C">
      <w:pPr>
        <w:spacing w:line="360" w:lineRule="auto"/>
      </w:pPr>
      <w:r>
        <w:tab/>
      </w:r>
      <w:r>
        <w:tab/>
        <w:t xml:space="preserve">The ICAs require Core to pay undisputed amounts, FOF 88, and to enter mandatory dispute resolution before instituting litigation.  Core filed this Complaint instead of following the terms of the ICAs.  Core has not acted in good faith before or during this litigation, and pays Verizon nothing.  </w:t>
      </w:r>
    </w:p>
    <w:p w:rsidR="005A021D" w:rsidRDefault="005A021D" w:rsidP="00590E0C">
      <w:pPr>
        <w:spacing w:line="360" w:lineRule="auto"/>
      </w:pPr>
    </w:p>
    <w:p w:rsidR="00590E0C" w:rsidRPr="00FC7E5F" w:rsidRDefault="00973A12" w:rsidP="00FC7E5F">
      <w:pPr>
        <w:spacing w:line="360" w:lineRule="auto"/>
        <w:rPr>
          <w:b/>
          <w:u w:val="single"/>
        </w:rPr>
      </w:pPr>
      <w:r w:rsidRPr="00FC7E5F">
        <w:rPr>
          <w:b/>
        </w:rPr>
        <w:t>F.</w:t>
      </w:r>
      <w:r w:rsidR="002151EA" w:rsidRPr="00FC7E5F">
        <w:rPr>
          <w:b/>
        </w:rPr>
        <w:tab/>
      </w:r>
      <w:r w:rsidR="00FC7E5F">
        <w:rPr>
          <w:b/>
        </w:rPr>
        <w:t>Conclusion</w:t>
      </w:r>
      <w:r w:rsidR="009805D5">
        <w:rPr>
          <w:b/>
        </w:rPr>
        <w:fldChar w:fldCharType="begin"/>
      </w:r>
      <w:r w:rsidR="009805D5">
        <w:instrText xml:space="preserve"> TC "</w:instrText>
      </w:r>
      <w:bookmarkStart w:id="40" w:name="_Toc438209074"/>
      <w:bookmarkStart w:id="41" w:name="_Toc438209166"/>
      <w:bookmarkStart w:id="42" w:name="_Toc438209682"/>
      <w:bookmarkStart w:id="43" w:name="_Toc438210399"/>
      <w:r w:rsidR="009805D5" w:rsidRPr="00982336">
        <w:rPr>
          <w:b/>
        </w:rPr>
        <w:instrText>F.</w:instrText>
      </w:r>
      <w:r w:rsidR="009805D5" w:rsidRPr="00982336">
        <w:rPr>
          <w:b/>
        </w:rPr>
        <w:tab/>
        <w:instrText>Conclusion</w:instrText>
      </w:r>
      <w:bookmarkEnd w:id="40"/>
      <w:bookmarkEnd w:id="41"/>
      <w:bookmarkEnd w:id="42"/>
      <w:bookmarkEnd w:id="43"/>
      <w:r w:rsidR="009805D5">
        <w:instrText xml:space="preserve">" \f C \l "2" </w:instrText>
      </w:r>
      <w:r w:rsidR="009805D5">
        <w:rPr>
          <w:b/>
        </w:rPr>
        <w:fldChar w:fldCharType="end"/>
      </w:r>
    </w:p>
    <w:p w:rsidR="00290C5A" w:rsidRPr="00290C5A" w:rsidRDefault="00290C5A" w:rsidP="00590E0C">
      <w:pPr>
        <w:spacing w:line="360" w:lineRule="auto"/>
        <w:rPr>
          <w:b/>
        </w:rPr>
      </w:pPr>
    </w:p>
    <w:p w:rsidR="00866DF1" w:rsidRDefault="00866DF1" w:rsidP="00590E0C">
      <w:pPr>
        <w:spacing w:line="360" w:lineRule="auto"/>
      </w:pPr>
      <w:r>
        <w:tab/>
      </w:r>
      <w:r>
        <w:tab/>
      </w:r>
      <w:r w:rsidRPr="007853B5">
        <w:t>Core</w:t>
      </w:r>
      <w:r>
        <w:t xml:space="preserve">'s first </w:t>
      </w:r>
      <w:r w:rsidRPr="007853B5">
        <w:t>count</w:t>
      </w:r>
      <w:r>
        <w:t xml:space="preserve"> </w:t>
      </w:r>
      <w:r w:rsidRPr="007853B5">
        <w:t>alleges that Verizon has violated the ICAs by refusing to pay reciprocal compensation bills</w:t>
      </w:r>
      <w:r>
        <w:t xml:space="preserve">.  The present state of the law permits one telecommunications carrier to bill another for </w:t>
      </w:r>
      <w:r w:rsidR="00460078">
        <w:t>the services at issue if they are provided by Core,</w:t>
      </w:r>
      <w:r>
        <w:t xml:space="preserve"> at the rate </w:t>
      </w:r>
      <w:r w:rsidR="00460078">
        <w:t>agreed upon in the ICAs, or the FCC-imposed rate cap of $0.0007/MOU.</w:t>
      </w:r>
      <w:r>
        <w:t xml:space="preserve">  Core has submitted bills to Verizon for payment at the reciprocal compensation rate and Verizon paid at the $0.0007/MOU </w:t>
      </w:r>
      <w:r>
        <w:lastRenderedPageBreak/>
        <w:t>rate.  Core has failed to provide credible evidence to support the higher rate,</w:t>
      </w:r>
      <w:r w:rsidR="00460078">
        <w:t xml:space="preserve"> so while Core may keep the money paid at the lower </w:t>
      </w:r>
      <w:proofErr w:type="gramStart"/>
      <w:r w:rsidR="00460078">
        <w:t>rate,</w:t>
      </w:r>
      <w:proofErr w:type="gramEnd"/>
      <w:r w:rsidR="00460078">
        <w:t xml:space="preserve"> it is not entitled to rebilling at the higher rate.  T</w:t>
      </w:r>
      <w:r>
        <w:t>his count is dismissed.</w:t>
      </w:r>
    </w:p>
    <w:p w:rsidR="00866DF1" w:rsidRDefault="00866DF1" w:rsidP="00590E0C">
      <w:pPr>
        <w:spacing w:line="360" w:lineRule="auto"/>
      </w:pPr>
    </w:p>
    <w:p w:rsidR="00866DF1" w:rsidRDefault="00866DF1" w:rsidP="00866DF1">
      <w:pPr>
        <w:spacing w:line="360" w:lineRule="auto"/>
      </w:pPr>
      <w:r>
        <w:tab/>
      </w:r>
      <w:r>
        <w:tab/>
      </w:r>
      <w:r w:rsidRPr="007853B5">
        <w:t>Core</w:t>
      </w:r>
      <w:r>
        <w:t xml:space="preserve">'s second count is that </w:t>
      </w:r>
      <w:r w:rsidRPr="007853B5">
        <w:t xml:space="preserve">Verizon has violated the ICAs and Core's switched access tariffs by refusing to pay switched access fees for traffic it surreptitiously sent to Core over </w:t>
      </w:r>
      <w:r>
        <w:t>L</w:t>
      </w:r>
      <w:r w:rsidRPr="007853B5">
        <w:t xml:space="preserve">ocal </w:t>
      </w:r>
      <w:r>
        <w:t>I</w:t>
      </w:r>
      <w:r w:rsidRPr="007853B5">
        <w:t xml:space="preserve">nterconnections </w:t>
      </w:r>
      <w:r>
        <w:t>T</w:t>
      </w:r>
      <w:r w:rsidRPr="007853B5">
        <w:t xml:space="preserve">runk </w:t>
      </w:r>
      <w:r>
        <w:t>G</w:t>
      </w:r>
      <w:r w:rsidRPr="007853B5">
        <w:t>roups</w:t>
      </w:r>
      <w:r>
        <w:t>.  Core has not provided credible evidence to support this claim, and it is dismissed.</w:t>
      </w:r>
    </w:p>
    <w:p w:rsidR="00866DF1" w:rsidRDefault="00866DF1" w:rsidP="00866DF1">
      <w:pPr>
        <w:spacing w:line="360" w:lineRule="auto"/>
      </w:pPr>
    </w:p>
    <w:p w:rsidR="00866DF1" w:rsidRDefault="00866DF1" w:rsidP="00866DF1">
      <w:pPr>
        <w:spacing w:line="360" w:lineRule="auto"/>
      </w:pPr>
      <w:r>
        <w:tab/>
      </w:r>
      <w:r>
        <w:tab/>
        <w:t xml:space="preserve">Core's third count is that </w:t>
      </w:r>
      <w:r w:rsidRPr="007853B5">
        <w:t xml:space="preserve">Verizon has failed to comply with the </w:t>
      </w:r>
      <w:r>
        <w:t>"</w:t>
      </w:r>
      <w:r w:rsidRPr="007853B5">
        <w:t>mirroring</w:t>
      </w:r>
      <w:r>
        <w:t>"</w:t>
      </w:r>
      <w:r w:rsidRPr="007853B5">
        <w:t xml:space="preserve"> rule that originated in the FCC's 2001 </w:t>
      </w:r>
      <w:r w:rsidRPr="007853B5">
        <w:rPr>
          <w:i/>
        </w:rPr>
        <w:t>ISP Remand Order</w:t>
      </w:r>
      <w:r w:rsidRPr="007853B5">
        <w:t xml:space="preserve">, which was incorporated into the Core/Verizon PA ICA by Commission Order.  </w:t>
      </w:r>
      <w:r w:rsidR="0028224C">
        <w:t xml:space="preserve">The Initial Decision disposes of this count by finding that Verizon does comply, and that Core admits compliance.  COC 27-29.  </w:t>
      </w:r>
      <w:r w:rsidR="0079143D">
        <w:t xml:space="preserve">It is difficult to credit </w:t>
      </w:r>
      <w:r>
        <w:t xml:space="preserve">the validity of this claim as </w:t>
      </w:r>
      <w:r w:rsidR="0079143D">
        <w:t xml:space="preserve">Core has not paid any of Verizon's bills, at any possible rate.  This claim is also dismissed.  </w:t>
      </w:r>
    </w:p>
    <w:p w:rsidR="0079143D" w:rsidRDefault="0079143D" w:rsidP="00866DF1">
      <w:pPr>
        <w:spacing w:line="360" w:lineRule="auto"/>
      </w:pPr>
    </w:p>
    <w:p w:rsidR="0079143D" w:rsidRPr="007853B5" w:rsidRDefault="0079143D" w:rsidP="00866DF1">
      <w:pPr>
        <w:spacing w:line="360" w:lineRule="auto"/>
      </w:pPr>
      <w:r>
        <w:tab/>
      </w:r>
      <w:r>
        <w:tab/>
        <w:t>Consequently, Core</w:t>
      </w:r>
      <w:r w:rsidR="0017679A">
        <w:t xml:space="preserve"> may keep the payments that Verizon submitted on uncontested bills which were made at the appropriate rate, i.e., $0.00</w:t>
      </w:r>
      <w:r w:rsidR="00B26E92">
        <w:t>0</w:t>
      </w:r>
      <w:r w:rsidR="0017679A">
        <w:t>7/MOU for switched access billing, but is otherwise</w:t>
      </w:r>
      <w:r>
        <w:t xml:space="preserve"> entitled to no remedy.</w:t>
      </w:r>
    </w:p>
    <w:p w:rsidR="00866DF1" w:rsidRPr="007853B5" w:rsidRDefault="00866DF1" w:rsidP="00866DF1">
      <w:pPr>
        <w:spacing w:line="360" w:lineRule="auto"/>
      </w:pPr>
    </w:p>
    <w:p w:rsidR="0079143D" w:rsidRDefault="00866DF1" w:rsidP="00866DF1">
      <w:pPr>
        <w:spacing w:line="360" w:lineRule="auto"/>
      </w:pPr>
      <w:r w:rsidRPr="007853B5">
        <w:tab/>
      </w:r>
      <w:r w:rsidR="0079143D">
        <w:tab/>
      </w:r>
      <w:r w:rsidRPr="007853B5">
        <w:t>Verizon</w:t>
      </w:r>
      <w:r w:rsidR="0079143D">
        <w:t>'s first</w:t>
      </w:r>
      <w:r>
        <w:t xml:space="preserve"> counterclaim</w:t>
      </w:r>
      <w:r w:rsidR="0079143D">
        <w:t xml:space="preserve"> is </w:t>
      </w:r>
      <w:r w:rsidRPr="007853B5">
        <w:t>that Core must compensate Verizon for use of Verizon's facilities and services to serve its ISP and conference calling service customers</w:t>
      </w:r>
      <w:r w:rsidR="0079143D">
        <w:t>.  This claim is sustained as Verizon has supported it with the substantial evidence enumerated in the Initial Decision and explained further in this Supplemental Initial Decision.</w:t>
      </w:r>
    </w:p>
    <w:p w:rsidR="0079143D" w:rsidRDefault="0079143D" w:rsidP="00866DF1">
      <w:pPr>
        <w:spacing w:line="360" w:lineRule="auto"/>
      </w:pPr>
    </w:p>
    <w:p w:rsidR="0079143D" w:rsidRDefault="0079143D" w:rsidP="00866DF1">
      <w:pPr>
        <w:spacing w:line="360" w:lineRule="auto"/>
      </w:pPr>
      <w:r>
        <w:tab/>
      </w:r>
      <w:r>
        <w:tab/>
        <w:t>Verizon's second counterclaim is</w:t>
      </w:r>
      <w:r w:rsidR="00866DF1" w:rsidRPr="007853B5">
        <w:t xml:space="preserve"> that Core is grossly overcharging Verizon for traffic termination by charging for traffic that does not originate with Verizon's customers</w:t>
      </w:r>
      <w:r>
        <w:t xml:space="preserve">.  This claim is sustained as Verizon has supported it with the substantial evidence enumerated in the Initial Decision and explained further in this Supplemental Initial Decision.  </w:t>
      </w:r>
    </w:p>
    <w:p w:rsidR="0079143D" w:rsidRDefault="0079143D" w:rsidP="00866DF1">
      <w:pPr>
        <w:spacing w:line="360" w:lineRule="auto"/>
      </w:pPr>
    </w:p>
    <w:p w:rsidR="0079143D" w:rsidRDefault="0079143D" w:rsidP="00866DF1">
      <w:pPr>
        <w:spacing w:line="360" w:lineRule="auto"/>
      </w:pPr>
      <w:r>
        <w:tab/>
      </w:r>
      <w:r>
        <w:tab/>
        <w:t xml:space="preserve">Verizon's third counterclaim is </w:t>
      </w:r>
      <w:r w:rsidR="00866DF1" w:rsidRPr="007853B5">
        <w:t>that Core has not paid for directory listing services in the amount of $32,685.92</w:t>
      </w:r>
      <w:r>
        <w:t xml:space="preserve">.  This claim is sustained as Verizon has supported it with the </w:t>
      </w:r>
      <w:r>
        <w:lastRenderedPageBreak/>
        <w:t>substantial evidence enumerated in the Initial Decision and explained further in this Supplemental Initial Decision.</w:t>
      </w:r>
    </w:p>
    <w:p w:rsidR="0079143D" w:rsidRDefault="0079143D" w:rsidP="00866DF1">
      <w:pPr>
        <w:spacing w:line="360" w:lineRule="auto"/>
      </w:pPr>
    </w:p>
    <w:p w:rsidR="00866DF1" w:rsidRDefault="0079143D" w:rsidP="00866DF1">
      <w:pPr>
        <w:spacing w:line="360" w:lineRule="auto"/>
      </w:pPr>
      <w:r>
        <w:tab/>
      </w:r>
      <w:r>
        <w:tab/>
        <w:t>Verizon's fourth counterclaim is tha</w:t>
      </w:r>
      <w:r w:rsidR="00866DF1" w:rsidRPr="007853B5">
        <w:t xml:space="preserve">t Core is collecting </w:t>
      </w:r>
      <w:r>
        <w:t>money</w:t>
      </w:r>
      <w:r w:rsidR="00866DF1" w:rsidRPr="007853B5">
        <w:t xml:space="preserve"> from Verizon for reciprocal compensation payments through a contorted </w:t>
      </w:r>
      <w:r w:rsidR="00866DF1">
        <w:t>methodology</w:t>
      </w:r>
      <w:r w:rsidR="00866DF1" w:rsidRPr="007853B5">
        <w:t xml:space="preserve"> misconstruing the FCC's </w:t>
      </w:r>
      <w:r w:rsidR="00866DF1" w:rsidRPr="007853B5">
        <w:rPr>
          <w:i/>
        </w:rPr>
        <w:t>ISP Remand Order.</w:t>
      </w:r>
      <w:r w:rsidR="00866DF1" w:rsidRPr="007853B5">
        <w:t xml:space="preserve">  </w:t>
      </w:r>
      <w:r>
        <w:t xml:space="preserve">This claim is sustained as Verizon has supported it with the substantial evidence enumerated in the Initial Decision and explained further in this Supplemental Initial Decision.  </w:t>
      </w:r>
    </w:p>
    <w:p w:rsidR="00460078" w:rsidRDefault="00460078" w:rsidP="00866DF1">
      <w:pPr>
        <w:spacing w:line="360" w:lineRule="auto"/>
      </w:pPr>
    </w:p>
    <w:p w:rsidR="0079143D" w:rsidRDefault="00460078" w:rsidP="00866DF1">
      <w:pPr>
        <w:spacing w:line="360" w:lineRule="auto"/>
      </w:pPr>
      <w:r>
        <w:tab/>
      </w:r>
      <w:r>
        <w:tab/>
        <w:t>Verizon balked at the Initial Decision's grant of $1 million and claimed that the amount was unsupported by the evidence.  Upon consideration of the case on remand, I agree and instead direct Core</w:t>
      </w:r>
      <w:r w:rsidR="0079143D">
        <w:t xml:space="preserve"> to remit to Verizon full payment of all outstanding bills, </w:t>
      </w:r>
      <w:r>
        <w:t xml:space="preserve">within the confines of the applicable statute of limitations, and </w:t>
      </w:r>
      <w:r w:rsidR="0079143D">
        <w:t>recognizing that</w:t>
      </w:r>
      <w:r>
        <w:t xml:space="preserve"> some of </w:t>
      </w:r>
      <w:r w:rsidR="0079143D">
        <w:t xml:space="preserve">the bills must be issued or reissued reflecting the $0.0007/MOU rate for switched access charges.  </w:t>
      </w:r>
      <w:r>
        <w:t xml:space="preserve">Verizon must prepare a full accounting of these bills and submit it for Commission approval within 60 days, and Core will have an opportunity to question the </w:t>
      </w:r>
      <w:r w:rsidR="0028224C">
        <w:t xml:space="preserve">account.  </w:t>
      </w:r>
    </w:p>
    <w:p w:rsidR="00F50502" w:rsidRDefault="00F50502" w:rsidP="00866DF1">
      <w:pPr>
        <w:spacing w:line="360" w:lineRule="auto"/>
      </w:pPr>
    </w:p>
    <w:p w:rsidR="00F50502" w:rsidRPr="007853B5" w:rsidRDefault="00F50502" w:rsidP="00866DF1">
      <w:pPr>
        <w:spacing w:line="360" w:lineRule="auto"/>
      </w:pPr>
      <w:r>
        <w:tab/>
      </w:r>
      <w:r>
        <w:tab/>
        <w:t>The Order which follows replaces the ordering paragraphs in the Initial Decision.</w:t>
      </w:r>
    </w:p>
    <w:p w:rsidR="0017679A" w:rsidRDefault="0017679A" w:rsidP="00590E0C">
      <w:pPr>
        <w:spacing w:line="360" w:lineRule="auto"/>
      </w:pPr>
    </w:p>
    <w:p w:rsidR="00590E0C" w:rsidRDefault="00FC7E5F" w:rsidP="00D53EA7">
      <w:pPr>
        <w:spacing w:line="360" w:lineRule="auto"/>
        <w:jc w:val="center"/>
      </w:pPr>
      <w:r>
        <w:t>IV.</w:t>
      </w:r>
      <w:r w:rsidR="00973A12">
        <w:tab/>
      </w:r>
      <w:r w:rsidR="00590E0C" w:rsidRPr="00D53EA7">
        <w:rPr>
          <w:u w:val="single"/>
        </w:rPr>
        <w:t>SUPPLEMENTAL CONCLUSIONS OF LAW</w:t>
      </w:r>
      <w:r w:rsidR="009805D5">
        <w:rPr>
          <w:u w:val="single"/>
        </w:rPr>
        <w:fldChar w:fldCharType="begin"/>
      </w:r>
      <w:r w:rsidR="009805D5">
        <w:instrText xml:space="preserve"> TC "</w:instrText>
      </w:r>
      <w:bookmarkStart w:id="44" w:name="_Toc438209075"/>
      <w:bookmarkStart w:id="45" w:name="_Toc438209167"/>
      <w:bookmarkStart w:id="46" w:name="_Toc438209683"/>
      <w:bookmarkStart w:id="47" w:name="_Toc438210400"/>
      <w:r w:rsidR="009805D5" w:rsidRPr="00D253B1">
        <w:instrText>IV.</w:instrText>
      </w:r>
      <w:r w:rsidR="009805D5" w:rsidRPr="00D253B1">
        <w:tab/>
      </w:r>
      <w:r w:rsidR="009805D5" w:rsidRPr="00D253B1">
        <w:rPr>
          <w:u w:val="single"/>
        </w:rPr>
        <w:instrText>SUPPLEMENTAL CONCLUSIONS OF LAW</w:instrText>
      </w:r>
      <w:bookmarkEnd w:id="44"/>
      <w:bookmarkEnd w:id="45"/>
      <w:bookmarkEnd w:id="46"/>
      <w:bookmarkEnd w:id="47"/>
      <w:r w:rsidR="009805D5">
        <w:instrText xml:space="preserve">" \f C \l "1" </w:instrText>
      </w:r>
      <w:r w:rsidR="009805D5">
        <w:rPr>
          <w:u w:val="single"/>
        </w:rPr>
        <w:fldChar w:fldCharType="end"/>
      </w:r>
    </w:p>
    <w:p w:rsidR="00590E0C" w:rsidRDefault="00590E0C" w:rsidP="00590E0C">
      <w:pPr>
        <w:spacing w:line="360" w:lineRule="auto"/>
      </w:pPr>
    </w:p>
    <w:p w:rsidR="00FC7E5F" w:rsidRDefault="00FC7E5F" w:rsidP="00590E0C">
      <w:pPr>
        <w:spacing w:line="360" w:lineRule="auto"/>
      </w:pPr>
      <w:r>
        <w:tab/>
      </w:r>
      <w:r>
        <w:tab/>
        <w:t>Conclusions of Law 1 through 35 appear in the Initial Decision.</w:t>
      </w:r>
    </w:p>
    <w:p w:rsidR="0028224C" w:rsidRDefault="0028224C" w:rsidP="00590E0C">
      <w:pPr>
        <w:spacing w:line="360" w:lineRule="auto"/>
      </w:pPr>
    </w:p>
    <w:p w:rsidR="0028224C" w:rsidRDefault="0028224C" w:rsidP="0028224C">
      <w:pPr>
        <w:spacing w:line="360" w:lineRule="auto"/>
      </w:pPr>
      <w:r>
        <w:tab/>
      </w:r>
      <w:r>
        <w:tab/>
        <w:t>36.</w:t>
      </w:r>
      <w:r>
        <w:tab/>
      </w:r>
      <w:r w:rsidR="00290C5A">
        <w:t>A</w:t>
      </w:r>
      <w:r>
        <w:t xml:space="preserve"> local exchange carrier shall be entitled to assess and collect the full Access Reciprocal Compensation charges prescribed by this subpart that are set forth in a local exchange carrier's interstate or intrastate tariff for the access services defined in § 51.903 regardless of whether the local exchange carrier itself delivers such traffic to the called party's premises or delivers the call to the called party's premises via contractual or other arrangements with an affiliated or unaffiliated provider of interconnected VoIP service, as defined in 47 U.S.C. 153(25), or a non-interconnected VoIP service, as defined in 47 U.S.C. 153(36), that does not </w:t>
      </w:r>
      <w:r>
        <w:lastRenderedPageBreak/>
        <w:t>itself seek to collect Access Reciprocal Compensation charges prescribed by this subpart for that traffic.</w:t>
      </w:r>
      <w:r w:rsidR="00B26E92">
        <w:t xml:space="preserve">  </w:t>
      </w:r>
      <w:proofErr w:type="gramStart"/>
      <w:r>
        <w:t>47 C.F.R. § 51.913(b).</w:t>
      </w:r>
      <w:proofErr w:type="gramEnd"/>
    </w:p>
    <w:p w:rsidR="0028224C" w:rsidRDefault="0028224C" w:rsidP="00590E0C">
      <w:pPr>
        <w:spacing w:line="360" w:lineRule="auto"/>
      </w:pPr>
    </w:p>
    <w:p w:rsidR="00290C5A" w:rsidRDefault="00290C5A" w:rsidP="00290C5A">
      <w:pPr>
        <w:spacing w:line="360" w:lineRule="auto"/>
        <w:contextualSpacing/>
      </w:pPr>
      <w:r>
        <w:tab/>
      </w:r>
      <w:r>
        <w:tab/>
        <w:t>37.</w:t>
      </w:r>
      <w:r>
        <w:tab/>
        <w:t xml:space="preserve">The language of </w:t>
      </w:r>
      <w:proofErr w:type="spellStart"/>
      <w:r>
        <w:t>CoreTel's</w:t>
      </w:r>
      <w:proofErr w:type="spellEnd"/>
      <w:r>
        <w:t xml:space="preserve"> end-office switching service does not permit that specific tariff rate to be applied when </w:t>
      </w:r>
      <w:proofErr w:type="spellStart"/>
      <w:r>
        <w:t>CoreTel</w:t>
      </w:r>
      <w:proofErr w:type="spellEnd"/>
      <w:r>
        <w:t xml:space="preserve"> delivers calls to customers over the public Internet rather than using a physical facility owed to </w:t>
      </w:r>
      <w:proofErr w:type="spellStart"/>
      <w:r>
        <w:t>CoreTel</w:t>
      </w:r>
      <w:proofErr w:type="spellEnd"/>
      <w:r>
        <w:t xml:space="preserve">.  </w:t>
      </w:r>
      <w:proofErr w:type="spellStart"/>
      <w:proofErr w:type="gramStart"/>
      <w:r>
        <w:rPr>
          <w:i/>
        </w:rPr>
        <w:t>Core</w:t>
      </w:r>
      <w:r w:rsidR="00D53EA7">
        <w:rPr>
          <w:i/>
        </w:rPr>
        <w:t>T</w:t>
      </w:r>
      <w:r>
        <w:rPr>
          <w:i/>
        </w:rPr>
        <w:t>el</w:t>
      </w:r>
      <w:proofErr w:type="spellEnd"/>
      <w:r>
        <w:rPr>
          <w:i/>
        </w:rPr>
        <w:t xml:space="preserve"> Virginia, LLC v. Verizon Virginia, LLC, </w:t>
      </w:r>
      <w:r>
        <w:t>752 F.3d 364, 374; 2014 U.S. App. LEXIS 8902; 60 Comm. Reg. (P&amp;F) 307; 2104 WL 1891233 (4</w:t>
      </w:r>
      <w:r w:rsidRPr="003C5843">
        <w:rPr>
          <w:vertAlign w:val="superscript"/>
        </w:rPr>
        <w:t>th</w:t>
      </w:r>
      <w:r w:rsidR="00D53EA7">
        <w:t xml:space="preserve"> Cir. 2014).</w:t>
      </w:r>
      <w:proofErr w:type="gramEnd"/>
      <w:r>
        <w:t xml:space="preserve"> </w:t>
      </w:r>
    </w:p>
    <w:p w:rsidR="00290C5A" w:rsidRDefault="00290C5A" w:rsidP="00290C5A">
      <w:pPr>
        <w:spacing w:line="360" w:lineRule="auto"/>
        <w:contextualSpacing/>
      </w:pPr>
    </w:p>
    <w:p w:rsidR="0028224C" w:rsidRDefault="00290C5A" w:rsidP="00590E0C">
      <w:pPr>
        <w:spacing w:line="360" w:lineRule="auto"/>
      </w:pPr>
      <w:r>
        <w:tab/>
      </w:r>
      <w:r>
        <w:tab/>
        <w:t>38.</w:t>
      </w:r>
      <w:r>
        <w:tab/>
        <w:t xml:space="preserve">The purpose of the rule against retroactivity, and the closely related filed rate doctrine, is to ensure predictability.  The question is therefore whether, absent an agreement, it was predictable that the state commission would apply a rate equal to the federal rate cap.  AT&amp;T was on notice since 2001 that it could be subject to payment for the exchange of ISP-bound traffic and on notice since 2004 that a $0/MOU rate would not be the general default.  While AT&amp;T assumed this traffic was being transmitted on a bill-and-keep basis and it had bill-and-keep arrangements with other CLECs, Core charges other CLECs it interconnects with, so there is no reason to think AT&amp;T's assumption is the industry norm.  </w:t>
      </w:r>
      <w:proofErr w:type="gramStart"/>
      <w:r>
        <w:rPr>
          <w:i/>
        </w:rPr>
        <w:t>AT&amp;T Corp.; Teleport Communications of America, LLC v. Core Communications, Inc., and the Pa. Pub.</w:t>
      </w:r>
      <w:proofErr w:type="gramEnd"/>
      <w:r>
        <w:rPr>
          <w:i/>
        </w:rPr>
        <w:t xml:space="preserve"> Util. Comm'n, </w:t>
      </w:r>
      <w:r>
        <w:t>Nos. 14-1499 &amp; 14-1664, at 32 (Opinion filed November 25, 2015) (3</w:t>
      </w:r>
      <w:r w:rsidRPr="00E2004D">
        <w:rPr>
          <w:vertAlign w:val="superscript"/>
        </w:rPr>
        <w:t>rd</w:t>
      </w:r>
      <w:r>
        <w:t xml:space="preserve"> Cir. 2015)</w:t>
      </w:r>
      <w:r w:rsidR="00F50502">
        <w:t>.</w:t>
      </w:r>
    </w:p>
    <w:p w:rsidR="0028224C" w:rsidRDefault="0028224C" w:rsidP="00590E0C">
      <w:pPr>
        <w:spacing w:line="360" w:lineRule="auto"/>
      </w:pPr>
    </w:p>
    <w:p w:rsidR="00590E0C" w:rsidRPr="00CE731B" w:rsidRDefault="00FC7E5F">
      <w:pPr>
        <w:spacing w:line="360" w:lineRule="auto"/>
        <w:jc w:val="center"/>
        <w:rPr>
          <w:u w:val="single"/>
        </w:rPr>
      </w:pPr>
      <w:r w:rsidRPr="00CE731B">
        <w:t>V.</w:t>
      </w:r>
      <w:r w:rsidRPr="00CE731B">
        <w:tab/>
      </w:r>
      <w:r w:rsidR="00590E0C" w:rsidRPr="00CE731B">
        <w:rPr>
          <w:u w:val="single"/>
        </w:rPr>
        <w:t>ORDER</w:t>
      </w:r>
      <w:r w:rsidR="000D7AE1" w:rsidRPr="00CE731B">
        <w:rPr>
          <w:u w:val="single"/>
        </w:rPr>
        <w:fldChar w:fldCharType="begin"/>
      </w:r>
      <w:r w:rsidR="000D7AE1" w:rsidRPr="00CE731B">
        <w:instrText xml:space="preserve"> TC "</w:instrText>
      </w:r>
      <w:bookmarkStart w:id="48" w:name="_Toc438209684"/>
      <w:bookmarkStart w:id="49" w:name="_Toc438210401"/>
      <w:r w:rsidR="000D7AE1" w:rsidRPr="00CE731B">
        <w:instrText>V.</w:instrText>
      </w:r>
      <w:r w:rsidR="000D7AE1" w:rsidRPr="00CE731B">
        <w:tab/>
      </w:r>
      <w:r w:rsidR="000D7AE1" w:rsidRPr="00CE731B">
        <w:rPr>
          <w:u w:val="single"/>
        </w:rPr>
        <w:instrText>ORDER</w:instrText>
      </w:r>
      <w:bookmarkEnd w:id="48"/>
      <w:bookmarkEnd w:id="49"/>
      <w:r w:rsidR="000D7AE1" w:rsidRPr="00CE731B">
        <w:instrText xml:space="preserve">" \f C \l "1" </w:instrText>
      </w:r>
      <w:r w:rsidR="000D7AE1" w:rsidRPr="00CE731B">
        <w:rPr>
          <w:u w:val="single"/>
        </w:rPr>
        <w:fldChar w:fldCharType="end"/>
      </w:r>
    </w:p>
    <w:p w:rsidR="00F50502" w:rsidRDefault="00F50502">
      <w:pPr>
        <w:spacing w:line="360" w:lineRule="auto"/>
        <w:jc w:val="center"/>
        <w:rPr>
          <w:b/>
          <w:u w:val="single"/>
        </w:rPr>
      </w:pPr>
    </w:p>
    <w:p w:rsidR="00D87299" w:rsidRDefault="00D87299">
      <w:pPr>
        <w:spacing w:line="360" w:lineRule="auto"/>
        <w:jc w:val="center"/>
        <w:rPr>
          <w:b/>
          <w:u w:val="single"/>
        </w:rPr>
      </w:pPr>
    </w:p>
    <w:p w:rsidR="00F50502" w:rsidRDefault="00F50502" w:rsidP="00F50502">
      <w:pPr>
        <w:spacing w:line="360" w:lineRule="auto"/>
      </w:pPr>
      <w:r>
        <w:tab/>
      </w:r>
      <w:r>
        <w:tab/>
        <w:t>THEREFORE,</w:t>
      </w:r>
    </w:p>
    <w:p w:rsidR="00F50502" w:rsidRDefault="00F50502" w:rsidP="00F50502">
      <w:pPr>
        <w:spacing w:line="360" w:lineRule="auto"/>
      </w:pPr>
    </w:p>
    <w:p w:rsidR="00F50502" w:rsidRDefault="00F50502" w:rsidP="00F50502">
      <w:pPr>
        <w:spacing w:line="360" w:lineRule="auto"/>
      </w:pPr>
      <w:r>
        <w:tab/>
      </w:r>
      <w:r>
        <w:tab/>
        <w:t>IT IS ORDERED:</w:t>
      </w:r>
    </w:p>
    <w:p w:rsidR="00F50502" w:rsidRDefault="00F50502" w:rsidP="00F50502">
      <w:pPr>
        <w:spacing w:line="360" w:lineRule="auto"/>
      </w:pPr>
    </w:p>
    <w:p w:rsidR="00F50502" w:rsidRDefault="00F50502" w:rsidP="005751F0">
      <w:pPr>
        <w:spacing w:line="360" w:lineRule="auto"/>
      </w:pPr>
      <w:r>
        <w:tab/>
      </w:r>
      <w:r>
        <w:tab/>
        <w:t>1.</w:t>
      </w:r>
      <w:r>
        <w:tab/>
      </w:r>
      <w:r w:rsidRPr="007853B5">
        <w:t>That the Joint Motion of Verizon Pennsylvania, Inc., Verizon North, Inc., and Core Communications, Inc., for the admission of the Late-Filed Proprietary Exhibits labeled Joint Proprietary Exhibit 1, 2 and 3 is granted.</w:t>
      </w:r>
    </w:p>
    <w:p w:rsidR="00F50502" w:rsidRDefault="00F50502" w:rsidP="005751F0">
      <w:pPr>
        <w:spacing w:line="360" w:lineRule="auto"/>
      </w:pPr>
    </w:p>
    <w:p w:rsidR="00F50502" w:rsidRPr="007853B5" w:rsidRDefault="00F50502" w:rsidP="005751F0">
      <w:pPr>
        <w:spacing w:line="360" w:lineRule="auto"/>
      </w:pPr>
      <w:r>
        <w:lastRenderedPageBreak/>
        <w:tab/>
      </w:r>
      <w:r>
        <w:tab/>
        <w:t>2</w:t>
      </w:r>
      <w:r w:rsidRPr="007853B5">
        <w:t>.</w:t>
      </w:r>
      <w:r w:rsidRPr="007853B5">
        <w:tab/>
        <w:t xml:space="preserve">The Formal Amended Complaint filed by Core Communications, Inc. against Verizon Pennsylvania LLC and Verizon North LLC at Dockets No. </w:t>
      </w:r>
      <w:r w:rsidRPr="007853B5">
        <w:rPr>
          <w:color w:val="000000"/>
        </w:rPr>
        <w:t xml:space="preserve">C-2011-2253750 and </w:t>
      </w:r>
      <w:r w:rsidRPr="007853B5">
        <w:t xml:space="preserve">C-2011-2253787 is </w:t>
      </w:r>
      <w:r w:rsidR="00744FE2">
        <w:t>dismissed</w:t>
      </w:r>
      <w:r w:rsidRPr="007853B5">
        <w:t>.</w:t>
      </w:r>
    </w:p>
    <w:p w:rsidR="00F50502" w:rsidRDefault="00F50502" w:rsidP="005751F0">
      <w:pPr>
        <w:spacing w:line="360" w:lineRule="auto"/>
      </w:pPr>
    </w:p>
    <w:p w:rsidR="00F50502" w:rsidRPr="007853B5" w:rsidRDefault="00F50502" w:rsidP="005751F0">
      <w:pPr>
        <w:spacing w:line="360" w:lineRule="auto"/>
      </w:pPr>
      <w:r>
        <w:tab/>
      </w:r>
      <w:r>
        <w:tab/>
        <w:t>3.</w:t>
      </w:r>
      <w:r>
        <w:tab/>
      </w:r>
      <w:r w:rsidRPr="007853B5">
        <w:t xml:space="preserve">The New Matter and Counterclaims to the Amended Complaint filed by Verizon Pennsylvania LLC and Verizon North LLC against Core Communications, Inc. at Docket No. </w:t>
      </w:r>
      <w:r w:rsidRPr="007853B5">
        <w:rPr>
          <w:color w:val="000000"/>
        </w:rPr>
        <w:t xml:space="preserve">C-2011-2253750 and </w:t>
      </w:r>
      <w:r w:rsidRPr="007853B5">
        <w:t>C-2011-2253787 are granted in part and denied in part, consistent with this Order.</w:t>
      </w:r>
    </w:p>
    <w:p w:rsidR="00F50502" w:rsidRPr="007853B5" w:rsidRDefault="00F50502" w:rsidP="005751F0">
      <w:pPr>
        <w:spacing w:line="360" w:lineRule="auto"/>
      </w:pPr>
    </w:p>
    <w:p w:rsidR="00F50502" w:rsidRPr="007853B5" w:rsidRDefault="00F50502" w:rsidP="005751F0">
      <w:pPr>
        <w:spacing w:line="360" w:lineRule="auto"/>
      </w:pPr>
      <w:r>
        <w:tab/>
      </w:r>
      <w:r>
        <w:tab/>
        <w:t>4</w:t>
      </w:r>
      <w:r w:rsidRPr="007853B5">
        <w:t>.</w:t>
      </w:r>
      <w:r w:rsidRPr="007853B5">
        <w:tab/>
        <w:t>That Verizon Pennsylvania, Inc., and Verizon North LLC, shall promptly pay uncontested bills issued by Core Communications, Inc., in accordance with applicable interconnection agreements and applicable tariffs.</w:t>
      </w:r>
    </w:p>
    <w:p w:rsidR="00F50502" w:rsidRPr="007853B5" w:rsidRDefault="00F50502" w:rsidP="005751F0">
      <w:pPr>
        <w:spacing w:line="360" w:lineRule="auto"/>
      </w:pPr>
    </w:p>
    <w:p w:rsidR="00F50502" w:rsidRPr="007853B5" w:rsidRDefault="00F50502" w:rsidP="005751F0">
      <w:pPr>
        <w:spacing w:line="360" w:lineRule="auto"/>
      </w:pPr>
      <w:r w:rsidRPr="007853B5">
        <w:tab/>
      </w:r>
      <w:r w:rsidRPr="007853B5">
        <w:tab/>
      </w:r>
      <w:r>
        <w:t>5</w:t>
      </w:r>
      <w:r w:rsidRPr="007853B5">
        <w:t>.</w:t>
      </w:r>
      <w:r w:rsidRPr="007853B5">
        <w:tab/>
        <w:t>That Verizon Pennsylvania, Inc. and Verizon North LLC shall comply with the terms of the applicable interconnection agreements and applicable tariffs when contesting bills and when i</w:t>
      </w:r>
      <w:r>
        <w:t>ssuing bills to other carriers.</w:t>
      </w:r>
    </w:p>
    <w:p w:rsidR="00F50502" w:rsidRPr="007853B5" w:rsidRDefault="00F50502" w:rsidP="005751F0">
      <w:pPr>
        <w:spacing w:line="360" w:lineRule="auto"/>
      </w:pPr>
    </w:p>
    <w:p w:rsidR="00F50502" w:rsidRPr="007853B5" w:rsidRDefault="00F50502" w:rsidP="005751F0">
      <w:pPr>
        <w:spacing w:line="360" w:lineRule="auto"/>
      </w:pPr>
      <w:r w:rsidRPr="007853B5">
        <w:tab/>
      </w:r>
      <w:r w:rsidRPr="007853B5">
        <w:tab/>
      </w:r>
      <w:r>
        <w:t>6</w:t>
      </w:r>
      <w:r w:rsidRPr="007853B5">
        <w:t>.</w:t>
      </w:r>
      <w:r w:rsidRPr="007853B5">
        <w:tab/>
        <w:t>That Core Communications, Inc</w:t>
      </w:r>
      <w:proofErr w:type="gramStart"/>
      <w:r w:rsidRPr="007853B5">
        <w:t>.,</w:t>
      </w:r>
      <w:proofErr w:type="gramEnd"/>
      <w:r w:rsidRPr="007853B5">
        <w:t xml:space="preserve"> shall immediately cease billing Verizon Pennsylvania, Inc. and Verizon North, LLC for traffic originated by other carriers.</w:t>
      </w:r>
    </w:p>
    <w:p w:rsidR="00F50502" w:rsidRPr="007853B5" w:rsidRDefault="00F50502" w:rsidP="005751F0">
      <w:pPr>
        <w:spacing w:line="360" w:lineRule="auto"/>
      </w:pPr>
    </w:p>
    <w:p w:rsidR="00F50502" w:rsidRPr="007853B5" w:rsidRDefault="00F50502" w:rsidP="005751F0">
      <w:pPr>
        <w:spacing w:line="360" w:lineRule="auto"/>
      </w:pPr>
      <w:r>
        <w:tab/>
      </w:r>
      <w:r>
        <w:tab/>
        <w:t>7</w:t>
      </w:r>
      <w:r w:rsidRPr="007853B5">
        <w:t>.</w:t>
      </w:r>
      <w:r w:rsidRPr="007853B5">
        <w:tab/>
        <w:t>That Core Communications, Inc</w:t>
      </w:r>
      <w:proofErr w:type="gramStart"/>
      <w:r w:rsidRPr="007853B5">
        <w:t>.,</w:t>
      </w:r>
      <w:proofErr w:type="gramEnd"/>
      <w:r w:rsidRPr="007853B5">
        <w:t xml:space="preserve"> shall pay the bills tendered on or after May 17, 2009, by Verizon Pennsylvania, Inc., and Verizon North LLC, pursuant to the interconnection agreements ex</w:t>
      </w:r>
      <w:r>
        <w:t>isting between the companies.</w:t>
      </w:r>
    </w:p>
    <w:p w:rsidR="00F50502" w:rsidRPr="007853B5" w:rsidRDefault="00F50502" w:rsidP="005751F0">
      <w:pPr>
        <w:spacing w:line="360" w:lineRule="auto"/>
      </w:pPr>
    </w:p>
    <w:p w:rsidR="00F50502" w:rsidRPr="007853B5" w:rsidRDefault="00F50502" w:rsidP="005751F0">
      <w:pPr>
        <w:spacing w:line="360" w:lineRule="auto"/>
      </w:pPr>
      <w:r>
        <w:tab/>
      </w:r>
      <w:r>
        <w:tab/>
        <w:t>8</w:t>
      </w:r>
      <w:r w:rsidRPr="007853B5">
        <w:t>.</w:t>
      </w:r>
      <w:r w:rsidRPr="007853B5">
        <w:tab/>
        <w:t xml:space="preserve">That the </w:t>
      </w:r>
      <w:r>
        <w:t>request of Core Communications, Inc., to direct Verizon</w:t>
      </w:r>
      <w:r w:rsidR="00A04236">
        <w:t xml:space="preserve"> </w:t>
      </w:r>
      <w:r w:rsidR="00A04236" w:rsidRPr="007853B5">
        <w:t>Pennsylvania LLC and Verizon North LLC</w:t>
      </w:r>
      <w:r>
        <w:t xml:space="preserve"> to pay </w:t>
      </w:r>
      <w:r w:rsidRPr="007853B5">
        <w:t>bills issued by Core</w:t>
      </w:r>
      <w:r w:rsidR="00A04236">
        <w:t xml:space="preserve"> Communications, Inc.,</w:t>
      </w:r>
      <w:r w:rsidRPr="007853B5">
        <w:t xml:space="preserve"> to Verizon </w:t>
      </w:r>
      <w:r w:rsidR="00A04236" w:rsidRPr="007853B5">
        <w:t>Pennsylvania LLC and Verizon North LLC</w:t>
      </w:r>
      <w:r w:rsidR="00A04236">
        <w:t xml:space="preserve"> </w:t>
      </w:r>
      <w:r w:rsidRPr="007853B5">
        <w:t xml:space="preserve">in the amount of $2,532,143.22 for intrastate and interstate switched access on minutes carried over the SS7 trunks for which Core </w:t>
      </w:r>
      <w:r w:rsidR="00A04236">
        <w:t xml:space="preserve">Communications, Inc., </w:t>
      </w:r>
      <w:r w:rsidRPr="007853B5">
        <w:t xml:space="preserve">had already billed and Verizon </w:t>
      </w:r>
      <w:r w:rsidR="00A04236" w:rsidRPr="007853B5">
        <w:t xml:space="preserve">Pennsylvania LLC and Verizon North LLC </w:t>
      </w:r>
      <w:r w:rsidRPr="007853B5">
        <w:t>had already paid Core</w:t>
      </w:r>
      <w:r>
        <w:t xml:space="preserve"> </w:t>
      </w:r>
      <w:r w:rsidR="00A04236">
        <w:t xml:space="preserve">Communications, Inc., </w:t>
      </w:r>
      <w:r>
        <w:t>at a lower rate, is denied.</w:t>
      </w:r>
    </w:p>
    <w:p w:rsidR="00F50502" w:rsidRPr="007853B5" w:rsidRDefault="00F50502" w:rsidP="005751F0">
      <w:pPr>
        <w:spacing w:line="360" w:lineRule="auto"/>
      </w:pPr>
    </w:p>
    <w:p w:rsidR="00F50502" w:rsidRDefault="00F50502" w:rsidP="005751F0">
      <w:pPr>
        <w:spacing w:line="360" w:lineRule="auto"/>
      </w:pPr>
      <w:r w:rsidRPr="007853B5">
        <w:lastRenderedPageBreak/>
        <w:tab/>
      </w:r>
      <w:r w:rsidRPr="007853B5">
        <w:tab/>
      </w:r>
      <w:r>
        <w:t>9</w:t>
      </w:r>
      <w:r w:rsidRPr="007853B5">
        <w:t>.</w:t>
      </w:r>
      <w:r w:rsidRPr="007853B5">
        <w:tab/>
      </w:r>
      <w:r w:rsidR="00744FE2">
        <w:t xml:space="preserve">That </w:t>
      </w:r>
      <w:r w:rsidRPr="007853B5">
        <w:t xml:space="preserve">Core </w:t>
      </w:r>
      <w:r w:rsidR="00744FE2" w:rsidRPr="007853B5">
        <w:t>Communications, Inc</w:t>
      </w:r>
      <w:proofErr w:type="gramStart"/>
      <w:r w:rsidR="00744FE2">
        <w:t>.,</w:t>
      </w:r>
      <w:proofErr w:type="gramEnd"/>
      <w:r w:rsidR="00744FE2" w:rsidRPr="007853B5">
        <w:t xml:space="preserve"> </w:t>
      </w:r>
      <w:r w:rsidRPr="007853B5">
        <w:t>is directed to pay $32,685.92 to Verizon Pennsylvania Inc. and Verizon North LLC f</w:t>
      </w:r>
      <w:r>
        <w:t>or directory listing services.</w:t>
      </w:r>
    </w:p>
    <w:p w:rsidR="00F50502" w:rsidRDefault="00F50502" w:rsidP="005751F0">
      <w:pPr>
        <w:spacing w:line="360" w:lineRule="auto"/>
      </w:pPr>
    </w:p>
    <w:p w:rsidR="00F50502" w:rsidRDefault="00F50502" w:rsidP="005751F0">
      <w:pPr>
        <w:spacing w:line="360" w:lineRule="auto"/>
      </w:pPr>
      <w:r>
        <w:tab/>
      </w:r>
      <w:r>
        <w:tab/>
        <w:t>10.</w:t>
      </w:r>
      <w:r>
        <w:tab/>
        <w:t xml:space="preserve">That Verizon shall prepare and submit within sixty (60) days of the final Commission Order in this matter a table of bills that Core </w:t>
      </w:r>
      <w:r w:rsidR="00744FE2" w:rsidRPr="007853B5">
        <w:t xml:space="preserve">Communications, </w:t>
      </w:r>
      <w:r w:rsidR="00744FE2">
        <w:t>I</w:t>
      </w:r>
      <w:r w:rsidR="00744FE2" w:rsidRPr="007853B5">
        <w:t>nc</w:t>
      </w:r>
      <w:r w:rsidR="00744FE2">
        <w:t xml:space="preserve">., </w:t>
      </w:r>
      <w:r>
        <w:t>has not paid and for which Verizon seeks payment.</w:t>
      </w:r>
    </w:p>
    <w:p w:rsidR="00F50502" w:rsidRDefault="00F50502" w:rsidP="005751F0">
      <w:pPr>
        <w:spacing w:line="360" w:lineRule="auto"/>
      </w:pPr>
    </w:p>
    <w:p w:rsidR="00F50502" w:rsidRDefault="00F50502" w:rsidP="005751F0">
      <w:pPr>
        <w:spacing w:line="360" w:lineRule="auto"/>
      </w:pPr>
      <w:r>
        <w:tab/>
      </w:r>
      <w:r>
        <w:tab/>
        <w:t>11.</w:t>
      </w:r>
      <w:r>
        <w:tab/>
        <w:t>That Core</w:t>
      </w:r>
      <w:r w:rsidR="00744FE2">
        <w:t xml:space="preserve"> </w:t>
      </w:r>
      <w:r w:rsidR="00744FE2" w:rsidRPr="007853B5">
        <w:t>Communications, Inc</w:t>
      </w:r>
      <w:r w:rsidR="00744FE2">
        <w:t>.</w:t>
      </w:r>
      <w:proofErr w:type="gramStart"/>
      <w:r w:rsidR="00744FE2">
        <w:t xml:space="preserve">, </w:t>
      </w:r>
      <w:r>
        <w:t xml:space="preserve"> may</w:t>
      </w:r>
      <w:proofErr w:type="gramEnd"/>
      <w:r>
        <w:t xml:space="preserve"> dispute the bills within twenty (20) days of service of the table referenced in Ordering Paragraph 10.</w:t>
      </w:r>
    </w:p>
    <w:p w:rsidR="00F50502" w:rsidRDefault="00F50502" w:rsidP="005751F0">
      <w:pPr>
        <w:spacing w:line="360" w:lineRule="auto"/>
      </w:pPr>
    </w:p>
    <w:p w:rsidR="00F50502" w:rsidRDefault="00C21969" w:rsidP="005751F0">
      <w:pPr>
        <w:spacing w:line="360" w:lineRule="auto"/>
      </w:pPr>
      <w:r>
        <w:tab/>
      </w:r>
      <w:r>
        <w:tab/>
        <w:t>12.</w:t>
      </w:r>
      <w:r>
        <w:tab/>
        <w:t>That either party may seek Commission review of the table of bills reference</w:t>
      </w:r>
      <w:r w:rsidR="00744FE2">
        <w:t>d</w:t>
      </w:r>
      <w:r>
        <w:t xml:space="preserve"> in </w:t>
      </w:r>
      <w:r w:rsidR="00A04236">
        <w:t>ordering</w:t>
      </w:r>
      <w:r>
        <w:t xml:space="preserve"> paragraph 10.</w:t>
      </w:r>
    </w:p>
    <w:p w:rsidR="00744FE2" w:rsidRDefault="00744FE2" w:rsidP="005751F0">
      <w:pPr>
        <w:spacing w:line="360" w:lineRule="auto"/>
      </w:pPr>
    </w:p>
    <w:p w:rsidR="00744FE2" w:rsidRDefault="00744FE2" w:rsidP="005751F0">
      <w:pPr>
        <w:spacing w:line="360" w:lineRule="auto"/>
      </w:pPr>
      <w:r>
        <w:tab/>
      </w:r>
      <w:r>
        <w:tab/>
        <w:t>13.</w:t>
      </w:r>
      <w:r>
        <w:tab/>
        <w:t>That, following any proceeding held to establish which bills should be paid, Core Communications, Inc., shall pay the bills within ninety (90) days of the final Commission Order affirming the bills, and shall file a letter indicating that the bills have been paid.</w:t>
      </w:r>
    </w:p>
    <w:p w:rsidR="00744FE2" w:rsidRDefault="00744FE2" w:rsidP="005751F0">
      <w:pPr>
        <w:spacing w:line="360" w:lineRule="auto"/>
      </w:pPr>
    </w:p>
    <w:p w:rsidR="00744FE2" w:rsidRPr="007853B5" w:rsidRDefault="00744FE2" w:rsidP="005751F0">
      <w:pPr>
        <w:spacing w:line="360" w:lineRule="auto"/>
      </w:pPr>
      <w:r>
        <w:tab/>
      </w:r>
      <w:r>
        <w:tab/>
        <w:t>14.</w:t>
      </w:r>
      <w:r>
        <w:tab/>
      </w:r>
      <w:proofErr w:type="gramStart"/>
      <w:r>
        <w:t>That</w:t>
      </w:r>
      <w:proofErr w:type="gramEnd"/>
      <w:r>
        <w:t>, following the filing of the notification of payment of the bills, these dockets shall be marked closed.</w:t>
      </w:r>
    </w:p>
    <w:p w:rsidR="00F50502" w:rsidRDefault="00F50502" w:rsidP="00744FE2">
      <w:pPr>
        <w:spacing w:line="360" w:lineRule="auto"/>
      </w:pPr>
    </w:p>
    <w:p w:rsidR="005751F0" w:rsidRPr="007853B5" w:rsidRDefault="005751F0" w:rsidP="00744FE2">
      <w:pPr>
        <w:spacing w:line="360" w:lineRule="auto"/>
      </w:pPr>
    </w:p>
    <w:p w:rsidR="00744FE2" w:rsidRPr="007853B5" w:rsidRDefault="00744FE2" w:rsidP="00744FE2">
      <w:r>
        <w:t>Dated:</w:t>
      </w:r>
      <w:r>
        <w:tab/>
      </w:r>
      <w:r>
        <w:rPr>
          <w:u w:val="single"/>
        </w:rPr>
        <w:t>December 18, 2015</w:t>
      </w:r>
      <w:r>
        <w:tab/>
      </w:r>
      <w:r>
        <w:tab/>
      </w:r>
      <w:r>
        <w:tab/>
      </w:r>
      <w:r>
        <w:tab/>
      </w:r>
      <w:r w:rsidRPr="007853B5">
        <w:t>__</w:t>
      </w:r>
      <w:r>
        <w:rPr>
          <w:u w:val="single"/>
        </w:rPr>
        <w:t>/</w:t>
      </w:r>
      <w:r>
        <w:rPr>
          <w:rFonts w:ascii="Berlin Sans FB" w:hAnsi="Berlin Sans FB"/>
          <w:u w:val="single"/>
        </w:rPr>
        <w:t>s</w:t>
      </w:r>
      <w:r>
        <w:rPr>
          <w:u w:val="single"/>
        </w:rPr>
        <w:t>/</w:t>
      </w:r>
      <w:r w:rsidRPr="007853B5">
        <w:t>________________________________</w:t>
      </w:r>
    </w:p>
    <w:p w:rsidR="00744FE2" w:rsidRPr="007853B5" w:rsidRDefault="00744FE2" w:rsidP="00744FE2">
      <w:r w:rsidRPr="007853B5">
        <w:tab/>
      </w:r>
      <w:r w:rsidRPr="007853B5">
        <w:tab/>
      </w:r>
      <w:r w:rsidRPr="007853B5">
        <w:tab/>
      </w:r>
      <w:r w:rsidRPr="007853B5">
        <w:tab/>
      </w:r>
      <w:r w:rsidRPr="007853B5">
        <w:tab/>
      </w:r>
      <w:r w:rsidRPr="007853B5">
        <w:tab/>
      </w:r>
      <w:r w:rsidRPr="007853B5">
        <w:tab/>
        <w:t>Susan D. Colwell</w:t>
      </w:r>
    </w:p>
    <w:p w:rsidR="00744FE2" w:rsidRPr="007853B5" w:rsidRDefault="00744FE2" w:rsidP="00744FE2">
      <w:r w:rsidRPr="007853B5">
        <w:tab/>
      </w:r>
      <w:r w:rsidRPr="007853B5">
        <w:tab/>
      </w:r>
      <w:r w:rsidRPr="007853B5">
        <w:tab/>
      </w:r>
      <w:r w:rsidRPr="007853B5">
        <w:tab/>
      </w:r>
      <w:r w:rsidRPr="007853B5">
        <w:tab/>
      </w:r>
      <w:r w:rsidRPr="007853B5">
        <w:tab/>
      </w:r>
      <w:r w:rsidRPr="007853B5">
        <w:tab/>
        <w:t>Administrative Law Judge</w:t>
      </w:r>
      <w:r w:rsidRPr="007853B5">
        <w:tab/>
      </w:r>
    </w:p>
    <w:p w:rsidR="00F50502" w:rsidRPr="007853B5" w:rsidRDefault="00F50502" w:rsidP="00744FE2">
      <w:pPr>
        <w:spacing w:line="360" w:lineRule="auto"/>
      </w:pPr>
    </w:p>
    <w:sectPr w:rsidR="00F50502" w:rsidRPr="007853B5" w:rsidSect="000A663E">
      <w:footerReference w:type="first" r:id="rId12"/>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FA" w:rsidRDefault="009520FA" w:rsidP="001F163D">
      <w:r>
        <w:separator/>
      </w:r>
    </w:p>
  </w:endnote>
  <w:endnote w:type="continuationSeparator" w:id="0">
    <w:p w:rsidR="009520FA" w:rsidRDefault="009520FA" w:rsidP="001F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3C" w:rsidRDefault="0078643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983102"/>
      <w:docPartObj>
        <w:docPartGallery w:val="Page Numbers (Bottom of Page)"/>
        <w:docPartUnique/>
      </w:docPartObj>
    </w:sdtPr>
    <w:sdtEndPr>
      <w:rPr>
        <w:noProof/>
        <w:sz w:val="20"/>
        <w:szCs w:val="20"/>
      </w:rPr>
    </w:sdtEndPr>
    <w:sdtContent>
      <w:p w:rsidR="000A663E" w:rsidRPr="00607126" w:rsidRDefault="00607126" w:rsidP="00607126">
        <w:pPr>
          <w:pStyle w:val="Footer"/>
          <w:jc w:val="center"/>
          <w:rPr>
            <w:sz w:val="20"/>
            <w:szCs w:val="20"/>
          </w:rPr>
        </w:pPr>
        <w:r w:rsidRPr="00607126">
          <w:rPr>
            <w:sz w:val="20"/>
            <w:szCs w:val="20"/>
          </w:rPr>
          <w:fldChar w:fldCharType="begin"/>
        </w:r>
        <w:r w:rsidRPr="00607126">
          <w:rPr>
            <w:sz w:val="20"/>
            <w:szCs w:val="20"/>
          </w:rPr>
          <w:instrText xml:space="preserve"> PAGE   \* MERGEFORMAT </w:instrText>
        </w:r>
        <w:r w:rsidRPr="00607126">
          <w:rPr>
            <w:sz w:val="20"/>
            <w:szCs w:val="20"/>
          </w:rPr>
          <w:fldChar w:fldCharType="separate"/>
        </w:r>
        <w:r w:rsidR="00C12144">
          <w:rPr>
            <w:noProof/>
            <w:sz w:val="20"/>
            <w:szCs w:val="20"/>
          </w:rPr>
          <w:t>i</w:t>
        </w:r>
        <w:r w:rsidRPr="00607126">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3C" w:rsidRDefault="007864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390253"/>
      <w:docPartObj>
        <w:docPartGallery w:val="Page Numbers (Bottom of Page)"/>
        <w:docPartUnique/>
      </w:docPartObj>
    </w:sdtPr>
    <w:sdtEndPr>
      <w:rPr>
        <w:noProof/>
        <w:sz w:val="20"/>
        <w:szCs w:val="20"/>
      </w:rPr>
    </w:sdtEndPr>
    <w:sdtContent>
      <w:p w:rsidR="000A663E" w:rsidRPr="00607126" w:rsidRDefault="00607126" w:rsidP="00607126">
        <w:pPr>
          <w:pStyle w:val="Footer"/>
          <w:jc w:val="center"/>
          <w:rPr>
            <w:sz w:val="20"/>
            <w:szCs w:val="20"/>
          </w:rPr>
        </w:pPr>
        <w:r w:rsidRPr="00607126">
          <w:rPr>
            <w:sz w:val="20"/>
            <w:szCs w:val="20"/>
          </w:rPr>
          <w:fldChar w:fldCharType="begin"/>
        </w:r>
        <w:r w:rsidRPr="00607126">
          <w:rPr>
            <w:sz w:val="20"/>
            <w:szCs w:val="20"/>
          </w:rPr>
          <w:instrText xml:space="preserve"> PAGE   \* MERGEFORMAT </w:instrText>
        </w:r>
        <w:r w:rsidRPr="00607126">
          <w:rPr>
            <w:sz w:val="20"/>
            <w:szCs w:val="20"/>
          </w:rPr>
          <w:fldChar w:fldCharType="separate"/>
        </w:r>
        <w:r w:rsidR="00C12144">
          <w:rPr>
            <w:noProof/>
            <w:sz w:val="20"/>
            <w:szCs w:val="20"/>
          </w:rPr>
          <w:t>1</w:t>
        </w:r>
        <w:r w:rsidRPr="0060712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FA" w:rsidRDefault="009520FA" w:rsidP="001F163D">
      <w:r>
        <w:separator/>
      </w:r>
    </w:p>
  </w:footnote>
  <w:footnote w:type="continuationSeparator" w:id="0">
    <w:p w:rsidR="009520FA" w:rsidRDefault="009520FA" w:rsidP="001F163D">
      <w:r>
        <w:continuationSeparator/>
      </w:r>
    </w:p>
  </w:footnote>
  <w:footnote w:id="1">
    <w:p w:rsidR="0078643C" w:rsidRPr="006D4494" w:rsidRDefault="0078643C" w:rsidP="00FC7E5F">
      <w:pPr>
        <w:pStyle w:val="FootnoteText"/>
        <w:rPr>
          <w:rFonts w:ascii="Times New Roman" w:hAnsi="Times New Roman"/>
          <w:sz w:val="20"/>
        </w:rPr>
      </w:pP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r>
      <w:r w:rsidRPr="006D4494">
        <w:rPr>
          <w:rFonts w:ascii="Times New Roman" w:hAnsi="Times New Roman"/>
          <w:sz w:val="20"/>
        </w:rPr>
        <w:t xml:space="preserve">As noted, </w:t>
      </w:r>
      <w:r w:rsidRPr="006D4494">
        <w:rPr>
          <w:rFonts w:ascii="Times New Roman" w:hAnsi="Times New Roman"/>
          <w:i/>
          <w:sz w:val="20"/>
        </w:rPr>
        <w:t>infra</w:t>
      </w:r>
      <w:r w:rsidRPr="006D4494">
        <w:rPr>
          <w:rFonts w:ascii="Times New Roman" w:hAnsi="Times New Roman"/>
          <w:sz w:val="20"/>
        </w:rPr>
        <w:t xml:space="preserve">, Core concurrently filed a Petition for Interim Emergency Order (Petition) at Docket No. P-2011-2253650 requesting that the Commission </w:t>
      </w:r>
      <w:proofErr w:type="gramStart"/>
      <w:r w:rsidRPr="006D4494">
        <w:rPr>
          <w:rFonts w:ascii="Times New Roman" w:hAnsi="Times New Roman"/>
          <w:sz w:val="20"/>
        </w:rPr>
        <w:t>direct</w:t>
      </w:r>
      <w:proofErr w:type="gramEnd"/>
      <w:r w:rsidRPr="006D4494">
        <w:rPr>
          <w:rFonts w:ascii="Times New Roman" w:hAnsi="Times New Roman"/>
          <w:sz w:val="20"/>
        </w:rPr>
        <w:t xml:space="preserve"> Verizon to resume immediate payment pending the resolution of the underlying dispute between the Parties.  The Commission granted this Petition and directed Verizon to compensate Core by paying its invoices at a rate of $0.0007 per minute of use, subject to refund. </w:t>
      </w:r>
    </w:p>
  </w:footnote>
  <w:footnote w:id="2">
    <w:p w:rsidR="0078643C" w:rsidRPr="006D4494" w:rsidRDefault="0078643C" w:rsidP="00FC7E5F">
      <w:pPr>
        <w:pStyle w:val="FootnoteText"/>
        <w:rPr>
          <w:rFonts w:ascii="Times New Roman" w:hAnsi="Times New Roman"/>
          <w:sz w:val="20"/>
        </w:rPr>
      </w:pP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r>
      <w:r w:rsidRPr="006D4494">
        <w:rPr>
          <w:rFonts w:ascii="Times New Roman" w:hAnsi="Times New Roman"/>
          <w:sz w:val="20"/>
        </w:rPr>
        <w:t xml:space="preserve">The Verizon PA ICA refers to the LITGs as the trunks that are used “one-way, for the reciprocal exchange of combined Local Traffic, non-equal access </w:t>
      </w:r>
      <w:proofErr w:type="spellStart"/>
      <w:r w:rsidRPr="006D4494">
        <w:rPr>
          <w:rFonts w:ascii="Times New Roman" w:hAnsi="Times New Roman"/>
          <w:sz w:val="20"/>
        </w:rPr>
        <w:t>intraLATA</w:t>
      </w:r>
      <w:proofErr w:type="spellEnd"/>
      <w:r w:rsidRPr="006D4494">
        <w:rPr>
          <w:rFonts w:ascii="Times New Roman" w:hAnsi="Times New Roman"/>
          <w:sz w:val="20"/>
        </w:rPr>
        <w:t xml:space="preserve"> toll traffic, and local transit traffic to other ILECs.”  </w:t>
      </w:r>
      <w:proofErr w:type="gramStart"/>
      <w:r w:rsidRPr="006D4494">
        <w:rPr>
          <w:rFonts w:ascii="Times New Roman" w:hAnsi="Times New Roman"/>
          <w:sz w:val="20"/>
        </w:rPr>
        <w:t>Verizon  PA</w:t>
      </w:r>
      <w:proofErr w:type="gramEnd"/>
      <w:r w:rsidRPr="006D4494">
        <w:rPr>
          <w:rFonts w:ascii="Times New Roman" w:hAnsi="Times New Roman"/>
          <w:sz w:val="20"/>
        </w:rPr>
        <w:t xml:space="preserve"> ICA at Attachment IV, Section 1.1.1;  The Verizon North ICA refers to the LITGs as “Traffic Exchange Trunks.”  Verizon North ICA at Part V, Section 1.2.1.</w:t>
      </w:r>
    </w:p>
  </w:footnote>
  <w:footnote w:id="3">
    <w:p w:rsidR="0078643C" w:rsidRPr="00F855A3" w:rsidRDefault="0078643C" w:rsidP="002151EA">
      <w:pPr>
        <w:pStyle w:val="FootnoteText"/>
        <w:rPr>
          <w:rFonts w:ascii="Times New Roman" w:hAnsi="Times New Roman"/>
          <w:sz w:val="20"/>
        </w:rPr>
      </w:pPr>
      <w:r>
        <w:rPr>
          <w:rStyle w:val="FootnoteReference"/>
        </w:rPr>
        <w:footnoteRef/>
      </w:r>
      <w:r>
        <w:t xml:space="preserve"> </w:t>
      </w:r>
      <w:r>
        <w:tab/>
      </w:r>
      <w:r w:rsidRPr="00F855A3">
        <w:rPr>
          <w:rFonts w:ascii="Times New Roman" w:hAnsi="Times New Roman"/>
          <w:sz w:val="20"/>
        </w:rPr>
        <w:t xml:space="preserve">Citing </w:t>
      </w:r>
      <w:r w:rsidRPr="00F855A3">
        <w:rPr>
          <w:rFonts w:ascii="Times New Roman" w:hAnsi="Times New Roman"/>
          <w:i/>
          <w:sz w:val="20"/>
        </w:rPr>
        <w:t xml:space="preserve">Palmerton Tel. Co., </w:t>
      </w:r>
      <w:r>
        <w:rPr>
          <w:rFonts w:ascii="Times New Roman" w:hAnsi="Times New Roman"/>
          <w:sz w:val="20"/>
        </w:rPr>
        <w:t>D</w:t>
      </w:r>
      <w:r w:rsidRPr="00F855A3">
        <w:rPr>
          <w:rFonts w:ascii="Times New Roman" w:hAnsi="Times New Roman"/>
          <w:sz w:val="20"/>
        </w:rPr>
        <w:t>ocket No. C-2009-2093336, 2010 WL 1259661 at *21 (Order entered Feb. 11, 2010).</w:t>
      </w:r>
    </w:p>
  </w:footnote>
  <w:footnote w:id="4">
    <w:p w:rsidR="0078643C" w:rsidRPr="00F855A3" w:rsidRDefault="0078643C" w:rsidP="002151EA">
      <w:pPr>
        <w:pStyle w:val="FootnoteText"/>
        <w:rPr>
          <w:rFonts w:ascii="Times New Roman" w:hAnsi="Times New Roman"/>
          <w:i/>
          <w:sz w:val="20"/>
        </w:rPr>
      </w:pPr>
      <w:r w:rsidRPr="00F855A3">
        <w:rPr>
          <w:rStyle w:val="FootnoteReference"/>
          <w:rFonts w:ascii="Times New Roman" w:hAnsi="Times New Roman"/>
          <w:sz w:val="20"/>
          <w:szCs w:val="20"/>
        </w:rPr>
        <w:footnoteRef/>
      </w:r>
      <w:r w:rsidRPr="00F855A3">
        <w:rPr>
          <w:rFonts w:ascii="Times New Roman" w:hAnsi="Times New Roman"/>
          <w:sz w:val="20"/>
        </w:rPr>
        <w:t xml:space="preserve"> </w:t>
      </w:r>
      <w:r>
        <w:rPr>
          <w:rFonts w:ascii="Times New Roman" w:hAnsi="Times New Roman"/>
          <w:sz w:val="20"/>
        </w:rPr>
        <w:tab/>
      </w:r>
      <w:r w:rsidRPr="00F855A3">
        <w:rPr>
          <w:rFonts w:ascii="Times New Roman" w:hAnsi="Times New Roman"/>
          <w:sz w:val="20"/>
        </w:rPr>
        <w:t xml:space="preserve">Citing </w:t>
      </w:r>
      <w:r w:rsidRPr="00F855A3">
        <w:rPr>
          <w:rFonts w:ascii="Times New Roman" w:hAnsi="Times New Roman"/>
          <w:i/>
          <w:sz w:val="20"/>
        </w:rPr>
        <w:t xml:space="preserve">In the Matter of Connect Am. Fund A Nat'l Broadband Plan for Our Future Establishing Just &amp; Reasonable Rates for Local Exch. Carriers High-Cost Universal Serv. Support Developing an Unified </w:t>
      </w:r>
      <w:proofErr w:type="spellStart"/>
      <w:r w:rsidRPr="00F855A3">
        <w:rPr>
          <w:rFonts w:ascii="Times New Roman" w:hAnsi="Times New Roman"/>
          <w:i/>
          <w:sz w:val="20"/>
        </w:rPr>
        <w:t>Intercarrier</w:t>
      </w:r>
      <w:proofErr w:type="spellEnd"/>
      <w:r w:rsidRPr="00F855A3">
        <w:rPr>
          <w:rFonts w:ascii="Times New Roman" w:hAnsi="Times New Roman"/>
          <w:i/>
          <w:sz w:val="20"/>
        </w:rPr>
        <w:t xml:space="preserve"> </w:t>
      </w:r>
      <w:proofErr w:type="spellStart"/>
      <w:r w:rsidRPr="00F855A3">
        <w:rPr>
          <w:rFonts w:ascii="Times New Roman" w:hAnsi="Times New Roman"/>
          <w:i/>
          <w:sz w:val="20"/>
        </w:rPr>
        <w:t>Comp.Regine</w:t>
      </w:r>
      <w:proofErr w:type="spellEnd"/>
      <w:r w:rsidRPr="00F855A3">
        <w:rPr>
          <w:rFonts w:ascii="Times New Roman" w:hAnsi="Times New Roman"/>
          <w:i/>
          <w:sz w:val="20"/>
        </w:rPr>
        <w:t xml:space="preserve"> Fed.-State Joint Bd. </w:t>
      </w:r>
      <w:proofErr w:type="gramStart"/>
      <w:r w:rsidRPr="00F855A3">
        <w:rPr>
          <w:rFonts w:ascii="Times New Roman" w:hAnsi="Times New Roman"/>
          <w:i/>
          <w:sz w:val="20"/>
        </w:rPr>
        <w:t xml:space="preserve">On Universal Serv. Lifeline &amp; Link-Up Universal Serv. Reform – Mobility Fund, </w:t>
      </w:r>
      <w:r w:rsidRPr="00F855A3">
        <w:rPr>
          <w:rFonts w:ascii="Times New Roman" w:hAnsi="Times New Roman"/>
          <w:sz w:val="20"/>
        </w:rPr>
        <w:t>26 F.C.C. Red.</w:t>
      </w:r>
      <w:proofErr w:type="gramEnd"/>
      <w:r w:rsidRPr="00F855A3">
        <w:rPr>
          <w:rFonts w:ascii="Times New Roman" w:hAnsi="Times New Roman"/>
          <w:sz w:val="20"/>
        </w:rPr>
        <w:t xml:space="preserve"> 17663, 18005 ¶ 939 (2011</w:t>
      </w:r>
      <w:proofErr w:type="gramStart"/>
      <w:r w:rsidRPr="00F855A3">
        <w:rPr>
          <w:rFonts w:ascii="Times New Roman" w:hAnsi="Times New Roman"/>
          <w:sz w:val="20"/>
        </w:rPr>
        <w:t>)(</w:t>
      </w:r>
      <w:proofErr w:type="gramEnd"/>
      <w:r w:rsidRPr="00F855A3">
        <w:rPr>
          <w:rFonts w:ascii="Times New Roman" w:hAnsi="Times New Roman"/>
          <w:i/>
          <w:sz w:val="20"/>
        </w:rPr>
        <w:t>ICC Transformation Order).</w:t>
      </w:r>
    </w:p>
  </w:footnote>
  <w:footnote w:id="5">
    <w:p w:rsidR="0078643C" w:rsidRPr="00F855A3" w:rsidRDefault="0078643C" w:rsidP="002151EA">
      <w:pPr>
        <w:pStyle w:val="FootnoteText"/>
        <w:rPr>
          <w:rFonts w:ascii="Times New Roman" w:hAnsi="Times New Roman"/>
          <w:sz w:val="20"/>
        </w:rPr>
      </w:pPr>
      <w:r w:rsidRPr="00F855A3">
        <w:rPr>
          <w:rStyle w:val="FootnoteReference"/>
          <w:rFonts w:ascii="Times New Roman" w:hAnsi="Times New Roman"/>
          <w:sz w:val="20"/>
          <w:szCs w:val="20"/>
        </w:rPr>
        <w:footnoteRef/>
      </w:r>
      <w:r w:rsidRPr="00F855A3">
        <w:rPr>
          <w:rFonts w:ascii="Times New Roman" w:hAnsi="Times New Roman"/>
          <w:sz w:val="20"/>
        </w:rPr>
        <w:t xml:space="preserve"> </w:t>
      </w:r>
      <w:r>
        <w:rPr>
          <w:rFonts w:ascii="Times New Roman" w:hAnsi="Times New Roman"/>
          <w:sz w:val="20"/>
        </w:rPr>
        <w:tab/>
      </w:r>
      <w:r w:rsidRPr="00F855A3">
        <w:rPr>
          <w:rFonts w:ascii="Times New Roman" w:hAnsi="Times New Roman"/>
          <w:sz w:val="20"/>
        </w:rPr>
        <w:t>Citing 47 C.F.R. § 51.913(a</w:t>
      </w:r>
      <w:proofErr w:type="gramStart"/>
      <w:r w:rsidRPr="00F855A3">
        <w:rPr>
          <w:rFonts w:ascii="Times New Roman" w:hAnsi="Times New Roman"/>
          <w:sz w:val="20"/>
        </w:rPr>
        <w:t>)(</w:t>
      </w:r>
      <w:proofErr w:type="gramEnd"/>
      <w:r w:rsidRPr="00F855A3">
        <w:rPr>
          <w:rFonts w:ascii="Times New Roman" w:hAnsi="Times New Roman"/>
          <w:sz w:val="20"/>
        </w:rPr>
        <w:t>1).</w:t>
      </w:r>
    </w:p>
  </w:footnote>
  <w:footnote w:id="6">
    <w:p w:rsidR="0078643C" w:rsidRPr="00F855A3" w:rsidRDefault="0078643C" w:rsidP="002151EA">
      <w:pPr>
        <w:pStyle w:val="FootnoteText"/>
        <w:rPr>
          <w:rFonts w:ascii="Times New Roman" w:hAnsi="Times New Roman"/>
          <w:sz w:val="20"/>
        </w:rPr>
      </w:pPr>
      <w:r w:rsidRPr="00F855A3">
        <w:rPr>
          <w:rStyle w:val="FootnoteReference"/>
          <w:rFonts w:ascii="Times New Roman" w:hAnsi="Times New Roman"/>
          <w:sz w:val="20"/>
          <w:szCs w:val="20"/>
        </w:rPr>
        <w:footnoteRef/>
      </w:r>
      <w:r w:rsidRPr="00F855A3">
        <w:rPr>
          <w:rFonts w:ascii="Times New Roman" w:hAnsi="Times New Roman"/>
          <w:sz w:val="20"/>
        </w:rPr>
        <w:t xml:space="preserve"> </w:t>
      </w:r>
      <w:r>
        <w:rPr>
          <w:rFonts w:ascii="Times New Roman" w:hAnsi="Times New Roman"/>
          <w:sz w:val="20"/>
        </w:rPr>
        <w:tab/>
      </w:r>
      <w:r w:rsidRPr="00F855A3">
        <w:rPr>
          <w:rFonts w:ascii="Times New Roman" w:hAnsi="Times New Roman"/>
          <w:sz w:val="20"/>
        </w:rPr>
        <w:t>Citing 47 C.F.R. § 51.913(a</w:t>
      </w:r>
      <w:proofErr w:type="gramStart"/>
      <w:r w:rsidRPr="00F855A3">
        <w:rPr>
          <w:rFonts w:ascii="Times New Roman" w:hAnsi="Times New Roman"/>
          <w:sz w:val="20"/>
        </w:rPr>
        <w:t>)(</w:t>
      </w:r>
      <w:proofErr w:type="gramEnd"/>
      <w:r w:rsidRPr="00F855A3">
        <w:rPr>
          <w:rFonts w:ascii="Times New Roman" w:hAnsi="Times New Roman"/>
          <w:sz w:val="20"/>
        </w:rPr>
        <w:t>3).</w:t>
      </w:r>
    </w:p>
  </w:footnote>
  <w:footnote w:id="7">
    <w:p w:rsidR="0078643C" w:rsidRPr="00F855A3" w:rsidRDefault="0078643C" w:rsidP="002151EA">
      <w:pPr>
        <w:pStyle w:val="FootnoteText"/>
        <w:rPr>
          <w:rFonts w:ascii="Times New Roman" w:hAnsi="Times New Roman"/>
          <w:sz w:val="20"/>
        </w:rPr>
      </w:pPr>
      <w:r w:rsidRPr="00F855A3">
        <w:rPr>
          <w:rStyle w:val="FootnoteReference"/>
          <w:rFonts w:ascii="Times New Roman" w:hAnsi="Times New Roman"/>
          <w:sz w:val="20"/>
          <w:szCs w:val="20"/>
        </w:rPr>
        <w:footnoteRef/>
      </w:r>
      <w:r w:rsidRPr="00F855A3">
        <w:rPr>
          <w:rFonts w:ascii="Times New Roman" w:hAnsi="Times New Roman"/>
          <w:sz w:val="20"/>
        </w:rPr>
        <w:t xml:space="preserve"> </w:t>
      </w:r>
      <w:r>
        <w:rPr>
          <w:rFonts w:ascii="Times New Roman" w:hAnsi="Times New Roman"/>
          <w:sz w:val="20"/>
        </w:rPr>
        <w:tab/>
      </w:r>
      <w:proofErr w:type="gramStart"/>
      <w:r w:rsidRPr="00F855A3">
        <w:rPr>
          <w:rFonts w:ascii="Times New Roman" w:hAnsi="Times New Roman"/>
          <w:sz w:val="20"/>
        </w:rPr>
        <w:t>47 C.F.R. § 51.913(b).</w:t>
      </w:r>
      <w:proofErr w:type="gramEnd"/>
    </w:p>
  </w:footnote>
  <w:footnote w:id="8">
    <w:p w:rsidR="0078643C" w:rsidRDefault="0078643C" w:rsidP="002151EA">
      <w:pPr>
        <w:pStyle w:val="FootnoteText"/>
      </w:pPr>
      <w:r w:rsidRPr="00F855A3">
        <w:rPr>
          <w:rStyle w:val="FootnoteReference"/>
          <w:rFonts w:ascii="Times New Roman" w:hAnsi="Times New Roman"/>
          <w:sz w:val="20"/>
          <w:szCs w:val="20"/>
        </w:rPr>
        <w:footnoteRef/>
      </w:r>
      <w:r w:rsidRPr="00F855A3">
        <w:rPr>
          <w:rFonts w:ascii="Times New Roman" w:hAnsi="Times New Roman"/>
          <w:sz w:val="20"/>
        </w:rPr>
        <w:t xml:space="preserve"> </w:t>
      </w:r>
      <w:r>
        <w:rPr>
          <w:rFonts w:ascii="Times New Roman" w:hAnsi="Times New Roman"/>
          <w:sz w:val="20"/>
        </w:rPr>
        <w:tab/>
      </w:r>
      <w:proofErr w:type="gramStart"/>
      <w:r w:rsidRPr="00F855A3">
        <w:rPr>
          <w:rFonts w:ascii="Times New Roman" w:hAnsi="Times New Roman"/>
          <w:sz w:val="20"/>
        </w:rPr>
        <w:t>Core Communications, Inc. Pa. P.U.C. Tariff No. 4, Supp. No. 2 (Tab D), Original Sheet No. 52.37 (Effective Feb. 11, 2012); and Core Communications, Inc. FCC Tariff No. 3 (Tab G), 5</w:t>
      </w:r>
      <w:r w:rsidRPr="00F855A3">
        <w:rPr>
          <w:rFonts w:ascii="Times New Roman" w:hAnsi="Times New Roman"/>
          <w:sz w:val="20"/>
          <w:vertAlign w:val="superscript"/>
        </w:rPr>
        <w:t>th</w:t>
      </w:r>
      <w:r w:rsidRPr="00F855A3">
        <w:rPr>
          <w:rFonts w:ascii="Times New Roman" w:hAnsi="Times New Roman"/>
          <w:sz w:val="20"/>
        </w:rPr>
        <w:t xml:space="preserve"> Revised Page No. 13 (Effective March 27, 2012) and 4</w:t>
      </w:r>
      <w:r w:rsidRPr="00F855A3">
        <w:rPr>
          <w:rFonts w:ascii="Times New Roman" w:hAnsi="Times New Roman"/>
          <w:sz w:val="20"/>
          <w:vertAlign w:val="superscript"/>
        </w:rPr>
        <w:t>th</w:t>
      </w:r>
      <w:r w:rsidRPr="00F855A3">
        <w:rPr>
          <w:rFonts w:ascii="Times New Roman" w:hAnsi="Times New Roman"/>
          <w:sz w:val="20"/>
        </w:rPr>
        <w:t xml:space="preserve"> Revised page No. 79 (Effective March 27, 2012).</w:t>
      </w:r>
      <w:proofErr w:type="gramEnd"/>
    </w:p>
  </w:footnote>
  <w:footnote w:id="9">
    <w:p w:rsidR="0078643C" w:rsidRPr="00F855A3" w:rsidRDefault="0078643C" w:rsidP="002151EA">
      <w:pPr>
        <w:pStyle w:val="FootnoteText"/>
        <w:contextualSpacing/>
        <w:rPr>
          <w:rFonts w:ascii="Times New Roman" w:hAnsi="Times New Roman"/>
          <w:sz w:val="20"/>
        </w:rPr>
      </w:pPr>
      <w:r w:rsidRPr="00F855A3">
        <w:rPr>
          <w:rStyle w:val="FootnoteReference"/>
          <w:rFonts w:ascii="Times New Roman" w:hAnsi="Times New Roman"/>
          <w:sz w:val="20"/>
          <w:szCs w:val="20"/>
        </w:rPr>
        <w:footnoteRef/>
      </w:r>
      <w:r w:rsidRPr="00F855A3">
        <w:rPr>
          <w:rFonts w:ascii="Times New Roman" w:hAnsi="Times New Roman"/>
          <w:sz w:val="20"/>
        </w:rPr>
        <w:t xml:space="preserve"> </w:t>
      </w:r>
      <w:r>
        <w:rPr>
          <w:rFonts w:ascii="Times New Roman" w:hAnsi="Times New Roman"/>
          <w:sz w:val="20"/>
        </w:rPr>
        <w:tab/>
      </w:r>
      <w:r w:rsidRPr="00F855A3">
        <w:rPr>
          <w:rFonts w:ascii="Times New Roman" w:hAnsi="Times New Roman"/>
          <w:sz w:val="20"/>
        </w:rPr>
        <w:t xml:space="preserve">Citing </w:t>
      </w:r>
      <w:proofErr w:type="spellStart"/>
      <w:r w:rsidRPr="00F855A3">
        <w:rPr>
          <w:rFonts w:ascii="Times New Roman" w:hAnsi="Times New Roman"/>
          <w:i/>
          <w:sz w:val="20"/>
        </w:rPr>
        <w:t>CoreTel</w:t>
      </w:r>
      <w:proofErr w:type="spellEnd"/>
      <w:r w:rsidRPr="00F855A3">
        <w:rPr>
          <w:rFonts w:ascii="Times New Roman" w:hAnsi="Times New Roman"/>
          <w:i/>
          <w:sz w:val="20"/>
        </w:rPr>
        <w:t xml:space="preserve"> Virginia, LLC v. Verizon Virginia, LLC, </w:t>
      </w:r>
      <w:r w:rsidRPr="00F855A3">
        <w:rPr>
          <w:rFonts w:ascii="Times New Roman" w:hAnsi="Times New Roman"/>
          <w:sz w:val="20"/>
        </w:rPr>
        <w:t>752 F.3d 364, 374 (4</w:t>
      </w:r>
      <w:r w:rsidRPr="00F855A3">
        <w:rPr>
          <w:rFonts w:ascii="Times New Roman" w:hAnsi="Times New Roman"/>
          <w:sz w:val="20"/>
          <w:vertAlign w:val="superscript"/>
        </w:rPr>
        <w:t>th</w:t>
      </w:r>
      <w:r w:rsidRPr="00F855A3">
        <w:rPr>
          <w:rFonts w:ascii="Times New Roman" w:hAnsi="Times New Roman"/>
          <w:sz w:val="20"/>
        </w:rPr>
        <w:t xml:space="preserve"> Cir. 2014).</w:t>
      </w:r>
    </w:p>
  </w:footnote>
  <w:footnote w:id="10">
    <w:p w:rsidR="0078643C" w:rsidRPr="003E0287" w:rsidRDefault="0078643C" w:rsidP="002151EA">
      <w:pPr>
        <w:pStyle w:val="FootnoteText"/>
      </w:pPr>
      <w:r>
        <w:rPr>
          <w:rStyle w:val="FootnoteReference"/>
        </w:rPr>
        <w:footnoteRef/>
      </w:r>
      <w:r>
        <w:t xml:space="preserve"> </w:t>
      </w:r>
      <w:r>
        <w:tab/>
      </w:r>
      <w:proofErr w:type="gramStart"/>
      <w:r>
        <w:rPr>
          <w:i/>
        </w:rPr>
        <w:t>VoIP Symmetry Order</w:t>
      </w:r>
      <w:r>
        <w:t xml:space="preserve"> at ¶ 40.</w:t>
      </w:r>
      <w:proofErr w:type="gramEnd"/>
    </w:p>
  </w:footnote>
  <w:footnote w:id="11">
    <w:p w:rsidR="0078643C" w:rsidRPr="00AF14F2" w:rsidRDefault="0078643C">
      <w:pPr>
        <w:pStyle w:val="FootnoteText"/>
        <w:rPr>
          <w:rFonts w:ascii="Times New Roman" w:hAnsi="Times New Roman"/>
          <w:sz w:val="20"/>
        </w:rPr>
      </w:pPr>
      <w:r w:rsidRPr="00AF14F2">
        <w:rPr>
          <w:rStyle w:val="FootnoteReference"/>
          <w:rFonts w:ascii="Times New Roman" w:hAnsi="Times New Roman"/>
          <w:sz w:val="20"/>
          <w:szCs w:val="20"/>
        </w:rPr>
        <w:footnoteRef/>
      </w:r>
      <w:r w:rsidRPr="00AF14F2">
        <w:rPr>
          <w:rFonts w:ascii="Times New Roman" w:hAnsi="Times New Roman"/>
          <w:sz w:val="20"/>
        </w:rPr>
        <w:t xml:space="preserve"> </w:t>
      </w:r>
      <w:r>
        <w:rPr>
          <w:rFonts w:ascii="Times New Roman" w:hAnsi="Times New Roman"/>
          <w:sz w:val="20"/>
        </w:rPr>
        <w:tab/>
      </w:r>
      <w:proofErr w:type="gramStart"/>
      <w:r w:rsidRPr="00AF14F2">
        <w:rPr>
          <w:rFonts w:ascii="Times New Roman" w:hAnsi="Times New Roman"/>
          <w:i/>
          <w:sz w:val="20"/>
        </w:rPr>
        <w:t>Global NAPs, Inc. v. Pub.</w:t>
      </w:r>
      <w:proofErr w:type="gramEnd"/>
      <w:r w:rsidRPr="00AF14F2">
        <w:rPr>
          <w:rFonts w:ascii="Times New Roman" w:hAnsi="Times New Roman"/>
          <w:i/>
          <w:sz w:val="20"/>
        </w:rPr>
        <w:t xml:space="preserve"> </w:t>
      </w:r>
      <w:proofErr w:type="spellStart"/>
      <w:proofErr w:type="gramStart"/>
      <w:r w:rsidRPr="00AF14F2">
        <w:rPr>
          <w:rFonts w:ascii="Times New Roman" w:hAnsi="Times New Roman"/>
          <w:i/>
          <w:sz w:val="20"/>
        </w:rPr>
        <w:t>Utils</w:t>
      </w:r>
      <w:proofErr w:type="spellEnd"/>
      <w:r w:rsidRPr="00AF14F2">
        <w:rPr>
          <w:rFonts w:ascii="Times New Roman" w:hAnsi="Times New Roman"/>
          <w:i/>
          <w:sz w:val="20"/>
        </w:rPr>
        <w:t>.</w:t>
      </w:r>
      <w:proofErr w:type="gramEnd"/>
      <w:r w:rsidRPr="00AF14F2">
        <w:rPr>
          <w:rFonts w:ascii="Times New Roman" w:hAnsi="Times New Roman"/>
          <w:i/>
          <w:sz w:val="20"/>
        </w:rPr>
        <w:t xml:space="preserve"> </w:t>
      </w:r>
      <w:proofErr w:type="gramStart"/>
      <w:r w:rsidRPr="00AF14F2">
        <w:rPr>
          <w:rFonts w:ascii="Times New Roman" w:hAnsi="Times New Roman"/>
          <w:i/>
          <w:sz w:val="20"/>
        </w:rPr>
        <w:t xml:space="preserve">Comm'n of Cal., </w:t>
      </w:r>
      <w:r w:rsidRPr="00AF14F2">
        <w:rPr>
          <w:rFonts w:ascii="Times New Roman" w:hAnsi="Times New Roman"/>
          <w:sz w:val="20"/>
        </w:rPr>
        <w:t>624 F.3d 1225, 1228 (9</w:t>
      </w:r>
      <w:r w:rsidRPr="00AF14F2">
        <w:rPr>
          <w:rFonts w:ascii="Times New Roman" w:hAnsi="Times New Roman"/>
          <w:sz w:val="20"/>
          <w:vertAlign w:val="superscript"/>
        </w:rPr>
        <w:t>th</w:t>
      </w:r>
      <w:r w:rsidRPr="00AF14F2">
        <w:rPr>
          <w:rFonts w:ascii="Times New Roman" w:hAnsi="Times New Roman"/>
          <w:sz w:val="20"/>
        </w:rPr>
        <w:t xml:space="preserve"> Cir. 2010).</w:t>
      </w:r>
      <w:proofErr w:type="gramEnd"/>
    </w:p>
  </w:footnote>
  <w:footnote w:id="12">
    <w:p w:rsidR="0078643C" w:rsidRPr="00456120" w:rsidRDefault="0078643C">
      <w:pPr>
        <w:pStyle w:val="FootnoteText"/>
        <w:rPr>
          <w:rFonts w:ascii="Times New Roman" w:hAnsi="Times New Roman"/>
          <w:sz w:val="20"/>
        </w:rPr>
      </w:pPr>
      <w:r>
        <w:rPr>
          <w:rStyle w:val="FootnoteReference"/>
        </w:rPr>
        <w:footnoteRef/>
      </w:r>
      <w:r>
        <w:t xml:space="preserve"> </w:t>
      </w:r>
      <w:r>
        <w:tab/>
      </w:r>
      <w:proofErr w:type="gramStart"/>
      <w:r>
        <w:rPr>
          <w:rFonts w:ascii="Times New Roman" w:hAnsi="Times New Roman"/>
          <w:i/>
          <w:sz w:val="20"/>
        </w:rPr>
        <w:t xml:space="preserve">In re Implementation of the Local Competition Provisions in the Telecommunications Act of 1996, Inter-Carrier Compensation for ISP-Bound Traffic, </w:t>
      </w:r>
      <w:r>
        <w:rPr>
          <w:rFonts w:ascii="Times New Roman" w:hAnsi="Times New Roman"/>
          <w:sz w:val="20"/>
        </w:rPr>
        <w:t xml:space="preserve">14 FCC </w:t>
      </w:r>
      <w:proofErr w:type="spellStart"/>
      <w:r>
        <w:rPr>
          <w:rFonts w:ascii="Times New Roman" w:hAnsi="Times New Roman"/>
          <w:sz w:val="20"/>
        </w:rPr>
        <w:t>Rcd</w:t>
      </w:r>
      <w:proofErr w:type="spellEnd"/>
      <w:r>
        <w:rPr>
          <w:rFonts w:ascii="Times New Roman" w:hAnsi="Times New Roman"/>
          <w:sz w:val="20"/>
        </w:rPr>
        <w:t>. 3689 (1999).</w:t>
      </w:r>
      <w:proofErr w:type="gramEnd"/>
    </w:p>
  </w:footnote>
  <w:footnote w:id="13">
    <w:p w:rsidR="0078643C" w:rsidRPr="00E62D8B" w:rsidRDefault="0078643C">
      <w:pPr>
        <w:pStyle w:val="FootnoteText"/>
        <w:rPr>
          <w:rFonts w:ascii="Times New Roman" w:hAnsi="Times New Roman"/>
          <w:sz w:val="20"/>
        </w:rPr>
      </w:pPr>
      <w:r>
        <w:rPr>
          <w:rStyle w:val="FootnoteReference"/>
        </w:rPr>
        <w:footnoteRef/>
      </w:r>
      <w:r>
        <w:t xml:space="preserve"> </w:t>
      </w:r>
      <w:r>
        <w:tab/>
      </w:r>
      <w:r>
        <w:rPr>
          <w:rFonts w:ascii="Times New Roman" w:hAnsi="Times New Roman"/>
          <w:sz w:val="20"/>
        </w:rPr>
        <w:t xml:space="preserve">The FCC also left open the possibility that states could set rates below the cap or on a "bill and keep" basis, whereby each carrier bills its own customers for the cost of both originating traffic that it delivers to the other network and terminating traffic that it receives from the other network. </w:t>
      </w:r>
      <w:proofErr w:type="gramStart"/>
      <w:r>
        <w:rPr>
          <w:rFonts w:ascii="Times New Roman" w:hAnsi="Times New Roman"/>
          <w:i/>
          <w:sz w:val="20"/>
        </w:rPr>
        <w:t>AT&amp;T v. PUC</w:t>
      </w:r>
      <w:r>
        <w:rPr>
          <w:rFonts w:ascii="Times New Roman" w:hAnsi="Times New Roman"/>
          <w:sz w:val="20"/>
        </w:rPr>
        <w:t xml:space="preserve"> at 12.</w:t>
      </w:r>
      <w:proofErr w:type="gramEnd"/>
      <w:r>
        <w:rPr>
          <w:rFonts w:ascii="Times New Roman" w:hAnsi="Times New Roman"/>
          <w:sz w:val="20"/>
        </w:rPr>
        <w:t xml:space="preserve"> </w:t>
      </w:r>
    </w:p>
  </w:footnote>
  <w:footnote w:id="14">
    <w:p w:rsidR="0078643C" w:rsidRPr="00B15B73" w:rsidRDefault="0078643C">
      <w:pPr>
        <w:pStyle w:val="FootnoteText"/>
        <w:rPr>
          <w:rFonts w:ascii="Times New Roman" w:hAnsi="Times New Roman"/>
          <w:sz w:val="20"/>
        </w:rPr>
      </w:pPr>
      <w:r>
        <w:rPr>
          <w:rStyle w:val="FootnoteReference"/>
        </w:rPr>
        <w:footnoteRef/>
      </w:r>
      <w:r>
        <w:t xml:space="preserve"> </w:t>
      </w:r>
      <w:r>
        <w:tab/>
      </w:r>
      <w:proofErr w:type="gramStart"/>
      <w:r>
        <w:rPr>
          <w:rFonts w:ascii="Times New Roman" w:hAnsi="Times New Roman"/>
          <w:i/>
          <w:sz w:val="20"/>
        </w:rPr>
        <w:t xml:space="preserve">Qwest Corp. v. </w:t>
      </w:r>
      <w:proofErr w:type="spellStart"/>
      <w:r>
        <w:rPr>
          <w:rFonts w:ascii="Times New Roman" w:hAnsi="Times New Roman"/>
          <w:i/>
          <w:sz w:val="20"/>
        </w:rPr>
        <w:t>Koppendrayer</w:t>
      </w:r>
      <w:proofErr w:type="spellEnd"/>
      <w:r>
        <w:rPr>
          <w:rFonts w:ascii="Times New Roman" w:hAnsi="Times New Roman"/>
          <w:i/>
          <w:sz w:val="20"/>
        </w:rPr>
        <w:t>,</w:t>
      </w:r>
      <w:r>
        <w:rPr>
          <w:rFonts w:ascii="Times New Roman" w:hAnsi="Times New Roman"/>
          <w:sz w:val="20"/>
        </w:rPr>
        <w:t xml:space="preserve"> 436 F.3d 859, 864 (8</w:t>
      </w:r>
      <w:r w:rsidRPr="00B15B73">
        <w:rPr>
          <w:rFonts w:ascii="Times New Roman" w:hAnsi="Times New Roman"/>
          <w:sz w:val="20"/>
          <w:vertAlign w:val="superscript"/>
        </w:rPr>
        <w:t>th</w:t>
      </w:r>
      <w:r>
        <w:rPr>
          <w:rFonts w:ascii="Times New Roman" w:hAnsi="Times New Roman"/>
          <w:sz w:val="20"/>
        </w:rPr>
        <w:t xml:space="preserve"> Cir. 2006).</w:t>
      </w:r>
      <w:proofErr w:type="gramEnd"/>
    </w:p>
  </w:footnote>
  <w:footnote w:id="15">
    <w:p w:rsidR="0078643C" w:rsidRPr="00295B6E" w:rsidRDefault="0078643C">
      <w:pPr>
        <w:pStyle w:val="FootnoteText"/>
        <w:rPr>
          <w:rFonts w:ascii="Times New Roman" w:hAnsi="Times New Roman"/>
          <w:sz w:val="20"/>
        </w:rPr>
      </w:pPr>
      <w:r>
        <w:rPr>
          <w:rStyle w:val="FootnoteReference"/>
        </w:rPr>
        <w:footnoteRef/>
      </w:r>
      <w:r>
        <w:t xml:space="preserve"> </w:t>
      </w:r>
      <w:r>
        <w:tab/>
      </w:r>
      <w:proofErr w:type="gramStart"/>
      <w:r w:rsidRPr="00295B6E">
        <w:rPr>
          <w:rFonts w:ascii="Times New Roman" w:hAnsi="Times New Roman"/>
          <w:i/>
          <w:sz w:val="20"/>
        </w:rPr>
        <w:t>AT&amp;T Corp.; Teleport Communications of America, LLC v. Core Communications, Inc., and the Pa. Pub.</w:t>
      </w:r>
      <w:proofErr w:type="gramEnd"/>
      <w:r w:rsidRPr="00295B6E">
        <w:rPr>
          <w:rFonts w:ascii="Times New Roman" w:hAnsi="Times New Roman"/>
          <w:i/>
          <w:sz w:val="20"/>
        </w:rPr>
        <w:t xml:space="preserve"> Util. Comm'n, </w:t>
      </w:r>
      <w:r w:rsidRPr="00295B6E">
        <w:rPr>
          <w:rFonts w:ascii="Times New Roman" w:hAnsi="Times New Roman"/>
          <w:sz w:val="20"/>
        </w:rPr>
        <w:t>Nos. 14-1499 &amp; 14-1664 (Opinion filed November 25, 2015) (3</w:t>
      </w:r>
      <w:r w:rsidRPr="00295B6E">
        <w:rPr>
          <w:rFonts w:ascii="Times New Roman" w:hAnsi="Times New Roman"/>
          <w:sz w:val="20"/>
          <w:vertAlign w:val="superscript"/>
        </w:rPr>
        <w:t>rd</w:t>
      </w:r>
      <w:r>
        <w:rPr>
          <w:rFonts w:ascii="Times New Roman" w:hAnsi="Times New Roman"/>
          <w:sz w:val="20"/>
        </w:rPr>
        <w:t xml:space="preserve"> Cir.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14B5"/>
    <w:multiLevelType w:val="hybridMultilevel"/>
    <w:tmpl w:val="3548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A37FE"/>
    <w:multiLevelType w:val="hybridMultilevel"/>
    <w:tmpl w:val="962E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F6D4A"/>
    <w:multiLevelType w:val="hybridMultilevel"/>
    <w:tmpl w:val="8E68C6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61"/>
    <w:rsid w:val="000016AF"/>
    <w:rsid w:val="00001E3A"/>
    <w:rsid w:val="00001EF6"/>
    <w:rsid w:val="000028EA"/>
    <w:rsid w:val="00003D11"/>
    <w:rsid w:val="00004AA3"/>
    <w:rsid w:val="00005558"/>
    <w:rsid w:val="000079FE"/>
    <w:rsid w:val="00012104"/>
    <w:rsid w:val="00012655"/>
    <w:rsid w:val="0001305A"/>
    <w:rsid w:val="000161E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A29"/>
    <w:rsid w:val="00037E0F"/>
    <w:rsid w:val="00040EB6"/>
    <w:rsid w:val="00044B8B"/>
    <w:rsid w:val="00044FC0"/>
    <w:rsid w:val="0004643F"/>
    <w:rsid w:val="000466BF"/>
    <w:rsid w:val="00046714"/>
    <w:rsid w:val="00046940"/>
    <w:rsid w:val="000478E2"/>
    <w:rsid w:val="000535DE"/>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4D9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305"/>
    <w:rsid w:val="00093562"/>
    <w:rsid w:val="00093E43"/>
    <w:rsid w:val="00094E20"/>
    <w:rsid w:val="00096B3F"/>
    <w:rsid w:val="00097D77"/>
    <w:rsid w:val="000A0046"/>
    <w:rsid w:val="000A2192"/>
    <w:rsid w:val="000A4551"/>
    <w:rsid w:val="000A4E7A"/>
    <w:rsid w:val="000A5DEA"/>
    <w:rsid w:val="000A652E"/>
    <w:rsid w:val="000A663E"/>
    <w:rsid w:val="000A770B"/>
    <w:rsid w:val="000B1BFC"/>
    <w:rsid w:val="000B2D0C"/>
    <w:rsid w:val="000B339A"/>
    <w:rsid w:val="000B7111"/>
    <w:rsid w:val="000C0311"/>
    <w:rsid w:val="000C06FD"/>
    <w:rsid w:val="000C2696"/>
    <w:rsid w:val="000C2A2B"/>
    <w:rsid w:val="000C34F3"/>
    <w:rsid w:val="000C4163"/>
    <w:rsid w:val="000C5976"/>
    <w:rsid w:val="000C6B6E"/>
    <w:rsid w:val="000C6EF0"/>
    <w:rsid w:val="000C7A4F"/>
    <w:rsid w:val="000D29BA"/>
    <w:rsid w:val="000D3E49"/>
    <w:rsid w:val="000D5763"/>
    <w:rsid w:val="000D7AE1"/>
    <w:rsid w:val="000E28D3"/>
    <w:rsid w:val="000E2F36"/>
    <w:rsid w:val="000E4250"/>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5EC"/>
    <w:rsid w:val="000F78BE"/>
    <w:rsid w:val="0010080E"/>
    <w:rsid w:val="001021FB"/>
    <w:rsid w:val="00102A77"/>
    <w:rsid w:val="0010420D"/>
    <w:rsid w:val="00104518"/>
    <w:rsid w:val="001055D6"/>
    <w:rsid w:val="00106EE8"/>
    <w:rsid w:val="001077F1"/>
    <w:rsid w:val="001138B5"/>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27734"/>
    <w:rsid w:val="0013068D"/>
    <w:rsid w:val="00130A2C"/>
    <w:rsid w:val="00135526"/>
    <w:rsid w:val="00140273"/>
    <w:rsid w:val="0014105E"/>
    <w:rsid w:val="00141A8A"/>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4A30"/>
    <w:rsid w:val="0016521D"/>
    <w:rsid w:val="001658B2"/>
    <w:rsid w:val="00170FE6"/>
    <w:rsid w:val="00171416"/>
    <w:rsid w:val="00172857"/>
    <w:rsid w:val="00172B0B"/>
    <w:rsid w:val="00172E8C"/>
    <w:rsid w:val="001734C1"/>
    <w:rsid w:val="00173570"/>
    <w:rsid w:val="00173C70"/>
    <w:rsid w:val="00174F7E"/>
    <w:rsid w:val="0017580D"/>
    <w:rsid w:val="00175F76"/>
    <w:rsid w:val="0017679A"/>
    <w:rsid w:val="00176C44"/>
    <w:rsid w:val="00181AB1"/>
    <w:rsid w:val="001855D3"/>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B7B7D"/>
    <w:rsid w:val="001C0410"/>
    <w:rsid w:val="001C054D"/>
    <w:rsid w:val="001C2234"/>
    <w:rsid w:val="001C537D"/>
    <w:rsid w:val="001C64B4"/>
    <w:rsid w:val="001C65CD"/>
    <w:rsid w:val="001D04FF"/>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63D"/>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1EA"/>
    <w:rsid w:val="00215381"/>
    <w:rsid w:val="00215BA6"/>
    <w:rsid w:val="002162C5"/>
    <w:rsid w:val="002163B7"/>
    <w:rsid w:val="00216C32"/>
    <w:rsid w:val="00216F76"/>
    <w:rsid w:val="0021750E"/>
    <w:rsid w:val="002178EA"/>
    <w:rsid w:val="0022017F"/>
    <w:rsid w:val="002205EC"/>
    <w:rsid w:val="002208E4"/>
    <w:rsid w:val="00220D97"/>
    <w:rsid w:val="00221A88"/>
    <w:rsid w:val="002241D0"/>
    <w:rsid w:val="00224756"/>
    <w:rsid w:val="0022478F"/>
    <w:rsid w:val="00227A4A"/>
    <w:rsid w:val="002305F4"/>
    <w:rsid w:val="00230616"/>
    <w:rsid w:val="002306BD"/>
    <w:rsid w:val="00230CC6"/>
    <w:rsid w:val="002337D7"/>
    <w:rsid w:val="00234DEB"/>
    <w:rsid w:val="0023584A"/>
    <w:rsid w:val="00236C44"/>
    <w:rsid w:val="00237454"/>
    <w:rsid w:val="00240343"/>
    <w:rsid w:val="002403E6"/>
    <w:rsid w:val="002422D0"/>
    <w:rsid w:val="00245181"/>
    <w:rsid w:val="002451F7"/>
    <w:rsid w:val="002455CC"/>
    <w:rsid w:val="00246523"/>
    <w:rsid w:val="00246921"/>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C35"/>
    <w:rsid w:val="002748C2"/>
    <w:rsid w:val="002752C3"/>
    <w:rsid w:val="00275659"/>
    <w:rsid w:val="002761E2"/>
    <w:rsid w:val="00277591"/>
    <w:rsid w:val="00280399"/>
    <w:rsid w:val="0028224C"/>
    <w:rsid w:val="00283282"/>
    <w:rsid w:val="00284760"/>
    <w:rsid w:val="00286A34"/>
    <w:rsid w:val="002871C2"/>
    <w:rsid w:val="00287CB1"/>
    <w:rsid w:val="0029096F"/>
    <w:rsid w:val="00290AD2"/>
    <w:rsid w:val="00290C5A"/>
    <w:rsid w:val="002921C9"/>
    <w:rsid w:val="0029353E"/>
    <w:rsid w:val="00293F4E"/>
    <w:rsid w:val="00295B6E"/>
    <w:rsid w:val="00296B74"/>
    <w:rsid w:val="00297286"/>
    <w:rsid w:val="002A05C6"/>
    <w:rsid w:val="002A0729"/>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812"/>
    <w:rsid w:val="002D4C5B"/>
    <w:rsid w:val="002D51F9"/>
    <w:rsid w:val="002D6B36"/>
    <w:rsid w:val="002D7136"/>
    <w:rsid w:val="002D7978"/>
    <w:rsid w:val="002E2283"/>
    <w:rsid w:val="002E2CAD"/>
    <w:rsid w:val="002E32C2"/>
    <w:rsid w:val="002E5790"/>
    <w:rsid w:val="002E6168"/>
    <w:rsid w:val="002E6CB4"/>
    <w:rsid w:val="002E7DDB"/>
    <w:rsid w:val="002F21B6"/>
    <w:rsid w:val="002F222D"/>
    <w:rsid w:val="002F2A4A"/>
    <w:rsid w:val="002F42FC"/>
    <w:rsid w:val="002F5BB8"/>
    <w:rsid w:val="002F5C03"/>
    <w:rsid w:val="002F6F4F"/>
    <w:rsid w:val="002F75DA"/>
    <w:rsid w:val="00303526"/>
    <w:rsid w:val="00303761"/>
    <w:rsid w:val="00304504"/>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6C5C"/>
    <w:rsid w:val="0036754C"/>
    <w:rsid w:val="00371B81"/>
    <w:rsid w:val="00375889"/>
    <w:rsid w:val="003760EB"/>
    <w:rsid w:val="00380892"/>
    <w:rsid w:val="00380F5B"/>
    <w:rsid w:val="00381B05"/>
    <w:rsid w:val="00383321"/>
    <w:rsid w:val="00383DBD"/>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3E4"/>
    <w:rsid w:val="003A7581"/>
    <w:rsid w:val="003B2E77"/>
    <w:rsid w:val="003B3FDD"/>
    <w:rsid w:val="003B4D40"/>
    <w:rsid w:val="003B5D19"/>
    <w:rsid w:val="003B610B"/>
    <w:rsid w:val="003C34F1"/>
    <w:rsid w:val="003C47E8"/>
    <w:rsid w:val="003C5102"/>
    <w:rsid w:val="003C5586"/>
    <w:rsid w:val="003C5843"/>
    <w:rsid w:val="003C610C"/>
    <w:rsid w:val="003C6962"/>
    <w:rsid w:val="003C6F65"/>
    <w:rsid w:val="003D1F46"/>
    <w:rsid w:val="003D41CF"/>
    <w:rsid w:val="003D5045"/>
    <w:rsid w:val="003E0287"/>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1C55"/>
    <w:rsid w:val="00413B28"/>
    <w:rsid w:val="00413BA5"/>
    <w:rsid w:val="00413DAC"/>
    <w:rsid w:val="0041623E"/>
    <w:rsid w:val="00416A3B"/>
    <w:rsid w:val="00416AB2"/>
    <w:rsid w:val="00421203"/>
    <w:rsid w:val="004212AA"/>
    <w:rsid w:val="004222CB"/>
    <w:rsid w:val="00423359"/>
    <w:rsid w:val="00424170"/>
    <w:rsid w:val="00425C94"/>
    <w:rsid w:val="00426277"/>
    <w:rsid w:val="004262B3"/>
    <w:rsid w:val="00426605"/>
    <w:rsid w:val="00431130"/>
    <w:rsid w:val="004337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120"/>
    <w:rsid w:val="004565C0"/>
    <w:rsid w:val="004577CF"/>
    <w:rsid w:val="00457C97"/>
    <w:rsid w:val="00460024"/>
    <w:rsid w:val="00460031"/>
    <w:rsid w:val="00460078"/>
    <w:rsid w:val="00460140"/>
    <w:rsid w:val="0046238B"/>
    <w:rsid w:val="004625C0"/>
    <w:rsid w:val="004625E8"/>
    <w:rsid w:val="00464B18"/>
    <w:rsid w:val="00465D71"/>
    <w:rsid w:val="00466D15"/>
    <w:rsid w:val="0047029E"/>
    <w:rsid w:val="0047070D"/>
    <w:rsid w:val="00477A71"/>
    <w:rsid w:val="00481269"/>
    <w:rsid w:val="00482E0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32CA"/>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A4C"/>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227"/>
    <w:rsid w:val="00526890"/>
    <w:rsid w:val="0052764F"/>
    <w:rsid w:val="00527AFE"/>
    <w:rsid w:val="00531CC7"/>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70E8"/>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1F0"/>
    <w:rsid w:val="00575D4F"/>
    <w:rsid w:val="00575F27"/>
    <w:rsid w:val="0058036C"/>
    <w:rsid w:val="0058073B"/>
    <w:rsid w:val="00580815"/>
    <w:rsid w:val="00582289"/>
    <w:rsid w:val="005835D1"/>
    <w:rsid w:val="0058363F"/>
    <w:rsid w:val="00584CB9"/>
    <w:rsid w:val="00585BD9"/>
    <w:rsid w:val="00587B74"/>
    <w:rsid w:val="00590E0C"/>
    <w:rsid w:val="00591696"/>
    <w:rsid w:val="00593FF1"/>
    <w:rsid w:val="00594648"/>
    <w:rsid w:val="00594E77"/>
    <w:rsid w:val="00595408"/>
    <w:rsid w:val="0059623B"/>
    <w:rsid w:val="00596D1D"/>
    <w:rsid w:val="005A021D"/>
    <w:rsid w:val="005A1839"/>
    <w:rsid w:val="005A2923"/>
    <w:rsid w:val="005A3759"/>
    <w:rsid w:val="005A44D9"/>
    <w:rsid w:val="005A5826"/>
    <w:rsid w:val="005A6ADE"/>
    <w:rsid w:val="005B3D45"/>
    <w:rsid w:val="005B6B03"/>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5F755B"/>
    <w:rsid w:val="00600458"/>
    <w:rsid w:val="0060118D"/>
    <w:rsid w:val="0060369E"/>
    <w:rsid w:val="00603824"/>
    <w:rsid w:val="0060530E"/>
    <w:rsid w:val="00605D75"/>
    <w:rsid w:val="00607126"/>
    <w:rsid w:val="006073B5"/>
    <w:rsid w:val="00610CE1"/>
    <w:rsid w:val="006113D8"/>
    <w:rsid w:val="006113E3"/>
    <w:rsid w:val="00612C6B"/>
    <w:rsid w:val="006151E3"/>
    <w:rsid w:val="00616232"/>
    <w:rsid w:val="00620850"/>
    <w:rsid w:val="00620DB5"/>
    <w:rsid w:val="00621A59"/>
    <w:rsid w:val="0062201A"/>
    <w:rsid w:val="006225AC"/>
    <w:rsid w:val="006230A9"/>
    <w:rsid w:val="00623799"/>
    <w:rsid w:val="00623E40"/>
    <w:rsid w:val="00624D32"/>
    <w:rsid w:val="00626827"/>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57EBD"/>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494"/>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53A"/>
    <w:rsid w:val="00725BEA"/>
    <w:rsid w:val="00726409"/>
    <w:rsid w:val="007306D1"/>
    <w:rsid w:val="00730BE2"/>
    <w:rsid w:val="00732046"/>
    <w:rsid w:val="007335EB"/>
    <w:rsid w:val="007337E0"/>
    <w:rsid w:val="007344C3"/>
    <w:rsid w:val="00736C31"/>
    <w:rsid w:val="0074239D"/>
    <w:rsid w:val="00742CE1"/>
    <w:rsid w:val="0074372C"/>
    <w:rsid w:val="00744C7C"/>
    <w:rsid w:val="00744FE2"/>
    <w:rsid w:val="00745862"/>
    <w:rsid w:val="00746657"/>
    <w:rsid w:val="0074687F"/>
    <w:rsid w:val="00746973"/>
    <w:rsid w:val="00747C4D"/>
    <w:rsid w:val="00751055"/>
    <w:rsid w:val="007517A4"/>
    <w:rsid w:val="00752C47"/>
    <w:rsid w:val="0075585E"/>
    <w:rsid w:val="00755A77"/>
    <w:rsid w:val="007631D1"/>
    <w:rsid w:val="007635AC"/>
    <w:rsid w:val="00767A73"/>
    <w:rsid w:val="00772458"/>
    <w:rsid w:val="00775812"/>
    <w:rsid w:val="00781AFB"/>
    <w:rsid w:val="00782461"/>
    <w:rsid w:val="0078261F"/>
    <w:rsid w:val="007833DA"/>
    <w:rsid w:val="00783492"/>
    <w:rsid w:val="00784522"/>
    <w:rsid w:val="0078470A"/>
    <w:rsid w:val="00784C15"/>
    <w:rsid w:val="0078583D"/>
    <w:rsid w:val="00785939"/>
    <w:rsid w:val="00785D73"/>
    <w:rsid w:val="0078643C"/>
    <w:rsid w:val="00786CA4"/>
    <w:rsid w:val="00786FA8"/>
    <w:rsid w:val="00787AF1"/>
    <w:rsid w:val="0079132B"/>
    <w:rsid w:val="0079143D"/>
    <w:rsid w:val="0079360E"/>
    <w:rsid w:val="00795245"/>
    <w:rsid w:val="007969E6"/>
    <w:rsid w:val="00796DA1"/>
    <w:rsid w:val="007A2C57"/>
    <w:rsid w:val="007A3440"/>
    <w:rsid w:val="007A34B3"/>
    <w:rsid w:val="007B1039"/>
    <w:rsid w:val="007B1644"/>
    <w:rsid w:val="007B2401"/>
    <w:rsid w:val="007B33F8"/>
    <w:rsid w:val="007B3B6F"/>
    <w:rsid w:val="007B3F3D"/>
    <w:rsid w:val="007B413B"/>
    <w:rsid w:val="007B4FD7"/>
    <w:rsid w:val="007B5461"/>
    <w:rsid w:val="007B6474"/>
    <w:rsid w:val="007B7F0F"/>
    <w:rsid w:val="007C0888"/>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0F3D"/>
    <w:rsid w:val="00833331"/>
    <w:rsid w:val="00833C36"/>
    <w:rsid w:val="00834B96"/>
    <w:rsid w:val="00836409"/>
    <w:rsid w:val="00836415"/>
    <w:rsid w:val="00836B47"/>
    <w:rsid w:val="00836E83"/>
    <w:rsid w:val="00840A53"/>
    <w:rsid w:val="00841176"/>
    <w:rsid w:val="008427B3"/>
    <w:rsid w:val="008428A1"/>
    <w:rsid w:val="00847BB2"/>
    <w:rsid w:val="0085047D"/>
    <w:rsid w:val="008524EA"/>
    <w:rsid w:val="0085263B"/>
    <w:rsid w:val="00852CF6"/>
    <w:rsid w:val="008530B9"/>
    <w:rsid w:val="008537C0"/>
    <w:rsid w:val="00855167"/>
    <w:rsid w:val="00857642"/>
    <w:rsid w:val="00857872"/>
    <w:rsid w:val="00857F8E"/>
    <w:rsid w:val="00860759"/>
    <w:rsid w:val="0086268A"/>
    <w:rsid w:val="0086309C"/>
    <w:rsid w:val="008644EC"/>
    <w:rsid w:val="00864B15"/>
    <w:rsid w:val="00864D3B"/>
    <w:rsid w:val="00865C18"/>
    <w:rsid w:val="0086621E"/>
    <w:rsid w:val="00866DF1"/>
    <w:rsid w:val="0086717D"/>
    <w:rsid w:val="0087121E"/>
    <w:rsid w:val="008721E2"/>
    <w:rsid w:val="00876B32"/>
    <w:rsid w:val="00876D27"/>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4E6"/>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05A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0FC1"/>
    <w:rsid w:val="00951A6C"/>
    <w:rsid w:val="009520FA"/>
    <w:rsid w:val="00952928"/>
    <w:rsid w:val="009531DA"/>
    <w:rsid w:val="00953CFD"/>
    <w:rsid w:val="009540FD"/>
    <w:rsid w:val="0095579C"/>
    <w:rsid w:val="00956E7E"/>
    <w:rsid w:val="0096539B"/>
    <w:rsid w:val="00966487"/>
    <w:rsid w:val="009669E3"/>
    <w:rsid w:val="009671DB"/>
    <w:rsid w:val="0096755D"/>
    <w:rsid w:val="009716CC"/>
    <w:rsid w:val="00972738"/>
    <w:rsid w:val="009727FE"/>
    <w:rsid w:val="00973A12"/>
    <w:rsid w:val="00974C35"/>
    <w:rsid w:val="00976E81"/>
    <w:rsid w:val="009805D5"/>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030"/>
    <w:rsid w:val="009B4A92"/>
    <w:rsid w:val="009B4B7B"/>
    <w:rsid w:val="009B4CB6"/>
    <w:rsid w:val="009B66C0"/>
    <w:rsid w:val="009B72A1"/>
    <w:rsid w:val="009B74A5"/>
    <w:rsid w:val="009C0E90"/>
    <w:rsid w:val="009C1EE1"/>
    <w:rsid w:val="009C24F9"/>
    <w:rsid w:val="009C638A"/>
    <w:rsid w:val="009D3AAC"/>
    <w:rsid w:val="009D5B63"/>
    <w:rsid w:val="009D6C48"/>
    <w:rsid w:val="009E1679"/>
    <w:rsid w:val="009E1BE9"/>
    <w:rsid w:val="009E2348"/>
    <w:rsid w:val="009E239E"/>
    <w:rsid w:val="009E271D"/>
    <w:rsid w:val="009E362F"/>
    <w:rsid w:val="009E40DF"/>
    <w:rsid w:val="009E5552"/>
    <w:rsid w:val="009E59CA"/>
    <w:rsid w:val="009F0352"/>
    <w:rsid w:val="009F1AEE"/>
    <w:rsid w:val="009F1DB1"/>
    <w:rsid w:val="009F1EA5"/>
    <w:rsid w:val="009F5E68"/>
    <w:rsid w:val="009F69E5"/>
    <w:rsid w:val="009F7476"/>
    <w:rsid w:val="009F768D"/>
    <w:rsid w:val="00A00F26"/>
    <w:rsid w:val="00A018F7"/>
    <w:rsid w:val="00A02ABC"/>
    <w:rsid w:val="00A039B4"/>
    <w:rsid w:val="00A04236"/>
    <w:rsid w:val="00A0555A"/>
    <w:rsid w:val="00A063F2"/>
    <w:rsid w:val="00A0799C"/>
    <w:rsid w:val="00A07D8F"/>
    <w:rsid w:val="00A12531"/>
    <w:rsid w:val="00A13C95"/>
    <w:rsid w:val="00A1544A"/>
    <w:rsid w:val="00A15615"/>
    <w:rsid w:val="00A1707A"/>
    <w:rsid w:val="00A215E2"/>
    <w:rsid w:val="00A2164F"/>
    <w:rsid w:val="00A22B61"/>
    <w:rsid w:val="00A23803"/>
    <w:rsid w:val="00A249F6"/>
    <w:rsid w:val="00A2509D"/>
    <w:rsid w:val="00A250AD"/>
    <w:rsid w:val="00A26704"/>
    <w:rsid w:val="00A26ADA"/>
    <w:rsid w:val="00A27248"/>
    <w:rsid w:val="00A27289"/>
    <w:rsid w:val="00A321F9"/>
    <w:rsid w:val="00A34928"/>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3769"/>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5FB"/>
    <w:rsid w:val="00A77757"/>
    <w:rsid w:val="00A77C4C"/>
    <w:rsid w:val="00A8008F"/>
    <w:rsid w:val="00A8092D"/>
    <w:rsid w:val="00A80D3B"/>
    <w:rsid w:val="00A80E74"/>
    <w:rsid w:val="00A82C60"/>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ACF"/>
    <w:rsid w:val="00AB16AD"/>
    <w:rsid w:val="00AB24CE"/>
    <w:rsid w:val="00AB3CE6"/>
    <w:rsid w:val="00AB3D07"/>
    <w:rsid w:val="00AB3E2B"/>
    <w:rsid w:val="00AB65C7"/>
    <w:rsid w:val="00AB671D"/>
    <w:rsid w:val="00AB6BFE"/>
    <w:rsid w:val="00AB7130"/>
    <w:rsid w:val="00AB7311"/>
    <w:rsid w:val="00AC0CC1"/>
    <w:rsid w:val="00AC0D42"/>
    <w:rsid w:val="00AC2C30"/>
    <w:rsid w:val="00AC350C"/>
    <w:rsid w:val="00AC3558"/>
    <w:rsid w:val="00AC3A1B"/>
    <w:rsid w:val="00AC46EE"/>
    <w:rsid w:val="00AC5254"/>
    <w:rsid w:val="00AC701A"/>
    <w:rsid w:val="00AC74A3"/>
    <w:rsid w:val="00AC7DAD"/>
    <w:rsid w:val="00AD02BB"/>
    <w:rsid w:val="00AD0393"/>
    <w:rsid w:val="00AD11DB"/>
    <w:rsid w:val="00AD334C"/>
    <w:rsid w:val="00AD344D"/>
    <w:rsid w:val="00AD3F55"/>
    <w:rsid w:val="00AD49BE"/>
    <w:rsid w:val="00AD4CFD"/>
    <w:rsid w:val="00AD53F5"/>
    <w:rsid w:val="00AD5E7B"/>
    <w:rsid w:val="00AD7989"/>
    <w:rsid w:val="00AE0BFC"/>
    <w:rsid w:val="00AE0DF0"/>
    <w:rsid w:val="00AE1A08"/>
    <w:rsid w:val="00AE1A28"/>
    <w:rsid w:val="00AE1BBA"/>
    <w:rsid w:val="00AE1C2A"/>
    <w:rsid w:val="00AE4BA3"/>
    <w:rsid w:val="00AE7E8A"/>
    <w:rsid w:val="00AF14F2"/>
    <w:rsid w:val="00AF32D8"/>
    <w:rsid w:val="00AF3F64"/>
    <w:rsid w:val="00AF40CA"/>
    <w:rsid w:val="00AF4C64"/>
    <w:rsid w:val="00AF70FF"/>
    <w:rsid w:val="00B01BE5"/>
    <w:rsid w:val="00B01FEE"/>
    <w:rsid w:val="00B02385"/>
    <w:rsid w:val="00B03878"/>
    <w:rsid w:val="00B06DDF"/>
    <w:rsid w:val="00B07809"/>
    <w:rsid w:val="00B079A5"/>
    <w:rsid w:val="00B11C89"/>
    <w:rsid w:val="00B13124"/>
    <w:rsid w:val="00B134C7"/>
    <w:rsid w:val="00B136CC"/>
    <w:rsid w:val="00B143BA"/>
    <w:rsid w:val="00B15B73"/>
    <w:rsid w:val="00B17521"/>
    <w:rsid w:val="00B17683"/>
    <w:rsid w:val="00B20FAA"/>
    <w:rsid w:val="00B21806"/>
    <w:rsid w:val="00B21CD8"/>
    <w:rsid w:val="00B21FBA"/>
    <w:rsid w:val="00B23036"/>
    <w:rsid w:val="00B23264"/>
    <w:rsid w:val="00B26E92"/>
    <w:rsid w:val="00B2793E"/>
    <w:rsid w:val="00B3022C"/>
    <w:rsid w:val="00B32ABD"/>
    <w:rsid w:val="00B32E35"/>
    <w:rsid w:val="00B33B37"/>
    <w:rsid w:val="00B35017"/>
    <w:rsid w:val="00B374E5"/>
    <w:rsid w:val="00B3764A"/>
    <w:rsid w:val="00B379A1"/>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011F"/>
    <w:rsid w:val="00B7272B"/>
    <w:rsid w:val="00B732FB"/>
    <w:rsid w:val="00B7342D"/>
    <w:rsid w:val="00B73BCE"/>
    <w:rsid w:val="00B7490A"/>
    <w:rsid w:val="00B759EC"/>
    <w:rsid w:val="00B75F96"/>
    <w:rsid w:val="00B773AD"/>
    <w:rsid w:val="00B774F6"/>
    <w:rsid w:val="00B778CB"/>
    <w:rsid w:val="00B809D9"/>
    <w:rsid w:val="00B80EAE"/>
    <w:rsid w:val="00B8168B"/>
    <w:rsid w:val="00B824F8"/>
    <w:rsid w:val="00B8362D"/>
    <w:rsid w:val="00B8368B"/>
    <w:rsid w:val="00B83A9E"/>
    <w:rsid w:val="00B86F52"/>
    <w:rsid w:val="00B878F5"/>
    <w:rsid w:val="00B91893"/>
    <w:rsid w:val="00B926BD"/>
    <w:rsid w:val="00B92DE8"/>
    <w:rsid w:val="00B93D8F"/>
    <w:rsid w:val="00B93EF7"/>
    <w:rsid w:val="00B961A5"/>
    <w:rsid w:val="00B96A32"/>
    <w:rsid w:val="00B9799D"/>
    <w:rsid w:val="00BA1322"/>
    <w:rsid w:val="00BA24C8"/>
    <w:rsid w:val="00BA25FD"/>
    <w:rsid w:val="00BA2D85"/>
    <w:rsid w:val="00BA3AA7"/>
    <w:rsid w:val="00BA3C3F"/>
    <w:rsid w:val="00BA5CEA"/>
    <w:rsid w:val="00BA6108"/>
    <w:rsid w:val="00BA690D"/>
    <w:rsid w:val="00BA7612"/>
    <w:rsid w:val="00BA7713"/>
    <w:rsid w:val="00BB1676"/>
    <w:rsid w:val="00BB1D36"/>
    <w:rsid w:val="00BB3631"/>
    <w:rsid w:val="00BB3FF6"/>
    <w:rsid w:val="00BB5630"/>
    <w:rsid w:val="00BB6BE1"/>
    <w:rsid w:val="00BC392E"/>
    <w:rsid w:val="00BC4FA3"/>
    <w:rsid w:val="00BC60A6"/>
    <w:rsid w:val="00BC62E0"/>
    <w:rsid w:val="00BC6FBF"/>
    <w:rsid w:val="00BD00D9"/>
    <w:rsid w:val="00BD1886"/>
    <w:rsid w:val="00BD23E3"/>
    <w:rsid w:val="00BD40BC"/>
    <w:rsid w:val="00BD5038"/>
    <w:rsid w:val="00BD6234"/>
    <w:rsid w:val="00BE0437"/>
    <w:rsid w:val="00BE04F6"/>
    <w:rsid w:val="00BE107D"/>
    <w:rsid w:val="00BE2D6C"/>
    <w:rsid w:val="00BE36CC"/>
    <w:rsid w:val="00BE4C2B"/>
    <w:rsid w:val="00BE52CA"/>
    <w:rsid w:val="00BE5D1C"/>
    <w:rsid w:val="00BE6637"/>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144"/>
    <w:rsid w:val="00C12EC0"/>
    <w:rsid w:val="00C1324E"/>
    <w:rsid w:val="00C138A5"/>
    <w:rsid w:val="00C14B96"/>
    <w:rsid w:val="00C158D4"/>
    <w:rsid w:val="00C211F9"/>
    <w:rsid w:val="00C21969"/>
    <w:rsid w:val="00C227AF"/>
    <w:rsid w:val="00C22F92"/>
    <w:rsid w:val="00C238EE"/>
    <w:rsid w:val="00C246A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E40"/>
    <w:rsid w:val="00C76F9B"/>
    <w:rsid w:val="00C77064"/>
    <w:rsid w:val="00C80AB6"/>
    <w:rsid w:val="00C824FE"/>
    <w:rsid w:val="00C833D6"/>
    <w:rsid w:val="00C84CDE"/>
    <w:rsid w:val="00C8502D"/>
    <w:rsid w:val="00C87173"/>
    <w:rsid w:val="00C8762A"/>
    <w:rsid w:val="00C9050E"/>
    <w:rsid w:val="00C9216F"/>
    <w:rsid w:val="00C9306D"/>
    <w:rsid w:val="00C93320"/>
    <w:rsid w:val="00C95318"/>
    <w:rsid w:val="00C95A99"/>
    <w:rsid w:val="00C96B98"/>
    <w:rsid w:val="00C96F6B"/>
    <w:rsid w:val="00C97ED3"/>
    <w:rsid w:val="00CA043D"/>
    <w:rsid w:val="00CA069B"/>
    <w:rsid w:val="00CA09C4"/>
    <w:rsid w:val="00CA19FB"/>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76C"/>
    <w:rsid w:val="00CD1FD6"/>
    <w:rsid w:val="00CD3CC4"/>
    <w:rsid w:val="00CD6419"/>
    <w:rsid w:val="00CD788F"/>
    <w:rsid w:val="00CE047D"/>
    <w:rsid w:val="00CE1017"/>
    <w:rsid w:val="00CE358A"/>
    <w:rsid w:val="00CE373E"/>
    <w:rsid w:val="00CE43AF"/>
    <w:rsid w:val="00CE577D"/>
    <w:rsid w:val="00CE665D"/>
    <w:rsid w:val="00CE6758"/>
    <w:rsid w:val="00CE731B"/>
    <w:rsid w:val="00CE7731"/>
    <w:rsid w:val="00CF096F"/>
    <w:rsid w:val="00CF1226"/>
    <w:rsid w:val="00CF329F"/>
    <w:rsid w:val="00CF6106"/>
    <w:rsid w:val="00CF6A79"/>
    <w:rsid w:val="00CF73D7"/>
    <w:rsid w:val="00D00AAE"/>
    <w:rsid w:val="00D02D5A"/>
    <w:rsid w:val="00D02FB2"/>
    <w:rsid w:val="00D03B9D"/>
    <w:rsid w:val="00D0498A"/>
    <w:rsid w:val="00D065E6"/>
    <w:rsid w:val="00D06F2D"/>
    <w:rsid w:val="00D10843"/>
    <w:rsid w:val="00D109CC"/>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19FC"/>
    <w:rsid w:val="00D33231"/>
    <w:rsid w:val="00D36240"/>
    <w:rsid w:val="00D36D3E"/>
    <w:rsid w:val="00D36DB7"/>
    <w:rsid w:val="00D40E5E"/>
    <w:rsid w:val="00D4138D"/>
    <w:rsid w:val="00D41493"/>
    <w:rsid w:val="00D4152F"/>
    <w:rsid w:val="00D438DC"/>
    <w:rsid w:val="00D43EF1"/>
    <w:rsid w:val="00D43F6F"/>
    <w:rsid w:val="00D44015"/>
    <w:rsid w:val="00D45CB4"/>
    <w:rsid w:val="00D46755"/>
    <w:rsid w:val="00D46CFF"/>
    <w:rsid w:val="00D46FBF"/>
    <w:rsid w:val="00D47A7B"/>
    <w:rsid w:val="00D47BB6"/>
    <w:rsid w:val="00D53EA7"/>
    <w:rsid w:val="00D54C37"/>
    <w:rsid w:val="00D566B2"/>
    <w:rsid w:val="00D5779A"/>
    <w:rsid w:val="00D605A6"/>
    <w:rsid w:val="00D62214"/>
    <w:rsid w:val="00D62ADB"/>
    <w:rsid w:val="00D62E1E"/>
    <w:rsid w:val="00D632D1"/>
    <w:rsid w:val="00D64B7A"/>
    <w:rsid w:val="00D65AB8"/>
    <w:rsid w:val="00D65E10"/>
    <w:rsid w:val="00D666F1"/>
    <w:rsid w:val="00D67ADC"/>
    <w:rsid w:val="00D706BA"/>
    <w:rsid w:val="00D709A0"/>
    <w:rsid w:val="00D70A78"/>
    <w:rsid w:val="00D71394"/>
    <w:rsid w:val="00D7252A"/>
    <w:rsid w:val="00D73A62"/>
    <w:rsid w:val="00D73BC0"/>
    <w:rsid w:val="00D76C93"/>
    <w:rsid w:val="00D80799"/>
    <w:rsid w:val="00D81512"/>
    <w:rsid w:val="00D84747"/>
    <w:rsid w:val="00D84BD3"/>
    <w:rsid w:val="00D85346"/>
    <w:rsid w:val="00D87299"/>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0811"/>
    <w:rsid w:val="00DC0C74"/>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3F7E"/>
    <w:rsid w:val="00E04587"/>
    <w:rsid w:val="00E04EFF"/>
    <w:rsid w:val="00E05212"/>
    <w:rsid w:val="00E05241"/>
    <w:rsid w:val="00E05D02"/>
    <w:rsid w:val="00E0690D"/>
    <w:rsid w:val="00E101A9"/>
    <w:rsid w:val="00E12954"/>
    <w:rsid w:val="00E12A2F"/>
    <w:rsid w:val="00E12D9F"/>
    <w:rsid w:val="00E12FAE"/>
    <w:rsid w:val="00E13468"/>
    <w:rsid w:val="00E1638A"/>
    <w:rsid w:val="00E2004D"/>
    <w:rsid w:val="00E24543"/>
    <w:rsid w:val="00E2457B"/>
    <w:rsid w:val="00E247DE"/>
    <w:rsid w:val="00E257AB"/>
    <w:rsid w:val="00E279E6"/>
    <w:rsid w:val="00E3212A"/>
    <w:rsid w:val="00E32221"/>
    <w:rsid w:val="00E32512"/>
    <w:rsid w:val="00E327D1"/>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D8B"/>
    <w:rsid w:val="00E638EF"/>
    <w:rsid w:val="00E645FC"/>
    <w:rsid w:val="00E6494D"/>
    <w:rsid w:val="00E6634F"/>
    <w:rsid w:val="00E6716A"/>
    <w:rsid w:val="00E67F40"/>
    <w:rsid w:val="00E70167"/>
    <w:rsid w:val="00E703C3"/>
    <w:rsid w:val="00E73F29"/>
    <w:rsid w:val="00E74738"/>
    <w:rsid w:val="00E74899"/>
    <w:rsid w:val="00E759B1"/>
    <w:rsid w:val="00E76444"/>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0E4F"/>
    <w:rsid w:val="00EC33EA"/>
    <w:rsid w:val="00EC41C2"/>
    <w:rsid w:val="00EC4E71"/>
    <w:rsid w:val="00EC62F1"/>
    <w:rsid w:val="00EC6D41"/>
    <w:rsid w:val="00EC79CA"/>
    <w:rsid w:val="00ED03A3"/>
    <w:rsid w:val="00ED0AA7"/>
    <w:rsid w:val="00ED0B13"/>
    <w:rsid w:val="00ED2F8A"/>
    <w:rsid w:val="00ED58AF"/>
    <w:rsid w:val="00ED7658"/>
    <w:rsid w:val="00EE13F4"/>
    <w:rsid w:val="00EE171F"/>
    <w:rsid w:val="00EE1EE5"/>
    <w:rsid w:val="00EE2928"/>
    <w:rsid w:val="00EE2E23"/>
    <w:rsid w:val="00EE359A"/>
    <w:rsid w:val="00EE4BD0"/>
    <w:rsid w:val="00EE5BA1"/>
    <w:rsid w:val="00EF06B5"/>
    <w:rsid w:val="00EF2966"/>
    <w:rsid w:val="00EF5346"/>
    <w:rsid w:val="00EF7235"/>
    <w:rsid w:val="00F00A4D"/>
    <w:rsid w:val="00F014D5"/>
    <w:rsid w:val="00F01EA8"/>
    <w:rsid w:val="00F023A3"/>
    <w:rsid w:val="00F02A6F"/>
    <w:rsid w:val="00F030F9"/>
    <w:rsid w:val="00F04308"/>
    <w:rsid w:val="00F04C8C"/>
    <w:rsid w:val="00F0506D"/>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32A9"/>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502"/>
    <w:rsid w:val="00F5088C"/>
    <w:rsid w:val="00F510AC"/>
    <w:rsid w:val="00F5374F"/>
    <w:rsid w:val="00F545DD"/>
    <w:rsid w:val="00F55E69"/>
    <w:rsid w:val="00F579BE"/>
    <w:rsid w:val="00F606F4"/>
    <w:rsid w:val="00F60DF6"/>
    <w:rsid w:val="00F61E12"/>
    <w:rsid w:val="00F626E7"/>
    <w:rsid w:val="00F62D04"/>
    <w:rsid w:val="00F6434A"/>
    <w:rsid w:val="00F67616"/>
    <w:rsid w:val="00F70887"/>
    <w:rsid w:val="00F70A7D"/>
    <w:rsid w:val="00F70B62"/>
    <w:rsid w:val="00F748DD"/>
    <w:rsid w:val="00F762AA"/>
    <w:rsid w:val="00F76633"/>
    <w:rsid w:val="00F77EEC"/>
    <w:rsid w:val="00F81710"/>
    <w:rsid w:val="00F81FF7"/>
    <w:rsid w:val="00F83E64"/>
    <w:rsid w:val="00F855A3"/>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CC"/>
    <w:rsid w:val="00FA27C8"/>
    <w:rsid w:val="00FA2895"/>
    <w:rsid w:val="00FA29A4"/>
    <w:rsid w:val="00FA3DD7"/>
    <w:rsid w:val="00FA4D12"/>
    <w:rsid w:val="00FA5031"/>
    <w:rsid w:val="00FA56FF"/>
    <w:rsid w:val="00FB106B"/>
    <w:rsid w:val="00FB2D31"/>
    <w:rsid w:val="00FB4326"/>
    <w:rsid w:val="00FB4C6F"/>
    <w:rsid w:val="00FB64A1"/>
    <w:rsid w:val="00FB6732"/>
    <w:rsid w:val="00FB7D16"/>
    <w:rsid w:val="00FC0858"/>
    <w:rsid w:val="00FC110D"/>
    <w:rsid w:val="00FC3800"/>
    <w:rsid w:val="00FC4527"/>
    <w:rsid w:val="00FC65BE"/>
    <w:rsid w:val="00FC70C0"/>
    <w:rsid w:val="00FC7307"/>
    <w:rsid w:val="00FC7E5F"/>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61"/>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F163D"/>
    <w:pPr>
      <w:tabs>
        <w:tab w:val="left" w:pos="720"/>
      </w:tabs>
      <w:spacing w:before="120" w:after="120"/>
    </w:pPr>
    <w:rPr>
      <w:rFonts w:ascii="CG Times" w:eastAsia="Times New Roman"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1F163D"/>
    <w:rPr>
      <w:rFonts w:ascii="CG Times" w:eastAsia="Times New Roman"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F163D"/>
    <w:rPr>
      <w:sz w:val="26"/>
      <w:szCs w:val="26"/>
      <w:vertAlign w:val="superscript"/>
    </w:rPr>
  </w:style>
  <w:style w:type="paragraph" w:styleId="Header">
    <w:name w:val="header"/>
    <w:basedOn w:val="Normal"/>
    <w:link w:val="HeaderChar"/>
    <w:uiPriority w:val="99"/>
    <w:unhideWhenUsed/>
    <w:rsid w:val="00ED0B13"/>
    <w:pPr>
      <w:tabs>
        <w:tab w:val="center" w:pos="4680"/>
        <w:tab w:val="right" w:pos="9360"/>
      </w:tabs>
    </w:pPr>
  </w:style>
  <w:style w:type="character" w:customStyle="1" w:styleId="HeaderChar">
    <w:name w:val="Header Char"/>
    <w:basedOn w:val="DefaultParagraphFont"/>
    <w:link w:val="Header"/>
    <w:uiPriority w:val="99"/>
    <w:rsid w:val="00ED0B13"/>
  </w:style>
  <w:style w:type="paragraph" w:styleId="Footer">
    <w:name w:val="footer"/>
    <w:basedOn w:val="Normal"/>
    <w:link w:val="FooterChar"/>
    <w:uiPriority w:val="99"/>
    <w:unhideWhenUsed/>
    <w:rsid w:val="00ED0B13"/>
    <w:pPr>
      <w:tabs>
        <w:tab w:val="center" w:pos="4680"/>
        <w:tab w:val="right" w:pos="9360"/>
      </w:tabs>
    </w:pPr>
  </w:style>
  <w:style w:type="character" w:customStyle="1" w:styleId="FooterChar">
    <w:name w:val="Footer Char"/>
    <w:basedOn w:val="DefaultParagraphFont"/>
    <w:link w:val="Footer"/>
    <w:uiPriority w:val="99"/>
    <w:rsid w:val="00ED0B13"/>
  </w:style>
  <w:style w:type="paragraph" w:styleId="BalloonText">
    <w:name w:val="Balloon Text"/>
    <w:basedOn w:val="Normal"/>
    <w:link w:val="BalloonTextChar"/>
    <w:uiPriority w:val="99"/>
    <w:semiHidden/>
    <w:unhideWhenUsed/>
    <w:rsid w:val="000A0046"/>
    <w:rPr>
      <w:rFonts w:ascii="Tahoma" w:hAnsi="Tahoma" w:cs="Tahoma"/>
      <w:sz w:val="16"/>
      <w:szCs w:val="16"/>
    </w:rPr>
  </w:style>
  <w:style w:type="character" w:customStyle="1" w:styleId="BalloonTextChar">
    <w:name w:val="Balloon Text Char"/>
    <w:basedOn w:val="DefaultParagraphFont"/>
    <w:link w:val="BalloonText"/>
    <w:uiPriority w:val="99"/>
    <w:semiHidden/>
    <w:rsid w:val="000A0046"/>
    <w:rPr>
      <w:rFonts w:ascii="Tahoma" w:hAnsi="Tahoma" w:cs="Tahoma"/>
      <w:sz w:val="16"/>
      <w:szCs w:val="16"/>
    </w:rPr>
  </w:style>
  <w:style w:type="paragraph" w:styleId="ListParagraph">
    <w:name w:val="List Paragraph"/>
    <w:basedOn w:val="Normal"/>
    <w:uiPriority w:val="34"/>
    <w:qFormat/>
    <w:rsid w:val="00093305"/>
    <w:pPr>
      <w:ind w:left="720"/>
      <w:contextualSpacing/>
    </w:pPr>
  </w:style>
  <w:style w:type="paragraph" w:styleId="TOC2">
    <w:name w:val="toc 2"/>
    <w:basedOn w:val="Normal"/>
    <w:next w:val="Normal"/>
    <w:autoRedefine/>
    <w:uiPriority w:val="39"/>
    <w:unhideWhenUsed/>
    <w:rsid w:val="00CE731B"/>
    <w:pPr>
      <w:tabs>
        <w:tab w:val="left" w:pos="1440"/>
        <w:tab w:val="right" w:leader="dot" w:pos="9350"/>
      </w:tabs>
      <w:spacing w:after="100"/>
      <w:ind w:left="720"/>
    </w:pPr>
  </w:style>
  <w:style w:type="paragraph" w:styleId="TOC1">
    <w:name w:val="toc 1"/>
    <w:basedOn w:val="Normal"/>
    <w:next w:val="Normal"/>
    <w:autoRedefine/>
    <w:uiPriority w:val="39"/>
    <w:unhideWhenUsed/>
    <w:rsid w:val="00CE731B"/>
    <w:pPr>
      <w:tabs>
        <w:tab w:val="left" w:pos="720"/>
        <w:tab w:val="right" w:leader="dot" w:pos="9350"/>
      </w:tabs>
      <w:spacing w:after="100" w:line="360" w:lineRule="auto"/>
      <w:jc w:val="center"/>
    </w:pPr>
    <w:rPr>
      <w:noProof/>
    </w:rPr>
  </w:style>
  <w:style w:type="paragraph" w:styleId="TOC3">
    <w:name w:val="toc 3"/>
    <w:basedOn w:val="Normal"/>
    <w:next w:val="Normal"/>
    <w:autoRedefine/>
    <w:uiPriority w:val="39"/>
    <w:unhideWhenUsed/>
    <w:rsid w:val="00CE731B"/>
    <w:pPr>
      <w:tabs>
        <w:tab w:val="left" w:pos="1440"/>
        <w:tab w:val="left" w:pos="2160"/>
        <w:tab w:val="right" w:leader="dot" w:pos="9350"/>
      </w:tabs>
      <w:spacing w:after="100"/>
      <w:ind w:left="1440"/>
    </w:pPr>
  </w:style>
  <w:style w:type="character" w:styleId="Hyperlink">
    <w:name w:val="Hyperlink"/>
    <w:basedOn w:val="DefaultParagraphFont"/>
    <w:uiPriority w:val="99"/>
    <w:unhideWhenUsed/>
    <w:rsid w:val="00786C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61"/>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F163D"/>
    <w:pPr>
      <w:tabs>
        <w:tab w:val="left" w:pos="720"/>
      </w:tabs>
      <w:spacing w:before="120" w:after="120"/>
    </w:pPr>
    <w:rPr>
      <w:rFonts w:ascii="CG Times" w:eastAsia="Times New Roman"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1F163D"/>
    <w:rPr>
      <w:rFonts w:ascii="CG Times" w:eastAsia="Times New Roman"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F163D"/>
    <w:rPr>
      <w:sz w:val="26"/>
      <w:szCs w:val="26"/>
      <w:vertAlign w:val="superscript"/>
    </w:rPr>
  </w:style>
  <w:style w:type="paragraph" w:styleId="Header">
    <w:name w:val="header"/>
    <w:basedOn w:val="Normal"/>
    <w:link w:val="HeaderChar"/>
    <w:uiPriority w:val="99"/>
    <w:unhideWhenUsed/>
    <w:rsid w:val="00ED0B13"/>
    <w:pPr>
      <w:tabs>
        <w:tab w:val="center" w:pos="4680"/>
        <w:tab w:val="right" w:pos="9360"/>
      </w:tabs>
    </w:pPr>
  </w:style>
  <w:style w:type="character" w:customStyle="1" w:styleId="HeaderChar">
    <w:name w:val="Header Char"/>
    <w:basedOn w:val="DefaultParagraphFont"/>
    <w:link w:val="Header"/>
    <w:uiPriority w:val="99"/>
    <w:rsid w:val="00ED0B13"/>
  </w:style>
  <w:style w:type="paragraph" w:styleId="Footer">
    <w:name w:val="footer"/>
    <w:basedOn w:val="Normal"/>
    <w:link w:val="FooterChar"/>
    <w:uiPriority w:val="99"/>
    <w:unhideWhenUsed/>
    <w:rsid w:val="00ED0B13"/>
    <w:pPr>
      <w:tabs>
        <w:tab w:val="center" w:pos="4680"/>
        <w:tab w:val="right" w:pos="9360"/>
      </w:tabs>
    </w:pPr>
  </w:style>
  <w:style w:type="character" w:customStyle="1" w:styleId="FooterChar">
    <w:name w:val="Footer Char"/>
    <w:basedOn w:val="DefaultParagraphFont"/>
    <w:link w:val="Footer"/>
    <w:uiPriority w:val="99"/>
    <w:rsid w:val="00ED0B13"/>
  </w:style>
  <w:style w:type="paragraph" w:styleId="BalloonText">
    <w:name w:val="Balloon Text"/>
    <w:basedOn w:val="Normal"/>
    <w:link w:val="BalloonTextChar"/>
    <w:uiPriority w:val="99"/>
    <w:semiHidden/>
    <w:unhideWhenUsed/>
    <w:rsid w:val="000A0046"/>
    <w:rPr>
      <w:rFonts w:ascii="Tahoma" w:hAnsi="Tahoma" w:cs="Tahoma"/>
      <w:sz w:val="16"/>
      <w:szCs w:val="16"/>
    </w:rPr>
  </w:style>
  <w:style w:type="character" w:customStyle="1" w:styleId="BalloonTextChar">
    <w:name w:val="Balloon Text Char"/>
    <w:basedOn w:val="DefaultParagraphFont"/>
    <w:link w:val="BalloonText"/>
    <w:uiPriority w:val="99"/>
    <w:semiHidden/>
    <w:rsid w:val="000A0046"/>
    <w:rPr>
      <w:rFonts w:ascii="Tahoma" w:hAnsi="Tahoma" w:cs="Tahoma"/>
      <w:sz w:val="16"/>
      <w:szCs w:val="16"/>
    </w:rPr>
  </w:style>
  <w:style w:type="paragraph" w:styleId="ListParagraph">
    <w:name w:val="List Paragraph"/>
    <w:basedOn w:val="Normal"/>
    <w:uiPriority w:val="34"/>
    <w:qFormat/>
    <w:rsid w:val="00093305"/>
    <w:pPr>
      <w:ind w:left="720"/>
      <w:contextualSpacing/>
    </w:pPr>
  </w:style>
  <w:style w:type="paragraph" w:styleId="TOC2">
    <w:name w:val="toc 2"/>
    <w:basedOn w:val="Normal"/>
    <w:next w:val="Normal"/>
    <w:autoRedefine/>
    <w:uiPriority w:val="39"/>
    <w:unhideWhenUsed/>
    <w:rsid w:val="00CE731B"/>
    <w:pPr>
      <w:tabs>
        <w:tab w:val="left" w:pos="1440"/>
        <w:tab w:val="right" w:leader="dot" w:pos="9350"/>
      </w:tabs>
      <w:spacing w:after="100"/>
      <w:ind w:left="720"/>
    </w:pPr>
  </w:style>
  <w:style w:type="paragraph" w:styleId="TOC1">
    <w:name w:val="toc 1"/>
    <w:basedOn w:val="Normal"/>
    <w:next w:val="Normal"/>
    <w:autoRedefine/>
    <w:uiPriority w:val="39"/>
    <w:unhideWhenUsed/>
    <w:rsid w:val="00CE731B"/>
    <w:pPr>
      <w:tabs>
        <w:tab w:val="left" w:pos="720"/>
        <w:tab w:val="right" w:leader="dot" w:pos="9350"/>
      </w:tabs>
      <w:spacing w:after="100" w:line="360" w:lineRule="auto"/>
      <w:jc w:val="center"/>
    </w:pPr>
    <w:rPr>
      <w:noProof/>
    </w:rPr>
  </w:style>
  <w:style w:type="paragraph" w:styleId="TOC3">
    <w:name w:val="toc 3"/>
    <w:basedOn w:val="Normal"/>
    <w:next w:val="Normal"/>
    <w:autoRedefine/>
    <w:uiPriority w:val="39"/>
    <w:unhideWhenUsed/>
    <w:rsid w:val="00CE731B"/>
    <w:pPr>
      <w:tabs>
        <w:tab w:val="left" w:pos="1440"/>
        <w:tab w:val="left" w:pos="2160"/>
        <w:tab w:val="right" w:leader="dot" w:pos="9350"/>
      </w:tabs>
      <w:spacing w:after="100"/>
      <w:ind w:left="1440"/>
    </w:pPr>
  </w:style>
  <w:style w:type="character" w:styleId="Hyperlink">
    <w:name w:val="Hyperlink"/>
    <w:basedOn w:val="DefaultParagraphFont"/>
    <w:uiPriority w:val="99"/>
    <w:unhideWhenUsed/>
    <w:rsid w:val="00786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E0E3-3E8F-45C4-A968-7319794D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37</Pages>
  <Words>11286</Words>
  <Characters>64335</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11</cp:revision>
  <cp:lastPrinted>2016-01-06T17:55:00Z</cp:lastPrinted>
  <dcterms:created xsi:type="dcterms:W3CDTF">2016-01-06T17:25:00Z</dcterms:created>
  <dcterms:modified xsi:type="dcterms:W3CDTF">2016-01-07T19:24:00Z</dcterms:modified>
</cp:coreProperties>
</file>