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Default="00E22703" w:rsidP="00555AB2">
      <w:pPr>
        <w:rPr>
          <w:bCs/>
        </w:rPr>
      </w:pPr>
    </w:p>
    <w:p w:rsidR="00D804E5" w:rsidRPr="00550B34" w:rsidRDefault="00D804E5"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Default="0062545F" w:rsidP="0062545F">
      <w:pPr>
        <w:tabs>
          <w:tab w:val="left" w:pos="-720"/>
        </w:tabs>
        <w:suppressAutoHyphens/>
        <w:rPr>
          <w:spacing w:val="-3"/>
        </w:rPr>
      </w:pPr>
    </w:p>
    <w:p w:rsidR="00D804E5" w:rsidRPr="00550B34" w:rsidRDefault="00D804E5" w:rsidP="0062545F">
      <w:pPr>
        <w:tabs>
          <w:tab w:val="left" w:pos="-720"/>
        </w:tabs>
        <w:suppressAutoHyphens/>
        <w:rPr>
          <w:spacing w:val="-3"/>
        </w:rPr>
      </w:pPr>
    </w:p>
    <w:p w:rsidR="0093238A" w:rsidRPr="00A478F2" w:rsidRDefault="0093238A" w:rsidP="00A478F2">
      <w:pPr>
        <w:jc w:val="center"/>
        <w:rPr>
          <w:b/>
          <w:u w:val="single"/>
        </w:rPr>
      </w:pPr>
      <w:r>
        <w:rPr>
          <w:b/>
          <w:u w:val="single"/>
        </w:rPr>
        <w:t>ORDER</w:t>
      </w:r>
      <w:r w:rsidR="00DF7D8C">
        <w:rPr>
          <w:b/>
          <w:u w:val="single"/>
        </w:rPr>
        <w:t xml:space="preserve"> </w:t>
      </w:r>
      <w:r w:rsidR="00FD0E07">
        <w:rPr>
          <w:b/>
          <w:u w:val="single"/>
        </w:rPr>
        <w:t xml:space="preserve">GRANTING </w:t>
      </w:r>
      <w:r>
        <w:rPr>
          <w:b/>
          <w:u w:val="single"/>
        </w:rPr>
        <w:t>MOTION TO COMPEL</w:t>
      </w:r>
      <w:r w:rsidR="00DF7D8C">
        <w:rPr>
          <w:b/>
          <w:u w:val="single"/>
        </w:rPr>
        <w:t xml:space="preserve"> </w:t>
      </w:r>
      <w:r>
        <w:rPr>
          <w:b/>
          <w:u w:val="single"/>
        </w:rPr>
        <w:t>RESPONSES TO JOINT COMPLAINANT</w:t>
      </w:r>
      <w:r w:rsidR="00DF7D8C">
        <w:rPr>
          <w:b/>
          <w:u w:val="single"/>
        </w:rPr>
        <w:t>S’</w:t>
      </w:r>
      <w:r>
        <w:rPr>
          <w:b/>
          <w:u w:val="single"/>
        </w:rPr>
        <w:t xml:space="preserve"> INTERROGATORIES </w:t>
      </w:r>
      <w:r w:rsidR="00DF7D8C">
        <w:rPr>
          <w:b/>
          <w:u w:val="single"/>
        </w:rPr>
        <w:t xml:space="preserve">SET </w:t>
      </w:r>
      <w:r w:rsidR="007923F2">
        <w:rPr>
          <w:b/>
          <w:u w:val="single"/>
        </w:rPr>
        <w:t>X</w:t>
      </w:r>
      <w:r w:rsidR="002B214D">
        <w:rPr>
          <w:b/>
          <w:u w:val="single"/>
        </w:rPr>
        <w:t>I</w:t>
      </w:r>
      <w:r w:rsidR="00E626C4">
        <w:rPr>
          <w:b/>
          <w:u w:val="single"/>
        </w:rPr>
        <w:t>I</w:t>
      </w:r>
      <w:r w:rsidR="00F80DAF">
        <w:rPr>
          <w:b/>
          <w:u w:val="single"/>
        </w:rPr>
        <w:t>I</w:t>
      </w:r>
    </w:p>
    <w:p w:rsidR="00B81993" w:rsidRDefault="00B81993" w:rsidP="00D804E5">
      <w:pPr>
        <w:widowControl w:val="0"/>
        <w:adjustRightInd w:val="0"/>
        <w:ind w:firstLine="1440"/>
        <w:rPr>
          <w:bCs/>
          <w:color w:val="000000"/>
        </w:rPr>
      </w:pPr>
    </w:p>
    <w:p w:rsidR="00D804E5" w:rsidRDefault="00D804E5" w:rsidP="00D804E5">
      <w:pPr>
        <w:widowControl w:val="0"/>
        <w:adjustRightInd w:val="0"/>
        <w:ind w:firstLine="1440"/>
        <w:rPr>
          <w:bCs/>
          <w:color w:val="000000"/>
        </w:rPr>
      </w:pPr>
    </w:p>
    <w:p w:rsidR="00793D1C" w:rsidRDefault="00897507" w:rsidP="00D804E5">
      <w:pPr>
        <w:adjustRightInd w:val="0"/>
        <w:spacing w:line="360" w:lineRule="auto"/>
        <w:ind w:firstLine="1440"/>
        <w:rPr>
          <w:bCs/>
          <w:color w:val="000000"/>
        </w:rPr>
      </w:pPr>
      <w:r w:rsidRPr="00AA4292">
        <w:rPr>
          <w:bCs/>
          <w:color w:val="000000"/>
        </w:rPr>
        <w:t xml:space="preserve">On </w:t>
      </w:r>
      <w:r w:rsidR="00793D1C">
        <w:rPr>
          <w:bCs/>
          <w:color w:val="000000"/>
        </w:rPr>
        <w:t>January 7, 2016,</w:t>
      </w:r>
      <w:r w:rsidR="002B214D">
        <w:rPr>
          <w:bCs/>
          <w:color w:val="000000"/>
        </w:rPr>
        <w:t xml:space="preserve"> </w:t>
      </w:r>
      <w:r w:rsidR="00C610DB" w:rsidRPr="00AA4292">
        <w:rPr>
          <w:bCs/>
          <w:color w:val="000000"/>
        </w:rPr>
        <w:t xml:space="preserve">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t>
      </w:r>
      <w:r w:rsidR="002B214D">
        <w:rPr>
          <w:bCs/>
          <w:color w:val="000000"/>
        </w:rPr>
        <w:t>a Motion to Compel Responses to Joint Complainants’ Interrogatories Set XI</w:t>
      </w:r>
      <w:r w:rsidR="0042117A">
        <w:rPr>
          <w:bCs/>
          <w:color w:val="000000"/>
        </w:rPr>
        <w:t>I</w:t>
      </w:r>
      <w:r w:rsidR="00793D1C">
        <w:rPr>
          <w:bCs/>
          <w:color w:val="000000"/>
        </w:rPr>
        <w:t xml:space="preserve">I </w:t>
      </w:r>
      <w:r w:rsidR="002B214D">
        <w:rPr>
          <w:bCs/>
          <w:color w:val="000000"/>
        </w:rPr>
        <w:t xml:space="preserve">in this proceeding.  </w:t>
      </w:r>
      <w:r w:rsidR="00793D1C">
        <w:rPr>
          <w:bCs/>
          <w:color w:val="000000"/>
        </w:rPr>
        <w:t xml:space="preserve">The </w:t>
      </w:r>
      <w:r w:rsidR="00C04EF5">
        <w:rPr>
          <w:bCs/>
          <w:color w:val="000000"/>
        </w:rPr>
        <w:t>Interrogatories</w:t>
      </w:r>
      <w:r w:rsidR="00793D1C">
        <w:rPr>
          <w:bCs/>
          <w:color w:val="000000"/>
        </w:rPr>
        <w:t xml:space="preserve">/Requests for Production of Documents request information pertaining to Blue Pilot’s security bond, revocation of cancellation of service, its PJM status, and gross receipts taxes.  </w:t>
      </w:r>
    </w:p>
    <w:p w:rsidR="00793D1C" w:rsidRDefault="00793D1C" w:rsidP="00D804E5">
      <w:pPr>
        <w:adjustRightInd w:val="0"/>
        <w:spacing w:line="360" w:lineRule="auto"/>
        <w:ind w:firstLine="1440"/>
        <w:rPr>
          <w:bCs/>
          <w:color w:val="000000"/>
        </w:rPr>
      </w:pPr>
    </w:p>
    <w:p w:rsidR="0042117A" w:rsidRDefault="00C04EF5" w:rsidP="00D804E5">
      <w:pPr>
        <w:spacing w:line="360" w:lineRule="auto"/>
        <w:rPr>
          <w:bCs/>
          <w:color w:val="000000"/>
        </w:rPr>
      </w:pPr>
      <w:r>
        <w:rPr>
          <w:bCs/>
          <w:color w:val="000000"/>
        </w:rPr>
        <w:tab/>
      </w:r>
      <w:r>
        <w:rPr>
          <w:bCs/>
          <w:color w:val="000000"/>
        </w:rPr>
        <w:tab/>
      </w:r>
      <w:r w:rsidR="002B214D">
        <w:rPr>
          <w:bCs/>
          <w:color w:val="000000"/>
        </w:rPr>
        <w:t xml:space="preserve">In the Motion, Joint Complainants contend the information sought is </w:t>
      </w:r>
      <w:r w:rsidR="00793D1C">
        <w:rPr>
          <w:bCs/>
          <w:color w:val="000000"/>
        </w:rPr>
        <w:t xml:space="preserve">likely to lead to admissible evidence </w:t>
      </w:r>
      <w:r w:rsidR="00A95FFA">
        <w:rPr>
          <w:bCs/>
          <w:color w:val="000000"/>
        </w:rPr>
        <w:t>and is relevant to the claims in Joint Complainants’ complaint.  Further, Joint Complainants contend th</w:t>
      </w:r>
      <w:r w:rsidR="00291DE5">
        <w:rPr>
          <w:bCs/>
          <w:color w:val="000000"/>
        </w:rPr>
        <w:t>at</w:t>
      </w:r>
      <w:r w:rsidR="00291DE5">
        <w:t xml:space="preserve"> to the extent the information sought is competitively sensitive, there is a </w:t>
      </w:r>
      <w:r w:rsidR="00291DE5" w:rsidRPr="001334DD">
        <w:t xml:space="preserve">Protective Order </w:t>
      </w:r>
      <w:r w:rsidR="00291DE5">
        <w:t>in effect in the instant proceeding and said information may be marked and kept confidential.</w:t>
      </w:r>
      <w:r>
        <w:t xml:space="preserve">  </w:t>
      </w:r>
      <w:r w:rsidRPr="00766249">
        <w:t xml:space="preserve">Blue Pilot’s responses </w:t>
      </w:r>
      <w:r>
        <w:t>were</w:t>
      </w:r>
      <w:r w:rsidRPr="00766249">
        <w:t xml:space="preserve"> due on January 6, 201</w:t>
      </w:r>
      <w:r w:rsidR="00C76E4B">
        <w:t>6</w:t>
      </w:r>
      <w:r w:rsidRPr="00766249">
        <w:t xml:space="preserve"> pursuant to 52 Pa. Code §§ 5.342(d) and 5.349(d).  </w:t>
      </w:r>
      <w:r>
        <w:t>Blue Pilot filed an Answer</w:t>
      </w:r>
      <w:r w:rsidR="00F80DAF">
        <w:t xml:space="preserve"> to the Motion to </w:t>
      </w:r>
      <w:r w:rsidR="00DB0740">
        <w:t>Compel</w:t>
      </w:r>
      <w:r>
        <w:t xml:space="preserve"> on January 12, 2016.  This motion is ripe for a decision. </w:t>
      </w:r>
    </w:p>
    <w:p w:rsidR="007A6849" w:rsidRDefault="007A6849" w:rsidP="00D804E5">
      <w:pPr>
        <w:autoSpaceDE/>
        <w:autoSpaceDN/>
        <w:spacing w:line="360" w:lineRule="auto"/>
        <w:ind w:firstLine="1440"/>
        <w:rPr>
          <w:rFonts w:eastAsiaTheme="minorEastAsia"/>
        </w:rPr>
      </w:pPr>
    </w:p>
    <w:p w:rsidR="007A6849" w:rsidRPr="0093238A" w:rsidRDefault="007A6849" w:rsidP="00D804E5">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C76E4B" w:rsidRDefault="00C76E4B" w:rsidP="00D804E5">
      <w:pPr>
        <w:autoSpaceDE/>
        <w:autoSpaceDN/>
        <w:spacing w:line="360" w:lineRule="auto"/>
        <w:rPr>
          <w:rFonts w:eastAsiaTheme="minorEastAsia"/>
          <w:b/>
          <w:bCs/>
        </w:rPr>
      </w:pPr>
      <w:bookmarkStart w:id="0" w:name="5.321."/>
    </w:p>
    <w:p w:rsidR="007A6849" w:rsidRPr="0093238A" w:rsidRDefault="007A6849" w:rsidP="007A6849">
      <w:pPr>
        <w:autoSpaceDE/>
        <w:autoSpaceDN/>
        <w:spacing w:before="100" w:beforeAutospacing="1" w:after="100" w:afterAutospacing="1" w:line="276" w:lineRule="auto"/>
        <w:ind w:left="1440" w:right="1440"/>
        <w:outlineLvl w:val="3"/>
        <w:rPr>
          <w:rFonts w:eastAsiaTheme="minorEastAsia"/>
          <w:b/>
          <w:bCs/>
        </w:rPr>
      </w:pPr>
      <w:r w:rsidRPr="0093238A">
        <w:rPr>
          <w:rFonts w:eastAsiaTheme="minorEastAsia"/>
          <w:b/>
          <w:bCs/>
        </w:rPr>
        <w:lastRenderedPageBreak/>
        <w:t>§ 5.321. Scope.</w:t>
      </w:r>
    </w:p>
    <w:p w:rsidR="007A6849" w:rsidRDefault="007A6849" w:rsidP="007A6849">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D804E5" w:rsidRPr="0093238A" w:rsidRDefault="00D804E5" w:rsidP="00D804E5">
      <w:pPr>
        <w:autoSpaceDE/>
        <w:autoSpaceDN/>
        <w:spacing w:before="100" w:beforeAutospacing="1" w:after="100" w:afterAutospacing="1"/>
        <w:ind w:left="1440" w:right="1440"/>
        <w:rPr>
          <w:rFonts w:eastAsiaTheme="minorEastAsia"/>
        </w:rPr>
      </w:pPr>
    </w:p>
    <w:bookmarkEnd w:id="0"/>
    <w:p w:rsidR="007A6849" w:rsidRDefault="007A6849" w:rsidP="007A6849">
      <w:pPr>
        <w:autoSpaceDE/>
        <w:autoSpaceDN/>
        <w:spacing w:before="100" w:beforeAutospacing="1" w:after="100" w:afterAutospacing="1" w:line="360" w:lineRule="auto"/>
        <w:rPr>
          <w:rFonts w:eastAsiaTheme="minorEastAsia"/>
        </w:rPr>
      </w:pPr>
      <w:proofErr w:type="gramStart"/>
      <w:r w:rsidRPr="0093238A">
        <w:rPr>
          <w:rFonts w:eastAsiaTheme="minorEastAsia"/>
        </w:rPr>
        <w:t>52 Pa. Code § 5.321(c).</w:t>
      </w:r>
      <w:proofErr w:type="gramEnd"/>
      <w:r w:rsidRPr="0093238A">
        <w:rPr>
          <w:rFonts w:eastAsiaTheme="minorEastAsia"/>
        </w:rPr>
        <w:t xml:space="preserve">  Section 5.361 of the Commission’s regulations, however, provides various limitations on the scope of discovery:</w:t>
      </w:r>
    </w:p>
    <w:p w:rsidR="00D804E5" w:rsidRPr="0093238A" w:rsidRDefault="00D804E5" w:rsidP="00D804E5">
      <w:pPr>
        <w:autoSpaceDE/>
        <w:autoSpaceDN/>
        <w:spacing w:before="100" w:beforeAutospacing="1" w:after="100" w:afterAutospacing="1"/>
        <w:rPr>
          <w:rFonts w:eastAsiaTheme="minorEastAsia"/>
        </w:rPr>
      </w:pPr>
    </w:p>
    <w:p w:rsidR="007A6849" w:rsidRPr="0093238A" w:rsidRDefault="007A6849" w:rsidP="007A6849">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Limitation of scope of discovery and deposition.</w:t>
      </w:r>
    </w:p>
    <w:p w:rsidR="007A6849" w:rsidRPr="0093238A" w:rsidRDefault="007A6849" w:rsidP="007A6849">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7A6849" w:rsidRPr="0093238A" w:rsidRDefault="007A6849" w:rsidP="007A6849">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7A6849" w:rsidRPr="0093238A" w:rsidRDefault="007A6849" w:rsidP="007A6849">
      <w:pPr>
        <w:autoSpaceDE/>
        <w:autoSpaceDN/>
        <w:spacing w:before="100" w:beforeAutospacing="1" w:after="100" w:afterAutospacing="1"/>
        <w:ind w:left="1440" w:right="1440"/>
        <w:rPr>
          <w:rFonts w:eastAsiaTheme="minorEastAsia"/>
        </w:rPr>
      </w:pPr>
      <w:r w:rsidRPr="0093238A">
        <w:rPr>
          <w:rFonts w:eastAsiaTheme="minorEastAsia"/>
        </w:rPr>
        <w:t>   (2)  </w:t>
      </w:r>
      <w:bookmarkStart w:id="1" w:name="OLE_LINK1"/>
      <w:bookmarkStart w:id="2" w:name="OLE_LINK2"/>
      <w:r w:rsidRPr="0093238A">
        <w:rPr>
          <w:rFonts w:eastAsiaTheme="minorEastAsia"/>
        </w:rPr>
        <w:t xml:space="preserve">Would cause unreasonable annoyance, embarrassment, oppression, burden or expense to the deponent, a person or party. </w:t>
      </w:r>
    </w:p>
    <w:bookmarkEnd w:id="1"/>
    <w:bookmarkEnd w:id="2"/>
    <w:p w:rsidR="007A6849" w:rsidRPr="0093238A" w:rsidRDefault="007A6849" w:rsidP="007A6849">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7A6849" w:rsidRPr="0093238A" w:rsidRDefault="007A6849" w:rsidP="007A6849">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7A6849" w:rsidRPr="0093238A" w:rsidRDefault="007A6849" w:rsidP="007A6849">
      <w:pPr>
        <w:autoSpaceDE/>
        <w:autoSpaceDN/>
        <w:spacing w:line="360" w:lineRule="auto"/>
        <w:rPr>
          <w:rFonts w:eastAsiaTheme="minorEastAsia"/>
        </w:rPr>
      </w:pPr>
      <w:r w:rsidRPr="0093238A">
        <w:rPr>
          <w:rFonts w:eastAsiaTheme="minorEastAsia"/>
        </w:rPr>
        <w:t>52 Pa. Code § 5.361(a).</w:t>
      </w:r>
    </w:p>
    <w:p w:rsidR="00D804E5" w:rsidRDefault="00D804E5" w:rsidP="00D804E5">
      <w:pPr>
        <w:pStyle w:val="ListParagraph"/>
        <w:autoSpaceDE/>
        <w:autoSpaceDN/>
        <w:spacing w:line="360" w:lineRule="auto"/>
        <w:ind w:left="1080"/>
        <w:contextualSpacing/>
        <w:jc w:val="both"/>
        <w:rPr>
          <w:rFonts w:eastAsiaTheme="minorEastAsia"/>
        </w:rPr>
      </w:pPr>
      <w:r>
        <w:rPr>
          <w:rFonts w:eastAsiaTheme="minorEastAsia"/>
        </w:rPr>
        <w:br w:type="page"/>
      </w:r>
    </w:p>
    <w:p w:rsidR="007A6849" w:rsidRDefault="007A6849" w:rsidP="00D804E5">
      <w:pPr>
        <w:pStyle w:val="ListParagraph"/>
        <w:autoSpaceDE/>
        <w:autoSpaceDN/>
        <w:spacing w:line="360" w:lineRule="auto"/>
        <w:ind w:left="1080"/>
        <w:contextualSpacing/>
        <w:jc w:val="both"/>
        <w:rPr>
          <w:rFonts w:eastAsiaTheme="minorEastAsia"/>
        </w:rPr>
      </w:pPr>
    </w:p>
    <w:p w:rsidR="007A6849" w:rsidRPr="00DF7D8C" w:rsidRDefault="007A6849" w:rsidP="007A6849">
      <w:pPr>
        <w:pStyle w:val="ListParagraph"/>
        <w:autoSpaceDE/>
        <w:autoSpaceDN/>
        <w:ind w:left="0"/>
        <w:contextualSpacing/>
        <w:rPr>
          <w:rFonts w:eastAsiaTheme="minorEastAsia"/>
          <w:u w:val="single"/>
        </w:rPr>
      </w:pPr>
      <w:r w:rsidRPr="00DF7D8C">
        <w:rPr>
          <w:u w:val="single"/>
        </w:rPr>
        <w:t xml:space="preserve">Joint Complainants’ Set </w:t>
      </w:r>
      <w:r>
        <w:rPr>
          <w:u w:val="single"/>
        </w:rPr>
        <w:t>XII</w:t>
      </w:r>
      <w:r w:rsidR="00291DE5">
        <w:rPr>
          <w:u w:val="single"/>
        </w:rPr>
        <w:t>I</w:t>
      </w:r>
    </w:p>
    <w:p w:rsidR="007A6849" w:rsidRDefault="007A6849" w:rsidP="007A6849">
      <w:pPr>
        <w:pStyle w:val="ListParagraph"/>
        <w:autoSpaceDE/>
        <w:autoSpaceDN/>
        <w:ind w:left="1080"/>
        <w:contextualSpacing/>
        <w:jc w:val="both"/>
        <w:rPr>
          <w:rFonts w:eastAsiaTheme="minorEastAsia"/>
        </w:rPr>
      </w:pPr>
    </w:p>
    <w:p w:rsidR="007A6849" w:rsidRPr="00AC7FD9" w:rsidRDefault="007A6849" w:rsidP="007A6849">
      <w:pPr>
        <w:tabs>
          <w:tab w:val="left" w:pos="720"/>
          <w:tab w:val="left" w:pos="1440"/>
          <w:tab w:val="left" w:pos="2160"/>
          <w:tab w:val="left" w:pos="2880"/>
          <w:tab w:val="left" w:pos="3600"/>
          <w:tab w:val="left" w:pos="4320"/>
          <w:tab w:val="right" w:pos="9360"/>
        </w:tabs>
        <w:ind w:left="720" w:right="720"/>
        <w:contextualSpacing/>
        <w:jc w:val="both"/>
      </w:pPr>
      <w:r w:rsidRPr="00AC7FD9">
        <w:t xml:space="preserve">Joint Complainants’ Set </w:t>
      </w:r>
      <w:r>
        <w:t>XII</w:t>
      </w:r>
      <w:r w:rsidR="00291DE5">
        <w:t>I</w:t>
      </w:r>
      <w:r w:rsidRPr="00AC7FD9">
        <w:t xml:space="preserve"> provides: </w:t>
      </w:r>
    </w:p>
    <w:p w:rsidR="007A6849" w:rsidRPr="00AB2BBC" w:rsidRDefault="007A6849" w:rsidP="00D804E5">
      <w:pPr>
        <w:tabs>
          <w:tab w:val="left" w:pos="720"/>
          <w:tab w:val="left" w:pos="1440"/>
          <w:tab w:val="left" w:pos="2160"/>
          <w:tab w:val="left" w:pos="2880"/>
          <w:tab w:val="left" w:pos="3600"/>
          <w:tab w:val="left" w:pos="4320"/>
          <w:tab w:val="right" w:pos="9360"/>
        </w:tabs>
        <w:spacing w:line="360" w:lineRule="auto"/>
        <w:ind w:left="720" w:right="720"/>
        <w:contextualSpacing/>
        <w:jc w:val="both"/>
        <w:rPr>
          <w:b/>
        </w:rPr>
      </w:pPr>
      <w:r w:rsidRPr="00AB2BBC">
        <w:rPr>
          <w:b/>
        </w:rPr>
        <w:t xml:space="preserve"> </w:t>
      </w:r>
      <w:r w:rsidRPr="00AB2BBC">
        <w:rPr>
          <w:b/>
        </w:rPr>
        <w:tab/>
      </w:r>
    </w:p>
    <w:p w:rsidR="00291DE5" w:rsidRPr="009E572A" w:rsidRDefault="00291DE5" w:rsidP="00291DE5">
      <w:pPr>
        <w:pStyle w:val="ListParagraph"/>
        <w:ind w:right="720"/>
        <w:jc w:val="both"/>
      </w:pPr>
      <w:r w:rsidRPr="009E572A">
        <w:t>1.</w:t>
      </w:r>
      <w:r w:rsidRPr="009E572A">
        <w:tab/>
        <w:t>On August 27, 2015 a certified letter was sent by the Secretary of the</w:t>
      </w:r>
      <w:r>
        <w:t xml:space="preserve"> Pennsylvania Public Utility Commission (PUC) to Jessica Renneker at</w:t>
      </w:r>
      <w:r w:rsidRPr="009E572A">
        <w:t xml:space="preserve"> Blue Pilot Energy in Las Vegas, NV</w:t>
      </w:r>
      <w:r>
        <w:t>,</w:t>
      </w:r>
      <w:r w:rsidRPr="009E572A">
        <w:t xml:space="preserve"> informing Blue Pilot that it must file evidence of a bond or other approved security based on its gross receipts, which indicated that the previous bond amount should be increased.  Please provide any and all communications sent by Blue Pilot Energy in response to</w:t>
      </w:r>
      <w:r>
        <w:t xml:space="preserve"> or related to</w:t>
      </w:r>
      <w:r w:rsidRPr="009E572A">
        <w:t xml:space="preserve"> this letter to the </w:t>
      </w:r>
      <w:r>
        <w:t>PUC</w:t>
      </w:r>
      <w:r w:rsidRPr="009E572A">
        <w:t xml:space="preserve"> or </w:t>
      </w:r>
      <w:r>
        <w:t>any PUC</w:t>
      </w:r>
      <w:r w:rsidRPr="009E572A">
        <w:t xml:space="preserve"> Staff.</w:t>
      </w:r>
    </w:p>
    <w:p w:rsidR="00291DE5" w:rsidRPr="009E572A" w:rsidRDefault="00291DE5" w:rsidP="00291DE5">
      <w:pPr>
        <w:pStyle w:val="ListParagraph"/>
        <w:ind w:right="720"/>
        <w:jc w:val="both"/>
      </w:pPr>
    </w:p>
    <w:p w:rsidR="00291DE5" w:rsidRPr="009E572A" w:rsidRDefault="00291DE5" w:rsidP="00291DE5">
      <w:pPr>
        <w:pStyle w:val="ListParagraph"/>
        <w:ind w:right="720"/>
        <w:jc w:val="both"/>
      </w:pPr>
      <w:r w:rsidRPr="009E572A">
        <w:t>2.</w:t>
      </w:r>
      <w:r w:rsidRPr="009E572A">
        <w:tab/>
        <w:t xml:space="preserve">Please provide a copy of the bond or </w:t>
      </w:r>
      <w:r>
        <w:t xml:space="preserve">other </w:t>
      </w:r>
      <w:r w:rsidRPr="009E572A">
        <w:t>security that</w:t>
      </w:r>
      <w:r>
        <w:t xml:space="preserve"> Blue Pilot has furnished to the PUC in compliance with </w:t>
      </w:r>
      <w:r w:rsidRPr="009E572A">
        <w:t>66</w:t>
      </w:r>
      <w:r>
        <w:t xml:space="preserve"> Pa. C.S. § 2809(c).  If there is not a bond or other security currently in effect, please explain in detail why not and provide a copy of the bond or other security last furnished to the PUC by Blue Pilot.</w:t>
      </w:r>
    </w:p>
    <w:p w:rsidR="00291DE5" w:rsidRPr="009E572A" w:rsidRDefault="00291DE5" w:rsidP="00291DE5">
      <w:pPr>
        <w:pStyle w:val="ListParagraph"/>
        <w:ind w:right="720"/>
        <w:jc w:val="both"/>
      </w:pPr>
    </w:p>
    <w:p w:rsidR="00291DE5" w:rsidRPr="009E572A" w:rsidRDefault="00291DE5" w:rsidP="00291DE5">
      <w:pPr>
        <w:pStyle w:val="ListParagraph"/>
        <w:ind w:right="720"/>
        <w:jc w:val="both"/>
      </w:pPr>
      <w:r w:rsidRPr="009E572A">
        <w:t>3.</w:t>
      </w:r>
      <w:r w:rsidRPr="009E572A">
        <w:tab/>
        <w:t>Did Blue Pilot send the revocation of the Notice of Cancellation referen</w:t>
      </w:r>
      <w:r>
        <w:t>ced in the Commission’s August 2</w:t>
      </w:r>
      <w:r w:rsidRPr="009E572A">
        <w:t>7, 2015 letter</w:t>
      </w:r>
      <w:r>
        <w:t>, which letter also</w:t>
      </w:r>
      <w:r w:rsidRPr="009E572A">
        <w:t xml:space="preserve"> states that Blue Pilot would file such documentation?  If not, why not?  If so, please provide this document showing the revocation of its Notice of Cancellation.</w:t>
      </w:r>
    </w:p>
    <w:p w:rsidR="00291DE5" w:rsidRPr="009E572A" w:rsidRDefault="00291DE5" w:rsidP="00291DE5">
      <w:pPr>
        <w:pStyle w:val="ListParagraph"/>
        <w:ind w:right="720"/>
        <w:jc w:val="both"/>
      </w:pPr>
    </w:p>
    <w:p w:rsidR="00291DE5" w:rsidRPr="009E572A" w:rsidRDefault="00291DE5" w:rsidP="00291DE5">
      <w:pPr>
        <w:pStyle w:val="ListParagraph"/>
        <w:ind w:right="720"/>
        <w:jc w:val="both"/>
      </w:pPr>
      <w:r w:rsidRPr="009E572A">
        <w:t>4.</w:t>
      </w:r>
      <w:r w:rsidRPr="009E572A">
        <w:tab/>
        <w:t>Please provide the Notice of Cancellation sent by Blue Pilot to the Commission on June 11, 2015 as referenced in the Commission’s letter of August 27, 2015.</w:t>
      </w:r>
    </w:p>
    <w:p w:rsidR="00291DE5" w:rsidRPr="009E572A" w:rsidRDefault="00291DE5" w:rsidP="00291DE5">
      <w:pPr>
        <w:pStyle w:val="ListParagraph"/>
        <w:ind w:right="720"/>
        <w:jc w:val="both"/>
      </w:pPr>
    </w:p>
    <w:p w:rsidR="00291DE5" w:rsidRDefault="00291DE5" w:rsidP="00291DE5">
      <w:pPr>
        <w:pStyle w:val="ListParagraph"/>
        <w:ind w:right="720"/>
        <w:jc w:val="both"/>
      </w:pPr>
      <w:r w:rsidRPr="009E572A">
        <w:t>5.</w:t>
      </w:r>
      <w:r w:rsidRPr="009E572A">
        <w:tab/>
        <w:t xml:space="preserve">Please provide any communications </w:t>
      </w:r>
      <w:r>
        <w:t>the Company received from</w:t>
      </w:r>
      <w:r w:rsidRPr="009E572A">
        <w:t xml:space="preserve"> PJM</w:t>
      </w:r>
      <w:r>
        <w:t xml:space="preserve"> or provided to PJM by</w:t>
      </w:r>
      <w:r w:rsidRPr="009E572A">
        <w:t xml:space="preserve"> Blue Pilot Energy regarding Blue Pilot’s status to participate in the wholesale market and unpaid or overdue billings incurred by Blue Pilot or its agent since January 1, 2015.</w:t>
      </w:r>
    </w:p>
    <w:p w:rsidR="00291DE5" w:rsidRDefault="00291DE5" w:rsidP="00291DE5">
      <w:pPr>
        <w:pStyle w:val="ListParagraph"/>
        <w:ind w:right="720"/>
        <w:jc w:val="both"/>
      </w:pPr>
    </w:p>
    <w:p w:rsidR="00291DE5" w:rsidRDefault="00291DE5" w:rsidP="00291DE5">
      <w:pPr>
        <w:pStyle w:val="ListParagraph"/>
        <w:ind w:right="720"/>
        <w:jc w:val="both"/>
      </w:pPr>
      <w:r>
        <w:t>6.</w:t>
      </w:r>
      <w:r>
        <w:tab/>
        <w:t>Is the Company current on Pennsylvania gross receipts taxes due?  If not, identify the total amount due and when Blue Pilot will pay the taxes owed.</w:t>
      </w:r>
    </w:p>
    <w:p w:rsidR="00291DE5" w:rsidRDefault="00291DE5" w:rsidP="00D804E5">
      <w:pPr>
        <w:spacing w:line="360" w:lineRule="auto"/>
        <w:ind w:right="720"/>
        <w:jc w:val="both"/>
      </w:pPr>
    </w:p>
    <w:p w:rsidR="006941DC" w:rsidRDefault="00C04EF5" w:rsidP="00291DE5">
      <w:pPr>
        <w:pStyle w:val="ListNumber"/>
        <w:numPr>
          <w:ilvl w:val="0"/>
          <w:numId w:val="0"/>
        </w:numPr>
        <w:tabs>
          <w:tab w:val="num" w:pos="720"/>
        </w:tabs>
        <w:spacing w:line="360" w:lineRule="auto"/>
        <w:jc w:val="left"/>
        <w:rPr>
          <w:bCs/>
          <w:color w:val="000000"/>
        </w:rPr>
      </w:pPr>
      <w:r>
        <w:tab/>
      </w:r>
      <w:r>
        <w:tab/>
      </w:r>
      <w:r w:rsidR="00291DE5" w:rsidRPr="00AB4977">
        <w:t xml:space="preserve">Blue Pilot asserts </w:t>
      </w:r>
      <w:r w:rsidR="00291DE5">
        <w:t xml:space="preserve">in its Answer </w:t>
      </w:r>
      <w:r w:rsidR="00291DE5" w:rsidRPr="00AB4977">
        <w:t xml:space="preserve">that the information requested in Joint Complainants’ Set </w:t>
      </w:r>
      <w:r w:rsidR="00291DE5">
        <w:t>XII</w:t>
      </w:r>
      <w:r>
        <w:t>I</w:t>
      </w:r>
      <w:r w:rsidR="00291DE5" w:rsidRPr="00AB4977">
        <w:t xml:space="preserve"> is not relevant to the allegations filed in the Joint Complaint.  </w:t>
      </w:r>
      <w:r w:rsidR="00291DE5">
        <w:t xml:space="preserve">We disagree and find </w:t>
      </w:r>
      <w:r w:rsidR="00291DE5" w:rsidRPr="00AB4977">
        <w:t>the information sought appears reasonably calculated to lead to the discovery of admissible evidence</w:t>
      </w:r>
      <w:r w:rsidR="00291DE5">
        <w:t xml:space="preserve"> pursuant to </w:t>
      </w:r>
      <w:r w:rsidR="00291DE5" w:rsidRPr="00AB4977">
        <w:t>52 Pa. Code § 5.321(c)</w:t>
      </w:r>
      <w:r w:rsidR="00291DE5">
        <w:t xml:space="preserve"> as the interrogatory </w:t>
      </w:r>
      <w:r w:rsidR="00291DE5" w:rsidRPr="00C3485D">
        <w:t xml:space="preserve">seeks information directly relevant to </w:t>
      </w:r>
      <w:r w:rsidR="00291DE5">
        <w:rPr>
          <w:bCs/>
          <w:color w:val="000000"/>
        </w:rPr>
        <w:t xml:space="preserve">the </w:t>
      </w:r>
      <w:r>
        <w:rPr>
          <w:bCs/>
          <w:color w:val="000000"/>
        </w:rPr>
        <w:t>relief requested by Joint Complainants</w:t>
      </w:r>
      <w:r w:rsidR="00CB7471">
        <w:rPr>
          <w:bCs/>
          <w:color w:val="000000"/>
        </w:rPr>
        <w:t xml:space="preserve"> </w:t>
      </w:r>
      <w:r w:rsidR="00CB7471">
        <w:rPr>
          <w:bCs/>
          <w:color w:val="000000"/>
        </w:rPr>
        <w:lastRenderedPageBreak/>
        <w:t>pertaining to civil penalties and refunds</w:t>
      </w:r>
      <w:r>
        <w:rPr>
          <w:bCs/>
          <w:color w:val="000000"/>
        </w:rPr>
        <w:t>.  The company’s compliance history</w:t>
      </w:r>
      <w:r w:rsidR="00CB7471">
        <w:rPr>
          <w:bCs/>
          <w:color w:val="000000"/>
        </w:rPr>
        <w:t xml:space="preserve"> and</w:t>
      </w:r>
      <w:r>
        <w:rPr>
          <w:bCs/>
          <w:color w:val="000000"/>
        </w:rPr>
        <w:t xml:space="preserve"> size</w:t>
      </w:r>
      <w:r w:rsidR="00CB7471">
        <w:rPr>
          <w:bCs/>
          <w:color w:val="000000"/>
        </w:rPr>
        <w:t xml:space="preserve"> are relevant to the amount of civil penalty necessary to deter future violations.  See 52 Pa.Code §§ 69.1201(c)(6) and 69.1201(c)(8). </w:t>
      </w:r>
      <w:r w:rsidR="006941DC">
        <w:rPr>
          <w:bCs/>
          <w:color w:val="000000"/>
        </w:rPr>
        <w:t xml:space="preserve">  See also, </w:t>
      </w:r>
      <w:r w:rsidR="006941DC" w:rsidRPr="00332633">
        <w:rPr>
          <w:u w:val="single"/>
        </w:rPr>
        <w:t>Pennsylvania Public Utility Commission, Bureau of Investigation and Enforcement v. HIKO Energy, LLC</w:t>
      </w:r>
      <w:r w:rsidR="006941DC">
        <w:rPr>
          <w:u w:val="single"/>
        </w:rPr>
        <w:t>,</w:t>
      </w:r>
      <w:r w:rsidR="006941DC" w:rsidRPr="006941DC">
        <w:t xml:space="preserve"> </w:t>
      </w:r>
      <w:r w:rsidR="006941DC">
        <w:t xml:space="preserve">C-2014-2431410, Opinion and Order at 51-52 (Dec. 3, 2015).   </w:t>
      </w:r>
      <w:r w:rsidR="00CB7471">
        <w:rPr>
          <w:bCs/>
          <w:color w:val="000000"/>
        </w:rPr>
        <w:t>The information may not be relevant to w</w:t>
      </w:r>
      <w:r w:rsidR="00291DE5">
        <w:rPr>
          <w:bCs/>
          <w:color w:val="000000"/>
        </w:rPr>
        <w:t>hether Blue Pilot charged prices that conformed to the Company’s disclosure statement or advertised price</w:t>
      </w:r>
      <w:r w:rsidR="00CB7471">
        <w:rPr>
          <w:bCs/>
          <w:color w:val="000000"/>
        </w:rPr>
        <w:t xml:space="preserve">; however, </w:t>
      </w:r>
      <w:r w:rsidR="00A97A74">
        <w:rPr>
          <w:bCs/>
          <w:color w:val="000000"/>
        </w:rPr>
        <w:t xml:space="preserve">if </w:t>
      </w:r>
      <w:r w:rsidR="00CB7471">
        <w:rPr>
          <w:bCs/>
          <w:color w:val="000000"/>
        </w:rPr>
        <w:t xml:space="preserve">violations of </w:t>
      </w:r>
      <w:r w:rsidR="006941DC">
        <w:rPr>
          <w:bCs/>
          <w:color w:val="000000"/>
        </w:rPr>
        <w:t xml:space="preserve">regulations such as </w:t>
      </w:r>
      <w:r w:rsidR="00CB7471">
        <w:rPr>
          <w:bCs/>
          <w:color w:val="000000"/>
        </w:rPr>
        <w:t>52 Pa. Code § 54.4(a) are found, then the Commission will consider certain factors in the assessment of a civil penalty, including the compliance history and size of the company</w:t>
      </w:r>
      <w:r w:rsidR="0045250C">
        <w:rPr>
          <w:bCs/>
          <w:color w:val="000000"/>
        </w:rPr>
        <w:t>.</w:t>
      </w:r>
    </w:p>
    <w:p w:rsidR="006941DC" w:rsidRDefault="006941DC" w:rsidP="00291DE5">
      <w:pPr>
        <w:pStyle w:val="ListNumber"/>
        <w:numPr>
          <w:ilvl w:val="0"/>
          <w:numId w:val="0"/>
        </w:numPr>
        <w:tabs>
          <w:tab w:val="num" w:pos="720"/>
        </w:tabs>
        <w:spacing w:line="360" w:lineRule="auto"/>
        <w:jc w:val="left"/>
        <w:rPr>
          <w:bCs/>
          <w:color w:val="000000"/>
        </w:rPr>
      </w:pPr>
    </w:p>
    <w:p w:rsidR="00F80DAF" w:rsidRDefault="006941DC" w:rsidP="00291DE5">
      <w:pPr>
        <w:pStyle w:val="ListNumber"/>
        <w:numPr>
          <w:ilvl w:val="0"/>
          <w:numId w:val="0"/>
        </w:numPr>
        <w:tabs>
          <w:tab w:val="num" w:pos="720"/>
        </w:tabs>
        <w:spacing w:line="360" w:lineRule="auto"/>
        <w:jc w:val="left"/>
        <w:rPr>
          <w:bCs/>
          <w:color w:val="000000"/>
        </w:rPr>
      </w:pPr>
      <w:r>
        <w:rPr>
          <w:bCs/>
          <w:color w:val="000000"/>
        </w:rPr>
        <w:tab/>
      </w:r>
      <w:r>
        <w:rPr>
          <w:bCs/>
          <w:color w:val="000000"/>
        </w:rPr>
        <w:tab/>
      </w:r>
      <w:r>
        <w:t>Additionally, a</w:t>
      </w:r>
      <w:r w:rsidRPr="00883656">
        <w:t xml:space="preserve"> lapse in bond or other approved security is a violation of the Public Utility Code, 66 Pa. C.S. § 2809(c</w:t>
      </w:r>
      <w:proofErr w:type="gramStart"/>
      <w:r w:rsidRPr="00883656">
        <w:t>)(</w:t>
      </w:r>
      <w:proofErr w:type="gramEnd"/>
      <w:r w:rsidRPr="00883656">
        <w:t xml:space="preserve">1)(i), and the Commission’s regulations, and is therefore relevant to whether Blue Pilot </w:t>
      </w:r>
      <w:r>
        <w:t xml:space="preserve">should maintain its EGS license. </w:t>
      </w:r>
      <w:r w:rsidR="00DB0740">
        <w:t xml:space="preserve"> See </w:t>
      </w:r>
      <w:r w:rsidR="00DB0740" w:rsidRPr="00883656">
        <w:t>52 Pa. Code § 54.40(a)</w:t>
      </w:r>
      <w:r w:rsidR="00DB0740">
        <w:t>.   We find t</w:t>
      </w:r>
      <w:r w:rsidR="00CB7471">
        <w:rPr>
          <w:bCs/>
          <w:color w:val="000000"/>
        </w:rPr>
        <w:t xml:space="preserve">he information sought is likely to lead to admissible evidence regarding the relief requested </w:t>
      </w:r>
      <w:r w:rsidR="00A97A74">
        <w:rPr>
          <w:bCs/>
          <w:color w:val="000000"/>
        </w:rPr>
        <w:t xml:space="preserve">of </w:t>
      </w:r>
      <w:r w:rsidR="00F80DAF">
        <w:rPr>
          <w:bCs/>
          <w:color w:val="000000"/>
        </w:rPr>
        <w:t>suspension or revocation of Blue Pilot’s license</w:t>
      </w:r>
      <w:r w:rsidR="00CB7471">
        <w:rPr>
          <w:bCs/>
          <w:color w:val="000000"/>
        </w:rPr>
        <w:t>.</w:t>
      </w:r>
      <w:r w:rsidR="00F80DAF">
        <w:rPr>
          <w:bCs/>
          <w:color w:val="000000"/>
        </w:rPr>
        <w:t xml:space="preserve">  Section 54.</w:t>
      </w:r>
      <w:r w:rsidR="00DB0740">
        <w:rPr>
          <w:bCs/>
          <w:color w:val="000000"/>
        </w:rPr>
        <w:t>4</w:t>
      </w:r>
      <w:r w:rsidR="00F80DAF">
        <w:rPr>
          <w:bCs/>
          <w:color w:val="000000"/>
        </w:rPr>
        <w:t xml:space="preserve">2(a) provides that a license may be suspended or revoked and fines may be imposed against the licensee for failure to comply with applicable requirements of the Public Utility Code and Commission regulations and orders.  52 Pa. Code §54.42(a).  </w:t>
      </w:r>
      <w:r w:rsidR="00A97A74">
        <w:rPr>
          <w:bCs/>
          <w:color w:val="000000"/>
        </w:rPr>
        <w:t xml:space="preserve">Thus, compliance history is </w:t>
      </w:r>
      <w:r w:rsidR="001E50B8">
        <w:rPr>
          <w:bCs/>
          <w:color w:val="000000"/>
        </w:rPr>
        <w:t>a</w:t>
      </w:r>
      <w:r w:rsidR="00A97A74">
        <w:rPr>
          <w:bCs/>
          <w:color w:val="000000"/>
        </w:rPr>
        <w:t>n issue in considering whether to suspend/revoke an EGS license.</w:t>
      </w:r>
    </w:p>
    <w:p w:rsidR="00F80DAF" w:rsidRDefault="00F80DAF" w:rsidP="00291DE5">
      <w:pPr>
        <w:pStyle w:val="ListNumber"/>
        <w:numPr>
          <w:ilvl w:val="0"/>
          <w:numId w:val="0"/>
        </w:numPr>
        <w:tabs>
          <w:tab w:val="num" w:pos="720"/>
        </w:tabs>
        <w:spacing w:line="360" w:lineRule="auto"/>
        <w:jc w:val="left"/>
        <w:rPr>
          <w:bCs/>
          <w:color w:val="000000"/>
        </w:rPr>
      </w:pPr>
    </w:p>
    <w:p w:rsidR="00291DE5" w:rsidRPr="00B52DB7" w:rsidRDefault="00F80DAF" w:rsidP="00A97A74">
      <w:pPr>
        <w:pStyle w:val="ListNumber"/>
        <w:numPr>
          <w:ilvl w:val="0"/>
          <w:numId w:val="0"/>
        </w:numPr>
        <w:tabs>
          <w:tab w:val="num" w:pos="720"/>
        </w:tabs>
        <w:spacing w:line="360" w:lineRule="auto"/>
        <w:jc w:val="left"/>
        <w:rPr>
          <w:color w:val="373739"/>
        </w:rPr>
      </w:pPr>
      <w:r>
        <w:rPr>
          <w:bCs/>
          <w:color w:val="000000"/>
        </w:rPr>
        <w:tab/>
      </w:r>
      <w:r>
        <w:rPr>
          <w:bCs/>
          <w:color w:val="000000"/>
        </w:rPr>
        <w:tab/>
      </w:r>
      <w:r w:rsidR="007A136A">
        <w:t xml:space="preserve">Regarding refund relief, </w:t>
      </w:r>
      <w:r w:rsidR="00291DE5">
        <w:t xml:space="preserve">Blue Pilot’s bond or security may be a source available to </w:t>
      </w:r>
      <w:r w:rsidR="007A136A">
        <w:t xml:space="preserve">pay gross receipts taxes due and owing the Pennsylvania Department of Revenue and </w:t>
      </w:r>
      <w:r w:rsidR="00A97A74">
        <w:t xml:space="preserve">to </w:t>
      </w:r>
      <w:r w:rsidR="007A136A">
        <w:t>refund</w:t>
      </w:r>
      <w:r w:rsidR="00291DE5">
        <w:t xml:space="preserve"> </w:t>
      </w:r>
      <w:r w:rsidR="00291DE5" w:rsidRPr="00CE6362">
        <w:rPr>
          <w:color w:val="373739"/>
        </w:rPr>
        <w:t>electric generation customers</w:t>
      </w:r>
      <w:r w:rsidR="007A136A">
        <w:rPr>
          <w:color w:val="373739"/>
        </w:rPr>
        <w:t xml:space="preserve"> in that order of priority</w:t>
      </w:r>
      <w:r w:rsidR="00291DE5" w:rsidRPr="00CE6362">
        <w:rPr>
          <w:color w:val="373739"/>
        </w:rPr>
        <w:t>.</w:t>
      </w:r>
      <w:r w:rsidR="00291DE5">
        <w:rPr>
          <w:color w:val="373739"/>
        </w:rPr>
        <w:t xml:space="preserve">  </w:t>
      </w:r>
      <w:r w:rsidR="00291DE5" w:rsidRPr="006C313B">
        <w:rPr>
          <w:color w:val="373739"/>
          <w:u w:val="single"/>
        </w:rPr>
        <w:t>See</w:t>
      </w:r>
      <w:r w:rsidR="00291DE5">
        <w:rPr>
          <w:color w:val="373739"/>
        </w:rPr>
        <w:t xml:space="preserve"> </w:t>
      </w:r>
      <w:r w:rsidR="00291DE5">
        <w:t xml:space="preserve">52 Pa. Code §§ </w:t>
      </w:r>
      <w:r w:rsidR="00291DE5" w:rsidRPr="006C313B">
        <w:t>54.40</w:t>
      </w:r>
      <w:r w:rsidR="00291DE5">
        <w:t>(b), (e), (f)(1)-(3).  Specifically, Section 54.40 of the Commission’s regulations provides, in pertinent part:</w:t>
      </w:r>
    </w:p>
    <w:p w:rsidR="00291DE5" w:rsidRDefault="00291DE5" w:rsidP="00291DE5">
      <w:pPr>
        <w:spacing w:before="100" w:beforeAutospacing="1" w:after="100" w:afterAutospacing="1"/>
        <w:ind w:left="1094" w:right="720" w:hanging="374"/>
        <w:contextualSpacing/>
        <w:jc w:val="both"/>
      </w:pPr>
      <w:bookmarkStart w:id="3" w:name="54.40."/>
      <w:r w:rsidRPr="005B5C80">
        <w:t> (b)  The purpose of the security requirement is to ensure the licensee’s financial responsibility</w:t>
      </w:r>
      <w:r>
        <w:t xml:space="preserve">, the payment of gross receipts tax as required by section 2810 of the code (relating to revenue-neutral reconciliation), </w:t>
      </w:r>
      <w:r w:rsidRPr="005B5C80">
        <w:t xml:space="preserve">and the supply of electricity at retail in accordance with contracts, agreements or arrangement. See section 2809(c) of the code. </w:t>
      </w:r>
    </w:p>
    <w:p w:rsidR="00291DE5" w:rsidRPr="00581C41" w:rsidRDefault="00291DE5" w:rsidP="00291DE5">
      <w:pPr>
        <w:spacing w:before="100" w:beforeAutospacing="1" w:after="100" w:afterAutospacing="1"/>
        <w:ind w:left="1094" w:right="720" w:hanging="374"/>
        <w:contextualSpacing/>
        <w:jc w:val="both"/>
      </w:pPr>
    </w:p>
    <w:p w:rsidR="00291DE5" w:rsidRDefault="00291DE5" w:rsidP="00291DE5">
      <w:pPr>
        <w:spacing w:before="100" w:beforeAutospacing="1" w:after="100" w:afterAutospacing="1"/>
        <w:ind w:left="1094" w:right="720" w:hanging="374"/>
        <w:contextualSpacing/>
        <w:jc w:val="both"/>
      </w:pPr>
      <w:r w:rsidRPr="005B5C80">
        <w:t xml:space="preserve"> (e)  Payments pursuant to the security may result from the licensee’s failure to </w:t>
      </w:r>
      <w:r>
        <w:t xml:space="preserve">pay the full amount of Gross Receipt Taxes, or failure to </w:t>
      </w:r>
      <w:r w:rsidRPr="005B5C80">
        <w:t xml:space="preserve">supply electricity or other services in accordance with contracts, agreements or arrangements. </w:t>
      </w:r>
    </w:p>
    <w:p w:rsidR="00291DE5" w:rsidRPr="005B5C80" w:rsidRDefault="00291DE5" w:rsidP="00291DE5">
      <w:pPr>
        <w:spacing w:before="100" w:beforeAutospacing="1" w:after="100" w:afterAutospacing="1"/>
        <w:ind w:left="1094" w:right="720" w:hanging="374"/>
        <w:contextualSpacing/>
        <w:jc w:val="both"/>
      </w:pPr>
    </w:p>
    <w:p w:rsidR="00291DE5" w:rsidRPr="00B52DB7" w:rsidRDefault="00291DE5" w:rsidP="00291DE5">
      <w:pPr>
        <w:spacing w:before="100" w:beforeAutospacing="1" w:after="100" w:afterAutospacing="1"/>
        <w:ind w:left="1094" w:right="720" w:hanging="374"/>
        <w:contextualSpacing/>
        <w:jc w:val="both"/>
      </w:pPr>
      <w:r w:rsidRPr="00B52DB7">
        <w:t xml:space="preserve"> (f)  The bond or security shall include the following: </w:t>
      </w:r>
    </w:p>
    <w:p w:rsidR="00291DE5" w:rsidRPr="00B52DB7" w:rsidRDefault="00291DE5" w:rsidP="00291DE5">
      <w:pPr>
        <w:spacing w:before="100" w:beforeAutospacing="1" w:after="100" w:afterAutospacing="1"/>
        <w:ind w:left="1094" w:right="720" w:hanging="374"/>
        <w:contextualSpacing/>
        <w:jc w:val="both"/>
      </w:pPr>
    </w:p>
    <w:p w:rsidR="00291DE5" w:rsidRDefault="00291DE5" w:rsidP="00291DE5">
      <w:pPr>
        <w:spacing w:before="100" w:beforeAutospacing="1" w:after="100" w:afterAutospacing="1"/>
        <w:ind w:left="1094" w:right="720" w:hanging="374"/>
        <w:contextualSpacing/>
        <w:jc w:val="both"/>
      </w:pPr>
      <w:r w:rsidRPr="00B52DB7">
        <w:t xml:space="preserve">   (1)  The Pennsylvania Public Utility Commission, Commonwealth as the sole beneficiary. </w:t>
      </w:r>
    </w:p>
    <w:p w:rsidR="00291DE5" w:rsidRPr="00B52DB7" w:rsidRDefault="00291DE5" w:rsidP="00291DE5">
      <w:pPr>
        <w:spacing w:before="100" w:beforeAutospacing="1" w:after="100" w:afterAutospacing="1"/>
        <w:ind w:left="1094" w:right="720" w:hanging="374"/>
        <w:contextualSpacing/>
        <w:jc w:val="both"/>
      </w:pPr>
    </w:p>
    <w:p w:rsidR="00291DE5" w:rsidRPr="005B5C80" w:rsidRDefault="00291DE5" w:rsidP="00291DE5">
      <w:pPr>
        <w:spacing w:before="100" w:beforeAutospacing="1" w:after="100" w:afterAutospacing="1"/>
        <w:ind w:left="1094" w:right="720" w:hanging="374"/>
        <w:contextualSpacing/>
        <w:jc w:val="both"/>
      </w:pPr>
      <w:r w:rsidRPr="005B5C80">
        <w:t xml:space="preserve">   (2)  The purpose of the bond as follows: </w:t>
      </w:r>
    </w:p>
    <w:p w:rsidR="00291DE5" w:rsidRDefault="00291DE5" w:rsidP="00291DE5">
      <w:pPr>
        <w:spacing w:before="100" w:beforeAutospacing="1" w:after="100" w:afterAutospacing="1"/>
        <w:ind w:left="1094" w:right="720" w:hanging="374"/>
        <w:contextualSpacing/>
        <w:jc w:val="both"/>
      </w:pPr>
      <w:r w:rsidRPr="005B5C80">
        <w:t>  </w:t>
      </w:r>
      <w:r>
        <w:tab/>
      </w:r>
      <w:r w:rsidRPr="005B5C80">
        <w:t>This bond (or other security) is written in accordance with Section 2809(c)(1)(i) of the Public Utility Code, 66 Pa.C.S. §  2809(c)(1)(i), to assure compliance with applicable provisions of the Public Utility Code, 66 Pa.C.S. § §  101, et seq., and the rules and regulation of the Pennsylvania Public Utility Commission by the Principle as a licensed electric generation supplier</w:t>
      </w:r>
      <w:r>
        <w:t xml:space="preserve">; to ensure the payment of Gross Receipts Tax as required by Section 2810 of the Public Utility Code, </w:t>
      </w:r>
      <w:r w:rsidRPr="005B5C80">
        <w:t>66 Pa.C.S. §  28</w:t>
      </w:r>
      <w:r>
        <w:t xml:space="preserve">10; </w:t>
      </w:r>
      <w:r w:rsidRPr="005B5C80">
        <w:t xml:space="preserve">and to ensure the supply of electricity at retail in accordance with contracts, agreements or arrangements. </w:t>
      </w:r>
    </w:p>
    <w:p w:rsidR="00291DE5" w:rsidRPr="005B5C80" w:rsidRDefault="00291DE5" w:rsidP="00291DE5">
      <w:pPr>
        <w:spacing w:before="100" w:beforeAutospacing="1" w:after="100" w:afterAutospacing="1"/>
        <w:ind w:left="1094" w:right="720" w:hanging="374"/>
        <w:contextualSpacing/>
        <w:jc w:val="both"/>
      </w:pPr>
    </w:p>
    <w:p w:rsidR="00291DE5" w:rsidRPr="00B52DB7" w:rsidRDefault="00291DE5" w:rsidP="00291DE5">
      <w:pPr>
        <w:spacing w:before="100" w:beforeAutospacing="1" w:after="100" w:afterAutospacing="1"/>
        <w:ind w:left="1094" w:right="720" w:hanging="374"/>
        <w:contextualSpacing/>
        <w:jc w:val="both"/>
      </w:pPr>
      <w:r w:rsidRPr="00B52DB7">
        <w:t xml:space="preserve">   (3)  A listing of the prioritization of claims for payment under the security from highest priority to lowest priority as follows: </w:t>
      </w:r>
    </w:p>
    <w:p w:rsidR="00291DE5" w:rsidRPr="00B52DB7" w:rsidRDefault="00291DE5" w:rsidP="00291DE5">
      <w:pPr>
        <w:spacing w:before="100" w:beforeAutospacing="1" w:after="100" w:afterAutospacing="1"/>
        <w:ind w:left="1094" w:right="720" w:hanging="374"/>
        <w:contextualSpacing/>
        <w:jc w:val="both"/>
      </w:pPr>
      <w:r w:rsidRPr="00B52DB7">
        <w:t xml:space="preserve">     (i)   The Commonwealth. </w:t>
      </w:r>
    </w:p>
    <w:p w:rsidR="00291DE5" w:rsidRPr="00B52DB7" w:rsidRDefault="00291DE5" w:rsidP="00291DE5">
      <w:pPr>
        <w:spacing w:before="100" w:beforeAutospacing="1" w:after="100" w:afterAutospacing="1"/>
        <w:ind w:left="1094" w:right="720" w:hanging="374"/>
        <w:contextualSpacing/>
        <w:jc w:val="both"/>
      </w:pPr>
      <w:r w:rsidRPr="00B52DB7">
        <w:t xml:space="preserve">     (ii)  EDCs for the reimbursement of Gross Receipts Tax. </w:t>
      </w:r>
    </w:p>
    <w:p w:rsidR="00291DE5" w:rsidRDefault="00291DE5" w:rsidP="00291DE5">
      <w:pPr>
        <w:spacing w:before="100" w:beforeAutospacing="1" w:after="100" w:afterAutospacing="1"/>
        <w:ind w:left="1094" w:right="720" w:hanging="374"/>
        <w:contextualSpacing/>
        <w:jc w:val="both"/>
      </w:pPr>
      <w:r w:rsidRPr="00B52DB7">
        <w:t> (c)  Private individuals.</w:t>
      </w:r>
      <w:r w:rsidRPr="008D74F0">
        <w:rPr>
          <w:rStyle w:val="FootnoteReference"/>
        </w:rPr>
        <w:footnoteReference w:id="1"/>
      </w:r>
      <w:r w:rsidRPr="00B52DB7">
        <w:t xml:space="preserve"> </w:t>
      </w:r>
    </w:p>
    <w:p w:rsidR="00291DE5" w:rsidRPr="00392075" w:rsidRDefault="00291DE5" w:rsidP="00291DE5">
      <w:pPr>
        <w:spacing w:before="100" w:beforeAutospacing="1" w:after="100" w:afterAutospacing="1"/>
        <w:ind w:left="1094" w:right="720" w:hanging="374"/>
        <w:contextualSpacing/>
        <w:jc w:val="both"/>
      </w:pPr>
    </w:p>
    <w:p w:rsidR="00291DE5" w:rsidRPr="00392075" w:rsidRDefault="00291DE5" w:rsidP="00291DE5">
      <w:pPr>
        <w:spacing w:before="100" w:beforeAutospacing="1" w:after="100" w:afterAutospacing="1" w:line="480" w:lineRule="auto"/>
        <w:contextualSpacing/>
        <w:jc w:val="both"/>
      </w:pPr>
      <w:r w:rsidRPr="00392075">
        <w:t>52 Pa. Code §§ 54.40(b), (e), (f)(1)-(3).</w:t>
      </w:r>
      <w:bookmarkEnd w:id="3"/>
      <w:r w:rsidRPr="00392075">
        <w:t xml:space="preserve">  </w:t>
      </w:r>
    </w:p>
    <w:p w:rsidR="001E50B8" w:rsidRDefault="001E50B8" w:rsidP="00D804E5">
      <w:pPr>
        <w:spacing w:line="360" w:lineRule="auto"/>
        <w:ind w:firstLine="720"/>
      </w:pPr>
    </w:p>
    <w:p w:rsidR="00291DE5" w:rsidRPr="00F80DAF" w:rsidRDefault="005A4BCC" w:rsidP="00D804E5">
      <w:pPr>
        <w:spacing w:line="360" w:lineRule="auto"/>
        <w:ind w:firstLine="720"/>
      </w:pPr>
      <w:r>
        <w:tab/>
      </w:r>
      <w:r w:rsidR="001E50B8">
        <w:t>On or about May 12, 2015</w:t>
      </w:r>
      <w:r w:rsidR="007A136A">
        <w:t xml:space="preserve">, </w:t>
      </w:r>
      <w:r w:rsidR="00291DE5">
        <w:t>Blue Pilot indicated that it does not have adequate financial resources to continue litigating this proceeding,</w:t>
      </w:r>
      <w:r w:rsidR="00291DE5" w:rsidRPr="00BF090B">
        <w:t xml:space="preserve"> which </w:t>
      </w:r>
      <w:r w:rsidR="00291DE5">
        <w:t>suggests that Blue Pilot may not have adequate financial resources to provide the</w:t>
      </w:r>
      <w:r w:rsidR="00291DE5" w:rsidRPr="00BF090B">
        <w:t xml:space="preserve"> relief requested by Joint Complainants.</w:t>
      </w:r>
      <w:r w:rsidR="00291DE5">
        <w:t xml:space="preserve">  </w:t>
      </w:r>
      <w:r w:rsidR="00F80DAF">
        <w:t xml:space="preserve">We take judicial notice of the Commission’s recent Tentative Order, </w:t>
      </w:r>
      <w:r w:rsidR="00F80DAF" w:rsidRPr="006941DC">
        <w:rPr>
          <w:u w:val="single"/>
        </w:rPr>
        <w:t>In re: Electric Generation Supplier License Cancellations of Companies with an Expired Financial Security,</w:t>
      </w:r>
      <w:r w:rsidR="00F80DAF">
        <w:t xml:space="preserve"> Docket No. M-2015-2490383,</w:t>
      </w:r>
      <w:r>
        <w:t xml:space="preserve"> Tentative Order entered December 17, 2015, </w:t>
      </w:r>
      <w:r w:rsidR="00F80DAF">
        <w:t xml:space="preserve">wherein the Commission is tentatively cancelling Blue Pilot’s EGS license unless an adverse comment or the approved security is filed at the Commission within 30 days </w:t>
      </w:r>
      <w:r w:rsidR="00F80DAF">
        <w:lastRenderedPageBreak/>
        <w:t xml:space="preserve">(by February 1, 2016).  This Notice was published in the </w:t>
      </w:r>
      <w:r w:rsidR="00F80DAF" w:rsidRPr="006941DC">
        <w:rPr>
          <w:rFonts w:ascii="Cambria" w:hAnsi="Cambria"/>
          <w:u w:val="single"/>
        </w:rPr>
        <w:t>Pennsylvania Bulletin</w:t>
      </w:r>
      <w:r w:rsidR="00F80DAF">
        <w:rPr>
          <w:rFonts w:ascii="Cambria" w:hAnsi="Cambria"/>
          <w:i/>
        </w:rPr>
        <w:t xml:space="preserve"> </w:t>
      </w:r>
      <w:r w:rsidR="00F80DAF">
        <w:rPr>
          <w:rFonts w:ascii="Cambria" w:hAnsi="Cambria"/>
        </w:rPr>
        <w:t xml:space="preserve">on January 2, 2016. 46 </w:t>
      </w:r>
      <w:r w:rsidR="00F80DAF" w:rsidRPr="006941DC">
        <w:rPr>
          <w:rFonts w:ascii="Cambria" w:hAnsi="Cambria"/>
          <w:u w:val="single"/>
        </w:rPr>
        <w:t xml:space="preserve">Pa.B. </w:t>
      </w:r>
      <w:r w:rsidR="00F80DAF">
        <w:rPr>
          <w:rFonts w:ascii="Cambria" w:hAnsi="Cambria"/>
        </w:rPr>
        <w:t>112.</w:t>
      </w:r>
    </w:p>
    <w:p w:rsidR="00F80DAF" w:rsidRDefault="00F80DAF" w:rsidP="00D804E5">
      <w:pPr>
        <w:spacing w:line="360" w:lineRule="auto"/>
        <w:ind w:firstLine="720"/>
      </w:pPr>
    </w:p>
    <w:p w:rsidR="00291DE5" w:rsidRDefault="005A4BCC" w:rsidP="00D804E5">
      <w:pPr>
        <w:spacing w:line="360" w:lineRule="auto"/>
        <w:ind w:firstLine="720"/>
      </w:pPr>
      <w:r>
        <w:tab/>
      </w:r>
      <w:r w:rsidR="00291DE5" w:rsidRPr="001339B9">
        <w:t xml:space="preserve">Blue Pilot’s bond or other security may be a source available to provide the relief requested by Joint Complainants.  </w:t>
      </w:r>
      <w:r w:rsidR="007A136A">
        <w:t xml:space="preserve">Joint Complainants </w:t>
      </w:r>
      <w:r>
        <w:t xml:space="preserve">are concerned </w:t>
      </w:r>
      <w:r w:rsidR="007A136A">
        <w:t>that t</w:t>
      </w:r>
      <w:r w:rsidR="00291DE5">
        <w:t xml:space="preserve">he August 27, 2015 certified letter and the Commission’s Tentative Order cancelling Blue Pilot’s EGS license, </w:t>
      </w:r>
      <w:r>
        <w:t xml:space="preserve">indicate </w:t>
      </w:r>
      <w:r w:rsidR="00291DE5">
        <w:t xml:space="preserve">Blue Pilot’s bond or other security </w:t>
      </w:r>
      <w:r>
        <w:t xml:space="preserve">is insufficient </w:t>
      </w:r>
      <w:r w:rsidR="00291DE5">
        <w:t>to satisfy judgments.</w:t>
      </w:r>
      <w:r w:rsidR="00291DE5" w:rsidRPr="00B52DB7">
        <w:t xml:space="preserve"> </w:t>
      </w:r>
      <w:r w:rsidR="00291DE5">
        <w:t xml:space="preserve">  </w:t>
      </w:r>
      <w:r>
        <w:t>We agree with</w:t>
      </w:r>
      <w:r w:rsidR="00291DE5">
        <w:t xml:space="preserve"> Joint Complainants </w:t>
      </w:r>
      <w:r>
        <w:t>that such i</w:t>
      </w:r>
      <w:r w:rsidR="00291DE5">
        <w:t>nformation regarding Blue Pilot’s bond is relevant to Joint Complainants’ request for relief in this proceeding and will likely lead to admissible evidence regarding the extent of Blue Pilot’s ability to make refunds to customers should Joint Complainants prevail in this matter.</w:t>
      </w:r>
    </w:p>
    <w:p w:rsidR="005A4BCC" w:rsidRDefault="005A4BCC" w:rsidP="00D804E5">
      <w:pPr>
        <w:spacing w:line="360" w:lineRule="auto"/>
        <w:ind w:firstLine="720"/>
      </w:pPr>
    </w:p>
    <w:p w:rsidR="006941DC" w:rsidRDefault="005A4BCC" w:rsidP="00D804E5">
      <w:pPr>
        <w:spacing w:line="360" w:lineRule="auto"/>
        <w:ind w:firstLine="720"/>
      </w:pPr>
      <w:r>
        <w:tab/>
      </w:r>
      <w:r w:rsidR="00291DE5">
        <w:t xml:space="preserve">Additionally, Joint Complainants have requested a civil penalty in this proceeding.  The information sought in Joint Complainants’ Set XIII is also relevant in determining an appropriate civil penalty amount should Joint Complainants prevail in this proceeding.  </w:t>
      </w:r>
      <w:r w:rsidR="006941DC">
        <w:t xml:space="preserve">A </w:t>
      </w:r>
      <w:r w:rsidR="00291DE5">
        <w:t xml:space="preserve">higher civil penalty may be warranted in certain circumstances where an EGS allowed its bond or other approved security to lapse.  </w:t>
      </w:r>
      <w:r w:rsidR="00291DE5">
        <w:rPr>
          <w:u w:val="single"/>
        </w:rPr>
        <w:t>I</w:t>
      </w:r>
      <w:r w:rsidR="006941DC">
        <w:rPr>
          <w:u w:val="single"/>
        </w:rPr>
        <w:t>d.</w:t>
      </w:r>
      <w:r w:rsidR="00291DE5" w:rsidRPr="00BF090B">
        <w:t xml:space="preserve"> </w:t>
      </w:r>
    </w:p>
    <w:p w:rsidR="00DB0740" w:rsidRDefault="00DB0740" w:rsidP="00D804E5">
      <w:pPr>
        <w:spacing w:line="360" w:lineRule="auto"/>
        <w:ind w:firstLine="720"/>
      </w:pPr>
    </w:p>
    <w:p w:rsidR="00DB0740" w:rsidRDefault="00DB0740" w:rsidP="00D804E5">
      <w:pPr>
        <w:spacing w:line="360" w:lineRule="auto"/>
        <w:ind w:firstLine="720"/>
      </w:pPr>
      <w:r>
        <w:t>Blue Pilot’s argument that it is too late in the procedural schedule to compel discovery of such information is without merit as the Commission only recently issued its Tentative Order concerning Blue Pilot’s security.</w:t>
      </w:r>
    </w:p>
    <w:p w:rsidR="006941DC" w:rsidRDefault="006941DC" w:rsidP="00D804E5">
      <w:pPr>
        <w:pStyle w:val="FootnoteText"/>
        <w:spacing w:line="360" w:lineRule="auto"/>
        <w:rPr>
          <w:b/>
          <w:bCs/>
        </w:rPr>
      </w:pPr>
    </w:p>
    <w:p w:rsidR="00A97A74" w:rsidRDefault="00291DE5" w:rsidP="00D804E5">
      <w:pPr>
        <w:spacing w:line="360" w:lineRule="auto"/>
      </w:pPr>
      <w:r w:rsidRPr="005A4AA5">
        <w:rPr>
          <w:b/>
          <w:bCs/>
        </w:rPr>
        <w:tab/>
      </w:r>
      <w:r w:rsidR="00A97A74">
        <w:rPr>
          <w:b/>
          <w:bCs/>
        </w:rPr>
        <w:tab/>
      </w:r>
      <w:r w:rsidR="00A97A74">
        <w:rPr>
          <w:bCs/>
          <w:color w:val="000000"/>
        </w:rPr>
        <w:t xml:space="preserve">Therefore, for the foregoing reasons, we find the information sought in Joint Complainants’ Set XIII is reasonably calculated to lead to admissible evidence.  Accordingly, Joint Complainants’ Motion to Compel shall be granted, and given our offices are closed on January 18, 2016, Blue Pilot shall be directed to provide full and complete answers to Set XIII within five (5) days of the date of entry of this Order.  </w:t>
      </w:r>
      <w:r w:rsidR="00A97A74" w:rsidRPr="001334DD">
        <w:t>The Company may label the re</w:t>
      </w:r>
      <w:r w:rsidR="00A97A74">
        <w:t>sponse</w:t>
      </w:r>
      <w:r w:rsidR="00A97A74" w:rsidRPr="001334DD">
        <w:t xml:space="preserve"> “Confidential,” if appropriate, and if appropriately labeled, it will be kept confidential pur</w:t>
      </w:r>
      <w:r w:rsidR="00D804E5">
        <w:t>suant to the Protective Order.</w:t>
      </w:r>
    </w:p>
    <w:p w:rsidR="00D804E5" w:rsidRDefault="00D804E5" w:rsidP="00D804E5">
      <w:pPr>
        <w:adjustRightInd w:val="0"/>
        <w:spacing w:line="360" w:lineRule="auto"/>
        <w:ind w:firstLine="1440"/>
      </w:pPr>
      <w:r>
        <w:br w:type="page"/>
      </w:r>
    </w:p>
    <w:p w:rsidR="00A97A74" w:rsidRPr="003E1587" w:rsidRDefault="00A97A74" w:rsidP="00D804E5">
      <w:pPr>
        <w:adjustRightInd w:val="0"/>
        <w:spacing w:line="360" w:lineRule="auto"/>
        <w:ind w:firstLine="1440"/>
      </w:pPr>
    </w:p>
    <w:p w:rsidR="009B4D96" w:rsidRPr="00043E01" w:rsidRDefault="009B4D96" w:rsidP="009B4D96">
      <w:pPr>
        <w:spacing w:line="360" w:lineRule="auto"/>
        <w:jc w:val="center"/>
      </w:pPr>
      <w:r w:rsidRPr="00043E01">
        <w:rPr>
          <w:u w:val="single"/>
        </w:rPr>
        <w:t>ORDER</w:t>
      </w:r>
    </w:p>
    <w:p w:rsidR="009B4D96" w:rsidRDefault="009B4D96" w:rsidP="009B4D96">
      <w:pPr>
        <w:spacing w:line="360" w:lineRule="auto"/>
      </w:pPr>
    </w:p>
    <w:p w:rsidR="00D804E5" w:rsidRPr="00043E01" w:rsidRDefault="00D804E5" w:rsidP="009B4D96">
      <w:pPr>
        <w:spacing w:line="360" w:lineRule="auto"/>
      </w:pPr>
    </w:p>
    <w:p w:rsidR="009B4D96" w:rsidRPr="00043E01" w:rsidRDefault="009B4D96" w:rsidP="009B4D96">
      <w:pPr>
        <w:spacing w:line="360" w:lineRule="auto"/>
        <w:ind w:firstLine="1440"/>
        <w:rPr>
          <w:bCs/>
        </w:rPr>
      </w:pPr>
      <w:r w:rsidRPr="00043E01">
        <w:rPr>
          <w:bCs/>
        </w:rPr>
        <w:t>THEREFORE,</w:t>
      </w:r>
    </w:p>
    <w:p w:rsidR="009B4D96" w:rsidRPr="00043E01" w:rsidRDefault="009B4D96" w:rsidP="009B4D96">
      <w:pPr>
        <w:spacing w:line="360" w:lineRule="auto"/>
        <w:ind w:firstLine="1440"/>
      </w:pPr>
    </w:p>
    <w:p w:rsidR="009B4D96" w:rsidRPr="00043E01" w:rsidRDefault="009B4D96" w:rsidP="009B4D96">
      <w:pPr>
        <w:spacing w:line="360" w:lineRule="auto"/>
        <w:ind w:firstLine="1440"/>
        <w:rPr>
          <w:bCs/>
        </w:rPr>
      </w:pPr>
      <w:r w:rsidRPr="00043E01">
        <w:rPr>
          <w:bCs/>
        </w:rPr>
        <w:t>IT IS ORDERED:</w:t>
      </w:r>
    </w:p>
    <w:p w:rsidR="009B4D96" w:rsidRPr="00237FC6" w:rsidRDefault="009B4D96" w:rsidP="00D804E5">
      <w:pPr>
        <w:spacing w:line="360" w:lineRule="auto"/>
        <w:ind w:firstLine="1440"/>
        <w:rPr>
          <w:bCs/>
        </w:rPr>
      </w:pPr>
    </w:p>
    <w:p w:rsidR="00237FC6" w:rsidRPr="00237FC6" w:rsidRDefault="009B4D96" w:rsidP="00D804E5">
      <w:pPr>
        <w:numPr>
          <w:ilvl w:val="0"/>
          <w:numId w:val="11"/>
        </w:numPr>
        <w:spacing w:line="360" w:lineRule="auto"/>
        <w:ind w:left="0" w:firstLine="1440"/>
      </w:pPr>
      <w:r w:rsidRPr="00237FC6">
        <w:t>Tha</w:t>
      </w:r>
      <w:r w:rsidR="00237FC6" w:rsidRPr="00237FC6">
        <w:t xml:space="preserve">t the Joint Motion of Complainants Commonwealth of Pennsylvania and the Office of Consumer Advocate to Compel Responses to Set </w:t>
      </w:r>
      <w:r w:rsidR="004C3E20">
        <w:t>X</w:t>
      </w:r>
      <w:r w:rsidR="006B2BBD">
        <w:t>I</w:t>
      </w:r>
      <w:r w:rsidR="00DB0740">
        <w:t>II</w:t>
      </w:r>
      <w:r w:rsidR="00880A21">
        <w:t xml:space="preserve"> </w:t>
      </w:r>
      <w:r w:rsidR="00237FC6" w:rsidRPr="00237FC6">
        <w:t>is hereby granted.</w:t>
      </w:r>
    </w:p>
    <w:p w:rsidR="00237FC6" w:rsidRPr="00237FC6" w:rsidRDefault="00237FC6" w:rsidP="00D804E5">
      <w:pPr>
        <w:spacing w:line="360" w:lineRule="auto"/>
      </w:pPr>
    </w:p>
    <w:p w:rsidR="00237FC6" w:rsidRDefault="00237FC6" w:rsidP="00D804E5">
      <w:pPr>
        <w:numPr>
          <w:ilvl w:val="0"/>
          <w:numId w:val="11"/>
        </w:numPr>
        <w:spacing w:line="360" w:lineRule="auto"/>
        <w:ind w:left="0" w:firstLine="1440"/>
      </w:pPr>
      <w:r w:rsidRPr="00237FC6">
        <w:t xml:space="preserve">That </w:t>
      </w:r>
      <w:r w:rsidR="004C3E20">
        <w:t>Blue Pilot Energy LLC is directed to respond fully to Set X</w:t>
      </w:r>
      <w:r w:rsidR="006B2BBD">
        <w:t>I</w:t>
      </w:r>
      <w:r w:rsidR="00DB0740">
        <w:t>I</w:t>
      </w:r>
      <w:r w:rsidR="00541C77">
        <w:t>I</w:t>
      </w:r>
      <w:r w:rsidR="004C3E20">
        <w:t xml:space="preserve"> within </w:t>
      </w:r>
      <w:r w:rsidR="00DB0740">
        <w:t>five</w:t>
      </w:r>
      <w:r w:rsidR="004C3E20">
        <w:t xml:space="preserve"> (</w:t>
      </w:r>
      <w:r w:rsidR="00DB0740">
        <w:t>5</w:t>
      </w:r>
      <w:r w:rsidR="004C3E20">
        <w:t>) days of the date of entry of this Order.</w:t>
      </w:r>
    </w:p>
    <w:p w:rsidR="00237FC6" w:rsidRDefault="00237FC6" w:rsidP="00D804E5">
      <w:pPr>
        <w:pStyle w:val="ListParagraph"/>
        <w:spacing w:line="360" w:lineRule="auto"/>
        <w:ind w:left="0"/>
      </w:pPr>
    </w:p>
    <w:p w:rsidR="00F46299" w:rsidRDefault="00F46299" w:rsidP="00D804E5">
      <w:pPr>
        <w:pStyle w:val="ListParagraph"/>
        <w:spacing w:line="360" w:lineRule="auto"/>
        <w:ind w:left="0"/>
      </w:pPr>
    </w:p>
    <w:p w:rsidR="00237FC6" w:rsidRPr="00237FC6" w:rsidRDefault="00237FC6" w:rsidP="00D804E5">
      <w:pPr>
        <w:numPr>
          <w:ilvl w:val="0"/>
          <w:numId w:val="11"/>
        </w:numPr>
        <w:spacing w:line="360" w:lineRule="auto"/>
        <w:ind w:left="0" w:firstLine="1440"/>
      </w:pPr>
      <w:r>
        <w:t>That the objection</w:t>
      </w:r>
      <w:r w:rsidR="00880A21">
        <w:t>s</w:t>
      </w:r>
      <w:r>
        <w:t xml:space="preserve"> of Blue Pilot Energy, LLC to interrogatories </w:t>
      </w:r>
      <w:r w:rsidR="004C3E20">
        <w:t>X</w:t>
      </w:r>
      <w:r w:rsidR="006B2BBD">
        <w:t>I</w:t>
      </w:r>
      <w:r w:rsidR="00541C77">
        <w:t>I</w:t>
      </w:r>
      <w:r w:rsidR="00DB0740">
        <w:t>I</w:t>
      </w:r>
      <w:r>
        <w:t xml:space="preserve"> a</w:t>
      </w:r>
      <w:r w:rsidR="00880A21">
        <w:t xml:space="preserve">re overruled.  </w:t>
      </w:r>
    </w:p>
    <w:p w:rsidR="009B4D96" w:rsidRDefault="009B4D96" w:rsidP="00D804E5">
      <w:pPr>
        <w:spacing w:line="360" w:lineRule="auto"/>
      </w:pPr>
    </w:p>
    <w:p w:rsidR="007A6849" w:rsidRDefault="007A6849" w:rsidP="00D804E5">
      <w:pPr>
        <w:spacing w:line="360" w:lineRule="auto"/>
      </w:pPr>
    </w:p>
    <w:p w:rsidR="009B4D96" w:rsidRPr="009B4D96" w:rsidRDefault="009B4D96" w:rsidP="009B4D96">
      <w:pPr>
        <w:rPr>
          <w:u w:val="single"/>
        </w:rPr>
      </w:pPr>
      <w:r w:rsidRPr="009B4D96">
        <w:t xml:space="preserve">Date: </w:t>
      </w:r>
      <w:r w:rsidR="00DB0740">
        <w:rPr>
          <w:u w:val="single"/>
        </w:rPr>
        <w:t>January 14, 2016</w:t>
      </w:r>
      <w:r w:rsidRPr="009B4D96">
        <w:tab/>
      </w:r>
      <w:r w:rsidR="00C35B1F">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D804E5">
      <w:pPr>
        <w:spacing w:line="360" w:lineRule="auto"/>
        <w:rPr>
          <w:u w:val="single"/>
        </w:rPr>
      </w:pPr>
    </w:p>
    <w:p w:rsidR="009B4D96" w:rsidRPr="009B4D96" w:rsidRDefault="009B4D96" w:rsidP="00D804E5">
      <w:pPr>
        <w:spacing w:line="360" w:lineRule="auto"/>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Cheskis </w:t>
      </w:r>
    </w:p>
    <w:p w:rsidR="0042240C" w:rsidRDefault="009B4D96" w:rsidP="00D36C9A">
      <w:pPr>
        <w:sectPr w:rsidR="0042240C" w:rsidSect="00713D64">
          <w:footerReference w:type="default" r:id="rId9"/>
          <w:pgSz w:w="12240" w:h="15840"/>
          <w:pgMar w:top="1440" w:right="1800" w:bottom="1440" w:left="1800" w:header="720" w:footer="720" w:gutter="0"/>
          <w:cols w:space="720"/>
          <w:titlePg/>
        </w:sectPr>
      </w:pPr>
      <w:r w:rsidRPr="009B4D96">
        <w:tab/>
      </w:r>
      <w:r w:rsidRPr="009B4D96">
        <w:tab/>
      </w:r>
      <w:r w:rsidRPr="009B4D96">
        <w:tab/>
      </w:r>
      <w:r w:rsidRPr="009B4D96">
        <w:tab/>
      </w:r>
      <w:r w:rsidRPr="009B4D96">
        <w:tab/>
        <w:t>Administrative Law Judge</w:t>
      </w:r>
    </w:p>
    <w:p w:rsidR="0042240C" w:rsidRPr="00666424" w:rsidRDefault="0042240C" w:rsidP="0042240C">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42240C" w:rsidRPr="00666424" w:rsidRDefault="0042240C" w:rsidP="0042240C">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42240C" w:rsidRDefault="0042240C" w:rsidP="0042240C">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42240C" w:rsidRPr="00666424" w:rsidRDefault="0042240C" w:rsidP="0042240C">
      <w:pPr>
        <w:rPr>
          <w:rFonts w:ascii="Microsoft Sans Serif" w:hAnsi="Microsoft Sans Serif" w:cs="Microsoft Sans Serif"/>
          <w:b/>
          <w:i/>
          <w:u w:val="single"/>
        </w:rPr>
      </w:pP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bookmarkStart w:id="4" w:name="_GoBack"/>
      <w:bookmarkEnd w:id="4"/>
    </w:p>
    <w:p w:rsidR="0042240C" w:rsidRDefault="0042240C" w:rsidP="0042240C">
      <w:pPr>
        <w:rPr>
          <w:rFonts w:ascii="Microsoft Sans Serif" w:hAnsi="Microsoft Sans Serif" w:cs="Microsoft Sans Serif"/>
        </w:rPr>
      </w:pPr>
      <w:r w:rsidRPr="00666424">
        <w:rPr>
          <w:rFonts w:ascii="Microsoft Sans Serif" w:hAnsi="Microsoft Sans Serif" w:cs="Microsoft Sans Serif"/>
        </w:rPr>
        <w:t>STEPHANIE WIMER ESQUIRE</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PA PUC LAW BUREAU</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PO BOX 3265</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HARRISBURG PA  17105-3265</w:t>
      </w:r>
    </w:p>
    <w:p w:rsidR="0042240C" w:rsidRPr="00666424" w:rsidRDefault="0042240C" w:rsidP="0042240C">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42240C" w:rsidRDefault="0042240C" w:rsidP="0042240C">
      <w:pPr>
        <w:rPr>
          <w:rFonts w:ascii="Microsoft Sans Serif" w:hAnsi="Microsoft Sans Serif" w:cs="Microsoft Sans Serif"/>
        </w:rPr>
      </w:pPr>
    </w:p>
    <w:p w:rsidR="0042240C" w:rsidRPr="00666424" w:rsidRDefault="0042240C" w:rsidP="0042240C">
      <w:pPr>
        <w:rPr>
          <w:rFonts w:ascii="Microsoft Sans Serif" w:hAnsi="Microsoft Sans Serif" w:cs="Microsoft Sans Serif"/>
        </w:rPr>
      </w:pPr>
      <w:r>
        <w:rPr>
          <w:rFonts w:ascii="Microsoft Sans Serif" w:hAnsi="Microsoft Sans Serif" w:cs="Microsoft Sans Serif"/>
        </w:rPr>
        <w:t>MICHAEL L SWINDLER</w:t>
      </w:r>
    </w:p>
    <w:p w:rsidR="0042240C" w:rsidRPr="00666424" w:rsidRDefault="0042240C" w:rsidP="0042240C">
      <w:pPr>
        <w:rPr>
          <w:rFonts w:ascii="Microsoft Sans Serif" w:hAnsi="Microsoft Sans Serif" w:cs="Microsoft Sans Serif"/>
        </w:rPr>
      </w:pPr>
      <w:r>
        <w:rPr>
          <w:rFonts w:ascii="Microsoft Sans Serif" w:hAnsi="Microsoft Sans Serif" w:cs="Microsoft Sans Serif"/>
        </w:rPr>
        <w:t>PA PUC LAW BIE</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PO BOX 3265</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HARRISBURG PA  17105-3265</w:t>
      </w:r>
    </w:p>
    <w:p w:rsidR="0042240C" w:rsidRDefault="0042240C" w:rsidP="0042240C">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42240C" w:rsidRPr="00666424" w:rsidRDefault="0042240C" w:rsidP="0042240C">
      <w:pPr>
        <w:rPr>
          <w:rFonts w:ascii="Microsoft Sans Serif" w:hAnsi="Microsoft Sans Serif" w:cs="Microsoft Sans Serif"/>
        </w:rPr>
      </w:pP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KAREN MOURY ESQUIRE</w:t>
      </w:r>
    </w:p>
    <w:p w:rsidR="0042240C" w:rsidRPr="00666424" w:rsidRDefault="0042240C" w:rsidP="0042240C">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42240C" w:rsidRPr="00666424" w:rsidRDefault="0042240C" w:rsidP="0042240C">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42240C" w:rsidRPr="00666424" w:rsidRDefault="0042240C" w:rsidP="0042240C">
      <w:pPr>
        <w:jc w:val="both"/>
        <w:rPr>
          <w:rFonts w:ascii="Microsoft Sans Serif" w:hAnsi="Microsoft Sans Serif" w:cs="Microsoft Sans Serif"/>
        </w:rPr>
      </w:pPr>
    </w:p>
    <w:p w:rsidR="0042240C" w:rsidRPr="00666424" w:rsidRDefault="0042240C" w:rsidP="0042240C"/>
    <w:p w:rsidR="00444E27" w:rsidRPr="00550B34" w:rsidRDefault="00444E27" w:rsidP="00D36C9A"/>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72" w:rsidRDefault="00423672">
      <w:r>
        <w:separator/>
      </w:r>
    </w:p>
  </w:endnote>
  <w:endnote w:type="continuationSeparator" w:id="0">
    <w:p w:rsidR="00423672" w:rsidRDefault="004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D804E5" w:rsidRDefault="00B806F4">
    <w:pPr>
      <w:pStyle w:val="Footer"/>
      <w:framePr w:wrap="auto" w:vAnchor="text" w:hAnchor="margin" w:xAlign="center" w:y="1"/>
      <w:rPr>
        <w:rStyle w:val="PageNumber"/>
        <w:sz w:val="20"/>
        <w:szCs w:val="20"/>
      </w:rPr>
    </w:pPr>
    <w:r w:rsidRPr="00D804E5">
      <w:rPr>
        <w:rStyle w:val="PageNumber"/>
        <w:sz w:val="20"/>
        <w:szCs w:val="20"/>
      </w:rPr>
      <w:fldChar w:fldCharType="begin"/>
    </w:r>
    <w:r w:rsidR="006D33B5" w:rsidRPr="00D804E5">
      <w:rPr>
        <w:rStyle w:val="PageNumber"/>
        <w:sz w:val="20"/>
        <w:szCs w:val="20"/>
      </w:rPr>
      <w:instrText xml:space="preserve">PAGE  </w:instrText>
    </w:r>
    <w:r w:rsidRPr="00D804E5">
      <w:rPr>
        <w:rStyle w:val="PageNumber"/>
        <w:sz w:val="20"/>
        <w:szCs w:val="20"/>
      </w:rPr>
      <w:fldChar w:fldCharType="separate"/>
    </w:r>
    <w:r w:rsidR="0042240C">
      <w:rPr>
        <w:rStyle w:val="PageNumber"/>
        <w:noProof/>
        <w:sz w:val="20"/>
        <w:szCs w:val="20"/>
      </w:rPr>
      <w:t>7</w:t>
    </w:r>
    <w:r w:rsidRPr="00D804E5">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40C" w:rsidRPr="003C02CC" w:rsidRDefault="0042240C">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72" w:rsidRDefault="00423672">
      <w:r>
        <w:separator/>
      </w:r>
    </w:p>
  </w:footnote>
  <w:footnote w:type="continuationSeparator" w:id="0">
    <w:p w:rsidR="00423672" w:rsidRDefault="00423672">
      <w:r>
        <w:continuationSeparator/>
      </w:r>
    </w:p>
  </w:footnote>
  <w:footnote w:id="1">
    <w:p w:rsidR="00291DE5" w:rsidRDefault="00291DE5" w:rsidP="00291DE5">
      <w:pPr>
        <w:pStyle w:val="FootnoteText"/>
      </w:pPr>
      <w:r>
        <w:rPr>
          <w:rStyle w:val="FootnoteReference"/>
        </w:rPr>
        <w:footnoteRef/>
      </w:r>
      <w:r>
        <w:t xml:space="preserve"> </w:t>
      </w:r>
      <w:r>
        <w:tab/>
      </w:r>
      <w:r w:rsidR="005A4BCC">
        <w:t xml:space="preserve">We note that </w:t>
      </w:r>
      <w:r>
        <w:t>Section 54.40(f)(3)(c) should really be 54.40(f)(3)(iii).</w:t>
      </w:r>
      <w:r w:rsidR="005A4BCC">
        <w:t xml:space="preserve">  This is a typographical error in the Pennsylvania Code.</w:t>
      </w:r>
      <w:r>
        <w:tab/>
      </w:r>
    </w:p>
    <w:p w:rsidR="00291DE5" w:rsidRPr="009C33ED" w:rsidRDefault="00291DE5" w:rsidP="00291DE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6"/>
  </w:num>
  <w:num w:numId="7">
    <w:abstractNumId w:val="3"/>
  </w:num>
  <w:num w:numId="8">
    <w:abstractNumId w:val="16"/>
  </w:num>
  <w:num w:numId="9">
    <w:abstractNumId w:val="11"/>
  </w:num>
  <w:num w:numId="10">
    <w:abstractNumId w:val="25"/>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A1610"/>
    <w:rsid w:val="000A5F94"/>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4865"/>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50B8"/>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329B"/>
    <w:rsid w:val="00266583"/>
    <w:rsid w:val="00266DCB"/>
    <w:rsid w:val="002677F6"/>
    <w:rsid w:val="0027269F"/>
    <w:rsid w:val="00276158"/>
    <w:rsid w:val="002825EF"/>
    <w:rsid w:val="002860B7"/>
    <w:rsid w:val="002872AD"/>
    <w:rsid w:val="00291447"/>
    <w:rsid w:val="00291D9A"/>
    <w:rsid w:val="00291DE5"/>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C77E0"/>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117A"/>
    <w:rsid w:val="00421C2E"/>
    <w:rsid w:val="0042240C"/>
    <w:rsid w:val="00423069"/>
    <w:rsid w:val="00423672"/>
    <w:rsid w:val="00427BB1"/>
    <w:rsid w:val="00432433"/>
    <w:rsid w:val="004327EC"/>
    <w:rsid w:val="0044078D"/>
    <w:rsid w:val="004417F1"/>
    <w:rsid w:val="00444026"/>
    <w:rsid w:val="004441EB"/>
    <w:rsid w:val="00444E27"/>
    <w:rsid w:val="00446A41"/>
    <w:rsid w:val="00446AEA"/>
    <w:rsid w:val="004509B5"/>
    <w:rsid w:val="00451819"/>
    <w:rsid w:val="00451DD1"/>
    <w:rsid w:val="0045250C"/>
    <w:rsid w:val="0045670E"/>
    <w:rsid w:val="0046363A"/>
    <w:rsid w:val="004677A9"/>
    <w:rsid w:val="0046782D"/>
    <w:rsid w:val="00470DC7"/>
    <w:rsid w:val="00472FD4"/>
    <w:rsid w:val="00473218"/>
    <w:rsid w:val="00476814"/>
    <w:rsid w:val="0048022D"/>
    <w:rsid w:val="00484CA9"/>
    <w:rsid w:val="00485942"/>
    <w:rsid w:val="00486243"/>
    <w:rsid w:val="00487C67"/>
    <w:rsid w:val="0049010E"/>
    <w:rsid w:val="004907E0"/>
    <w:rsid w:val="00491200"/>
    <w:rsid w:val="0049341F"/>
    <w:rsid w:val="004A4290"/>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73E3"/>
    <w:rsid w:val="0052063B"/>
    <w:rsid w:val="00520B61"/>
    <w:rsid w:val="00522D71"/>
    <w:rsid w:val="00526B7E"/>
    <w:rsid w:val="0053143A"/>
    <w:rsid w:val="00531C6A"/>
    <w:rsid w:val="0053303C"/>
    <w:rsid w:val="0053542E"/>
    <w:rsid w:val="00535728"/>
    <w:rsid w:val="00535B47"/>
    <w:rsid w:val="00541C7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4BCC"/>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2970"/>
    <w:rsid w:val="006031D8"/>
    <w:rsid w:val="00603F35"/>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1DC"/>
    <w:rsid w:val="00694651"/>
    <w:rsid w:val="0069608E"/>
    <w:rsid w:val="0069608F"/>
    <w:rsid w:val="006973F4"/>
    <w:rsid w:val="006A1256"/>
    <w:rsid w:val="006A2304"/>
    <w:rsid w:val="006A5824"/>
    <w:rsid w:val="006A7A0E"/>
    <w:rsid w:val="006B0982"/>
    <w:rsid w:val="006B2BBD"/>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3D1C"/>
    <w:rsid w:val="007945B3"/>
    <w:rsid w:val="007A136A"/>
    <w:rsid w:val="007A4FFB"/>
    <w:rsid w:val="007A5F66"/>
    <w:rsid w:val="007A6849"/>
    <w:rsid w:val="007B0C9E"/>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4A1D"/>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95FFA"/>
    <w:rsid w:val="00A97A74"/>
    <w:rsid w:val="00AA0117"/>
    <w:rsid w:val="00AA23BA"/>
    <w:rsid w:val="00AA3B44"/>
    <w:rsid w:val="00AA4292"/>
    <w:rsid w:val="00AA5A3B"/>
    <w:rsid w:val="00AA604D"/>
    <w:rsid w:val="00AB17A2"/>
    <w:rsid w:val="00AB1A4C"/>
    <w:rsid w:val="00AB35A6"/>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4A4E"/>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4EF5"/>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6E4B"/>
    <w:rsid w:val="00C773A3"/>
    <w:rsid w:val="00C77DA0"/>
    <w:rsid w:val="00C8375E"/>
    <w:rsid w:val="00C843D7"/>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7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83C"/>
    <w:rsid w:val="00D209B6"/>
    <w:rsid w:val="00D22294"/>
    <w:rsid w:val="00D22442"/>
    <w:rsid w:val="00D2255F"/>
    <w:rsid w:val="00D22C7C"/>
    <w:rsid w:val="00D22EBC"/>
    <w:rsid w:val="00D24374"/>
    <w:rsid w:val="00D24620"/>
    <w:rsid w:val="00D3123C"/>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4E5"/>
    <w:rsid w:val="00D80A3E"/>
    <w:rsid w:val="00D84B3D"/>
    <w:rsid w:val="00D92151"/>
    <w:rsid w:val="00D94895"/>
    <w:rsid w:val="00D94D3A"/>
    <w:rsid w:val="00D95385"/>
    <w:rsid w:val="00D954C1"/>
    <w:rsid w:val="00DA0323"/>
    <w:rsid w:val="00DA0C66"/>
    <w:rsid w:val="00DA3FF9"/>
    <w:rsid w:val="00DA7A81"/>
    <w:rsid w:val="00DB04B4"/>
    <w:rsid w:val="00DB0740"/>
    <w:rsid w:val="00DB112D"/>
    <w:rsid w:val="00DB13BD"/>
    <w:rsid w:val="00DB1959"/>
    <w:rsid w:val="00DB1971"/>
    <w:rsid w:val="00DB4D41"/>
    <w:rsid w:val="00DC371F"/>
    <w:rsid w:val="00DC451E"/>
    <w:rsid w:val="00DC5FA1"/>
    <w:rsid w:val="00DC7C98"/>
    <w:rsid w:val="00DD04D4"/>
    <w:rsid w:val="00DD0CE4"/>
    <w:rsid w:val="00DD6363"/>
    <w:rsid w:val="00DE3721"/>
    <w:rsid w:val="00DE5D9E"/>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26C4"/>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0DAF"/>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14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34989417">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 w:id="20758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7BE9-F39D-4379-A29D-F4B44D7F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2016-01-14T16:39:00Z</cp:lastPrinted>
  <dcterms:created xsi:type="dcterms:W3CDTF">2016-01-14T16:54:00Z</dcterms:created>
  <dcterms:modified xsi:type="dcterms:W3CDTF">2016-01-14T16:56:00Z</dcterms:modified>
</cp:coreProperties>
</file>