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A0" w:rsidRDefault="00332CA0" w:rsidP="00560DC5">
      <w:pPr>
        <w:pStyle w:val="Title"/>
        <w:tabs>
          <w:tab w:val="clear" w:pos="360"/>
          <w:tab w:val="left" w:pos="0"/>
        </w:tabs>
      </w:pPr>
      <w:r>
        <w:t>BEFORE THE</w:t>
      </w:r>
    </w:p>
    <w:p w:rsidR="00332CA0" w:rsidRDefault="00332CA0" w:rsidP="00560DC5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32CA0" w:rsidRDefault="00705C89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Donna Walker</w:t>
      </w:r>
      <w:r w:rsidR="003005C9">
        <w:rPr>
          <w:sz w:val="24"/>
        </w:rPr>
        <w:tab/>
      </w:r>
      <w:r w:rsidR="00AC793D">
        <w:rPr>
          <w:sz w:val="24"/>
        </w:rPr>
        <w:tab/>
      </w:r>
      <w:r w:rsidR="00332CA0">
        <w:rPr>
          <w:sz w:val="24"/>
        </w:rPr>
        <w:tab/>
      </w:r>
      <w:r w:rsidR="00560DC5">
        <w:rPr>
          <w:sz w:val="24"/>
        </w:rPr>
        <w:tab/>
      </w:r>
      <w:r w:rsidR="00247900">
        <w:rPr>
          <w:sz w:val="24"/>
        </w:rPr>
        <w:tab/>
      </w:r>
      <w:r w:rsidR="00247900">
        <w:rPr>
          <w:sz w:val="24"/>
        </w:rPr>
        <w:tab/>
      </w:r>
      <w:r w:rsidR="00332CA0" w:rsidRPr="00560DC5">
        <w:rPr>
          <w:sz w:val="24"/>
        </w:rPr>
        <w:t>:</w:t>
      </w:r>
    </w:p>
    <w:p w:rsidR="00332CA0" w:rsidRPr="00560DC5" w:rsidRDefault="00332CA0" w:rsidP="00560DC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60DC5">
        <w:rPr>
          <w:sz w:val="24"/>
        </w:rPr>
        <w:t>:</w:t>
      </w: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  <w:t>v.</w:t>
      </w:r>
      <w:r w:rsidR="00560DC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0DC5"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  <w:r w:rsidR="00560DC5">
        <w:rPr>
          <w:b/>
          <w:sz w:val="24"/>
        </w:rPr>
        <w:tab/>
      </w:r>
      <w:r w:rsidR="00AC793D">
        <w:rPr>
          <w:sz w:val="24"/>
        </w:rPr>
        <w:t>C-201</w:t>
      </w:r>
      <w:r w:rsidR="00114D1E">
        <w:rPr>
          <w:sz w:val="24"/>
        </w:rPr>
        <w:t>5</w:t>
      </w:r>
      <w:r w:rsidR="00AC793D">
        <w:rPr>
          <w:sz w:val="24"/>
        </w:rPr>
        <w:t>-2</w:t>
      </w:r>
      <w:r w:rsidR="00114D1E">
        <w:rPr>
          <w:sz w:val="24"/>
        </w:rPr>
        <w:t>514</w:t>
      </w:r>
      <w:r w:rsidR="00705C89">
        <w:rPr>
          <w:sz w:val="24"/>
        </w:rPr>
        <w:t>324</w:t>
      </w:r>
    </w:p>
    <w:p w:rsidR="00332CA0" w:rsidRPr="00560DC5" w:rsidRDefault="00332CA0" w:rsidP="00560DC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</w:p>
    <w:p w:rsidR="00332CA0" w:rsidRDefault="00705C89" w:rsidP="00560DC5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 xml:space="preserve">Duquesne Light </w:t>
      </w:r>
      <w:r w:rsidR="003005C9">
        <w:rPr>
          <w:sz w:val="24"/>
        </w:rPr>
        <w:t>C</w:t>
      </w:r>
      <w:r w:rsidR="00AC793D">
        <w:rPr>
          <w:sz w:val="24"/>
        </w:rPr>
        <w:t>ompany</w:t>
      </w:r>
      <w:r w:rsidR="00332CA0">
        <w:rPr>
          <w:sz w:val="24"/>
        </w:rPr>
        <w:tab/>
      </w:r>
      <w:r w:rsidR="00114D1E">
        <w:rPr>
          <w:sz w:val="24"/>
        </w:rPr>
        <w:tab/>
      </w:r>
      <w:r w:rsidR="00332CA0">
        <w:rPr>
          <w:sz w:val="24"/>
        </w:rPr>
        <w:tab/>
      </w:r>
      <w:r w:rsidR="00943B25">
        <w:rPr>
          <w:sz w:val="24"/>
        </w:rPr>
        <w:tab/>
      </w:r>
      <w:r w:rsidR="00332CA0" w:rsidRPr="00560DC5">
        <w:rPr>
          <w:sz w:val="24"/>
        </w:rPr>
        <w:t>:</w:t>
      </w: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441A84" w:rsidRDefault="00686840" w:rsidP="00560DC5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686840">
        <w:rPr>
          <w:b/>
          <w:sz w:val="24"/>
        </w:rPr>
        <w:t>INTERIM</w:t>
      </w:r>
      <w:r w:rsidR="00332CA0" w:rsidRPr="00686840">
        <w:rPr>
          <w:b/>
          <w:sz w:val="24"/>
        </w:rPr>
        <w:t xml:space="preserve"> ORDER</w:t>
      </w:r>
    </w:p>
    <w:p w:rsidR="00332CA0" w:rsidRPr="00686840" w:rsidRDefault="00943B25" w:rsidP="00560DC5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>
        <w:rPr>
          <w:b/>
          <w:sz w:val="24"/>
        </w:rPr>
        <w:t>GRANTING IN PART AND DENYING IN PART</w:t>
      </w:r>
    </w:p>
    <w:p w:rsidR="00686840" w:rsidRDefault="0040783F" w:rsidP="00560DC5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PRELIMINARY OBJECTIONS</w:t>
      </w:r>
      <w:r w:rsidR="002A7628">
        <w:rPr>
          <w:b/>
          <w:sz w:val="24"/>
          <w:u w:val="single"/>
        </w:rPr>
        <w:t xml:space="preserve"> </w:t>
      </w:r>
      <w:r w:rsidR="002C3656">
        <w:rPr>
          <w:b/>
          <w:sz w:val="24"/>
          <w:u w:val="single"/>
        </w:rPr>
        <w:t xml:space="preserve">OF </w:t>
      </w:r>
      <w:r w:rsidR="00705C89">
        <w:rPr>
          <w:b/>
          <w:sz w:val="24"/>
          <w:u w:val="single"/>
        </w:rPr>
        <w:t xml:space="preserve">DUQUESNE LIGHT </w:t>
      </w:r>
      <w:r w:rsidR="002C3656">
        <w:rPr>
          <w:b/>
          <w:sz w:val="24"/>
          <w:u w:val="single"/>
        </w:rPr>
        <w:t>COMPANY</w:t>
      </w:r>
    </w:p>
    <w:p w:rsidR="00332CA0" w:rsidRDefault="00332CA0" w:rsidP="00560DC5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332CA0" w:rsidRPr="00964981" w:rsidRDefault="00332CA0" w:rsidP="00560DC5">
      <w:pPr>
        <w:tabs>
          <w:tab w:val="left" w:pos="0"/>
        </w:tabs>
        <w:spacing w:line="233" w:lineRule="auto"/>
        <w:jc w:val="both"/>
        <w:rPr>
          <w:sz w:val="24"/>
          <w:szCs w:val="24"/>
        </w:rPr>
      </w:pPr>
    </w:p>
    <w:p w:rsidR="00964981" w:rsidRPr="00B656BB" w:rsidRDefault="00964981" w:rsidP="00964981">
      <w:pPr>
        <w:spacing w:line="360" w:lineRule="auto"/>
        <w:rPr>
          <w:sz w:val="24"/>
          <w:szCs w:val="24"/>
        </w:rPr>
      </w:pPr>
      <w:r w:rsidRPr="00964981">
        <w:rPr>
          <w:sz w:val="24"/>
          <w:szCs w:val="24"/>
        </w:rPr>
        <w:tab/>
      </w:r>
      <w:r w:rsidRPr="00964981">
        <w:rPr>
          <w:sz w:val="24"/>
          <w:szCs w:val="24"/>
        </w:rPr>
        <w:tab/>
        <w:t xml:space="preserve">On </w:t>
      </w:r>
      <w:r w:rsidR="00924034">
        <w:rPr>
          <w:sz w:val="24"/>
          <w:szCs w:val="24"/>
        </w:rPr>
        <w:t>November 18, 2015,</w:t>
      </w:r>
      <w:r w:rsidR="002C3656">
        <w:rPr>
          <w:sz w:val="24"/>
          <w:szCs w:val="24"/>
        </w:rPr>
        <w:t xml:space="preserve"> </w:t>
      </w:r>
      <w:r w:rsidR="00924034">
        <w:rPr>
          <w:sz w:val="24"/>
          <w:szCs w:val="24"/>
        </w:rPr>
        <w:t xml:space="preserve">Donna Walker </w:t>
      </w:r>
      <w:r w:rsidR="002A7628">
        <w:rPr>
          <w:sz w:val="24"/>
          <w:szCs w:val="24"/>
        </w:rPr>
        <w:t>(</w:t>
      </w:r>
      <w:r w:rsidR="002975AE">
        <w:rPr>
          <w:sz w:val="24"/>
          <w:szCs w:val="24"/>
        </w:rPr>
        <w:t>Ms. W</w:t>
      </w:r>
      <w:r w:rsidR="00924034">
        <w:rPr>
          <w:sz w:val="24"/>
          <w:szCs w:val="24"/>
        </w:rPr>
        <w:t xml:space="preserve">alker </w:t>
      </w:r>
      <w:r w:rsidR="002975AE">
        <w:rPr>
          <w:sz w:val="24"/>
          <w:szCs w:val="24"/>
        </w:rPr>
        <w:t xml:space="preserve">or </w:t>
      </w:r>
      <w:r w:rsidR="002A7628">
        <w:rPr>
          <w:sz w:val="24"/>
          <w:szCs w:val="24"/>
        </w:rPr>
        <w:t xml:space="preserve">Complainant) </w:t>
      </w:r>
      <w:r w:rsidRPr="00964981">
        <w:rPr>
          <w:sz w:val="24"/>
          <w:szCs w:val="24"/>
        </w:rPr>
        <w:t xml:space="preserve">filed a </w:t>
      </w:r>
      <w:r w:rsidR="00943B25">
        <w:rPr>
          <w:sz w:val="24"/>
          <w:szCs w:val="24"/>
        </w:rPr>
        <w:t xml:space="preserve">formal </w:t>
      </w:r>
      <w:r w:rsidRPr="00964981">
        <w:rPr>
          <w:sz w:val="24"/>
          <w:szCs w:val="24"/>
        </w:rPr>
        <w:t xml:space="preserve">complaint against </w:t>
      </w:r>
      <w:r w:rsidR="00924034">
        <w:rPr>
          <w:sz w:val="24"/>
        </w:rPr>
        <w:t xml:space="preserve">Duquesne Light </w:t>
      </w:r>
      <w:r w:rsidR="002975AE">
        <w:rPr>
          <w:sz w:val="24"/>
        </w:rPr>
        <w:t xml:space="preserve">Company </w:t>
      </w:r>
      <w:r w:rsidR="002A7628">
        <w:rPr>
          <w:sz w:val="24"/>
          <w:szCs w:val="24"/>
        </w:rPr>
        <w:t>(Company or Respondent)</w:t>
      </w:r>
      <w:r w:rsidRPr="00964981">
        <w:rPr>
          <w:sz w:val="24"/>
          <w:szCs w:val="24"/>
        </w:rPr>
        <w:t xml:space="preserve"> which</w:t>
      </w:r>
      <w:r w:rsidR="00DE5FF7">
        <w:rPr>
          <w:sz w:val="24"/>
          <w:szCs w:val="24"/>
        </w:rPr>
        <w:t>, among other things,</w:t>
      </w:r>
      <w:r w:rsidRPr="00964981">
        <w:rPr>
          <w:sz w:val="24"/>
          <w:szCs w:val="24"/>
        </w:rPr>
        <w:t xml:space="preserve"> </w:t>
      </w:r>
      <w:r w:rsidR="002A7628">
        <w:rPr>
          <w:sz w:val="24"/>
          <w:szCs w:val="24"/>
        </w:rPr>
        <w:t>averred</w:t>
      </w:r>
      <w:r w:rsidR="002C3656">
        <w:rPr>
          <w:sz w:val="24"/>
          <w:szCs w:val="24"/>
        </w:rPr>
        <w:t xml:space="preserve"> th</w:t>
      </w:r>
      <w:r w:rsidR="002975AE">
        <w:rPr>
          <w:sz w:val="24"/>
          <w:szCs w:val="24"/>
        </w:rPr>
        <w:t>at</w:t>
      </w:r>
      <w:r w:rsidR="00924034">
        <w:rPr>
          <w:sz w:val="24"/>
          <w:szCs w:val="24"/>
        </w:rPr>
        <w:t xml:space="preserve"> in March/April of 2015, tree branches fell on a transformer causing </w:t>
      </w:r>
      <w:r w:rsidR="002975AE">
        <w:rPr>
          <w:sz w:val="24"/>
          <w:szCs w:val="24"/>
        </w:rPr>
        <w:t>a power surge</w:t>
      </w:r>
      <w:r w:rsidR="00924034">
        <w:rPr>
          <w:sz w:val="24"/>
          <w:szCs w:val="24"/>
        </w:rPr>
        <w:t xml:space="preserve"> throughout her house, resulting</w:t>
      </w:r>
      <w:r w:rsidR="002975AE">
        <w:rPr>
          <w:sz w:val="24"/>
          <w:szCs w:val="24"/>
        </w:rPr>
        <w:t xml:space="preserve"> in items being damaged at her home</w:t>
      </w:r>
      <w:r w:rsidR="00924034">
        <w:rPr>
          <w:sz w:val="24"/>
          <w:szCs w:val="24"/>
        </w:rPr>
        <w:t xml:space="preserve">.  </w:t>
      </w:r>
      <w:r w:rsidR="002975AE">
        <w:rPr>
          <w:sz w:val="24"/>
          <w:szCs w:val="24"/>
        </w:rPr>
        <w:t xml:space="preserve">Complainant requested that </w:t>
      </w:r>
      <w:r w:rsidR="00B656BB">
        <w:rPr>
          <w:sz w:val="24"/>
          <w:szCs w:val="24"/>
        </w:rPr>
        <w:t xml:space="preserve">the Company </w:t>
      </w:r>
      <w:r w:rsidR="002975AE">
        <w:rPr>
          <w:sz w:val="24"/>
          <w:szCs w:val="24"/>
        </w:rPr>
        <w:t>pay her for the damage done to the items damaged a</w:t>
      </w:r>
      <w:r w:rsidR="00924034">
        <w:rPr>
          <w:sz w:val="24"/>
          <w:szCs w:val="24"/>
        </w:rPr>
        <w:t>t her home.</w:t>
      </w:r>
      <w:r w:rsidRPr="002C3656">
        <w:rPr>
          <w:b/>
          <w:sz w:val="24"/>
          <w:szCs w:val="24"/>
        </w:rPr>
        <w:t xml:space="preserve">  </w:t>
      </w:r>
      <w:r w:rsidR="002A7628" w:rsidRPr="00B656BB">
        <w:rPr>
          <w:sz w:val="24"/>
          <w:szCs w:val="24"/>
        </w:rPr>
        <w:t xml:space="preserve">Respondent </w:t>
      </w:r>
      <w:r w:rsidRPr="00B656BB">
        <w:rPr>
          <w:sz w:val="24"/>
          <w:szCs w:val="24"/>
        </w:rPr>
        <w:t>filed an answer</w:t>
      </w:r>
      <w:r w:rsidR="00C541B4" w:rsidRPr="00B656BB">
        <w:rPr>
          <w:sz w:val="24"/>
          <w:szCs w:val="24"/>
        </w:rPr>
        <w:t xml:space="preserve"> </w:t>
      </w:r>
      <w:r w:rsidRPr="00B656BB">
        <w:rPr>
          <w:sz w:val="24"/>
          <w:szCs w:val="24"/>
        </w:rPr>
        <w:t>a</w:t>
      </w:r>
      <w:r w:rsidR="00C541B4" w:rsidRPr="00B656BB">
        <w:rPr>
          <w:sz w:val="24"/>
          <w:szCs w:val="24"/>
        </w:rPr>
        <w:t xml:space="preserve">s well as </w:t>
      </w:r>
      <w:r w:rsidRPr="00B656BB">
        <w:rPr>
          <w:sz w:val="24"/>
          <w:szCs w:val="24"/>
        </w:rPr>
        <w:t xml:space="preserve">preliminary objections on </w:t>
      </w:r>
      <w:r w:rsidR="00924034">
        <w:rPr>
          <w:sz w:val="24"/>
          <w:szCs w:val="24"/>
        </w:rPr>
        <w:t>December 14, 2015</w:t>
      </w:r>
      <w:r w:rsidR="002030F8" w:rsidRPr="00B656BB">
        <w:rPr>
          <w:sz w:val="24"/>
          <w:szCs w:val="24"/>
        </w:rPr>
        <w:t xml:space="preserve">. </w:t>
      </w:r>
      <w:r w:rsidR="00B656BB" w:rsidRPr="00B656BB">
        <w:rPr>
          <w:sz w:val="24"/>
          <w:szCs w:val="24"/>
        </w:rPr>
        <w:t xml:space="preserve"> </w:t>
      </w:r>
      <w:r w:rsidRPr="00B656BB">
        <w:rPr>
          <w:sz w:val="24"/>
          <w:szCs w:val="24"/>
        </w:rPr>
        <w:t>M</w:t>
      </w:r>
      <w:r w:rsidR="00B656BB" w:rsidRPr="00B656BB">
        <w:rPr>
          <w:sz w:val="24"/>
          <w:szCs w:val="24"/>
        </w:rPr>
        <w:t>s</w:t>
      </w:r>
      <w:r w:rsidRPr="00B656BB">
        <w:rPr>
          <w:sz w:val="24"/>
          <w:szCs w:val="24"/>
        </w:rPr>
        <w:t>. </w:t>
      </w:r>
      <w:r w:rsidR="00924034">
        <w:rPr>
          <w:sz w:val="24"/>
          <w:szCs w:val="24"/>
        </w:rPr>
        <w:t xml:space="preserve">Walker </w:t>
      </w:r>
      <w:r w:rsidR="002030F8" w:rsidRPr="00B656BB">
        <w:rPr>
          <w:sz w:val="24"/>
          <w:szCs w:val="24"/>
        </w:rPr>
        <w:t xml:space="preserve">did not respond to the </w:t>
      </w:r>
      <w:r w:rsidRPr="00B656BB">
        <w:rPr>
          <w:sz w:val="24"/>
          <w:szCs w:val="24"/>
        </w:rPr>
        <w:t>answer and new matter</w:t>
      </w:r>
      <w:r w:rsidR="00B656BB" w:rsidRPr="00B656BB">
        <w:rPr>
          <w:sz w:val="24"/>
          <w:szCs w:val="24"/>
        </w:rPr>
        <w:t xml:space="preserve"> or the </w:t>
      </w:r>
      <w:r w:rsidRPr="00B656BB">
        <w:rPr>
          <w:sz w:val="24"/>
          <w:szCs w:val="24"/>
        </w:rPr>
        <w:t>preliminary objections</w:t>
      </w:r>
      <w:r w:rsidR="00B656BB" w:rsidRPr="00B656BB">
        <w:rPr>
          <w:sz w:val="24"/>
          <w:szCs w:val="24"/>
        </w:rPr>
        <w:t xml:space="preserve">.  </w:t>
      </w:r>
    </w:p>
    <w:p w:rsidR="00964981" w:rsidRPr="002C3656" w:rsidRDefault="00964981" w:rsidP="00964981">
      <w:pPr>
        <w:spacing w:line="360" w:lineRule="auto"/>
        <w:rPr>
          <w:b/>
          <w:sz w:val="24"/>
          <w:szCs w:val="24"/>
        </w:rPr>
      </w:pPr>
    </w:p>
    <w:p w:rsidR="00C541B4" w:rsidRDefault="00C541B4" w:rsidP="00964981">
      <w:pPr>
        <w:spacing w:line="360" w:lineRule="auto"/>
        <w:rPr>
          <w:sz w:val="24"/>
          <w:szCs w:val="24"/>
          <w:u w:val="single"/>
        </w:rPr>
      </w:pPr>
      <w:r w:rsidRPr="00C541B4">
        <w:rPr>
          <w:sz w:val="24"/>
          <w:szCs w:val="24"/>
          <w:u w:val="single"/>
        </w:rPr>
        <w:t>Preliminary Objections</w:t>
      </w:r>
    </w:p>
    <w:p w:rsidR="00C541B4" w:rsidRPr="00C541B4" w:rsidRDefault="00C541B4" w:rsidP="00964981">
      <w:pPr>
        <w:spacing w:line="360" w:lineRule="auto"/>
        <w:rPr>
          <w:sz w:val="24"/>
          <w:szCs w:val="24"/>
          <w:u w:val="single"/>
        </w:rPr>
      </w:pPr>
    </w:p>
    <w:p w:rsidR="004050C4" w:rsidRDefault="0040783F" w:rsidP="004050C4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2030F8">
        <w:rPr>
          <w:sz w:val="24"/>
          <w:szCs w:val="24"/>
        </w:rPr>
        <w:t xml:space="preserve">In its preliminary objections, Respondent </w:t>
      </w:r>
      <w:r>
        <w:rPr>
          <w:sz w:val="24"/>
          <w:szCs w:val="24"/>
        </w:rPr>
        <w:t>seeks</w:t>
      </w:r>
      <w:r w:rsidR="00145A50">
        <w:rPr>
          <w:sz w:val="24"/>
          <w:szCs w:val="24"/>
        </w:rPr>
        <w:t xml:space="preserve"> an </w:t>
      </w:r>
      <w:r w:rsidR="002E025C">
        <w:rPr>
          <w:sz w:val="24"/>
          <w:szCs w:val="24"/>
        </w:rPr>
        <w:t>o</w:t>
      </w:r>
      <w:r w:rsidR="00145A50">
        <w:rPr>
          <w:sz w:val="24"/>
          <w:szCs w:val="24"/>
        </w:rPr>
        <w:t xml:space="preserve">rder </w:t>
      </w:r>
      <w:r w:rsidR="00BA5EA9">
        <w:rPr>
          <w:sz w:val="24"/>
          <w:szCs w:val="24"/>
        </w:rPr>
        <w:t>dismissing the complaint to the extent that it seeks recovery of money damages.</w:t>
      </w:r>
    </w:p>
    <w:p w:rsidR="000B24C9" w:rsidRDefault="000B24C9" w:rsidP="00FD3DA3">
      <w:pPr>
        <w:spacing w:line="360" w:lineRule="auto"/>
        <w:rPr>
          <w:sz w:val="24"/>
          <w:szCs w:val="24"/>
        </w:rPr>
      </w:pPr>
    </w:p>
    <w:p w:rsidR="00FD3DA3" w:rsidRDefault="00021111" w:rsidP="00FD3D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Respondent’s preliminary objections will be granted in part and denied in part.</w:t>
      </w:r>
    </w:p>
    <w:p w:rsidR="009C054D" w:rsidRDefault="009C054D" w:rsidP="00FD3DA3">
      <w:pPr>
        <w:spacing w:line="360" w:lineRule="auto"/>
        <w:rPr>
          <w:sz w:val="24"/>
          <w:szCs w:val="24"/>
          <w:u w:val="single"/>
        </w:rPr>
      </w:pPr>
    </w:p>
    <w:p w:rsidR="007A04B1" w:rsidRDefault="00086679" w:rsidP="007A04B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BA5EA9">
        <w:rPr>
          <w:sz w:val="24"/>
          <w:szCs w:val="24"/>
        </w:rPr>
        <w:t>Th</w:t>
      </w:r>
      <w:r w:rsidR="007A04B1" w:rsidRPr="003723F1">
        <w:rPr>
          <w:sz w:val="24"/>
          <w:szCs w:val="24"/>
        </w:rPr>
        <w:t xml:space="preserve">e Commission lacks jurisdiction to award money damages.  </w:t>
      </w:r>
      <w:r w:rsidR="00BA5EA9">
        <w:rPr>
          <w:sz w:val="24"/>
          <w:szCs w:val="24"/>
        </w:rPr>
        <w:t xml:space="preserve">Accordingly, </w:t>
      </w:r>
      <w:r w:rsidR="007A04B1" w:rsidRPr="003723F1">
        <w:rPr>
          <w:sz w:val="24"/>
          <w:szCs w:val="24"/>
        </w:rPr>
        <w:t>I agree that the Commission lacks the</w:t>
      </w:r>
      <w:r w:rsidR="007A04B1">
        <w:rPr>
          <w:sz w:val="24"/>
          <w:szCs w:val="24"/>
        </w:rPr>
        <w:t xml:space="preserve"> jurisdiction to award M</w:t>
      </w:r>
      <w:r w:rsidR="00130A85">
        <w:rPr>
          <w:sz w:val="24"/>
          <w:szCs w:val="24"/>
        </w:rPr>
        <w:t>s</w:t>
      </w:r>
      <w:r w:rsidR="007A04B1">
        <w:rPr>
          <w:sz w:val="24"/>
          <w:szCs w:val="24"/>
        </w:rPr>
        <w:t xml:space="preserve">. </w:t>
      </w:r>
      <w:r w:rsidR="00BA5EA9">
        <w:rPr>
          <w:sz w:val="24"/>
          <w:szCs w:val="24"/>
        </w:rPr>
        <w:t xml:space="preserve">Walker </w:t>
      </w:r>
      <w:r w:rsidR="007A04B1">
        <w:rPr>
          <w:sz w:val="24"/>
          <w:szCs w:val="24"/>
        </w:rPr>
        <w:t xml:space="preserve">money damages related to </w:t>
      </w:r>
      <w:r w:rsidR="00130A85">
        <w:rPr>
          <w:sz w:val="24"/>
          <w:szCs w:val="24"/>
        </w:rPr>
        <w:t>the averments set forth in her formal complaint.</w:t>
      </w:r>
      <w:r w:rsidR="003723F1">
        <w:rPr>
          <w:sz w:val="24"/>
          <w:szCs w:val="24"/>
        </w:rPr>
        <w:t xml:space="preserve">  </w:t>
      </w:r>
      <w:r w:rsidR="007A04B1">
        <w:rPr>
          <w:sz w:val="24"/>
          <w:szCs w:val="24"/>
        </w:rPr>
        <w:t xml:space="preserve">This point has been well-settled in numerous </w:t>
      </w:r>
      <w:r w:rsidR="007A04B1">
        <w:rPr>
          <w:sz w:val="24"/>
          <w:szCs w:val="24"/>
        </w:rPr>
        <w:lastRenderedPageBreak/>
        <w:t>decisions.</w:t>
      </w:r>
      <w:r w:rsidR="007A04B1">
        <w:rPr>
          <w:rStyle w:val="FootnoteReference"/>
          <w:sz w:val="24"/>
          <w:szCs w:val="24"/>
        </w:rPr>
        <w:footnoteReference w:id="1"/>
      </w:r>
      <w:r w:rsidR="007A04B1">
        <w:rPr>
          <w:sz w:val="24"/>
          <w:szCs w:val="24"/>
        </w:rPr>
        <w:t xml:space="preserve">  However, the Commission retains the jurisdiction to rule on </w:t>
      </w:r>
      <w:r w:rsidR="002E51BB">
        <w:rPr>
          <w:sz w:val="24"/>
          <w:szCs w:val="24"/>
        </w:rPr>
        <w:t xml:space="preserve">any </w:t>
      </w:r>
      <w:r w:rsidR="007A04B1">
        <w:rPr>
          <w:sz w:val="24"/>
          <w:szCs w:val="24"/>
        </w:rPr>
        <w:t>service and safety issues and may order other relief as appropriate.</w:t>
      </w:r>
      <w:r w:rsidR="007A04B1">
        <w:rPr>
          <w:rStyle w:val="FootnoteReference"/>
          <w:sz w:val="24"/>
          <w:szCs w:val="24"/>
        </w:rPr>
        <w:footnoteReference w:id="2"/>
      </w:r>
      <w:r w:rsidR="007A04B1">
        <w:rPr>
          <w:sz w:val="24"/>
          <w:szCs w:val="24"/>
        </w:rPr>
        <w:t xml:space="preserve">  T</w:t>
      </w:r>
      <w:r w:rsidR="007A04B1" w:rsidRPr="0011620F">
        <w:rPr>
          <w:sz w:val="24"/>
          <w:szCs w:val="24"/>
        </w:rPr>
        <w:t>he Commission has broad powers to supervise and regulate all public utilities doing business within the Commonwealth and is empowered to determine whether a public utility is providing safe, adequate and reasonable service.</w:t>
      </w:r>
      <w:r w:rsidR="007A04B1" w:rsidRPr="0011620F">
        <w:rPr>
          <w:rStyle w:val="FootnoteReference"/>
          <w:sz w:val="24"/>
          <w:szCs w:val="24"/>
        </w:rPr>
        <w:footnoteReference w:id="3"/>
      </w:r>
      <w:r w:rsidR="007A04B1" w:rsidRPr="0011620F">
        <w:rPr>
          <w:sz w:val="24"/>
          <w:szCs w:val="24"/>
        </w:rPr>
        <w:t xml:space="preserve">  The Commission may impose civil penalties upon a utility which is found to be in violation of a statute, regulation or order of the Commission.</w:t>
      </w:r>
      <w:r w:rsidR="007A04B1" w:rsidRPr="0011620F">
        <w:rPr>
          <w:rStyle w:val="FootnoteReference"/>
          <w:sz w:val="24"/>
          <w:szCs w:val="24"/>
        </w:rPr>
        <w:footnoteReference w:id="4"/>
      </w:r>
      <w:r w:rsidR="007A04B1" w:rsidRPr="0011620F">
        <w:rPr>
          <w:sz w:val="24"/>
          <w:szCs w:val="24"/>
        </w:rPr>
        <w:t xml:space="preserve">  Utility service is not limited to the provision of service and includes “any and all acts” related to that function</w:t>
      </w:r>
      <w:r w:rsidR="00C541B4">
        <w:rPr>
          <w:sz w:val="24"/>
          <w:szCs w:val="24"/>
        </w:rPr>
        <w:t>.</w:t>
      </w:r>
      <w:r w:rsidR="007A04B1">
        <w:rPr>
          <w:rStyle w:val="FootnoteReference"/>
        </w:rPr>
        <w:footnoteReference w:id="5"/>
      </w:r>
      <w:r w:rsidR="007A04B1" w:rsidRPr="004B1BEE">
        <w:t xml:space="preserve">  </w:t>
      </w:r>
      <w:r w:rsidR="007A04B1">
        <w:rPr>
          <w:sz w:val="24"/>
          <w:szCs w:val="24"/>
        </w:rPr>
        <w:t xml:space="preserve">  </w:t>
      </w:r>
    </w:p>
    <w:p w:rsidR="00FD3DA3" w:rsidRDefault="00FD3DA3" w:rsidP="00FD3DA3">
      <w:pPr>
        <w:spacing w:line="360" w:lineRule="auto"/>
        <w:rPr>
          <w:sz w:val="24"/>
          <w:szCs w:val="24"/>
        </w:rPr>
      </w:pPr>
    </w:p>
    <w:p w:rsidR="007A04B1" w:rsidRDefault="00325324" w:rsidP="002E51BB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7A04B1">
        <w:rPr>
          <w:sz w:val="24"/>
          <w:szCs w:val="24"/>
        </w:rPr>
        <w:t xml:space="preserve">In its preliminary objections, Respondent avers Complainant </w:t>
      </w:r>
      <w:r w:rsidR="00F85187">
        <w:rPr>
          <w:sz w:val="24"/>
          <w:szCs w:val="24"/>
        </w:rPr>
        <w:t>is seeking mone</w:t>
      </w:r>
      <w:r w:rsidR="002E025C">
        <w:rPr>
          <w:sz w:val="24"/>
          <w:szCs w:val="24"/>
        </w:rPr>
        <w:t>y</w:t>
      </w:r>
      <w:r w:rsidR="00F85187">
        <w:rPr>
          <w:sz w:val="24"/>
          <w:szCs w:val="24"/>
        </w:rPr>
        <w:t xml:space="preserve"> damages from the Company </w:t>
      </w:r>
      <w:r w:rsidR="00BA5EA9">
        <w:rPr>
          <w:sz w:val="24"/>
          <w:szCs w:val="24"/>
        </w:rPr>
        <w:t>as relief.  T</w:t>
      </w:r>
      <w:r w:rsidR="00F85187">
        <w:rPr>
          <w:sz w:val="24"/>
          <w:szCs w:val="24"/>
        </w:rPr>
        <w:t xml:space="preserve">he averment advanced by Complainant is that </w:t>
      </w:r>
      <w:r w:rsidR="00BA5EA9">
        <w:rPr>
          <w:sz w:val="24"/>
          <w:szCs w:val="24"/>
        </w:rPr>
        <w:t xml:space="preserve">in March/April of 2015, tree branches fell on a transformer causing a power surge throughout her house, resulting in items being damaged at her home.  </w:t>
      </w:r>
      <w:proofErr w:type="gramStart"/>
      <w:r w:rsidR="00A2462E">
        <w:rPr>
          <w:sz w:val="24"/>
          <w:szCs w:val="24"/>
        </w:rPr>
        <w:t>(</w:t>
      </w:r>
      <w:proofErr w:type="spellStart"/>
      <w:r w:rsidR="00A2462E">
        <w:rPr>
          <w:sz w:val="24"/>
          <w:szCs w:val="24"/>
        </w:rPr>
        <w:t>Compl</w:t>
      </w:r>
      <w:proofErr w:type="spellEnd"/>
      <w:r w:rsidR="00A2462E">
        <w:rPr>
          <w:sz w:val="24"/>
          <w:szCs w:val="24"/>
        </w:rPr>
        <w:t>.</w:t>
      </w:r>
      <w:proofErr w:type="gramEnd"/>
      <w:r w:rsidR="00A2462E">
        <w:rPr>
          <w:sz w:val="24"/>
          <w:szCs w:val="24"/>
        </w:rPr>
        <w:t xml:space="preserve"> </w:t>
      </w:r>
      <w:proofErr w:type="gramStart"/>
      <w:r w:rsidR="00A2462E">
        <w:rPr>
          <w:sz w:val="24"/>
          <w:szCs w:val="24"/>
        </w:rPr>
        <w:t>¶ 4.)</w:t>
      </w:r>
      <w:proofErr w:type="gramEnd"/>
      <w:r w:rsidR="00A2462E">
        <w:rPr>
          <w:sz w:val="24"/>
          <w:szCs w:val="24"/>
        </w:rPr>
        <w:t xml:space="preserve">  </w:t>
      </w:r>
      <w:r w:rsidR="00315248">
        <w:rPr>
          <w:sz w:val="24"/>
          <w:szCs w:val="24"/>
        </w:rPr>
        <w:t xml:space="preserve">As relief, Complainant requested that </w:t>
      </w:r>
      <w:r w:rsidR="00BA5EA9">
        <w:rPr>
          <w:sz w:val="24"/>
          <w:szCs w:val="24"/>
        </w:rPr>
        <w:t>the Company pay her for the damage done to the items damaged at her home.</w:t>
      </w:r>
      <w:r w:rsidR="00BA5EA9" w:rsidRPr="002C3656">
        <w:rPr>
          <w:b/>
          <w:sz w:val="24"/>
          <w:szCs w:val="24"/>
        </w:rPr>
        <w:t xml:space="preserve"> </w:t>
      </w:r>
      <w:proofErr w:type="gramStart"/>
      <w:r w:rsidR="00BA5EA9">
        <w:rPr>
          <w:b/>
          <w:sz w:val="24"/>
          <w:szCs w:val="24"/>
        </w:rPr>
        <w:t>(</w:t>
      </w:r>
      <w:proofErr w:type="spellStart"/>
      <w:r w:rsidR="00F85187">
        <w:rPr>
          <w:sz w:val="24"/>
          <w:szCs w:val="24"/>
        </w:rPr>
        <w:t>Compl</w:t>
      </w:r>
      <w:proofErr w:type="spellEnd"/>
      <w:r w:rsidR="00F85187">
        <w:rPr>
          <w:sz w:val="24"/>
          <w:szCs w:val="24"/>
        </w:rPr>
        <w:t>.</w:t>
      </w:r>
      <w:proofErr w:type="gramEnd"/>
      <w:r w:rsidR="00F85187">
        <w:rPr>
          <w:sz w:val="24"/>
          <w:szCs w:val="24"/>
        </w:rPr>
        <w:t xml:space="preserve"> </w:t>
      </w:r>
      <w:proofErr w:type="gramStart"/>
      <w:r w:rsidR="00F85187">
        <w:rPr>
          <w:sz w:val="24"/>
          <w:szCs w:val="24"/>
        </w:rPr>
        <w:t>¶ 5.)</w:t>
      </w:r>
      <w:proofErr w:type="gramEnd"/>
      <w:r w:rsidR="00F85187">
        <w:rPr>
          <w:sz w:val="24"/>
          <w:szCs w:val="24"/>
        </w:rPr>
        <w:t xml:space="preserve">  Complainant’s </w:t>
      </w:r>
      <w:r w:rsidR="00571D96">
        <w:rPr>
          <w:sz w:val="24"/>
          <w:szCs w:val="24"/>
        </w:rPr>
        <w:t xml:space="preserve">claim and request for relief clearly include a </w:t>
      </w:r>
      <w:r w:rsidR="00F85187">
        <w:rPr>
          <w:sz w:val="24"/>
          <w:szCs w:val="24"/>
        </w:rPr>
        <w:t xml:space="preserve">claim for </w:t>
      </w:r>
      <w:r w:rsidR="00A2462E">
        <w:rPr>
          <w:sz w:val="24"/>
          <w:szCs w:val="24"/>
        </w:rPr>
        <w:t>payment for money damages</w:t>
      </w:r>
      <w:r w:rsidR="00571D96">
        <w:rPr>
          <w:sz w:val="24"/>
          <w:szCs w:val="24"/>
        </w:rPr>
        <w:t>.</w:t>
      </w:r>
      <w:r w:rsidR="007A04B1">
        <w:rPr>
          <w:sz w:val="24"/>
          <w:szCs w:val="24"/>
        </w:rPr>
        <w:t xml:space="preserve">  </w:t>
      </w:r>
      <w:r w:rsidR="00A2462E">
        <w:rPr>
          <w:sz w:val="24"/>
          <w:szCs w:val="24"/>
        </w:rPr>
        <w:t xml:space="preserve">Under the circumstances, </w:t>
      </w:r>
      <w:r w:rsidR="00571D96">
        <w:rPr>
          <w:sz w:val="24"/>
          <w:szCs w:val="24"/>
        </w:rPr>
        <w:t xml:space="preserve">the </w:t>
      </w:r>
      <w:r w:rsidR="007A04B1">
        <w:rPr>
          <w:sz w:val="24"/>
          <w:szCs w:val="24"/>
        </w:rPr>
        <w:t xml:space="preserve">claim for money damages will </w:t>
      </w:r>
      <w:r w:rsidR="00571D96">
        <w:rPr>
          <w:sz w:val="24"/>
          <w:szCs w:val="24"/>
        </w:rPr>
        <w:t xml:space="preserve">not </w:t>
      </w:r>
      <w:r w:rsidR="007A04B1">
        <w:rPr>
          <w:sz w:val="24"/>
          <w:szCs w:val="24"/>
        </w:rPr>
        <w:t>be considered</w:t>
      </w:r>
      <w:r w:rsidR="00A2462E">
        <w:rPr>
          <w:sz w:val="24"/>
          <w:szCs w:val="24"/>
        </w:rPr>
        <w:t xml:space="preserve">.  </w:t>
      </w:r>
    </w:p>
    <w:p w:rsidR="007A04B1" w:rsidRDefault="007A04B1" w:rsidP="007A04B1">
      <w:pPr>
        <w:spacing w:line="360" w:lineRule="auto"/>
        <w:ind w:firstLine="720"/>
        <w:rPr>
          <w:sz w:val="24"/>
          <w:szCs w:val="24"/>
        </w:rPr>
      </w:pPr>
    </w:p>
    <w:p w:rsidR="007A04B1" w:rsidRDefault="007A04B1" w:rsidP="0090700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A2462E">
        <w:rPr>
          <w:sz w:val="24"/>
          <w:szCs w:val="24"/>
        </w:rPr>
        <w:t>To the extent that Complainant is asserting a service related complaint against Respondent,</w:t>
      </w:r>
      <w:r w:rsidR="00571D96">
        <w:rPr>
          <w:sz w:val="24"/>
          <w:szCs w:val="24"/>
        </w:rPr>
        <w:t xml:space="preserve"> any attempt to </w:t>
      </w:r>
      <w:r>
        <w:rPr>
          <w:sz w:val="24"/>
          <w:szCs w:val="24"/>
        </w:rPr>
        <w:t>prohibit the introduction of testimony or evidence with respect to the alleged</w:t>
      </w:r>
      <w:r w:rsidR="00FD3DA3">
        <w:rPr>
          <w:sz w:val="24"/>
          <w:szCs w:val="24"/>
        </w:rPr>
        <w:t xml:space="preserve"> </w:t>
      </w:r>
      <w:r>
        <w:rPr>
          <w:sz w:val="24"/>
          <w:szCs w:val="24"/>
        </w:rPr>
        <w:t>damages</w:t>
      </w:r>
      <w:r w:rsidR="00F85187">
        <w:rPr>
          <w:sz w:val="24"/>
          <w:szCs w:val="24"/>
        </w:rPr>
        <w:t xml:space="preserve"> as set forth in the formal complaint, a</w:t>
      </w:r>
      <w:r>
        <w:rPr>
          <w:sz w:val="24"/>
          <w:szCs w:val="24"/>
        </w:rPr>
        <w:t>s it relates to service and/or safety issues, is denied.</w:t>
      </w:r>
    </w:p>
    <w:p w:rsidR="00FD3DA3" w:rsidRDefault="00FD3DA3" w:rsidP="00FD3DA3">
      <w:pPr>
        <w:spacing w:line="360" w:lineRule="auto"/>
        <w:rPr>
          <w:sz w:val="24"/>
          <w:szCs w:val="24"/>
        </w:rPr>
      </w:pPr>
    </w:p>
    <w:p w:rsidR="00FD3DA3" w:rsidRDefault="002419D4" w:rsidP="00FD3DA3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D3DA3">
        <w:rPr>
          <w:sz w:val="24"/>
          <w:szCs w:val="24"/>
        </w:rPr>
        <w:t xml:space="preserve">Accordingly, the request to </w:t>
      </w:r>
      <w:r w:rsidR="00D42F53">
        <w:rPr>
          <w:sz w:val="24"/>
          <w:szCs w:val="24"/>
        </w:rPr>
        <w:t xml:space="preserve">dismiss </w:t>
      </w:r>
      <w:r w:rsidR="00A04D0B">
        <w:rPr>
          <w:sz w:val="24"/>
          <w:szCs w:val="24"/>
        </w:rPr>
        <w:t xml:space="preserve">Complainant’s claim for the award of money damages </w:t>
      </w:r>
      <w:r w:rsidR="00FD3DA3">
        <w:rPr>
          <w:sz w:val="24"/>
          <w:szCs w:val="24"/>
        </w:rPr>
        <w:t xml:space="preserve">is </w:t>
      </w:r>
      <w:r w:rsidR="00A04D0B">
        <w:rPr>
          <w:sz w:val="24"/>
          <w:szCs w:val="24"/>
        </w:rPr>
        <w:t xml:space="preserve">granted, however, Complainant will be permitted to introduce any admissible evidence as it relates to alleged service related conduct of the Respondent.  </w:t>
      </w:r>
    </w:p>
    <w:p w:rsidR="00FD3DA3" w:rsidRDefault="00FD3DA3" w:rsidP="00660A23">
      <w:pPr>
        <w:spacing w:line="360" w:lineRule="auto"/>
        <w:ind w:firstLine="720"/>
        <w:rPr>
          <w:sz w:val="24"/>
          <w:szCs w:val="24"/>
        </w:rPr>
      </w:pPr>
    </w:p>
    <w:p w:rsidR="00964981" w:rsidRPr="00964981" w:rsidRDefault="00D85C8F" w:rsidP="0096498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964981" w:rsidRPr="00964981">
        <w:rPr>
          <w:sz w:val="24"/>
          <w:szCs w:val="24"/>
        </w:rPr>
        <w:t>THEREFORE</w:t>
      </w:r>
      <w:r w:rsidR="00AA08A3">
        <w:rPr>
          <w:sz w:val="24"/>
          <w:szCs w:val="24"/>
        </w:rPr>
        <w:t>,</w:t>
      </w:r>
    </w:p>
    <w:p w:rsidR="003654BA" w:rsidRPr="00964981" w:rsidRDefault="003654BA" w:rsidP="00964981">
      <w:pPr>
        <w:spacing w:line="360" w:lineRule="auto"/>
        <w:ind w:firstLine="720"/>
        <w:rPr>
          <w:sz w:val="24"/>
          <w:szCs w:val="24"/>
        </w:rPr>
      </w:pPr>
    </w:p>
    <w:p w:rsidR="00964981" w:rsidRPr="00964981" w:rsidRDefault="00964981" w:rsidP="00964981">
      <w:pPr>
        <w:spacing w:line="360" w:lineRule="auto"/>
        <w:ind w:firstLine="720"/>
        <w:rPr>
          <w:sz w:val="24"/>
          <w:szCs w:val="24"/>
        </w:rPr>
      </w:pPr>
      <w:r w:rsidRPr="00964981">
        <w:rPr>
          <w:sz w:val="24"/>
          <w:szCs w:val="24"/>
        </w:rPr>
        <w:tab/>
        <w:t>IT IS ORDERED:</w:t>
      </w:r>
    </w:p>
    <w:p w:rsidR="003654BA" w:rsidRPr="00964981" w:rsidRDefault="003654BA" w:rsidP="00964981">
      <w:pPr>
        <w:spacing w:line="360" w:lineRule="auto"/>
        <w:ind w:firstLine="720"/>
        <w:rPr>
          <w:sz w:val="24"/>
          <w:szCs w:val="24"/>
        </w:rPr>
      </w:pPr>
    </w:p>
    <w:p w:rsidR="0076675C" w:rsidRDefault="00964981" w:rsidP="00F22704">
      <w:pPr>
        <w:pStyle w:val="ListParagraph"/>
        <w:numPr>
          <w:ilvl w:val="0"/>
          <w:numId w:val="4"/>
        </w:numPr>
        <w:spacing w:line="360" w:lineRule="auto"/>
        <w:ind w:left="90" w:firstLine="1350"/>
        <w:rPr>
          <w:sz w:val="24"/>
          <w:szCs w:val="24"/>
        </w:rPr>
      </w:pPr>
      <w:r w:rsidRPr="0076675C">
        <w:rPr>
          <w:sz w:val="24"/>
          <w:szCs w:val="24"/>
        </w:rPr>
        <w:t xml:space="preserve">That the </w:t>
      </w:r>
      <w:r w:rsidR="00C30BE0" w:rsidRPr="0076675C">
        <w:rPr>
          <w:sz w:val="24"/>
          <w:szCs w:val="24"/>
        </w:rPr>
        <w:t>preliminary objection</w:t>
      </w:r>
      <w:r w:rsidR="00302459">
        <w:rPr>
          <w:sz w:val="24"/>
          <w:szCs w:val="24"/>
        </w:rPr>
        <w:t>s</w:t>
      </w:r>
      <w:r w:rsidR="00C30BE0" w:rsidRPr="0076675C">
        <w:rPr>
          <w:sz w:val="24"/>
          <w:szCs w:val="24"/>
        </w:rPr>
        <w:t xml:space="preserve"> of</w:t>
      </w:r>
      <w:r w:rsidR="00D85C8F" w:rsidRPr="0076675C">
        <w:rPr>
          <w:sz w:val="24"/>
          <w:szCs w:val="24"/>
        </w:rPr>
        <w:t xml:space="preserve"> </w:t>
      </w:r>
      <w:r w:rsidR="0076601E">
        <w:rPr>
          <w:sz w:val="24"/>
          <w:szCs w:val="24"/>
        </w:rPr>
        <w:t xml:space="preserve">Duquesne Light </w:t>
      </w:r>
      <w:r w:rsidR="003654BA">
        <w:rPr>
          <w:sz w:val="24"/>
        </w:rPr>
        <w:t>Company</w:t>
      </w:r>
      <w:r w:rsidR="003654BA">
        <w:rPr>
          <w:sz w:val="24"/>
          <w:szCs w:val="24"/>
        </w:rPr>
        <w:t xml:space="preserve"> </w:t>
      </w:r>
      <w:r w:rsidR="00302459">
        <w:rPr>
          <w:sz w:val="24"/>
          <w:szCs w:val="24"/>
        </w:rPr>
        <w:t xml:space="preserve">are </w:t>
      </w:r>
      <w:r w:rsidR="007A04B1" w:rsidRPr="0076675C">
        <w:rPr>
          <w:sz w:val="24"/>
          <w:szCs w:val="24"/>
        </w:rPr>
        <w:t>granted in part and denied in part.  R</w:t>
      </w:r>
      <w:r w:rsidR="0076675C" w:rsidRPr="0076675C">
        <w:rPr>
          <w:sz w:val="24"/>
          <w:szCs w:val="24"/>
        </w:rPr>
        <w:t>e</w:t>
      </w:r>
      <w:r w:rsidR="007A04B1" w:rsidRPr="0076675C">
        <w:rPr>
          <w:sz w:val="24"/>
          <w:szCs w:val="24"/>
        </w:rPr>
        <w:t>spondent’s motion to strike Complainant’s request for money damages is granted.</w:t>
      </w:r>
    </w:p>
    <w:p w:rsidR="003654BA" w:rsidRDefault="003654BA" w:rsidP="00644D86">
      <w:pPr>
        <w:pStyle w:val="ListParagraph"/>
        <w:spacing w:line="360" w:lineRule="auto"/>
        <w:ind w:left="1440"/>
        <w:rPr>
          <w:sz w:val="24"/>
          <w:szCs w:val="24"/>
        </w:rPr>
      </w:pPr>
    </w:p>
    <w:p w:rsidR="007A04B1" w:rsidRDefault="007A04B1" w:rsidP="00F22704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 w:rsidRPr="0076675C">
        <w:rPr>
          <w:sz w:val="24"/>
          <w:szCs w:val="24"/>
        </w:rPr>
        <w:t>Th</w:t>
      </w:r>
      <w:r w:rsidR="00F22704">
        <w:rPr>
          <w:sz w:val="24"/>
          <w:szCs w:val="24"/>
        </w:rPr>
        <w:t>at th</w:t>
      </w:r>
      <w:r w:rsidRPr="0076675C">
        <w:rPr>
          <w:sz w:val="24"/>
          <w:szCs w:val="24"/>
        </w:rPr>
        <w:t xml:space="preserve">e preliminary objection of </w:t>
      </w:r>
      <w:r w:rsidR="0076601E">
        <w:rPr>
          <w:sz w:val="24"/>
          <w:szCs w:val="24"/>
        </w:rPr>
        <w:t xml:space="preserve">Duquesne Light </w:t>
      </w:r>
      <w:r w:rsidR="003654BA">
        <w:rPr>
          <w:sz w:val="24"/>
        </w:rPr>
        <w:t>Company</w:t>
      </w:r>
      <w:r w:rsidR="0076601E">
        <w:rPr>
          <w:sz w:val="24"/>
        </w:rPr>
        <w:t xml:space="preserve">, to the extent that they </w:t>
      </w:r>
      <w:r w:rsidRPr="0076675C">
        <w:rPr>
          <w:sz w:val="24"/>
          <w:szCs w:val="24"/>
        </w:rPr>
        <w:t xml:space="preserve">seek an </w:t>
      </w:r>
      <w:r w:rsidR="00142CCA">
        <w:rPr>
          <w:sz w:val="24"/>
          <w:szCs w:val="24"/>
        </w:rPr>
        <w:t>o</w:t>
      </w:r>
      <w:r w:rsidRPr="0076675C">
        <w:rPr>
          <w:sz w:val="24"/>
          <w:szCs w:val="24"/>
        </w:rPr>
        <w:t xml:space="preserve">rder prohibiting the introduction of any testimony or evidence </w:t>
      </w:r>
      <w:r w:rsidR="00564124">
        <w:rPr>
          <w:sz w:val="24"/>
          <w:szCs w:val="24"/>
        </w:rPr>
        <w:t xml:space="preserve">purporting to address money damages at the hearing in this matter, </w:t>
      </w:r>
      <w:r w:rsidRPr="0076675C">
        <w:rPr>
          <w:sz w:val="24"/>
          <w:szCs w:val="24"/>
        </w:rPr>
        <w:t xml:space="preserve">is </w:t>
      </w:r>
      <w:r w:rsidR="00564124">
        <w:rPr>
          <w:sz w:val="24"/>
          <w:szCs w:val="24"/>
        </w:rPr>
        <w:t>denied</w:t>
      </w:r>
      <w:r w:rsidRPr="0076675C">
        <w:rPr>
          <w:sz w:val="24"/>
          <w:szCs w:val="24"/>
        </w:rPr>
        <w:t>.</w:t>
      </w:r>
    </w:p>
    <w:p w:rsidR="009F015E" w:rsidRDefault="009F015E" w:rsidP="009F015E">
      <w:pPr>
        <w:spacing w:line="360" w:lineRule="auto"/>
        <w:rPr>
          <w:sz w:val="24"/>
          <w:szCs w:val="24"/>
        </w:rPr>
      </w:pPr>
    </w:p>
    <w:p w:rsidR="009F015E" w:rsidRPr="009F015E" w:rsidRDefault="009F015E" w:rsidP="00F6425F">
      <w:pPr>
        <w:pStyle w:val="ListParagraph"/>
        <w:numPr>
          <w:ilvl w:val="0"/>
          <w:numId w:val="4"/>
        </w:numPr>
        <w:spacing w:line="360" w:lineRule="auto"/>
        <w:ind w:left="0" w:firstLine="1440"/>
        <w:rPr>
          <w:sz w:val="24"/>
          <w:szCs w:val="24"/>
        </w:rPr>
      </w:pPr>
      <w:r w:rsidRPr="009F015E">
        <w:rPr>
          <w:sz w:val="24"/>
          <w:szCs w:val="24"/>
        </w:rPr>
        <w:t xml:space="preserve">That Complainant </w:t>
      </w:r>
      <w:r w:rsidR="0076601E">
        <w:rPr>
          <w:sz w:val="24"/>
          <w:szCs w:val="24"/>
        </w:rPr>
        <w:t xml:space="preserve">Donna Walker’s </w:t>
      </w:r>
      <w:r w:rsidRPr="009F015E">
        <w:rPr>
          <w:sz w:val="24"/>
          <w:szCs w:val="24"/>
        </w:rPr>
        <w:t>requested relief is stricken from h</w:t>
      </w:r>
      <w:r w:rsidR="00302459">
        <w:rPr>
          <w:sz w:val="24"/>
          <w:szCs w:val="24"/>
        </w:rPr>
        <w:t>er</w:t>
      </w:r>
      <w:r w:rsidRPr="009F015E">
        <w:rPr>
          <w:sz w:val="24"/>
          <w:szCs w:val="24"/>
        </w:rPr>
        <w:t xml:space="preserve"> Formal Complaint filed at Docket No. C-2015-25</w:t>
      </w:r>
      <w:r w:rsidR="00302459">
        <w:rPr>
          <w:sz w:val="24"/>
          <w:szCs w:val="24"/>
        </w:rPr>
        <w:t>1</w:t>
      </w:r>
      <w:r w:rsidR="0076601E">
        <w:rPr>
          <w:sz w:val="24"/>
          <w:szCs w:val="24"/>
        </w:rPr>
        <w:t>4324</w:t>
      </w:r>
      <w:r w:rsidRPr="009F015E">
        <w:rPr>
          <w:sz w:val="24"/>
          <w:szCs w:val="24"/>
        </w:rPr>
        <w:t xml:space="preserve"> to the extent Complainant is requesting that the Commission grant h</w:t>
      </w:r>
      <w:r w:rsidR="00302459">
        <w:rPr>
          <w:sz w:val="24"/>
          <w:szCs w:val="24"/>
        </w:rPr>
        <w:t>er</w:t>
      </w:r>
      <w:r w:rsidRPr="009F015E">
        <w:rPr>
          <w:sz w:val="24"/>
          <w:szCs w:val="24"/>
        </w:rPr>
        <w:t xml:space="preserve"> relief in the form of money damages against</w:t>
      </w:r>
      <w:r w:rsidR="00302459">
        <w:rPr>
          <w:sz w:val="24"/>
          <w:szCs w:val="24"/>
        </w:rPr>
        <w:t xml:space="preserve"> Respondent, </w:t>
      </w:r>
      <w:r w:rsidR="0076601E">
        <w:rPr>
          <w:sz w:val="24"/>
          <w:szCs w:val="24"/>
        </w:rPr>
        <w:t xml:space="preserve">Duquesne Light </w:t>
      </w:r>
      <w:r w:rsidRPr="009F015E">
        <w:rPr>
          <w:sz w:val="24"/>
          <w:szCs w:val="24"/>
        </w:rPr>
        <w:t>Company.</w:t>
      </w:r>
    </w:p>
    <w:p w:rsidR="00302459" w:rsidRDefault="00302459" w:rsidP="00302459">
      <w:pPr>
        <w:pStyle w:val="ListParagraph"/>
        <w:spacing w:line="360" w:lineRule="auto"/>
        <w:ind w:left="2880"/>
        <w:rPr>
          <w:sz w:val="24"/>
          <w:szCs w:val="24"/>
        </w:rPr>
      </w:pPr>
    </w:p>
    <w:p w:rsidR="00332CA0" w:rsidRPr="0076675C" w:rsidRDefault="00332CA0" w:rsidP="00F22704">
      <w:pPr>
        <w:tabs>
          <w:tab w:val="left" w:pos="0"/>
        </w:tabs>
        <w:spacing w:line="360" w:lineRule="auto"/>
        <w:ind w:left="1440"/>
        <w:jc w:val="both"/>
        <w:rPr>
          <w:sz w:val="24"/>
          <w:szCs w:val="24"/>
        </w:rPr>
      </w:pPr>
    </w:p>
    <w:p w:rsidR="00560DC5" w:rsidRDefault="00560DC5" w:rsidP="00F22704">
      <w:pPr>
        <w:tabs>
          <w:tab w:val="left" w:pos="0"/>
        </w:tabs>
        <w:spacing w:line="360" w:lineRule="auto"/>
        <w:ind w:left="1440"/>
        <w:jc w:val="both"/>
        <w:rPr>
          <w:sz w:val="24"/>
        </w:rPr>
      </w:pPr>
    </w:p>
    <w:p w:rsidR="00332CA0" w:rsidRDefault="00332CA0" w:rsidP="00560DC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Date:  </w:t>
      </w:r>
      <w:r w:rsidR="00021111" w:rsidRPr="00F22704">
        <w:rPr>
          <w:sz w:val="24"/>
          <w:u w:val="single"/>
        </w:rPr>
        <w:t xml:space="preserve">January </w:t>
      </w:r>
      <w:r w:rsidR="00302459">
        <w:rPr>
          <w:sz w:val="24"/>
          <w:u w:val="single"/>
        </w:rPr>
        <w:t>1</w:t>
      </w:r>
      <w:r w:rsidR="0076601E">
        <w:rPr>
          <w:sz w:val="24"/>
          <w:u w:val="single"/>
        </w:rPr>
        <w:t xml:space="preserve">4, </w:t>
      </w:r>
      <w:r w:rsidR="00021111" w:rsidRPr="00F22704">
        <w:rPr>
          <w:sz w:val="24"/>
          <w:u w:val="single"/>
        </w:rPr>
        <w:t>201</w:t>
      </w:r>
      <w:r w:rsidR="003654BA">
        <w:rPr>
          <w:sz w:val="24"/>
          <w:u w:val="single"/>
        </w:rPr>
        <w:t>6</w:t>
      </w:r>
      <w:r w:rsidR="008304B7">
        <w:rPr>
          <w:sz w:val="24"/>
        </w:rPr>
        <w:t xml:space="preserve">                 </w:t>
      </w:r>
      <w:r w:rsidR="0082264A">
        <w:rPr>
          <w:sz w:val="24"/>
        </w:rPr>
        <w:tab/>
      </w:r>
      <w:r w:rsidR="0082264A">
        <w:rPr>
          <w:sz w:val="24"/>
        </w:rPr>
        <w:tab/>
      </w:r>
      <w:r>
        <w:rPr>
          <w:sz w:val="24"/>
        </w:rPr>
        <w:tab/>
      </w:r>
      <w:r w:rsidR="00F22704">
        <w:rPr>
          <w:sz w:val="24"/>
        </w:rPr>
        <w:tab/>
      </w:r>
      <w:r>
        <w:rPr>
          <w:sz w:val="24"/>
        </w:rPr>
        <w:t>______________________________</w:t>
      </w:r>
    </w:p>
    <w:p w:rsidR="00247900" w:rsidRDefault="00332CA0" w:rsidP="00560DC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264A">
        <w:rPr>
          <w:sz w:val="24"/>
        </w:rPr>
        <w:tab/>
      </w:r>
      <w:r>
        <w:rPr>
          <w:sz w:val="24"/>
        </w:rPr>
        <w:tab/>
      </w:r>
      <w:r w:rsidR="00F22704">
        <w:rPr>
          <w:sz w:val="24"/>
        </w:rPr>
        <w:tab/>
      </w:r>
      <w:r w:rsidR="008304B7">
        <w:rPr>
          <w:sz w:val="24"/>
        </w:rPr>
        <w:t>Jeffrey A. Watson</w:t>
      </w:r>
    </w:p>
    <w:p w:rsidR="00C67D69" w:rsidRDefault="00332CA0" w:rsidP="00302459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82264A">
        <w:rPr>
          <w:sz w:val="24"/>
        </w:rPr>
        <w:tab/>
      </w:r>
      <w:r>
        <w:rPr>
          <w:sz w:val="24"/>
        </w:rPr>
        <w:tab/>
      </w:r>
      <w:r w:rsidR="00A70419">
        <w:rPr>
          <w:sz w:val="24"/>
        </w:rPr>
        <w:tab/>
      </w:r>
      <w:r w:rsidR="00A70419">
        <w:rPr>
          <w:sz w:val="24"/>
        </w:rPr>
        <w:tab/>
      </w:r>
      <w:r w:rsidR="00A70419">
        <w:rPr>
          <w:sz w:val="24"/>
        </w:rPr>
        <w:tab/>
      </w:r>
      <w:r w:rsidR="00A70419">
        <w:rPr>
          <w:sz w:val="24"/>
        </w:rPr>
        <w:tab/>
      </w:r>
      <w:r w:rsidR="00F22704">
        <w:rPr>
          <w:sz w:val="24"/>
        </w:rPr>
        <w:tab/>
      </w:r>
      <w:r>
        <w:rPr>
          <w:sz w:val="24"/>
        </w:rPr>
        <w:t>Administrative Law Judge</w:t>
      </w:r>
    </w:p>
    <w:p w:rsidR="00C67D69" w:rsidRDefault="00C67D69">
      <w:pPr>
        <w:rPr>
          <w:sz w:val="24"/>
        </w:rPr>
      </w:pPr>
      <w:r>
        <w:rPr>
          <w:sz w:val="24"/>
        </w:rPr>
        <w:br w:type="page"/>
      </w:r>
    </w:p>
    <w:p w:rsidR="00C67D69" w:rsidRDefault="00C67D69" w:rsidP="00C67D69">
      <w:pPr>
        <w:contextualSpacing/>
        <w:rPr>
          <w:rFonts w:ascii="Microsoft Sans Serif"/>
          <w:b/>
          <w:sz w:val="24"/>
          <w:u w:val="single"/>
        </w:rPr>
        <w:sectPr w:rsidR="00C67D69" w:rsidSect="00AC79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C67D69" w:rsidRPr="00931BD6" w:rsidRDefault="00C67D69" w:rsidP="00C67D69">
      <w:pPr>
        <w:contextualSpacing/>
        <w:rPr>
          <w:rFonts w:ascii="Microsoft Sans Serif"/>
          <w:sz w:val="24"/>
        </w:rPr>
      </w:pPr>
      <w:bookmarkStart w:id="0" w:name="_GoBack"/>
      <w:bookmarkEnd w:id="0"/>
      <w:r>
        <w:rPr>
          <w:rFonts w:ascii="Microsoft Sans Serif"/>
          <w:b/>
          <w:sz w:val="24"/>
          <w:u w:val="single"/>
        </w:rPr>
        <w:lastRenderedPageBreak/>
        <w:t>C-2015-2514324 - DONNA WALKER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DONNA WALKER</w:t>
      </w:r>
      <w:r>
        <w:rPr>
          <w:rFonts w:ascii="Microsoft Sans Serif"/>
          <w:sz w:val="24"/>
        </w:rPr>
        <w:cr/>
        <w:t>426 BLACK WALNUT LANE</w:t>
      </w:r>
      <w:r>
        <w:rPr>
          <w:rFonts w:ascii="Microsoft Sans Serif"/>
          <w:sz w:val="24"/>
        </w:rPr>
        <w:cr/>
        <w:t>GLENSHAW PA  15116</w:t>
      </w:r>
      <w:r>
        <w:rPr>
          <w:rFonts w:ascii="Microsoft Sans Serif"/>
          <w:sz w:val="24"/>
        </w:rPr>
        <w:cr/>
        <w:t>412.519.2304</w:t>
      </w:r>
      <w:r>
        <w:rPr>
          <w:rFonts w:ascii="Microsoft Sans Serif"/>
          <w:sz w:val="24"/>
        </w:rPr>
        <w:cr/>
      </w:r>
    </w:p>
    <w:p w:rsidR="00C67D69" w:rsidRDefault="00C67D69" w:rsidP="00C67D6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JEREMY V FARRELL </w:t>
      </w:r>
      <w:proofErr w:type="gramStart"/>
      <w:r>
        <w:rPr>
          <w:rFonts w:ascii="Microsoft Sans Serif"/>
          <w:sz w:val="24"/>
        </w:rPr>
        <w:t xml:space="preserve">ESQUIRE </w:t>
      </w:r>
      <w:r>
        <w:rPr>
          <w:rFonts w:ascii="Microsoft Sans Serif"/>
          <w:sz w:val="24"/>
        </w:rPr>
        <w:cr/>
        <w:t>LAUREN</w:t>
      </w:r>
      <w:proofErr w:type="gramEnd"/>
      <w:r>
        <w:rPr>
          <w:rFonts w:ascii="Microsoft Sans Serif"/>
          <w:sz w:val="24"/>
        </w:rPr>
        <w:t xml:space="preserve"> N WOLESLAGLE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</w:p>
    <w:p w:rsidR="00C67D69" w:rsidRPr="00931BD6" w:rsidRDefault="00C67D69" w:rsidP="00C67D69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412.594.3938</w:t>
      </w:r>
      <w:r>
        <w:rPr>
          <w:rFonts w:ascii="Microsoft Sans Serif"/>
          <w:sz w:val="24"/>
        </w:rPr>
        <w:cr/>
        <w:t>412.594.5510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C67D69" w:rsidRDefault="00C67D69" w:rsidP="00C67D69">
      <w:pPr>
        <w:contextualSpacing/>
        <w:rPr>
          <w:rFonts w:ascii="Microsoft Sans Serif"/>
          <w:sz w:val="24"/>
        </w:rPr>
      </w:pPr>
    </w:p>
    <w:p w:rsidR="00C67D69" w:rsidRDefault="00C67D69" w:rsidP="00C67D69"/>
    <w:p w:rsidR="00F01AF1" w:rsidRPr="00FD0374" w:rsidRDefault="00F01AF1" w:rsidP="00302459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F01AF1" w:rsidRPr="00FD0374" w:rsidSect="00AC793D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5E" w:rsidRDefault="00D44F5E">
      <w:r>
        <w:separator/>
      </w:r>
    </w:p>
  </w:endnote>
  <w:endnote w:type="continuationSeparator" w:id="0">
    <w:p w:rsidR="00D44F5E" w:rsidRDefault="00D4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E2" w:rsidRDefault="00765D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0E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0EE2">
      <w:rPr>
        <w:rStyle w:val="PageNumber"/>
        <w:noProof/>
      </w:rPr>
      <w:t>1</w:t>
    </w:r>
    <w:r>
      <w:rPr>
        <w:rStyle w:val="PageNumber"/>
      </w:rPr>
      <w:fldChar w:fldCharType="end"/>
    </w:r>
  </w:p>
  <w:p w:rsidR="00140EE2" w:rsidRDefault="00140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62954"/>
      <w:docPartObj>
        <w:docPartGallery w:val="Page Numbers (Bottom of Page)"/>
        <w:docPartUnique/>
      </w:docPartObj>
    </w:sdtPr>
    <w:sdtEndPr/>
    <w:sdtContent>
      <w:p w:rsidR="00140EE2" w:rsidRDefault="00805C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0EE2" w:rsidRDefault="00140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5E" w:rsidRDefault="00D44F5E">
      <w:r>
        <w:separator/>
      </w:r>
    </w:p>
  </w:footnote>
  <w:footnote w:type="continuationSeparator" w:id="0">
    <w:p w:rsidR="00D44F5E" w:rsidRDefault="00D44F5E">
      <w:r>
        <w:continuationSeparator/>
      </w:r>
    </w:p>
  </w:footnote>
  <w:footnote w:id="1">
    <w:p w:rsidR="007A04B1" w:rsidRDefault="007A04B1" w:rsidP="007A04B1">
      <w:pPr>
        <w:pStyle w:val="FootnoteText"/>
      </w:pPr>
      <w:r>
        <w:rPr>
          <w:rStyle w:val="FootnoteReference"/>
        </w:rPr>
        <w:footnoteRef/>
      </w:r>
      <w:r w:rsidRPr="00963712">
        <w:t xml:space="preserve"> </w:t>
      </w:r>
      <w:r>
        <w:tab/>
      </w:r>
      <w:r w:rsidRPr="00963712">
        <w:rPr>
          <w:i/>
        </w:rPr>
        <w:t xml:space="preserve"> </w:t>
      </w:r>
      <w:proofErr w:type="gramStart"/>
      <w:r w:rsidRPr="00963712">
        <w:rPr>
          <w:i/>
        </w:rPr>
        <w:t>Elkin v. Bell Telephone Company of Pennsylvania</w:t>
      </w:r>
      <w:r>
        <w:t xml:space="preserve">, 491 Pa. 123, 420 A.2d 371 (1980); </w:t>
      </w:r>
      <w:r w:rsidRPr="00963712">
        <w:rPr>
          <w:i/>
        </w:rPr>
        <w:t>Feingold v. Bell of Pennsylvania</w:t>
      </w:r>
      <w:r>
        <w:t xml:space="preserve">, 477 Pa. 1, 383 A.2d 791 (1977); </w:t>
      </w:r>
      <w:proofErr w:type="spellStart"/>
      <w:r>
        <w:rPr>
          <w:i/>
        </w:rPr>
        <w:t>Poorbaugh</w:t>
      </w:r>
      <w:proofErr w:type="spellEnd"/>
      <w:r>
        <w:rPr>
          <w:i/>
        </w:rPr>
        <w:t xml:space="preserve"> v. </w:t>
      </w:r>
      <w:r w:rsidR="0041612F">
        <w:rPr>
          <w:i/>
        </w:rPr>
        <w:t xml:space="preserve">Pa. </w:t>
      </w:r>
      <w:r>
        <w:rPr>
          <w:i/>
        </w:rPr>
        <w:t>Pub</w:t>
      </w:r>
      <w:r w:rsidR="00441A84">
        <w:rPr>
          <w:i/>
        </w:rPr>
        <w:t>.</w:t>
      </w:r>
      <w:proofErr w:type="gramEnd"/>
      <w:r w:rsidR="00441A84">
        <w:rPr>
          <w:i/>
        </w:rPr>
        <w:t xml:space="preserve"> </w:t>
      </w:r>
      <w:proofErr w:type="gramStart"/>
      <w:r w:rsidR="00441A84">
        <w:rPr>
          <w:i/>
        </w:rPr>
        <w:t xml:space="preserve">Util. </w:t>
      </w:r>
      <w:proofErr w:type="spellStart"/>
      <w:r w:rsidR="00441A84">
        <w:rPr>
          <w:i/>
        </w:rPr>
        <w:t>Comm’n</w:t>
      </w:r>
      <w:proofErr w:type="spellEnd"/>
      <w:r>
        <w:t>, 666 A.2d 744 (</w:t>
      </w:r>
      <w:proofErr w:type="spellStart"/>
      <w:r>
        <w:t>Pa.Cmwlth</w:t>
      </w:r>
      <w:proofErr w:type="spellEnd"/>
      <w:r>
        <w:t>. 1995).</w:t>
      </w:r>
      <w:proofErr w:type="gramEnd"/>
    </w:p>
    <w:p w:rsidR="007A04B1" w:rsidRPr="00963712" w:rsidRDefault="007A04B1" w:rsidP="007A04B1">
      <w:pPr>
        <w:pStyle w:val="FootnoteText"/>
      </w:pPr>
    </w:p>
  </w:footnote>
  <w:footnote w:id="2">
    <w:p w:rsidR="007A04B1" w:rsidRDefault="007A04B1" w:rsidP="007A04B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§ 1501.</w:t>
      </w:r>
    </w:p>
    <w:p w:rsidR="007A04B1" w:rsidRDefault="007A04B1" w:rsidP="007A04B1">
      <w:pPr>
        <w:pStyle w:val="FootnoteText"/>
      </w:pPr>
    </w:p>
  </w:footnote>
  <w:footnote w:id="3">
    <w:p w:rsidR="007A04B1" w:rsidRDefault="007A04B1" w:rsidP="007A04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</w:t>
      </w:r>
      <w:proofErr w:type="gramStart"/>
      <w:r>
        <w:t>§§ 501, 1501.</w:t>
      </w:r>
      <w:proofErr w:type="gramEnd"/>
    </w:p>
    <w:p w:rsidR="007A04B1" w:rsidRDefault="007A04B1" w:rsidP="007A04B1">
      <w:pPr>
        <w:pStyle w:val="FootnoteText"/>
      </w:pPr>
    </w:p>
  </w:footnote>
  <w:footnote w:id="4">
    <w:p w:rsidR="007A04B1" w:rsidRDefault="007A04B1" w:rsidP="007A04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§ 3301.</w:t>
      </w:r>
    </w:p>
    <w:p w:rsidR="007A04B1" w:rsidRDefault="007A04B1" w:rsidP="007A04B1">
      <w:pPr>
        <w:pStyle w:val="FootnoteText"/>
      </w:pPr>
    </w:p>
  </w:footnote>
  <w:footnote w:id="5">
    <w:p w:rsidR="007A04B1" w:rsidRPr="00C27E2C" w:rsidRDefault="007A04B1" w:rsidP="007A04B1">
      <w:pPr>
        <w:pStyle w:val="FootnoteText"/>
        <w:rPr>
          <w:i/>
        </w:rPr>
      </w:pPr>
      <w:r>
        <w:rPr>
          <w:rStyle w:val="FootnoteReference"/>
        </w:rPr>
        <w:footnoteRef/>
      </w:r>
      <w:r>
        <w:tab/>
      </w:r>
      <w:proofErr w:type="gramStart"/>
      <w:r>
        <w:t xml:space="preserve">66 </w:t>
      </w:r>
      <w:proofErr w:type="spellStart"/>
      <w:r>
        <w:t>Pa.C.S</w:t>
      </w:r>
      <w:proofErr w:type="spellEnd"/>
      <w:r>
        <w:t>.</w:t>
      </w:r>
      <w:proofErr w:type="gramEnd"/>
      <w:r>
        <w:t xml:space="preserve"> § 102 (defining “service”); </w:t>
      </w:r>
      <w:r w:rsidRPr="004B1BEE">
        <w:rPr>
          <w:i/>
        </w:rPr>
        <w:t>West Penn Power Co. v. Pa. P</w:t>
      </w:r>
      <w:r w:rsidR="0088481E">
        <w:rPr>
          <w:i/>
        </w:rPr>
        <w:t xml:space="preserve">ub. </w:t>
      </w:r>
      <w:proofErr w:type="gramStart"/>
      <w:r w:rsidR="0088481E">
        <w:rPr>
          <w:i/>
        </w:rPr>
        <w:t>Util. Comm’n</w:t>
      </w:r>
      <w:r w:rsidRPr="004B1BEE">
        <w:rPr>
          <w:i/>
        </w:rPr>
        <w:t>,</w:t>
      </w:r>
      <w:r w:rsidRPr="004B1BEE">
        <w:t xml:space="preserve"> 578 A.2d 75 (</w:t>
      </w:r>
      <w:proofErr w:type="spellStart"/>
      <w:r w:rsidRPr="004B1BEE">
        <w:t>Pa</w:t>
      </w:r>
      <w:r w:rsidR="006E2026">
        <w:t>.</w:t>
      </w:r>
      <w:r w:rsidRPr="004B1BEE">
        <w:t>Cmwlth</w:t>
      </w:r>
      <w:proofErr w:type="spellEnd"/>
      <w:r w:rsidRPr="004B1BEE">
        <w:t>. 1990)</w:t>
      </w:r>
      <w:r>
        <w:t xml:space="preserve">; </w:t>
      </w:r>
      <w:r>
        <w:rPr>
          <w:i/>
        </w:rPr>
        <w:t>McCall v. Pennsylvania Electric Company</w:t>
      </w:r>
      <w:r>
        <w:t>, PUC Docket No.</w:t>
      </w:r>
      <w:proofErr w:type="gramEnd"/>
      <w:r>
        <w:t xml:space="preserve"> </w:t>
      </w:r>
      <w:r w:rsidRPr="00C27E2C">
        <w:t>C-2009-2105240</w:t>
      </w:r>
      <w:r>
        <w:t xml:space="preserve"> (Initial Decision issued February 25, 2010)</w:t>
      </w:r>
      <w:r w:rsidRPr="00C27E2C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714"/>
    <w:multiLevelType w:val="hybridMultilevel"/>
    <w:tmpl w:val="91145106"/>
    <w:lvl w:ilvl="0" w:tplc="4DC26824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616D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5DF30699"/>
    <w:multiLevelType w:val="hybridMultilevel"/>
    <w:tmpl w:val="F54AB864"/>
    <w:lvl w:ilvl="0" w:tplc="3BE413F4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332CA0"/>
    <w:rsid w:val="0000597A"/>
    <w:rsid w:val="0001497D"/>
    <w:rsid w:val="00021111"/>
    <w:rsid w:val="00041307"/>
    <w:rsid w:val="00051366"/>
    <w:rsid w:val="00076AB6"/>
    <w:rsid w:val="000832AD"/>
    <w:rsid w:val="00086679"/>
    <w:rsid w:val="000B24C9"/>
    <w:rsid w:val="000E6C11"/>
    <w:rsid w:val="00114D1E"/>
    <w:rsid w:val="0011620F"/>
    <w:rsid w:val="00130A85"/>
    <w:rsid w:val="00140EE2"/>
    <w:rsid w:val="001426FE"/>
    <w:rsid w:val="00142CCA"/>
    <w:rsid w:val="00145A50"/>
    <w:rsid w:val="00150015"/>
    <w:rsid w:val="001601CE"/>
    <w:rsid w:val="0017554E"/>
    <w:rsid w:val="00194F68"/>
    <w:rsid w:val="001A00E0"/>
    <w:rsid w:val="001C037C"/>
    <w:rsid w:val="001E2F27"/>
    <w:rsid w:val="001E59B9"/>
    <w:rsid w:val="001E685C"/>
    <w:rsid w:val="001E7357"/>
    <w:rsid w:val="001F14EB"/>
    <w:rsid w:val="001F31AC"/>
    <w:rsid w:val="002030F8"/>
    <w:rsid w:val="00232255"/>
    <w:rsid w:val="00234D44"/>
    <w:rsid w:val="002419D4"/>
    <w:rsid w:val="00244AAF"/>
    <w:rsid w:val="00247900"/>
    <w:rsid w:val="00256B89"/>
    <w:rsid w:val="00256C0B"/>
    <w:rsid w:val="0026268C"/>
    <w:rsid w:val="00273ABB"/>
    <w:rsid w:val="002743A5"/>
    <w:rsid w:val="002752FE"/>
    <w:rsid w:val="00275476"/>
    <w:rsid w:val="0029228A"/>
    <w:rsid w:val="0029487D"/>
    <w:rsid w:val="002959E7"/>
    <w:rsid w:val="002975AE"/>
    <w:rsid w:val="002A4A3B"/>
    <w:rsid w:val="002A7628"/>
    <w:rsid w:val="002C22B0"/>
    <w:rsid w:val="002C3656"/>
    <w:rsid w:val="002C6514"/>
    <w:rsid w:val="002D3E40"/>
    <w:rsid w:val="002E025C"/>
    <w:rsid w:val="002E51BB"/>
    <w:rsid w:val="002E57C8"/>
    <w:rsid w:val="003005C9"/>
    <w:rsid w:val="00302459"/>
    <w:rsid w:val="0031014F"/>
    <w:rsid w:val="00315248"/>
    <w:rsid w:val="00325324"/>
    <w:rsid w:val="00332CA0"/>
    <w:rsid w:val="00335B84"/>
    <w:rsid w:val="00345299"/>
    <w:rsid w:val="0036132B"/>
    <w:rsid w:val="003654BA"/>
    <w:rsid w:val="00365B25"/>
    <w:rsid w:val="003722E2"/>
    <w:rsid w:val="003723F1"/>
    <w:rsid w:val="00374FC2"/>
    <w:rsid w:val="003C3164"/>
    <w:rsid w:val="003C4D62"/>
    <w:rsid w:val="003D45EF"/>
    <w:rsid w:val="003D5FF6"/>
    <w:rsid w:val="003E0A9F"/>
    <w:rsid w:val="003F56B3"/>
    <w:rsid w:val="004024E6"/>
    <w:rsid w:val="004050C4"/>
    <w:rsid w:val="0040783F"/>
    <w:rsid w:val="00412B85"/>
    <w:rsid w:val="0041612F"/>
    <w:rsid w:val="00420547"/>
    <w:rsid w:val="00423ADC"/>
    <w:rsid w:val="00433BC5"/>
    <w:rsid w:val="00435D9A"/>
    <w:rsid w:val="00441A84"/>
    <w:rsid w:val="0044702F"/>
    <w:rsid w:val="00496EAB"/>
    <w:rsid w:val="004A399D"/>
    <w:rsid w:val="004A52B2"/>
    <w:rsid w:val="004D22DE"/>
    <w:rsid w:val="004E13BF"/>
    <w:rsid w:val="004E477C"/>
    <w:rsid w:val="004F405D"/>
    <w:rsid w:val="00510C8F"/>
    <w:rsid w:val="0051419B"/>
    <w:rsid w:val="00532DF3"/>
    <w:rsid w:val="0054563C"/>
    <w:rsid w:val="00547907"/>
    <w:rsid w:val="00547ADC"/>
    <w:rsid w:val="00560DC5"/>
    <w:rsid w:val="00564124"/>
    <w:rsid w:val="00571D96"/>
    <w:rsid w:val="00577711"/>
    <w:rsid w:val="005A757D"/>
    <w:rsid w:val="005F0DF4"/>
    <w:rsid w:val="0061776F"/>
    <w:rsid w:val="006226F3"/>
    <w:rsid w:val="006238AB"/>
    <w:rsid w:val="00625832"/>
    <w:rsid w:val="00644D86"/>
    <w:rsid w:val="00660A23"/>
    <w:rsid w:val="006675F1"/>
    <w:rsid w:val="006742F9"/>
    <w:rsid w:val="0067466A"/>
    <w:rsid w:val="006754D0"/>
    <w:rsid w:val="00686840"/>
    <w:rsid w:val="006B0C8F"/>
    <w:rsid w:val="006E2026"/>
    <w:rsid w:val="006E2126"/>
    <w:rsid w:val="00705C89"/>
    <w:rsid w:val="007347DF"/>
    <w:rsid w:val="00737CBC"/>
    <w:rsid w:val="00737F15"/>
    <w:rsid w:val="00740950"/>
    <w:rsid w:val="00753721"/>
    <w:rsid w:val="007539C9"/>
    <w:rsid w:val="00756B16"/>
    <w:rsid w:val="00765D7C"/>
    <w:rsid w:val="0076601E"/>
    <w:rsid w:val="0076675C"/>
    <w:rsid w:val="00780CF8"/>
    <w:rsid w:val="00783449"/>
    <w:rsid w:val="0079783D"/>
    <w:rsid w:val="007A04B1"/>
    <w:rsid w:val="007C0A7A"/>
    <w:rsid w:val="007C508A"/>
    <w:rsid w:val="007C6BFE"/>
    <w:rsid w:val="007D5968"/>
    <w:rsid w:val="007E2C68"/>
    <w:rsid w:val="0080557F"/>
    <w:rsid w:val="00805C60"/>
    <w:rsid w:val="00812C45"/>
    <w:rsid w:val="0082264A"/>
    <w:rsid w:val="008304B7"/>
    <w:rsid w:val="00844F99"/>
    <w:rsid w:val="00845FB1"/>
    <w:rsid w:val="00870DEB"/>
    <w:rsid w:val="00876C44"/>
    <w:rsid w:val="0088481E"/>
    <w:rsid w:val="008B23D9"/>
    <w:rsid w:val="008B6797"/>
    <w:rsid w:val="008C3295"/>
    <w:rsid w:val="008D6D8C"/>
    <w:rsid w:val="008F2415"/>
    <w:rsid w:val="009023DA"/>
    <w:rsid w:val="00907001"/>
    <w:rsid w:val="00924034"/>
    <w:rsid w:val="00940D9C"/>
    <w:rsid w:val="0094162A"/>
    <w:rsid w:val="00943B25"/>
    <w:rsid w:val="00953C43"/>
    <w:rsid w:val="00963712"/>
    <w:rsid w:val="00964981"/>
    <w:rsid w:val="00975788"/>
    <w:rsid w:val="009935AF"/>
    <w:rsid w:val="009A7B6A"/>
    <w:rsid w:val="009B2DA0"/>
    <w:rsid w:val="009C054D"/>
    <w:rsid w:val="009F015E"/>
    <w:rsid w:val="00A02ECF"/>
    <w:rsid w:val="00A04C21"/>
    <w:rsid w:val="00A04D0B"/>
    <w:rsid w:val="00A06146"/>
    <w:rsid w:val="00A07880"/>
    <w:rsid w:val="00A1222A"/>
    <w:rsid w:val="00A13B55"/>
    <w:rsid w:val="00A15EA1"/>
    <w:rsid w:val="00A17304"/>
    <w:rsid w:val="00A22D46"/>
    <w:rsid w:val="00A2462E"/>
    <w:rsid w:val="00A602D7"/>
    <w:rsid w:val="00A66381"/>
    <w:rsid w:val="00A70304"/>
    <w:rsid w:val="00A70419"/>
    <w:rsid w:val="00A73D2F"/>
    <w:rsid w:val="00A74BEE"/>
    <w:rsid w:val="00A827AC"/>
    <w:rsid w:val="00A85985"/>
    <w:rsid w:val="00A872E4"/>
    <w:rsid w:val="00A91916"/>
    <w:rsid w:val="00AA08A3"/>
    <w:rsid w:val="00AC4D5E"/>
    <w:rsid w:val="00AC540C"/>
    <w:rsid w:val="00AC793D"/>
    <w:rsid w:val="00AD0ABB"/>
    <w:rsid w:val="00AD0EFA"/>
    <w:rsid w:val="00AD27FB"/>
    <w:rsid w:val="00B23EDF"/>
    <w:rsid w:val="00B3307B"/>
    <w:rsid w:val="00B5127B"/>
    <w:rsid w:val="00B64556"/>
    <w:rsid w:val="00B656BB"/>
    <w:rsid w:val="00B66296"/>
    <w:rsid w:val="00B77A58"/>
    <w:rsid w:val="00BA2924"/>
    <w:rsid w:val="00BA5EA9"/>
    <w:rsid w:val="00BD0DF4"/>
    <w:rsid w:val="00BD34DC"/>
    <w:rsid w:val="00BD42BA"/>
    <w:rsid w:val="00BF4B6C"/>
    <w:rsid w:val="00C04F88"/>
    <w:rsid w:val="00C06905"/>
    <w:rsid w:val="00C07EAD"/>
    <w:rsid w:val="00C1344F"/>
    <w:rsid w:val="00C25F0D"/>
    <w:rsid w:val="00C262F7"/>
    <w:rsid w:val="00C30BE0"/>
    <w:rsid w:val="00C35505"/>
    <w:rsid w:val="00C541B4"/>
    <w:rsid w:val="00C57E07"/>
    <w:rsid w:val="00C606BF"/>
    <w:rsid w:val="00C67D69"/>
    <w:rsid w:val="00C702E7"/>
    <w:rsid w:val="00C837A6"/>
    <w:rsid w:val="00C86EBF"/>
    <w:rsid w:val="00C97EC3"/>
    <w:rsid w:val="00CA17C0"/>
    <w:rsid w:val="00CA324C"/>
    <w:rsid w:val="00CB077E"/>
    <w:rsid w:val="00CB765E"/>
    <w:rsid w:val="00CD20F8"/>
    <w:rsid w:val="00CD5DCC"/>
    <w:rsid w:val="00D028E3"/>
    <w:rsid w:val="00D15A4D"/>
    <w:rsid w:val="00D20F44"/>
    <w:rsid w:val="00D34BC3"/>
    <w:rsid w:val="00D368C7"/>
    <w:rsid w:val="00D42F53"/>
    <w:rsid w:val="00D44F5E"/>
    <w:rsid w:val="00D64EDE"/>
    <w:rsid w:val="00D64EFD"/>
    <w:rsid w:val="00D67F55"/>
    <w:rsid w:val="00D709D1"/>
    <w:rsid w:val="00D71C20"/>
    <w:rsid w:val="00D740F2"/>
    <w:rsid w:val="00D776CC"/>
    <w:rsid w:val="00D85C8F"/>
    <w:rsid w:val="00D866C1"/>
    <w:rsid w:val="00D93E5C"/>
    <w:rsid w:val="00DA0FE3"/>
    <w:rsid w:val="00DC3080"/>
    <w:rsid w:val="00DC3BBF"/>
    <w:rsid w:val="00DD15DD"/>
    <w:rsid w:val="00DE5FF7"/>
    <w:rsid w:val="00E0205E"/>
    <w:rsid w:val="00E07847"/>
    <w:rsid w:val="00E32E40"/>
    <w:rsid w:val="00E76488"/>
    <w:rsid w:val="00E8065D"/>
    <w:rsid w:val="00E9055C"/>
    <w:rsid w:val="00E9667F"/>
    <w:rsid w:val="00EE07A5"/>
    <w:rsid w:val="00F01AF1"/>
    <w:rsid w:val="00F041E3"/>
    <w:rsid w:val="00F10D22"/>
    <w:rsid w:val="00F1326F"/>
    <w:rsid w:val="00F22704"/>
    <w:rsid w:val="00F31891"/>
    <w:rsid w:val="00F45549"/>
    <w:rsid w:val="00F6425F"/>
    <w:rsid w:val="00F66E07"/>
    <w:rsid w:val="00F85187"/>
    <w:rsid w:val="00FA2205"/>
    <w:rsid w:val="00FA52E1"/>
    <w:rsid w:val="00FB30A9"/>
    <w:rsid w:val="00FC6ED0"/>
    <w:rsid w:val="00FD0374"/>
    <w:rsid w:val="00FD3DA3"/>
    <w:rsid w:val="00FE32D3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FB1"/>
  </w:style>
  <w:style w:type="paragraph" w:styleId="Title">
    <w:name w:val="Title"/>
    <w:basedOn w:val="Normal"/>
    <w:qFormat/>
    <w:rsid w:val="00845FB1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D0EFA"/>
    <w:pPr>
      <w:ind w:left="720"/>
      <w:contextualSpacing/>
    </w:pPr>
  </w:style>
  <w:style w:type="paragraph" w:styleId="Header">
    <w:name w:val="header"/>
    <w:basedOn w:val="Normal"/>
    <w:link w:val="HeaderChar"/>
    <w:rsid w:val="00AC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D"/>
  </w:style>
  <w:style w:type="character" w:customStyle="1" w:styleId="FooterChar">
    <w:name w:val="Footer Char"/>
    <w:basedOn w:val="DefaultParagraphFont"/>
    <w:link w:val="Footer"/>
    <w:uiPriority w:val="99"/>
    <w:rsid w:val="00AC793D"/>
  </w:style>
  <w:style w:type="paragraph" w:styleId="FootnoteText">
    <w:name w:val="footnote text"/>
    <w:aliases w:val="Car"/>
    <w:basedOn w:val="Normal"/>
    <w:link w:val="FootnoteTextChar"/>
    <w:uiPriority w:val="99"/>
    <w:qFormat/>
    <w:rsid w:val="00686840"/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686840"/>
  </w:style>
  <w:style w:type="character" w:styleId="FootnoteReference">
    <w:name w:val="footnote reference"/>
    <w:basedOn w:val="DefaultParagraphFont"/>
    <w:uiPriority w:val="99"/>
    <w:rsid w:val="00686840"/>
    <w:rPr>
      <w:vertAlign w:val="superscript"/>
    </w:rPr>
  </w:style>
  <w:style w:type="paragraph" w:customStyle="1" w:styleId="IndentedQuote">
    <w:name w:val="Indented Quote"/>
    <w:basedOn w:val="Normal"/>
    <w:qFormat/>
    <w:rsid w:val="00496EAB"/>
    <w:pPr>
      <w:ind w:left="720" w:right="720"/>
    </w:pPr>
    <w:rPr>
      <w:sz w:val="24"/>
      <w:szCs w:val="24"/>
    </w:rPr>
  </w:style>
  <w:style w:type="paragraph" w:styleId="NoSpacing">
    <w:name w:val="No Spacing"/>
    <w:uiPriority w:val="1"/>
    <w:qFormat/>
    <w:rsid w:val="00496EAB"/>
    <w:rPr>
      <w:sz w:val="26"/>
    </w:rPr>
  </w:style>
  <w:style w:type="paragraph" w:styleId="BalloonText">
    <w:name w:val="Balloon Text"/>
    <w:basedOn w:val="Normal"/>
    <w:link w:val="BalloonTextChar"/>
    <w:rsid w:val="00C5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1B4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9F015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5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FB1"/>
  </w:style>
  <w:style w:type="paragraph" w:styleId="Title">
    <w:name w:val="Title"/>
    <w:basedOn w:val="Normal"/>
    <w:qFormat/>
    <w:rsid w:val="00845FB1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D0EFA"/>
    <w:pPr>
      <w:ind w:left="720"/>
      <w:contextualSpacing/>
    </w:pPr>
  </w:style>
  <w:style w:type="paragraph" w:styleId="Header">
    <w:name w:val="header"/>
    <w:basedOn w:val="Normal"/>
    <w:link w:val="HeaderChar"/>
    <w:rsid w:val="00AC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D"/>
  </w:style>
  <w:style w:type="character" w:customStyle="1" w:styleId="FooterChar">
    <w:name w:val="Footer Char"/>
    <w:basedOn w:val="DefaultParagraphFont"/>
    <w:link w:val="Footer"/>
    <w:uiPriority w:val="99"/>
    <w:rsid w:val="00AC793D"/>
  </w:style>
  <w:style w:type="paragraph" w:styleId="FootnoteText">
    <w:name w:val="footnote text"/>
    <w:aliases w:val="Car"/>
    <w:basedOn w:val="Normal"/>
    <w:link w:val="FootnoteTextChar"/>
    <w:uiPriority w:val="99"/>
    <w:qFormat/>
    <w:rsid w:val="00686840"/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686840"/>
  </w:style>
  <w:style w:type="character" w:styleId="FootnoteReference">
    <w:name w:val="footnote reference"/>
    <w:basedOn w:val="DefaultParagraphFont"/>
    <w:uiPriority w:val="99"/>
    <w:rsid w:val="00686840"/>
    <w:rPr>
      <w:vertAlign w:val="superscript"/>
    </w:rPr>
  </w:style>
  <w:style w:type="paragraph" w:customStyle="1" w:styleId="IndentedQuote">
    <w:name w:val="Indented Quote"/>
    <w:basedOn w:val="Normal"/>
    <w:qFormat/>
    <w:rsid w:val="00496EAB"/>
    <w:pPr>
      <w:ind w:left="720" w:right="720"/>
    </w:pPr>
    <w:rPr>
      <w:sz w:val="24"/>
      <w:szCs w:val="24"/>
    </w:rPr>
  </w:style>
  <w:style w:type="paragraph" w:styleId="NoSpacing">
    <w:name w:val="No Spacing"/>
    <w:uiPriority w:val="1"/>
    <w:qFormat/>
    <w:rsid w:val="00496EAB"/>
    <w:rPr>
      <w:sz w:val="26"/>
    </w:rPr>
  </w:style>
  <w:style w:type="paragraph" w:styleId="BalloonText">
    <w:name w:val="Balloon Text"/>
    <w:basedOn w:val="Normal"/>
    <w:link w:val="BalloonTextChar"/>
    <w:rsid w:val="00C5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1B4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9F015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C2FE7-0FB6-4DAB-8323-A08D6ABA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sandra elizabeth oldynski</cp:lastModifiedBy>
  <cp:revision>7</cp:revision>
  <cp:lastPrinted>2016-01-14T19:42:00Z</cp:lastPrinted>
  <dcterms:created xsi:type="dcterms:W3CDTF">2016-01-14T19:21:00Z</dcterms:created>
  <dcterms:modified xsi:type="dcterms:W3CDTF">2016-01-14T19:49:00Z</dcterms:modified>
</cp:coreProperties>
</file>