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E30011" w:rsidRDefault="005E1066" w:rsidP="00600548">
      <w:pPr>
        <w:jc w:val="center"/>
        <w:rPr>
          <w:b/>
        </w:rPr>
      </w:pPr>
      <w:r w:rsidRPr="00E30011">
        <w:rPr>
          <w:b/>
        </w:rPr>
        <w:t>BEFORE THE</w:t>
      </w:r>
    </w:p>
    <w:p w:rsidR="005E1066" w:rsidRPr="00E30011" w:rsidRDefault="005E1066" w:rsidP="00600548">
      <w:pPr>
        <w:jc w:val="center"/>
        <w:rPr>
          <w:b/>
        </w:rPr>
      </w:pPr>
      <w:r w:rsidRPr="00E30011">
        <w:rPr>
          <w:b/>
        </w:rPr>
        <w:t>PENNSYLVANIA PUBLIC UTILITY COMMISSION</w:t>
      </w:r>
    </w:p>
    <w:p w:rsidR="005E1066" w:rsidRPr="00E30011" w:rsidRDefault="005E1066" w:rsidP="00600548">
      <w:pPr>
        <w:jc w:val="center"/>
        <w:rPr>
          <w:b/>
        </w:rPr>
      </w:pPr>
    </w:p>
    <w:p w:rsidR="005E1066" w:rsidRPr="00E30011" w:rsidRDefault="005E1066" w:rsidP="00600548">
      <w:pPr>
        <w:jc w:val="center"/>
        <w:rPr>
          <w:b/>
        </w:rPr>
      </w:pPr>
    </w:p>
    <w:p w:rsidR="005E1066" w:rsidRPr="00E30011" w:rsidRDefault="005E1066" w:rsidP="00600548">
      <w:pPr>
        <w:jc w:val="center"/>
        <w:rPr>
          <w:b/>
        </w:rPr>
      </w:pPr>
    </w:p>
    <w:p w:rsidR="005E1066" w:rsidRPr="00E30011" w:rsidRDefault="00455DB3" w:rsidP="00600548">
      <w:r w:rsidRPr="00E30011">
        <w:t>Shelley Baker</w:t>
      </w:r>
      <w:r w:rsidR="00BD624C" w:rsidRPr="00E30011">
        <w:tab/>
      </w:r>
      <w:r w:rsidR="00AB18F3" w:rsidRPr="00E30011">
        <w:tab/>
      </w:r>
      <w:r w:rsidR="00AB18F3" w:rsidRPr="00E30011">
        <w:tab/>
      </w:r>
      <w:r w:rsidR="00350408" w:rsidRPr="00E30011">
        <w:tab/>
      </w:r>
      <w:r w:rsidRPr="00E30011">
        <w:tab/>
      </w:r>
      <w:r w:rsidR="00AB18F3" w:rsidRPr="00E30011">
        <w:tab/>
      </w:r>
      <w:r w:rsidR="005E1066" w:rsidRPr="00E30011">
        <w:t>:</w:t>
      </w:r>
    </w:p>
    <w:p w:rsidR="005E1066" w:rsidRPr="00E30011" w:rsidRDefault="005E1066" w:rsidP="00600548"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  <w:t>:</w:t>
      </w:r>
    </w:p>
    <w:p w:rsidR="005E1066" w:rsidRPr="00E30011" w:rsidRDefault="005E1066" w:rsidP="00600548">
      <w:r w:rsidRPr="00E30011">
        <w:tab/>
        <w:t>v.</w:t>
      </w: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  <w:t>:</w:t>
      </w:r>
      <w:r w:rsidRPr="00E30011">
        <w:tab/>
      </w:r>
      <w:r w:rsidRPr="00E30011">
        <w:tab/>
      </w:r>
      <w:r w:rsidR="00455DB3" w:rsidRPr="00E30011">
        <w:t>C-2015-2515495</w:t>
      </w:r>
    </w:p>
    <w:p w:rsidR="005E1066" w:rsidRPr="00E30011" w:rsidRDefault="005E1066" w:rsidP="00600548"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  <w:t>:</w:t>
      </w:r>
    </w:p>
    <w:p w:rsidR="005E1066" w:rsidRPr="00E30011" w:rsidRDefault="00455DB3" w:rsidP="00600548">
      <w:r w:rsidRPr="00E30011">
        <w:t>Duquesne Light Company</w:t>
      </w:r>
      <w:r w:rsidRPr="00E30011">
        <w:tab/>
      </w:r>
      <w:r w:rsidR="00350408" w:rsidRPr="00E30011">
        <w:tab/>
      </w:r>
      <w:r w:rsidR="00350408" w:rsidRPr="00E30011">
        <w:tab/>
      </w:r>
      <w:r w:rsidR="00350408" w:rsidRPr="00E30011">
        <w:tab/>
        <w:t>:</w:t>
      </w:r>
    </w:p>
    <w:p w:rsidR="005E1066" w:rsidRPr="00E30011" w:rsidRDefault="005E1066" w:rsidP="00600548"/>
    <w:p w:rsidR="005E1066" w:rsidRDefault="005E1066" w:rsidP="00600548">
      <w:pPr>
        <w:tabs>
          <w:tab w:val="left" w:pos="1076"/>
        </w:tabs>
      </w:pPr>
    </w:p>
    <w:p w:rsidR="005E45DB" w:rsidRPr="00E30011" w:rsidRDefault="005E45DB" w:rsidP="00600548">
      <w:pPr>
        <w:tabs>
          <w:tab w:val="left" w:pos="1076"/>
        </w:tabs>
      </w:pPr>
    </w:p>
    <w:p w:rsidR="00EA5CEA" w:rsidRPr="00E30011" w:rsidRDefault="00EA5CEA" w:rsidP="00451017">
      <w:pPr>
        <w:jc w:val="center"/>
        <w:rPr>
          <w:b/>
          <w:u w:val="single"/>
        </w:rPr>
      </w:pPr>
      <w:r w:rsidRPr="00E30011">
        <w:rPr>
          <w:b/>
          <w:u w:val="single"/>
        </w:rPr>
        <w:t xml:space="preserve">INTERIM </w:t>
      </w:r>
      <w:r w:rsidR="008D798E" w:rsidRPr="00E30011">
        <w:rPr>
          <w:b/>
          <w:u w:val="single"/>
        </w:rPr>
        <w:t xml:space="preserve">ORDER </w:t>
      </w:r>
    </w:p>
    <w:p w:rsidR="00451017" w:rsidRPr="00E30011" w:rsidRDefault="008D798E" w:rsidP="00451017">
      <w:pPr>
        <w:jc w:val="center"/>
        <w:rPr>
          <w:b/>
          <w:u w:val="single"/>
        </w:rPr>
      </w:pPr>
      <w:r w:rsidRPr="00E30011">
        <w:rPr>
          <w:b/>
          <w:u w:val="single"/>
        </w:rPr>
        <w:t xml:space="preserve">GRANTING </w:t>
      </w:r>
      <w:r w:rsidR="008E2A71" w:rsidRPr="00E30011">
        <w:rPr>
          <w:b/>
          <w:u w:val="single"/>
        </w:rPr>
        <w:t>RESPONDENT</w:t>
      </w:r>
      <w:r w:rsidRPr="00E30011">
        <w:rPr>
          <w:b/>
          <w:u w:val="single"/>
        </w:rPr>
        <w:t xml:space="preserve">’S </w:t>
      </w:r>
      <w:r w:rsidR="00451017" w:rsidRPr="00E30011">
        <w:rPr>
          <w:b/>
          <w:u w:val="single"/>
        </w:rPr>
        <w:t xml:space="preserve">REQUEST FOR </w:t>
      </w:r>
    </w:p>
    <w:p w:rsidR="005E1066" w:rsidRPr="00E30011" w:rsidRDefault="00451017" w:rsidP="00451017">
      <w:pPr>
        <w:jc w:val="center"/>
        <w:rPr>
          <w:b/>
          <w:u w:val="single"/>
        </w:rPr>
      </w:pPr>
      <w:r w:rsidRPr="00E30011">
        <w:rPr>
          <w:b/>
          <w:u w:val="single"/>
        </w:rPr>
        <w:t>CONTINUANCE OF HEARING</w:t>
      </w:r>
    </w:p>
    <w:p w:rsidR="005E1066" w:rsidRPr="00E30011" w:rsidRDefault="005E1066" w:rsidP="00600548">
      <w:pPr>
        <w:jc w:val="center"/>
      </w:pPr>
    </w:p>
    <w:p w:rsidR="005E1066" w:rsidRPr="00E30011" w:rsidRDefault="005E1066" w:rsidP="00600548">
      <w:pPr>
        <w:jc w:val="center"/>
      </w:pPr>
    </w:p>
    <w:p w:rsidR="005E1066" w:rsidRPr="00E30011" w:rsidRDefault="005E1066" w:rsidP="00600548">
      <w:pPr>
        <w:jc w:val="center"/>
      </w:pPr>
      <w:r w:rsidRPr="00E30011">
        <w:t>Before</w:t>
      </w:r>
    </w:p>
    <w:p w:rsidR="005E1066" w:rsidRPr="00E30011" w:rsidRDefault="005E1066" w:rsidP="00600548">
      <w:pPr>
        <w:jc w:val="center"/>
      </w:pPr>
      <w:r w:rsidRPr="00E30011">
        <w:t xml:space="preserve">Tiffany </w:t>
      </w:r>
      <w:r w:rsidR="00350408" w:rsidRPr="00E30011">
        <w:t>L. Tran</w:t>
      </w:r>
    </w:p>
    <w:p w:rsidR="005E1066" w:rsidRPr="00E30011" w:rsidRDefault="005E1066" w:rsidP="00600548">
      <w:pPr>
        <w:jc w:val="center"/>
      </w:pPr>
      <w:r w:rsidRPr="00E30011">
        <w:t>Special Agent</w:t>
      </w:r>
    </w:p>
    <w:p w:rsidR="005E1066" w:rsidRPr="00E30011" w:rsidRDefault="005E1066" w:rsidP="00600548">
      <w:pPr>
        <w:jc w:val="center"/>
      </w:pPr>
    </w:p>
    <w:p w:rsidR="005E1066" w:rsidRPr="00E30011" w:rsidRDefault="005E1066" w:rsidP="00600548">
      <w:pPr>
        <w:jc w:val="center"/>
      </w:pPr>
    </w:p>
    <w:p w:rsidR="005E1066" w:rsidRPr="00E30011" w:rsidRDefault="005E1066" w:rsidP="00600548">
      <w:pPr>
        <w:jc w:val="center"/>
      </w:pPr>
      <w:r w:rsidRPr="00E30011">
        <w:rPr>
          <w:u w:val="single"/>
        </w:rPr>
        <w:t>HISTORY OF THE PROCEEDING</w:t>
      </w:r>
    </w:p>
    <w:p w:rsidR="005E1066" w:rsidRPr="00E30011" w:rsidRDefault="005E1066" w:rsidP="005E45DB">
      <w:pPr>
        <w:spacing w:line="360" w:lineRule="auto"/>
        <w:jc w:val="center"/>
      </w:pPr>
    </w:p>
    <w:p w:rsidR="008D798E" w:rsidRPr="00E30011" w:rsidRDefault="008D798E" w:rsidP="00600548">
      <w:pPr>
        <w:tabs>
          <w:tab w:val="num" w:pos="2160"/>
        </w:tabs>
        <w:spacing w:line="360" w:lineRule="auto"/>
        <w:ind w:firstLine="1440"/>
      </w:pPr>
      <w:r w:rsidRPr="00E30011">
        <w:t xml:space="preserve">By Telephone Hearing Notice dated </w:t>
      </w:r>
      <w:r w:rsidR="00E30011" w:rsidRPr="00E30011">
        <w:t>December 30, 2015</w:t>
      </w:r>
      <w:r w:rsidR="00451017" w:rsidRPr="00E30011">
        <w:t>, the above-captioned case was assigne</w:t>
      </w:r>
      <w:r w:rsidR="006D57E4" w:rsidRPr="00E30011">
        <w:t>d to me and an Initial Telephonic</w:t>
      </w:r>
      <w:r w:rsidR="00451017" w:rsidRPr="00E30011">
        <w:t xml:space="preserve"> Hearing was scheduled for </w:t>
      </w:r>
      <w:r w:rsidR="00E30011" w:rsidRPr="00E30011">
        <w:t>Thursday, January 28, 2016</w:t>
      </w:r>
      <w:r w:rsidR="008E2A71" w:rsidRPr="00E30011">
        <w:t>, at 1</w:t>
      </w:r>
      <w:r w:rsidR="00796D34" w:rsidRPr="00E30011">
        <w:t>0:0</w:t>
      </w:r>
      <w:r w:rsidR="008E2A71" w:rsidRPr="00E30011">
        <w:t xml:space="preserve">0 </w:t>
      </w:r>
      <w:r w:rsidR="00796D34" w:rsidRPr="00E30011">
        <w:t>a</w:t>
      </w:r>
      <w:r w:rsidR="00451017" w:rsidRPr="00E30011">
        <w:t>.m.</w:t>
      </w:r>
      <w:r w:rsidR="00757CC6">
        <w:t xml:space="preserve">  A Prehearing Order was issued on December 30, 2015.</w:t>
      </w:r>
    </w:p>
    <w:p w:rsidR="00451017" w:rsidRPr="00E30011" w:rsidRDefault="00451017" w:rsidP="00600548">
      <w:pPr>
        <w:tabs>
          <w:tab w:val="num" w:pos="2160"/>
        </w:tabs>
        <w:spacing w:line="360" w:lineRule="auto"/>
        <w:ind w:firstLine="1440"/>
      </w:pPr>
    </w:p>
    <w:p w:rsidR="00F63800" w:rsidRPr="00E30011" w:rsidRDefault="00247F37" w:rsidP="00101496">
      <w:pPr>
        <w:tabs>
          <w:tab w:val="num" w:pos="2160"/>
        </w:tabs>
        <w:spacing w:line="360" w:lineRule="auto"/>
        <w:ind w:firstLine="1440"/>
      </w:pPr>
      <w:r w:rsidRPr="00E30011">
        <w:t xml:space="preserve">On </w:t>
      </w:r>
      <w:r w:rsidR="00455DB3" w:rsidRPr="00E30011">
        <w:t>January 19, 2016</w:t>
      </w:r>
      <w:r w:rsidR="00451017" w:rsidRPr="00E30011">
        <w:t xml:space="preserve">, </w:t>
      </w:r>
      <w:r w:rsidR="00904BE4" w:rsidRPr="00E30011">
        <w:t xml:space="preserve">Respondent, </w:t>
      </w:r>
      <w:r w:rsidR="00455DB3" w:rsidRPr="00E30011">
        <w:t>Duquesne Light Company</w:t>
      </w:r>
      <w:r w:rsidR="00904BE4" w:rsidRPr="00E30011">
        <w:t>,</w:t>
      </w:r>
      <w:r w:rsidR="00796D34" w:rsidRPr="00E30011">
        <w:t xml:space="preserve"> </w:t>
      </w:r>
      <w:r w:rsidR="00881DC7" w:rsidRPr="00E30011">
        <w:t>by and through its attorney</w:t>
      </w:r>
      <w:r w:rsidR="00350408" w:rsidRPr="00E30011">
        <w:t xml:space="preserve">, </w:t>
      </w:r>
      <w:r w:rsidR="00455DB3" w:rsidRPr="00E30011">
        <w:t>Jeremy V. Farrell,</w:t>
      </w:r>
      <w:r w:rsidR="00E07E31" w:rsidRPr="00E30011">
        <w:t xml:space="preserve"> Esq.</w:t>
      </w:r>
      <w:r w:rsidR="00881DC7" w:rsidRPr="00E30011">
        <w:t xml:space="preserve">, </w:t>
      </w:r>
      <w:r w:rsidR="00E07E31" w:rsidRPr="00E30011">
        <w:t xml:space="preserve">requested </w:t>
      </w:r>
      <w:r w:rsidR="00677E32" w:rsidRPr="00E30011">
        <w:t>the matter be continued by two weeks</w:t>
      </w:r>
      <w:r w:rsidR="00A0515A" w:rsidRPr="00E30011">
        <w:t xml:space="preserve">.  </w:t>
      </w:r>
      <w:r w:rsidR="00677E32" w:rsidRPr="00E30011">
        <w:t>Mr. Farrell cited a scheduling conflict with the date and time of the hearing, and stated that an extension would allow the parties to continue ongoing informal attempts to resolve the case.</w:t>
      </w:r>
      <w:r w:rsidR="004E0041">
        <w:t xml:space="preserve">  Mr. Farrell further stated that he spoke with the Complainant on the morning of January 19, 2016, and that she gave her consent to the requested continuance.</w:t>
      </w:r>
    </w:p>
    <w:p w:rsidR="00F95642" w:rsidRPr="00E30011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E30011" w:rsidRDefault="00507DAB" w:rsidP="00101496">
      <w:pPr>
        <w:tabs>
          <w:tab w:val="num" w:pos="2160"/>
        </w:tabs>
        <w:spacing w:line="360" w:lineRule="auto"/>
        <w:ind w:firstLine="1440"/>
      </w:pPr>
      <w:r w:rsidRPr="00E30011">
        <w:t>The Commission’s Rules of Administrative Practice and Procedure at 52 Pa. Code § 1.15(b) state that, “Only for good cause shown will requests for continuance</w:t>
      </w:r>
      <w:r w:rsidR="00500B48" w:rsidRPr="00E30011">
        <w:t xml:space="preserve"> be considered.”</w:t>
      </w:r>
      <w:r w:rsidR="00D0665C" w:rsidRPr="00E30011">
        <w:t xml:space="preserve">  In this case, Respondent’s </w:t>
      </w:r>
      <w:r w:rsidR="005613F5" w:rsidRPr="00E30011">
        <w:t>request for a continuance</w:t>
      </w:r>
      <w:r w:rsidR="00D0665C" w:rsidRPr="00E30011">
        <w:t xml:space="preserve"> was submitted in writing more than five (5) </w:t>
      </w:r>
      <w:r w:rsidR="00D0665C" w:rsidRPr="00E30011">
        <w:lastRenderedPageBreak/>
        <w:t xml:space="preserve">days prior to the hearing.  This is the first continuance requested by either party in this matter.  I conclude that </w:t>
      </w:r>
      <w:r w:rsidR="004438AB" w:rsidRPr="00E30011">
        <w:t>Respondent has shown good cause for requesting a continuance.</w:t>
      </w:r>
      <w:r w:rsidR="00F95642" w:rsidRPr="00E30011">
        <w:t xml:space="preserve">  </w:t>
      </w:r>
    </w:p>
    <w:p w:rsidR="00101496" w:rsidRPr="00E30011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Default="00881DC7" w:rsidP="00881DC7">
      <w:pPr>
        <w:spacing w:line="360" w:lineRule="auto"/>
      </w:pPr>
      <w:r w:rsidRPr="00E30011">
        <w:tab/>
      </w:r>
      <w:r w:rsidRPr="00E30011">
        <w:tab/>
      </w:r>
      <w:r w:rsidR="0075143A" w:rsidRPr="00E30011">
        <w:t>Respondent’s</w:t>
      </w:r>
      <w:r w:rsidRPr="00E30011">
        <w:t xml:space="preserve"> </w:t>
      </w:r>
      <w:r w:rsidR="00D147FC">
        <w:t xml:space="preserve">unopposed </w:t>
      </w:r>
      <w:r w:rsidR="005613F5" w:rsidRPr="00E30011">
        <w:t>request for a continuance</w:t>
      </w:r>
      <w:r w:rsidRPr="00E30011">
        <w:t xml:space="preserve"> due to </w:t>
      </w:r>
      <w:r w:rsidR="00E30011" w:rsidRPr="00E30011">
        <w:t xml:space="preserve">a scheduling conflict for its counsel </w:t>
      </w:r>
      <w:r w:rsidRPr="00E30011">
        <w:t>is reasonable and will be granted.</w:t>
      </w:r>
    </w:p>
    <w:p w:rsidR="00123FCB" w:rsidRDefault="00123FCB" w:rsidP="00881DC7">
      <w:pPr>
        <w:spacing w:line="360" w:lineRule="auto"/>
      </w:pPr>
    </w:p>
    <w:p w:rsidR="005E45DB" w:rsidRPr="005E45DB" w:rsidRDefault="005E45DB" w:rsidP="005E45DB">
      <w:pPr>
        <w:spacing w:line="360" w:lineRule="auto"/>
        <w:jc w:val="center"/>
        <w:rPr>
          <w:u w:val="single"/>
        </w:rPr>
      </w:pPr>
      <w:r w:rsidRPr="005E45DB">
        <w:rPr>
          <w:u w:val="single"/>
        </w:rPr>
        <w:t>ORDER</w:t>
      </w:r>
    </w:p>
    <w:p w:rsidR="00881DC7" w:rsidRDefault="00881DC7" w:rsidP="00600548">
      <w:pPr>
        <w:tabs>
          <w:tab w:val="num" w:pos="2160"/>
        </w:tabs>
        <w:spacing w:line="360" w:lineRule="auto"/>
        <w:ind w:firstLine="1440"/>
      </w:pPr>
    </w:p>
    <w:p w:rsidR="005E45DB" w:rsidRPr="00E30011" w:rsidRDefault="005E45DB" w:rsidP="00600548">
      <w:pPr>
        <w:tabs>
          <w:tab w:val="num" w:pos="2160"/>
        </w:tabs>
        <w:spacing w:line="360" w:lineRule="auto"/>
        <w:ind w:firstLine="1440"/>
      </w:pPr>
    </w:p>
    <w:p w:rsidR="006D6E10" w:rsidRPr="00E30011" w:rsidRDefault="006D6E10" w:rsidP="00600548">
      <w:pPr>
        <w:tabs>
          <w:tab w:val="num" w:pos="2160"/>
        </w:tabs>
        <w:spacing w:line="360" w:lineRule="auto"/>
        <w:ind w:firstLine="1440"/>
      </w:pPr>
      <w:r w:rsidRPr="00E30011">
        <w:t>THEREFORE,</w:t>
      </w:r>
    </w:p>
    <w:p w:rsidR="006D6E10" w:rsidRPr="00E30011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E30011" w:rsidRDefault="006D6E10" w:rsidP="00600548">
      <w:pPr>
        <w:tabs>
          <w:tab w:val="num" w:pos="2160"/>
        </w:tabs>
        <w:spacing w:line="360" w:lineRule="auto"/>
        <w:ind w:firstLine="1440"/>
      </w:pPr>
      <w:r w:rsidRPr="00E30011">
        <w:t>IT IS ORDERED:</w:t>
      </w:r>
    </w:p>
    <w:p w:rsidR="006D6E10" w:rsidRPr="00E30011" w:rsidRDefault="006D6E10" w:rsidP="00600548">
      <w:pPr>
        <w:tabs>
          <w:tab w:val="num" w:pos="2160"/>
        </w:tabs>
        <w:spacing w:line="360" w:lineRule="auto"/>
        <w:ind w:firstLine="1440"/>
      </w:pPr>
    </w:p>
    <w:p w:rsidR="005613F5" w:rsidRPr="00E30011" w:rsidRDefault="00E30011" w:rsidP="005E45DB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/>
      </w:pPr>
      <w:r w:rsidRPr="00E30011">
        <w:t xml:space="preserve">Duquesne Light </w:t>
      </w:r>
      <w:r w:rsidR="005613F5" w:rsidRPr="00E30011">
        <w:t>Company</w:t>
      </w:r>
      <w:r w:rsidR="005B6599" w:rsidRPr="00E30011">
        <w:t>’</w:t>
      </w:r>
      <w:r w:rsidR="00F43A13" w:rsidRPr="00E30011">
        <w:t>s</w:t>
      </w:r>
      <w:r w:rsidR="00451017" w:rsidRPr="00E30011">
        <w:t xml:space="preserve"> </w:t>
      </w:r>
      <w:r w:rsidR="005613F5" w:rsidRPr="00E30011">
        <w:t>request for a continuance</w:t>
      </w:r>
      <w:r w:rsidR="00451017" w:rsidRPr="00E30011">
        <w:t xml:space="preserve"> in </w:t>
      </w:r>
    </w:p>
    <w:p w:rsidR="00451017" w:rsidRPr="00E30011" w:rsidRDefault="00451017" w:rsidP="005E45DB">
      <w:pPr>
        <w:spacing w:line="360" w:lineRule="auto"/>
      </w:pPr>
      <w:proofErr w:type="gramStart"/>
      <w:r w:rsidRPr="00E30011">
        <w:t>the</w:t>
      </w:r>
      <w:proofErr w:type="gramEnd"/>
      <w:r w:rsidRPr="00E30011">
        <w:t xml:space="preserve"> matter of </w:t>
      </w:r>
      <w:r w:rsidR="00E30011" w:rsidRPr="00E30011">
        <w:t xml:space="preserve">Shelley Baker </w:t>
      </w:r>
      <w:r w:rsidR="00350408" w:rsidRPr="00E30011">
        <w:t xml:space="preserve">v. </w:t>
      </w:r>
      <w:r w:rsidR="00E30011" w:rsidRPr="00E30011">
        <w:t>Duquesne Light</w:t>
      </w:r>
      <w:r w:rsidR="00350408" w:rsidRPr="00E30011">
        <w:t xml:space="preserve"> Company</w:t>
      </w:r>
      <w:r w:rsidRPr="00E30011">
        <w:t xml:space="preserve">, at Docket No. </w:t>
      </w:r>
      <w:r w:rsidR="00E30011" w:rsidRPr="00E30011">
        <w:t>C-2015-2515495</w:t>
      </w:r>
      <w:r w:rsidR="00350408" w:rsidRPr="00E30011">
        <w:t xml:space="preserve"> </w:t>
      </w:r>
      <w:r w:rsidRPr="00E30011">
        <w:t>is granted.</w:t>
      </w:r>
    </w:p>
    <w:p w:rsidR="00451017" w:rsidRPr="00E30011" w:rsidRDefault="00451017" w:rsidP="005E45DB">
      <w:pPr>
        <w:pStyle w:val="ListParagraph"/>
        <w:spacing w:line="360" w:lineRule="auto"/>
        <w:ind w:left="0"/>
      </w:pPr>
    </w:p>
    <w:p w:rsidR="006D6E10" w:rsidRDefault="006D6E10" w:rsidP="005E45DB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E30011">
        <w:t xml:space="preserve">That the hearing scheduled for </w:t>
      </w:r>
      <w:r w:rsidR="00455DB3" w:rsidRPr="00E30011">
        <w:t>January 28, 2016,</w:t>
      </w:r>
      <w:r w:rsidRPr="00E30011">
        <w:t xml:space="preserve"> be and hereby is co</w:t>
      </w:r>
      <w:r w:rsidR="00455DB3" w:rsidRPr="00E30011">
        <w:t>ntinued and will be rescheduled for approximately two weeks after the originally-scheduled date.</w:t>
      </w:r>
    </w:p>
    <w:p w:rsidR="00A15331" w:rsidRDefault="00A15331" w:rsidP="005E45DB">
      <w:pPr>
        <w:pStyle w:val="ListParagraph"/>
        <w:spacing w:line="360" w:lineRule="auto"/>
        <w:ind w:left="0"/>
      </w:pPr>
    </w:p>
    <w:p w:rsidR="00A15331" w:rsidRDefault="00A15331" w:rsidP="005E45DB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A15331">
        <w:t xml:space="preserve">That in all other respects, the ordering paragraphs in the Prehearing Order issued in this matter on </w:t>
      </w:r>
      <w:r>
        <w:t>D</w:t>
      </w:r>
      <w:r w:rsidR="00F80A07">
        <w:t>ecember 30, 2015</w:t>
      </w:r>
      <w:r w:rsidRPr="00A15331">
        <w:t xml:space="preserve"> remain in effect.</w:t>
      </w:r>
    </w:p>
    <w:p w:rsidR="00A15331" w:rsidRDefault="00A15331" w:rsidP="005E45DB">
      <w:pPr>
        <w:tabs>
          <w:tab w:val="num" w:pos="2160"/>
        </w:tabs>
        <w:spacing w:line="360" w:lineRule="auto"/>
      </w:pPr>
    </w:p>
    <w:p w:rsidR="00A15331" w:rsidRPr="00E30011" w:rsidRDefault="00A15331" w:rsidP="005E45DB">
      <w:pPr>
        <w:tabs>
          <w:tab w:val="num" w:pos="2160"/>
        </w:tabs>
        <w:spacing w:line="360" w:lineRule="auto"/>
      </w:pPr>
    </w:p>
    <w:p w:rsidR="005E1066" w:rsidRPr="00E30011" w:rsidRDefault="005E1066" w:rsidP="00600548">
      <w:pPr>
        <w:tabs>
          <w:tab w:val="num" w:pos="2160"/>
          <w:tab w:val="left" w:pos="5048"/>
        </w:tabs>
      </w:pPr>
      <w:r w:rsidRPr="00E30011">
        <w:t xml:space="preserve">Dated: </w:t>
      </w:r>
      <w:r w:rsidR="0083730D">
        <w:rPr>
          <w:u w:val="single"/>
        </w:rPr>
        <w:t>January 20</w:t>
      </w:r>
      <w:r w:rsidR="00455DB3" w:rsidRPr="00E30011">
        <w:rPr>
          <w:u w:val="single"/>
        </w:rPr>
        <w:t>, 2016</w:t>
      </w:r>
    </w:p>
    <w:p w:rsidR="005E1066" w:rsidRPr="00E30011" w:rsidRDefault="005E1066" w:rsidP="00600548">
      <w:pPr>
        <w:tabs>
          <w:tab w:val="num" w:pos="2160"/>
          <w:tab w:val="left" w:pos="5048"/>
        </w:tabs>
      </w:pPr>
      <w:r w:rsidRPr="00E30011">
        <w:tab/>
      </w:r>
      <w:r w:rsidRPr="00E30011">
        <w:tab/>
        <w:t>_________________________________</w:t>
      </w:r>
    </w:p>
    <w:p w:rsidR="005E1066" w:rsidRPr="00E30011" w:rsidRDefault="005E1066" w:rsidP="00600548">
      <w:pPr>
        <w:tabs>
          <w:tab w:val="num" w:pos="2160"/>
        </w:tabs>
      </w:pP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  <w:t xml:space="preserve">Tiffany </w:t>
      </w:r>
      <w:r w:rsidR="00350408" w:rsidRPr="00E30011">
        <w:t>L. Tran</w:t>
      </w:r>
    </w:p>
    <w:p w:rsidR="005E45DB" w:rsidRDefault="005E1066" w:rsidP="00600548">
      <w:pPr>
        <w:tabs>
          <w:tab w:val="num" w:pos="2160"/>
        </w:tabs>
        <w:sectPr w:rsidR="005E45DB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E30011">
        <w:tab/>
      </w:r>
      <w:r w:rsidRPr="00E30011">
        <w:tab/>
      </w:r>
      <w:r w:rsidRPr="00E30011">
        <w:tab/>
      </w:r>
      <w:r w:rsidRPr="00E30011">
        <w:tab/>
      </w:r>
      <w:r w:rsidRPr="00E30011">
        <w:tab/>
        <w:t>Special Agent</w:t>
      </w:r>
    </w:p>
    <w:p w:rsidR="005E45DB" w:rsidRDefault="005E45DB" w:rsidP="005E45DB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C-2015-2515495 - SHELLEY BAKER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SHELLEY J BAKER</w:t>
      </w:r>
      <w:r>
        <w:rPr>
          <w:rFonts w:ascii="Microsoft Sans Serif"/>
        </w:rPr>
        <w:cr/>
        <w:t>1403 RUTHERFORD AVENUE</w:t>
      </w:r>
      <w:r>
        <w:rPr>
          <w:rFonts w:ascii="Microsoft Sans Serif"/>
        </w:rPr>
        <w:cr/>
        <w:t>PITTSBURGH PA  15216</w:t>
      </w:r>
      <w:r>
        <w:rPr>
          <w:rFonts w:ascii="Microsoft Sans Serif"/>
        </w:rPr>
        <w:cr/>
      </w:r>
      <w:r w:rsidRPr="00366E3F">
        <w:rPr>
          <w:rFonts w:ascii="Microsoft Sans Serif"/>
          <w:b/>
        </w:rPr>
        <w:t>412.513.9290</w:t>
      </w:r>
      <w:r>
        <w:rPr>
          <w:rFonts w:ascii="Microsoft Sans Serif"/>
        </w:rPr>
        <w:cr/>
        <w:t>Accepts Electronic Service</w:t>
      </w:r>
    </w:p>
    <w:p w:rsidR="005E45DB" w:rsidRDefault="005E45DB" w:rsidP="005E45DB">
      <w:pPr>
        <w:contextualSpacing/>
      </w:pPr>
    </w:p>
    <w:p w:rsidR="005E45DB" w:rsidRDefault="005E45DB" w:rsidP="005E45DB">
      <w:pPr>
        <w:contextualSpacing/>
      </w:pPr>
      <w:r>
        <w:rPr>
          <w:rFonts w:ascii="Microsoft Sans Serif"/>
        </w:rPr>
        <w:t>JEREMY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366E3F">
        <w:rPr>
          <w:rFonts w:ascii="Microsoft Sans Serif"/>
          <w:b/>
        </w:rPr>
        <w:t>412.594.3938</w:t>
      </w:r>
      <w:r>
        <w:rPr>
          <w:rFonts w:ascii="Microsoft Sans Serif"/>
        </w:rPr>
        <w:cr/>
        <w:t>Accepts Electronic Service</w:t>
      </w:r>
    </w:p>
    <w:p w:rsidR="005E1066" w:rsidRPr="00E30011" w:rsidRDefault="005E1066" w:rsidP="00600548">
      <w:pPr>
        <w:tabs>
          <w:tab w:val="num" w:pos="2160"/>
        </w:tabs>
      </w:pPr>
      <w:bookmarkStart w:id="0" w:name="_GoBack"/>
      <w:bookmarkEnd w:id="0"/>
    </w:p>
    <w:sectPr w:rsidR="005E1066" w:rsidRPr="00E3001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ED" w:rsidRDefault="000F67ED" w:rsidP="002D00BA">
      <w:r>
        <w:separator/>
      </w:r>
    </w:p>
  </w:endnote>
  <w:endnote w:type="continuationSeparator" w:id="0">
    <w:p w:rsidR="000F67ED" w:rsidRDefault="000F67ED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0F67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5E45DB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0F67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DB" w:rsidRDefault="005E4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ED" w:rsidRDefault="000F67ED" w:rsidP="002D00BA">
      <w:r>
        <w:separator/>
      </w:r>
    </w:p>
  </w:footnote>
  <w:footnote w:type="continuationSeparator" w:id="0">
    <w:p w:rsidR="000F67ED" w:rsidRDefault="000F67ED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2124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D378F"/>
    <w:rsid w:val="000F67ED"/>
    <w:rsid w:val="00101496"/>
    <w:rsid w:val="00106ABB"/>
    <w:rsid w:val="00111EB0"/>
    <w:rsid w:val="001134A1"/>
    <w:rsid w:val="00123FCB"/>
    <w:rsid w:val="00133D72"/>
    <w:rsid w:val="00142E9B"/>
    <w:rsid w:val="00144FE0"/>
    <w:rsid w:val="001C3D0D"/>
    <w:rsid w:val="001C6CC8"/>
    <w:rsid w:val="001D201E"/>
    <w:rsid w:val="001E0230"/>
    <w:rsid w:val="00243074"/>
    <w:rsid w:val="00247F37"/>
    <w:rsid w:val="00261F6F"/>
    <w:rsid w:val="0027102C"/>
    <w:rsid w:val="00285F9A"/>
    <w:rsid w:val="00293DA4"/>
    <w:rsid w:val="002D00BA"/>
    <w:rsid w:val="002E6FEC"/>
    <w:rsid w:val="002F691A"/>
    <w:rsid w:val="00314184"/>
    <w:rsid w:val="00350408"/>
    <w:rsid w:val="003A1351"/>
    <w:rsid w:val="003A4AF5"/>
    <w:rsid w:val="004046C3"/>
    <w:rsid w:val="0041671A"/>
    <w:rsid w:val="00430A42"/>
    <w:rsid w:val="00431FCD"/>
    <w:rsid w:val="004438AB"/>
    <w:rsid w:val="00451017"/>
    <w:rsid w:val="00451BDC"/>
    <w:rsid w:val="00454119"/>
    <w:rsid w:val="00455DB3"/>
    <w:rsid w:val="0046111E"/>
    <w:rsid w:val="0046299B"/>
    <w:rsid w:val="00470CC3"/>
    <w:rsid w:val="00485A6F"/>
    <w:rsid w:val="00496BEF"/>
    <w:rsid w:val="004A2A6B"/>
    <w:rsid w:val="004B6F9F"/>
    <w:rsid w:val="004E0041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613F5"/>
    <w:rsid w:val="005628BE"/>
    <w:rsid w:val="00575A71"/>
    <w:rsid w:val="005B233E"/>
    <w:rsid w:val="005B5B2C"/>
    <w:rsid w:val="005B6599"/>
    <w:rsid w:val="005C24B1"/>
    <w:rsid w:val="005D1204"/>
    <w:rsid w:val="005E1066"/>
    <w:rsid w:val="005E45DB"/>
    <w:rsid w:val="005F543D"/>
    <w:rsid w:val="00600548"/>
    <w:rsid w:val="0061512C"/>
    <w:rsid w:val="00627CC1"/>
    <w:rsid w:val="00630410"/>
    <w:rsid w:val="006408A3"/>
    <w:rsid w:val="00674D86"/>
    <w:rsid w:val="00677E32"/>
    <w:rsid w:val="006A24CA"/>
    <w:rsid w:val="006B1224"/>
    <w:rsid w:val="006C1EEF"/>
    <w:rsid w:val="006D1BA9"/>
    <w:rsid w:val="006D57E4"/>
    <w:rsid w:val="006D6E10"/>
    <w:rsid w:val="006E1F28"/>
    <w:rsid w:val="00715EAA"/>
    <w:rsid w:val="0072133B"/>
    <w:rsid w:val="00743085"/>
    <w:rsid w:val="0075143A"/>
    <w:rsid w:val="00757CC6"/>
    <w:rsid w:val="00785F44"/>
    <w:rsid w:val="00796D34"/>
    <w:rsid w:val="007B1254"/>
    <w:rsid w:val="007B7792"/>
    <w:rsid w:val="007C6E1B"/>
    <w:rsid w:val="0082202F"/>
    <w:rsid w:val="0083730D"/>
    <w:rsid w:val="00867AA7"/>
    <w:rsid w:val="00881DC7"/>
    <w:rsid w:val="00884DD3"/>
    <w:rsid w:val="008D798E"/>
    <w:rsid w:val="008E2A71"/>
    <w:rsid w:val="008E70AB"/>
    <w:rsid w:val="00904BE4"/>
    <w:rsid w:val="00920D7C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15331"/>
    <w:rsid w:val="00A42438"/>
    <w:rsid w:val="00A60B4F"/>
    <w:rsid w:val="00A8008A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356A"/>
    <w:rsid w:val="00BB5F6F"/>
    <w:rsid w:val="00BC7CCB"/>
    <w:rsid w:val="00BD624C"/>
    <w:rsid w:val="00C018EE"/>
    <w:rsid w:val="00C04F07"/>
    <w:rsid w:val="00C05CC0"/>
    <w:rsid w:val="00C13374"/>
    <w:rsid w:val="00C2285E"/>
    <w:rsid w:val="00C321BB"/>
    <w:rsid w:val="00C3359D"/>
    <w:rsid w:val="00C36324"/>
    <w:rsid w:val="00C55638"/>
    <w:rsid w:val="00C8415C"/>
    <w:rsid w:val="00C8470F"/>
    <w:rsid w:val="00CB4D06"/>
    <w:rsid w:val="00CD0A36"/>
    <w:rsid w:val="00D03977"/>
    <w:rsid w:val="00D0400C"/>
    <w:rsid w:val="00D0665C"/>
    <w:rsid w:val="00D147FC"/>
    <w:rsid w:val="00D15AD9"/>
    <w:rsid w:val="00D2511F"/>
    <w:rsid w:val="00D300F6"/>
    <w:rsid w:val="00D34CF9"/>
    <w:rsid w:val="00D6161D"/>
    <w:rsid w:val="00DB4771"/>
    <w:rsid w:val="00DB6BB9"/>
    <w:rsid w:val="00DC6024"/>
    <w:rsid w:val="00E0325F"/>
    <w:rsid w:val="00E055DB"/>
    <w:rsid w:val="00E07E31"/>
    <w:rsid w:val="00E30011"/>
    <w:rsid w:val="00E53639"/>
    <w:rsid w:val="00E8366E"/>
    <w:rsid w:val="00E84019"/>
    <w:rsid w:val="00EA2BEF"/>
    <w:rsid w:val="00EA5CEA"/>
    <w:rsid w:val="00EB7FB5"/>
    <w:rsid w:val="00EE7F80"/>
    <w:rsid w:val="00EF1233"/>
    <w:rsid w:val="00EF42B9"/>
    <w:rsid w:val="00EF7B1F"/>
    <w:rsid w:val="00F1063A"/>
    <w:rsid w:val="00F13889"/>
    <w:rsid w:val="00F43A13"/>
    <w:rsid w:val="00F46335"/>
    <w:rsid w:val="00F62C87"/>
    <w:rsid w:val="00F63800"/>
    <w:rsid w:val="00F65406"/>
    <w:rsid w:val="00F779C2"/>
    <w:rsid w:val="00F80A07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CB18-C338-4FFC-955D-F723F202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Lewis, Meska</cp:lastModifiedBy>
  <cp:revision>14</cp:revision>
  <cp:lastPrinted>2012-08-16T18:05:00Z</cp:lastPrinted>
  <dcterms:created xsi:type="dcterms:W3CDTF">2016-01-19T20:08:00Z</dcterms:created>
  <dcterms:modified xsi:type="dcterms:W3CDTF">2016-01-21T15:29:00Z</dcterms:modified>
</cp:coreProperties>
</file>