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833" w:rsidRDefault="00951833" w:rsidP="00951833">
      <w:pPr>
        <w:spacing w:line="240" w:lineRule="auto"/>
        <w:rPr>
          <w:b/>
        </w:rPr>
      </w:pPr>
      <w:r>
        <w:rPr>
          <w:b/>
        </w:rPr>
        <w:t>BEFORE THE</w:t>
      </w:r>
    </w:p>
    <w:p w:rsidR="00951833" w:rsidRDefault="00951833" w:rsidP="00951833">
      <w:pPr>
        <w:spacing w:line="240" w:lineRule="auto"/>
        <w:rPr>
          <w:b/>
        </w:rPr>
      </w:pPr>
      <w:r>
        <w:rPr>
          <w:b/>
        </w:rPr>
        <w:t>PENNSYLVANIA PUBLIC UTILTY COMMISSION</w:t>
      </w:r>
    </w:p>
    <w:p w:rsidR="00951833" w:rsidRDefault="00951833" w:rsidP="00951833">
      <w:pPr>
        <w:spacing w:line="240" w:lineRule="auto"/>
        <w:rPr>
          <w:b/>
        </w:rPr>
      </w:pPr>
    </w:p>
    <w:p w:rsidR="00951833" w:rsidRDefault="00951833" w:rsidP="00951833">
      <w:pPr>
        <w:spacing w:line="240" w:lineRule="auto"/>
        <w:rPr>
          <w:b/>
        </w:rPr>
      </w:pPr>
    </w:p>
    <w:p w:rsidR="00EA3542" w:rsidRDefault="00EA3542" w:rsidP="00951833">
      <w:pPr>
        <w:spacing w:line="240" w:lineRule="auto"/>
        <w:rPr>
          <w:b/>
        </w:rPr>
      </w:pPr>
    </w:p>
    <w:p w:rsidR="00951833" w:rsidRDefault="00951833" w:rsidP="00951833">
      <w:pPr>
        <w:spacing w:line="240" w:lineRule="auto"/>
        <w:jc w:val="left"/>
      </w:pPr>
      <w:r>
        <w:t xml:space="preserve">Oliver Darden </w:t>
      </w:r>
      <w:r>
        <w:tab/>
      </w:r>
      <w:r>
        <w:tab/>
      </w:r>
      <w:r>
        <w:tab/>
      </w:r>
      <w:r>
        <w:tab/>
      </w:r>
      <w:r>
        <w:tab/>
      </w:r>
      <w:r>
        <w:tab/>
        <w:t>:</w:t>
      </w:r>
    </w:p>
    <w:p w:rsidR="00951833" w:rsidRDefault="00951833" w:rsidP="00951833">
      <w:pPr>
        <w:spacing w:line="240" w:lineRule="auto"/>
        <w:jc w:val="left"/>
      </w:pPr>
      <w:r>
        <w:tab/>
      </w:r>
      <w:r>
        <w:tab/>
      </w:r>
      <w:r>
        <w:tab/>
      </w:r>
      <w:r>
        <w:tab/>
      </w:r>
      <w:r>
        <w:tab/>
      </w:r>
      <w:r>
        <w:tab/>
      </w:r>
      <w:r>
        <w:tab/>
        <w:t>:</w:t>
      </w:r>
    </w:p>
    <w:p w:rsidR="00951833" w:rsidRDefault="00951833" w:rsidP="00951833">
      <w:pPr>
        <w:spacing w:line="240" w:lineRule="auto"/>
        <w:jc w:val="left"/>
      </w:pPr>
      <w:r>
        <w:tab/>
        <w:t>v.</w:t>
      </w:r>
      <w:r>
        <w:tab/>
      </w:r>
      <w:r>
        <w:tab/>
      </w:r>
      <w:r>
        <w:tab/>
      </w:r>
      <w:r>
        <w:tab/>
      </w:r>
      <w:r>
        <w:tab/>
      </w:r>
      <w:r>
        <w:tab/>
        <w:t>:</w:t>
      </w:r>
      <w:r>
        <w:tab/>
      </w:r>
      <w:r>
        <w:tab/>
        <w:t>C-2015-2512966</w:t>
      </w:r>
    </w:p>
    <w:p w:rsidR="00951833" w:rsidRDefault="00951833" w:rsidP="00951833">
      <w:pPr>
        <w:spacing w:line="240" w:lineRule="auto"/>
        <w:jc w:val="left"/>
      </w:pPr>
      <w:r>
        <w:tab/>
      </w:r>
      <w:r>
        <w:tab/>
      </w:r>
      <w:r>
        <w:tab/>
      </w:r>
      <w:r>
        <w:tab/>
      </w:r>
      <w:r>
        <w:tab/>
      </w:r>
      <w:r>
        <w:tab/>
      </w:r>
      <w:r>
        <w:tab/>
        <w:t>:</w:t>
      </w:r>
    </w:p>
    <w:p w:rsidR="00951833" w:rsidRDefault="00951833" w:rsidP="00951833">
      <w:pPr>
        <w:spacing w:line="240" w:lineRule="auto"/>
        <w:jc w:val="left"/>
      </w:pPr>
      <w:r>
        <w:t>Philadelphia Gas Works</w:t>
      </w:r>
      <w:r>
        <w:tab/>
      </w:r>
      <w:r>
        <w:tab/>
      </w:r>
      <w:r>
        <w:tab/>
      </w:r>
      <w:r>
        <w:tab/>
        <w:t>:</w:t>
      </w:r>
    </w:p>
    <w:p w:rsidR="00951833" w:rsidRDefault="00951833" w:rsidP="00951833">
      <w:pPr>
        <w:spacing w:line="240" w:lineRule="auto"/>
        <w:jc w:val="left"/>
      </w:pPr>
    </w:p>
    <w:p w:rsidR="00951833" w:rsidRDefault="00951833" w:rsidP="00951833">
      <w:pPr>
        <w:spacing w:line="240" w:lineRule="auto"/>
        <w:jc w:val="left"/>
      </w:pPr>
    </w:p>
    <w:p w:rsidR="00EA3542" w:rsidRDefault="00EA3542" w:rsidP="00951833">
      <w:pPr>
        <w:spacing w:line="240" w:lineRule="auto"/>
        <w:jc w:val="left"/>
      </w:pPr>
    </w:p>
    <w:p w:rsidR="00951833" w:rsidRDefault="00F00295" w:rsidP="00951833">
      <w:pPr>
        <w:rPr>
          <w:b/>
          <w:u w:val="single"/>
        </w:rPr>
      </w:pPr>
      <w:r>
        <w:rPr>
          <w:b/>
          <w:u w:val="single"/>
        </w:rPr>
        <w:t>ORDER GRANTING CONTINUANCE</w:t>
      </w:r>
    </w:p>
    <w:p w:rsidR="00F00295" w:rsidRDefault="00F00295" w:rsidP="00EA3542">
      <w:pPr>
        <w:spacing w:line="240" w:lineRule="auto"/>
        <w:rPr>
          <w:b/>
          <w:u w:val="single"/>
        </w:rPr>
      </w:pPr>
    </w:p>
    <w:p w:rsidR="00EA3542" w:rsidRDefault="00EA3542" w:rsidP="00EA3542">
      <w:pPr>
        <w:spacing w:line="240" w:lineRule="auto"/>
        <w:rPr>
          <w:b/>
          <w:u w:val="single"/>
        </w:rPr>
      </w:pPr>
    </w:p>
    <w:p w:rsidR="00F00295" w:rsidRDefault="00F00295" w:rsidP="00F00295">
      <w:pPr>
        <w:jc w:val="left"/>
      </w:pPr>
      <w:r>
        <w:tab/>
      </w:r>
      <w:r>
        <w:tab/>
        <w:t xml:space="preserve">On November 2, 2015, </w:t>
      </w:r>
      <w:proofErr w:type="spellStart"/>
      <w:r>
        <w:t>JaiOliver</w:t>
      </w:r>
      <w:proofErr w:type="spellEnd"/>
      <w:r>
        <w:t xml:space="preserve"> Darden filed a formal Complaint against Philadelphia Gas Works (PGW or Respondent or Company), on behalf of his father, Oliver Darden (Complainant), whose name is on the gas account.  The Complaint states that Oliver Darden is 89 years old and in poor </w:t>
      </w:r>
      <w:proofErr w:type="gramStart"/>
      <w:r>
        <w:t>health,</w:t>
      </w:r>
      <w:proofErr w:type="gramEnd"/>
      <w:r>
        <w:t xml:space="preserve"> and that </w:t>
      </w:r>
      <w:proofErr w:type="spellStart"/>
      <w:r>
        <w:t>JaiOliver</w:t>
      </w:r>
      <w:proofErr w:type="spellEnd"/>
      <w:r>
        <w:t xml:space="preserve"> Darden is handling his bills now and seeks a payment arrangement with PGW for the arrearage on the account and seeks to restore gas service, which had been terminated.</w:t>
      </w:r>
    </w:p>
    <w:p w:rsidR="00F00295" w:rsidRDefault="00F00295" w:rsidP="00F00295">
      <w:pPr>
        <w:jc w:val="left"/>
      </w:pPr>
    </w:p>
    <w:p w:rsidR="00F00295" w:rsidRDefault="00F00295" w:rsidP="00F00295">
      <w:pPr>
        <w:jc w:val="left"/>
      </w:pPr>
      <w:r>
        <w:tab/>
      </w:r>
      <w:r>
        <w:tab/>
        <w:t>The Complaint was served electronically by the Commission's Secretary on November 13, 2013.</w:t>
      </w:r>
      <w:r>
        <w:rPr>
          <w:rStyle w:val="FootnoteReference"/>
        </w:rPr>
        <w:footnoteReference w:id="1"/>
      </w:r>
    </w:p>
    <w:p w:rsidR="00F00295" w:rsidRDefault="00F00295" w:rsidP="00F00295">
      <w:pPr>
        <w:jc w:val="left"/>
      </w:pPr>
    </w:p>
    <w:p w:rsidR="00F00295" w:rsidRDefault="00F00295" w:rsidP="00F00295">
      <w:pPr>
        <w:jc w:val="left"/>
      </w:pPr>
      <w:r>
        <w:tab/>
      </w:r>
      <w:r>
        <w:tab/>
        <w:t xml:space="preserve">On December 3, 2015, PGW filed its Answer which lists a considerable history of contacts with Complainant, including numerous Company payment arrangements and one from the Commission's Bureau of Consumer Services (BCS) </w:t>
      </w:r>
      <w:r w:rsidR="0001247C">
        <w:t xml:space="preserve">at BCS No. 3123094 (August 27, 2013), </w:t>
      </w:r>
      <w:r>
        <w:t>and avers that</w:t>
      </w:r>
      <w:r w:rsidR="0001247C">
        <w:t xml:space="preserve"> none </w:t>
      </w:r>
      <w:r>
        <w:t xml:space="preserve">was kept.  </w:t>
      </w:r>
      <w:r w:rsidR="0001247C">
        <w:t xml:space="preserve">The Answer admits that gas service was last terminated for nonpayment on April 7, 2015.  Another informal complaint was filed at BCS No. 3331403 on April 8, 2015, and dismissed on November 3, 2015 as duplicative of the prior BCS case.  </w:t>
      </w:r>
    </w:p>
    <w:p w:rsidR="0001247C" w:rsidRDefault="0001247C" w:rsidP="00F00295">
      <w:pPr>
        <w:jc w:val="left"/>
      </w:pPr>
    </w:p>
    <w:p w:rsidR="0001247C" w:rsidRDefault="0001247C" w:rsidP="00EA3542">
      <w:pPr>
        <w:jc w:val="left"/>
      </w:pPr>
      <w:r>
        <w:lastRenderedPageBreak/>
        <w:tab/>
      </w:r>
      <w:r>
        <w:tab/>
        <w:t xml:space="preserve">On December 10, 2015, a call-in telephonic hearing notice was issued which set the hearing for Wednesday, January 20, 2016, and assigned the matter to me.  I issued an Order Correcting the Caption on December 10, 2015, as it had been docketed as "Jason </w:t>
      </w:r>
      <w:proofErr w:type="spellStart"/>
      <w:r>
        <w:t>Dorden</w:t>
      </w:r>
      <w:proofErr w:type="spellEnd"/>
      <w:r>
        <w:t xml:space="preserve"> for Oliver </w:t>
      </w:r>
      <w:proofErr w:type="spellStart"/>
      <w:r>
        <w:t>Dorden</w:t>
      </w:r>
      <w:proofErr w:type="spellEnd"/>
      <w:r>
        <w:t xml:space="preserve">," and directed that the caption be changed to "Oliver Darden v. Philadelphia Gas Works."  This order </w:t>
      </w:r>
      <w:r w:rsidR="00AF5EBC">
        <w:t>also stated:</w:t>
      </w:r>
    </w:p>
    <w:p w:rsidR="00AF5EBC" w:rsidRDefault="00AF5EBC" w:rsidP="00EA3542">
      <w:pPr>
        <w:jc w:val="left"/>
      </w:pPr>
    </w:p>
    <w:p w:rsidR="00AF5EBC" w:rsidRDefault="00AF5EBC" w:rsidP="00AF5EBC">
      <w:pPr>
        <w:spacing w:line="240" w:lineRule="auto"/>
        <w:ind w:left="1440" w:right="1440"/>
        <w:jc w:val="left"/>
      </w:pPr>
      <w:r>
        <w:t xml:space="preserve">That both Oliver and Jason Darden take notice of the directives to be included in the Prehearing Order regarding the representation of another person in a formal proceeding before the Commission, as Jason Darden will not be permitted to prosecute this Complaint on behalf of his father, Oliver, unless Jason Darden is licensed to practice law in the Commonwealth of Pennsylvania.  </w:t>
      </w:r>
    </w:p>
    <w:p w:rsidR="00EA3542" w:rsidRDefault="00EA3542" w:rsidP="00EA3542">
      <w:pPr>
        <w:ind w:left="1440" w:right="1440"/>
        <w:jc w:val="left"/>
      </w:pPr>
    </w:p>
    <w:p w:rsidR="00AF5EBC" w:rsidRDefault="00AF5EBC" w:rsidP="00AF5EBC">
      <w:pPr>
        <w:jc w:val="left"/>
      </w:pPr>
      <w:r>
        <w:t>Ordering Paragraph 2, Order Correcting Caption issued December 10, 2015.</w:t>
      </w:r>
    </w:p>
    <w:p w:rsidR="00AF5EBC" w:rsidRDefault="00AF5EBC" w:rsidP="00AF5EBC">
      <w:pPr>
        <w:jc w:val="left"/>
      </w:pPr>
    </w:p>
    <w:p w:rsidR="00AF5EBC" w:rsidRDefault="00AF5EBC" w:rsidP="00AF5EBC">
      <w:pPr>
        <w:jc w:val="left"/>
      </w:pPr>
      <w:r>
        <w:tab/>
      </w:r>
      <w:r>
        <w:tab/>
        <w:t xml:space="preserve">Also on December 10, 2015, I issued a prehearing order which set forth some of the requirements for appearing in a formal proceeding before the Commission, highlighting the following:  </w:t>
      </w:r>
    </w:p>
    <w:p w:rsidR="00AF5EBC" w:rsidRDefault="00AF5EBC" w:rsidP="00AF5EBC">
      <w:pPr>
        <w:spacing w:line="240" w:lineRule="auto"/>
        <w:ind w:left="1440" w:right="1440"/>
        <w:jc w:val="left"/>
      </w:pPr>
      <w:r>
        <w:tab/>
        <w:t>2.</w:t>
      </w:r>
      <w:r>
        <w:tab/>
      </w:r>
      <w:r w:rsidRPr="00BD4E11">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p>
    <w:p w:rsidR="00AF5EBC" w:rsidRPr="00BD4E11" w:rsidRDefault="00AF5EBC" w:rsidP="00AF5EBC">
      <w:pPr>
        <w:spacing w:line="240" w:lineRule="auto"/>
        <w:ind w:left="1440" w:right="1440"/>
        <w:jc w:val="left"/>
      </w:pPr>
    </w:p>
    <w:p w:rsidR="00AF5EBC" w:rsidRDefault="00AF5EBC" w:rsidP="00AF5EBC">
      <w:pPr>
        <w:spacing w:line="240" w:lineRule="auto"/>
        <w:ind w:left="1440" w:right="1440"/>
        <w:jc w:val="left"/>
      </w:pPr>
      <w:r>
        <w:rPr>
          <w:b/>
        </w:rPr>
        <w:tab/>
        <w:t>3.</w:t>
      </w:r>
      <w:r>
        <w:rPr>
          <w:b/>
        </w:rPr>
        <w:tab/>
      </w:r>
      <w:r w:rsidRPr="0086518E">
        <w:rPr>
          <w:b/>
        </w:rPr>
        <w:t>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w:t>
      </w:r>
      <w:r w:rsidRPr="00A430E8">
        <w:t xml:space="preserve"> </w:t>
      </w:r>
      <w:r>
        <w:t xml:space="preserve">Attorneys shall comply with the Commission’s appearance requirements.  </w:t>
      </w:r>
      <w:proofErr w:type="gramStart"/>
      <w:r>
        <w:t>52 Pa. Code § 1.24(b).</w:t>
      </w:r>
      <w:proofErr w:type="gramEnd"/>
      <w:r>
        <w:t xml:space="preserve">  References to the Pa. Code may be accessed at www.pacode.com.</w:t>
      </w:r>
    </w:p>
    <w:p w:rsidR="00AF5EBC" w:rsidRDefault="00AF5EBC" w:rsidP="00AF5EBC">
      <w:pPr>
        <w:spacing w:line="240" w:lineRule="auto"/>
        <w:ind w:left="1440" w:right="1440"/>
        <w:jc w:val="left"/>
      </w:pPr>
    </w:p>
    <w:p w:rsidR="00EA3542" w:rsidRDefault="00AF5EBC" w:rsidP="00B44C90">
      <w:pPr>
        <w:spacing w:line="240" w:lineRule="auto"/>
        <w:ind w:left="1440" w:right="1440"/>
        <w:jc w:val="left"/>
      </w:pPr>
      <w:r>
        <w:tab/>
        <w:t>4.</w:t>
      </w:r>
      <w:r>
        <w:tab/>
      </w:r>
      <w:r w:rsidRPr="0059673D">
        <w:t>Unless you are an attorney, you may not represent someone else</w:t>
      </w:r>
      <w:r>
        <w:t xml:space="preserve"> in a formal proceeding before the Commission, not even your father.  This is the law in Pennsylvania and neither the presiding officer nor the Public Utility Commission can make exceptions.  Please note that a "power of attorney" does not give a non-attorney the right to practice law, and an executed power of </w:t>
      </w:r>
      <w:r>
        <w:lastRenderedPageBreak/>
        <w:t xml:space="preserve">attorney is not sufficient to allow the representation of another in a formal proceeding before the Commission. </w:t>
      </w:r>
    </w:p>
    <w:p w:rsidR="00B44C90" w:rsidRDefault="00AF5EBC" w:rsidP="00EA3542">
      <w:pPr>
        <w:ind w:left="1440" w:right="1440"/>
        <w:jc w:val="left"/>
      </w:pPr>
      <w:r>
        <w:t xml:space="preserve"> </w:t>
      </w:r>
    </w:p>
    <w:p w:rsidR="00AF5EBC" w:rsidRDefault="00017C7C" w:rsidP="00B44C90">
      <w:pPr>
        <w:spacing w:line="240" w:lineRule="auto"/>
        <w:jc w:val="left"/>
      </w:pPr>
      <w:r>
        <w:t>Prehearing Order and Corrected Prehearing Order.</w:t>
      </w:r>
      <w:r>
        <w:rPr>
          <w:rStyle w:val="FootnoteReference"/>
        </w:rPr>
        <w:footnoteReference w:id="2"/>
      </w:r>
    </w:p>
    <w:p w:rsidR="00017C7C" w:rsidRDefault="00017C7C" w:rsidP="00AF5EBC">
      <w:pPr>
        <w:jc w:val="left"/>
      </w:pPr>
    </w:p>
    <w:p w:rsidR="00017C7C" w:rsidRDefault="00017C7C" w:rsidP="00AF5EBC">
      <w:pPr>
        <w:jc w:val="left"/>
      </w:pPr>
      <w:r>
        <w:tab/>
      </w:r>
      <w:r>
        <w:tab/>
      </w:r>
      <w:r w:rsidR="0002618F">
        <w:t xml:space="preserve">The hearing was convened as scheduled on January 20, 2016 at 10:00 am.  PGW was represented by Laureto Farinas, Esq., and </w:t>
      </w:r>
      <w:proofErr w:type="spellStart"/>
      <w:r w:rsidR="0002618F">
        <w:t>JaiOliver</w:t>
      </w:r>
      <w:proofErr w:type="spellEnd"/>
      <w:r w:rsidR="0002618F">
        <w:t xml:space="preserve"> Darden appeared on behalf of Complainant, who was not present.  Mr. Oliver was informed that he would not be permitted to proceed on behalf of his father because Pennsylvania law did not allow a </w:t>
      </w:r>
      <w:proofErr w:type="spellStart"/>
      <w:r w:rsidR="0002618F">
        <w:t>nonlawyer</w:t>
      </w:r>
      <w:proofErr w:type="spellEnd"/>
      <w:r w:rsidR="0002618F">
        <w:t xml:space="preserve"> to appear on behalf of an individual.  Following an off-the-record discussion between Mr. Darden and Mr. Farinas which did not settle the matter, the parties agreed to a continuance.  </w:t>
      </w:r>
    </w:p>
    <w:p w:rsidR="0002618F" w:rsidRDefault="0002618F" w:rsidP="00AF5EBC">
      <w:pPr>
        <w:jc w:val="left"/>
      </w:pPr>
    </w:p>
    <w:p w:rsidR="0002618F" w:rsidRDefault="0002618F" w:rsidP="00AF5EBC">
      <w:pPr>
        <w:jc w:val="left"/>
      </w:pPr>
      <w:r>
        <w:tab/>
      </w:r>
      <w:r>
        <w:tab/>
        <w:t xml:space="preserve">As discussed on the record, the parties have thirty (30) days from the date of this Order to: (1) file a certificate of satisfaction; or (2) obtain legal counsel for Complainant; (3) substitute </w:t>
      </w:r>
      <w:proofErr w:type="spellStart"/>
      <w:r>
        <w:t>JaiOliver</w:t>
      </w:r>
      <w:proofErr w:type="spellEnd"/>
      <w:r>
        <w:t xml:space="preserve"> Darden for Oliver Darden as the account </w:t>
      </w:r>
      <w:proofErr w:type="gramStart"/>
      <w:r>
        <w:t>holder ;</w:t>
      </w:r>
      <w:proofErr w:type="gramEnd"/>
      <w:r>
        <w:t xml:space="preserve"> and (4) provide me with three dates that both sides agree are suitable for a rescheduled hearing.  </w:t>
      </w:r>
    </w:p>
    <w:p w:rsidR="0002618F" w:rsidRDefault="0002618F" w:rsidP="00AF5EBC">
      <w:pPr>
        <w:jc w:val="left"/>
      </w:pPr>
    </w:p>
    <w:p w:rsidR="0002618F" w:rsidRDefault="0002618F" w:rsidP="00AF5EBC">
      <w:pPr>
        <w:jc w:val="left"/>
      </w:pPr>
      <w:r>
        <w:tab/>
      </w:r>
      <w:r>
        <w:tab/>
        <w:t>Mr. Darden is reminded of the following paragraphs from my prehearing order, which is in all ways but the date still in effect:</w:t>
      </w:r>
    </w:p>
    <w:p w:rsidR="0002618F" w:rsidRDefault="0002618F" w:rsidP="00AF5EBC">
      <w:pPr>
        <w:jc w:val="left"/>
      </w:pPr>
    </w:p>
    <w:p w:rsidR="00951833" w:rsidRDefault="00D17F61" w:rsidP="00B44C90">
      <w:pPr>
        <w:spacing w:line="240" w:lineRule="auto"/>
        <w:ind w:left="1440" w:right="1440"/>
        <w:jc w:val="left"/>
        <w:rPr>
          <w:spacing w:val="-3"/>
        </w:rPr>
      </w:pPr>
      <w:r>
        <w:rPr>
          <w:b/>
          <w:i/>
        </w:rPr>
        <w:tab/>
      </w:r>
      <w:r>
        <w:rPr>
          <w:spacing w:val="-3"/>
        </w:rPr>
        <w:t>14.</w:t>
      </w:r>
      <w:r>
        <w:rPr>
          <w:spacing w:val="-3"/>
        </w:rPr>
        <w:tab/>
      </w:r>
      <w:r w:rsidR="00951833">
        <w:rPr>
          <w:spacing w:val="-3"/>
        </w:rPr>
        <w:t xml:space="preserve">The Complaint indicates that a payment agreement is sought in this case.  Please be advised that the Responsible Utility Customer Protection Act, 66 Pa. C.S. §§1401-1418, may apply to this case.  This law provides specific requirements and limitations that the Commission must follow in handling certain customer complaints.  The application of this law may result in the issuance of less favorable payment terms than a customer’s current payment arrangement.  </w:t>
      </w:r>
    </w:p>
    <w:p w:rsidR="00951833" w:rsidRDefault="00951833" w:rsidP="0002618F">
      <w:pPr>
        <w:pStyle w:val="ParaTab1"/>
        <w:tabs>
          <w:tab w:val="left" w:pos="1530"/>
          <w:tab w:val="left" w:pos="2160"/>
        </w:tabs>
        <w:ind w:left="1440" w:right="1440"/>
        <w:rPr>
          <w:rFonts w:ascii="Times New Roman" w:hAnsi="Times New Roman" w:cs="Times New Roman"/>
          <w:spacing w:val="-3"/>
        </w:rPr>
      </w:pPr>
    </w:p>
    <w:p w:rsidR="00951833" w:rsidRDefault="00951833" w:rsidP="0002618F">
      <w:pPr>
        <w:pStyle w:val="ParaTab1"/>
        <w:tabs>
          <w:tab w:val="left" w:pos="1530"/>
          <w:tab w:val="left" w:pos="2160"/>
        </w:tabs>
        <w:ind w:left="1440" w:right="1440" w:firstLine="0"/>
        <w:rPr>
          <w:rFonts w:ascii="Times New Roman" w:hAnsi="Times New Roman" w:cs="Times New Roman"/>
          <w:spacing w:val="-3"/>
        </w:rPr>
      </w:pPr>
      <w:r>
        <w:rPr>
          <w:rFonts w:ascii="Times New Roman" w:hAnsi="Times New Roman" w:cs="Times New Roman"/>
          <w:spacing w:val="-3"/>
        </w:rPr>
        <w:tab/>
      </w:r>
      <w:r w:rsidR="0002618F">
        <w:rPr>
          <w:rFonts w:ascii="Times New Roman" w:hAnsi="Times New Roman" w:cs="Times New Roman"/>
          <w:spacing w:val="-3"/>
        </w:rPr>
        <w:tab/>
      </w:r>
      <w:r w:rsidR="00D17F61">
        <w:rPr>
          <w:rFonts w:ascii="Times New Roman" w:hAnsi="Times New Roman" w:cs="Times New Roman"/>
          <w:spacing w:val="-3"/>
        </w:rPr>
        <w:t>15.</w:t>
      </w:r>
      <w:r>
        <w:rPr>
          <w:rFonts w:ascii="Times New Roman" w:hAnsi="Times New Roman" w:cs="Times New Roman"/>
          <w:spacing w:val="-3"/>
        </w:rPr>
        <w:tab/>
        <w:t xml:space="preserve">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w:t>
      </w:r>
      <w:r>
        <w:rPr>
          <w:rFonts w:ascii="Times New Roman" w:hAnsi="Times New Roman" w:cs="Times New Roman"/>
          <w:spacing w:val="-3"/>
        </w:rPr>
        <w:lastRenderedPageBreak/>
        <w:t>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rsidR="00951833" w:rsidRDefault="00951833" w:rsidP="0002618F">
      <w:pPr>
        <w:pStyle w:val="ParaTab1"/>
        <w:tabs>
          <w:tab w:val="left" w:pos="1530"/>
          <w:tab w:val="left" w:pos="2160"/>
        </w:tabs>
        <w:ind w:left="1440" w:right="1440" w:firstLine="0"/>
        <w:rPr>
          <w:rFonts w:ascii="Times New Roman" w:hAnsi="Times New Roman" w:cs="Times New Roman"/>
          <w:spacing w:val="-3"/>
        </w:rPr>
      </w:pPr>
    </w:p>
    <w:p w:rsidR="00951833" w:rsidRDefault="00D17F61" w:rsidP="0002618F">
      <w:pPr>
        <w:spacing w:line="240" w:lineRule="auto"/>
        <w:ind w:left="1440" w:right="1440" w:firstLine="720"/>
        <w:jc w:val="left"/>
      </w:pPr>
      <w:r>
        <w:rPr>
          <w:spacing w:val="-3"/>
        </w:rPr>
        <w:t>16.</w:t>
      </w:r>
      <w:r w:rsidR="00951833">
        <w:rPr>
          <w:spacing w:val="-3"/>
        </w:rPr>
        <w:tab/>
      </w:r>
      <w:r w:rsidR="00951833" w:rsidRPr="005A1A91">
        <w:rPr>
          <w:rFonts w:cs="CG Times"/>
        </w:rPr>
        <w:t>The customer is responsible for payment of current bills pending the resolution of this complaint, if applicable.  Failure to make payments may result in the termination of utility service</w:t>
      </w:r>
      <w:r w:rsidR="00951833" w:rsidRPr="005A1A91">
        <w:rPr>
          <w:rFonts w:cs="CG Times"/>
          <w:caps/>
        </w:rPr>
        <w:t xml:space="preserve">. </w:t>
      </w:r>
    </w:p>
    <w:p w:rsidR="00951833" w:rsidRDefault="00951833" w:rsidP="00951833">
      <w:pPr>
        <w:pStyle w:val="ParaTab1"/>
        <w:tabs>
          <w:tab w:val="left" w:pos="1530"/>
          <w:tab w:val="left" w:pos="2160"/>
        </w:tabs>
        <w:spacing w:line="360" w:lineRule="auto"/>
        <w:ind w:firstLine="0"/>
        <w:rPr>
          <w:rFonts w:ascii="Times New Roman" w:hAnsi="Times New Roman" w:cs="Times New Roman"/>
          <w:spacing w:val="-3"/>
        </w:rPr>
      </w:pPr>
    </w:p>
    <w:p w:rsidR="00EA3542" w:rsidRDefault="00EA3542" w:rsidP="00EA3542">
      <w:pPr>
        <w:pStyle w:val="ParaTab1"/>
        <w:tabs>
          <w:tab w:val="left" w:pos="1530"/>
          <w:tab w:val="left" w:pos="2160"/>
        </w:tabs>
        <w:spacing w:line="360" w:lineRule="auto"/>
        <w:ind w:firstLine="0"/>
        <w:jc w:val="center"/>
        <w:rPr>
          <w:rFonts w:ascii="Times New Roman" w:hAnsi="Times New Roman" w:cs="Times New Roman"/>
          <w:spacing w:val="-3"/>
        </w:rPr>
      </w:pPr>
      <w:r>
        <w:rPr>
          <w:rFonts w:ascii="Times New Roman" w:hAnsi="Times New Roman" w:cs="Times New Roman"/>
          <w:spacing w:val="-3"/>
        </w:rPr>
        <w:t>ORDER</w:t>
      </w:r>
    </w:p>
    <w:p w:rsidR="00EA3542" w:rsidRDefault="00EA3542" w:rsidP="00EA3542">
      <w:pPr>
        <w:pStyle w:val="ParaTab1"/>
        <w:tabs>
          <w:tab w:val="left" w:pos="1530"/>
          <w:tab w:val="left" w:pos="2160"/>
        </w:tabs>
        <w:spacing w:line="360" w:lineRule="auto"/>
        <w:ind w:firstLine="0"/>
        <w:jc w:val="center"/>
        <w:rPr>
          <w:rFonts w:ascii="Times New Roman" w:hAnsi="Times New Roman" w:cs="Times New Roman"/>
          <w:spacing w:val="-3"/>
        </w:rPr>
      </w:pPr>
    </w:p>
    <w:p w:rsidR="00EA3542" w:rsidRDefault="00EA3542" w:rsidP="00EA3542">
      <w:pPr>
        <w:pStyle w:val="ParaTab1"/>
        <w:tabs>
          <w:tab w:val="left" w:pos="1530"/>
          <w:tab w:val="left" w:pos="2160"/>
        </w:tabs>
        <w:spacing w:line="360" w:lineRule="auto"/>
        <w:ind w:firstLine="0"/>
        <w:jc w:val="center"/>
        <w:rPr>
          <w:rFonts w:ascii="Times New Roman" w:hAnsi="Times New Roman" w:cs="Times New Roman"/>
          <w:spacing w:val="-3"/>
        </w:rPr>
      </w:pPr>
    </w:p>
    <w:p w:rsidR="0002618F" w:rsidRDefault="0002618F" w:rsidP="0002618F">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THEREFORE, </w:t>
      </w:r>
    </w:p>
    <w:p w:rsidR="0002618F" w:rsidRDefault="0002618F" w:rsidP="0002618F">
      <w:pPr>
        <w:pStyle w:val="ParaTab1"/>
        <w:tabs>
          <w:tab w:val="left" w:pos="1530"/>
          <w:tab w:val="left" w:pos="2160"/>
        </w:tabs>
        <w:spacing w:line="360" w:lineRule="auto"/>
        <w:ind w:firstLine="0"/>
        <w:rPr>
          <w:rFonts w:ascii="Times New Roman" w:hAnsi="Times New Roman" w:cs="Times New Roman"/>
          <w:spacing w:val="-3"/>
        </w:rPr>
      </w:pPr>
    </w:p>
    <w:p w:rsidR="0002618F" w:rsidRDefault="0002618F" w:rsidP="0002618F">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IT IS ORDERED:</w:t>
      </w:r>
    </w:p>
    <w:p w:rsidR="0002618F" w:rsidRDefault="0002618F" w:rsidP="0002618F">
      <w:pPr>
        <w:pStyle w:val="ParaTab1"/>
        <w:tabs>
          <w:tab w:val="left" w:pos="1530"/>
          <w:tab w:val="left" w:pos="2160"/>
        </w:tabs>
        <w:spacing w:line="360" w:lineRule="auto"/>
        <w:ind w:firstLine="0"/>
        <w:rPr>
          <w:rFonts w:ascii="Times New Roman" w:hAnsi="Times New Roman" w:cs="Times New Roman"/>
          <w:spacing w:val="-3"/>
        </w:rPr>
      </w:pPr>
    </w:p>
    <w:p w:rsidR="0002618F" w:rsidRDefault="0002618F" w:rsidP="0002618F">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1.</w:t>
      </w:r>
      <w:r>
        <w:rPr>
          <w:rFonts w:ascii="Times New Roman" w:hAnsi="Times New Roman" w:cs="Times New Roman"/>
          <w:spacing w:val="-3"/>
        </w:rPr>
        <w:tab/>
        <w:t>That a continuance is granted in this matter.</w:t>
      </w:r>
    </w:p>
    <w:p w:rsidR="0002618F" w:rsidRDefault="0002618F" w:rsidP="0002618F">
      <w:pPr>
        <w:pStyle w:val="ParaTab1"/>
        <w:tabs>
          <w:tab w:val="left" w:pos="1530"/>
          <w:tab w:val="left" w:pos="2160"/>
        </w:tabs>
        <w:spacing w:line="360" w:lineRule="auto"/>
        <w:ind w:firstLine="0"/>
        <w:rPr>
          <w:rFonts w:ascii="Times New Roman" w:hAnsi="Times New Roman" w:cs="Times New Roman"/>
          <w:spacing w:val="-3"/>
        </w:rPr>
      </w:pPr>
    </w:p>
    <w:p w:rsidR="0002618F" w:rsidRDefault="0002618F" w:rsidP="0002618F">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2.</w:t>
      </w:r>
      <w:r>
        <w:rPr>
          <w:rFonts w:ascii="Times New Roman" w:hAnsi="Times New Roman" w:cs="Times New Roman"/>
          <w:spacing w:val="-3"/>
        </w:rPr>
        <w:tab/>
        <w:t>That the parties shall, within thirty (30) days of the date of this Order, provide me with THREE dates that they agree are suitable for a rescheduled hearing.</w:t>
      </w:r>
    </w:p>
    <w:p w:rsidR="0002618F" w:rsidRDefault="0002618F" w:rsidP="0002618F">
      <w:pPr>
        <w:pStyle w:val="ParaTab1"/>
        <w:tabs>
          <w:tab w:val="left" w:pos="1530"/>
          <w:tab w:val="left" w:pos="2160"/>
        </w:tabs>
        <w:spacing w:line="360" w:lineRule="auto"/>
        <w:ind w:firstLine="0"/>
        <w:rPr>
          <w:rFonts w:ascii="Times New Roman" w:hAnsi="Times New Roman" w:cs="Times New Roman"/>
          <w:spacing w:val="-3"/>
        </w:rPr>
      </w:pPr>
    </w:p>
    <w:p w:rsidR="0002618F" w:rsidRDefault="0002618F" w:rsidP="0002618F">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3.</w:t>
      </w:r>
      <w:r>
        <w:rPr>
          <w:rFonts w:ascii="Times New Roman" w:hAnsi="Times New Roman" w:cs="Times New Roman"/>
          <w:spacing w:val="-3"/>
        </w:rPr>
        <w:tab/>
        <w:t xml:space="preserve">That if the parties fail to comply with Ordering Paragraph 2, above, </w:t>
      </w:r>
      <w:r w:rsidR="00B44C90">
        <w:rPr>
          <w:rFonts w:ascii="Times New Roman" w:hAnsi="Times New Roman" w:cs="Times New Roman"/>
          <w:spacing w:val="-3"/>
        </w:rPr>
        <w:t xml:space="preserve">and no certificate of satisfaction is filed, </w:t>
      </w:r>
      <w:r>
        <w:rPr>
          <w:rFonts w:ascii="Times New Roman" w:hAnsi="Times New Roman" w:cs="Times New Roman"/>
          <w:spacing w:val="-3"/>
        </w:rPr>
        <w:t>the hearing will be rescheduled at the convenience of the presiding officer and no further continuance will be granted.</w:t>
      </w:r>
    </w:p>
    <w:p w:rsidR="0002618F" w:rsidRDefault="0002618F" w:rsidP="0002618F">
      <w:pPr>
        <w:pStyle w:val="ParaTab1"/>
        <w:tabs>
          <w:tab w:val="left" w:pos="1530"/>
          <w:tab w:val="left" w:pos="2160"/>
        </w:tabs>
        <w:spacing w:line="360" w:lineRule="auto"/>
        <w:ind w:firstLine="0"/>
        <w:rPr>
          <w:rFonts w:ascii="Times New Roman" w:hAnsi="Times New Roman" w:cs="Times New Roman"/>
          <w:spacing w:val="-3"/>
        </w:rPr>
      </w:pPr>
    </w:p>
    <w:p w:rsidR="0002618F" w:rsidRDefault="0002618F" w:rsidP="0002618F">
      <w:pPr>
        <w:pStyle w:val="ParaTab1"/>
        <w:tabs>
          <w:tab w:val="left" w:pos="1530"/>
          <w:tab w:val="left" w:pos="2160"/>
        </w:tabs>
        <w:spacing w:line="360" w:lineRule="auto"/>
        <w:ind w:firstLine="0"/>
      </w:pPr>
    </w:p>
    <w:p w:rsidR="00951833" w:rsidRPr="00EA3542" w:rsidRDefault="00D17F61" w:rsidP="00D17F61">
      <w:pPr>
        <w:spacing w:line="240" w:lineRule="auto"/>
        <w:jc w:val="left"/>
        <w:rPr>
          <w:u w:val="single"/>
        </w:rPr>
      </w:pPr>
      <w:r>
        <w:t>D</w:t>
      </w:r>
      <w:r w:rsidR="00951833" w:rsidRPr="0030236D">
        <w:t>ated:</w:t>
      </w:r>
      <w:r w:rsidR="00951833" w:rsidRPr="0030236D">
        <w:tab/>
      </w:r>
      <w:r w:rsidR="0002618F">
        <w:rPr>
          <w:u w:val="single"/>
        </w:rPr>
        <w:t>January 2</w:t>
      </w:r>
      <w:r w:rsidR="00B44C90">
        <w:rPr>
          <w:u w:val="single"/>
        </w:rPr>
        <w:t>1</w:t>
      </w:r>
      <w:r w:rsidRPr="00D17F61">
        <w:rPr>
          <w:u w:val="single"/>
        </w:rPr>
        <w:t>, 2015</w:t>
      </w:r>
      <w:r w:rsidR="00951833">
        <w:tab/>
      </w:r>
      <w:r w:rsidR="00951833">
        <w:tab/>
      </w:r>
      <w:r w:rsidR="00951833">
        <w:tab/>
      </w:r>
      <w:r w:rsidR="00EA3542">
        <w:tab/>
      </w:r>
      <w:r w:rsidR="00EA3542">
        <w:rPr>
          <w:u w:val="single"/>
        </w:rPr>
        <w:tab/>
      </w:r>
      <w:r w:rsidR="00EA3542">
        <w:rPr>
          <w:u w:val="single"/>
        </w:rPr>
        <w:tab/>
      </w:r>
      <w:r w:rsidR="00EA3542">
        <w:rPr>
          <w:u w:val="single"/>
        </w:rPr>
        <w:tab/>
      </w:r>
      <w:r w:rsidR="00EA3542">
        <w:rPr>
          <w:u w:val="single"/>
        </w:rPr>
        <w:tab/>
      </w:r>
      <w:r w:rsidR="00EA3542">
        <w:rPr>
          <w:u w:val="single"/>
        </w:rPr>
        <w:tab/>
      </w:r>
    </w:p>
    <w:p w:rsidR="00951833" w:rsidRDefault="00951833" w:rsidP="0002618F">
      <w:pPr>
        <w:spacing w:line="240" w:lineRule="auto"/>
        <w:jc w:val="left"/>
      </w:pPr>
      <w:r>
        <w:tab/>
      </w:r>
      <w:r w:rsidR="00D17F61">
        <w:tab/>
      </w:r>
      <w:r w:rsidR="00D17F61">
        <w:tab/>
      </w:r>
      <w:r w:rsidR="00D17F61">
        <w:tab/>
      </w:r>
      <w:r w:rsidR="00D17F61">
        <w:tab/>
      </w:r>
      <w:r w:rsidR="00D17F61">
        <w:tab/>
      </w:r>
      <w:r w:rsidR="00EA3542">
        <w:tab/>
      </w:r>
      <w:r w:rsidR="00D17F61">
        <w:t>Susan D. Colwell</w:t>
      </w:r>
    </w:p>
    <w:p w:rsidR="00FB764C" w:rsidRDefault="00D17F61" w:rsidP="0002618F">
      <w:pPr>
        <w:spacing w:line="240" w:lineRule="auto"/>
        <w:jc w:val="left"/>
        <w:sectPr w:rsidR="00FB764C" w:rsidSect="00B44C90">
          <w:footerReference w:type="default" r:id="rId8"/>
          <w:pgSz w:w="12240" w:h="15840"/>
          <w:pgMar w:top="1440" w:right="1440" w:bottom="1440" w:left="1440" w:header="720" w:footer="720" w:gutter="0"/>
          <w:cols w:space="720"/>
          <w:titlePg/>
          <w:docGrid w:linePitch="360"/>
        </w:sectPr>
      </w:pPr>
      <w:r>
        <w:tab/>
      </w:r>
      <w:r w:rsidR="00951833">
        <w:tab/>
      </w:r>
      <w:r w:rsidR="00951833">
        <w:tab/>
      </w:r>
      <w:r w:rsidR="00951833">
        <w:tab/>
      </w:r>
      <w:r w:rsidR="00951833">
        <w:tab/>
      </w:r>
      <w:r w:rsidR="00951833">
        <w:tab/>
      </w:r>
      <w:r w:rsidR="00EA3542">
        <w:tab/>
      </w:r>
      <w:r w:rsidR="00951833">
        <w:t>Administrative Law Judge</w:t>
      </w:r>
    </w:p>
    <w:p w:rsidR="00FB764C" w:rsidRPr="00771CD9" w:rsidRDefault="00FB764C" w:rsidP="00FB764C">
      <w:pPr>
        <w:spacing w:line="240" w:lineRule="auto"/>
        <w:contextualSpacing/>
        <w:jc w:val="left"/>
        <w:rPr>
          <w:b/>
          <w:i/>
          <w:u w:val="single"/>
        </w:rPr>
      </w:pPr>
      <w:r>
        <w:rPr>
          <w:rFonts w:ascii="Microsoft Sans Serif"/>
          <w:b/>
          <w:u w:val="single"/>
        </w:rPr>
        <w:lastRenderedPageBreak/>
        <w:t>C-2015-2512966 - JASON DORDEN FOR OLIVER DORDEN v. PHILADELPHIA GAS WORKS</w:t>
      </w:r>
      <w:r>
        <w:rPr>
          <w:rFonts w:ascii="Microsoft Sans Serif"/>
          <w:b/>
          <w:u w:val="single"/>
        </w:rPr>
        <w:cr/>
      </w:r>
      <w:r>
        <w:rPr>
          <w:rFonts w:ascii="Microsoft Sans Serif"/>
          <w:b/>
          <w:u w:val="single"/>
        </w:rPr>
        <w:cr/>
      </w:r>
      <w:r w:rsidR="00A61A3F">
        <w:rPr>
          <w:rFonts w:ascii="Microsoft Sans Serif"/>
        </w:rPr>
        <w:t>JASON DA</w:t>
      </w:r>
      <w:r>
        <w:rPr>
          <w:rFonts w:ascii="Microsoft Sans Serif"/>
        </w:rPr>
        <w:t>RDEN</w:t>
      </w:r>
      <w:r>
        <w:rPr>
          <w:rFonts w:ascii="Microsoft Sans Serif"/>
        </w:rPr>
        <w:cr/>
        <w:t>5724 CHEW AVENUE</w:t>
      </w:r>
      <w:r>
        <w:rPr>
          <w:rFonts w:ascii="Microsoft Sans Serif"/>
        </w:rPr>
        <w:cr/>
        <w:t>PHILADELPHIA P</w:t>
      </w:r>
      <w:r w:rsidR="00A61A3F">
        <w:rPr>
          <w:rFonts w:ascii="Microsoft Sans Serif"/>
        </w:rPr>
        <w:t>A  19138</w:t>
      </w:r>
      <w:r w:rsidR="00A61A3F">
        <w:rPr>
          <w:rFonts w:ascii="Microsoft Sans Serif"/>
        </w:rPr>
        <w:cr/>
        <w:t>215.910.9483</w:t>
      </w:r>
      <w:r w:rsidR="00A61A3F">
        <w:rPr>
          <w:rFonts w:ascii="Microsoft Sans Serif"/>
        </w:rPr>
        <w:cr/>
      </w:r>
      <w:r w:rsidR="00A61A3F">
        <w:rPr>
          <w:rFonts w:ascii="Microsoft Sans Serif"/>
        </w:rPr>
        <w:cr/>
        <w:t>OLIVER DA</w:t>
      </w:r>
      <w:bookmarkStart w:id="0" w:name="_GoBack"/>
      <w:bookmarkEnd w:id="0"/>
      <w:r>
        <w:rPr>
          <w:rFonts w:ascii="Microsoft Sans Serif"/>
        </w:rPr>
        <w:t>RDEN</w:t>
      </w:r>
      <w:r>
        <w:rPr>
          <w:rFonts w:ascii="Microsoft Sans Serif"/>
        </w:rPr>
        <w:cr/>
        <w:t>5724 CHEW AVENUE</w:t>
      </w:r>
      <w:r>
        <w:rPr>
          <w:rFonts w:ascii="Microsoft Sans Serif"/>
        </w:rPr>
        <w:cr/>
        <w:t>PHILADELPHIA PA  19138</w:t>
      </w:r>
      <w:r>
        <w:rPr>
          <w:rFonts w:ascii="Microsoft Sans Serif"/>
        </w:rPr>
        <w:cr/>
        <w:t>215.910.9483</w:t>
      </w:r>
      <w:r>
        <w:rPr>
          <w:rFonts w:ascii="Microsoft Sans Serif"/>
        </w:rPr>
        <w:cr/>
      </w:r>
      <w:r>
        <w:rPr>
          <w:rFonts w:ascii="Microsoft Sans Serif"/>
        </w:rPr>
        <w:c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Pr>
          <w:rFonts w:ascii="Microsoft Sans Serif"/>
          <w:b/>
          <w:i/>
          <w:u w:val="single"/>
        </w:rPr>
        <w:t>-ACCEPTS ELECTRONIC SERVICE-</w:t>
      </w:r>
    </w:p>
    <w:p w:rsidR="00FB764C" w:rsidRDefault="00FB764C" w:rsidP="00FB764C">
      <w:pPr>
        <w:spacing w:line="240" w:lineRule="auto"/>
        <w:contextualSpacing/>
        <w:jc w:val="left"/>
      </w:pPr>
    </w:p>
    <w:p w:rsidR="00951833" w:rsidRPr="00411ECF" w:rsidRDefault="00951833" w:rsidP="00FB764C">
      <w:pPr>
        <w:spacing w:line="240" w:lineRule="auto"/>
        <w:jc w:val="left"/>
        <w:rPr>
          <w:b/>
        </w:rPr>
      </w:pPr>
    </w:p>
    <w:sectPr w:rsidR="00951833" w:rsidRPr="00411EC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012" w:rsidRDefault="00185012" w:rsidP="00F00295">
      <w:pPr>
        <w:spacing w:line="240" w:lineRule="auto"/>
      </w:pPr>
      <w:r>
        <w:separator/>
      </w:r>
    </w:p>
  </w:endnote>
  <w:endnote w:type="continuationSeparator" w:id="0">
    <w:p w:rsidR="00185012" w:rsidRDefault="00185012" w:rsidP="00F002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801524"/>
      <w:docPartObj>
        <w:docPartGallery w:val="Page Numbers (Bottom of Page)"/>
        <w:docPartUnique/>
      </w:docPartObj>
    </w:sdtPr>
    <w:sdtEndPr>
      <w:rPr>
        <w:noProof/>
      </w:rPr>
    </w:sdtEndPr>
    <w:sdtContent>
      <w:p w:rsidR="00B44C90" w:rsidRDefault="00B44C90">
        <w:pPr>
          <w:pStyle w:val="Footer"/>
        </w:pPr>
        <w:r w:rsidRPr="00EA3542">
          <w:rPr>
            <w:sz w:val="20"/>
            <w:szCs w:val="20"/>
          </w:rPr>
          <w:fldChar w:fldCharType="begin"/>
        </w:r>
        <w:r w:rsidRPr="00EA3542">
          <w:rPr>
            <w:sz w:val="20"/>
            <w:szCs w:val="20"/>
          </w:rPr>
          <w:instrText xml:space="preserve"> PAGE   \* MERGEFORMAT </w:instrText>
        </w:r>
        <w:r w:rsidRPr="00EA3542">
          <w:rPr>
            <w:sz w:val="20"/>
            <w:szCs w:val="20"/>
          </w:rPr>
          <w:fldChar w:fldCharType="separate"/>
        </w:r>
        <w:r w:rsidR="00A61A3F">
          <w:rPr>
            <w:noProof/>
            <w:sz w:val="20"/>
            <w:szCs w:val="20"/>
          </w:rPr>
          <w:t>4</w:t>
        </w:r>
        <w:r w:rsidRPr="00EA3542">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64C" w:rsidRDefault="00FB76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012" w:rsidRDefault="00185012" w:rsidP="00EA3542">
      <w:pPr>
        <w:spacing w:line="240" w:lineRule="auto"/>
        <w:jc w:val="both"/>
      </w:pPr>
      <w:r>
        <w:separator/>
      </w:r>
    </w:p>
  </w:footnote>
  <w:footnote w:type="continuationSeparator" w:id="0">
    <w:p w:rsidR="00185012" w:rsidRDefault="00185012" w:rsidP="00F00295">
      <w:pPr>
        <w:spacing w:line="240" w:lineRule="auto"/>
      </w:pPr>
      <w:r>
        <w:continuationSeparator/>
      </w:r>
    </w:p>
  </w:footnote>
  <w:footnote w:id="1">
    <w:p w:rsidR="00F00295" w:rsidRPr="00674F1F" w:rsidRDefault="00F00295" w:rsidP="00F00295">
      <w:pPr>
        <w:spacing w:line="240" w:lineRule="auto"/>
        <w:jc w:val="left"/>
        <w:rPr>
          <w:sz w:val="20"/>
          <w:szCs w:val="20"/>
        </w:rPr>
      </w:pPr>
      <w:r>
        <w:rPr>
          <w:rStyle w:val="FootnoteReference"/>
        </w:rPr>
        <w:footnoteRef/>
      </w:r>
      <w:r>
        <w:t xml:space="preserve"> </w:t>
      </w:r>
      <w:r w:rsidR="00EA3542">
        <w:tab/>
      </w:r>
      <w:r w:rsidRPr="00674F1F">
        <w:rPr>
          <w:sz w:val="20"/>
          <w:szCs w:val="20"/>
        </w:rPr>
        <w:t>P</w:t>
      </w:r>
      <w:r>
        <w:rPr>
          <w:sz w:val="20"/>
          <w:szCs w:val="20"/>
        </w:rPr>
        <w:t>GW</w:t>
      </w:r>
      <w:r w:rsidRPr="00674F1F">
        <w:rPr>
          <w:sz w:val="20"/>
          <w:szCs w:val="20"/>
        </w:rPr>
        <w:t xml:space="preserve"> has signed a waiver of the Section 702 requirements for service of formal complaints, 66 Pa.C.S.  702, and has agreed to electronic service instead under the Commission’s Waiver of 702 program.   Service is listed in the Audit History of the case as having been effected on </w:t>
      </w:r>
      <w:r>
        <w:rPr>
          <w:sz w:val="20"/>
          <w:szCs w:val="20"/>
        </w:rPr>
        <w:t>November 13, 2015.</w:t>
      </w:r>
    </w:p>
    <w:p w:rsidR="00F00295" w:rsidRDefault="00F00295" w:rsidP="00F00295">
      <w:pPr>
        <w:pStyle w:val="FootnoteText"/>
        <w:jc w:val="left"/>
      </w:pPr>
    </w:p>
  </w:footnote>
  <w:footnote w:id="2">
    <w:p w:rsidR="00017C7C" w:rsidRDefault="00017C7C" w:rsidP="00017C7C">
      <w:pPr>
        <w:pStyle w:val="FootnoteText"/>
        <w:jc w:val="left"/>
      </w:pPr>
      <w:r>
        <w:rPr>
          <w:rStyle w:val="FootnoteReference"/>
        </w:rPr>
        <w:footnoteRef/>
      </w:r>
      <w:r>
        <w:t xml:space="preserve"> </w:t>
      </w:r>
      <w:r w:rsidR="00EA3542">
        <w:tab/>
      </w:r>
      <w:r>
        <w:t xml:space="preserve">The Prehearing Order contained the wrong hearing date, which was corrected in the Corrected Prehearing Order dated January 12, 2016.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833"/>
    <w:rsid w:val="00001E3A"/>
    <w:rsid w:val="00001EF6"/>
    <w:rsid w:val="000028EA"/>
    <w:rsid w:val="00003D11"/>
    <w:rsid w:val="00004AA3"/>
    <w:rsid w:val="00005558"/>
    <w:rsid w:val="000079FE"/>
    <w:rsid w:val="00012104"/>
    <w:rsid w:val="0001247C"/>
    <w:rsid w:val="00012655"/>
    <w:rsid w:val="0001305A"/>
    <w:rsid w:val="00016E55"/>
    <w:rsid w:val="00017C7C"/>
    <w:rsid w:val="0002023D"/>
    <w:rsid w:val="00020760"/>
    <w:rsid w:val="0002105C"/>
    <w:rsid w:val="0002110E"/>
    <w:rsid w:val="00022B3F"/>
    <w:rsid w:val="00025D7A"/>
    <w:rsid w:val="0002618F"/>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01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83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1A3F"/>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5EBC"/>
    <w:rsid w:val="00AF70FF"/>
    <w:rsid w:val="00B01BE5"/>
    <w:rsid w:val="00B02385"/>
    <w:rsid w:val="00B03878"/>
    <w:rsid w:val="00B06DDF"/>
    <w:rsid w:val="00B07809"/>
    <w:rsid w:val="00B079A5"/>
    <w:rsid w:val="00B11C89"/>
    <w:rsid w:val="00B134C7"/>
    <w:rsid w:val="00B136CC"/>
    <w:rsid w:val="00B143BA"/>
    <w:rsid w:val="00B1605D"/>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4C90"/>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17F6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542"/>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29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350"/>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64C"/>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51833"/>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FootnoteText">
    <w:name w:val="footnote text"/>
    <w:basedOn w:val="Normal"/>
    <w:link w:val="FootnoteTextChar"/>
    <w:uiPriority w:val="99"/>
    <w:semiHidden/>
    <w:unhideWhenUsed/>
    <w:rsid w:val="00F00295"/>
    <w:pPr>
      <w:spacing w:line="240" w:lineRule="auto"/>
    </w:pPr>
    <w:rPr>
      <w:sz w:val="20"/>
      <w:szCs w:val="20"/>
    </w:rPr>
  </w:style>
  <w:style w:type="character" w:customStyle="1" w:styleId="FootnoteTextChar">
    <w:name w:val="Footnote Text Char"/>
    <w:basedOn w:val="DefaultParagraphFont"/>
    <w:link w:val="FootnoteText"/>
    <w:uiPriority w:val="99"/>
    <w:semiHidden/>
    <w:rsid w:val="00F00295"/>
    <w:rPr>
      <w:sz w:val="20"/>
      <w:szCs w:val="20"/>
    </w:rPr>
  </w:style>
  <w:style w:type="character" w:styleId="FootnoteReference">
    <w:name w:val="footnote reference"/>
    <w:basedOn w:val="DefaultParagraphFont"/>
    <w:uiPriority w:val="99"/>
    <w:semiHidden/>
    <w:unhideWhenUsed/>
    <w:rsid w:val="00F00295"/>
    <w:rPr>
      <w:vertAlign w:val="superscript"/>
    </w:rPr>
  </w:style>
  <w:style w:type="paragraph" w:styleId="Header">
    <w:name w:val="header"/>
    <w:basedOn w:val="Normal"/>
    <w:link w:val="HeaderChar"/>
    <w:uiPriority w:val="99"/>
    <w:unhideWhenUsed/>
    <w:rsid w:val="00B44C90"/>
    <w:pPr>
      <w:tabs>
        <w:tab w:val="center" w:pos="4680"/>
        <w:tab w:val="right" w:pos="9360"/>
      </w:tabs>
      <w:spacing w:line="240" w:lineRule="auto"/>
    </w:pPr>
  </w:style>
  <w:style w:type="character" w:customStyle="1" w:styleId="HeaderChar">
    <w:name w:val="Header Char"/>
    <w:basedOn w:val="DefaultParagraphFont"/>
    <w:link w:val="Header"/>
    <w:uiPriority w:val="99"/>
    <w:rsid w:val="00B44C90"/>
  </w:style>
  <w:style w:type="paragraph" w:styleId="Footer">
    <w:name w:val="footer"/>
    <w:basedOn w:val="Normal"/>
    <w:link w:val="FooterChar"/>
    <w:uiPriority w:val="99"/>
    <w:unhideWhenUsed/>
    <w:rsid w:val="00B44C90"/>
    <w:pPr>
      <w:tabs>
        <w:tab w:val="center" w:pos="4680"/>
        <w:tab w:val="right" w:pos="9360"/>
      </w:tabs>
      <w:spacing w:line="240" w:lineRule="auto"/>
    </w:pPr>
  </w:style>
  <w:style w:type="character" w:customStyle="1" w:styleId="FooterChar">
    <w:name w:val="Footer Char"/>
    <w:basedOn w:val="DefaultParagraphFont"/>
    <w:link w:val="Footer"/>
    <w:uiPriority w:val="99"/>
    <w:rsid w:val="00B44C90"/>
  </w:style>
  <w:style w:type="paragraph" w:styleId="BalloonText">
    <w:name w:val="Balloon Text"/>
    <w:basedOn w:val="Normal"/>
    <w:link w:val="BalloonTextChar"/>
    <w:uiPriority w:val="99"/>
    <w:semiHidden/>
    <w:unhideWhenUsed/>
    <w:rsid w:val="00EA35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5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51833"/>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FootnoteText">
    <w:name w:val="footnote text"/>
    <w:basedOn w:val="Normal"/>
    <w:link w:val="FootnoteTextChar"/>
    <w:uiPriority w:val="99"/>
    <w:semiHidden/>
    <w:unhideWhenUsed/>
    <w:rsid w:val="00F00295"/>
    <w:pPr>
      <w:spacing w:line="240" w:lineRule="auto"/>
    </w:pPr>
    <w:rPr>
      <w:sz w:val="20"/>
      <w:szCs w:val="20"/>
    </w:rPr>
  </w:style>
  <w:style w:type="character" w:customStyle="1" w:styleId="FootnoteTextChar">
    <w:name w:val="Footnote Text Char"/>
    <w:basedOn w:val="DefaultParagraphFont"/>
    <w:link w:val="FootnoteText"/>
    <w:uiPriority w:val="99"/>
    <w:semiHidden/>
    <w:rsid w:val="00F00295"/>
    <w:rPr>
      <w:sz w:val="20"/>
      <w:szCs w:val="20"/>
    </w:rPr>
  </w:style>
  <w:style w:type="character" w:styleId="FootnoteReference">
    <w:name w:val="footnote reference"/>
    <w:basedOn w:val="DefaultParagraphFont"/>
    <w:uiPriority w:val="99"/>
    <w:semiHidden/>
    <w:unhideWhenUsed/>
    <w:rsid w:val="00F00295"/>
    <w:rPr>
      <w:vertAlign w:val="superscript"/>
    </w:rPr>
  </w:style>
  <w:style w:type="paragraph" w:styleId="Header">
    <w:name w:val="header"/>
    <w:basedOn w:val="Normal"/>
    <w:link w:val="HeaderChar"/>
    <w:uiPriority w:val="99"/>
    <w:unhideWhenUsed/>
    <w:rsid w:val="00B44C90"/>
    <w:pPr>
      <w:tabs>
        <w:tab w:val="center" w:pos="4680"/>
        <w:tab w:val="right" w:pos="9360"/>
      </w:tabs>
      <w:spacing w:line="240" w:lineRule="auto"/>
    </w:pPr>
  </w:style>
  <w:style w:type="character" w:customStyle="1" w:styleId="HeaderChar">
    <w:name w:val="Header Char"/>
    <w:basedOn w:val="DefaultParagraphFont"/>
    <w:link w:val="Header"/>
    <w:uiPriority w:val="99"/>
    <w:rsid w:val="00B44C90"/>
  </w:style>
  <w:style w:type="paragraph" w:styleId="Footer">
    <w:name w:val="footer"/>
    <w:basedOn w:val="Normal"/>
    <w:link w:val="FooterChar"/>
    <w:uiPriority w:val="99"/>
    <w:unhideWhenUsed/>
    <w:rsid w:val="00B44C90"/>
    <w:pPr>
      <w:tabs>
        <w:tab w:val="center" w:pos="4680"/>
        <w:tab w:val="right" w:pos="9360"/>
      </w:tabs>
      <w:spacing w:line="240" w:lineRule="auto"/>
    </w:pPr>
  </w:style>
  <w:style w:type="character" w:customStyle="1" w:styleId="FooterChar">
    <w:name w:val="Footer Char"/>
    <w:basedOn w:val="DefaultParagraphFont"/>
    <w:link w:val="Footer"/>
    <w:uiPriority w:val="99"/>
    <w:rsid w:val="00B44C90"/>
  </w:style>
  <w:style w:type="paragraph" w:styleId="BalloonText">
    <w:name w:val="Balloon Text"/>
    <w:basedOn w:val="Normal"/>
    <w:link w:val="BalloonTextChar"/>
    <w:uiPriority w:val="99"/>
    <w:semiHidden/>
    <w:unhideWhenUsed/>
    <w:rsid w:val="00EA35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5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ECA25-899D-45E2-8CE6-E37DE537A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4</cp:revision>
  <cp:lastPrinted>2016-01-21T17:09:00Z</cp:lastPrinted>
  <dcterms:created xsi:type="dcterms:W3CDTF">2016-01-21T17:10:00Z</dcterms:created>
  <dcterms:modified xsi:type="dcterms:W3CDTF">2016-01-21T17:12:00Z</dcterms:modified>
</cp:coreProperties>
</file>