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299" w:rsidRPr="00A54299" w:rsidRDefault="00A54299" w:rsidP="00A54299">
      <w:pPr>
        <w:spacing w:line="240" w:lineRule="auto"/>
        <w:rPr>
          <w:rFonts w:eastAsia="Calibri"/>
          <w:b/>
        </w:rPr>
      </w:pPr>
      <w:bookmarkStart w:id="0" w:name="_GoBack"/>
      <w:bookmarkEnd w:id="0"/>
      <w:r w:rsidRPr="00A54299">
        <w:rPr>
          <w:rFonts w:eastAsia="Calibri"/>
          <w:b/>
        </w:rPr>
        <w:t>BEFORE THE</w:t>
      </w:r>
    </w:p>
    <w:p w:rsidR="00A54299" w:rsidRPr="00A54299" w:rsidRDefault="00A54299" w:rsidP="00A54299">
      <w:pPr>
        <w:spacing w:line="240" w:lineRule="auto"/>
        <w:rPr>
          <w:rFonts w:eastAsia="Calibri"/>
          <w:b/>
        </w:rPr>
      </w:pPr>
      <w:r w:rsidRPr="00A54299">
        <w:rPr>
          <w:rFonts w:eastAsia="Calibri"/>
          <w:b/>
        </w:rPr>
        <w:t>PENNSYLVANIA PUBLIC UTILITY COMMISSION</w:t>
      </w:r>
    </w:p>
    <w:p w:rsidR="00A54299" w:rsidRPr="00A54299" w:rsidRDefault="00A54299" w:rsidP="00A54299">
      <w:pPr>
        <w:spacing w:line="240" w:lineRule="auto"/>
        <w:rPr>
          <w:rFonts w:eastAsia="Calibri"/>
          <w:b/>
        </w:rPr>
      </w:pPr>
    </w:p>
    <w:p w:rsidR="00A54299" w:rsidRPr="00A54299" w:rsidRDefault="00A54299" w:rsidP="00A54299">
      <w:pPr>
        <w:spacing w:line="240" w:lineRule="auto"/>
        <w:rPr>
          <w:rFonts w:eastAsia="Calibri"/>
          <w:b/>
        </w:rPr>
      </w:pPr>
    </w:p>
    <w:p w:rsidR="00A54299" w:rsidRPr="00A54299" w:rsidRDefault="00A54299" w:rsidP="00A54299">
      <w:pPr>
        <w:spacing w:line="240" w:lineRule="auto"/>
        <w:rPr>
          <w:rFonts w:eastAsia="Calibri"/>
          <w:b/>
        </w:rPr>
      </w:pPr>
    </w:p>
    <w:p w:rsidR="00FF6BB8" w:rsidRDefault="00FF6BB8" w:rsidP="00FF6BB8">
      <w:pPr>
        <w:spacing w:line="240" w:lineRule="auto"/>
        <w:jc w:val="left"/>
        <w:rPr>
          <w:rFonts w:eastAsia="Calibri"/>
        </w:rPr>
      </w:pPr>
      <w:r>
        <w:rPr>
          <w:rFonts w:eastAsia="Calibri"/>
        </w:rPr>
        <w:t>David Hatchigian</w:t>
      </w:r>
      <w:r>
        <w:rPr>
          <w:rFonts w:eastAsia="Calibri"/>
        </w:rPr>
        <w:tab/>
      </w:r>
      <w:r>
        <w:rPr>
          <w:rFonts w:eastAsia="Calibri"/>
        </w:rPr>
        <w:tab/>
      </w:r>
      <w:r>
        <w:rPr>
          <w:rFonts w:eastAsia="Calibri"/>
        </w:rPr>
        <w:tab/>
      </w:r>
      <w:r>
        <w:rPr>
          <w:rFonts w:eastAsia="Calibri"/>
        </w:rPr>
        <w:tab/>
      </w:r>
      <w:r>
        <w:rPr>
          <w:rFonts w:eastAsia="Calibri"/>
        </w:rPr>
        <w:tab/>
        <w:t>:</w:t>
      </w:r>
    </w:p>
    <w:p w:rsidR="00FF6BB8" w:rsidRDefault="00FF6BB8" w:rsidP="00FF6BB8">
      <w:pPr>
        <w:spacing w:line="240" w:lineRule="auto"/>
        <w:jc w:val="left"/>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w:t>
      </w:r>
    </w:p>
    <w:p w:rsidR="00FF6BB8" w:rsidRDefault="00FF6BB8" w:rsidP="00FF6BB8">
      <w:pPr>
        <w:spacing w:line="240" w:lineRule="auto"/>
        <w:jc w:val="left"/>
        <w:rPr>
          <w:rFonts w:eastAsia="Calibri"/>
        </w:rPr>
      </w:pPr>
      <w:r>
        <w:rPr>
          <w:rFonts w:eastAsia="Calibri"/>
        </w:rPr>
        <w:tab/>
        <w:t>v.</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w:t>
      </w:r>
      <w:r>
        <w:rPr>
          <w:rFonts w:eastAsia="Calibri"/>
        </w:rPr>
        <w:tab/>
      </w:r>
      <w:r>
        <w:rPr>
          <w:rFonts w:eastAsia="Calibri"/>
        </w:rPr>
        <w:tab/>
        <w:t>C-2015-2477331</w:t>
      </w:r>
    </w:p>
    <w:p w:rsidR="00FF6BB8" w:rsidRDefault="00FF6BB8" w:rsidP="00FF6BB8">
      <w:pPr>
        <w:spacing w:line="240" w:lineRule="auto"/>
        <w:jc w:val="left"/>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w:t>
      </w:r>
      <w:r>
        <w:rPr>
          <w:rFonts w:eastAsia="Calibri"/>
        </w:rPr>
        <w:tab/>
      </w:r>
      <w:r>
        <w:rPr>
          <w:rFonts w:eastAsia="Calibri"/>
        </w:rPr>
        <w:tab/>
      </w:r>
      <w:r>
        <w:rPr>
          <w:rFonts w:eastAsia="Times New Roman"/>
        </w:rPr>
        <w:t>C-2015-2487879</w:t>
      </w:r>
    </w:p>
    <w:p w:rsidR="00FF6BB8" w:rsidRDefault="00FF6BB8" w:rsidP="00FF6BB8">
      <w:pPr>
        <w:spacing w:line="240" w:lineRule="auto"/>
        <w:jc w:val="left"/>
        <w:rPr>
          <w:rFonts w:eastAsia="Calibri"/>
        </w:rPr>
      </w:pPr>
      <w:r>
        <w:rPr>
          <w:rFonts w:eastAsia="Calibri"/>
        </w:rPr>
        <w:t>PECO Energy Company</w:t>
      </w:r>
      <w:r>
        <w:rPr>
          <w:rFonts w:eastAsia="Calibri"/>
        </w:rPr>
        <w:tab/>
      </w:r>
      <w:r>
        <w:rPr>
          <w:rFonts w:eastAsia="Calibri"/>
        </w:rPr>
        <w:tab/>
      </w:r>
      <w:r>
        <w:rPr>
          <w:rFonts w:eastAsia="Calibri"/>
        </w:rPr>
        <w:tab/>
      </w:r>
      <w:r>
        <w:rPr>
          <w:rFonts w:eastAsia="Calibri"/>
        </w:rPr>
        <w:tab/>
        <w:t>:</w:t>
      </w:r>
    </w:p>
    <w:p w:rsidR="005E2C22" w:rsidRDefault="005E2C22" w:rsidP="00C93315">
      <w:pPr>
        <w:pStyle w:val="NoSpacing"/>
        <w:spacing w:line="240" w:lineRule="auto"/>
      </w:pPr>
    </w:p>
    <w:p w:rsidR="005E2C22" w:rsidRDefault="005E2C22" w:rsidP="00C93315">
      <w:pPr>
        <w:pStyle w:val="NoSpacing"/>
        <w:spacing w:line="240" w:lineRule="auto"/>
      </w:pPr>
    </w:p>
    <w:p w:rsidR="00C93315" w:rsidRDefault="00C93315" w:rsidP="00C93315">
      <w:pPr>
        <w:pStyle w:val="NoSpacing"/>
        <w:spacing w:line="240" w:lineRule="auto"/>
      </w:pPr>
    </w:p>
    <w:p w:rsidR="005E2C22" w:rsidRDefault="005E2C22" w:rsidP="005E2C22">
      <w:pPr>
        <w:keepNext/>
        <w:spacing w:line="240" w:lineRule="auto"/>
        <w:outlineLvl w:val="0"/>
        <w:rPr>
          <w:rFonts w:eastAsia="Times New Roman"/>
          <w:b/>
          <w:u w:val="single"/>
        </w:rPr>
      </w:pPr>
      <w:r>
        <w:rPr>
          <w:rFonts w:eastAsia="Times New Roman"/>
          <w:b/>
          <w:u w:val="single"/>
        </w:rPr>
        <w:t>INITIAL DECISION</w:t>
      </w:r>
    </w:p>
    <w:p w:rsidR="005E2C22" w:rsidRDefault="005E2C22" w:rsidP="005E2C22">
      <w:pPr>
        <w:spacing w:line="240" w:lineRule="auto"/>
        <w:rPr>
          <w:rFonts w:eastAsia="Times New Roman"/>
          <w:b/>
        </w:rPr>
      </w:pPr>
    </w:p>
    <w:p w:rsidR="005E2C22" w:rsidRDefault="005E2C22" w:rsidP="005E2C22">
      <w:pPr>
        <w:spacing w:line="240" w:lineRule="auto"/>
        <w:rPr>
          <w:rFonts w:eastAsia="Times New Roman"/>
          <w:b/>
        </w:rPr>
      </w:pPr>
    </w:p>
    <w:p w:rsidR="005E2C22" w:rsidRDefault="005E2C22" w:rsidP="005E2C22">
      <w:pPr>
        <w:keepNext/>
        <w:spacing w:line="240" w:lineRule="auto"/>
        <w:outlineLvl w:val="1"/>
        <w:rPr>
          <w:rFonts w:eastAsia="Times New Roman"/>
        </w:rPr>
      </w:pPr>
      <w:r>
        <w:rPr>
          <w:rFonts w:eastAsia="Times New Roman"/>
        </w:rPr>
        <w:t>Before</w:t>
      </w:r>
    </w:p>
    <w:p w:rsidR="005E2C22" w:rsidRDefault="005E2C22" w:rsidP="005E2C22">
      <w:pPr>
        <w:spacing w:line="240" w:lineRule="auto"/>
        <w:rPr>
          <w:rFonts w:eastAsia="Times New Roman"/>
        </w:rPr>
      </w:pPr>
      <w:r>
        <w:rPr>
          <w:rFonts w:eastAsia="Times New Roman"/>
        </w:rPr>
        <w:t>Cynthia Williams Fordham</w:t>
      </w:r>
    </w:p>
    <w:p w:rsidR="005E2C22" w:rsidRDefault="005E2C22" w:rsidP="005E2C22">
      <w:pPr>
        <w:spacing w:line="240" w:lineRule="auto"/>
        <w:rPr>
          <w:rFonts w:eastAsia="Times New Roman"/>
        </w:rPr>
      </w:pPr>
      <w:r>
        <w:rPr>
          <w:rFonts w:eastAsia="Times New Roman"/>
        </w:rPr>
        <w:t>Administrative Law Judge</w:t>
      </w:r>
    </w:p>
    <w:p w:rsidR="005E2C22" w:rsidRDefault="005E2C22" w:rsidP="005E2C22">
      <w:pPr>
        <w:spacing w:line="240" w:lineRule="auto"/>
        <w:rPr>
          <w:rFonts w:eastAsia="Times New Roman"/>
          <w:b/>
        </w:rPr>
      </w:pPr>
    </w:p>
    <w:p w:rsidR="00676719" w:rsidRDefault="00676719" w:rsidP="005E2C22">
      <w:pPr>
        <w:spacing w:line="240" w:lineRule="auto"/>
        <w:rPr>
          <w:rFonts w:eastAsia="Times New Roman"/>
          <w:b/>
        </w:rPr>
      </w:pPr>
    </w:p>
    <w:p w:rsidR="005E2C22" w:rsidRDefault="005E2C22" w:rsidP="00DC7CE2">
      <w:pPr>
        <w:jc w:val="left"/>
        <w:rPr>
          <w:rFonts w:eastAsia="Times New Roman"/>
        </w:rPr>
      </w:pPr>
      <w:r>
        <w:rPr>
          <w:rFonts w:eastAsia="Times New Roman"/>
        </w:rPr>
        <w:tab/>
      </w:r>
      <w:r>
        <w:rPr>
          <w:rFonts w:eastAsia="Times New Roman"/>
        </w:rPr>
        <w:tab/>
        <w:t xml:space="preserve">The </w:t>
      </w:r>
      <w:r w:rsidR="009223D4">
        <w:rPr>
          <w:rFonts w:eastAsia="Times New Roman"/>
        </w:rPr>
        <w:t xml:space="preserve">two cases involve service to </w:t>
      </w:r>
      <w:r w:rsidR="009223D4">
        <w:t>104 Wooded Lane</w:t>
      </w:r>
      <w:r w:rsidR="00C91D45">
        <w:t>, Villanova, PA</w:t>
      </w:r>
      <w:r w:rsidR="009223D4">
        <w:rPr>
          <w:rFonts w:eastAsia="Times New Roman"/>
        </w:rPr>
        <w:t xml:space="preserve">.  </w:t>
      </w:r>
      <w:r w:rsidR="003F2089">
        <w:rPr>
          <w:rFonts w:eastAsia="Times New Roman"/>
        </w:rPr>
        <w:t>The issue is whether the Complainant has standing to proceed since he is not an occupant, owner or the customer of record at this address</w:t>
      </w:r>
      <w:r w:rsidR="007C6A5B">
        <w:rPr>
          <w:rFonts w:eastAsia="Times New Roman"/>
        </w:rPr>
        <w:t xml:space="preserve">. </w:t>
      </w:r>
      <w:r w:rsidR="003F2089">
        <w:rPr>
          <w:rFonts w:eastAsia="Times New Roman"/>
        </w:rPr>
        <w:t xml:space="preserve"> </w:t>
      </w:r>
      <w:r w:rsidR="003F2089">
        <w:t xml:space="preserve">The Complainant did not provide evidence to show that he </w:t>
      </w:r>
      <w:r w:rsidR="009223D4">
        <w:t>ha</w:t>
      </w:r>
      <w:r w:rsidR="0063095D">
        <w:t>s</w:t>
      </w:r>
      <w:r w:rsidR="009223D4">
        <w:t xml:space="preserve"> standing.  </w:t>
      </w:r>
      <w:r w:rsidR="00C91D45">
        <w:t xml:space="preserve">Based on the information in the record, the Complainant does not have standing.  </w:t>
      </w:r>
      <w:r>
        <w:rPr>
          <w:rFonts w:eastAsia="Times New Roman"/>
        </w:rPr>
        <w:t>The</w:t>
      </w:r>
      <w:r w:rsidR="009223D4">
        <w:rPr>
          <w:rFonts w:eastAsia="Times New Roman"/>
        </w:rPr>
        <w:t>refore, the</w:t>
      </w:r>
      <w:r>
        <w:rPr>
          <w:rFonts w:eastAsia="Times New Roman"/>
        </w:rPr>
        <w:t xml:space="preserve"> complaints </w:t>
      </w:r>
      <w:r w:rsidR="009223D4">
        <w:rPr>
          <w:rFonts w:eastAsia="Times New Roman"/>
        </w:rPr>
        <w:t xml:space="preserve">are </w:t>
      </w:r>
      <w:r>
        <w:rPr>
          <w:rFonts w:eastAsia="Times New Roman"/>
        </w:rPr>
        <w:t xml:space="preserve">dismissed. </w:t>
      </w:r>
    </w:p>
    <w:p w:rsidR="005E2C22" w:rsidRDefault="005E2C22" w:rsidP="005E2C22">
      <w:pPr>
        <w:spacing w:line="240" w:lineRule="auto"/>
        <w:rPr>
          <w:rFonts w:eastAsia="Times New Roman"/>
          <w:b/>
        </w:rPr>
      </w:pPr>
    </w:p>
    <w:p w:rsidR="005E2C22" w:rsidRDefault="005E2C22" w:rsidP="005E2C22">
      <w:pPr>
        <w:keepNext/>
        <w:tabs>
          <w:tab w:val="left" w:pos="1980"/>
        </w:tabs>
        <w:outlineLvl w:val="0"/>
        <w:rPr>
          <w:rFonts w:eastAsia="Times New Roman"/>
          <w:u w:val="single"/>
        </w:rPr>
      </w:pPr>
      <w:r>
        <w:rPr>
          <w:rFonts w:eastAsia="Times New Roman"/>
          <w:u w:val="single"/>
        </w:rPr>
        <w:t>HISTORY OF THE PROCEEDING</w:t>
      </w:r>
    </w:p>
    <w:p w:rsidR="00EE2966" w:rsidRDefault="00EE2966" w:rsidP="005E2C22">
      <w:pPr>
        <w:keepNext/>
        <w:tabs>
          <w:tab w:val="left" w:pos="1980"/>
        </w:tabs>
        <w:outlineLvl w:val="0"/>
        <w:rPr>
          <w:rFonts w:eastAsia="Times New Roman"/>
          <w:u w:val="single"/>
        </w:rPr>
      </w:pPr>
    </w:p>
    <w:p w:rsidR="00FF6BB8" w:rsidRDefault="00FF6BB8" w:rsidP="00FF6BB8">
      <w:pPr>
        <w:ind w:firstLine="1440"/>
        <w:jc w:val="left"/>
        <w:rPr>
          <w:rFonts w:eastAsia="Times New Roman"/>
        </w:rPr>
      </w:pPr>
      <w:r>
        <w:t xml:space="preserve">On April 10, 2015, David Hatchigian (“Hatchigian” or “Complainant”) filed a formal complaint against PECO Energy Company (“PECO” or “Respondent”) with the Pennsylvania Public Utility Commission (“Commission”).  The Complainant alleged that the Respondent failed to </w:t>
      </w:r>
      <w:r w:rsidR="006E3419">
        <w:t xml:space="preserve">allow him to </w:t>
      </w:r>
      <w:r>
        <w:t>move the electric facilities at 104 Wooded Lane</w:t>
      </w:r>
      <w:r w:rsidR="00D7404D">
        <w:t>, Villanova, PA,</w:t>
      </w:r>
      <w:r>
        <w:t xml:space="preserve"> to a brick chimney.  The Complainant said that the Respondent acted in bad faith by refusing to show or cite any ordinance to show why the service could not be attached to the chimney.  The complaint was docketed at </w:t>
      </w:r>
      <w:r>
        <w:rPr>
          <w:rFonts w:eastAsia="Calibri"/>
        </w:rPr>
        <w:t>C-2015-2477331</w:t>
      </w:r>
      <w:r>
        <w:rPr>
          <w:rFonts w:eastAsia="Times New Roman"/>
        </w:rPr>
        <w:t>.</w:t>
      </w:r>
    </w:p>
    <w:p w:rsidR="009223D4" w:rsidRDefault="009223D4" w:rsidP="00FF6BB8">
      <w:pPr>
        <w:ind w:firstLine="1440"/>
        <w:jc w:val="left"/>
        <w:rPr>
          <w:rFonts w:eastAsia="Times New Roman"/>
        </w:rPr>
      </w:pPr>
    </w:p>
    <w:p w:rsidR="00FF6BB8" w:rsidRDefault="00FF6BB8" w:rsidP="00FF6BB8">
      <w:pPr>
        <w:ind w:firstLine="1440"/>
        <w:jc w:val="left"/>
      </w:pPr>
      <w:r>
        <w:lastRenderedPageBreak/>
        <w:t xml:space="preserve">On May 7, 2015, the Respondent filed an answer.  </w:t>
      </w:r>
      <w:r w:rsidR="007C6A5B">
        <w:t>In its answer, the Respondent stated that t</w:t>
      </w:r>
      <w:r>
        <w:t>he Complainant submitted an application to have the aerial service moved to a brick chimney.</w:t>
      </w:r>
      <w:r w:rsidR="007C6A5B">
        <w:t xml:space="preserve"> </w:t>
      </w:r>
      <w:r>
        <w:t xml:space="preserve"> </w:t>
      </w:r>
      <w:r w:rsidR="007C6A5B">
        <w:t>The Respondent averred that, o</w:t>
      </w:r>
      <w:r>
        <w:t xml:space="preserve">n December 9, 2014, </w:t>
      </w:r>
      <w:r w:rsidR="007C6A5B">
        <w:t>i</w:t>
      </w:r>
      <w:r>
        <w:t>t contacted the Complainant</w:t>
      </w:r>
      <w:r w:rsidR="00C91D45">
        <w:t>,</w:t>
      </w:r>
      <w:r>
        <w:t xml:space="preserve"> explained that based on the Respondent’s tariff the aerial service could not be attached to the chimney and offer</w:t>
      </w:r>
      <w:r w:rsidR="009223D4">
        <w:t>ed</w:t>
      </w:r>
      <w:r>
        <w:t xml:space="preserve"> another option.  The Respondent requested a letter from the Complainant’s customer, the property owner, agreeing to accept all liability for damage that could occur by installing the service on the chimney.  </w:t>
      </w:r>
    </w:p>
    <w:p w:rsidR="00FF6BB8" w:rsidRDefault="00FF6BB8" w:rsidP="00FF6BB8">
      <w:pPr>
        <w:ind w:firstLine="1440"/>
        <w:jc w:val="left"/>
      </w:pPr>
    </w:p>
    <w:p w:rsidR="00FF6BB8" w:rsidRDefault="00FF6BB8" w:rsidP="00FF6BB8">
      <w:pPr>
        <w:ind w:firstLine="1440"/>
        <w:jc w:val="left"/>
      </w:pPr>
      <w:r>
        <w:t>By hearing notice dated June 11, 2015, a hearing was scheduled for August 18, 2015</w:t>
      </w:r>
      <w:r w:rsidR="009223D4">
        <w:t>,</w:t>
      </w:r>
      <w:r>
        <w:t xml:space="preserve"> and the matter was assigned to the undersigned.</w:t>
      </w:r>
    </w:p>
    <w:p w:rsidR="00FF6BB8" w:rsidRDefault="00FF6BB8" w:rsidP="00FF6BB8">
      <w:pPr>
        <w:ind w:firstLine="1440"/>
        <w:jc w:val="left"/>
      </w:pPr>
    </w:p>
    <w:p w:rsidR="00FF6BB8" w:rsidRDefault="00FF6BB8" w:rsidP="00FF6BB8">
      <w:pPr>
        <w:ind w:firstLine="1440"/>
        <w:jc w:val="left"/>
      </w:pPr>
      <w:r>
        <w:t xml:space="preserve">On June 15, 2015, </w:t>
      </w:r>
      <w:r w:rsidR="009223D4">
        <w:t xml:space="preserve">the </w:t>
      </w:r>
      <w:r>
        <w:t>Complainant</w:t>
      </w:r>
      <w:r w:rsidR="009223D4">
        <w:t xml:space="preserve"> </w:t>
      </w:r>
      <w:r>
        <w:t>filed a</w:t>
      </w:r>
      <w:r w:rsidR="00FA7B6E">
        <w:t>nother</w:t>
      </w:r>
      <w:r>
        <w:t xml:space="preserve"> formal complaint against </w:t>
      </w:r>
      <w:r w:rsidR="009223D4">
        <w:t xml:space="preserve">the </w:t>
      </w:r>
      <w:r>
        <w:t>Respondent with the Commission</w:t>
      </w:r>
      <w:r w:rsidR="00FA7B6E">
        <w:t xml:space="preserve"> concerning gas service at 104 Wooded Lane,</w:t>
      </w:r>
      <w:r w:rsidR="00FA7B6E" w:rsidRPr="00FA7B6E">
        <w:t xml:space="preserve"> </w:t>
      </w:r>
      <w:r w:rsidR="00FA7B6E">
        <w:t>Villanova, PA</w:t>
      </w:r>
      <w:r>
        <w:t xml:space="preserve">.  The Complainant alleged that the Respondent failed to answer his question regarding whether the Respondent is required to give customers adequate service to handle their appliances.  The complaint was docketed at </w:t>
      </w:r>
      <w:r>
        <w:rPr>
          <w:rFonts w:eastAsia="Times New Roman"/>
        </w:rPr>
        <w:t>C-2015-2487879.</w:t>
      </w:r>
    </w:p>
    <w:p w:rsidR="00FF6BB8" w:rsidRDefault="00FF6BB8" w:rsidP="00FF6BB8">
      <w:pPr>
        <w:ind w:firstLine="1440"/>
        <w:jc w:val="left"/>
      </w:pPr>
    </w:p>
    <w:p w:rsidR="00FF6BB8" w:rsidRDefault="00FF6BB8" w:rsidP="00FF6BB8">
      <w:pPr>
        <w:ind w:firstLine="1440"/>
        <w:jc w:val="left"/>
      </w:pPr>
      <w:r>
        <w:t xml:space="preserve">On July 6, 2015, the Respondent filed an answer.  </w:t>
      </w:r>
      <w:r w:rsidR="00EE2966">
        <w:t>The Respondent said that i</w:t>
      </w:r>
      <w:r>
        <w:t xml:space="preserve">n response to an application submitted by the Complainant, the Respondent contacted him and explained that the service was probably not adequate since the </w:t>
      </w:r>
      <w:r w:rsidR="004773FF">
        <w:t xml:space="preserve">size of the </w:t>
      </w:r>
      <w:r>
        <w:t xml:space="preserve">gas </w:t>
      </w:r>
      <w:r w:rsidR="004773FF">
        <w:t>pipe</w:t>
      </w:r>
      <w:r>
        <w:t xml:space="preserve"> was ½ inch.  PECO’s gas designer determined that the existing gas service at 104 Wooded Lane</w:t>
      </w:r>
      <w:r w:rsidR="00F85489">
        <w:t>,</w:t>
      </w:r>
      <w:r w:rsidR="00F85489" w:rsidRPr="00F85489">
        <w:t xml:space="preserve"> </w:t>
      </w:r>
      <w:r w:rsidR="00F85489">
        <w:t>Villanova, PA</w:t>
      </w:r>
      <w:r>
        <w:t xml:space="preserve"> was good for maximum load of 200,000 BTUs. Therefore, the gas service needed to </w:t>
      </w:r>
      <w:r w:rsidR="00EE2966">
        <w:t xml:space="preserve">be </w:t>
      </w:r>
      <w:r>
        <w:t xml:space="preserve">upgraded to accommodate the generator that the property owners wanted to install.  The cost </w:t>
      </w:r>
      <w:r w:rsidR="004773FF">
        <w:t xml:space="preserve">for the upgrade </w:t>
      </w:r>
      <w:r>
        <w:t xml:space="preserve">would be $3,636.00.  </w:t>
      </w:r>
      <w:r w:rsidR="00EA21B9">
        <w:t>The Respondent said that, o</w:t>
      </w:r>
      <w:r>
        <w:t>n March 5, 2015, the Bureau of Consumer Services dismissed the informal complaint (#003311847) filed on December 8, 2014.  The Respondent stated that the Complainant did not have standing to file the complaint because he was not the customer of record.</w:t>
      </w:r>
    </w:p>
    <w:p w:rsidR="00FF6BB8" w:rsidRDefault="00FF6BB8" w:rsidP="00FF6BB8">
      <w:pPr>
        <w:ind w:firstLine="1440"/>
        <w:jc w:val="left"/>
        <w:rPr>
          <w:i/>
        </w:rPr>
      </w:pPr>
    </w:p>
    <w:p w:rsidR="00FF6BB8" w:rsidRDefault="00FF6BB8" w:rsidP="00FF6BB8">
      <w:pPr>
        <w:ind w:firstLine="1440"/>
        <w:jc w:val="left"/>
      </w:pPr>
      <w:r>
        <w:t xml:space="preserve">By Hearing Notice dated June 29, 2015, Administrative Law Judge </w:t>
      </w:r>
      <w:r w:rsidR="00EE2966">
        <w:t xml:space="preserve">(“ALJ”) </w:t>
      </w:r>
      <w:r>
        <w:t>Mary Long was assigned to preside over this matter.</w:t>
      </w:r>
    </w:p>
    <w:p w:rsidR="00FF6BB8" w:rsidRDefault="00FF6BB8" w:rsidP="00FF6BB8">
      <w:pPr>
        <w:ind w:firstLine="1440"/>
        <w:jc w:val="left"/>
      </w:pPr>
    </w:p>
    <w:p w:rsidR="00FF6BB8" w:rsidRDefault="00FF6BB8" w:rsidP="00FF6BB8">
      <w:pPr>
        <w:ind w:firstLine="1440"/>
        <w:jc w:val="left"/>
        <w:rPr>
          <w:rFonts w:eastAsia="Times New Roman"/>
        </w:rPr>
      </w:pPr>
      <w:r>
        <w:rPr>
          <w:rFonts w:eastAsia="Times New Roman"/>
        </w:rPr>
        <w:t xml:space="preserve">By letter dated July 9, 2015, the Complainant stated that he had three complaints with the same “defendant” and requested that all three be consolidated and heard at the same time to save the Commonwealth time and money.  </w:t>
      </w:r>
      <w:r w:rsidR="00A37C8C">
        <w:t>The Complainant</w:t>
      </w:r>
      <w:r>
        <w:rPr>
          <w:rFonts w:eastAsia="Times New Roman"/>
        </w:rPr>
        <w:t xml:space="preserve"> was referring to the complaints filed at C-2015-2477321, </w:t>
      </w:r>
      <w:r>
        <w:rPr>
          <w:rFonts w:eastAsia="Calibri"/>
        </w:rPr>
        <w:t>C-2015-2477331</w:t>
      </w:r>
      <w:r>
        <w:rPr>
          <w:rFonts w:eastAsia="Times New Roman"/>
        </w:rPr>
        <w:t xml:space="preserve"> and C-2015-2487879.  The complaint</w:t>
      </w:r>
      <w:r w:rsidR="00A37C8C">
        <w:rPr>
          <w:rFonts w:eastAsia="Times New Roman"/>
        </w:rPr>
        <w:t>s</w:t>
      </w:r>
      <w:r>
        <w:rPr>
          <w:rFonts w:eastAsia="Times New Roman"/>
        </w:rPr>
        <w:t xml:space="preserve"> docketed at C-2015-2477331 </w:t>
      </w:r>
      <w:r w:rsidR="00A37C8C">
        <w:rPr>
          <w:rFonts w:eastAsia="Times New Roman"/>
        </w:rPr>
        <w:t xml:space="preserve">and </w:t>
      </w:r>
      <w:r>
        <w:rPr>
          <w:rFonts w:eastAsia="Times New Roman"/>
        </w:rPr>
        <w:t xml:space="preserve">C-2015-2487879 concern </w:t>
      </w:r>
      <w:r w:rsidR="00A37C8C">
        <w:rPr>
          <w:rFonts w:eastAsia="Times New Roman"/>
        </w:rPr>
        <w:t xml:space="preserve">electric service </w:t>
      </w:r>
      <w:r>
        <w:rPr>
          <w:rFonts w:eastAsia="Times New Roman"/>
        </w:rPr>
        <w:t>an</w:t>
      </w:r>
      <w:r w:rsidR="00A37C8C">
        <w:rPr>
          <w:rFonts w:eastAsia="Times New Roman"/>
        </w:rPr>
        <w:t>d</w:t>
      </w:r>
      <w:r>
        <w:rPr>
          <w:rFonts w:eastAsia="Times New Roman"/>
        </w:rPr>
        <w:t xml:space="preserve"> gas </w:t>
      </w:r>
      <w:r w:rsidR="00A37C8C">
        <w:rPr>
          <w:rFonts w:eastAsia="Times New Roman"/>
        </w:rPr>
        <w:t xml:space="preserve">service </w:t>
      </w:r>
      <w:r>
        <w:rPr>
          <w:rFonts w:eastAsia="Times New Roman"/>
        </w:rPr>
        <w:t>a</w:t>
      </w:r>
      <w:r w:rsidR="00A37C8C">
        <w:rPr>
          <w:rFonts w:eastAsia="Times New Roman"/>
        </w:rPr>
        <w:t>t</w:t>
      </w:r>
      <w:r>
        <w:rPr>
          <w:rFonts w:eastAsia="Times New Roman"/>
        </w:rPr>
        <w:t xml:space="preserve"> 104 Wooded Lane, Villanova, PA.  The owner and customer of record at 104 Wooded Lane, Villanova, PA is Kate King.  In the complaint docketed at </w:t>
      </w:r>
      <w:r>
        <w:rPr>
          <w:rFonts w:eastAsia="Calibri"/>
        </w:rPr>
        <w:t>C-2015-2477321</w:t>
      </w:r>
      <w:r w:rsidR="007C6A5B">
        <w:rPr>
          <w:rFonts w:eastAsia="Calibri"/>
        </w:rPr>
        <w:t>,</w:t>
      </w:r>
      <w:r w:rsidR="00104D27">
        <w:rPr>
          <w:rStyle w:val="FootnoteReference"/>
          <w:rFonts w:eastAsia="Calibri"/>
        </w:rPr>
        <w:footnoteReference w:id="1"/>
      </w:r>
      <w:r>
        <w:rPr>
          <w:rFonts w:eastAsia="Times New Roman"/>
        </w:rPr>
        <w:t xml:space="preserve"> the Complainant is the landlord/owner of property at 7512 Brentwood Road, Philadelphia, Pa. 19151.  </w:t>
      </w:r>
      <w:r w:rsidR="00A37C8C">
        <w:rPr>
          <w:rFonts w:eastAsia="Times New Roman"/>
        </w:rPr>
        <w:t xml:space="preserve">The issue </w:t>
      </w:r>
      <w:r w:rsidR="008A514A">
        <w:rPr>
          <w:rFonts w:eastAsia="Times New Roman"/>
        </w:rPr>
        <w:t xml:space="preserve">in that complaint </w:t>
      </w:r>
      <w:r w:rsidR="00A37C8C">
        <w:rPr>
          <w:rFonts w:eastAsia="Times New Roman"/>
        </w:rPr>
        <w:t xml:space="preserve">is whether </w:t>
      </w:r>
      <w:r>
        <w:rPr>
          <w:rFonts w:eastAsia="Times New Roman"/>
        </w:rPr>
        <w:t xml:space="preserve">the Respondent </w:t>
      </w:r>
      <w:r w:rsidR="00A37C8C">
        <w:rPr>
          <w:rFonts w:eastAsia="Times New Roman"/>
        </w:rPr>
        <w:t xml:space="preserve">can </w:t>
      </w:r>
      <w:r>
        <w:rPr>
          <w:rFonts w:eastAsia="Times New Roman"/>
        </w:rPr>
        <w:t>requir</w:t>
      </w:r>
      <w:r w:rsidR="00A37C8C">
        <w:rPr>
          <w:rFonts w:eastAsia="Times New Roman"/>
        </w:rPr>
        <w:t>e</w:t>
      </w:r>
      <w:r>
        <w:rPr>
          <w:rFonts w:eastAsia="Times New Roman"/>
        </w:rPr>
        <w:t xml:space="preserve"> the Complainant to pay an underwriter to inspect the apartment before the electric service </w:t>
      </w:r>
      <w:r w:rsidR="00A37C8C">
        <w:rPr>
          <w:rFonts w:eastAsia="Times New Roman"/>
        </w:rPr>
        <w:t xml:space="preserve">would be </w:t>
      </w:r>
      <w:r>
        <w:rPr>
          <w:rFonts w:eastAsia="Times New Roman"/>
        </w:rPr>
        <w:t xml:space="preserve">turned on.  </w:t>
      </w:r>
    </w:p>
    <w:p w:rsidR="00026EB4" w:rsidRDefault="00026EB4" w:rsidP="00FF6BB8">
      <w:pPr>
        <w:ind w:firstLine="1440"/>
        <w:jc w:val="left"/>
        <w:rPr>
          <w:rFonts w:eastAsia="Times New Roman"/>
        </w:rPr>
      </w:pPr>
    </w:p>
    <w:p w:rsidR="00026EB4" w:rsidRDefault="00026EB4" w:rsidP="00026EB4">
      <w:pPr>
        <w:ind w:firstLine="1440"/>
        <w:jc w:val="left"/>
        <w:rPr>
          <w:rFonts w:eastAsia="Calibri"/>
        </w:rPr>
      </w:pPr>
      <w:r>
        <w:t xml:space="preserve">By hearing cancellation/reschedule/change notice, dated July 15, 2015, the cases docketed at </w:t>
      </w:r>
      <w:r>
        <w:rPr>
          <w:rFonts w:eastAsia="Calibri"/>
        </w:rPr>
        <w:t xml:space="preserve">C-2015-2477321 and </w:t>
      </w:r>
      <w:r>
        <w:rPr>
          <w:rFonts w:eastAsia="Times New Roman"/>
        </w:rPr>
        <w:t xml:space="preserve">C-2015-2487879 were reassigned to the undersigned to be held with </w:t>
      </w:r>
      <w:r w:rsidR="00931993">
        <w:t xml:space="preserve">the case docketed at </w:t>
      </w:r>
      <w:r>
        <w:rPr>
          <w:rFonts w:eastAsia="Calibri"/>
        </w:rPr>
        <w:t>C-2015-2477331 on Tuesday, September 29, 2015 at 10:00 a.m.</w:t>
      </w:r>
    </w:p>
    <w:p w:rsidR="009223D4" w:rsidRDefault="009223D4" w:rsidP="009223D4">
      <w:pPr>
        <w:ind w:firstLine="1440"/>
        <w:jc w:val="left"/>
        <w:rPr>
          <w:rFonts w:eastAsia="Times New Roman"/>
        </w:rPr>
      </w:pPr>
    </w:p>
    <w:p w:rsidR="00FF6BB8" w:rsidRDefault="009223D4" w:rsidP="00A37C8C">
      <w:pPr>
        <w:jc w:val="left"/>
        <w:rPr>
          <w:rFonts w:eastAsia="Times New Roman"/>
        </w:rPr>
      </w:pPr>
      <w:r>
        <w:rPr>
          <w:rFonts w:eastAsia="Calibri"/>
        </w:rPr>
        <w:tab/>
      </w:r>
      <w:r>
        <w:rPr>
          <w:rFonts w:eastAsia="Calibri"/>
        </w:rPr>
        <w:tab/>
        <w:t xml:space="preserve">On September 3, 2015, the undersigned issued a Prehearing Order </w:t>
      </w:r>
      <w:r w:rsidRPr="009223D4">
        <w:rPr>
          <w:rFonts w:eastAsia="Calibri"/>
        </w:rPr>
        <w:t>grant</w:t>
      </w:r>
      <w:r>
        <w:rPr>
          <w:rFonts w:eastAsia="Calibri"/>
        </w:rPr>
        <w:t xml:space="preserve">ing the </w:t>
      </w:r>
      <w:r w:rsidRPr="009223D4">
        <w:rPr>
          <w:rFonts w:eastAsia="Calibri"/>
        </w:rPr>
        <w:t>request to consolidate</w:t>
      </w:r>
      <w:r>
        <w:rPr>
          <w:rFonts w:eastAsia="Calibri"/>
        </w:rPr>
        <w:t xml:space="preserve"> the three cases </w:t>
      </w:r>
      <w:r w:rsidRPr="009223D4">
        <w:rPr>
          <w:rFonts w:eastAsia="Calibri"/>
        </w:rPr>
        <w:t>in part and den</w:t>
      </w:r>
      <w:r>
        <w:rPr>
          <w:rFonts w:eastAsia="Calibri"/>
        </w:rPr>
        <w:t>y</w:t>
      </w:r>
      <w:r w:rsidRPr="009223D4">
        <w:rPr>
          <w:rFonts w:eastAsia="Calibri"/>
        </w:rPr>
        <w:t>i</w:t>
      </w:r>
      <w:r>
        <w:rPr>
          <w:rFonts w:eastAsia="Calibri"/>
        </w:rPr>
        <w:t xml:space="preserve">ng it </w:t>
      </w:r>
      <w:r w:rsidRPr="009223D4">
        <w:rPr>
          <w:rFonts w:eastAsia="Calibri"/>
        </w:rPr>
        <w:t>in part</w:t>
      </w:r>
      <w:r>
        <w:rPr>
          <w:rFonts w:eastAsia="Calibri"/>
        </w:rPr>
        <w:t xml:space="preserve">. </w:t>
      </w:r>
      <w:r w:rsidR="00A37C8C" w:rsidRPr="00191956">
        <w:rPr>
          <w:rFonts w:eastAsia="Times New Roman"/>
        </w:rPr>
        <w:t>The Commission’s regulation at 52 Pa.Code §</w:t>
      </w:r>
      <w:r w:rsidR="00A37C8C">
        <w:rPr>
          <w:rFonts w:eastAsia="Times New Roman"/>
        </w:rPr>
        <w:t xml:space="preserve"> </w:t>
      </w:r>
      <w:r w:rsidR="00A37C8C" w:rsidRPr="00191956">
        <w:rPr>
          <w:rFonts w:eastAsia="Times New Roman"/>
        </w:rPr>
        <w:t>5.81</w:t>
      </w:r>
      <w:r w:rsidR="00A37C8C">
        <w:rPr>
          <w:rFonts w:eastAsia="Times New Roman"/>
        </w:rPr>
        <w:t>(a)</w:t>
      </w:r>
      <w:r w:rsidR="00A37C8C" w:rsidRPr="00191956">
        <w:rPr>
          <w:rFonts w:eastAsia="Times New Roman"/>
        </w:rPr>
        <w:t xml:space="preserve"> </w:t>
      </w:r>
      <w:r w:rsidR="00A37C8C">
        <w:rPr>
          <w:rFonts w:eastAsia="Times New Roman"/>
        </w:rPr>
        <w:t xml:space="preserve">authorizes a </w:t>
      </w:r>
      <w:r w:rsidR="00A37C8C" w:rsidRPr="00191956">
        <w:rPr>
          <w:rFonts w:eastAsia="Times New Roman"/>
        </w:rPr>
        <w:t>presiding officer</w:t>
      </w:r>
      <w:r w:rsidR="00A37C8C">
        <w:rPr>
          <w:rFonts w:eastAsia="Times New Roman"/>
        </w:rPr>
        <w:t xml:space="preserve"> </w:t>
      </w:r>
      <w:r w:rsidR="00A37C8C" w:rsidRPr="00191956">
        <w:rPr>
          <w:rFonts w:eastAsia="Times New Roman"/>
        </w:rPr>
        <w:t>to consolidate proceedings involving a common question of law or fact</w:t>
      </w:r>
      <w:r w:rsidR="00A37C8C">
        <w:rPr>
          <w:rFonts w:eastAsia="Times New Roman"/>
        </w:rPr>
        <w:t>.  Consequently, t</w:t>
      </w:r>
      <w:r>
        <w:rPr>
          <w:rFonts w:eastAsia="Times New Roman"/>
        </w:rPr>
        <w:t>he complaint</w:t>
      </w:r>
      <w:r w:rsidR="00A37C8C">
        <w:rPr>
          <w:rFonts w:eastAsia="Times New Roman"/>
        </w:rPr>
        <w:t>s</w:t>
      </w:r>
      <w:r>
        <w:rPr>
          <w:rFonts w:eastAsia="Times New Roman"/>
        </w:rPr>
        <w:t xml:space="preserve"> docketed at C-2015-2477331 </w:t>
      </w:r>
      <w:r w:rsidR="00A37C8C">
        <w:rPr>
          <w:rFonts w:eastAsia="Times New Roman"/>
        </w:rPr>
        <w:t xml:space="preserve">and </w:t>
      </w:r>
      <w:r w:rsidR="00104D27">
        <w:rPr>
          <w:rFonts w:eastAsia="Times New Roman"/>
        </w:rPr>
        <w:t xml:space="preserve">C-2015-2487879 </w:t>
      </w:r>
      <w:r w:rsidR="00A37C8C">
        <w:rPr>
          <w:rFonts w:eastAsia="Times New Roman"/>
        </w:rPr>
        <w:t xml:space="preserve">were consolidated.  </w:t>
      </w:r>
      <w:r w:rsidR="00104D27">
        <w:rPr>
          <w:rFonts w:eastAsia="Times New Roman"/>
        </w:rPr>
        <w:t xml:space="preserve">The </w:t>
      </w:r>
      <w:r>
        <w:rPr>
          <w:rFonts w:eastAsia="Times New Roman"/>
        </w:rPr>
        <w:t>complaint at Docket No. C-2015-2477321 was not consolidated with the complaints at Docket Nos. C-2015-2477331 and C-2015-2487879</w:t>
      </w:r>
      <w:r w:rsidR="00104D27" w:rsidRPr="00104D27">
        <w:rPr>
          <w:rFonts w:eastAsia="Times New Roman"/>
        </w:rPr>
        <w:t xml:space="preserve"> </w:t>
      </w:r>
      <w:r w:rsidR="00104D27">
        <w:rPr>
          <w:rFonts w:eastAsia="Times New Roman"/>
        </w:rPr>
        <w:t>since there was no evidence in the record to show that that case involved a common question of law or fact with the instant cases and that complaint involves a different property and different issues</w:t>
      </w:r>
      <w:r>
        <w:rPr>
          <w:rFonts w:eastAsia="Times New Roman"/>
        </w:rPr>
        <w:t xml:space="preserve">.  </w:t>
      </w:r>
    </w:p>
    <w:p w:rsidR="00A37C8C" w:rsidRDefault="00A37C8C" w:rsidP="00FF6BB8">
      <w:pPr>
        <w:jc w:val="left"/>
        <w:rPr>
          <w:rFonts w:eastAsia="Times New Roman"/>
          <w:u w:val="single"/>
        </w:rPr>
      </w:pPr>
    </w:p>
    <w:p w:rsidR="00A37C8C" w:rsidRDefault="00A37C8C" w:rsidP="00FF6BB8">
      <w:pPr>
        <w:jc w:val="left"/>
        <w:rPr>
          <w:rFonts w:eastAsia="Times New Roman"/>
        </w:rPr>
      </w:pPr>
      <w:r w:rsidRPr="00A37C8C">
        <w:rPr>
          <w:rFonts w:eastAsia="Times New Roman"/>
        </w:rPr>
        <w:tab/>
      </w:r>
      <w:r w:rsidRPr="00A37C8C">
        <w:rPr>
          <w:rFonts w:eastAsia="Times New Roman"/>
        </w:rPr>
        <w:tab/>
      </w:r>
      <w:r>
        <w:rPr>
          <w:rFonts w:eastAsia="Times New Roman"/>
        </w:rPr>
        <w:t xml:space="preserve">In the Prehearing </w:t>
      </w:r>
      <w:r w:rsidR="00104D27">
        <w:rPr>
          <w:rFonts w:eastAsia="Times New Roman"/>
        </w:rPr>
        <w:t>Order,</w:t>
      </w:r>
      <w:r>
        <w:rPr>
          <w:rFonts w:eastAsia="Times New Roman"/>
        </w:rPr>
        <w:t xml:space="preserve"> it was noted that the issue of standing must be addressed before </w:t>
      </w:r>
      <w:r w:rsidR="00931993">
        <w:rPr>
          <w:rFonts w:eastAsia="Times New Roman"/>
        </w:rPr>
        <w:t xml:space="preserve">an evidentiary </w:t>
      </w:r>
      <w:r>
        <w:rPr>
          <w:rFonts w:eastAsia="Times New Roman"/>
        </w:rPr>
        <w:t>hearing</w:t>
      </w:r>
      <w:r w:rsidR="00931993">
        <w:rPr>
          <w:rFonts w:eastAsia="Times New Roman"/>
        </w:rPr>
        <w:t xml:space="preserve"> could be held</w:t>
      </w:r>
      <w:r>
        <w:rPr>
          <w:rFonts w:eastAsia="Times New Roman"/>
        </w:rPr>
        <w:t xml:space="preserve">. </w:t>
      </w:r>
    </w:p>
    <w:p w:rsidR="007B7521" w:rsidRDefault="007B7521" w:rsidP="00FF6BB8">
      <w:pPr>
        <w:jc w:val="left"/>
        <w:rPr>
          <w:rFonts w:eastAsia="Times New Roman"/>
        </w:rPr>
      </w:pPr>
    </w:p>
    <w:p w:rsidR="007B7521" w:rsidRDefault="007B7521" w:rsidP="007B7521">
      <w:pPr>
        <w:jc w:val="left"/>
      </w:pPr>
      <w:r>
        <w:rPr>
          <w:rFonts w:eastAsia="Times New Roman"/>
        </w:rPr>
        <w:tab/>
      </w:r>
      <w:r>
        <w:rPr>
          <w:rFonts w:eastAsia="Times New Roman"/>
        </w:rPr>
        <w:tab/>
      </w:r>
      <w:r>
        <w:t xml:space="preserve">A hearing was held </w:t>
      </w:r>
      <w:r w:rsidR="00931993">
        <w:t xml:space="preserve">for the cases docketed </w:t>
      </w:r>
      <w:r w:rsidR="00931993">
        <w:rPr>
          <w:rFonts w:eastAsia="Times New Roman"/>
        </w:rPr>
        <w:t xml:space="preserve">C-2015-2477331 and C-2015-2487879 </w:t>
      </w:r>
      <w:r>
        <w:t xml:space="preserve">on </w:t>
      </w:r>
      <w:r w:rsidRPr="005E2C22">
        <w:t>September 29, 2015</w:t>
      </w:r>
      <w:r>
        <w:t>, in the Philadelphia Regional Office before Administrative Law Judge Cynthia Williams Fordham.</w:t>
      </w:r>
    </w:p>
    <w:p w:rsidR="007B7521" w:rsidRDefault="007B7521" w:rsidP="007B7521">
      <w:pPr>
        <w:jc w:val="left"/>
      </w:pPr>
      <w:r>
        <w:tab/>
      </w:r>
      <w:r>
        <w:tab/>
        <w:t xml:space="preserve">The Complainant, </w:t>
      </w:r>
      <w:r>
        <w:rPr>
          <w:rFonts w:eastAsia="Calibri"/>
        </w:rPr>
        <w:t>David Hatchigian</w:t>
      </w:r>
      <w:r>
        <w:t xml:space="preserve">, </w:t>
      </w:r>
      <w:r w:rsidR="00104D27">
        <w:t xml:space="preserve">appeared </w:t>
      </w:r>
      <w:r w:rsidR="00104D27" w:rsidRPr="00104D27">
        <w:rPr>
          <w:i/>
        </w:rPr>
        <w:t>pro se</w:t>
      </w:r>
      <w:r w:rsidR="00104D27">
        <w:t xml:space="preserve"> and presented information about the standing issue</w:t>
      </w:r>
      <w:r>
        <w:t xml:space="preserve">.  </w:t>
      </w:r>
    </w:p>
    <w:p w:rsidR="00931993" w:rsidRDefault="00931993" w:rsidP="007B7521">
      <w:pPr>
        <w:jc w:val="left"/>
      </w:pPr>
    </w:p>
    <w:p w:rsidR="007B7521" w:rsidRDefault="007B7521" w:rsidP="007B7521">
      <w:pPr>
        <w:jc w:val="left"/>
      </w:pPr>
      <w:r>
        <w:tab/>
      </w:r>
      <w:r>
        <w:tab/>
        <w:t xml:space="preserve">Shawane L. Lee, Esquire, represented the Respondent.  </w:t>
      </w:r>
      <w:r w:rsidR="00104D27">
        <w:t xml:space="preserve">Ms. Lee presented arguments to demonstrate that the Complainant did not have standing.  </w:t>
      </w:r>
    </w:p>
    <w:p w:rsidR="007B7521" w:rsidRDefault="007B7521" w:rsidP="007B7521">
      <w:pPr>
        <w:pStyle w:val="BodyText3"/>
        <w:spacing w:after="0" w:line="240" w:lineRule="auto"/>
        <w:ind w:left="1440" w:right="1440"/>
        <w:jc w:val="left"/>
        <w:rPr>
          <w:sz w:val="24"/>
          <w:szCs w:val="24"/>
        </w:rPr>
      </w:pPr>
    </w:p>
    <w:p w:rsidR="007B7521" w:rsidRDefault="007B7521" w:rsidP="007B7521">
      <w:pPr>
        <w:pStyle w:val="BodyText3"/>
        <w:jc w:val="left"/>
        <w:rPr>
          <w:sz w:val="24"/>
          <w:szCs w:val="24"/>
        </w:rPr>
      </w:pPr>
      <w:r>
        <w:rPr>
          <w:sz w:val="24"/>
          <w:szCs w:val="24"/>
        </w:rPr>
        <w:tab/>
      </w:r>
      <w:r>
        <w:rPr>
          <w:sz w:val="24"/>
          <w:szCs w:val="24"/>
        </w:rPr>
        <w:tab/>
        <w:t xml:space="preserve">The record in this case consists of </w:t>
      </w:r>
      <w:r w:rsidR="00104D27">
        <w:rPr>
          <w:sz w:val="24"/>
          <w:szCs w:val="24"/>
        </w:rPr>
        <w:t xml:space="preserve">the pleadings and </w:t>
      </w:r>
      <w:r>
        <w:rPr>
          <w:sz w:val="24"/>
          <w:szCs w:val="24"/>
        </w:rPr>
        <w:t xml:space="preserve">a 36-page transcript.  The record closed on </w:t>
      </w:r>
      <w:r w:rsidRPr="005707A3">
        <w:rPr>
          <w:sz w:val="24"/>
          <w:szCs w:val="24"/>
        </w:rPr>
        <w:t>October 26,</w:t>
      </w:r>
      <w:r>
        <w:rPr>
          <w:sz w:val="24"/>
          <w:szCs w:val="24"/>
        </w:rPr>
        <w:t xml:space="preserve"> 2015, when the transcript was received.</w:t>
      </w:r>
    </w:p>
    <w:p w:rsidR="00FF6BB8" w:rsidRDefault="00FF6BB8" w:rsidP="00FF6BB8">
      <w:pPr>
        <w:jc w:val="left"/>
        <w:rPr>
          <w:rFonts w:eastAsia="Times New Roman"/>
        </w:rPr>
      </w:pPr>
    </w:p>
    <w:p w:rsidR="007B7521" w:rsidRDefault="007B7521" w:rsidP="007B7521">
      <w:pPr>
        <w:pStyle w:val="NoSpacing"/>
        <w:jc w:val="center"/>
        <w:rPr>
          <w:rFonts w:eastAsia="Batang"/>
          <w:u w:val="single"/>
        </w:rPr>
      </w:pPr>
      <w:r>
        <w:rPr>
          <w:rFonts w:eastAsia="Batang"/>
          <w:u w:val="single"/>
        </w:rPr>
        <w:t>FINDINGS OF FACT</w:t>
      </w:r>
    </w:p>
    <w:p w:rsidR="007B7521" w:rsidRDefault="007B7521" w:rsidP="007B7521">
      <w:pPr>
        <w:pStyle w:val="NoSpacing"/>
        <w:rPr>
          <w:rFonts w:eastAsia="Batang"/>
        </w:rPr>
      </w:pPr>
    </w:p>
    <w:p w:rsidR="007B7521" w:rsidRDefault="007B7521" w:rsidP="007B7521">
      <w:pPr>
        <w:pStyle w:val="ListParagraph"/>
        <w:numPr>
          <w:ilvl w:val="0"/>
          <w:numId w:val="5"/>
        </w:numPr>
        <w:ind w:left="0" w:firstLine="1440"/>
        <w:jc w:val="left"/>
        <w:rPr>
          <w:rFonts w:eastAsia="Calibri"/>
        </w:rPr>
      </w:pPr>
      <w:r>
        <w:t xml:space="preserve">The Complainant is </w:t>
      </w:r>
      <w:r w:rsidR="00D96FDC">
        <w:rPr>
          <w:rFonts w:eastAsia="Calibri"/>
        </w:rPr>
        <w:t>David Hatchigian</w:t>
      </w:r>
      <w:r>
        <w:rPr>
          <w:rFonts w:eastAsia="Calibri"/>
        </w:rPr>
        <w:t>.</w:t>
      </w:r>
    </w:p>
    <w:p w:rsidR="007463C0" w:rsidRDefault="007463C0" w:rsidP="007463C0">
      <w:pPr>
        <w:pStyle w:val="ListParagraph"/>
        <w:ind w:left="1440"/>
        <w:jc w:val="left"/>
        <w:rPr>
          <w:rFonts w:eastAsia="Calibri"/>
        </w:rPr>
      </w:pPr>
    </w:p>
    <w:p w:rsidR="007B7521" w:rsidRPr="007463C0" w:rsidRDefault="007B7521" w:rsidP="007B7521">
      <w:pPr>
        <w:pStyle w:val="ListParagraph"/>
        <w:numPr>
          <w:ilvl w:val="0"/>
          <w:numId w:val="5"/>
        </w:numPr>
        <w:ind w:left="0" w:firstLine="1440"/>
        <w:jc w:val="left"/>
        <w:rPr>
          <w:rFonts w:eastAsia="Calibri"/>
        </w:rPr>
      </w:pPr>
      <w:r>
        <w:t xml:space="preserve">The Respondent in this proceeding is PECO Energy Company.  </w:t>
      </w:r>
    </w:p>
    <w:p w:rsidR="007463C0" w:rsidRPr="007463C0" w:rsidRDefault="007463C0" w:rsidP="007463C0">
      <w:pPr>
        <w:pStyle w:val="ListParagraph"/>
        <w:rPr>
          <w:rFonts w:eastAsia="Calibri"/>
        </w:rPr>
      </w:pPr>
    </w:p>
    <w:p w:rsidR="00053EFF" w:rsidRPr="00053EFF" w:rsidRDefault="007B7521" w:rsidP="007B7521">
      <w:pPr>
        <w:pStyle w:val="ListParagraph"/>
        <w:numPr>
          <w:ilvl w:val="0"/>
          <w:numId w:val="5"/>
        </w:numPr>
        <w:ind w:left="0" w:firstLine="1440"/>
        <w:jc w:val="left"/>
        <w:rPr>
          <w:rFonts w:eastAsia="Calibri"/>
        </w:rPr>
      </w:pPr>
      <w:r w:rsidRPr="00053EFF">
        <w:rPr>
          <w:rFonts w:eastAsia="Calibri"/>
        </w:rPr>
        <w:t xml:space="preserve">The Complainant is </w:t>
      </w:r>
      <w:r w:rsidR="00053EFF" w:rsidRPr="00053EFF">
        <w:rPr>
          <w:rFonts w:eastAsia="Calibri"/>
        </w:rPr>
        <w:t xml:space="preserve">a </w:t>
      </w:r>
      <w:r w:rsidR="00053EFF" w:rsidRPr="00053EFF">
        <w:rPr>
          <w:rFonts w:eastAsia="Batang"/>
        </w:rPr>
        <w:t xml:space="preserve">contractor </w:t>
      </w:r>
      <w:r w:rsidRPr="00053EFF">
        <w:rPr>
          <w:rFonts w:eastAsia="Calibri"/>
        </w:rPr>
        <w:t xml:space="preserve">who was hired </w:t>
      </w:r>
      <w:r w:rsidR="00D74172" w:rsidRPr="00053EFF">
        <w:rPr>
          <w:rFonts w:eastAsia="Calibri"/>
        </w:rPr>
        <w:t xml:space="preserve">by Michael Dougherty, Kate King’s father, </w:t>
      </w:r>
      <w:r w:rsidRPr="00053EFF">
        <w:rPr>
          <w:rFonts w:eastAsia="Calibri"/>
        </w:rPr>
        <w:t xml:space="preserve">to </w:t>
      </w:r>
      <w:r w:rsidR="002925D7">
        <w:rPr>
          <w:rFonts w:eastAsia="Calibri"/>
        </w:rPr>
        <w:t>relocate the aerial electric service and install a generator</w:t>
      </w:r>
      <w:r w:rsidRPr="00053EFF">
        <w:rPr>
          <w:rFonts w:eastAsia="Calibri"/>
        </w:rPr>
        <w:t xml:space="preserve"> at </w:t>
      </w:r>
      <w:r>
        <w:t xml:space="preserve">104 Wooded Lane, </w:t>
      </w:r>
      <w:r w:rsidR="00D74172">
        <w:t>Villanova</w:t>
      </w:r>
      <w:r>
        <w:t>, PA</w:t>
      </w:r>
      <w:r w:rsidR="00D96FDC">
        <w:t xml:space="preserve">, the service address </w:t>
      </w:r>
      <w:r>
        <w:t xml:space="preserve"> </w:t>
      </w:r>
      <w:r w:rsidR="00D74172">
        <w:t>(Tr. 10, 11</w:t>
      </w:r>
      <w:r w:rsidR="002925D7">
        <w:t>, 31</w:t>
      </w:r>
      <w:r w:rsidR="00D74172">
        <w:t>).</w:t>
      </w:r>
      <w:r w:rsidR="00053EFF" w:rsidRPr="00053EFF">
        <w:rPr>
          <w:rFonts w:eastAsia="Batang"/>
        </w:rPr>
        <w:t xml:space="preserve"> </w:t>
      </w:r>
    </w:p>
    <w:p w:rsidR="007463C0" w:rsidRPr="007463C0" w:rsidRDefault="007463C0" w:rsidP="007463C0">
      <w:pPr>
        <w:jc w:val="left"/>
        <w:rPr>
          <w:rFonts w:eastAsia="Calibri"/>
        </w:rPr>
      </w:pPr>
    </w:p>
    <w:p w:rsidR="000E5945" w:rsidRPr="000E5945" w:rsidRDefault="007B7521" w:rsidP="007B7521">
      <w:pPr>
        <w:pStyle w:val="ListParagraph"/>
        <w:numPr>
          <w:ilvl w:val="0"/>
          <w:numId w:val="5"/>
        </w:numPr>
        <w:ind w:left="0" w:firstLine="1440"/>
        <w:jc w:val="left"/>
        <w:rPr>
          <w:rFonts w:eastAsia="Calibri"/>
        </w:rPr>
      </w:pPr>
      <w:r>
        <w:rPr>
          <w:rFonts w:eastAsia="Times New Roman"/>
        </w:rPr>
        <w:t xml:space="preserve">The owner and customer of record at </w:t>
      </w:r>
      <w:r w:rsidR="00D96FDC">
        <w:t xml:space="preserve">the service address </w:t>
      </w:r>
      <w:r>
        <w:rPr>
          <w:rFonts w:eastAsia="Times New Roman"/>
        </w:rPr>
        <w:t>is Kate King</w:t>
      </w:r>
    </w:p>
    <w:p w:rsidR="007B7521" w:rsidRPr="000E5945" w:rsidRDefault="007B7521" w:rsidP="000E5945">
      <w:pPr>
        <w:jc w:val="left"/>
        <w:rPr>
          <w:rFonts w:eastAsia="Calibri"/>
        </w:rPr>
      </w:pPr>
      <w:r w:rsidRPr="000E5945">
        <w:rPr>
          <w:rFonts w:eastAsia="Times New Roman"/>
        </w:rPr>
        <w:t xml:space="preserve">(Tr. </w:t>
      </w:r>
      <w:r w:rsidR="00F92A7E" w:rsidRPr="000E5945">
        <w:rPr>
          <w:rFonts w:eastAsia="Times New Roman"/>
        </w:rPr>
        <w:t>10)</w:t>
      </w:r>
      <w:r w:rsidRPr="000E5945">
        <w:rPr>
          <w:rFonts w:eastAsia="Times New Roman"/>
        </w:rPr>
        <w:t xml:space="preserve">.  </w:t>
      </w:r>
    </w:p>
    <w:p w:rsidR="007463C0" w:rsidRPr="007463C0" w:rsidRDefault="007463C0" w:rsidP="007463C0">
      <w:pPr>
        <w:jc w:val="left"/>
        <w:rPr>
          <w:rFonts w:eastAsia="Calibri"/>
        </w:rPr>
      </w:pPr>
    </w:p>
    <w:p w:rsidR="007B7521" w:rsidRPr="00FF6BB8" w:rsidRDefault="007B7521" w:rsidP="007B7521">
      <w:pPr>
        <w:pStyle w:val="ListParagraph"/>
        <w:numPr>
          <w:ilvl w:val="0"/>
          <w:numId w:val="5"/>
        </w:numPr>
        <w:ind w:left="0" w:firstLine="1440"/>
        <w:jc w:val="left"/>
        <w:rPr>
          <w:rFonts w:eastAsia="Calibri"/>
        </w:rPr>
      </w:pPr>
      <w:r>
        <w:rPr>
          <w:rFonts w:eastAsia="Times New Roman"/>
        </w:rPr>
        <w:t xml:space="preserve">The complaint docketed at C-2015-2477331 concerns an attempt to relocate the </w:t>
      </w:r>
      <w:r w:rsidR="00D96FDC">
        <w:rPr>
          <w:rFonts w:eastAsia="Times New Roman"/>
        </w:rPr>
        <w:t xml:space="preserve">aerial </w:t>
      </w:r>
      <w:r>
        <w:rPr>
          <w:rFonts w:eastAsia="Times New Roman"/>
        </w:rPr>
        <w:t xml:space="preserve">electric service at </w:t>
      </w:r>
      <w:r w:rsidR="00D96FDC">
        <w:t xml:space="preserve">the service address </w:t>
      </w:r>
      <w:r>
        <w:rPr>
          <w:rFonts w:eastAsia="Times New Roman"/>
        </w:rPr>
        <w:t>to a chimney</w:t>
      </w:r>
      <w:r w:rsidR="00C04F4B">
        <w:rPr>
          <w:rFonts w:eastAsia="Times New Roman"/>
        </w:rPr>
        <w:t xml:space="preserve"> (Tr. 7)</w:t>
      </w:r>
      <w:r>
        <w:rPr>
          <w:rFonts w:eastAsia="Times New Roman"/>
        </w:rPr>
        <w:t xml:space="preserve">.  </w:t>
      </w:r>
    </w:p>
    <w:p w:rsidR="007B7521" w:rsidRPr="00FF6BB8" w:rsidRDefault="007B7521" w:rsidP="007B7521">
      <w:pPr>
        <w:pStyle w:val="ListParagraph"/>
        <w:rPr>
          <w:rFonts w:eastAsia="Times New Roman"/>
        </w:rPr>
      </w:pPr>
    </w:p>
    <w:p w:rsidR="007463C0" w:rsidRPr="007463C0" w:rsidRDefault="007B7521" w:rsidP="007463C0">
      <w:pPr>
        <w:pStyle w:val="BodyText"/>
        <w:numPr>
          <w:ilvl w:val="0"/>
          <w:numId w:val="5"/>
        </w:numPr>
        <w:tabs>
          <w:tab w:val="left" w:pos="0"/>
          <w:tab w:val="left" w:pos="720"/>
        </w:tabs>
        <w:spacing w:after="0"/>
        <w:ind w:left="0" w:firstLine="1440"/>
        <w:jc w:val="left"/>
        <w:rPr>
          <w:rFonts w:eastAsia="Batang"/>
        </w:rPr>
      </w:pPr>
      <w:r>
        <w:rPr>
          <w:rFonts w:eastAsia="Times New Roman"/>
        </w:rPr>
        <w:t xml:space="preserve">The complaint docketed at C-2015-2487879 concerns </w:t>
      </w:r>
      <w:r w:rsidR="00D96FDC">
        <w:rPr>
          <w:rFonts w:eastAsia="Times New Roman"/>
        </w:rPr>
        <w:t xml:space="preserve">information regarding the capacity of the </w:t>
      </w:r>
      <w:r>
        <w:rPr>
          <w:rFonts w:eastAsia="Times New Roman"/>
        </w:rPr>
        <w:t xml:space="preserve">gas load </w:t>
      </w:r>
      <w:r w:rsidR="00D96FDC">
        <w:rPr>
          <w:rFonts w:eastAsia="Times New Roman"/>
        </w:rPr>
        <w:t>at</w:t>
      </w:r>
      <w:r w:rsidR="00D96FDC" w:rsidRPr="00D96FDC">
        <w:t xml:space="preserve"> </w:t>
      </w:r>
      <w:r w:rsidR="00D96FDC">
        <w:t>the service address</w:t>
      </w:r>
      <w:r w:rsidR="00053EFF">
        <w:t xml:space="preserve"> to determine the size of the generator that could be installed</w:t>
      </w:r>
      <w:r w:rsidR="00D96FDC">
        <w:t xml:space="preserve"> </w:t>
      </w:r>
      <w:r>
        <w:t xml:space="preserve">(Tr. </w:t>
      </w:r>
      <w:r w:rsidR="00C04F4B">
        <w:t>7</w:t>
      </w:r>
      <w:r>
        <w:t xml:space="preserve">). </w:t>
      </w:r>
    </w:p>
    <w:p w:rsidR="007463C0" w:rsidRDefault="007463C0" w:rsidP="007463C0">
      <w:pPr>
        <w:pStyle w:val="ListParagraph"/>
        <w:rPr>
          <w:rFonts w:eastAsia="Batang"/>
        </w:rPr>
      </w:pPr>
    </w:p>
    <w:p w:rsidR="007463C0" w:rsidRDefault="007463C0" w:rsidP="007463C0">
      <w:pPr>
        <w:pStyle w:val="BodyText"/>
        <w:numPr>
          <w:ilvl w:val="0"/>
          <w:numId w:val="5"/>
        </w:numPr>
        <w:tabs>
          <w:tab w:val="left" w:pos="0"/>
          <w:tab w:val="left" w:pos="720"/>
        </w:tabs>
        <w:spacing w:after="0"/>
        <w:ind w:left="0" w:firstLine="1440"/>
        <w:jc w:val="left"/>
        <w:rPr>
          <w:rFonts w:eastAsia="Batang"/>
        </w:rPr>
      </w:pPr>
      <w:r>
        <w:rPr>
          <w:rFonts w:eastAsia="Batang"/>
        </w:rPr>
        <w:t>The</w:t>
      </w:r>
      <w:r>
        <w:rPr>
          <w:rFonts w:eastAsia="Times New Roman"/>
        </w:rPr>
        <w:t xml:space="preserve"> Complainant</w:t>
      </w:r>
      <w:r>
        <w:rPr>
          <w:rFonts w:eastAsia="Batang"/>
        </w:rPr>
        <w:t xml:space="preserve"> does not live at </w:t>
      </w:r>
      <w:r w:rsidR="00D96FDC">
        <w:t xml:space="preserve">the service </w:t>
      </w:r>
      <w:r w:rsidR="00053EFF">
        <w:t>address (</w:t>
      </w:r>
      <w:r>
        <w:rPr>
          <w:rFonts w:eastAsia="Batang"/>
        </w:rPr>
        <w:t xml:space="preserve">Tr. </w:t>
      </w:r>
      <w:r w:rsidR="00C04F4B">
        <w:rPr>
          <w:rFonts w:eastAsia="Batang"/>
        </w:rPr>
        <w:t xml:space="preserve">7, </w:t>
      </w:r>
      <w:r>
        <w:rPr>
          <w:rFonts w:eastAsia="Batang"/>
        </w:rPr>
        <w:t>11</w:t>
      </w:r>
      <w:r w:rsidR="002925D7">
        <w:rPr>
          <w:rFonts w:eastAsia="Batang"/>
        </w:rPr>
        <w:t>, 29</w:t>
      </w:r>
      <w:r>
        <w:rPr>
          <w:rFonts w:eastAsia="Batang"/>
        </w:rPr>
        <w:t>).</w:t>
      </w:r>
    </w:p>
    <w:p w:rsidR="007463C0" w:rsidRDefault="007463C0" w:rsidP="007463C0">
      <w:pPr>
        <w:pStyle w:val="ListParagraph"/>
        <w:rPr>
          <w:rFonts w:eastAsia="Batang"/>
        </w:rPr>
      </w:pPr>
    </w:p>
    <w:p w:rsidR="007463C0" w:rsidRPr="00053EFF" w:rsidRDefault="007463C0" w:rsidP="007463C0">
      <w:pPr>
        <w:pStyle w:val="BodyText"/>
        <w:numPr>
          <w:ilvl w:val="0"/>
          <w:numId w:val="5"/>
        </w:numPr>
        <w:tabs>
          <w:tab w:val="left" w:pos="0"/>
          <w:tab w:val="left" w:pos="720"/>
        </w:tabs>
        <w:spacing w:after="0"/>
        <w:ind w:left="0" w:firstLine="1440"/>
        <w:jc w:val="left"/>
        <w:rPr>
          <w:rFonts w:eastAsia="Batang"/>
        </w:rPr>
      </w:pPr>
      <w:r>
        <w:t xml:space="preserve">The Complainant does not own </w:t>
      </w:r>
      <w:r w:rsidR="00D96FDC">
        <w:t xml:space="preserve">the service </w:t>
      </w:r>
      <w:r w:rsidR="00053EFF">
        <w:t>address (</w:t>
      </w:r>
      <w:r>
        <w:t xml:space="preserve">Tr. </w:t>
      </w:r>
      <w:r w:rsidR="00C04F4B">
        <w:t xml:space="preserve">7, </w:t>
      </w:r>
      <w:r>
        <w:t>11).</w:t>
      </w:r>
    </w:p>
    <w:p w:rsidR="00C93315" w:rsidRDefault="00C93315">
      <w:pPr>
        <w:spacing w:after="200" w:line="276" w:lineRule="auto"/>
        <w:jc w:val="left"/>
        <w:rPr>
          <w:rFonts w:eastAsia="Batang"/>
        </w:rPr>
      </w:pPr>
    </w:p>
    <w:p w:rsidR="000E5945" w:rsidRPr="000E5945" w:rsidRDefault="00D96FDC" w:rsidP="007463C0">
      <w:pPr>
        <w:pStyle w:val="BodyText"/>
        <w:numPr>
          <w:ilvl w:val="0"/>
          <w:numId w:val="5"/>
        </w:numPr>
        <w:tabs>
          <w:tab w:val="left" w:pos="0"/>
          <w:tab w:val="left" w:pos="720"/>
        </w:tabs>
        <w:spacing w:after="0"/>
        <w:ind w:left="0" w:firstLine="1440"/>
        <w:jc w:val="left"/>
        <w:rPr>
          <w:rFonts w:eastAsia="Batang"/>
        </w:rPr>
      </w:pPr>
      <w:r>
        <w:rPr>
          <w:rFonts w:eastAsia="Batang"/>
        </w:rPr>
        <w:t>The</w:t>
      </w:r>
      <w:r>
        <w:t xml:space="preserve"> Complainant is not the customer of record at the service address </w:t>
      </w:r>
    </w:p>
    <w:p w:rsidR="00D96FDC" w:rsidRDefault="00D96FDC" w:rsidP="000E5945">
      <w:pPr>
        <w:pStyle w:val="BodyText"/>
        <w:tabs>
          <w:tab w:val="left" w:pos="0"/>
          <w:tab w:val="left" w:pos="720"/>
        </w:tabs>
        <w:spacing w:after="0"/>
        <w:jc w:val="left"/>
        <w:rPr>
          <w:rFonts w:eastAsia="Batang"/>
        </w:rPr>
      </w:pPr>
      <w:r>
        <w:t xml:space="preserve">(Tr. </w:t>
      </w:r>
      <w:r w:rsidR="00C04F4B">
        <w:t xml:space="preserve">7, </w:t>
      </w:r>
      <w:r>
        <w:t xml:space="preserve">31). </w:t>
      </w:r>
    </w:p>
    <w:p w:rsidR="00C53404" w:rsidRDefault="00C53404" w:rsidP="00C53404">
      <w:pPr>
        <w:pStyle w:val="ListParagraph"/>
      </w:pPr>
    </w:p>
    <w:p w:rsidR="002925D7" w:rsidRPr="002925D7" w:rsidRDefault="002925D7" w:rsidP="007B7521">
      <w:pPr>
        <w:pStyle w:val="ListParagraph"/>
        <w:numPr>
          <w:ilvl w:val="0"/>
          <w:numId w:val="5"/>
        </w:numPr>
        <w:ind w:left="0" w:firstLine="1440"/>
        <w:jc w:val="left"/>
      </w:pPr>
      <w:r>
        <w:rPr>
          <w:rFonts w:eastAsia="Batang"/>
        </w:rPr>
        <w:t>The</w:t>
      </w:r>
      <w:r>
        <w:rPr>
          <w:rFonts w:eastAsia="Times New Roman"/>
        </w:rPr>
        <w:t xml:space="preserve"> Complainant</w:t>
      </w:r>
      <w:r>
        <w:rPr>
          <w:rFonts w:eastAsia="Batang"/>
        </w:rPr>
        <w:t xml:space="preserve"> is not an attorney (Tr. 7). </w:t>
      </w:r>
    </w:p>
    <w:p w:rsidR="002925D7" w:rsidRDefault="002925D7" w:rsidP="002925D7">
      <w:pPr>
        <w:pStyle w:val="ListParagraph"/>
      </w:pPr>
    </w:p>
    <w:p w:rsidR="00C53404" w:rsidRDefault="00D74172" w:rsidP="007B7521">
      <w:pPr>
        <w:pStyle w:val="ListParagraph"/>
        <w:numPr>
          <w:ilvl w:val="0"/>
          <w:numId w:val="5"/>
        </w:numPr>
        <w:ind w:left="0" w:firstLine="1440"/>
        <w:jc w:val="left"/>
      </w:pPr>
      <w:r>
        <w:t xml:space="preserve">The Respondent requested $410.00 </w:t>
      </w:r>
      <w:r w:rsidR="00053EFF">
        <w:t xml:space="preserve">to upgrade the electric </w:t>
      </w:r>
      <w:r>
        <w:t xml:space="preserve">for the aerial service (Tr. </w:t>
      </w:r>
      <w:r w:rsidR="00053EFF">
        <w:t xml:space="preserve">8, 9, </w:t>
      </w:r>
      <w:r>
        <w:t>12, 13).</w:t>
      </w:r>
    </w:p>
    <w:p w:rsidR="00C53404" w:rsidRDefault="00C53404" w:rsidP="00C53404">
      <w:pPr>
        <w:pStyle w:val="ListParagraph"/>
      </w:pPr>
    </w:p>
    <w:p w:rsidR="00C53404" w:rsidRDefault="00D96FDC" w:rsidP="007B7521">
      <w:pPr>
        <w:pStyle w:val="ListParagraph"/>
        <w:numPr>
          <w:ilvl w:val="0"/>
          <w:numId w:val="5"/>
        </w:numPr>
        <w:ind w:left="0" w:firstLine="1440"/>
        <w:jc w:val="left"/>
      </w:pPr>
      <w:r>
        <w:t>The Complainant sent Mr. Dougherty</w:t>
      </w:r>
      <w:r w:rsidR="00053EFF">
        <w:t>’s</w:t>
      </w:r>
      <w:r>
        <w:t xml:space="preserve"> </w:t>
      </w:r>
      <w:r w:rsidR="00D74172">
        <w:t xml:space="preserve">check </w:t>
      </w:r>
      <w:r>
        <w:t xml:space="preserve">for $410.00 to </w:t>
      </w:r>
      <w:r w:rsidR="00D74172">
        <w:t xml:space="preserve">the Respondent </w:t>
      </w:r>
      <w:r>
        <w:t xml:space="preserve">to pay </w:t>
      </w:r>
      <w:r w:rsidR="00D74172">
        <w:t xml:space="preserve">for the </w:t>
      </w:r>
      <w:r>
        <w:t xml:space="preserve">electric </w:t>
      </w:r>
      <w:r w:rsidR="00D74172">
        <w:t xml:space="preserve">upgrade (Tr. </w:t>
      </w:r>
      <w:r w:rsidR="00053EFF">
        <w:t xml:space="preserve">8, 9, </w:t>
      </w:r>
      <w:r w:rsidR="00D74172">
        <w:t>12</w:t>
      </w:r>
      <w:r w:rsidR="002925D7">
        <w:t xml:space="preserve">, </w:t>
      </w:r>
      <w:r w:rsidR="00C04F4B">
        <w:t xml:space="preserve">13, </w:t>
      </w:r>
      <w:r w:rsidR="002925D7">
        <w:t>29</w:t>
      </w:r>
      <w:r w:rsidR="00D74172">
        <w:t>).</w:t>
      </w:r>
      <w:r w:rsidR="00C53404">
        <w:t xml:space="preserve"> </w:t>
      </w:r>
    </w:p>
    <w:p w:rsidR="00C53404" w:rsidRDefault="00C53404" w:rsidP="00C53404">
      <w:pPr>
        <w:pStyle w:val="ListParagraph"/>
      </w:pPr>
    </w:p>
    <w:p w:rsidR="00D74172" w:rsidRDefault="00D96FDC" w:rsidP="007B7521">
      <w:pPr>
        <w:pStyle w:val="ListParagraph"/>
        <w:numPr>
          <w:ilvl w:val="0"/>
          <w:numId w:val="5"/>
        </w:numPr>
        <w:ind w:left="0" w:firstLine="1440"/>
        <w:jc w:val="left"/>
      </w:pPr>
      <w:r>
        <w:t>At the time of the hearing, t</w:t>
      </w:r>
      <w:r w:rsidR="00D74172">
        <w:t>he Complainant ha</w:t>
      </w:r>
      <w:r>
        <w:t>d already</w:t>
      </w:r>
      <w:r w:rsidR="00D74172">
        <w:t xml:space="preserve"> relocated the aerial electric service (Tr. </w:t>
      </w:r>
      <w:r w:rsidR="00053EFF">
        <w:t xml:space="preserve">9, </w:t>
      </w:r>
      <w:r w:rsidR="00C04F4B">
        <w:t xml:space="preserve">13, </w:t>
      </w:r>
      <w:r w:rsidR="00D74172">
        <w:t>14</w:t>
      </w:r>
      <w:r w:rsidR="002925D7">
        <w:t>, 29</w:t>
      </w:r>
      <w:r w:rsidR="00D74172">
        <w:t>).</w:t>
      </w:r>
    </w:p>
    <w:p w:rsidR="00053EFF" w:rsidRDefault="00053EFF" w:rsidP="00053EFF">
      <w:pPr>
        <w:pStyle w:val="ListParagraph"/>
      </w:pPr>
    </w:p>
    <w:p w:rsidR="00053EFF" w:rsidRDefault="00053EFF" w:rsidP="007B7521">
      <w:pPr>
        <w:pStyle w:val="ListParagraph"/>
        <w:numPr>
          <w:ilvl w:val="0"/>
          <w:numId w:val="5"/>
        </w:numPr>
        <w:ind w:left="0" w:firstLine="1440"/>
        <w:jc w:val="left"/>
      </w:pPr>
      <w:r>
        <w:t>At the time of the hearing, the Complainant had installed the generator (Tr.</w:t>
      </w:r>
      <w:r w:rsidR="002925D7">
        <w:t xml:space="preserve"> </w:t>
      </w:r>
      <w:r w:rsidR="00C04F4B">
        <w:t xml:space="preserve">13, 23, </w:t>
      </w:r>
      <w:r w:rsidR="002925D7">
        <w:t>29</w:t>
      </w:r>
      <w:r>
        <w:t>)</w:t>
      </w:r>
      <w:r w:rsidR="00C04F4B">
        <w:t>.</w:t>
      </w:r>
    </w:p>
    <w:p w:rsidR="007B7521" w:rsidRDefault="007B7521" w:rsidP="007B7521">
      <w:pPr>
        <w:pStyle w:val="BodyText"/>
        <w:tabs>
          <w:tab w:val="left" w:pos="0"/>
          <w:tab w:val="left" w:pos="720"/>
        </w:tabs>
        <w:spacing w:after="0"/>
        <w:ind w:firstLine="1440"/>
        <w:jc w:val="left"/>
      </w:pPr>
    </w:p>
    <w:p w:rsidR="007B7521" w:rsidRPr="00FF6BB8" w:rsidRDefault="00D96FDC" w:rsidP="007B7521">
      <w:pPr>
        <w:pStyle w:val="BodyText"/>
        <w:numPr>
          <w:ilvl w:val="0"/>
          <w:numId w:val="5"/>
        </w:numPr>
        <w:tabs>
          <w:tab w:val="left" w:pos="0"/>
          <w:tab w:val="left" w:pos="720"/>
        </w:tabs>
        <w:spacing w:after="0"/>
        <w:ind w:left="0" w:firstLine="1440"/>
        <w:jc w:val="left"/>
        <w:rPr>
          <w:rFonts w:eastAsia="Batang"/>
        </w:rPr>
      </w:pPr>
      <w:r>
        <w:rPr>
          <w:rFonts w:eastAsia="Batang"/>
        </w:rPr>
        <w:t xml:space="preserve">Neither </w:t>
      </w:r>
      <w:r w:rsidR="007B7521">
        <w:rPr>
          <w:rFonts w:eastAsia="Batang"/>
        </w:rPr>
        <w:t xml:space="preserve">Ms. King </w:t>
      </w:r>
      <w:r>
        <w:rPr>
          <w:rFonts w:eastAsia="Batang"/>
        </w:rPr>
        <w:t>no</w:t>
      </w:r>
      <w:r w:rsidR="003F2089">
        <w:rPr>
          <w:rFonts w:eastAsia="Batang"/>
        </w:rPr>
        <w:t>r</w:t>
      </w:r>
      <w:r>
        <w:rPr>
          <w:rFonts w:eastAsia="Batang"/>
        </w:rPr>
        <w:t xml:space="preserve"> Mr. Dougherty </w:t>
      </w:r>
      <w:r w:rsidR="007B7521">
        <w:rPr>
          <w:rFonts w:eastAsia="Batang"/>
        </w:rPr>
        <w:t>appear</w:t>
      </w:r>
      <w:r>
        <w:rPr>
          <w:rFonts w:eastAsia="Batang"/>
        </w:rPr>
        <w:t>ed</w:t>
      </w:r>
      <w:r w:rsidR="007B7521">
        <w:rPr>
          <w:rFonts w:eastAsia="Batang"/>
        </w:rPr>
        <w:t xml:space="preserve"> at the hearing</w:t>
      </w:r>
      <w:r>
        <w:rPr>
          <w:rFonts w:eastAsia="Batang"/>
        </w:rPr>
        <w:t xml:space="preserve"> (Tr</w:t>
      </w:r>
      <w:r w:rsidR="007B7521">
        <w:rPr>
          <w:rFonts w:eastAsia="Batang"/>
        </w:rPr>
        <w:t>.</w:t>
      </w:r>
      <w:r w:rsidR="002925D7">
        <w:rPr>
          <w:rFonts w:eastAsia="Batang"/>
        </w:rPr>
        <w:t xml:space="preserve"> 12, 31).</w:t>
      </w:r>
    </w:p>
    <w:p w:rsidR="007B7521" w:rsidRDefault="007B7521" w:rsidP="007B7521">
      <w:pPr>
        <w:pStyle w:val="ListParagraph"/>
        <w:rPr>
          <w:highlight w:val="yellow"/>
        </w:rPr>
      </w:pPr>
    </w:p>
    <w:p w:rsidR="00C53404" w:rsidRPr="002925D7" w:rsidRDefault="007B7521" w:rsidP="002925D7">
      <w:pPr>
        <w:pStyle w:val="BodyText"/>
        <w:numPr>
          <w:ilvl w:val="0"/>
          <w:numId w:val="5"/>
        </w:numPr>
        <w:tabs>
          <w:tab w:val="left" w:pos="0"/>
          <w:tab w:val="left" w:pos="720"/>
        </w:tabs>
        <w:spacing w:after="0"/>
        <w:ind w:left="0" w:firstLine="1440"/>
        <w:jc w:val="left"/>
        <w:rPr>
          <w:rFonts w:eastAsia="Batang"/>
        </w:rPr>
      </w:pPr>
      <w:r>
        <w:rPr>
          <w:rFonts w:eastAsia="Batang"/>
        </w:rPr>
        <w:t>Ms. King did not participate in this matter</w:t>
      </w:r>
      <w:r w:rsidR="00C04F4B">
        <w:rPr>
          <w:rFonts w:eastAsia="Batang"/>
        </w:rPr>
        <w:t xml:space="preserve"> (Tr</w:t>
      </w:r>
      <w:r>
        <w:rPr>
          <w:rFonts w:eastAsia="Batang"/>
        </w:rPr>
        <w:t>.</w:t>
      </w:r>
      <w:r w:rsidR="002925D7">
        <w:rPr>
          <w:rFonts w:eastAsia="Batang"/>
        </w:rPr>
        <w:t xml:space="preserve"> 31</w:t>
      </w:r>
      <w:r w:rsidR="00C04F4B">
        <w:rPr>
          <w:rFonts w:eastAsia="Batang"/>
        </w:rPr>
        <w:t>).</w:t>
      </w:r>
    </w:p>
    <w:p w:rsidR="00C53404" w:rsidRDefault="00C53404" w:rsidP="00C53404">
      <w:pPr>
        <w:pStyle w:val="ListParagraph"/>
        <w:ind w:left="0" w:firstLine="1440"/>
        <w:jc w:val="left"/>
        <w:rPr>
          <w:rFonts w:eastAsia="Batang"/>
        </w:rPr>
      </w:pPr>
    </w:p>
    <w:p w:rsidR="007B7521" w:rsidRPr="00C04F4B" w:rsidRDefault="00C53404" w:rsidP="00C04F4B">
      <w:pPr>
        <w:pStyle w:val="NoSpacing"/>
        <w:numPr>
          <w:ilvl w:val="0"/>
          <w:numId w:val="5"/>
        </w:numPr>
        <w:ind w:left="0" w:firstLine="1440"/>
        <w:rPr>
          <w:rFonts w:eastAsia="Batang"/>
        </w:rPr>
      </w:pPr>
      <w:r>
        <w:rPr>
          <w:rFonts w:eastAsia="Batang"/>
        </w:rPr>
        <w:t xml:space="preserve">The </w:t>
      </w:r>
      <w:r>
        <w:t xml:space="preserve">Respondent does not have any requests </w:t>
      </w:r>
      <w:r w:rsidR="00D96FDC">
        <w:t xml:space="preserve">or correspondence </w:t>
      </w:r>
      <w:r>
        <w:t>from Ms. King regarding the concerns raised by t</w:t>
      </w:r>
      <w:r>
        <w:rPr>
          <w:rFonts w:eastAsia="Batang"/>
        </w:rPr>
        <w:t>he</w:t>
      </w:r>
      <w:r>
        <w:rPr>
          <w:rFonts w:eastAsia="Times New Roman"/>
        </w:rPr>
        <w:t xml:space="preserve"> Complainant</w:t>
      </w:r>
      <w:r>
        <w:t xml:space="preserve"> </w:t>
      </w:r>
      <w:r>
        <w:rPr>
          <w:rFonts w:eastAsia="Batang"/>
        </w:rPr>
        <w:t>(Tr.</w:t>
      </w:r>
      <w:r>
        <w:rPr>
          <w:rFonts w:eastAsia="Batang"/>
        </w:rPr>
        <w:tab/>
      </w:r>
      <w:r w:rsidR="002925D7">
        <w:rPr>
          <w:rFonts w:eastAsia="Batang"/>
        </w:rPr>
        <w:t>31</w:t>
      </w:r>
      <w:r w:rsidR="00C04F4B">
        <w:rPr>
          <w:rFonts w:eastAsia="Batang"/>
        </w:rPr>
        <w:t>).</w:t>
      </w:r>
    </w:p>
    <w:p w:rsidR="00C53404" w:rsidRDefault="00C53404">
      <w:pPr>
        <w:spacing w:after="200" w:line="276" w:lineRule="auto"/>
        <w:jc w:val="left"/>
        <w:rPr>
          <w:rFonts w:eastAsia="Times New Roman"/>
        </w:rPr>
      </w:pPr>
    </w:p>
    <w:p w:rsidR="005E2C22" w:rsidRDefault="005E2C22" w:rsidP="00F2714C">
      <w:pPr>
        <w:pStyle w:val="ListParagraph"/>
        <w:rPr>
          <w:rFonts w:eastAsia="Batang"/>
          <w:u w:val="single"/>
        </w:rPr>
      </w:pPr>
      <w:r>
        <w:rPr>
          <w:rFonts w:eastAsia="Batang"/>
          <w:u w:val="single"/>
        </w:rPr>
        <w:t>DISCUSSION</w:t>
      </w:r>
    </w:p>
    <w:p w:rsidR="005E2C22" w:rsidRDefault="005E2C22" w:rsidP="005E2C22">
      <w:pPr>
        <w:pStyle w:val="ListParagraph"/>
        <w:ind w:left="0"/>
        <w:rPr>
          <w:rFonts w:eastAsia="Calibri"/>
          <w:u w:val="single"/>
        </w:rPr>
      </w:pPr>
    </w:p>
    <w:p w:rsidR="005E2C22" w:rsidRDefault="005E2C22" w:rsidP="005E2C22">
      <w:pPr>
        <w:pStyle w:val="NoSpacing"/>
        <w:rPr>
          <w:rFonts w:eastAsia="Times New Roman"/>
        </w:rPr>
      </w:pPr>
      <w:r>
        <w:rPr>
          <w:rFonts w:eastAsia="Times New Roman"/>
        </w:rPr>
        <w:tab/>
      </w:r>
      <w:r>
        <w:rPr>
          <w:rFonts w:eastAsia="Times New Roman"/>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Pr>
          <w:rFonts w:eastAsia="Times New Roman"/>
          <w:i/>
        </w:rPr>
        <w:t>Se-Ling Hosiery v. Margulies</w:t>
      </w:r>
      <w:r>
        <w:rPr>
          <w:rFonts w:eastAsia="Times New Roman"/>
        </w:rPr>
        <w:t xml:space="preserve">, 364 Pa. 45, 70 A.2d 854 (1950).  The Complainant must show that the utility is responsible or accountable for the problem described in the complaint.  </w:t>
      </w:r>
      <w:r>
        <w:rPr>
          <w:rFonts w:eastAsia="Times New Roman"/>
          <w:i/>
        </w:rPr>
        <w:t>Feinstein v. Philadelphia Suburban Water Company</w:t>
      </w:r>
      <w:r>
        <w:rPr>
          <w:rFonts w:eastAsia="Times New Roman"/>
        </w:rPr>
        <w:t>, 50 Pa. PUC 300 (1976).</w:t>
      </w:r>
    </w:p>
    <w:p w:rsidR="005E2C22" w:rsidRDefault="005E2C22" w:rsidP="005E2C22">
      <w:pPr>
        <w:pStyle w:val="NoSpacing"/>
        <w:rPr>
          <w:rFonts w:eastAsia="Times New Roman"/>
        </w:rPr>
      </w:pPr>
    </w:p>
    <w:p w:rsidR="005E2C22" w:rsidRDefault="005E2C22" w:rsidP="005E2C22">
      <w:pPr>
        <w:pStyle w:val="NoSpacing"/>
        <w:rPr>
          <w:rFonts w:eastAsia="Times New Roman"/>
        </w:rPr>
      </w:pPr>
      <w:r>
        <w:rPr>
          <w:rFonts w:eastAsia="Times New Roman"/>
        </w:rPr>
        <w:tab/>
      </w:r>
      <w:r>
        <w:rPr>
          <w:rFonts w:eastAsia="Times New Roman"/>
        </w:rPr>
        <w:tab/>
        <w:t xml:space="preserve">The record in this proceeding must be reviewed to determine whether the Complainant has satisfied his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Pr>
          <w:rFonts w:eastAsia="Times New Roman"/>
          <w:i/>
        </w:rPr>
        <w:t>Morrissey v. Pa. Dept. of Highways</w:t>
      </w:r>
      <w:r>
        <w:rPr>
          <w:rFonts w:eastAsia="Times New Roman"/>
        </w:rPr>
        <w:t xml:space="preserve">, 424 Pa. 87, 225 A.2d 895 (1967). </w:t>
      </w:r>
    </w:p>
    <w:p w:rsidR="005E2C22" w:rsidRDefault="005E2C22" w:rsidP="005E2C22">
      <w:pPr>
        <w:pStyle w:val="NoSpacing"/>
        <w:rPr>
          <w:rFonts w:eastAsia="Times New Roman"/>
        </w:rPr>
      </w:pPr>
    </w:p>
    <w:p w:rsidR="005E2C22" w:rsidRDefault="005E2C22" w:rsidP="005E2C22">
      <w:pPr>
        <w:pStyle w:val="NoSpacing"/>
        <w:rPr>
          <w:rFonts w:eastAsia="Times New Roman"/>
        </w:rPr>
      </w:pPr>
      <w:r>
        <w:rPr>
          <w:rFonts w:eastAsia="Times New Roman"/>
        </w:rPr>
        <w:tab/>
      </w:r>
      <w:r>
        <w:rPr>
          <w:rFonts w:eastAsia="Times New Roman"/>
        </w:rPr>
        <w:tab/>
        <w:t xml:space="preserve">Furthermore, the Commission’s decision must be supported by substantial evidence.  2 Pa.C.S.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r>
        <w:rPr>
          <w:rFonts w:eastAsia="Times New Roman"/>
          <w:i/>
        </w:rPr>
        <w:t>Norfolk &amp; Western Ry. Co. v. Pa. PUC,</w:t>
      </w:r>
      <w:r>
        <w:rPr>
          <w:rFonts w:eastAsia="Times New Roman"/>
        </w:rPr>
        <w:t xml:space="preserve"> 489 Pa.109, 413 A. 2d 1037 (1980); </w:t>
      </w:r>
      <w:r>
        <w:rPr>
          <w:rFonts w:eastAsia="Times New Roman"/>
          <w:i/>
        </w:rPr>
        <w:t>Murphy v. Dept. of Public Welfare</w:t>
      </w:r>
      <w:r>
        <w:rPr>
          <w:rFonts w:eastAsia="Times New Roman"/>
        </w:rPr>
        <w:t>, 85 Pa. Cmwlth. 23, 480 A.2d 382 (1984).</w:t>
      </w:r>
    </w:p>
    <w:p w:rsidR="005E2C22" w:rsidRDefault="005E2C22" w:rsidP="005E2C22">
      <w:pPr>
        <w:pStyle w:val="NoSpacing"/>
        <w:rPr>
          <w:rFonts w:eastAsia="Times New Roman"/>
        </w:rPr>
      </w:pPr>
    </w:p>
    <w:p w:rsidR="00FF6BB8" w:rsidRDefault="00FF6BB8" w:rsidP="005E2C22">
      <w:pPr>
        <w:pStyle w:val="NoSpacing"/>
        <w:rPr>
          <w:rFonts w:eastAsia="Times New Roman"/>
        </w:rPr>
      </w:pPr>
      <w:r>
        <w:rPr>
          <w:rFonts w:eastAsia="Times New Roman"/>
        </w:rPr>
        <w:tab/>
      </w:r>
      <w:r>
        <w:rPr>
          <w:rFonts w:eastAsia="Times New Roman"/>
        </w:rPr>
        <w:tab/>
        <w:t xml:space="preserve">In the Prehearing </w:t>
      </w:r>
      <w:r w:rsidR="00A11B35">
        <w:rPr>
          <w:rFonts w:eastAsia="Times New Roman"/>
        </w:rPr>
        <w:t>Order,</w:t>
      </w:r>
      <w:r>
        <w:rPr>
          <w:rFonts w:eastAsia="Times New Roman"/>
        </w:rPr>
        <w:t xml:space="preserve"> the parties were advised that the issue of standing would be addressed before we could proceed to the hearing.  The parties presented the following arguments concerning standing.</w:t>
      </w:r>
    </w:p>
    <w:p w:rsidR="00C53404" w:rsidRDefault="00C53404" w:rsidP="005E2C22">
      <w:pPr>
        <w:pStyle w:val="NoSpacing"/>
        <w:rPr>
          <w:rFonts w:eastAsia="Times New Roman"/>
        </w:rPr>
      </w:pPr>
    </w:p>
    <w:p w:rsidR="00C53404" w:rsidRPr="00C53404" w:rsidRDefault="00C53404" w:rsidP="00C53404">
      <w:pPr>
        <w:tabs>
          <w:tab w:val="left" w:pos="-90"/>
          <w:tab w:val="left" w:pos="0"/>
        </w:tabs>
        <w:jc w:val="left"/>
        <w:rPr>
          <w:u w:val="single"/>
        </w:rPr>
      </w:pPr>
      <w:r w:rsidRPr="00C53404">
        <w:rPr>
          <w:u w:val="single"/>
        </w:rPr>
        <w:t>Complainant’s Position</w:t>
      </w:r>
    </w:p>
    <w:p w:rsidR="00C53404" w:rsidRDefault="00C53404" w:rsidP="00C53404">
      <w:pPr>
        <w:tabs>
          <w:tab w:val="left" w:pos="-90"/>
          <w:tab w:val="left" w:pos="0"/>
        </w:tabs>
        <w:jc w:val="left"/>
      </w:pPr>
    </w:p>
    <w:p w:rsidR="000E5945" w:rsidRDefault="00C53404" w:rsidP="00C53404">
      <w:pPr>
        <w:tabs>
          <w:tab w:val="left" w:pos="-90"/>
          <w:tab w:val="left" w:pos="0"/>
        </w:tabs>
        <w:jc w:val="left"/>
      </w:pPr>
      <w:r>
        <w:tab/>
      </w:r>
      <w:r>
        <w:tab/>
        <w:t xml:space="preserve">The Complainant said he was hired by Mike Dougherty, Kate King’s father, to </w:t>
      </w:r>
      <w:r w:rsidR="002925D7">
        <w:t xml:space="preserve">move the aerial electric service and </w:t>
      </w:r>
      <w:r>
        <w:t xml:space="preserve">install a generator (Tr. 10). </w:t>
      </w:r>
      <w:r w:rsidR="00A11B35">
        <w:t xml:space="preserve"> </w:t>
      </w:r>
      <w:r>
        <w:t xml:space="preserve">He completed the applications </w:t>
      </w:r>
      <w:r w:rsidR="000E5945">
        <w:t xml:space="preserve">for the electric and gas work </w:t>
      </w:r>
      <w:r>
        <w:t xml:space="preserve">and </w:t>
      </w:r>
      <w:r w:rsidR="002925D7">
        <w:t xml:space="preserve">communicated with </w:t>
      </w:r>
      <w:r>
        <w:t xml:space="preserve">the Respondent </w:t>
      </w:r>
      <w:r w:rsidR="002925D7">
        <w:t>concerning the jobs</w:t>
      </w:r>
      <w:r>
        <w:t xml:space="preserve"> </w:t>
      </w:r>
    </w:p>
    <w:p w:rsidR="00C53404" w:rsidRDefault="00C53404" w:rsidP="00C53404">
      <w:pPr>
        <w:tabs>
          <w:tab w:val="left" w:pos="-90"/>
          <w:tab w:val="left" w:pos="0"/>
        </w:tabs>
        <w:jc w:val="left"/>
      </w:pPr>
      <w:r>
        <w:t>(Tr. 10, 11).  He admitted that he is not the owner</w:t>
      </w:r>
      <w:r w:rsidR="002925D7">
        <w:t xml:space="preserve"> or the customer of record</w:t>
      </w:r>
      <w:r>
        <w:t xml:space="preserve"> and </w:t>
      </w:r>
      <w:r w:rsidR="002925D7">
        <w:t xml:space="preserve">that </w:t>
      </w:r>
      <w:r>
        <w:t xml:space="preserve">he does not live at the service address (Tr. 11).  </w:t>
      </w:r>
    </w:p>
    <w:p w:rsidR="00C53404" w:rsidRDefault="00C53404" w:rsidP="00C53404">
      <w:pPr>
        <w:tabs>
          <w:tab w:val="left" w:pos="-90"/>
          <w:tab w:val="left" w:pos="0"/>
        </w:tabs>
        <w:jc w:val="left"/>
      </w:pPr>
    </w:p>
    <w:p w:rsidR="00706EE5" w:rsidRDefault="000E5945" w:rsidP="000E5945">
      <w:pPr>
        <w:tabs>
          <w:tab w:val="left" w:pos="-90"/>
          <w:tab w:val="left" w:pos="0"/>
        </w:tabs>
        <w:jc w:val="left"/>
        <w:rPr>
          <w:rFonts w:eastAsia="Batang"/>
        </w:rPr>
      </w:pPr>
      <w:r>
        <w:tab/>
      </w:r>
      <w:r>
        <w:tab/>
        <w:t>The customer of record</w:t>
      </w:r>
      <w:r w:rsidR="007C6A5B">
        <w:t>,</w:t>
      </w:r>
      <w:r>
        <w:t xml:space="preserve"> </w:t>
      </w:r>
      <w:r w:rsidR="00FF6BB8">
        <w:rPr>
          <w:rFonts w:eastAsia="Batang"/>
        </w:rPr>
        <w:t>Ms. King</w:t>
      </w:r>
      <w:r w:rsidR="007C6A5B">
        <w:rPr>
          <w:rFonts w:eastAsia="Batang"/>
        </w:rPr>
        <w:t>,</w:t>
      </w:r>
      <w:r w:rsidR="00FF6BB8">
        <w:rPr>
          <w:rFonts w:eastAsia="Batang"/>
        </w:rPr>
        <w:t xml:space="preserve"> did not appear</w:t>
      </w:r>
      <w:r>
        <w:rPr>
          <w:rFonts w:eastAsia="Batang"/>
        </w:rPr>
        <w:t xml:space="preserve"> at the hearing</w:t>
      </w:r>
      <w:r w:rsidR="00FF6BB8">
        <w:rPr>
          <w:rFonts w:eastAsia="Batang"/>
        </w:rPr>
        <w:t xml:space="preserve">.  </w:t>
      </w:r>
      <w:r w:rsidR="00A37995">
        <w:rPr>
          <w:rFonts w:eastAsia="Batang"/>
        </w:rPr>
        <w:t>The</w:t>
      </w:r>
      <w:r w:rsidR="00A37995">
        <w:rPr>
          <w:rFonts w:eastAsia="Times New Roman"/>
        </w:rPr>
        <w:t xml:space="preserve"> Complainant </w:t>
      </w:r>
      <w:r w:rsidR="00FF6BB8">
        <w:rPr>
          <w:rFonts w:eastAsia="Times New Roman"/>
        </w:rPr>
        <w:t xml:space="preserve">did not present any documents from her authorizing him to act on her behalf.  </w:t>
      </w:r>
      <w:r>
        <w:rPr>
          <w:rFonts w:eastAsia="Times New Roman"/>
        </w:rPr>
        <w:t>In addition, there was no communication from Ms. King or her father in the record of these cases</w:t>
      </w:r>
      <w:r w:rsidR="00A37995">
        <w:rPr>
          <w:rFonts w:eastAsia="Times New Roman"/>
        </w:rPr>
        <w:t xml:space="preserve">. </w:t>
      </w:r>
    </w:p>
    <w:p w:rsidR="00706EE5" w:rsidRDefault="00706EE5" w:rsidP="005E2C22">
      <w:pPr>
        <w:pStyle w:val="NoSpacing"/>
        <w:rPr>
          <w:rFonts w:eastAsia="Batang"/>
        </w:rPr>
      </w:pPr>
    </w:p>
    <w:p w:rsidR="00C53404" w:rsidRDefault="00C53404" w:rsidP="00C53404">
      <w:pPr>
        <w:tabs>
          <w:tab w:val="left" w:pos="-90"/>
          <w:tab w:val="left" w:pos="0"/>
        </w:tabs>
        <w:jc w:val="left"/>
        <w:rPr>
          <w:rFonts w:eastAsia="Times New Roman"/>
          <w:u w:val="single"/>
        </w:rPr>
      </w:pPr>
      <w:r w:rsidRPr="007B7521">
        <w:rPr>
          <w:rFonts w:eastAsia="Times New Roman"/>
          <w:u w:val="single"/>
        </w:rPr>
        <w:t>Respondent’s position</w:t>
      </w:r>
    </w:p>
    <w:p w:rsidR="00C53404" w:rsidRDefault="00C53404" w:rsidP="00C53404">
      <w:pPr>
        <w:tabs>
          <w:tab w:val="left" w:pos="-90"/>
          <w:tab w:val="left" w:pos="0"/>
        </w:tabs>
        <w:jc w:val="left"/>
        <w:rPr>
          <w:rFonts w:eastAsia="Times New Roman"/>
          <w:u w:val="single"/>
        </w:rPr>
      </w:pPr>
    </w:p>
    <w:p w:rsidR="003F2089" w:rsidRDefault="00C53404" w:rsidP="003F2089">
      <w:pPr>
        <w:tabs>
          <w:tab w:val="left" w:pos="-90"/>
          <w:tab w:val="left" w:pos="0"/>
        </w:tabs>
        <w:jc w:val="left"/>
      </w:pPr>
      <w:r w:rsidRPr="007B7521">
        <w:rPr>
          <w:rFonts w:eastAsia="Times New Roman"/>
        </w:rPr>
        <w:tab/>
      </w:r>
      <w:r w:rsidRPr="007B7521">
        <w:rPr>
          <w:rFonts w:eastAsia="Times New Roman"/>
        </w:rPr>
        <w:tab/>
      </w:r>
      <w:r>
        <w:rPr>
          <w:rFonts w:eastAsia="Times New Roman"/>
        </w:rPr>
        <w:t>Ms. Lee argued that the</w:t>
      </w:r>
      <w:r>
        <w:t xml:space="preserve"> Complainant does not have standing to bring these complaints because he is not a customer or an occupant at the service address.  Ms. Lee cited 66 Pa.C.S. § 1403 which defines customer as a natural person in whose name a residential service account existed or any adult resident at the service address (Tr. 7). </w:t>
      </w:r>
      <w:r w:rsidR="003F2089">
        <w:t xml:space="preserve"> The owners are not represented by counsel in this proceeding and the Complainant cannot represent the homeowners in this proceeding because he is not an attorney (Tr. 7).  She cited </w:t>
      </w:r>
      <w:r w:rsidR="003F2089">
        <w:rPr>
          <w:u w:val="single"/>
        </w:rPr>
        <w:t>Betty Ricks v. PECO Energy Company</w:t>
      </w:r>
      <w:r w:rsidR="003F2089">
        <w:t xml:space="preserve">, C-2012-2321440 (Opinion and Order entered March 6, 2014).  </w:t>
      </w:r>
      <w:r w:rsidR="007C6A5B">
        <w:t xml:space="preserve">In that case, </w:t>
      </w:r>
      <w:r w:rsidR="003F2089">
        <w:t>Sporty Smith, Ms. Ricks’ son, failed to provide evidence that he resided at the property.  Since Ms. Ricks was the customer of record, and Mr. Smith was not an attorney, he could not represent her (Tr. 7, 8).</w:t>
      </w:r>
    </w:p>
    <w:p w:rsidR="000E5945" w:rsidRDefault="000E5945" w:rsidP="00C53404">
      <w:pPr>
        <w:tabs>
          <w:tab w:val="left" w:pos="-90"/>
          <w:tab w:val="left" w:pos="0"/>
        </w:tabs>
        <w:jc w:val="left"/>
      </w:pPr>
    </w:p>
    <w:p w:rsidR="00C53404" w:rsidRDefault="000E5945" w:rsidP="000558EC">
      <w:pPr>
        <w:tabs>
          <w:tab w:val="left" w:pos="-90"/>
          <w:tab w:val="left" w:pos="0"/>
        </w:tabs>
        <w:jc w:val="left"/>
        <w:rPr>
          <w:rFonts w:eastAsia="Batang"/>
        </w:rPr>
      </w:pPr>
      <w:r>
        <w:tab/>
      </w:r>
      <w:r>
        <w:tab/>
        <w:t>Ms. Lee contended that the Complainant has n</w:t>
      </w:r>
      <w:r w:rsidR="00C53404">
        <w:t>o direct, immediate and substantial interest in the proceeding</w:t>
      </w:r>
      <w:r>
        <w:t xml:space="preserve">.  </w:t>
      </w:r>
      <w:r w:rsidR="00C53404" w:rsidRPr="00C04F4B">
        <w:rPr>
          <w:u w:val="single"/>
        </w:rPr>
        <w:t>William Penn Parking v City of Pittsburgh</w:t>
      </w:r>
      <w:r w:rsidR="00C53404">
        <w:t xml:space="preserve">, 346 A.2d 269 </w:t>
      </w:r>
      <w:r>
        <w:t>(1975)</w:t>
      </w:r>
      <w:r w:rsidR="000558EC">
        <w:t xml:space="preserve">. </w:t>
      </w:r>
      <w:r w:rsidR="00C53404">
        <w:t xml:space="preserve"> The </w:t>
      </w:r>
      <w:r w:rsidR="000558EC">
        <w:t>Complainant has no direct interest since</w:t>
      </w:r>
      <w:r w:rsidR="008C05F2">
        <w:t xml:space="preserve"> he</w:t>
      </w:r>
      <w:r w:rsidR="000558EC">
        <w:t xml:space="preserve"> is not an occupant, customer or owner of the property.  The evidence in the record shows that the </w:t>
      </w:r>
      <w:r w:rsidR="00C53404">
        <w:t>homeowners pa</w:t>
      </w:r>
      <w:r w:rsidR="000558EC">
        <w:t>id</w:t>
      </w:r>
      <w:r w:rsidR="00C53404">
        <w:t xml:space="preserve"> for the aerial line to be relocated (Tr. 8, 9). </w:t>
      </w:r>
      <w:r w:rsidR="000558EC">
        <w:t xml:space="preserve"> In addition, they made the decision not to increase the gas load.  The Complainant has n</w:t>
      </w:r>
      <w:r w:rsidR="00C04F4B">
        <w:t>o immediate interest</w:t>
      </w:r>
      <w:r w:rsidR="000558EC">
        <w:t xml:space="preserve"> because the electric facilities have been moved and the gas generator was installed.  Furthermore, t</w:t>
      </w:r>
      <w:r w:rsidR="00C53404">
        <w:t>he Complainant was paid for his work (Tr. 9).</w:t>
      </w:r>
      <w:r w:rsidR="000558EC">
        <w:t xml:space="preserve">  He has no </w:t>
      </w:r>
      <w:r w:rsidR="00C04F4B">
        <w:rPr>
          <w:rFonts w:eastAsia="Batang"/>
        </w:rPr>
        <w:t>substantial interest</w:t>
      </w:r>
      <w:r w:rsidR="000558EC">
        <w:rPr>
          <w:rFonts w:eastAsia="Batang"/>
        </w:rPr>
        <w:t xml:space="preserve"> because he did not pay for the upgrade and he was not harmed by any delay in the work.</w:t>
      </w:r>
    </w:p>
    <w:p w:rsidR="00C53404" w:rsidRDefault="00C53404" w:rsidP="00A37995">
      <w:pPr>
        <w:pStyle w:val="NoSpacing"/>
        <w:rPr>
          <w:rFonts w:eastAsia="Batang"/>
        </w:rPr>
      </w:pPr>
    </w:p>
    <w:p w:rsidR="00917AB6" w:rsidRDefault="00917AB6" w:rsidP="00C53404">
      <w:pPr>
        <w:pStyle w:val="BodyText"/>
        <w:tabs>
          <w:tab w:val="left" w:pos="-90"/>
          <w:tab w:val="left" w:pos="0"/>
        </w:tabs>
        <w:spacing w:after="0"/>
        <w:jc w:val="left"/>
      </w:pPr>
      <w:r>
        <w:tab/>
      </w:r>
      <w:r>
        <w:tab/>
        <w:t xml:space="preserve">Standing to participate in proceedings before an administrative agency is primarily within the discretion of the agency.  </w:t>
      </w:r>
      <w:r>
        <w:rPr>
          <w:i/>
        </w:rPr>
        <w:t>Pennsylvania National Gas Association v. T.W. Phillips Gas and Oil Co.</w:t>
      </w:r>
      <w:r>
        <w:t>, 75 Pa. PUC 598 (1991).  PO at ¶ 21.</w:t>
      </w:r>
    </w:p>
    <w:p w:rsidR="00917AB6" w:rsidRDefault="00917AB6" w:rsidP="00C53404">
      <w:pPr>
        <w:pStyle w:val="BodyText"/>
        <w:tabs>
          <w:tab w:val="left" w:pos="-90"/>
          <w:tab w:val="left" w:pos="0"/>
        </w:tabs>
        <w:spacing w:after="0"/>
        <w:jc w:val="left"/>
      </w:pPr>
    </w:p>
    <w:p w:rsidR="00917AB6" w:rsidRDefault="00917AB6" w:rsidP="007B3A33">
      <w:pPr>
        <w:pStyle w:val="BodyText"/>
        <w:tabs>
          <w:tab w:val="left" w:pos="-90"/>
          <w:tab w:val="left" w:pos="0"/>
        </w:tabs>
        <w:spacing w:after="0"/>
        <w:jc w:val="left"/>
      </w:pPr>
      <w:r>
        <w:tab/>
      </w:r>
      <w:r>
        <w:tab/>
        <w:t>Generally, Pennsylvania courts and the Commission have held that a person or entity has standing when the person or entity has a direct, immediate, and substantial interest in the subject matter of a proceeding</w:t>
      </w:r>
      <w:r>
        <w:rPr>
          <w:i/>
        </w:rPr>
        <w:t xml:space="preserve"> Joint Application of Pennsylvania-American Water Co. and Evansburg Water Co. for Approval of the transfer, by sale, of the water works property and rights of Evansburg Water Co. to</w:t>
      </w:r>
      <w:r>
        <w:t xml:space="preserve"> </w:t>
      </w:r>
      <w:r>
        <w:rPr>
          <w:i/>
        </w:rPr>
        <w:t>Pennsylvania-American Water Co</w:t>
      </w:r>
      <w:r>
        <w:t xml:space="preserve">., A-212285F0046/47 and A-210870F01 (Opinion and Order entered on July 9, 1998); </w:t>
      </w:r>
      <w:r>
        <w:rPr>
          <w:i/>
        </w:rPr>
        <w:t>William Penn Parking Garage, Inc. v. City of Pittsburgh</w:t>
      </w:r>
      <w:r>
        <w:t xml:space="preserve">, 464 Pa. 168, 195-197, 346 A.2d 269, 282-284 (1975); </w:t>
      </w:r>
      <w:r>
        <w:rPr>
          <w:i/>
        </w:rPr>
        <w:t>Waddington v. Pa. PUC</w:t>
      </w:r>
      <w:r>
        <w:t xml:space="preserve">, 670 A.2d 199, 202 (Pa. Cmwlth. 1995); </w:t>
      </w:r>
      <w:r>
        <w:rPr>
          <w:i/>
        </w:rPr>
        <w:t>Landlord Service Bureau, Inc. v. Equitable Gas Co.</w:t>
      </w:r>
      <w:r>
        <w:t xml:space="preserve">, 79 Pa. PUC 342 (1993); </w:t>
      </w:r>
      <w:r>
        <w:rPr>
          <w:i/>
        </w:rPr>
        <w:t>Re Equitable Gas Co.</w:t>
      </w:r>
      <w:r>
        <w:t>, 76 Pa. PUC 23 (1992).  PO at ¶ 22 (partial quote).</w:t>
      </w:r>
    </w:p>
    <w:p w:rsidR="00917AB6" w:rsidRDefault="00917AB6" w:rsidP="00917AB6">
      <w:pPr>
        <w:pStyle w:val="BodyText"/>
        <w:tabs>
          <w:tab w:val="left" w:pos="-90"/>
          <w:tab w:val="left" w:pos="0"/>
        </w:tabs>
      </w:pPr>
    </w:p>
    <w:p w:rsidR="00917AB6" w:rsidRDefault="00917AB6" w:rsidP="007B3A33">
      <w:pPr>
        <w:jc w:val="left"/>
      </w:pPr>
      <w:r>
        <w:tab/>
      </w:r>
      <w:r w:rsidR="007B3A33">
        <w:tab/>
      </w:r>
      <w:r>
        <w:t xml:space="preserve">Requiring a person or entity to have a direct, immediate and substantial interest in the subject matter of a proceeding helps avoid frivolous, harassing lawsuits whose costs are ultimately borne, at least in part, by utility ratepayers.  </w:t>
      </w:r>
      <w:r>
        <w:rPr>
          <w:i/>
        </w:rPr>
        <w:t>See</w:t>
      </w:r>
      <w:r>
        <w:t xml:space="preserve"> </w:t>
      </w:r>
      <w:r>
        <w:rPr>
          <w:i/>
        </w:rPr>
        <w:t>Pennsylvania Public Utility Commission v. National Fuel Gas Distribution Corp.</w:t>
      </w:r>
      <w:r>
        <w:t>, 73 Pa. PUC 552 (1990).</w:t>
      </w:r>
    </w:p>
    <w:p w:rsidR="007B3A33" w:rsidRDefault="007B3A33" w:rsidP="007B3A33">
      <w:pPr>
        <w:tabs>
          <w:tab w:val="left" w:pos="-90"/>
          <w:tab w:val="left" w:pos="0"/>
        </w:tabs>
        <w:jc w:val="left"/>
        <w:rPr>
          <w:rFonts w:eastAsia="Times New Roman"/>
        </w:rPr>
      </w:pPr>
    </w:p>
    <w:p w:rsidR="00C53404" w:rsidRDefault="00C53404" w:rsidP="00C53404">
      <w:pPr>
        <w:tabs>
          <w:tab w:val="left" w:pos="-90"/>
          <w:tab w:val="left" w:pos="0"/>
        </w:tabs>
        <w:jc w:val="left"/>
        <w:rPr>
          <w:rFonts w:eastAsia="Times New Roman"/>
        </w:rPr>
      </w:pPr>
      <w:r w:rsidRPr="00636328">
        <w:rPr>
          <w:rFonts w:eastAsia="Times New Roman"/>
        </w:rPr>
        <w:tab/>
      </w:r>
      <w:r w:rsidRPr="00636328">
        <w:rPr>
          <w:rFonts w:eastAsia="Times New Roman"/>
        </w:rPr>
        <w:tab/>
      </w:r>
      <w:r w:rsidR="00636328" w:rsidRPr="00636328">
        <w:rPr>
          <w:rFonts w:eastAsia="Times New Roman"/>
        </w:rPr>
        <w:t>A Complainant’s interest in the su</w:t>
      </w:r>
      <w:r w:rsidR="003A3EF3">
        <w:rPr>
          <w:rFonts w:eastAsia="Times New Roman"/>
        </w:rPr>
        <w:t xml:space="preserve">bject matter of the proceeding </w:t>
      </w:r>
      <w:r w:rsidRPr="00636328">
        <w:rPr>
          <w:rFonts w:eastAsia="Times New Roman"/>
        </w:rPr>
        <w:t xml:space="preserve">is direct if the Complainant’s interest is adversely affected, is immediate if there is a close causal nexus between </w:t>
      </w:r>
      <w:r w:rsidR="00636328" w:rsidRPr="00636328">
        <w:rPr>
          <w:color w:val="333333"/>
        </w:rPr>
        <w:t>action complained of and the injury to the party</w:t>
      </w:r>
      <w:r w:rsidRPr="00636328">
        <w:rPr>
          <w:rFonts w:eastAsia="Times New Roman"/>
        </w:rPr>
        <w:t>, and is substantial if there is a discernible interest other than the general interest of all citizens in seeking compliance with the law</w:t>
      </w:r>
      <w:r w:rsidR="00F92A7E" w:rsidRPr="00636328">
        <w:rPr>
          <w:rFonts w:eastAsia="Times New Roman"/>
        </w:rPr>
        <w:t xml:space="preserve">.  </w:t>
      </w:r>
      <w:r>
        <w:rPr>
          <w:rFonts w:eastAsia="Times New Roman"/>
          <w:i/>
        </w:rPr>
        <w:t>Ken R. ex rel. C.R. v. Arthur Z.</w:t>
      </w:r>
      <w:r>
        <w:rPr>
          <w:rFonts w:eastAsia="Times New Roman"/>
        </w:rPr>
        <w:t xml:space="preserve">, 546 Pa. 49, 53-54, 682 A.2d 1267, 1270 (1996); </w:t>
      </w:r>
      <w:r>
        <w:rPr>
          <w:rFonts w:eastAsia="Times New Roman"/>
          <w:i/>
        </w:rPr>
        <w:t>In re El Rancho Grande, Inc</w:t>
      </w:r>
      <w:r>
        <w:rPr>
          <w:rFonts w:eastAsia="Times New Roman"/>
        </w:rPr>
        <w:t xml:space="preserve">. 437 A.2d 1150 (Pa. 1981); </w:t>
      </w:r>
      <w:r>
        <w:rPr>
          <w:rFonts w:eastAsia="Times New Roman"/>
          <w:i/>
        </w:rPr>
        <w:t>William Penn Parking Garage, supra</w:t>
      </w:r>
      <w:r>
        <w:rPr>
          <w:rFonts w:eastAsia="Times New Roman"/>
        </w:rPr>
        <w:t xml:space="preserve">.  </w:t>
      </w:r>
    </w:p>
    <w:p w:rsidR="00931993" w:rsidRDefault="00931993" w:rsidP="00917AB6">
      <w:pPr>
        <w:pStyle w:val="BodyText"/>
        <w:tabs>
          <w:tab w:val="left" w:pos="-90"/>
          <w:tab w:val="left" w:pos="0"/>
        </w:tabs>
        <w:rPr>
          <w:i/>
          <w:iCs/>
        </w:rPr>
      </w:pPr>
    </w:p>
    <w:p w:rsidR="00917AB6" w:rsidRDefault="00636328" w:rsidP="00491B3A">
      <w:pPr>
        <w:pStyle w:val="BodyText"/>
        <w:tabs>
          <w:tab w:val="left" w:pos="-90"/>
          <w:tab w:val="left" w:pos="0"/>
        </w:tabs>
        <w:jc w:val="left"/>
        <w:rPr>
          <w:iCs/>
        </w:rPr>
      </w:pPr>
      <w:r>
        <w:tab/>
      </w:r>
      <w:r>
        <w:tab/>
        <w:t xml:space="preserve">Based on the information provided in the pleadings and during the hearing, </w:t>
      </w:r>
      <w:r w:rsidRPr="007B3A33">
        <w:t xml:space="preserve">the Complainant </w:t>
      </w:r>
      <w:r>
        <w:t>does not have standing in this matter.  It is undisputed that the Complainant is not the customer</w:t>
      </w:r>
      <w:r>
        <w:rPr>
          <w:rStyle w:val="FootnoteReference"/>
        </w:rPr>
        <w:footnoteReference w:id="2"/>
      </w:r>
      <w:r>
        <w:t xml:space="preserve"> of record, and that he does not own or reside at the service address.</w:t>
      </w:r>
      <w:r w:rsidR="00491B3A">
        <w:t xml:space="preserve"> </w:t>
      </w:r>
      <w:r>
        <w:t xml:space="preserve"> </w:t>
      </w:r>
      <w:r w:rsidR="00491B3A">
        <w:t xml:space="preserve">He is the contractor at the service address.  In addition, he agreed that the work has been completed.  </w:t>
      </w:r>
      <w:r w:rsidR="00917AB6">
        <w:t xml:space="preserve">He cannot establish standing without allegations </w:t>
      </w:r>
      <w:r w:rsidR="007B3A33">
        <w:t xml:space="preserve">of </w:t>
      </w:r>
      <w:r w:rsidR="00917AB6">
        <w:t xml:space="preserve">a causal connection </w:t>
      </w:r>
      <w:r w:rsidR="003F2089">
        <w:t>between the injury and the action challenged</w:t>
      </w:r>
      <w:r w:rsidR="00917AB6">
        <w:t xml:space="preserve">.  </w:t>
      </w:r>
      <w:r w:rsidR="007B3A33">
        <w:t xml:space="preserve">The </w:t>
      </w:r>
      <w:r w:rsidR="00C53404">
        <w:t>Complainant</w:t>
      </w:r>
      <w:r w:rsidR="00917AB6">
        <w:t xml:space="preserve"> has not alleged direct, immediate, and substantial interest in the outcome of these proceedings. </w:t>
      </w:r>
      <w:r w:rsidR="00917AB6">
        <w:rPr>
          <w:iCs/>
        </w:rPr>
        <w:t xml:space="preserve"> </w:t>
      </w:r>
    </w:p>
    <w:p w:rsidR="00917AB6" w:rsidRDefault="00917AB6" w:rsidP="00917AB6">
      <w:pPr>
        <w:pStyle w:val="BodyText"/>
        <w:tabs>
          <w:tab w:val="left" w:pos="-90"/>
          <w:tab w:val="left" w:pos="0"/>
        </w:tabs>
        <w:rPr>
          <w:iCs/>
        </w:rPr>
      </w:pPr>
    </w:p>
    <w:p w:rsidR="00917AB6" w:rsidRDefault="00917AB6" w:rsidP="007B3A33">
      <w:pPr>
        <w:pStyle w:val="BodyText"/>
        <w:tabs>
          <w:tab w:val="left" w:pos="-90"/>
          <w:tab w:val="left" w:pos="0"/>
        </w:tabs>
        <w:jc w:val="left"/>
      </w:pPr>
      <w:r>
        <w:tab/>
      </w:r>
      <w:r>
        <w:tab/>
      </w:r>
      <w:r w:rsidR="007B3A33">
        <w:t xml:space="preserve">Since the </w:t>
      </w:r>
      <w:r w:rsidR="00491B3A">
        <w:t>Complainant has not sustained his burden of proof by</w:t>
      </w:r>
      <w:r w:rsidR="007B3A33">
        <w:t xml:space="preserve"> provid</w:t>
      </w:r>
      <w:r w:rsidR="00491B3A">
        <w:t>ing</w:t>
      </w:r>
      <w:r w:rsidR="007B3A33">
        <w:t xml:space="preserve"> evidence that he has standing to bring the complaints docketed at C-2015-2477331 and</w:t>
      </w:r>
      <w:r w:rsidR="007B3A33">
        <w:rPr>
          <w:rFonts w:eastAsia="Times New Roman"/>
        </w:rPr>
        <w:t xml:space="preserve"> C-2015-2487879, the complaints are dismissed</w:t>
      </w:r>
      <w:r w:rsidR="00491B3A">
        <w:rPr>
          <w:rFonts w:eastAsia="Times New Roman"/>
        </w:rPr>
        <w:t xml:space="preserve"> in their entirety</w:t>
      </w:r>
      <w:r>
        <w:t>.</w:t>
      </w:r>
    </w:p>
    <w:p w:rsidR="007B3A33" w:rsidRDefault="007B3A33" w:rsidP="007B3A33">
      <w:pPr>
        <w:pStyle w:val="NoSpacing"/>
      </w:pPr>
    </w:p>
    <w:p w:rsidR="00917AB6" w:rsidRDefault="00917AB6" w:rsidP="00917AB6">
      <w:pPr>
        <w:pStyle w:val="NoSpacing"/>
      </w:pPr>
    </w:p>
    <w:p w:rsidR="00917AB6" w:rsidRDefault="00917AB6" w:rsidP="007D2C47">
      <w:pPr>
        <w:pStyle w:val="NoSpacing"/>
        <w:jc w:val="center"/>
      </w:pPr>
      <w:r>
        <w:rPr>
          <w:u w:val="single"/>
        </w:rPr>
        <w:t>CONCLUSIONS OF LAW</w:t>
      </w:r>
    </w:p>
    <w:p w:rsidR="00917AB6" w:rsidRDefault="00917AB6" w:rsidP="00917AB6">
      <w:pPr>
        <w:pStyle w:val="NoSpacing"/>
      </w:pPr>
    </w:p>
    <w:p w:rsidR="007B3A33" w:rsidRPr="000B2098" w:rsidRDefault="007B3A33" w:rsidP="007B3A33">
      <w:pPr>
        <w:numPr>
          <w:ilvl w:val="0"/>
          <w:numId w:val="1"/>
        </w:numPr>
        <w:ind w:left="0" w:firstLine="1440"/>
        <w:jc w:val="left"/>
        <w:rPr>
          <w:rFonts w:eastAsia="Calibri"/>
        </w:rPr>
      </w:pPr>
      <w:r w:rsidRPr="000B2098">
        <w:rPr>
          <w:rFonts w:eastAsia="Calibri"/>
        </w:rPr>
        <w:t xml:space="preserve">The Commission has jurisdiction over the parties and the subject matter </w:t>
      </w:r>
      <w:r w:rsidR="00D73DA9">
        <w:rPr>
          <w:rFonts w:eastAsia="Calibri"/>
        </w:rPr>
        <w:t>of this proceeding.  66 Pa.C.S</w:t>
      </w:r>
      <w:r w:rsidRPr="000B2098">
        <w:rPr>
          <w:rFonts w:eastAsia="Calibri"/>
        </w:rPr>
        <w:t>. § 701.</w:t>
      </w:r>
    </w:p>
    <w:p w:rsidR="00917AB6" w:rsidRDefault="00917AB6" w:rsidP="00C53404">
      <w:pPr>
        <w:tabs>
          <w:tab w:val="left" w:pos="-90"/>
          <w:tab w:val="left" w:pos="0"/>
        </w:tabs>
        <w:jc w:val="left"/>
      </w:pPr>
    </w:p>
    <w:p w:rsidR="00917AB6" w:rsidRDefault="00917AB6" w:rsidP="00C53404">
      <w:pPr>
        <w:tabs>
          <w:tab w:val="left" w:pos="-90"/>
          <w:tab w:val="left" w:pos="0"/>
        </w:tabs>
        <w:jc w:val="left"/>
      </w:pPr>
      <w:r>
        <w:tab/>
      </w:r>
      <w:r>
        <w:tab/>
        <w:t>2.</w:t>
      </w:r>
      <w:r>
        <w:tab/>
        <w:t>The</w:t>
      </w:r>
      <w:r w:rsidR="00080981" w:rsidRPr="00080981">
        <w:t xml:space="preserve"> </w:t>
      </w:r>
      <w:r w:rsidR="00C53404">
        <w:t>Complainant</w:t>
      </w:r>
      <w:r>
        <w:t xml:space="preserve"> has the burden of proof in this matter pursuant to 66 Pa.C.S. § 332(a).</w:t>
      </w:r>
    </w:p>
    <w:p w:rsidR="00917AB6" w:rsidRDefault="00917AB6" w:rsidP="00C53404">
      <w:pPr>
        <w:tabs>
          <w:tab w:val="left" w:pos="-90"/>
          <w:tab w:val="left" w:pos="0"/>
        </w:tabs>
        <w:jc w:val="left"/>
      </w:pPr>
    </w:p>
    <w:p w:rsidR="00917AB6" w:rsidRDefault="00917AB6" w:rsidP="00C53404">
      <w:pPr>
        <w:tabs>
          <w:tab w:val="left" w:pos="-90"/>
          <w:tab w:val="left" w:pos="0"/>
        </w:tabs>
        <w:jc w:val="left"/>
      </w:pPr>
      <w:r>
        <w:tab/>
      </w:r>
      <w:r>
        <w:tab/>
        <w:t>3.</w:t>
      </w:r>
      <w:r>
        <w:tab/>
        <w:t xml:space="preserve">Generally, Pennsylvania courts and the Commission have held that a person or entity has standing when the person or entity has a direct, immediate, and </w:t>
      </w:r>
      <w:r w:rsidR="007B3A33">
        <w:t>substantial</w:t>
      </w:r>
      <w:r>
        <w:t xml:space="preserve"> interest in the subject matter of a proceeding. </w:t>
      </w:r>
      <w:r>
        <w:rPr>
          <w:i/>
        </w:rPr>
        <w:t xml:space="preserve"> Joint Application of Pennsylvania-American Water Co. and Evansburg Water Co. for Approval of the transfer, by sale, of the water works property and rights of Evansburg Water Co. to</w:t>
      </w:r>
      <w:r>
        <w:t xml:space="preserve"> </w:t>
      </w:r>
      <w:r>
        <w:rPr>
          <w:i/>
        </w:rPr>
        <w:t>Pennsylvania-American Water Co</w:t>
      </w:r>
      <w:r>
        <w:t xml:space="preserve">., A-212285F0046/47 and A-210870F01 (Opinion and Order entered on July 9, 1998); </w:t>
      </w:r>
      <w:r>
        <w:rPr>
          <w:i/>
        </w:rPr>
        <w:t>William Penn Parking Garage, Inc. v. City of Pittsburgh</w:t>
      </w:r>
      <w:r>
        <w:t xml:space="preserve">, 464 Pa. 168, 195-197, 346 A.2d 269, 282-284 (1975); </w:t>
      </w:r>
      <w:r>
        <w:rPr>
          <w:i/>
        </w:rPr>
        <w:t>Waddington v. Pa. PUC</w:t>
      </w:r>
      <w:r>
        <w:t xml:space="preserve">, 670 A.2d 199, 202 (Pa. Cmwlth. 1995); </w:t>
      </w:r>
      <w:r>
        <w:rPr>
          <w:i/>
        </w:rPr>
        <w:t>Landlord Service Bureau, Inc. v. Equitable Gas Co.</w:t>
      </w:r>
      <w:r>
        <w:t xml:space="preserve">, 79 Pa. PUC 342 (1993); </w:t>
      </w:r>
      <w:r>
        <w:rPr>
          <w:i/>
        </w:rPr>
        <w:t>Re Equitable Gas Co.</w:t>
      </w:r>
      <w:r>
        <w:t xml:space="preserve">, 76 Pa. PUC 23 (1992).  </w:t>
      </w:r>
    </w:p>
    <w:p w:rsidR="00917AB6" w:rsidRDefault="00917AB6" w:rsidP="00C53404">
      <w:pPr>
        <w:tabs>
          <w:tab w:val="left" w:pos="-90"/>
          <w:tab w:val="left" w:pos="0"/>
        </w:tabs>
        <w:jc w:val="left"/>
      </w:pPr>
    </w:p>
    <w:p w:rsidR="00917AB6" w:rsidRDefault="00917AB6" w:rsidP="00C53404">
      <w:pPr>
        <w:tabs>
          <w:tab w:val="left" w:pos="-90"/>
          <w:tab w:val="left" w:pos="0"/>
        </w:tabs>
        <w:jc w:val="left"/>
      </w:pPr>
      <w:r>
        <w:tab/>
      </w:r>
      <w:r>
        <w:tab/>
        <w:t>5.</w:t>
      </w:r>
      <w:r>
        <w:tab/>
        <w:t xml:space="preserve">Standing to participate in proceedings before an administrative agency is primarily within the discretion of the agency.  </w:t>
      </w:r>
      <w:r>
        <w:rPr>
          <w:i/>
        </w:rPr>
        <w:t>Pennsylvania National Gas Association v. T.W. Phillips Gas and Oil Co.</w:t>
      </w:r>
      <w:r>
        <w:t>, 75 Pa. PUC 598 (1991).</w:t>
      </w:r>
    </w:p>
    <w:p w:rsidR="00917AB6" w:rsidRDefault="00917AB6" w:rsidP="00C53404">
      <w:pPr>
        <w:tabs>
          <w:tab w:val="left" w:pos="-90"/>
          <w:tab w:val="left" w:pos="0"/>
        </w:tabs>
        <w:jc w:val="left"/>
      </w:pPr>
    </w:p>
    <w:p w:rsidR="00917AB6" w:rsidRDefault="00917AB6" w:rsidP="00C53404">
      <w:pPr>
        <w:tabs>
          <w:tab w:val="left" w:pos="-90"/>
          <w:tab w:val="left" w:pos="0"/>
        </w:tabs>
        <w:jc w:val="left"/>
      </w:pPr>
      <w:r>
        <w:tab/>
      </w:r>
      <w:r>
        <w:tab/>
        <w:t>6.</w:t>
      </w:r>
      <w:r>
        <w:tab/>
        <w:t xml:space="preserve">The </w:t>
      </w:r>
      <w:r w:rsidR="00C53404">
        <w:t>Complainant</w:t>
      </w:r>
      <w:r>
        <w:t xml:space="preserve"> has failed to establish that he has standing in this proceeding. </w:t>
      </w:r>
    </w:p>
    <w:p w:rsidR="00491B3A" w:rsidRDefault="00491B3A" w:rsidP="000B2098">
      <w:pPr>
        <w:keepNext/>
        <w:outlineLvl w:val="2"/>
        <w:rPr>
          <w:rFonts w:eastAsia="Times New Roman"/>
          <w:u w:val="single"/>
        </w:rPr>
      </w:pPr>
    </w:p>
    <w:p w:rsidR="000B2098" w:rsidRPr="000B2098" w:rsidRDefault="000B2098" w:rsidP="000B2098">
      <w:pPr>
        <w:keepNext/>
        <w:outlineLvl w:val="2"/>
        <w:rPr>
          <w:rFonts w:eastAsia="Times New Roman"/>
          <w:u w:val="single"/>
        </w:rPr>
      </w:pPr>
      <w:r w:rsidRPr="000B2098">
        <w:rPr>
          <w:rFonts w:eastAsia="Times New Roman"/>
          <w:u w:val="single"/>
        </w:rPr>
        <w:t>ORDER</w:t>
      </w:r>
    </w:p>
    <w:p w:rsidR="000B2098" w:rsidRDefault="000B2098" w:rsidP="000B2098">
      <w:pPr>
        <w:jc w:val="left"/>
        <w:rPr>
          <w:rFonts w:eastAsia="Times New Roman"/>
        </w:rPr>
      </w:pPr>
    </w:p>
    <w:p w:rsidR="00C93315" w:rsidRPr="000B2098" w:rsidRDefault="00C93315" w:rsidP="000B2098">
      <w:pPr>
        <w:jc w:val="left"/>
        <w:rPr>
          <w:rFonts w:eastAsia="Times New Roman"/>
        </w:rPr>
      </w:pPr>
    </w:p>
    <w:p w:rsidR="000B2098" w:rsidRPr="000B2098" w:rsidRDefault="000B2098" w:rsidP="000B2098">
      <w:pPr>
        <w:jc w:val="left"/>
        <w:rPr>
          <w:rFonts w:eastAsia="Times New Roman"/>
        </w:rPr>
      </w:pPr>
      <w:r w:rsidRPr="000B2098">
        <w:rPr>
          <w:rFonts w:eastAsia="Times New Roman"/>
        </w:rPr>
        <w:tab/>
      </w:r>
      <w:r w:rsidRPr="000B2098">
        <w:rPr>
          <w:rFonts w:eastAsia="Times New Roman"/>
        </w:rPr>
        <w:tab/>
        <w:t>THEREFORE,</w:t>
      </w:r>
    </w:p>
    <w:p w:rsidR="000B2098" w:rsidRPr="000B2098" w:rsidRDefault="000B2098" w:rsidP="000B2098">
      <w:pPr>
        <w:jc w:val="left"/>
        <w:rPr>
          <w:rFonts w:eastAsia="Times New Roman"/>
        </w:rPr>
      </w:pPr>
    </w:p>
    <w:p w:rsidR="000B2098" w:rsidRPr="000B2098" w:rsidRDefault="000B2098" w:rsidP="000B2098">
      <w:pPr>
        <w:jc w:val="left"/>
        <w:rPr>
          <w:rFonts w:eastAsia="Times New Roman"/>
        </w:rPr>
      </w:pPr>
      <w:r w:rsidRPr="000B2098">
        <w:rPr>
          <w:rFonts w:eastAsia="Times New Roman"/>
        </w:rPr>
        <w:tab/>
      </w:r>
      <w:r w:rsidRPr="000B2098">
        <w:rPr>
          <w:rFonts w:eastAsia="Times New Roman"/>
        </w:rPr>
        <w:tab/>
        <w:t>IT IS ORDERED:</w:t>
      </w:r>
    </w:p>
    <w:p w:rsidR="000B2098" w:rsidRPr="000B2098" w:rsidRDefault="000B2098" w:rsidP="000B2098">
      <w:pPr>
        <w:jc w:val="left"/>
        <w:rPr>
          <w:rFonts w:eastAsia="Times New Roman"/>
        </w:rPr>
      </w:pPr>
    </w:p>
    <w:p w:rsidR="000B2098" w:rsidRPr="000B2098" w:rsidRDefault="000B2098" w:rsidP="00917AB6">
      <w:pPr>
        <w:jc w:val="left"/>
        <w:rPr>
          <w:rFonts w:eastAsia="Times New Roman"/>
        </w:rPr>
      </w:pPr>
      <w:r w:rsidRPr="000B2098">
        <w:rPr>
          <w:rFonts w:eastAsia="Times New Roman"/>
        </w:rPr>
        <w:tab/>
      </w:r>
      <w:r w:rsidRPr="000B2098">
        <w:rPr>
          <w:rFonts w:eastAsia="Times New Roman"/>
        </w:rPr>
        <w:tab/>
        <w:t>1.</w:t>
      </w:r>
      <w:r w:rsidRPr="000B2098">
        <w:rPr>
          <w:rFonts w:eastAsia="Times New Roman"/>
        </w:rPr>
        <w:tab/>
        <w:t>That the complaint</w:t>
      </w:r>
      <w:r w:rsidR="00917AB6">
        <w:rPr>
          <w:rFonts w:eastAsia="Times New Roman"/>
        </w:rPr>
        <w:t xml:space="preserve">s </w:t>
      </w:r>
      <w:r w:rsidRPr="000B2098">
        <w:rPr>
          <w:rFonts w:eastAsia="Times New Roman"/>
        </w:rPr>
        <w:t xml:space="preserve">filed by </w:t>
      </w:r>
      <w:r w:rsidR="0003029F" w:rsidRPr="0003029F">
        <w:rPr>
          <w:rFonts w:eastAsia="Calibri"/>
          <w:spacing w:val="-3"/>
        </w:rPr>
        <w:t xml:space="preserve">David Hatchigian </w:t>
      </w:r>
      <w:r w:rsidRPr="000B2098">
        <w:rPr>
          <w:rFonts w:eastAsia="Times New Roman"/>
        </w:rPr>
        <w:t>against the PECO Energy Company at Docket No</w:t>
      </w:r>
      <w:r w:rsidR="00917AB6">
        <w:rPr>
          <w:rFonts w:eastAsia="Times New Roman"/>
        </w:rPr>
        <w:t>s</w:t>
      </w:r>
      <w:r w:rsidRPr="000B2098">
        <w:rPr>
          <w:rFonts w:eastAsia="Times New Roman"/>
        </w:rPr>
        <w:t xml:space="preserve">. </w:t>
      </w:r>
      <w:r w:rsidR="00917AB6" w:rsidRPr="00917AB6">
        <w:rPr>
          <w:rFonts w:eastAsia="Calibri"/>
          <w:spacing w:val="-3"/>
        </w:rPr>
        <w:t>C-2015-2477331</w:t>
      </w:r>
      <w:r w:rsidR="00917AB6">
        <w:rPr>
          <w:rFonts w:eastAsia="Calibri"/>
          <w:spacing w:val="-3"/>
        </w:rPr>
        <w:t xml:space="preserve"> and </w:t>
      </w:r>
      <w:r w:rsidR="00917AB6" w:rsidRPr="00917AB6">
        <w:rPr>
          <w:rFonts w:eastAsia="Calibri"/>
          <w:spacing w:val="-3"/>
        </w:rPr>
        <w:t>C-2015-2487879</w:t>
      </w:r>
      <w:r w:rsidRPr="000B2098">
        <w:rPr>
          <w:rFonts w:eastAsia="Calibri"/>
          <w:spacing w:val="-3"/>
        </w:rPr>
        <w:t xml:space="preserve"> </w:t>
      </w:r>
      <w:r w:rsidR="00917AB6">
        <w:rPr>
          <w:rFonts w:eastAsia="Calibri"/>
          <w:spacing w:val="-3"/>
        </w:rPr>
        <w:t>are</w:t>
      </w:r>
      <w:r w:rsidRPr="000B2098">
        <w:rPr>
          <w:rFonts w:eastAsia="Times New Roman"/>
        </w:rPr>
        <w:t xml:space="preserve"> dismissed.</w:t>
      </w:r>
    </w:p>
    <w:p w:rsidR="000B2098" w:rsidRPr="000B2098" w:rsidRDefault="000B2098" w:rsidP="000B2098">
      <w:pPr>
        <w:jc w:val="left"/>
        <w:rPr>
          <w:rFonts w:eastAsia="Times New Roman"/>
        </w:rPr>
      </w:pPr>
    </w:p>
    <w:p w:rsidR="000B2098" w:rsidRPr="000B2098" w:rsidRDefault="000B2098" w:rsidP="000B2098">
      <w:pPr>
        <w:jc w:val="left"/>
        <w:rPr>
          <w:rFonts w:eastAsia="Times New Roman"/>
        </w:rPr>
      </w:pPr>
      <w:r w:rsidRPr="000B2098">
        <w:rPr>
          <w:rFonts w:eastAsia="Times New Roman"/>
        </w:rPr>
        <w:tab/>
      </w:r>
      <w:r w:rsidRPr="000B2098">
        <w:rPr>
          <w:rFonts w:eastAsia="Times New Roman"/>
        </w:rPr>
        <w:tab/>
        <w:t>2.</w:t>
      </w:r>
      <w:r w:rsidRPr="000B2098">
        <w:rPr>
          <w:rFonts w:eastAsia="Times New Roman"/>
        </w:rPr>
        <w:tab/>
        <w:t>That th</w:t>
      </w:r>
      <w:r w:rsidR="00917AB6">
        <w:rPr>
          <w:rFonts w:eastAsia="Times New Roman"/>
        </w:rPr>
        <w:t>e</w:t>
      </w:r>
      <w:r w:rsidRPr="000B2098">
        <w:rPr>
          <w:rFonts w:eastAsia="Times New Roman"/>
        </w:rPr>
        <w:t>s</w:t>
      </w:r>
      <w:r w:rsidR="00917AB6">
        <w:rPr>
          <w:rFonts w:eastAsia="Times New Roman"/>
        </w:rPr>
        <w:t>e</w:t>
      </w:r>
      <w:r w:rsidRPr="000B2098">
        <w:rPr>
          <w:rFonts w:eastAsia="Times New Roman"/>
        </w:rPr>
        <w:t xml:space="preserve"> cases </w:t>
      </w:r>
      <w:r w:rsidR="00917AB6">
        <w:rPr>
          <w:rFonts w:eastAsia="Times New Roman"/>
        </w:rPr>
        <w:t xml:space="preserve">are </w:t>
      </w:r>
      <w:r w:rsidRPr="000B2098">
        <w:rPr>
          <w:rFonts w:eastAsia="Times New Roman"/>
        </w:rPr>
        <w:t>marked closed.</w:t>
      </w:r>
    </w:p>
    <w:p w:rsidR="000B2098" w:rsidRPr="000B2098" w:rsidRDefault="000B2098" w:rsidP="000B2098">
      <w:pPr>
        <w:jc w:val="left"/>
        <w:rPr>
          <w:rFonts w:eastAsia="Calibri"/>
        </w:rPr>
      </w:pPr>
    </w:p>
    <w:p w:rsidR="00025032" w:rsidRDefault="00025032" w:rsidP="005E2C22">
      <w:pPr>
        <w:jc w:val="left"/>
        <w:rPr>
          <w:rFonts w:eastAsia="Times New Roman"/>
        </w:rPr>
      </w:pPr>
    </w:p>
    <w:p w:rsidR="00607278" w:rsidRPr="00607278" w:rsidRDefault="00332221" w:rsidP="00607278">
      <w:pPr>
        <w:spacing w:line="240" w:lineRule="auto"/>
        <w:contextualSpacing/>
        <w:jc w:val="left"/>
        <w:rPr>
          <w:rFonts w:eastAsia="Calibri"/>
          <w:u w:val="single"/>
        </w:rPr>
      </w:pPr>
      <w:r>
        <w:rPr>
          <w:rFonts w:eastAsia="Calibri"/>
        </w:rPr>
        <w:t>Dated:</w:t>
      </w:r>
      <w:r>
        <w:rPr>
          <w:rFonts w:eastAsia="Calibri"/>
        </w:rPr>
        <w:tab/>
      </w:r>
      <w:r w:rsidR="00FD56AA">
        <w:rPr>
          <w:rFonts w:eastAsia="Calibri"/>
          <w:u w:val="single"/>
        </w:rPr>
        <w:t xml:space="preserve">January </w:t>
      </w:r>
      <w:r w:rsidR="00334F5E">
        <w:rPr>
          <w:rFonts w:eastAsia="Calibri"/>
          <w:u w:val="single"/>
        </w:rPr>
        <w:t>1</w:t>
      </w:r>
      <w:r w:rsidR="004773FF">
        <w:rPr>
          <w:rFonts w:eastAsia="Calibri"/>
          <w:u w:val="single"/>
        </w:rPr>
        <w:t>3</w:t>
      </w:r>
      <w:r w:rsidR="00FD56AA">
        <w:rPr>
          <w:rFonts w:eastAsia="Calibri"/>
          <w:u w:val="single"/>
        </w:rPr>
        <w:t>, 2016</w:t>
      </w:r>
      <w:r>
        <w:rPr>
          <w:rFonts w:eastAsia="Calibri"/>
        </w:rPr>
        <w:tab/>
      </w:r>
      <w:r>
        <w:rPr>
          <w:rFonts w:eastAsia="Calibri"/>
        </w:rPr>
        <w:tab/>
      </w:r>
      <w:r>
        <w:rPr>
          <w:rFonts w:eastAsia="Calibri"/>
        </w:rPr>
        <w:tab/>
      </w:r>
      <w:r>
        <w:rPr>
          <w:rFonts w:eastAsia="Calibri"/>
        </w:rPr>
        <w:tab/>
      </w:r>
      <w:r w:rsidR="00607278" w:rsidRPr="00607278">
        <w:rPr>
          <w:rFonts w:eastAsia="Calibri"/>
          <w:u w:val="single"/>
        </w:rPr>
        <w:tab/>
      </w:r>
      <w:r w:rsidR="00607278" w:rsidRPr="00607278">
        <w:rPr>
          <w:rFonts w:eastAsia="Calibri"/>
          <w:u w:val="single"/>
        </w:rPr>
        <w:tab/>
        <w:t>/s/</w:t>
      </w:r>
      <w:r w:rsidR="00607278" w:rsidRPr="00607278">
        <w:rPr>
          <w:rFonts w:eastAsia="Calibri"/>
          <w:u w:val="single"/>
        </w:rPr>
        <w:tab/>
      </w:r>
      <w:r w:rsidR="00607278" w:rsidRPr="00607278">
        <w:rPr>
          <w:rFonts w:eastAsia="Calibri"/>
          <w:u w:val="single"/>
        </w:rPr>
        <w:tab/>
      </w:r>
      <w:r w:rsidR="00607278" w:rsidRPr="00607278">
        <w:rPr>
          <w:rFonts w:eastAsia="Calibri"/>
          <w:u w:val="single"/>
        </w:rPr>
        <w:tab/>
      </w:r>
    </w:p>
    <w:p w:rsidR="000021FD" w:rsidRDefault="00607278" w:rsidP="003A3EF3">
      <w:pPr>
        <w:spacing w:line="240" w:lineRule="auto"/>
        <w:contextualSpacing/>
        <w:jc w:val="left"/>
        <w:rPr>
          <w:rFonts w:eastAsia="Calibri"/>
        </w:rPr>
      </w:pPr>
      <w:r w:rsidRPr="00607278">
        <w:rPr>
          <w:rFonts w:eastAsia="Calibri"/>
        </w:rPr>
        <w:tab/>
      </w:r>
      <w:r w:rsidRPr="00607278">
        <w:rPr>
          <w:rFonts w:eastAsia="Calibri"/>
        </w:rPr>
        <w:tab/>
      </w:r>
      <w:r w:rsidRPr="00607278">
        <w:rPr>
          <w:rFonts w:eastAsia="Calibri"/>
        </w:rPr>
        <w:tab/>
      </w:r>
      <w:r w:rsidRPr="00607278">
        <w:rPr>
          <w:rFonts w:eastAsia="Calibri"/>
        </w:rPr>
        <w:tab/>
      </w:r>
      <w:r w:rsidRPr="00607278">
        <w:rPr>
          <w:rFonts w:eastAsia="Calibri"/>
        </w:rPr>
        <w:tab/>
      </w:r>
      <w:r w:rsidRPr="00607278">
        <w:rPr>
          <w:rFonts w:eastAsia="Calibri"/>
        </w:rPr>
        <w:tab/>
      </w:r>
      <w:r w:rsidRPr="00607278">
        <w:rPr>
          <w:rFonts w:eastAsia="Calibri"/>
        </w:rPr>
        <w:tab/>
        <w:t>Cynthia Williams Fordham</w:t>
      </w:r>
      <w:r w:rsidR="00332221">
        <w:rPr>
          <w:rFonts w:eastAsia="Calibri"/>
        </w:rPr>
        <w:tab/>
      </w:r>
      <w:r w:rsidR="00332221">
        <w:rPr>
          <w:rFonts w:eastAsia="Calibri"/>
        </w:rPr>
        <w:tab/>
      </w:r>
      <w:r w:rsidR="00332221">
        <w:rPr>
          <w:rFonts w:eastAsia="Calibri"/>
        </w:rPr>
        <w:tab/>
      </w:r>
      <w:r w:rsidR="00332221">
        <w:rPr>
          <w:rFonts w:eastAsia="Calibri"/>
        </w:rPr>
        <w:tab/>
      </w:r>
      <w:r w:rsidR="00332221">
        <w:rPr>
          <w:rFonts w:eastAsia="Calibri"/>
        </w:rPr>
        <w:tab/>
      </w:r>
      <w:r w:rsidR="00332221">
        <w:rPr>
          <w:rFonts w:eastAsia="Calibri"/>
        </w:rPr>
        <w:tab/>
      </w:r>
      <w:r w:rsidR="00332221">
        <w:rPr>
          <w:rFonts w:eastAsia="Calibri"/>
        </w:rPr>
        <w:tab/>
      </w:r>
      <w:r>
        <w:rPr>
          <w:rFonts w:eastAsia="Calibri"/>
        </w:rPr>
        <w:tab/>
      </w:r>
      <w:r>
        <w:rPr>
          <w:rFonts w:eastAsia="Calibri"/>
        </w:rPr>
        <w:tab/>
      </w:r>
      <w:r>
        <w:rPr>
          <w:rFonts w:eastAsia="Calibri"/>
        </w:rPr>
        <w:tab/>
      </w:r>
      <w:r w:rsidR="00332221">
        <w:rPr>
          <w:rFonts w:eastAsia="Calibri"/>
        </w:rPr>
        <w:t>Administrative Law Judge</w:t>
      </w:r>
    </w:p>
    <w:sectPr w:rsidR="000021FD" w:rsidSect="007F2DB2">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A3A" w:rsidRDefault="005B0A3A" w:rsidP="0056078D">
      <w:pPr>
        <w:spacing w:line="240" w:lineRule="auto"/>
      </w:pPr>
      <w:r>
        <w:separator/>
      </w:r>
    </w:p>
  </w:endnote>
  <w:endnote w:type="continuationSeparator" w:id="0">
    <w:p w:rsidR="005B0A3A" w:rsidRDefault="005B0A3A" w:rsidP="005607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890613"/>
      <w:docPartObj>
        <w:docPartGallery w:val="Page Numbers (Bottom of Page)"/>
        <w:docPartUnique/>
      </w:docPartObj>
    </w:sdtPr>
    <w:sdtEndPr>
      <w:rPr>
        <w:noProof/>
        <w:sz w:val="20"/>
        <w:szCs w:val="20"/>
      </w:rPr>
    </w:sdtEndPr>
    <w:sdtContent>
      <w:p w:rsidR="00F2714C" w:rsidRPr="00AA1E25" w:rsidRDefault="00F2714C">
        <w:pPr>
          <w:pStyle w:val="Footer"/>
          <w:rPr>
            <w:sz w:val="20"/>
            <w:szCs w:val="20"/>
          </w:rPr>
        </w:pPr>
        <w:r w:rsidRPr="00AA1E25">
          <w:rPr>
            <w:sz w:val="20"/>
            <w:szCs w:val="20"/>
          </w:rPr>
          <w:fldChar w:fldCharType="begin"/>
        </w:r>
        <w:r w:rsidRPr="00AA1E25">
          <w:rPr>
            <w:sz w:val="20"/>
            <w:szCs w:val="20"/>
          </w:rPr>
          <w:instrText xml:space="preserve"> PAGE   \* MERGEFORMAT </w:instrText>
        </w:r>
        <w:r w:rsidRPr="00AA1E25">
          <w:rPr>
            <w:sz w:val="20"/>
            <w:szCs w:val="20"/>
          </w:rPr>
          <w:fldChar w:fldCharType="separate"/>
        </w:r>
        <w:r w:rsidR="007923D2">
          <w:rPr>
            <w:noProof/>
            <w:sz w:val="20"/>
            <w:szCs w:val="20"/>
          </w:rPr>
          <w:t>10</w:t>
        </w:r>
        <w:r w:rsidRPr="00AA1E25">
          <w:rPr>
            <w:noProof/>
            <w:sz w:val="20"/>
            <w:szCs w:val="20"/>
          </w:rPr>
          <w:fldChar w:fldCharType="end"/>
        </w:r>
      </w:p>
    </w:sdtContent>
  </w:sdt>
  <w:p w:rsidR="00F2714C" w:rsidRDefault="00F27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A3A" w:rsidRDefault="005B0A3A" w:rsidP="0056078D">
      <w:pPr>
        <w:spacing w:line="240" w:lineRule="auto"/>
      </w:pPr>
      <w:r>
        <w:separator/>
      </w:r>
    </w:p>
  </w:footnote>
  <w:footnote w:type="continuationSeparator" w:id="0">
    <w:p w:rsidR="005B0A3A" w:rsidRDefault="005B0A3A" w:rsidP="0056078D">
      <w:pPr>
        <w:spacing w:line="240" w:lineRule="auto"/>
      </w:pPr>
      <w:r>
        <w:continuationSeparator/>
      </w:r>
    </w:p>
  </w:footnote>
  <w:footnote w:id="1">
    <w:p w:rsidR="00104D27" w:rsidRPr="00104D27" w:rsidRDefault="00104D27">
      <w:pPr>
        <w:pStyle w:val="FootnoteText"/>
        <w:rPr>
          <w:rFonts w:ascii="Times New Roman" w:hAnsi="Times New Roman" w:cs="Times New Roman"/>
        </w:rPr>
      </w:pPr>
      <w:r>
        <w:rPr>
          <w:rStyle w:val="FootnoteReference"/>
        </w:rPr>
        <w:footnoteRef/>
      </w:r>
      <w:r>
        <w:t xml:space="preserve"> </w:t>
      </w:r>
      <w:r>
        <w:tab/>
      </w:r>
      <w:r w:rsidRPr="00104D27">
        <w:rPr>
          <w:rFonts w:ascii="Times New Roman" w:hAnsi="Times New Roman" w:cs="Times New Roman"/>
        </w:rPr>
        <w:t xml:space="preserve">The case </w:t>
      </w:r>
      <w:r w:rsidR="000E5945">
        <w:rPr>
          <w:rFonts w:ascii="Times New Roman" w:hAnsi="Times New Roman" w:cs="Times New Roman"/>
        </w:rPr>
        <w:t xml:space="preserve">at </w:t>
      </w:r>
      <w:r w:rsidR="000E5945" w:rsidRPr="00104D27">
        <w:rPr>
          <w:rFonts w:ascii="Times New Roman" w:hAnsi="Times New Roman" w:cs="Times New Roman"/>
        </w:rPr>
        <w:t>Docket</w:t>
      </w:r>
      <w:r w:rsidR="000E5945">
        <w:rPr>
          <w:rFonts w:ascii="Times New Roman" w:hAnsi="Times New Roman" w:cs="Times New Roman"/>
        </w:rPr>
        <w:t xml:space="preserve"> No. </w:t>
      </w:r>
      <w:r w:rsidRPr="00104D27">
        <w:rPr>
          <w:rFonts w:ascii="Times New Roman" w:hAnsi="Times New Roman" w:cs="Times New Roman"/>
        </w:rPr>
        <w:t>C-2015-2477321 was assigned to ALJ Eranda Vero.</w:t>
      </w:r>
    </w:p>
  </w:footnote>
  <w:footnote w:id="2">
    <w:p w:rsidR="00636328" w:rsidRPr="00636328" w:rsidRDefault="00636328" w:rsidP="00636328">
      <w:pPr>
        <w:pStyle w:val="BodyText"/>
        <w:tabs>
          <w:tab w:val="left" w:pos="-90"/>
          <w:tab w:val="left" w:pos="0"/>
        </w:tabs>
        <w:spacing w:line="240" w:lineRule="auto"/>
        <w:jc w:val="left"/>
        <w:rPr>
          <w:sz w:val="20"/>
          <w:szCs w:val="20"/>
        </w:rPr>
      </w:pPr>
      <w:r>
        <w:rPr>
          <w:rStyle w:val="FootnoteReference"/>
        </w:rPr>
        <w:footnoteRef/>
      </w:r>
      <w:r>
        <w:t xml:space="preserve"> </w:t>
      </w:r>
      <w:r>
        <w:tab/>
      </w:r>
      <w:r w:rsidRPr="00636328">
        <w:rPr>
          <w:i/>
          <w:iCs/>
          <w:sz w:val="20"/>
          <w:szCs w:val="20"/>
        </w:rPr>
        <w:t xml:space="preserve">Customer." </w:t>
      </w:r>
      <w:r w:rsidRPr="00636328">
        <w:rPr>
          <w:sz w:val="20"/>
          <w:szCs w:val="20"/>
        </w:rPr>
        <w:t xml:space="preserve">--A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w:t>
      </w:r>
      <w:r>
        <w:rPr>
          <w:sz w:val="20"/>
          <w:szCs w:val="20"/>
        </w:rPr>
        <w:t xml:space="preserve"> 66 Pa.C.S. § 1403</w:t>
      </w:r>
      <w:r w:rsidR="000153C4">
        <w:rPr>
          <w:sz w:val="20"/>
          <w:szCs w:val="20"/>
        </w:rPr>
        <w:t>.</w:t>
      </w:r>
    </w:p>
    <w:p w:rsidR="00636328" w:rsidRDefault="0063632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81B16"/>
    <w:multiLevelType w:val="hybridMultilevel"/>
    <w:tmpl w:val="A426F02A"/>
    <w:lvl w:ilvl="0" w:tplc="48D0E10C">
      <w:start w:val="1"/>
      <w:numFmt w:val="decimal"/>
      <w:lvlText w:val="%1."/>
      <w:lvlJc w:val="left"/>
      <w:pPr>
        <w:ind w:left="9180" w:hanging="360"/>
      </w:pPr>
      <w:rPr>
        <w:rFonts w:eastAsiaTheme="minorHAnsi" w:hint="default"/>
      </w:rPr>
    </w:lvl>
    <w:lvl w:ilvl="1" w:tplc="04090019" w:tentative="1">
      <w:start w:val="1"/>
      <w:numFmt w:val="lowerLetter"/>
      <w:lvlText w:val="%2."/>
      <w:lvlJc w:val="left"/>
      <w:pPr>
        <w:ind w:left="9900" w:hanging="360"/>
      </w:pPr>
    </w:lvl>
    <w:lvl w:ilvl="2" w:tplc="0409001B" w:tentative="1">
      <w:start w:val="1"/>
      <w:numFmt w:val="lowerRoman"/>
      <w:lvlText w:val="%3."/>
      <w:lvlJc w:val="right"/>
      <w:pPr>
        <w:ind w:left="10620" w:hanging="180"/>
      </w:pPr>
    </w:lvl>
    <w:lvl w:ilvl="3" w:tplc="0409000F" w:tentative="1">
      <w:start w:val="1"/>
      <w:numFmt w:val="decimal"/>
      <w:lvlText w:val="%4."/>
      <w:lvlJc w:val="left"/>
      <w:pPr>
        <w:ind w:left="11340" w:hanging="360"/>
      </w:pPr>
    </w:lvl>
    <w:lvl w:ilvl="4" w:tplc="04090019" w:tentative="1">
      <w:start w:val="1"/>
      <w:numFmt w:val="lowerLetter"/>
      <w:lvlText w:val="%5."/>
      <w:lvlJc w:val="left"/>
      <w:pPr>
        <w:ind w:left="12060" w:hanging="360"/>
      </w:pPr>
    </w:lvl>
    <w:lvl w:ilvl="5" w:tplc="0409001B" w:tentative="1">
      <w:start w:val="1"/>
      <w:numFmt w:val="lowerRoman"/>
      <w:lvlText w:val="%6."/>
      <w:lvlJc w:val="right"/>
      <w:pPr>
        <w:ind w:left="12780" w:hanging="180"/>
      </w:pPr>
    </w:lvl>
    <w:lvl w:ilvl="6" w:tplc="0409000F" w:tentative="1">
      <w:start w:val="1"/>
      <w:numFmt w:val="decimal"/>
      <w:lvlText w:val="%7."/>
      <w:lvlJc w:val="left"/>
      <w:pPr>
        <w:ind w:left="13500" w:hanging="360"/>
      </w:pPr>
    </w:lvl>
    <w:lvl w:ilvl="7" w:tplc="04090019" w:tentative="1">
      <w:start w:val="1"/>
      <w:numFmt w:val="lowerLetter"/>
      <w:lvlText w:val="%8."/>
      <w:lvlJc w:val="left"/>
      <w:pPr>
        <w:ind w:left="14220" w:hanging="360"/>
      </w:pPr>
    </w:lvl>
    <w:lvl w:ilvl="8" w:tplc="0409001B" w:tentative="1">
      <w:start w:val="1"/>
      <w:numFmt w:val="lowerRoman"/>
      <w:lvlText w:val="%9."/>
      <w:lvlJc w:val="right"/>
      <w:pPr>
        <w:ind w:left="14940" w:hanging="180"/>
      </w:pPr>
    </w:lvl>
  </w:abstractNum>
  <w:abstractNum w:abstractNumId="1">
    <w:nsid w:val="4320685D"/>
    <w:multiLevelType w:val="hybridMultilevel"/>
    <w:tmpl w:val="128000CC"/>
    <w:lvl w:ilvl="0" w:tplc="48D0E10C">
      <w:start w:val="1"/>
      <w:numFmt w:val="decimal"/>
      <w:lvlText w:val="%1."/>
      <w:lvlJc w:val="left"/>
      <w:pPr>
        <w:ind w:left="2160" w:hanging="72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E6F58F0"/>
    <w:multiLevelType w:val="hybridMultilevel"/>
    <w:tmpl w:val="4FAE5B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DF3F71"/>
    <w:multiLevelType w:val="hybridMultilevel"/>
    <w:tmpl w:val="F3CC7C0E"/>
    <w:lvl w:ilvl="0" w:tplc="652E2C6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8D"/>
    <w:rsid w:val="000021FD"/>
    <w:rsid w:val="000153C4"/>
    <w:rsid w:val="00017EDB"/>
    <w:rsid w:val="00025032"/>
    <w:rsid w:val="00026EB4"/>
    <w:rsid w:val="0003029F"/>
    <w:rsid w:val="000311F5"/>
    <w:rsid w:val="00053A49"/>
    <w:rsid w:val="00053EFF"/>
    <w:rsid w:val="000558EC"/>
    <w:rsid w:val="0006323F"/>
    <w:rsid w:val="00080981"/>
    <w:rsid w:val="000849ED"/>
    <w:rsid w:val="000B2098"/>
    <w:rsid w:val="000D4FEC"/>
    <w:rsid w:val="000E5945"/>
    <w:rsid w:val="000F0426"/>
    <w:rsid w:val="00104D27"/>
    <w:rsid w:val="001151AE"/>
    <w:rsid w:val="001201F9"/>
    <w:rsid w:val="00191956"/>
    <w:rsid w:val="0019464D"/>
    <w:rsid w:val="001F6CE2"/>
    <w:rsid w:val="00204CB8"/>
    <w:rsid w:val="00212600"/>
    <w:rsid w:val="00225B58"/>
    <w:rsid w:val="00226A5C"/>
    <w:rsid w:val="002351A7"/>
    <w:rsid w:val="00244BD1"/>
    <w:rsid w:val="002455B1"/>
    <w:rsid w:val="00245885"/>
    <w:rsid w:val="002925D7"/>
    <w:rsid w:val="002A332C"/>
    <w:rsid w:val="002B185C"/>
    <w:rsid w:val="002D6EE4"/>
    <w:rsid w:val="002E47B8"/>
    <w:rsid w:val="002F2278"/>
    <w:rsid w:val="003158E5"/>
    <w:rsid w:val="00332221"/>
    <w:rsid w:val="00334F5E"/>
    <w:rsid w:val="003360CC"/>
    <w:rsid w:val="00365495"/>
    <w:rsid w:val="00395387"/>
    <w:rsid w:val="003A3EF3"/>
    <w:rsid w:val="003D0704"/>
    <w:rsid w:val="003E3CEA"/>
    <w:rsid w:val="003F2089"/>
    <w:rsid w:val="00403254"/>
    <w:rsid w:val="0041470C"/>
    <w:rsid w:val="00427807"/>
    <w:rsid w:val="00436E12"/>
    <w:rsid w:val="00470991"/>
    <w:rsid w:val="004773FF"/>
    <w:rsid w:val="00491B3A"/>
    <w:rsid w:val="004A4D9A"/>
    <w:rsid w:val="004B40D8"/>
    <w:rsid w:val="004F0DD3"/>
    <w:rsid w:val="00502075"/>
    <w:rsid w:val="005041EC"/>
    <w:rsid w:val="005105FA"/>
    <w:rsid w:val="0056078D"/>
    <w:rsid w:val="0056322E"/>
    <w:rsid w:val="005707A3"/>
    <w:rsid w:val="00586A9A"/>
    <w:rsid w:val="005A4D4B"/>
    <w:rsid w:val="005B0A3A"/>
    <w:rsid w:val="005C4D83"/>
    <w:rsid w:val="005C69D1"/>
    <w:rsid w:val="005D0AE5"/>
    <w:rsid w:val="005E2C22"/>
    <w:rsid w:val="00607278"/>
    <w:rsid w:val="0063095D"/>
    <w:rsid w:val="00636328"/>
    <w:rsid w:val="00641235"/>
    <w:rsid w:val="006621AD"/>
    <w:rsid w:val="00674486"/>
    <w:rsid w:val="00676719"/>
    <w:rsid w:val="00687162"/>
    <w:rsid w:val="0069356D"/>
    <w:rsid w:val="006A22E2"/>
    <w:rsid w:val="006B3680"/>
    <w:rsid w:val="006C5667"/>
    <w:rsid w:val="006E3419"/>
    <w:rsid w:val="00706EE5"/>
    <w:rsid w:val="00731A2C"/>
    <w:rsid w:val="00735CFA"/>
    <w:rsid w:val="00744D59"/>
    <w:rsid w:val="007463C0"/>
    <w:rsid w:val="007764A5"/>
    <w:rsid w:val="0078124C"/>
    <w:rsid w:val="0078751C"/>
    <w:rsid w:val="007923D2"/>
    <w:rsid w:val="007934D3"/>
    <w:rsid w:val="007B3A33"/>
    <w:rsid w:val="007B7521"/>
    <w:rsid w:val="007C2E14"/>
    <w:rsid w:val="007C6A5B"/>
    <w:rsid w:val="007D2C47"/>
    <w:rsid w:val="007F2DB2"/>
    <w:rsid w:val="007F3E9F"/>
    <w:rsid w:val="008145C7"/>
    <w:rsid w:val="00815AF4"/>
    <w:rsid w:val="00866451"/>
    <w:rsid w:val="00881B68"/>
    <w:rsid w:val="00886791"/>
    <w:rsid w:val="008872A6"/>
    <w:rsid w:val="008A514A"/>
    <w:rsid w:val="008C05F2"/>
    <w:rsid w:val="008D369D"/>
    <w:rsid w:val="008D487D"/>
    <w:rsid w:val="008F44CB"/>
    <w:rsid w:val="008F6DBF"/>
    <w:rsid w:val="0090152E"/>
    <w:rsid w:val="00911373"/>
    <w:rsid w:val="00917AB6"/>
    <w:rsid w:val="009223D4"/>
    <w:rsid w:val="00922D90"/>
    <w:rsid w:val="00931993"/>
    <w:rsid w:val="00937AA8"/>
    <w:rsid w:val="00952EAF"/>
    <w:rsid w:val="00953550"/>
    <w:rsid w:val="00965DC0"/>
    <w:rsid w:val="009D2F84"/>
    <w:rsid w:val="00A11B35"/>
    <w:rsid w:val="00A122BF"/>
    <w:rsid w:val="00A37995"/>
    <w:rsid w:val="00A37C8C"/>
    <w:rsid w:val="00A54299"/>
    <w:rsid w:val="00A64DA0"/>
    <w:rsid w:val="00A7753D"/>
    <w:rsid w:val="00AA1E25"/>
    <w:rsid w:val="00AC33A2"/>
    <w:rsid w:val="00B15358"/>
    <w:rsid w:val="00B20C27"/>
    <w:rsid w:val="00B47295"/>
    <w:rsid w:val="00B579E9"/>
    <w:rsid w:val="00B62751"/>
    <w:rsid w:val="00B6529F"/>
    <w:rsid w:val="00B94638"/>
    <w:rsid w:val="00BA4BD7"/>
    <w:rsid w:val="00BB3141"/>
    <w:rsid w:val="00BE5C75"/>
    <w:rsid w:val="00C04F4B"/>
    <w:rsid w:val="00C07568"/>
    <w:rsid w:val="00C14ABD"/>
    <w:rsid w:val="00C53404"/>
    <w:rsid w:val="00C538BC"/>
    <w:rsid w:val="00C72656"/>
    <w:rsid w:val="00C91D45"/>
    <w:rsid w:val="00C93315"/>
    <w:rsid w:val="00CA729B"/>
    <w:rsid w:val="00D2715E"/>
    <w:rsid w:val="00D32A88"/>
    <w:rsid w:val="00D6221D"/>
    <w:rsid w:val="00D7203A"/>
    <w:rsid w:val="00D73DA9"/>
    <w:rsid w:val="00D7404D"/>
    <w:rsid w:val="00D74172"/>
    <w:rsid w:val="00D9136E"/>
    <w:rsid w:val="00D96FDC"/>
    <w:rsid w:val="00DB2FDE"/>
    <w:rsid w:val="00DC29B5"/>
    <w:rsid w:val="00DC7CE2"/>
    <w:rsid w:val="00E05026"/>
    <w:rsid w:val="00E07076"/>
    <w:rsid w:val="00E27F50"/>
    <w:rsid w:val="00E63231"/>
    <w:rsid w:val="00EA21B9"/>
    <w:rsid w:val="00EA631B"/>
    <w:rsid w:val="00ED7497"/>
    <w:rsid w:val="00EE2966"/>
    <w:rsid w:val="00EE626C"/>
    <w:rsid w:val="00EF408A"/>
    <w:rsid w:val="00EF4903"/>
    <w:rsid w:val="00F11DBC"/>
    <w:rsid w:val="00F22446"/>
    <w:rsid w:val="00F2714C"/>
    <w:rsid w:val="00F45800"/>
    <w:rsid w:val="00F644EE"/>
    <w:rsid w:val="00F85489"/>
    <w:rsid w:val="00F92A7E"/>
    <w:rsid w:val="00F947F1"/>
    <w:rsid w:val="00FA7B6E"/>
    <w:rsid w:val="00FC1E04"/>
    <w:rsid w:val="00FD56AA"/>
    <w:rsid w:val="00FF2343"/>
    <w:rsid w:val="00FF6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78D"/>
    <w:pPr>
      <w:spacing w:after="0" w:line="360" w:lineRule="auto"/>
      <w:jc w:val="center"/>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6078D"/>
    <w:pPr>
      <w:spacing w:before="100" w:beforeAutospacing="1" w:after="100" w:afterAutospacing="1" w:line="240" w:lineRule="auto"/>
      <w:jc w:val="left"/>
    </w:pPr>
    <w:rPr>
      <w:rFonts w:eastAsia="Times New Roman"/>
    </w:rPr>
  </w:style>
  <w:style w:type="paragraph" w:styleId="FootnoteText">
    <w:name w:val="footnote text"/>
    <w:basedOn w:val="Normal"/>
    <w:link w:val="FootnoteTextChar"/>
    <w:uiPriority w:val="99"/>
    <w:semiHidden/>
    <w:unhideWhenUsed/>
    <w:rsid w:val="0056078D"/>
    <w:pPr>
      <w:spacing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6078D"/>
    <w:rPr>
      <w:sz w:val="20"/>
      <w:szCs w:val="20"/>
    </w:rPr>
  </w:style>
  <w:style w:type="character" w:styleId="FootnoteReference">
    <w:name w:val="footnote reference"/>
    <w:basedOn w:val="DefaultParagraphFont"/>
    <w:semiHidden/>
    <w:unhideWhenUsed/>
    <w:rsid w:val="0056078D"/>
    <w:rPr>
      <w:vertAlign w:val="superscript"/>
    </w:rPr>
  </w:style>
  <w:style w:type="character" w:styleId="PlaceholderText">
    <w:name w:val="Placeholder Text"/>
    <w:basedOn w:val="DefaultParagraphFont"/>
    <w:uiPriority w:val="99"/>
    <w:semiHidden/>
    <w:rsid w:val="00911373"/>
    <w:rPr>
      <w:color w:val="808080"/>
    </w:rPr>
  </w:style>
  <w:style w:type="paragraph" w:styleId="BalloonText">
    <w:name w:val="Balloon Text"/>
    <w:basedOn w:val="Normal"/>
    <w:link w:val="BalloonTextChar"/>
    <w:uiPriority w:val="99"/>
    <w:semiHidden/>
    <w:unhideWhenUsed/>
    <w:rsid w:val="009113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373"/>
    <w:rPr>
      <w:rFonts w:ascii="Tahoma" w:hAnsi="Tahoma" w:cs="Tahoma"/>
      <w:sz w:val="16"/>
      <w:szCs w:val="16"/>
    </w:rPr>
  </w:style>
  <w:style w:type="character" w:styleId="CommentReference">
    <w:name w:val="annotation reference"/>
    <w:basedOn w:val="DefaultParagraphFont"/>
    <w:uiPriority w:val="99"/>
    <w:semiHidden/>
    <w:unhideWhenUsed/>
    <w:rsid w:val="00C72656"/>
    <w:rPr>
      <w:sz w:val="16"/>
      <w:szCs w:val="16"/>
    </w:rPr>
  </w:style>
  <w:style w:type="paragraph" w:styleId="CommentText">
    <w:name w:val="annotation text"/>
    <w:basedOn w:val="Normal"/>
    <w:link w:val="CommentTextChar"/>
    <w:uiPriority w:val="99"/>
    <w:semiHidden/>
    <w:unhideWhenUsed/>
    <w:rsid w:val="00C72656"/>
    <w:pPr>
      <w:spacing w:line="240" w:lineRule="auto"/>
    </w:pPr>
    <w:rPr>
      <w:sz w:val="20"/>
      <w:szCs w:val="20"/>
    </w:rPr>
  </w:style>
  <w:style w:type="character" w:customStyle="1" w:styleId="CommentTextChar">
    <w:name w:val="Comment Text Char"/>
    <w:basedOn w:val="DefaultParagraphFont"/>
    <w:link w:val="CommentText"/>
    <w:uiPriority w:val="99"/>
    <w:semiHidden/>
    <w:rsid w:val="00C726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2656"/>
    <w:rPr>
      <w:b/>
      <w:bCs/>
    </w:rPr>
  </w:style>
  <w:style w:type="character" w:customStyle="1" w:styleId="CommentSubjectChar">
    <w:name w:val="Comment Subject Char"/>
    <w:basedOn w:val="CommentTextChar"/>
    <w:link w:val="CommentSubject"/>
    <w:uiPriority w:val="99"/>
    <w:semiHidden/>
    <w:rsid w:val="00C72656"/>
    <w:rPr>
      <w:rFonts w:ascii="Times New Roman" w:hAnsi="Times New Roman" w:cs="Times New Roman"/>
      <w:b/>
      <w:bCs/>
      <w:sz w:val="20"/>
      <w:szCs w:val="20"/>
    </w:rPr>
  </w:style>
  <w:style w:type="paragraph" w:styleId="Header">
    <w:name w:val="header"/>
    <w:basedOn w:val="Normal"/>
    <w:link w:val="HeaderChar"/>
    <w:uiPriority w:val="99"/>
    <w:unhideWhenUsed/>
    <w:rsid w:val="007F2DB2"/>
    <w:pPr>
      <w:tabs>
        <w:tab w:val="center" w:pos="4680"/>
        <w:tab w:val="right" w:pos="9360"/>
      </w:tabs>
      <w:spacing w:line="240" w:lineRule="auto"/>
    </w:pPr>
  </w:style>
  <w:style w:type="character" w:customStyle="1" w:styleId="HeaderChar">
    <w:name w:val="Header Char"/>
    <w:basedOn w:val="DefaultParagraphFont"/>
    <w:link w:val="Header"/>
    <w:uiPriority w:val="99"/>
    <w:rsid w:val="007F2DB2"/>
    <w:rPr>
      <w:rFonts w:ascii="Times New Roman" w:hAnsi="Times New Roman" w:cs="Times New Roman"/>
      <w:sz w:val="24"/>
      <w:szCs w:val="24"/>
    </w:rPr>
  </w:style>
  <w:style w:type="paragraph" w:styleId="Footer">
    <w:name w:val="footer"/>
    <w:basedOn w:val="Normal"/>
    <w:link w:val="FooterChar"/>
    <w:uiPriority w:val="99"/>
    <w:unhideWhenUsed/>
    <w:rsid w:val="007F2DB2"/>
    <w:pPr>
      <w:tabs>
        <w:tab w:val="center" w:pos="4680"/>
        <w:tab w:val="right" w:pos="9360"/>
      </w:tabs>
      <w:spacing w:line="240" w:lineRule="auto"/>
    </w:pPr>
  </w:style>
  <w:style w:type="character" w:customStyle="1" w:styleId="FooterChar">
    <w:name w:val="Footer Char"/>
    <w:basedOn w:val="DefaultParagraphFont"/>
    <w:link w:val="Footer"/>
    <w:uiPriority w:val="99"/>
    <w:rsid w:val="007F2DB2"/>
    <w:rPr>
      <w:rFonts w:ascii="Times New Roman" w:hAnsi="Times New Roman" w:cs="Times New Roman"/>
      <w:sz w:val="24"/>
      <w:szCs w:val="24"/>
    </w:rPr>
  </w:style>
  <w:style w:type="paragraph" w:styleId="BodyText">
    <w:name w:val="Body Text"/>
    <w:basedOn w:val="Normal"/>
    <w:link w:val="BodyTextChar"/>
    <w:uiPriority w:val="99"/>
    <w:unhideWhenUsed/>
    <w:rsid w:val="00191956"/>
    <w:pPr>
      <w:spacing w:after="120"/>
    </w:pPr>
  </w:style>
  <w:style w:type="character" w:customStyle="1" w:styleId="BodyTextChar">
    <w:name w:val="Body Text Char"/>
    <w:basedOn w:val="DefaultParagraphFont"/>
    <w:link w:val="BodyText"/>
    <w:uiPriority w:val="99"/>
    <w:rsid w:val="00191956"/>
    <w:rPr>
      <w:rFonts w:ascii="Times New Roman" w:hAnsi="Times New Roman" w:cs="Times New Roman"/>
      <w:sz w:val="24"/>
      <w:szCs w:val="24"/>
    </w:rPr>
  </w:style>
  <w:style w:type="paragraph" w:styleId="ListParagraph">
    <w:name w:val="List Paragraph"/>
    <w:basedOn w:val="Normal"/>
    <w:uiPriority w:val="34"/>
    <w:qFormat/>
    <w:rsid w:val="00225B58"/>
    <w:pPr>
      <w:ind w:left="720"/>
      <w:contextualSpacing/>
    </w:pPr>
  </w:style>
  <w:style w:type="paragraph" w:customStyle="1" w:styleId="ParaTab1">
    <w:name w:val="ParaTab 1"/>
    <w:rsid w:val="003158E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Title">
    <w:name w:val="Title"/>
    <w:basedOn w:val="Normal"/>
    <w:link w:val="TitleChar"/>
    <w:qFormat/>
    <w:rsid w:val="005E2C22"/>
    <w:pPr>
      <w:spacing w:line="240" w:lineRule="auto"/>
    </w:pPr>
    <w:rPr>
      <w:rFonts w:ascii="Courier" w:eastAsia="Times New Roman" w:hAnsi="Courier"/>
      <w:b/>
      <w:szCs w:val="26"/>
    </w:rPr>
  </w:style>
  <w:style w:type="character" w:customStyle="1" w:styleId="TitleChar">
    <w:name w:val="Title Char"/>
    <w:basedOn w:val="DefaultParagraphFont"/>
    <w:link w:val="Title"/>
    <w:rsid w:val="005E2C22"/>
    <w:rPr>
      <w:rFonts w:ascii="Courier" w:eastAsia="Times New Roman" w:hAnsi="Courier" w:cs="Times New Roman"/>
      <w:b/>
      <w:sz w:val="24"/>
      <w:szCs w:val="26"/>
    </w:rPr>
  </w:style>
  <w:style w:type="paragraph" w:styleId="Subtitle">
    <w:name w:val="Subtitle"/>
    <w:basedOn w:val="Normal"/>
    <w:link w:val="SubtitleChar"/>
    <w:qFormat/>
    <w:rsid w:val="005E2C22"/>
    <w:pPr>
      <w:spacing w:line="240" w:lineRule="auto"/>
    </w:pPr>
    <w:rPr>
      <w:rFonts w:ascii="Courier" w:eastAsia="Times New Roman" w:hAnsi="Courier"/>
      <w:b/>
      <w:szCs w:val="26"/>
    </w:rPr>
  </w:style>
  <w:style w:type="character" w:customStyle="1" w:styleId="SubtitleChar">
    <w:name w:val="Subtitle Char"/>
    <w:basedOn w:val="DefaultParagraphFont"/>
    <w:link w:val="Subtitle"/>
    <w:rsid w:val="005E2C22"/>
    <w:rPr>
      <w:rFonts w:ascii="Courier" w:eastAsia="Times New Roman" w:hAnsi="Courier" w:cs="Times New Roman"/>
      <w:b/>
      <w:sz w:val="24"/>
      <w:szCs w:val="26"/>
    </w:rPr>
  </w:style>
  <w:style w:type="paragraph" w:styleId="NoSpacing">
    <w:name w:val="No Spacing"/>
    <w:uiPriority w:val="1"/>
    <w:qFormat/>
    <w:rsid w:val="005E2C22"/>
    <w:pPr>
      <w:spacing w:after="0" w:line="360" w:lineRule="auto"/>
    </w:pPr>
    <w:rPr>
      <w:rFonts w:ascii="Times New Roman" w:eastAsia="Calibri" w:hAnsi="Times New Roman" w:cs="Times New Roman"/>
      <w:sz w:val="24"/>
      <w:szCs w:val="24"/>
    </w:rPr>
  </w:style>
  <w:style w:type="paragraph" w:styleId="BodyText3">
    <w:name w:val="Body Text 3"/>
    <w:basedOn w:val="Normal"/>
    <w:link w:val="BodyText3Char"/>
    <w:uiPriority w:val="99"/>
    <w:semiHidden/>
    <w:unhideWhenUsed/>
    <w:rsid w:val="005E2C22"/>
    <w:pPr>
      <w:spacing w:after="120"/>
    </w:pPr>
    <w:rPr>
      <w:sz w:val="16"/>
      <w:szCs w:val="16"/>
    </w:rPr>
  </w:style>
  <w:style w:type="character" w:customStyle="1" w:styleId="BodyText3Char">
    <w:name w:val="Body Text 3 Char"/>
    <w:basedOn w:val="DefaultParagraphFont"/>
    <w:link w:val="BodyText3"/>
    <w:uiPriority w:val="99"/>
    <w:semiHidden/>
    <w:rsid w:val="005E2C22"/>
    <w:rPr>
      <w:rFonts w:ascii="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78D"/>
    <w:pPr>
      <w:spacing w:after="0" w:line="360" w:lineRule="auto"/>
      <w:jc w:val="center"/>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6078D"/>
    <w:pPr>
      <w:spacing w:before="100" w:beforeAutospacing="1" w:after="100" w:afterAutospacing="1" w:line="240" w:lineRule="auto"/>
      <w:jc w:val="left"/>
    </w:pPr>
    <w:rPr>
      <w:rFonts w:eastAsia="Times New Roman"/>
    </w:rPr>
  </w:style>
  <w:style w:type="paragraph" w:styleId="FootnoteText">
    <w:name w:val="footnote text"/>
    <w:basedOn w:val="Normal"/>
    <w:link w:val="FootnoteTextChar"/>
    <w:uiPriority w:val="99"/>
    <w:semiHidden/>
    <w:unhideWhenUsed/>
    <w:rsid w:val="0056078D"/>
    <w:pPr>
      <w:spacing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6078D"/>
    <w:rPr>
      <w:sz w:val="20"/>
      <w:szCs w:val="20"/>
    </w:rPr>
  </w:style>
  <w:style w:type="character" w:styleId="FootnoteReference">
    <w:name w:val="footnote reference"/>
    <w:basedOn w:val="DefaultParagraphFont"/>
    <w:semiHidden/>
    <w:unhideWhenUsed/>
    <w:rsid w:val="0056078D"/>
    <w:rPr>
      <w:vertAlign w:val="superscript"/>
    </w:rPr>
  </w:style>
  <w:style w:type="character" w:styleId="PlaceholderText">
    <w:name w:val="Placeholder Text"/>
    <w:basedOn w:val="DefaultParagraphFont"/>
    <w:uiPriority w:val="99"/>
    <w:semiHidden/>
    <w:rsid w:val="00911373"/>
    <w:rPr>
      <w:color w:val="808080"/>
    </w:rPr>
  </w:style>
  <w:style w:type="paragraph" w:styleId="BalloonText">
    <w:name w:val="Balloon Text"/>
    <w:basedOn w:val="Normal"/>
    <w:link w:val="BalloonTextChar"/>
    <w:uiPriority w:val="99"/>
    <w:semiHidden/>
    <w:unhideWhenUsed/>
    <w:rsid w:val="0091137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373"/>
    <w:rPr>
      <w:rFonts w:ascii="Tahoma" w:hAnsi="Tahoma" w:cs="Tahoma"/>
      <w:sz w:val="16"/>
      <w:szCs w:val="16"/>
    </w:rPr>
  </w:style>
  <w:style w:type="character" w:styleId="CommentReference">
    <w:name w:val="annotation reference"/>
    <w:basedOn w:val="DefaultParagraphFont"/>
    <w:uiPriority w:val="99"/>
    <w:semiHidden/>
    <w:unhideWhenUsed/>
    <w:rsid w:val="00C72656"/>
    <w:rPr>
      <w:sz w:val="16"/>
      <w:szCs w:val="16"/>
    </w:rPr>
  </w:style>
  <w:style w:type="paragraph" w:styleId="CommentText">
    <w:name w:val="annotation text"/>
    <w:basedOn w:val="Normal"/>
    <w:link w:val="CommentTextChar"/>
    <w:uiPriority w:val="99"/>
    <w:semiHidden/>
    <w:unhideWhenUsed/>
    <w:rsid w:val="00C72656"/>
    <w:pPr>
      <w:spacing w:line="240" w:lineRule="auto"/>
    </w:pPr>
    <w:rPr>
      <w:sz w:val="20"/>
      <w:szCs w:val="20"/>
    </w:rPr>
  </w:style>
  <w:style w:type="character" w:customStyle="1" w:styleId="CommentTextChar">
    <w:name w:val="Comment Text Char"/>
    <w:basedOn w:val="DefaultParagraphFont"/>
    <w:link w:val="CommentText"/>
    <w:uiPriority w:val="99"/>
    <w:semiHidden/>
    <w:rsid w:val="00C7265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2656"/>
    <w:rPr>
      <w:b/>
      <w:bCs/>
    </w:rPr>
  </w:style>
  <w:style w:type="character" w:customStyle="1" w:styleId="CommentSubjectChar">
    <w:name w:val="Comment Subject Char"/>
    <w:basedOn w:val="CommentTextChar"/>
    <w:link w:val="CommentSubject"/>
    <w:uiPriority w:val="99"/>
    <w:semiHidden/>
    <w:rsid w:val="00C72656"/>
    <w:rPr>
      <w:rFonts w:ascii="Times New Roman" w:hAnsi="Times New Roman" w:cs="Times New Roman"/>
      <w:b/>
      <w:bCs/>
      <w:sz w:val="20"/>
      <w:szCs w:val="20"/>
    </w:rPr>
  </w:style>
  <w:style w:type="paragraph" w:styleId="Header">
    <w:name w:val="header"/>
    <w:basedOn w:val="Normal"/>
    <w:link w:val="HeaderChar"/>
    <w:uiPriority w:val="99"/>
    <w:unhideWhenUsed/>
    <w:rsid w:val="007F2DB2"/>
    <w:pPr>
      <w:tabs>
        <w:tab w:val="center" w:pos="4680"/>
        <w:tab w:val="right" w:pos="9360"/>
      </w:tabs>
      <w:spacing w:line="240" w:lineRule="auto"/>
    </w:pPr>
  </w:style>
  <w:style w:type="character" w:customStyle="1" w:styleId="HeaderChar">
    <w:name w:val="Header Char"/>
    <w:basedOn w:val="DefaultParagraphFont"/>
    <w:link w:val="Header"/>
    <w:uiPriority w:val="99"/>
    <w:rsid w:val="007F2DB2"/>
    <w:rPr>
      <w:rFonts w:ascii="Times New Roman" w:hAnsi="Times New Roman" w:cs="Times New Roman"/>
      <w:sz w:val="24"/>
      <w:szCs w:val="24"/>
    </w:rPr>
  </w:style>
  <w:style w:type="paragraph" w:styleId="Footer">
    <w:name w:val="footer"/>
    <w:basedOn w:val="Normal"/>
    <w:link w:val="FooterChar"/>
    <w:uiPriority w:val="99"/>
    <w:unhideWhenUsed/>
    <w:rsid w:val="007F2DB2"/>
    <w:pPr>
      <w:tabs>
        <w:tab w:val="center" w:pos="4680"/>
        <w:tab w:val="right" w:pos="9360"/>
      </w:tabs>
      <w:spacing w:line="240" w:lineRule="auto"/>
    </w:pPr>
  </w:style>
  <w:style w:type="character" w:customStyle="1" w:styleId="FooterChar">
    <w:name w:val="Footer Char"/>
    <w:basedOn w:val="DefaultParagraphFont"/>
    <w:link w:val="Footer"/>
    <w:uiPriority w:val="99"/>
    <w:rsid w:val="007F2DB2"/>
    <w:rPr>
      <w:rFonts w:ascii="Times New Roman" w:hAnsi="Times New Roman" w:cs="Times New Roman"/>
      <w:sz w:val="24"/>
      <w:szCs w:val="24"/>
    </w:rPr>
  </w:style>
  <w:style w:type="paragraph" w:styleId="BodyText">
    <w:name w:val="Body Text"/>
    <w:basedOn w:val="Normal"/>
    <w:link w:val="BodyTextChar"/>
    <w:uiPriority w:val="99"/>
    <w:unhideWhenUsed/>
    <w:rsid w:val="00191956"/>
    <w:pPr>
      <w:spacing w:after="120"/>
    </w:pPr>
  </w:style>
  <w:style w:type="character" w:customStyle="1" w:styleId="BodyTextChar">
    <w:name w:val="Body Text Char"/>
    <w:basedOn w:val="DefaultParagraphFont"/>
    <w:link w:val="BodyText"/>
    <w:uiPriority w:val="99"/>
    <w:rsid w:val="00191956"/>
    <w:rPr>
      <w:rFonts w:ascii="Times New Roman" w:hAnsi="Times New Roman" w:cs="Times New Roman"/>
      <w:sz w:val="24"/>
      <w:szCs w:val="24"/>
    </w:rPr>
  </w:style>
  <w:style w:type="paragraph" w:styleId="ListParagraph">
    <w:name w:val="List Paragraph"/>
    <w:basedOn w:val="Normal"/>
    <w:uiPriority w:val="34"/>
    <w:qFormat/>
    <w:rsid w:val="00225B58"/>
    <w:pPr>
      <w:ind w:left="720"/>
      <w:contextualSpacing/>
    </w:pPr>
  </w:style>
  <w:style w:type="paragraph" w:customStyle="1" w:styleId="ParaTab1">
    <w:name w:val="ParaTab 1"/>
    <w:rsid w:val="003158E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Title">
    <w:name w:val="Title"/>
    <w:basedOn w:val="Normal"/>
    <w:link w:val="TitleChar"/>
    <w:qFormat/>
    <w:rsid w:val="005E2C22"/>
    <w:pPr>
      <w:spacing w:line="240" w:lineRule="auto"/>
    </w:pPr>
    <w:rPr>
      <w:rFonts w:ascii="Courier" w:eastAsia="Times New Roman" w:hAnsi="Courier"/>
      <w:b/>
      <w:szCs w:val="26"/>
    </w:rPr>
  </w:style>
  <w:style w:type="character" w:customStyle="1" w:styleId="TitleChar">
    <w:name w:val="Title Char"/>
    <w:basedOn w:val="DefaultParagraphFont"/>
    <w:link w:val="Title"/>
    <w:rsid w:val="005E2C22"/>
    <w:rPr>
      <w:rFonts w:ascii="Courier" w:eastAsia="Times New Roman" w:hAnsi="Courier" w:cs="Times New Roman"/>
      <w:b/>
      <w:sz w:val="24"/>
      <w:szCs w:val="26"/>
    </w:rPr>
  </w:style>
  <w:style w:type="paragraph" w:styleId="Subtitle">
    <w:name w:val="Subtitle"/>
    <w:basedOn w:val="Normal"/>
    <w:link w:val="SubtitleChar"/>
    <w:qFormat/>
    <w:rsid w:val="005E2C22"/>
    <w:pPr>
      <w:spacing w:line="240" w:lineRule="auto"/>
    </w:pPr>
    <w:rPr>
      <w:rFonts w:ascii="Courier" w:eastAsia="Times New Roman" w:hAnsi="Courier"/>
      <w:b/>
      <w:szCs w:val="26"/>
    </w:rPr>
  </w:style>
  <w:style w:type="character" w:customStyle="1" w:styleId="SubtitleChar">
    <w:name w:val="Subtitle Char"/>
    <w:basedOn w:val="DefaultParagraphFont"/>
    <w:link w:val="Subtitle"/>
    <w:rsid w:val="005E2C22"/>
    <w:rPr>
      <w:rFonts w:ascii="Courier" w:eastAsia="Times New Roman" w:hAnsi="Courier" w:cs="Times New Roman"/>
      <w:b/>
      <w:sz w:val="24"/>
      <w:szCs w:val="26"/>
    </w:rPr>
  </w:style>
  <w:style w:type="paragraph" w:styleId="NoSpacing">
    <w:name w:val="No Spacing"/>
    <w:uiPriority w:val="1"/>
    <w:qFormat/>
    <w:rsid w:val="005E2C22"/>
    <w:pPr>
      <w:spacing w:after="0" w:line="360" w:lineRule="auto"/>
    </w:pPr>
    <w:rPr>
      <w:rFonts w:ascii="Times New Roman" w:eastAsia="Calibri" w:hAnsi="Times New Roman" w:cs="Times New Roman"/>
      <w:sz w:val="24"/>
      <w:szCs w:val="24"/>
    </w:rPr>
  </w:style>
  <w:style w:type="paragraph" w:styleId="BodyText3">
    <w:name w:val="Body Text 3"/>
    <w:basedOn w:val="Normal"/>
    <w:link w:val="BodyText3Char"/>
    <w:uiPriority w:val="99"/>
    <w:semiHidden/>
    <w:unhideWhenUsed/>
    <w:rsid w:val="005E2C22"/>
    <w:pPr>
      <w:spacing w:after="120"/>
    </w:pPr>
    <w:rPr>
      <w:sz w:val="16"/>
      <w:szCs w:val="16"/>
    </w:rPr>
  </w:style>
  <w:style w:type="character" w:customStyle="1" w:styleId="BodyText3Char">
    <w:name w:val="Body Text 3 Char"/>
    <w:basedOn w:val="DefaultParagraphFont"/>
    <w:link w:val="BodyText3"/>
    <w:uiPriority w:val="99"/>
    <w:semiHidden/>
    <w:rsid w:val="005E2C22"/>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00452">
      <w:bodyDiv w:val="1"/>
      <w:marLeft w:val="0"/>
      <w:marRight w:val="0"/>
      <w:marTop w:val="0"/>
      <w:marBottom w:val="0"/>
      <w:divBdr>
        <w:top w:val="none" w:sz="0" w:space="0" w:color="auto"/>
        <w:left w:val="none" w:sz="0" w:space="0" w:color="auto"/>
        <w:bottom w:val="none" w:sz="0" w:space="0" w:color="auto"/>
        <w:right w:val="none" w:sz="0" w:space="0" w:color="auto"/>
      </w:divBdr>
    </w:div>
    <w:div w:id="87390244">
      <w:bodyDiv w:val="1"/>
      <w:marLeft w:val="0"/>
      <w:marRight w:val="0"/>
      <w:marTop w:val="0"/>
      <w:marBottom w:val="0"/>
      <w:divBdr>
        <w:top w:val="none" w:sz="0" w:space="0" w:color="auto"/>
        <w:left w:val="none" w:sz="0" w:space="0" w:color="auto"/>
        <w:bottom w:val="none" w:sz="0" w:space="0" w:color="auto"/>
        <w:right w:val="none" w:sz="0" w:space="0" w:color="auto"/>
      </w:divBdr>
    </w:div>
    <w:div w:id="111940639">
      <w:bodyDiv w:val="1"/>
      <w:marLeft w:val="0"/>
      <w:marRight w:val="0"/>
      <w:marTop w:val="0"/>
      <w:marBottom w:val="0"/>
      <w:divBdr>
        <w:top w:val="none" w:sz="0" w:space="0" w:color="auto"/>
        <w:left w:val="none" w:sz="0" w:space="0" w:color="auto"/>
        <w:bottom w:val="none" w:sz="0" w:space="0" w:color="auto"/>
        <w:right w:val="none" w:sz="0" w:space="0" w:color="auto"/>
      </w:divBdr>
    </w:div>
    <w:div w:id="145703597">
      <w:bodyDiv w:val="1"/>
      <w:marLeft w:val="0"/>
      <w:marRight w:val="0"/>
      <w:marTop w:val="0"/>
      <w:marBottom w:val="0"/>
      <w:divBdr>
        <w:top w:val="none" w:sz="0" w:space="0" w:color="auto"/>
        <w:left w:val="none" w:sz="0" w:space="0" w:color="auto"/>
        <w:bottom w:val="none" w:sz="0" w:space="0" w:color="auto"/>
        <w:right w:val="none" w:sz="0" w:space="0" w:color="auto"/>
      </w:divBdr>
    </w:div>
    <w:div w:id="161236820">
      <w:bodyDiv w:val="1"/>
      <w:marLeft w:val="0"/>
      <w:marRight w:val="0"/>
      <w:marTop w:val="0"/>
      <w:marBottom w:val="0"/>
      <w:divBdr>
        <w:top w:val="none" w:sz="0" w:space="0" w:color="auto"/>
        <w:left w:val="none" w:sz="0" w:space="0" w:color="auto"/>
        <w:bottom w:val="none" w:sz="0" w:space="0" w:color="auto"/>
        <w:right w:val="none" w:sz="0" w:space="0" w:color="auto"/>
      </w:divBdr>
    </w:div>
    <w:div w:id="186022497">
      <w:bodyDiv w:val="1"/>
      <w:marLeft w:val="0"/>
      <w:marRight w:val="0"/>
      <w:marTop w:val="0"/>
      <w:marBottom w:val="0"/>
      <w:divBdr>
        <w:top w:val="none" w:sz="0" w:space="0" w:color="auto"/>
        <w:left w:val="none" w:sz="0" w:space="0" w:color="auto"/>
        <w:bottom w:val="none" w:sz="0" w:space="0" w:color="auto"/>
        <w:right w:val="none" w:sz="0" w:space="0" w:color="auto"/>
      </w:divBdr>
    </w:div>
    <w:div w:id="227497563">
      <w:bodyDiv w:val="1"/>
      <w:marLeft w:val="0"/>
      <w:marRight w:val="0"/>
      <w:marTop w:val="0"/>
      <w:marBottom w:val="0"/>
      <w:divBdr>
        <w:top w:val="none" w:sz="0" w:space="0" w:color="auto"/>
        <w:left w:val="none" w:sz="0" w:space="0" w:color="auto"/>
        <w:bottom w:val="none" w:sz="0" w:space="0" w:color="auto"/>
        <w:right w:val="none" w:sz="0" w:space="0" w:color="auto"/>
      </w:divBdr>
    </w:div>
    <w:div w:id="269164223">
      <w:bodyDiv w:val="1"/>
      <w:marLeft w:val="0"/>
      <w:marRight w:val="0"/>
      <w:marTop w:val="0"/>
      <w:marBottom w:val="0"/>
      <w:divBdr>
        <w:top w:val="none" w:sz="0" w:space="0" w:color="auto"/>
        <w:left w:val="none" w:sz="0" w:space="0" w:color="auto"/>
        <w:bottom w:val="none" w:sz="0" w:space="0" w:color="auto"/>
        <w:right w:val="none" w:sz="0" w:space="0" w:color="auto"/>
      </w:divBdr>
    </w:div>
    <w:div w:id="271203319">
      <w:bodyDiv w:val="1"/>
      <w:marLeft w:val="0"/>
      <w:marRight w:val="0"/>
      <w:marTop w:val="0"/>
      <w:marBottom w:val="0"/>
      <w:divBdr>
        <w:top w:val="none" w:sz="0" w:space="0" w:color="auto"/>
        <w:left w:val="none" w:sz="0" w:space="0" w:color="auto"/>
        <w:bottom w:val="none" w:sz="0" w:space="0" w:color="auto"/>
        <w:right w:val="none" w:sz="0" w:space="0" w:color="auto"/>
      </w:divBdr>
    </w:div>
    <w:div w:id="483667919">
      <w:bodyDiv w:val="1"/>
      <w:marLeft w:val="0"/>
      <w:marRight w:val="0"/>
      <w:marTop w:val="0"/>
      <w:marBottom w:val="0"/>
      <w:divBdr>
        <w:top w:val="none" w:sz="0" w:space="0" w:color="auto"/>
        <w:left w:val="none" w:sz="0" w:space="0" w:color="auto"/>
        <w:bottom w:val="none" w:sz="0" w:space="0" w:color="auto"/>
        <w:right w:val="none" w:sz="0" w:space="0" w:color="auto"/>
      </w:divBdr>
    </w:div>
    <w:div w:id="560792934">
      <w:bodyDiv w:val="1"/>
      <w:marLeft w:val="0"/>
      <w:marRight w:val="0"/>
      <w:marTop w:val="0"/>
      <w:marBottom w:val="0"/>
      <w:divBdr>
        <w:top w:val="none" w:sz="0" w:space="0" w:color="auto"/>
        <w:left w:val="none" w:sz="0" w:space="0" w:color="auto"/>
        <w:bottom w:val="none" w:sz="0" w:space="0" w:color="auto"/>
        <w:right w:val="none" w:sz="0" w:space="0" w:color="auto"/>
      </w:divBdr>
    </w:div>
    <w:div w:id="601256399">
      <w:bodyDiv w:val="1"/>
      <w:marLeft w:val="0"/>
      <w:marRight w:val="0"/>
      <w:marTop w:val="0"/>
      <w:marBottom w:val="0"/>
      <w:divBdr>
        <w:top w:val="none" w:sz="0" w:space="0" w:color="auto"/>
        <w:left w:val="none" w:sz="0" w:space="0" w:color="auto"/>
        <w:bottom w:val="none" w:sz="0" w:space="0" w:color="auto"/>
        <w:right w:val="none" w:sz="0" w:space="0" w:color="auto"/>
      </w:divBdr>
    </w:div>
    <w:div w:id="691802010">
      <w:bodyDiv w:val="1"/>
      <w:marLeft w:val="0"/>
      <w:marRight w:val="0"/>
      <w:marTop w:val="0"/>
      <w:marBottom w:val="0"/>
      <w:divBdr>
        <w:top w:val="none" w:sz="0" w:space="0" w:color="auto"/>
        <w:left w:val="none" w:sz="0" w:space="0" w:color="auto"/>
        <w:bottom w:val="none" w:sz="0" w:space="0" w:color="auto"/>
        <w:right w:val="none" w:sz="0" w:space="0" w:color="auto"/>
      </w:divBdr>
    </w:div>
    <w:div w:id="712002591">
      <w:bodyDiv w:val="1"/>
      <w:marLeft w:val="0"/>
      <w:marRight w:val="0"/>
      <w:marTop w:val="0"/>
      <w:marBottom w:val="0"/>
      <w:divBdr>
        <w:top w:val="none" w:sz="0" w:space="0" w:color="auto"/>
        <w:left w:val="none" w:sz="0" w:space="0" w:color="auto"/>
        <w:bottom w:val="none" w:sz="0" w:space="0" w:color="auto"/>
        <w:right w:val="none" w:sz="0" w:space="0" w:color="auto"/>
      </w:divBdr>
    </w:div>
    <w:div w:id="798955031">
      <w:bodyDiv w:val="1"/>
      <w:marLeft w:val="0"/>
      <w:marRight w:val="0"/>
      <w:marTop w:val="0"/>
      <w:marBottom w:val="0"/>
      <w:divBdr>
        <w:top w:val="none" w:sz="0" w:space="0" w:color="auto"/>
        <w:left w:val="none" w:sz="0" w:space="0" w:color="auto"/>
        <w:bottom w:val="none" w:sz="0" w:space="0" w:color="auto"/>
        <w:right w:val="none" w:sz="0" w:space="0" w:color="auto"/>
      </w:divBdr>
    </w:div>
    <w:div w:id="802423184">
      <w:bodyDiv w:val="1"/>
      <w:marLeft w:val="0"/>
      <w:marRight w:val="0"/>
      <w:marTop w:val="0"/>
      <w:marBottom w:val="0"/>
      <w:divBdr>
        <w:top w:val="none" w:sz="0" w:space="0" w:color="auto"/>
        <w:left w:val="none" w:sz="0" w:space="0" w:color="auto"/>
        <w:bottom w:val="none" w:sz="0" w:space="0" w:color="auto"/>
        <w:right w:val="none" w:sz="0" w:space="0" w:color="auto"/>
      </w:divBdr>
    </w:div>
    <w:div w:id="856500705">
      <w:bodyDiv w:val="1"/>
      <w:marLeft w:val="0"/>
      <w:marRight w:val="0"/>
      <w:marTop w:val="0"/>
      <w:marBottom w:val="0"/>
      <w:divBdr>
        <w:top w:val="none" w:sz="0" w:space="0" w:color="auto"/>
        <w:left w:val="none" w:sz="0" w:space="0" w:color="auto"/>
        <w:bottom w:val="none" w:sz="0" w:space="0" w:color="auto"/>
        <w:right w:val="none" w:sz="0" w:space="0" w:color="auto"/>
      </w:divBdr>
    </w:div>
    <w:div w:id="919485033">
      <w:bodyDiv w:val="1"/>
      <w:marLeft w:val="0"/>
      <w:marRight w:val="0"/>
      <w:marTop w:val="0"/>
      <w:marBottom w:val="0"/>
      <w:divBdr>
        <w:top w:val="none" w:sz="0" w:space="0" w:color="auto"/>
        <w:left w:val="none" w:sz="0" w:space="0" w:color="auto"/>
        <w:bottom w:val="none" w:sz="0" w:space="0" w:color="auto"/>
        <w:right w:val="none" w:sz="0" w:space="0" w:color="auto"/>
      </w:divBdr>
    </w:div>
    <w:div w:id="933436786">
      <w:bodyDiv w:val="1"/>
      <w:marLeft w:val="0"/>
      <w:marRight w:val="0"/>
      <w:marTop w:val="0"/>
      <w:marBottom w:val="0"/>
      <w:divBdr>
        <w:top w:val="none" w:sz="0" w:space="0" w:color="auto"/>
        <w:left w:val="none" w:sz="0" w:space="0" w:color="auto"/>
        <w:bottom w:val="none" w:sz="0" w:space="0" w:color="auto"/>
        <w:right w:val="none" w:sz="0" w:space="0" w:color="auto"/>
      </w:divBdr>
    </w:div>
    <w:div w:id="946817338">
      <w:bodyDiv w:val="1"/>
      <w:marLeft w:val="0"/>
      <w:marRight w:val="0"/>
      <w:marTop w:val="0"/>
      <w:marBottom w:val="0"/>
      <w:divBdr>
        <w:top w:val="none" w:sz="0" w:space="0" w:color="auto"/>
        <w:left w:val="none" w:sz="0" w:space="0" w:color="auto"/>
        <w:bottom w:val="none" w:sz="0" w:space="0" w:color="auto"/>
        <w:right w:val="none" w:sz="0" w:space="0" w:color="auto"/>
      </w:divBdr>
    </w:div>
    <w:div w:id="1125470650">
      <w:bodyDiv w:val="1"/>
      <w:marLeft w:val="0"/>
      <w:marRight w:val="0"/>
      <w:marTop w:val="0"/>
      <w:marBottom w:val="0"/>
      <w:divBdr>
        <w:top w:val="none" w:sz="0" w:space="0" w:color="auto"/>
        <w:left w:val="none" w:sz="0" w:space="0" w:color="auto"/>
        <w:bottom w:val="none" w:sz="0" w:space="0" w:color="auto"/>
        <w:right w:val="none" w:sz="0" w:space="0" w:color="auto"/>
      </w:divBdr>
    </w:div>
    <w:div w:id="1136222691">
      <w:bodyDiv w:val="1"/>
      <w:marLeft w:val="0"/>
      <w:marRight w:val="0"/>
      <w:marTop w:val="0"/>
      <w:marBottom w:val="0"/>
      <w:divBdr>
        <w:top w:val="none" w:sz="0" w:space="0" w:color="auto"/>
        <w:left w:val="none" w:sz="0" w:space="0" w:color="auto"/>
        <w:bottom w:val="none" w:sz="0" w:space="0" w:color="auto"/>
        <w:right w:val="none" w:sz="0" w:space="0" w:color="auto"/>
      </w:divBdr>
    </w:div>
    <w:div w:id="1183395488">
      <w:bodyDiv w:val="1"/>
      <w:marLeft w:val="0"/>
      <w:marRight w:val="0"/>
      <w:marTop w:val="0"/>
      <w:marBottom w:val="0"/>
      <w:divBdr>
        <w:top w:val="none" w:sz="0" w:space="0" w:color="auto"/>
        <w:left w:val="none" w:sz="0" w:space="0" w:color="auto"/>
        <w:bottom w:val="none" w:sz="0" w:space="0" w:color="auto"/>
        <w:right w:val="none" w:sz="0" w:space="0" w:color="auto"/>
      </w:divBdr>
    </w:div>
    <w:div w:id="1268083121">
      <w:bodyDiv w:val="1"/>
      <w:marLeft w:val="0"/>
      <w:marRight w:val="0"/>
      <w:marTop w:val="0"/>
      <w:marBottom w:val="0"/>
      <w:divBdr>
        <w:top w:val="none" w:sz="0" w:space="0" w:color="auto"/>
        <w:left w:val="none" w:sz="0" w:space="0" w:color="auto"/>
        <w:bottom w:val="none" w:sz="0" w:space="0" w:color="auto"/>
        <w:right w:val="none" w:sz="0" w:space="0" w:color="auto"/>
      </w:divBdr>
    </w:div>
    <w:div w:id="1292830657">
      <w:bodyDiv w:val="1"/>
      <w:marLeft w:val="0"/>
      <w:marRight w:val="0"/>
      <w:marTop w:val="0"/>
      <w:marBottom w:val="0"/>
      <w:divBdr>
        <w:top w:val="none" w:sz="0" w:space="0" w:color="auto"/>
        <w:left w:val="none" w:sz="0" w:space="0" w:color="auto"/>
        <w:bottom w:val="none" w:sz="0" w:space="0" w:color="auto"/>
        <w:right w:val="none" w:sz="0" w:space="0" w:color="auto"/>
      </w:divBdr>
    </w:div>
    <w:div w:id="1320382683">
      <w:bodyDiv w:val="1"/>
      <w:marLeft w:val="0"/>
      <w:marRight w:val="0"/>
      <w:marTop w:val="0"/>
      <w:marBottom w:val="0"/>
      <w:divBdr>
        <w:top w:val="none" w:sz="0" w:space="0" w:color="auto"/>
        <w:left w:val="none" w:sz="0" w:space="0" w:color="auto"/>
        <w:bottom w:val="none" w:sz="0" w:space="0" w:color="auto"/>
        <w:right w:val="none" w:sz="0" w:space="0" w:color="auto"/>
      </w:divBdr>
    </w:div>
    <w:div w:id="1338538873">
      <w:bodyDiv w:val="1"/>
      <w:marLeft w:val="0"/>
      <w:marRight w:val="0"/>
      <w:marTop w:val="0"/>
      <w:marBottom w:val="0"/>
      <w:divBdr>
        <w:top w:val="none" w:sz="0" w:space="0" w:color="auto"/>
        <w:left w:val="none" w:sz="0" w:space="0" w:color="auto"/>
        <w:bottom w:val="none" w:sz="0" w:space="0" w:color="auto"/>
        <w:right w:val="none" w:sz="0" w:space="0" w:color="auto"/>
      </w:divBdr>
    </w:div>
    <w:div w:id="1363434887">
      <w:bodyDiv w:val="1"/>
      <w:marLeft w:val="0"/>
      <w:marRight w:val="0"/>
      <w:marTop w:val="0"/>
      <w:marBottom w:val="0"/>
      <w:divBdr>
        <w:top w:val="none" w:sz="0" w:space="0" w:color="auto"/>
        <w:left w:val="none" w:sz="0" w:space="0" w:color="auto"/>
        <w:bottom w:val="none" w:sz="0" w:space="0" w:color="auto"/>
        <w:right w:val="none" w:sz="0" w:space="0" w:color="auto"/>
      </w:divBdr>
    </w:div>
    <w:div w:id="1395083743">
      <w:bodyDiv w:val="1"/>
      <w:marLeft w:val="0"/>
      <w:marRight w:val="0"/>
      <w:marTop w:val="0"/>
      <w:marBottom w:val="0"/>
      <w:divBdr>
        <w:top w:val="none" w:sz="0" w:space="0" w:color="auto"/>
        <w:left w:val="none" w:sz="0" w:space="0" w:color="auto"/>
        <w:bottom w:val="none" w:sz="0" w:space="0" w:color="auto"/>
        <w:right w:val="none" w:sz="0" w:space="0" w:color="auto"/>
      </w:divBdr>
    </w:div>
    <w:div w:id="1408764395">
      <w:bodyDiv w:val="1"/>
      <w:marLeft w:val="0"/>
      <w:marRight w:val="0"/>
      <w:marTop w:val="0"/>
      <w:marBottom w:val="0"/>
      <w:divBdr>
        <w:top w:val="none" w:sz="0" w:space="0" w:color="auto"/>
        <w:left w:val="none" w:sz="0" w:space="0" w:color="auto"/>
        <w:bottom w:val="none" w:sz="0" w:space="0" w:color="auto"/>
        <w:right w:val="none" w:sz="0" w:space="0" w:color="auto"/>
      </w:divBdr>
    </w:div>
    <w:div w:id="1447383483">
      <w:bodyDiv w:val="1"/>
      <w:marLeft w:val="0"/>
      <w:marRight w:val="0"/>
      <w:marTop w:val="0"/>
      <w:marBottom w:val="0"/>
      <w:divBdr>
        <w:top w:val="none" w:sz="0" w:space="0" w:color="auto"/>
        <w:left w:val="none" w:sz="0" w:space="0" w:color="auto"/>
        <w:bottom w:val="none" w:sz="0" w:space="0" w:color="auto"/>
        <w:right w:val="none" w:sz="0" w:space="0" w:color="auto"/>
      </w:divBdr>
    </w:div>
    <w:div w:id="1520467527">
      <w:bodyDiv w:val="1"/>
      <w:marLeft w:val="0"/>
      <w:marRight w:val="0"/>
      <w:marTop w:val="0"/>
      <w:marBottom w:val="0"/>
      <w:divBdr>
        <w:top w:val="none" w:sz="0" w:space="0" w:color="auto"/>
        <w:left w:val="none" w:sz="0" w:space="0" w:color="auto"/>
        <w:bottom w:val="none" w:sz="0" w:space="0" w:color="auto"/>
        <w:right w:val="none" w:sz="0" w:space="0" w:color="auto"/>
      </w:divBdr>
    </w:div>
    <w:div w:id="1536389561">
      <w:bodyDiv w:val="1"/>
      <w:marLeft w:val="0"/>
      <w:marRight w:val="0"/>
      <w:marTop w:val="0"/>
      <w:marBottom w:val="0"/>
      <w:divBdr>
        <w:top w:val="none" w:sz="0" w:space="0" w:color="auto"/>
        <w:left w:val="none" w:sz="0" w:space="0" w:color="auto"/>
        <w:bottom w:val="none" w:sz="0" w:space="0" w:color="auto"/>
        <w:right w:val="none" w:sz="0" w:space="0" w:color="auto"/>
      </w:divBdr>
    </w:div>
    <w:div w:id="1542984916">
      <w:bodyDiv w:val="1"/>
      <w:marLeft w:val="0"/>
      <w:marRight w:val="0"/>
      <w:marTop w:val="0"/>
      <w:marBottom w:val="0"/>
      <w:divBdr>
        <w:top w:val="none" w:sz="0" w:space="0" w:color="auto"/>
        <w:left w:val="none" w:sz="0" w:space="0" w:color="auto"/>
        <w:bottom w:val="none" w:sz="0" w:space="0" w:color="auto"/>
        <w:right w:val="none" w:sz="0" w:space="0" w:color="auto"/>
      </w:divBdr>
    </w:div>
    <w:div w:id="1598950654">
      <w:bodyDiv w:val="1"/>
      <w:marLeft w:val="0"/>
      <w:marRight w:val="0"/>
      <w:marTop w:val="0"/>
      <w:marBottom w:val="0"/>
      <w:divBdr>
        <w:top w:val="none" w:sz="0" w:space="0" w:color="auto"/>
        <w:left w:val="none" w:sz="0" w:space="0" w:color="auto"/>
        <w:bottom w:val="none" w:sz="0" w:space="0" w:color="auto"/>
        <w:right w:val="none" w:sz="0" w:space="0" w:color="auto"/>
      </w:divBdr>
    </w:div>
    <w:div w:id="1614825679">
      <w:bodyDiv w:val="1"/>
      <w:marLeft w:val="0"/>
      <w:marRight w:val="0"/>
      <w:marTop w:val="0"/>
      <w:marBottom w:val="0"/>
      <w:divBdr>
        <w:top w:val="none" w:sz="0" w:space="0" w:color="auto"/>
        <w:left w:val="none" w:sz="0" w:space="0" w:color="auto"/>
        <w:bottom w:val="none" w:sz="0" w:space="0" w:color="auto"/>
        <w:right w:val="none" w:sz="0" w:space="0" w:color="auto"/>
      </w:divBdr>
    </w:div>
    <w:div w:id="1642226115">
      <w:bodyDiv w:val="1"/>
      <w:marLeft w:val="0"/>
      <w:marRight w:val="0"/>
      <w:marTop w:val="0"/>
      <w:marBottom w:val="0"/>
      <w:divBdr>
        <w:top w:val="none" w:sz="0" w:space="0" w:color="auto"/>
        <w:left w:val="none" w:sz="0" w:space="0" w:color="auto"/>
        <w:bottom w:val="none" w:sz="0" w:space="0" w:color="auto"/>
        <w:right w:val="none" w:sz="0" w:space="0" w:color="auto"/>
      </w:divBdr>
    </w:div>
    <w:div w:id="1660380171">
      <w:bodyDiv w:val="1"/>
      <w:marLeft w:val="0"/>
      <w:marRight w:val="0"/>
      <w:marTop w:val="0"/>
      <w:marBottom w:val="0"/>
      <w:divBdr>
        <w:top w:val="none" w:sz="0" w:space="0" w:color="auto"/>
        <w:left w:val="none" w:sz="0" w:space="0" w:color="auto"/>
        <w:bottom w:val="none" w:sz="0" w:space="0" w:color="auto"/>
        <w:right w:val="none" w:sz="0" w:space="0" w:color="auto"/>
      </w:divBdr>
    </w:div>
    <w:div w:id="1691031741">
      <w:bodyDiv w:val="1"/>
      <w:marLeft w:val="0"/>
      <w:marRight w:val="0"/>
      <w:marTop w:val="0"/>
      <w:marBottom w:val="0"/>
      <w:divBdr>
        <w:top w:val="none" w:sz="0" w:space="0" w:color="auto"/>
        <w:left w:val="none" w:sz="0" w:space="0" w:color="auto"/>
        <w:bottom w:val="none" w:sz="0" w:space="0" w:color="auto"/>
        <w:right w:val="none" w:sz="0" w:space="0" w:color="auto"/>
      </w:divBdr>
    </w:div>
    <w:div w:id="1739548619">
      <w:bodyDiv w:val="1"/>
      <w:marLeft w:val="0"/>
      <w:marRight w:val="0"/>
      <w:marTop w:val="0"/>
      <w:marBottom w:val="0"/>
      <w:divBdr>
        <w:top w:val="none" w:sz="0" w:space="0" w:color="auto"/>
        <w:left w:val="none" w:sz="0" w:space="0" w:color="auto"/>
        <w:bottom w:val="none" w:sz="0" w:space="0" w:color="auto"/>
        <w:right w:val="none" w:sz="0" w:space="0" w:color="auto"/>
      </w:divBdr>
    </w:div>
    <w:div w:id="1745713172">
      <w:bodyDiv w:val="1"/>
      <w:marLeft w:val="0"/>
      <w:marRight w:val="0"/>
      <w:marTop w:val="0"/>
      <w:marBottom w:val="0"/>
      <w:divBdr>
        <w:top w:val="none" w:sz="0" w:space="0" w:color="auto"/>
        <w:left w:val="none" w:sz="0" w:space="0" w:color="auto"/>
        <w:bottom w:val="none" w:sz="0" w:space="0" w:color="auto"/>
        <w:right w:val="none" w:sz="0" w:space="0" w:color="auto"/>
      </w:divBdr>
    </w:div>
    <w:div w:id="1884638043">
      <w:bodyDiv w:val="1"/>
      <w:marLeft w:val="0"/>
      <w:marRight w:val="0"/>
      <w:marTop w:val="0"/>
      <w:marBottom w:val="0"/>
      <w:divBdr>
        <w:top w:val="none" w:sz="0" w:space="0" w:color="auto"/>
        <w:left w:val="none" w:sz="0" w:space="0" w:color="auto"/>
        <w:bottom w:val="none" w:sz="0" w:space="0" w:color="auto"/>
        <w:right w:val="none" w:sz="0" w:space="0" w:color="auto"/>
      </w:divBdr>
    </w:div>
    <w:div w:id="1895848185">
      <w:bodyDiv w:val="1"/>
      <w:marLeft w:val="0"/>
      <w:marRight w:val="0"/>
      <w:marTop w:val="0"/>
      <w:marBottom w:val="0"/>
      <w:divBdr>
        <w:top w:val="none" w:sz="0" w:space="0" w:color="auto"/>
        <w:left w:val="none" w:sz="0" w:space="0" w:color="auto"/>
        <w:bottom w:val="none" w:sz="0" w:space="0" w:color="auto"/>
        <w:right w:val="none" w:sz="0" w:space="0" w:color="auto"/>
      </w:divBdr>
    </w:div>
    <w:div w:id="1926379838">
      <w:bodyDiv w:val="1"/>
      <w:marLeft w:val="0"/>
      <w:marRight w:val="0"/>
      <w:marTop w:val="0"/>
      <w:marBottom w:val="0"/>
      <w:divBdr>
        <w:top w:val="none" w:sz="0" w:space="0" w:color="auto"/>
        <w:left w:val="none" w:sz="0" w:space="0" w:color="auto"/>
        <w:bottom w:val="none" w:sz="0" w:space="0" w:color="auto"/>
        <w:right w:val="none" w:sz="0" w:space="0" w:color="auto"/>
      </w:divBdr>
    </w:div>
    <w:div w:id="1949897316">
      <w:bodyDiv w:val="1"/>
      <w:marLeft w:val="0"/>
      <w:marRight w:val="0"/>
      <w:marTop w:val="0"/>
      <w:marBottom w:val="0"/>
      <w:divBdr>
        <w:top w:val="none" w:sz="0" w:space="0" w:color="auto"/>
        <w:left w:val="none" w:sz="0" w:space="0" w:color="auto"/>
        <w:bottom w:val="none" w:sz="0" w:space="0" w:color="auto"/>
        <w:right w:val="none" w:sz="0" w:space="0" w:color="auto"/>
      </w:divBdr>
    </w:div>
    <w:div w:id="1989742703">
      <w:bodyDiv w:val="1"/>
      <w:marLeft w:val="0"/>
      <w:marRight w:val="0"/>
      <w:marTop w:val="0"/>
      <w:marBottom w:val="0"/>
      <w:divBdr>
        <w:top w:val="none" w:sz="0" w:space="0" w:color="auto"/>
        <w:left w:val="none" w:sz="0" w:space="0" w:color="auto"/>
        <w:bottom w:val="none" w:sz="0" w:space="0" w:color="auto"/>
        <w:right w:val="none" w:sz="0" w:space="0" w:color="auto"/>
      </w:divBdr>
    </w:div>
    <w:div w:id="2002344765">
      <w:bodyDiv w:val="1"/>
      <w:marLeft w:val="0"/>
      <w:marRight w:val="0"/>
      <w:marTop w:val="0"/>
      <w:marBottom w:val="0"/>
      <w:divBdr>
        <w:top w:val="none" w:sz="0" w:space="0" w:color="auto"/>
        <w:left w:val="none" w:sz="0" w:space="0" w:color="auto"/>
        <w:bottom w:val="none" w:sz="0" w:space="0" w:color="auto"/>
        <w:right w:val="none" w:sz="0" w:space="0" w:color="auto"/>
      </w:divBdr>
    </w:div>
    <w:div w:id="2005163550">
      <w:bodyDiv w:val="1"/>
      <w:marLeft w:val="0"/>
      <w:marRight w:val="0"/>
      <w:marTop w:val="0"/>
      <w:marBottom w:val="0"/>
      <w:divBdr>
        <w:top w:val="none" w:sz="0" w:space="0" w:color="auto"/>
        <w:left w:val="none" w:sz="0" w:space="0" w:color="auto"/>
        <w:bottom w:val="none" w:sz="0" w:space="0" w:color="auto"/>
        <w:right w:val="none" w:sz="0" w:space="0" w:color="auto"/>
      </w:divBdr>
    </w:div>
    <w:div w:id="2036079002">
      <w:bodyDiv w:val="1"/>
      <w:marLeft w:val="0"/>
      <w:marRight w:val="0"/>
      <w:marTop w:val="0"/>
      <w:marBottom w:val="0"/>
      <w:divBdr>
        <w:top w:val="none" w:sz="0" w:space="0" w:color="auto"/>
        <w:left w:val="none" w:sz="0" w:space="0" w:color="auto"/>
        <w:bottom w:val="none" w:sz="0" w:space="0" w:color="auto"/>
        <w:right w:val="none" w:sz="0" w:space="0" w:color="auto"/>
      </w:divBdr>
    </w:div>
    <w:div w:id="2044820245">
      <w:bodyDiv w:val="1"/>
      <w:marLeft w:val="0"/>
      <w:marRight w:val="0"/>
      <w:marTop w:val="0"/>
      <w:marBottom w:val="0"/>
      <w:divBdr>
        <w:top w:val="none" w:sz="0" w:space="0" w:color="auto"/>
        <w:left w:val="none" w:sz="0" w:space="0" w:color="auto"/>
        <w:bottom w:val="none" w:sz="0" w:space="0" w:color="auto"/>
        <w:right w:val="none" w:sz="0" w:space="0" w:color="auto"/>
      </w:divBdr>
    </w:div>
    <w:div w:id="204809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CD4E0-073A-4B3C-B502-A562776BA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Schleig, Deana</cp:lastModifiedBy>
  <cp:revision>2</cp:revision>
  <cp:lastPrinted>2016-01-14T16:46:00Z</cp:lastPrinted>
  <dcterms:created xsi:type="dcterms:W3CDTF">2016-01-21T17:15:00Z</dcterms:created>
  <dcterms:modified xsi:type="dcterms:W3CDTF">2016-01-21T17:15:00Z</dcterms:modified>
</cp:coreProperties>
</file>