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99" w:rsidRPr="00A54299" w:rsidRDefault="00A54299" w:rsidP="00813C57">
      <w:pPr>
        <w:spacing w:line="240" w:lineRule="auto"/>
        <w:rPr>
          <w:rFonts w:eastAsia="Calibri"/>
          <w:b/>
        </w:rPr>
      </w:pPr>
      <w:r w:rsidRPr="00A54299">
        <w:rPr>
          <w:rFonts w:eastAsia="Calibri"/>
          <w:b/>
        </w:rPr>
        <w:t>BEFORE THE</w:t>
      </w:r>
    </w:p>
    <w:p w:rsidR="00A54299" w:rsidRPr="00A54299" w:rsidRDefault="00A54299" w:rsidP="00813C57">
      <w:pPr>
        <w:spacing w:line="240" w:lineRule="auto"/>
        <w:rPr>
          <w:rFonts w:eastAsia="Calibri"/>
          <w:b/>
        </w:rPr>
      </w:pPr>
      <w:r w:rsidRPr="00A54299">
        <w:rPr>
          <w:rFonts w:eastAsia="Calibri"/>
          <w:b/>
        </w:rPr>
        <w:t>PENNSYLVANIA PUBLIC UTILITY COMMISSION</w:t>
      </w:r>
    </w:p>
    <w:p w:rsidR="00A54299" w:rsidRPr="00A54299" w:rsidRDefault="00A54299" w:rsidP="00813C57">
      <w:pPr>
        <w:spacing w:line="240" w:lineRule="auto"/>
        <w:rPr>
          <w:rFonts w:eastAsia="Calibri"/>
          <w:b/>
        </w:rPr>
      </w:pPr>
    </w:p>
    <w:p w:rsidR="00A54299" w:rsidRPr="00A54299" w:rsidRDefault="00A54299" w:rsidP="00813C57">
      <w:pPr>
        <w:spacing w:line="240" w:lineRule="auto"/>
        <w:rPr>
          <w:rFonts w:eastAsia="Calibri"/>
          <w:b/>
        </w:rPr>
      </w:pPr>
    </w:p>
    <w:p w:rsidR="00A54299" w:rsidRPr="00A54299" w:rsidRDefault="00A54299" w:rsidP="00813C57">
      <w:pPr>
        <w:spacing w:line="240" w:lineRule="auto"/>
        <w:rPr>
          <w:rFonts w:eastAsia="Calibri"/>
          <w:b/>
        </w:rPr>
      </w:pPr>
    </w:p>
    <w:p w:rsidR="005E2C22" w:rsidRPr="00A54299" w:rsidRDefault="005E2C22" w:rsidP="00813C57">
      <w:pPr>
        <w:spacing w:line="240" w:lineRule="auto"/>
        <w:jc w:val="left"/>
        <w:rPr>
          <w:rFonts w:eastAsia="Calibri"/>
        </w:rPr>
      </w:pPr>
      <w:r>
        <w:rPr>
          <w:rFonts w:eastAsia="Calibri"/>
        </w:rPr>
        <w:t>David Hatchigian</w:t>
      </w: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t>:</w:t>
      </w:r>
    </w:p>
    <w:p w:rsidR="005E2C22" w:rsidRPr="00A54299" w:rsidRDefault="005E2C22" w:rsidP="00813C57">
      <w:pPr>
        <w:spacing w:line="240" w:lineRule="auto"/>
        <w:jc w:val="left"/>
        <w:rPr>
          <w:rFonts w:eastAsia="Calibri"/>
        </w:rPr>
      </w:pP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t>:</w:t>
      </w:r>
    </w:p>
    <w:p w:rsidR="005E2C22" w:rsidRPr="00A54299" w:rsidRDefault="005E2C22" w:rsidP="00813C57">
      <w:pPr>
        <w:spacing w:line="240" w:lineRule="auto"/>
        <w:jc w:val="left"/>
        <w:rPr>
          <w:rFonts w:eastAsia="Calibri"/>
        </w:rPr>
      </w:pPr>
      <w:r>
        <w:rPr>
          <w:rFonts w:eastAsia="Calibri"/>
        </w:rPr>
        <w:tab/>
        <w:t>v.</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w:t>
      </w:r>
      <w:r>
        <w:rPr>
          <w:rFonts w:eastAsia="Calibri"/>
        </w:rPr>
        <w:tab/>
      </w:r>
      <w:r>
        <w:rPr>
          <w:rFonts w:eastAsia="Calibri"/>
        </w:rPr>
        <w:tab/>
        <w:t>C-2015-2477321</w:t>
      </w:r>
    </w:p>
    <w:p w:rsidR="005E2C22" w:rsidRPr="00A54299" w:rsidRDefault="005E2C22" w:rsidP="00813C57">
      <w:pPr>
        <w:spacing w:line="240" w:lineRule="auto"/>
        <w:jc w:val="left"/>
        <w:rPr>
          <w:rFonts w:eastAsia="Calibri"/>
        </w:rPr>
      </w:pP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r>
      <w:r w:rsidRPr="00A54299">
        <w:rPr>
          <w:rFonts w:eastAsia="Calibri"/>
        </w:rPr>
        <w:tab/>
        <w:t>:</w:t>
      </w:r>
    </w:p>
    <w:p w:rsidR="005E2C22" w:rsidRPr="00A54299" w:rsidRDefault="005E2C22" w:rsidP="00813C57">
      <w:pPr>
        <w:spacing w:line="240" w:lineRule="auto"/>
        <w:jc w:val="left"/>
        <w:rPr>
          <w:rFonts w:eastAsia="Calibri"/>
        </w:rPr>
      </w:pPr>
      <w:r w:rsidRPr="00A54299">
        <w:rPr>
          <w:rFonts w:eastAsia="Calibri"/>
        </w:rPr>
        <w:t>PECO Energy Company</w:t>
      </w:r>
      <w:r w:rsidRPr="00A54299">
        <w:rPr>
          <w:rFonts w:eastAsia="Calibri"/>
        </w:rPr>
        <w:tab/>
      </w:r>
      <w:r w:rsidRPr="00A54299">
        <w:rPr>
          <w:rFonts w:eastAsia="Calibri"/>
        </w:rPr>
        <w:tab/>
      </w:r>
      <w:r w:rsidRPr="00A54299">
        <w:rPr>
          <w:rFonts w:eastAsia="Calibri"/>
        </w:rPr>
        <w:tab/>
      </w:r>
      <w:r w:rsidRPr="00A54299">
        <w:rPr>
          <w:rFonts w:eastAsia="Calibri"/>
        </w:rPr>
        <w:tab/>
        <w:t>:</w:t>
      </w:r>
    </w:p>
    <w:p w:rsidR="005E2C22" w:rsidRDefault="005E2C22" w:rsidP="00B41F29">
      <w:pPr>
        <w:pStyle w:val="NoSpacing"/>
        <w:spacing w:line="240" w:lineRule="auto"/>
      </w:pPr>
    </w:p>
    <w:p w:rsidR="005E2C22" w:rsidRDefault="005E2C22" w:rsidP="00B41F29">
      <w:pPr>
        <w:pStyle w:val="NoSpacing"/>
        <w:spacing w:line="240" w:lineRule="auto"/>
      </w:pPr>
    </w:p>
    <w:p w:rsidR="00B41F29" w:rsidRDefault="00B41F29" w:rsidP="00B41F29">
      <w:pPr>
        <w:pStyle w:val="NoSpacing"/>
        <w:spacing w:line="240" w:lineRule="auto"/>
      </w:pPr>
    </w:p>
    <w:p w:rsidR="005E2C22" w:rsidRDefault="005E2C22" w:rsidP="00813C57">
      <w:pPr>
        <w:keepNext/>
        <w:spacing w:line="240" w:lineRule="auto"/>
        <w:outlineLvl w:val="0"/>
        <w:rPr>
          <w:rFonts w:eastAsia="Times New Roman"/>
          <w:b/>
          <w:u w:val="single"/>
        </w:rPr>
      </w:pPr>
      <w:r>
        <w:rPr>
          <w:rFonts w:eastAsia="Times New Roman"/>
          <w:b/>
          <w:u w:val="single"/>
        </w:rPr>
        <w:t>INITIAL DECISION</w:t>
      </w:r>
    </w:p>
    <w:p w:rsidR="005E2C22" w:rsidRDefault="005E2C22" w:rsidP="00813C57">
      <w:pPr>
        <w:spacing w:line="240" w:lineRule="auto"/>
        <w:rPr>
          <w:rFonts w:eastAsia="Times New Roman"/>
          <w:b/>
        </w:rPr>
      </w:pPr>
    </w:p>
    <w:p w:rsidR="005E2C22" w:rsidRDefault="005E2C22" w:rsidP="00813C57">
      <w:pPr>
        <w:spacing w:line="240" w:lineRule="auto"/>
        <w:rPr>
          <w:rFonts w:eastAsia="Times New Roman"/>
          <w:b/>
        </w:rPr>
      </w:pPr>
    </w:p>
    <w:p w:rsidR="005E2C22" w:rsidRDefault="005E2C22" w:rsidP="00813C57">
      <w:pPr>
        <w:keepNext/>
        <w:spacing w:line="240" w:lineRule="auto"/>
        <w:outlineLvl w:val="1"/>
        <w:rPr>
          <w:rFonts w:eastAsia="Times New Roman"/>
        </w:rPr>
      </w:pPr>
      <w:r>
        <w:rPr>
          <w:rFonts w:eastAsia="Times New Roman"/>
        </w:rPr>
        <w:t>Before</w:t>
      </w:r>
    </w:p>
    <w:p w:rsidR="005E2C22" w:rsidRDefault="005E2C22" w:rsidP="00813C57">
      <w:pPr>
        <w:spacing w:line="240" w:lineRule="auto"/>
        <w:rPr>
          <w:rFonts w:eastAsia="Times New Roman"/>
        </w:rPr>
      </w:pPr>
      <w:r>
        <w:rPr>
          <w:rFonts w:eastAsia="Times New Roman"/>
        </w:rPr>
        <w:t>Cynthia Williams Fordham</w:t>
      </w:r>
    </w:p>
    <w:p w:rsidR="005E2C22" w:rsidRDefault="005E2C22" w:rsidP="00813C57">
      <w:pPr>
        <w:spacing w:line="240" w:lineRule="auto"/>
        <w:rPr>
          <w:rFonts w:eastAsia="Times New Roman"/>
        </w:rPr>
      </w:pPr>
      <w:r>
        <w:rPr>
          <w:rFonts w:eastAsia="Times New Roman"/>
        </w:rPr>
        <w:t>Administrative Law Judge</w:t>
      </w:r>
    </w:p>
    <w:p w:rsidR="00813C57" w:rsidRDefault="00813C57" w:rsidP="00B41F29">
      <w:pPr>
        <w:spacing w:line="240" w:lineRule="auto"/>
        <w:jc w:val="left"/>
        <w:rPr>
          <w:rFonts w:eastAsia="Times New Roman"/>
          <w:b/>
        </w:rPr>
      </w:pPr>
    </w:p>
    <w:p w:rsidR="00B41F29" w:rsidRDefault="00B41F29" w:rsidP="00B41F29">
      <w:pPr>
        <w:spacing w:line="240" w:lineRule="auto"/>
        <w:jc w:val="left"/>
        <w:rPr>
          <w:rFonts w:eastAsia="Times New Roman"/>
          <w:b/>
        </w:rPr>
      </w:pPr>
    </w:p>
    <w:p w:rsidR="005E2C22" w:rsidRDefault="005E2C22" w:rsidP="00813C57">
      <w:pPr>
        <w:jc w:val="left"/>
        <w:rPr>
          <w:rFonts w:eastAsia="Times New Roman"/>
        </w:rPr>
      </w:pPr>
      <w:r>
        <w:rPr>
          <w:rFonts w:eastAsia="Times New Roman"/>
        </w:rPr>
        <w:tab/>
      </w:r>
      <w:r>
        <w:rPr>
          <w:rFonts w:eastAsia="Times New Roman"/>
        </w:rPr>
        <w:tab/>
        <w:t xml:space="preserve">The Complainant alleged that </w:t>
      </w:r>
      <w:r w:rsidR="00560B41">
        <w:rPr>
          <w:rFonts w:eastAsia="Times New Roman"/>
        </w:rPr>
        <w:t xml:space="preserve">although there were no safety concerns, </w:t>
      </w:r>
      <w:r w:rsidR="00B27720">
        <w:t>the Respondent</w:t>
      </w:r>
      <w:r>
        <w:rPr>
          <w:rFonts w:eastAsia="Times New Roman"/>
        </w:rPr>
        <w:t xml:space="preserve"> </w:t>
      </w:r>
      <w:r w:rsidR="00B27720">
        <w:rPr>
          <w:rFonts w:eastAsia="Times New Roman"/>
        </w:rPr>
        <w:t xml:space="preserve">required him to submit an underwriter’s certificate </w:t>
      </w:r>
      <w:r w:rsidR="00B27720">
        <w:t>prior to reconnecting service</w:t>
      </w:r>
      <w:r w:rsidR="00560B41">
        <w:t xml:space="preserve"> at his vacant apartment</w:t>
      </w:r>
      <w:r w:rsidR="00B27720">
        <w:t xml:space="preserve">.  The Complainant </w:t>
      </w:r>
      <w:r w:rsidR="00560B41">
        <w:t>also alleged that no</w:t>
      </w:r>
      <w:r w:rsidR="00560B41">
        <w:rPr>
          <w:rFonts w:eastAsia="Times New Roman"/>
        </w:rPr>
        <w:t xml:space="preserve"> </w:t>
      </w:r>
      <w:r w:rsidR="00560B41">
        <w:t xml:space="preserve">law or tariff required the submission of an </w:t>
      </w:r>
      <w:r w:rsidR="00560B41">
        <w:rPr>
          <w:rFonts w:eastAsia="Times New Roman"/>
        </w:rPr>
        <w:t xml:space="preserve">underwriter’s certificate.  </w:t>
      </w:r>
      <w:r w:rsidR="00560B41">
        <w:t xml:space="preserve">The Complainant </w:t>
      </w:r>
      <w:r w:rsidR="00B27720">
        <w:t xml:space="preserve">requested that the Commission impose sanctions against the Respondent for refusing to reconnect service to </w:t>
      </w:r>
      <w:r w:rsidR="00560B41">
        <w:t>t</w:t>
      </w:r>
      <w:r w:rsidR="00B27720">
        <w:t>h</w:t>
      </w:r>
      <w:r w:rsidR="00560B41">
        <w:t>e</w:t>
      </w:r>
      <w:r w:rsidR="00B27720">
        <w:t xml:space="preserve"> apartment</w:t>
      </w:r>
      <w:r w:rsidR="00B27720">
        <w:rPr>
          <w:rFonts w:eastAsia="Times New Roman"/>
        </w:rPr>
        <w:t xml:space="preserve"> </w:t>
      </w:r>
      <w:r w:rsidR="00560B41">
        <w:rPr>
          <w:rFonts w:eastAsia="Times New Roman"/>
        </w:rPr>
        <w:t xml:space="preserve">until the </w:t>
      </w:r>
      <w:r w:rsidR="00A64DA0">
        <w:t>underwriter’s certificate</w:t>
      </w:r>
      <w:r w:rsidR="00560B41">
        <w:t xml:space="preserve"> was submitted.  </w:t>
      </w:r>
      <w:r>
        <w:rPr>
          <w:rFonts w:eastAsia="Times New Roman"/>
        </w:rPr>
        <w:t>The Respondent presented evidence to show that</w:t>
      </w:r>
      <w:r w:rsidR="00560B41">
        <w:rPr>
          <w:rFonts w:eastAsia="Times New Roman"/>
        </w:rPr>
        <w:t xml:space="preserve"> the request was reasonable, permitted by its tariff and based on its policy.</w:t>
      </w:r>
      <w:r>
        <w:rPr>
          <w:rFonts w:eastAsia="Times New Roman"/>
        </w:rPr>
        <w:t xml:space="preserve">  The complaint is dismissed because the Respondent did not violate the Public Utility Code or its tariff. </w:t>
      </w:r>
    </w:p>
    <w:p w:rsidR="005E2C22" w:rsidRDefault="005E2C22" w:rsidP="00813C57">
      <w:pPr>
        <w:spacing w:line="240" w:lineRule="auto"/>
        <w:rPr>
          <w:rFonts w:eastAsia="Times New Roman"/>
          <w:b/>
        </w:rPr>
      </w:pPr>
    </w:p>
    <w:p w:rsidR="005E2C22" w:rsidRDefault="005E2C22" w:rsidP="00813C57">
      <w:pPr>
        <w:keepNext/>
        <w:tabs>
          <w:tab w:val="left" w:pos="1980"/>
        </w:tabs>
        <w:outlineLvl w:val="0"/>
        <w:rPr>
          <w:rFonts w:eastAsia="Times New Roman"/>
          <w:u w:val="single"/>
        </w:rPr>
      </w:pPr>
      <w:r>
        <w:rPr>
          <w:rFonts w:eastAsia="Times New Roman"/>
          <w:u w:val="single"/>
        </w:rPr>
        <w:t>HISTORY OF THE PROCEEDING</w:t>
      </w:r>
    </w:p>
    <w:p w:rsidR="00DC29B5" w:rsidRDefault="00DC29B5" w:rsidP="00813C57">
      <w:pPr>
        <w:tabs>
          <w:tab w:val="center" w:pos="4680"/>
        </w:tabs>
        <w:suppressAutoHyphens/>
        <w:ind w:firstLine="1440"/>
        <w:jc w:val="left"/>
        <w:rPr>
          <w:bCs/>
        </w:rPr>
      </w:pPr>
    </w:p>
    <w:p w:rsidR="00DC29B5" w:rsidRDefault="003360CC" w:rsidP="00813C57">
      <w:pPr>
        <w:ind w:firstLine="1440"/>
        <w:jc w:val="left"/>
      </w:pPr>
      <w:r>
        <w:t>On April 10, 2015</w:t>
      </w:r>
      <w:r w:rsidR="00DC29B5">
        <w:t xml:space="preserve">, </w:t>
      </w:r>
      <w:r>
        <w:t xml:space="preserve">David Hatchigian </w:t>
      </w:r>
      <w:r w:rsidR="00DC29B5">
        <w:t>(</w:t>
      </w:r>
      <w:r w:rsidR="00B94638">
        <w:t>“</w:t>
      </w:r>
      <w:r>
        <w:t>Hatchigian</w:t>
      </w:r>
      <w:r w:rsidR="00B94638">
        <w:t>”</w:t>
      </w:r>
      <w:r>
        <w:t xml:space="preserve"> or </w:t>
      </w:r>
      <w:r w:rsidR="00B94638">
        <w:t>“</w:t>
      </w:r>
      <w:r>
        <w:t>C</w:t>
      </w:r>
      <w:r w:rsidR="00DC29B5">
        <w:t>omplainant</w:t>
      </w:r>
      <w:r w:rsidR="00B94638">
        <w:t>”</w:t>
      </w:r>
      <w:r w:rsidR="00DC29B5">
        <w:t xml:space="preserve">) filed a formal </w:t>
      </w:r>
      <w:r w:rsidR="00B94638">
        <w:t>c</w:t>
      </w:r>
      <w:r w:rsidR="00DC29B5">
        <w:t xml:space="preserve">omplaint against </w:t>
      </w:r>
      <w:r>
        <w:t>PECO Energy Company</w:t>
      </w:r>
      <w:r w:rsidR="00DC29B5">
        <w:t xml:space="preserve"> (</w:t>
      </w:r>
      <w:r w:rsidR="00B94638">
        <w:t>“</w:t>
      </w:r>
      <w:r>
        <w:t>PECO</w:t>
      </w:r>
      <w:r w:rsidR="00B94638">
        <w:t>”</w:t>
      </w:r>
      <w:r>
        <w:t xml:space="preserve"> or </w:t>
      </w:r>
      <w:r w:rsidR="00B94638">
        <w:t>“</w:t>
      </w:r>
      <w:r>
        <w:t>R</w:t>
      </w:r>
      <w:r w:rsidR="00DC29B5">
        <w:t>espondent</w:t>
      </w:r>
      <w:r w:rsidR="00B94638">
        <w:t>”</w:t>
      </w:r>
      <w:r w:rsidR="00DC29B5">
        <w:t>) with the Pennsylvania Public Utility Commission (</w:t>
      </w:r>
      <w:r w:rsidR="00B94638">
        <w:t>“</w:t>
      </w:r>
      <w:r w:rsidR="00DC29B5">
        <w:t>Commission</w:t>
      </w:r>
      <w:r w:rsidR="00B94638">
        <w:t>”</w:t>
      </w:r>
      <w:r w:rsidR="00DC29B5">
        <w:t>)</w:t>
      </w:r>
      <w:r w:rsidR="00226A5C">
        <w:t>.  The Complainant allege</w:t>
      </w:r>
      <w:r w:rsidR="00731A2C">
        <w:t>d</w:t>
      </w:r>
      <w:r w:rsidR="00226A5C">
        <w:t xml:space="preserve"> that he incurred expenses </w:t>
      </w:r>
      <w:r w:rsidR="00F947F1">
        <w:t xml:space="preserve">for </w:t>
      </w:r>
      <w:r w:rsidR="00226A5C">
        <w:t xml:space="preserve">an underwriter’s certificate, lost rent and lost time due to </w:t>
      </w:r>
      <w:r w:rsidR="002E47B8">
        <w:t xml:space="preserve">the Respondent’s </w:t>
      </w:r>
      <w:r w:rsidR="00226A5C">
        <w:t>requirement that an electrical underwriter inspect the electrical wiring of the service address prior to reconnecting service.  As relief, the Complainant request</w:t>
      </w:r>
      <w:r w:rsidR="00025032">
        <w:t>ed</w:t>
      </w:r>
      <w:r w:rsidR="00226A5C">
        <w:t xml:space="preserve"> that the Commission order </w:t>
      </w:r>
      <w:r w:rsidR="002E47B8">
        <w:lastRenderedPageBreak/>
        <w:t xml:space="preserve">the </w:t>
      </w:r>
      <w:r w:rsidR="00F947F1">
        <w:t xml:space="preserve">Respondent </w:t>
      </w:r>
      <w:r w:rsidR="00226A5C">
        <w:t xml:space="preserve">to award </w:t>
      </w:r>
      <w:r w:rsidR="002E47B8">
        <w:t>him</w:t>
      </w:r>
      <w:r w:rsidR="00226A5C">
        <w:t xml:space="preserve"> damages for rent, loss of time and the cost of an underwriter’s certificate.</w:t>
      </w:r>
    </w:p>
    <w:p w:rsidR="00DC29B5" w:rsidRDefault="00DC29B5" w:rsidP="00813C57">
      <w:pPr>
        <w:ind w:firstLine="1440"/>
        <w:jc w:val="left"/>
      </w:pPr>
    </w:p>
    <w:p w:rsidR="00DC29B5" w:rsidRDefault="00DC29B5" w:rsidP="00813C57">
      <w:pPr>
        <w:ind w:firstLine="1440"/>
        <w:jc w:val="left"/>
        <w:rPr>
          <w:i/>
        </w:rPr>
      </w:pPr>
      <w:r>
        <w:t>On</w:t>
      </w:r>
      <w:r w:rsidR="00226A5C">
        <w:t xml:space="preserve"> May 1, 2015, </w:t>
      </w:r>
      <w:r w:rsidR="00F947F1">
        <w:t xml:space="preserve">the </w:t>
      </w:r>
      <w:r w:rsidR="00226A5C">
        <w:t>R</w:t>
      </w:r>
      <w:r>
        <w:t>espondent filed</w:t>
      </w:r>
      <w:r w:rsidR="00226A5C">
        <w:t xml:space="preserve"> and served its Answer and New Matter.  In its New Matter, </w:t>
      </w:r>
      <w:r w:rsidR="002E47B8">
        <w:t xml:space="preserve">the Respondent </w:t>
      </w:r>
      <w:r w:rsidR="00226A5C">
        <w:t>averred that the Complainant’</w:t>
      </w:r>
      <w:r w:rsidR="00911373">
        <w:t>s request for relief i</w:t>
      </w:r>
      <w:r w:rsidR="00226A5C">
        <w:t xml:space="preserve">s not within the jurisdiction of the </w:t>
      </w:r>
      <w:r w:rsidR="00911373">
        <w:t>Commission</w:t>
      </w:r>
      <w:r w:rsidR="00226A5C">
        <w:t xml:space="preserve"> to the extent </w:t>
      </w:r>
      <w:r w:rsidR="00911373">
        <w:t xml:space="preserve">that </w:t>
      </w:r>
      <w:r w:rsidR="00F947F1">
        <w:t>t</w:t>
      </w:r>
      <w:r w:rsidR="00731A2C">
        <w:t>he Complainant</w:t>
      </w:r>
      <w:r w:rsidR="00911373">
        <w:t xml:space="preserve"> is seeking monetary d</w:t>
      </w:r>
      <w:r w:rsidR="00226A5C">
        <w:t xml:space="preserve">amages against </w:t>
      </w:r>
      <w:r w:rsidR="002E47B8">
        <w:t xml:space="preserve">the Respondent </w:t>
      </w:r>
      <w:r w:rsidR="00226A5C">
        <w:t>for his out of pocket expense</w:t>
      </w:r>
      <w:r w:rsidR="00911373">
        <w:t xml:space="preserve">s, rent, underwriter’s fee, or any other loss.  New Matter ¶4.  </w:t>
      </w:r>
      <w:r w:rsidR="002E47B8">
        <w:t>The Respondent</w:t>
      </w:r>
      <w:r w:rsidR="00911373">
        <w:t xml:space="preserve"> also averred that Complainant’s request for monetary damages should be denied pursuant to 52 </w:t>
      </w:r>
      <w:r w:rsidR="00560B41">
        <w:t>Pa.Code</w:t>
      </w:r>
      <w:r w:rsidR="00911373">
        <w:t xml:space="preserve"> </w:t>
      </w:r>
      <w:r w:rsidR="00C07568">
        <w:t xml:space="preserve">§ 5.101(a)(1). </w:t>
      </w:r>
      <w:r w:rsidR="00C07568" w:rsidRPr="00C07568">
        <w:rPr>
          <w:i/>
        </w:rPr>
        <w:t>Id.</w:t>
      </w:r>
    </w:p>
    <w:p w:rsidR="00C72656" w:rsidRDefault="00C72656" w:rsidP="00813C57">
      <w:pPr>
        <w:ind w:firstLine="1440"/>
        <w:jc w:val="left"/>
        <w:rPr>
          <w:i/>
        </w:rPr>
      </w:pPr>
    </w:p>
    <w:p w:rsidR="00C72656" w:rsidRDefault="00C72656" w:rsidP="00813C57">
      <w:pPr>
        <w:ind w:firstLine="1440"/>
        <w:jc w:val="left"/>
      </w:pPr>
      <w:r w:rsidRPr="00C72656">
        <w:t xml:space="preserve">On May 18, 2015, </w:t>
      </w:r>
      <w:r w:rsidR="002E47B8">
        <w:t xml:space="preserve">the </w:t>
      </w:r>
      <w:r w:rsidR="00731A2C">
        <w:t>Complainant</w:t>
      </w:r>
      <w:r w:rsidRPr="00C72656">
        <w:t xml:space="preserve"> </w:t>
      </w:r>
      <w:r w:rsidR="00427807">
        <w:t xml:space="preserve">amended his request for </w:t>
      </w:r>
      <w:r w:rsidR="00FC1E04">
        <w:t>relief</w:t>
      </w:r>
      <w:r w:rsidR="00FC1E04" w:rsidRPr="00C72656">
        <w:t xml:space="preserve"> </w:t>
      </w:r>
      <w:r w:rsidR="00FC1E04">
        <w:t>when</w:t>
      </w:r>
      <w:r w:rsidR="00427807">
        <w:t xml:space="preserve"> he </w:t>
      </w:r>
      <w:r w:rsidRPr="00C72656">
        <w:t>f</w:t>
      </w:r>
      <w:r>
        <w:t xml:space="preserve">iled his response to New Matter.  </w:t>
      </w:r>
      <w:r w:rsidR="00731A2C">
        <w:t>The Complainant</w:t>
      </w:r>
      <w:r>
        <w:t xml:space="preserve"> request</w:t>
      </w:r>
      <w:r w:rsidR="002E47B8">
        <w:t>ed</w:t>
      </w:r>
      <w:r>
        <w:t xml:space="preserve"> that the Commission impose sanctions against the Respondent for refusing to reconnect service to his apartment</w:t>
      </w:r>
      <w:r w:rsidR="001E7AEA">
        <w:t xml:space="preserve"> without an </w:t>
      </w:r>
      <w:r w:rsidR="001E7AEA">
        <w:rPr>
          <w:rFonts w:eastAsia="Times New Roman"/>
        </w:rPr>
        <w:t>underwriter’s certificate</w:t>
      </w:r>
      <w:r>
        <w:t>.  Complainant’s Response to New Matter ¶ 2.</w:t>
      </w:r>
    </w:p>
    <w:p w:rsidR="00A54299" w:rsidRDefault="00A54299" w:rsidP="00813C57">
      <w:pPr>
        <w:ind w:firstLine="1440"/>
        <w:jc w:val="left"/>
      </w:pPr>
    </w:p>
    <w:p w:rsidR="00C72656" w:rsidRDefault="00C72656" w:rsidP="00813C57">
      <w:pPr>
        <w:ind w:firstLine="1440"/>
        <w:jc w:val="left"/>
      </w:pPr>
      <w:r>
        <w:t xml:space="preserve">On May 21, 2015, </w:t>
      </w:r>
      <w:r w:rsidR="002E47B8">
        <w:t xml:space="preserve">the Respondent </w:t>
      </w:r>
      <w:r>
        <w:t>filed a Motion for Judgment on the Pleadings</w:t>
      </w:r>
      <w:r w:rsidR="00365495">
        <w:t xml:space="preserve"> </w:t>
      </w:r>
      <w:r w:rsidR="00332221">
        <w:t xml:space="preserve">seeking to dismiss the portion of </w:t>
      </w:r>
      <w:r w:rsidR="007934D3">
        <w:t xml:space="preserve">the </w:t>
      </w:r>
      <w:r w:rsidR="00731A2C">
        <w:t>Complainant</w:t>
      </w:r>
      <w:r w:rsidR="00332221">
        <w:t xml:space="preserve">’s present </w:t>
      </w:r>
      <w:r w:rsidR="007934D3">
        <w:t>c</w:t>
      </w:r>
      <w:r w:rsidR="00332221">
        <w:t>omplaint that seeks compensation for his out of pocket expenses</w:t>
      </w:r>
      <w:r w:rsidR="00A54299" w:rsidRPr="00A54299">
        <w:t xml:space="preserve"> </w:t>
      </w:r>
      <w:r w:rsidR="00A54299">
        <w:t xml:space="preserve">because the Commission lacks jurisdiction to award monetary damages.  Motion ¶¶ 15, 16. </w:t>
      </w:r>
      <w:r w:rsidR="00332221">
        <w:t xml:space="preserve"> </w:t>
      </w:r>
      <w:r w:rsidR="00A54299">
        <w:t xml:space="preserve">In its Motion, </w:t>
      </w:r>
      <w:r w:rsidR="007934D3">
        <w:t xml:space="preserve">the Respondent </w:t>
      </w:r>
      <w:r w:rsidR="0068053B">
        <w:t>averred that twenty</w:t>
      </w:r>
      <w:r w:rsidR="00365495">
        <w:t xml:space="preserve"> days had passed since the Respondent filed its New Matter</w:t>
      </w:r>
      <w:r w:rsidR="00245885">
        <w:t>, and</w:t>
      </w:r>
      <w:r w:rsidR="007934D3">
        <w:t xml:space="preserve"> </w:t>
      </w:r>
      <w:r w:rsidR="00365495">
        <w:t>it had not been served with a response to its New Matter.</w:t>
      </w:r>
    </w:p>
    <w:p w:rsidR="00395387" w:rsidRDefault="00395387" w:rsidP="00813C57">
      <w:pPr>
        <w:ind w:firstLine="1440"/>
        <w:jc w:val="left"/>
      </w:pPr>
    </w:p>
    <w:p w:rsidR="00365495" w:rsidRDefault="007934D3" w:rsidP="00813C57">
      <w:pPr>
        <w:ind w:firstLine="1440"/>
        <w:jc w:val="left"/>
      </w:pPr>
      <w:r>
        <w:t xml:space="preserve">The </w:t>
      </w:r>
      <w:r w:rsidR="00395387">
        <w:t xml:space="preserve">Complainant </w:t>
      </w:r>
      <w:r>
        <w:t>did</w:t>
      </w:r>
      <w:r w:rsidR="00395387">
        <w:t xml:space="preserve"> not file an answer to the Motion.</w:t>
      </w:r>
      <w:r w:rsidR="00395387">
        <w:rPr>
          <w:rStyle w:val="FootnoteReference"/>
        </w:rPr>
        <w:footnoteReference w:id="1"/>
      </w:r>
    </w:p>
    <w:p w:rsidR="00365495" w:rsidRDefault="00365495" w:rsidP="00813C57">
      <w:pPr>
        <w:jc w:val="left"/>
      </w:pPr>
    </w:p>
    <w:p w:rsidR="00DC29B5" w:rsidRDefault="00365495" w:rsidP="00813C57">
      <w:pPr>
        <w:ind w:firstLine="1440"/>
        <w:jc w:val="left"/>
      </w:pPr>
      <w:r>
        <w:t xml:space="preserve">By Hearing Notice dated June 29, 2015, </w:t>
      </w:r>
      <w:r w:rsidR="007934D3">
        <w:t xml:space="preserve">Administrative Law Judge </w:t>
      </w:r>
      <w:r w:rsidR="00797E6F">
        <w:t xml:space="preserve">(“ALJ”) </w:t>
      </w:r>
      <w:r w:rsidR="007934D3">
        <w:t xml:space="preserve">Eranda Vero </w:t>
      </w:r>
      <w:r>
        <w:t>was assigned to preside over this matter.</w:t>
      </w:r>
    </w:p>
    <w:p w:rsidR="00797E6F" w:rsidRDefault="00797E6F" w:rsidP="00813C57">
      <w:pPr>
        <w:ind w:firstLine="1440"/>
        <w:jc w:val="left"/>
      </w:pPr>
    </w:p>
    <w:p w:rsidR="00735CFA" w:rsidRDefault="008F44CB" w:rsidP="00813C57">
      <w:pPr>
        <w:ind w:firstLine="1440"/>
        <w:jc w:val="left"/>
      </w:pPr>
      <w:r>
        <w:lastRenderedPageBreak/>
        <w:t>By letter</w:t>
      </w:r>
      <w:r w:rsidR="00F947F1">
        <w:t>,</w:t>
      </w:r>
      <w:r>
        <w:t xml:space="preserve"> dated </w:t>
      </w:r>
      <w:r w:rsidRPr="008F44CB">
        <w:t xml:space="preserve">July 9, 2015, </w:t>
      </w:r>
      <w:r>
        <w:t>addressed to ALJ Cynthia Williams Fordham (“the undersigned”) t</w:t>
      </w:r>
      <w:r w:rsidRPr="008F44CB">
        <w:t xml:space="preserve">he Complainant stated that he had three complaints with the same “defendant” and requested that all three be consolidated and heard at the same time to save the Commonwealth time and money.  </w:t>
      </w:r>
    </w:p>
    <w:p w:rsidR="00245885" w:rsidRDefault="00245885" w:rsidP="00813C57">
      <w:pPr>
        <w:ind w:firstLine="1440"/>
        <w:jc w:val="left"/>
      </w:pPr>
    </w:p>
    <w:p w:rsidR="00F947F1" w:rsidRDefault="00B579E9" w:rsidP="00813C57">
      <w:pPr>
        <w:ind w:firstLine="1440"/>
        <w:jc w:val="left"/>
        <w:rPr>
          <w:rFonts w:eastAsia="Calibri"/>
        </w:rPr>
      </w:pPr>
      <w:r>
        <w:t xml:space="preserve">By hearing cancellation/reschedule/change notice, dated July 15, 2015, the cases docketed at </w:t>
      </w:r>
      <w:r>
        <w:rPr>
          <w:rFonts w:eastAsia="Calibri"/>
        </w:rPr>
        <w:t xml:space="preserve">C-2015-2477321 and </w:t>
      </w:r>
      <w:r>
        <w:rPr>
          <w:rFonts w:eastAsia="Times New Roman"/>
        </w:rPr>
        <w:t xml:space="preserve">C-2015-2487879 were reassigned to the undersigned to be held with </w:t>
      </w:r>
      <w:r>
        <w:rPr>
          <w:rFonts w:eastAsia="Calibri"/>
        </w:rPr>
        <w:t>C-2015-2477331 on Tuesday, September 29, 2015 at 10:00 a.m.</w:t>
      </w:r>
    </w:p>
    <w:p w:rsidR="00B579E9" w:rsidRDefault="00B579E9" w:rsidP="00813C57">
      <w:pPr>
        <w:ind w:firstLine="1440"/>
        <w:jc w:val="left"/>
      </w:pPr>
    </w:p>
    <w:p w:rsidR="00B579E9" w:rsidRDefault="00B579E9" w:rsidP="00813C57">
      <w:pPr>
        <w:ind w:firstLine="1440"/>
        <w:jc w:val="left"/>
        <w:rPr>
          <w:rFonts w:eastAsia="Times New Roman"/>
        </w:rPr>
      </w:pPr>
      <w:r>
        <w:t>By Order dated July 16, 2015, ALJ Vero denied the Respondent’s Motion for Judgment on the Pleadings in light of the Complainant’s amendment of the relief requested.  She stated that the revised relief rendered the Respondent’s Motion moot.</w:t>
      </w:r>
      <w:r>
        <w:rPr>
          <w:rFonts w:eastAsia="Times New Roman"/>
        </w:rPr>
        <w:t xml:space="preserve">  </w:t>
      </w:r>
    </w:p>
    <w:p w:rsidR="005E2C22" w:rsidRDefault="005E2C22" w:rsidP="00813C57">
      <w:pPr>
        <w:ind w:firstLine="1440"/>
        <w:jc w:val="left"/>
        <w:rPr>
          <w:rFonts w:eastAsia="Times New Roman"/>
        </w:rPr>
      </w:pPr>
    </w:p>
    <w:p w:rsidR="00716BBD" w:rsidRDefault="00DC7CE2" w:rsidP="00813C57">
      <w:pPr>
        <w:jc w:val="left"/>
        <w:rPr>
          <w:rFonts w:eastAsia="Times New Roman"/>
        </w:rPr>
      </w:pPr>
      <w:r>
        <w:rPr>
          <w:rFonts w:eastAsia="Calibri"/>
        </w:rPr>
        <w:tab/>
      </w:r>
      <w:r>
        <w:rPr>
          <w:rFonts w:eastAsia="Calibri"/>
        </w:rPr>
        <w:tab/>
        <w:t xml:space="preserve">On </w:t>
      </w:r>
      <w:r w:rsidR="00DB2FDE" w:rsidRPr="00DB2FDE">
        <w:rPr>
          <w:rFonts w:eastAsia="Calibri"/>
        </w:rPr>
        <w:t>September 3, 2015</w:t>
      </w:r>
      <w:r>
        <w:rPr>
          <w:rFonts w:eastAsia="Calibri"/>
        </w:rPr>
        <w:t xml:space="preserve">, the undersigned issued </w:t>
      </w:r>
      <w:r w:rsidRPr="00DC7CE2">
        <w:rPr>
          <w:rFonts w:eastAsia="Calibri"/>
        </w:rPr>
        <w:t xml:space="preserve">Prehearing Order #2 </w:t>
      </w:r>
      <w:r>
        <w:rPr>
          <w:rFonts w:eastAsia="Calibri"/>
        </w:rPr>
        <w:t>denying the r</w:t>
      </w:r>
      <w:r w:rsidRPr="00DC7CE2">
        <w:rPr>
          <w:rFonts w:eastAsia="Calibri"/>
        </w:rPr>
        <w:t xml:space="preserve">equest </w:t>
      </w:r>
      <w:r>
        <w:rPr>
          <w:rFonts w:eastAsia="Calibri"/>
        </w:rPr>
        <w:t>t</w:t>
      </w:r>
      <w:r w:rsidRPr="00DC7CE2">
        <w:rPr>
          <w:rFonts w:eastAsia="Calibri"/>
        </w:rPr>
        <w:t xml:space="preserve">o </w:t>
      </w:r>
      <w:r>
        <w:rPr>
          <w:rFonts w:eastAsia="Calibri"/>
        </w:rPr>
        <w:t>c</w:t>
      </w:r>
      <w:r w:rsidRPr="00DC7CE2">
        <w:rPr>
          <w:rFonts w:eastAsia="Calibri"/>
        </w:rPr>
        <w:t>onsolidate</w:t>
      </w:r>
      <w:r>
        <w:rPr>
          <w:rFonts w:eastAsia="Calibri"/>
        </w:rPr>
        <w:t xml:space="preserve"> the three cases.</w:t>
      </w:r>
      <w:r w:rsidRPr="00DC7CE2">
        <w:rPr>
          <w:rFonts w:eastAsia="Calibri"/>
        </w:rPr>
        <w:t xml:space="preserve"> </w:t>
      </w:r>
      <w:r>
        <w:rPr>
          <w:rFonts w:eastAsia="Calibri"/>
        </w:rPr>
        <w:t xml:space="preserve"> </w:t>
      </w:r>
      <w:r w:rsidR="00EE626C">
        <w:rPr>
          <w:rFonts w:eastAsia="Times New Roman"/>
        </w:rPr>
        <w:t xml:space="preserve">In this complaint, </w:t>
      </w:r>
      <w:r w:rsidR="00797E6F">
        <w:rPr>
          <w:rFonts w:eastAsia="Times New Roman"/>
        </w:rPr>
        <w:t xml:space="preserve">Docket No. </w:t>
      </w:r>
      <w:r w:rsidR="00797E6F">
        <w:rPr>
          <w:rFonts w:eastAsia="Calibri"/>
        </w:rPr>
        <w:t xml:space="preserve">C-2015-2477321, </w:t>
      </w:r>
      <w:r w:rsidR="00EE626C">
        <w:rPr>
          <w:rFonts w:eastAsia="Times New Roman"/>
        </w:rPr>
        <w:t xml:space="preserve">the Complainant is the landlord/owner of property at </w:t>
      </w:r>
      <w:r w:rsidR="00EE626C" w:rsidRPr="00EE626C">
        <w:rPr>
          <w:rFonts w:eastAsia="Times New Roman"/>
        </w:rPr>
        <w:t>7512 Brentwood Road</w:t>
      </w:r>
      <w:r w:rsidR="00B579E9">
        <w:rPr>
          <w:rFonts w:eastAsia="Times New Roman"/>
        </w:rPr>
        <w:t>,</w:t>
      </w:r>
      <w:r w:rsidR="00EE626C" w:rsidRPr="00EE626C">
        <w:rPr>
          <w:rFonts w:eastAsia="Times New Roman"/>
        </w:rPr>
        <w:t xml:space="preserve"> Phila</w:t>
      </w:r>
      <w:r w:rsidR="00B579E9">
        <w:rPr>
          <w:rFonts w:eastAsia="Times New Roman"/>
        </w:rPr>
        <w:t>delphia,</w:t>
      </w:r>
      <w:r w:rsidR="00EE626C" w:rsidRPr="00EE626C">
        <w:rPr>
          <w:rFonts w:eastAsia="Times New Roman"/>
        </w:rPr>
        <w:t xml:space="preserve"> Pa. 19151</w:t>
      </w:r>
      <w:r w:rsidR="00EE626C">
        <w:rPr>
          <w:rFonts w:eastAsia="Times New Roman"/>
        </w:rPr>
        <w:t xml:space="preserve">.  </w:t>
      </w:r>
      <w:r w:rsidR="00797E6F">
        <w:rPr>
          <w:rFonts w:eastAsia="Times New Roman"/>
        </w:rPr>
        <w:t xml:space="preserve">The Complainant alleged that </w:t>
      </w:r>
      <w:r w:rsidR="00EE626C">
        <w:rPr>
          <w:rFonts w:eastAsia="Times New Roman"/>
        </w:rPr>
        <w:t>the Respondent requir</w:t>
      </w:r>
      <w:r w:rsidR="00797E6F">
        <w:rPr>
          <w:rFonts w:eastAsia="Times New Roman"/>
        </w:rPr>
        <w:t>ed</w:t>
      </w:r>
      <w:r w:rsidR="00EE626C">
        <w:rPr>
          <w:rFonts w:eastAsia="Times New Roman"/>
        </w:rPr>
        <w:t xml:space="preserve"> the Complainant to pay </w:t>
      </w:r>
      <w:r w:rsidR="00FC1E04">
        <w:rPr>
          <w:rFonts w:eastAsia="Times New Roman"/>
        </w:rPr>
        <w:t>an</w:t>
      </w:r>
      <w:r w:rsidR="00B579E9">
        <w:rPr>
          <w:rFonts w:eastAsia="Times New Roman"/>
        </w:rPr>
        <w:t xml:space="preserve"> </w:t>
      </w:r>
      <w:r w:rsidR="00EE626C">
        <w:rPr>
          <w:rFonts w:eastAsia="Times New Roman"/>
        </w:rPr>
        <w:t>underwriter to inspect the apartment before his tenant could have the electric service turned on.  The complaint docketed at C-2015-2477331</w:t>
      </w:r>
      <w:r w:rsidR="00191956">
        <w:rPr>
          <w:rFonts w:eastAsia="Times New Roman"/>
        </w:rPr>
        <w:t xml:space="preserve"> </w:t>
      </w:r>
      <w:r w:rsidR="00797E6F">
        <w:rPr>
          <w:rFonts w:eastAsia="Times New Roman"/>
        </w:rPr>
        <w:t>involves</w:t>
      </w:r>
      <w:r w:rsidR="00191956">
        <w:rPr>
          <w:rFonts w:eastAsia="Times New Roman"/>
        </w:rPr>
        <w:t xml:space="preserve"> an attempt to relocate the electric service at 104 Wooded Lane, Villanova, PA to a chimney.  The complaint docketed at C-2015-2487879 concerns gas </w:t>
      </w:r>
      <w:r w:rsidR="00716BBD">
        <w:rPr>
          <w:rFonts w:eastAsia="Times New Roman"/>
        </w:rPr>
        <w:t xml:space="preserve">service at </w:t>
      </w:r>
      <w:r w:rsidR="00191956">
        <w:rPr>
          <w:rFonts w:eastAsia="Times New Roman"/>
        </w:rPr>
        <w:t>104 Wooded Lane, Villanova, PA.  The owner and customer of record at 104 Wooded Lane, Villanova, PA is Kate King.</w:t>
      </w:r>
      <w:r>
        <w:rPr>
          <w:rFonts w:eastAsia="Times New Roman"/>
        </w:rPr>
        <w:t xml:space="preserve">  </w:t>
      </w:r>
      <w:r w:rsidR="00191956" w:rsidRPr="00191956">
        <w:rPr>
          <w:rFonts w:eastAsia="Times New Roman"/>
        </w:rPr>
        <w:t xml:space="preserve">The Commission’s regulation at 52 Pa.Code </w:t>
      </w:r>
    </w:p>
    <w:p w:rsidR="00EE626C" w:rsidRDefault="00191956" w:rsidP="00813C57">
      <w:pPr>
        <w:jc w:val="left"/>
        <w:rPr>
          <w:rFonts w:eastAsia="Times New Roman"/>
        </w:rPr>
      </w:pPr>
      <w:r w:rsidRPr="00191956">
        <w:rPr>
          <w:rFonts w:eastAsia="Times New Roman"/>
        </w:rPr>
        <w:t>§</w:t>
      </w:r>
      <w:r>
        <w:rPr>
          <w:rFonts w:eastAsia="Times New Roman"/>
        </w:rPr>
        <w:t xml:space="preserve"> </w:t>
      </w:r>
      <w:r w:rsidRPr="00191956">
        <w:rPr>
          <w:rFonts w:eastAsia="Times New Roman"/>
        </w:rPr>
        <w:t>5.81</w:t>
      </w:r>
      <w:r w:rsidR="00225B58">
        <w:rPr>
          <w:rFonts w:eastAsia="Times New Roman"/>
        </w:rPr>
        <w:t>(a)</w:t>
      </w:r>
      <w:r w:rsidRPr="00191956">
        <w:rPr>
          <w:rFonts w:eastAsia="Times New Roman"/>
        </w:rPr>
        <w:t xml:space="preserve"> </w:t>
      </w:r>
      <w:r w:rsidR="00DC7CE2">
        <w:rPr>
          <w:rFonts w:eastAsia="Times New Roman"/>
        </w:rPr>
        <w:t xml:space="preserve">authorizes a </w:t>
      </w:r>
      <w:r w:rsidRPr="00191956">
        <w:rPr>
          <w:rFonts w:eastAsia="Times New Roman"/>
        </w:rPr>
        <w:t>presiding officer</w:t>
      </w:r>
      <w:r w:rsidR="00470991">
        <w:rPr>
          <w:rFonts w:eastAsia="Times New Roman"/>
        </w:rPr>
        <w:t xml:space="preserve"> </w:t>
      </w:r>
      <w:r w:rsidR="00470991" w:rsidRPr="00191956">
        <w:rPr>
          <w:rFonts w:eastAsia="Times New Roman"/>
        </w:rPr>
        <w:t>to consolidate</w:t>
      </w:r>
      <w:r w:rsidRPr="00191956">
        <w:rPr>
          <w:rFonts w:eastAsia="Times New Roman"/>
        </w:rPr>
        <w:t xml:space="preserve"> proceedings involving a common question of law or fact.  </w:t>
      </w:r>
      <w:r w:rsidR="00DC7CE2">
        <w:rPr>
          <w:rFonts w:eastAsia="Times New Roman"/>
        </w:rPr>
        <w:t>Since t</w:t>
      </w:r>
      <w:r>
        <w:rPr>
          <w:rFonts w:eastAsia="Times New Roman"/>
        </w:rPr>
        <w:t xml:space="preserve">here </w:t>
      </w:r>
      <w:r w:rsidR="00DC7CE2">
        <w:rPr>
          <w:rFonts w:eastAsia="Times New Roman"/>
        </w:rPr>
        <w:t>was</w:t>
      </w:r>
      <w:r>
        <w:rPr>
          <w:rFonts w:eastAsia="Times New Roman"/>
        </w:rPr>
        <w:t xml:space="preserve"> no evidence in the record to show that the cases at </w:t>
      </w:r>
      <w:r w:rsidRPr="00191956">
        <w:rPr>
          <w:rFonts w:eastAsia="Times New Roman"/>
        </w:rPr>
        <w:t>Docket Nos.</w:t>
      </w:r>
      <w:r>
        <w:rPr>
          <w:rFonts w:eastAsia="Times New Roman"/>
        </w:rPr>
        <w:t xml:space="preserve"> </w:t>
      </w:r>
      <w:r w:rsidRPr="00191956">
        <w:rPr>
          <w:rFonts w:eastAsia="Times New Roman"/>
        </w:rPr>
        <w:t>C-2015-2477331</w:t>
      </w:r>
      <w:r>
        <w:rPr>
          <w:rFonts w:eastAsia="Times New Roman"/>
        </w:rPr>
        <w:t xml:space="preserve"> and C-2015-2487879 involve a common question of law or fact with the instant case</w:t>
      </w:r>
      <w:r w:rsidR="00DC7CE2">
        <w:rPr>
          <w:rFonts w:eastAsia="Times New Roman"/>
        </w:rPr>
        <w:t xml:space="preserve"> and t</w:t>
      </w:r>
      <w:r>
        <w:rPr>
          <w:rFonts w:eastAsia="Times New Roman"/>
        </w:rPr>
        <w:t>he complaints involve a different property and different issue</w:t>
      </w:r>
      <w:r w:rsidR="00716BBD">
        <w:rPr>
          <w:rFonts w:eastAsia="Times New Roman"/>
        </w:rPr>
        <w:t>s</w:t>
      </w:r>
      <w:r w:rsidR="00DC7CE2">
        <w:rPr>
          <w:rFonts w:eastAsia="Times New Roman"/>
        </w:rPr>
        <w:t xml:space="preserve">, </w:t>
      </w:r>
      <w:r>
        <w:rPr>
          <w:rFonts w:eastAsia="Times New Roman"/>
        </w:rPr>
        <w:t xml:space="preserve">the complaint at Docket No. </w:t>
      </w:r>
      <w:r w:rsidRPr="00191956">
        <w:rPr>
          <w:rFonts w:eastAsia="Times New Roman"/>
        </w:rPr>
        <w:t>C-2015-24773</w:t>
      </w:r>
      <w:r>
        <w:rPr>
          <w:rFonts w:eastAsia="Times New Roman"/>
        </w:rPr>
        <w:t>2</w:t>
      </w:r>
      <w:r w:rsidRPr="00191956">
        <w:rPr>
          <w:rFonts w:eastAsia="Times New Roman"/>
        </w:rPr>
        <w:t>1</w:t>
      </w:r>
      <w:r>
        <w:rPr>
          <w:rFonts w:eastAsia="Times New Roman"/>
        </w:rPr>
        <w:t xml:space="preserve"> w</w:t>
      </w:r>
      <w:r w:rsidR="00DC7CE2">
        <w:rPr>
          <w:rFonts w:eastAsia="Times New Roman"/>
        </w:rPr>
        <w:t>as</w:t>
      </w:r>
      <w:r>
        <w:rPr>
          <w:rFonts w:eastAsia="Times New Roman"/>
        </w:rPr>
        <w:t xml:space="preserve"> not consolidated with the complaints at </w:t>
      </w:r>
      <w:r w:rsidR="00716BBD">
        <w:rPr>
          <w:rFonts w:eastAsia="Times New Roman"/>
        </w:rPr>
        <w:t xml:space="preserve">Docket Nos. </w:t>
      </w:r>
      <w:r>
        <w:rPr>
          <w:rFonts w:eastAsia="Times New Roman"/>
        </w:rPr>
        <w:t xml:space="preserve">C-2015-2477331 and C-2015-2487879. </w:t>
      </w:r>
    </w:p>
    <w:p w:rsidR="00C16C79" w:rsidRDefault="00C16C79" w:rsidP="00813C57">
      <w:pPr>
        <w:jc w:val="left"/>
        <w:rPr>
          <w:rFonts w:eastAsia="Times New Roman"/>
        </w:rPr>
      </w:pPr>
    </w:p>
    <w:p w:rsidR="005E2C22" w:rsidRDefault="005E2C22" w:rsidP="00813C57">
      <w:pPr>
        <w:pStyle w:val="NoSpacing"/>
      </w:pPr>
      <w:r>
        <w:tab/>
      </w:r>
      <w:r>
        <w:tab/>
        <w:t xml:space="preserve">A hearing was held in this matter on </w:t>
      </w:r>
      <w:r w:rsidRPr="005E2C22">
        <w:t>September 29, 2015</w:t>
      </w:r>
      <w:r>
        <w:t>, in the Philadelphia Regional Office before Administrative Law Judge Cynthia Williams Fordham.</w:t>
      </w:r>
    </w:p>
    <w:p w:rsidR="00716BBD" w:rsidRDefault="005E2C22" w:rsidP="00813C57">
      <w:pPr>
        <w:jc w:val="left"/>
      </w:pPr>
      <w:r>
        <w:lastRenderedPageBreak/>
        <w:tab/>
      </w:r>
      <w:r>
        <w:tab/>
        <w:t xml:space="preserve">The Complainant, </w:t>
      </w:r>
      <w:r>
        <w:rPr>
          <w:rFonts w:eastAsia="Calibri"/>
        </w:rPr>
        <w:t>David Hatchigian</w:t>
      </w:r>
      <w:r>
        <w:t>, testified in support of the complaint</w:t>
      </w:r>
      <w:r w:rsidR="0006323F">
        <w:t xml:space="preserve"> and sponsored eleven exhibits</w:t>
      </w:r>
      <w:r>
        <w:t xml:space="preserve">.  </w:t>
      </w:r>
    </w:p>
    <w:p w:rsidR="00716BBD" w:rsidRDefault="00716BBD" w:rsidP="00813C57">
      <w:pPr>
        <w:jc w:val="left"/>
      </w:pPr>
    </w:p>
    <w:p w:rsidR="0006323F" w:rsidRDefault="0006323F" w:rsidP="00813C57">
      <w:pPr>
        <w:pStyle w:val="NoSpacing"/>
        <w:spacing w:line="240" w:lineRule="auto"/>
        <w:ind w:left="1440" w:right="1440"/>
      </w:pPr>
      <w:r>
        <w:t>Complainant’s Exhibit</w:t>
      </w:r>
      <w:r w:rsidR="0068053B">
        <w:t>s</w:t>
      </w:r>
      <w:r>
        <w:t xml:space="preserve"> 1</w:t>
      </w:r>
      <w:r w:rsidR="00937AA8">
        <w:t xml:space="preserve"> and 2</w:t>
      </w:r>
      <w:r>
        <w:t xml:space="preserve"> - </w:t>
      </w:r>
      <w:r w:rsidR="0078751C">
        <w:t>R</w:t>
      </w:r>
      <w:r w:rsidR="0068053B">
        <w:t>esidential lease dated February </w:t>
      </w:r>
      <w:r w:rsidR="0078751C">
        <w:t>20, 2015;</w:t>
      </w:r>
      <w:r>
        <w:t xml:space="preserve"> </w:t>
      </w:r>
    </w:p>
    <w:p w:rsidR="0006323F" w:rsidRDefault="0006323F" w:rsidP="00813C57">
      <w:pPr>
        <w:pStyle w:val="NoSpacing"/>
        <w:spacing w:line="240" w:lineRule="auto"/>
        <w:ind w:left="1440" w:right="1440"/>
      </w:pPr>
      <w:r>
        <w:t xml:space="preserve">Complainant’s Exhibit </w:t>
      </w:r>
      <w:r w:rsidR="00937AA8">
        <w:t>3</w:t>
      </w:r>
      <w:r>
        <w:t xml:space="preserve"> - </w:t>
      </w:r>
      <w:r w:rsidR="006A1B9C">
        <w:t>Complainant’s r</w:t>
      </w:r>
      <w:r w:rsidR="00937AA8">
        <w:t xml:space="preserve">eceipt for </w:t>
      </w:r>
      <w:r w:rsidR="00937AA8">
        <w:rPr>
          <w:rFonts w:eastAsia="Batang"/>
        </w:rPr>
        <w:t xml:space="preserve">underwriter’s inspection </w:t>
      </w:r>
      <w:r>
        <w:t>for Brentwood Road property;</w:t>
      </w:r>
    </w:p>
    <w:p w:rsidR="0006323F" w:rsidRDefault="0006323F" w:rsidP="00813C57">
      <w:pPr>
        <w:spacing w:line="240" w:lineRule="auto"/>
        <w:ind w:left="1440" w:right="1440"/>
        <w:jc w:val="left"/>
      </w:pPr>
      <w:r>
        <w:t xml:space="preserve">Complainant’s Exhibit </w:t>
      </w:r>
      <w:r w:rsidR="00937AA8">
        <w:t>4</w:t>
      </w:r>
      <w:r>
        <w:t xml:space="preserve"> - </w:t>
      </w:r>
      <w:r w:rsidR="00937AA8">
        <w:t xml:space="preserve">Complainant’s money order for </w:t>
      </w:r>
      <w:r w:rsidR="000311F5">
        <w:rPr>
          <w:rFonts w:eastAsia="Batang"/>
        </w:rPr>
        <w:t>underwriter’s</w:t>
      </w:r>
      <w:r w:rsidR="00937AA8">
        <w:t xml:space="preserve"> </w:t>
      </w:r>
      <w:r w:rsidR="00706EE5">
        <w:t>inspection;</w:t>
      </w:r>
      <w:r>
        <w:t xml:space="preserve"> </w:t>
      </w:r>
    </w:p>
    <w:p w:rsidR="00937AA8" w:rsidRDefault="0006323F" w:rsidP="00813C57">
      <w:pPr>
        <w:spacing w:line="240" w:lineRule="auto"/>
        <w:ind w:left="1440" w:right="1440"/>
        <w:jc w:val="left"/>
      </w:pPr>
      <w:r>
        <w:t xml:space="preserve">Complainant’s Exhibit </w:t>
      </w:r>
      <w:r w:rsidR="00937AA8">
        <w:t>5</w:t>
      </w:r>
      <w:r>
        <w:t xml:space="preserve"> -</w:t>
      </w:r>
      <w:r w:rsidR="00C16C79">
        <w:t xml:space="preserve"> Voicemail </w:t>
      </w:r>
      <w:r w:rsidR="00937AA8">
        <w:t>notification</w:t>
      </w:r>
      <w:r w:rsidR="006A1B9C">
        <w:t xml:space="preserve"> of the electrical inspector’s call to the Complainant</w:t>
      </w:r>
      <w:r w:rsidR="000311F5">
        <w:t>;</w:t>
      </w:r>
    </w:p>
    <w:p w:rsidR="00937AA8" w:rsidRDefault="0006323F" w:rsidP="00813C57">
      <w:pPr>
        <w:spacing w:line="240" w:lineRule="auto"/>
        <w:ind w:left="1440" w:right="1440"/>
        <w:jc w:val="left"/>
      </w:pPr>
      <w:r>
        <w:t>Complainant’s</w:t>
      </w:r>
      <w:r w:rsidR="00937AA8">
        <w:t xml:space="preserve"> Exhibit 6</w:t>
      </w:r>
      <w:r>
        <w:t xml:space="preserve"> - </w:t>
      </w:r>
      <w:r w:rsidR="00C16C79">
        <w:t xml:space="preserve">Electrical </w:t>
      </w:r>
      <w:r w:rsidR="00937AA8">
        <w:t>inspector</w:t>
      </w:r>
      <w:r w:rsidR="006A1B9C">
        <w:t>’s</w:t>
      </w:r>
      <w:r w:rsidR="00937AA8">
        <w:t xml:space="preserve"> card</w:t>
      </w:r>
      <w:r w:rsidR="000311F5">
        <w:t>;</w:t>
      </w:r>
      <w:r w:rsidR="00937AA8">
        <w:t xml:space="preserve"> Complainant’s Exhibit</w:t>
      </w:r>
      <w:r w:rsidR="00581434">
        <w:t>s</w:t>
      </w:r>
      <w:r w:rsidR="007C3E52">
        <w:t xml:space="preserve"> 7 and</w:t>
      </w:r>
      <w:r w:rsidR="00937AA8">
        <w:t xml:space="preserve"> 8 - March 6, 2015, Letter from Deborah Shinn, Business Analyst for the Respondent with envelope</w:t>
      </w:r>
      <w:r w:rsidR="000311F5">
        <w:t>;</w:t>
      </w:r>
    </w:p>
    <w:p w:rsidR="0006323F" w:rsidRDefault="0006323F" w:rsidP="00813C57">
      <w:pPr>
        <w:spacing w:line="240" w:lineRule="auto"/>
        <w:ind w:left="1440" w:right="1440"/>
        <w:jc w:val="left"/>
      </w:pPr>
      <w:r>
        <w:t>Complainant’s Exhibit</w:t>
      </w:r>
      <w:r w:rsidR="00581434">
        <w:t>s</w:t>
      </w:r>
      <w:r>
        <w:t xml:space="preserve"> 9</w:t>
      </w:r>
      <w:r w:rsidR="007C3E52">
        <w:t xml:space="preserve"> and</w:t>
      </w:r>
      <w:r w:rsidR="00937AA8">
        <w:t xml:space="preserve"> 10</w:t>
      </w:r>
      <w:r>
        <w:t xml:space="preserve"> - Br</w:t>
      </w:r>
      <w:r w:rsidR="00937AA8">
        <w:t>ochur</w:t>
      </w:r>
      <w:r>
        <w:t>e</w:t>
      </w:r>
      <w:r w:rsidR="00937AA8">
        <w:t xml:space="preserve"> about EK Disconnect</w:t>
      </w:r>
      <w:r w:rsidR="00BB3141">
        <w:rPr>
          <w:rStyle w:val="FootnoteReference"/>
        </w:rPr>
        <w:footnoteReference w:id="2"/>
      </w:r>
      <w:r w:rsidR="00937AA8">
        <w:t xml:space="preserve"> safety device</w:t>
      </w:r>
      <w:r>
        <w:t>;</w:t>
      </w:r>
      <w:r w:rsidR="000311F5">
        <w:t xml:space="preserve"> and</w:t>
      </w:r>
    </w:p>
    <w:p w:rsidR="0006323F" w:rsidRDefault="0006323F" w:rsidP="00813C57">
      <w:pPr>
        <w:spacing w:line="240" w:lineRule="auto"/>
        <w:ind w:left="1440" w:right="1440"/>
        <w:jc w:val="left"/>
      </w:pPr>
      <w:r>
        <w:t xml:space="preserve">Complainant’s Exhibit 11 - </w:t>
      </w:r>
      <w:r w:rsidR="00937AA8">
        <w:t>email from customer service representative for EK Disconnect safety device.</w:t>
      </w:r>
    </w:p>
    <w:p w:rsidR="00E27F50" w:rsidRDefault="00E27F50" w:rsidP="00813C57">
      <w:pPr>
        <w:jc w:val="left"/>
      </w:pPr>
    </w:p>
    <w:p w:rsidR="005E2C22" w:rsidRDefault="0006323F" w:rsidP="00813C57">
      <w:pPr>
        <w:jc w:val="left"/>
      </w:pPr>
      <w:r>
        <w:tab/>
      </w:r>
      <w:r>
        <w:tab/>
      </w:r>
      <w:r w:rsidR="005E2C22">
        <w:t>Shawane L. Lee, Esquire, represented the Respondent.  The Respondent presented o</w:t>
      </w:r>
      <w:r w:rsidR="00470991">
        <w:t>ne</w:t>
      </w:r>
      <w:r w:rsidR="005E2C22">
        <w:t xml:space="preserve"> witness, </w:t>
      </w:r>
      <w:r w:rsidR="00470991">
        <w:t>Derrick Williams</w:t>
      </w:r>
      <w:r w:rsidR="005E2C22">
        <w:t xml:space="preserve">, </w:t>
      </w:r>
      <w:r w:rsidR="00F5271F" w:rsidRPr="00F5271F">
        <w:t>an electrical engineer</w:t>
      </w:r>
      <w:r w:rsidR="00F5271F">
        <w:t xml:space="preserve"> and </w:t>
      </w:r>
      <w:r w:rsidR="00F5271F" w:rsidRPr="00F5271F">
        <w:t>the Respondent’s business manager for Philadelphia</w:t>
      </w:r>
      <w:r w:rsidR="002A4AFD">
        <w:t>, who sponsored nine</w:t>
      </w:r>
      <w:bookmarkStart w:id="0" w:name="_GoBack"/>
      <w:bookmarkEnd w:id="0"/>
      <w:r w:rsidR="005E2C22">
        <w:t xml:space="preserve"> exhibits: </w:t>
      </w:r>
    </w:p>
    <w:p w:rsidR="00A72FD8" w:rsidRDefault="00A72FD8" w:rsidP="00813C57">
      <w:pPr>
        <w:pStyle w:val="NoSpacing"/>
        <w:spacing w:line="240" w:lineRule="auto"/>
        <w:ind w:left="1440" w:right="1440"/>
      </w:pPr>
    </w:p>
    <w:p w:rsidR="005E2C22" w:rsidRDefault="005E2C22" w:rsidP="00813C57">
      <w:pPr>
        <w:pStyle w:val="NoSpacing"/>
        <w:spacing w:line="240" w:lineRule="auto"/>
        <w:ind w:left="1440" w:right="1440"/>
      </w:pPr>
      <w:r>
        <w:t xml:space="preserve">PECO Exhibit 1 </w:t>
      </w:r>
      <w:r w:rsidR="00866451">
        <w:t>-</w:t>
      </w:r>
      <w:r>
        <w:t xml:space="preserve"> </w:t>
      </w:r>
      <w:r w:rsidR="00F2714C">
        <w:t>Contact History</w:t>
      </w:r>
      <w:r w:rsidR="00BB3141">
        <w:t>;</w:t>
      </w:r>
    </w:p>
    <w:p w:rsidR="005E2C22" w:rsidRDefault="005E2C22" w:rsidP="00813C57">
      <w:pPr>
        <w:pStyle w:val="NoSpacing"/>
        <w:spacing w:line="240" w:lineRule="auto"/>
        <w:ind w:left="1440" w:right="1440"/>
      </w:pPr>
      <w:r>
        <w:t xml:space="preserve">PECO Exhibit 2 </w:t>
      </w:r>
      <w:r w:rsidR="00866451">
        <w:t>-</w:t>
      </w:r>
      <w:r>
        <w:t xml:space="preserve"> </w:t>
      </w:r>
      <w:r w:rsidR="00F2714C">
        <w:t>Meter Data</w:t>
      </w:r>
      <w:r w:rsidR="00053A49">
        <w:t xml:space="preserve"> for Brentwood Road property</w:t>
      </w:r>
      <w:r>
        <w:t>;</w:t>
      </w:r>
    </w:p>
    <w:p w:rsidR="00F2714C" w:rsidRDefault="005E2C22" w:rsidP="00813C57">
      <w:pPr>
        <w:spacing w:line="240" w:lineRule="auto"/>
        <w:ind w:left="1440" w:right="1440"/>
        <w:jc w:val="left"/>
      </w:pPr>
      <w:r>
        <w:t xml:space="preserve">PECO Exhibit 3 </w:t>
      </w:r>
      <w:r w:rsidR="00866451">
        <w:t>-</w:t>
      </w:r>
      <w:r>
        <w:t xml:space="preserve"> </w:t>
      </w:r>
      <w:r w:rsidR="00575EC0">
        <w:rPr>
          <w:rFonts w:eastAsia="Batang"/>
        </w:rPr>
        <w:t>U</w:t>
      </w:r>
      <w:r w:rsidR="00053A49">
        <w:rPr>
          <w:rFonts w:eastAsia="Batang"/>
        </w:rPr>
        <w:t>nderwriter’s certificate dated March 1, 2015</w:t>
      </w:r>
      <w:r w:rsidR="00687162">
        <w:t>;</w:t>
      </w:r>
      <w:r w:rsidR="00F2714C" w:rsidRPr="00F2714C">
        <w:t xml:space="preserve"> </w:t>
      </w:r>
    </w:p>
    <w:p w:rsidR="00053A49" w:rsidRDefault="00F2714C" w:rsidP="00813C57">
      <w:pPr>
        <w:spacing w:line="240" w:lineRule="auto"/>
        <w:ind w:left="1440" w:right="1440"/>
        <w:jc w:val="left"/>
        <w:rPr>
          <w:rFonts w:eastAsia="Batang"/>
        </w:rPr>
      </w:pPr>
      <w:r>
        <w:t xml:space="preserve">PECO Exhibit 4 </w:t>
      </w:r>
      <w:r w:rsidR="00470991">
        <w:t xml:space="preserve">- </w:t>
      </w:r>
      <w:r w:rsidR="00053A49">
        <w:t xml:space="preserve">Respondent’s Policy re: </w:t>
      </w:r>
      <w:r>
        <w:t>Underwriter</w:t>
      </w:r>
      <w:r w:rsidR="00053A49">
        <w:rPr>
          <w:rFonts w:eastAsia="Batang"/>
        </w:rPr>
        <w:t>’s Certificates</w:t>
      </w:r>
      <w:r w:rsidR="00586A9A">
        <w:rPr>
          <w:rFonts w:eastAsia="Batang"/>
        </w:rPr>
        <w:t>;</w:t>
      </w:r>
    </w:p>
    <w:p w:rsidR="00F2714C" w:rsidRDefault="00F2714C" w:rsidP="00813C57">
      <w:pPr>
        <w:spacing w:line="240" w:lineRule="auto"/>
        <w:ind w:left="1440" w:right="1440"/>
        <w:jc w:val="left"/>
      </w:pPr>
      <w:r>
        <w:t xml:space="preserve">PECO Exhibit 5 </w:t>
      </w:r>
      <w:r w:rsidR="00470991">
        <w:t xml:space="preserve">- </w:t>
      </w:r>
      <w:r w:rsidR="00053A49">
        <w:t xml:space="preserve">Respondent’s Tariff on </w:t>
      </w:r>
      <w:r>
        <w:t>Introduction of Service</w:t>
      </w:r>
      <w:r w:rsidR="00586A9A">
        <w:t>;</w:t>
      </w:r>
    </w:p>
    <w:p w:rsidR="00F2714C" w:rsidRDefault="00F2714C" w:rsidP="00813C57">
      <w:pPr>
        <w:spacing w:line="240" w:lineRule="auto"/>
        <w:ind w:left="1440" w:right="1440"/>
        <w:jc w:val="left"/>
      </w:pPr>
      <w:r>
        <w:t xml:space="preserve">PECO Exhibit 6 </w:t>
      </w:r>
      <w:r w:rsidR="00470991">
        <w:t xml:space="preserve">- </w:t>
      </w:r>
      <w:r w:rsidR="00635517" w:rsidRPr="00635517">
        <w:t xml:space="preserve">Electric Service Requirements Manual </w:t>
      </w:r>
      <w:r w:rsidR="007C3E52">
        <w:t>(</w:t>
      </w:r>
      <w:r w:rsidR="00575EC0">
        <w:t>Blue Book)</w:t>
      </w:r>
      <w:r w:rsidR="00E032AC">
        <w:rPr>
          <w:rStyle w:val="FootnoteReference"/>
        </w:rPr>
        <w:footnoteReference w:id="3"/>
      </w:r>
      <w:r w:rsidR="00586A9A">
        <w:t>;</w:t>
      </w:r>
    </w:p>
    <w:p w:rsidR="005E2C22" w:rsidRDefault="005E2C22" w:rsidP="00813C57">
      <w:pPr>
        <w:spacing w:line="240" w:lineRule="auto"/>
        <w:ind w:left="1440" w:right="1440"/>
        <w:jc w:val="left"/>
      </w:pPr>
      <w:r>
        <w:t xml:space="preserve">PECO </w:t>
      </w:r>
      <w:r w:rsidR="006A1B9C">
        <w:t>Exhibit 7</w:t>
      </w:r>
      <w:r w:rsidR="00586A9A">
        <w:t xml:space="preserve"> -</w:t>
      </w:r>
      <w:r w:rsidR="00F2714C">
        <w:t xml:space="preserve"> </w:t>
      </w:r>
      <w:r>
        <w:t xml:space="preserve">Bureau of Consumer Services Case Details </w:t>
      </w:r>
      <w:r w:rsidR="006A1B9C">
        <w:t>Report #</w:t>
      </w:r>
      <w:r w:rsidR="00586A9A">
        <w:rPr>
          <w:rFonts w:eastAsia="Batang"/>
        </w:rPr>
        <w:t>003323044</w:t>
      </w:r>
      <w:r>
        <w:t>;</w:t>
      </w:r>
    </w:p>
    <w:p w:rsidR="00F2714C" w:rsidRDefault="00F2714C" w:rsidP="00813C57">
      <w:pPr>
        <w:spacing w:line="240" w:lineRule="auto"/>
        <w:ind w:left="1440" w:right="1440"/>
        <w:jc w:val="left"/>
      </w:pPr>
      <w:r>
        <w:t xml:space="preserve">PECO Exhibit 8 </w:t>
      </w:r>
      <w:r w:rsidR="00470991">
        <w:t xml:space="preserve">- </w:t>
      </w:r>
      <w:r w:rsidR="00586A9A">
        <w:t>March 6, 2015,</w:t>
      </w:r>
      <w:r w:rsidR="00B47295">
        <w:t xml:space="preserve"> l</w:t>
      </w:r>
      <w:r>
        <w:t>etter from Deborah Shinn</w:t>
      </w:r>
      <w:r w:rsidR="00586A9A">
        <w:t>, Business Analyst for the Respondent;</w:t>
      </w:r>
      <w:r w:rsidR="002A332C" w:rsidRPr="002A332C">
        <w:t xml:space="preserve"> </w:t>
      </w:r>
      <w:r w:rsidR="002A332C">
        <w:t>and</w:t>
      </w:r>
    </w:p>
    <w:p w:rsidR="005E2C22" w:rsidRDefault="005E2C22" w:rsidP="00813C57">
      <w:pPr>
        <w:spacing w:line="240" w:lineRule="auto"/>
        <w:ind w:left="1440" w:right="1440"/>
        <w:jc w:val="left"/>
      </w:pPr>
      <w:r>
        <w:t>PECO Exhibit</w:t>
      </w:r>
      <w:r w:rsidR="00F2714C">
        <w:t xml:space="preserve"> 9 </w:t>
      </w:r>
      <w:r w:rsidR="00470991">
        <w:t xml:space="preserve">- </w:t>
      </w:r>
      <w:r>
        <w:t>Bureau of Consumer Services Decision Report</w:t>
      </w:r>
      <w:r w:rsidR="00586A9A">
        <w:t xml:space="preserve">, dated July 1, 2015 </w:t>
      </w:r>
      <w:r w:rsidR="00586A9A">
        <w:rPr>
          <w:rFonts w:eastAsia="Batang"/>
        </w:rPr>
        <w:t>#003323044</w:t>
      </w:r>
      <w:r w:rsidR="002A332C">
        <w:t>.</w:t>
      </w:r>
    </w:p>
    <w:p w:rsidR="005E2C22" w:rsidRDefault="005E2C22" w:rsidP="00813C57">
      <w:pPr>
        <w:pStyle w:val="BodyText3"/>
        <w:spacing w:after="0" w:line="240" w:lineRule="auto"/>
        <w:ind w:left="1440" w:right="1440"/>
        <w:jc w:val="left"/>
        <w:rPr>
          <w:sz w:val="24"/>
          <w:szCs w:val="24"/>
        </w:rPr>
      </w:pPr>
    </w:p>
    <w:p w:rsidR="00C16C79" w:rsidRDefault="005E2C22" w:rsidP="00813C57">
      <w:pPr>
        <w:pStyle w:val="BodyText3"/>
        <w:spacing w:after="0"/>
        <w:jc w:val="left"/>
        <w:rPr>
          <w:sz w:val="24"/>
          <w:szCs w:val="24"/>
        </w:rPr>
      </w:pPr>
      <w:r>
        <w:rPr>
          <w:sz w:val="24"/>
          <w:szCs w:val="24"/>
        </w:rPr>
        <w:lastRenderedPageBreak/>
        <w:tab/>
      </w:r>
      <w:r>
        <w:rPr>
          <w:sz w:val="24"/>
          <w:szCs w:val="24"/>
        </w:rPr>
        <w:tab/>
        <w:t xml:space="preserve">The record in this case consists of a 77-page transcript and </w:t>
      </w:r>
      <w:r w:rsidR="00E27F50">
        <w:rPr>
          <w:sz w:val="24"/>
          <w:szCs w:val="24"/>
        </w:rPr>
        <w:t>sev</w:t>
      </w:r>
      <w:r w:rsidR="0006323F">
        <w:rPr>
          <w:sz w:val="24"/>
          <w:szCs w:val="24"/>
        </w:rPr>
        <w:t>e</w:t>
      </w:r>
      <w:r w:rsidR="00E27F50">
        <w:rPr>
          <w:sz w:val="24"/>
          <w:szCs w:val="24"/>
        </w:rPr>
        <w:t>n</w:t>
      </w:r>
      <w:r w:rsidR="0006323F">
        <w:rPr>
          <w:sz w:val="24"/>
          <w:szCs w:val="24"/>
        </w:rPr>
        <w:t>tee</w:t>
      </w:r>
      <w:r>
        <w:rPr>
          <w:sz w:val="24"/>
          <w:szCs w:val="24"/>
        </w:rPr>
        <w:t>n exhibits</w:t>
      </w:r>
      <w:r w:rsidR="00706EE5">
        <w:rPr>
          <w:rStyle w:val="FootnoteReference"/>
          <w:sz w:val="24"/>
          <w:szCs w:val="24"/>
        </w:rPr>
        <w:footnoteReference w:id="4"/>
      </w:r>
      <w:r>
        <w:rPr>
          <w:sz w:val="24"/>
          <w:szCs w:val="24"/>
        </w:rPr>
        <w:t xml:space="preserve">.  </w:t>
      </w:r>
    </w:p>
    <w:p w:rsidR="005E2C22" w:rsidRDefault="005E2C22" w:rsidP="00813C57">
      <w:pPr>
        <w:pStyle w:val="BodyText3"/>
        <w:spacing w:after="0"/>
        <w:jc w:val="left"/>
        <w:rPr>
          <w:sz w:val="24"/>
          <w:szCs w:val="24"/>
        </w:rPr>
      </w:pPr>
      <w:r>
        <w:rPr>
          <w:sz w:val="24"/>
          <w:szCs w:val="24"/>
        </w:rPr>
        <w:t xml:space="preserve">The record closed on </w:t>
      </w:r>
      <w:r w:rsidR="005707A3" w:rsidRPr="005707A3">
        <w:rPr>
          <w:sz w:val="24"/>
          <w:szCs w:val="24"/>
        </w:rPr>
        <w:t>October 26</w:t>
      </w:r>
      <w:r w:rsidRPr="005707A3">
        <w:rPr>
          <w:sz w:val="24"/>
          <w:szCs w:val="24"/>
        </w:rPr>
        <w:t>,</w:t>
      </w:r>
      <w:r>
        <w:rPr>
          <w:sz w:val="24"/>
          <w:szCs w:val="24"/>
        </w:rPr>
        <w:t xml:space="preserve"> 2015, when the transcript was received.</w:t>
      </w:r>
    </w:p>
    <w:p w:rsidR="00C16C79" w:rsidRDefault="00C16C79" w:rsidP="00813C57">
      <w:pPr>
        <w:pStyle w:val="NoSpacing"/>
        <w:jc w:val="center"/>
        <w:rPr>
          <w:rFonts w:eastAsia="Batang"/>
          <w:u w:val="single"/>
        </w:rPr>
      </w:pPr>
    </w:p>
    <w:p w:rsidR="005E2C22" w:rsidRDefault="005E2C22" w:rsidP="00813C57">
      <w:pPr>
        <w:pStyle w:val="NoSpacing"/>
        <w:jc w:val="center"/>
        <w:rPr>
          <w:rFonts w:eastAsia="Batang"/>
          <w:u w:val="single"/>
        </w:rPr>
      </w:pPr>
      <w:r>
        <w:rPr>
          <w:rFonts w:eastAsia="Batang"/>
          <w:u w:val="single"/>
        </w:rPr>
        <w:t>FINDINGS OF FACT</w:t>
      </w:r>
    </w:p>
    <w:p w:rsidR="005E2C22" w:rsidRDefault="005E2C22" w:rsidP="00813C57">
      <w:pPr>
        <w:pStyle w:val="NoSpacing"/>
        <w:rPr>
          <w:rFonts w:eastAsia="Batang"/>
        </w:rPr>
      </w:pPr>
    </w:p>
    <w:p w:rsidR="005E2C22" w:rsidRPr="00F644EE" w:rsidRDefault="005E2C22" w:rsidP="00813C57">
      <w:pPr>
        <w:pStyle w:val="ListParagraph"/>
        <w:numPr>
          <w:ilvl w:val="0"/>
          <w:numId w:val="5"/>
        </w:numPr>
        <w:ind w:left="0" w:firstLine="1440"/>
        <w:jc w:val="left"/>
        <w:rPr>
          <w:rFonts w:eastAsia="Calibri"/>
        </w:rPr>
      </w:pPr>
      <w:r>
        <w:t>The Complainant</w:t>
      </w:r>
      <w:r w:rsidR="00CA729B">
        <w:t>,</w:t>
      </w:r>
      <w:r>
        <w:t xml:space="preserve"> </w:t>
      </w:r>
      <w:r w:rsidR="00F2714C" w:rsidRPr="00F644EE">
        <w:rPr>
          <w:rFonts w:eastAsia="Calibri"/>
        </w:rPr>
        <w:t>David Hatchigian</w:t>
      </w:r>
      <w:r>
        <w:t xml:space="preserve">, </w:t>
      </w:r>
      <w:r w:rsidR="00F2714C">
        <w:t xml:space="preserve">owns the property at </w:t>
      </w:r>
      <w:r w:rsidR="00CA729B">
        <w:t xml:space="preserve">7512 Brentwood </w:t>
      </w:r>
      <w:r>
        <w:t xml:space="preserve">Road, </w:t>
      </w:r>
      <w:r w:rsidR="00CA729B">
        <w:t>Philadelphia</w:t>
      </w:r>
      <w:r>
        <w:t>, Pennsylvania</w:t>
      </w:r>
      <w:r w:rsidR="00CA729B">
        <w:t xml:space="preserve"> 19151 (Tr. 8</w:t>
      </w:r>
      <w:r w:rsidR="002350FF">
        <w:t>, 9</w:t>
      </w:r>
      <w:r w:rsidR="00CA729B">
        <w:t>)</w:t>
      </w:r>
      <w:r>
        <w:t xml:space="preserve">. </w:t>
      </w:r>
    </w:p>
    <w:p w:rsidR="005E2C22" w:rsidRDefault="005E2C22" w:rsidP="00813C57">
      <w:pPr>
        <w:ind w:firstLine="1440"/>
        <w:jc w:val="left"/>
      </w:pPr>
    </w:p>
    <w:p w:rsidR="00F644EE" w:rsidRDefault="005E2C22" w:rsidP="00813C57">
      <w:pPr>
        <w:pStyle w:val="BodyText"/>
        <w:numPr>
          <w:ilvl w:val="0"/>
          <w:numId w:val="5"/>
        </w:numPr>
        <w:tabs>
          <w:tab w:val="left" w:pos="0"/>
          <w:tab w:val="left" w:pos="720"/>
        </w:tabs>
        <w:spacing w:after="0"/>
        <w:ind w:left="0" w:firstLine="1440"/>
        <w:jc w:val="left"/>
      </w:pPr>
      <w:r>
        <w:t>The Respondent in this proceeding is PECO Energy Company.</w:t>
      </w:r>
      <w:r w:rsidR="00F644EE">
        <w:t xml:space="preserve">  </w:t>
      </w:r>
    </w:p>
    <w:p w:rsidR="00F644EE" w:rsidRDefault="00F644EE" w:rsidP="00813C57">
      <w:pPr>
        <w:pStyle w:val="ListParagraph"/>
        <w:ind w:left="0" w:firstLine="1440"/>
        <w:jc w:val="left"/>
      </w:pPr>
    </w:p>
    <w:p w:rsidR="00F5271F" w:rsidRPr="00F5271F" w:rsidRDefault="00F5271F" w:rsidP="00813C57">
      <w:pPr>
        <w:pStyle w:val="BodyText"/>
        <w:numPr>
          <w:ilvl w:val="0"/>
          <w:numId w:val="5"/>
        </w:numPr>
        <w:tabs>
          <w:tab w:val="left" w:pos="0"/>
          <w:tab w:val="left" w:pos="720"/>
        </w:tabs>
        <w:spacing w:after="0"/>
        <w:ind w:left="0" w:firstLine="1440"/>
        <w:jc w:val="left"/>
        <w:rPr>
          <w:rFonts w:eastAsia="Batang"/>
        </w:rPr>
      </w:pPr>
      <w:r w:rsidRPr="00F5271F">
        <w:t>The</w:t>
      </w:r>
      <w:r w:rsidRPr="00F5271F">
        <w:rPr>
          <w:rFonts w:eastAsia="Batang"/>
        </w:rPr>
        <w:t xml:space="preserve"> Complainant purchased </w:t>
      </w:r>
      <w:r w:rsidRPr="00F5271F">
        <w:t xml:space="preserve">Brentwood Road property, a duplex with two apartments, </w:t>
      </w:r>
      <w:r w:rsidRPr="00F5271F">
        <w:rPr>
          <w:rFonts w:eastAsia="Batang"/>
        </w:rPr>
        <w:t xml:space="preserve">in 2006 (Tr. 9, 11).  </w:t>
      </w:r>
    </w:p>
    <w:p w:rsidR="00F5271F" w:rsidRDefault="00F5271F" w:rsidP="00813C57">
      <w:pPr>
        <w:pStyle w:val="BodyText"/>
        <w:tabs>
          <w:tab w:val="left" w:pos="0"/>
          <w:tab w:val="left" w:pos="720"/>
        </w:tabs>
        <w:spacing w:after="0"/>
        <w:jc w:val="left"/>
        <w:rPr>
          <w:rFonts w:eastAsia="Batang"/>
        </w:rPr>
      </w:pPr>
    </w:p>
    <w:p w:rsidR="005E2C22" w:rsidRDefault="00F644EE" w:rsidP="00813C57">
      <w:pPr>
        <w:pStyle w:val="BodyText"/>
        <w:numPr>
          <w:ilvl w:val="0"/>
          <w:numId w:val="5"/>
        </w:numPr>
        <w:tabs>
          <w:tab w:val="left" w:pos="0"/>
          <w:tab w:val="left" w:pos="720"/>
        </w:tabs>
        <w:spacing w:after="0"/>
        <w:ind w:left="0" w:firstLine="1440"/>
        <w:jc w:val="left"/>
      </w:pPr>
      <w:r>
        <w:t>T</w:t>
      </w:r>
      <w:r w:rsidR="005E2C22">
        <w:t>he Respondent provides service to the Complainant</w:t>
      </w:r>
      <w:r w:rsidR="00F2714C">
        <w:t>’s tenants</w:t>
      </w:r>
      <w:r w:rsidR="005E2C22">
        <w:t xml:space="preserve"> at </w:t>
      </w:r>
      <w:r w:rsidR="00CA729B">
        <w:t xml:space="preserve">the Brentwood </w:t>
      </w:r>
      <w:r w:rsidR="005E2C22">
        <w:t>Road</w:t>
      </w:r>
      <w:r w:rsidR="00CA729B">
        <w:t xml:space="preserve"> property</w:t>
      </w:r>
      <w:r w:rsidR="005E2C22">
        <w:t xml:space="preserve"> (PECO Ex. </w:t>
      </w:r>
      <w:r w:rsidR="00F5271F">
        <w:t>1</w:t>
      </w:r>
      <w:r w:rsidR="005E2C22">
        <w:t>).</w:t>
      </w:r>
    </w:p>
    <w:p w:rsidR="005E2C22" w:rsidRDefault="005E2C22" w:rsidP="00813C57">
      <w:pPr>
        <w:pStyle w:val="BodyText"/>
        <w:tabs>
          <w:tab w:val="left" w:pos="0"/>
          <w:tab w:val="left" w:pos="720"/>
        </w:tabs>
        <w:spacing w:after="0"/>
        <w:ind w:firstLine="1440"/>
        <w:jc w:val="left"/>
      </w:pPr>
    </w:p>
    <w:p w:rsidR="00641235" w:rsidRDefault="00641235" w:rsidP="00813C57">
      <w:pPr>
        <w:pStyle w:val="ListParagraph"/>
        <w:numPr>
          <w:ilvl w:val="0"/>
          <w:numId w:val="5"/>
        </w:numPr>
        <w:ind w:left="0" w:firstLine="1440"/>
        <w:jc w:val="left"/>
        <w:rPr>
          <w:rFonts w:eastAsia="Batang"/>
        </w:rPr>
      </w:pPr>
      <w:r>
        <w:rPr>
          <w:rFonts w:eastAsia="Batang"/>
        </w:rPr>
        <w:t xml:space="preserve">Derrick Williams, an electrical engineer, is </w:t>
      </w:r>
      <w:r>
        <w:rPr>
          <w:rFonts w:eastAsia="Times New Roman"/>
        </w:rPr>
        <w:t>the Respondent’s</w:t>
      </w:r>
      <w:r>
        <w:rPr>
          <w:rFonts w:eastAsia="Batang"/>
        </w:rPr>
        <w:t xml:space="preserve"> business manager for the City of Philadelphia (Tr. 19, </w:t>
      </w:r>
      <w:r w:rsidR="00F5271F">
        <w:rPr>
          <w:rFonts w:eastAsia="Batang"/>
        </w:rPr>
        <w:t xml:space="preserve">20, </w:t>
      </w:r>
      <w:r>
        <w:rPr>
          <w:rFonts w:eastAsia="Batang"/>
        </w:rPr>
        <w:t xml:space="preserve">35).  </w:t>
      </w:r>
    </w:p>
    <w:p w:rsidR="00641235" w:rsidRDefault="00641235" w:rsidP="00813C57">
      <w:pPr>
        <w:pStyle w:val="ListParagraph"/>
        <w:ind w:left="0" w:firstLine="1440"/>
        <w:jc w:val="left"/>
        <w:rPr>
          <w:rFonts w:eastAsia="Batang"/>
        </w:rPr>
      </w:pPr>
    </w:p>
    <w:p w:rsidR="00641235" w:rsidRDefault="00641235" w:rsidP="00813C57">
      <w:pPr>
        <w:pStyle w:val="ListParagraph"/>
        <w:numPr>
          <w:ilvl w:val="0"/>
          <w:numId w:val="5"/>
        </w:numPr>
        <w:ind w:left="0" w:firstLine="1440"/>
        <w:jc w:val="left"/>
        <w:rPr>
          <w:rFonts w:eastAsia="Batang"/>
        </w:rPr>
      </w:pPr>
      <w:r>
        <w:rPr>
          <w:rFonts w:eastAsia="Batang"/>
        </w:rPr>
        <w:t>Mr. Williams is responsible for all new business</w:t>
      </w:r>
      <w:r w:rsidR="00F5271F">
        <w:rPr>
          <w:rFonts w:eastAsia="Batang"/>
        </w:rPr>
        <w:t xml:space="preserve"> and “</w:t>
      </w:r>
      <w:r>
        <w:rPr>
          <w:rFonts w:eastAsia="Batang"/>
        </w:rPr>
        <w:t>make safe requests</w:t>
      </w:r>
      <w:r w:rsidR="00F5271F">
        <w:rPr>
          <w:rFonts w:eastAsia="Batang"/>
        </w:rPr>
        <w:t>”</w:t>
      </w:r>
      <w:r>
        <w:rPr>
          <w:rFonts w:eastAsia="Batang"/>
        </w:rPr>
        <w:t xml:space="preserve"> </w:t>
      </w:r>
      <w:r w:rsidR="00F5271F">
        <w:rPr>
          <w:rFonts w:eastAsia="Batang"/>
        </w:rPr>
        <w:t>in t</w:t>
      </w:r>
      <w:r>
        <w:rPr>
          <w:rFonts w:eastAsia="Batang"/>
        </w:rPr>
        <w:t xml:space="preserve">he City of Philadelphia (Tr. </w:t>
      </w:r>
      <w:r w:rsidR="00F5271F">
        <w:rPr>
          <w:rFonts w:eastAsia="Batang"/>
        </w:rPr>
        <w:t xml:space="preserve">20, </w:t>
      </w:r>
      <w:r>
        <w:rPr>
          <w:rFonts w:eastAsia="Batang"/>
        </w:rPr>
        <w:t xml:space="preserve">37). </w:t>
      </w:r>
    </w:p>
    <w:p w:rsidR="00641235" w:rsidRDefault="00641235" w:rsidP="00813C57">
      <w:pPr>
        <w:pStyle w:val="ListParagraph"/>
        <w:ind w:left="0" w:firstLine="1440"/>
        <w:jc w:val="left"/>
        <w:rPr>
          <w:rFonts w:eastAsia="Batang"/>
        </w:rPr>
      </w:pPr>
    </w:p>
    <w:p w:rsidR="00334F5E" w:rsidRDefault="00334F5E" w:rsidP="00813C57">
      <w:pPr>
        <w:pStyle w:val="ListParagraph"/>
        <w:numPr>
          <w:ilvl w:val="0"/>
          <w:numId w:val="5"/>
        </w:numPr>
        <w:ind w:left="0" w:firstLine="1440"/>
        <w:jc w:val="left"/>
        <w:rPr>
          <w:rFonts w:eastAsia="Batang"/>
        </w:rPr>
      </w:pPr>
      <w:r w:rsidRPr="002351A7">
        <w:rPr>
          <w:rFonts w:eastAsia="Batang"/>
        </w:rPr>
        <w:t xml:space="preserve">The </w:t>
      </w:r>
      <w:r w:rsidR="00586A9A">
        <w:rPr>
          <w:rFonts w:eastAsia="Batang"/>
        </w:rPr>
        <w:t xml:space="preserve">electric </w:t>
      </w:r>
      <w:r w:rsidRPr="002351A7">
        <w:rPr>
          <w:rFonts w:eastAsia="Batang"/>
        </w:rPr>
        <w:t xml:space="preserve">service to the second floor apartment in the Complainant’s </w:t>
      </w:r>
      <w:r>
        <w:t>Brentwood Road property was disconnected on August 18, 2014</w:t>
      </w:r>
      <w:r w:rsidR="002350FF">
        <w:t>,</w:t>
      </w:r>
      <w:r w:rsidRPr="002351A7">
        <w:rPr>
          <w:rFonts w:eastAsia="Batang"/>
        </w:rPr>
        <w:t xml:space="preserve"> </w:t>
      </w:r>
      <w:r w:rsidR="00586A9A">
        <w:t xml:space="preserve">at the </w:t>
      </w:r>
      <w:r w:rsidR="00F5271F">
        <w:t>former tenant</w:t>
      </w:r>
      <w:r w:rsidR="00586A9A">
        <w:t xml:space="preserve">’s request </w:t>
      </w:r>
      <w:r w:rsidRPr="002351A7">
        <w:rPr>
          <w:rFonts w:eastAsia="Batang"/>
        </w:rPr>
        <w:t xml:space="preserve">(Tr. </w:t>
      </w:r>
      <w:r w:rsidRPr="00F5271F">
        <w:rPr>
          <w:rFonts w:eastAsia="Batang"/>
        </w:rPr>
        <w:t>8</w:t>
      </w:r>
      <w:r w:rsidR="002350FF">
        <w:rPr>
          <w:rFonts w:eastAsia="Batang"/>
        </w:rPr>
        <w:t>, 22</w:t>
      </w:r>
      <w:r w:rsidRPr="00F5271F">
        <w:rPr>
          <w:rFonts w:eastAsia="Batang"/>
        </w:rPr>
        <w:t>;</w:t>
      </w:r>
      <w:r w:rsidRPr="002351A7">
        <w:rPr>
          <w:rFonts w:eastAsia="Batang"/>
        </w:rPr>
        <w:t xml:space="preserve"> PECO Ex. 1). </w:t>
      </w:r>
    </w:p>
    <w:p w:rsidR="00641235" w:rsidRPr="00641235" w:rsidRDefault="00641235" w:rsidP="00813C57">
      <w:pPr>
        <w:jc w:val="left"/>
        <w:rPr>
          <w:rFonts w:eastAsia="Batang"/>
        </w:rPr>
      </w:pPr>
    </w:p>
    <w:p w:rsidR="005707A3" w:rsidRPr="00F644EE" w:rsidRDefault="005707A3" w:rsidP="00813C57">
      <w:pPr>
        <w:pStyle w:val="NoSpacing"/>
        <w:numPr>
          <w:ilvl w:val="0"/>
          <w:numId w:val="5"/>
        </w:numPr>
        <w:ind w:left="0" w:firstLine="1440"/>
        <w:rPr>
          <w:rFonts w:eastAsia="Batang"/>
        </w:rPr>
      </w:pPr>
      <w:r w:rsidRPr="00F644EE">
        <w:rPr>
          <w:rFonts w:eastAsia="Batang"/>
        </w:rPr>
        <w:t>The Complainant</w:t>
      </w:r>
      <w:r>
        <w:rPr>
          <w:rFonts w:eastAsia="Batang"/>
        </w:rPr>
        <w:t>’</w:t>
      </w:r>
      <w:r w:rsidRPr="00F644EE">
        <w:rPr>
          <w:rFonts w:eastAsia="Batang"/>
        </w:rPr>
        <w:t xml:space="preserve">s </w:t>
      </w:r>
      <w:r w:rsidR="002350FF">
        <w:rPr>
          <w:rFonts w:eastAsia="Batang"/>
        </w:rPr>
        <w:t>second floor apartment</w:t>
      </w:r>
      <w:r>
        <w:rPr>
          <w:rFonts w:eastAsia="Batang"/>
        </w:rPr>
        <w:t xml:space="preserve"> at the </w:t>
      </w:r>
      <w:r>
        <w:t xml:space="preserve">Brentwood Road property was unoccupied and </w:t>
      </w:r>
      <w:r w:rsidR="002350FF">
        <w:t>t</w:t>
      </w:r>
      <w:r>
        <w:rPr>
          <w:rFonts w:eastAsia="Batang"/>
        </w:rPr>
        <w:t xml:space="preserve">here was no electric usage from </w:t>
      </w:r>
      <w:r w:rsidR="002350FF">
        <w:rPr>
          <w:rFonts w:eastAsia="Batang"/>
        </w:rPr>
        <w:t xml:space="preserve">the </w:t>
      </w:r>
      <w:r>
        <w:rPr>
          <w:rFonts w:eastAsia="Batang"/>
        </w:rPr>
        <w:t>mid</w:t>
      </w:r>
      <w:r w:rsidR="002350FF">
        <w:rPr>
          <w:rFonts w:eastAsia="Batang"/>
        </w:rPr>
        <w:t xml:space="preserve">dle of </w:t>
      </w:r>
      <w:r>
        <w:rPr>
          <w:rFonts w:eastAsia="Batang"/>
        </w:rPr>
        <w:t>August 2014 to March 2015</w:t>
      </w:r>
      <w:r w:rsidRPr="00F644EE">
        <w:rPr>
          <w:rFonts w:eastAsia="Batang"/>
        </w:rPr>
        <w:t xml:space="preserve"> (Tr. </w:t>
      </w:r>
      <w:r w:rsidR="002350FF">
        <w:rPr>
          <w:rFonts w:eastAsia="Batang"/>
        </w:rPr>
        <w:t xml:space="preserve">17, </w:t>
      </w:r>
      <w:r>
        <w:rPr>
          <w:rFonts w:eastAsia="Batang"/>
        </w:rPr>
        <w:t>22: PECO Ex. 2</w:t>
      </w:r>
      <w:r w:rsidRPr="00F644EE">
        <w:rPr>
          <w:rFonts w:eastAsia="Batang"/>
        </w:rPr>
        <w:t xml:space="preserve">).  </w:t>
      </w:r>
    </w:p>
    <w:p w:rsidR="00B6529F" w:rsidRDefault="00B6529F" w:rsidP="00813C57">
      <w:pPr>
        <w:pStyle w:val="BodyText"/>
        <w:tabs>
          <w:tab w:val="left" w:pos="0"/>
          <w:tab w:val="left" w:pos="720"/>
        </w:tabs>
        <w:spacing w:after="0"/>
        <w:ind w:left="1440"/>
        <w:jc w:val="left"/>
        <w:rPr>
          <w:rFonts w:eastAsia="Batang"/>
        </w:rPr>
      </w:pPr>
    </w:p>
    <w:p w:rsidR="0078751C" w:rsidRPr="00635517" w:rsidRDefault="0078751C" w:rsidP="00813C57">
      <w:pPr>
        <w:pStyle w:val="BodyText"/>
        <w:numPr>
          <w:ilvl w:val="0"/>
          <w:numId w:val="5"/>
        </w:numPr>
        <w:tabs>
          <w:tab w:val="left" w:pos="0"/>
          <w:tab w:val="left" w:pos="720"/>
        </w:tabs>
        <w:spacing w:after="0"/>
        <w:ind w:left="0" w:firstLine="1440"/>
        <w:jc w:val="left"/>
        <w:rPr>
          <w:rFonts w:eastAsia="Batang"/>
        </w:rPr>
      </w:pPr>
      <w:r>
        <w:rPr>
          <w:rFonts w:eastAsia="Batang"/>
        </w:rPr>
        <w:lastRenderedPageBreak/>
        <w:t>On February 20, 2015, Suenee Walker entered into a lease with the</w:t>
      </w:r>
      <w:r>
        <w:rPr>
          <w:rFonts w:eastAsia="Times New Roman"/>
        </w:rPr>
        <w:t xml:space="preserve"> Complainant for </w:t>
      </w:r>
      <w:r>
        <w:rPr>
          <w:rFonts w:eastAsia="Batang"/>
        </w:rPr>
        <w:t xml:space="preserve">7512 </w:t>
      </w:r>
      <w:r>
        <w:t>Brentwood Road, 2</w:t>
      </w:r>
      <w:r>
        <w:rPr>
          <w:vertAlign w:val="superscript"/>
        </w:rPr>
        <w:t>nd</w:t>
      </w:r>
      <w:r>
        <w:t xml:space="preserve"> floor (Tr. </w:t>
      </w:r>
      <w:r w:rsidR="002350FF">
        <w:t>9</w:t>
      </w:r>
      <w:r w:rsidR="00E37F23">
        <w:t>, 63</w:t>
      </w:r>
      <w:r>
        <w:t>; C. Ex</w:t>
      </w:r>
      <w:r w:rsidR="00C16C79">
        <w:t>s</w:t>
      </w:r>
      <w:r>
        <w:t>. 1</w:t>
      </w:r>
      <w:r w:rsidR="00C16C79">
        <w:t>, 2</w:t>
      </w:r>
      <w:r>
        <w:t>)</w:t>
      </w:r>
      <w:r w:rsidR="00C16C79">
        <w:t>.</w:t>
      </w:r>
      <w:r>
        <w:t xml:space="preserve"> </w:t>
      </w:r>
    </w:p>
    <w:p w:rsidR="00635517" w:rsidRDefault="00635517" w:rsidP="00635517">
      <w:pPr>
        <w:pStyle w:val="BodyText"/>
        <w:tabs>
          <w:tab w:val="left" w:pos="0"/>
          <w:tab w:val="left" w:pos="720"/>
        </w:tabs>
        <w:spacing w:after="0"/>
        <w:jc w:val="left"/>
        <w:rPr>
          <w:rFonts w:eastAsia="Batang"/>
        </w:rPr>
      </w:pPr>
    </w:p>
    <w:p w:rsidR="005E2C22" w:rsidRPr="00B6529F" w:rsidRDefault="000040A7" w:rsidP="00813C57">
      <w:pPr>
        <w:pStyle w:val="BodyText"/>
        <w:numPr>
          <w:ilvl w:val="0"/>
          <w:numId w:val="5"/>
        </w:numPr>
        <w:tabs>
          <w:tab w:val="left" w:pos="0"/>
          <w:tab w:val="left" w:pos="720"/>
        </w:tabs>
        <w:spacing w:after="0"/>
        <w:ind w:left="0" w:firstLine="1440"/>
        <w:jc w:val="left"/>
        <w:rPr>
          <w:rFonts w:eastAsia="Batang"/>
        </w:rPr>
      </w:pPr>
      <w:r>
        <w:rPr>
          <w:rFonts w:eastAsia="Batang"/>
        </w:rPr>
        <w:t>Ms.</w:t>
      </w:r>
      <w:r w:rsidR="00B6529F" w:rsidRPr="00B6529F">
        <w:rPr>
          <w:rFonts w:eastAsia="Batang"/>
        </w:rPr>
        <w:t xml:space="preserve"> Walker </w:t>
      </w:r>
      <w:r w:rsidR="00706EE5">
        <w:rPr>
          <w:rFonts w:eastAsia="Batang"/>
        </w:rPr>
        <w:t xml:space="preserve">called the </w:t>
      </w:r>
      <w:r w:rsidR="00706EE5">
        <w:t>Respondent to request</w:t>
      </w:r>
      <w:r w:rsidR="00B6529F" w:rsidRPr="00B6529F">
        <w:rPr>
          <w:rFonts w:eastAsia="Batang"/>
        </w:rPr>
        <w:t xml:space="preserve"> new service at 7512 </w:t>
      </w:r>
      <w:r w:rsidR="00B6529F">
        <w:t>Brentwood Road, 2</w:t>
      </w:r>
      <w:r w:rsidR="00B6529F" w:rsidRPr="00B6529F">
        <w:rPr>
          <w:vertAlign w:val="superscript"/>
        </w:rPr>
        <w:t>nd</w:t>
      </w:r>
      <w:r w:rsidR="00B6529F">
        <w:t xml:space="preserve"> floor</w:t>
      </w:r>
      <w:r w:rsidR="002350FF">
        <w:t>,</w:t>
      </w:r>
      <w:r w:rsidR="00B6529F">
        <w:t xml:space="preserve"> on February 26, 2015 </w:t>
      </w:r>
      <w:r w:rsidR="00B6529F" w:rsidRPr="00B6529F">
        <w:t xml:space="preserve">(Tr. </w:t>
      </w:r>
      <w:r w:rsidR="002350FF">
        <w:t xml:space="preserve">9, </w:t>
      </w:r>
      <w:r w:rsidR="00B6529F" w:rsidRPr="00B6529F">
        <w:t>16</w:t>
      </w:r>
      <w:r w:rsidR="00687162">
        <w:t>, 23</w:t>
      </w:r>
      <w:r w:rsidR="00B6529F" w:rsidRPr="00B6529F">
        <w:t>; PECO Ex</w:t>
      </w:r>
      <w:r w:rsidR="00C16C79">
        <w:t>s</w:t>
      </w:r>
      <w:r w:rsidR="00B6529F" w:rsidRPr="00B6529F">
        <w:t xml:space="preserve">. </w:t>
      </w:r>
      <w:r w:rsidR="00C16C79">
        <w:t xml:space="preserve">1, </w:t>
      </w:r>
      <w:r w:rsidR="00B6529F" w:rsidRPr="00B6529F">
        <w:t>8).</w:t>
      </w:r>
    </w:p>
    <w:p w:rsidR="00B6529F" w:rsidRPr="00B6529F" w:rsidRDefault="00B6529F" w:rsidP="00813C57">
      <w:pPr>
        <w:pStyle w:val="BodyText"/>
        <w:tabs>
          <w:tab w:val="left" w:pos="0"/>
          <w:tab w:val="left" w:pos="720"/>
        </w:tabs>
        <w:spacing w:after="0"/>
        <w:jc w:val="left"/>
        <w:rPr>
          <w:rFonts w:eastAsia="Batang"/>
        </w:rPr>
      </w:pPr>
    </w:p>
    <w:p w:rsidR="005E2C22" w:rsidRPr="00F644EE" w:rsidRDefault="00CA729B" w:rsidP="00813C57">
      <w:pPr>
        <w:pStyle w:val="ListParagraph"/>
        <w:numPr>
          <w:ilvl w:val="0"/>
          <w:numId w:val="5"/>
        </w:numPr>
        <w:tabs>
          <w:tab w:val="left" w:pos="0"/>
        </w:tabs>
        <w:ind w:left="0" w:firstLine="1440"/>
        <w:jc w:val="left"/>
        <w:rPr>
          <w:rFonts w:eastAsia="Batang"/>
        </w:rPr>
      </w:pPr>
      <w:r w:rsidRPr="00F644EE">
        <w:rPr>
          <w:rFonts w:eastAsia="Batang"/>
        </w:rPr>
        <w:t xml:space="preserve">The </w:t>
      </w:r>
      <w:r w:rsidR="005E2C22" w:rsidRPr="00F644EE">
        <w:rPr>
          <w:rFonts w:eastAsia="Batang"/>
        </w:rPr>
        <w:t>Respondent in</w:t>
      </w:r>
      <w:r w:rsidRPr="00F644EE">
        <w:rPr>
          <w:rFonts w:eastAsia="Batang"/>
        </w:rPr>
        <w:t>form</w:t>
      </w:r>
      <w:r w:rsidR="005E2C22" w:rsidRPr="00F644EE">
        <w:rPr>
          <w:rFonts w:eastAsia="Batang"/>
        </w:rPr>
        <w:t xml:space="preserve">ed </w:t>
      </w:r>
      <w:r w:rsidRPr="00F644EE">
        <w:rPr>
          <w:rFonts w:eastAsia="Batang"/>
        </w:rPr>
        <w:t xml:space="preserve">Ms. Walker that the landlord needed </w:t>
      </w:r>
      <w:r w:rsidR="00C16C79">
        <w:rPr>
          <w:rFonts w:eastAsia="Batang"/>
        </w:rPr>
        <w:t xml:space="preserve">to submit </w:t>
      </w:r>
      <w:r w:rsidRPr="00F644EE">
        <w:rPr>
          <w:rFonts w:eastAsia="Batang"/>
        </w:rPr>
        <w:t xml:space="preserve">an underwriter certificate to energize the electric service </w:t>
      </w:r>
      <w:r w:rsidR="00E37F23">
        <w:rPr>
          <w:rFonts w:eastAsia="Batang"/>
        </w:rPr>
        <w:t xml:space="preserve">and gave her a list of approved inspectors </w:t>
      </w:r>
      <w:r w:rsidR="005E2C22" w:rsidRPr="00F644EE">
        <w:rPr>
          <w:rFonts w:eastAsia="Batang"/>
        </w:rPr>
        <w:t xml:space="preserve">(Tr. </w:t>
      </w:r>
      <w:r w:rsidRPr="00F644EE">
        <w:rPr>
          <w:rFonts w:eastAsia="Batang"/>
        </w:rPr>
        <w:t>9</w:t>
      </w:r>
      <w:r w:rsidR="00B6529F">
        <w:rPr>
          <w:rFonts w:eastAsia="Batang"/>
        </w:rPr>
        <w:t xml:space="preserve">, </w:t>
      </w:r>
      <w:r w:rsidR="00687162">
        <w:rPr>
          <w:rFonts w:eastAsia="Batang"/>
        </w:rPr>
        <w:t>23, 24; PECO Ex. 1</w:t>
      </w:r>
      <w:r w:rsidR="005E2C22" w:rsidRPr="00F644EE">
        <w:rPr>
          <w:rFonts w:eastAsia="Batang"/>
        </w:rPr>
        <w:t xml:space="preserve">). </w:t>
      </w:r>
    </w:p>
    <w:p w:rsidR="005E2C22" w:rsidRDefault="005E2C22" w:rsidP="00813C57">
      <w:pPr>
        <w:pStyle w:val="NoSpacing"/>
        <w:tabs>
          <w:tab w:val="left" w:pos="0"/>
        </w:tabs>
        <w:ind w:firstLine="1440"/>
        <w:rPr>
          <w:rFonts w:eastAsia="Batang"/>
        </w:rPr>
      </w:pPr>
    </w:p>
    <w:p w:rsidR="005707A3" w:rsidRPr="008F21D3" w:rsidRDefault="00965DC0" w:rsidP="00813C57">
      <w:pPr>
        <w:pStyle w:val="NoSpacing"/>
        <w:numPr>
          <w:ilvl w:val="0"/>
          <w:numId w:val="5"/>
        </w:numPr>
        <w:ind w:left="0" w:firstLine="1440"/>
        <w:rPr>
          <w:rFonts w:eastAsia="Batang"/>
        </w:rPr>
      </w:pPr>
      <w:r>
        <w:rPr>
          <w:rFonts w:eastAsia="Batang"/>
        </w:rPr>
        <w:t>The Respondent requested an underwriter’s certificate because the service had been off longer than six months (Tr. 33; PECO Ex</w:t>
      </w:r>
      <w:r w:rsidR="00C16C79">
        <w:rPr>
          <w:rFonts w:eastAsia="Batang"/>
        </w:rPr>
        <w:t>s</w:t>
      </w:r>
      <w:r>
        <w:rPr>
          <w:rFonts w:eastAsia="Batang"/>
        </w:rPr>
        <w:t>. 1</w:t>
      </w:r>
      <w:r w:rsidR="00C16C79">
        <w:rPr>
          <w:rFonts w:eastAsia="Batang"/>
        </w:rPr>
        <w:t>, 4, 5, 8</w:t>
      </w:r>
      <w:r>
        <w:rPr>
          <w:rFonts w:eastAsia="Batang"/>
        </w:rPr>
        <w:t>).</w:t>
      </w:r>
    </w:p>
    <w:p w:rsidR="00C16C79" w:rsidRDefault="00C16C79" w:rsidP="00813C57">
      <w:pPr>
        <w:pStyle w:val="NoSpacing"/>
        <w:rPr>
          <w:rFonts w:eastAsia="Batang"/>
        </w:rPr>
      </w:pPr>
    </w:p>
    <w:p w:rsidR="00C16C79" w:rsidRDefault="00C16C79" w:rsidP="00813C57">
      <w:pPr>
        <w:pStyle w:val="NoSpacing"/>
        <w:numPr>
          <w:ilvl w:val="0"/>
          <w:numId w:val="5"/>
        </w:numPr>
        <w:ind w:left="0" w:firstLine="1440"/>
        <w:rPr>
          <w:rFonts w:eastAsia="Batang"/>
        </w:rPr>
      </w:pPr>
      <w:r>
        <w:rPr>
          <w:rFonts w:eastAsia="Batang"/>
        </w:rPr>
        <w:t>The</w:t>
      </w:r>
      <w:r>
        <w:rPr>
          <w:rFonts w:eastAsia="Times New Roman"/>
        </w:rPr>
        <w:t xml:space="preserve"> Complainant, an electrician, called t</w:t>
      </w:r>
      <w:r>
        <w:rPr>
          <w:rFonts w:eastAsia="Batang"/>
        </w:rPr>
        <w:t xml:space="preserve">he Respondent on February 27, 2015, to ask why the underwriter’s certificate was needed </w:t>
      </w:r>
      <w:r w:rsidR="008F21D3">
        <w:rPr>
          <w:rFonts w:eastAsia="Batang"/>
        </w:rPr>
        <w:t xml:space="preserve">before the service could be turned on </w:t>
      </w:r>
      <w:r>
        <w:rPr>
          <w:rFonts w:eastAsia="Batang"/>
        </w:rPr>
        <w:t>(Tr. 12, 24; PECO Ex. 1).</w:t>
      </w:r>
    </w:p>
    <w:p w:rsidR="002817F8" w:rsidRDefault="002817F8" w:rsidP="00813C57">
      <w:pPr>
        <w:pStyle w:val="NoSpacing"/>
        <w:rPr>
          <w:rFonts w:eastAsia="Batang"/>
        </w:rPr>
      </w:pPr>
    </w:p>
    <w:p w:rsidR="002817F8" w:rsidRDefault="002817F8" w:rsidP="00813C57">
      <w:pPr>
        <w:pStyle w:val="NoSpacing"/>
        <w:numPr>
          <w:ilvl w:val="0"/>
          <w:numId w:val="5"/>
        </w:numPr>
        <w:ind w:left="0" w:firstLine="1440"/>
        <w:rPr>
          <w:rFonts w:eastAsia="Batang"/>
        </w:rPr>
      </w:pPr>
      <w:r>
        <w:rPr>
          <w:rFonts w:eastAsia="Times New Roman"/>
        </w:rPr>
        <w:t>The Complainant</w:t>
      </w:r>
      <w:r>
        <w:rPr>
          <w:rFonts w:eastAsia="Batang"/>
        </w:rPr>
        <w:t xml:space="preserve"> paid $75.00 for the underwriter certificate, dated March 1, 2015 (Tr. 14</w:t>
      </w:r>
      <w:r w:rsidR="00E37F23">
        <w:rPr>
          <w:rFonts w:eastAsia="Batang"/>
        </w:rPr>
        <w:t>, 63</w:t>
      </w:r>
      <w:r>
        <w:rPr>
          <w:rFonts w:eastAsia="Batang"/>
        </w:rPr>
        <w:t>; C. Exs. 3, 4, 6; PECO Ex. 3).</w:t>
      </w:r>
    </w:p>
    <w:p w:rsidR="00C16C79" w:rsidRDefault="00C16C79" w:rsidP="00813C57">
      <w:pPr>
        <w:pStyle w:val="ListParagraph"/>
        <w:rPr>
          <w:rFonts w:eastAsia="Batang"/>
        </w:rPr>
      </w:pPr>
    </w:p>
    <w:p w:rsidR="00C16C79" w:rsidRDefault="00C16C79" w:rsidP="00813C57">
      <w:pPr>
        <w:pStyle w:val="NoSpacing"/>
        <w:numPr>
          <w:ilvl w:val="0"/>
          <w:numId w:val="5"/>
        </w:numPr>
        <w:ind w:left="0" w:firstLine="1440"/>
        <w:rPr>
          <w:rFonts w:eastAsia="Batang"/>
        </w:rPr>
      </w:pPr>
      <w:r>
        <w:rPr>
          <w:rFonts w:eastAsia="Batang"/>
        </w:rPr>
        <w:t xml:space="preserve">Ms. Walker called the Respondent on March 2, 2015, to find out when the service would be </w:t>
      </w:r>
      <w:r w:rsidR="007B79FC">
        <w:rPr>
          <w:rFonts w:eastAsia="Batang"/>
        </w:rPr>
        <w:t xml:space="preserve">turned </w:t>
      </w:r>
      <w:r>
        <w:rPr>
          <w:rFonts w:eastAsia="Batang"/>
        </w:rPr>
        <w:t>on (Tr. 24; PECO Ex. 1).</w:t>
      </w:r>
    </w:p>
    <w:p w:rsidR="00687162" w:rsidRDefault="00687162" w:rsidP="00813C57">
      <w:pPr>
        <w:pStyle w:val="ListParagraph"/>
        <w:rPr>
          <w:rFonts w:eastAsia="Batang"/>
        </w:rPr>
      </w:pPr>
    </w:p>
    <w:p w:rsidR="00687162" w:rsidRDefault="00687162" w:rsidP="00813C57">
      <w:pPr>
        <w:pStyle w:val="NoSpacing"/>
        <w:numPr>
          <w:ilvl w:val="0"/>
          <w:numId w:val="5"/>
        </w:numPr>
        <w:ind w:left="0" w:firstLine="1440"/>
        <w:rPr>
          <w:rFonts w:eastAsia="Batang"/>
        </w:rPr>
      </w:pPr>
      <w:r>
        <w:rPr>
          <w:rFonts w:eastAsia="Batang"/>
        </w:rPr>
        <w:t xml:space="preserve">The Respondent received the underwriter’s certificate for </w:t>
      </w:r>
      <w:r>
        <w:t xml:space="preserve">Brentwood Road at 10:25 </w:t>
      </w:r>
      <w:r w:rsidR="009B2F0E">
        <w:t>a</w:t>
      </w:r>
      <w:r>
        <w:t>.m. on March 3, 2015 (Tr. 25</w:t>
      </w:r>
      <w:r w:rsidR="007B79FC">
        <w:t>, 28</w:t>
      </w:r>
      <w:r>
        <w:t>;</w:t>
      </w:r>
      <w:r>
        <w:rPr>
          <w:rFonts w:eastAsia="Batang"/>
        </w:rPr>
        <w:t xml:space="preserve"> PECO Ex</w:t>
      </w:r>
      <w:r w:rsidR="00053A49">
        <w:rPr>
          <w:rFonts w:eastAsia="Batang"/>
        </w:rPr>
        <w:t>s</w:t>
      </w:r>
      <w:r>
        <w:rPr>
          <w:rFonts w:eastAsia="Batang"/>
        </w:rPr>
        <w:t>. 1</w:t>
      </w:r>
      <w:r w:rsidR="00053A49">
        <w:rPr>
          <w:rFonts w:eastAsia="Batang"/>
        </w:rPr>
        <w:t>, 3</w:t>
      </w:r>
      <w:r>
        <w:rPr>
          <w:rFonts w:eastAsia="Batang"/>
        </w:rPr>
        <w:t>).</w:t>
      </w:r>
    </w:p>
    <w:p w:rsidR="00687162" w:rsidRDefault="00687162" w:rsidP="00813C57">
      <w:pPr>
        <w:pStyle w:val="ListParagraph"/>
        <w:rPr>
          <w:rFonts w:eastAsia="Batang"/>
        </w:rPr>
      </w:pPr>
    </w:p>
    <w:p w:rsidR="00687162" w:rsidRDefault="00687162" w:rsidP="00813C57">
      <w:pPr>
        <w:pStyle w:val="NoSpacing"/>
        <w:numPr>
          <w:ilvl w:val="0"/>
          <w:numId w:val="5"/>
        </w:numPr>
        <w:ind w:left="0" w:firstLine="1440"/>
        <w:rPr>
          <w:rFonts w:eastAsia="Batang"/>
        </w:rPr>
      </w:pPr>
      <w:r>
        <w:rPr>
          <w:rFonts w:eastAsia="Batang"/>
        </w:rPr>
        <w:t xml:space="preserve">The Respondent energized the service for </w:t>
      </w:r>
      <w:r>
        <w:t xml:space="preserve">Brentwood Road on March </w:t>
      </w:r>
      <w:r w:rsidR="002350FF">
        <w:t>4</w:t>
      </w:r>
      <w:r>
        <w:t>, 2015</w:t>
      </w:r>
      <w:r w:rsidR="008F21D3">
        <w:t>, at 8:20 a.m.</w:t>
      </w:r>
      <w:r>
        <w:t xml:space="preserve"> </w:t>
      </w:r>
      <w:r>
        <w:rPr>
          <w:rFonts w:eastAsia="Batang"/>
        </w:rPr>
        <w:t xml:space="preserve">(Tr. 26, 27; </w:t>
      </w:r>
      <w:r w:rsidRPr="00C16C79">
        <w:rPr>
          <w:rFonts w:eastAsia="Batang"/>
        </w:rPr>
        <w:t>PECO Ex. 1).</w:t>
      </w:r>
    </w:p>
    <w:p w:rsidR="00687162" w:rsidRDefault="00687162" w:rsidP="00813C57">
      <w:pPr>
        <w:pStyle w:val="ListParagraph"/>
        <w:rPr>
          <w:rFonts w:eastAsia="Batang"/>
        </w:rPr>
      </w:pPr>
    </w:p>
    <w:p w:rsidR="00687162" w:rsidRPr="00C16C79" w:rsidRDefault="00687162" w:rsidP="00813C57">
      <w:pPr>
        <w:pStyle w:val="NoSpacing"/>
        <w:numPr>
          <w:ilvl w:val="0"/>
          <w:numId w:val="5"/>
        </w:numPr>
        <w:ind w:left="0" w:firstLine="1440"/>
        <w:rPr>
          <w:rFonts w:eastAsia="Batang"/>
        </w:rPr>
      </w:pPr>
      <w:r>
        <w:rPr>
          <w:rFonts w:eastAsia="Batang"/>
        </w:rPr>
        <w:t xml:space="preserve">Ms. Walker called the Respondent on March </w:t>
      </w:r>
      <w:r w:rsidR="00334F5E">
        <w:rPr>
          <w:rFonts w:eastAsia="Batang"/>
        </w:rPr>
        <w:t>4</w:t>
      </w:r>
      <w:r>
        <w:rPr>
          <w:rFonts w:eastAsia="Batang"/>
        </w:rPr>
        <w:t>, 2015</w:t>
      </w:r>
      <w:r w:rsidR="009B2F0E">
        <w:rPr>
          <w:rFonts w:eastAsia="Batang"/>
        </w:rPr>
        <w:t>,</w:t>
      </w:r>
      <w:r w:rsidR="00334F5E">
        <w:rPr>
          <w:rFonts w:eastAsia="Batang"/>
        </w:rPr>
        <w:t xml:space="preserve"> to </w:t>
      </w:r>
      <w:r w:rsidR="00C16C79">
        <w:rPr>
          <w:rFonts w:eastAsia="Batang"/>
        </w:rPr>
        <w:t>confirm</w:t>
      </w:r>
      <w:r w:rsidR="00334F5E">
        <w:rPr>
          <w:rFonts w:eastAsia="Batang"/>
        </w:rPr>
        <w:t xml:space="preserve"> that the electric </w:t>
      </w:r>
      <w:r w:rsidR="00C16C79">
        <w:rPr>
          <w:rFonts w:eastAsia="Batang"/>
        </w:rPr>
        <w:t xml:space="preserve">service </w:t>
      </w:r>
      <w:r w:rsidR="00334F5E">
        <w:rPr>
          <w:rFonts w:eastAsia="Batang"/>
        </w:rPr>
        <w:t>was on</w:t>
      </w:r>
      <w:r>
        <w:rPr>
          <w:rFonts w:eastAsia="Batang"/>
        </w:rPr>
        <w:t xml:space="preserve"> (Tr. 24</w:t>
      </w:r>
      <w:r w:rsidRPr="00C16C79">
        <w:rPr>
          <w:rFonts w:eastAsia="Batang"/>
        </w:rPr>
        <w:t>; PECO Ex. 1).</w:t>
      </w:r>
    </w:p>
    <w:p w:rsidR="00687162" w:rsidRPr="00C16C79" w:rsidRDefault="00334F5E" w:rsidP="00813C57">
      <w:pPr>
        <w:pStyle w:val="NoSpacing"/>
        <w:numPr>
          <w:ilvl w:val="0"/>
          <w:numId w:val="5"/>
        </w:numPr>
        <w:ind w:left="0" w:firstLine="1440"/>
        <w:rPr>
          <w:rFonts w:eastAsia="Batang"/>
        </w:rPr>
      </w:pPr>
      <w:r w:rsidRPr="00C16C79">
        <w:rPr>
          <w:rFonts w:eastAsia="Batang"/>
        </w:rPr>
        <w:lastRenderedPageBreak/>
        <w:t>The</w:t>
      </w:r>
      <w:r w:rsidRPr="00C16C79">
        <w:rPr>
          <w:rFonts w:eastAsia="Times New Roman"/>
        </w:rPr>
        <w:t xml:space="preserve"> Complainant called t</w:t>
      </w:r>
      <w:r w:rsidRPr="00C16C79">
        <w:rPr>
          <w:rFonts w:eastAsia="Batang"/>
        </w:rPr>
        <w:t>he Respondent on March 4, 2015</w:t>
      </w:r>
      <w:r w:rsidR="009B2F0E">
        <w:rPr>
          <w:rFonts w:eastAsia="Batang"/>
        </w:rPr>
        <w:t>,</w:t>
      </w:r>
      <w:r w:rsidRPr="00C16C79">
        <w:rPr>
          <w:rFonts w:eastAsia="Batang"/>
        </w:rPr>
        <w:t xml:space="preserve"> </w:t>
      </w:r>
      <w:r w:rsidR="008F21D3">
        <w:rPr>
          <w:rFonts w:eastAsia="Batang"/>
        </w:rPr>
        <w:t xml:space="preserve">spoke to a supervisor and </w:t>
      </w:r>
      <w:r w:rsidRPr="00C16C79">
        <w:rPr>
          <w:rFonts w:eastAsia="Batang"/>
        </w:rPr>
        <w:t>request</w:t>
      </w:r>
      <w:r w:rsidR="008F21D3">
        <w:rPr>
          <w:rFonts w:eastAsia="Batang"/>
        </w:rPr>
        <w:t>ed</w:t>
      </w:r>
      <w:r w:rsidRPr="00C16C79">
        <w:rPr>
          <w:rFonts w:eastAsia="Batang"/>
        </w:rPr>
        <w:t xml:space="preserve"> a copy of the </w:t>
      </w:r>
      <w:r w:rsidR="008F21D3">
        <w:rPr>
          <w:rFonts w:eastAsia="Batang"/>
        </w:rPr>
        <w:t xml:space="preserve">law, tariff or </w:t>
      </w:r>
      <w:r w:rsidRPr="00C16C79">
        <w:rPr>
          <w:rFonts w:eastAsia="Batang"/>
        </w:rPr>
        <w:t xml:space="preserve">written policy requiring him to submit </w:t>
      </w:r>
      <w:r w:rsidR="00641235" w:rsidRPr="00C16C79">
        <w:rPr>
          <w:rFonts w:eastAsia="Batang"/>
        </w:rPr>
        <w:t>an</w:t>
      </w:r>
      <w:r w:rsidRPr="00C16C79">
        <w:rPr>
          <w:rFonts w:eastAsia="Batang"/>
        </w:rPr>
        <w:t xml:space="preserve"> underwriter’s certificate (Tr. </w:t>
      </w:r>
      <w:r w:rsidR="002350FF" w:rsidRPr="00C16C79">
        <w:rPr>
          <w:rFonts w:eastAsia="Batang"/>
        </w:rPr>
        <w:t xml:space="preserve">10, </w:t>
      </w:r>
      <w:r w:rsidRPr="00C16C79">
        <w:rPr>
          <w:rFonts w:eastAsia="Batang"/>
        </w:rPr>
        <w:t>27; PECO Ex</w:t>
      </w:r>
      <w:r w:rsidR="00C16C79">
        <w:rPr>
          <w:rFonts w:eastAsia="Batang"/>
        </w:rPr>
        <w:t>s</w:t>
      </w:r>
      <w:r w:rsidRPr="00C16C79">
        <w:rPr>
          <w:rFonts w:eastAsia="Batang"/>
        </w:rPr>
        <w:t>. 1</w:t>
      </w:r>
      <w:r w:rsidR="00C16C79">
        <w:rPr>
          <w:rFonts w:eastAsia="Batang"/>
        </w:rPr>
        <w:t>, 8</w:t>
      </w:r>
      <w:r w:rsidRPr="00C16C79">
        <w:rPr>
          <w:rFonts w:eastAsia="Batang"/>
        </w:rPr>
        <w:t>).</w:t>
      </w:r>
    </w:p>
    <w:p w:rsidR="00687162" w:rsidRDefault="00687162" w:rsidP="00813C57">
      <w:pPr>
        <w:pStyle w:val="NoSpacing"/>
        <w:ind w:left="1440"/>
        <w:rPr>
          <w:rFonts w:eastAsia="Batang"/>
        </w:rPr>
      </w:pPr>
    </w:p>
    <w:p w:rsidR="00641235" w:rsidRDefault="00641235" w:rsidP="00813C57">
      <w:pPr>
        <w:pStyle w:val="ListParagraph"/>
        <w:numPr>
          <w:ilvl w:val="0"/>
          <w:numId w:val="5"/>
        </w:numPr>
        <w:ind w:left="0" w:firstLine="1440"/>
        <w:jc w:val="left"/>
        <w:rPr>
          <w:rFonts w:eastAsia="Batang"/>
        </w:rPr>
      </w:pPr>
      <w:r w:rsidRPr="00F644EE">
        <w:rPr>
          <w:rFonts w:eastAsia="Batang"/>
        </w:rPr>
        <w:t xml:space="preserve">On </w:t>
      </w:r>
      <w:r>
        <w:rPr>
          <w:rFonts w:eastAsia="Batang"/>
        </w:rPr>
        <w:t>M</w:t>
      </w:r>
      <w:r w:rsidRPr="00F644EE">
        <w:rPr>
          <w:rFonts w:eastAsia="Batang"/>
        </w:rPr>
        <w:t>ar</w:t>
      </w:r>
      <w:r>
        <w:rPr>
          <w:rFonts w:eastAsia="Batang"/>
        </w:rPr>
        <w:t>ch 4</w:t>
      </w:r>
      <w:r w:rsidRPr="00F644EE">
        <w:rPr>
          <w:rFonts w:eastAsia="Batang"/>
        </w:rPr>
        <w:t>, 201</w:t>
      </w:r>
      <w:r>
        <w:rPr>
          <w:rFonts w:eastAsia="Batang"/>
        </w:rPr>
        <w:t>5</w:t>
      </w:r>
      <w:r w:rsidRPr="00F644EE">
        <w:rPr>
          <w:rFonts w:eastAsia="Batang"/>
        </w:rPr>
        <w:t>, the Complainant filed an informal complaint with the Bureau of Consumer Services at #</w:t>
      </w:r>
      <w:r>
        <w:rPr>
          <w:rFonts w:eastAsia="Batang"/>
        </w:rPr>
        <w:t>00</w:t>
      </w:r>
      <w:r w:rsidRPr="00F644EE">
        <w:rPr>
          <w:rFonts w:eastAsia="Batang"/>
        </w:rPr>
        <w:t>3</w:t>
      </w:r>
      <w:r>
        <w:rPr>
          <w:rFonts w:eastAsia="Batang"/>
        </w:rPr>
        <w:t>3</w:t>
      </w:r>
      <w:r w:rsidRPr="00F644EE">
        <w:rPr>
          <w:rFonts w:eastAsia="Batang"/>
        </w:rPr>
        <w:t>2</w:t>
      </w:r>
      <w:r>
        <w:rPr>
          <w:rFonts w:eastAsia="Batang"/>
        </w:rPr>
        <w:t>3044</w:t>
      </w:r>
      <w:r w:rsidRPr="00F644EE">
        <w:rPr>
          <w:rFonts w:eastAsia="Batang"/>
        </w:rPr>
        <w:t xml:space="preserve"> (Tr. 2</w:t>
      </w:r>
      <w:r>
        <w:rPr>
          <w:rFonts w:eastAsia="Batang"/>
        </w:rPr>
        <w:t>8, 33</w:t>
      </w:r>
      <w:r w:rsidRPr="00F644EE">
        <w:rPr>
          <w:rFonts w:eastAsia="Batang"/>
        </w:rPr>
        <w:t xml:space="preserve">; PECO Ex. </w:t>
      </w:r>
      <w:r>
        <w:rPr>
          <w:rFonts w:eastAsia="Batang"/>
        </w:rPr>
        <w:t>7</w:t>
      </w:r>
      <w:r w:rsidRPr="00F644EE">
        <w:rPr>
          <w:rFonts w:eastAsia="Batang"/>
        </w:rPr>
        <w:t>).</w:t>
      </w:r>
    </w:p>
    <w:p w:rsidR="005E2C22" w:rsidRDefault="005E2C22" w:rsidP="00813C57">
      <w:pPr>
        <w:pStyle w:val="NoSpacing"/>
        <w:ind w:firstLine="1440"/>
        <w:rPr>
          <w:rFonts w:eastAsia="Batang"/>
        </w:rPr>
      </w:pPr>
    </w:p>
    <w:p w:rsidR="005E2C22" w:rsidRDefault="00641235" w:rsidP="00813C57">
      <w:pPr>
        <w:pStyle w:val="NoSpacing"/>
        <w:numPr>
          <w:ilvl w:val="0"/>
          <w:numId w:val="5"/>
        </w:numPr>
        <w:ind w:left="0" w:firstLine="1440"/>
        <w:rPr>
          <w:rFonts w:eastAsia="Batang"/>
        </w:rPr>
      </w:pPr>
      <w:r>
        <w:rPr>
          <w:rFonts w:eastAsia="Batang"/>
        </w:rPr>
        <w:t xml:space="preserve">In response to the informal complaint, </w:t>
      </w:r>
      <w:r w:rsidR="008F21D3">
        <w:rPr>
          <w:rFonts w:eastAsia="Batang"/>
        </w:rPr>
        <w:t xml:space="preserve">Deborah </w:t>
      </w:r>
      <w:r w:rsidR="00CA729B">
        <w:rPr>
          <w:rFonts w:eastAsia="Batang"/>
        </w:rPr>
        <w:t>Shinn</w:t>
      </w:r>
      <w:r w:rsidR="008F21D3">
        <w:rPr>
          <w:rFonts w:eastAsia="Batang"/>
        </w:rPr>
        <w:t>, the Respondent’s business analyst,</w:t>
      </w:r>
      <w:r w:rsidR="00CA729B">
        <w:rPr>
          <w:rFonts w:eastAsia="Batang"/>
        </w:rPr>
        <w:t xml:space="preserve"> sent the Complainant correspondence </w:t>
      </w:r>
      <w:r w:rsidR="00F644EE">
        <w:rPr>
          <w:rFonts w:eastAsia="Batang"/>
        </w:rPr>
        <w:t xml:space="preserve">on </w:t>
      </w:r>
      <w:r w:rsidR="00CA729B">
        <w:rPr>
          <w:rFonts w:eastAsia="Batang"/>
        </w:rPr>
        <w:t>March 6, 2015</w:t>
      </w:r>
      <w:r w:rsidR="00C543C3">
        <w:rPr>
          <w:rFonts w:eastAsia="Batang"/>
        </w:rPr>
        <w:t>,</w:t>
      </w:r>
      <w:r w:rsidR="00F644EE">
        <w:rPr>
          <w:rFonts w:eastAsia="Batang"/>
        </w:rPr>
        <w:t xml:space="preserve"> explaining the </w:t>
      </w:r>
      <w:r>
        <w:rPr>
          <w:rFonts w:eastAsia="Batang"/>
        </w:rPr>
        <w:t>company’s policy</w:t>
      </w:r>
      <w:r w:rsidR="00F644EE">
        <w:rPr>
          <w:rFonts w:eastAsia="Batang"/>
        </w:rPr>
        <w:t xml:space="preserve"> </w:t>
      </w:r>
      <w:r w:rsidR="005E2C22">
        <w:rPr>
          <w:rFonts w:eastAsia="Batang"/>
        </w:rPr>
        <w:t xml:space="preserve">(Tr. </w:t>
      </w:r>
      <w:r w:rsidR="002350FF">
        <w:rPr>
          <w:rFonts w:eastAsia="Batang"/>
        </w:rPr>
        <w:t xml:space="preserve">10, </w:t>
      </w:r>
      <w:r w:rsidR="00F644EE">
        <w:rPr>
          <w:rFonts w:eastAsia="Batang"/>
        </w:rPr>
        <w:t>16</w:t>
      </w:r>
      <w:r>
        <w:rPr>
          <w:rFonts w:eastAsia="Batang"/>
        </w:rPr>
        <w:t>, 33, 34</w:t>
      </w:r>
      <w:r w:rsidR="005E2C22">
        <w:rPr>
          <w:rFonts w:eastAsia="Batang"/>
        </w:rPr>
        <w:t xml:space="preserve">; </w:t>
      </w:r>
      <w:r w:rsidR="00706EE5">
        <w:rPr>
          <w:rFonts w:eastAsia="Batang"/>
        </w:rPr>
        <w:t xml:space="preserve">C. Ex. </w:t>
      </w:r>
      <w:r w:rsidR="002817F8">
        <w:rPr>
          <w:rFonts w:eastAsia="Batang"/>
        </w:rPr>
        <w:t>7, 8</w:t>
      </w:r>
      <w:r w:rsidR="00706EE5">
        <w:rPr>
          <w:rFonts w:eastAsia="Batang"/>
        </w:rPr>
        <w:t xml:space="preserve">; </w:t>
      </w:r>
      <w:r w:rsidR="005E2C22">
        <w:rPr>
          <w:rFonts w:eastAsia="Batang"/>
        </w:rPr>
        <w:t xml:space="preserve">PECO Ex. </w:t>
      </w:r>
      <w:r w:rsidR="00F644EE">
        <w:rPr>
          <w:rFonts w:eastAsia="Batang"/>
        </w:rPr>
        <w:t>8</w:t>
      </w:r>
      <w:r w:rsidR="005E2C22">
        <w:rPr>
          <w:rFonts w:eastAsia="Batang"/>
        </w:rPr>
        <w:t xml:space="preserve">). </w:t>
      </w:r>
    </w:p>
    <w:p w:rsidR="005E2C22" w:rsidRDefault="005E2C22" w:rsidP="00813C57">
      <w:pPr>
        <w:pStyle w:val="NoSpacing"/>
        <w:ind w:firstLine="1440"/>
        <w:rPr>
          <w:rFonts w:eastAsia="Batang"/>
        </w:rPr>
      </w:pPr>
    </w:p>
    <w:p w:rsidR="008F21D3" w:rsidRPr="008F21D3" w:rsidRDefault="008F21D3" w:rsidP="00813C57">
      <w:pPr>
        <w:pStyle w:val="NoSpacing"/>
        <w:numPr>
          <w:ilvl w:val="0"/>
          <w:numId w:val="5"/>
        </w:numPr>
        <w:ind w:left="0" w:firstLine="1440"/>
        <w:rPr>
          <w:rFonts w:eastAsia="Batang"/>
        </w:rPr>
      </w:pPr>
      <w:r w:rsidRPr="008F21D3">
        <w:rPr>
          <w:rFonts w:eastAsia="Batang"/>
        </w:rPr>
        <w:t xml:space="preserve">Section 9.2 of the Respondent’s tariff allows it to refuse to connect service unless an </w:t>
      </w:r>
      <w:r w:rsidRPr="008F21D3">
        <w:rPr>
          <w:rFonts w:eastAsia="Times New Roman"/>
        </w:rPr>
        <w:t xml:space="preserve">underwriter’s certificate is submitted by an authorized inspection agency </w:t>
      </w:r>
      <w:r w:rsidRPr="008F21D3">
        <w:rPr>
          <w:rFonts w:eastAsia="Batang"/>
        </w:rPr>
        <w:t>(Tr.</w:t>
      </w:r>
      <w:r w:rsidR="007B79FC">
        <w:rPr>
          <w:rFonts w:eastAsia="Batang"/>
        </w:rPr>
        <w:t xml:space="preserve"> 28, </w:t>
      </w:r>
      <w:r w:rsidRPr="008F21D3">
        <w:rPr>
          <w:rFonts w:eastAsia="Batang"/>
        </w:rPr>
        <w:t>29; PECO Ex. 5).</w:t>
      </w:r>
      <w:r w:rsidRPr="008F21D3">
        <w:rPr>
          <w:rFonts w:eastAsia="Times New Roman"/>
        </w:rPr>
        <w:t xml:space="preserve"> </w:t>
      </w:r>
    </w:p>
    <w:p w:rsidR="008F21D3" w:rsidRDefault="008F21D3" w:rsidP="00813C57">
      <w:pPr>
        <w:pStyle w:val="ListParagraph"/>
        <w:rPr>
          <w:rFonts w:eastAsia="Batang"/>
        </w:rPr>
      </w:pPr>
    </w:p>
    <w:p w:rsidR="008F21D3" w:rsidRPr="00635517" w:rsidRDefault="00635517" w:rsidP="00813C57">
      <w:pPr>
        <w:pStyle w:val="NoSpacing"/>
        <w:numPr>
          <w:ilvl w:val="0"/>
          <w:numId w:val="5"/>
        </w:numPr>
        <w:ind w:left="0" w:firstLine="1440"/>
        <w:rPr>
          <w:rFonts w:eastAsia="Batang"/>
        </w:rPr>
      </w:pPr>
      <w:r>
        <w:rPr>
          <w:rFonts w:eastAsia="Batang"/>
        </w:rPr>
        <w:t xml:space="preserve">In accordance with </w:t>
      </w:r>
      <w:r w:rsidR="008F21D3" w:rsidRPr="00635517">
        <w:rPr>
          <w:rFonts w:eastAsia="Batang"/>
        </w:rPr>
        <w:t xml:space="preserve">Section 9.1 of </w:t>
      </w:r>
      <w:r w:rsidRPr="00635517">
        <w:rPr>
          <w:rFonts w:eastAsia="Batang"/>
        </w:rPr>
        <w:t>PECO’s Electric Service Requirements Manual (Blue Book)</w:t>
      </w:r>
      <w:r w:rsidR="00E032AC">
        <w:rPr>
          <w:rFonts w:eastAsia="Batang"/>
        </w:rPr>
        <w:t>,</w:t>
      </w:r>
      <w:r w:rsidRPr="00635517">
        <w:rPr>
          <w:rFonts w:eastAsia="Batang"/>
        </w:rPr>
        <w:t xml:space="preserve"> </w:t>
      </w:r>
      <w:r w:rsidR="007B79FC">
        <w:t>the Respondent</w:t>
      </w:r>
      <w:r w:rsidR="008F21D3" w:rsidRPr="00635517">
        <w:rPr>
          <w:rFonts w:eastAsia="Batang"/>
        </w:rPr>
        <w:t xml:space="preserve"> require</w:t>
      </w:r>
      <w:r>
        <w:rPr>
          <w:rFonts w:eastAsia="Batang"/>
        </w:rPr>
        <w:t>s</w:t>
      </w:r>
      <w:r w:rsidR="008F21D3" w:rsidRPr="00635517">
        <w:rPr>
          <w:rFonts w:eastAsia="Batang"/>
        </w:rPr>
        <w:t xml:space="preserve"> customers to provide </w:t>
      </w:r>
      <w:r w:rsidR="008F21D3" w:rsidRPr="00635517">
        <w:rPr>
          <w:rFonts w:eastAsia="Times New Roman"/>
        </w:rPr>
        <w:t>certificat</w:t>
      </w:r>
      <w:r w:rsidR="007B79FC" w:rsidRPr="00635517">
        <w:rPr>
          <w:rFonts w:eastAsia="Times New Roman"/>
        </w:rPr>
        <w:t xml:space="preserve">ion that the installation complies with all applicable provisions of the National Electrical Code and the Pennsylvania Uniform Construction Code </w:t>
      </w:r>
      <w:r w:rsidR="008F21D3" w:rsidRPr="00635517">
        <w:rPr>
          <w:rFonts w:eastAsia="Times New Roman"/>
        </w:rPr>
        <w:t>before electric service is connected</w:t>
      </w:r>
      <w:r w:rsidR="008F21D3" w:rsidRPr="00635517">
        <w:rPr>
          <w:rFonts w:eastAsia="Batang"/>
        </w:rPr>
        <w:t xml:space="preserve"> (Tr. 30; PECO Ex. 6).</w:t>
      </w:r>
    </w:p>
    <w:p w:rsidR="007B79FC" w:rsidRDefault="007B79FC" w:rsidP="00813C57">
      <w:pPr>
        <w:pStyle w:val="ListParagraph"/>
        <w:rPr>
          <w:rFonts w:eastAsia="Batang"/>
        </w:rPr>
      </w:pPr>
    </w:p>
    <w:p w:rsidR="007B79FC" w:rsidRPr="008F21D3" w:rsidRDefault="00635517" w:rsidP="00813C57">
      <w:pPr>
        <w:pStyle w:val="NoSpacing"/>
        <w:numPr>
          <w:ilvl w:val="0"/>
          <w:numId w:val="5"/>
        </w:numPr>
        <w:ind w:left="0" w:firstLine="1440"/>
        <w:rPr>
          <w:rFonts w:eastAsia="Batang"/>
        </w:rPr>
      </w:pPr>
      <w:r>
        <w:rPr>
          <w:rFonts w:eastAsia="Batang"/>
        </w:rPr>
        <w:t xml:space="preserve">PECO’s Electric Service Requirements Manual (Blue Book) </w:t>
      </w:r>
      <w:r w:rsidR="007B79FC">
        <w:rPr>
          <w:rFonts w:eastAsia="Batang"/>
        </w:rPr>
        <w:t xml:space="preserve">is a set of </w:t>
      </w:r>
      <w:r w:rsidR="00E032AC">
        <w:rPr>
          <w:rFonts w:eastAsia="Batang"/>
        </w:rPr>
        <w:t xml:space="preserve">rules used by </w:t>
      </w:r>
      <w:r w:rsidR="007B79FC">
        <w:rPr>
          <w:rFonts w:eastAsia="Batang"/>
        </w:rPr>
        <w:t>PECO</w:t>
      </w:r>
      <w:r w:rsidR="00E032AC">
        <w:rPr>
          <w:rFonts w:eastAsia="Batang"/>
        </w:rPr>
        <w:t>, its customers, and the builders</w:t>
      </w:r>
      <w:r w:rsidR="007B79FC">
        <w:rPr>
          <w:rFonts w:eastAsia="Batang"/>
        </w:rPr>
        <w:t xml:space="preserve"> and electricians who </w:t>
      </w:r>
      <w:r w:rsidR="00E032AC">
        <w:rPr>
          <w:rFonts w:eastAsia="Batang"/>
        </w:rPr>
        <w:t>work in PECO’s territory</w:t>
      </w:r>
      <w:r w:rsidR="007B79FC">
        <w:rPr>
          <w:rFonts w:eastAsia="Batang"/>
        </w:rPr>
        <w:t xml:space="preserve"> (Tr. 29, 30; PECO Ex. 6).</w:t>
      </w:r>
    </w:p>
    <w:p w:rsidR="008F21D3" w:rsidRDefault="008F21D3" w:rsidP="00813C57">
      <w:pPr>
        <w:pStyle w:val="ListParagraph"/>
        <w:rPr>
          <w:rFonts w:eastAsia="Batang"/>
        </w:rPr>
      </w:pPr>
    </w:p>
    <w:p w:rsidR="007B79FC" w:rsidRDefault="008F21D3" w:rsidP="00813C57">
      <w:pPr>
        <w:pStyle w:val="NoSpacing"/>
        <w:numPr>
          <w:ilvl w:val="0"/>
          <w:numId w:val="5"/>
        </w:numPr>
        <w:ind w:left="0" w:firstLine="1440"/>
        <w:rPr>
          <w:rFonts w:eastAsia="Batang"/>
        </w:rPr>
      </w:pPr>
      <w:r>
        <w:t xml:space="preserve">The Respondent’s </w:t>
      </w:r>
      <w:r w:rsidRPr="007B79FC">
        <w:rPr>
          <w:rFonts w:eastAsia="Batang"/>
        </w:rPr>
        <w:t>policy requires the submission of an underwriter’s certificate when the electric service has been off for six months or more; when there is no electric meter at the property;</w:t>
      </w:r>
      <w:r w:rsidR="007B79FC">
        <w:rPr>
          <w:rFonts w:eastAsia="Batang"/>
        </w:rPr>
        <w:t xml:space="preserve"> or</w:t>
      </w:r>
      <w:r w:rsidRPr="007B79FC">
        <w:rPr>
          <w:rFonts w:eastAsia="Batang"/>
        </w:rPr>
        <w:t xml:space="preserve"> when there is a hazardous condition (Tr. </w:t>
      </w:r>
      <w:r w:rsidR="007B79FC">
        <w:rPr>
          <w:rFonts w:eastAsia="Batang"/>
        </w:rPr>
        <w:t xml:space="preserve">27, </w:t>
      </w:r>
      <w:r w:rsidRPr="007B79FC">
        <w:rPr>
          <w:rFonts w:eastAsia="Batang"/>
        </w:rPr>
        <w:t>28</w:t>
      </w:r>
      <w:r w:rsidR="007B79FC">
        <w:rPr>
          <w:rFonts w:eastAsia="Batang"/>
        </w:rPr>
        <w:t>; 32</w:t>
      </w:r>
      <w:r w:rsidRPr="007B79FC">
        <w:rPr>
          <w:rFonts w:eastAsia="Batang"/>
        </w:rPr>
        <w:t xml:space="preserve">; PECO </w:t>
      </w:r>
    </w:p>
    <w:p w:rsidR="00965DC0" w:rsidRDefault="008F21D3" w:rsidP="00813C57">
      <w:pPr>
        <w:pStyle w:val="NoSpacing"/>
        <w:rPr>
          <w:rFonts w:eastAsia="Batang"/>
        </w:rPr>
      </w:pPr>
      <w:r w:rsidRPr="007B79FC">
        <w:rPr>
          <w:rFonts w:eastAsia="Batang"/>
        </w:rPr>
        <w:t xml:space="preserve">Exs. 4, 5, 8). </w:t>
      </w:r>
    </w:p>
    <w:p w:rsidR="007B79FC" w:rsidRPr="007B79FC" w:rsidRDefault="007B79FC" w:rsidP="00813C57">
      <w:pPr>
        <w:pStyle w:val="NoSpacing"/>
        <w:rPr>
          <w:rFonts w:eastAsia="Batang"/>
        </w:rPr>
      </w:pPr>
    </w:p>
    <w:p w:rsidR="00047B4E" w:rsidRDefault="00047B4E" w:rsidP="00813C57">
      <w:pPr>
        <w:pStyle w:val="ListParagraph"/>
        <w:numPr>
          <w:ilvl w:val="0"/>
          <w:numId w:val="5"/>
        </w:numPr>
        <w:ind w:left="0" w:firstLine="1440"/>
        <w:jc w:val="left"/>
        <w:rPr>
          <w:rFonts w:eastAsia="Batang"/>
        </w:rPr>
      </w:pPr>
      <w:r>
        <w:rPr>
          <w:rFonts w:eastAsia="Batang"/>
        </w:rPr>
        <w:lastRenderedPageBreak/>
        <w:t>The Respondent is not responsible for the wiring inside the customer’s property (Tr. 31, 41).</w:t>
      </w:r>
    </w:p>
    <w:p w:rsidR="00047B4E" w:rsidRDefault="00047B4E" w:rsidP="00047B4E">
      <w:pPr>
        <w:pStyle w:val="ListParagraph"/>
        <w:ind w:left="1440"/>
        <w:jc w:val="left"/>
        <w:rPr>
          <w:rFonts w:eastAsia="Batang"/>
        </w:rPr>
      </w:pPr>
    </w:p>
    <w:p w:rsidR="00047B4E" w:rsidRDefault="00047B4E" w:rsidP="00813C57">
      <w:pPr>
        <w:pStyle w:val="ListParagraph"/>
        <w:numPr>
          <w:ilvl w:val="0"/>
          <w:numId w:val="5"/>
        </w:numPr>
        <w:ind w:left="0" w:firstLine="1440"/>
        <w:jc w:val="left"/>
        <w:rPr>
          <w:rFonts w:eastAsia="Batang"/>
        </w:rPr>
      </w:pPr>
      <w:r>
        <w:rPr>
          <w:rFonts w:eastAsia="Batang"/>
        </w:rPr>
        <w:t>The underwriter inspector tests the wiring in the property and determines whether it is safe to energize the service (Tr. 31).</w:t>
      </w:r>
    </w:p>
    <w:p w:rsidR="00047B4E" w:rsidRDefault="00047B4E" w:rsidP="00047B4E">
      <w:pPr>
        <w:pStyle w:val="ListParagraph"/>
        <w:ind w:left="1440"/>
        <w:jc w:val="left"/>
        <w:rPr>
          <w:rFonts w:eastAsia="Batang"/>
        </w:rPr>
      </w:pPr>
    </w:p>
    <w:p w:rsidR="00965DC0" w:rsidRDefault="00965DC0" w:rsidP="00813C57">
      <w:pPr>
        <w:pStyle w:val="ListParagraph"/>
        <w:numPr>
          <w:ilvl w:val="0"/>
          <w:numId w:val="5"/>
        </w:numPr>
        <w:ind w:left="0" w:firstLine="1440"/>
        <w:jc w:val="left"/>
        <w:rPr>
          <w:rFonts w:eastAsia="Batang"/>
        </w:rPr>
      </w:pPr>
      <w:r>
        <w:rPr>
          <w:rFonts w:eastAsia="Batang"/>
        </w:rPr>
        <w:t xml:space="preserve">The Respondent relies on the underwriter </w:t>
      </w:r>
      <w:r w:rsidR="002817F8">
        <w:rPr>
          <w:rFonts w:eastAsia="Batang"/>
        </w:rPr>
        <w:t xml:space="preserve">to </w:t>
      </w:r>
      <w:r w:rsidR="00047B4E">
        <w:rPr>
          <w:rFonts w:eastAsia="Batang"/>
        </w:rPr>
        <w:t xml:space="preserve">certify </w:t>
      </w:r>
      <w:r>
        <w:rPr>
          <w:rFonts w:eastAsia="Batang"/>
        </w:rPr>
        <w:t>whether it is safe to energize the property (Tr.</w:t>
      </w:r>
      <w:r w:rsidR="007B79FC">
        <w:rPr>
          <w:rFonts w:eastAsia="Batang"/>
        </w:rPr>
        <w:t xml:space="preserve"> </w:t>
      </w:r>
      <w:r>
        <w:rPr>
          <w:rFonts w:eastAsia="Batang"/>
        </w:rPr>
        <w:t xml:space="preserve">31).  </w:t>
      </w:r>
    </w:p>
    <w:p w:rsidR="00047B4E" w:rsidRPr="00047B4E" w:rsidRDefault="00047B4E" w:rsidP="00047B4E">
      <w:pPr>
        <w:jc w:val="left"/>
        <w:rPr>
          <w:rFonts w:eastAsia="Batang"/>
        </w:rPr>
      </w:pPr>
    </w:p>
    <w:p w:rsidR="00047B4E" w:rsidRDefault="007B79FC" w:rsidP="00813C57">
      <w:pPr>
        <w:pStyle w:val="ListParagraph"/>
        <w:numPr>
          <w:ilvl w:val="0"/>
          <w:numId w:val="5"/>
        </w:numPr>
        <w:ind w:left="0" w:firstLine="1440"/>
        <w:jc w:val="left"/>
        <w:rPr>
          <w:rFonts w:eastAsia="Batang"/>
        </w:rPr>
      </w:pPr>
      <w:r>
        <w:rPr>
          <w:rFonts w:eastAsia="Batang"/>
        </w:rPr>
        <w:t>The</w:t>
      </w:r>
      <w:r w:rsidR="00585F41">
        <w:rPr>
          <w:rFonts w:eastAsia="Batang"/>
        </w:rPr>
        <w:t xml:space="preserve"> Complainant filed a formal complaint on April 10, 2015 (PECO </w:t>
      </w:r>
    </w:p>
    <w:p w:rsidR="007B79FC" w:rsidRPr="00047B4E" w:rsidRDefault="00585F41" w:rsidP="00047B4E">
      <w:pPr>
        <w:jc w:val="left"/>
        <w:rPr>
          <w:rFonts w:eastAsia="Batang"/>
        </w:rPr>
      </w:pPr>
      <w:r w:rsidRPr="00047B4E">
        <w:rPr>
          <w:rFonts w:eastAsia="Batang"/>
        </w:rPr>
        <w:t>Ex.</w:t>
      </w:r>
      <w:r w:rsidR="00047B4E" w:rsidRPr="00047B4E">
        <w:rPr>
          <w:rFonts w:eastAsia="Batang"/>
        </w:rPr>
        <w:t xml:space="preserve"> </w:t>
      </w:r>
      <w:r w:rsidRPr="00047B4E">
        <w:rPr>
          <w:rFonts w:eastAsia="Batang"/>
        </w:rPr>
        <w:t>9).</w:t>
      </w:r>
    </w:p>
    <w:p w:rsidR="007B79FC" w:rsidRPr="007B79FC" w:rsidRDefault="007B79FC" w:rsidP="00813C57">
      <w:pPr>
        <w:pStyle w:val="ListParagraph"/>
        <w:rPr>
          <w:rFonts w:eastAsia="Batang"/>
        </w:rPr>
      </w:pPr>
    </w:p>
    <w:p w:rsidR="005E2C22" w:rsidRPr="00F644EE" w:rsidRDefault="005E2C22" w:rsidP="00813C57">
      <w:pPr>
        <w:pStyle w:val="ListParagraph"/>
        <w:numPr>
          <w:ilvl w:val="0"/>
          <w:numId w:val="5"/>
        </w:numPr>
        <w:ind w:left="0" w:firstLine="1440"/>
        <w:jc w:val="left"/>
        <w:rPr>
          <w:rFonts w:eastAsia="Batang"/>
        </w:rPr>
      </w:pPr>
      <w:r w:rsidRPr="00F644EE">
        <w:rPr>
          <w:rFonts w:eastAsia="Batang"/>
        </w:rPr>
        <w:t>The Bureau of Consumer Services case at</w:t>
      </w:r>
      <w:r w:rsidR="00585F41" w:rsidRPr="00585F41">
        <w:t xml:space="preserve"> </w:t>
      </w:r>
      <w:r w:rsidR="00585F41">
        <w:rPr>
          <w:rFonts w:eastAsia="Batang"/>
        </w:rPr>
        <w:t>#003323044</w:t>
      </w:r>
      <w:r w:rsidRPr="00F644EE">
        <w:rPr>
          <w:rFonts w:eastAsia="Batang"/>
        </w:rPr>
        <w:t xml:space="preserve"> was</w:t>
      </w:r>
      <w:r w:rsidR="007B79FC">
        <w:rPr>
          <w:rFonts w:eastAsia="Batang"/>
        </w:rPr>
        <w:t xml:space="preserve"> verbally </w:t>
      </w:r>
      <w:r w:rsidRPr="00F644EE">
        <w:rPr>
          <w:rFonts w:eastAsia="Batang"/>
        </w:rPr>
        <w:t xml:space="preserve">closed </w:t>
      </w:r>
      <w:r w:rsidR="007B79FC">
        <w:rPr>
          <w:rFonts w:eastAsia="Batang"/>
        </w:rPr>
        <w:t xml:space="preserve">on July </w:t>
      </w:r>
      <w:r w:rsidRPr="00F644EE">
        <w:rPr>
          <w:rFonts w:eastAsia="Batang"/>
        </w:rPr>
        <w:t>1, 201</w:t>
      </w:r>
      <w:r w:rsidR="007B79FC">
        <w:rPr>
          <w:rFonts w:eastAsia="Batang"/>
        </w:rPr>
        <w:t>5</w:t>
      </w:r>
      <w:r w:rsidR="00EB66BB">
        <w:rPr>
          <w:rFonts w:eastAsia="Batang"/>
        </w:rPr>
        <w:t>,</w:t>
      </w:r>
      <w:r w:rsidR="007B79FC">
        <w:rPr>
          <w:rFonts w:eastAsia="Batang"/>
        </w:rPr>
        <w:t xml:space="preserve"> because </w:t>
      </w:r>
      <w:r w:rsidRPr="00F644EE">
        <w:rPr>
          <w:rFonts w:eastAsia="Batang"/>
        </w:rPr>
        <w:t xml:space="preserve">the Complainant </w:t>
      </w:r>
      <w:r w:rsidR="007B79FC">
        <w:rPr>
          <w:rFonts w:eastAsia="Batang"/>
        </w:rPr>
        <w:t>filed a formal complaint (PECO Ex. 9</w:t>
      </w:r>
      <w:r w:rsidRPr="00F644EE">
        <w:rPr>
          <w:rFonts w:eastAsia="Batang"/>
        </w:rPr>
        <w:t>)</w:t>
      </w:r>
      <w:r w:rsidR="007B79FC">
        <w:rPr>
          <w:rFonts w:eastAsia="Batang"/>
        </w:rPr>
        <w:t>.</w:t>
      </w:r>
    </w:p>
    <w:p w:rsidR="005E2C22" w:rsidRDefault="005E2C22" w:rsidP="00813C57">
      <w:pPr>
        <w:pStyle w:val="NoSpacing"/>
        <w:rPr>
          <w:rFonts w:eastAsia="Batang"/>
        </w:rPr>
      </w:pPr>
    </w:p>
    <w:p w:rsidR="005E2C22" w:rsidRDefault="005E2C22" w:rsidP="00813C57">
      <w:pPr>
        <w:pStyle w:val="ListParagraph"/>
        <w:rPr>
          <w:rFonts w:eastAsia="Batang"/>
          <w:u w:val="single"/>
        </w:rPr>
      </w:pPr>
      <w:r>
        <w:rPr>
          <w:rFonts w:eastAsia="Batang"/>
          <w:u w:val="single"/>
        </w:rPr>
        <w:t>DISCUSSION</w:t>
      </w:r>
    </w:p>
    <w:p w:rsidR="005E2C22" w:rsidRDefault="005E2C22" w:rsidP="00813C57">
      <w:pPr>
        <w:pStyle w:val="ListParagraph"/>
        <w:ind w:left="0"/>
        <w:rPr>
          <w:rFonts w:eastAsia="Calibri"/>
          <w:u w:val="single"/>
        </w:rPr>
      </w:pPr>
    </w:p>
    <w:p w:rsidR="005E2C22" w:rsidRDefault="005E2C22" w:rsidP="00813C57">
      <w:pPr>
        <w:pStyle w:val="NoSpacing"/>
        <w:rPr>
          <w:rFonts w:eastAsia="Times New Roman"/>
        </w:rPr>
      </w:pPr>
      <w:r>
        <w:rPr>
          <w:rFonts w:eastAsia="Times New Roman"/>
        </w:rPr>
        <w:tab/>
      </w:r>
      <w:r>
        <w:rPr>
          <w:rFonts w:eastAsia="Times New Roman"/>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Pr>
          <w:rFonts w:eastAsia="Times New Roman"/>
          <w:i/>
        </w:rPr>
        <w:t>Se-Ling Hosiery v. Margulies</w:t>
      </w:r>
      <w:r>
        <w:rPr>
          <w:rFonts w:eastAsia="Times New Roman"/>
        </w:rPr>
        <w:t xml:space="preserve">, 364 Pa. 45, 70 A.2d 854 (1950).  The Complainant must show that the utility is responsible or accountable for the problem described in the complaint.  </w:t>
      </w:r>
      <w:r>
        <w:rPr>
          <w:rFonts w:eastAsia="Times New Roman"/>
          <w:i/>
        </w:rPr>
        <w:t>Feinstein v. Philadelphia Suburban Water Company</w:t>
      </w:r>
      <w:r>
        <w:rPr>
          <w:rFonts w:eastAsia="Times New Roman"/>
        </w:rPr>
        <w:t>, 50 Pa. PUC 300 (1976).</w:t>
      </w:r>
    </w:p>
    <w:p w:rsidR="005E2C22" w:rsidRDefault="005E2C22" w:rsidP="00813C57">
      <w:pPr>
        <w:pStyle w:val="NoSpacing"/>
        <w:rPr>
          <w:rFonts w:eastAsia="Times New Roman"/>
        </w:rPr>
      </w:pPr>
    </w:p>
    <w:p w:rsidR="005E2C22" w:rsidRDefault="005E2C22" w:rsidP="00813C57">
      <w:pPr>
        <w:pStyle w:val="NoSpacing"/>
        <w:rPr>
          <w:rFonts w:eastAsia="Times New Roman"/>
        </w:rPr>
      </w:pPr>
      <w:r>
        <w:rPr>
          <w:rFonts w:eastAsia="Times New Roman"/>
        </w:rPr>
        <w:tab/>
      </w:r>
      <w:r>
        <w:rPr>
          <w:rFonts w:eastAsia="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w:t>
      </w:r>
      <w:r>
        <w:rPr>
          <w:rFonts w:eastAsia="Times New Roman"/>
        </w:rPr>
        <w:lastRenderedPageBreak/>
        <w:t xml:space="preserve">been satisfied, unless the Complainant presented additional evidence.  </w:t>
      </w:r>
      <w:r>
        <w:rPr>
          <w:rFonts w:eastAsia="Times New Roman"/>
          <w:i/>
        </w:rPr>
        <w:t>Morrissey v. Pa. Dept. of Highways</w:t>
      </w:r>
      <w:r>
        <w:rPr>
          <w:rFonts w:eastAsia="Times New Roman"/>
        </w:rPr>
        <w:t xml:space="preserve">, 424 Pa. 87, 225 A.2d 895 (1967). </w:t>
      </w:r>
    </w:p>
    <w:p w:rsidR="005E2C22" w:rsidRDefault="005E2C22" w:rsidP="00813C57">
      <w:pPr>
        <w:pStyle w:val="NoSpacing"/>
        <w:rPr>
          <w:rFonts w:eastAsia="Times New Roman"/>
        </w:rPr>
      </w:pPr>
    </w:p>
    <w:p w:rsidR="005E2C22" w:rsidRDefault="005E2C22" w:rsidP="00813C57">
      <w:pPr>
        <w:pStyle w:val="NoSpacing"/>
        <w:rPr>
          <w:rFonts w:eastAsia="Times New Roman"/>
        </w:rPr>
      </w:pPr>
      <w:r>
        <w:rPr>
          <w:rFonts w:eastAsia="Times New Roman"/>
        </w:rPr>
        <w:tab/>
      </w:r>
      <w:r>
        <w:rPr>
          <w:rFonts w:eastAsia="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Pr>
          <w:rFonts w:eastAsia="Times New Roman"/>
          <w:i/>
        </w:rPr>
        <w:t>Norfolk &amp; Western Ry. Co. v. Pa. PUC,</w:t>
      </w:r>
      <w:r>
        <w:rPr>
          <w:rFonts w:eastAsia="Times New Roman"/>
        </w:rPr>
        <w:t xml:space="preserve"> 489 Pa.109, 413 A. 2d 1037 (1980); </w:t>
      </w:r>
      <w:r>
        <w:rPr>
          <w:rFonts w:eastAsia="Times New Roman"/>
          <w:i/>
        </w:rPr>
        <w:t>Murphy v. Dept. of Public Welfare</w:t>
      </w:r>
      <w:r>
        <w:rPr>
          <w:rFonts w:eastAsia="Times New Roman"/>
        </w:rPr>
        <w:t xml:space="preserve">, 85 </w:t>
      </w:r>
      <w:r w:rsidR="008E407D">
        <w:rPr>
          <w:rFonts w:eastAsia="Times New Roman"/>
        </w:rPr>
        <w:t>Pa.Cmwlth.</w:t>
      </w:r>
      <w:r w:rsidR="003C61E2">
        <w:rPr>
          <w:rFonts w:eastAsia="Times New Roman"/>
        </w:rPr>
        <w:t xml:space="preserve"> </w:t>
      </w:r>
      <w:r>
        <w:rPr>
          <w:rFonts w:eastAsia="Times New Roman"/>
        </w:rPr>
        <w:t>23, 480 A.2d 382 (1984).</w:t>
      </w:r>
    </w:p>
    <w:p w:rsidR="00B85EA2" w:rsidRDefault="00B85EA2" w:rsidP="00813C57">
      <w:pPr>
        <w:pStyle w:val="NoSpacing"/>
        <w:rPr>
          <w:rFonts w:eastAsia="Times New Roman"/>
        </w:rPr>
      </w:pPr>
    </w:p>
    <w:p w:rsidR="00706EE5" w:rsidRDefault="005E2C22" w:rsidP="00813C57">
      <w:pPr>
        <w:pStyle w:val="NoSpacing"/>
        <w:rPr>
          <w:rFonts w:eastAsia="Times New Roman"/>
        </w:rPr>
      </w:pPr>
      <w:r>
        <w:rPr>
          <w:rFonts w:eastAsia="Times New Roman"/>
        </w:rPr>
        <w:tab/>
      </w:r>
      <w:r>
        <w:rPr>
          <w:rFonts w:eastAsia="Times New Roman"/>
        </w:rPr>
        <w:tab/>
      </w:r>
      <w:r>
        <w:t>The Complainant contends that the</w:t>
      </w:r>
      <w:r w:rsidR="00706EE5">
        <w:rPr>
          <w:rFonts w:eastAsia="Batang"/>
        </w:rPr>
        <w:t xml:space="preserve"> Respondent should not require an underwriter’s certificate unless a safety concern has been identified</w:t>
      </w:r>
      <w:r w:rsidR="00C901E5">
        <w:rPr>
          <w:rFonts w:eastAsia="Batang"/>
        </w:rPr>
        <w:t xml:space="preserve"> (Tr. 13)</w:t>
      </w:r>
      <w:r w:rsidR="00A37995">
        <w:rPr>
          <w:rFonts w:eastAsia="Batang"/>
        </w:rPr>
        <w:t xml:space="preserve">.  </w:t>
      </w:r>
      <w:r w:rsidR="00706EE5">
        <w:rPr>
          <w:rFonts w:eastAsia="Batang"/>
        </w:rPr>
        <w:t xml:space="preserve">He said that the other apartment in the duplex had electricity and </w:t>
      </w:r>
      <w:r w:rsidR="00585F41">
        <w:rPr>
          <w:rFonts w:eastAsia="Batang"/>
        </w:rPr>
        <w:t xml:space="preserve">that </w:t>
      </w:r>
      <w:r w:rsidR="00706EE5">
        <w:rPr>
          <w:rFonts w:eastAsia="Batang"/>
        </w:rPr>
        <w:t xml:space="preserve">the electric service </w:t>
      </w:r>
      <w:r w:rsidR="00585F41">
        <w:rPr>
          <w:rFonts w:eastAsia="Batang"/>
        </w:rPr>
        <w:t>for</w:t>
      </w:r>
      <w:r w:rsidR="00706EE5">
        <w:rPr>
          <w:rFonts w:eastAsia="Batang"/>
        </w:rPr>
        <w:t xml:space="preserve"> the second floor apartment had only been off a short time</w:t>
      </w:r>
      <w:r w:rsidR="002350FF">
        <w:rPr>
          <w:rFonts w:eastAsia="Batang"/>
        </w:rPr>
        <w:t xml:space="preserve"> (Tr. 10)</w:t>
      </w:r>
      <w:r w:rsidR="00706EE5">
        <w:rPr>
          <w:rFonts w:eastAsia="Batang"/>
        </w:rPr>
        <w:t>.  Therefore, no safety risk was posed</w:t>
      </w:r>
      <w:r w:rsidR="00C901E5">
        <w:rPr>
          <w:rFonts w:eastAsia="Batang"/>
        </w:rPr>
        <w:t xml:space="preserve"> (Tr. 14)</w:t>
      </w:r>
      <w:r w:rsidR="00706EE5">
        <w:rPr>
          <w:rFonts w:eastAsia="Batang"/>
        </w:rPr>
        <w:t>.  The</w:t>
      </w:r>
      <w:r w:rsidR="00706EE5">
        <w:rPr>
          <w:rFonts w:eastAsia="Times New Roman"/>
        </w:rPr>
        <w:t xml:space="preserve"> Complainant argued that it was not reasonable for the </w:t>
      </w:r>
      <w:r w:rsidR="00A37995">
        <w:t xml:space="preserve">Respondent to require him to pay for an </w:t>
      </w:r>
      <w:r w:rsidR="00A37995">
        <w:rPr>
          <w:rFonts w:eastAsia="Batang"/>
        </w:rPr>
        <w:t>underwriter’s certificate when there was no safety hazard</w:t>
      </w:r>
      <w:r w:rsidR="002350FF">
        <w:rPr>
          <w:rFonts w:eastAsia="Batang"/>
        </w:rPr>
        <w:t xml:space="preserve"> (Tr. 11, 12)</w:t>
      </w:r>
      <w:r w:rsidR="00A37995">
        <w:rPr>
          <w:rFonts w:eastAsia="Batang"/>
        </w:rPr>
        <w:t>.  The</w:t>
      </w:r>
      <w:r w:rsidR="00A37995">
        <w:rPr>
          <w:rFonts w:eastAsia="Times New Roman"/>
        </w:rPr>
        <w:t xml:space="preserve"> Complainant t</w:t>
      </w:r>
      <w:r w:rsidR="00A436F2">
        <w:rPr>
          <w:rFonts w:eastAsia="Times New Roman"/>
        </w:rPr>
        <w:t>es</w:t>
      </w:r>
      <w:r w:rsidR="00A37995">
        <w:rPr>
          <w:rFonts w:eastAsia="Times New Roman"/>
        </w:rPr>
        <w:t>t</w:t>
      </w:r>
      <w:r w:rsidR="00A436F2">
        <w:rPr>
          <w:rFonts w:eastAsia="Times New Roman"/>
        </w:rPr>
        <w:t>ifi</w:t>
      </w:r>
      <w:r w:rsidR="00A37995">
        <w:rPr>
          <w:rFonts w:eastAsia="Times New Roman"/>
        </w:rPr>
        <w:t xml:space="preserve">ed that his tenant </w:t>
      </w:r>
      <w:r w:rsidR="00A436F2">
        <w:rPr>
          <w:rFonts w:eastAsia="Times New Roman"/>
        </w:rPr>
        <w:t xml:space="preserve">could not </w:t>
      </w:r>
      <w:r w:rsidR="00A37995">
        <w:rPr>
          <w:rFonts w:eastAsia="Times New Roman"/>
        </w:rPr>
        <w:t>mov</w:t>
      </w:r>
      <w:r w:rsidR="00A436F2">
        <w:rPr>
          <w:rFonts w:eastAsia="Times New Roman"/>
        </w:rPr>
        <w:t>e</w:t>
      </w:r>
      <w:r w:rsidR="00A37995">
        <w:rPr>
          <w:rFonts w:eastAsia="Times New Roman"/>
        </w:rPr>
        <w:t xml:space="preserve"> into the apartment </w:t>
      </w:r>
      <w:r w:rsidR="00A436F2">
        <w:rPr>
          <w:rFonts w:eastAsia="Times New Roman"/>
        </w:rPr>
        <w:t xml:space="preserve">on time </w:t>
      </w:r>
      <w:r w:rsidR="00A37995">
        <w:rPr>
          <w:rFonts w:eastAsia="Times New Roman"/>
        </w:rPr>
        <w:t>because the</w:t>
      </w:r>
      <w:r w:rsidR="00A436F2">
        <w:t xml:space="preserve"> Respondent would not provide electric service before the </w:t>
      </w:r>
      <w:r w:rsidR="00A436F2">
        <w:rPr>
          <w:rFonts w:eastAsia="Times New Roman"/>
        </w:rPr>
        <w:t>underwriter’s certificate was submitted (Tr. 13)</w:t>
      </w:r>
      <w:r w:rsidR="00A37995">
        <w:rPr>
          <w:rFonts w:eastAsia="Times New Roman"/>
        </w:rPr>
        <w:t xml:space="preserve">. </w:t>
      </w:r>
    </w:p>
    <w:p w:rsidR="00197453" w:rsidRDefault="00197453" w:rsidP="00813C57">
      <w:pPr>
        <w:pStyle w:val="NoSpacing"/>
        <w:rPr>
          <w:rFonts w:eastAsia="Times New Roman"/>
        </w:rPr>
      </w:pPr>
    </w:p>
    <w:p w:rsidR="00197453" w:rsidRDefault="00197453" w:rsidP="00813C57">
      <w:pPr>
        <w:pStyle w:val="NoSpacing"/>
        <w:rPr>
          <w:rFonts w:eastAsia="Batang"/>
        </w:rPr>
      </w:pPr>
      <w:r>
        <w:rPr>
          <w:rFonts w:eastAsia="Times New Roman"/>
        </w:rPr>
        <w:tab/>
      </w:r>
      <w:r>
        <w:rPr>
          <w:rFonts w:eastAsia="Times New Roman"/>
        </w:rPr>
        <w:tab/>
      </w:r>
      <w:r>
        <w:t xml:space="preserve">The Complainant said that the Respondent failed to cite a law or tariff that required him to submit the </w:t>
      </w:r>
      <w:r>
        <w:rPr>
          <w:rFonts w:eastAsia="Times New Roman"/>
        </w:rPr>
        <w:t>underwriter’s certificate (Tr. 15</w:t>
      </w:r>
      <w:r w:rsidR="00E37F23">
        <w:rPr>
          <w:rFonts w:eastAsia="Times New Roman"/>
        </w:rPr>
        <w:t>, 64</w:t>
      </w:r>
      <w:r>
        <w:rPr>
          <w:rFonts w:eastAsia="Times New Roman"/>
        </w:rPr>
        <w:t>; C. Ex</w:t>
      </w:r>
      <w:r w:rsidR="00E37F23">
        <w:rPr>
          <w:rFonts w:eastAsia="Times New Roman"/>
        </w:rPr>
        <w:t>s</w:t>
      </w:r>
      <w:r>
        <w:rPr>
          <w:rFonts w:eastAsia="Times New Roman"/>
        </w:rPr>
        <w:t>.</w:t>
      </w:r>
      <w:r w:rsidR="00E37F23">
        <w:rPr>
          <w:rFonts w:eastAsia="Times New Roman"/>
        </w:rPr>
        <w:t xml:space="preserve"> 7, 8</w:t>
      </w:r>
      <w:r>
        <w:rPr>
          <w:rFonts w:eastAsia="Times New Roman"/>
        </w:rPr>
        <w:t xml:space="preserve">; PECO Ex. </w:t>
      </w:r>
      <w:r w:rsidR="00E37F23">
        <w:rPr>
          <w:rFonts w:eastAsia="Times New Roman"/>
        </w:rPr>
        <w:t>8).</w:t>
      </w:r>
    </w:p>
    <w:p w:rsidR="00706EE5" w:rsidRDefault="00706EE5" w:rsidP="00813C57">
      <w:pPr>
        <w:pStyle w:val="NoSpacing"/>
        <w:rPr>
          <w:rFonts w:eastAsia="Batang"/>
        </w:rPr>
      </w:pPr>
    </w:p>
    <w:p w:rsidR="00EE0B3D" w:rsidRDefault="00585F41" w:rsidP="00813C57">
      <w:pPr>
        <w:pStyle w:val="NoSpacing"/>
        <w:rPr>
          <w:rFonts w:eastAsia="Batang"/>
        </w:rPr>
      </w:pPr>
      <w:r>
        <w:rPr>
          <w:rFonts w:eastAsia="Batang"/>
        </w:rPr>
        <w:tab/>
      </w:r>
      <w:r w:rsidR="00A37995" w:rsidRPr="00A37995">
        <w:rPr>
          <w:rFonts w:eastAsia="Batang"/>
        </w:rPr>
        <w:tab/>
        <w:t xml:space="preserve">Derrick Williams, an electrical engineer, is the Respondent’s business manager for the City of Philadelphia (Tr. 19, 35). </w:t>
      </w:r>
      <w:r>
        <w:rPr>
          <w:rFonts w:eastAsia="Batang"/>
        </w:rPr>
        <w:t xml:space="preserve"> His department </w:t>
      </w:r>
      <w:r w:rsidR="00A37995" w:rsidRPr="00A37995">
        <w:rPr>
          <w:rFonts w:eastAsia="Batang"/>
        </w:rPr>
        <w:t>is responsible for all new business</w:t>
      </w:r>
    </w:p>
    <w:p w:rsidR="00706EE5" w:rsidRDefault="00A37995" w:rsidP="00813C57">
      <w:pPr>
        <w:pStyle w:val="NoSpacing"/>
        <w:rPr>
          <w:rFonts w:eastAsia="Batang"/>
        </w:rPr>
      </w:pPr>
      <w:r w:rsidRPr="00A37995">
        <w:rPr>
          <w:rFonts w:eastAsia="Batang"/>
        </w:rPr>
        <w:t>(Tr. 37).</w:t>
      </w:r>
    </w:p>
    <w:p w:rsidR="00A37995" w:rsidRDefault="00A37995" w:rsidP="00813C57">
      <w:pPr>
        <w:pStyle w:val="NoSpacing"/>
      </w:pPr>
    </w:p>
    <w:p w:rsidR="0039439E" w:rsidRDefault="00A37995" w:rsidP="00813C57">
      <w:pPr>
        <w:pStyle w:val="NoSpacing"/>
        <w:rPr>
          <w:rFonts w:eastAsia="Batang"/>
        </w:rPr>
      </w:pPr>
      <w:r>
        <w:tab/>
      </w:r>
      <w:r>
        <w:tab/>
      </w:r>
      <w:r w:rsidR="00585F41">
        <w:t xml:space="preserve">Mr. Williams </w:t>
      </w:r>
      <w:r>
        <w:t>testified that t</w:t>
      </w:r>
      <w:r>
        <w:rPr>
          <w:rFonts w:eastAsia="Batang"/>
        </w:rPr>
        <w:t>he Respondent requested an underwriter’s certificate because the service had been off longer than six months (Tr. 33; PECO Ex</w:t>
      </w:r>
      <w:r w:rsidR="003C61E2">
        <w:rPr>
          <w:rFonts w:eastAsia="Batang"/>
        </w:rPr>
        <w:t>s</w:t>
      </w:r>
      <w:r>
        <w:rPr>
          <w:rFonts w:eastAsia="Batang"/>
        </w:rPr>
        <w:t>. 1</w:t>
      </w:r>
      <w:r w:rsidR="003C61E2">
        <w:rPr>
          <w:rFonts w:eastAsia="Batang"/>
        </w:rPr>
        <w:t>, 4</w:t>
      </w:r>
      <w:r>
        <w:rPr>
          <w:rFonts w:eastAsia="Batang"/>
        </w:rPr>
        <w:t xml:space="preserve">).  </w:t>
      </w:r>
      <w:r w:rsidR="00B85EA2">
        <w:rPr>
          <w:rFonts w:eastAsia="Batang"/>
        </w:rPr>
        <w:t xml:space="preserve">Mr. Williams explained that the Respondent is not responsible for the integrity of the wiring inside of a customer’s property (Tr. 41).  He stated that anything could have happened to the wiring in the </w:t>
      </w:r>
      <w:r w:rsidR="00B85EA2">
        <w:rPr>
          <w:rFonts w:eastAsia="Batang"/>
        </w:rPr>
        <w:lastRenderedPageBreak/>
        <w:t>apartment in six months (Tr. 31)</w:t>
      </w:r>
      <w:r w:rsidR="002E2BEF">
        <w:rPr>
          <w:rFonts w:eastAsia="Batang"/>
        </w:rPr>
        <w:t>.  If</w:t>
      </w:r>
      <w:r w:rsidR="00B85EA2">
        <w:rPr>
          <w:rFonts w:eastAsia="Batang"/>
        </w:rPr>
        <w:t xml:space="preserve"> the Respondent energizes the service when the circuit is broken, the walls could heat up and </w:t>
      </w:r>
      <w:r w:rsidR="002E2BEF">
        <w:rPr>
          <w:rFonts w:eastAsia="Batang"/>
        </w:rPr>
        <w:t xml:space="preserve">the Respondent would be liable if </w:t>
      </w:r>
      <w:r w:rsidR="00B85EA2">
        <w:rPr>
          <w:rFonts w:eastAsia="Batang"/>
        </w:rPr>
        <w:t xml:space="preserve">a fire </w:t>
      </w:r>
      <w:r w:rsidR="0039439E">
        <w:rPr>
          <w:rFonts w:eastAsia="Batang"/>
        </w:rPr>
        <w:t>start</w:t>
      </w:r>
      <w:r w:rsidR="002E2BEF">
        <w:rPr>
          <w:rFonts w:eastAsia="Batang"/>
        </w:rPr>
        <w:t xml:space="preserve">ed </w:t>
      </w:r>
      <w:r w:rsidR="0039439E">
        <w:rPr>
          <w:rFonts w:eastAsia="Batang"/>
        </w:rPr>
        <w:t xml:space="preserve">(Tr.  31).  </w:t>
      </w:r>
    </w:p>
    <w:p w:rsidR="00E83315" w:rsidRDefault="00E83315" w:rsidP="00813C57">
      <w:pPr>
        <w:pStyle w:val="NoSpacing"/>
        <w:rPr>
          <w:rFonts w:eastAsia="Batang"/>
        </w:rPr>
      </w:pPr>
    </w:p>
    <w:p w:rsidR="0039439E" w:rsidRDefault="0039439E" w:rsidP="0039439E">
      <w:pPr>
        <w:pStyle w:val="NoSpacing"/>
      </w:pPr>
      <w:r>
        <w:rPr>
          <w:rFonts w:eastAsia="Batang"/>
        </w:rPr>
        <w:tab/>
      </w:r>
      <w:r>
        <w:rPr>
          <w:rFonts w:eastAsia="Batang"/>
        </w:rPr>
        <w:tab/>
      </w:r>
      <w:r w:rsidR="00A37995">
        <w:rPr>
          <w:rFonts w:eastAsia="Batang"/>
        </w:rPr>
        <w:t xml:space="preserve">The Respondent’s request for an underwriter certificate was based on a company policy and its tariff (Tr. </w:t>
      </w:r>
      <w:r w:rsidR="003C61E2">
        <w:rPr>
          <w:rFonts w:eastAsia="Batang"/>
        </w:rPr>
        <w:t>30, 31</w:t>
      </w:r>
      <w:r w:rsidR="00A37995">
        <w:rPr>
          <w:rFonts w:eastAsia="Batang"/>
        </w:rPr>
        <w:t>; PECO Ex</w:t>
      </w:r>
      <w:r w:rsidR="003C61E2">
        <w:rPr>
          <w:rFonts w:eastAsia="Batang"/>
        </w:rPr>
        <w:t>s</w:t>
      </w:r>
      <w:r w:rsidR="00A37995">
        <w:rPr>
          <w:rFonts w:eastAsia="Batang"/>
        </w:rPr>
        <w:t xml:space="preserve">. </w:t>
      </w:r>
      <w:r w:rsidR="003C61E2">
        <w:rPr>
          <w:rFonts w:eastAsia="Batang"/>
        </w:rPr>
        <w:t>4, 5</w:t>
      </w:r>
      <w:r w:rsidR="00A37995">
        <w:rPr>
          <w:rFonts w:eastAsia="Batang"/>
        </w:rPr>
        <w:t xml:space="preserve">).  </w:t>
      </w:r>
      <w:r w:rsidR="00A37995">
        <w:t xml:space="preserve">The Respondent’s </w:t>
      </w:r>
      <w:r w:rsidR="00B85EA2">
        <w:t>p</w:t>
      </w:r>
      <w:r w:rsidR="00A37995">
        <w:t xml:space="preserve">olicy requires an underwriter’s certificate when a hazardous condition </w:t>
      </w:r>
      <w:r w:rsidR="00585F41">
        <w:t>ex</w:t>
      </w:r>
      <w:r w:rsidR="00A37995">
        <w:t>is</w:t>
      </w:r>
      <w:r w:rsidR="00585F41">
        <w:t>ts</w:t>
      </w:r>
      <w:r w:rsidR="00A37995">
        <w:t>, when the service has been off for more than six months or when one of the employees deems it unsafe</w:t>
      </w:r>
      <w:r w:rsidR="00585F41">
        <w:t xml:space="preserve"> to energize the service</w:t>
      </w:r>
      <w:r w:rsidR="00A37995">
        <w:t xml:space="preserve"> </w:t>
      </w:r>
    </w:p>
    <w:p w:rsidR="00A37995" w:rsidRDefault="00A37995" w:rsidP="0039439E">
      <w:pPr>
        <w:pStyle w:val="NoSpacing"/>
      </w:pPr>
      <w:r>
        <w:t xml:space="preserve">(Tr. 27, 32; PECO Ex. 4).  </w:t>
      </w:r>
      <w:r w:rsidR="0039439E">
        <w:t xml:space="preserve">The inspector goes into the property, measures the continuity of the service and tells the Respondent if </w:t>
      </w:r>
      <w:r>
        <w:t>it is safe to energize the property (Tr.</w:t>
      </w:r>
      <w:r w:rsidR="00585F41">
        <w:t xml:space="preserve"> </w:t>
      </w:r>
      <w:r>
        <w:t xml:space="preserve">31).  </w:t>
      </w:r>
    </w:p>
    <w:p w:rsidR="00A37995" w:rsidRDefault="00A37995" w:rsidP="0039439E">
      <w:pPr>
        <w:pStyle w:val="NoSpacing"/>
      </w:pPr>
    </w:p>
    <w:p w:rsidR="00585F41" w:rsidRDefault="00A37995" w:rsidP="00813C57">
      <w:pPr>
        <w:jc w:val="left"/>
        <w:rPr>
          <w:rFonts w:eastAsia="Times New Roman"/>
          <w:color w:val="333333"/>
        </w:rPr>
      </w:pPr>
      <w:r>
        <w:tab/>
      </w:r>
      <w:r>
        <w:tab/>
        <w:t xml:space="preserve">Mr. Williams explained that the Respondent’s tariff allows it to request an </w:t>
      </w:r>
      <w:r>
        <w:rPr>
          <w:rFonts w:eastAsia="Batang"/>
        </w:rPr>
        <w:t xml:space="preserve">underwriter’s certificate.  </w:t>
      </w:r>
      <w:r w:rsidR="00585F41" w:rsidRPr="005707A3">
        <w:rPr>
          <w:rFonts w:eastAsia="Times New Roman"/>
          <w:color w:val="333333"/>
        </w:rPr>
        <w:t xml:space="preserve">PECO's Tariff Rule </w:t>
      </w:r>
      <w:r w:rsidR="00585F41">
        <w:rPr>
          <w:rFonts w:eastAsia="Times New Roman"/>
          <w:color w:val="333333"/>
        </w:rPr>
        <w:t>9</w:t>
      </w:r>
      <w:r w:rsidR="00585F41" w:rsidRPr="005707A3">
        <w:rPr>
          <w:rFonts w:eastAsia="Times New Roman"/>
          <w:color w:val="333333"/>
        </w:rPr>
        <w:t xml:space="preserve"> provides as follows in pertinent part: </w:t>
      </w:r>
    </w:p>
    <w:p w:rsidR="0039439E" w:rsidRPr="005707A3" w:rsidRDefault="0039439E" w:rsidP="00813C57">
      <w:pPr>
        <w:jc w:val="left"/>
        <w:rPr>
          <w:rFonts w:eastAsia="Times New Roman"/>
          <w:color w:val="333333"/>
        </w:rPr>
      </w:pPr>
    </w:p>
    <w:p w:rsidR="00585F41" w:rsidRPr="005707A3" w:rsidRDefault="00585F41" w:rsidP="00813C57">
      <w:pPr>
        <w:spacing w:line="240" w:lineRule="auto"/>
        <w:ind w:left="1152" w:right="1152"/>
        <w:jc w:val="left"/>
        <w:rPr>
          <w:rFonts w:eastAsia="Times New Roman"/>
          <w:color w:val="333333"/>
        </w:rPr>
      </w:pPr>
      <w:r>
        <w:rPr>
          <w:rFonts w:eastAsia="Times New Roman"/>
          <w:color w:val="333333"/>
        </w:rPr>
        <w:t>9</w:t>
      </w:r>
      <w:r w:rsidRPr="005707A3">
        <w:rPr>
          <w:rFonts w:eastAsia="Times New Roman"/>
          <w:color w:val="333333"/>
        </w:rPr>
        <w:t xml:space="preserve">. </w:t>
      </w:r>
      <w:r>
        <w:rPr>
          <w:rFonts w:eastAsia="Times New Roman"/>
          <w:color w:val="333333"/>
        </w:rPr>
        <w:t xml:space="preserve">INTRODUCTION OF </w:t>
      </w:r>
      <w:r w:rsidRPr="005707A3">
        <w:rPr>
          <w:rFonts w:eastAsia="Times New Roman"/>
          <w:color w:val="333333"/>
        </w:rPr>
        <w:t xml:space="preserve">SERVICE </w:t>
      </w:r>
    </w:p>
    <w:p w:rsidR="00585F41" w:rsidRPr="005707A3" w:rsidRDefault="00585F41" w:rsidP="00813C57">
      <w:pPr>
        <w:spacing w:line="240" w:lineRule="auto"/>
        <w:ind w:left="1152" w:right="1152"/>
        <w:jc w:val="left"/>
        <w:rPr>
          <w:rFonts w:eastAsia="Times New Roman"/>
          <w:color w:val="333333"/>
        </w:rPr>
      </w:pPr>
    </w:p>
    <w:p w:rsidR="00585F41" w:rsidRDefault="00585F41" w:rsidP="00813C57">
      <w:pPr>
        <w:spacing w:line="240" w:lineRule="auto"/>
        <w:ind w:left="1152" w:right="1152"/>
        <w:jc w:val="left"/>
        <w:rPr>
          <w:rFonts w:eastAsia="Times New Roman"/>
          <w:color w:val="333333"/>
        </w:rPr>
      </w:pPr>
      <w:r>
        <w:rPr>
          <w:rFonts w:eastAsia="Times New Roman"/>
          <w:color w:val="333333"/>
        </w:rPr>
        <w:t>9.</w:t>
      </w:r>
      <w:r w:rsidRPr="005707A3">
        <w:rPr>
          <w:rFonts w:eastAsia="Times New Roman"/>
          <w:color w:val="333333"/>
        </w:rPr>
        <w:t>2 INS</w:t>
      </w:r>
      <w:r>
        <w:rPr>
          <w:rFonts w:eastAsia="Times New Roman"/>
          <w:color w:val="333333"/>
        </w:rPr>
        <w:t>PECTIO</w:t>
      </w:r>
      <w:r w:rsidRPr="005707A3">
        <w:rPr>
          <w:rFonts w:eastAsia="Times New Roman"/>
          <w:color w:val="333333"/>
        </w:rPr>
        <w:t xml:space="preserve">N. </w:t>
      </w:r>
    </w:p>
    <w:p w:rsidR="00655EAD" w:rsidRPr="005707A3" w:rsidRDefault="00655EAD" w:rsidP="00813C57">
      <w:pPr>
        <w:spacing w:line="240" w:lineRule="auto"/>
        <w:ind w:left="1152" w:right="1152"/>
        <w:jc w:val="left"/>
        <w:rPr>
          <w:rFonts w:eastAsia="Times New Roman"/>
          <w:color w:val="333333"/>
        </w:rPr>
      </w:pPr>
    </w:p>
    <w:p w:rsidR="00585F41" w:rsidRDefault="00585F41" w:rsidP="00813C57">
      <w:pPr>
        <w:spacing w:line="240" w:lineRule="auto"/>
        <w:ind w:left="1152" w:right="1152"/>
        <w:jc w:val="left"/>
        <w:rPr>
          <w:rFonts w:eastAsia="Batang"/>
        </w:rPr>
      </w:pPr>
      <w:r w:rsidRPr="005707A3">
        <w:rPr>
          <w:rFonts w:eastAsia="Times New Roman"/>
          <w:color w:val="333333"/>
        </w:rPr>
        <w:t xml:space="preserve">The Company </w:t>
      </w:r>
      <w:r>
        <w:t>reserves the right to refuse the introduction of service unless a written certificate of approval satisfactory to the Company has been received from a competent inspection agency authorized to perform this service in the specific locality in which service is to be provided.</w:t>
      </w:r>
      <w:r w:rsidRPr="00585F41">
        <w:rPr>
          <w:rFonts w:eastAsia="Batang"/>
        </w:rPr>
        <w:t xml:space="preserve"> </w:t>
      </w:r>
    </w:p>
    <w:p w:rsidR="00585F41" w:rsidRDefault="00585F41" w:rsidP="00813C57">
      <w:pPr>
        <w:ind w:left="1152" w:right="1152"/>
        <w:jc w:val="left"/>
        <w:rPr>
          <w:rFonts w:eastAsia="Batang"/>
        </w:rPr>
      </w:pPr>
    </w:p>
    <w:p w:rsidR="00585F41" w:rsidRDefault="00585F41" w:rsidP="00813C57">
      <w:pPr>
        <w:jc w:val="left"/>
      </w:pPr>
      <w:r>
        <w:rPr>
          <w:rFonts w:eastAsia="Batang"/>
        </w:rPr>
        <w:tab/>
      </w:r>
      <w:r>
        <w:rPr>
          <w:rFonts w:eastAsia="Batang"/>
        </w:rPr>
        <w:tab/>
        <w:t xml:space="preserve">Mr. Williams also referred to </w:t>
      </w:r>
      <w:r w:rsidR="00E032AC">
        <w:rPr>
          <w:rFonts w:eastAsia="Batang"/>
        </w:rPr>
        <w:t xml:space="preserve">PECO’s Electric Service Requirements Manual (Blue Book).  The manual contains rules that apply to </w:t>
      </w:r>
      <w:r>
        <w:rPr>
          <w:rFonts w:eastAsia="Batang"/>
        </w:rPr>
        <w:t>PECO employees</w:t>
      </w:r>
      <w:r w:rsidR="00E032AC">
        <w:rPr>
          <w:rFonts w:eastAsia="Batang"/>
        </w:rPr>
        <w:t>, its customers and the builders</w:t>
      </w:r>
      <w:r>
        <w:rPr>
          <w:rFonts w:eastAsia="Batang"/>
        </w:rPr>
        <w:t xml:space="preserve"> and the electricians</w:t>
      </w:r>
      <w:r w:rsidR="00E032AC">
        <w:rPr>
          <w:rFonts w:eastAsia="Batang"/>
        </w:rPr>
        <w:t xml:space="preserve"> who work in PECO’s territory</w:t>
      </w:r>
      <w:r>
        <w:rPr>
          <w:rFonts w:eastAsia="Batang"/>
        </w:rPr>
        <w:t>.  The</w:t>
      </w:r>
      <w:r>
        <w:t xml:space="preserve"> Respondent can require a certificate to show that the installation complies with </w:t>
      </w:r>
      <w:r w:rsidR="008E37B3" w:rsidRPr="008E37B3">
        <w:t>all applicable provisions of the National Electrical Code and the Pennsylvania Uniform Construction Code before electric service is connected (Tr. 30; PECO Ex. 6).</w:t>
      </w:r>
    </w:p>
    <w:p w:rsidR="00585F41" w:rsidRDefault="00585F41" w:rsidP="00813C57">
      <w:pPr>
        <w:jc w:val="left"/>
      </w:pPr>
    </w:p>
    <w:p w:rsidR="00A37995" w:rsidRDefault="00585F41" w:rsidP="00813C57">
      <w:pPr>
        <w:jc w:val="left"/>
      </w:pPr>
      <w:r>
        <w:tab/>
      </w:r>
      <w:r>
        <w:tab/>
      </w:r>
      <w:r>
        <w:rPr>
          <w:rFonts w:eastAsia="Batang"/>
        </w:rPr>
        <w:t xml:space="preserve">Furthermore, the Respondent’s policy states that the Respondent can request </w:t>
      </w:r>
      <w:r w:rsidR="00A37995">
        <w:rPr>
          <w:rFonts w:eastAsia="Batang"/>
        </w:rPr>
        <w:t>an underwriter’s certificate when the service has been off for six months (</w:t>
      </w:r>
      <w:r w:rsidR="008E37B3">
        <w:rPr>
          <w:rFonts w:eastAsia="Batang"/>
        </w:rPr>
        <w:t>PECO Ex. 4</w:t>
      </w:r>
      <w:r w:rsidR="0067792C">
        <w:rPr>
          <w:rFonts w:eastAsia="Batang"/>
        </w:rPr>
        <w:t>). He explained</w:t>
      </w:r>
      <w:r w:rsidR="00A37995">
        <w:rPr>
          <w:rFonts w:eastAsia="Batang"/>
        </w:rPr>
        <w:t xml:space="preserve"> that the </w:t>
      </w:r>
      <w:r w:rsidR="00A37995">
        <w:t>Respondent is concerned about safety.</w:t>
      </w:r>
    </w:p>
    <w:p w:rsidR="00E83315" w:rsidRDefault="00E83315" w:rsidP="00813C57">
      <w:pPr>
        <w:jc w:val="left"/>
        <w:rPr>
          <w:rFonts w:eastAsia="Batang"/>
        </w:rPr>
      </w:pPr>
    </w:p>
    <w:p w:rsidR="000B2098" w:rsidRDefault="000B2098" w:rsidP="00813C57">
      <w:pPr>
        <w:jc w:val="left"/>
        <w:rPr>
          <w:rFonts w:eastAsia="Times New Roman"/>
          <w:color w:val="333333"/>
        </w:rPr>
      </w:pPr>
      <w:r w:rsidRPr="000B2098">
        <w:rPr>
          <w:rFonts w:eastAsia="Times New Roman"/>
          <w:color w:val="333333"/>
        </w:rPr>
        <w:lastRenderedPageBreak/>
        <w:tab/>
      </w:r>
      <w:r w:rsidRPr="000B2098">
        <w:rPr>
          <w:rFonts w:eastAsia="Times New Roman"/>
          <w:color w:val="333333"/>
        </w:rPr>
        <w:tab/>
        <w:t xml:space="preserve">Tariffs are service rules and regulations adopted by public utilities relating to rates.  Tariffs filed with state regulatory agencies such as the public utility commission are not mere contracts but have the force of law and are binding on the consumer and the utility. </w:t>
      </w:r>
      <w:proofErr w:type="spellStart"/>
      <w:r w:rsidRPr="000B2098">
        <w:rPr>
          <w:rFonts w:eastAsia="Times New Roman"/>
          <w:i/>
          <w:iCs/>
        </w:rPr>
        <w:t>Stiteler</w:t>
      </w:r>
      <w:proofErr w:type="spellEnd"/>
      <w:r w:rsidRPr="000B2098">
        <w:rPr>
          <w:rFonts w:eastAsia="Times New Roman"/>
          <w:i/>
          <w:iCs/>
        </w:rPr>
        <w:t xml:space="preserve"> v. Bell Telephone Company</w:t>
      </w:r>
      <w:r w:rsidRPr="000B2098">
        <w:rPr>
          <w:rFonts w:eastAsia="Times New Roman"/>
        </w:rPr>
        <w:t>, 379 A.2d 339 (</w:t>
      </w:r>
      <w:r w:rsidR="008E407D">
        <w:rPr>
          <w:rFonts w:eastAsia="Times New Roman"/>
        </w:rPr>
        <w:t>Pa.Cmwlth.</w:t>
      </w:r>
      <w:r w:rsidRPr="000B2098">
        <w:rPr>
          <w:rFonts w:eastAsia="Times New Roman"/>
        </w:rPr>
        <w:t xml:space="preserve"> 1977); </w:t>
      </w:r>
      <w:r w:rsidRPr="000B2098">
        <w:rPr>
          <w:rFonts w:eastAsia="Times New Roman"/>
          <w:i/>
          <w:iCs/>
        </w:rPr>
        <w:t xml:space="preserve">Brockway Glass Company v. </w:t>
      </w:r>
      <w:r w:rsidR="008E407D">
        <w:rPr>
          <w:i/>
        </w:rPr>
        <w:t xml:space="preserve">Pa. Pub. Util. </w:t>
      </w:r>
      <w:proofErr w:type="spellStart"/>
      <w:r w:rsidR="008E407D">
        <w:rPr>
          <w:i/>
        </w:rPr>
        <w:t>Comm’n</w:t>
      </w:r>
      <w:proofErr w:type="spellEnd"/>
      <w:proofErr w:type="gramStart"/>
      <w:r w:rsidR="008E407D">
        <w:rPr>
          <w:i/>
        </w:rPr>
        <w:t>,</w:t>
      </w:r>
      <w:r w:rsidRPr="000B2098">
        <w:rPr>
          <w:rFonts w:eastAsia="Times New Roman"/>
        </w:rPr>
        <w:t>,</w:t>
      </w:r>
      <w:proofErr w:type="gramEnd"/>
      <w:r w:rsidRPr="000B2098">
        <w:rPr>
          <w:rFonts w:eastAsia="Times New Roman"/>
        </w:rPr>
        <w:t xml:space="preserve"> 437 A.2d 1067 (</w:t>
      </w:r>
      <w:r w:rsidR="008E407D">
        <w:rPr>
          <w:rFonts w:eastAsia="Times New Roman"/>
        </w:rPr>
        <w:t>Pa.Cmwlth.</w:t>
      </w:r>
      <w:r w:rsidRPr="000B2098">
        <w:rPr>
          <w:rFonts w:eastAsia="Times New Roman"/>
        </w:rPr>
        <w:t xml:space="preserve"> 1981); </w:t>
      </w:r>
      <w:r w:rsidRPr="000B2098">
        <w:rPr>
          <w:rFonts w:eastAsia="Times New Roman"/>
          <w:i/>
          <w:iCs/>
        </w:rPr>
        <w:t xml:space="preserve">Pennsylvania Electric Company v. </w:t>
      </w:r>
      <w:r w:rsidR="008E407D">
        <w:rPr>
          <w:i/>
        </w:rPr>
        <w:t xml:space="preserve">Pa. Pub. Util. </w:t>
      </w:r>
      <w:proofErr w:type="spellStart"/>
      <w:r w:rsidR="008E407D">
        <w:rPr>
          <w:i/>
        </w:rPr>
        <w:t>Comm’n</w:t>
      </w:r>
      <w:proofErr w:type="spellEnd"/>
      <w:proofErr w:type="gramStart"/>
      <w:r w:rsidR="008E407D">
        <w:rPr>
          <w:i/>
        </w:rPr>
        <w:t>,</w:t>
      </w:r>
      <w:r w:rsidRPr="000B2098">
        <w:rPr>
          <w:rFonts w:eastAsia="Times New Roman"/>
        </w:rPr>
        <w:t>,</w:t>
      </w:r>
      <w:proofErr w:type="gramEnd"/>
      <w:r w:rsidRPr="000B2098">
        <w:rPr>
          <w:rFonts w:eastAsia="Times New Roman"/>
        </w:rPr>
        <w:t xml:space="preserve"> 663 A.2d 281 (</w:t>
      </w:r>
      <w:r w:rsidR="008E407D">
        <w:rPr>
          <w:rFonts w:eastAsia="Times New Roman"/>
        </w:rPr>
        <w:t>Pa.Cmwlth.</w:t>
      </w:r>
      <w:r w:rsidRPr="000B2098">
        <w:rPr>
          <w:rFonts w:eastAsia="Times New Roman"/>
        </w:rPr>
        <w:t xml:space="preserve"> 1995).</w:t>
      </w:r>
      <w:r w:rsidRPr="000B2098">
        <w:rPr>
          <w:rFonts w:eastAsia="Times New Roman"/>
          <w:color w:val="333333"/>
        </w:rPr>
        <w:t xml:space="preserve"> </w:t>
      </w:r>
    </w:p>
    <w:p w:rsidR="005707A3" w:rsidRDefault="005707A3" w:rsidP="00813C57">
      <w:pPr>
        <w:jc w:val="left"/>
        <w:rPr>
          <w:rFonts w:eastAsia="Times New Roman"/>
          <w:color w:val="333333"/>
        </w:rPr>
      </w:pPr>
    </w:p>
    <w:p w:rsidR="005707A3" w:rsidRDefault="005707A3" w:rsidP="00813C57">
      <w:pPr>
        <w:jc w:val="left"/>
      </w:pPr>
      <w:r>
        <w:rPr>
          <w:rFonts w:eastAsia="Times New Roman"/>
          <w:color w:val="333333"/>
        </w:rPr>
        <w:tab/>
      </w:r>
      <w:r>
        <w:rPr>
          <w:rFonts w:eastAsia="Times New Roman"/>
          <w:color w:val="333333"/>
        </w:rPr>
        <w:tab/>
      </w:r>
      <w:r>
        <w:t xml:space="preserve">Tariff provisions that have been approved by the Commission, as the Respondent’s tariff provisions here, are </w:t>
      </w:r>
      <w:r>
        <w:rPr>
          <w:i/>
        </w:rPr>
        <w:t xml:space="preserve">prima facie </w:t>
      </w:r>
      <w:r>
        <w:t xml:space="preserve">reasonable.  </w:t>
      </w:r>
      <w:r>
        <w:rPr>
          <w:i/>
        </w:rPr>
        <w:t xml:space="preserve">Lynch v. Pa. Pub. Util. </w:t>
      </w:r>
      <w:proofErr w:type="spellStart"/>
      <w:r>
        <w:rPr>
          <w:i/>
        </w:rPr>
        <w:t>Comm’n</w:t>
      </w:r>
      <w:proofErr w:type="spellEnd"/>
      <w:r>
        <w:rPr>
          <w:i/>
        </w:rPr>
        <w:t>,</w:t>
      </w:r>
      <w:r>
        <w:t xml:space="preserve"> 594 A.2d 816 (</w:t>
      </w:r>
      <w:r w:rsidR="008E407D">
        <w:t>Pa.Cmwlth.</w:t>
      </w:r>
      <w:r w:rsidR="00EE0B3D">
        <w:t xml:space="preserve"> </w:t>
      </w:r>
      <w:r>
        <w:t xml:space="preserve">1991); app. denied 605 A.2d 335 (1992).  </w:t>
      </w:r>
    </w:p>
    <w:p w:rsidR="00047B4E" w:rsidRDefault="00047B4E" w:rsidP="00832C5A">
      <w:pPr>
        <w:jc w:val="left"/>
        <w:rPr>
          <w:rFonts w:eastAsia="Calibri"/>
        </w:rPr>
      </w:pPr>
    </w:p>
    <w:p w:rsidR="00832C5A" w:rsidRDefault="00832C5A" w:rsidP="00832C5A">
      <w:pPr>
        <w:jc w:val="left"/>
        <w:rPr>
          <w:rFonts w:eastAsia="Calibri"/>
        </w:rPr>
      </w:pPr>
      <w:r>
        <w:rPr>
          <w:rFonts w:eastAsia="Calibri"/>
        </w:rPr>
        <w:tab/>
      </w:r>
      <w:r>
        <w:rPr>
          <w:rFonts w:eastAsia="Calibri"/>
        </w:rPr>
        <w:tab/>
        <w:t xml:space="preserve">Section 1501 of the Public Utility Code, 66 Pa.C.S. </w:t>
      </w:r>
      <w:r w:rsidRPr="00832C5A">
        <w:rPr>
          <w:rFonts w:eastAsia="Calibri"/>
        </w:rPr>
        <w:t>§ 1501</w:t>
      </w:r>
      <w:r>
        <w:rPr>
          <w:rFonts w:eastAsia="Calibri"/>
        </w:rPr>
        <w:t xml:space="preserve"> requires </w:t>
      </w:r>
      <w:r w:rsidRPr="00832C5A">
        <w:rPr>
          <w:rFonts w:eastAsia="Calibri"/>
        </w:rPr>
        <w:t>public utilit</w:t>
      </w:r>
      <w:r>
        <w:rPr>
          <w:rFonts w:eastAsia="Calibri"/>
        </w:rPr>
        <w:t>ies to “</w:t>
      </w:r>
      <w:r w:rsidRPr="00832C5A">
        <w:rPr>
          <w:rFonts w:eastAsia="Calibri"/>
        </w:rPr>
        <w:t>furnish and maintain adequate,</w:t>
      </w:r>
      <w:r>
        <w:rPr>
          <w:rFonts w:eastAsia="Calibri"/>
        </w:rPr>
        <w:t xml:space="preserve"> </w:t>
      </w:r>
      <w:r w:rsidRPr="00832C5A">
        <w:rPr>
          <w:rFonts w:eastAsia="Calibri"/>
        </w:rPr>
        <w:t>efficient, safe, and reasonable service and facilities</w:t>
      </w:r>
      <w:r>
        <w:rPr>
          <w:rFonts w:eastAsia="Calibri"/>
        </w:rPr>
        <w:t xml:space="preserve"> </w:t>
      </w:r>
      <w:r w:rsidRPr="00832C5A">
        <w:rPr>
          <w:rFonts w:eastAsia="Calibri"/>
        </w:rPr>
        <w:t>and</w:t>
      </w:r>
      <w:r>
        <w:rPr>
          <w:rFonts w:eastAsia="Calibri"/>
        </w:rPr>
        <w:t xml:space="preserve"> </w:t>
      </w:r>
      <w:r w:rsidRPr="00832C5A">
        <w:rPr>
          <w:rFonts w:eastAsia="Calibri"/>
        </w:rPr>
        <w:t>make all such repairs, changes, alterations,</w:t>
      </w:r>
      <w:r>
        <w:rPr>
          <w:rFonts w:eastAsia="Calibri"/>
        </w:rPr>
        <w:t xml:space="preserve"> </w:t>
      </w:r>
      <w:r w:rsidRPr="00832C5A">
        <w:rPr>
          <w:rFonts w:eastAsia="Calibri"/>
        </w:rPr>
        <w:t>substitutions, extensions, and improvements in or to such</w:t>
      </w:r>
      <w:r>
        <w:rPr>
          <w:rFonts w:eastAsia="Calibri"/>
        </w:rPr>
        <w:t xml:space="preserve"> </w:t>
      </w:r>
      <w:r w:rsidRPr="00832C5A">
        <w:rPr>
          <w:rFonts w:eastAsia="Calibri"/>
        </w:rPr>
        <w:t xml:space="preserve">service and facilities as shall be necessary or proper for </w:t>
      </w:r>
      <w:r>
        <w:rPr>
          <w:rFonts w:eastAsia="Calibri"/>
        </w:rPr>
        <w:t>t</w:t>
      </w:r>
      <w:r w:rsidRPr="00832C5A">
        <w:rPr>
          <w:rFonts w:eastAsia="Calibri"/>
        </w:rPr>
        <w:t>he</w:t>
      </w:r>
      <w:r>
        <w:rPr>
          <w:rFonts w:eastAsia="Calibri"/>
        </w:rPr>
        <w:t xml:space="preserve"> </w:t>
      </w:r>
      <w:r w:rsidRPr="00832C5A">
        <w:rPr>
          <w:rFonts w:eastAsia="Calibri"/>
        </w:rPr>
        <w:t>safety of its patrons,</w:t>
      </w:r>
      <w:r>
        <w:rPr>
          <w:rFonts w:eastAsia="Calibri"/>
        </w:rPr>
        <w:t xml:space="preserve"> </w:t>
      </w:r>
      <w:r w:rsidRPr="00832C5A">
        <w:rPr>
          <w:rFonts w:eastAsia="Calibri"/>
        </w:rPr>
        <w:t>employees, and the public</w:t>
      </w:r>
      <w:r>
        <w:rPr>
          <w:rFonts w:eastAsia="Calibri"/>
        </w:rPr>
        <w:t>.”</w:t>
      </w:r>
    </w:p>
    <w:p w:rsidR="00832C5A" w:rsidRDefault="00832C5A" w:rsidP="00832C5A">
      <w:pPr>
        <w:jc w:val="left"/>
        <w:rPr>
          <w:rFonts w:eastAsia="Calibri"/>
        </w:rPr>
      </w:pPr>
    </w:p>
    <w:p w:rsidR="00603CEB" w:rsidRDefault="00047B4E" w:rsidP="00832C5A">
      <w:pPr>
        <w:jc w:val="left"/>
        <w:rPr>
          <w:rFonts w:eastAsia="Batang"/>
        </w:rPr>
      </w:pPr>
      <w:r>
        <w:rPr>
          <w:rFonts w:eastAsia="Calibri"/>
        </w:rPr>
        <w:tab/>
      </w:r>
      <w:r>
        <w:rPr>
          <w:rFonts w:eastAsia="Calibri"/>
        </w:rPr>
        <w:tab/>
        <w:t xml:space="preserve">It is reasonable for the Respondent to </w:t>
      </w:r>
      <w:r w:rsidR="00603CEB">
        <w:rPr>
          <w:rFonts w:eastAsia="Calibri"/>
        </w:rPr>
        <w:t xml:space="preserve">be concerned about the safety of the electrical service, the customer’s property and the public.  </w:t>
      </w:r>
      <w:r w:rsidR="000B2098" w:rsidRPr="000B2098">
        <w:rPr>
          <w:rFonts w:eastAsia="Calibri"/>
        </w:rPr>
        <w:t>The Respondent presented evidence to demonstrate that t</w:t>
      </w:r>
      <w:r w:rsidR="00A37995">
        <w:rPr>
          <w:rFonts w:eastAsia="Calibri"/>
        </w:rPr>
        <w:t xml:space="preserve">he request for an </w:t>
      </w:r>
      <w:r w:rsidR="00A37995">
        <w:rPr>
          <w:rFonts w:eastAsia="Batang"/>
        </w:rPr>
        <w:t xml:space="preserve">underwriter’s certificate was </w:t>
      </w:r>
      <w:r w:rsidR="000B2098" w:rsidRPr="000B2098">
        <w:rPr>
          <w:rFonts w:eastAsia="Calibri"/>
        </w:rPr>
        <w:t xml:space="preserve">reasonable </w:t>
      </w:r>
      <w:r w:rsidR="008E407D">
        <w:rPr>
          <w:rFonts w:eastAsia="Calibri"/>
        </w:rPr>
        <w:t xml:space="preserve">and </w:t>
      </w:r>
      <w:r w:rsidR="00B118E4">
        <w:rPr>
          <w:rFonts w:eastAsia="Calibri"/>
        </w:rPr>
        <w:t xml:space="preserve">based on safety.  </w:t>
      </w:r>
      <w:r w:rsidR="00B118E4" w:rsidRPr="000B2098">
        <w:rPr>
          <w:rFonts w:eastAsia="Calibri"/>
        </w:rPr>
        <w:t xml:space="preserve">The Respondent presented evidence to show that </w:t>
      </w:r>
      <w:r w:rsidR="00B118E4">
        <w:rPr>
          <w:rFonts w:eastAsia="Calibri"/>
        </w:rPr>
        <w:t>it was following its tariff and c</w:t>
      </w:r>
      <w:r w:rsidR="00B118E4" w:rsidRPr="000B2098">
        <w:rPr>
          <w:rFonts w:eastAsia="Calibri"/>
        </w:rPr>
        <w:t>o</w:t>
      </w:r>
      <w:r w:rsidR="00B118E4">
        <w:rPr>
          <w:rFonts w:eastAsia="Calibri"/>
        </w:rPr>
        <w:t>mpa</w:t>
      </w:r>
      <w:r w:rsidR="00B118E4" w:rsidRPr="000B2098">
        <w:rPr>
          <w:rFonts w:eastAsia="Calibri"/>
        </w:rPr>
        <w:t xml:space="preserve">ny </w:t>
      </w:r>
      <w:r w:rsidR="00B118E4">
        <w:rPr>
          <w:rFonts w:eastAsia="Calibri"/>
        </w:rPr>
        <w:t xml:space="preserve">policy when it requested the </w:t>
      </w:r>
      <w:r w:rsidR="00B118E4">
        <w:rPr>
          <w:rFonts w:eastAsia="Batang"/>
        </w:rPr>
        <w:t xml:space="preserve">underwriter’s certificate before turning the electric on in the vacant apartment.  </w:t>
      </w:r>
    </w:p>
    <w:p w:rsidR="00603CEB" w:rsidRDefault="00603CEB" w:rsidP="00832C5A">
      <w:pPr>
        <w:jc w:val="left"/>
        <w:rPr>
          <w:rFonts w:eastAsia="Batang"/>
        </w:rPr>
      </w:pPr>
    </w:p>
    <w:p w:rsidR="00832C5A" w:rsidRDefault="00603CEB" w:rsidP="00832C5A">
      <w:pPr>
        <w:jc w:val="left"/>
        <w:rPr>
          <w:rFonts w:eastAsia="Times New Roman"/>
          <w:color w:val="333333"/>
        </w:rPr>
      </w:pPr>
      <w:r>
        <w:rPr>
          <w:rFonts w:eastAsia="Batang"/>
        </w:rPr>
        <w:tab/>
      </w:r>
      <w:r>
        <w:rPr>
          <w:rFonts w:eastAsia="Batang"/>
        </w:rPr>
        <w:tab/>
      </w:r>
      <w:r>
        <w:rPr>
          <w:rFonts w:eastAsia="Calibri"/>
        </w:rPr>
        <w:t xml:space="preserve">The Complainant failed to provide evidence that the Respondent’s tariff, manual and policy were unreasonable and </w:t>
      </w:r>
      <w:proofErr w:type="gramStart"/>
      <w:r>
        <w:rPr>
          <w:rFonts w:eastAsia="Calibri"/>
        </w:rPr>
        <w:t>were</w:t>
      </w:r>
      <w:proofErr w:type="gramEnd"/>
      <w:r>
        <w:rPr>
          <w:rFonts w:eastAsia="Calibri"/>
        </w:rPr>
        <w:t xml:space="preserve"> not warranted.  He did not present evidence to show that he could certify that the wiring at the property was safe without the underwriter’s certificate.  The Respondent is required to provide safe service.  The Complainant failed to sustain his burden of proving that the Respondent’s rules and policies violated the Public Utility Code or the Commission’s regulations.  </w:t>
      </w:r>
      <w:r w:rsidR="00B118E4" w:rsidRPr="000B2098">
        <w:rPr>
          <w:rFonts w:eastAsia="Calibri"/>
        </w:rPr>
        <w:t>The Respondent has not violated its tariff or section</w:t>
      </w:r>
      <w:r w:rsidR="00B118E4" w:rsidRPr="000B2098">
        <w:rPr>
          <w:rFonts w:eastAsia="Times New Roman"/>
          <w:color w:val="333333"/>
        </w:rPr>
        <w:t xml:space="preserve"> 1501 of the Public Utility Code, 66 </w:t>
      </w:r>
      <w:proofErr w:type="spellStart"/>
      <w:r w:rsidR="00B118E4" w:rsidRPr="000B2098">
        <w:rPr>
          <w:rFonts w:eastAsia="Times New Roman"/>
          <w:color w:val="333333"/>
        </w:rPr>
        <w:t>Pa.C.S.A</w:t>
      </w:r>
      <w:proofErr w:type="spellEnd"/>
      <w:r w:rsidR="00B118E4" w:rsidRPr="000B2098">
        <w:rPr>
          <w:rFonts w:eastAsia="Times New Roman"/>
          <w:color w:val="333333"/>
        </w:rPr>
        <w:t xml:space="preserve"> § 1501.</w:t>
      </w:r>
      <w:r w:rsidR="00B118E4">
        <w:rPr>
          <w:rFonts w:eastAsia="Times New Roman"/>
          <w:color w:val="333333"/>
        </w:rPr>
        <w:t xml:space="preserve">  </w:t>
      </w:r>
    </w:p>
    <w:p w:rsidR="000B2098" w:rsidRPr="000B2098" w:rsidRDefault="00B118E4" w:rsidP="00813C57">
      <w:pPr>
        <w:jc w:val="left"/>
        <w:rPr>
          <w:rFonts w:eastAsia="Times New Roman"/>
          <w:color w:val="333333"/>
        </w:rPr>
      </w:pPr>
      <w:r>
        <w:rPr>
          <w:rFonts w:eastAsia="Calibri"/>
        </w:rPr>
        <w:lastRenderedPageBreak/>
        <w:tab/>
      </w:r>
      <w:r>
        <w:rPr>
          <w:rFonts w:eastAsia="Calibri"/>
        </w:rPr>
        <w:tab/>
        <w:t xml:space="preserve">Since the Complainant has failed to sustain his burden of proof, </w:t>
      </w:r>
      <w:r w:rsidR="000B2098" w:rsidRPr="000B2098">
        <w:rPr>
          <w:rFonts w:eastAsia="Times New Roman"/>
          <w:color w:val="333333"/>
        </w:rPr>
        <w:t>the complaint is dismissed.</w:t>
      </w:r>
    </w:p>
    <w:p w:rsidR="000B2098" w:rsidRPr="000B2098" w:rsidRDefault="000B2098" w:rsidP="00813C57">
      <w:pPr>
        <w:jc w:val="left"/>
        <w:rPr>
          <w:rFonts w:eastAsia="Calibri"/>
        </w:rPr>
      </w:pPr>
    </w:p>
    <w:p w:rsidR="000B2098" w:rsidRPr="000B2098" w:rsidRDefault="000B2098" w:rsidP="00813C57">
      <w:pPr>
        <w:rPr>
          <w:rFonts w:eastAsia="Calibri"/>
          <w:caps/>
          <w:u w:val="single"/>
        </w:rPr>
      </w:pPr>
      <w:r w:rsidRPr="000B2098">
        <w:rPr>
          <w:rFonts w:eastAsia="Calibri"/>
          <w:caps/>
          <w:u w:val="single"/>
        </w:rPr>
        <w:t>Conclusions of Law</w:t>
      </w:r>
    </w:p>
    <w:p w:rsidR="000B2098" w:rsidRPr="000B2098" w:rsidRDefault="000B2098" w:rsidP="00813C57">
      <w:pPr>
        <w:jc w:val="left"/>
        <w:rPr>
          <w:rFonts w:eastAsia="Calibri"/>
        </w:rPr>
      </w:pPr>
    </w:p>
    <w:p w:rsidR="000B2098" w:rsidRPr="000B2098" w:rsidRDefault="000B2098" w:rsidP="00813C57">
      <w:pPr>
        <w:numPr>
          <w:ilvl w:val="0"/>
          <w:numId w:val="7"/>
        </w:numPr>
        <w:ind w:left="0" w:firstLine="1440"/>
        <w:jc w:val="left"/>
        <w:rPr>
          <w:rFonts w:eastAsia="Calibri"/>
        </w:rPr>
      </w:pPr>
      <w:r w:rsidRPr="000B2098">
        <w:rPr>
          <w:rFonts w:eastAsia="Calibri"/>
        </w:rPr>
        <w:t xml:space="preserve">The Commission has jurisdiction over the parties and the subject matter of this proceeding.  </w:t>
      </w:r>
      <w:proofErr w:type="gramStart"/>
      <w:r w:rsidRPr="000B2098">
        <w:rPr>
          <w:rFonts w:eastAsia="Calibri"/>
        </w:rPr>
        <w:t xml:space="preserve">66 </w:t>
      </w:r>
      <w:proofErr w:type="spellStart"/>
      <w:r w:rsidRPr="000B2098">
        <w:rPr>
          <w:rFonts w:eastAsia="Calibri"/>
        </w:rPr>
        <w:t>Pa.C.S.A</w:t>
      </w:r>
      <w:proofErr w:type="spellEnd"/>
      <w:r w:rsidRPr="000B2098">
        <w:rPr>
          <w:rFonts w:eastAsia="Calibri"/>
        </w:rPr>
        <w:t>.</w:t>
      </w:r>
      <w:proofErr w:type="gramEnd"/>
      <w:r w:rsidRPr="000B2098">
        <w:rPr>
          <w:rFonts w:eastAsia="Calibri"/>
        </w:rPr>
        <w:t xml:space="preserve"> § 701.</w:t>
      </w:r>
    </w:p>
    <w:p w:rsidR="000B2098" w:rsidRPr="000B2098" w:rsidRDefault="000B2098" w:rsidP="00813C57">
      <w:pPr>
        <w:ind w:firstLine="1440"/>
        <w:jc w:val="left"/>
        <w:rPr>
          <w:rFonts w:eastAsia="Calibri"/>
        </w:rPr>
      </w:pPr>
    </w:p>
    <w:p w:rsidR="008E407D" w:rsidRPr="008E407D" w:rsidRDefault="000B2098" w:rsidP="00813C57">
      <w:pPr>
        <w:pStyle w:val="ListParagraph"/>
        <w:numPr>
          <w:ilvl w:val="0"/>
          <w:numId w:val="7"/>
        </w:numPr>
        <w:ind w:left="0" w:firstLine="1440"/>
        <w:jc w:val="left"/>
      </w:pPr>
      <w:r w:rsidRPr="008E407D">
        <w:rPr>
          <w:rFonts w:eastAsia="Calibri"/>
          <w:iCs/>
        </w:rPr>
        <w:t>The Complainant ha</w:t>
      </w:r>
      <w:r w:rsidR="007A6106">
        <w:rPr>
          <w:rFonts w:eastAsia="Calibri"/>
          <w:iCs/>
        </w:rPr>
        <w:t>s not established that that the Respondent</w:t>
      </w:r>
      <w:r w:rsidRPr="008E407D">
        <w:rPr>
          <w:rFonts w:eastAsia="Calibri"/>
          <w:iCs/>
        </w:rPr>
        <w:t xml:space="preserve"> is providing unreasonable service or facilities. </w:t>
      </w:r>
      <w:r w:rsidRPr="008E407D">
        <w:rPr>
          <w:rFonts w:eastAsia="Times New Roman"/>
          <w:color w:val="333333"/>
        </w:rPr>
        <w:t xml:space="preserve">66 </w:t>
      </w:r>
      <w:proofErr w:type="spellStart"/>
      <w:r w:rsidRPr="008E407D">
        <w:rPr>
          <w:rFonts w:eastAsia="Times New Roman"/>
          <w:color w:val="333333"/>
        </w:rPr>
        <w:t>Pa.C.S.A</w:t>
      </w:r>
      <w:proofErr w:type="spellEnd"/>
      <w:r w:rsidRPr="008E407D">
        <w:rPr>
          <w:rFonts w:eastAsia="Times New Roman"/>
          <w:color w:val="333333"/>
        </w:rPr>
        <w:t xml:space="preserve"> § 1501.</w:t>
      </w:r>
      <w:r w:rsidR="008E407D" w:rsidRPr="008E407D">
        <w:rPr>
          <w:rFonts w:eastAsia="Times New Roman"/>
          <w:color w:val="333333"/>
        </w:rPr>
        <w:t xml:space="preserve"> </w:t>
      </w:r>
    </w:p>
    <w:p w:rsidR="008E407D" w:rsidRPr="008E407D" w:rsidRDefault="008E407D" w:rsidP="00813C57">
      <w:pPr>
        <w:pStyle w:val="ListParagraph"/>
        <w:ind w:left="0" w:firstLine="1440"/>
        <w:rPr>
          <w:rFonts w:eastAsia="Calibri"/>
        </w:rPr>
      </w:pPr>
    </w:p>
    <w:p w:rsidR="008E407D" w:rsidRDefault="008E407D" w:rsidP="00813C57">
      <w:pPr>
        <w:pStyle w:val="ListParagraph"/>
        <w:numPr>
          <w:ilvl w:val="0"/>
          <w:numId w:val="7"/>
        </w:numPr>
        <w:ind w:left="0" w:firstLine="1440"/>
        <w:jc w:val="left"/>
      </w:pPr>
      <w:r>
        <w:t xml:space="preserve">The Respondent followed its </w:t>
      </w:r>
      <w:r w:rsidR="008E37B3">
        <w:t>policy, which</w:t>
      </w:r>
      <w:r w:rsidR="003C61E2">
        <w:t xml:space="preserve"> is based on its tariff and is designed to assist the Respondent in providing safe service. </w:t>
      </w:r>
      <w:r w:rsidR="003C61E2">
        <w:rPr>
          <w:rFonts w:eastAsia="Times New Roman"/>
          <w:color w:val="333333"/>
        </w:rPr>
        <w:t xml:space="preserve">66 </w:t>
      </w:r>
      <w:proofErr w:type="spellStart"/>
      <w:r w:rsidR="003C61E2">
        <w:rPr>
          <w:rFonts w:eastAsia="Times New Roman"/>
          <w:color w:val="333333"/>
        </w:rPr>
        <w:t>Pa.C.S.A</w:t>
      </w:r>
      <w:proofErr w:type="spellEnd"/>
      <w:r w:rsidR="003C61E2">
        <w:rPr>
          <w:rFonts w:eastAsia="Times New Roman"/>
          <w:color w:val="333333"/>
        </w:rPr>
        <w:t xml:space="preserve"> § 1501</w:t>
      </w:r>
      <w:r w:rsidR="00603CEB">
        <w:rPr>
          <w:rFonts w:eastAsia="Times New Roman"/>
          <w:color w:val="333333"/>
        </w:rPr>
        <w:t>.</w:t>
      </w:r>
    </w:p>
    <w:p w:rsidR="008E407D" w:rsidRDefault="008E407D" w:rsidP="00813C57">
      <w:pPr>
        <w:pStyle w:val="ListParagraph"/>
      </w:pPr>
    </w:p>
    <w:p w:rsidR="00B118E4" w:rsidRPr="00B118E4" w:rsidRDefault="005707A3" w:rsidP="00813C57">
      <w:pPr>
        <w:pStyle w:val="ListParagraph"/>
        <w:numPr>
          <w:ilvl w:val="0"/>
          <w:numId w:val="7"/>
        </w:numPr>
        <w:ind w:left="0" w:firstLine="1440"/>
        <w:jc w:val="left"/>
        <w:rPr>
          <w:rFonts w:eastAsia="Times New Roman"/>
          <w:color w:val="333333"/>
        </w:rPr>
      </w:pPr>
      <w:r>
        <w:t xml:space="preserve">Tariff provisions that have been approved by the Commission are </w:t>
      </w:r>
      <w:r w:rsidRPr="00B118E4">
        <w:rPr>
          <w:i/>
        </w:rPr>
        <w:t xml:space="preserve">prima facie </w:t>
      </w:r>
      <w:r>
        <w:t xml:space="preserve">reasonable.  </w:t>
      </w:r>
      <w:r w:rsidRPr="00B118E4">
        <w:rPr>
          <w:i/>
        </w:rPr>
        <w:t xml:space="preserve">Lynch v. Pa. Pub. Util. </w:t>
      </w:r>
      <w:proofErr w:type="spellStart"/>
      <w:r w:rsidRPr="00B118E4">
        <w:rPr>
          <w:i/>
        </w:rPr>
        <w:t>Comm’n</w:t>
      </w:r>
      <w:proofErr w:type="spellEnd"/>
      <w:r w:rsidRPr="00B118E4">
        <w:rPr>
          <w:i/>
        </w:rPr>
        <w:t>,</w:t>
      </w:r>
      <w:r>
        <w:t xml:space="preserve"> 594 A.2d 816 (</w:t>
      </w:r>
      <w:r w:rsidR="00832C5A">
        <w:rPr>
          <w:rFonts w:eastAsia="Times New Roman"/>
        </w:rPr>
        <w:t>Pa.Cmwlth. 199</w:t>
      </w:r>
      <w:r>
        <w:t xml:space="preserve">1); app. denied, 529 Pa. 670, 605 A.2d 335 (1992).  </w:t>
      </w:r>
    </w:p>
    <w:p w:rsidR="00B118E4" w:rsidRDefault="00B118E4" w:rsidP="00813C57">
      <w:pPr>
        <w:pStyle w:val="ListParagraph"/>
      </w:pPr>
    </w:p>
    <w:p w:rsidR="00B118E4" w:rsidRPr="00B118E4" w:rsidRDefault="005707A3" w:rsidP="00813C57">
      <w:pPr>
        <w:pStyle w:val="ListParagraph"/>
        <w:numPr>
          <w:ilvl w:val="0"/>
          <w:numId w:val="7"/>
        </w:numPr>
        <w:ind w:left="0" w:firstLine="1440"/>
        <w:jc w:val="left"/>
        <w:rPr>
          <w:rFonts w:eastAsia="Times New Roman"/>
          <w:color w:val="333333"/>
        </w:rPr>
      </w:pPr>
      <w:r>
        <w:t xml:space="preserve">A utility’s Commission-approved tariff has the force </w:t>
      </w:r>
      <w:r w:rsidR="008E407D">
        <w:t xml:space="preserve">and effect of </w:t>
      </w:r>
      <w:r>
        <w:t xml:space="preserve">law and is binding on the public utility and its customers.  </w:t>
      </w:r>
      <w:proofErr w:type="spellStart"/>
      <w:r w:rsidR="00B118E4" w:rsidRPr="00B118E4">
        <w:rPr>
          <w:rFonts w:eastAsia="Times New Roman"/>
          <w:i/>
          <w:iCs/>
        </w:rPr>
        <w:t>Stiteler</w:t>
      </w:r>
      <w:proofErr w:type="spellEnd"/>
      <w:r w:rsidR="00B118E4" w:rsidRPr="00B118E4">
        <w:rPr>
          <w:rFonts w:eastAsia="Times New Roman"/>
          <w:i/>
          <w:iCs/>
        </w:rPr>
        <w:t xml:space="preserve"> v. Bell Telephone Company</w:t>
      </w:r>
      <w:r w:rsidR="00B118E4" w:rsidRPr="00B118E4">
        <w:rPr>
          <w:rFonts w:eastAsia="Times New Roman"/>
        </w:rPr>
        <w:t xml:space="preserve">, 379 A.2d 339 (Pa.Cmwlth. 1977); </w:t>
      </w:r>
      <w:r w:rsidR="00B118E4" w:rsidRPr="00B118E4">
        <w:rPr>
          <w:rFonts w:eastAsia="Times New Roman"/>
          <w:i/>
          <w:iCs/>
        </w:rPr>
        <w:t xml:space="preserve">Brockway Glass Company v. </w:t>
      </w:r>
      <w:r w:rsidR="00B118E4" w:rsidRPr="00B118E4">
        <w:rPr>
          <w:i/>
        </w:rPr>
        <w:t xml:space="preserve">Pa. Pub. Util. </w:t>
      </w:r>
      <w:proofErr w:type="spellStart"/>
      <w:r w:rsidR="00B118E4" w:rsidRPr="00B118E4">
        <w:rPr>
          <w:i/>
        </w:rPr>
        <w:t>Comm’n</w:t>
      </w:r>
      <w:proofErr w:type="spellEnd"/>
      <w:proofErr w:type="gramStart"/>
      <w:r w:rsidR="00B118E4" w:rsidRPr="00B118E4">
        <w:rPr>
          <w:i/>
        </w:rPr>
        <w:t>,</w:t>
      </w:r>
      <w:r w:rsidR="00B118E4" w:rsidRPr="00B118E4">
        <w:rPr>
          <w:rFonts w:eastAsia="Times New Roman"/>
        </w:rPr>
        <w:t>,</w:t>
      </w:r>
      <w:proofErr w:type="gramEnd"/>
      <w:r w:rsidR="00B118E4" w:rsidRPr="00B118E4">
        <w:rPr>
          <w:rFonts w:eastAsia="Times New Roman"/>
        </w:rPr>
        <w:t xml:space="preserve"> 437 A.2d 1067 (Pa.Cmwlth. 1981); </w:t>
      </w:r>
      <w:r w:rsidR="00B118E4" w:rsidRPr="00B118E4">
        <w:rPr>
          <w:rFonts w:eastAsia="Times New Roman"/>
          <w:i/>
          <w:iCs/>
        </w:rPr>
        <w:t xml:space="preserve">Pennsylvania Electric Company v. </w:t>
      </w:r>
      <w:r w:rsidR="00B118E4" w:rsidRPr="00B118E4">
        <w:rPr>
          <w:i/>
        </w:rPr>
        <w:t xml:space="preserve">Pa. Pub. Util. </w:t>
      </w:r>
      <w:proofErr w:type="spellStart"/>
      <w:r w:rsidR="00B118E4" w:rsidRPr="00B118E4">
        <w:rPr>
          <w:i/>
        </w:rPr>
        <w:t>Comm’n</w:t>
      </w:r>
      <w:proofErr w:type="spellEnd"/>
      <w:proofErr w:type="gramStart"/>
      <w:r w:rsidR="00B118E4" w:rsidRPr="00B118E4">
        <w:rPr>
          <w:i/>
        </w:rPr>
        <w:t>,</w:t>
      </w:r>
      <w:r w:rsidR="00B118E4" w:rsidRPr="00B118E4">
        <w:rPr>
          <w:rFonts w:eastAsia="Times New Roman"/>
        </w:rPr>
        <w:t>,</w:t>
      </w:r>
      <w:proofErr w:type="gramEnd"/>
      <w:r w:rsidR="00B118E4" w:rsidRPr="00B118E4">
        <w:rPr>
          <w:rFonts w:eastAsia="Times New Roman"/>
        </w:rPr>
        <w:t xml:space="preserve"> 663 A.2d 281 (Pa.Cmwlth. 1995).</w:t>
      </w:r>
      <w:r w:rsidR="00B118E4" w:rsidRPr="00B118E4">
        <w:rPr>
          <w:rFonts w:eastAsia="Times New Roman"/>
          <w:color w:val="333333"/>
        </w:rPr>
        <w:t xml:space="preserve"> </w:t>
      </w:r>
    </w:p>
    <w:p w:rsidR="005707A3" w:rsidRDefault="005707A3" w:rsidP="00813C57">
      <w:pPr>
        <w:pStyle w:val="NoSpacing"/>
        <w:tabs>
          <w:tab w:val="left" w:pos="720"/>
        </w:tabs>
        <w:ind w:left="1440"/>
      </w:pPr>
    </w:p>
    <w:p w:rsidR="008E407D" w:rsidRDefault="005707A3" w:rsidP="00813C57">
      <w:pPr>
        <w:pStyle w:val="NoSpacing"/>
        <w:numPr>
          <w:ilvl w:val="0"/>
          <w:numId w:val="7"/>
        </w:numPr>
        <w:ind w:left="0" w:firstLine="1440"/>
      </w:pPr>
      <w:r>
        <w:t>The Complainant has not shown that the Respondent violated its tariff.</w:t>
      </w:r>
    </w:p>
    <w:p w:rsidR="008E407D" w:rsidRDefault="008E407D" w:rsidP="00813C57">
      <w:pPr>
        <w:pStyle w:val="ListParagraph"/>
        <w:ind w:left="0" w:firstLine="1440"/>
      </w:pPr>
    </w:p>
    <w:p w:rsidR="005707A3" w:rsidRDefault="008E407D" w:rsidP="00813C57">
      <w:pPr>
        <w:pStyle w:val="NoSpacing"/>
        <w:numPr>
          <w:ilvl w:val="0"/>
          <w:numId w:val="7"/>
        </w:numPr>
        <w:ind w:left="0" w:firstLine="1440"/>
      </w:pPr>
      <w:r>
        <w:t>T</w:t>
      </w:r>
      <w:r w:rsidR="005707A3">
        <w:t>he Complainant has not sustained his burden of proof.</w:t>
      </w:r>
    </w:p>
    <w:p w:rsidR="00603CEB" w:rsidRDefault="00603CEB">
      <w:pPr>
        <w:spacing w:after="200" w:line="276" w:lineRule="auto"/>
        <w:jc w:val="left"/>
        <w:rPr>
          <w:rFonts w:eastAsia="Calibri"/>
        </w:rPr>
      </w:pPr>
      <w:r>
        <w:br w:type="page"/>
      </w:r>
    </w:p>
    <w:p w:rsidR="000B2098" w:rsidRPr="000B2098" w:rsidRDefault="000B2098" w:rsidP="00813C57">
      <w:pPr>
        <w:keepNext/>
        <w:outlineLvl w:val="2"/>
        <w:rPr>
          <w:rFonts w:eastAsia="Times New Roman"/>
          <w:u w:val="single"/>
        </w:rPr>
      </w:pPr>
      <w:r w:rsidRPr="000B2098">
        <w:rPr>
          <w:rFonts w:eastAsia="Times New Roman"/>
          <w:u w:val="single"/>
        </w:rPr>
        <w:lastRenderedPageBreak/>
        <w:t>ORDER</w:t>
      </w:r>
    </w:p>
    <w:p w:rsidR="000B2098" w:rsidRDefault="000B2098" w:rsidP="00813C57">
      <w:pPr>
        <w:jc w:val="left"/>
        <w:rPr>
          <w:rFonts w:eastAsia="Times New Roman"/>
        </w:rPr>
      </w:pPr>
    </w:p>
    <w:p w:rsidR="00B41F29" w:rsidRPr="000B2098" w:rsidRDefault="00B41F29" w:rsidP="00813C57">
      <w:pPr>
        <w:jc w:val="left"/>
        <w:rPr>
          <w:rFonts w:eastAsia="Times New Roman"/>
        </w:rPr>
      </w:pPr>
    </w:p>
    <w:p w:rsidR="000B2098" w:rsidRPr="000B2098" w:rsidRDefault="000B2098" w:rsidP="00813C57">
      <w:pPr>
        <w:jc w:val="left"/>
        <w:rPr>
          <w:rFonts w:eastAsia="Times New Roman"/>
        </w:rPr>
      </w:pPr>
      <w:r w:rsidRPr="000B2098">
        <w:rPr>
          <w:rFonts w:eastAsia="Times New Roman"/>
        </w:rPr>
        <w:tab/>
      </w:r>
      <w:r w:rsidRPr="000B2098">
        <w:rPr>
          <w:rFonts w:eastAsia="Times New Roman"/>
        </w:rPr>
        <w:tab/>
        <w:t>THEREFORE,</w:t>
      </w:r>
    </w:p>
    <w:p w:rsidR="000B2098" w:rsidRPr="000B2098" w:rsidRDefault="000B2098" w:rsidP="00813C57">
      <w:pPr>
        <w:jc w:val="left"/>
        <w:rPr>
          <w:rFonts w:eastAsia="Times New Roman"/>
        </w:rPr>
      </w:pPr>
    </w:p>
    <w:p w:rsidR="000B2098" w:rsidRPr="000B2098" w:rsidRDefault="000B2098" w:rsidP="00813C57">
      <w:pPr>
        <w:jc w:val="left"/>
        <w:rPr>
          <w:rFonts w:eastAsia="Times New Roman"/>
        </w:rPr>
      </w:pPr>
      <w:r w:rsidRPr="000B2098">
        <w:rPr>
          <w:rFonts w:eastAsia="Times New Roman"/>
        </w:rPr>
        <w:tab/>
      </w:r>
      <w:r w:rsidRPr="000B2098">
        <w:rPr>
          <w:rFonts w:eastAsia="Times New Roman"/>
        </w:rPr>
        <w:tab/>
        <w:t>IT IS ORDERED:</w:t>
      </w:r>
    </w:p>
    <w:p w:rsidR="000B2098" w:rsidRPr="000B2098" w:rsidRDefault="000B2098" w:rsidP="00813C57">
      <w:pPr>
        <w:jc w:val="left"/>
        <w:rPr>
          <w:rFonts w:eastAsia="Times New Roman"/>
        </w:rPr>
      </w:pPr>
    </w:p>
    <w:p w:rsidR="000B2098" w:rsidRPr="000B2098" w:rsidRDefault="000B2098" w:rsidP="00813C57">
      <w:pPr>
        <w:jc w:val="left"/>
        <w:rPr>
          <w:rFonts w:eastAsia="Times New Roman"/>
        </w:rPr>
      </w:pPr>
      <w:r w:rsidRPr="000B2098">
        <w:rPr>
          <w:rFonts w:eastAsia="Times New Roman"/>
        </w:rPr>
        <w:tab/>
      </w:r>
      <w:r w:rsidRPr="000B2098">
        <w:rPr>
          <w:rFonts w:eastAsia="Times New Roman"/>
        </w:rPr>
        <w:tab/>
        <w:t>1.</w:t>
      </w:r>
      <w:r w:rsidRPr="000B2098">
        <w:rPr>
          <w:rFonts w:eastAsia="Times New Roman"/>
        </w:rPr>
        <w:tab/>
        <w:t xml:space="preserve">That the complaint filed by </w:t>
      </w:r>
      <w:r w:rsidR="0003029F" w:rsidRPr="0003029F">
        <w:rPr>
          <w:rFonts w:eastAsia="Calibri"/>
          <w:spacing w:val="-3"/>
        </w:rPr>
        <w:t xml:space="preserve">David Hatchigian </w:t>
      </w:r>
      <w:r w:rsidRPr="000B2098">
        <w:rPr>
          <w:rFonts w:eastAsia="Times New Roman"/>
        </w:rPr>
        <w:t xml:space="preserve">against the PECO Energy Company at Docket No. </w:t>
      </w:r>
      <w:r w:rsidRPr="000B2098">
        <w:rPr>
          <w:rFonts w:eastAsia="Calibri"/>
          <w:spacing w:val="-3"/>
        </w:rPr>
        <w:t>C-201</w:t>
      </w:r>
      <w:r w:rsidR="0003029F">
        <w:rPr>
          <w:rFonts w:eastAsia="Calibri"/>
          <w:spacing w:val="-3"/>
        </w:rPr>
        <w:t>5</w:t>
      </w:r>
      <w:r w:rsidRPr="000B2098">
        <w:rPr>
          <w:rFonts w:eastAsia="Calibri"/>
          <w:spacing w:val="-3"/>
        </w:rPr>
        <w:t>-24</w:t>
      </w:r>
      <w:r w:rsidR="0003029F">
        <w:rPr>
          <w:rFonts w:eastAsia="Calibri"/>
          <w:spacing w:val="-3"/>
        </w:rPr>
        <w:t>77</w:t>
      </w:r>
      <w:r w:rsidRPr="000B2098">
        <w:rPr>
          <w:rFonts w:eastAsia="Calibri"/>
          <w:spacing w:val="-3"/>
        </w:rPr>
        <w:t>3</w:t>
      </w:r>
      <w:r w:rsidR="0003029F">
        <w:rPr>
          <w:rFonts w:eastAsia="Calibri"/>
          <w:spacing w:val="-3"/>
        </w:rPr>
        <w:t>21</w:t>
      </w:r>
      <w:r w:rsidRPr="000B2098">
        <w:rPr>
          <w:rFonts w:eastAsia="Calibri"/>
          <w:spacing w:val="-3"/>
        </w:rPr>
        <w:t xml:space="preserve"> </w:t>
      </w:r>
      <w:r w:rsidRPr="000B2098">
        <w:rPr>
          <w:rFonts w:eastAsia="Times New Roman"/>
        </w:rPr>
        <w:t>is dismissed.</w:t>
      </w:r>
    </w:p>
    <w:p w:rsidR="000B2098" w:rsidRPr="000B2098" w:rsidRDefault="000B2098" w:rsidP="00813C57">
      <w:pPr>
        <w:jc w:val="left"/>
        <w:rPr>
          <w:rFonts w:eastAsia="Times New Roman"/>
        </w:rPr>
      </w:pPr>
    </w:p>
    <w:p w:rsidR="000B2098" w:rsidRPr="000B2098" w:rsidRDefault="000B2098" w:rsidP="00813C57">
      <w:pPr>
        <w:jc w:val="left"/>
        <w:rPr>
          <w:rFonts w:eastAsia="Times New Roman"/>
        </w:rPr>
      </w:pPr>
      <w:r w:rsidRPr="000B2098">
        <w:rPr>
          <w:rFonts w:eastAsia="Times New Roman"/>
        </w:rPr>
        <w:tab/>
      </w:r>
      <w:r w:rsidRPr="000B2098">
        <w:rPr>
          <w:rFonts w:eastAsia="Times New Roman"/>
        </w:rPr>
        <w:tab/>
        <w:t>2.</w:t>
      </w:r>
      <w:r w:rsidRPr="000B2098">
        <w:rPr>
          <w:rFonts w:eastAsia="Times New Roman"/>
        </w:rPr>
        <w:tab/>
        <w:t>That this case is marked closed.</w:t>
      </w:r>
    </w:p>
    <w:p w:rsidR="000B2098" w:rsidRPr="000B2098" w:rsidRDefault="000B2098" w:rsidP="00813C57">
      <w:pPr>
        <w:jc w:val="left"/>
        <w:rPr>
          <w:rFonts w:eastAsia="Calibri"/>
        </w:rPr>
      </w:pPr>
    </w:p>
    <w:p w:rsidR="00025032" w:rsidRDefault="00025032" w:rsidP="00813C57">
      <w:pPr>
        <w:jc w:val="left"/>
        <w:rPr>
          <w:rFonts w:eastAsia="Times New Roman"/>
        </w:rPr>
      </w:pPr>
    </w:p>
    <w:p w:rsidR="00B41F29" w:rsidRDefault="00B41F29" w:rsidP="00B41F29">
      <w:pPr>
        <w:pStyle w:val="ParaTab1"/>
        <w:tabs>
          <w:tab w:val="clear" w:pos="-720"/>
          <w:tab w:val="left" w:pos="720"/>
          <w:tab w:val="left" w:pos="5040"/>
        </w:tabs>
        <w:ind w:firstLine="0"/>
        <w:rPr>
          <w:rFonts w:ascii="Times New Roman" w:hAnsi="Times New Roman" w:cs="Times New Roman"/>
          <w:spacing w:val="-3"/>
          <w:u w:val="single"/>
        </w:rPr>
      </w:pPr>
      <w:r>
        <w:rPr>
          <w:rFonts w:eastAsia="Calibri"/>
        </w:rPr>
        <w:t>Dated</w:t>
      </w:r>
      <w:r>
        <w:rPr>
          <w:rFonts w:ascii="Times New Roman" w:hAnsi="Times New Roman" w:cs="Times New Roman"/>
          <w:spacing w:val="-3"/>
        </w:rPr>
        <w:t xml:space="preserve">:  </w:t>
      </w:r>
      <w:r>
        <w:rPr>
          <w:rFonts w:ascii="Times New Roman" w:hAnsi="Times New Roman" w:cs="Times New Roman"/>
          <w:spacing w:val="-3"/>
          <w:u w:val="single"/>
        </w:rPr>
        <w:t>January 12, 201</w:t>
      </w:r>
      <w:r w:rsidR="00832C5A">
        <w:rPr>
          <w:rFonts w:ascii="Times New Roman" w:hAnsi="Times New Roman" w:cs="Times New Roman"/>
          <w:spacing w:val="-3"/>
          <w:u w:val="single"/>
        </w:rPr>
        <w:t>6</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B41F29" w:rsidRDefault="00B41F29" w:rsidP="00B41F2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Cynthia W</w:t>
      </w:r>
      <w:r w:rsidR="00832C5A">
        <w:rPr>
          <w:rFonts w:ascii="Times New Roman" w:hAnsi="Times New Roman" w:cs="Times New Roman"/>
          <w:spacing w:val="-3"/>
        </w:rPr>
        <w:t>illiams</w:t>
      </w:r>
      <w:r>
        <w:rPr>
          <w:rFonts w:ascii="Times New Roman" w:hAnsi="Times New Roman" w:cs="Times New Roman"/>
          <w:spacing w:val="-3"/>
        </w:rPr>
        <w:t xml:space="preserve"> Fordham</w:t>
      </w:r>
    </w:p>
    <w:p w:rsidR="00B41F29" w:rsidRDefault="00B41F29" w:rsidP="00B41F29">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Administrative Law Judge</w:t>
      </w:r>
    </w:p>
    <w:p w:rsidR="00332221" w:rsidRDefault="00332221" w:rsidP="00B41F29">
      <w:pPr>
        <w:tabs>
          <w:tab w:val="num" w:pos="2160"/>
          <w:tab w:val="left" w:pos="5048"/>
        </w:tabs>
        <w:spacing w:line="240" w:lineRule="auto"/>
        <w:jc w:val="both"/>
        <w:rPr>
          <w:rFonts w:eastAsia="Calibri"/>
        </w:rPr>
      </w:pPr>
    </w:p>
    <w:p w:rsidR="000021FD" w:rsidRDefault="000021FD" w:rsidP="00813C57">
      <w:pPr>
        <w:jc w:val="left"/>
        <w:rPr>
          <w:rFonts w:eastAsia="Calibri"/>
        </w:rPr>
      </w:pPr>
    </w:p>
    <w:sectPr w:rsidR="000021FD" w:rsidSect="007F2DB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BF5" w:rsidRDefault="00B57BF5" w:rsidP="0056078D">
      <w:pPr>
        <w:spacing w:line="240" w:lineRule="auto"/>
      </w:pPr>
      <w:r>
        <w:separator/>
      </w:r>
    </w:p>
  </w:endnote>
  <w:endnote w:type="continuationSeparator" w:id="0">
    <w:p w:rsidR="00B57BF5" w:rsidRDefault="00B57BF5" w:rsidP="00560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90613"/>
      <w:docPartObj>
        <w:docPartGallery w:val="Page Numbers (Bottom of Page)"/>
        <w:docPartUnique/>
      </w:docPartObj>
    </w:sdtPr>
    <w:sdtEndPr>
      <w:rPr>
        <w:noProof/>
      </w:rPr>
    </w:sdtEndPr>
    <w:sdtContent>
      <w:p w:rsidR="00F2714C" w:rsidRDefault="00F2714C">
        <w:pPr>
          <w:pStyle w:val="Footer"/>
        </w:pPr>
        <w:r w:rsidRPr="00813C57">
          <w:rPr>
            <w:sz w:val="20"/>
            <w:szCs w:val="20"/>
          </w:rPr>
          <w:fldChar w:fldCharType="begin"/>
        </w:r>
        <w:r w:rsidRPr="00813C57">
          <w:rPr>
            <w:sz w:val="20"/>
            <w:szCs w:val="20"/>
          </w:rPr>
          <w:instrText xml:space="preserve"> PAGE   \* MERGEFORMAT </w:instrText>
        </w:r>
        <w:r w:rsidRPr="00813C57">
          <w:rPr>
            <w:sz w:val="20"/>
            <w:szCs w:val="20"/>
          </w:rPr>
          <w:fldChar w:fldCharType="separate"/>
        </w:r>
        <w:r w:rsidR="002A4AFD">
          <w:rPr>
            <w:noProof/>
            <w:sz w:val="20"/>
            <w:szCs w:val="20"/>
          </w:rPr>
          <w:t>4</w:t>
        </w:r>
        <w:r w:rsidRPr="00813C5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BF5" w:rsidRDefault="00B57BF5" w:rsidP="0056078D">
      <w:pPr>
        <w:spacing w:line="240" w:lineRule="auto"/>
      </w:pPr>
      <w:r>
        <w:separator/>
      </w:r>
    </w:p>
  </w:footnote>
  <w:footnote w:type="continuationSeparator" w:id="0">
    <w:p w:rsidR="00B57BF5" w:rsidRDefault="00B57BF5" w:rsidP="0056078D">
      <w:pPr>
        <w:spacing w:line="240" w:lineRule="auto"/>
      </w:pPr>
      <w:r>
        <w:continuationSeparator/>
      </w:r>
    </w:p>
  </w:footnote>
  <w:footnote w:id="1">
    <w:p w:rsidR="00F2714C" w:rsidRPr="00706EE5" w:rsidRDefault="00F2714C" w:rsidP="00735CFA">
      <w:pPr>
        <w:spacing w:line="240" w:lineRule="auto"/>
        <w:jc w:val="left"/>
        <w:rPr>
          <w:sz w:val="20"/>
          <w:szCs w:val="20"/>
        </w:rPr>
      </w:pPr>
      <w:r w:rsidRPr="00706EE5">
        <w:rPr>
          <w:rStyle w:val="FootnoteReference"/>
          <w:sz w:val="20"/>
          <w:szCs w:val="20"/>
        </w:rPr>
        <w:footnoteRef/>
      </w:r>
      <w:r w:rsidRPr="00706EE5">
        <w:rPr>
          <w:sz w:val="20"/>
          <w:szCs w:val="20"/>
        </w:rPr>
        <w:t xml:space="preserve">  </w:t>
      </w:r>
      <w:r w:rsidRPr="00706EE5">
        <w:rPr>
          <w:sz w:val="20"/>
          <w:szCs w:val="20"/>
        </w:rPr>
        <w:tab/>
        <w:t xml:space="preserve">On June 17, 2015, </w:t>
      </w:r>
      <w:r w:rsidR="001E7AEA" w:rsidRPr="00706EE5">
        <w:rPr>
          <w:sz w:val="20"/>
          <w:szCs w:val="20"/>
        </w:rPr>
        <w:t xml:space="preserve">the Complainant </w:t>
      </w:r>
      <w:r w:rsidR="001E7AEA">
        <w:rPr>
          <w:sz w:val="20"/>
          <w:szCs w:val="20"/>
        </w:rPr>
        <w:t xml:space="preserve">sent correspondence to </w:t>
      </w:r>
      <w:r w:rsidRPr="00706EE5">
        <w:rPr>
          <w:sz w:val="20"/>
          <w:szCs w:val="20"/>
        </w:rPr>
        <w:t xml:space="preserve">the Commission </w:t>
      </w:r>
      <w:r w:rsidR="001E7AEA">
        <w:rPr>
          <w:sz w:val="20"/>
          <w:szCs w:val="20"/>
        </w:rPr>
        <w:t>indicating</w:t>
      </w:r>
      <w:r w:rsidRPr="00706EE5">
        <w:rPr>
          <w:sz w:val="20"/>
          <w:szCs w:val="20"/>
        </w:rPr>
        <w:t xml:space="preserve"> that the Respondent acted in a fraudulent manner when it filed its Motion knowing that the Complainant would be out of the country.  The </w:t>
      </w:r>
      <w:r w:rsidR="001E7AEA">
        <w:rPr>
          <w:sz w:val="20"/>
          <w:szCs w:val="20"/>
        </w:rPr>
        <w:t xml:space="preserve">Complainant’s correspondence did not contain responses to </w:t>
      </w:r>
      <w:r w:rsidRPr="00706EE5">
        <w:rPr>
          <w:sz w:val="20"/>
          <w:szCs w:val="20"/>
        </w:rPr>
        <w:t xml:space="preserve">the Respondent’s Motion.  </w:t>
      </w:r>
    </w:p>
    <w:p w:rsidR="00F2714C" w:rsidRPr="00706EE5" w:rsidRDefault="00F2714C">
      <w:pPr>
        <w:pStyle w:val="FootnoteText"/>
        <w:rPr>
          <w:rFonts w:ascii="Times New Roman" w:hAnsi="Times New Roman" w:cs="Times New Roman"/>
        </w:rPr>
      </w:pPr>
    </w:p>
  </w:footnote>
  <w:footnote w:id="2">
    <w:p w:rsidR="00BB3141" w:rsidRPr="006A1B9C" w:rsidRDefault="00BB3141">
      <w:pPr>
        <w:pStyle w:val="FootnoteText"/>
        <w:rPr>
          <w:rFonts w:ascii="Times New Roman" w:hAnsi="Times New Roman" w:cs="Times New Roman"/>
        </w:rPr>
      </w:pPr>
      <w:r w:rsidRPr="00706EE5">
        <w:rPr>
          <w:rStyle w:val="FootnoteReference"/>
          <w:rFonts w:ascii="Times New Roman" w:hAnsi="Times New Roman" w:cs="Times New Roman"/>
        </w:rPr>
        <w:footnoteRef/>
      </w:r>
      <w:r w:rsidRPr="00706EE5">
        <w:rPr>
          <w:rFonts w:ascii="Times New Roman" w:hAnsi="Times New Roman" w:cs="Times New Roman"/>
        </w:rPr>
        <w:t xml:space="preserve"> </w:t>
      </w:r>
      <w:r w:rsidR="00706EE5">
        <w:rPr>
          <w:rFonts w:ascii="Times New Roman" w:hAnsi="Times New Roman" w:cs="Times New Roman"/>
        </w:rPr>
        <w:tab/>
      </w:r>
      <w:r w:rsidR="00706EE5" w:rsidRPr="006A1B9C">
        <w:rPr>
          <w:rFonts w:ascii="Times New Roman" w:hAnsi="Times New Roman" w:cs="Times New Roman"/>
        </w:rPr>
        <w:t xml:space="preserve">The Respondent’s objection to Complainant’s exhibits 9-11 </w:t>
      </w:r>
      <w:r w:rsidR="008E37B3" w:rsidRPr="006A1B9C">
        <w:rPr>
          <w:rFonts w:ascii="Times New Roman" w:hAnsi="Times New Roman" w:cs="Times New Roman"/>
        </w:rPr>
        <w:t>based on</w:t>
      </w:r>
      <w:r w:rsidR="00706EE5" w:rsidRPr="006A1B9C">
        <w:rPr>
          <w:rFonts w:ascii="Times New Roman" w:hAnsi="Times New Roman" w:cs="Times New Roman"/>
        </w:rPr>
        <w:t xml:space="preserve"> relevance was sustained and the exhibits were not admitted (Tr. </w:t>
      </w:r>
      <w:r w:rsidR="006A1B9C" w:rsidRPr="006A1B9C">
        <w:rPr>
          <w:rFonts w:ascii="Times New Roman" w:hAnsi="Times New Roman" w:cs="Times New Roman"/>
        </w:rPr>
        <w:t>69-75</w:t>
      </w:r>
      <w:r w:rsidR="00706EE5" w:rsidRPr="006A1B9C">
        <w:rPr>
          <w:rFonts w:ascii="Times New Roman" w:hAnsi="Times New Roman" w:cs="Times New Roman"/>
        </w:rPr>
        <w:t>).</w:t>
      </w:r>
    </w:p>
  </w:footnote>
  <w:footnote w:id="3">
    <w:p w:rsidR="00E032AC" w:rsidRDefault="00E032AC">
      <w:pPr>
        <w:pStyle w:val="FootnoteText"/>
      </w:pPr>
      <w:r>
        <w:rPr>
          <w:rStyle w:val="FootnoteReference"/>
        </w:rPr>
        <w:footnoteRef/>
      </w:r>
      <w:r>
        <w:t xml:space="preserve"> </w:t>
      </w:r>
      <w:r>
        <w:tab/>
      </w:r>
      <w:r w:rsidRPr="00E032AC">
        <w:rPr>
          <w:rFonts w:ascii="Times New Roman" w:hAnsi="Times New Roman" w:cs="Times New Roman"/>
        </w:rPr>
        <w:t>This manual is available on PECO’s website.</w:t>
      </w:r>
    </w:p>
  </w:footnote>
  <w:footnote w:id="4">
    <w:p w:rsidR="00706EE5" w:rsidRPr="00706EE5" w:rsidRDefault="00706EE5">
      <w:pPr>
        <w:pStyle w:val="FootnoteText"/>
        <w:rPr>
          <w:rFonts w:ascii="Times New Roman" w:hAnsi="Times New Roman" w:cs="Times New Roman"/>
        </w:rPr>
      </w:pPr>
      <w:r w:rsidRPr="00706EE5">
        <w:rPr>
          <w:rStyle w:val="FootnoteReference"/>
          <w:rFonts w:ascii="Times New Roman" w:hAnsi="Times New Roman" w:cs="Times New Roman"/>
        </w:rPr>
        <w:footnoteRef/>
      </w:r>
      <w:r w:rsidRPr="00706EE5">
        <w:rPr>
          <w:rFonts w:ascii="Times New Roman" w:hAnsi="Times New Roman" w:cs="Times New Roman"/>
        </w:rPr>
        <w:t xml:space="preserve"> </w:t>
      </w:r>
      <w:r>
        <w:rPr>
          <w:rFonts w:ascii="Times New Roman" w:hAnsi="Times New Roman" w:cs="Times New Roman"/>
        </w:rPr>
        <w:tab/>
      </w:r>
      <w:r w:rsidRPr="00706EE5">
        <w:rPr>
          <w:rFonts w:ascii="Times New Roman" w:hAnsi="Times New Roman" w:cs="Times New Roman"/>
        </w:rPr>
        <w:t xml:space="preserve">Complainant’s exhibits 1-8 and Respondent’s exhibits 1-9 were admitted into evidence (Tr. </w:t>
      </w:r>
      <w:r w:rsidR="00F5271F">
        <w:rPr>
          <w:rFonts w:ascii="Times New Roman" w:hAnsi="Times New Roman" w:cs="Times New Roman"/>
        </w:rPr>
        <w:t>69,</w:t>
      </w:r>
      <w:r w:rsidRPr="00706EE5">
        <w:rPr>
          <w:rFonts w:ascii="Times New Roman" w:hAnsi="Times New Roman" w:cs="Times New Roman"/>
        </w:rPr>
        <w:t xml:space="preserve"> </w:t>
      </w:r>
      <w:r w:rsidR="00F5271F">
        <w:rPr>
          <w:rFonts w:ascii="Times New Roman" w:hAnsi="Times New Roman" w:cs="Times New Roman"/>
        </w:rPr>
        <w:t>75, 76</w:t>
      </w:r>
      <w:r w:rsidRPr="00706EE5">
        <w:rPr>
          <w:rFonts w:ascii="Times New Roman" w:hAnsi="Times New Roman" w:cs="Times New Roman"/>
        </w:rPr>
        <w:t>)</w:t>
      </w:r>
      <w:r w:rsidR="00F5271F">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B16"/>
    <w:multiLevelType w:val="hybridMultilevel"/>
    <w:tmpl w:val="A426F02A"/>
    <w:lvl w:ilvl="0" w:tplc="48D0E10C">
      <w:start w:val="1"/>
      <w:numFmt w:val="decimal"/>
      <w:lvlText w:val="%1."/>
      <w:lvlJc w:val="left"/>
      <w:pPr>
        <w:ind w:left="9180" w:hanging="360"/>
      </w:pPr>
      <w:rPr>
        <w:rFonts w:eastAsiaTheme="minorHAnsi"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nsid w:val="4320685D"/>
    <w:multiLevelType w:val="hybridMultilevel"/>
    <w:tmpl w:val="128000CC"/>
    <w:lvl w:ilvl="0" w:tplc="48D0E10C">
      <w:start w:val="1"/>
      <w:numFmt w:val="decimal"/>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A136C7A"/>
    <w:multiLevelType w:val="hybridMultilevel"/>
    <w:tmpl w:val="A9BE6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6F58F0"/>
    <w:multiLevelType w:val="hybridMultilevel"/>
    <w:tmpl w:val="4FAE5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DF3F71"/>
    <w:multiLevelType w:val="hybridMultilevel"/>
    <w:tmpl w:val="F3CC7C0E"/>
    <w:lvl w:ilvl="0" w:tplc="652E2C6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8D"/>
    <w:rsid w:val="000021FD"/>
    <w:rsid w:val="000040A7"/>
    <w:rsid w:val="0000756E"/>
    <w:rsid w:val="00017EDB"/>
    <w:rsid w:val="00025032"/>
    <w:rsid w:val="0003029F"/>
    <w:rsid w:val="000311F5"/>
    <w:rsid w:val="00047B4E"/>
    <w:rsid w:val="00053A49"/>
    <w:rsid w:val="0005787F"/>
    <w:rsid w:val="0006323F"/>
    <w:rsid w:val="00087661"/>
    <w:rsid w:val="000B2098"/>
    <w:rsid w:val="000D4FEC"/>
    <w:rsid w:val="000F0426"/>
    <w:rsid w:val="001151AE"/>
    <w:rsid w:val="001201F9"/>
    <w:rsid w:val="00170716"/>
    <w:rsid w:val="00191956"/>
    <w:rsid w:val="0019464D"/>
    <w:rsid w:val="00197453"/>
    <w:rsid w:val="001A661F"/>
    <w:rsid w:val="001E7AEA"/>
    <w:rsid w:val="001F4DC5"/>
    <w:rsid w:val="00204CB8"/>
    <w:rsid w:val="00225B58"/>
    <w:rsid w:val="00226A5C"/>
    <w:rsid w:val="002350FF"/>
    <w:rsid w:val="002351A7"/>
    <w:rsid w:val="00244BD1"/>
    <w:rsid w:val="002455B1"/>
    <w:rsid w:val="00245885"/>
    <w:rsid w:val="002817F8"/>
    <w:rsid w:val="00281CBE"/>
    <w:rsid w:val="002A332C"/>
    <w:rsid w:val="002A4AFD"/>
    <w:rsid w:val="002D6EE4"/>
    <w:rsid w:val="002E2BEF"/>
    <w:rsid w:val="002E47B8"/>
    <w:rsid w:val="003158E5"/>
    <w:rsid w:val="00332221"/>
    <w:rsid w:val="00332A4B"/>
    <w:rsid w:val="00334F5E"/>
    <w:rsid w:val="003360CC"/>
    <w:rsid w:val="00365495"/>
    <w:rsid w:val="0039439E"/>
    <w:rsid w:val="00395387"/>
    <w:rsid w:val="003C61E2"/>
    <w:rsid w:val="00407811"/>
    <w:rsid w:val="0041470C"/>
    <w:rsid w:val="00421DB6"/>
    <w:rsid w:val="00427807"/>
    <w:rsid w:val="00436E12"/>
    <w:rsid w:val="00470991"/>
    <w:rsid w:val="004A4D9A"/>
    <w:rsid w:val="004F0DD3"/>
    <w:rsid w:val="00502075"/>
    <w:rsid w:val="005105FA"/>
    <w:rsid w:val="00541796"/>
    <w:rsid w:val="0056078D"/>
    <w:rsid w:val="00560B41"/>
    <w:rsid w:val="005707A3"/>
    <w:rsid w:val="00575EC0"/>
    <w:rsid w:val="00581434"/>
    <w:rsid w:val="00585F41"/>
    <w:rsid w:val="00586A9A"/>
    <w:rsid w:val="005C69D1"/>
    <w:rsid w:val="005D0AE5"/>
    <w:rsid w:val="005E2C22"/>
    <w:rsid w:val="00603CEB"/>
    <w:rsid w:val="00635517"/>
    <w:rsid w:val="00641235"/>
    <w:rsid w:val="00655EAD"/>
    <w:rsid w:val="0067792C"/>
    <w:rsid w:val="0068053B"/>
    <w:rsid w:val="00683C4A"/>
    <w:rsid w:val="00687162"/>
    <w:rsid w:val="0069356D"/>
    <w:rsid w:val="006A1B9C"/>
    <w:rsid w:val="006A22E2"/>
    <w:rsid w:val="006B3680"/>
    <w:rsid w:val="00706CF2"/>
    <w:rsid w:val="00706EE5"/>
    <w:rsid w:val="00716BBD"/>
    <w:rsid w:val="00731A2C"/>
    <w:rsid w:val="00735CFA"/>
    <w:rsid w:val="007376DF"/>
    <w:rsid w:val="00744D59"/>
    <w:rsid w:val="00775167"/>
    <w:rsid w:val="0078124C"/>
    <w:rsid w:val="0078751C"/>
    <w:rsid w:val="007934D3"/>
    <w:rsid w:val="00797E6F"/>
    <w:rsid w:val="007A40AE"/>
    <w:rsid w:val="007A6106"/>
    <w:rsid w:val="007B79FC"/>
    <w:rsid w:val="007C3E52"/>
    <w:rsid w:val="007F2DB2"/>
    <w:rsid w:val="00813C57"/>
    <w:rsid w:val="00815AF4"/>
    <w:rsid w:val="00832C5A"/>
    <w:rsid w:val="00866451"/>
    <w:rsid w:val="0087788F"/>
    <w:rsid w:val="00881B68"/>
    <w:rsid w:val="00886791"/>
    <w:rsid w:val="008D369D"/>
    <w:rsid w:val="008E37B3"/>
    <w:rsid w:val="008E407D"/>
    <w:rsid w:val="008F21D3"/>
    <w:rsid w:val="008F44CB"/>
    <w:rsid w:val="008F6DBF"/>
    <w:rsid w:val="00911373"/>
    <w:rsid w:val="00937AA8"/>
    <w:rsid w:val="00952EAF"/>
    <w:rsid w:val="00953550"/>
    <w:rsid w:val="00965DC0"/>
    <w:rsid w:val="009B2F0E"/>
    <w:rsid w:val="009D2F84"/>
    <w:rsid w:val="00A37995"/>
    <w:rsid w:val="00A436F2"/>
    <w:rsid w:val="00A54299"/>
    <w:rsid w:val="00A64DA0"/>
    <w:rsid w:val="00A72FD8"/>
    <w:rsid w:val="00B118E4"/>
    <w:rsid w:val="00B27720"/>
    <w:rsid w:val="00B41F29"/>
    <w:rsid w:val="00B47295"/>
    <w:rsid w:val="00B579E9"/>
    <w:rsid w:val="00B57BF5"/>
    <w:rsid w:val="00B6529F"/>
    <w:rsid w:val="00B85EA2"/>
    <w:rsid w:val="00B94638"/>
    <w:rsid w:val="00BA4BD7"/>
    <w:rsid w:val="00BB3141"/>
    <w:rsid w:val="00BE5C75"/>
    <w:rsid w:val="00C07568"/>
    <w:rsid w:val="00C16C79"/>
    <w:rsid w:val="00C538BC"/>
    <w:rsid w:val="00C543C3"/>
    <w:rsid w:val="00C67410"/>
    <w:rsid w:val="00C72656"/>
    <w:rsid w:val="00C901E5"/>
    <w:rsid w:val="00CA729B"/>
    <w:rsid w:val="00D2715E"/>
    <w:rsid w:val="00D32A88"/>
    <w:rsid w:val="00D6221D"/>
    <w:rsid w:val="00D7203A"/>
    <w:rsid w:val="00D9136E"/>
    <w:rsid w:val="00DB2FDE"/>
    <w:rsid w:val="00DC29B5"/>
    <w:rsid w:val="00DC7CE2"/>
    <w:rsid w:val="00E032AC"/>
    <w:rsid w:val="00E05026"/>
    <w:rsid w:val="00E07076"/>
    <w:rsid w:val="00E26757"/>
    <w:rsid w:val="00E26DC2"/>
    <w:rsid w:val="00E27F50"/>
    <w:rsid w:val="00E37F23"/>
    <w:rsid w:val="00E41998"/>
    <w:rsid w:val="00E63231"/>
    <w:rsid w:val="00E736E8"/>
    <w:rsid w:val="00E83315"/>
    <w:rsid w:val="00EB66BB"/>
    <w:rsid w:val="00ED7497"/>
    <w:rsid w:val="00EE0B3D"/>
    <w:rsid w:val="00EE626C"/>
    <w:rsid w:val="00EF408A"/>
    <w:rsid w:val="00F11DBC"/>
    <w:rsid w:val="00F2714C"/>
    <w:rsid w:val="00F5271F"/>
    <w:rsid w:val="00F644EE"/>
    <w:rsid w:val="00F710A9"/>
    <w:rsid w:val="00F947F1"/>
    <w:rsid w:val="00FC1E04"/>
    <w:rsid w:val="00FD56AA"/>
    <w:rsid w:val="00F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669">
      <w:bodyDiv w:val="1"/>
      <w:marLeft w:val="0"/>
      <w:marRight w:val="0"/>
      <w:marTop w:val="0"/>
      <w:marBottom w:val="0"/>
      <w:divBdr>
        <w:top w:val="none" w:sz="0" w:space="0" w:color="auto"/>
        <w:left w:val="none" w:sz="0" w:space="0" w:color="auto"/>
        <w:bottom w:val="none" w:sz="0" w:space="0" w:color="auto"/>
        <w:right w:val="none" w:sz="0" w:space="0" w:color="auto"/>
      </w:divBdr>
    </w:div>
    <w:div w:id="87390244">
      <w:bodyDiv w:val="1"/>
      <w:marLeft w:val="0"/>
      <w:marRight w:val="0"/>
      <w:marTop w:val="0"/>
      <w:marBottom w:val="0"/>
      <w:divBdr>
        <w:top w:val="none" w:sz="0" w:space="0" w:color="auto"/>
        <w:left w:val="none" w:sz="0" w:space="0" w:color="auto"/>
        <w:bottom w:val="none" w:sz="0" w:space="0" w:color="auto"/>
        <w:right w:val="none" w:sz="0" w:space="0" w:color="auto"/>
      </w:divBdr>
    </w:div>
    <w:div w:id="89085917">
      <w:bodyDiv w:val="1"/>
      <w:marLeft w:val="0"/>
      <w:marRight w:val="0"/>
      <w:marTop w:val="0"/>
      <w:marBottom w:val="0"/>
      <w:divBdr>
        <w:top w:val="none" w:sz="0" w:space="0" w:color="auto"/>
        <w:left w:val="none" w:sz="0" w:space="0" w:color="auto"/>
        <w:bottom w:val="none" w:sz="0" w:space="0" w:color="auto"/>
        <w:right w:val="none" w:sz="0" w:space="0" w:color="auto"/>
      </w:divBdr>
    </w:div>
    <w:div w:id="111940639">
      <w:bodyDiv w:val="1"/>
      <w:marLeft w:val="0"/>
      <w:marRight w:val="0"/>
      <w:marTop w:val="0"/>
      <w:marBottom w:val="0"/>
      <w:divBdr>
        <w:top w:val="none" w:sz="0" w:space="0" w:color="auto"/>
        <w:left w:val="none" w:sz="0" w:space="0" w:color="auto"/>
        <w:bottom w:val="none" w:sz="0" w:space="0" w:color="auto"/>
        <w:right w:val="none" w:sz="0" w:space="0" w:color="auto"/>
      </w:divBdr>
    </w:div>
    <w:div w:id="145703597">
      <w:bodyDiv w:val="1"/>
      <w:marLeft w:val="0"/>
      <w:marRight w:val="0"/>
      <w:marTop w:val="0"/>
      <w:marBottom w:val="0"/>
      <w:divBdr>
        <w:top w:val="none" w:sz="0" w:space="0" w:color="auto"/>
        <w:left w:val="none" w:sz="0" w:space="0" w:color="auto"/>
        <w:bottom w:val="none" w:sz="0" w:space="0" w:color="auto"/>
        <w:right w:val="none" w:sz="0" w:space="0" w:color="auto"/>
      </w:divBdr>
    </w:div>
    <w:div w:id="161236820">
      <w:bodyDiv w:val="1"/>
      <w:marLeft w:val="0"/>
      <w:marRight w:val="0"/>
      <w:marTop w:val="0"/>
      <w:marBottom w:val="0"/>
      <w:divBdr>
        <w:top w:val="none" w:sz="0" w:space="0" w:color="auto"/>
        <w:left w:val="none" w:sz="0" w:space="0" w:color="auto"/>
        <w:bottom w:val="none" w:sz="0" w:space="0" w:color="auto"/>
        <w:right w:val="none" w:sz="0" w:space="0" w:color="auto"/>
      </w:divBdr>
    </w:div>
    <w:div w:id="186022497">
      <w:bodyDiv w:val="1"/>
      <w:marLeft w:val="0"/>
      <w:marRight w:val="0"/>
      <w:marTop w:val="0"/>
      <w:marBottom w:val="0"/>
      <w:divBdr>
        <w:top w:val="none" w:sz="0" w:space="0" w:color="auto"/>
        <w:left w:val="none" w:sz="0" w:space="0" w:color="auto"/>
        <w:bottom w:val="none" w:sz="0" w:space="0" w:color="auto"/>
        <w:right w:val="none" w:sz="0" w:space="0" w:color="auto"/>
      </w:divBdr>
    </w:div>
    <w:div w:id="271203319">
      <w:bodyDiv w:val="1"/>
      <w:marLeft w:val="0"/>
      <w:marRight w:val="0"/>
      <w:marTop w:val="0"/>
      <w:marBottom w:val="0"/>
      <w:divBdr>
        <w:top w:val="none" w:sz="0" w:space="0" w:color="auto"/>
        <w:left w:val="none" w:sz="0" w:space="0" w:color="auto"/>
        <w:bottom w:val="none" w:sz="0" w:space="0" w:color="auto"/>
        <w:right w:val="none" w:sz="0" w:space="0" w:color="auto"/>
      </w:divBdr>
    </w:div>
    <w:div w:id="601256399">
      <w:bodyDiv w:val="1"/>
      <w:marLeft w:val="0"/>
      <w:marRight w:val="0"/>
      <w:marTop w:val="0"/>
      <w:marBottom w:val="0"/>
      <w:divBdr>
        <w:top w:val="none" w:sz="0" w:space="0" w:color="auto"/>
        <w:left w:val="none" w:sz="0" w:space="0" w:color="auto"/>
        <w:bottom w:val="none" w:sz="0" w:space="0" w:color="auto"/>
        <w:right w:val="none" w:sz="0" w:space="0" w:color="auto"/>
      </w:divBdr>
    </w:div>
    <w:div w:id="712002591">
      <w:bodyDiv w:val="1"/>
      <w:marLeft w:val="0"/>
      <w:marRight w:val="0"/>
      <w:marTop w:val="0"/>
      <w:marBottom w:val="0"/>
      <w:divBdr>
        <w:top w:val="none" w:sz="0" w:space="0" w:color="auto"/>
        <w:left w:val="none" w:sz="0" w:space="0" w:color="auto"/>
        <w:bottom w:val="none" w:sz="0" w:space="0" w:color="auto"/>
        <w:right w:val="none" w:sz="0" w:space="0" w:color="auto"/>
      </w:divBdr>
    </w:div>
    <w:div w:id="798955031">
      <w:bodyDiv w:val="1"/>
      <w:marLeft w:val="0"/>
      <w:marRight w:val="0"/>
      <w:marTop w:val="0"/>
      <w:marBottom w:val="0"/>
      <w:divBdr>
        <w:top w:val="none" w:sz="0" w:space="0" w:color="auto"/>
        <w:left w:val="none" w:sz="0" w:space="0" w:color="auto"/>
        <w:bottom w:val="none" w:sz="0" w:space="0" w:color="auto"/>
        <w:right w:val="none" w:sz="0" w:space="0" w:color="auto"/>
      </w:divBdr>
    </w:div>
    <w:div w:id="802423184">
      <w:bodyDiv w:val="1"/>
      <w:marLeft w:val="0"/>
      <w:marRight w:val="0"/>
      <w:marTop w:val="0"/>
      <w:marBottom w:val="0"/>
      <w:divBdr>
        <w:top w:val="none" w:sz="0" w:space="0" w:color="auto"/>
        <w:left w:val="none" w:sz="0" w:space="0" w:color="auto"/>
        <w:bottom w:val="none" w:sz="0" w:space="0" w:color="auto"/>
        <w:right w:val="none" w:sz="0" w:space="0" w:color="auto"/>
      </w:divBdr>
    </w:div>
    <w:div w:id="865875676">
      <w:bodyDiv w:val="1"/>
      <w:marLeft w:val="0"/>
      <w:marRight w:val="0"/>
      <w:marTop w:val="0"/>
      <w:marBottom w:val="0"/>
      <w:divBdr>
        <w:top w:val="none" w:sz="0" w:space="0" w:color="auto"/>
        <w:left w:val="none" w:sz="0" w:space="0" w:color="auto"/>
        <w:bottom w:val="none" w:sz="0" w:space="0" w:color="auto"/>
        <w:right w:val="none" w:sz="0" w:space="0" w:color="auto"/>
      </w:divBdr>
    </w:div>
    <w:div w:id="919485033">
      <w:bodyDiv w:val="1"/>
      <w:marLeft w:val="0"/>
      <w:marRight w:val="0"/>
      <w:marTop w:val="0"/>
      <w:marBottom w:val="0"/>
      <w:divBdr>
        <w:top w:val="none" w:sz="0" w:space="0" w:color="auto"/>
        <w:left w:val="none" w:sz="0" w:space="0" w:color="auto"/>
        <w:bottom w:val="none" w:sz="0" w:space="0" w:color="auto"/>
        <w:right w:val="none" w:sz="0" w:space="0" w:color="auto"/>
      </w:divBdr>
    </w:div>
    <w:div w:id="933436786">
      <w:bodyDiv w:val="1"/>
      <w:marLeft w:val="0"/>
      <w:marRight w:val="0"/>
      <w:marTop w:val="0"/>
      <w:marBottom w:val="0"/>
      <w:divBdr>
        <w:top w:val="none" w:sz="0" w:space="0" w:color="auto"/>
        <w:left w:val="none" w:sz="0" w:space="0" w:color="auto"/>
        <w:bottom w:val="none" w:sz="0" w:space="0" w:color="auto"/>
        <w:right w:val="none" w:sz="0" w:space="0" w:color="auto"/>
      </w:divBdr>
    </w:div>
    <w:div w:id="946817338">
      <w:bodyDiv w:val="1"/>
      <w:marLeft w:val="0"/>
      <w:marRight w:val="0"/>
      <w:marTop w:val="0"/>
      <w:marBottom w:val="0"/>
      <w:divBdr>
        <w:top w:val="none" w:sz="0" w:space="0" w:color="auto"/>
        <w:left w:val="none" w:sz="0" w:space="0" w:color="auto"/>
        <w:bottom w:val="none" w:sz="0" w:space="0" w:color="auto"/>
        <w:right w:val="none" w:sz="0" w:space="0" w:color="auto"/>
      </w:divBdr>
    </w:div>
    <w:div w:id="1055740525">
      <w:bodyDiv w:val="1"/>
      <w:marLeft w:val="0"/>
      <w:marRight w:val="0"/>
      <w:marTop w:val="0"/>
      <w:marBottom w:val="0"/>
      <w:divBdr>
        <w:top w:val="none" w:sz="0" w:space="0" w:color="auto"/>
        <w:left w:val="none" w:sz="0" w:space="0" w:color="auto"/>
        <w:bottom w:val="none" w:sz="0" w:space="0" w:color="auto"/>
        <w:right w:val="none" w:sz="0" w:space="0" w:color="auto"/>
      </w:divBdr>
    </w:div>
    <w:div w:id="1078013614">
      <w:bodyDiv w:val="1"/>
      <w:marLeft w:val="0"/>
      <w:marRight w:val="0"/>
      <w:marTop w:val="0"/>
      <w:marBottom w:val="0"/>
      <w:divBdr>
        <w:top w:val="none" w:sz="0" w:space="0" w:color="auto"/>
        <w:left w:val="none" w:sz="0" w:space="0" w:color="auto"/>
        <w:bottom w:val="none" w:sz="0" w:space="0" w:color="auto"/>
        <w:right w:val="none" w:sz="0" w:space="0" w:color="auto"/>
      </w:divBdr>
    </w:div>
    <w:div w:id="1125470650">
      <w:bodyDiv w:val="1"/>
      <w:marLeft w:val="0"/>
      <w:marRight w:val="0"/>
      <w:marTop w:val="0"/>
      <w:marBottom w:val="0"/>
      <w:divBdr>
        <w:top w:val="none" w:sz="0" w:space="0" w:color="auto"/>
        <w:left w:val="none" w:sz="0" w:space="0" w:color="auto"/>
        <w:bottom w:val="none" w:sz="0" w:space="0" w:color="auto"/>
        <w:right w:val="none" w:sz="0" w:space="0" w:color="auto"/>
      </w:divBdr>
    </w:div>
    <w:div w:id="1136222691">
      <w:bodyDiv w:val="1"/>
      <w:marLeft w:val="0"/>
      <w:marRight w:val="0"/>
      <w:marTop w:val="0"/>
      <w:marBottom w:val="0"/>
      <w:divBdr>
        <w:top w:val="none" w:sz="0" w:space="0" w:color="auto"/>
        <w:left w:val="none" w:sz="0" w:space="0" w:color="auto"/>
        <w:bottom w:val="none" w:sz="0" w:space="0" w:color="auto"/>
        <w:right w:val="none" w:sz="0" w:space="0" w:color="auto"/>
      </w:divBdr>
    </w:div>
    <w:div w:id="1183395488">
      <w:bodyDiv w:val="1"/>
      <w:marLeft w:val="0"/>
      <w:marRight w:val="0"/>
      <w:marTop w:val="0"/>
      <w:marBottom w:val="0"/>
      <w:divBdr>
        <w:top w:val="none" w:sz="0" w:space="0" w:color="auto"/>
        <w:left w:val="none" w:sz="0" w:space="0" w:color="auto"/>
        <w:bottom w:val="none" w:sz="0" w:space="0" w:color="auto"/>
        <w:right w:val="none" w:sz="0" w:space="0" w:color="auto"/>
      </w:divBdr>
    </w:div>
    <w:div w:id="1276327543">
      <w:bodyDiv w:val="1"/>
      <w:marLeft w:val="0"/>
      <w:marRight w:val="0"/>
      <w:marTop w:val="0"/>
      <w:marBottom w:val="0"/>
      <w:divBdr>
        <w:top w:val="none" w:sz="0" w:space="0" w:color="auto"/>
        <w:left w:val="none" w:sz="0" w:space="0" w:color="auto"/>
        <w:bottom w:val="none" w:sz="0" w:space="0" w:color="auto"/>
        <w:right w:val="none" w:sz="0" w:space="0" w:color="auto"/>
      </w:divBdr>
    </w:div>
    <w:div w:id="1292830657">
      <w:bodyDiv w:val="1"/>
      <w:marLeft w:val="0"/>
      <w:marRight w:val="0"/>
      <w:marTop w:val="0"/>
      <w:marBottom w:val="0"/>
      <w:divBdr>
        <w:top w:val="none" w:sz="0" w:space="0" w:color="auto"/>
        <w:left w:val="none" w:sz="0" w:space="0" w:color="auto"/>
        <w:bottom w:val="none" w:sz="0" w:space="0" w:color="auto"/>
        <w:right w:val="none" w:sz="0" w:space="0" w:color="auto"/>
      </w:divBdr>
    </w:div>
    <w:div w:id="1338538873">
      <w:bodyDiv w:val="1"/>
      <w:marLeft w:val="0"/>
      <w:marRight w:val="0"/>
      <w:marTop w:val="0"/>
      <w:marBottom w:val="0"/>
      <w:divBdr>
        <w:top w:val="none" w:sz="0" w:space="0" w:color="auto"/>
        <w:left w:val="none" w:sz="0" w:space="0" w:color="auto"/>
        <w:bottom w:val="none" w:sz="0" w:space="0" w:color="auto"/>
        <w:right w:val="none" w:sz="0" w:space="0" w:color="auto"/>
      </w:divBdr>
    </w:div>
    <w:div w:id="1363434887">
      <w:bodyDiv w:val="1"/>
      <w:marLeft w:val="0"/>
      <w:marRight w:val="0"/>
      <w:marTop w:val="0"/>
      <w:marBottom w:val="0"/>
      <w:divBdr>
        <w:top w:val="none" w:sz="0" w:space="0" w:color="auto"/>
        <w:left w:val="none" w:sz="0" w:space="0" w:color="auto"/>
        <w:bottom w:val="none" w:sz="0" w:space="0" w:color="auto"/>
        <w:right w:val="none" w:sz="0" w:space="0" w:color="auto"/>
      </w:divBdr>
    </w:div>
    <w:div w:id="1395083743">
      <w:bodyDiv w:val="1"/>
      <w:marLeft w:val="0"/>
      <w:marRight w:val="0"/>
      <w:marTop w:val="0"/>
      <w:marBottom w:val="0"/>
      <w:divBdr>
        <w:top w:val="none" w:sz="0" w:space="0" w:color="auto"/>
        <w:left w:val="none" w:sz="0" w:space="0" w:color="auto"/>
        <w:bottom w:val="none" w:sz="0" w:space="0" w:color="auto"/>
        <w:right w:val="none" w:sz="0" w:space="0" w:color="auto"/>
      </w:divBdr>
    </w:div>
    <w:div w:id="1408764395">
      <w:bodyDiv w:val="1"/>
      <w:marLeft w:val="0"/>
      <w:marRight w:val="0"/>
      <w:marTop w:val="0"/>
      <w:marBottom w:val="0"/>
      <w:divBdr>
        <w:top w:val="none" w:sz="0" w:space="0" w:color="auto"/>
        <w:left w:val="none" w:sz="0" w:space="0" w:color="auto"/>
        <w:bottom w:val="none" w:sz="0" w:space="0" w:color="auto"/>
        <w:right w:val="none" w:sz="0" w:space="0" w:color="auto"/>
      </w:divBdr>
    </w:div>
    <w:div w:id="1431656003">
      <w:bodyDiv w:val="1"/>
      <w:marLeft w:val="0"/>
      <w:marRight w:val="0"/>
      <w:marTop w:val="0"/>
      <w:marBottom w:val="0"/>
      <w:divBdr>
        <w:top w:val="none" w:sz="0" w:space="0" w:color="auto"/>
        <w:left w:val="none" w:sz="0" w:space="0" w:color="auto"/>
        <w:bottom w:val="none" w:sz="0" w:space="0" w:color="auto"/>
        <w:right w:val="none" w:sz="0" w:space="0" w:color="auto"/>
      </w:divBdr>
    </w:div>
    <w:div w:id="1447383483">
      <w:bodyDiv w:val="1"/>
      <w:marLeft w:val="0"/>
      <w:marRight w:val="0"/>
      <w:marTop w:val="0"/>
      <w:marBottom w:val="0"/>
      <w:divBdr>
        <w:top w:val="none" w:sz="0" w:space="0" w:color="auto"/>
        <w:left w:val="none" w:sz="0" w:space="0" w:color="auto"/>
        <w:bottom w:val="none" w:sz="0" w:space="0" w:color="auto"/>
        <w:right w:val="none" w:sz="0" w:space="0" w:color="auto"/>
      </w:divBdr>
    </w:div>
    <w:div w:id="1520467527">
      <w:bodyDiv w:val="1"/>
      <w:marLeft w:val="0"/>
      <w:marRight w:val="0"/>
      <w:marTop w:val="0"/>
      <w:marBottom w:val="0"/>
      <w:divBdr>
        <w:top w:val="none" w:sz="0" w:space="0" w:color="auto"/>
        <w:left w:val="none" w:sz="0" w:space="0" w:color="auto"/>
        <w:bottom w:val="none" w:sz="0" w:space="0" w:color="auto"/>
        <w:right w:val="none" w:sz="0" w:space="0" w:color="auto"/>
      </w:divBdr>
    </w:div>
    <w:div w:id="1542984916">
      <w:bodyDiv w:val="1"/>
      <w:marLeft w:val="0"/>
      <w:marRight w:val="0"/>
      <w:marTop w:val="0"/>
      <w:marBottom w:val="0"/>
      <w:divBdr>
        <w:top w:val="none" w:sz="0" w:space="0" w:color="auto"/>
        <w:left w:val="none" w:sz="0" w:space="0" w:color="auto"/>
        <w:bottom w:val="none" w:sz="0" w:space="0" w:color="auto"/>
        <w:right w:val="none" w:sz="0" w:space="0" w:color="auto"/>
      </w:divBdr>
    </w:div>
    <w:div w:id="1598950654">
      <w:bodyDiv w:val="1"/>
      <w:marLeft w:val="0"/>
      <w:marRight w:val="0"/>
      <w:marTop w:val="0"/>
      <w:marBottom w:val="0"/>
      <w:divBdr>
        <w:top w:val="none" w:sz="0" w:space="0" w:color="auto"/>
        <w:left w:val="none" w:sz="0" w:space="0" w:color="auto"/>
        <w:bottom w:val="none" w:sz="0" w:space="0" w:color="auto"/>
        <w:right w:val="none" w:sz="0" w:space="0" w:color="auto"/>
      </w:divBdr>
    </w:div>
    <w:div w:id="1614825679">
      <w:bodyDiv w:val="1"/>
      <w:marLeft w:val="0"/>
      <w:marRight w:val="0"/>
      <w:marTop w:val="0"/>
      <w:marBottom w:val="0"/>
      <w:divBdr>
        <w:top w:val="none" w:sz="0" w:space="0" w:color="auto"/>
        <w:left w:val="none" w:sz="0" w:space="0" w:color="auto"/>
        <w:bottom w:val="none" w:sz="0" w:space="0" w:color="auto"/>
        <w:right w:val="none" w:sz="0" w:space="0" w:color="auto"/>
      </w:divBdr>
    </w:div>
    <w:div w:id="1660380171">
      <w:bodyDiv w:val="1"/>
      <w:marLeft w:val="0"/>
      <w:marRight w:val="0"/>
      <w:marTop w:val="0"/>
      <w:marBottom w:val="0"/>
      <w:divBdr>
        <w:top w:val="none" w:sz="0" w:space="0" w:color="auto"/>
        <w:left w:val="none" w:sz="0" w:space="0" w:color="auto"/>
        <w:bottom w:val="none" w:sz="0" w:space="0" w:color="auto"/>
        <w:right w:val="none" w:sz="0" w:space="0" w:color="auto"/>
      </w:divBdr>
    </w:div>
    <w:div w:id="1691031741">
      <w:bodyDiv w:val="1"/>
      <w:marLeft w:val="0"/>
      <w:marRight w:val="0"/>
      <w:marTop w:val="0"/>
      <w:marBottom w:val="0"/>
      <w:divBdr>
        <w:top w:val="none" w:sz="0" w:space="0" w:color="auto"/>
        <w:left w:val="none" w:sz="0" w:space="0" w:color="auto"/>
        <w:bottom w:val="none" w:sz="0" w:space="0" w:color="auto"/>
        <w:right w:val="none" w:sz="0" w:space="0" w:color="auto"/>
      </w:divBdr>
    </w:div>
    <w:div w:id="1739548619">
      <w:bodyDiv w:val="1"/>
      <w:marLeft w:val="0"/>
      <w:marRight w:val="0"/>
      <w:marTop w:val="0"/>
      <w:marBottom w:val="0"/>
      <w:divBdr>
        <w:top w:val="none" w:sz="0" w:space="0" w:color="auto"/>
        <w:left w:val="none" w:sz="0" w:space="0" w:color="auto"/>
        <w:bottom w:val="none" w:sz="0" w:space="0" w:color="auto"/>
        <w:right w:val="none" w:sz="0" w:space="0" w:color="auto"/>
      </w:divBdr>
    </w:div>
    <w:div w:id="1745713172">
      <w:bodyDiv w:val="1"/>
      <w:marLeft w:val="0"/>
      <w:marRight w:val="0"/>
      <w:marTop w:val="0"/>
      <w:marBottom w:val="0"/>
      <w:divBdr>
        <w:top w:val="none" w:sz="0" w:space="0" w:color="auto"/>
        <w:left w:val="none" w:sz="0" w:space="0" w:color="auto"/>
        <w:bottom w:val="none" w:sz="0" w:space="0" w:color="auto"/>
        <w:right w:val="none" w:sz="0" w:space="0" w:color="auto"/>
      </w:divBdr>
    </w:div>
    <w:div w:id="1884638043">
      <w:bodyDiv w:val="1"/>
      <w:marLeft w:val="0"/>
      <w:marRight w:val="0"/>
      <w:marTop w:val="0"/>
      <w:marBottom w:val="0"/>
      <w:divBdr>
        <w:top w:val="none" w:sz="0" w:space="0" w:color="auto"/>
        <w:left w:val="none" w:sz="0" w:space="0" w:color="auto"/>
        <w:bottom w:val="none" w:sz="0" w:space="0" w:color="auto"/>
        <w:right w:val="none" w:sz="0" w:space="0" w:color="auto"/>
      </w:divBdr>
    </w:div>
    <w:div w:id="1895848185">
      <w:bodyDiv w:val="1"/>
      <w:marLeft w:val="0"/>
      <w:marRight w:val="0"/>
      <w:marTop w:val="0"/>
      <w:marBottom w:val="0"/>
      <w:divBdr>
        <w:top w:val="none" w:sz="0" w:space="0" w:color="auto"/>
        <w:left w:val="none" w:sz="0" w:space="0" w:color="auto"/>
        <w:bottom w:val="none" w:sz="0" w:space="0" w:color="auto"/>
        <w:right w:val="none" w:sz="0" w:space="0" w:color="auto"/>
      </w:divBdr>
    </w:div>
    <w:div w:id="1912152385">
      <w:bodyDiv w:val="1"/>
      <w:marLeft w:val="0"/>
      <w:marRight w:val="0"/>
      <w:marTop w:val="0"/>
      <w:marBottom w:val="0"/>
      <w:divBdr>
        <w:top w:val="none" w:sz="0" w:space="0" w:color="auto"/>
        <w:left w:val="none" w:sz="0" w:space="0" w:color="auto"/>
        <w:bottom w:val="none" w:sz="0" w:space="0" w:color="auto"/>
        <w:right w:val="none" w:sz="0" w:space="0" w:color="auto"/>
      </w:divBdr>
    </w:div>
    <w:div w:id="1926379838">
      <w:bodyDiv w:val="1"/>
      <w:marLeft w:val="0"/>
      <w:marRight w:val="0"/>
      <w:marTop w:val="0"/>
      <w:marBottom w:val="0"/>
      <w:divBdr>
        <w:top w:val="none" w:sz="0" w:space="0" w:color="auto"/>
        <w:left w:val="none" w:sz="0" w:space="0" w:color="auto"/>
        <w:bottom w:val="none" w:sz="0" w:space="0" w:color="auto"/>
        <w:right w:val="none" w:sz="0" w:space="0" w:color="auto"/>
      </w:divBdr>
    </w:div>
    <w:div w:id="1949897316">
      <w:bodyDiv w:val="1"/>
      <w:marLeft w:val="0"/>
      <w:marRight w:val="0"/>
      <w:marTop w:val="0"/>
      <w:marBottom w:val="0"/>
      <w:divBdr>
        <w:top w:val="none" w:sz="0" w:space="0" w:color="auto"/>
        <w:left w:val="none" w:sz="0" w:space="0" w:color="auto"/>
        <w:bottom w:val="none" w:sz="0" w:space="0" w:color="auto"/>
        <w:right w:val="none" w:sz="0" w:space="0" w:color="auto"/>
      </w:divBdr>
    </w:div>
    <w:div w:id="1989742703">
      <w:bodyDiv w:val="1"/>
      <w:marLeft w:val="0"/>
      <w:marRight w:val="0"/>
      <w:marTop w:val="0"/>
      <w:marBottom w:val="0"/>
      <w:divBdr>
        <w:top w:val="none" w:sz="0" w:space="0" w:color="auto"/>
        <w:left w:val="none" w:sz="0" w:space="0" w:color="auto"/>
        <w:bottom w:val="none" w:sz="0" w:space="0" w:color="auto"/>
        <w:right w:val="none" w:sz="0" w:space="0" w:color="auto"/>
      </w:divBdr>
    </w:div>
    <w:div w:id="2036079002">
      <w:bodyDiv w:val="1"/>
      <w:marLeft w:val="0"/>
      <w:marRight w:val="0"/>
      <w:marTop w:val="0"/>
      <w:marBottom w:val="0"/>
      <w:divBdr>
        <w:top w:val="none" w:sz="0" w:space="0" w:color="auto"/>
        <w:left w:val="none" w:sz="0" w:space="0" w:color="auto"/>
        <w:bottom w:val="none" w:sz="0" w:space="0" w:color="auto"/>
        <w:right w:val="none" w:sz="0" w:space="0" w:color="auto"/>
      </w:divBdr>
    </w:div>
    <w:div w:id="20480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3818-C17F-483D-A007-0648254C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2016-01-12T19:45:00Z</cp:lastPrinted>
  <dcterms:created xsi:type="dcterms:W3CDTF">2016-01-20T20:59:00Z</dcterms:created>
  <dcterms:modified xsi:type="dcterms:W3CDTF">2016-01-20T20:59:00Z</dcterms:modified>
</cp:coreProperties>
</file>