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924" w:rsidRDefault="006C6924" w:rsidP="00EE074B">
      <w:pPr>
        <w:jc w:val="center"/>
        <w:rPr>
          <w:b/>
        </w:rPr>
      </w:pPr>
      <w:r>
        <w:rPr>
          <w:b/>
        </w:rPr>
        <w:t>BEFORE THE</w:t>
      </w:r>
    </w:p>
    <w:p w:rsidR="006C6924" w:rsidRDefault="006C6924" w:rsidP="00EE074B">
      <w:pPr>
        <w:jc w:val="center"/>
        <w:rPr>
          <w:b/>
        </w:rPr>
      </w:pPr>
      <w:r>
        <w:rPr>
          <w:b/>
        </w:rPr>
        <w:t>PENNSYLVANIA PUBLIC UTILITY COMMISSION</w:t>
      </w:r>
    </w:p>
    <w:p w:rsidR="00EE074B" w:rsidRDefault="00EE074B" w:rsidP="00EE074B">
      <w:pPr>
        <w:jc w:val="center"/>
        <w:rPr>
          <w:b/>
        </w:rPr>
      </w:pPr>
    </w:p>
    <w:p w:rsidR="00EE074B" w:rsidRDefault="00EE074B" w:rsidP="00EE074B">
      <w:pPr>
        <w:jc w:val="center"/>
        <w:rPr>
          <w:b/>
        </w:rPr>
      </w:pPr>
    </w:p>
    <w:p w:rsidR="006C6924" w:rsidRDefault="006C6924" w:rsidP="00EE074B">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
        <w:gridCol w:w="4608"/>
      </w:tblGrid>
      <w:tr w:rsidR="006C6924" w:rsidTr="006A044E">
        <w:tc>
          <w:tcPr>
            <w:tcW w:w="4428" w:type="dxa"/>
            <w:tcBorders>
              <w:top w:val="nil"/>
              <w:left w:val="nil"/>
              <w:bottom w:val="nil"/>
              <w:right w:val="nil"/>
            </w:tcBorders>
          </w:tcPr>
          <w:p w:rsidR="006C6924" w:rsidRDefault="006C6924" w:rsidP="00EE074B">
            <w:r>
              <w:t>Petition of Duquesne Light Company</w:t>
            </w:r>
          </w:p>
          <w:p w:rsidR="006C6924" w:rsidRDefault="00280654" w:rsidP="00280654">
            <w:r>
              <w:t>f</w:t>
            </w:r>
            <w:r w:rsidR="006C6924">
              <w:t xml:space="preserve">or Approval to Modify its Smart Meter Procurement </w:t>
            </w:r>
            <w:r>
              <w:t>a</w:t>
            </w:r>
            <w:r w:rsidR="006C6924">
              <w:t>nd Installation Plan</w:t>
            </w:r>
          </w:p>
        </w:tc>
        <w:tc>
          <w:tcPr>
            <w:tcW w:w="540" w:type="dxa"/>
            <w:tcBorders>
              <w:top w:val="nil"/>
              <w:left w:val="nil"/>
              <w:bottom w:val="nil"/>
              <w:right w:val="nil"/>
            </w:tcBorders>
          </w:tcPr>
          <w:p w:rsidR="006C6924" w:rsidRDefault="006C6924" w:rsidP="00EE074B">
            <w:pPr>
              <w:jc w:val="center"/>
              <w:rPr>
                <w:b/>
              </w:rPr>
            </w:pPr>
            <w:r>
              <w:rPr>
                <w:b/>
              </w:rPr>
              <w:t>:</w:t>
            </w:r>
            <w:r>
              <w:rPr>
                <w:b/>
              </w:rPr>
              <w:br/>
              <w:t>:</w:t>
            </w:r>
            <w:r>
              <w:rPr>
                <w:b/>
              </w:rPr>
              <w:br/>
              <w:t>:</w:t>
            </w:r>
          </w:p>
        </w:tc>
        <w:tc>
          <w:tcPr>
            <w:tcW w:w="4608" w:type="dxa"/>
            <w:tcBorders>
              <w:top w:val="nil"/>
              <w:left w:val="nil"/>
              <w:bottom w:val="nil"/>
              <w:right w:val="nil"/>
            </w:tcBorders>
          </w:tcPr>
          <w:p w:rsidR="006C6924" w:rsidRDefault="006C6924" w:rsidP="00EE074B"/>
          <w:p w:rsidR="006C6924" w:rsidRDefault="006C6924" w:rsidP="00B9067F">
            <w:r>
              <w:t>Docket No. P-2015-2497267</w:t>
            </w:r>
            <w:bookmarkStart w:id="0" w:name="_GoBack"/>
            <w:bookmarkEnd w:id="0"/>
          </w:p>
        </w:tc>
      </w:tr>
    </w:tbl>
    <w:p w:rsidR="006C6924" w:rsidRDefault="006C6924" w:rsidP="00EE074B">
      <w:pPr>
        <w:jc w:val="center"/>
        <w:rPr>
          <w:b/>
        </w:rPr>
      </w:pPr>
    </w:p>
    <w:p w:rsidR="00EE074B" w:rsidRDefault="00EE074B" w:rsidP="00EE074B">
      <w:pPr>
        <w:jc w:val="center"/>
        <w:rPr>
          <w:b/>
        </w:rPr>
      </w:pPr>
    </w:p>
    <w:p w:rsidR="006C6924" w:rsidRPr="006C6924" w:rsidRDefault="006C6924" w:rsidP="006C6924">
      <w:pPr>
        <w:pStyle w:val="BodyText"/>
        <w:spacing w:before="240" w:line="360" w:lineRule="auto"/>
        <w:ind w:firstLine="0"/>
        <w:jc w:val="center"/>
        <w:rPr>
          <w:b/>
          <w:u w:val="single"/>
        </w:rPr>
      </w:pPr>
      <w:r w:rsidRPr="006C6924">
        <w:rPr>
          <w:b/>
          <w:u w:val="single"/>
        </w:rPr>
        <w:t>PROTECTIVE ORDER</w:t>
      </w:r>
    </w:p>
    <w:p w:rsidR="006C6924" w:rsidRDefault="006C6924" w:rsidP="006C6924">
      <w:pPr>
        <w:pStyle w:val="BodyText2"/>
        <w:spacing w:line="360" w:lineRule="auto"/>
        <w:rPr>
          <w:color w:val="000000"/>
        </w:rPr>
      </w:pPr>
      <w:r>
        <w:rPr>
          <w:color w:val="000000"/>
        </w:rPr>
        <w:t>Upon consideration of the Motion for a Protective Order that was filed by Duquesne Light Company on January 21, 2016;</w:t>
      </w:r>
    </w:p>
    <w:p w:rsidR="006C6924" w:rsidRDefault="006C6924" w:rsidP="006C6924">
      <w:pPr>
        <w:pStyle w:val="BodyText2"/>
        <w:spacing w:line="360" w:lineRule="auto"/>
        <w:rPr>
          <w:color w:val="000000"/>
        </w:rPr>
      </w:pPr>
    </w:p>
    <w:p w:rsidR="006C6924" w:rsidRDefault="006C6924" w:rsidP="006C6924">
      <w:pPr>
        <w:pStyle w:val="BodyText2"/>
        <w:spacing w:line="360" w:lineRule="auto"/>
        <w:rPr>
          <w:color w:val="000000"/>
        </w:rPr>
      </w:pPr>
      <w:r>
        <w:rPr>
          <w:color w:val="000000"/>
        </w:rPr>
        <w:t>IT IS ORDERED THAT:</w:t>
      </w:r>
    </w:p>
    <w:p w:rsidR="006C6924" w:rsidRDefault="006C6924" w:rsidP="006C6924">
      <w:pPr>
        <w:pStyle w:val="BodyText2"/>
        <w:spacing w:line="360" w:lineRule="auto"/>
        <w:rPr>
          <w:color w:val="000000"/>
        </w:rPr>
      </w:pPr>
    </w:p>
    <w:p w:rsidR="006C6924" w:rsidRDefault="006C6924" w:rsidP="006C6924">
      <w:pPr>
        <w:pStyle w:val="ListNumber"/>
        <w:numPr>
          <w:ilvl w:val="0"/>
          <w:numId w:val="2"/>
        </w:numPr>
        <w:spacing w:line="360" w:lineRule="auto"/>
        <w:jc w:val="both"/>
      </w:pPr>
      <w:r>
        <w:t>The Protective Order is hereby granted with respect to all materials and information identified in Paragraphs 2 and 3 below, which have been or will be filed with the Commission, produced in discovery, 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rsidR="006C6924" w:rsidRDefault="006C6924" w:rsidP="006C6924">
      <w:pPr>
        <w:pStyle w:val="ListNumber"/>
        <w:numPr>
          <w:ilvl w:val="0"/>
          <w:numId w:val="0"/>
        </w:numPr>
        <w:spacing w:line="360" w:lineRule="auto"/>
        <w:ind w:left="720"/>
        <w:jc w:val="both"/>
      </w:pPr>
    </w:p>
    <w:p w:rsidR="006C6924" w:rsidRDefault="006C6924" w:rsidP="006C6924">
      <w:pPr>
        <w:pStyle w:val="ListNumber"/>
        <w:numPr>
          <w:ilvl w:val="0"/>
          <w:numId w:val="2"/>
        </w:numPr>
        <w:spacing w:line="360" w:lineRule="auto"/>
        <w:jc w:val="both"/>
      </w:pPr>
      <w:r>
        <w:t>The materials or information subject to this Protective Order are all correspondence, documents, data, information, studies, methodologies and other materials which are believed by the producing Party to be of a proprietary or confidential nature, and which are so designated by being stamped “CONFIDENTIAL” or “HIGHLY CONFIDENTIAL” (hereinafter collectively referred to as “Proprietary Information”).  When a statement or exhibit is identified for the record, the portions thereof that constitute Proprietary Information shall be appropriately designated as such for the record.</w:t>
      </w:r>
    </w:p>
    <w:p w:rsidR="006C6924" w:rsidRDefault="006C6924" w:rsidP="006C6924">
      <w:pPr>
        <w:pStyle w:val="ListParagraph"/>
      </w:pPr>
    </w:p>
    <w:p w:rsidR="00FE6C65" w:rsidRDefault="00FE6C65" w:rsidP="006C6924">
      <w:pPr>
        <w:pStyle w:val="ListParagraph"/>
      </w:pPr>
    </w:p>
    <w:p w:rsidR="00FE6C65" w:rsidRDefault="00FE6C65" w:rsidP="006C6924">
      <w:pPr>
        <w:pStyle w:val="ListParagraph"/>
      </w:pPr>
    </w:p>
    <w:p w:rsidR="006C6924" w:rsidRDefault="006C6924" w:rsidP="006C6924">
      <w:pPr>
        <w:pStyle w:val="ListNumber"/>
        <w:spacing w:line="360" w:lineRule="auto"/>
        <w:jc w:val="both"/>
      </w:pPr>
      <w:r>
        <w:lastRenderedPageBreak/>
        <w:t xml:space="preserve">This Protective Order applies to the following materials:  </w:t>
      </w:r>
    </w:p>
    <w:p w:rsidR="006C6924" w:rsidRDefault="006C6924" w:rsidP="006C6924">
      <w:pPr>
        <w:pStyle w:val="ListNumber"/>
        <w:numPr>
          <w:ilvl w:val="0"/>
          <w:numId w:val="0"/>
        </w:numPr>
        <w:spacing w:line="360" w:lineRule="auto"/>
        <w:ind w:left="720"/>
        <w:jc w:val="both"/>
      </w:pPr>
    </w:p>
    <w:p w:rsidR="006C6924" w:rsidRDefault="006C6924" w:rsidP="006C6924">
      <w:pPr>
        <w:pStyle w:val="BodyText2"/>
        <w:spacing w:line="360" w:lineRule="auto"/>
        <w:ind w:firstLine="1440"/>
      </w:pPr>
      <w:r>
        <w:t>(a)</w:t>
      </w:r>
      <w:r>
        <w:tab/>
        <w:t xml:space="preserve">The producing Party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w:t>
      </w:r>
    </w:p>
    <w:p w:rsidR="006C6924" w:rsidRDefault="006C6924" w:rsidP="006C6924">
      <w:pPr>
        <w:pStyle w:val="BodyText2"/>
        <w:spacing w:line="360" w:lineRule="auto"/>
        <w:ind w:firstLine="1440"/>
      </w:pPr>
    </w:p>
    <w:p w:rsidR="006C6924" w:rsidRDefault="006C6924" w:rsidP="006C6924">
      <w:pPr>
        <w:pStyle w:val="BodyText2"/>
        <w:spacing w:line="360" w:lineRule="auto"/>
        <w:ind w:firstLine="1440"/>
      </w:pPr>
      <w:r>
        <w:t>(b)</w:t>
      </w:r>
      <w:r>
        <w:tab/>
        <w:t>The producing Party may designate as “HIGHLY CONFIDENTIAL” those materials that are of such a commercially sensitive nature or of such a private, personal nature that the producing Party is able to justify a heightened level of confidential protection with respect to those materials.  Each of the Parties shall endeavor to limit its designation of information as “HIGHLY CONFIDENTIAL.”</w:t>
      </w:r>
    </w:p>
    <w:p w:rsidR="006C6924" w:rsidRDefault="006C6924" w:rsidP="006C6924">
      <w:pPr>
        <w:pStyle w:val="BodyText2"/>
        <w:spacing w:line="360" w:lineRule="auto"/>
        <w:ind w:firstLine="1440"/>
        <w:rPr>
          <w:rStyle w:val="BodyText2Char"/>
        </w:rPr>
      </w:pPr>
    </w:p>
    <w:p w:rsidR="006C6924" w:rsidRDefault="006C6924" w:rsidP="006C6924">
      <w:pPr>
        <w:pStyle w:val="ListNumber"/>
        <w:spacing w:line="360" w:lineRule="auto"/>
        <w:jc w:val="both"/>
      </w:pPr>
      <w:bookmarkStart w:id="1" w:name="_DV_M23"/>
      <w:bookmarkEnd w:id="1"/>
      <w:r>
        <w:t xml:space="preserve">Proprietary Information shall be made available to counsel for the non-producing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6C6924" w:rsidRDefault="006C6924" w:rsidP="006C6924">
      <w:pPr>
        <w:pStyle w:val="ListNumber"/>
        <w:numPr>
          <w:ilvl w:val="0"/>
          <w:numId w:val="0"/>
        </w:numPr>
        <w:spacing w:line="360" w:lineRule="auto"/>
        <w:ind w:left="720"/>
        <w:jc w:val="both"/>
      </w:pPr>
    </w:p>
    <w:p w:rsidR="006C6924" w:rsidRDefault="006C6924" w:rsidP="006C6924">
      <w:pPr>
        <w:pStyle w:val="ListNumber"/>
        <w:spacing w:line="360" w:lineRule="auto"/>
        <w:jc w:val="both"/>
      </w:pPr>
      <w:r>
        <w:t>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bookmarkStart w:id="2" w:name="_DV_M24"/>
      <w:bookmarkEnd w:id="2"/>
    </w:p>
    <w:p w:rsidR="006C6924" w:rsidRDefault="006C6924" w:rsidP="006C6924">
      <w:pPr>
        <w:pStyle w:val="ListParagraph"/>
      </w:pPr>
    </w:p>
    <w:p w:rsidR="006C6924" w:rsidRDefault="006C6924" w:rsidP="006C6924">
      <w:pPr>
        <w:pStyle w:val="ListNumber"/>
        <w:numPr>
          <w:ilvl w:val="0"/>
          <w:numId w:val="0"/>
        </w:numPr>
        <w:spacing w:line="360" w:lineRule="auto"/>
        <w:ind w:left="720"/>
        <w:jc w:val="both"/>
      </w:pPr>
    </w:p>
    <w:p w:rsidR="006C6924" w:rsidRDefault="006C6924" w:rsidP="006C6924">
      <w:pPr>
        <w:pStyle w:val="ListNumber"/>
        <w:spacing w:line="360" w:lineRule="auto"/>
        <w:jc w:val="both"/>
      </w:pPr>
      <w:r>
        <w:lastRenderedPageBreak/>
        <w:t>Proprietary Information shall be made available to a “Reviewing Representative” in this proceeding pursuant to the following procedures:</w:t>
      </w:r>
    </w:p>
    <w:p w:rsidR="006C6924" w:rsidRDefault="006C6924" w:rsidP="006C6924">
      <w:pPr>
        <w:pStyle w:val="ListNumber"/>
        <w:numPr>
          <w:ilvl w:val="0"/>
          <w:numId w:val="0"/>
        </w:numPr>
        <w:spacing w:line="360" w:lineRule="auto"/>
        <w:ind w:left="720"/>
        <w:jc w:val="both"/>
      </w:pPr>
    </w:p>
    <w:p w:rsidR="006C6924" w:rsidRDefault="006C6924" w:rsidP="006C6924">
      <w:pPr>
        <w:numPr>
          <w:ilvl w:val="0"/>
          <w:numId w:val="3"/>
        </w:numPr>
        <w:spacing w:line="360" w:lineRule="auto"/>
        <w:ind w:left="0" w:firstLine="1440"/>
        <w:jc w:val="both"/>
      </w:pPr>
      <w:bookmarkStart w:id="3" w:name="_DV_M25"/>
      <w:bookmarkEnd w:id="3"/>
      <w:r>
        <w:t>Information deemed as “CONFIDENTIAL”, shall be made available to a “Reviewing Representative” who is a person who has signed a Non-Disclosure Certificate and who is:</w:t>
      </w:r>
    </w:p>
    <w:p w:rsidR="006C6924" w:rsidRDefault="006C6924" w:rsidP="006C6924">
      <w:pPr>
        <w:pStyle w:val="BodyText2"/>
        <w:spacing w:after="240" w:line="240" w:lineRule="auto"/>
        <w:ind w:left="2851" w:hanging="691"/>
      </w:pPr>
      <w:r>
        <w:t>(</w:t>
      </w:r>
      <w:proofErr w:type="spellStart"/>
      <w:r>
        <w:t>i</w:t>
      </w:r>
      <w:proofErr w:type="spellEnd"/>
      <w:r>
        <w:t>)</w:t>
      </w:r>
      <w:r>
        <w:tab/>
      </w:r>
      <w:proofErr w:type="gramStart"/>
      <w:r>
        <w:t>an</w:t>
      </w:r>
      <w:proofErr w:type="gramEnd"/>
      <w:r>
        <w:t xml:space="preserve"> attorney who has made an appearance in this proceeding for a Party;</w:t>
      </w:r>
    </w:p>
    <w:p w:rsidR="006C6924" w:rsidRDefault="006C6924" w:rsidP="006C6924">
      <w:pPr>
        <w:pStyle w:val="BodyText2"/>
        <w:spacing w:after="240" w:line="240" w:lineRule="auto"/>
        <w:ind w:left="2851" w:hanging="691"/>
      </w:pPr>
      <w:r>
        <w:t>(ii)</w:t>
      </w:r>
      <w:r>
        <w:tab/>
      </w:r>
      <w:proofErr w:type="gramStart"/>
      <w:r>
        <w:t>attorneys</w:t>
      </w:r>
      <w:proofErr w:type="gramEnd"/>
      <w:r>
        <w:t>, paralegals, and other employees associated for purposes of this case with an attorney described in Paragraph 6(a)(</w:t>
      </w:r>
      <w:proofErr w:type="spellStart"/>
      <w:r>
        <w:t>i</w:t>
      </w:r>
      <w:proofErr w:type="spellEnd"/>
      <w:r>
        <w:t xml:space="preserve">); </w:t>
      </w:r>
    </w:p>
    <w:p w:rsidR="006C6924" w:rsidRDefault="006C6924" w:rsidP="006C6924">
      <w:pPr>
        <w:pStyle w:val="BodyText2"/>
        <w:spacing w:after="240" w:line="240" w:lineRule="auto"/>
        <w:ind w:left="2851" w:hanging="691"/>
      </w:pPr>
      <w:r>
        <w:t>(iii)</w:t>
      </w:r>
      <w:r>
        <w:tab/>
        <w:t>an expert or an employee of an expert retained by a Party for the purpose of advising, preparing for or testifying in this proceeding;</w:t>
      </w:r>
    </w:p>
    <w:p w:rsidR="006C6924" w:rsidRDefault="006C6924" w:rsidP="006C6924">
      <w:pPr>
        <w:pStyle w:val="BodyText2"/>
        <w:spacing w:after="240" w:line="240" w:lineRule="auto"/>
        <w:ind w:left="2851" w:hanging="691"/>
      </w:pPr>
      <w:r>
        <w:t>(iv)</w:t>
      </w:r>
      <w:r>
        <w:tab/>
      </w:r>
      <w:proofErr w:type="gramStart"/>
      <w:r>
        <w:t>employees</w:t>
      </w:r>
      <w:proofErr w:type="gramEnd"/>
      <w:r>
        <w:t xml:space="preserve"> or other representatives of a Party appearing in this proceeding with significant responsibility for the docket.</w:t>
      </w:r>
    </w:p>
    <w:p w:rsidR="006C6924" w:rsidRDefault="006C6924" w:rsidP="006C6924">
      <w:pPr>
        <w:pStyle w:val="BodyText2"/>
        <w:spacing w:after="240" w:line="240" w:lineRule="auto"/>
        <w:ind w:left="2851" w:hanging="691"/>
      </w:pPr>
      <w:r>
        <w:t>(v)</w:t>
      </w:r>
      <w:r>
        <w:tab/>
      </w:r>
      <w:proofErr w:type="gramStart"/>
      <w:r>
        <w:t>a</w:t>
      </w:r>
      <w:proofErr w:type="gramEnd"/>
      <w:r>
        <w:t xml:space="preserve"> person designated as a Reviewing Representative for purposes of Confidential information pursuant to Paragraph </w:t>
      </w:r>
      <w:r w:rsidRPr="00C176FC">
        <w:t>11.</w:t>
      </w:r>
    </w:p>
    <w:p w:rsidR="006C6924" w:rsidRDefault="006C6924" w:rsidP="006C6924">
      <w:pPr>
        <w:spacing w:line="360" w:lineRule="auto"/>
        <w:ind w:left="1440"/>
        <w:jc w:val="both"/>
      </w:pPr>
      <w:bookmarkStart w:id="4" w:name="_DV_M32"/>
      <w:bookmarkEnd w:id="4"/>
    </w:p>
    <w:p w:rsidR="006C6924" w:rsidRDefault="006C6924" w:rsidP="006C6924">
      <w:pPr>
        <w:numPr>
          <w:ilvl w:val="0"/>
          <w:numId w:val="3"/>
        </w:numPr>
        <w:spacing w:line="360" w:lineRule="auto"/>
        <w:ind w:left="0" w:firstLine="1440"/>
        <w:jc w:val="both"/>
      </w:pPr>
      <w:r>
        <w:t>Information deemed as “HIGHLY CONFIDENTIAL,” may be provided to a “Reviewing Representative” who has signed a Non-Disclosure Certificate and who is:</w:t>
      </w:r>
    </w:p>
    <w:p w:rsidR="006C6924" w:rsidRDefault="006C6924" w:rsidP="006C6924">
      <w:pPr>
        <w:pStyle w:val="BodyText2"/>
        <w:spacing w:after="240" w:line="240" w:lineRule="auto"/>
        <w:ind w:left="2851" w:hanging="691"/>
      </w:pPr>
      <w:r>
        <w:t>(</w:t>
      </w:r>
      <w:proofErr w:type="spellStart"/>
      <w:r>
        <w:t>i</w:t>
      </w:r>
      <w:proofErr w:type="spellEnd"/>
      <w:r>
        <w:t>)</w:t>
      </w:r>
      <w:r>
        <w:tab/>
      </w:r>
      <w:proofErr w:type="gramStart"/>
      <w:r>
        <w:t>an</w:t>
      </w:r>
      <w:proofErr w:type="gramEnd"/>
      <w:r>
        <w:t xml:space="preserve"> attorney for a statutory advocate pursuant to 52 Pa. Code §1.8 or an outside counsel who has made an appearance in this proceeding for a Party;</w:t>
      </w:r>
    </w:p>
    <w:p w:rsidR="006C6924" w:rsidRDefault="006C6924" w:rsidP="006C6924">
      <w:pPr>
        <w:pStyle w:val="BodyText2"/>
        <w:spacing w:after="240" w:line="240" w:lineRule="auto"/>
        <w:ind w:left="2851" w:hanging="691"/>
      </w:pPr>
      <w:r>
        <w:t>(ii)</w:t>
      </w:r>
      <w:r>
        <w:tab/>
      </w:r>
      <w:proofErr w:type="gramStart"/>
      <w:r>
        <w:t>an</w:t>
      </w:r>
      <w:proofErr w:type="gramEnd"/>
      <w:r>
        <w:t xml:space="preserve"> attorney, paralegal, or other employee associated for purposes of this case with an attorney described in Paragraph 6(b)(</w:t>
      </w:r>
      <w:proofErr w:type="spellStart"/>
      <w:r>
        <w:t>i</w:t>
      </w:r>
      <w:proofErr w:type="spellEnd"/>
      <w:r>
        <w:t>);</w:t>
      </w:r>
    </w:p>
    <w:p w:rsidR="006C6924" w:rsidRDefault="006C6924" w:rsidP="006C6924">
      <w:pPr>
        <w:pStyle w:val="BodyText2"/>
        <w:spacing w:after="240" w:line="240" w:lineRule="auto"/>
        <w:ind w:left="2851" w:hanging="691"/>
      </w:pPr>
      <w:r>
        <w:t>(iii)</w:t>
      </w:r>
      <w:r>
        <w:tab/>
      </w:r>
      <w:proofErr w:type="gramStart"/>
      <w:r>
        <w:t>an</w:t>
      </w:r>
      <w:proofErr w:type="gramEnd"/>
      <w:r>
        <w:t xml:space="preserve"> outside expert or an employee of an outside expert retained by a Party for the purposes of advising, preparing for or testifying in this proceeding;</w:t>
      </w:r>
    </w:p>
    <w:p w:rsidR="006C6924" w:rsidRDefault="006C6924" w:rsidP="006C6924">
      <w:pPr>
        <w:pStyle w:val="BodyText2"/>
        <w:spacing w:after="240" w:line="240" w:lineRule="auto"/>
        <w:ind w:left="2851" w:hanging="691"/>
      </w:pPr>
      <w:r>
        <w:t>(iv)</w:t>
      </w:r>
      <w:r>
        <w:tab/>
      </w:r>
      <w:proofErr w:type="gramStart"/>
      <w:r>
        <w:t>a</w:t>
      </w:r>
      <w:proofErr w:type="gramEnd"/>
      <w:r>
        <w:t xml:space="preserve"> person designated as a Reviewing Representative for purposes of Highly Confidential Information pursuant to Paragraph 11.</w:t>
      </w:r>
    </w:p>
    <w:p w:rsidR="006C6924" w:rsidRDefault="006C6924" w:rsidP="006C6924">
      <w:pPr>
        <w:pStyle w:val="BodyText2"/>
        <w:spacing w:line="360" w:lineRule="auto"/>
        <w:ind w:firstLine="0"/>
      </w:pPr>
    </w:p>
    <w:p w:rsidR="006C6924" w:rsidRDefault="006C6924" w:rsidP="006C6924">
      <w:pPr>
        <w:pStyle w:val="BodyText2"/>
        <w:spacing w:line="360" w:lineRule="auto"/>
        <w:ind w:firstLine="1440"/>
      </w:pPr>
      <w:r>
        <w:t xml:space="preserve">Provided, further, that in accordance with the provisions of </w:t>
      </w:r>
      <w:r w:rsidRPr="00E678F0">
        <w:t>Sections 5.362 and 5.365(e)</w:t>
      </w:r>
      <w:r>
        <w:t xml:space="preserve"> of the Commission’s rules of Practice and Procedure, </w:t>
      </w:r>
      <w:r w:rsidRPr="00E678F0">
        <w:t>52 Pa. Code §§5.362, 5.365(e),</w:t>
      </w:r>
      <w:r>
        <w:t xml:space="preserve"> the producing Party may, by subsequent objection or motion, seek further protection with respect </w:t>
      </w:r>
      <w:r>
        <w:lastRenderedPageBreak/>
        <w:t>to HIGHLY CONFIDENTIAL material, including but not limited to, total prohibition of disclosure or limitation of disclosure only to particular Parties.</w:t>
      </w:r>
    </w:p>
    <w:p w:rsidR="006C6924" w:rsidRDefault="006C6924" w:rsidP="006C6924">
      <w:pPr>
        <w:pStyle w:val="BodyText2"/>
        <w:spacing w:line="360" w:lineRule="auto"/>
      </w:pPr>
    </w:p>
    <w:p w:rsidR="006C6924" w:rsidRDefault="006C6924" w:rsidP="006C6924">
      <w:pPr>
        <w:pStyle w:val="ListNumber"/>
        <w:spacing w:line="360" w:lineRule="auto"/>
        <w:jc w:val="both"/>
        <w:rPr>
          <w:rStyle w:val="BodyText2Char"/>
        </w:rPr>
      </w:pPr>
      <w:bookmarkStart w:id="5" w:name="_DV_M34"/>
      <w:bookmarkStart w:id="6" w:name="_DV_C31"/>
      <w:bookmarkEnd w:id="5"/>
      <w:r>
        <w:rPr>
          <w:rStyle w:val="BodyText2Char"/>
        </w:rPr>
        <w:t xml:space="preserve">Proprietary Information shall not be made available to a “Restricted Person” to the extent reasonably known by the non-producing Party.  For the purpose of this </w:t>
      </w:r>
      <w:r>
        <w:t xml:space="preserve">Protective </w:t>
      </w:r>
      <w:r>
        <w:rPr>
          <w:rStyle w:val="BodyText2Char"/>
        </w:rPr>
        <w:t xml:space="preserve">Order, “Restricted Person” shall mean:  (a) an officer, director, stockholder, partner or owner of any competitor of the Parties </w:t>
      </w:r>
      <w:r>
        <w:t>or an employee of such an entity if the employee’s primary duties involve the development, marketing or pricing of the competitor’s products or services</w:t>
      </w:r>
      <w:r>
        <w:rPr>
          <w:rStyle w:val="BodyText2Char"/>
        </w:rPr>
        <w:t xml:space="preserve">; (b) an officer, director, stockholder, partner or owner of any affiliate of a competitor of the Parties (including any association of competitors of a Party) </w:t>
      </w:r>
      <w:r>
        <w:t>or an employee of such an entity if the employee’s primary duties involve the development, marketing or pricing of the competitor’s products or services</w:t>
      </w:r>
      <w:r>
        <w:rPr>
          <w:rStyle w:val="BodyText2Char"/>
        </w:rPr>
        <w:t xml:space="preserve">; (c) an officer, director, stockholder, owner or employee of a competitor of a customer of the Parties if the Proprietary Information concerns a specific, identifiable customer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t xml:space="preserve">Protective </w:t>
      </w:r>
      <w:r>
        <w:rPr>
          <w:rStyle w:val="BodyText2Char"/>
        </w:rPr>
        <w:t>Order, stocks, partnership or other direct ownership interests (excluding ownership in mutual funds) valued at more than $10,000 or constituting more than 1% interest in a business establishes a significant motive for violation.</w:t>
      </w:r>
    </w:p>
    <w:p w:rsidR="006C6924" w:rsidRDefault="006C6924" w:rsidP="006C6924">
      <w:pPr>
        <w:pStyle w:val="ListNumber"/>
        <w:numPr>
          <w:ilvl w:val="0"/>
          <w:numId w:val="0"/>
        </w:numPr>
        <w:spacing w:line="360" w:lineRule="auto"/>
        <w:ind w:left="720"/>
        <w:jc w:val="both"/>
        <w:rPr>
          <w:rStyle w:val="BodyText2Char"/>
        </w:rPr>
      </w:pPr>
    </w:p>
    <w:p w:rsidR="006C6924" w:rsidRDefault="006C6924" w:rsidP="006C6924">
      <w:pPr>
        <w:pStyle w:val="ListNumber"/>
        <w:spacing w:line="360" w:lineRule="auto"/>
        <w:jc w:val="both"/>
        <w:rPr>
          <w:rStyle w:val="BodyText2Char"/>
        </w:rPr>
      </w:pPr>
      <w:r>
        <w:rPr>
          <w:rStyle w:val="BodyText2Char"/>
        </w:rPr>
        <w:t xml:space="preserve">If an expert for a Party, another member of the expert’s firm or the expert’s firm generally also serves as an expert for, or as a consultant or advisor to, a Restricted Person (to the extent reasonably known by the non-producing Party),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producing Party retains the right to challenge the adequacy of the written assurances that the </w:t>
      </w:r>
      <w:r>
        <w:rPr>
          <w:rStyle w:val="BodyText2Char"/>
        </w:rPr>
        <w:lastRenderedPageBreak/>
        <w:t>non-producing Party or its customers’ interests will not be jeopardized.  No other persons may have access to the Proprietary Information except as authorized by order of the Commission.</w:t>
      </w:r>
    </w:p>
    <w:p w:rsidR="006C6924" w:rsidRDefault="006C6924" w:rsidP="006C6924">
      <w:pPr>
        <w:pStyle w:val="ListNumber"/>
        <w:numPr>
          <w:ilvl w:val="0"/>
          <w:numId w:val="0"/>
        </w:numPr>
        <w:spacing w:line="360" w:lineRule="auto"/>
        <w:ind w:left="720"/>
        <w:jc w:val="both"/>
        <w:rPr>
          <w:rStyle w:val="BodyText2Char"/>
        </w:rPr>
      </w:pPr>
    </w:p>
    <w:p w:rsidR="006C6924" w:rsidRDefault="006C6924" w:rsidP="006C6924">
      <w:pPr>
        <w:pStyle w:val="ListNumber"/>
        <w:spacing w:line="360" w:lineRule="auto"/>
        <w:jc w:val="both"/>
        <w:rPr>
          <w:rStyle w:val="BodyText2Char"/>
        </w:rPr>
      </w:pPr>
      <w:r>
        <w:rPr>
          <w:rStyle w:val="BodyText2Char"/>
        </w:rPr>
        <w:t xml:space="preserve">A qualified “Reviewing Representative” for “HIGHLY CONFIDENTIAL” material may review and discuss “HIGHLY CONFIDENTIAL” material with their client or with the entity with which they are employed or associated, to the extent that the client or entity is not a “Restricted Person”, but may not share with or permit the client or entity to review the “HIGHLY CONFIDENTIAL” material, </w:t>
      </w:r>
      <w:r w:rsidRPr="00EB14F0">
        <w:rPr>
          <w:rStyle w:val="BodyText2Char"/>
        </w:rPr>
        <w:t>provided, however, that counsel for the Bureau of Investigation and Enforcement (“I&amp;E”), Office of Consumer Advocate and Office of Small Business Advocate may share Proprietary Information with the I&amp;E Director, Consumer Advocate and Small Business Advocate, respectively, without obtaining a Non-Disclosure certificate from these individuals, provided, however, that these individuals otherwise abide by the terms of the Protective Order.</w:t>
      </w:r>
    </w:p>
    <w:p w:rsidR="006C6924" w:rsidRDefault="006C6924" w:rsidP="006C6924">
      <w:pPr>
        <w:pStyle w:val="ListNumber"/>
        <w:numPr>
          <w:ilvl w:val="0"/>
          <w:numId w:val="0"/>
        </w:numPr>
        <w:spacing w:line="360" w:lineRule="auto"/>
        <w:jc w:val="both"/>
        <w:rPr>
          <w:rStyle w:val="BodyText2Char"/>
        </w:rPr>
      </w:pPr>
    </w:p>
    <w:p w:rsidR="006C6924" w:rsidRDefault="006C6924" w:rsidP="006C6924">
      <w:pPr>
        <w:pStyle w:val="ListNumber"/>
        <w:spacing w:line="360" w:lineRule="auto"/>
        <w:jc w:val="both"/>
      </w:pPr>
      <w:bookmarkStart w:id="7" w:name="_DV_M40"/>
      <w:bookmarkEnd w:id="6"/>
      <w:bookmarkEnd w:id="7"/>
      <w:r>
        <w:t>Proprietary Information shall be treated by the non-producing Party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w:t>
      </w:r>
    </w:p>
    <w:p w:rsidR="006C6924" w:rsidRDefault="006C6924" w:rsidP="006C6924">
      <w:pPr>
        <w:pStyle w:val="ListNumber"/>
        <w:numPr>
          <w:ilvl w:val="0"/>
          <w:numId w:val="0"/>
        </w:numPr>
        <w:spacing w:line="360" w:lineRule="auto"/>
        <w:jc w:val="both"/>
      </w:pPr>
    </w:p>
    <w:p w:rsidR="006C6924" w:rsidRDefault="006C6924" w:rsidP="006C6924">
      <w:pPr>
        <w:pStyle w:val="ListNumber"/>
        <w:spacing w:line="360" w:lineRule="auto"/>
        <w:jc w:val="both"/>
      </w:pPr>
      <w:r>
        <w:t>Reviewing Representatives may not use information contained in any Proprietary Information obtained through this proceeding to give any Party or any competitor of any Party a commercial advantage.  In the event that the non-producing Party wishes to designate as a Reviewing Representative a person not described in Paragraph 6 above, that Party shall seek agreement from the Party producing the Proprietary Information.  If an agreement is reached, that person shall be a Reviewing Representative pursuant to Paragraph 6 above with respect to those materials.  If no agreement is reached, the non-producing Party shall submit the disputed designation to the presiding Administrative Law Judge for resolution.</w:t>
      </w:r>
    </w:p>
    <w:p w:rsidR="006C6924" w:rsidRDefault="006C6924" w:rsidP="006C6924">
      <w:pPr>
        <w:pStyle w:val="ListNumber"/>
        <w:numPr>
          <w:ilvl w:val="0"/>
          <w:numId w:val="0"/>
        </w:numPr>
        <w:spacing w:line="360" w:lineRule="auto"/>
        <w:jc w:val="both"/>
      </w:pPr>
    </w:p>
    <w:p w:rsidR="006C6924" w:rsidRDefault="006C6924" w:rsidP="006C6924">
      <w:pPr>
        <w:pStyle w:val="ListNumber"/>
        <w:spacing w:line="360" w:lineRule="auto"/>
        <w:jc w:val="both"/>
      </w:pPr>
      <w:r>
        <w:lastRenderedPageBreak/>
        <w:t>(a)</w:t>
      </w:r>
      <w: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set forth in Appendix A hereto, provided that if an attorney qualified as a Reviewing Representative has executed such a certificate, the paralegals, secretarial and clerical personnel under the attorney’s instruction, supervision or control need not do so.  A copy of each Non-Disclosure Certificate shall be provided to counsel for the Party asserting confidentiality prior to disclosure of any Proprietary Information to that Reviewing Representative.</w:t>
      </w:r>
    </w:p>
    <w:p w:rsidR="006C6924" w:rsidRDefault="006C6924" w:rsidP="006C6924">
      <w:pPr>
        <w:pStyle w:val="ListNumber"/>
        <w:numPr>
          <w:ilvl w:val="0"/>
          <w:numId w:val="0"/>
        </w:numPr>
        <w:spacing w:line="360" w:lineRule="auto"/>
        <w:jc w:val="both"/>
      </w:pPr>
    </w:p>
    <w:p w:rsidR="006C6924" w:rsidRDefault="006C6924" w:rsidP="006C6924">
      <w:pPr>
        <w:spacing w:line="360" w:lineRule="auto"/>
        <w:ind w:right="12"/>
        <w:jc w:val="both"/>
      </w:pPr>
      <w:r>
        <w:tab/>
      </w:r>
      <w:r>
        <w:tab/>
        <w:t>(b)</w:t>
      </w:r>
      <w:r>
        <w:tab/>
        <w:t>Attorneys and outside experts qualified as Reviewing Representatives are responsible for ensuring that persons under their supervision or control comply with this Protective Order.</w:t>
      </w:r>
    </w:p>
    <w:p w:rsidR="006C6924" w:rsidRDefault="006C6924" w:rsidP="006C6924">
      <w:pPr>
        <w:spacing w:line="360" w:lineRule="auto"/>
        <w:ind w:right="12"/>
        <w:jc w:val="both"/>
      </w:pPr>
    </w:p>
    <w:p w:rsidR="006C6924" w:rsidRDefault="006C6924" w:rsidP="006C6924">
      <w:pPr>
        <w:pStyle w:val="ListNumber"/>
        <w:spacing w:line="360" w:lineRule="auto"/>
        <w:jc w:val="both"/>
      </w:pPr>
      <w:r>
        <w:t xml:space="preserve">A producing Party shall designate data or documents as constituting or containing Proprietary Information by </w:t>
      </w:r>
      <w:bookmarkStart w:id="8" w:name="_DV_M41"/>
      <w:bookmarkEnd w:id="8"/>
      <w:r>
        <w:t>stamping the documents “CONFIDENTIAL” or “HIGHLY CONFIDENTIAL.”  Where only part of data compilations or multi-page documents constitutes or contains Proprietary Information, the producing Party, insofar as it is reasonably practicable within discovery and other time constraints imposed in this proceeding, shall designate only the specific data or pages of documents which constitute or contain Proprietary Information.  Upon request from another party, the producing party shall produce a redacted (public) version of any such partially confidential compilation or multi-page document within a reasonable period of time.  The Proprietary Information shall be served upon the non-producing Party hereto only in an envelope separate from the non-proprietary materials, and the envelope shall be conspicuously marked “CONFIDENTIAL” or “HIGHLY CONFIDENTIAL.”</w:t>
      </w:r>
    </w:p>
    <w:p w:rsidR="006C6924" w:rsidRDefault="006C6924" w:rsidP="006C6924">
      <w:pPr>
        <w:pStyle w:val="ListNumber"/>
        <w:numPr>
          <w:ilvl w:val="0"/>
          <w:numId w:val="0"/>
        </w:numPr>
        <w:spacing w:line="360" w:lineRule="auto"/>
        <w:ind w:left="720"/>
        <w:jc w:val="both"/>
      </w:pPr>
    </w:p>
    <w:p w:rsidR="006C6924" w:rsidRDefault="006C6924" w:rsidP="006C6924">
      <w:pPr>
        <w:pStyle w:val="ListNumber"/>
        <w:spacing w:line="360" w:lineRule="auto"/>
        <w:jc w:val="both"/>
      </w:pPr>
      <w:r>
        <w:t xml:space="preserve">The non-producing Party will consider and treat the Proprietary Information as within the exemptions from disclosure provided in the Pennsylvania Right to Know Law as set forth at 65 P.S. §§ 67.101 </w:t>
      </w:r>
      <w:r>
        <w:rPr>
          <w:i/>
        </w:rPr>
        <w:t xml:space="preserve">et seq. </w:t>
      </w:r>
      <w:r>
        <w:t>until such time as the information is found to be non-proprietary.  In the event that any person or entity seeks to compel the disclosure of Proprietary Information, the non-producing Party shall promptly notify the producing Party in order to provide the producing Party an opportunity to oppose or limit such disclosure.</w:t>
      </w:r>
    </w:p>
    <w:p w:rsidR="006C6924" w:rsidRDefault="006C6924" w:rsidP="006C6924">
      <w:pPr>
        <w:pStyle w:val="ListNumber"/>
        <w:spacing w:line="360" w:lineRule="auto"/>
        <w:jc w:val="both"/>
      </w:pPr>
      <w:r>
        <w:lastRenderedPageBreak/>
        <w:t>Any public reference to Proprietary Information by a Party or its Reviewing Representative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bookmarkStart w:id="9" w:name="_DV_M42"/>
      <w:bookmarkEnd w:id="9"/>
    </w:p>
    <w:p w:rsidR="006C6924" w:rsidRDefault="006C6924" w:rsidP="006C6924">
      <w:pPr>
        <w:pStyle w:val="ListNumber"/>
        <w:numPr>
          <w:ilvl w:val="0"/>
          <w:numId w:val="0"/>
        </w:numPr>
        <w:spacing w:line="360" w:lineRule="auto"/>
        <w:jc w:val="both"/>
      </w:pPr>
    </w:p>
    <w:p w:rsidR="006C6924" w:rsidRDefault="006C6924" w:rsidP="006C6924">
      <w:pPr>
        <w:pStyle w:val="ListNumber"/>
        <w:spacing w:line="360" w:lineRule="auto"/>
        <w:jc w:val="both"/>
      </w:pPr>
      <w: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w:t>
      </w:r>
      <w:bookmarkStart w:id="10" w:name="_DV_C36"/>
      <w:r>
        <w:t>released</w:t>
      </w:r>
      <w:bookmarkStart w:id="11" w:name="_DV_M43"/>
      <w:bookmarkEnd w:id="10"/>
      <w:bookmarkEnd w:id="11"/>
      <w:r>
        <w:t xml:space="preserve"> from the restrictions of this Protective Order, either through the agreement of the Parties or pursuant to order of the </w:t>
      </w:r>
      <w:r w:rsidRPr="00E60B29">
        <w:t>Administrative Law Judge, the Commission or appellate court.</w:t>
      </w:r>
      <w:r>
        <w:t xml:space="preserve">  </w:t>
      </w:r>
    </w:p>
    <w:p w:rsidR="006C6924" w:rsidRDefault="006C6924" w:rsidP="006C6924">
      <w:pPr>
        <w:pStyle w:val="ListNumber"/>
        <w:numPr>
          <w:ilvl w:val="0"/>
          <w:numId w:val="0"/>
        </w:numPr>
        <w:spacing w:line="360" w:lineRule="auto"/>
        <w:jc w:val="both"/>
      </w:pPr>
    </w:p>
    <w:p w:rsidR="006C6924" w:rsidRDefault="006C6924" w:rsidP="006C6924">
      <w:pPr>
        <w:pStyle w:val="ListNumber"/>
        <w:spacing w:line="360" w:lineRule="auto"/>
        <w:jc w:val="both"/>
      </w:pPr>
      <w:r>
        <w:t>The non-producing Party shall retain the right to question or challenge the confidential or proprietary nature of Proprietary Information.  If a non-producing Party challenges the designation of a document or information as proprietary, the Party providing the information retains the burden of demonstrating that the designation is appropriate.</w:t>
      </w:r>
    </w:p>
    <w:p w:rsidR="006C6924" w:rsidRDefault="006C6924" w:rsidP="006C6924">
      <w:pPr>
        <w:pStyle w:val="ListNumber"/>
        <w:numPr>
          <w:ilvl w:val="0"/>
          <w:numId w:val="0"/>
        </w:numPr>
        <w:spacing w:line="360" w:lineRule="auto"/>
        <w:jc w:val="both"/>
      </w:pPr>
    </w:p>
    <w:p w:rsidR="006C6924" w:rsidRDefault="006C6924" w:rsidP="006C6924">
      <w:pPr>
        <w:spacing w:line="360" w:lineRule="auto"/>
        <w:ind w:right="12"/>
        <w:jc w:val="both"/>
      </w:pPr>
      <w:r>
        <w:tab/>
        <w:t>18.</w:t>
      </w:r>
      <w:r>
        <w:tab/>
        <w:t>Each Party shall retain the right to question or challenge the admissibility of Proprietary Information;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rsidR="006C6924" w:rsidRDefault="006C6924" w:rsidP="006C6924">
      <w:pPr>
        <w:spacing w:line="360" w:lineRule="auto"/>
        <w:ind w:right="12"/>
        <w:jc w:val="both"/>
      </w:pPr>
    </w:p>
    <w:p w:rsidR="006C6924" w:rsidRDefault="006C6924" w:rsidP="006C6924">
      <w:pPr>
        <w:pStyle w:val="ListNumber"/>
        <w:numPr>
          <w:ilvl w:val="0"/>
          <w:numId w:val="4"/>
        </w:numPr>
        <w:spacing w:line="360" w:lineRule="auto"/>
        <w:jc w:val="both"/>
      </w:pPr>
      <w:bookmarkStart w:id="12" w:name="_DV_M44"/>
      <w:bookmarkEnd w:id="12"/>
      <w:r>
        <w:t xml:space="preserve">Within 30 days after a Commission final order is entered in the above-captioned proceeding, or in the event of appeals, within thirty days after appeals are finally decided, the non-producing Party, upon request, shall either destroy or return to the producing Party all copies of all documents and other materials not entered into the record, including notes, which contain any Proprietary Information.  In the event that the non-producing Party elects to destroy all </w:t>
      </w:r>
      <w:r>
        <w:lastRenderedPageBreak/>
        <w:t xml:space="preserve">copies of documents and other materials containing Proprietary Information instead of returning the copies of documents and other materials containing Proprietary Information to the producing </w:t>
      </w:r>
    </w:p>
    <w:p w:rsidR="006C6924" w:rsidRDefault="006C6924" w:rsidP="006C6924">
      <w:pPr>
        <w:spacing w:line="360" w:lineRule="auto"/>
      </w:pPr>
      <w:r>
        <w:t>Party, the non-producing Party shall certify in writing to the producing Party that the Proprietary Information has been destroyed.</w:t>
      </w:r>
    </w:p>
    <w:p w:rsidR="006C6924" w:rsidRDefault="006C6924" w:rsidP="006C6924">
      <w:pPr>
        <w:spacing w:line="360" w:lineRule="auto"/>
      </w:pPr>
    </w:p>
    <w:p w:rsidR="006C6924" w:rsidRDefault="006C6924" w:rsidP="006C6924">
      <w:pPr>
        <w:spacing w:line="360" w:lineRule="auto"/>
      </w:pPr>
    </w:p>
    <w:p w:rsidR="006C6924" w:rsidRDefault="006C6924" w:rsidP="00CC55F0">
      <w:r>
        <w:t xml:space="preserve">Date:  </w:t>
      </w:r>
      <w:r w:rsidR="00F86EA1" w:rsidRPr="00CC55F0">
        <w:rPr>
          <w:u w:val="single"/>
        </w:rPr>
        <w:t>January 22, 2016</w:t>
      </w:r>
      <w:r>
        <w:tab/>
      </w:r>
      <w:r>
        <w:tab/>
      </w:r>
      <w:r>
        <w:tab/>
      </w:r>
      <w:r>
        <w:tab/>
        <w:t>______________________________</w:t>
      </w:r>
      <w:r w:rsidR="00CC55F0">
        <w:t>______</w:t>
      </w:r>
    </w:p>
    <w:p w:rsidR="006C6924" w:rsidRDefault="006C6924" w:rsidP="00CC55F0">
      <w:r>
        <w:tab/>
      </w:r>
      <w:r>
        <w:tab/>
      </w:r>
      <w:r>
        <w:tab/>
      </w:r>
      <w:r>
        <w:tab/>
      </w:r>
      <w:r>
        <w:tab/>
      </w:r>
      <w:r>
        <w:tab/>
      </w:r>
      <w:r>
        <w:tab/>
        <w:t>Katrina L. Dunderdale</w:t>
      </w:r>
    </w:p>
    <w:p w:rsidR="006C6924" w:rsidRDefault="006C6924" w:rsidP="00CC55F0">
      <w:r>
        <w:tab/>
      </w:r>
      <w:r>
        <w:tab/>
      </w:r>
      <w:r>
        <w:tab/>
      </w:r>
      <w:r>
        <w:tab/>
      </w:r>
      <w:r>
        <w:tab/>
      </w:r>
      <w:r>
        <w:tab/>
      </w:r>
      <w:r>
        <w:tab/>
        <w:t>Administrative Law Judge</w:t>
      </w:r>
    </w:p>
    <w:p w:rsidR="006C6924" w:rsidRDefault="006C6924" w:rsidP="006C6924">
      <w:pPr>
        <w:spacing w:line="360" w:lineRule="auto"/>
      </w:pPr>
    </w:p>
    <w:p w:rsidR="006C6924" w:rsidRDefault="006C6924" w:rsidP="006C6924">
      <w:pPr>
        <w:pStyle w:val="BodyText2"/>
        <w:spacing w:line="360" w:lineRule="auto"/>
        <w:sectPr w:rsidR="006C6924" w:rsidSect="004B5E37">
          <w:footerReference w:type="even" r:id="rId9"/>
          <w:footerReference w:type="default" r:id="rId10"/>
          <w:pgSz w:w="12240" w:h="15840" w:code="1"/>
          <w:pgMar w:top="1440" w:right="1440" w:bottom="1440" w:left="1440" w:header="720" w:footer="720" w:gutter="0"/>
          <w:pgNumType w:start="1"/>
          <w:cols w:space="720"/>
          <w:titlePg/>
          <w:docGrid w:linePitch="360"/>
        </w:sectPr>
      </w:pPr>
    </w:p>
    <w:p w:rsidR="006C6924" w:rsidRDefault="006C6924" w:rsidP="006C6924">
      <w:pPr>
        <w:jc w:val="center"/>
        <w:rPr>
          <w:b/>
        </w:rPr>
      </w:pPr>
      <w:r>
        <w:rPr>
          <w:b/>
        </w:rPr>
        <w:lastRenderedPageBreak/>
        <w:t>APPENDIX A</w:t>
      </w:r>
      <w:r>
        <w:rPr>
          <w:b/>
        </w:rPr>
        <w:br/>
      </w:r>
    </w:p>
    <w:p w:rsidR="006C6924" w:rsidRDefault="006C6924" w:rsidP="006C6924">
      <w:pPr>
        <w:jc w:val="center"/>
        <w:rPr>
          <w:b/>
        </w:rPr>
      </w:pPr>
      <w:r>
        <w:rPr>
          <w:b/>
        </w:rPr>
        <w:t>BEFORE THE</w:t>
      </w:r>
    </w:p>
    <w:p w:rsidR="006C6924" w:rsidRDefault="006C6924" w:rsidP="006C6924">
      <w:pPr>
        <w:jc w:val="center"/>
        <w:rPr>
          <w:b/>
        </w:rPr>
      </w:pPr>
      <w:r>
        <w:rPr>
          <w:b/>
        </w:rPr>
        <w:t>PENNSYLVANIA PUBLIC UTILITY COMMISSION</w:t>
      </w:r>
    </w:p>
    <w:p w:rsidR="009922EC" w:rsidRDefault="009922EC" w:rsidP="006C6924">
      <w:pPr>
        <w:jc w:val="center"/>
        <w:rPr>
          <w:b/>
        </w:rPr>
      </w:pPr>
    </w:p>
    <w:p w:rsidR="006C6924" w:rsidRDefault="006C6924" w:rsidP="006C692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0"/>
        <w:gridCol w:w="4608"/>
      </w:tblGrid>
      <w:tr w:rsidR="006C6924" w:rsidTr="006A044E">
        <w:tc>
          <w:tcPr>
            <w:tcW w:w="4428" w:type="dxa"/>
            <w:tcBorders>
              <w:top w:val="nil"/>
              <w:left w:val="nil"/>
              <w:bottom w:val="nil"/>
              <w:right w:val="nil"/>
            </w:tcBorders>
          </w:tcPr>
          <w:p w:rsidR="006C6924" w:rsidRDefault="006C6924" w:rsidP="006A044E">
            <w:r>
              <w:t>Petition of Duquesne Light Company</w:t>
            </w:r>
          </w:p>
          <w:p w:rsidR="006C6924" w:rsidRDefault="009922EC" w:rsidP="009922EC">
            <w:r>
              <w:t>f</w:t>
            </w:r>
            <w:r w:rsidR="006C6924">
              <w:t xml:space="preserve">or Approval to Modify its Smart Meter Procurement </w:t>
            </w:r>
            <w:r>
              <w:t>a</w:t>
            </w:r>
            <w:r w:rsidR="006C6924">
              <w:t>nd Installation Plan</w:t>
            </w:r>
          </w:p>
        </w:tc>
        <w:tc>
          <w:tcPr>
            <w:tcW w:w="540" w:type="dxa"/>
            <w:tcBorders>
              <w:top w:val="nil"/>
              <w:left w:val="nil"/>
              <w:bottom w:val="nil"/>
              <w:right w:val="nil"/>
            </w:tcBorders>
          </w:tcPr>
          <w:p w:rsidR="006C6924" w:rsidRDefault="006C6924" w:rsidP="006A044E">
            <w:pPr>
              <w:jc w:val="center"/>
              <w:rPr>
                <w:b/>
              </w:rPr>
            </w:pPr>
            <w:r>
              <w:rPr>
                <w:b/>
              </w:rPr>
              <w:t>:</w:t>
            </w:r>
            <w:r>
              <w:rPr>
                <w:b/>
              </w:rPr>
              <w:br/>
              <w:t>:</w:t>
            </w:r>
            <w:r>
              <w:rPr>
                <w:b/>
              </w:rPr>
              <w:br/>
              <w:t>:</w:t>
            </w:r>
          </w:p>
        </w:tc>
        <w:tc>
          <w:tcPr>
            <w:tcW w:w="4608" w:type="dxa"/>
            <w:tcBorders>
              <w:top w:val="nil"/>
              <w:left w:val="nil"/>
              <w:bottom w:val="nil"/>
              <w:right w:val="nil"/>
            </w:tcBorders>
          </w:tcPr>
          <w:p w:rsidR="006C6924" w:rsidRDefault="006C6924" w:rsidP="006A044E"/>
          <w:p w:rsidR="006C6924" w:rsidRDefault="006C6924" w:rsidP="006A044E">
            <w:r>
              <w:t xml:space="preserve">Docket No. </w:t>
            </w:r>
            <w:r>
              <w:tab/>
              <w:t>P-2015-2497267</w:t>
            </w:r>
          </w:p>
        </w:tc>
      </w:tr>
    </w:tbl>
    <w:p w:rsidR="006C6924" w:rsidRDefault="006C6924" w:rsidP="006C6924">
      <w:pPr>
        <w:spacing w:after="240"/>
      </w:pPr>
    </w:p>
    <w:p w:rsidR="006C6924" w:rsidRDefault="006C6924" w:rsidP="006C6924">
      <w:pPr>
        <w:spacing w:after="240"/>
        <w:jc w:val="center"/>
      </w:pPr>
      <w:r>
        <w:t>NON-DISCLOSURE CERTIFICATE</w:t>
      </w:r>
    </w:p>
    <w:p w:rsidR="006C6924" w:rsidRDefault="006C6924" w:rsidP="006C6924">
      <w:pPr>
        <w:spacing w:line="480" w:lineRule="auto"/>
        <w:ind w:right="-720"/>
      </w:pPr>
      <w:r>
        <w:t>TO WHOM IT MAY CONCERN:</w:t>
      </w:r>
    </w:p>
    <w:p w:rsidR="006C6924" w:rsidRDefault="006C6924" w:rsidP="006C6924">
      <w:pPr>
        <w:spacing w:line="480" w:lineRule="auto"/>
        <w:ind w:right="-720"/>
        <w:jc w:val="both"/>
      </w:pPr>
      <w:r>
        <w:tab/>
        <w:t>The undersigned is a Reviewing Representative of ___________ a Party to this proceeding (“Party”), and is not, or has no knowledge or basis for believing that he/she is a “Restricted Person” based upon reasonable knowledge and efforts as that term is defined in Paragraph No. 7, page 4 of the Protective Order executed on behalf of the Party with regard to the above-referenced proceeding.  The undersigned has read and understands the Protective Order in the above-referenced proceeding, which Protective Order deals with the treatment of Proprietary Information.  The undersigned agrees to be bound by, and comply with, the terms and conditions of said Protective Order.</w:t>
      </w:r>
    </w:p>
    <w:p w:rsidR="00F86EA1" w:rsidRDefault="00F86EA1" w:rsidP="006C6924"/>
    <w:p w:rsidR="006C6924" w:rsidRDefault="006C6924" w:rsidP="006C6924">
      <w:r>
        <w:tab/>
      </w:r>
      <w:r>
        <w:tab/>
      </w:r>
      <w:r>
        <w:tab/>
      </w:r>
      <w:r>
        <w:tab/>
      </w:r>
      <w:r>
        <w:tab/>
      </w:r>
      <w:r>
        <w:tab/>
      </w:r>
      <w:r>
        <w:tab/>
        <w:t>___________________________________</w:t>
      </w:r>
    </w:p>
    <w:p w:rsidR="006C6924" w:rsidRDefault="006C6924" w:rsidP="006C6924">
      <w:r>
        <w:tab/>
      </w:r>
      <w:r>
        <w:tab/>
      </w:r>
      <w:r>
        <w:tab/>
      </w:r>
      <w:r>
        <w:tab/>
      </w:r>
      <w:r>
        <w:tab/>
      </w:r>
      <w:r>
        <w:tab/>
      </w:r>
      <w:r>
        <w:tab/>
        <w:t>SIGNATURE</w:t>
      </w:r>
    </w:p>
    <w:p w:rsidR="006C6924" w:rsidRDefault="006C6924" w:rsidP="006C6924"/>
    <w:p w:rsidR="006C6924" w:rsidRDefault="006C6924" w:rsidP="006C6924">
      <w:r>
        <w:tab/>
      </w:r>
      <w:r>
        <w:tab/>
      </w:r>
      <w:r>
        <w:tab/>
      </w:r>
      <w:r>
        <w:tab/>
      </w:r>
      <w:r>
        <w:tab/>
      </w:r>
      <w:r>
        <w:tab/>
      </w:r>
      <w:r>
        <w:tab/>
        <w:t>___________________________________</w:t>
      </w:r>
    </w:p>
    <w:p w:rsidR="006C6924" w:rsidRDefault="006C6924" w:rsidP="006C6924">
      <w:r>
        <w:tab/>
      </w:r>
      <w:r>
        <w:tab/>
      </w:r>
      <w:r>
        <w:tab/>
      </w:r>
      <w:r>
        <w:tab/>
      </w:r>
      <w:r>
        <w:tab/>
      </w:r>
      <w:r>
        <w:tab/>
      </w:r>
      <w:r>
        <w:tab/>
        <w:t>PRINT NAME</w:t>
      </w:r>
    </w:p>
    <w:p w:rsidR="006C6924" w:rsidRDefault="006C6924" w:rsidP="006C6924"/>
    <w:p w:rsidR="006C6924" w:rsidRDefault="006C6924" w:rsidP="006C6924">
      <w:r>
        <w:tab/>
      </w:r>
      <w:r>
        <w:tab/>
      </w:r>
      <w:r>
        <w:tab/>
      </w:r>
      <w:r>
        <w:tab/>
      </w:r>
      <w:r>
        <w:tab/>
      </w:r>
      <w:r>
        <w:tab/>
      </w:r>
      <w:r>
        <w:tab/>
        <w:t>___________________________________</w:t>
      </w:r>
    </w:p>
    <w:p w:rsidR="006C6924" w:rsidRDefault="006C6924" w:rsidP="006C6924">
      <w:r>
        <w:tab/>
      </w:r>
      <w:r>
        <w:tab/>
      </w:r>
      <w:r>
        <w:tab/>
      </w:r>
      <w:r>
        <w:tab/>
      </w:r>
      <w:r>
        <w:tab/>
      </w:r>
      <w:r>
        <w:tab/>
      </w:r>
      <w:r>
        <w:tab/>
        <w:t>ADDRESS</w:t>
      </w:r>
    </w:p>
    <w:p w:rsidR="006C6924" w:rsidRDefault="006C6924" w:rsidP="006C6924"/>
    <w:p w:rsidR="006C6924" w:rsidRDefault="006C6924" w:rsidP="006C6924"/>
    <w:p w:rsidR="006C6924" w:rsidRDefault="006C6924" w:rsidP="006C6924">
      <w:r>
        <w:tab/>
      </w:r>
      <w:r>
        <w:tab/>
      </w:r>
      <w:r>
        <w:tab/>
      </w:r>
      <w:r>
        <w:tab/>
      </w:r>
      <w:r>
        <w:tab/>
      </w:r>
      <w:r>
        <w:tab/>
      </w:r>
      <w:r>
        <w:tab/>
        <w:t>___________________________________</w:t>
      </w:r>
    </w:p>
    <w:p w:rsidR="006C6924" w:rsidRDefault="006C6924" w:rsidP="006C6924">
      <w:r>
        <w:tab/>
      </w:r>
      <w:r>
        <w:tab/>
      </w:r>
      <w:r>
        <w:tab/>
      </w:r>
      <w:r>
        <w:tab/>
      </w:r>
      <w:r>
        <w:tab/>
      </w:r>
      <w:r>
        <w:tab/>
      </w:r>
      <w:r>
        <w:tab/>
        <w:t>EMPLOYER</w:t>
      </w:r>
    </w:p>
    <w:p w:rsidR="006C6924" w:rsidRDefault="006C6924" w:rsidP="006C6924"/>
    <w:p w:rsidR="006C6924" w:rsidRDefault="006C6924" w:rsidP="006C6924"/>
    <w:p w:rsidR="006C6924" w:rsidRDefault="006C6924" w:rsidP="006C6924">
      <w:r>
        <w:tab/>
      </w:r>
      <w:r>
        <w:tab/>
      </w:r>
      <w:r>
        <w:tab/>
      </w:r>
      <w:r>
        <w:tab/>
      </w:r>
      <w:r>
        <w:tab/>
      </w:r>
      <w:r>
        <w:tab/>
      </w:r>
      <w:r>
        <w:tab/>
        <w:t>DATE:  ____________________</w:t>
      </w:r>
    </w:p>
    <w:p w:rsidR="005605ED" w:rsidRDefault="0016147D"/>
    <w:sectPr w:rsidR="005605E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47D" w:rsidRDefault="0016147D">
      <w:r>
        <w:separator/>
      </w:r>
    </w:p>
  </w:endnote>
  <w:endnote w:type="continuationSeparator" w:id="0">
    <w:p w:rsidR="0016147D" w:rsidRDefault="0016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F1" w:rsidRDefault="00F86EA1">
    <w:pPr>
      <w:pStyle w:val="Foote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F1" w:rsidRDefault="00F86EA1">
    <w:pPr>
      <w:pStyle w:val="Footer"/>
      <w:rPr>
        <w:rStyle w:val="PageNumber"/>
      </w:rPr>
    </w:pPr>
    <w:r>
      <w:tab/>
    </w:r>
    <w:r>
      <w:rPr>
        <w:rStyle w:val="PageNumber"/>
      </w:rPr>
      <w:fldChar w:fldCharType="begin"/>
    </w:r>
    <w:r>
      <w:rPr>
        <w:rStyle w:val="PageNumber"/>
      </w:rPr>
      <w:instrText xml:space="preserve"> PAGE  \* MERGEFORMAT </w:instrText>
    </w:r>
    <w:r>
      <w:rPr>
        <w:rStyle w:val="PageNumber"/>
      </w:rPr>
      <w:fldChar w:fldCharType="separate"/>
    </w:r>
    <w:r w:rsidR="00B9067F">
      <w:rPr>
        <w:rStyle w:val="PageNumber"/>
        <w:noProof/>
      </w:rPr>
      <w:t>8</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F1" w:rsidRDefault="001614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55E" w:rsidRDefault="00F86EA1" w:rsidP="00CE555E">
    <w:pPr>
      <w:pStyle w:val="Footer"/>
    </w:pPr>
    <w:r>
      <w:rPr>
        <w:rStyle w:val="DocID"/>
      </w:rPr>
      <w:t>13702786v1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F1" w:rsidRDefault="00161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47D" w:rsidRDefault="0016147D">
      <w:r>
        <w:separator/>
      </w:r>
    </w:p>
  </w:footnote>
  <w:footnote w:type="continuationSeparator" w:id="0">
    <w:p w:rsidR="0016147D" w:rsidRDefault="00161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F1" w:rsidRDefault="00161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F1" w:rsidRDefault="001614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F1" w:rsidRDefault="00161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7A20FF2"/>
    <w:lvl w:ilvl="0">
      <w:start w:val="1"/>
      <w:numFmt w:val="decimal"/>
      <w:pStyle w:val="ListNumber"/>
      <w:lvlText w:val="%1."/>
      <w:lvlJc w:val="left"/>
      <w:pPr>
        <w:tabs>
          <w:tab w:val="num" w:pos="720"/>
        </w:tabs>
        <w:ind w:left="0" w:firstLine="720"/>
      </w:pPr>
      <w:rPr>
        <w:rFonts w:hint="default"/>
      </w:rPr>
    </w:lvl>
  </w:abstractNum>
  <w:abstractNum w:abstractNumId="1">
    <w:nsid w:val="27C57D8A"/>
    <w:multiLevelType w:val="hybridMultilevel"/>
    <w:tmpl w:val="4A4CB8E6"/>
    <w:lvl w:ilvl="0" w:tplc="F480529E">
      <w:start w:val="1"/>
      <w:numFmt w:val="lowerLetter"/>
      <w:lvlText w:val="(%1)"/>
      <w:lvlJc w:val="left"/>
      <w:pPr>
        <w:tabs>
          <w:tab w:val="num" w:pos="2160"/>
        </w:tabs>
        <w:ind w:left="2160" w:hanging="720"/>
      </w:pPr>
      <w:rPr>
        <w:rFonts w:hint="default"/>
      </w:rPr>
    </w:lvl>
    <w:lvl w:ilvl="1" w:tplc="01EE748A">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0"/>
    <w:lvlOverride w:ilvl="0">
      <w:startOverride w:val="1"/>
    </w:lvlOverride>
  </w:num>
  <w:num w:numId="3">
    <w:abstractNumId w:val="1"/>
  </w:num>
  <w:num w:numId="4">
    <w:abstractNumId w:val="0"/>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924"/>
    <w:rsid w:val="0016147D"/>
    <w:rsid w:val="002277DA"/>
    <w:rsid w:val="00280654"/>
    <w:rsid w:val="00285734"/>
    <w:rsid w:val="004B5E37"/>
    <w:rsid w:val="005B26E6"/>
    <w:rsid w:val="00621F37"/>
    <w:rsid w:val="006C6924"/>
    <w:rsid w:val="006E0900"/>
    <w:rsid w:val="00771237"/>
    <w:rsid w:val="007B1937"/>
    <w:rsid w:val="009024BA"/>
    <w:rsid w:val="009922EC"/>
    <w:rsid w:val="00B9067F"/>
    <w:rsid w:val="00CC55F0"/>
    <w:rsid w:val="00EE074B"/>
    <w:rsid w:val="00F8450E"/>
    <w:rsid w:val="00F86EA1"/>
    <w:rsid w:val="00FE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2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6924"/>
    <w:pPr>
      <w:spacing w:after="240"/>
      <w:ind w:firstLine="720"/>
      <w:jc w:val="both"/>
    </w:pPr>
  </w:style>
  <w:style w:type="character" w:customStyle="1" w:styleId="BodyTextChar">
    <w:name w:val="Body Text Char"/>
    <w:basedOn w:val="DefaultParagraphFont"/>
    <w:link w:val="BodyText"/>
    <w:rsid w:val="006C6924"/>
    <w:rPr>
      <w:rFonts w:ascii="Times New Roman" w:eastAsia="Times New Roman" w:hAnsi="Times New Roman" w:cs="Times New Roman"/>
      <w:sz w:val="24"/>
      <w:szCs w:val="24"/>
    </w:rPr>
  </w:style>
  <w:style w:type="paragraph" w:styleId="BodyText2">
    <w:name w:val="Body Text 2"/>
    <w:basedOn w:val="Normal"/>
    <w:link w:val="BodyText2Char"/>
    <w:rsid w:val="006C6924"/>
    <w:pPr>
      <w:spacing w:line="480" w:lineRule="auto"/>
      <w:ind w:firstLine="720"/>
      <w:jc w:val="both"/>
    </w:pPr>
  </w:style>
  <w:style w:type="character" w:customStyle="1" w:styleId="BodyText2Char">
    <w:name w:val="Body Text 2 Char"/>
    <w:basedOn w:val="DefaultParagraphFont"/>
    <w:link w:val="BodyText2"/>
    <w:rsid w:val="006C6924"/>
    <w:rPr>
      <w:rFonts w:ascii="Times New Roman" w:eastAsia="Times New Roman" w:hAnsi="Times New Roman" w:cs="Times New Roman"/>
      <w:sz w:val="24"/>
      <w:szCs w:val="24"/>
    </w:rPr>
  </w:style>
  <w:style w:type="paragraph" w:styleId="ListNumber">
    <w:name w:val="List Number"/>
    <w:basedOn w:val="Normal"/>
    <w:rsid w:val="006C6924"/>
    <w:pPr>
      <w:numPr>
        <w:numId w:val="1"/>
      </w:numPr>
      <w:spacing w:line="480" w:lineRule="auto"/>
    </w:pPr>
  </w:style>
  <w:style w:type="paragraph" w:styleId="Header">
    <w:name w:val="header"/>
    <w:basedOn w:val="Normal"/>
    <w:link w:val="HeaderChar"/>
    <w:rsid w:val="006C6924"/>
    <w:pPr>
      <w:tabs>
        <w:tab w:val="center" w:pos="4320"/>
        <w:tab w:val="right" w:pos="8640"/>
      </w:tabs>
    </w:pPr>
  </w:style>
  <w:style w:type="character" w:customStyle="1" w:styleId="HeaderChar">
    <w:name w:val="Header Char"/>
    <w:basedOn w:val="DefaultParagraphFont"/>
    <w:link w:val="Header"/>
    <w:rsid w:val="006C6924"/>
    <w:rPr>
      <w:rFonts w:ascii="Times New Roman" w:eastAsia="Times New Roman" w:hAnsi="Times New Roman" w:cs="Times New Roman"/>
      <w:sz w:val="24"/>
      <w:szCs w:val="24"/>
    </w:rPr>
  </w:style>
  <w:style w:type="paragraph" w:styleId="Footer">
    <w:name w:val="footer"/>
    <w:basedOn w:val="Normal"/>
    <w:link w:val="FooterChar"/>
    <w:rsid w:val="006C6924"/>
    <w:pPr>
      <w:tabs>
        <w:tab w:val="center" w:pos="4320"/>
        <w:tab w:val="right" w:pos="8640"/>
      </w:tabs>
    </w:pPr>
  </w:style>
  <w:style w:type="character" w:customStyle="1" w:styleId="FooterChar">
    <w:name w:val="Footer Char"/>
    <w:basedOn w:val="DefaultParagraphFont"/>
    <w:link w:val="Footer"/>
    <w:rsid w:val="006C6924"/>
    <w:rPr>
      <w:rFonts w:ascii="Times New Roman" w:eastAsia="Times New Roman" w:hAnsi="Times New Roman" w:cs="Times New Roman"/>
      <w:sz w:val="24"/>
      <w:szCs w:val="24"/>
    </w:rPr>
  </w:style>
  <w:style w:type="character" w:customStyle="1" w:styleId="DocID">
    <w:name w:val="DocID"/>
    <w:rsid w:val="006C6924"/>
    <w:rPr>
      <w:rFonts w:ascii="Times New Roman" w:hAnsi="Times New Roman" w:cs="Times New Roman"/>
      <w:b w:val="0"/>
      <w:color w:val="000000"/>
      <w:sz w:val="18"/>
      <w:u w:val="none"/>
    </w:rPr>
  </w:style>
  <w:style w:type="character" w:styleId="PageNumber">
    <w:name w:val="page number"/>
    <w:rsid w:val="006C6924"/>
    <w:rPr>
      <w:rFonts w:ascii="Times New Roman" w:hAnsi="Times New Roman" w:cs="Times New Roman"/>
      <w:b w:val="0"/>
      <w:sz w:val="24"/>
    </w:rPr>
  </w:style>
  <w:style w:type="paragraph" w:styleId="ListParagraph">
    <w:name w:val="List Paragraph"/>
    <w:basedOn w:val="Normal"/>
    <w:uiPriority w:val="34"/>
    <w:qFormat/>
    <w:rsid w:val="006C6924"/>
    <w:pPr>
      <w:ind w:left="720"/>
      <w:contextualSpacing/>
    </w:pPr>
  </w:style>
  <w:style w:type="paragraph" w:styleId="BalloonText">
    <w:name w:val="Balloon Text"/>
    <w:basedOn w:val="Normal"/>
    <w:link w:val="BalloonTextChar"/>
    <w:uiPriority w:val="99"/>
    <w:semiHidden/>
    <w:unhideWhenUsed/>
    <w:rsid w:val="00285734"/>
    <w:rPr>
      <w:rFonts w:ascii="Tahoma" w:hAnsi="Tahoma" w:cs="Tahoma"/>
      <w:sz w:val="16"/>
      <w:szCs w:val="16"/>
    </w:rPr>
  </w:style>
  <w:style w:type="character" w:customStyle="1" w:styleId="BalloonTextChar">
    <w:name w:val="Balloon Text Char"/>
    <w:basedOn w:val="DefaultParagraphFont"/>
    <w:link w:val="BalloonText"/>
    <w:uiPriority w:val="99"/>
    <w:semiHidden/>
    <w:rsid w:val="0028573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2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6924"/>
    <w:pPr>
      <w:spacing w:after="240"/>
      <w:ind w:firstLine="720"/>
      <w:jc w:val="both"/>
    </w:pPr>
  </w:style>
  <w:style w:type="character" w:customStyle="1" w:styleId="BodyTextChar">
    <w:name w:val="Body Text Char"/>
    <w:basedOn w:val="DefaultParagraphFont"/>
    <w:link w:val="BodyText"/>
    <w:rsid w:val="006C6924"/>
    <w:rPr>
      <w:rFonts w:ascii="Times New Roman" w:eastAsia="Times New Roman" w:hAnsi="Times New Roman" w:cs="Times New Roman"/>
      <w:sz w:val="24"/>
      <w:szCs w:val="24"/>
    </w:rPr>
  </w:style>
  <w:style w:type="paragraph" w:styleId="BodyText2">
    <w:name w:val="Body Text 2"/>
    <w:basedOn w:val="Normal"/>
    <w:link w:val="BodyText2Char"/>
    <w:rsid w:val="006C6924"/>
    <w:pPr>
      <w:spacing w:line="480" w:lineRule="auto"/>
      <w:ind w:firstLine="720"/>
      <w:jc w:val="both"/>
    </w:pPr>
  </w:style>
  <w:style w:type="character" w:customStyle="1" w:styleId="BodyText2Char">
    <w:name w:val="Body Text 2 Char"/>
    <w:basedOn w:val="DefaultParagraphFont"/>
    <w:link w:val="BodyText2"/>
    <w:rsid w:val="006C6924"/>
    <w:rPr>
      <w:rFonts w:ascii="Times New Roman" w:eastAsia="Times New Roman" w:hAnsi="Times New Roman" w:cs="Times New Roman"/>
      <w:sz w:val="24"/>
      <w:szCs w:val="24"/>
    </w:rPr>
  </w:style>
  <w:style w:type="paragraph" w:styleId="ListNumber">
    <w:name w:val="List Number"/>
    <w:basedOn w:val="Normal"/>
    <w:rsid w:val="006C6924"/>
    <w:pPr>
      <w:numPr>
        <w:numId w:val="1"/>
      </w:numPr>
      <w:spacing w:line="480" w:lineRule="auto"/>
    </w:pPr>
  </w:style>
  <w:style w:type="paragraph" w:styleId="Header">
    <w:name w:val="header"/>
    <w:basedOn w:val="Normal"/>
    <w:link w:val="HeaderChar"/>
    <w:rsid w:val="006C6924"/>
    <w:pPr>
      <w:tabs>
        <w:tab w:val="center" w:pos="4320"/>
        <w:tab w:val="right" w:pos="8640"/>
      </w:tabs>
    </w:pPr>
  </w:style>
  <w:style w:type="character" w:customStyle="1" w:styleId="HeaderChar">
    <w:name w:val="Header Char"/>
    <w:basedOn w:val="DefaultParagraphFont"/>
    <w:link w:val="Header"/>
    <w:rsid w:val="006C6924"/>
    <w:rPr>
      <w:rFonts w:ascii="Times New Roman" w:eastAsia="Times New Roman" w:hAnsi="Times New Roman" w:cs="Times New Roman"/>
      <w:sz w:val="24"/>
      <w:szCs w:val="24"/>
    </w:rPr>
  </w:style>
  <w:style w:type="paragraph" w:styleId="Footer">
    <w:name w:val="footer"/>
    <w:basedOn w:val="Normal"/>
    <w:link w:val="FooterChar"/>
    <w:rsid w:val="006C6924"/>
    <w:pPr>
      <w:tabs>
        <w:tab w:val="center" w:pos="4320"/>
        <w:tab w:val="right" w:pos="8640"/>
      </w:tabs>
    </w:pPr>
  </w:style>
  <w:style w:type="character" w:customStyle="1" w:styleId="FooterChar">
    <w:name w:val="Footer Char"/>
    <w:basedOn w:val="DefaultParagraphFont"/>
    <w:link w:val="Footer"/>
    <w:rsid w:val="006C6924"/>
    <w:rPr>
      <w:rFonts w:ascii="Times New Roman" w:eastAsia="Times New Roman" w:hAnsi="Times New Roman" w:cs="Times New Roman"/>
      <w:sz w:val="24"/>
      <w:szCs w:val="24"/>
    </w:rPr>
  </w:style>
  <w:style w:type="character" w:customStyle="1" w:styleId="DocID">
    <w:name w:val="DocID"/>
    <w:rsid w:val="006C6924"/>
    <w:rPr>
      <w:rFonts w:ascii="Times New Roman" w:hAnsi="Times New Roman" w:cs="Times New Roman"/>
      <w:b w:val="0"/>
      <w:color w:val="000000"/>
      <w:sz w:val="18"/>
      <w:u w:val="none"/>
    </w:rPr>
  </w:style>
  <w:style w:type="character" w:styleId="PageNumber">
    <w:name w:val="page number"/>
    <w:rsid w:val="006C6924"/>
    <w:rPr>
      <w:rFonts w:ascii="Times New Roman" w:hAnsi="Times New Roman" w:cs="Times New Roman"/>
      <w:b w:val="0"/>
      <w:sz w:val="24"/>
    </w:rPr>
  </w:style>
  <w:style w:type="paragraph" w:styleId="ListParagraph">
    <w:name w:val="List Paragraph"/>
    <w:basedOn w:val="Normal"/>
    <w:uiPriority w:val="34"/>
    <w:qFormat/>
    <w:rsid w:val="006C6924"/>
    <w:pPr>
      <w:ind w:left="720"/>
      <w:contextualSpacing/>
    </w:pPr>
  </w:style>
  <w:style w:type="paragraph" w:styleId="BalloonText">
    <w:name w:val="Balloon Text"/>
    <w:basedOn w:val="Normal"/>
    <w:link w:val="BalloonTextChar"/>
    <w:uiPriority w:val="99"/>
    <w:semiHidden/>
    <w:unhideWhenUsed/>
    <w:rsid w:val="00285734"/>
    <w:rPr>
      <w:rFonts w:ascii="Tahoma" w:hAnsi="Tahoma" w:cs="Tahoma"/>
      <w:sz w:val="16"/>
      <w:szCs w:val="16"/>
    </w:rPr>
  </w:style>
  <w:style w:type="character" w:customStyle="1" w:styleId="BalloonTextChar">
    <w:name w:val="Balloon Text Char"/>
    <w:basedOn w:val="DefaultParagraphFont"/>
    <w:link w:val="BalloonText"/>
    <w:uiPriority w:val="99"/>
    <w:semiHidden/>
    <w:rsid w:val="002857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A5CE8-D41A-470F-B9DD-01A799DC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10</cp:revision>
  <cp:lastPrinted>2016-01-21T19:25:00Z</cp:lastPrinted>
  <dcterms:created xsi:type="dcterms:W3CDTF">2016-01-21T19:26:00Z</dcterms:created>
  <dcterms:modified xsi:type="dcterms:W3CDTF">2016-01-21T19:47:00Z</dcterms:modified>
</cp:coreProperties>
</file>