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9DF" w:rsidRPr="006F7437" w:rsidRDefault="005C69DF" w:rsidP="007B2779">
      <w:pPr>
        <w:spacing w:after="0" w:line="240" w:lineRule="auto"/>
        <w:jc w:val="center"/>
        <w:rPr>
          <w:b/>
        </w:rPr>
      </w:pPr>
      <w:r w:rsidRPr="006F7437">
        <w:rPr>
          <w:b/>
        </w:rPr>
        <w:t>BEFORE THE</w:t>
      </w:r>
    </w:p>
    <w:p w:rsidR="005C69DF" w:rsidRDefault="005C69DF" w:rsidP="007B2779">
      <w:pPr>
        <w:spacing w:after="0" w:line="240" w:lineRule="auto"/>
        <w:jc w:val="center"/>
        <w:rPr>
          <w:b/>
        </w:rPr>
      </w:pPr>
      <w:smartTag w:uri="urn:schemas-microsoft-com:office:smarttags" w:element="place">
        <w:smartTag w:uri="urn:schemas-microsoft-com:office:smarttags" w:element="State">
          <w:r w:rsidRPr="006F7437">
            <w:rPr>
              <w:b/>
            </w:rPr>
            <w:t>PENNSYLVANIA</w:t>
          </w:r>
        </w:smartTag>
      </w:smartTag>
      <w:r w:rsidRPr="006F7437">
        <w:rPr>
          <w:b/>
        </w:rPr>
        <w:t xml:space="preserve"> PUBLIC UTILITY COMMISSION</w:t>
      </w:r>
    </w:p>
    <w:p w:rsidR="000F71B4" w:rsidRPr="006F7437" w:rsidRDefault="000F71B4" w:rsidP="007B2779">
      <w:pPr>
        <w:spacing w:after="0" w:line="240" w:lineRule="auto"/>
        <w:jc w:val="center"/>
        <w:rPr>
          <w:b/>
        </w:rPr>
      </w:pPr>
    </w:p>
    <w:p w:rsidR="005C69DF" w:rsidRDefault="005C69DF" w:rsidP="007B2779">
      <w:pPr>
        <w:spacing w:after="0" w:line="240" w:lineRule="auto"/>
        <w:jc w:val="center"/>
        <w:rPr>
          <w:b/>
        </w:rPr>
      </w:pPr>
    </w:p>
    <w:p w:rsidR="002C733D" w:rsidRPr="006F7437" w:rsidRDefault="002C733D" w:rsidP="007B2779">
      <w:pPr>
        <w:spacing w:after="0" w:line="240" w:lineRule="auto"/>
        <w:jc w:val="center"/>
        <w:rPr>
          <w:b/>
        </w:rPr>
      </w:pPr>
    </w:p>
    <w:p w:rsidR="00301CF2" w:rsidRPr="00DC04AC" w:rsidRDefault="00301CF2" w:rsidP="00301CF2">
      <w:pPr>
        <w:tabs>
          <w:tab w:val="left" w:pos="0"/>
        </w:tabs>
        <w:spacing w:after="0" w:line="240" w:lineRule="auto"/>
        <w:jc w:val="both"/>
        <w:rPr>
          <w:b/>
          <w:szCs w:val="24"/>
        </w:rPr>
      </w:pPr>
      <w:proofErr w:type="spellStart"/>
      <w:r>
        <w:rPr>
          <w:szCs w:val="24"/>
        </w:rPr>
        <w:t>Pazavor</w:t>
      </w:r>
      <w:proofErr w:type="spellEnd"/>
      <w:r>
        <w:rPr>
          <w:szCs w:val="24"/>
        </w:rPr>
        <w:t xml:space="preserve"> </w:t>
      </w:r>
      <w:proofErr w:type="spellStart"/>
      <w:r>
        <w:rPr>
          <w:szCs w:val="24"/>
        </w:rPr>
        <w:t>Latice</w:t>
      </w:r>
      <w:proofErr w:type="spellEnd"/>
      <w:r>
        <w:rPr>
          <w:szCs w:val="24"/>
        </w:rPr>
        <w:t xml:space="preserve"> Clark</w:t>
      </w:r>
      <w:r>
        <w:rPr>
          <w:szCs w:val="24"/>
        </w:rPr>
        <w:tab/>
      </w:r>
      <w:r>
        <w:rPr>
          <w:szCs w:val="24"/>
        </w:rPr>
        <w:tab/>
      </w:r>
      <w:r>
        <w:rPr>
          <w:szCs w:val="24"/>
        </w:rPr>
        <w:tab/>
      </w:r>
      <w:r>
        <w:rPr>
          <w:szCs w:val="24"/>
        </w:rPr>
        <w:tab/>
      </w:r>
      <w:r>
        <w:rPr>
          <w:szCs w:val="24"/>
        </w:rPr>
        <w:tab/>
      </w:r>
      <w:r w:rsidRPr="00DC04AC">
        <w:rPr>
          <w:szCs w:val="24"/>
        </w:rPr>
        <w:t>:</w:t>
      </w:r>
    </w:p>
    <w:p w:rsidR="00301CF2" w:rsidRPr="00DC04AC" w:rsidRDefault="00301CF2" w:rsidP="00301CF2">
      <w:pPr>
        <w:tabs>
          <w:tab w:val="left" w:pos="0"/>
        </w:tabs>
        <w:spacing w:after="0" w:line="240" w:lineRule="auto"/>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301CF2" w:rsidRPr="00DC04AC" w:rsidRDefault="00301CF2" w:rsidP="00301CF2">
      <w:pPr>
        <w:tabs>
          <w:tab w:val="left" w:pos="0"/>
        </w:tabs>
        <w:spacing w:after="0" w:line="240" w:lineRule="auto"/>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Pr="001F1171">
        <w:rPr>
          <w:szCs w:val="24"/>
        </w:rPr>
        <w:t>F</w:t>
      </w:r>
      <w:r>
        <w:rPr>
          <w:szCs w:val="24"/>
        </w:rPr>
        <w:t>-2015-2512598</w:t>
      </w:r>
    </w:p>
    <w:p w:rsidR="00301CF2" w:rsidRPr="00DC04AC" w:rsidRDefault="00301CF2" w:rsidP="00301CF2">
      <w:pPr>
        <w:tabs>
          <w:tab w:val="left" w:pos="0"/>
        </w:tabs>
        <w:spacing w:after="0" w:line="240" w:lineRule="auto"/>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301CF2" w:rsidRPr="00DC04AC" w:rsidRDefault="00301CF2" w:rsidP="00301CF2">
      <w:pPr>
        <w:tabs>
          <w:tab w:val="left" w:pos="0"/>
        </w:tabs>
        <w:spacing w:after="0" w:line="240" w:lineRule="auto"/>
        <w:jc w:val="both"/>
        <w:rPr>
          <w:szCs w:val="24"/>
        </w:rPr>
      </w:pPr>
      <w:r>
        <w:rPr>
          <w:szCs w:val="24"/>
        </w:rPr>
        <w:t xml:space="preserve">SFE Energy Company and </w:t>
      </w:r>
      <w:r>
        <w:rPr>
          <w:szCs w:val="24"/>
        </w:rPr>
        <w:tab/>
      </w:r>
      <w:r>
        <w:rPr>
          <w:szCs w:val="24"/>
        </w:rPr>
        <w:tab/>
      </w:r>
      <w:r>
        <w:rPr>
          <w:szCs w:val="24"/>
        </w:rPr>
        <w:tab/>
      </w:r>
      <w:r w:rsidRPr="00DC04AC">
        <w:rPr>
          <w:szCs w:val="24"/>
        </w:rPr>
        <w:tab/>
        <w:t>:</w:t>
      </w:r>
    </w:p>
    <w:p w:rsidR="00301CF2" w:rsidRPr="00DC04AC" w:rsidRDefault="00301CF2" w:rsidP="00301CF2">
      <w:pPr>
        <w:tabs>
          <w:tab w:val="left" w:pos="0"/>
        </w:tabs>
        <w:spacing w:after="0" w:line="240" w:lineRule="auto"/>
        <w:jc w:val="both"/>
        <w:rPr>
          <w:szCs w:val="24"/>
        </w:rPr>
      </w:pPr>
      <w:r>
        <w:rPr>
          <w:szCs w:val="24"/>
        </w:rPr>
        <w:t>PECO Energy Company</w:t>
      </w:r>
      <w:r>
        <w:rPr>
          <w:szCs w:val="24"/>
        </w:rPr>
        <w:tab/>
      </w:r>
      <w:r>
        <w:rPr>
          <w:szCs w:val="24"/>
        </w:rPr>
        <w:tab/>
      </w:r>
      <w:r>
        <w:rPr>
          <w:szCs w:val="24"/>
        </w:rPr>
        <w:tab/>
      </w:r>
      <w:r>
        <w:rPr>
          <w:szCs w:val="24"/>
        </w:rPr>
        <w:tab/>
        <w:t>:</w:t>
      </w:r>
      <w:r w:rsidRPr="00DC04AC">
        <w:rPr>
          <w:szCs w:val="24"/>
        </w:rPr>
        <w:tab/>
      </w:r>
      <w:r w:rsidRPr="00DC04AC">
        <w:rPr>
          <w:szCs w:val="24"/>
        </w:rPr>
        <w:tab/>
      </w:r>
    </w:p>
    <w:p w:rsidR="00301CF2" w:rsidRPr="00DC04AC" w:rsidRDefault="00301CF2" w:rsidP="00301CF2">
      <w:pPr>
        <w:tabs>
          <w:tab w:val="left" w:pos="0"/>
        </w:tabs>
        <w:spacing w:after="0" w:line="240" w:lineRule="auto"/>
        <w:jc w:val="both"/>
        <w:rPr>
          <w:b/>
          <w:szCs w:val="24"/>
        </w:rPr>
      </w:pPr>
    </w:p>
    <w:p w:rsidR="007B2779" w:rsidRDefault="007B2779" w:rsidP="007B2779">
      <w:pPr>
        <w:spacing w:after="0" w:line="240" w:lineRule="auto"/>
        <w:rPr>
          <w:szCs w:val="24"/>
        </w:rPr>
      </w:pPr>
    </w:p>
    <w:p w:rsidR="00E34797" w:rsidRDefault="00E34797" w:rsidP="007B2779">
      <w:pPr>
        <w:spacing w:after="0" w:line="240" w:lineRule="auto"/>
        <w:jc w:val="center"/>
        <w:rPr>
          <w:b/>
        </w:rPr>
      </w:pPr>
    </w:p>
    <w:p w:rsidR="00D779B7" w:rsidRPr="000F71B4" w:rsidRDefault="00AE522B" w:rsidP="00ED52C5">
      <w:pPr>
        <w:spacing w:after="0"/>
        <w:jc w:val="center"/>
        <w:rPr>
          <w:b/>
          <w:u w:val="single"/>
        </w:rPr>
      </w:pPr>
      <w:r w:rsidRPr="000F71B4">
        <w:rPr>
          <w:b/>
          <w:u w:val="single"/>
        </w:rPr>
        <w:t>INTERIM ORDER</w:t>
      </w:r>
      <w:r w:rsidR="00BD0EF1" w:rsidRPr="000F71B4">
        <w:rPr>
          <w:b/>
          <w:u w:val="single"/>
        </w:rPr>
        <w:t xml:space="preserve"> </w:t>
      </w:r>
      <w:r w:rsidR="004D78C6" w:rsidRPr="000F71B4">
        <w:rPr>
          <w:b/>
          <w:u w:val="single"/>
        </w:rPr>
        <w:t xml:space="preserve">CLOSING THE </w:t>
      </w:r>
      <w:r w:rsidR="000F71B4" w:rsidRPr="000F71B4">
        <w:rPr>
          <w:b/>
          <w:u w:val="single"/>
        </w:rPr>
        <w:t xml:space="preserve">HEARING </w:t>
      </w:r>
      <w:r w:rsidR="004D78C6" w:rsidRPr="000F71B4">
        <w:rPr>
          <w:b/>
          <w:u w:val="single"/>
        </w:rPr>
        <w:t>RECORD</w:t>
      </w:r>
    </w:p>
    <w:p w:rsidR="00AF1FA6" w:rsidRDefault="00AF1FA6" w:rsidP="00ED52C5">
      <w:pPr>
        <w:spacing w:after="0"/>
        <w:jc w:val="center"/>
        <w:rPr>
          <w:b/>
          <w:u w:val="single"/>
        </w:rPr>
      </w:pPr>
    </w:p>
    <w:p w:rsidR="00301CF2" w:rsidRDefault="00CD3988" w:rsidP="00301CF2">
      <w:pPr>
        <w:spacing w:after="0"/>
      </w:pPr>
      <w:r>
        <w:rPr>
          <w:szCs w:val="24"/>
        </w:rPr>
        <w:tab/>
      </w:r>
      <w:r w:rsidR="00ED52C5">
        <w:rPr>
          <w:szCs w:val="24"/>
        </w:rPr>
        <w:tab/>
      </w:r>
      <w:proofErr w:type="spellStart"/>
      <w:r w:rsidR="00301CF2">
        <w:rPr>
          <w:szCs w:val="24"/>
        </w:rPr>
        <w:t>Pazavor</w:t>
      </w:r>
      <w:proofErr w:type="spellEnd"/>
      <w:r w:rsidR="00301CF2">
        <w:rPr>
          <w:szCs w:val="24"/>
        </w:rPr>
        <w:t xml:space="preserve"> </w:t>
      </w:r>
      <w:proofErr w:type="spellStart"/>
      <w:r w:rsidR="00301CF2">
        <w:rPr>
          <w:szCs w:val="24"/>
        </w:rPr>
        <w:t>Latice</w:t>
      </w:r>
      <w:proofErr w:type="spellEnd"/>
      <w:r w:rsidR="00301CF2">
        <w:rPr>
          <w:szCs w:val="24"/>
        </w:rPr>
        <w:t xml:space="preserve"> Clark </w:t>
      </w:r>
      <w:r w:rsidR="00301CF2">
        <w:t xml:space="preserve">(Ms. Clark or Complainant) filed a formal complaint on November 24, 2015, against </w:t>
      </w:r>
      <w:r w:rsidR="00301CF2">
        <w:rPr>
          <w:szCs w:val="24"/>
        </w:rPr>
        <w:t>SFE Energy Company (SFE) and PECO Energy Company (PECO</w:t>
      </w:r>
      <w:r w:rsidR="00301CF2">
        <w:t>), alleging that the Company terminated service or was threatening to terminate service and the existence of incorrect charges on her bill.  Complainant further alleged that SFE overcharged her and provided her with service that was never authorized by Complainant.  Complainant also requested the approval of a payment arrangement.</w:t>
      </w:r>
      <w:r w:rsidR="00301CF2">
        <w:rPr>
          <w:rStyle w:val="FootnoteReference"/>
        </w:rPr>
        <w:footnoteReference w:id="1"/>
      </w:r>
      <w:r w:rsidR="00301CF2">
        <w:t xml:space="preserve">  PECO filed an answer on November 24, 2015 which, </w:t>
      </w:r>
      <w:r w:rsidR="00301CF2" w:rsidRPr="003868CE">
        <w:rPr>
          <w:i/>
        </w:rPr>
        <w:t>inter alia</w:t>
      </w:r>
      <w:r w:rsidR="00301CF2">
        <w:t>, denied the averments set forth in the formal complaint.  SFE did not file an answer or new matter to the formal complaint.</w:t>
      </w:r>
      <w:r w:rsidR="00301CF2">
        <w:rPr>
          <w:rStyle w:val="FootnoteReference"/>
        </w:rPr>
        <w:footnoteReference w:id="2"/>
      </w:r>
      <w:r w:rsidR="00301CF2">
        <w:t xml:space="preserve">     </w:t>
      </w:r>
    </w:p>
    <w:p w:rsidR="00301CF2" w:rsidRDefault="00301CF2" w:rsidP="00301CF2">
      <w:pPr>
        <w:spacing w:after="0"/>
      </w:pPr>
    </w:p>
    <w:p w:rsidR="00301CF2" w:rsidRDefault="00C228B0" w:rsidP="00301CF2">
      <w:pPr>
        <w:spacing w:after="0"/>
        <w:ind w:firstLine="720"/>
      </w:pPr>
      <w:r>
        <w:tab/>
      </w:r>
      <w:r w:rsidR="00301CF2">
        <w:t xml:space="preserve">By hearing notice dated December 4, 2015, which was mailed to Complainant at the address listed on her formal complaint, the complaint was scheduled for a telephonic hearing on January 19, 2016 at 10:00 a.m., and was assigned to the undersigned presiding officer.  The hearing notice warned that failure to appear for the scheduled hearing will result in the dismissal of the complaint.  I issued a prehearing order on December 14, 2015, which included instructions for requesting a different day for the hearing and also warned that failure to appear for the scheduled hearing will result in the </w:t>
      </w:r>
      <w:r w:rsidR="00301CF2">
        <w:lastRenderedPageBreak/>
        <w:t>dismissal of the complaint.  The prehearing order was also mailed to Complainant at the address listed on her formal complaint.</w:t>
      </w:r>
    </w:p>
    <w:p w:rsidR="00301CF2" w:rsidRDefault="00301CF2" w:rsidP="00301CF2">
      <w:pPr>
        <w:spacing w:after="0"/>
      </w:pPr>
    </w:p>
    <w:p w:rsidR="00301CF2" w:rsidRDefault="00640A29" w:rsidP="00301CF2">
      <w:pPr>
        <w:spacing w:after="0"/>
        <w:ind w:firstLine="720"/>
      </w:pPr>
      <w:r>
        <w:tab/>
      </w:r>
      <w:r w:rsidR="00301CF2">
        <w:t>Neither the hearing notice nor the prehearing order was returned by the U.S. Postal Service as undelivered.</w:t>
      </w:r>
    </w:p>
    <w:p w:rsidR="00301CF2" w:rsidRDefault="00301CF2" w:rsidP="00301CF2">
      <w:pPr>
        <w:spacing w:after="0"/>
      </w:pPr>
    </w:p>
    <w:p w:rsidR="00301CF2" w:rsidRDefault="00640A29" w:rsidP="00301CF2">
      <w:pPr>
        <w:spacing w:after="0"/>
        <w:ind w:firstLine="720"/>
      </w:pPr>
      <w:r>
        <w:tab/>
      </w:r>
      <w:r w:rsidR="00301CF2">
        <w:t xml:space="preserve">On January 19, 2016, PECO filed a certificate of satisfaction which indicated that the matter involving PECO was resolved. </w:t>
      </w:r>
    </w:p>
    <w:p w:rsidR="00301CF2" w:rsidRDefault="00301CF2" w:rsidP="00301CF2">
      <w:pPr>
        <w:spacing w:after="0"/>
      </w:pPr>
    </w:p>
    <w:p w:rsidR="00301CF2" w:rsidRPr="00D57707" w:rsidRDefault="00640A29" w:rsidP="00301CF2">
      <w:pPr>
        <w:spacing w:after="0"/>
        <w:ind w:firstLine="720"/>
        <w:rPr>
          <w:b/>
        </w:rPr>
      </w:pPr>
      <w:r>
        <w:tab/>
      </w:r>
      <w:r w:rsidR="00301CF2">
        <w:t xml:space="preserve">The hearing convened as scheduled.  Samantha L. </w:t>
      </w:r>
      <w:proofErr w:type="spellStart"/>
      <w:r w:rsidR="00301CF2">
        <w:t>Brutout</w:t>
      </w:r>
      <w:proofErr w:type="spellEnd"/>
      <w:r w:rsidR="00301CF2">
        <w:t xml:space="preserve">, Esquire, appeared on behalf of SFE.  </w:t>
      </w:r>
      <w:r w:rsidR="00301CF2" w:rsidRPr="00791CD5">
        <w:t xml:space="preserve">Complainant did not call the conference call number.  </w:t>
      </w:r>
      <w:r w:rsidR="00301CF2">
        <w:t>A brief recess was taken and a message was left on Complainant’s telephone answering system advising Complainant to call the hearing conference call number and indicating that the hearing would proceed at 10:25 a.m., even if Complainant did not participate.  A</w:t>
      </w:r>
      <w:r w:rsidR="00301CF2" w:rsidRPr="00791CD5">
        <w:t xml:space="preserve">fter a brief recess, the hearing proceeded in Complainant’s absence at approximately 10:25 a.m.  </w:t>
      </w:r>
      <w:r w:rsidR="00301CF2">
        <w:t xml:space="preserve">Complainant did not participate in the hearing and a motion was made by counsel for SFE to dismiss the formal complaint for failure of Complainant to appear and prosecute her formal complaint.  The motion was taken under advisement and the hearing was adjourned.  Approximately ten minutes after the hearing was adjourned, </w:t>
      </w:r>
      <w:r w:rsidR="00301CF2" w:rsidRPr="00791CD5">
        <w:t>Complainant</w:t>
      </w:r>
      <w:r w:rsidR="00301CF2">
        <w:t xml:space="preserve"> called the office of the undersigned presiding officer and left a message that she was ready to proceed with the hearing.  Complainant indicated that she would send a written explanation to the undersigned presiding officer regarding her failure to participate in the hearing at the assigned time.  Complainant provided no further information as to why she did not participate in the hearing when the hearing was convened and did not forward any additional information to the undersigned.  </w:t>
      </w:r>
      <w:r w:rsidR="00301CF2" w:rsidRPr="00D57707">
        <w:rPr>
          <w:b/>
        </w:rPr>
        <w:t xml:space="preserve"> </w:t>
      </w:r>
    </w:p>
    <w:p w:rsidR="00301CF2" w:rsidRPr="00791CD5" w:rsidRDefault="00301CF2" w:rsidP="00301CF2">
      <w:pPr>
        <w:spacing w:after="0"/>
      </w:pPr>
    </w:p>
    <w:p w:rsidR="00E34797" w:rsidRDefault="00640A29" w:rsidP="00301CF2">
      <w:pPr>
        <w:spacing w:after="0"/>
        <w:ind w:firstLine="720"/>
        <w:rPr>
          <w:szCs w:val="24"/>
        </w:rPr>
      </w:pPr>
      <w:r>
        <w:tab/>
      </w:r>
      <w:r w:rsidR="00301CF2" w:rsidRPr="00791CD5">
        <w:t>Complainant did not advise the undersigned presiding officer as to why she did not participate at the hearing or request a continuance.</w:t>
      </w:r>
      <w:r w:rsidR="00301CF2">
        <w:t xml:space="preserve">  </w:t>
      </w:r>
      <w:r w:rsidR="003D5ADC" w:rsidRPr="00EE2BDB">
        <w:rPr>
          <w:szCs w:val="24"/>
        </w:rPr>
        <w:t>A transcript was generated</w:t>
      </w:r>
      <w:r w:rsidR="003D5ADC">
        <w:rPr>
          <w:szCs w:val="24"/>
        </w:rPr>
        <w:t xml:space="preserve"> in this matter.  </w:t>
      </w:r>
    </w:p>
    <w:p w:rsidR="0005569E" w:rsidRDefault="00594476" w:rsidP="003D5ADC">
      <w:pPr>
        <w:rPr>
          <w:szCs w:val="24"/>
        </w:rPr>
      </w:pPr>
      <w:r>
        <w:rPr>
          <w:szCs w:val="24"/>
        </w:rPr>
        <w:tab/>
      </w:r>
      <w:r>
        <w:rPr>
          <w:szCs w:val="24"/>
        </w:rPr>
        <w:tab/>
      </w:r>
      <w:r w:rsidR="00832E9F">
        <w:rPr>
          <w:szCs w:val="24"/>
        </w:rPr>
        <w:t xml:space="preserve">  </w:t>
      </w:r>
    </w:p>
    <w:p w:rsidR="00C53EA5" w:rsidRDefault="00832E9F" w:rsidP="00640A29">
      <w:pPr>
        <w:spacing w:after="0"/>
      </w:pPr>
      <w:r w:rsidRPr="006E72EF">
        <w:rPr>
          <w:szCs w:val="24"/>
        </w:rPr>
        <w:lastRenderedPageBreak/>
        <w:tab/>
      </w:r>
      <w:r w:rsidRPr="006E72EF">
        <w:rPr>
          <w:szCs w:val="24"/>
        </w:rPr>
        <w:tab/>
      </w:r>
      <w:r w:rsidR="00503149" w:rsidRPr="003D5ADC">
        <w:t>THEREFORE</w:t>
      </w:r>
      <w:r w:rsidR="00A35354" w:rsidRPr="003D5ADC">
        <w:t>,</w:t>
      </w:r>
    </w:p>
    <w:p w:rsidR="00640A29" w:rsidRDefault="00640A29" w:rsidP="00640A29">
      <w:pPr>
        <w:spacing w:after="0"/>
      </w:pPr>
    </w:p>
    <w:p w:rsidR="00503149" w:rsidRDefault="00503149" w:rsidP="007B2779">
      <w:pPr>
        <w:spacing w:after="0"/>
        <w:ind w:left="720" w:firstLine="720"/>
      </w:pPr>
      <w:r>
        <w:t>IT IS ORDERED:</w:t>
      </w:r>
    </w:p>
    <w:p w:rsidR="00C53EA5" w:rsidRDefault="00C53EA5" w:rsidP="007B2779">
      <w:pPr>
        <w:spacing w:after="0"/>
        <w:ind w:left="720" w:firstLine="720"/>
      </w:pPr>
    </w:p>
    <w:p w:rsidR="00B66346" w:rsidRDefault="004D78C6" w:rsidP="007B2779">
      <w:pPr>
        <w:pStyle w:val="ListParagraph"/>
      </w:pPr>
      <w:r>
        <w:t>That the record in the above-captioned matter</w:t>
      </w:r>
      <w:r w:rsidR="005C69DF">
        <w:t xml:space="preserve"> </w:t>
      </w:r>
      <w:r w:rsidR="00157A68">
        <w:t xml:space="preserve">filed at </w:t>
      </w:r>
      <w:r w:rsidR="00CD3988">
        <w:t>F-</w:t>
      </w:r>
      <w:r w:rsidR="00832E9F" w:rsidRPr="003E2041">
        <w:rPr>
          <w:szCs w:val="24"/>
        </w:rPr>
        <w:t>20</w:t>
      </w:r>
      <w:r w:rsidR="00832E9F">
        <w:rPr>
          <w:szCs w:val="24"/>
        </w:rPr>
        <w:t>1</w:t>
      </w:r>
      <w:r w:rsidR="00C22299">
        <w:rPr>
          <w:szCs w:val="24"/>
        </w:rPr>
        <w:t>5</w:t>
      </w:r>
      <w:r w:rsidR="00832E9F">
        <w:rPr>
          <w:szCs w:val="24"/>
        </w:rPr>
        <w:t>-2</w:t>
      </w:r>
      <w:r w:rsidR="00CD3988">
        <w:rPr>
          <w:szCs w:val="24"/>
        </w:rPr>
        <w:t>5</w:t>
      </w:r>
      <w:r w:rsidR="00301CF2">
        <w:rPr>
          <w:szCs w:val="24"/>
        </w:rPr>
        <w:t>12598</w:t>
      </w:r>
      <w:r w:rsidR="00157A68">
        <w:t xml:space="preserve"> </w:t>
      </w:r>
      <w:r w:rsidR="005C69DF">
        <w:t xml:space="preserve">is </w:t>
      </w:r>
      <w:r>
        <w:t>closed.</w:t>
      </w:r>
    </w:p>
    <w:p w:rsidR="00AF1FA6" w:rsidRDefault="00AF1FA6" w:rsidP="007B2779">
      <w:pPr>
        <w:pStyle w:val="ListParagraph"/>
        <w:numPr>
          <w:ilvl w:val="0"/>
          <w:numId w:val="0"/>
        </w:numPr>
        <w:ind w:left="1440"/>
      </w:pPr>
    </w:p>
    <w:p w:rsidR="004C1E4E" w:rsidRDefault="00B66346" w:rsidP="007B2779">
      <w:pPr>
        <w:pStyle w:val="ListParagraph"/>
      </w:pPr>
      <w:r>
        <w:t xml:space="preserve">That </w:t>
      </w:r>
      <w:r w:rsidR="004D78C6">
        <w:t>an Initial Decision shall be prepared</w:t>
      </w:r>
      <w:r w:rsidR="004C1E4E">
        <w:t xml:space="preserve"> in this matter</w:t>
      </w:r>
      <w:r w:rsidR="00CB7AE1">
        <w:t>.</w:t>
      </w:r>
    </w:p>
    <w:p w:rsidR="00060DCB" w:rsidRDefault="00060DCB" w:rsidP="00060DCB">
      <w:pPr>
        <w:pStyle w:val="ListParagraph"/>
        <w:numPr>
          <w:ilvl w:val="0"/>
          <w:numId w:val="0"/>
        </w:numPr>
        <w:ind w:left="1440"/>
      </w:pPr>
    </w:p>
    <w:p w:rsidR="00A705E2" w:rsidRDefault="00A705E2" w:rsidP="00A705E2">
      <w:pPr>
        <w:pStyle w:val="ListParagraph"/>
        <w:numPr>
          <w:ilvl w:val="0"/>
          <w:numId w:val="0"/>
        </w:numPr>
        <w:ind w:left="1440"/>
      </w:pPr>
    </w:p>
    <w:p w:rsidR="00A705E2" w:rsidRDefault="00A705E2" w:rsidP="004C1E4E">
      <w:pPr>
        <w:pStyle w:val="ListParagraph"/>
        <w:numPr>
          <w:ilvl w:val="0"/>
          <w:numId w:val="0"/>
        </w:numPr>
        <w:ind w:left="1440"/>
      </w:pPr>
    </w:p>
    <w:p w:rsidR="00897953" w:rsidRDefault="00897953" w:rsidP="00AF1FA6">
      <w:pPr>
        <w:spacing w:after="0" w:line="240" w:lineRule="auto"/>
      </w:pPr>
      <w:r w:rsidRPr="00D644CF">
        <w:t xml:space="preserve">Date:  </w:t>
      </w:r>
      <w:r w:rsidR="00C22299">
        <w:rPr>
          <w:u w:val="single"/>
        </w:rPr>
        <w:t>J</w:t>
      </w:r>
      <w:r w:rsidR="00CD3988">
        <w:rPr>
          <w:u w:val="single"/>
        </w:rPr>
        <w:t xml:space="preserve">anuary </w:t>
      </w:r>
      <w:r w:rsidR="00301CF2">
        <w:rPr>
          <w:u w:val="single"/>
        </w:rPr>
        <w:t>2</w:t>
      </w:r>
      <w:r w:rsidR="00640A29">
        <w:rPr>
          <w:u w:val="single"/>
        </w:rPr>
        <w:t>8</w:t>
      </w:r>
      <w:r w:rsidR="00CD3988">
        <w:rPr>
          <w:u w:val="single"/>
        </w:rPr>
        <w:t>, 201</w:t>
      </w:r>
      <w:r w:rsidR="00640A29">
        <w:rPr>
          <w:u w:val="single"/>
        </w:rPr>
        <w:t>6</w:t>
      </w:r>
      <w:r>
        <w:tab/>
      </w:r>
      <w:r w:rsidR="0055047F">
        <w:tab/>
      </w:r>
      <w:r w:rsidR="005C69DF">
        <w:tab/>
      </w:r>
      <w:r w:rsidR="001546AB">
        <w:tab/>
      </w:r>
      <w:r w:rsidR="005C69DF">
        <w:t>_____</w:t>
      </w:r>
      <w:r>
        <w:t>____________________</w:t>
      </w:r>
      <w:r w:rsidR="00433B6F">
        <w:t>_____</w:t>
      </w:r>
    </w:p>
    <w:p w:rsidR="00897953" w:rsidRDefault="00897953" w:rsidP="00AF1FA6">
      <w:pPr>
        <w:spacing w:after="0" w:line="240" w:lineRule="auto"/>
      </w:pPr>
      <w:r>
        <w:tab/>
      </w:r>
      <w:r>
        <w:tab/>
      </w:r>
      <w:r>
        <w:tab/>
      </w:r>
      <w:r>
        <w:tab/>
      </w:r>
      <w:r>
        <w:tab/>
      </w:r>
      <w:r>
        <w:tab/>
      </w:r>
      <w:r>
        <w:tab/>
      </w:r>
      <w:r w:rsidR="005C69DF">
        <w:t>Jeffrey A. Watson</w:t>
      </w:r>
    </w:p>
    <w:p w:rsidR="00E25998" w:rsidRDefault="00897953" w:rsidP="00832E9F">
      <w:pPr>
        <w:spacing w:after="0" w:line="240" w:lineRule="auto"/>
      </w:pPr>
      <w:r>
        <w:tab/>
      </w:r>
      <w:r>
        <w:tab/>
      </w:r>
      <w:r>
        <w:tab/>
      </w:r>
      <w:r>
        <w:tab/>
      </w:r>
      <w:r>
        <w:tab/>
      </w:r>
      <w:r>
        <w:tab/>
      </w:r>
      <w:r>
        <w:tab/>
        <w:t>Administrative Law Judge</w:t>
      </w:r>
    </w:p>
    <w:p w:rsidR="00E25998" w:rsidRDefault="00E25998">
      <w:pPr>
        <w:spacing w:line="276" w:lineRule="auto"/>
      </w:pPr>
      <w:r>
        <w:br w:type="page"/>
      </w:r>
    </w:p>
    <w:p w:rsidR="00914A0C" w:rsidRDefault="00914A0C" w:rsidP="00F95788">
      <w:pPr>
        <w:spacing w:after="0" w:line="240" w:lineRule="auto"/>
        <w:contextualSpacing/>
        <w:rPr>
          <w:rFonts w:ascii="Microsoft Sans Serif"/>
          <w:b/>
          <w:u w:val="single"/>
        </w:rPr>
        <w:sectPr w:rsidR="00914A0C" w:rsidSect="001B7BA2">
          <w:footerReference w:type="default" r:id="rId9"/>
          <w:pgSz w:w="12240" w:h="15840" w:code="1"/>
          <w:pgMar w:top="1440" w:right="1728" w:bottom="1440" w:left="1728" w:header="720" w:footer="720" w:gutter="0"/>
          <w:pgNumType w:start="1"/>
          <w:cols w:space="720"/>
          <w:titlePg/>
          <w:docGrid w:linePitch="360"/>
        </w:sectPr>
      </w:pPr>
    </w:p>
    <w:p w:rsidR="00F95788" w:rsidRDefault="00F95788" w:rsidP="00F95788">
      <w:pPr>
        <w:spacing w:after="0" w:line="240" w:lineRule="auto"/>
        <w:contextualSpacing/>
        <w:rPr>
          <w:rFonts w:ascii="Microsoft Sans Serif"/>
          <w:b/>
          <w:u w:val="single"/>
        </w:rPr>
      </w:pPr>
      <w:r>
        <w:rPr>
          <w:rFonts w:ascii="Microsoft Sans Serif"/>
          <w:b/>
          <w:u w:val="single"/>
        </w:rPr>
        <w:lastRenderedPageBreak/>
        <w:t>F-2015-2512598 - PAZAVOR LATICE CLACK v. SFE ENERGY PENNSYLVANIA INC &amp; PECO ENERGY COMPANY</w:t>
      </w:r>
    </w:p>
    <w:p w:rsidR="00F95788" w:rsidRDefault="00F95788" w:rsidP="00F95788">
      <w:pPr>
        <w:spacing w:after="0" w:line="240" w:lineRule="auto"/>
        <w:contextualSpacing/>
        <w:rPr>
          <w:rFonts w:ascii="Microsoft Sans Serif"/>
          <w:b/>
          <w:u w:val="single"/>
        </w:rPr>
      </w:pPr>
      <w:r>
        <w:rPr>
          <w:rFonts w:ascii="Microsoft Sans Serif"/>
          <w:b/>
          <w:u w:val="single"/>
        </w:rPr>
        <w:cr/>
      </w:r>
      <w:r w:rsidRPr="004040A2">
        <w:rPr>
          <w:rFonts w:ascii="Microsoft Sans Serif"/>
          <w:i/>
          <w:u w:val="single"/>
        </w:rPr>
        <w:t>Revised 1-15-16</w:t>
      </w:r>
    </w:p>
    <w:p w:rsidR="00F95788" w:rsidRPr="003822DE" w:rsidRDefault="00F95788" w:rsidP="00F95788">
      <w:pPr>
        <w:spacing w:after="0" w:line="240" w:lineRule="auto"/>
        <w:contextualSpacing/>
        <w:rPr>
          <w:rFonts w:ascii="Microsoft Sans Serif"/>
          <w:i/>
        </w:rPr>
      </w:pPr>
      <w:r>
        <w:rPr>
          <w:rFonts w:ascii="Microsoft Sans Serif"/>
        </w:rPr>
        <w:cr/>
        <w:t>PAZAVOR L CLACK</w:t>
      </w:r>
      <w:r>
        <w:rPr>
          <w:rFonts w:ascii="Microsoft Sans Serif"/>
        </w:rPr>
        <w:cr/>
        <w:t>308 WOLFENDEW AVE</w:t>
      </w:r>
      <w:r>
        <w:rPr>
          <w:rFonts w:ascii="Microsoft Sans Serif"/>
        </w:rPr>
        <w:cr/>
        <w:t>COLLINGDALE PA  19023</w:t>
      </w:r>
      <w:r>
        <w:rPr>
          <w:rFonts w:ascii="Microsoft Sans Serif"/>
        </w:rPr>
        <w:cr/>
      </w:r>
      <w:r w:rsidRPr="003822DE">
        <w:rPr>
          <w:rFonts w:ascii="Microsoft Sans Serif"/>
          <w:b/>
        </w:rPr>
        <w:t>267.423.1436</w:t>
      </w:r>
      <w:r w:rsidRPr="003822DE">
        <w:rPr>
          <w:rFonts w:ascii="Microsoft Sans Serif"/>
          <w:b/>
        </w:rPr>
        <w:cr/>
      </w:r>
      <w:r>
        <w:rPr>
          <w:rFonts w:ascii="Microsoft Sans Serif"/>
          <w:b/>
          <w:u w:val="single"/>
        </w:rPr>
        <w:cr/>
      </w: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3822DE">
        <w:rPr>
          <w:rFonts w:ascii="Microsoft Sans Serif"/>
          <w:b/>
        </w:rPr>
        <w:t>215.841.6841</w:t>
      </w:r>
      <w:r w:rsidRPr="003822DE">
        <w:rPr>
          <w:rFonts w:ascii="Microsoft Sans Serif"/>
          <w:b/>
        </w:rPr>
        <w:cr/>
      </w:r>
      <w:r w:rsidRPr="003822DE">
        <w:rPr>
          <w:rFonts w:ascii="Microsoft Sans Serif"/>
          <w:i/>
        </w:rPr>
        <w:t>Accepts E-service</w:t>
      </w:r>
    </w:p>
    <w:p w:rsidR="00F95788" w:rsidRPr="003822DE" w:rsidRDefault="00F95788" w:rsidP="00F95788">
      <w:pPr>
        <w:spacing w:after="0" w:line="240" w:lineRule="auto"/>
        <w:contextualSpacing/>
        <w:rPr>
          <w:rFonts w:ascii="Microsoft Sans Serif"/>
          <w:i/>
        </w:rPr>
      </w:pPr>
      <w:r w:rsidRPr="003822DE">
        <w:rPr>
          <w:rFonts w:ascii="Microsoft Sans Serif"/>
          <w:i/>
        </w:rPr>
        <w:t xml:space="preserve">Representing </w:t>
      </w:r>
      <w:r>
        <w:rPr>
          <w:rFonts w:ascii="Microsoft Sans Serif"/>
          <w:i/>
        </w:rPr>
        <w:t>PECO Energy Company</w:t>
      </w:r>
    </w:p>
    <w:p w:rsidR="00F95788" w:rsidRDefault="00F95788" w:rsidP="00F95788">
      <w:pPr>
        <w:spacing w:after="0" w:line="240" w:lineRule="auto"/>
        <w:contextualSpacing/>
        <w:rPr>
          <w:rFonts w:ascii="Microsoft Sans Serif"/>
        </w:rPr>
      </w:pPr>
    </w:p>
    <w:p w:rsidR="00F95788" w:rsidRDefault="00F95788" w:rsidP="00F95788">
      <w:pPr>
        <w:spacing w:after="0" w:line="240" w:lineRule="auto"/>
        <w:contextualSpacing/>
        <w:rPr>
          <w:rFonts w:ascii="Microsoft Sans Serif"/>
        </w:rPr>
      </w:pPr>
      <w:r>
        <w:rPr>
          <w:rFonts w:ascii="Microsoft Sans Serif"/>
        </w:rPr>
        <w:t>FREDERICK G ATTEA ESQUIRE</w:t>
      </w:r>
      <w:r>
        <w:rPr>
          <w:rFonts w:ascii="Microsoft Sans Serif"/>
        </w:rPr>
        <w:cr/>
        <w:t>PHILLIPS &amp; LYTLE LLP</w:t>
      </w:r>
      <w:r>
        <w:rPr>
          <w:rFonts w:ascii="Microsoft Sans Serif"/>
        </w:rPr>
        <w:cr/>
        <w:t>ONE CANALSIDE</w:t>
      </w:r>
      <w:r>
        <w:rPr>
          <w:rFonts w:ascii="Microsoft Sans Serif"/>
        </w:rPr>
        <w:cr/>
        <w:t>125 MAIN STREET</w:t>
      </w:r>
      <w:r>
        <w:rPr>
          <w:rFonts w:ascii="Microsoft Sans Serif"/>
        </w:rPr>
        <w:cr/>
        <w:t>BUFFALO NY  14203-2887</w:t>
      </w:r>
    </w:p>
    <w:p w:rsidR="00F95788" w:rsidRPr="003822DE" w:rsidRDefault="00F95788" w:rsidP="00F95788">
      <w:pPr>
        <w:spacing w:after="0" w:line="240" w:lineRule="auto"/>
        <w:contextualSpacing/>
        <w:rPr>
          <w:rFonts w:ascii="Microsoft Sans Serif"/>
          <w:i/>
        </w:rPr>
      </w:pPr>
      <w:r w:rsidRPr="003822DE">
        <w:rPr>
          <w:rFonts w:ascii="Microsoft Sans Serif"/>
          <w:i/>
        </w:rPr>
        <w:t>Does not accept E-service</w:t>
      </w:r>
    </w:p>
    <w:p w:rsidR="00F95788" w:rsidRDefault="00F95788" w:rsidP="00F95788">
      <w:pPr>
        <w:spacing w:after="0" w:line="240" w:lineRule="auto"/>
        <w:contextualSpacing/>
        <w:rPr>
          <w:rFonts w:ascii="Microsoft Sans Serif"/>
          <w:i/>
        </w:rPr>
      </w:pPr>
      <w:r w:rsidRPr="003822DE">
        <w:rPr>
          <w:rFonts w:ascii="Microsoft Sans Serif"/>
          <w:i/>
        </w:rPr>
        <w:t>Representing SFE Energy Pennsylvania, Inc</w:t>
      </w:r>
      <w:r>
        <w:rPr>
          <w:rFonts w:ascii="Microsoft Sans Serif"/>
          <w:i/>
        </w:rPr>
        <w:t>.</w:t>
      </w:r>
      <w:r w:rsidRPr="003822DE">
        <w:rPr>
          <w:rFonts w:ascii="Microsoft Sans Serif"/>
          <w:i/>
        </w:rPr>
        <w:cr/>
      </w:r>
    </w:p>
    <w:p w:rsidR="00F95788" w:rsidRDefault="00F95788" w:rsidP="00F95788">
      <w:pPr>
        <w:spacing w:after="0" w:line="240" w:lineRule="auto"/>
        <w:contextualSpacing/>
        <w:rPr>
          <w:rFonts w:ascii="Microsoft Sans Serif"/>
        </w:rPr>
      </w:pPr>
      <w:r>
        <w:rPr>
          <w:rFonts w:ascii="Microsoft Sans Serif"/>
        </w:rPr>
        <w:t>SAMANTHA L BRUTOUT ESQUIRE</w:t>
      </w:r>
    </w:p>
    <w:p w:rsidR="00F95788" w:rsidRDefault="00F95788" w:rsidP="00F95788">
      <w:pPr>
        <w:spacing w:after="0" w:line="240" w:lineRule="auto"/>
        <w:contextualSpacing/>
        <w:rPr>
          <w:rFonts w:ascii="Microsoft Sans Serif"/>
        </w:rPr>
      </w:pPr>
      <w:r>
        <w:rPr>
          <w:rFonts w:ascii="Microsoft Sans Serif"/>
        </w:rPr>
        <w:t>DINGESS FOSTER LUCIANA DAVIDSON &amp; CHLEBOSKI LLP</w:t>
      </w:r>
    </w:p>
    <w:p w:rsidR="00F95788" w:rsidRDefault="00F95788" w:rsidP="00F95788">
      <w:pPr>
        <w:spacing w:after="0" w:line="240" w:lineRule="auto"/>
        <w:contextualSpacing/>
        <w:rPr>
          <w:rFonts w:ascii="Microsoft Sans Serif"/>
        </w:rPr>
      </w:pPr>
      <w:r>
        <w:rPr>
          <w:rFonts w:ascii="Microsoft Sans Serif"/>
        </w:rPr>
        <w:t>PNC CENTER THIRD FLOOR</w:t>
      </w:r>
    </w:p>
    <w:p w:rsidR="00F95788" w:rsidRDefault="00F95788" w:rsidP="00F95788">
      <w:pPr>
        <w:spacing w:after="0" w:line="240" w:lineRule="auto"/>
        <w:contextualSpacing/>
        <w:rPr>
          <w:rFonts w:ascii="Microsoft Sans Serif"/>
        </w:rPr>
      </w:pPr>
      <w:r>
        <w:rPr>
          <w:rFonts w:ascii="Microsoft Sans Serif"/>
        </w:rPr>
        <w:t>20 STANWIX STREET</w:t>
      </w:r>
    </w:p>
    <w:p w:rsidR="00F95788" w:rsidRDefault="00F95788" w:rsidP="00F95788">
      <w:pPr>
        <w:spacing w:after="0" w:line="240" w:lineRule="auto"/>
        <w:contextualSpacing/>
        <w:rPr>
          <w:rFonts w:ascii="Microsoft Sans Serif"/>
        </w:rPr>
      </w:pPr>
      <w:r>
        <w:rPr>
          <w:rFonts w:ascii="Microsoft Sans Serif"/>
        </w:rPr>
        <w:t>PITTSBURGH PA 15222</w:t>
      </w:r>
    </w:p>
    <w:p w:rsidR="00F95788" w:rsidRPr="00D75F99" w:rsidRDefault="00F95788" w:rsidP="00F95788">
      <w:pPr>
        <w:spacing w:after="0" w:line="240" w:lineRule="auto"/>
        <w:contextualSpacing/>
        <w:rPr>
          <w:rFonts w:ascii="Microsoft Sans Serif"/>
          <w:b/>
        </w:rPr>
      </w:pPr>
      <w:r>
        <w:rPr>
          <w:rFonts w:ascii="Microsoft Sans Serif"/>
          <w:b/>
        </w:rPr>
        <w:t>412-926-1816</w:t>
      </w:r>
    </w:p>
    <w:p w:rsidR="00F95788" w:rsidRDefault="00F95788" w:rsidP="00F95788">
      <w:pPr>
        <w:spacing w:after="0" w:line="240" w:lineRule="auto"/>
        <w:contextualSpacing/>
        <w:rPr>
          <w:rFonts w:ascii="Microsoft Sans Serif"/>
          <w:i/>
        </w:rPr>
      </w:pPr>
      <w:r>
        <w:rPr>
          <w:rFonts w:ascii="Microsoft Sans Serif"/>
          <w:i/>
        </w:rPr>
        <w:t>Does not accept E-service</w:t>
      </w:r>
    </w:p>
    <w:p w:rsidR="00F95788" w:rsidRPr="00D75F99" w:rsidRDefault="00F95788" w:rsidP="00F95788">
      <w:pPr>
        <w:spacing w:after="0" w:line="240" w:lineRule="auto"/>
        <w:contextualSpacing/>
        <w:rPr>
          <w:rFonts w:ascii="Microsoft Sans Serif"/>
          <w:i/>
        </w:rPr>
      </w:pPr>
      <w:r w:rsidRPr="003822DE">
        <w:rPr>
          <w:rFonts w:ascii="Microsoft Sans Serif"/>
          <w:i/>
        </w:rPr>
        <w:t>Representing SFE Energy Pennsylvania, Inc</w:t>
      </w:r>
      <w:r>
        <w:rPr>
          <w:rFonts w:ascii="Microsoft Sans Serif"/>
          <w:i/>
        </w:rPr>
        <w:t>.</w:t>
      </w:r>
    </w:p>
    <w:p w:rsidR="00F95788" w:rsidRPr="00D75F99" w:rsidRDefault="00F95788" w:rsidP="00F95788">
      <w:pPr>
        <w:spacing w:after="0" w:line="240" w:lineRule="auto"/>
        <w:contextualSpacing/>
      </w:pPr>
    </w:p>
    <w:p w:rsidR="00F95788" w:rsidRDefault="00F95788" w:rsidP="00F95788">
      <w:pPr>
        <w:spacing w:after="0" w:line="240" w:lineRule="auto"/>
        <w:contextualSpacing/>
      </w:pPr>
    </w:p>
    <w:p w:rsidR="008A3EB8" w:rsidRDefault="008A3EB8" w:rsidP="00832E9F">
      <w:pPr>
        <w:spacing w:after="0" w:line="240" w:lineRule="auto"/>
      </w:pPr>
    </w:p>
    <w:sectPr w:rsidR="008A3EB8" w:rsidSect="001B7BA2">
      <w:pgSz w:w="12240" w:h="15840" w:code="1"/>
      <w:pgMar w:top="1440" w:right="1728"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05" w:rsidRDefault="00632405" w:rsidP="004A3ADC">
      <w:pPr>
        <w:spacing w:after="0" w:line="240" w:lineRule="auto"/>
      </w:pPr>
      <w:r>
        <w:separator/>
      </w:r>
    </w:p>
  </w:endnote>
  <w:endnote w:type="continuationSeparator" w:id="0">
    <w:p w:rsidR="00632405" w:rsidRDefault="00632405" w:rsidP="004A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082421"/>
      <w:docPartObj>
        <w:docPartGallery w:val="Page Numbers (Bottom of Page)"/>
        <w:docPartUnique/>
      </w:docPartObj>
    </w:sdtPr>
    <w:sdtEndPr>
      <w:rPr>
        <w:noProof/>
        <w:sz w:val="20"/>
        <w:szCs w:val="20"/>
      </w:rPr>
    </w:sdtEndPr>
    <w:sdtContent>
      <w:p w:rsidR="00CE76CE" w:rsidRPr="00CE76CE" w:rsidRDefault="00CE76CE">
        <w:pPr>
          <w:pStyle w:val="Footer"/>
          <w:jc w:val="center"/>
          <w:rPr>
            <w:sz w:val="20"/>
            <w:szCs w:val="20"/>
          </w:rPr>
        </w:pPr>
        <w:r w:rsidRPr="00CE76CE">
          <w:rPr>
            <w:sz w:val="20"/>
            <w:szCs w:val="20"/>
          </w:rPr>
          <w:fldChar w:fldCharType="begin"/>
        </w:r>
        <w:r w:rsidRPr="00CE76CE">
          <w:rPr>
            <w:sz w:val="20"/>
            <w:szCs w:val="20"/>
          </w:rPr>
          <w:instrText xml:space="preserve"> PAGE   \* MERGEFORMAT </w:instrText>
        </w:r>
        <w:r w:rsidRPr="00CE76CE">
          <w:rPr>
            <w:sz w:val="20"/>
            <w:szCs w:val="20"/>
          </w:rPr>
          <w:fldChar w:fldCharType="separate"/>
        </w:r>
        <w:r w:rsidR="003868CE">
          <w:rPr>
            <w:noProof/>
            <w:sz w:val="20"/>
            <w:szCs w:val="20"/>
          </w:rPr>
          <w:t>2</w:t>
        </w:r>
        <w:r w:rsidRPr="00CE76CE">
          <w:rPr>
            <w:noProof/>
            <w:sz w:val="20"/>
            <w:szCs w:val="20"/>
          </w:rPr>
          <w:fldChar w:fldCharType="end"/>
        </w:r>
      </w:p>
    </w:sdtContent>
  </w:sdt>
  <w:p w:rsidR="00113DA5" w:rsidRDefault="00113DA5">
    <w:pPr>
      <w:pStyle w:val="Footer"/>
    </w:pPr>
  </w:p>
  <w:p w:rsidR="00FA6E82" w:rsidRDefault="00FA6E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05" w:rsidRDefault="00632405" w:rsidP="004A3ADC">
      <w:pPr>
        <w:spacing w:after="0" w:line="240" w:lineRule="auto"/>
      </w:pPr>
      <w:r>
        <w:separator/>
      </w:r>
    </w:p>
  </w:footnote>
  <w:footnote w:type="continuationSeparator" w:id="0">
    <w:p w:rsidR="00632405" w:rsidRDefault="00632405" w:rsidP="004A3ADC">
      <w:pPr>
        <w:spacing w:after="0" w:line="240" w:lineRule="auto"/>
      </w:pPr>
      <w:r>
        <w:continuationSeparator/>
      </w:r>
    </w:p>
  </w:footnote>
  <w:footnote w:id="1">
    <w:p w:rsidR="00301CF2" w:rsidRDefault="00301CF2" w:rsidP="00301CF2">
      <w:pPr>
        <w:pStyle w:val="FootnoteText"/>
      </w:pPr>
      <w:r>
        <w:rPr>
          <w:rStyle w:val="FootnoteReference"/>
        </w:rPr>
        <w:footnoteRef/>
      </w:r>
      <w:r>
        <w:t xml:space="preserve"> </w:t>
      </w:r>
      <w:r>
        <w:tab/>
        <w:t>This formal complaint is a timely appeal from BCS decision 3321096.</w:t>
      </w:r>
    </w:p>
    <w:p w:rsidR="00C228B0" w:rsidRDefault="00C228B0" w:rsidP="00301CF2">
      <w:pPr>
        <w:pStyle w:val="FootnoteText"/>
      </w:pPr>
    </w:p>
  </w:footnote>
  <w:footnote w:id="2">
    <w:p w:rsidR="00301CF2" w:rsidRDefault="00301CF2" w:rsidP="00301CF2">
      <w:pPr>
        <w:pStyle w:val="FootnoteText"/>
      </w:pPr>
      <w:r>
        <w:rPr>
          <w:rStyle w:val="FootnoteReference"/>
        </w:rPr>
        <w:footnoteRef/>
      </w:r>
      <w:r>
        <w:t xml:space="preserve"> </w:t>
      </w:r>
      <w:r>
        <w:tab/>
        <w:t xml:space="preserve">SFE filed an unverified letter with the </w:t>
      </w:r>
      <w:r>
        <w:t>Commission</w:t>
      </w:r>
      <w:r w:rsidR="003868CE">
        <w:t>’s</w:t>
      </w:r>
      <w:bookmarkStart w:id="0" w:name="_GoBack"/>
      <w:bookmarkEnd w:id="0"/>
      <w:r>
        <w:t xml:space="preserve"> Secretary dated November 19, 2015, responding to the formal complaint.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B7"/>
    <w:rsid w:val="00001B54"/>
    <w:rsid w:val="00004C37"/>
    <w:rsid w:val="00013773"/>
    <w:rsid w:val="0005569E"/>
    <w:rsid w:val="00060DCB"/>
    <w:rsid w:val="00060E00"/>
    <w:rsid w:val="00093AD8"/>
    <w:rsid w:val="000C0394"/>
    <w:rsid w:val="000C2926"/>
    <w:rsid w:val="000D3F32"/>
    <w:rsid w:val="000E5DE8"/>
    <w:rsid w:val="000F63ED"/>
    <w:rsid w:val="000F71B4"/>
    <w:rsid w:val="00107C86"/>
    <w:rsid w:val="00113DA5"/>
    <w:rsid w:val="001546AB"/>
    <w:rsid w:val="00157A68"/>
    <w:rsid w:val="00165C69"/>
    <w:rsid w:val="00196D8C"/>
    <w:rsid w:val="001977E1"/>
    <w:rsid w:val="001B1238"/>
    <w:rsid w:val="001B7BA2"/>
    <w:rsid w:val="001C5619"/>
    <w:rsid w:val="001E4FC9"/>
    <w:rsid w:val="001F7382"/>
    <w:rsid w:val="00222FA3"/>
    <w:rsid w:val="00223016"/>
    <w:rsid w:val="00250391"/>
    <w:rsid w:val="00265BC0"/>
    <w:rsid w:val="002C733D"/>
    <w:rsid w:val="002D3C96"/>
    <w:rsid w:val="002E16BE"/>
    <w:rsid w:val="002E6A7D"/>
    <w:rsid w:val="002F1B76"/>
    <w:rsid w:val="00301CF2"/>
    <w:rsid w:val="00310495"/>
    <w:rsid w:val="003637EF"/>
    <w:rsid w:val="0037255A"/>
    <w:rsid w:val="00385AA2"/>
    <w:rsid w:val="003868CE"/>
    <w:rsid w:val="00387D7C"/>
    <w:rsid w:val="00393C92"/>
    <w:rsid w:val="003979B1"/>
    <w:rsid w:val="003A47E2"/>
    <w:rsid w:val="003C5934"/>
    <w:rsid w:val="003D5ADC"/>
    <w:rsid w:val="00405630"/>
    <w:rsid w:val="00433B6F"/>
    <w:rsid w:val="0044170F"/>
    <w:rsid w:val="00446015"/>
    <w:rsid w:val="00464F64"/>
    <w:rsid w:val="004672FB"/>
    <w:rsid w:val="00474BE7"/>
    <w:rsid w:val="00480E38"/>
    <w:rsid w:val="004816E7"/>
    <w:rsid w:val="00486751"/>
    <w:rsid w:val="0049482A"/>
    <w:rsid w:val="004A3ADC"/>
    <w:rsid w:val="004B1CA9"/>
    <w:rsid w:val="004C1E4E"/>
    <w:rsid w:val="004D523C"/>
    <w:rsid w:val="004D78C6"/>
    <w:rsid w:val="004E5EAD"/>
    <w:rsid w:val="00503149"/>
    <w:rsid w:val="00510177"/>
    <w:rsid w:val="0055047F"/>
    <w:rsid w:val="005878C4"/>
    <w:rsid w:val="00594476"/>
    <w:rsid w:val="005A776E"/>
    <w:rsid w:val="005C69DF"/>
    <w:rsid w:val="005D5719"/>
    <w:rsid w:val="005F20E9"/>
    <w:rsid w:val="00632405"/>
    <w:rsid w:val="00640A29"/>
    <w:rsid w:val="00647C52"/>
    <w:rsid w:val="006B061A"/>
    <w:rsid w:val="006E0E2A"/>
    <w:rsid w:val="006E6E8B"/>
    <w:rsid w:val="007333DE"/>
    <w:rsid w:val="00792796"/>
    <w:rsid w:val="007B2779"/>
    <w:rsid w:val="007C2DB2"/>
    <w:rsid w:val="007D76BB"/>
    <w:rsid w:val="00811ACF"/>
    <w:rsid w:val="00824DA9"/>
    <w:rsid w:val="00832E9F"/>
    <w:rsid w:val="008529D2"/>
    <w:rsid w:val="00875F7E"/>
    <w:rsid w:val="0088046C"/>
    <w:rsid w:val="00897953"/>
    <w:rsid w:val="008A3EB8"/>
    <w:rsid w:val="008C5C76"/>
    <w:rsid w:val="008E4E72"/>
    <w:rsid w:val="00914A0C"/>
    <w:rsid w:val="0092103F"/>
    <w:rsid w:val="0097473E"/>
    <w:rsid w:val="00981DA2"/>
    <w:rsid w:val="009B667C"/>
    <w:rsid w:val="009D4516"/>
    <w:rsid w:val="00A02308"/>
    <w:rsid w:val="00A063C8"/>
    <w:rsid w:val="00A35354"/>
    <w:rsid w:val="00A47CB8"/>
    <w:rsid w:val="00A705E2"/>
    <w:rsid w:val="00A84E6A"/>
    <w:rsid w:val="00AB4C73"/>
    <w:rsid w:val="00AC6F4D"/>
    <w:rsid w:val="00AD2321"/>
    <w:rsid w:val="00AE522B"/>
    <w:rsid w:val="00AF1FA6"/>
    <w:rsid w:val="00B11EEE"/>
    <w:rsid w:val="00B24616"/>
    <w:rsid w:val="00B27A2A"/>
    <w:rsid w:val="00B41D58"/>
    <w:rsid w:val="00B65D12"/>
    <w:rsid w:val="00B66346"/>
    <w:rsid w:val="00B769D5"/>
    <w:rsid w:val="00BC5621"/>
    <w:rsid w:val="00BD0EF1"/>
    <w:rsid w:val="00BD5F72"/>
    <w:rsid w:val="00BF438B"/>
    <w:rsid w:val="00C148A1"/>
    <w:rsid w:val="00C22299"/>
    <w:rsid w:val="00C228B0"/>
    <w:rsid w:val="00C53EA5"/>
    <w:rsid w:val="00C74EF5"/>
    <w:rsid w:val="00CB7AE1"/>
    <w:rsid w:val="00CD3988"/>
    <w:rsid w:val="00CE76CE"/>
    <w:rsid w:val="00D131AD"/>
    <w:rsid w:val="00D3133C"/>
    <w:rsid w:val="00D342D2"/>
    <w:rsid w:val="00D644CF"/>
    <w:rsid w:val="00D779B7"/>
    <w:rsid w:val="00DA407F"/>
    <w:rsid w:val="00DD5C37"/>
    <w:rsid w:val="00DD63DE"/>
    <w:rsid w:val="00DE4168"/>
    <w:rsid w:val="00E16E5E"/>
    <w:rsid w:val="00E173DC"/>
    <w:rsid w:val="00E25998"/>
    <w:rsid w:val="00E311A6"/>
    <w:rsid w:val="00E34797"/>
    <w:rsid w:val="00E46CF0"/>
    <w:rsid w:val="00EA2106"/>
    <w:rsid w:val="00EA4193"/>
    <w:rsid w:val="00ED52C5"/>
    <w:rsid w:val="00F32B46"/>
    <w:rsid w:val="00F649E1"/>
    <w:rsid w:val="00F67FF4"/>
    <w:rsid w:val="00F93203"/>
    <w:rsid w:val="00F93516"/>
    <w:rsid w:val="00F95788"/>
    <w:rsid w:val="00FA6E82"/>
    <w:rsid w:val="00FB17BA"/>
    <w:rsid w:val="00FB2A9D"/>
    <w:rsid w:val="00FB5E8C"/>
    <w:rsid w:val="00FC1683"/>
    <w:rsid w:val="00FD4749"/>
    <w:rsid w:val="00FE203D"/>
    <w:rsid w:val="00FF4CB3"/>
    <w:rsid w:val="00FF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53EA5"/>
    <w:pPr>
      <w:numPr>
        <w:numId w:val="3"/>
      </w:numPr>
      <w:tabs>
        <w:tab w:val="left" w:pos="1440"/>
      </w:tabs>
      <w:spacing w:after="0"/>
      <w:ind w:left="0" w:firstLine="1440"/>
    </w:pPr>
  </w:style>
  <w:style w:type="paragraph" w:styleId="FootnoteText">
    <w:name w:val="footnote text"/>
    <w:aliases w:val="Car"/>
    <w:basedOn w:val="Normal"/>
    <w:link w:val="FootnoteTextChar"/>
    <w:unhideWhenUsed/>
    <w:qFormat/>
    <w:rsid w:val="004A3ADC"/>
    <w:pPr>
      <w:spacing w:after="0" w:line="240" w:lineRule="auto"/>
    </w:pPr>
    <w:rPr>
      <w:sz w:val="20"/>
      <w:szCs w:val="20"/>
    </w:rPr>
  </w:style>
  <w:style w:type="character" w:customStyle="1" w:styleId="FootnoteTextChar">
    <w:name w:val="Footnote Text Char"/>
    <w:aliases w:val="Car Char"/>
    <w:basedOn w:val="DefaultParagraphFont"/>
    <w:link w:val="FootnoteText"/>
    <w:rsid w:val="004A3ADC"/>
    <w:rPr>
      <w:rFonts w:ascii="Times New Roman" w:hAnsi="Times New Roman"/>
      <w:sz w:val="20"/>
      <w:szCs w:val="20"/>
    </w:rPr>
  </w:style>
  <w:style w:type="character" w:styleId="FootnoteReference">
    <w:name w:val="footnote reference"/>
    <w:basedOn w:val="DefaultParagraphFont"/>
    <w:uiPriority w:val="99"/>
    <w:unhideWhenUsed/>
    <w:rsid w:val="004A3ADC"/>
    <w:rPr>
      <w:vertAlign w:val="superscript"/>
    </w:rPr>
  </w:style>
  <w:style w:type="paragraph" w:styleId="Title">
    <w:name w:val="Title"/>
    <w:basedOn w:val="Normal"/>
    <w:link w:val="TitleChar"/>
    <w:qFormat/>
    <w:rsid w:val="007333DE"/>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7333D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A4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E2"/>
    <w:rPr>
      <w:rFonts w:ascii="Tahoma" w:hAnsi="Tahoma" w:cs="Tahoma"/>
      <w:sz w:val="16"/>
      <w:szCs w:val="16"/>
    </w:rPr>
  </w:style>
  <w:style w:type="paragraph" w:styleId="Header">
    <w:name w:val="header"/>
    <w:basedOn w:val="Normal"/>
    <w:link w:val="HeaderChar"/>
    <w:uiPriority w:val="99"/>
    <w:unhideWhenUsed/>
    <w:rsid w:val="0011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A5"/>
    <w:rPr>
      <w:rFonts w:ascii="Times New Roman" w:hAnsi="Times New Roman"/>
      <w:sz w:val="24"/>
    </w:rPr>
  </w:style>
  <w:style w:type="paragraph" w:styleId="Footer">
    <w:name w:val="footer"/>
    <w:basedOn w:val="Normal"/>
    <w:link w:val="FooterChar"/>
    <w:uiPriority w:val="99"/>
    <w:unhideWhenUsed/>
    <w:rsid w:val="0011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A5"/>
    <w:rPr>
      <w:rFonts w:ascii="Times New Roman" w:hAnsi="Times New Roman"/>
      <w:sz w:val="24"/>
    </w:rPr>
  </w:style>
  <w:style w:type="paragraph" w:styleId="BodyText">
    <w:name w:val="Body Text"/>
    <w:basedOn w:val="Normal"/>
    <w:link w:val="BodyTextChar"/>
    <w:rsid w:val="00594476"/>
    <w:pPr>
      <w:widowControl w:val="0"/>
      <w:spacing w:after="0"/>
      <w:jc w:val="both"/>
    </w:pPr>
    <w:rPr>
      <w:rFonts w:ascii="CG Times" w:eastAsia="Times New Roman" w:hAnsi="CG Times" w:cs="Times New Roman"/>
      <w:snapToGrid w:val="0"/>
      <w:szCs w:val="20"/>
    </w:rPr>
  </w:style>
  <w:style w:type="character" w:customStyle="1" w:styleId="BodyTextChar">
    <w:name w:val="Body Text Char"/>
    <w:basedOn w:val="DefaultParagraphFont"/>
    <w:link w:val="BodyText"/>
    <w:rsid w:val="00594476"/>
    <w:rPr>
      <w:rFonts w:ascii="CG Times" w:eastAsia="Times New Roman" w:hAnsi="CG Times"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53EA5"/>
    <w:pPr>
      <w:numPr>
        <w:numId w:val="3"/>
      </w:numPr>
      <w:tabs>
        <w:tab w:val="left" w:pos="1440"/>
      </w:tabs>
      <w:spacing w:after="0"/>
      <w:ind w:left="0" w:firstLine="1440"/>
    </w:pPr>
  </w:style>
  <w:style w:type="paragraph" w:styleId="FootnoteText">
    <w:name w:val="footnote text"/>
    <w:aliases w:val="Car"/>
    <w:basedOn w:val="Normal"/>
    <w:link w:val="FootnoteTextChar"/>
    <w:unhideWhenUsed/>
    <w:qFormat/>
    <w:rsid w:val="004A3ADC"/>
    <w:pPr>
      <w:spacing w:after="0" w:line="240" w:lineRule="auto"/>
    </w:pPr>
    <w:rPr>
      <w:sz w:val="20"/>
      <w:szCs w:val="20"/>
    </w:rPr>
  </w:style>
  <w:style w:type="character" w:customStyle="1" w:styleId="FootnoteTextChar">
    <w:name w:val="Footnote Text Char"/>
    <w:aliases w:val="Car Char"/>
    <w:basedOn w:val="DefaultParagraphFont"/>
    <w:link w:val="FootnoteText"/>
    <w:rsid w:val="004A3ADC"/>
    <w:rPr>
      <w:rFonts w:ascii="Times New Roman" w:hAnsi="Times New Roman"/>
      <w:sz w:val="20"/>
      <w:szCs w:val="20"/>
    </w:rPr>
  </w:style>
  <w:style w:type="character" w:styleId="FootnoteReference">
    <w:name w:val="footnote reference"/>
    <w:basedOn w:val="DefaultParagraphFont"/>
    <w:uiPriority w:val="99"/>
    <w:unhideWhenUsed/>
    <w:rsid w:val="004A3ADC"/>
    <w:rPr>
      <w:vertAlign w:val="superscript"/>
    </w:rPr>
  </w:style>
  <w:style w:type="paragraph" w:styleId="Title">
    <w:name w:val="Title"/>
    <w:basedOn w:val="Normal"/>
    <w:link w:val="TitleChar"/>
    <w:qFormat/>
    <w:rsid w:val="007333DE"/>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7333D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A4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E2"/>
    <w:rPr>
      <w:rFonts w:ascii="Tahoma" w:hAnsi="Tahoma" w:cs="Tahoma"/>
      <w:sz w:val="16"/>
      <w:szCs w:val="16"/>
    </w:rPr>
  </w:style>
  <w:style w:type="paragraph" w:styleId="Header">
    <w:name w:val="header"/>
    <w:basedOn w:val="Normal"/>
    <w:link w:val="HeaderChar"/>
    <w:uiPriority w:val="99"/>
    <w:unhideWhenUsed/>
    <w:rsid w:val="0011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A5"/>
    <w:rPr>
      <w:rFonts w:ascii="Times New Roman" w:hAnsi="Times New Roman"/>
      <w:sz w:val="24"/>
    </w:rPr>
  </w:style>
  <w:style w:type="paragraph" w:styleId="Footer">
    <w:name w:val="footer"/>
    <w:basedOn w:val="Normal"/>
    <w:link w:val="FooterChar"/>
    <w:uiPriority w:val="99"/>
    <w:unhideWhenUsed/>
    <w:rsid w:val="0011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A5"/>
    <w:rPr>
      <w:rFonts w:ascii="Times New Roman" w:hAnsi="Times New Roman"/>
      <w:sz w:val="24"/>
    </w:rPr>
  </w:style>
  <w:style w:type="paragraph" w:styleId="BodyText">
    <w:name w:val="Body Text"/>
    <w:basedOn w:val="Normal"/>
    <w:link w:val="BodyTextChar"/>
    <w:rsid w:val="00594476"/>
    <w:pPr>
      <w:widowControl w:val="0"/>
      <w:spacing w:after="0"/>
      <w:jc w:val="both"/>
    </w:pPr>
    <w:rPr>
      <w:rFonts w:ascii="CG Times" w:eastAsia="Times New Roman" w:hAnsi="CG Times" w:cs="Times New Roman"/>
      <w:snapToGrid w:val="0"/>
      <w:szCs w:val="20"/>
    </w:rPr>
  </w:style>
  <w:style w:type="character" w:customStyle="1" w:styleId="BodyTextChar">
    <w:name w:val="Body Text Char"/>
    <w:basedOn w:val="DefaultParagraphFont"/>
    <w:link w:val="BodyText"/>
    <w:rsid w:val="00594476"/>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81147">
      <w:bodyDiv w:val="1"/>
      <w:marLeft w:val="0"/>
      <w:marRight w:val="0"/>
      <w:marTop w:val="0"/>
      <w:marBottom w:val="0"/>
      <w:divBdr>
        <w:top w:val="none" w:sz="0" w:space="0" w:color="auto"/>
        <w:left w:val="none" w:sz="0" w:space="0" w:color="auto"/>
        <w:bottom w:val="none" w:sz="0" w:space="0" w:color="auto"/>
        <w:right w:val="none" w:sz="0" w:space="0" w:color="auto"/>
      </w:divBdr>
    </w:div>
    <w:div w:id="135307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1FFB1-C126-40C4-99AC-81618ED3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14</cp:revision>
  <cp:lastPrinted>2016-01-28T13:59:00Z</cp:lastPrinted>
  <dcterms:created xsi:type="dcterms:W3CDTF">2016-01-28T13:55:00Z</dcterms:created>
  <dcterms:modified xsi:type="dcterms:W3CDTF">2016-01-28T15:05:00Z</dcterms:modified>
</cp:coreProperties>
</file>