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8DF" w:rsidRDefault="009078DF" w:rsidP="00592753">
      <w:pPr>
        <w:tabs>
          <w:tab w:val="center" w:pos="4680"/>
        </w:tabs>
        <w:suppressAutoHyphens/>
        <w:spacing w:line="240" w:lineRule="auto"/>
        <w:ind w:firstLine="0"/>
        <w:jc w:val="center"/>
        <w:rPr>
          <w:b/>
          <w:sz w:val="26"/>
          <w:szCs w:val="26"/>
        </w:rPr>
      </w:pPr>
      <w:r>
        <w:rPr>
          <w:b/>
          <w:sz w:val="26"/>
          <w:szCs w:val="26"/>
        </w:rPr>
        <w:t>PENNSYLVANIA</w:t>
      </w:r>
    </w:p>
    <w:p w:rsidR="009078DF" w:rsidRDefault="009078DF" w:rsidP="00592753">
      <w:pPr>
        <w:tabs>
          <w:tab w:val="center" w:pos="4680"/>
        </w:tabs>
        <w:suppressAutoHyphens/>
        <w:spacing w:line="240" w:lineRule="auto"/>
        <w:ind w:firstLine="0"/>
        <w:jc w:val="center"/>
        <w:rPr>
          <w:sz w:val="26"/>
          <w:szCs w:val="26"/>
        </w:rPr>
      </w:pPr>
      <w:r>
        <w:rPr>
          <w:b/>
          <w:sz w:val="26"/>
          <w:szCs w:val="26"/>
        </w:rPr>
        <w:t>PUBLIC UTILITY COMMISSION</w:t>
      </w:r>
    </w:p>
    <w:p w:rsidR="009078DF" w:rsidRDefault="009078DF" w:rsidP="00592753">
      <w:pPr>
        <w:tabs>
          <w:tab w:val="center" w:pos="4680"/>
        </w:tabs>
        <w:suppressAutoHyphens/>
        <w:spacing w:line="240" w:lineRule="auto"/>
        <w:ind w:firstLine="0"/>
        <w:jc w:val="center"/>
        <w:rPr>
          <w:sz w:val="26"/>
          <w:szCs w:val="26"/>
        </w:rPr>
      </w:pPr>
      <w:r>
        <w:rPr>
          <w:b/>
          <w:sz w:val="26"/>
          <w:szCs w:val="26"/>
        </w:rPr>
        <w:t>Harrisburg, PA 17105-3265</w:t>
      </w:r>
    </w:p>
    <w:p w:rsidR="009078DF" w:rsidRDefault="009078DF" w:rsidP="00592753">
      <w:pPr>
        <w:tabs>
          <w:tab w:val="left" w:pos="-720"/>
        </w:tabs>
        <w:suppressAutoHyphens/>
        <w:spacing w:line="240" w:lineRule="auto"/>
        <w:ind w:firstLine="0"/>
        <w:rPr>
          <w:sz w:val="26"/>
          <w:szCs w:val="26"/>
        </w:rPr>
      </w:pPr>
    </w:p>
    <w:p w:rsidR="009078DF" w:rsidRDefault="009078DF" w:rsidP="00592753">
      <w:pPr>
        <w:tabs>
          <w:tab w:val="left" w:pos="-720"/>
        </w:tabs>
        <w:suppressAutoHyphens/>
        <w:spacing w:line="240" w:lineRule="auto"/>
        <w:ind w:firstLine="0"/>
        <w:rPr>
          <w:sz w:val="26"/>
          <w:szCs w:val="26"/>
        </w:rPr>
      </w:pPr>
    </w:p>
    <w:p w:rsidR="003519A5" w:rsidRDefault="003519A5" w:rsidP="00592753">
      <w:pPr>
        <w:tabs>
          <w:tab w:val="left" w:pos="-720"/>
        </w:tabs>
        <w:suppressAutoHyphens/>
        <w:spacing w:line="240" w:lineRule="auto"/>
        <w:ind w:firstLine="0"/>
        <w:jc w:val="right"/>
        <w:rPr>
          <w:sz w:val="26"/>
          <w:szCs w:val="26"/>
        </w:rPr>
      </w:pPr>
    </w:p>
    <w:p w:rsidR="009078DF" w:rsidRDefault="009078DF" w:rsidP="00592753">
      <w:pPr>
        <w:tabs>
          <w:tab w:val="left" w:pos="-720"/>
        </w:tabs>
        <w:suppressAutoHyphens/>
        <w:spacing w:line="240" w:lineRule="auto"/>
        <w:ind w:firstLine="0"/>
        <w:jc w:val="right"/>
        <w:rPr>
          <w:sz w:val="26"/>
          <w:szCs w:val="26"/>
        </w:rPr>
      </w:pPr>
      <w:r>
        <w:rPr>
          <w:sz w:val="26"/>
          <w:szCs w:val="26"/>
        </w:rPr>
        <w:t xml:space="preserve">Public Meeting held </w:t>
      </w:r>
      <w:r w:rsidR="00207C45">
        <w:rPr>
          <w:sz w:val="26"/>
          <w:szCs w:val="26"/>
        </w:rPr>
        <w:t>January</w:t>
      </w:r>
      <w:r w:rsidR="00F1641B">
        <w:rPr>
          <w:sz w:val="26"/>
          <w:szCs w:val="26"/>
        </w:rPr>
        <w:t xml:space="preserve"> </w:t>
      </w:r>
      <w:r w:rsidR="00207C45">
        <w:rPr>
          <w:sz w:val="26"/>
          <w:szCs w:val="26"/>
        </w:rPr>
        <w:t>28</w:t>
      </w:r>
      <w:r w:rsidR="00E83CC9">
        <w:rPr>
          <w:sz w:val="26"/>
          <w:szCs w:val="26"/>
        </w:rPr>
        <w:t>, 201</w:t>
      </w:r>
      <w:r w:rsidR="00207C45">
        <w:rPr>
          <w:sz w:val="26"/>
          <w:szCs w:val="26"/>
        </w:rPr>
        <w:t>6</w:t>
      </w:r>
    </w:p>
    <w:p w:rsidR="009078DF" w:rsidRDefault="009078DF" w:rsidP="00592753">
      <w:pPr>
        <w:tabs>
          <w:tab w:val="left" w:pos="-720"/>
        </w:tabs>
        <w:suppressAutoHyphens/>
        <w:spacing w:line="240" w:lineRule="auto"/>
        <w:ind w:firstLine="0"/>
        <w:rPr>
          <w:sz w:val="26"/>
          <w:szCs w:val="26"/>
        </w:rPr>
      </w:pPr>
    </w:p>
    <w:p w:rsidR="009078DF" w:rsidRDefault="009078DF" w:rsidP="00592753">
      <w:pPr>
        <w:tabs>
          <w:tab w:val="left" w:pos="-720"/>
        </w:tabs>
        <w:suppressAutoHyphens/>
        <w:spacing w:line="240" w:lineRule="auto"/>
        <w:ind w:firstLine="0"/>
        <w:rPr>
          <w:sz w:val="26"/>
          <w:szCs w:val="26"/>
        </w:rPr>
      </w:pPr>
      <w:r>
        <w:rPr>
          <w:sz w:val="26"/>
          <w:szCs w:val="26"/>
        </w:rPr>
        <w:t>Commissioners Present:</w:t>
      </w:r>
    </w:p>
    <w:p w:rsidR="009078DF" w:rsidRDefault="009078DF" w:rsidP="00592753">
      <w:pPr>
        <w:tabs>
          <w:tab w:val="left" w:pos="-720"/>
        </w:tabs>
        <w:suppressAutoHyphens/>
        <w:spacing w:line="240" w:lineRule="auto"/>
        <w:ind w:firstLine="0"/>
        <w:rPr>
          <w:sz w:val="26"/>
          <w:szCs w:val="26"/>
        </w:rPr>
      </w:pPr>
    </w:p>
    <w:p w:rsidR="00251BC5" w:rsidRPr="00251BC5" w:rsidRDefault="00CE41A2" w:rsidP="00251BC5">
      <w:pPr>
        <w:tabs>
          <w:tab w:val="left" w:pos="705"/>
        </w:tabs>
        <w:spacing w:line="240" w:lineRule="auto"/>
        <w:ind w:firstLine="720"/>
        <w:rPr>
          <w:sz w:val="26"/>
          <w:szCs w:val="26"/>
        </w:rPr>
      </w:pPr>
      <w:r w:rsidRPr="00251BC5">
        <w:rPr>
          <w:sz w:val="26"/>
          <w:szCs w:val="26"/>
        </w:rPr>
        <w:t>Gladys M. Brown</w:t>
      </w:r>
      <w:r w:rsidR="00251BC5" w:rsidRPr="00251BC5">
        <w:rPr>
          <w:sz w:val="26"/>
          <w:szCs w:val="26"/>
        </w:rPr>
        <w:t>, Chairman</w:t>
      </w:r>
    </w:p>
    <w:p w:rsidR="00251BC5" w:rsidRPr="00251BC5" w:rsidRDefault="00991B39" w:rsidP="00251BC5">
      <w:pPr>
        <w:widowControl w:val="0"/>
        <w:tabs>
          <w:tab w:val="left" w:pos="705"/>
        </w:tabs>
        <w:spacing w:line="240" w:lineRule="auto"/>
        <w:ind w:firstLine="720"/>
        <w:rPr>
          <w:sz w:val="26"/>
          <w:szCs w:val="26"/>
        </w:rPr>
      </w:pPr>
      <w:r>
        <w:rPr>
          <w:sz w:val="26"/>
          <w:szCs w:val="26"/>
        </w:rPr>
        <w:t xml:space="preserve">Andrew G. Place, </w:t>
      </w:r>
      <w:r w:rsidR="00251BC5" w:rsidRPr="00251BC5">
        <w:rPr>
          <w:sz w:val="26"/>
          <w:szCs w:val="26"/>
        </w:rPr>
        <w:t>Vice Chairman</w:t>
      </w:r>
    </w:p>
    <w:p w:rsidR="00251BC5" w:rsidRDefault="00251BC5" w:rsidP="00251BC5">
      <w:pPr>
        <w:widowControl w:val="0"/>
        <w:tabs>
          <w:tab w:val="left" w:pos="705"/>
        </w:tabs>
        <w:spacing w:line="240" w:lineRule="auto"/>
        <w:ind w:firstLine="720"/>
        <w:rPr>
          <w:sz w:val="26"/>
          <w:szCs w:val="26"/>
        </w:rPr>
      </w:pPr>
      <w:r w:rsidRPr="00251BC5">
        <w:rPr>
          <w:sz w:val="26"/>
          <w:szCs w:val="26"/>
        </w:rPr>
        <w:t>Pamela A. Witmer</w:t>
      </w:r>
    </w:p>
    <w:p w:rsidR="00991B39" w:rsidRPr="00251BC5" w:rsidRDefault="00991B39" w:rsidP="00251BC5">
      <w:pPr>
        <w:widowControl w:val="0"/>
        <w:tabs>
          <w:tab w:val="left" w:pos="705"/>
        </w:tabs>
        <w:spacing w:line="240" w:lineRule="auto"/>
        <w:ind w:firstLine="720"/>
        <w:rPr>
          <w:sz w:val="26"/>
          <w:szCs w:val="26"/>
        </w:rPr>
      </w:pPr>
      <w:r w:rsidRPr="00991B39">
        <w:rPr>
          <w:sz w:val="26"/>
          <w:szCs w:val="26"/>
        </w:rPr>
        <w:t>John F. Coleman, Jr.</w:t>
      </w:r>
    </w:p>
    <w:p w:rsidR="00251BC5" w:rsidRDefault="00CE41A2" w:rsidP="00251BC5">
      <w:pPr>
        <w:widowControl w:val="0"/>
        <w:tabs>
          <w:tab w:val="left" w:pos="705"/>
        </w:tabs>
        <w:spacing w:line="240" w:lineRule="auto"/>
        <w:ind w:firstLine="720"/>
        <w:rPr>
          <w:sz w:val="26"/>
          <w:szCs w:val="26"/>
        </w:rPr>
      </w:pPr>
      <w:r w:rsidRPr="00251BC5">
        <w:rPr>
          <w:sz w:val="26"/>
          <w:szCs w:val="26"/>
        </w:rPr>
        <w:t>Robert F. Powelson</w:t>
      </w:r>
    </w:p>
    <w:p w:rsidR="006266C0" w:rsidRDefault="006266C0" w:rsidP="00251BC5">
      <w:pPr>
        <w:widowControl w:val="0"/>
        <w:tabs>
          <w:tab w:val="left" w:pos="705"/>
        </w:tabs>
        <w:spacing w:line="240" w:lineRule="auto"/>
        <w:ind w:firstLine="720"/>
        <w:rPr>
          <w:sz w:val="26"/>
          <w:szCs w:val="26"/>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4320"/>
      </w:tblGrid>
      <w:tr w:rsidR="006266C0" w:rsidRPr="006266C0" w:rsidTr="002270A5">
        <w:tc>
          <w:tcPr>
            <w:tcW w:w="5238" w:type="dxa"/>
          </w:tcPr>
          <w:p w:rsidR="006266C0" w:rsidRDefault="006266C0" w:rsidP="006266C0">
            <w:pPr>
              <w:widowControl w:val="0"/>
              <w:spacing w:line="240" w:lineRule="auto"/>
              <w:ind w:firstLine="0"/>
              <w:rPr>
                <w:rFonts w:ascii="Times New Roman" w:hAnsi="Times New Roman"/>
                <w:sz w:val="26"/>
                <w:szCs w:val="26"/>
              </w:rPr>
            </w:pPr>
            <w:r>
              <w:rPr>
                <w:rFonts w:ascii="Times New Roman" w:hAnsi="Times New Roman"/>
                <w:sz w:val="26"/>
                <w:szCs w:val="26"/>
              </w:rPr>
              <w:t>Pennsylvania Public Utility Commission</w:t>
            </w:r>
            <w:r w:rsidR="003967C8">
              <w:rPr>
                <w:rFonts w:ascii="Times New Roman" w:hAnsi="Times New Roman"/>
                <w:sz w:val="26"/>
                <w:szCs w:val="26"/>
              </w:rPr>
              <w:t>,</w:t>
            </w:r>
          </w:p>
          <w:p w:rsidR="007548C0" w:rsidRDefault="007548C0" w:rsidP="006266C0">
            <w:pPr>
              <w:widowControl w:val="0"/>
              <w:spacing w:line="240" w:lineRule="auto"/>
              <w:ind w:firstLine="0"/>
              <w:rPr>
                <w:rFonts w:ascii="Times New Roman" w:hAnsi="Times New Roman"/>
                <w:sz w:val="26"/>
                <w:szCs w:val="26"/>
              </w:rPr>
            </w:pPr>
            <w:r w:rsidRPr="007548C0">
              <w:rPr>
                <w:rFonts w:ascii="Times New Roman" w:hAnsi="Times New Roman"/>
                <w:sz w:val="26"/>
                <w:szCs w:val="26"/>
              </w:rPr>
              <w:t>Bureau of Investigation and Enforcement</w:t>
            </w:r>
            <w:r w:rsidRPr="007548C0">
              <w:rPr>
                <w:rFonts w:ascii="Times New Roman" w:hAnsi="Times New Roman"/>
                <w:sz w:val="26"/>
                <w:szCs w:val="26"/>
              </w:rPr>
              <w:tab/>
            </w:r>
          </w:p>
          <w:p w:rsidR="007548C0" w:rsidRDefault="007548C0" w:rsidP="006266C0">
            <w:pPr>
              <w:widowControl w:val="0"/>
              <w:spacing w:line="240" w:lineRule="auto"/>
              <w:ind w:firstLine="0"/>
              <w:rPr>
                <w:rFonts w:ascii="Times New Roman" w:hAnsi="Times New Roman"/>
                <w:sz w:val="26"/>
                <w:szCs w:val="26"/>
              </w:rPr>
            </w:pPr>
          </w:p>
          <w:p w:rsidR="007548C0" w:rsidRDefault="007548C0" w:rsidP="007548C0">
            <w:pPr>
              <w:widowControl w:val="0"/>
              <w:spacing w:line="240" w:lineRule="auto"/>
              <w:ind w:firstLine="0"/>
              <w:jc w:val="center"/>
              <w:rPr>
                <w:rFonts w:ascii="Times New Roman" w:hAnsi="Times New Roman"/>
                <w:sz w:val="26"/>
                <w:szCs w:val="26"/>
              </w:rPr>
            </w:pPr>
            <w:r>
              <w:rPr>
                <w:rFonts w:ascii="Times New Roman" w:hAnsi="Times New Roman"/>
                <w:sz w:val="26"/>
                <w:szCs w:val="26"/>
              </w:rPr>
              <w:t>v.</w:t>
            </w:r>
          </w:p>
          <w:p w:rsidR="007548C0" w:rsidRDefault="007548C0" w:rsidP="007548C0">
            <w:pPr>
              <w:widowControl w:val="0"/>
              <w:spacing w:line="240" w:lineRule="auto"/>
              <w:ind w:firstLine="0"/>
              <w:rPr>
                <w:rFonts w:ascii="Times New Roman" w:hAnsi="Times New Roman"/>
                <w:sz w:val="26"/>
                <w:szCs w:val="26"/>
              </w:rPr>
            </w:pPr>
          </w:p>
          <w:p w:rsidR="007548C0" w:rsidRPr="006266C0" w:rsidRDefault="007548C0" w:rsidP="007548C0">
            <w:pPr>
              <w:widowControl w:val="0"/>
              <w:spacing w:line="240" w:lineRule="auto"/>
              <w:ind w:firstLine="0"/>
              <w:rPr>
                <w:rFonts w:ascii="Times New Roman" w:hAnsi="Times New Roman"/>
                <w:sz w:val="26"/>
                <w:szCs w:val="26"/>
              </w:rPr>
            </w:pPr>
            <w:r w:rsidRPr="007548C0">
              <w:rPr>
                <w:rFonts w:ascii="Times New Roman" w:hAnsi="Times New Roman"/>
                <w:sz w:val="26"/>
                <w:szCs w:val="26"/>
              </w:rPr>
              <w:t>HIKO Energy, LLC</w:t>
            </w:r>
          </w:p>
        </w:tc>
        <w:tc>
          <w:tcPr>
            <w:tcW w:w="4320" w:type="dxa"/>
          </w:tcPr>
          <w:p w:rsidR="006266C0" w:rsidRDefault="008837E9" w:rsidP="006266C0">
            <w:pPr>
              <w:widowControl w:val="0"/>
              <w:spacing w:line="240" w:lineRule="auto"/>
              <w:ind w:left="-108" w:firstLine="0"/>
              <w:jc w:val="right"/>
              <w:rPr>
                <w:rFonts w:ascii="Times New Roman" w:hAnsi="Times New Roman"/>
                <w:sz w:val="26"/>
                <w:szCs w:val="26"/>
              </w:rPr>
            </w:pPr>
            <w:r>
              <w:rPr>
                <w:rFonts w:ascii="Times New Roman" w:hAnsi="Times New Roman"/>
                <w:sz w:val="26"/>
                <w:szCs w:val="26"/>
              </w:rPr>
              <w:t>P-2015-2519419</w:t>
            </w:r>
          </w:p>
          <w:p w:rsidR="007548C0" w:rsidRPr="006266C0" w:rsidRDefault="007548C0" w:rsidP="006266C0">
            <w:pPr>
              <w:widowControl w:val="0"/>
              <w:spacing w:line="240" w:lineRule="auto"/>
              <w:ind w:left="-108" w:firstLine="0"/>
              <w:jc w:val="right"/>
              <w:rPr>
                <w:rFonts w:ascii="Times New Roman" w:hAnsi="Times New Roman"/>
                <w:sz w:val="26"/>
                <w:szCs w:val="26"/>
              </w:rPr>
            </w:pPr>
            <w:r w:rsidRPr="007548C0">
              <w:rPr>
                <w:rFonts w:ascii="Times New Roman" w:hAnsi="Times New Roman"/>
                <w:sz w:val="26"/>
                <w:szCs w:val="26"/>
              </w:rPr>
              <w:t>C-2014-2431410</w:t>
            </w:r>
          </w:p>
        </w:tc>
      </w:tr>
    </w:tbl>
    <w:p w:rsidR="0037622C" w:rsidRDefault="0037622C" w:rsidP="00592753">
      <w:pPr>
        <w:tabs>
          <w:tab w:val="center" w:pos="4680"/>
        </w:tabs>
        <w:suppressAutoHyphens/>
        <w:spacing w:line="240" w:lineRule="auto"/>
        <w:ind w:firstLine="0"/>
        <w:jc w:val="center"/>
        <w:rPr>
          <w:b/>
          <w:sz w:val="26"/>
        </w:rPr>
      </w:pPr>
    </w:p>
    <w:p w:rsidR="009078DF" w:rsidRDefault="009078DF" w:rsidP="00592753">
      <w:pPr>
        <w:tabs>
          <w:tab w:val="center" w:pos="4680"/>
        </w:tabs>
        <w:suppressAutoHyphens/>
        <w:spacing w:line="240" w:lineRule="auto"/>
        <w:ind w:firstLine="0"/>
        <w:jc w:val="center"/>
        <w:rPr>
          <w:b/>
          <w:sz w:val="26"/>
        </w:rPr>
      </w:pPr>
      <w:r>
        <w:rPr>
          <w:b/>
          <w:sz w:val="26"/>
        </w:rPr>
        <w:t>OPINION AND ORDER</w:t>
      </w:r>
    </w:p>
    <w:p w:rsidR="009078DF" w:rsidRDefault="009078DF" w:rsidP="00592753">
      <w:pPr>
        <w:tabs>
          <w:tab w:val="left" w:pos="-720"/>
        </w:tabs>
        <w:suppressAutoHyphens/>
        <w:ind w:firstLine="0"/>
        <w:rPr>
          <w:b/>
          <w:sz w:val="26"/>
        </w:rPr>
      </w:pPr>
    </w:p>
    <w:p w:rsidR="009078DF" w:rsidRDefault="009078DF" w:rsidP="00592753">
      <w:pPr>
        <w:tabs>
          <w:tab w:val="left" w:pos="-720"/>
        </w:tabs>
        <w:suppressAutoHyphens/>
        <w:ind w:firstLine="0"/>
        <w:rPr>
          <w:sz w:val="26"/>
        </w:rPr>
      </w:pPr>
      <w:r>
        <w:rPr>
          <w:b/>
          <w:sz w:val="26"/>
        </w:rPr>
        <w:t>BY THE COMMISSION:</w:t>
      </w:r>
    </w:p>
    <w:p w:rsidR="009078DF" w:rsidRDefault="009078DF" w:rsidP="00592753">
      <w:pPr>
        <w:ind w:firstLine="0"/>
        <w:rPr>
          <w:sz w:val="26"/>
          <w:szCs w:val="26"/>
        </w:rPr>
      </w:pPr>
    </w:p>
    <w:p w:rsidR="00B970FC" w:rsidRPr="00B948E9" w:rsidRDefault="009078DF" w:rsidP="00B948E9">
      <w:pPr>
        <w:rPr>
          <w:color w:val="000000"/>
          <w:sz w:val="26"/>
          <w:szCs w:val="26"/>
        </w:rPr>
      </w:pPr>
      <w:r>
        <w:rPr>
          <w:sz w:val="26"/>
          <w:szCs w:val="26"/>
        </w:rPr>
        <w:t xml:space="preserve">Before the Pennsylvania Public Utility Commission (Commission) for consideration </w:t>
      </w:r>
      <w:r w:rsidR="00E62493">
        <w:rPr>
          <w:sz w:val="26"/>
          <w:szCs w:val="26"/>
        </w:rPr>
        <w:t xml:space="preserve">and disposition </w:t>
      </w:r>
      <w:r w:rsidR="008912A0">
        <w:rPr>
          <w:sz w:val="26"/>
          <w:szCs w:val="26"/>
        </w:rPr>
        <w:t xml:space="preserve">is the </w:t>
      </w:r>
      <w:r w:rsidR="00207C45">
        <w:rPr>
          <w:sz w:val="26"/>
          <w:szCs w:val="26"/>
        </w:rPr>
        <w:t xml:space="preserve">Emergency </w:t>
      </w:r>
      <w:r w:rsidR="008912A0">
        <w:rPr>
          <w:sz w:val="26"/>
          <w:szCs w:val="26"/>
        </w:rPr>
        <w:t xml:space="preserve">Petition for </w:t>
      </w:r>
      <w:r w:rsidR="00207C45">
        <w:rPr>
          <w:sz w:val="26"/>
          <w:szCs w:val="26"/>
        </w:rPr>
        <w:t>Supersedeas</w:t>
      </w:r>
      <w:r w:rsidR="008912A0">
        <w:rPr>
          <w:sz w:val="26"/>
          <w:szCs w:val="26"/>
        </w:rPr>
        <w:t xml:space="preserve"> (Petition) filed by </w:t>
      </w:r>
      <w:r w:rsidR="00207C45">
        <w:rPr>
          <w:sz w:val="26"/>
          <w:szCs w:val="26"/>
        </w:rPr>
        <w:t>HIKO Energy, LLC</w:t>
      </w:r>
      <w:r w:rsidR="0033553B">
        <w:rPr>
          <w:sz w:val="26"/>
          <w:szCs w:val="26"/>
        </w:rPr>
        <w:t xml:space="preserve"> (</w:t>
      </w:r>
      <w:r w:rsidR="00207C45">
        <w:rPr>
          <w:sz w:val="26"/>
          <w:szCs w:val="26"/>
        </w:rPr>
        <w:t>HIKO</w:t>
      </w:r>
      <w:r w:rsidR="005576E0">
        <w:rPr>
          <w:sz w:val="26"/>
          <w:szCs w:val="26"/>
        </w:rPr>
        <w:t xml:space="preserve"> or Company</w:t>
      </w:r>
      <w:r w:rsidR="0033553B">
        <w:rPr>
          <w:sz w:val="26"/>
          <w:szCs w:val="26"/>
        </w:rPr>
        <w:t xml:space="preserve">) on </w:t>
      </w:r>
      <w:r w:rsidR="00207C45">
        <w:rPr>
          <w:sz w:val="26"/>
          <w:szCs w:val="26"/>
        </w:rPr>
        <w:t>December 18</w:t>
      </w:r>
      <w:r w:rsidR="0033553B">
        <w:rPr>
          <w:sz w:val="26"/>
          <w:szCs w:val="26"/>
        </w:rPr>
        <w:t>, 2015</w:t>
      </w:r>
      <w:r w:rsidR="008912A0">
        <w:rPr>
          <w:sz w:val="26"/>
          <w:szCs w:val="26"/>
        </w:rPr>
        <w:t xml:space="preserve">.  In its Petition, </w:t>
      </w:r>
      <w:r w:rsidR="00207C45">
        <w:rPr>
          <w:sz w:val="26"/>
          <w:szCs w:val="26"/>
        </w:rPr>
        <w:t>HIKO</w:t>
      </w:r>
      <w:r w:rsidR="008912A0">
        <w:rPr>
          <w:sz w:val="26"/>
          <w:szCs w:val="26"/>
        </w:rPr>
        <w:t xml:space="preserve"> requests that </w:t>
      </w:r>
      <w:r w:rsidR="00DA6B8F">
        <w:rPr>
          <w:sz w:val="26"/>
          <w:szCs w:val="26"/>
        </w:rPr>
        <w:t>we</w:t>
      </w:r>
      <w:r w:rsidR="008912A0">
        <w:rPr>
          <w:sz w:val="26"/>
          <w:szCs w:val="26"/>
        </w:rPr>
        <w:t xml:space="preserve"> </w:t>
      </w:r>
      <w:r w:rsidR="00DA6B8F">
        <w:rPr>
          <w:sz w:val="26"/>
          <w:szCs w:val="26"/>
        </w:rPr>
        <w:t xml:space="preserve">act </w:t>
      </w:r>
      <w:r w:rsidR="00DA6B8F" w:rsidRPr="00DA6B8F">
        <w:rPr>
          <w:sz w:val="26"/>
          <w:szCs w:val="26"/>
        </w:rPr>
        <w:t>on an expedited basis</w:t>
      </w:r>
      <w:r w:rsidR="00DA6B8F">
        <w:rPr>
          <w:sz w:val="26"/>
          <w:szCs w:val="26"/>
        </w:rPr>
        <w:t xml:space="preserve"> to </w:t>
      </w:r>
      <w:r w:rsidR="008912A0">
        <w:rPr>
          <w:sz w:val="26"/>
          <w:szCs w:val="26"/>
        </w:rPr>
        <w:t xml:space="preserve">stay the enforcement of </w:t>
      </w:r>
      <w:r w:rsidR="00DA6B8F">
        <w:rPr>
          <w:sz w:val="26"/>
          <w:szCs w:val="26"/>
        </w:rPr>
        <w:t xml:space="preserve">our </w:t>
      </w:r>
      <w:r w:rsidR="008912A0">
        <w:rPr>
          <w:sz w:val="26"/>
          <w:szCs w:val="26"/>
        </w:rPr>
        <w:t xml:space="preserve">Order </w:t>
      </w:r>
      <w:r w:rsidR="00DA6B8F">
        <w:rPr>
          <w:sz w:val="26"/>
          <w:szCs w:val="26"/>
        </w:rPr>
        <w:t>entered</w:t>
      </w:r>
      <w:r w:rsidR="008912A0">
        <w:rPr>
          <w:sz w:val="26"/>
          <w:szCs w:val="26"/>
        </w:rPr>
        <w:t xml:space="preserve"> </w:t>
      </w:r>
      <w:r w:rsidR="00DA6B8F">
        <w:rPr>
          <w:sz w:val="26"/>
          <w:szCs w:val="26"/>
        </w:rPr>
        <w:t>December 3</w:t>
      </w:r>
      <w:r w:rsidR="008912A0">
        <w:rPr>
          <w:sz w:val="26"/>
          <w:szCs w:val="26"/>
        </w:rPr>
        <w:t>, 2015</w:t>
      </w:r>
      <w:r w:rsidR="00274891">
        <w:rPr>
          <w:sz w:val="26"/>
          <w:szCs w:val="26"/>
        </w:rPr>
        <w:t xml:space="preserve"> (</w:t>
      </w:r>
      <w:r w:rsidR="00DA6B8F">
        <w:rPr>
          <w:i/>
          <w:sz w:val="26"/>
          <w:szCs w:val="26"/>
        </w:rPr>
        <w:t>December</w:t>
      </w:r>
      <w:r w:rsidR="00274891">
        <w:rPr>
          <w:i/>
          <w:sz w:val="26"/>
          <w:szCs w:val="26"/>
        </w:rPr>
        <w:t xml:space="preserve"> 2015 Order</w:t>
      </w:r>
      <w:r w:rsidR="00274891">
        <w:rPr>
          <w:sz w:val="26"/>
          <w:szCs w:val="26"/>
        </w:rPr>
        <w:t>)</w:t>
      </w:r>
      <w:r w:rsidR="00DA6B8F">
        <w:rPr>
          <w:sz w:val="26"/>
          <w:szCs w:val="26"/>
        </w:rPr>
        <w:t xml:space="preserve"> </w:t>
      </w:r>
      <w:r w:rsidR="008912A0">
        <w:rPr>
          <w:sz w:val="26"/>
          <w:szCs w:val="26"/>
        </w:rPr>
        <w:t xml:space="preserve">while </w:t>
      </w:r>
      <w:r w:rsidR="00DA6B8F">
        <w:rPr>
          <w:sz w:val="26"/>
          <w:szCs w:val="26"/>
        </w:rPr>
        <w:t>HIKO</w:t>
      </w:r>
      <w:r w:rsidR="008912A0">
        <w:rPr>
          <w:sz w:val="26"/>
          <w:szCs w:val="26"/>
        </w:rPr>
        <w:t xml:space="preserve"> pursues its right to appeal</w:t>
      </w:r>
      <w:r w:rsidR="00274891">
        <w:rPr>
          <w:sz w:val="26"/>
          <w:szCs w:val="26"/>
        </w:rPr>
        <w:t xml:space="preserve"> th</w:t>
      </w:r>
      <w:r w:rsidR="00DA6B8F">
        <w:rPr>
          <w:sz w:val="26"/>
          <w:szCs w:val="26"/>
        </w:rPr>
        <w:t>at</w:t>
      </w:r>
      <w:r w:rsidR="00274891">
        <w:rPr>
          <w:sz w:val="26"/>
          <w:szCs w:val="26"/>
        </w:rPr>
        <w:t xml:space="preserve"> decision before </w:t>
      </w:r>
      <w:r w:rsidR="008912A0">
        <w:rPr>
          <w:sz w:val="26"/>
          <w:szCs w:val="26"/>
        </w:rPr>
        <w:t>the Commonwealth Court.</w:t>
      </w:r>
      <w:r w:rsidR="00083D23">
        <w:rPr>
          <w:sz w:val="26"/>
          <w:szCs w:val="26"/>
        </w:rPr>
        <w:t xml:space="preserve"> </w:t>
      </w:r>
      <w:r w:rsidR="008912A0">
        <w:rPr>
          <w:sz w:val="26"/>
          <w:szCs w:val="26"/>
        </w:rPr>
        <w:t xml:space="preserve"> </w:t>
      </w:r>
      <w:r w:rsidR="007C1FC4">
        <w:rPr>
          <w:sz w:val="26"/>
          <w:szCs w:val="26"/>
        </w:rPr>
        <w:t>On December 3</w:t>
      </w:r>
      <w:r w:rsidR="00104931">
        <w:rPr>
          <w:sz w:val="26"/>
          <w:szCs w:val="26"/>
        </w:rPr>
        <w:t>0</w:t>
      </w:r>
      <w:r w:rsidR="007C1FC4">
        <w:rPr>
          <w:sz w:val="26"/>
          <w:szCs w:val="26"/>
        </w:rPr>
        <w:t>, 2015, the Bureau of Investigation and Enforcement (I&amp;E) filed an Answer to the Petition.</w:t>
      </w:r>
      <w:r w:rsidR="008912A0">
        <w:rPr>
          <w:sz w:val="26"/>
          <w:szCs w:val="26"/>
        </w:rPr>
        <w:t xml:space="preserve">  </w:t>
      </w:r>
      <w:r w:rsidR="00104931" w:rsidRPr="00104931">
        <w:rPr>
          <w:sz w:val="26"/>
          <w:szCs w:val="26"/>
        </w:rPr>
        <w:t xml:space="preserve">On December 31, 2015, the </w:t>
      </w:r>
      <w:r w:rsidR="00104931">
        <w:rPr>
          <w:sz w:val="26"/>
          <w:szCs w:val="26"/>
        </w:rPr>
        <w:t>Office of Consumer Advocate (</w:t>
      </w:r>
      <w:r w:rsidR="00104931" w:rsidRPr="00104931">
        <w:rPr>
          <w:sz w:val="26"/>
          <w:szCs w:val="26"/>
        </w:rPr>
        <w:t>OCA</w:t>
      </w:r>
      <w:r w:rsidR="00104931">
        <w:rPr>
          <w:sz w:val="26"/>
          <w:szCs w:val="26"/>
        </w:rPr>
        <w:t>)</w:t>
      </w:r>
      <w:r w:rsidR="00104931" w:rsidRPr="00104931">
        <w:rPr>
          <w:sz w:val="26"/>
          <w:szCs w:val="26"/>
        </w:rPr>
        <w:t xml:space="preserve"> filed a letter stating that it would not be filing an answer.  </w:t>
      </w:r>
      <w:r w:rsidR="000A3294">
        <w:rPr>
          <w:color w:val="000000"/>
          <w:sz w:val="26"/>
          <w:szCs w:val="26"/>
        </w:rPr>
        <w:t>F</w:t>
      </w:r>
      <w:r w:rsidR="00B970FC" w:rsidRPr="009B7A28">
        <w:rPr>
          <w:sz w:val="26"/>
        </w:rPr>
        <w:t xml:space="preserve">or the reasons discussed below, </w:t>
      </w:r>
      <w:r w:rsidR="00B970FC" w:rsidRPr="002D518C">
        <w:rPr>
          <w:sz w:val="26"/>
        </w:rPr>
        <w:t xml:space="preserve">we </w:t>
      </w:r>
      <w:r w:rsidR="008912A0">
        <w:rPr>
          <w:sz w:val="26"/>
        </w:rPr>
        <w:t>deny the Petition.</w:t>
      </w:r>
    </w:p>
    <w:p w:rsidR="00B970FC" w:rsidRDefault="00B970FC" w:rsidP="00B970FC">
      <w:pPr>
        <w:rPr>
          <w:sz w:val="26"/>
        </w:rPr>
      </w:pPr>
    </w:p>
    <w:p w:rsidR="00EB5FEB" w:rsidRPr="003A2799" w:rsidRDefault="009078DF" w:rsidP="00274891">
      <w:pPr>
        <w:spacing w:line="240" w:lineRule="auto"/>
        <w:ind w:firstLine="0"/>
        <w:jc w:val="center"/>
        <w:rPr>
          <w:color w:val="000000"/>
          <w:sz w:val="26"/>
          <w:szCs w:val="26"/>
        </w:rPr>
      </w:pPr>
      <w:r w:rsidRPr="003A2799">
        <w:rPr>
          <w:b/>
          <w:sz w:val="26"/>
          <w:szCs w:val="26"/>
        </w:rPr>
        <w:lastRenderedPageBreak/>
        <w:t>History of the Proceeding</w:t>
      </w:r>
    </w:p>
    <w:p w:rsidR="00EB5FEB" w:rsidRPr="00EB5FEB" w:rsidRDefault="00EB5FEB" w:rsidP="00EB5FEB">
      <w:pPr>
        <w:ind w:firstLine="0"/>
        <w:rPr>
          <w:color w:val="000000"/>
          <w:sz w:val="26"/>
          <w:szCs w:val="26"/>
        </w:rPr>
      </w:pPr>
    </w:p>
    <w:p w:rsidR="00880C40" w:rsidRDefault="00E0670B" w:rsidP="00274891">
      <w:pPr>
        <w:adjustRightInd w:val="0"/>
        <w:ind w:firstLine="0"/>
        <w:rPr>
          <w:sz w:val="26"/>
          <w:szCs w:val="26"/>
        </w:rPr>
      </w:pPr>
      <w:r>
        <w:rPr>
          <w:color w:val="000000"/>
          <w:sz w:val="26"/>
          <w:szCs w:val="26"/>
        </w:rPr>
        <w:tab/>
      </w:r>
      <w:r>
        <w:rPr>
          <w:color w:val="000000"/>
          <w:sz w:val="26"/>
          <w:szCs w:val="26"/>
        </w:rPr>
        <w:tab/>
      </w:r>
      <w:r w:rsidR="00880C40">
        <w:rPr>
          <w:sz w:val="26"/>
          <w:szCs w:val="26"/>
        </w:rPr>
        <w:t xml:space="preserve">On </w:t>
      </w:r>
      <w:r w:rsidR="007C1FC4">
        <w:rPr>
          <w:sz w:val="26"/>
          <w:szCs w:val="26"/>
        </w:rPr>
        <w:t>July</w:t>
      </w:r>
      <w:r w:rsidR="00880C40">
        <w:rPr>
          <w:sz w:val="26"/>
          <w:szCs w:val="26"/>
        </w:rPr>
        <w:t xml:space="preserve"> 1</w:t>
      </w:r>
      <w:r w:rsidR="007C1FC4">
        <w:rPr>
          <w:sz w:val="26"/>
          <w:szCs w:val="26"/>
        </w:rPr>
        <w:t>1</w:t>
      </w:r>
      <w:r w:rsidR="00880C40">
        <w:rPr>
          <w:sz w:val="26"/>
          <w:szCs w:val="26"/>
        </w:rPr>
        <w:t xml:space="preserve">, 2014, </w:t>
      </w:r>
      <w:r w:rsidR="00880C40" w:rsidRPr="00880C40">
        <w:rPr>
          <w:sz w:val="26"/>
          <w:szCs w:val="26"/>
        </w:rPr>
        <w:t xml:space="preserve">I&amp;E </w:t>
      </w:r>
      <w:r w:rsidR="0073480C">
        <w:rPr>
          <w:sz w:val="26"/>
          <w:szCs w:val="26"/>
        </w:rPr>
        <w:t>filed a</w:t>
      </w:r>
      <w:r w:rsidR="00C1207F">
        <w:rPr>
          <w:sz w:val="26"/>
          <w:szCs w:val="26"/>
        </w:rPr>
        <w:t xml:space="preserve"> Formal</w:t>
      </w:r>
      <w:r w:rsidR="0073480C">
        <w:rPr>
          <w:sz w:val="26"/>
          <w:szCs w:val="26"/>
        </w:rPr>
        <w:t xml:space="preserve"> C</w:t>
      </w:r>
      <w:r w:rsidR="00880C40">
        <w:rPr>
          <w:sz w:val="26"/>
          <w:szCs w:val="26"/>
        </w:rPr>
        <w:t xml:space="preserve">omplaint </w:t>
      </w:r>
      <w:r w:rsidR="00C1207F">
        <w:rPr>
          <w:sz w:val="26"/>
          <w:szCs w:val="26"/>
        </w:rPr>
        <w:t>against HIKO</w:t>
      </w:r>
      <w:r w:rsidR="007D3131">
        <w:rPr>
          <w:sz w:val="26"/>
          <w:szCs w:val="26"/>
        </w:rPr>
        <w:t xml:space="preserve">, an </w:t>
      </w:r>
      <w:r w:rsidR="007D3131" w:rsidRPr="007D3131">
        <w:rPr>
          <w:sz w:val="26"/>
          <w:szCs w:val="26"/>
        </w:rPr>
        <w:t>electric generation supplier (EGS)</w:t>
      </w:r>
      <w:r w:rsidR="007D3131">
        <w:rPr>
          <w:sz w:val="26"/>
          <w:szCs w:val="26"/>
        </w:rPr>
        <w:t>,</w:t>
      </w:r>
      <w:r w:rsidR="00C1207F">
        <w:rPr>
          <w:sz w:val="26"/>
          <w:szCs w:val="26"/>
        </w:rPr>
        <w:t xml:space="preserve"> </w:t>
      </w:r>
      <w:r w:rsidR="00880C40">
        <w:rPr>
          <w:sz w:val="26"/>
          <w:szCs w:val="26"/>
        </w:rPr>
        <w:t>alleging</w:t>
      </w:r>
      <w:r w:rsidR="00880C40" w:rsidRPr="00880C40">
        <w:rPr>
          <w:sz w:val="26"/>
          <w:szCs w:val="26"/>
        </w:rPr>
        <w:t xml:space="preserve"> that</w:t>
      </w:r>
      <w:r w:rsidR="00543B87">
        <w:rPr>
          <w:sz w:val="26"/>
          <w:szCs w:val="26"/>
        </w:rPr>
        <w:t xml:space="preserve"> </w:t>
      </w:r>
      <w:r w:rsidR="00C1207F">
        <w:rPr>
          <w:sz w:val="26"/>
          <w:szCs w:val="26"/>
        </w:rPr>
        <w:t xml:space="preserve">from January through April 2014, the </w:t>
      </w:r>
      <w:r w:rsidR="007D3131">
        <w:rPr>
          <w:sz w:val="26"/>
          <w:szCs w:val="26"/>
        </w:rPr>
        <w:t xml:space="preserve">EGS </w:t>
      </w:r>
      <w:r w:rsidR="00C1207F">
        <w:rPr>
          <w:sz w:val="26"/>
          <w:szCs w:val="26"/>
        </w:rPr>
        <w:t>billed 5,70</w:t>
      </w:r>
      <w:r w:rsidR="007D3131">
        <w:rPr>
          <w:sz w:val="26"/>
          <w:szCs w:val="26"/>
        </w:rPr>
        <w:t>8</w:t>
      </w:r>
      <w:r w:rsidR="00C1207F">
        <w:rPr>
          <w:sz w:val="26"/>
          <w:szCs w:val="26"/>
        </w:rPr>
        <w:t xml:space="preserve"> customers across the service territories of 6 electric distribution companies (EDCs) a variable rate that exceeded the discount introductory rate that the EGS </w:t>
      </w:r>
      <w:r w:rsidR="001D3997">
        <w:rPr>
          <w:sz w:val="26"/>
          <w:szCs w:val="26"/>
        </w:rPr>
        <w:t xml:space="preserve">had promised customers </w:t>
      </w:r>
      <w:r w:rsidR="007776FF" w:rsidRPr="007776FF">
        <w:rPr>
          <w:sz w:val="26"/>
          <w:szCs w:val="26"/>
        </w:rPr>
        <w:t xml:space="preserve">at the time of </w:t>
      </w:r>
      <w:r w:rsidR="001D3997">
        <w:rPr>
          <w:sz w:val="26"/>
          <w:szCs w:val="26"/>
        </w:rPr>
        <w:t xml:space="preserve">their </w:t>
      </w:r>
      <w:r w:rsidR="007776FF" w:rsidRPr="007776FF">
        <w:rPr>
          <w:sz w:val="26"/>
          <w:szCs w:val="26"/>
        </w:rPr>
        <w:t>enrollment</w:t>
      </w:r>
      <w:r w:rsidR="001D3997">
        <w:rPr>
          <w:sz w:val="26"/>
          <w:szCs w:val="26"/>
        </w:rPr>
        <w:t xml:space="preserve">. </w:t>
      </w:r>
      <w:r w:rsidR="007776FF" w:rsidRPr="007776FF">
        <w:rPr>
          <w:sz w:val="26"/>
          <w:szCs w:val="26"/>
        </w:rPr>
        <w:t xml:space="preserve"> </w:t>
      </w:r>
      <w:r w:rsidR="001D3997">
        <w:rPr>
          <w:sz w:val="26"/>
          <w:szCs w:val="26"/>
        </w:rPr>
        <w:t xml:space="preserve">HIKO’s variable rate offering at issue </w:t>
      </w:r>
      <w:r w:rsidR="00C1207F">
        <w:rPr>
          <w:sz w:val="26"/>
          <w:szCs w:val="26"/>
        </w:rPr>
        <w:t xml:space="preserve">had guaranteed customers </w:t>
      </w:r>
      <w:r w:rsidR="001D3997">
        <w:rPr>
          <w:sz w:val="26"/>
          <w:szCs w:val="26"/>
        </w:rPr>
        <w:t xml:space="preserve">they would save </w:t>
      </w:r>
      <w:r w:rsidR="00C1207F" w:rsidRPr="00C1207F">
        <w:rPr>
          <w:sz w:val="26"/>
          <w:szCs w:val="26"/>
        </w:rPr>
        <w:t xml:space="preserve">1% to 7% </w:t>
      </w:r>
      <w:r w:rsidR="007D3131">
        <w:rPr>
          <w:sz w:val="26"/>
          <w:szCs w:val="26"/>
        </w:rPr>
        <w:t xml:space="preserve">over the </w:t>
      </w:r>
      <w:r w:rsidR="00760822">
        <w:rPr>
          <w:sz w:val="26"/>
          <w:szCs w:val="26"/>
        </w:rPr>
        <w:t xml:space="preserve">price-to-compare (PTC) </w:t>
      </w:r>
      <w:r w:rsidR="007D3131">
        <w:rPr>
          <w:sz w:val="26"/>
          <w:szCs w:val="26"/>
        </w:rPr>
        <w:t>of their EDC f</w:t>
      </w:r>
      <w:r w:rsidR="00C1207F">
        <w:rPr>
          <w:sz w:val="26"/>
          <w:szCs w:val="26"/>
        </w:rPr>
        <w:t xml:space="preserve">or the first 6 months of </w:t>
      </w:r>
      <w:r w:rsidR="007D3131">
        <w:rPr>
          <w:sz w:val="26"/>
          <w:szCs w:val="26"/>
        </w:rPr>
        <w:t xml:space="preserve">the customers’ </w:t>
      </w:r>
      <w:r w:rsidR="00C1207F">
        <w:rPr>
          <w:sz w:val="26"/>
          <w:szCs w:val="26"/>
        </w:rPr>
        <w:t>service</w:t>
      </w:r>
      <w:r w:rsidR="007776FF">
        <w:rPr>
          <w:sz w:val="26"/>
          <w:szCs w:val="26"/>
        </w:rPr>
        <w:t xml:space="preserve"> (guaranteed price offering)</w:t>
      </w:r>
      <w:r w:rsidR="00C1207F">
        <w:rPr>
          <w:sz w:val="26"/>
          <w:szCs w:val="26"/>
        </w:rPr>
        <w:t xml:space="preserve">.  </w:t>
      </w:r>
      <w:r w:rsidR="007D3131">
        <w:rPr>
          <w:sz w:val="26"/>
          <w:szCs w:val="26"/>
        </w:rPr>
        <w:t>In total, I&amp;E alleged 14,780 violations</w:t>
      </w:r>
      <w:r w:rsidR="00196DA2">
        <w:rPr>
          <w:rStyle w:val="FootnoteReference"/>
          <w:sz w:val="26"/>
          <w:szCs w:val="26"/>
        </w:rPr>
        <w:footnoteReference w:id="1"/>
      </w:r>
      <w:r w:rsidR="007D3131">
        <w:rPr>
          <w:sz w:val="26"/>
          <w:szCs w:val="26"/>
        </w:rPr>
        <w:t xml:space="preserve"> of Section 54.4(a) of our Regulations, 52 Pa. Code §</w:t>
      </w:r>
      <w:r w:rsidR="001D3997">
        <w:rPr>
          <w:sz w:val="26"/>
          <w:szCs w:val="26"/>
        </w:rPr>
        <w:t> </w:t>
      </w:r>
      <w:r w:rsidR="007D3131">
        <w:rPr>
          <w:sz w:val="26"/>
          <w:szCs w:val="26"/>
        </w:rPr>
        <w:t xml:space="preserve">54.4(a), which requires that the EGS’ billed prices reflect the prices marketed and agreed upon </w:t>
      </w:r>
      <w:r w:rsidR="005576E0">
        <w:rPr>
          <w:sz w:val="26"/>
          <w:szCs w:val="26"/>
        </w:rPr>
        <w:t xml:space="preserve">by the parties </w:t>
      </w:r>
      <w:r w:rsidR="007D3131">
        <w:rPr>
          <w:sz w:val="26"/>
          <w:szCs w:val="26"/>
        </w:rPr>
        <w:t xml:space="preserve">in the disclosure statement.  </w:t>
      </w:r>
      <w:r w:rsidR="007776FF">
        <w:rPr>
          <w:sz w:val="26"/>
          <w:szCs w:val="26"/>
        </w:rPr>
        <w:t xml:space="preserve">As relief, </w:t>
      </w:r>
      <w:r w:rsidR="007D3131">
        <w:rPr>
          <w:sz w:val="26"/>
          <w:szCs w:val="26"/>
        </w:rPr>
        <w:t xml:space="preserve">I&amp;E requested that </w:t>
      </w:r>
      <w:r w:rsidR="00B03942">
        <w:rPr>
          <w:sz w:val="26"/>
          <w:szCs w:val="26"/>
        </w:rPr>
        <w:t xml:space="preserve">we </w:t>
      </w:r>
      <w:r w:rsidR="007776FF">
        <w:rPr>
          <w:sz w:val="26"/>
          <w:szCs w:val="26"/>
        </w:rPr>
        <w:t xml:space="preserve">(1) </w:t>
      </w:r>
      <w:r w:rsidR="007D3131">
        <w:rPr>
          <w:sz w:val="26"/>
          <w:szCs w:val="26"/>
        </w:rPr>
        <w:t xml:space="preserve">impose a </w:t>
      </w:r>
      <w:r w:rsidR="00951DE1">
        <w:rPr>
          <w:sz w:val="26"/>
          <w:szCs w:val="26"/>
        </w:rPr>
        <w:t xml:space="preserve">total </w:t>
      </w:r>
      <w:r w:rsidR="007D3131">
        <w:rPr>
          <w:sz w:val="26"/>
          <w:szCs w:val="26"/>
        </w:rPr>
        <w:t xml:space="preserve">civil penalty of $14,780,000, </w:t>
      </w:r>
      <w:r w:rsidR="00951DE1">
        <w:rPr>
          <w:sz w:val="26"/>
          <w:szCs w:val="26"/>
        </w:rPr>
        <w:t xml:space="preserve">comprising </w:t>
      </w:r>
      <w:r w:rsidR="007D3131">
        <w:rPr>
          <w:sz w:val="26"/>
          <w:szCs w:val="26"/>
        </w:rPr>
        <w:t>a penal</w:t>
      </w:r>
      <w:r w:rsidR="007776FF">
        <w:rPr>
          <w:sz w:val="26"/>
          <w:szCs w:val="26"/>
        </w:rPr>
        <w:t>t</w:t>
      </w:r>
      <w:r w:rsidR="007D3131">
        <w:rPr>
          <w:sz w:val="26"/>
          <w:szCs w:val="26"/>
        </w:rPr>
        <w:t>y of $1,000 for each violation pursuant to Section 3301 of the Public Utility Code (Code), 66 Pa. C.S. §</w:t>
      </w:r>
      <w:r w:rsidR="007776FF">
        <w:rPr>
          <w:sz w:val="26"/>
          <w:szCs w:val="26"/>
        </w:rPr>
        <w:t xml:space="preserve"> 3301; (2) rescind HIKO’s </w:t>
      </w:r>
      <w:r w:rsidR="00951DE1">
        <w:rPr>
          <w:sz w:val="26"/>
          <w:szCs w:val="26"/>
        </w:rPr>
        <w:t>l</w:t>
      </w:r>
      <w:r w:rsidR="007776FF">
        <w:rPr>
          <w:sz w:val="26"/>
          <w:szCs w:val="26"/>
        </w:rPr>
        <w:t>icense</w:t>
      </w:r>
      <w:r w:rsidR="00951DE1">
        <w:rPr>
          <w:sz w:val="26"/>
          <w:szCs w:val="26"/>
        </w:rPr>
        <w:t xml:space="preserve"> to operate as an EGS in Pennsylvania</w:t>
      </w:r>
      <w:r w:rsidR="007776FF">
        <w:rPr>
          <w:sz w:val="26"/>
          <w:szCs w:val="26"/>
        </w:rPr>
        <w:t xml:space="preserve">; (3) require refunds for each customer not already provided a refund in the amount of the difference between what the customer was billed and the guaranteed price offering the customer was entitled to receive; and (4) grant any other relief we deemed appropriate. </w:t>
      </w:r>
    </w:p>
    <w:p w:rsidR="00274891" w:rsidRPr="00880C40" w:rsidRDefault="00274891" w:rsidP="00274891">
      <w:pPr>
        <w:adjustRightInd w:val="0"/>
        <w:ind w:firstLine="0"/>
        <w:rPr>
          <w:sz w:val="26"/>
          <w:szCs w:val="26"/>
        </w:rPr>
      </w:pPr>
    </w:p>
    <w:p w:rsidR="000F6852" w:rsidRPr="00196DA2" w:rsidRDefault="000F6852" w:rsidP="000F6852">
      <w:pPr>
        <w:rPr>
          <w:i/>
          <w:sz w:val="26"/>
          <w:szCs w:val="26"/>
        </w:rPr>
      </w:pPr>
      <w:r w:rsidRPr="000F6852">
        <w:rPr>
          <w:sz w:val="26"/>
          <w:szCs w:val="26"/>
        </w:rPr>
        <w:t xml:space="preserve">On </w:t>
      </w:r>
      <w:r w:rsidR="007776FF">
        <w:rPr>
          <w:sz w:val="26"/>
          <w:szCs w:val="26"/>
        </w:rPr>
        <w:t>August 4</w:t>
      </w:r>
      <w:r w:rsidRPr="000F6852">
        <w:rPr>
          <w:sz w:val="26"/>
          <w:szCs w:val="26"/>
        </w:rPr>
        <w:t xml:space="preserve">, 2014, </w:t>
      </w:r>
      <w:r w:rsidR="007776FF">
        <w:rPr>
          <w:sz w:val="26"/>
          <w:szCs w:val="26"/>
        </w:rPr>
        <w:t>HIKO f</w:t>
      </w:r>
      <w:r>
        <w:rPr>
          <w:sz w:val="26"/>
          <w:szCs w:val="26"/>
        </w:rPr>
        <w:t>iled an Answer</w:t>
      </w:r>
      <w:r w:rsidR="007776FF">
        <w:rPr>
          <w:sz w:val="26"/>
          <w:szCs w:val="26"/>
        </w:rPr>
        <w:t>,</w:t>
      </w:r>
      <w:r w:rsidR="00073E5C">
        <w:rPr>
          <w:sz w:val="26"/>
          <w:szCs w:val="26"/>
        </w:rPr>
        <w:t xml:space="preserve"> </w:t>
      </w:r>
      <w:r>
        <w:rPr>
          <w:sz w:val="26"/>
          <w:szCs w:val="26"/>
        </w:rPr>
        <w:t>New M</w:t>
      </w:r>
      <w:r w:rsidRPr="000F6852">
        <w:rPr>
          <w:sz w:val="26"/>
          <w:szCs w:val="26"/>
        </w:rPr>
        <w:t>atter</w:t>
      </w:r>
      <w:r w:rsidR="007776FF">
        <w:rPr>
          <w:sz w:val="26"/>
          <w:szCs w:val="26"/>
        </w:rPr>
        <w:t xml:space="preserve">, and Preliminary Objections.  </w:t>
      </w:r>
      <w:r w:rsidR="00196DA2">
        <w:rPr>
          <w:sz w:val="26"/>
          <w:szCs w:val="26"/>
        </w:rPr>
        <w:t xml:space="preserve">As to matters that remain pertinent to this Petition, </w:t>
      </w:r>
      <w:r w:rsidR="00760822">
        <w:rPr>
          <w:sz w:val="26"/>
          <w:szCs w:val="26"/>
        </w:rPr>
        <w:t>HIKO admitted marketing a variable rate plan that included introductory pricing, but denied</w:t>
      </w:r>
      <w:r>
        <w:rPr>
          <w:sz w:val="26"/>
          <w:szCs w:val="26"/>
        </w:rPr>
        <w:t xml:space="preserve"> </w:t>
      </w:r>
      <w:r w:rsidR="00760822">
        <w:rPr>
          <w:sz w:val="26"/>
          <w:szCs w:val="26"/>
        </w:rPr>
        <w:t xml:space="preserve">specific allegations of the number of customers and bills affected and instead referred to its invoices and customer enrollment materials.  HIKO further responded </w:t>
      </w:r>
      <w:r w:rsidR="00766A69">
        <w:rPr>
          <w:sz w:val="26"/>
          <w:szCs w:val="26"/>
        </w:rPr>
        <w:t xml:space="preserve">that </w:t>
      </w:r>
      <w:r w:rsidR="00760822">
        <w:rPr>
          <w:sz w:val="26"/>
          <w:szCs w:val="26"/>
        </w:rPr>
        <w:t xml:space="preserve">the fact that some customers received bills during the January through April 2014 time-frame that exceeded the applicable EDC’s PTC was due to “anomalous and unforeseen market forces beyond HIKO’s control” during that winter period.  </w:t>
      </w:r>
      <w:r w:rsidR="00196DA2">
        <w:rPr>
          <w:i/>
          <w:sz w:val="26"/>
          <w:szCs w:val="26"/>
        </w:rPr>
        <w:t xml:space="preserve">December 2015 Order </w:t>
      </w:r>
      <w:r w:rsidR="00196DA2">
        <w:rPr>
          <w:sz w:val="26"/>
          <w:szCs w:val="26"/>
        </w:rPr>
        <w:t>at 3</w:t>
      </w:r>
      <w:r w:rsidR="00760822">
        <w:rPr>
          <w:sz w:val="26"/>
          <w:szCs w:val="26"/>
        </w:rPr>
        <w:t xml:space="preserve">.  </w:t>
      </w:r>
      <w:r w:rsidR="00196DA2">
        <w:rPr>
          <w:sz w:val="26"/>
          <w:szCs w:val="26"/>
        </w:rPr>
        <w:lastRenderedPageBreak/>
        <w:t xml:space="preserve">HIKO also averred that I&amp;E’s requested relief was “grossly disproportionate” to the alleged violations.  </w:t>
      </w:r>
      <w:r w:rsidR="00196DA2">
        <w:rPr>
          <w:i/>
          <w:sz w:val="26"/>
          <w:szCs w:val="26"/>
        </w:rPr>
        <w:t>Id.</w:t>
      </w:r>
    </w:p>
    <w:p w:rsidR="000F6852" w:rsidRDefault="000F6852" w:rsidP="000F6852">
      <w:pPr>
        <w:rPr>
          <w:sz w:val="26"/>
          <w:szCs w:val="26"/>
        </w:rPr>
      </w:pPr>
    </w:p>
    <w:p w:rsidR="00F67B8D" w:rsidRDefault="00196DA2" w:rsidP="000F6852">
      <w:pPr>
        <w:rPr>
          <w:sz w:val="26"/>
          <w:szCs w:val="26"/>
        </w:rPr>
      </w:pPr>
      <w:r>
        <w:rPr>
          <w:sz w:val="26"/>
          <w:szCs w:val="26"/>
        </w:rPr>
        <w:t xml:space="preserve">By Order dated September 2, 2014, the presiding Administrative Law Judges (ALJs) denied HIKO’s </w:t>
      </w:r>
      <w:r w:rsidR="00B03942">
        <w:rPr>
          <w:sz w:val="26"/>
          <w:szCs w:val="26"/>
        </w:rPr>
        <w:t>P</w:t>
      </w:r>
      <w:r>
        <w:rPr>
          <w:sz w:val="26"/>
          <w:szCs w:val="26"/>
        </w:rPr>
        <w:t xml:space="preserve">reliminary </w:t>
      </w:r>
      <w:r w:rsidR="00B03942">
        <w:rPr>
          <w:sz w:val="26"/>
          <w:szCs w:val="26"/>
        </w:rPr>
        <w:t>O</w:t>
      </w:r>
      <w:r>
        <w:rPr>
          <w:sz w:val="26"/>
          <w:szCs w:val="26"/>
        </w:rPr>
        <w:t xml:space="preserve">bjections and the </w:t>
      </w:r>
      <w:r w:rsidR="00B03942">
        <w:rPr>
          <w:sz w:val="26"/>
          <w:szCs w:val="26"/>
        </w:rPr>
        <w:t>case</w:t>
      </w:r>
      <w:r>
        <w:rPr>
          <w:sz w:val="26"/>
          <w:szCs w:val="26"/>
        </w:rPr>
        <w:t xml:space="preserve"> proceeded to hearing on April 20, 2015.  </w:t>
      </w:r>
      <w:r w:rsidR="00757F78">
        <w:rPr>
          <w:sz w:val="26"/>
          <w:szCs w:val="26"/>
        </w:rPr>
        <w:t>Following briefing by the parties, the ALJs</w:t>
      </w:r>
      <w:r w:rsidR="00766A69">
        <w:rPr>
          <w:sz w:val="26"/>
          <w:szCs w:val="26"/>
        </w:rPr>
        <w:t>’</w:t>
      </w:r>
      <w:r w:rsidR="00757F78">
        <w:rPr>
          <w:sz w:val="26"/>
          <w:szCs w:val="26"/>
        </w:rPr>
        <w:t xml:space="preserve"> Initial Decision was issued on August 21, 2015.  In their Initial Decision, the ALJs </w:t>
      </w:r>
      <w:r w:rsidR="001412F4">
        <w:rPr>
          <w:sz w:val="26"/>
          <w:szCs w:val="26"/>
        </w:rPr>
        <w:t xml:space="preserve">granted in part and denied in part I&amp;E’s Complaint.  The ALJs </w:t>
      </w:r>
      <w:r w:rsidR="00757F78">
        <w:rPr>
          <w:sz w:val="26"/>
          <w:szCs w:val="26"/>
        </w:rPr>
        <w:t>denied as moot I&amp;E’s request for refunds in consideration of their Initial Decision addressing and adopting a settlement (</w:t>
      </w:r>
      <w:r w:rsidR="00757F78">
        <w:rPr>
          <w:i/>
          <w:sz w:val="26"/>
          <w:szCs w:val="26"/>
        </w:rPr>
        <w:t xml:space="preserve">OAG/OCA-HIKO </w:t>
      </w:r>
      <w:r w:rsidR="00757F78" w:rsidRPr="001412F4">
        <w:rPr>
          <w:i/>
          <w:sz w:val="26"/>
          <w:szCs w:val="26"/>
        </w:rPr>
        <w:t>Settlement</w:t>
      </w:r>
      <w:r w:rsidR="00757F78">
        <w:rPr>
          <w:sz w:val="26"/>
          <w:szCs w:val="26"/>
        </w:rPr>
        <w:t xml:space="preserve">) </w:t>
      </w:r>
      <w:r w:rsidR="00757F78" w:rsidRPr="00757F78">
        <w:rPr>
          <w:sz w:val="26"/>
          <w:szCs w:val="26"/>
        </w:rPr>
        <w:t>proposed</w:t>
      </w:r>
      <w:r w:rsidR="00757F78">
        <w:rPr>
          <w:sz w:val="26"/>
          <w:szCs w:val="26"/>
        </w:rPr>
        <w:t xml:space="preserve"> in a pending complaint proceeding filed against HIKO by the Pennsylvania Office of Attorney General (OAG) and </w:t>
      </w:r>
      <w:r w:rsidR="00104931">
        <w:rPr>
          <w:sz w:val="26"/>
          <w:szCs w:val="26"/>
        </w:rPr>
        <w:t xml:space="preserve">the </w:t>
      </w:r>
      <w:r w:rsidR="00757F78">
        <w:rPr>
          <w:sz w:val="26"/>
          <w:szCs w:val="26"/>
        </w:rPr>
        <w:t>OCA (collectively OAG/OCA)</w:t>
      </w:r>
      <w:r w:rsidR="003951AE">
        <w:rPr>
          <w:sz w:val="26"/>
          <w:szCs w:val="26"/>
        </w:rPr>
        <w:t>.</w:t>
      </w:r>
      <w:r w:rsidR="00F67B8D">
        <w:rPr>
          <w:rStyle w:val="FootnoteReference"/>
          <w:sz w:val="26"/>
          <w:szCs w:val="26"/>
        </w:rPr>
        <w:footnoteReference w:id="2"/>
      </w:r>
      <w:r w:rsidR="003951AE">
        <w:rPr>
          <w:sz w:val="26"/>
          <w:szCs w:val="26"/>
        </w:rPr>
        <w:t xml:space="preserve">  </w:t>
      </w:r>
      <w:r w:rsidR="001412F4">
        <w:rPr>
          <w:sz w:val="26"/>
          <w:szCs w:val="26"/>
        </w:rPr>
        <w:t xml:space="preserve">The ALJs </w:t>
      </w:r>
      <w:r w:rsidR="00B03942">
        <w:rPr>
          <w:sz w:val="26"/>
          <w:szCs w:val="26"/>
        </w:rPr>
        <w:t xml:space="preserve">also </w:t>
      </w:r>
      <w:r w:rsidR="001412F4">
        <w:rPr>
          <w:sz w:val="26"/>
          <w:szCs w:val="26"/>
        </w:rPr>
        <w:t xml:space="preserve">denied I&amp;E’s request for license revocation in light of their decision in </w:t>
      </w:r>
      <w:r w:rsidR="001412F4" w:rsidRPr="001412F4">
        <w:rPr>
          <w:i/>
          <w:sz w:val="26"/>
          <w:szCs w:val="26"/>
        </w:rPr>
        <w:t>OAG/OCA-HIKO Settlement</w:t>
      </w:r>
      <w:r w:rsidR="001412F4">
        <w:rPr>
          <w:sz w:val="26"/>
          <w:szCs w:val="26"/>
        </w:rPr>
        <w:t>.</w:t>
      </w:r>
    </w:p>
    <w:p w:rsidR="00F67B8D" w:rsidRDefault="00F67B8D" w:rsidP="000F6852">
      <w:pPr>
        <w:rPr>
          <w:sz w:val="26"/>
          <w:szCs w:val="26"/>
        </w:rPr>
      </w:pPr>
    </w:p>
    <w:p w:rsidR="00196DA2" w:rsidRPr="001412F4" w:rsidRDefault="0098623E" w:rsidP="000F6852">
      <w:pPr>
        <w:rPr>
          <w:sz w:val="26"/>
          <w:szCs w:val="26"/>
        </w:rPr>
      </w:pPr>
      <w:r>
        <w:rPr>
          <w:sz w:val="26"/>
          <w:szCs w:val="26"/>
        </w:rPr>
        <w:t xml:space="preserve">Under authority of </w:t>
      </w:r>
      <w:r w:rsidR="001412F4">
        <w:rPr>
          <w:sz w:val="26"/>
          <w:szCs w:val="26"/>
        </w:rPr>
        <w:t xml:space="preserve">Section 3301 of the Code, </w:t>
      </w:r>
      <w:r w:rsidR="00CE735D" w:rsidRPr="00CE735D">
        <w:rPr>
          <w:sz w:val="26"/>
          <w:szCs w:val="26"/>
        </w:rPr>
        <w:t>66 Pa. C.S. § 3301,</w:t>
      </w:r>
      <w:r w:rsidR="00CE735D">
        <w:rPr>
          <w:sz w:val="26"/>
          <w:szCs w:val="26"/>
        </w:rPr>
        <w:t xml:space="preserve"> </w:t>
      </w:r>
      <w:r w:rsidR="00B03942">
        <w:rPr>
          <w:sz w:val="26"/>
          <w:szCs w:val="26"/>
        </w:rPr>
        <w:t xml:space="preserve">the ALJs granted I&amp;E’s request for a penalty and directed HIKO to pay a civil penalty of $1,836,125.  </w:t>
      </w:r>
      <w:r w:rsidR="00F67B8D" w:rsidRPr="00F67B8D">
        <w:rPr>
          <w:sz w:val="26"/>
          <w:szCs w:val="26"/>
        </w:rPr>
        <w:t xml:space="preserve">Following our policy statement at 52 Pa. Code § 69.1201 and our well-established precedent in </w:t>
      </w:r>
      <w:r w:rsidR="00F67B8D" w:rsidRPr="00F67B8D">
        <w:rPr>
          <w:i/>
          <w:sz w:val="26"/>
          <w:szCs w:val="26"/>
        </w:rPr>
        <w:t>Rosi v Bell Atlantic-Pa., Inc.</w:t>
      </w:r>
      <w:r w:rsidR="00F67B8D" w:rsidRPr="00F67B8D">
        <w:rPr>
          <w:sz w:val="26"/>
          <w:szCs w:val="26"/>
        </w:rPr>
        <w:t>, Docket No. C-0092409 (Final Order entered February 10, 2000) (</w:t>
      </w:r>
      <w:r w:rsidR="00F67B8D" w:rsidRPr="00F67B8D">
        <w:rPr>
          <w:i/>
          <w:sz w:val="26"/>
          <w:szCs w:val="26"/>
        </w:rPr>
        <w:t>Rosi</w:t>
      </w:r>
      <w:r w:rsidR="00F67B8D" w:rsidRPr="00F67B8D">
        <w:rPr>
          <w:sz w:val="26"/>
          <w:szCs w:val="26"/>
        </w:rPr>
        <w:t>)</w:t>
      </w:r>
      <w:r w:rsidR="00F67B8D">
        <w:rPr>
          <w:sz w:val="26"/>
          <w:szCs w:val="26"/>
        </w:rPr>
        <w:t>, t</w:t>
      </w:r>
      <w:r w:rsidR="00B03942">
        <w:rPr>
          <w:sz w:val="26"/>
          <w:szCs w:val="26"/>
        </w:rPr>
        <w:t xml:space="preserve">he ALJs </w:t>
      </w:r>
      <w:r w:rsidR="00CE735D">
        <w:rPr>
          <w:sz w:val="26"/>
          <w:szCs w:val="26"/>
        </w:rPr>
        <w:t>employ</w:t>
      </w:r>
      <w:r w:rsidR="00B03942">
        <w:rPr>
          <w:sz w:val="26"/>
          <w:szCs w:val="26"/>
        </w:rPr>
        <w:t>ed</w:t>
      </w:r>
      <w:r>
        <w:rPr>
          <w:sz w:val="26"/>
          <w:szCs w:val="26"/>
        </w:rPr>
        <w:t xml:space="preserve"> a step-by-step analysis </w:t>
      </w:r>
      <w:r w:rsidR="00CE735D">
        <w:rPr>
          <w:sz w:val="26"/>
          <w:szCs w:val="26"/>
        </w:rPr>
        <w:t xml:space="preserve">of the </w:t>
      </w:r>
      <w:r w:rsidRPr="0098623E">
        <w:rPr>
          <w:sz w:val="26"/>
          <w:szCs w:val="26"/>
        </w:rPr>
        <w:t xml:space="preserve">standards and factors for evaluating litigated and settled cases involving violations of the Code for purposes of determining </w:t>
      </w:r>
      <w:r w:rsidR="00F67B8D">
        <w:rPr>
          <w:sz w:val="26"/>
          <w:szCs w:val="26"/>
        </w:rPr>
        <w:t xml:space="preserve">whether </w:t>
      </w:r>
      <w:r w:rsidRPr="0098623E">
        <w:rPr>
          <w:sz w:val="26"/>
          <w:szCs w:val="26"/>
        </w:rPr>
        <w:t>a fine is appropriate</w:t>
      </w:r>
      <w:r w:rsidR="00F67B8D">
        <w:rPr>
          <w:sz w:val="26"/>
          <w:szCs w:val="26"/>
        </w:rPr>
        <w:t xml:space="preserve"> and if so at what level</w:t>
      </w:r>
      <w:r w:rsidR="00B03942">
        <w:rPr>
          <w:sz w:val="26"/>
          <w:szCs w:val="26"/>
        </w:rPr>
        <w:t xml:space="preserve">.  The </w:t>
      </w:r>
      <w:r w:rsidR="001412F4" w:rsidRPr="001412F4">
        <w:rPr>
          <w:sz w:val="26"/>
          <w:szCs w:val="26"/>
        </w:rPr>
        <w:t>$1</w:t>
      </w:r>
      <w:r w:rsidR="00B03942">
        <w:rPr>
          <w:sz w:val="26"/>
          <w:szCs w:val="26"/>
        </w:rPr>
        <w:t>.</w:t>
      </w:r>
      <w:r w:rsidR="001412F4" w:rsidRPr="001412F4">
        <w:rPr>
          <w:sz w:val="26"/>
          <w:szCs w:val="26"/>
        </w:rPr>
        <w:t>8</w:t>
      </w:r>
      <w:r w:rsidR="00B03942">
        <w:rPr>
          <w:sz w:val="26"/>
          <w:szCs w:val="26"/>
        </w:rPr>
        <w:t xml:space="preserve"> million civil penalty was based on </w:t>
      </w:r>
      <w:r w:rsidR="002F6A2C">
        <w:rPr>
          <w:sz w:val="26"/>
          <w:szCs w:val="26"/>
        </w:rPr>
        <w:t>a penalty of</w:t>
      </w:r>
      <w:r w:rsidR="001412F4" w:rsidRPr="001412F4">
        <w:rPr>
          <w:sz w:val="26"/>
          <w:szCs w:val="26"/>
        </w:rPr>
        <w:t xml:space="preserve"> $125 for each </w:t>
      </w:r>
      <w:r>
        <w:rPr>
          <w:sz w:val="26"/>
          <w:szCs w:val="26"/>
        </w:rPr>
        <w:t xml:space="preserve">of the 14,689 </w:t>
      </w:r>
      <w:r w:rsidR="001412F4" w:rsidRPr="001412F4">
        <w:rPr>
          <w:sz w:val="26"/>
          <w:szCs w:val="26"/>
        </w:rPr>
        <w:t>violation</w:t>
      </w:r>
      <w:r>
        <w:rPr>
          <w:sz w:val="26"/>
          <w:szCs w:val="26"/>
        </w:rPr>
        <w:t>s</w:t>
      </w:r>
      <w:r w:rsidR="001412F4" w:rsidRPr="001412F4">
        <w:rPr>
          <w:sz w:val="26"/>
          <w:szCs w:val="26"/>
        </w:rPr>
        <w:t xml:space="preserve"> of Section 54.4(a) of our Regulations the ALJs found</w:t>
      </w:r>
      <w:r w:rsidR="001412F4">
        <w:rPr>
          <w:sz w:val="26"/>
          <w:szCs w:val="26"/>
        </w:rPr>
        <w:t xml:space="preserve"> in lieu of the imposition of a $1,000 civil penalty for each billing violation as requested by I&amp;E.</w:t>
      </w:r>
    </w:p>
    <w:p w:rsidR="005B06E7" w:rsidRDefault="005B06E7" w:rsidP="00E0670B">
      <w:pPr>
        <w:adjustRightInd w:val="0"/>
        <w:ind w:firstLine="0"/>
        <w:rPr>
          <w:color w:val="000000"/>
          <w:sz w:val="26"/>
          <w:szCs w:val="26"/>
        </w:rPr>
      </w:pPr>
    </w:p>
    <w:p w:rsidR="000046FB" w:rsidRDefault="0057721C" w:rsidP="000D3297">
      <w:pPr>
        <w:adjustRightInd w:val="0"/>
        <w:rPr>
          <w:color w:val="000000"/>
          <w:sz w:val="26"/>
          <w:szCs w:val="26"/>
        </w:rPr>
      </w:pPr>
      <w:r w:rsidRPr="0057721C">
        <w:rPr>
          <w:color w:val="000000"/>
          <w:sz w:val="26"/>
          <w:szCs w:val="26"/>
        </w:rPr>
        <w:lastRenderedPageBreak/>
        <w:t>On September 10, 2015</w:t>
      </w:r>
      <w:r>
        <w:rPr>
          <w:color w:val="000000"/>
          <w:sz w:val="26"/>
          <w:szCs w:val="26"/>
        </w:rPr>
        <w:t xml:space="preserve">, </w:t>
      </w:r>
      <w:r w:rsidR="001412F4">
        <w:rPr>
          <w:color w:val="000000"/>
          <w:sz w:val="26"/>
          <w:szCs w:val="26"/>
        </w:rPr>
        <w:t>I&amp;E filed Exceptions</w:t>
      </w:r>
      <w:r w:rsidR="002F6A2C">
        <w:rPr>
          <w:color w:val="000000"/>
          <w:sz w:val="26"/>
          <w:szCs w:val="26"/>
        </w:rPr>
        <w:t xml:space="preserve"> to the ALJs’ Initial Decision</w:t>
      </w:r>
      <w:r w:rsidR="001412F4">
        <w:rPr>
          <w:color w:val="000000"/>
          <w:sz w:val="26"/>
          <w:szCs w:val="26"/>
        </w:rPr>
        <w:t xml:space="preserve">, and HIKO </w:t>
      </w:r>
      <w:r w:rsidR="00CA672E">
        <w:rPr>
          <w:color w:val="000000"/>
          <w:sz w:val="26"/>
          <w:szCs w:val="26"/>
        </w:rPr>
        <w:t xml:space="preserve">filed Exceptions and a Request for Oral Argument.  </w:t>
      </w:r>
      <w:r w:rsidR="001412F4">
        <w:rPr>
          <w:color w:val="000000"/>
          <w:sz w:val="26"/>
          <w:szCs w:val="26"/>
        </w:rPr>
        <w:t xml:space="preserve">Both parties filed Replies to Exceptions on September 21, 2015, </w:t>
      </w:r>
      <w:r w:rsidR="00766A69">
        <w:rPr>
          <w:color w:val="000000"/>
          <w:sz w:val="26"/>
          <w:szCs w:val="26"/>
        </w:rPr>
        <w:t>in which</w:t>
      </w:r>
      <w:r w:rsidR="001412F4">
        <w:rPr>
          <w:color w:val="000000"/>
          <w:sz w:val="26"/>
          <w:szCs w:val="26"/>
        </w:rPr>
        <w:t xml:space="preserve"> I&amp;E also oppos</w:t>
      </w:r>
      <w:r w:rsidR="00766A69">
        <w:rPr>
          <w:color w:val="000000"/>
          <w:sz w:val="26"/>
          <w:szCs w:val="26"/>
        </w:rPr>
        <w:t>ed</w:t>
      </w:r>
      <w:r w:rsidR="001412F4">
        <w:rPr>
          <w:color w:val="000000"/>
          <w:sz w:val="26"/>
          <w:szCs w:val="26"/>
        </w:rPr>
        <w:t xml:space="preserve"> HIKO’s request for oral argument. </w:t>
      </w:r>
      <w:r w:rsidR="00CA672E">
        <w:rPr>
          <w:color w:val="000000"/>
          <w:sz w:val="26"/>
          <w:szCs w:val="26"/>
        </w:rPr>
        <w:t xml:space="preserve"> </w:t>
      </w:r>
      <w:r w:rsidR="0098623E">
        <w:rPr>
          <w:color w:val="000000"/>
          <w:sz w:val="26"/>
          <w:szCs w:val="26"/>
        </w:rPr>
        <w:t>HIKO presented three E</w:t>
      </w:r>
      <w:r w:rsidR="002F6A2C">
        <w:rPr>
          <w:color w:val="000000"/>
          <w:sz w:val="26"/>
          <w:szCs w:val="26"/>
        </w:rPr>
        <w:t xml:space="preserve">xceptions, each </w:t>
      </w:r>
      <w:r w:rsidR="000046FB">
        <w:rPr>
          <w:color w:val="000000"/>
          <w:sz w:val="26"/>
          <w:szCs w:val="26"/>
        </w:rPr>
        <w:t xml:space="preserve">ultimately </w:t>
      </w:r>
      <w:r w:rsidR="0098623E">
        <w:rPr>
          <w:color w:val="000000"/>
          <w:sz w:val="26"/>
          <w:szCs w:val="26"/>
        </w:rPr>
        <w:t>addressing</w:t>
      </w:r>
      <w:r w:rsidR="002F6A2C">
        <w:rPr>
          <w:color w:val="000000"/>
          <w:sz w:val="26"/>
          <w:szCs w:val="26"/>
        </w:rPr>
        <w:t xml:space="preserve"> the level of </w:t>
      </w:r>
      <w:r w:rsidR="0098623E">
        <w:rPr>
          <w:color w:val="000000"/>
          <w:sz w:val="26"/>
          <w:szCs w:val="26"/>
        </w:rPr>
        <w:t xml:space="preserve">the </w:t>
      </w:r>
      <w:r w:rsidR="002F6A2C">
        <w:rPr>
          <w:color w:val="000000"/>
          <w:sz w:val="26"/>
          <w:szCs w:val="26"/>
        </w:rPr>
        <w:t xml:space="preserve">penalty </w:t>
      </w:r>
      <w:r w:rsidR="0098623E">
        <w:rPr>
          <w:color w:val="000000"/>
          <w:sz w:val="26"/>
          <w:szCs w:val="26"/>
        </w:rPr>
        <w:t>imposed</w:t>
      </w:r>
      <w:r w:rsidR="002F6A2C">
        <w:rPr>
          <w:color w:val="000000"/>
          <w:sz w:val="26"/>
          <w:szCs w:val="26"/>
        </w:rPr>
        <w:t xml:space="preserve"> by the ALJ</w:t>
      </w:r>
      <w:r w:rsidR="000046FB">
        <w:rPr>
          <w:color w:val="000000"/>
          <w:sz w:val="26"/>
          <w:szCs w:val="26"/>
        </w:rPr>
        <w:t>s</w:t>
      </w:r>
      <w:r w:rsidR="002F6A2C">
        <w:rPr>
          <w:color w:val="000000"/>
          <w:sz w:val="26"/>
          <w:szCs w:val="26"/>
        </w:rPr>
        <w:t>.</w:t>
      </w:r>
    </w:p>
    <w:p w:rsidR="000046FB" w:rsidRDefault="000046FB" w:rsidP="000D3297">
      <w:pPr>
        <w:adjustRightInd w:val="0"/>
        <w:rPr>
          <w:color w:val="000000"/>
          <w:sz w:val="26"/>
          <w:szCs w:val="26"/>
        </w:rPr>
      </w:pPr>
    </w:p>
    <w:p w:rsidR="006D3A82" w:rsidRDefault="002F6A2C" w:rsidP="000D3297">
      <w:pPr>
        <w:adjustRightInd w:val="0"/>
        <w:rPr>
          <w:color w:val="000000"/>
          <w:sz w:val="26"/>
          <w:szCs w:val="26"/>
        </w:rPr>
      </w:pPr>
      <w:r>
        <w:rPr>
          <w:color w:val="000000"/>
          <w:sz w:val="26"/>
          <w:szCs w:val="26"/>
        </w:rPr>
        <w:t xml:space="preserve">First, HIKO contested the ALJs’ </w:t>
      </w:r>
      <w:r w:rsidR="00B03942">
        <w:rPr>
          <w:color w:val="000000"/>
          <w:sz w:val="26"/>
          <w:szCs w:val="26"/>
        </w:rPr>
        <w:t xml:space="preserve">method for calculating the number of violations by using </w:t>
      </w:r>
      <w:r>
        <w:rPr>
          <w:color w:val="000000"/>
          <w:sz w:val="26"/>
          <w:szCs w:val="26"/>
        </w:rPr>
        <w:t xml:space="preserve">the number of HIKO invoices that billed a rate </w:t>
      </w:r>
      <w:r w:rsidR="00B03942">
        <w:rPr>
          <w:color w:val="000000"/>
          <w:sz w:val="26"/>
          <w:szCs w:val="26"/>
        </w:rPr>
        <w:t xml:space="preserve">in excess of </w:t>
      </w:r>
      <w:r>
        <w:rPr>
          <w:color w:val="000000"/>
          <w:sz w:val="26"/>
          <w:szCs w:val="26"/>
        </w:rPr>
        <w:t>the guaranteed price offering</w:t>
      </w:r>
      <w:r w:rsidR="000046FB">
        <w:rPr>
          <w:color w:val="000000"/>
          <w:sz w:val="26"/>
          <w:szCs w:val="26"/>
        </w:rPr>
        <w:t xml:space="preserve">.  HIKO contended </w:t>
      </w:r>
      <w:r>
        <w:rPr>
          <w:color w:val="000000"/>
          <w:sz w:val="26"/>
          <w:szCs w:val="26"/>
        </w:rPr>
        <w:t>that a</w:t>
      </w:r>
      <w:r w:rsidR="0098623E">
        <w:rPr>
          <w:color w:val="000000"/>
          <w:sz w:val="26"/>
          <w:szCs w:val="26"/>
        </w:rPr>
        <w:t xml:space="preserve"> calculation based on the </w:t>
      </w:r>
      <w:r w:rsidR="000046FB">
        <w:rPr>
          <w:color w:val="000000"/>
          <w:sz w:val="26"/>
          <w:szCs w:val="26"/>
        </w:rPr>
        <w:t>number</w:t>
      </w:r>
      <w:r w:rsidR="0098623E">
        <w:rPr>
          <w:color w:val="000000"/>
          <w:sz w:val="26"/>
          <w:szCs w:val="26"/>
        </w:rPr>
        <w:t xml:space="preserve"> </w:t>
      </w:r>
      <w:r w:rsidR="000046FB">
        <w:rPr>
          <w:color w:val="000000"/>
          <w:sz w:val="26"/>
          <w:szCs w:val="26"/>
        </w:rPr>
        <w:t>of</w:t>
      </w:r>
      <w:r w:rsidR="0098623E">
        <w:rPr>
          <w:color w:val="000000"/>
          <w:sz w:val="26"/>
          <w:szCs w:val="26"/>
        </w:rPr>
        <w:t xml:space="preserve"> </w:t>
      </w:r>
      <w:r>
        <w:rPr>
          <w:color w:val="000000"/>
          <w:sz w:val="26"/>
          <w:szCs w:val="26"/>
        </w:rPr>
        <w:t>customer</w:t>
      </w:r>
      <w:r w:rsidR="000046FB">
        <w:rPr>
          <w:color w:val="000000"/>
          <w:sz w:val="26"/>
          <w:szCs w:val="26"/>
        </w:rPr>
        <w:t>s</w:t>
      </w:r>
      <w:r w:rsidR="0098623E">
        <w:rPr>
          <w:color w:val="000000"/>
          <w:sz w:val="26"/>
          <w:szCs w:val="26"/>
        </w:rPr>
        <w:t xml:space="preserve"> </w:t>
      </w:r>
      <w:r w:rsidR="000046FB">
        <w:rPr>
          <w:color w:val="000000"/>
          <w:sz w:val="26"/>
          <w:szCs w:val="26"/>
        </w:rPr>
        <w:t xml:space="preserve">affected </w:t>
      </w:r>
      <w:r>
        <w:rPr>
          <w:color w:val="000000"/>
          <w:sz w:val="26"/>
          <w:szCs w:val="26"/>
        </w:rPr>
        <w:t xml:space="preserve">or </w:t>
      </w:r>
      <w:r w:rsidR="0098623E">
        <w:rPr>
          <w:color w:val="000000"/>
          <w:sz w:val="26"/>
          <w:szCs w:val="26"/>
        </w:rPr>
        <w:t xml:space="preserve">the </w:t>
      </w:r>
      <w:r>
        <w:rPr>
          <w:color w:val="000000"/>
          <w:sz w:val="26"/>
          <w:szCs w:val="26"/>
        </w:rPr>
        <w:t>date of invoice</w:t>
      </w:r>
      <w:r w:rsidR="0098623E">
        <w:rPr>
          <w:color w:val="000000"/>
          <w:sz w:val="26"/>
          <w:szCs w:val="26"/>
        </w:rPr>
        <w:t>s</w:t>
      </w:r>
      <w:r>
        <w:rPr>
          <w:color w:val="000000"/>
          <w:sz w:val="26"/>
          <w:szCs w:val="26"/>
        </w:rPr>
        <w:t xml:space="preserve"> would be more </w:t>
      </w:r>
      <w:r w:rsidR="0098623E">
        <w:rPr>
          <w:color w:val="000000"/>
          <w:sz w:val="26"/>
          <w:szCs w:val="26"/>
        </w:rPr>
        <w:t xml:space="preserve">appropriate </w:t>
      </w:r>
      <w:r w:rsidR="000046FB">
        <w:rPr>
          <w:color w:val="000000"/>
          <w:sz w:val="26"/>
          <w:szCs w:val="26"/>
        </w:rPr>
        <w:t xml:space="preserve">because Section 54.4(a) of our Regulations is general and does not require that each invoice must conform to the guaranteed price offering.  HIKO </w:t>
      </w:r>
      <w:r w:rsidR="0098623E">
        <w:rPr>
          <w:color w:val="000000"/>
          <w:sz w:val="26"/>
          <w:szCs w:val="26"/>
        </w:rPr>
        <w:t xml:space="preserve">also took issue with </w:t>
      </w:r>
      <w:r w:rsidR="009C1296">
        <w:rPr>
          <w:color w:val="000000"/>
          <w:sz w:val="26"/>
          <w:szCs w:val="26"/>
        </w:rPr>
        <w:t xml:space="preserve">I&amp;E’s evidence </w:t>
      </w:r>
      <w:r w:rsidR="0098623E">
        <w:rPr>
          <w:color w:val="000000"/>
          <w:sz w:val="26"/>
          <w:szCs w:val="26"/>
        </w:rPr>
        <w:t xml:space="preserve">the ALJs relied on </w:t>
      </w:r>
      <w:r w:rsidR="009C1296">
        <w:rPr>
          <w:color w:val="000000"/>
          <w:sz w:val="26"/>
          <w:szCs w:val="26"/>
        </w:rPr>
        <w:t xml:space="preserve">regarding the number of invoices that billed a rate greater than the guaranteed price offering, an issue </w:t>
      </w:r>
      <w:r w:rsidR="000046FB">
        <w:rPr>
          <w:color w:val="000000"/>
          <w:sz w:val="26"/>
          <w:szCs w:val="26"/>
        </w:rPr>
        <w:t xml:space="preserve">explored in more detail in </w:t>
      </w:r>
      <w:r w:rsidR="00B03942">
        <w:rPr>
          <w:color w:val="000000"/>
          <w:sz w:val="26"/>
          <w:szCs w:val="26"/>
        </w:rPr>
        <w:t>the Company’s</w:t>
      </w:r>
      <w:r w:rsidR="000046FB">
        <w:rPr>
          <w:color w:val="000000"/>
          <w:sz w:val="26"/>
          <w:szCs w:val="26"/>
        </w:rPr>
        <w:t xml:space="preserve"> second </w:t>
      </w:r>
      <w:r w:rsidR="0098623E">
        <w:rPr>
          <w:color w:val="000000"/>
          <w:sz w:val="26"/>
          <w:szCs w:val="26"/>
        </w:rPr>
        <w:t>E</w:t>
      </w:r>
      <w:r w:rsidR="000046FB">
        <w:rPr>
          <w:color w:val="000000"/>
          <w:sz w:val="26"/>
          <w:szCs w:val="26"/>
        </w:rPr>
        <w:t>xception</w:t>
      </w:r>
      <w:r w:rsidR="009C1296">
        <w:rPr>
          <w:color w:val="000000"/>
          <w:sz w:val="26"/>
          <w:szCs w:val="26"/>
        </w:rPr>
        <w:t>.</w:t>
      </w:r>
    </w:p>
    <w:p w:rsidR="006D3A82" w:rsidRDefault="006D3A82" w:rsidP="000D3297">
      <w:pPr>
        <w:adjustRightInd w:val="0"/>
        <w:rPr>
          <w:color w:val="000000"/>
          <w:sz w:val="26"/>
          <w:szCs w:val="26"/>
        </w:rPr>
      </w:pPr>
    </w:p>
    <w:p w:rsidR="006D3A82" w:rsidRDefault="0098623E" w:rsidP="000D3297">
      <w:pPr>
        <w:adjustRightInd w:val="0"/>
        <w:rPr>
          <w:color w:val="000000"/>
          <w:sz w:val="26"/>
          <w:szCs w:val="26"/>
        </w:rPr>
      </w:pPr>
      <w:r>
        <w:rPr>
          <w:color w:val="000000"/>
          <w:sz w:val="26"/>
          <w:szCs w:val="26"/>
        </w:rPr>
        <w:t>In that E</w:t>
      </w:r>
      <w:r w:rsidR="009C1296">
        <w:rPr>
          <w:color w:val="000000"/>
          <w:sz w:val="26"/>
          <w:szCs w:val="26"/>
        </w:rPr>
        <w:t xml:space="preserve">xception, </w:t>
      </w:r>
      <w:r w:rsidR="000046FB">
        <w:rPr>
          <w:color w:val="000000"/>
          <w:sz w:val="26"/>
          <w:szCs w:val="26"/>
        </w:rPr>
        <w:t>HIKO conte</w:t>
      </w:r>
      <w:r w:rsidR="009C1296">
        <w:rPr>
          <w:color w:val="000000"/>
          <w:sz w:val="26"/>
          <w:szCs w:val="26"/>
        </w:rPr>
        <w:t xml:space="preserve">nded that based on its outside witness’ review of the invoices that had been provided to I&amp;E by HIKO’s employees, I&amp;E’s calculation “almost certainly included invoice amounts that were never actually billed to the customer.”  </w:t>
      </w:r>
      <w:r w:rsidR="009C1296">
        <w:rPr>
          <w:i/>
          <w:color w:val="000000"/>
          <w:sz w:val="26"/>
          <w:szCs w:val="26"/>
        </w:rPr>
        <w:t xml:space="preserve">December 2015 Order </w:t>
      </w:r>
      <w:r w:rsidR="009C1296">
        <w:rPr>
          <w:color w:val="000000"/>
          <w:sz w:val="26"/>
          <w:szCs w:val="26"/>
        </w:rPr>
        <w:t>at 28.   HIKO also challenged the ALJs’ reliance on evidence that HIKO contended the ALJs found to constitute conjecture</w:t>
      </w:r>
      <w:r w:rsidR="006D3A82">
        <w:rPr>
          <w:color w:val="000000"/>
          <w:sz w:val="26"/>
          <w:szCs w:val="26"/>
        </w:rPr>
        <w:t xml:space="preserve"> and </w:t>
      </w:r>
      <w:r w:rsidR="009C1296">
        <w:rPr>
          <w:color w:val="000000"/>
          <w:sz w:val="26"/>
          <w:szCs w:val="26"/>
        </w:rPr>
        <w:t xml:space="preserve">claimed that invoices with </w:t>
      </w:r>
      <w:r w:rsidR="009C1296">
        <w:rPr>
          <w:i/>
          <w:color w:val="000000"/>
          <w:sz w:val="26"/>
          <w:szCs w:val="26"/>
        </w:rPr>
        <w:t xml:space="preserve">de minimis </w:t>
      </w:r>
      <w:r w:rsidR="009C1296">
        <w:rPr>
          <w:color w:val="000000"/>
          <w:sz w:val="26"/>
          <w:szCs w:val="26"/>
        </w:rPr>
        <w:t xml:space="preserve">charges should have been excluded.  </w:t>
      </w:r>
      <w:r w:rsidR="006D3A82" w:rsidRPr="006D3A82">
        <w:rPr>
          <w:color w:val="000000"/>
          <w:sz w:val="26"/>
          <w:szCs w:val="26"/>
        </w:rPr>
        <w:t>Using either</w:t>
      </w:r>
      <w:r w:rsidR="006D3A82">
        <w:rPr>
          <w:color w:val="000000"/>
          <w:sz w:val="26"/>
          <w:szCs w:val="26"/>
        </w:rPr>
        <w:t xml:space="preserve"> a</w:t>
      </w:r>
      <w:r>
        <w:rPr>
          <w:color w:val="000000"/>
          <w:sz w:val="26"/>
          <w:szCs w:val="26"/>
        </w:rPr>
        <w:t xml:space="preserve"> customer-based or invoice date-based </w:t>
      </w:r>
      <w:r w:rsidR="006D3A82">
        <w:rPr>
          <w:color w:val="000000"/>
          <w:sz w:val="26"/>
          <w:szCs w:val="26"/>
        </w:rPr>
        <w:t>calculation</w:t>
      </w:r>
      <w:r w:rsidR="006D3A82" w:rsidRPr="006D3A82">
        <w:rPr>
          <w:color w:val="000000"/>
          <w:sz w:val="26"/>
          <w:szCs w:val="26"/>
        </w:rPr>
        <w:t xml:space="preserve">, HIKO contended, would have resulted in </w:t>
      </w:r>
      <w:r w:rsidR="00B03942">
        <w:rPr>
          <w:color w:val="000000"/>
          <w:sz w:val="26"/>
          <w:szCs w:val="26"/>
        </w:rPr>
        <w:t xml:space="preserve">the calculation of </w:t>
      </w:r>
      <w:r w:rsidR="006D3A82" w:rsidRPr="006D3A82">
        <w:rPr>
          <w:color w:val="000000"/>
          <w:sz w:val="26"/>
          <w:szCs w:val="26"/>
        </w:rPr>
        <w:t>a lower civil penalty.</w:t>
      </w:r>
    </w:p>
    <w:p w:rsidR="006D3A82" w:rsidRDefault="006D3A82" w:rsidP="000D3297">
      <w:pPr>
        <w:adjustRightInd w:val="0"/>
        <w:rPr>
          <w:color w:val="000000"/>
          <w:sz w:val="26"/>
          <w:szCs w:val="26"/>
        </w:rPr>
      </w:pPr>
    </w:p>
    <w:p w:rsidR="006D3A82" w:rsidRDefault="009C1296" w:rsidP="000D3297">
      <w:pPr>
        <w:adjustRightInd w:val="0"/>
        <w:rPr>
          <w:color w:val="000000"/>
          <w:sz w:val="26"/>
          <w:szCs w:val="26"/>
        </w:rPr>
      </w:pPr>
      <w:r>
        <w:rPr>
          <w:color w:val="000000"/>
          <w:sz w:val="26"/>
          <w:szCs w:val="26"/>
        </w:rPr>
        <w:t xml:space="preserve">In its final </w:t>
      </w:r>
      <w:r w:rsidR="0098623E">
        <w:rPr>
          <w:color w:val="000000"/>
          <w:sz w:val="26"/>
          <w:szCs w:val="26"/>
        </w:rPr>
        <w:t>E</w:t>
      </w:r>
      <w:r>
        <w:rPr>
          <w:color w:val="000000"/>
          <w:sz w:val="26"/>
          <w:szCs w:val="26"/>
        </w:rPr>
        <w:t xml:space="preserve">xception, HIKO challenged the ALJs’ review of each of our Section 69.1201 </w:t>
      </w:r>
      <w:r w:rsidR="00CE735D" w:rsidRPr="00CE735D">
        <w:rPr>
          <w:color w:val="000000"/>
          <w:sz w:val="26"/>
          <w:szCs w:val="26"/>
        </w:rPr>
        <w:t>factors and standards applicable to determining an appropriate civil penalty</w:t>
      </w:r>
      <w:r w:rsidR="000046FB">
        <w:rPr>
          <w:color w:val="000000"/>
          <w:sz w:val="26"/>
          <w:szCs w:val="26"/>
        </w:rPr>
        <w:t xml:space="preserve">.  </w:t>
      </w:r>
      <w:r w:rsidR="006D3A82">
        <w:rPr>
          <w:color w:val="000000"/>
          <w:sz w:val="26"/>
          <w:szCs w:val="26"/>
        </w:rPr>
        <w:t xml:space="preserve">HIKO contended that the ALJs failed to consider mitigating circumstances, including that the </w:t>
      </w:r>
      <w:r w:rsidR="00B03942">
        <w:rPr>
          <w:color w:val="000000"/>
          <w:sz w:val="26"/>
          <w:szCs w:val="26"/>
        </w:rPr>
        <w:t>Company’s</w:t>
      </w:r>
      <w:r w:rsidR="006D3A82">
        <w:rPr>
          <w:color w:val="000000"/>
          <w:sz w:val="26"/>
          <w:szCs w:val="26"/>
        </w:rPr>
        <w:t xml:space="preserve"> violations occurred during the unprecedented polar vortex weather effects</w:t>
      </w:r>
      <w:r w:rsidR="00CE735D">
        <w:rPr>
          <w:color w:val="000000"/>
          <w:sz w:val="26"/>
          <w:szCs w:val="26"/>
        </w:rPr>
        <w:t xml:space="preserve"> and </w:t>
      </w:r>
      <w:r w:rsidR="00766A69">
        <w:rPr>
          <w:color w:val="000000"/>
          <w:sz w:val="26"/>
          <w:szCs w:val="26"/>
        </w:rPr>
        <w:t xml:space="preserve">that </w:t>
      </w:r>
      <w:r w:rsidR="00B03942">
        <w:rPr>
          <w:color w:val="000000"/>
          <w:sz w:val="26"/>
          <w:szCs w:val="26"/>
        </w:rPr>
        <w:t xml:space="preserve">the Company agreed to </w:t>
      </w:r>
      <w:r w:rsidR="006D3A82">
        <w:rPr>
          <w:color w:val="000000"/>
          <w:sz w:val="26"/>
          <w:szCs w:val="26"/>
        </w:rPr>
        <w:t xml:space="preserve">concessions in </w:t>
      </w:r>
      <w:r w:rsidR="006D3A82">
        <w:rPr>
          <w:i/>
          <w:color w:val="000000"/>
          <w:sz w:val="26"/>
          <w:szCs w:val="26"/>
        </w:rPr>
        <w:t xml:space="preserve">OAG/OCA-HIKO </w:t>
      </w:r>
      <w:r w:rsidR="006D3A82">
        <w:rPr>
          <w:i/>
          <w:color w:val="000000"/>
          <w:sz w:val="26"/>
          <w:szCs w:val="26"/>
        </w:rPr>
        <w:lastRenderedPageBreak/>
        <w:t>Settlement</w:t>
      </w:r>
      <w:r w:rsidR="006D3A82">
        <w:rPr>
          <w:color w:val="000000"/>
          <w:sz w:val="26"/>
          <w:szCs w:val="26"/>
        </w:rPr>
        <w:t>.  HIKO also specifically challenged the ALJs</w:t>
      </w:r>
      <w:r w:rsidR="00B03942">
        <w:rPr>
          <w:color w:val="000000"/>
          <w:sz w:val="26"/>
          <w:szCs w:val="26"/>
        </w:rPr>
        <w:t>’</w:t>
      </w:r>
      <w:r w:rsidR="006D3A82">
        <w:rPr>
          <w:color w:val="000000"/>
          <w:sz w:val="26"/>
          <w:szCs w:val="26"/>
        </w:rPr>
        <w:t xml:space="preserve"> conclusion</w:t>
      </w:r>
      <w:r w:rsidR="00766A69">
        <w:rPr>
          <w:color w:val="000000"/>
          <w:sz w:val="26"/>
          <w:szCs w:val="26"/>
        </w:rPr>
        <w:t>s</w:t>
      </w:r>
      <w:r w:rsidR="006D3A82">
        <w:rPr>
          <w:color w:val="000000"/>
          <w:sz w:val="26"/>
          <w:szCs w:val="26"/>
        </w:rPr>
        <w:t xml:space="preserve"> that the EGS had a history of noncompliance </w:t>
      </w:r>
      <w:r w:rsidR="00766A69">
        <w:rPr>
          <w:color w:val="000000"/>
          <w:sz w:val="26"/>
          <w:szCs w:val="26"/>
        </w:rPr>
        <w:t xml:space="preserve">regarding its </w:t>
      </w:r>
      <w:r w:rsidR="006D3A82">
        <w:rPr>
          <w:color w:val="000000"/>
          <w:sz w:val="26"/>
          <w:szCs w:val="26"/>
        </w:rPr>
        <w:t>surety under the Commission’s Regulations</w:t>
      </w:r>
      <w:r w:rsidR="00766A69">
        <w:rPr>
          <w:color w:val="000000"/>
          <w:sz w:val="26"/>
          <w:szCs w:val="26"/>
        </w:rPr>
        <w:t xml:space="preserve"> and</w:t>
      </w:r>
      <w:r w:rsidR="006D3A82">
        <w:rPr>
          <w:color w:val="000000"/>
          <w:sz w:val="26"/>
          <w:szCs w:val="26"/>
        </w:rPr>
        <w:t xml:space="preserve"> </w:t>
      </w:r>
      <w:r w:rsidR="00B03942">
        <w:rPr>
          <w:color w:val="000000"/>
          <w:sz w:val="26"/>
          <w:szCs w:val="26"/>
        </w:rPr>
        <w:t>th</w:t>
      </w:r>
      <w:r w:rsidR="006D3A82">
        <w:rPr>
          <w:color w:val="000000"/>
          <w:sz w:val="26"/>
          <w:szCs w:val="26"/>
        </w:rPr>
        <w:t>at it was not a small company</w:t>
      </w:r>
      <w:r w:rsidR="00766A69">
        <w:rPr>
          <w:color w:val="000000"/>
          <w:sz w:val="26"/>
          <w:szCs w:val="26"/>
        </w:rPr>
        <w:t>.  HIKO also averred that the ALJs</w:t>
      </w:r>
      <w:r w:rsidR="00B03942">
        <w:rPr>
          <w:color w:val="000000"/>
          <w:sz w:val="26"/>
          <w:szCs w:val="26"/>
        </w:rPr>
        <w:t xml:space="preserve"> fail</w:t>
      </w:r>
      <w:r w:rsidR="00766A69">
        <w:rPr>
          <w:color w:val="000000"/>
          <w:sz w:val="26"/>
          <w:szCs w:val="26"/>
        </w:rPr>
        <w:t>ed</w:t>
      </w:r>
      <w:r w:rsidR="006D3A82">
        <w:rPr>
          <w:color w:val="000000"/>
          <w:sz w:val="26"/>
          <w:szCs w:val="26"/>
        </w:rPr>
        <w:t xml:space="preserve"> to consider the level of penalty assessed in other cases.</w:t>
      </w:r>
    </w:p>
    <w:p w:rsidR="006D3A82" w:rsidRDefault="006D3A82" w:rsidP="000D3297">
      <w:pPr>
        <w:adjustRightInd w:val="0"/>
        <w:rPr>
          <w:color w:val="000000"/>
          <w:sz w:val="26"/>
          <w:szCs w:val="26"/>
        </w:rPr>
      </w:pPr>
    </w:p>
    <w:p w:rsidR="006D3A82" w:rsidRDefault="006D3A82" w:rsidP="000D3297">
      <w:pPr>
        <w:adjustRightInd w:val="0"/>
        <w:rPr>
          <w:color w:val="000000"/>
          <w:sz w:val="26"/>
          <w:szCs w:val="26"/>
        </w:rPr>
      </w:pPr>
      <w:r>
        <w:rPr>
          <w:color w:val="000000"/>
          <w:sz w:val="26"/>
          <w:szCs w:val="26"/>
        </w:rPr>
        <w:t xml:space="preserve">In reply to HIKO’s </w:t>
      </w:r>
      <w:r w:rsidR="00CE735D">
        <w:rPr>
          <w:color w:val="000000"/>
          <w:sz w:val="26"/>
          <w:szCs w:val="26"/>
        </w:rPr>
        <w:t xml:space="preserve">first </w:t>
      </w:r>
      <w:r>
        <w:rPr>
          <w:color w:val="000000"/>
          <w:sz w:val="26"/>
          <w:szCs w:val="26"/>
        </w:rPr>
        <w:t>Exception</w:t>
      </w:r>
      <w:r w:rsidR="00CE735D">
        <w:rPr>
          <w:color w:val="000000"/>
          <w:sz w:val="26"/>
          <w:szCs w:val="26"/>
        </w:rPr>
        <w:t xml:space="preserve"> challenging the ALJs’ method for calculating the number of violations, </w:t>
      </w:r>
      <w:r>
        <w:rPr>
          <w:color w:val="000000"/>
          <w:sz w:val="26"/>
          <w:szCs w:val="26"/>
        </w:rPr>
        <w:t xml:space="preserve">I&amp;E argued that </w:t>
      </w:r>
      <w:r w:rsidR="00CE735D">
        <w:rPr>
          <w:color w:val="000000"/>
          <w:sz w:val="26"/>
          <w:szCs w:val="26"/>
        </w:rPr>
        <w:t>the evidence underlying the calculation of the 14,689 invoices that billed a rate that did not match the guaranteed price offering was sound</w:t>
      </w:r>
      <w:r w:rsidR="0068013B">
        <w:rPr>
          <w:color w:val="000000"/>
          <w:sz w:val="26"/>
          <w:szCs w:val="26"/>
        </w:rPr>
        <w:t xml:space="preserve"> and that HIKO’s challenge was itself speculative with no alternative number provided</w:t>
      </w:r>
      <w:r w:rsidR="00B03942">
        <w:rPr>
          <w:color w:val="000000"/>
          <w:sz w:val="26"/>
          <w:szCs w:val="26"/>
        </w:rPr>
        <w:t>.  I&amp;E further argued that</w:t>
      </w:r>
      <w:r w:rsidR="0068013B">
        <w:rPr>
          <w:color w:val="000000"/>
          <w:sz w:val="26"/>
          <w:szCs w:val="26"/>
        </w:rPr>
        <w:t xml:space="preserve"> Section 54.4(a) </w:t>
      </w:r>
      <w:r w:rsidR="00766A69">
        <w:rPr>
          <w:color w:val="000000"/>
          <w:sz w:val="26"/>
          <w:szCs w:val="26"/>
        </w:rPr>
        <w:t xml:space="preserve">of Title 52 </w:t>
      </w:r>
      <w:r w:rsidR="0068013B">
        <w:rPr>
          <w:color w:val="000000"/>
          <w:sz w:val="26"/>
          <w:szCs w:val="26"/>
        </w:rPr>
        <w:t>is based upon billing, not the number of customers affected or the date of the invoices</w:t>
      </w:r>
      <w:r w:rsidR="00C125C9">
        <w:rPr>
          <w:color w:val="000000"/>
          <w:sz w:val="26"/>
          <w:szCs w:val="26"/>
        </w:rPr>
        <w:t>.  Finally, I&amp;E argued</w:t>
      </w:r>
      <w:r w:rsidR="0068013B">
        <w:rPr>
          <w:color w:val="000000"/>
          <w:sz w:val="26"/>
          <w:szCs w:val="26"/>
        </w:rPr>
        <w:t xml:space="preserve"> that Commonwealth Court in </w:t>
      </w:r>
      <w:r w:rsidR="008A2819" w:rsidRPr="008A2819">
        <w:rPr>
          <w:i/>
          <w:color w:val="000000"/>
          <w:sz w:val="26"/>
          <w:szCs w:val="26"/>
        </w:rPr>
        <w:t>Newcomer Trucking, Inc. v Pa. PUC</w:t>
      </w:r>
      <w:r w:rsidR="008A2819" w:rsidRPr="008A2819">
        <w:rPr>
          <w:color w:val="000000"/>
          <w:sz w:val="26"/>
          <w:szCs w:val="26"/>
        </w:rPr>
        <w:t>, 531 A.2d 85 (Pa. Cmwlth. 1987) (</w:t>
      </w:r>
      <w:r w:rsidR="008A2819" w:rsidRPr="008A2819">
        <w:rPr>
          <w:i/>
          <w:color w:val="000000"/>
          <w:sz w:val="26"/>
          <w:szCs w:val="26"/>
        </w:rPr>
        <w:t>Newcomer</w:t>
      </w:r>
      <w:r w:rsidR="008A2819" w:rsidRPr="008A2819">
        <w:rPr>
          <w:color w:val="000000"/>
          <w:sz w:val="26"/>
          <w:szCs w:val="26"/>
        </w:rPr>
        <w:t>)</w:t>
      </w:r>
      <w:r w:rsidR="008A2819">
        <w:rPr>
          <w:color w:val="000000"/>
          <w:sz w:val="26"/>
          <w:szCs w:val="26"/>
        </w:rPr>
        <w:t xml:space="preserve">, affirmed the Commission’s authority to impose a penalty of up to $1,000 for each discrete violation even if that results in </w:t>
      </w:r>
      <w:r w:rsidR="00B03942">
        <w:rPr>
          <w:color w:val="000000"/>
          <w:sz w:val="26"/>
          <w:szCs w:val="26"/>
        </w:rPr>
        <w:t xml:space="preserve">the finding of </w:t>
      </w:r>
      <w:r w:rsidR="008A2819">
        <w:rPr>
          <w:color w:val="000000"/>
          <w:sz w:val="26"/>
          <w:szCs w:val="26"/>
        </w:rPr>
        <w:t xml:space="preserve">multiple violations </w:t>
      </w:r>
      <w:r w:rsidR="00B03942">
        <w:rPr>
          <w:color w:val="000000"/>
          <w:sz w:val="26"/>
          <w:szCs w:val="26"/>
        </w:rPr>
        <w:t xml:space="preserve">arising out of </w:t>
      </w:r>
      <w:r w:rsidR="008A2819">
        <w:rPr>
          <w:color w:val="000000"/>
          <w:sz w:val="26"/>
          <w:szCs w:val="26"/>
        </w:rPr>
        <w:t>a continuing offense.  I&amp;E also continued to oppose HIKO’s reliance on other cases in which lower penalties had been imposed, contending that they were factually dissimilar and were settlements, which do not stand as precedent.</w:t>
      </w:r>
    </w:p>
    <w:p w:rsidR="008A2819" w:rsidRDefault="008A2819" w:rsidP="000D3297">
      <w:pPr>
        <w:adjustRightInd w:val="0"/>
        <w:rPr>
          <w:color w:val="000000"/>
          <w:sz w:val="26"/>
          <w:szCs w:val="26"/>
        </w:rPr>
      </w:pPr>
    </w:p>
    <w:p w:rsidR="006D3A82" w:rsidRDefault="008A2819" w:rsidP="000D3297">
      <w:pPr>
        <w:adjustRightInd w:val="0"/>
        <w:rPr>
          <w:color w:val="000000"/>
          <w:sz w:val="26"/>
          <w:szCs w:val="26"/>
        </w:rPr>
      </w:pPr>
      <w:r>
        <w:rPr>
          <w:color w:val="000000"/>
          <w:sz w:val="26"/>
          <w:szCs w:val="26"/>
        </w:rPr>
        <w:t xml:space="preserve">Responding to HIKO’s second Exception challenging the evidence supporting I&amp;E’s calculation of 14,689 discrete billing violations, I&amp;E contended that HIKO’s criticisms were based in conjecture, a characterization of the evidence that </w:t>
      </w:r>
      <w:r w:rsidR="00C125C9">
        <w:rPr>
          <w:color w:val="000000"/>
          <w:sz w:val="26"/>
          <w:szCs w:val="26"/>
        </w:rPr>
        <w:t xml:space="preserve">I&amp;E stated </w:t>
      </w:r>
      <w:r>
        <w:rPr>
          <w:color w:val="000000"/>
          <w:sz w:val="26"/>
          <w:szCs w:val="26"/>
        </w:rPr>
        <w:t xml:space="preserve">the ALJs’ leveled against HIKO’s rebuttal </w:t>
      </w:r>
      <w:r w:rsidR="00F67B8D">
        <w:rPr>
          <w:color w:val="000000"/>
          <w:sz w:val="26"/>
          <w:szCs w:val="26"/>
        </w:rPr>
        <w:t xml:space="preserve">evidence </w:t>
      </w:r>
      <w:r>
        <w:rPr>
          <w:color w:val="000000"/>
          <w:sz w:val="26"/>
          <w:szCs w:val="26"/>
        </w:rPr>
        <w:t>to I&amp;E</w:t>
      </w:r>
      <w:r w:rsidR="005E7DEF">
        <w:rPr>
          <w:color w:val="000000"/>
          <w:sz w:val="26"/>
          <w:szCs w:val="26"/>
        </w:rPr>
        <w:t xml:space="preserve"> and not against</w:t>
      </w:r>
      <w:r>
        <w:rPr>
          <w:color w:val="000000"/>
          <w:sz w:val="26"/>
          <w:szCs w:val="26"/>
        </w:rPr>
        <w:t xml:space="preserve"> I&amp;E’s evidence as HIKO asserted.  </w:t>
      </w:r>
      <w:r w:rsidR="005E7DEF">
        <w:rPr>
          <w:color w:val="000000"/>
          <w:sz w:val="26"/>
          <w:szCs w:val="26"/>
        </w:rPr>
        <w:t>I&amp;E also concluded that the level of overcharge</w:t>
      </w:r>
      <w:r w:rsidR="00C125C9">
        <w:rPr>
          <w:color w:val="000000"/>
          <w:sz w:val="26"/>
          <w:szCs w:val="26"/>
        </w:rPr>
        <w:t>, even if small,</w:t>
      </w:r>
      <w:r w:rsidR="005E7DEF">
        <w:rPr>
          <w:color w:val="000000"/>
          <w:sz w:val="26"/>
          <w:szCs w:val="26"/>
        </w:rPr>
        <w:t xml:space="preserve"> was not relevant to determining whether a violation occurred.</w:t>
      </w:r>
    </w:p>
    <w:p w:rsidR="005E7DEF" w:rsidRDefault="005E7DEF" w:rsidP="000D3297">
      <w:pPr>
        <w:adjustRightInd w:val="0"/>
        <w:rPr>
          <w:color w:val="000000"/>
          <w:sz w:val="26"/>
          <w:szCs w:val="26"/>
        </w:rPr>
      </w:pPr>
    </w:p>
    <w:p w:rsidR="00B54414" w:rsidRDefault="005E7DEF" w:rsidP="000D3297">
      <w:pPr>
        <w:adjustRightInd w:val="0"/>
        <w:rPr>
          <w:color w:val="000000"/>
          <w:sz w:val="26"/>
          <w:szCs w:val="26"/>
        </w:rPr>
      </w:pPr>
      <w:r>
        <w:rPr>
          <w:color w:val="000000"/>
          <w:sz w:val="26"/>
          <w:szCs w:val="26"/>
        </w:rPr>
        <w:t xml:space="preserve">Finally, in response to HIKO’s third Exception challenging the ALJs’ Section 69.1201 analysis, I&amp;E itself had filed an Exception on this point, which it </w:t>
      </w:r>
      <w:r w:rsidR="00C125C9">
        <w:rPr>
          <w:color w:val="000000"/>
          <w:sz w:val="26"/>
          <w:szCs w:val="26"/>
        </w:rPr>
        <w:t xml:space="preserve">also </w:t>
      </w:r>
      <w:r>
        <w:rPr>
          <w:color w:val="000000"/>
          <w:sz w:val="26"/>
          <w:szCs w:val="26"/>
        </w:rPr>
        <w:t xml:space="preserve">incorporated into its response to HIKO.  </w:t>
      </w:r>
      <w:r w:rsidR="00F06887">
        <w:rPr>
          <w:color w:val="000000"/>
          <w:sz w:val="26"/>
          <w:szCs w:val="26"/>
        </w:rPr>
        <w:t xml:space="preserve">In essence, I&amp;E contended that the penalty imposed by the ALJs was minimal given the seriousness of its conduct and should be </w:t>
      </w:r>
      <w:r w:rsidR="00F06887">
        <w:rPr>
          <w:color w:val="000000"/>
          <w:sz w:val="26"/>
          <w:szCs w:val="26"/>
        </w:rPr>
        <w:lastRenderedPageBreak/>
        <w:t>adjusted upward closer to the maximum allowed</w:t>
      </w:r>
      <w:r w:rsidR="00C125C9">
        <w:rPr>
          <w:color w:val="000000"/>
          <w:sz w:val="26"/>
          <w:szCs w:val="26"/>
        </w:rPr>
        <w:t xml:space="preserve"> as I&amp;E had requested</w:t>
      </w:r>
      <w:r w:rsidR="00F06887">
        <w:rPr>
          <w:color w:val="000000"/>
          <w:sz w:val="26"/>
          <w:szCs w:val="26"/>
        </w:rPr>
        <w:t xml:space="preserve">. </w:t>
      </w:r>
      <w:r w:rsidR="000A002A">
        <w:rPr>
          <w:color w:val="000000"/>
          <w:sz w:val="26"/>
          <w:szCs w:val="26"/>
        </w:rPr>
        <w:t xml:space="preserve"> </w:t>
      </w:r>
      <w:r w:rsidR="00F06887">
        <w:rPr>
          <w:color w:val="000000"/>
          <w:sz w:val="26"/>
          <w:szCs w:val="26"/>
        </w:rPr>
        <w:t xml:space="preserve">Contesting HIKO’s characterization of the factors that caused its actions as outside the EGS’ control, I&amp;E referred to its witness’ testimony </w:t>
      </w:r>
      <w:r w:rsidR="00C125C9">
        <w:rPr>
          <w:color w:val="000000"/>
          <w:sz w:val="26"/>
          <w:szCs w:val="26"/>
        </w:rPr>
        <w:t>describing</w:t>
      </w:r>
      <w:r w:rsidR="00F06887">
        <w:rPr>
          <w:color w:val="000000"/>
          <w:sz w:val="26"/>
          <w:szCs w:val="26"/>
        </w:rPr>
        <w:t xml:space="preserve"> HIKO’s guaranteed savings plan backed up exclusively by wholesale spot purchases as a wholesale procurement strategy and retail product offering that did not properly align.  </w:t>
      </w:r>
      <w:r w:rsidR="000A002A">
        <w:rPr>
          <w:color w:val="000000"/>
          <w:sz w:val="26"/>
          <w:szCs w:val="26"/>
        </w:rPr>
        <w:t xml:space="preserve">This, </w:t>
      </w:r>
      <w:r w:rsidR="007548C0">
        <w:rPr>
          <w:color w:val="000000"/>
          <w:sz w:val="26"/>
          <w:szCs w:val="26"/>
        </w:rPr>
        <w:t xml:space="preserve">contended I&amp;E, </w:t>
      </w:r>
      <w:r w:rsidR="000A002A">
        <w:rPr>
          <w:color w:val="000000"/>
          <w:sz w:val="26"/>
          <w:szCs w:val="26"/>
        </w:rPr>
        <w:t xml:space="preserve">coupled with the scope and severity of the violations and the intentional decision by top management to overcharge customers </w:t>
      </w:r>
      <w:r w:rsidR="007548C0">
        <w:rPr>
          <w:color w:val="000000"/>
          <w:sz w:val="26"/>
          <w:szCs w:val="26"/>
        </w:rPr>
        <w:t xml:space="preserve">over a four-month period </w:t>
      </w:r>
      <w:r w:rsidR="000A002A">
        <w:rPr>
          <w:color w:val="000000"/>
          <w:sz w:val="26"/>
          <w:szCs w:val="26"/>
        </w:rPr>
        <w:t xml:space="preserve">as a way of coping with a situation of its own making, supported </w:t>
      </w:r>
      <w:r w:rsidR="00C125C9">
        <w:rPr>
          <w:color w:val="000000"/>
          <w:sz w:val="26"/>
          <w:szCs w:val="26"/>
        </w:rPr>
        <w:t xml:space="preserve">imposition of a civil penalty greater </w:t>
      </w:r>
      <w:r w:rsidR="000A002A">
        <w:rPr>
          <w:color w:val="000000"/>
          <w:sz w:val="26"/>
          <w:szCs w:val="26"/>
        </w:rPr>
        <w:t xml:space="preserve">than </w:t>
      </w:r>
      <w:r w:rsidR="00C125C9">
        <w:rPr>
          <w:color w:val="000000"/>
          <w:sz w:val="26"/>
          <w:szCs w:val="26"/>
        </w:rPr>
        <w:t>the $</w:t>
      </w:r>
      <w:r w:rsidR="000A002A">
        <w:rPr>
          <w:color w:val="000000"/>
          <w:sz w:val="26"/>
          <w:szCs w:val="26"/>
        </w:rPr>
        <w:t>1.8 million</w:t>
      </w:r>
      <w:r w:rsidR="00C125C9">
        <w:rPr>
          <w:color w:val="000000"/>
          <w:sz w:val="26"/>
          <w:szCs w:val="26"/>
        </w:rPr>
        <w:t xml:space="preserve"> recommended by the ALJs</w:t>
      </w:r>
      <w:r w:rsidR="000A002A">
        <w:rPr>
          <w:color w:val="000000"/>
          <w:sz w:val="26"/>
          <w:szCs w:val="26"/>
        </w:rPr>
        <w:t>.</w:t>
      </w:r>
    </w:p>
    <w:p w:rsidR="00B54414" w:rsidRDefault="00B54414" w:rsidP="000D3297">
      <w:pPr>
        <w:adjustRightInd w:val="0"/>
        <w:rPr>
          <w:color w:val="000000"/>
          <w:sz w:val="26"/>
          <w:szCs w:val="26"/>
        </w:rPr>
      </w:pPr>
    </w:p>
    <w:p w:rsidR="00F06887" w:rsidRPr="00B54414" w:rsidRDefault="000A002A" w:rsidP="000D3297">
      <w:pPr>
        <w:adjustRightInd w:val="0"/>
        <w:rPr>
          <w:color w:val="000000"/>
          <w:sz w:val="26"/>
          <w:szCs w:val="26"/>
        </w:rPr>
      </w:pPr>
      <w:r>
        <w:rPr>
          <w:color w:val="000000"/>
          <w:sz w:val="26"/>
          <w:szCs w:val="26"/>
        </w:rPr>
        <w:t>I&amp;E also contested the ALJs’</w:t>
      </w:r>
      <w:r w:rsidR="00B54414">
        <w:rPr>
          <w:color w:val="000000"/>
          <w:sz w:val="26"/>
          <w:szCs w:val="26"/>
        </w:rPr>
        <w:t xml:space="preserve"> comparis</w:t>
      </w:r>
      <w:r>
        <w:rPr>
          <w:color w:val="000000"/>
          <w:sz w:val="26"/>
          <w:szCs w:val="26"/>
        </w:rPr>
        <w:t xml:space="preserve">on of that penalty to </w:t>
      </w:r>
      <w:r w:rsidR="00B54414">
        <w:rPr>
          <w:color w:val="000000"/>
          <w:sz w:val="26"/>
          <w:szCs w:val="26"/>
        </w:rPr>
        <w:t xml:space="preserve">an approximation of 25% of the </w:t>
      </w:r>
      <w:r w:rsidR="00C125C9">
        <w:rPr>
          <w:color w:val="000000"/>
          <w:sz w:val="26"/>
          <w:szCs w:val="26"/>
        </w:rPr>
        <w:t>Company’s</w:t>
      </w:r>
      <w:r w:rsidR="00B54414">
        <w:rPr>
          <w:color w:val="000000"/>
          <w:sz w:val="26"/>
          <w:szCs w:val="26"/>
        </w:rPr>
        <w:t xml:space="preserve"> 2014 gross receipts and the amount of overcharges HIKO billed, factors, I&amp;E contended, </w:t>
      </w:r>
      <w:r w:rsidR="00C125C9">
        <w:rPr>
          <w:color w:val="000000"/>
          <w:sz w:val="26"/>
          <w:szCs w:val="26"/>
        </w:rPr>
        <w:t xml:space="preserve">that </w:t>
      </w:r>
      <w:r w:rsidR="00B54414">
        <w:rPr>
          <w:color w:val="000000"/>
          <w:sz w:val="26"/>
          <w:szCs w:val="26"/>
        </w:rPr>
        <w:t xml:space="preserve">were outside the Commission’s </w:t>
      </w:r>
      <w:r w:rsidR="00C125C9">
        <w:rPr>
          <w:color w:val="000000"/>
          <w:sz w:val="26"/>
          <w:szCs w:val="26"/>
        </w:rPr>
        <w:t xml:space="preserve">explicit </w:t>
      </w:r>
      <w:r w:rsidR="00B54414">
        <w:rPr>
          <w:color w:val="000000"/>
          <w:sz w:val="26"/>
          <w:szCs w:val="26"/>
        </w:rPr>
        <w:t xml:space="preserve">policy considerations.  Appropriately rejected as also outside our policy considerations, contended I&amp;E, were HIKO’s claims that the ALJs disregarded the fact that the </w:t>
      </w:r>
      <w:r w:rsidR="00C125C9">
        <w:rPr>
          <w:color w:val="000000"/>
          <w:sz w:val="26"/>
          <w:szCs w:val="26"/>
        </w:rPr>
        <w:t>Company</w:t>
      </w:r>
      <w:r w:rsidR="00B54414">
        <w:rPr>
          <w:color w:val="000000"/>
          <w:sz w:val="26"/>
          <w:szCs w:val="26"/>
        </w:rPr>
        <w:t xml:space="preserve"> had agreed to </w:t>
      </w:r>
      <w:r w:rsidR="00C125C9">
        <w:rPr>
          <w:color w:val="000000"/>
          <w:sz w:val="26"/>
          <w:szCs w:val="26"/>
        </w:rPr>
        <w:t xml:space="preserve">provide </w:t>
      </w:r>
      <w:r w:rsidR="00B54414">
        <w:rPr>
          <w:color w:val="000000"/>
          <w:sz w:val="26"/>
          <w:szCs w:val="26"/>
        </w:rPr>
        <w:t>refunds</w:t>
      </w:r>
      <w:r w:rsidR="00C125C9">
        <w:rPr>
          <w:color w:val="000000"/>
          <w:sz w:val="26"/>
          <w:szCs w:val="26"/>
        </w:rPr>
        <w:t xml:space="preserve">.  As </w:t>
      </w:r>
      <w:r w:rsidR="00B54414">
        <w:rPr>
          <w:color w:val="000000"/>
          <w:sz w:val="26"/>
          <w:szCs w:val="26"/>
        </w:rPr>
        <w:t xml:space="preserve">I&amp;E claimed, </w:t>
      </w:r>
      <w:r w:rsidR="00C125C9">
        <w:rPr>
          <w:color w:val="000000"/>
          <w:sz w:val="26"/>
          <w:szCs w:val="26"/>
        </w:rPr>
        <w:t xml:space="preserve">refunds </w:t>
      </w:r>
      <w:r w:rsidR="00F67B8D">
        <w:rPr>
          <w:color w:val="000000"/>
          <w:sz w:val="26"/>
          <w:szCs w:val="26"/>
        </w:rPr>
        <w:t xml:space="preserve">are </w:t>
      </w:r>
      <w:r w:rsidR="00B54414">
        <w:rPr>
          <w:color w:val="000000"/>
          <w:sz w:val="26"/>
          <w:szCs w:val="26"/>
        </w:rPr>
        <w:t xml:space="preserve">no more than the rightful return to customers of funds to which HIKO had no entitlement in the first instance. As to HIKO’s defense of its compliance record, I&amp;E contended that HIKO’s violations clearly occurred while HIKO was operating under a probationary status, and that there was no evidence that HIKO had extended its security </w:t>
      </w:r>
      <w:r w:rsidR="00B54414">
        <w:rPr>
          <w:i/>
          <w:color w:val="000000"/>
          <w:sz w:val="26"/>
          <w:szCs w:val="26"/>
        </w:rPr>
        <w:t>beyond 2014</w:t>
      </w:r>
      <w:r w:rsidR="00B54414">
        <w:rPr>
          <w:color w:val="000000"/>
          <w:sz w:val="26"/>
          <w:szCs w:val="26"/>
        </w:rPr>
        <w:t xml:space="preserve">, as evidenced by the Commission’s </w:t>
      </w:r>
      <w:r w:rsidR="00766A69">
        <w:rPr>
          <w:color w:val="000000"/>
          <w:sz w:val="26"/>
          <w:szCs w:val="26"/>
        </w:rPr>
        <w:t xml:space="preserve">public </w:t>
      </w:r>
      <w:r w:rsidR="00B54414">
        <w:rPr>
          <w:color w:val="000000"/>
          <w:sz w:val="26"/>
          <w:szCs w:val="26"/>
        </w:rPr>
        <w:t>letters of record, a matter that placed it in regulatory non-compliance.</w:t>
      </w:r>
    </w:p>
    <w:p w:rsidR="00972317" w:rsidRDefault="00972317" w:rsidP="000D3297">
      <w:pPr>
        <w:adjustRightInd w:val="0"/>
        <w:rPr>
          <w:color w:val="000000"/>
          <w:sz w:val="26"/>
          <w:szCs w:val="26"/>
        </w:rPr>
      </w:pPr>
    </w:p>
    <w:p w:rsidR="00972317" w:rsidRPr="00972317" w:rsidRDefault="00972317" w:rsidP="0055287B">
      <w:pPr>
        <w:keepNext/>
        <w:adjustRightInd w:val="0"/>
        <w:ind w:firstLine="0"/>
        <w:rPr>
          <w:b/>
          <w:color w:val="000000"/>
          <w:sz w:val="26"/>
          <w:szCs w:val="26"/>
        </w:rPr>
      </w:pPr>
      <w:r>
        <w:rPr>
          <w:b/>
          <w:color w:val="000000"/>
          <w:sz w:val="26"/>
          <w:szCs w:val="26"/>
        </w:rPr>
        <w:t>Our December 2015 Order</w:t>
      </w:r>
    </w:p>
    <w:p w:rsidR="005E7DEF" w:rsidRDefault="005E7DEF" w:rsidP="0055287B">
      <w:pPr>
        <w:keepNext/>
        <w:adjustRightInd w:val="0"/>
        <w:rPr>
          <w:color w:val="000000"/>
          <w:sz w:val="26"/>
          <w:szCs w:val="26"/>
        </w:rPr>
      </w:pPr>
    </w:p>
    <w:p w:rsidR="00A70226" w:rsidRPr="00DD0162" w:rsidRDefault="00DD0162" w:rsidP="00A70226">
      <w:pPr>
        <w:rPr>
          <w:sz w:val="26"/>
        </w:rPr>
      </w:pPr>
      <w:r>
        <w:rPr>
          <w:sz w:val="26"/>
        </w:rPr>
        <w:t xml:space="preserve">In our </w:t>
      </w:r>
      <w:r w:rsidR="006D3A82">
        <w:rPr>
          <w:i/>
          <w:sz w:val="26"/>
        </w:rPr>
        <w:t>December</w:t>
      </w:r>
      <w:r>
        <w:rPr>
          <w:i/>
          <w:sz w:val="26"/>
        </w:rPr>
        <w:t xml:space="preserve"> 2015 Order</w:t>
      </w:r>
      <w:r>
        <w:rPr>
          <w:sz w:val="26"/>
        </w:rPr>
        <w:t xml:space="preserve">, </w:t>
      </w:r>
      <w:r w:rsidRPr="002D518C">
        <w:rPr>
          <w:sz w:val="26"/>
        </w:rPr>
        <w:t xml:space="preserve">we </w:t>
      </w:r>
      <w:r>
        <w:rPr>
          <w:sz w:val="26"/>
        </w:rPr>
        <w:t xml:space="preserve">denied </w:t>
      </w:r>
      <w:r w:rsidR="006D3A82">
        <w:rPr>
          <w:sz w:val="26"/>
        </w:rPr>
        <w:t>HIKO’s and I&amp;E’s</w:t>
      </w:r>
      <w:r>
        <w:rPr>
          <w:sz w:val="26"/>
        </w:rPr>
        <w:t xml:space="preserve"> Exceptions, </w:t>
      </w:r>
      <w:r w:rsidR="006D3A82">
        <w:rPr>
          <w:sz w:val="26"/>
        </w:rPr>
        <w:t xml:space="preserve">and adopted the Initial Decision of the ALJs.  We also </w:t>
      </w:r>
      <w:r>
        <w:rPr>
          <w:sz w:val="26"/>
        </w:rPr>
        <w:t xml:space="preserve">denied </w:t>
      </w:r>
      <w:r w:rsidR="006D3A82">
        <w:rPr>
          <w:sz w:val="26"/>
        </w:rPr>
        <w:t xml:space="preserve">HIKO’s </w:t>
      </w:r>
      <w:r>
        <w:rPr>
          <w:sz w:val="26"/>
        </w:rPr>
        <w:t>request for oral argument.</w:t>
      </w:r>
    </w:p>
    <w:p w:rsidR="00A70226" w:rsidRDefault="00A70226" w:rsidP="00A70226">
      <w:pPr>
        <w:rPr>
          <w:sz w:val="26"/>
        </w:rPr>
      </w:pPr>
    </w:p>
    <w:p w:rsidR="007E4023" w:rsidRDefault="00DD0162" w:rsidP="00E0670B">
      <w:pPr>
        <w:adjustRightInd w:val="0"/>
        <w:ind w:firstLine="0"/>
        <w:rPr>
          <w:sz w:val="26"/>
        </w:rPr>
      </w:pPr>
      <w:r>
        <w:rPr>
          <w:color w:val="000000"/>
          <w:sz w:val="26"/>
          <w:szCs w:val="26"/>
        </w:rPr>
        <w:lastRenderedPageBreak/>
        <w:tab/>
      </w:r>
      <w:r>
        <w:rPr>
          <w:color w:val="000000"/>
          <w:sz w:val="26"/>
          <w:szCs w:val="26"/>
        </w:rPr>
        <w:tab/>
      </w:r>
      <w:r w:rsidR="007548C0">
        <w:rPr>
          <w:color w:val="000000"/>
          <w:sz w:val="26"/>
          <w:szCs w:val="26"/>
        </w:rPr>
        <w:t xml:space="preserve">In </w:t>
      </w:r>
      <w:r w:rsidR="006723CD">
        <w:rPr>
          <w:color w:val="000000"/>
          <w:sz w:val="26"/>
          <w:szCs w:val="26"/>
        </w:rPr>
        <w:t>den</w:t>
      </w:r>
      <w:r w:rsidR="007548C0">
        <w:rPr>
          <w:color w:val="000000"/>
          <w:sz w:val="26"/>
          <w:szCs w:val="26"/>
        </w:rPr>
        <w:t>ying</w:t>
      </w:r>
      <w:r w:rsidR="006723CD">
        <w:rPr>
          <w:color w:val="000000"/>
          <w:sz w:val="26"/>
          <w:szCs w:val="26"/>
        </w:rPr>
        <w:t xml:space="preserve"> </w:t>
      </w:r>
      <w:r w:rsidR="00972317">
        <w:rPr>
          <w:color w:val="000000"/>
          <w:sz w:val="26"/>
          <w:szCs w:val="26"/>
        </w:rPr>
        <w:t xml:space="preserve">HIKO’s </w:t>
      </w:r>
      <w:r w:rsidR="006723CD">
        <w:rPr>
          <w:color w:val="000000"/>
          <w:sz w:val="26"/>
          <w:szCs w:val="26"/>
        </w:rPr>
        <w:t xml:space="preserve">first </w:t>
      </w:r>
      <w:r>
        <w:rPr>
          <w:color w:val="000000"/>
          <w:sz w:val="26"/>
          <w:szCs w:val="26"/>
        </w:rPr>
        <w:t>Exception</w:t>
      </w:r>
      <w:r w:rsidR="00972317">
        <w:rPr>
          <w:color w:val="000000"/>
          <w:sz w:val="26"/>
          <w:szCs w:val="26"/>
        </w:rPr>
        <w:t xml:space="preserve"> </w:t>
      </w:r>
      <w:r w:rsidR="006723CD">
        <w:rPr>
          <w:color w:val="000000"/>
          <w:sz w:val="26"/>
          <w:szCs w:val="26"/>
        </w:rPr>
        <w:t xml:space="preserve">challenging </w:t>
      </w:r>
      <w:r w:rsidR="00972317">
        <w:rPr>
          <w:color w:val="000000"/>
          <w:sz w:val="26"/>
          <w:szCs w:val="26"/>
        </w:rPr>
        <w:t>the ALJs’ method for calculating the number of violations</w:t>
      </w:r>
      <w:r w:rsidR="007548C0">
        <w:rPr>
          <w:color w:val="000000"/>
          <w:sz w:val="26"/>
          <w:szCs w:val="26"/>
        </w:rPr>
        <w:t>, we</w:t>
      </w:r>
      <w:r w:rsidR="006723CD">
        <w:rPr>
          <w:color w:val="000000"/>
          <w:sz w:val="26"/>
          <w:szCs w:val="26"/>
        </w:rPr>
        <w:t xml:space="preserve"> adopt</w:t>
      </w:r>
      <w:r w:rsidR="00C125C9">
        <w:rPr>
          <w:color w:val="000000"/>
          <w:sz w:val="26"/>
          <w:szCs w:val="26"/>
        </w:rPr>
        <w:t>ed</w:t>
      </w:r>
      <w:r w:rsidR="006723CD">
        <w:rPr>
          <w:color w:val="000000"/>
          <w:sz w:val="26"/>
          <w:szCs w:val="26"/>
        </w:rPr>
        <w:t xml:space="preserve"> the ALJs’ decision to calculate the number of violations based upon the number of invoices in which the price billed did not match </w:t>
      </w:r>
      <w:r w:rsidR="009B6384">
        <w:rPr>
          <w:color w:val="000000"/>
          <w:sz w:val="26"/>
          <w:szCs w:val="26"/>
        </w:rPr>
        <w:t xml:space="preserve">HIKO’s </w:t>
      </w:r>
      <w:r w:rsidR="006723CD">
        <w:rPr>
          <w:color w:val="000000"/>
          <w:sz w:val="26"/>
          <w:szCs w:val="26"/>
        </w:rPr>
        <w:t>customer information</w:t>
      </w:r>
      <w:r w:rsidR="007548C0">
        <w:rPr>
          <w:color w:val="000000"/>
          <w:sz w:val="26"/>
          <w:szCs w:val="26"/>
        </w:rPr>
        <w:t>.</w:t>
      </w:r>
      <w:r w:rsidR="00C125C9" w:rsidRPr="00C125C9">
        <w:rPr>
          <w:color w:val="000000"/>
          <w:sz w:val="26"/>
          <w:szCs w:val="26"/>
          <w:vertAlign w:val="superscript"/>
        </w:rPr>
        <w:footnoteReference w:id="3"/>
      </w:r>
      <w:r w:rsidR="007548C0">
        <w:rPr>
          <w:color w:val="000000"/>
          <w:sz w:val="26"/>
          <w:szCs w:val="26"/>
        </w:rPr>
        <w:t xml:space="preserve">  W</w:t>
      </w:r>
      <w:r w:rsidR="00B34831">
        <w:rPr>
          <w:color w:val="000000"/>
          <w:sz w:val="26"/>
          <w:szCs w:val="26"/>
        </w:rPr>
        <w:t xml:space="preserve">e determined that our Regulations contained the </w:t>
      </w:r>
      <w:r w:rsidR="009B6384">
        <w:rPr>
          <w:color w:val="000000"/>
          <w:sz w:val="26"/>
          <w:szCs w:val="26"/>
        </w:rPr>
        <w:t>straightforward</w:t>
      </w:r>
      <w:r w:rsidR="00B34831">
        <w:rPr>
          <w:color w:val="000000"/>
          <w:sz w:val="26"/>
          <w:szCs w:val="26"/>
        </w:rPr>
        <w:t xml:space="preserve"> requirement that prices billed reflect those marketed and agreed to</w:t>
      </w:r>
      <w:r w:rsidR="009B6384">
        <w:rPr>
          <w:color w:val="000000"/>
          <w:sz w:val="26"/>
          <w:szCs w:val="26"/>
        </w:rPr>
        <w:t xml:space="preserve"> in the disclosure statement</w:t>
      </w:r>
      <w:r w:rsidR="007548C0">
        <w:rPr>
          <w:color w:val="000000"/>
          <w:sz w:val="26"/>
          <w:szCs w:val="26"/>
        </w:rPr>
        <w:t>.</w:t>
      </w:r>
      <w:r w:rsidR="00B34831">
        <w:rPr>
          <w:color w:val="000000"/>
          <w:sz w:val="26"/>
          <w:szCs w:val="26"/>
        </w:rPr>
        <w:t xml:space="preserve"> </w:t>
      </w:r>
      <w:r w:rsidR="007548C0">
        <w:rPr>
          <w:color w:val="000000"/>
          <w:sz w:val="26"/>
          <w:szCs w:val="26"/>
        </w:rPr>
        <w:t xml:space="preserve"> Therefore, </w:t>
      </w:r>
      <w:r w:rsidR="007548C0" w:rsidRPr="007548C0">
        <w:rPr>
          <w:color w:val="000000"/>
          <w:sz w:val="26"/>
          <w:szCs w:val="26"/>
        </w:rPr>
        <w:t xml:space="preserve">“Section 54.4(a) demand[ed nothing] more than disparate pricing” </w:t>
      </w:r>
      <w:r w:rsidR="00F67B8D">
        <w:rPr>
          <w:color w:val="000000"/>
          <w:sz w:val="26"/>
          <w:szCs w:val="26"/>
        </w:rPr>
        <w:t>t</w:t>
      </w:r>
      <w:r w:rsidR="00C125C9">
        <w:rPr>
          <w:color w:val="000000"/>
          <w:sz w:val="26"/>
          <w:szCs w:val="26"/>
        </w:rPr>
        <w:t xml:space="preserve">o support </w:t>
      </w:r>
      <w:r w:rsidR="007548C0" w:rsidRPr="007548C0">
        <w:rPr>
          <w:color w:val="000000"/>
          <w:sz w:val="26"/>
          <w:szCs w:val="26"/>
        </w:rPr>
        <w:t>adopt</w:t>
      </w:r>
      <w:r w:rsidR="00C125C9">
        <w:rPr>
          <w:color w:val="000000"/>
          <w:sz w:val="26"/>
          <w:szCs w:val="26"/>
        </w:rPr>
        <w:t>ion of</w:t>
      </w:r>
      <w:r w:rsidR="007548C0" w:rsidRPr="007548C0">
        <w:rPr>
          <w:color w:val="000000"/>
          <w:sz w:val="26"/>
          <w:szCs w:val="26"/>
        </w:rPr>
        <w:t xml:space="preserve"> the ALJs’ conclusion that HIKO billed prices that did not match its </w:t>
      </w:r>
      <w:r w:rsidR="00C125C9">
        <w:rPr>
          <w:color w:val="000000"/>
          <w:sz w:val="26"/>
          <w:szCs w:val="26"/>
        </w:rPr>
        <w:t>disclosure statement</w:t>
      </w:r>
      <w:r w:rsidR="007548C0" w:rsidRPr="007548C0">
        <w:rPr>
          <w:color w:val="000000"/>
          <w:sz w:val="26"/>
          <w:szCs w:val="26"/>
        </w:rPr>
        <w:t xml:space="preserve">.  </w:t>
      </w:r>
      <w:r w:rsidR="009B6384">
        <w:rPr>
          <w:color w:val="000000"/>
          <w:sz w:val="26"/>
          <w:szCs w:val="26"/>
        </w:rPr>
        <w:t xml:space="preserve">Nothing in the law required </w:t>
      </w:r>
      <w:r w:rsidR="00C125C9">
        <w:rPr>
          <w:color w:val="000000"/>
          <w:sz w:val="26"/>
          <w:szCs w:val="26"/>
        </w:rPr>
        <w:t xml:space="preserve">that we employ </w:t>
      </w:r>
      <w:r w:rsidR="007548C0">
        <w:rPr>
          <w:color w:val="000000"/>
          <w:sz w:val="26"/>
          <w:szCs w:val="26"/>
        </w:rPr>
        <w:t xml:space="preserve">either the </w:t>
      </w:r>
      <w:r w:rsidR="009B6384">
        <w:rPr>
          <w:color w:val="000000"/>
          <w:sz w:val="26"/>
          <w:szCs w:val="26"/>
        </w:rPr>
        <w:t xml:space="preserve">customer or invoice date-based alternatives </w:t>
      </w:r>
      <w:r w:rsidR="007548C0">
        <w:rPr>
          <w:color w:val="000000"/>
          <w:sz w:val="26"/>
          <w:szCs w:val="26"/>
        </w:rPr>
        <w:t>HIKO demanded</w:t>
      </w:r>
      <w:r w:rsidR="00C125C9">
        <w:rPr>
          <w:color w:val="000000"/>
          <w:sz w:val="26"/>
          <w:szCs w:val="26"/>
        </w:rPr>
        <w:t xml:space="preserve"> in its Exceptions</w:t>
      </w:r>
      <w:r w:rsidR="007548C0">
        <w:rPr>
          <w:color w:val="000000"/>
          <w:sz w:val="26"/>
          <w:szCs w:val="26"/>
        </w:rPr>
        <w:t xml:space="preserve">. </w:t>
      </w:r>
      <w:r w:rsidR="009B6384">
        <w:rPr>
          <w:color w:val="000000"/>
          <w:sz w:val="26"/>
          <w:szCs w:val="26"/>
        </w:rPr>
        <w:t xml:space="preserve"> </w:t>
      </w:r>
      <w:r w:rsidR="00972317">
        <w:rPr>
          <w:i/>
          <w:sz w:val="26"/>
        </w:rPr>
        <w:t xml:space="preserve">December </w:t>
      </w:r>
      <w:r w:rsidR="008174A1">
        <w:rPr>
          <w:i/>
          <w:sz w:val="26"/>
        </w:rPr>
        <w:t>2015 Order</w:t>
      </w:r>
      <w:r w:rsidR="008174A1">
        <w:rPr>
          <w:sz w:val="26"/>
        </w:rPr>
        <w:t xml:space="preserve"> at 2</w:t>
      </w:r>
      <w:r w:rsidR="009B6384">
        <w:rPr>
          <w:sz w:val="26"/>
        </w:rPr>
        <w:t>6</w:t>
      </w:r>
      <w:r w:rsidR="008174A1">
        <w:rPr>
          <w:sz w:val="26"/>
        </w:rPr>
        <w:t>.</w:t>
      </w:r>
      <w:r w:rsidR="009B6384">
        <w:rPr>
          <w:sz w:val="26"/>
        </w:rPr>
        <w:t xml:space="preserve">  We also found HIKO’s reliance on cases the EGS cited to be misplaced, agreeing with the ALJs that </w:t>
      </w:r>
      <w:r w:rsidR="007548C0">
        <w:rPr>
          <w:sz w:val="26"/>
        </w:rPr>
        <w:t xml:space="preserve">the facts were not comparable, and that </w:t>
      </w:r>
      <w:r w:rsidR="009B6384">
        <w:rPr>
          <w:sz w:val="26"/>
        </w:rPr>
        <w:t xml:space="preserve">settled cases, in particular, </w:t>
      </w:r>
      <w:r w:rsidR="001E6C5E">
        <w:rPr>
          <w:sz w:val="26"/>
        </w:rPr>
        <w:t>often have incomparable records and are specifically settled as non-precedential</w:t>
      </w:r>
      <w:r w:rsidR="009B6384">
        <w:rPr>
          <w:sz w:val="26"/>
        </w:rPr>
        <w:t>.</w:t>
      </w:r>
      <w:r w:rsidR="001E6C5E">
        <w:rPr>
          <w:sz w:val="26"/>
        </w:rPr>
        <w:t xml:space="preserve">  </w:t>
      </w:r>
      <w:r w:rsidR="001E6C5E" w:rsidRPr="000A45F4">
        <w:rPr>
          <w:sz w:val="26"/>
        </w:rPr>
        <w:t xml:space="preserve">We </w:t>
      </w:r>
      <w:r w:rsidR="00766A69">
        <w:rPr>
          <w:sz w:val="26"/>
        </w:rPr>
        <w:t>further</w:t>
      </w:r>
      <w:r w:rsidR="001E6C5E" w:rsidRPr="000A45F4">
        <w:rPr>
          <w:sz w:val="26"/>
        </w:rPr>
        <w:t xml:space="preserve"> found the conduct in those cases to be substantially different from the intentional, continuing, executive-level decision by HIKO to deliberately overcharge the account of over 5,700 customers over a 4-month period “in order to recover unexpected costs associated with unanticipated weather.”  </w:t>
      </w:r>
      <w:r w:rsidR="001E6C5E" w:rsidRPr="000A45F4">
        <w:rPr>
          <w:i/>
          <w:sz w:val="26"/>
        </w:rPr>
        <w:t>Id</w:t>
      </w:r>
      <w:r w:rsidR="000A45F4">
        <w:rPr>
          <w:i/>
          <w:sz w:val="26"/>
        </w:rPr>
        <w:t>.</w:t>
      </w:r>
    </w:p>
    <w:p w:rsidR="008174A1" w:rsidRDefault="008174A1" w:rsidP="00E0670B">
      <w:pPr>
        <w:adjustRightInd w:val="0"/>
        <w:ind w:firstLine="0"/>
        <w:rPr>
          <w:sz w:val="26"/>
        </w:rPr>
      </w:pPr>
    </w:p>
    <w:p w:rsidR="00ED2417" w:rsidRDefault="008174A1" w:rsidP="00E0670B">
      <w:pPr>
        <w:adjustRightInd w:val="0"/>
        <w:ind w:firstLine="0"/>
        <w:rPr>
          <w:sz w:val="26"/>
        </w:rPr>
      </w:pPr>
      <w:r>
        <w:rPr>
          <w:sz w:val="26"/>
        </w:rPr>
        <w:tab/>
      </w:r>
      <w:r>
        <w:rPr>
          <w:sz w:val="26"/>
        </w:rPr>
        <w:tab/>
      </w:r>
      <w:r w:rsidR="001E6C5E">
        <w:rPr>
          <w:sz w:val="26"/>
        </w:rPr>
        <w:t>W</w:t>
      </w:r>
      <w:r>
        <w:rPr>
          <w:sz w:val="26"/>
        </w:rPr>
        <w:t xml:space="preserve">e </w:t>
      </w:r>
      <w:r w:rsidR="00406645">
        <w:rPr>
          <w:sz w:val="26"/>
        </w:rPr>
        <w:t xml:space="preserve">denied </w:t>
      </w:r>
      <w:r w:rsidR="001E6C5E">
        <w:rPr>
          <w:sz w:val="26"/>
        </w:rPr>
        <w:t xml:space="preserve">HIKO’s second </w:t>
      </w:r>
      <w:r>
        <w:rPr>
          <w:sz w:val="26"/>
        </w:rPr>
        <w:t xml:space="preserve">Exception </w:t>
      </w:r>
      <w:r w:rsidR="00A610B6">
        <w:rPr>
          <w:sz w:val="26"/>
        </w:rPr>
        <w:t xml:space="preserve">challenging the </w:t>
      </w:r>
      <w:r w:rsidR="00D41C21">
        <w:rPr>
          <w:sz w:val="26"/>
        </w:rPr>
        <w:t xml:space="preserve">ALJs’ determination of the number of HIKO invoices </w:t>
      </w:r>
      <w:r w:rsidR="00A610B6">
        <w:rPr>
          <w:sz w:val="26"/>
        </w:rPr>
        <w:t xml:space="preserve">that violated Section 54.4(a).  </w:t>
      </w:r>
      <w:r w:rsidR="00D41C21">
        <w:rPr>
          <w:sz w:val="26"/>
        </w:rPr>
        <w:t>Fully quoting an excerpt from the ALJs’ Initial Decision revealing their thorough analysis of the evidence presented, we determined that HIKO’s witness Klein, the EGS’ Chief Executive Officer and President</w:t>
      </w:r>
      <w:r w:rsidR="005D2A23">
        <w:rPr>
          <w:sz w:val="26"/>
        </w:rPr>
        <w:t>,</w:t>
      </w:r>
      <w:r w:rsidR="00D41C21">
        <w:rPr>
          <w:sz w:val="26"/>
        </w:rPr>
        <w:t xml:space="preserve"> authenticated the data I&amp;E presented in evidence, which had been obtained from HIKO through discovery</w:t>
      </w:r>
      <w:r w:rsidR="00ED2417">
        <w:rPr>
          <w:sz w:val="26"/>
        </w:rPr>
        <w:t xml:space="preserve">.  To the extent HIKO presented </w:t>
      </w:r>
      <w:r w:rsidR="00D41C21">
        <w:rPr>
          <w:sz w:val="26"/>
        </w:rPr>
        <w:t xml:space="preserve">any challenges to that </w:t>
      </w:r>
      <w:r w:rsidR="00D41C21">
        <w:rPr>
          <w:sz w:val="26"/>
        </w:rPr>
        <w:lastRenderedPageBreak/>
        <w:t xml:space="preserve">evidence, it </w:t>
      </w:r>
      <w:r w:rsidR="00ED2417">
        <w:rPr>
          <w:sz w:val="26"/>
        </w:rPr>
        <w:t xml:space="preserve">did so through the testimony of its </w:t>
      </w:r>
      <w:r w:rsidR="00D41C21">
        <w:rPr>
          <w:sz w:val="26"/>
        </w:rPr>
        <w:t xml:space="preserve">witness Cicchetti, an outside consultant </w:t>
      </w:r>
      <w:r w:rsidR="00ED2417">
        <w:rPr>
          <w:sz w:val="26"/>
        </w:rPr>
        <w:t xml:space="preserve">who testified to what he thought the contested entries, which were not numerous, “likely represented.”  </w:t>
      </w:r>
      <w:r w:rsidR="005D2A23">
        <w:rPr>
          <w:sz w:val="26"/>
        </w:rPr>
        <w:t>Completing</w:t>
      </w:r>
      <w:r w:rsidR="00ED2417">
        <w:rPr>
          <w:sz w:val="26"/>
        </w:rPr>
        <w:t xml:space="preserve"> their analysis of the evidence, the ALJs concluded that I&amp;E had carried its burden of proof and determined that a penalty of $125 per violation was appropriate, an analysis</w:t>
      </w:r>
      <w:r w:rsidR="005D2A23">
        <w:rPr>
          <w:sz w:val="26"/>
        </w:rPr>
        <w:t xml:space="preserve"> </w:t>
      </w:r>
      <w:r w:rsidR="00ED2417">
        <w:rPr>
          <w:sz w:val="26"/>
        </w:rPr>
        <w:t xml:space="preserve">we agreed with and adopted.  </w:t>
      </w:r>
      <w:r w:rsidR="005D2A23">
        <w:rPr>
          <w:i/>
          <w:sz w:val="26"/>
        </w:rPr>
        <w:t>December 2015 Order</w:t>
      </w:r>
      <w:r w:rsidR="00ED2417">
        <w:rPr>
          <w:sz w:val="26"/>
        </w:rPr>
        <w:t xml:space="preserve"> at 30-34.</w:t>
      </w:r>
    </w:p>
    <w:p w:rsidR="00406645" w:rsidRDefault="00406645" w:rsidP="00E0670B">
      <w:pPr>
        <w:adjustRightInd w:val="0"/>
        <w:ind w:firstLine="0"/>
        <w:rPr>
          <w:sz w:val="26"/>
        </w:rPr>
      </w:pPr>
    </w:p>
    <w:p w:rsidR="00CA660F" w:rsidRDefault="00373448" w:rsidP="00E0670B">
      <w:pPr>
        <w:adjustRightInd w:val="0"/>
        <w:ind w:firstLine="0"/>
        <w:rPr>
          <w:sz w:val="26"/>
        </w:rPr>
      </w:pPr>
      <w:r>
        <w:rPr>
          <w:sz w:val="26"/>
        </w:rPr>
        <w:tab/>
      </w:r>
      <w:r>
        <w:rPr>
          <w:sz w:val="26"/>
        </w:rPr>
        <w:tab/>
      </w:r>
      <w:r w:rsidR="008217BF">
        <w:rPr>
          <w:sz w:val="26"/>
        </w:rPr>
        <w:t>W</w:t>
      </w:r>
      <w:r w:rsidR="00ED2417">
        <w:rPr>
          <w:sz w:val="26"/>
        </w:rPr>
        <w:t xml:space="preserve">e </w:t>
      </w:r>
      <w:r w:rsidR="008217BF">
        <w:rPr>
          <w:sz w:val="26"/>
        </w:rPr>
        <w:t xml:space="preserve">also </w:t>
      </w:r>
      <w:r w:rsidR="00ED2417">
        <w:rPr>
          <w:sz w:val="26"/>
        </w:rPr>
        <w:t>denied HIKO’s third and I&amp;E’s only Exception challeng</w:t>
      </w:r>
      <w:r w:rsidR="00766A69">
        <w:rPr>
          <w:sz w:val="26"/>
        </w:rPr>
        <w:t>ing</w:t>
      </w:r>
      <w:r w:rsidR="00ED2417">
        <w:rPr>
          <w:sz w:val="26"/>
        </w:rPr>
        <w:t xml:space="preserve"> the ALJs’ determination of the appropriate civil penalty.  </w:t>
      </w:r>
      <w:r w:rsidR="007548C0">
        <w:rPr>
          <w:sz w:val="26"/>
        </w:rPr>
        <w:t xml:space="preserve">Reviewing </w:t>
      </w:r>
      <w:r w:rsidR="006B530A">
        <w:rPr>
          <w:sz w:val="26"/>
        </w:rPr>
        <w:t xml:space="preserve">individually </w:t>
      </w:r>
      <w:r w:rsidR="007548C0">
        <w:rPr>
          <w:sz w:val="26"/>
        </w:rPr>
        <w:t xml:space="preserve">the ALJs’ analysis of each of the ten </w:t>
      </w:r>
      <w:r w:rsidR="006B530A">
        <w:rPr>
          <w:sz w:val="26"/>
        </w:rPr>
        <w:t xml:space="preserve">Section 69.1201 factors established to provide guidance in determining an appropriate civil penalty, we </w:t>
      </w:r>
      <w:r w:rsidR="005D2A23">
        <w:rPr>
          <w:sz w:val="26"/>
        </w:rPr>
        <w:t>concluded</w:t>
      </w:r>
      <w:r w:rsidR="006B530A">
        <w:rPr>
          <w:sz w:val="26"/>
        </w:rPr>
        <w:t xml:space="preserve"> that while we disagreed with a few individual piece-parts of the ALJs’ determination, none rose to such a level as to persuade us that the ALJs’ proposal was inappropriate or unsupported.  </w:t>
      </w:r>
      <w:r w:rsidR="00131F22">
        <w:rPr>
          <w:sz w:val="26"/>
        </w:rPr>
        <w:t xml:space="preserve">Rather, upon </w:t>
      </w:r>
      <w:r w:rsidR="006B530A">
        <w:rPr>
          <w:sz w:val="26"/>
        </w:rPr>
        <w:t xml:space="preserve">consideration of </w:t>
      </w:r>
      <w:r w:rsidR="00131F22">
        <w:rPr>
          <w:sz w:val="26"/>
        </w:rPr>
        <w:t xml:space="preserve">our review of </w:t>
      </w:r>
      <w:r w:rsidR="006B530A">
        <w:rPr>
          <w:sz w:val="26"/>
        </w:rPr>
        <w:t xml:space="preserve">the totality of the </w:t>
      </w:r>
      <w:r w:rsidR="002B19C9">
        <w:rPr>
          <w:sz w:val="26"/>
        </w:rPr>
        <w:t>evidence</w:t>
      </w:r>
      <w:r w:rsidR="006B530A">
        <w:rPr>
          <w:sz w:val="26"/>
        </w:rPr>
        <w:t xml:space="preserve">, we </w:t>
      </w:r>
      <w:r w:rsidR="00131F22">
        <w:rPr>
          <w:sz w:val="26"/>
        </w:rPr>
        <w:t>concluded</w:t>
      </w:r>
      <w:r w:rsidR="006B530A">
        <w:rPr>
          <w:sz w:val="26"/>
        </w:rPr>
        <w:t xml:space="preserve"> as follows:</w:t>
      </w:r>
    </w:p>
    <w:p w:rsidR="006B530A" w:rsidRDefault="006B530A" w:rsidP="00E0670B">
      <w:pPr>
        <w:adjustRightInd w:val="0"/>
        <w:ind w:firstLine="0"/>
        <w:rPr>
          <w:sz w:val="26"/>
        </w:rPr>
      </w:pPr>
    </w:p>
    <w:p w:rsidR="002B19C9" w:rsidRDefault="002B19C9" w:rsidP="002B19C9">
      <w:pPr>
        <w:pStyle w:val="BodyFirst1SS"/>
        <w:spacing w:line="240" w:lineRule="auto"/>
        <w:ind w:left="1440" w:right="1440" w:firstLine="1440"/>
        <w:jc w:val="left"/>
        <w:rPr>
          <w:sz w:val="26"/>
          <w:szCs w:val="26"/>
        </w:rPr>
      </w:pPr>
      <w:r>
        <w:rPr>
          <w:sz w:val="26"/>
          <w:szCs w:val="26"/>
        </w:rPr>
        <w:t xml:space="preserve">We agree with I&amp;E that HIKO knowingly and deliberately chose to dishonor its promised and contracted-for savings of 1% to 7% on 14,689 occasions to 5,708 customers, in direct violation of Section 54.4(a) of our Regulations.  We find that in so doing, HIKO effectively treated its own customers as the financial guarantors of its own business plan, which backed contracts offering customers guaranteed savings with what was essentially a speculative supply portfolio based exclusively on spot market purchases.  We also agree, however, that in consideration of </w:t>
      </w:r>
      <w:r>
        <w:rPr>
          <w:i/>
          <w:sz w:val="26"/>
          <w:szCs w:val="26"/>
        </w:rPr>
        <w:t xml:space="preserve">OAG/OCA-HIKO </w:t>
      </w:r>
      <w:r w:rsidRPr="008B37B3">
        <w:rPr>
          <w:i/>
          <w:sz w:val="26"/>
          <w:szCs w:val="26"/>
        </w:rPr>
        <w:t>Settlement</w:t>
      </w:r>
      <w:r>
        <w:rPr>
          <w:sz w:val="26"/>
          <w:szCs w:val="26"/>
        </w:rPr>
        <w:t xml:space="preserve">, </w:t>
      </w:r>
      <w:r w:rsidRPr="008B37B3">
        <w:rPr>
          <w:sz w:val="26"/>
          <w:szCs w:val="26"/>
        </w:rPr>
        <w:t>HIKO</w:t>
      </w:r>
      <w:r>
        <w:rPr>
          <w:sz w:val="26"/>
          <w:szCs w:val="26"/>
        </w:rPr>
        <w:t xml:space="preserve"> does not escape the consequences of its executive-level decisions unscathed.  Therefore we do not believe it necessary to impose the maximum penalty sought by I&amp;E to deter either this particular company, or the EGS industry as a whole,</w:t>
      </w:r>
      <w:r w:rsidRPr="002B19C9">
        <w:rPr>
          <w:sz w:val="26"/>
          <w:szCs w:val="26"/>
          <w:vertAlign w:val="superscript"/>
        </w:rPr>
        <w:t>13</w:t>
      </w:r>
      <w:r>
        <w:rPr>
          <w:sz w:val="26"/>
          <w:szCs w:val="26"/>
        </w:rPr>
        <w:t xml:space="preserve"> from violating customers’ rights and our Regulations in order to shield themselves from the adverse effects of their own unsound decisions.</w:t>
      </w:r>
    </w:p>
    <w:p w:rsidR="002B19C9" w:rsidRDefault="002B19C9" w:rsidP="002B19C9">
      <w:pPr>
        <w:pStyle w:val="BodyFirst1SS"/>
        <w:spacing w:line="240" w:lineRule="auto"/>
        <w:ind w:right="1440"/>
        <w:jc w:val="left"/>
        <w:rPr>
          <w:sz w:val="26"/>
          <w:szCs w:val="26"/>
        </w:rPr>
      </w:pPr>
    </w:p>
    <w:p w:rsidR="002B19C9" w:rsidRDefault="002B19C9" w:rsidP="002B19C9">
      <w:pPr>
        <w:pStyle w:val="BodyFirst1SS"/>
        <w:spacing w:line="240" w:lineRule="auto"/>
        <w:ind w:right="1440" w:firstLine="1440"/>
        <w:jc w:val="left"/>
        <w:rPr>
          <w:sz w:val="26"/>
          <w:szCs w:val="26"/>
        </w:rPr>
      </w:pPr>
      <w:r>
        <w:rPr>
          <w:sz w:val="26"/>
          <w:szCs w:val="26"/>
        </w:rPr>
        <w:t>___________________________</w:t>
      </w:r>
    </w:p>
    <w:p w:rsidR="006B530A" w:rsidRDefault="006B530A" w:rsidP="00E0670B">
      <w:pPr>
        <w:adjustRightInd w:val="0"/>
        <w:ind w:firstLine="0"/>
        <w:rPr>
          <w:sz w:val="26"/>
        </w:rPr>
      </w:pPr>
    </w:p>
    <w:p w:rsidR="002B19C9" w:rsidRPr="002B19C9" w:rsidRDefault="002B19C9" w:rsidP="002B19C9">
      <w:pPr>
        <w:adjustRightInd w:val="0"/>
        <w:spacing w:line="240" w:lineRule="auto"/>
        <w:ind w:left="1440" w:right="1440" w:firstLine="720"/>
        <w:rPr>
          <w:sz w:val="22"/>
          <w:szCs w:val="22"/>
        </w:rPr>
      </w:pPr>
      <w:r w:rsidRPr="002B19C9">
        <w:rPr>
          <w:sz w:val="22"/>
          <w:szCs w:val="22"/>
          <w:vertAlign w:val="superscript"/>
        </w:rPr>
        <w:t>13</w:t>
      </w:r>
      <w:r w:rsidR="00B43936">
        <w:rPr>
          <w:sz w:val="22"/>
          <w:szCs w:val="22"/>
          <w:vertAlign w:val="superscript"/>
        </w:rPr>
        <w:tab/>
      </w:r>
      <w:r w:rsidRPr="002B19C9">
        <w:rPr>
          <w:sz w:val="22"/>
          <w:szCs w:val="22"/>
        </w:rPr>
        <w:t xml:space="preserve">The ALJs concluded that our eighth factor, a penalty sufficient to deter future violations, applies only to the regulated entity </w:t>
      </w:r>
      <w:r w:rsidRPr="002B19C9">
        <w:rPr>
          <w:sz w:val="22"/>
          <w:szCs w:val="22"/>
        </w:rPr>
        <w:lastRenderedPageBreak/>
        <w:t xml:space="preserve">involved in the proceeding and not the industry as a whole.  I.D. at 48.  We do not believe, however, that consideration of that factor under our policy statement is so limited. We acknowledge that of the ten factors, the first seven implicitly or explicitly apply to the specific conduct of or consequences from action of the specific entity.  The eighth factor, however, which addresses consideration of a penalty “necessary to deter future violations,” does not mention either the “specific conduct” or the “regulated entity,” although it also allows for consideration of the size of the utility involved.  While it does not impact our decision here because we adopt the ALJs’ recommended penalty in consideration of all factors enumerated in our policy statement, we clarify that we have in past cases considered how our actions with respect to imposition of a specific penalty upon a specific entity will impact the industry as a whole.  </w:t>
      </w:r>
      <w:r w:rsidRPr="002B19C9">
        <w:rPr>
          <w:i/>
          <w:sz w:val="22"/>
          <w:szCs w:val="22"/>
        </w:rPr>
        <w:t>See, e.g.,</w:t>
      </w:r>
      <w:r w:rsidRPr="002B19C9">
        <w:rPr>
          <w:sz w:val="22"/>
          <w:szCs w:val="22"/>
        </w:rPr>
        <w:t xml:space="preserve"> </w:t>
      </w:r>
      <w:r w:rsidRPr="002B19C9">
        <w:rPr>
          <w:i/>
          <w:sz w:val="22"/>
          <w:szCs w:val="22"/>
        </w:rPr>
        <w:t>Towne</w:t>
      </w:r>
      <w:r w:rsidRPr="002B19C9">
        <w:rPr>
          <w:sz w:val="22"/>
          <w:szCs w:val="22"/>
        </w:rPr>
        <w:t xml:space="preserve"> at 22 (We “must continue to send a clear message to EGSs that the egregious and deliberate behavior utilized in this case . . . will not be tolerated.” ); </w:t>
      </w:r>
      <w:r w:rsidRPr="002B19C9">
        <w:rPr>
          <w:i/>
          <w:sz w:val="22"/>
          <w:szCs w:val="22"/>
        </w:rPr>
        <w:t>see also MXenergy</w:t>
      </w:r>
      <w:r w:rsidRPr="002B19C9">
        <w:rPr>
          <w:sz w:val="22"/>
          <w:szCs w:val="22"/>
        </w:rPr>
        <w:t xml:space="preserve"> (where we acted out of concern for the retail market as a whole).  Though we may more often craft penalties specific to the individual case and circumstances at hand, we have leeway to consider the impact of our actions as a deterrence to the industry as a whole.  Doing so is an effective means of assuring the industry understands the importance of compliance with our Regulations to the development of a fair and reliable competitive market.</w:t>
      </w:r>
    </w:p>
    <w:p w:rsidR="002B19C9" w:rsidRDefault="002B19C9" w:rsidP="00E0670B">
      <w:pPr>
        <w:adjustRightInd w:val="0"/>
        <w:ind w:firstLine="0"/>
        <w:rPr>
          <w:sz w:val="26"/>
        </w:rPr>
      </w:pPr>
    </w:p>
    <w:p w:rsidR="006B530A" w:rsidRPr="006B530A" w:rsidRDefault="006B530A" w:rsidP="00E0670B">
      <w:pPr>
        <w:adjustRightInd w:val="0"/>
        <w:ind w:firstLine="0"/>
        <w:rPr>
          <w:sz w:val="26"/>
        </w:rPr>
      </w:pPr>
      <w:r>
        <w:rPr>
          <w:i/>
          <w:sz w:val="26"/>
        </w:rPr>
        <w:t>December 2015 Order</w:t>
      </w:r>
      <w:r>
        <w:rPr>
          <w:sz w:val="26"/>
        </w:rPr>
        <w:t xml:space="preserve"> at 44.</w:t>
      </w:r>
    </w:p>
    <w:p w:rsidR="00C05A25" w:rsidRDefault="00C05A25" w:rsidP="00E0670B">
      <w:pPr>
        <w:adjustRightInd w:val="0"/>
        <w:ind w:firstLine="0"/>
        <w:rPr>
          <w:sz w:val="26"/>
        </w:rPr>
      </w:pPr>
    </w:p>
    <w:p w:rsidR="00373448" w:rsidRDefault="00C05A25" w:rsidP="00E0670B">
      <w:pPr>
        <w:adjustRightInd w:val="0"/>
        <w:ind w:firstLine="0"/>
        <w:rPr>
          <w:sz w:val="26"/>
        </w:rPr>
      </w:pPr>
      <w:r>
        <w:rPr>
          <w:sz w:val="26"/>
        </w:rPr>
        <w:tab/>
      </w:r>
      <w:r>
        <w:rPr>
          <w:sz w:val="26"/>
        </w:rPr>
        <w:tab/>
      </w:r>
      <w:r w:rsidR="008217BF">
        <w:rPr>
          <w:sz w:val="26"/>
        </w:rPr>
        <w:t>Finally, w</w:t>
      </w:r>
      <w:r>
        <w:rPr>
          <w:sz w:val="26"/>
        </w:rPr>
        <w:t xml:space="preserve">e </w:t>
      </w:r>
      <w:r w:rsidR="008217BF">
        <w:rPr>
          <w:sz w:val="26"/>
        </w:rPr>
        <w:t xml:space="preserve">rejected HIKO’s request for oral argument, finding that the evidentiary record developed did not require further argument </w:t>
      </w:r>
      <w:r w:rsidR="005D2A23">
        <w:rPr>
          <w:sz w:val="26"/>
        </w:rPr>
        <w:t>and that to do otherwise</w:t>
      </w:r>
      <w:r w:rsidR="008217BF">
        <w:rPr>
          <w:sz w:val="26"/>
        </w:rPr>
        <w:t xml:space="preserve"> would constitute an </w:t>
      </w:r>
      <w:r w:rsidR="005D2A23">
        <w:rPr>
          <w:sz w:val="26"/>
        </w:rPr>
        <w:t>in</w:t>
      </w:r>
      <w:r w:rsidR="008217BF">
        <w:rPr>
          <w:sz w:val="26"/>
        </w:rPr>
        <w:t xml:space="preserve">efficient use of our and the parties’ resources.  We adopted the ALJs’ Initial Decision and </w:t>
      </w:r>
      <w:r>
        <w:rPr>
          <w:sz w:val="26"/>
        </w:rPr>
        <w:t xml:space="preserve">directed </w:t>
      </w:r>
      <w:r w:rsidR="00ED2417">
        <w:rPr>
          <w:sz w:val="26"/>
        </w:rPr>
        <w:t>HIKO</w:t>
      </w:r>
      <w:r>
        <w:rPr>
          <w:sz w:val="26"/>
        </w:rPr>
        <w:t xml:space="preserve"> to </w:t>
      </w:r>
      <w:r>
        <w:rPr>
          <w:sz w:val="26"/>
          <w:szCs w:val="26"/>
        </w:rPr>
        <w:t xml:space="preserve">pay </w:t>
      </w:r>
      <w:r w:rsidR="00ED2417">
        <w:rPr>
          <w:sz w:val="26"/>
          <w:szCs w:val="26"/>
        </w:rPr>
        <w:t xml:space="preserve">a civil penalty of </w:t>
      </w:r>
      <w:r>
        <w:rPr>
          <w:sz w:val="26"/>
          <w:szCs w:val="26"/>
        </w:rPr>
        <w:t>$</w:t>
      </w:r>
      <w:r w:rsidR="00ED2417">
        <w:rPr>
          <w:sz w:val="26"/>
          <w:szCs w:val="26"/>
        </w:rPr>
        <w:t>1,836,125</w:t>
      </w:r>
      <w:r>
        <w:rPr>
          <w:sz w:val="26"/>
          <w:szCs w:val="26"/>
        </w:rPr>
        <w:t xml:space="preserve"> </w:t>
      </w:r>
      <w:r w:rsidRPr="00A84285">
        <w:rPr>
          <w:sz w:val="26"/>
        </w:rPr>
        <w:t xml:space="preserve">within </w:t>
      </w:r>
      <w:r w:rsidR="008217BF">
        <w:rPr>
          <w:sz w:val="26"/>
        </w:rPr>
        <w:t>thirty</w:t>
      </w:r>
      <w:r w:rsidRPr="00A84285">
        <w:rPr>
          <w:sz w:val="26"/>
        </w:rPr>
        <w:t xml:space="preserve"> days of the entry of th</w:t>
      </w:r>
      <w:r>
        <w:rPr>
          <w:sz w:val="26"/>
        </w:rPr>
        <w:t xml:space="preserve">e </w:t>
      </w:r>
      <w:r w:rsidR="008217BF">
        <w:rPr>
          <w:i/>
          <w:sz w:val="26"/>
        </w:rPr>
        <w:t>December</w:t>
      </w:r>
      <w:r>
        <w:rPr>
          <w:i/>
          <w:sz w:val="26"/>
        </w:rPr>
        <w:t xml:space="preserve"> 2015 Order</w:t>
      </w:r>
      <w:r>
        <w:rPr>
          <w:sz w:val="26"/>
        </w:rPr>
        <w:t>.</w:t>
      </w:r>
    </w:p>
    <w:p w:rsidR="00C05A25" w:rsidRDefault="00C05A25" w:rsidP="00E0670B">
      <w:pPr>
        <w:adjustRightInd w:val="0"/>
        <w:ind w:firstLine="0"/>
        <w:rPr>
          <w:sz w:val="26"/>
        </w:rPr>
      </w:pPr>
    </w:p>
    <w:p w:rsidR="00C05A25" w:rsidRDefault="00C05A25" w:rsidP="00E0670B">
      <w:pPr>
        <w:adjustRightInd w:val="0"/>
        <w:ind w:firstLine="0"/>
        <w:rPr>
          <w:sz w:val="26"/>
        </w:rPr>
      </w:pPr>
      <w:r>
        <w:rPr>
          <w:sz w:val="26"/>
        </w:rPr>
        <w:tab/>
      </w:r>
      <w:r>
        <w:rPr>
          <w:sz w:val="26"/>
        </w:rPr>
        <w:tab/>
      </w:r>
      <w:r w:rsidR="008217BF">
        <w:rPr>
          <w:sz w:val="26"/>
        </w:rPr>
        <w:t>HIKO</w:t>
      </w:r>
      <w:r>
        <w:rPr>
          <w:sz w:val="26"/>
        </w:rPr>
        <w:t xml:space="preserve"> filed its Petition on </w:t>
      </w:r>
      <w:r w:rsidR="008217BF">
        <w:rPr>
          <w:sz w:val="26"/>
        </w:rPr>
        <w:t xml:space="preserve">December 18, </w:t>
      </w:r>
      <w:r>
        <w:rPr>
          <w:sz w:val="26"/>
        </w:rPr>
        <w:t xml:space="preserve">2015, requesting </w:t>
      </w:r>
      <w:r w:rsidR="008217BF">
        <w:rPr>
          <w:sz w:val="26"/>
        </w:rPr>
        <w:t xml:space="preserve">an emergency supersedeas of our </w:t>
      </w:r>
      <w:r w:rsidR="008217BF">
        <w:rPr>
          <w:i/>
          <w:sz w:val="26"/>
        </w:rPr>
        <w:t xml:space="preserve">December 2015 </w:t>
      </w:r>
      <w:r w:rsidR="008217BF" w:rsidRPr="008217BF">
        <w:rPr>
          <w:i/>
          <w:sz w:val="26"/>
        </w:rPr>
        <w:t>Order</w:t>
      </w:r>
      <w:r w:rsidR="008217BF">
        <w:rPr>
          <w:sz w:val="26"/>
        </w:rPr>
        <w:t xml:space="preserve"> so that </w:t>
      </w:r>
      <w:r w:rsidR="00104931">
        <w:rPr>
          <w:sz w:val="26"/>
        </w:rPr>
        <w:t xml:space="preserve">the </w:t>
      </w:r>
      <w:r w:rsidR="005D2A23">
        <w:rPr>
          <w:sz w:val="26"/>
        </w:rPr>
        <w:t>Company</w:t>
      </w:r>
      <w:r w:rsidR="008217BF">
        <w:rPr>
          <w:sz w:val="26"/>
        </w:rPr>
        <w:t xml:space="preserve"> could make an application for stay at Commonwealth Court by December 24, 2015, if this emergency request were still pending and so that it could seek appellate review of that Order.  </w:t>
      </w:r>
      <w:r w:rsidR="00B03942" w:rsidRPr="00B03942">
        <w:rPr>
          <w:sz w:val="26"/>
        </w:rPr>
        <w:t xml:space="preserve">In order to afford </w:t>
      </w:r>
      <w:r w:rsidR="00B03942">
        <w:rPr>
          <w:sz w:val="26"/>
        </w:rPr>
        <w:t xml:space="preserve">all parties </w:t>
      </w:r>
      <w:r w:rsidR="00B03942" w:rsidRPr="00B03942">
        <w:rPr>
          <w:sz w:val="26"/>
        </w:rPr>
        <w:t xml:space="preserve">due process and allow for thorough consideration of all filings, we issued a Secretarial Letter on December 23, 2015, extending the deadline stated in Ordering Paragraph No. 5 of the </w:t>
      </w:r>
      <w:r w:rsidR="00B03942" w:rsidRPr="00B03942">
        <w:rPr>
          <w:i/>
          <w:sz w:val="26"/>
        </w:rPr>
        <w:t>December 2015 Order</w:t>
      </w:r>
      <w:r w:rsidR="00B03942" w:rsidRPr="00B03942">
        <w:rPr>
          <w:sz w:val="26"/>
        </w:rPr>
        <w:t xml:space="preserve"> for HIKO to pay the civil penalty </w:t>
      </w:r>
      <w:r w:rsidR="00B03942" w:rsidRPr="00B03942">
        <w:rPr>
          <w:sz w:val="26"/>
        </w:rPr>
        <w:lastRenderedPageBreak/>
        <w:t>for an additional thirty days</w:t>
      </w:r>
      <w:r w:rsidR="005D2A23">
        <w:rPr>
          <w:sz w:val="26"/>
        </w:rPr>
        <w:t>,</w:t>
      </w:r>
      <w:r w:rsidR="00B03942" w:rsidRPr="00B03942">
        <w:rPr>
          <w:sz w:val="26"/>
        </w:rPr>
        <w:t xml:space="preserve"> or until February 3, 2016, and providing parties until December 31, 2015</w:t>
      </w:r>
      <w:r w:rsidR="005D2A23">
        <w:rPr>
          <w:sz w:val="26"/>
        </w:rPr>
        <w:t>,</w:t>
      </w:r>
      <w:r w:rsidR="00B03942" w:rsidRPr="00B03942">
        <w:rPr>
          <w:sz w:val="26"/>
        </w:rPr>
        <w:t xml:space="preserve"> to respond to HIKO’s Petition.  </w:t>
      </w:r>
      <w:r w:rsidR="008217BF">
        <w:rPr>
          <w:sz w:val="26"/>
        </w:rPr>
        <w:t xml:space="preserve">On December 30, 2015, </w:t>
      </w:r>
      <w:r w:rsidR="008217BF" w:rsidRPr="008217BF">
        <w:rPr>
          <w:sz w:val="26"/>
        </w:rPr>
        <w:t xml:space="preserve">I&amp;E filed its </w:t>
      </w:r>
      <w:r w:rsidR="008217BF">
        <w:rPr>
          <w:sz w:val="26"/>
        </w:rPr>
        <w:t>A</w:t>
      </w:r>
      <w:r w:rsidR="008217BF" w:rsidRPr="008217BF">
        <w:rPr>
          <w:sz w:val="26"/>
        </w:rPr>
        <w:t>nswer</w:t>
      </w:r>
      <w:r w:rsidR="008217BF">
        <w:rPr>
          <w:sz w:val="26"/>
        </w:rPr>
        <w:t xml:space="preserve"> to HIKO’s Petition</w:t>
      </w:r>
      <w:r w:rsidR="008217BF" w:rsidRPr="008217BF">
        <w:rPr>
          <w:sz w:val="26"/>
        </w:rPr>
        <w:t>.</w:t>
      </w:r>
      <w:r w:rsidR="008217BF">
        <w:rPr>
          <w:sz w:val="26"/>
        </w:rPr>
        <w:t xml:space="preserve">  On December 31, 2015, </w:t>
      </w:r>
      <w:r w:rsidR="008217BF" w:rsidRPr="008217BF">
        <w:rPr>
          <w:sz w:val="26"/>
        </w:rPr>
        <w:t>the OCA filed a letter stating that it would not be filing an answer</w:t>
      </w:r>
      <w:r w:rsidR="008217BF">
        <w:rPr>
          <w:sz w:val="26"/>
        </w:rPr>
        <w:t>.</w:t>
      </w:r>
    </w:p>
    <w:p w:rsidR="00104931" w:rsidRDefault="00104931" w:rsidP="00E0670B">
      <w:pPr>
        <w:adjustRightInd w:val="0"/>
        <w:ind w:firstLine="0"/>
        <w:rPr>
          <w:sz w:val="26"/>
        </w:rPr>
      </w:pPr>
    </w:p>
    <w:p w:rsidR="00104931" w:rsidRPr="00C05A25" w:rsidRDefault="00104931" w:rsidP="00104931">
      <w:pPr>
        <w:adjustRightInd w:val="0"/>
        <w:rPr>
          <w:color w:val="000000"/>
          <w:sz w:val="26"/>
          <w:szCs w:val="26"/>
        </w:rPr>
      </w:pPr>
      <w:r>
        <w:rPr>
          <w:sz w:val="26"/>
        </w:rPr>
        <w:t xml:space="preserve">On </w:t>
      </w:r>
      <w:r w:rsidR="006C5A41">
        <w:rPr>
          <w:sz w:val="26"/>
        </w:rPr>
        <w:t>January 4, 2016, HIKO filed a Petition for Review and a Protective Application for Stay Pending Appeal before Commonwealth Court, which</w:t>
      </w:r>
      <w:r w:rsidR="00227CFC">
        <w:rPr>
          <w:sz w:val="26"/>
        </w:rPr>
        <w:t xml:space="preserve"> </w:t>
      </w:r>
      <w:r w:rsidR="006C5A41">
        <w:rPr>
          <w:sz w:val="26"/>
        </w:rPr>
        <w:t xml:space="preserve">have not yet been </w:t>
      </w:r>
      <w:r w:rsidR="00227CFC">
        <w:rPr>
          <w:sz w:val="26"/>
        </w:rPr>
        <w:t xml:space="preserve">decided on the merits </w:t>
      </w:r>
      <w:r w:rsidR="006C5A41">
        <w:rPr>
          <w:sz w:val="26"/>
        </w:rPr>
        <w:t>by the Court.</w:t>
      </w:r>
    </w:p>
    <w:p w:rsidR="00C05A25" w:rsidRDefault="00C05A25" w:rsidP="00C05A25">
      <w:pPr>
        <w:pStyle w:val="ListParagraph"/>
        <w:adjustRightInd w:val="0"/>
        <w:ind w:left="0" w:firstLine="0"/>
        <w:rPr>
          <w:color w:val="000000"/>
          <w:sz w:val="26"/>
          <w:szCs w:val="26"/>
        </w:rPr>
      </w:pPr>
    </w:p>
    <w:p w:rsidR="00D6672E" w:rsidRPr="003A2799" w:rsidRDefault="00736427" w:rsidP="00C05A25">
      <w:pPr>
        <w:pStyle w:val="ListParagraph"/>
        <w:adjustRightInd w:val="0"/>
        <w:ind w:left="0" w:firstLine="0"/>
        <w:jc w:val="center"/>
        <w:rPr>
          <w:b/>
          <w:sz w:val="26"/>
          <w:szCs w:val="26"/>
        </w:rPr>
      </w:pPr>
      <w:r w:rsidRPr="003A2799">
        <w:rPr>
          <w:b/>
          <w:sz w:val="26"/>
          <w:szCs w:val="26"/>
        </w:rPr>
        <w:t>Discussion</w:t>
      </w:r>
    </w:p>
    <w:p w:rsidR="00F211B8" w:rsidRDefault="00F211B8" w:rsidP="009A0A44">
      <w:pPr>
        <w:ind w:firstLine="0"/>
        <w:jc w:val="center"/>
        <w:rPr>
          <w:b/>
          <w:sz w:val="26"/>
          <w:szCs w:val="26"/>
        </w:rPr>
      </w:pPr>
    </w:p>
    <w:p w:rsidR="007A250A" w:rsidRPr="00C05A25" w:rsidRDefault="007A250A" w:rsidP="00C05A25">
      <w:pPr>
        <w:keepNext/>
        <w:tabs>
          <w:tab w:val="left" w:pos="360"/>
        </w:tabs>
        <w:ind w:firstLine="0"/>
        <w:contextualSpacing/>
        <w:rPr>
          <w:b/>
          <w:sz w:val="26"/>
          <w:szCs w:val="26"/>
        </w:rPr>
      </w:pPr>
      <w:r w:rsidRPr="00C05A25">
        <w:rPr>
          <w:b/>
          <w:sz w:val="26"/>
          <w:szCs w:val="26"/>
        </w:rPr>
        <w:t>Legal Standards</w:t>
      </w:r>
    </w:p>
    <w:p w:rsidR="007A250A" w:rsidRDefault="007A250A" w:rsidP="007A250A">
      <w:pPr>
        <w:ind w:firstLine="0"/>
        <w:jc w:val="both"/>
        <w:rPr>
          <w:sz w:val="26"/>
          <w:szCs w:val="26"/>
        </w:rPr>
      </w:pPr>
    </w:p>
    <w:p w:rsidR="00040D73" w:rsidRDefault="00040D73" w:rsidP="00040D73">
      <w:pPr>
        <w:rPr>
          <w:sz w:val="26"/>
        </w:rPr>
      </w:pPr>
      <w:r w:rsidRPr="0087198E">
        <w:rPr>
          <w:sz w:val="26"/>
        </w:rPr>
        <w:t>Section 332(a) of the</w:t>
      </w:r>
      <w:r>
        <w:rPr>
          <w:sz w:val="26"/>
        </w:rPr>
        <w:t xml:space="preserve"> Code</w:t>
      </w:r>
      <w:r w:rsidRPr="0087198E">
        <w:rPr>
          <w:sz w:val="26"/>
        </w:rPr>
        <w:t>, 66 Pa. C.S. §</w:t>
      </w:r>
      <w:r>
        <w:rPr>
          <w:sz w:val="26"/>
        </w:rPr>
        <w:t xml:space="preserve"> </w:t>
      </w:r>
      <w:r w:rsidRPr="0087198E">
        <w:rPr>
          <w:sz w:val="26"/>
        </w:rPr>
        <w:t xml:space="preserve">332(a), provides that the party seeking a rule or order from the Commission has the burden of proof in that proceeding.  </w:t>
      </w:r>
      <w:r>
        <w:rPr>
          <w:sz w:val="26"/>
        </w:rPr>
        <w:t xml:space="preserve">As to </w:t>
      </w:r>
      <w:r w:rsidR="00185E66">
        <w:rPr>
          <w:sz w:val="26"/>
        </w:rPr>
        <w:t>its</w:t>
      </w:r>
      <w:r>
        <w:rPr>
          <w:sz w:val="26"/>
        </w:rPr>
        <w:t xml:space="preserve"> request for a stay, </w:t>
      </w:r>
      <w:r w:rsidR="00583F64" w:rsidRPr="00583F64">
        <w:rPr>
          <w:sz w:val="26"/>
        </w:rPr>
        <w:t>therefore</w:t>
      </w:r>
      <w:r w:rsidR="00583F64">
        <w:rPr>
          <w:sz w:val="26"/>
        </w:rPr>
        <w:t>,</w:t>
      </w:r>
      <w:r w:rsidR="00583F64" w:rsidRPr="00583F64">
        <w:rPr>
          <w:sz w:val="26"/>
        </w:rPr>
        <w:t xml:space="preserve"> </w:t>
      </w:r>
      <w:r>
        <w:rPr>
          <w:sz w:val="26"/>
        </w:rPr>
        <w:t xml:space="preserve">the burden of proof is on </w:t>
      </w:r>
      <w:r w:rsidR="00196962">
        <w:rPr>
          <w:sz w:val="26"/>
        </w:rPr>
        <w:t>HIKO</w:t>
      </w:r>
      <w:r>
        <w:rPr>
          <w:sz w:val="26"/>
        </w:rPr>
        <w:t xml:space="preserve">.  </w:t>
      </w:r>
      <w:r w:rsidRPr="0087198E">
        <w:rPr>
          <w:sz w:val="26"/>
        </w:rPr>
        <w:t xml:space="preserve">It is axiomatic that “[a] litigant’s burden of proof before administrative tribunals as well as before most civil proceedings is satisfied by establishing a preponderance of evidence which is substantial and legally credible.” </w:t>
      </w:r>
      <w:r w:rsidR="0055287B">
        <w:rPr>
          <w:sz w:val="26"/>
        </w:rPr>
        <w:t xml:space="preserve"> </w:t>
      </w:r>
      <w:r w:rsidRPr="0087198E">
        <w:rPr>
          <w:i/>
          <w:sz w:val="26"/>
        </w:rPr>
        <w:t>Samuel J. Lansberry, Inc. v. Pa. PUC</w:t>
      </w:r>
      <w:r w:rsidRPr="0087198E">
        <w:rPr>
          <w:sz w:val="26"/>
        </w:rPr>
        <w:t>, 578 A.2d 600, 602 (Pa. Cmwlth. 1990).</w:t>
      </w:r>
    </w:p>
    <w:p w:rsidR="00040D73" w:rsidRDefault="00040D73" w:rsidP="00040D73">
      <w:pPr>
        <w:rPr>
          <w:sz w:val="26"/>
        </w:rPr>
      </w:pPr>
    </w:p>
    <w:p w:rsidR="00ED2ABC" w:rsidRPr="00ED2ABC" w:rsidRDefault="003B2F94" w:rsidP="00ED2ABC">
      <w:pPr>
        <w:rPr>
          <w:rFonts w:eastAsiaTheme="minorHAnsi"/>
          <w:sz w:val="26"/>
          <w:szCs w:val="26"/>
        </w:rPr>
      </w:pPr>
      <w:r>
        <w:rPr>
          <w:rFonts w:eastAsiaTheme="minorHAnsi"/>
          <w:sz w:val="26"/>
          <w:szCs w:val="26"/>
        </w:rPr>
        <w:t>We have</w:t>
      </w:r>
      <w:r w:rsidR="00ED2ABC" w:rsidRPr="00ED2ABC">
        <w:rPr>
          <w:rFonts w:eastAsiaTheme="minorHAnsi"/>
          <w:sz w:val="26"/>
          <w:szCs w:val="26"/>
        </w:rPr>
        <w:t xml:space="preserve"> adopted the standards set forth in </w:t>
      </w:r>
      <w:r w:rsidR="00ED2ABC" w:rsidRPr="00ED2ABC">
        <w:rPr>
          <w:rFonts w:eastAsiaTheme="minorHAnsi"/>
          <w:i/>
          <w:sz w:val="26"/>
          <w:szCs w:val="26"/>
        </w:rPr>
        <w:t>Pennsylvania Public Utility Commission v. Process Gas Consumers Group</w:t>
      </w:r>
      <w:r w:rsidR="00ED2ABC" w:rsidRPr="00ED2ABC">
        <w:rPr>
          <w:rFonts w:eastAsiaTheme="minorHAnsi"/>
          <w:sz w:val="26"/>
          <w:szCs w:val="26"/>
        </w:rPr>
        <w:t>, 502 Pa. 545, 467 A.2d 805 (1983) (</w:t>
      </w:r>
      <w:r w:rsidR="00ED2ABC" w:rsidRPr="00ED2ABC">
        <w:rPr>
          <w:rFonts w:eastAsiaTheme="minorHAnsi"/>
          <w:i/>
          <w:sz w:val="26"/>
          <w:szCs w:val="26"/>
        </w:rPr>
        <w:t>Process Gas</w:t>
      </w:r>
      <w:r w:rsidR="00ED2ABC" w:rsidRPr="00ED2ABC">
        <w:rPr>
          <w:rFonts w:eastAsiaTheme="minorHAnsi"/>
          <w:sz w:val="26"/>
          <w:szCs w:val="26"/>
        </w:rPr>
        <w:t xml:space="preserve">), in reviewing petitions which seek to stay the effect of </w:t>
      </w:r>
      <w:r>
        <w:rPr>
          <w:rFonts w:eastAsiaTheme="minorHAnsi"/>
          <w:sz w:val="26"/>
          <w:szCs w:val="26"/>
        </w:rPr>
        <w:t>our</w:t>
      </w:r>
      <w:r w:rsidR="00ED2ABC" w:rsidRPr="00ED2ABC">
        <w:rPr>
          <w:rFonts w:eastAsiaTheme="minorHAnsi"/>
          <w:sz w:val="26"/>
          <w:szCs w:val="26"/>
        </w:rPr>
        <w:t xml:space="preserve"> Orders.  </w:t>
      </w:r>
      <w:r w:rsidR="00887816">
        <w:rPr>
          <w:rFonts w:eastAsiaTheme="minorHAnsi"/>
          <w:sz w:val="26"/>
          <w:szCs w:val="26"/>
        </w:rPr>
        <w:t xml:space="preserve">The </w:t>
      </w:r>
      <w:r w:rsidR="00ED2ABC" w:rsidRPr="00ED2ABC">
        <w:rPr>
          <w:rFonts w:eastAsiaTheme="minorHAnsi"/>
          <w:sz w:val="26"/>
          <w:szCs w:val="26"/>
        </w:rPr>
        <w:t xml:space="preserve">standards set forth in </w:t>
      </w:r>
      <w:r w:rsidR="00ED2ABC" w:rsidRPr="00ED2ABC">
        <w:rPr>
          <w:rFonts w:eastAsiaTheme="minorHAnsi"/>
          <w:i/>
          <w:sz w:val="26"/>
          <w:szCs w:val="26"/>
        </w:rPr>
        <w:t>Process Gas</w:t>
      </w:r>
      <w:r w:rsidR="00ED2ABC" w:rsidRPr="00ED2ABC">
        <w:rPr>
          <w:rFonts w:eastAsiaTheme="minorHAnsi"/>
          <w:sz w:val="26"/>
          <w:szCs w:val="26"/>
        </w:rPr>
        <w:t xml:space="preserve"> </w:t>
      </w:r>
      <w:r w:rsidR="00887816">
        <w:rPr>
          <w:rFonts w:eastAsiaTheme="minorHAnsi"/>
          <w:sz w:val="26"/>
          <w:szCs w:val="26"/>
        </w:rPr>
        <w:t xml:space="preserve">require </w:t>
      </w:r>
      <w:r w:rsidR="00ED2ABC" w:rsidRPr="00ED2ABC">
        <w:rPr>
          <w:rFonts w:eastAsiaTheme="minorHAnsi"/>
          <w:sz w:val="26"/>
          <w:szCs w:val="26"/>
        </w:rPr>
        <w:t xml:space="preserve">a petitioner </w:t>
      </w:r>
      <w:r w:rsidR="00887816">
        <w:rPr>
          <w:rFonts w:eastAsiaTheme="minorHAnsi"/>
          <w:sz w:val="26"/>
          <w:szCs w:val="26"/>
        </w:rPr>
        <w:t xml:space="preserve">to </w:t>
      </w:r>
      <w:r w:rsidR="00AB351E">
        <w:rPr>
          <w:rFonts w:eastAsiaTheme="minorHAnsi"/>
          <w:sz w:val="26"/>
          <w:szCs w:val="26"/>
        </w:rPr>
        <w:t>fulfill</w:t>
      </w:r>
      <w:r w:rsidR="00887816">
        <w:rPr>
          <w:rFonts w:eastAsiaTheme="minorHAnsi"/>
          <w:sz w:val="26"/>
          <w:szCs w:val="26"/>
        </w:rPr>
        <w:t xml:space="preserve"> the following</w:t>
      </w:r>
      <w:r w:rsidR="00ED2ABC" w:rsidRPr="00ED2ABC">
        <w:rPr>
          <w:rFonts w:eastAsiaTheme="minorHAnsi"/>
          <w:sz w:val="26"/>
          <w:szCs w:val="26"/>
        </w:rPr>
        <w:t>:</w:t>
      </w:r>
    </w:p>
    <w:p w:rsidR="00040D73" w:rsidRDefault="00040D73" w:rsidP="00040D73">
      <w:pPr>
        <w:rPr>
          <w:sz w:val="26"/>
        </w:rPr>
      </w:pPr>
    </w:p>
    <w:p w:rsidR="00040D73" w:rsidRDefault="00ED2ABC" w:rsidP="00AB351E">
      <w:pPr>
        <w:pStyle w:val="ListParagraph"/>
        <w:numPr>
          <w:ilvl w:val="0"/>
          <w:numId w:val="45"/>
        </w:numPr>
        <w:spacing w:line="240" w:lineRule="auto"/>
        <w:rPr>
          <w:sz w:val="26"/>
        </w:rPr>
      </w:pPr>
      <w:r>
        <w:rPr>
          <w:sz w:val="26"/>
        </w:rPr>
        <w:t>M</w:t>
      </w:r>
      <w:r w:rsidR="00040D73" w:rsidRPr="00040D73">
        <w:rPr>
          <w:sz w:val="26"/>
        </w:rPr>
        <w:t xml:space="preserve">ake a strong showing that </w:t>
      </w:r>
      <w:r w:rsidR="00887816">
        <w:rPr>
          <w:sz w:val="26"/>
        </w:rPr>
        <w:t>it</w:t>
      </w:r>
      <w:r w:rsidR="00040D73" w:rsidRPr="00040D73">
        <w:rPr>
          <w:sz w:val="26"/>
        </w:rPr>
        <w:t xml:space="preserve"> is </w:t>
      </w:r>
      <w:r>
        <w:rPr>
          <w:sz w:val="26"/>
        </w:rPr>
        <w:t>likely to prevail on the merits;</w:t>
      </w:r>
    </w:p>
    <w:p w:rsidR="00040D73" w:rsidRDefault="00040D73" w:rsidP="003B2F94">
      <w:pPr>
        <w:pStyle w:val="ListParagraph"/>
        <w:spacing w:line="240" w:lineRule="auto"/>
        <w:ind w:left="1800" w:right="1440" w:firstLine="0"/>
        <w:rPr>
          <w:sz w:val="26"/>
        </w:rPr>
      </w:pPr>
    </w:p>
    <w:p w:rsidR="00040D73" w:rsidRDefault="00ED2ABC" w:rsidP="00AB351E">
      <w:pPr>
        <w:pStyle w:val="ListParagraph"/>
        <w:numPr>
          <w:ilvl w:val="0"/>
          <w:numId w:val="45"/>
        </w:numPr>
        <w:spacing w:line="240" w:lineRule="auto"/>
        <w:rPr>
          <w:sz w:val="26"/>
        </w:rPr>
      </w:pPr>
      <w:r>
        <w:rPr>
          <w:sz w:val="26"/>
        </w:rPr>
        <w:t>Show</w:t>
      </w:r>
      <w:r w:rsidR="00040D73" w:rsidRPr="00040D73">
        <w:rPr>
          <w:sz w:val="26"/>
        </w:rPr>
        <w:t xml:space="preserve"> that without the requested relief, </w:t>
      </w:r>
      <w:r w:rsidR="00887816">
        <w:rPr>
          <w:sz w:val="26"/>
        </w:rPr>
        <w:t>it</w:t>
      </w:r>
      <w:r w:rsidR="00040D73" w:rsidRPr="00040D73">
        <w:rPr>
          <w:sz w:val="26"/>
        </w:rPr>
        <w:t xml:space="preserve"> will suffer irreparable </w:t>
      </w:r>
      <w:r>
        <w:rPr>
          <w:sz w:val="26"/>
        </w:rPr>
        <w:t>injury;</w:t>
      </w:r>
    </w:p>
    <w:p w:rsidR="00040D73" w:rsidRPr="00040D73" w:rsidRDefault="00040D73" w:rsidP="003B2F94">
      <w:pPr>
        <w:pStyle w:val="ListParagraph"/>
        <w:spacing w:line="240" w:lineRule="auto"/>
        <w:rPr>
          <w:sz w:val="26"/>
        </w:rPr>
      </w:pPr>
    </w:p>
    <w:p w:rsidR="00040D73" w:rsidRDefault="00ED2ABC" w:rsidP="00AB351E">
      <w:pPr>
        <w:pStyle w:val="ListParagraph"/>
        <w:numPr>
          <w:ilvl w:val="0"/>
          <w:numId w:val="45"/>
        </w:numPr>
        <w:spacing w:line="240" w:lineRule="auto"/>
        <w:rPr>
          <w:sz w:val="26"/>
        </w:rPr>
      </w:pPr>
      <w:r>
        <w:rPr>
          <w:sz w:val="26"/>
        </w:rPr>
        <w:lastRenderedPageBreak/>
        <w:t>Show that the</w:t>
      </w:r>
      <w:r w:rsidR="00040D73" w:rsidRPr="00040D73">
        <w:rPr>
          <w:sz w:val="26"/>
        </w:rPr>
        <w:t xml:space="preserve"> issuance of a stay will not substantially harm other intere</w:t>
      </w:r>
      <w:r>
        <w:rPr>
          <w:sz w:val="26"/>
        </w:rPr>
        <w:t>sted parties in the proceedings; and</w:t>
      </w:r>
    </w:p>
    <w:p w:rsidR="00040D73" w:rsidRPr="00040D73" w:rsidRDefault="00040D73" w:rsidP="003B2F94">
      <w:pPr>
        <w:pStyle w:val="ListParagraph"/>
        <w:spacing w:line="240" w:lineRule="auto"/>
        <w:rPr>
          <w:sz w:val="26"/>
        </w:rPr>
      </w:pPr>
    </w:p>
    <w:p w:rsidR="00040D73" w:rsidRPr="00040D73" w:rsidRDefault="00ED2ABC" w:rsidP="00AB351E">
      <w:pPr>
        <w:pStyle w:val="ListParagraph"/>
        <w:numPr>
          <w:ilvl w:val="0"/>
          <w:numId w:val="45"/>
        </w:numPr>
        <w:spacing w:line="240" w:lineRule="auto"/>
        <w:rPr>
          <w:sz w:val="26"/>
        </w:rPr>
      </w:pPr>
      <w:r>
        <w:rPr>
          <w:sz w:val="26"/>
        </w:rPr>
        <w:t>Show that the</w:t>
      </w:r>
      <w:r w:rsidR="00040D73" w:rsidRPr="00040D73">
        <w:rPr>
          <w:sz w:val="26"/>
        </w:rPr>
        <w:t xml:space="preserve"> issuance of a stay will not adversely affect the public interest.</w:t>
      </w:r>
    </w:p>
    <w:p w:rsidR="002F6154" w:rsidRDefault="002F6154" w:rsidP="004275CA">
      <w:pPr>
        <w:rPr>
          <w:sz w:val="26"/>
        </w:rPr>
      </w:pPr>
    </w:p>
    <w:p w:rsidR="00887816" w:rsidRDefault="00887816" w:rsidP="00ED2ABC">
      <w:pPr>
        <w:ind w:firstLine="0"/>
        <w:rPr>
          <w:sz w:val="26"/>
          <w:szCs w:val="26"/>
        </w:rPr>
      </w:pPr>
      <w:r>
        <w:rPr>
          <w:i/>
          <w:sz w:val="26"/>
          <w:szCs w:val="26"/>
        </w:rPr>
        <w:t xml:space="preserve">Process </w:t>
      </w:r>
      <w:r w:rsidRPr="00887816">
        <w:rPr>
          <w:i/>
          <w:sz w:val="26"/>
          <w:szCs w:val="26"/>
        </w:rPr>
        <w:t>Gas</w:t>
      </w:r>
      <w:r>
        <w:rPr>
          <w:sz w:val="26"/>
          <w:szCs w:val="26"/>
        </w:rPr>
        <w:t xml:space="preserve">, </w:t>
      </w:r>
      <w:r w:rsidR="00ED2ABC" w:rsidRPr="00887816">
        <w:rPr>
          <w:sz w:val="26"/>
          <w:szCs w:val="26"/>
        </w:rPr>
        <w:t>502</w:t>
      </w:r>
      <w:r w:rsidR="00ED2ABC" w:rsidRPr="004B1256">
        <w:rPr>
          <w:sz w:val="26"/>
          <w:szCs w:val="26"/>
        </w:rPr>
        <w:t xml:space="preserve"> Pa. at 552-53, 467 A.2d at 808-09</w:t>
      </w:r>
      <w:r>
        <w:rPr>
          <w:sz w:val="26"/>
          <w:szCs w:val="26"/>
        </w:rPr>
        <w:t xml:space="preserve">, citing </w:t>
      </w:r>
      <w:r w:rsidRPr="00AB351E">
        <w:rPr>
          <w:i/>
          <w:sz w:val="26"/>
          <w:szCs w:val="26"/>
        </w:rPr>
        <w:t>Virginia Petroleum Jobbers Association v. Federal Power Commission</w:t>
      </w:r>
      <w:r w:rsidRPr="00887816">
        <w:rPr>
          <w:sz w:val="26"/>
          <w:szCs w:val="26"/>
        </w:rPr>
        <w:t>, 259 F.2d 921 (D.C.Cir.</w:t>
      </w:r>
      <w:r w:rsidR="00583F64">
        <w:rPr>
          <w:sz w:val="26"/>
          <w:szCs w:val="26"/>
        </w:rPr>
        <w:t xml:space="preserve"> </w:t>
      </w:r>
      <w:r w:rsidRPr="00887816">
        <w:rPr>
          <w:sz w:val="26"/>
          <w:szCs w:val="26"/>
        </w:rPr>
        <w:t>1958)</w:t>
      </w:r>
      <w:r w:rsidR="00583F64">
        <w:rPr>
          <w:sz w:val="26"/>
          <w:szCs w:val="26"/>
        </w:rPr>
        <w:t xml:space="preserve"> (</w:t>
      </w:r>
      <w:r w:rsidR="00583F64">
        <w:rPr>
          <w:i/>
          <w:sz w:val="26"/>
          <w:szCs w:val="26"/>
        </w:rPr>
        <w:t>Virginia Jobbers</w:t>
      </w:r>
      <w:r w:rsidR="00583F64">
        <w:rPr>
          <w:sz w:val="26"/>
          <w:szCs w:val="26"/>
        </w:rPr>
        <w:t>)</w:t>
      </w:r>
      <w:r w:rsidR="00ED2ABC" w:rsidRPr="004B1256">
        <w:rPr>
          <w:sz w:val="26"/>
          <w:szCs w:val="26"/>
        </w:rPr>
        <w:t xml:space="preserve">.  </w:t>
      </w:r>
      <w:r>
        <w:rPr>
          <w:sz w:val="26"/>
          <w:szCs w:val="26"/>
        </w:rPr>
        <w:t xml:space="preserve">These criteria require the balancing of all interests, including </w:t>
      </w:r>
      <w:r w:rsidRPr="00887816">
        <w:rPr>
          <w:sz w:val="26"/>
          <w:szCs w:val="26"/>
        </w:rPr>
        <w:t>the public</w:t>
      </w:r>
      <w:r>
        <w:rPr>
          <w:sz w:val="26"/>
          <w:szCs w:val="26"/>
        </w:rPr>
        <w:t>,</w:t>
      </w:r>
      <w:r w:rsidRPr="00887816">
        <w:rPr>
          <w:sz w:val="26"/>
          <w:szCs w:val="26"/>
        </w:rPr>
        <w:t xml:space="preserve"> where applicable</w:t>
      </w:r>
      <w:r>
        <w:rPr>
          <w:sz w:val="26"/>
          <w:szCs w:val="26"/>
        </w:rPr>
        <w:t>.</w:t>
      </w:r>
    </w:p>
    <w:p w:rsidR="00887816" w:rsidRDefault="00887816" w:rsidP="00ED2ABC">
      <w:pPr>
        <w:ind w:firstLine="0"/>
        <w:rPr>
          <w:sz w:val="26"/>
          <w:szCs w:val="26"/>
        </w:rPr>
      </w:pPr>
    </w:p>
    <w:p w:rsidR="00ED2ABC" w:rsidRDefault="00887816" w:rsidP="00887816">
      <w:pPr>
        <w:rPr>
          <w:sz w:val="26"/>
          <w:szCs w:val="26"/>
        </w:rPr>
      </w:pPr>
      <w:r>
        <w:rPr>
          <w:sz w:val="26"/>
          <w:szCs w:val="26"/>
        </w:rPr>
        <w:t xml:space="preserve">In </w:t>
      </w:r>
      <w:r w:rsidR="00ED2ABC" w:rsidRPr="004B1256">
        <w:rPr>
          <w:i/>
          <w:sz w:val="26"/>
          <w:szCs w:val="26"/>
        </w:rPr>
        <w:t>Process Gas</w:t>
      </w:r>
      <w:r>
        <w:rPr>
          <w:sz w:val="26"/>
          <w:szCs w:val="26"/>
        </w:rPr>
        <w:t>, the Court</w:t>
      </w:r>
      <w:r w:rsidR="00ED2ABC" w:rsidRPr="004B1256">
        <w:rPr>
          <w:sz w:val="26"/>
          <w:szCs w:val="26"/>
        </w:rPr>
        <w:t xml:space="preserve"> also </w:t>
      </w:r>
      <w:r w:rsidR="00497A67">
        <w:rPr>
          <w:sz w:val="26"/>
          <w:szCs w:val="26"/>
        </w:rPr>
        <w:t>acknowledged</w:t>
      </w:r>
      <w:r w:rsidR="00ED2ABC" w:rsidRPr="004B1256">
        <w:rPr>
          <w:sz w:val="26"/>
          <w:szCs w:val="26"/>
        </w:rPr>
        <w:t xml:space="preserve"> that </w:t>
      </w:r>
      <w:r w:rsidR="00497A67">
        <w:rPr>
          <w:sz w:val="26"/>
          <w:szCs w:val="26"/>
        </w:rPr>
        <w:t>demonstration of the first factor, success on the merits, usually involves review of the merits of a dispute that have already been fully considered in an adversarial proceeding</w:t>
      </w:r>
      <w:r w:rsidR="00DD0E46">
        <w:rPr>
          <w:sz w:val="26"/>
          <w:szCs w:val="26"/>
        </w:rPr>
        <w:t xml:space="preserve"> before the same body now considering the request for a stay</w:t>
      </w:r>
      <w:r w:rsidR="00497A67">
        <w:rPr>
          <w:sz w:val="26"/>
          <w:szCs w:val="26"/>
        </w:rPr>
        <w:t xml:space="preserve">.  In this instance, </w:t>
      </w:r>
      <w:r w:rsidR="00AB351E">
        <w:rPr>
          <w:sz w:val="26"/>
          <w:szCs w:val="26"/>
        </w:rPr>
        <w:t xml:space="preserve">the Court concluded that </w:t>
      </w:r>
      <w:r w:rsidR="00497A67">
        <w:rPr>
          <w:sz w:val="26"/>
          <w:szCs w:val="26"/>
        </w:rPr>
        <w:t>it is essential that t</w:t>
      </w:r>
      <w:r w:rsidR="00ED2ABC" w:rsidRPr="004B1256">
        <w:rPr>
          <w:sz w:val="26"/>
          <w:szCs w:val="26"/>
        </w:rPr>
        <w:t xml:space="preserve">he </w:t>
      </w:r>
      <w:r>
        <w:rPr>
          <w:sz w:val="26"/>
          <w:szCs w:val="26"/>
        </w:rPr>
        <w:t xml:space="preserve">petitioner </w:t>
      </w:r>
      <w:r w:rsidR="00497A67">
        <w:rPr>
          <w:sz w:val="26"/>
          <w:szCs w:val="26"/>
        </w:rPr>
        <w:t>make a strong case under the criteria, and w</w:t>
      </w:r>
      <w:r>
        <w:rPr>
          <w:sz w:val="26"/>
          <w:szCs w:val="26"/>
        </w:rPr>
        <w:t>h</w:t>
      </w:r>
      <w:r w:rsidR="00497A67">
        <w:rPr>
          <w:sz w:val="26"/>
          <w:szCs w:val="26"/>
        </w:rPr>
        <w:t xml:space="preserve">en facing </w:t>
      </w:r>
      <w:r w:rsidR="00497A67" w:rsidRPr="00497A67">
        <w:rPr>
          <w:sz w:val="26"/>
          <w:szCs w:val="26"/>
        </w:rPr>
        <w:t>a case in which the other three factors strongly favor interim relief</w:t>
      </w:r>
      <w:r w:rsidR="00497A67">
        <w:rPr>
          <w:sz w:val="26"/>
          <w:szCs w:val="26"/>
        </w:rPr>
        <w:t xml:space="preserve">, </w:t>
      </w:r>
      <w:r w:rsidR="00497A67" w:rsidRPr="00497A67">
        <w:rPr>
          <w:sz w:val="26"/>
          <w:szCs w:val="26"/>
        </w:rPr>
        <w:t xml:space="preserve">discretion </w:t>
      </w:r>
      <w:r>
        <w:rPr>
          <w:sz w:val="26"/>
          <w:szCs w:val="26"/>
        </w:rPr>
        <w:t xml:space="preserve">may be exercised </w:t>
      </w:r>
      <w:r w:rsidR="00497A67" w:rsidRPr="00497A67">
        <w:rPr>
          <w:sz w:val="26"/>
          <w:szCs w:val="26"/>
        </w:rPr>
        <w:t xml:space="preserve">to grant a stay </w:t>
      </w:r>
      <w:r>
        <w:rPr>
          <w:sz w:val="26"/>
          <w:szCs w:val="26"/>
        </w:rPr>
        <w:t xml:space="preserve">where </w:t>
      </w:r>
      <w:r w:rsidR="00497A67" w:rsidRPr="00497A67">
        <w:rPr>
          <w:sz w:val="26"/>
          <w:szCs w:val="26"/>
        </w:rPr>
        <w:t xml:space="preserve">the </w:t>
      </w:r>
      <w:r w:rsidR="00497A67">
        <w:rPr>
          <w:sz w:val="26"/>
          <w:szCs w:val="26"/>
        </w:rPr>
        <w:t>petitioner</w:t>
      </w:r>
      <w:r w:rsidR="00497A67" w:rsidRPr="00497A67">
        <w:rPr>
          <w:sz w:val="26"/>
          <w:szCs w:val="26"/>
        </w:rPr>
        <w:t xml:space="preserve"> has made a substantial case on the merits</w:t>
      </w:r>
      <w:r w:rsidR="00AB351E">
        <w:rPr>
          <w:sz w:val="26"/>
          <w:szCs w:val="26"/>
        </w:rPr>
        <w:t xml:space="preserve"> even though the reviewing tribunal may disagree with the result advocated</w:t>
      </w:r>
      <w:r w:rsidR="00ED2ABC" w:rsidRPr="004B1256">
        <w:rPr>
          <w:sz w:val="26"/>
          <w:szCs w:val="26"/>
        </w:rPr>
        <w:t xml:space="preserve">.  </w:t>
      </w:r>
      <w:r w:rsidR="00ED2ABC" w:rsidRPr="00596692">
        <w:rPr>
          <w:i/>
          <w:sz w:val="26"/>
          <w:szCs w:val="26"/>
        </w:rPr>
        <w:t>Process Gas</w:t>
      </w:r>
      <w:r w:rsidR="00ED2ABC">
        <w:rPr>
          <w:sz w:val="26"/>
          <w:szCs w:val="26"/>
        </w:rPr>
        <w:t xml:space="preserve">, </w:t>
      </w:r>
      <w:r w:rsidR="00ED2ABC" w:rsidRPr="004B1256">
        <w:rPr>
          <w:sz w:val="26"/>
          <w:szCs w:val="26"/>
        </w:rPr>
        <w:t>502 Pa. at 553</w:t>
      </w:r>
      <w:r w:rsidR="00AB351E">
        <w:rPr>
          <w:sz w:val="26"/>
          <w:szCs w:val="26"/>
        </w:rPr>
        <w:t>-54</w:t>
      </w:r>
      <w:r w:rsidR="00ED2ABC" w:rsidRPr="004B1256">
        <w:rPr>
          <w:sz w:val="26"/>
          <w:szCs w:val="26"/>
        </w:rPr>
        <w:t>, 467 A.2d at 809</w:t>
      </w:r>
      <w:r w:rsidR="00497A67">
        <w:rPr>
          <w:sz w:val="26"/>
          <w:szCs w:val="26"/>
        </w:rPr>
        <w:t xml:space="preserve">, quoting </w:t>
      </w:r>
      <w:r w:rsidR="00497A67" w:rsidRPr="00497A67">
        <w:rPr>
          <w:i/>
          <w:sz w:val="26"/>
          <w:szCs w:val="26"/>
        </w:rPr>
        <w:t>Washington Metropolitan Area Transit Commission v. Holiday Tours, Inc</w:t>
      </w:r>
      <w:r w:rsidR="00497A67" w:rsidRPr="00497A67">
        <w:rPr>
          <w:sz w:val="26"/>
          <w:szCs w:val="26"/>
        </w:rPr>
        <w:t>., 559 F.2d 841</w:t>
      </w:r>
      <w:r>
        <w:rPr>
          <w:sz w:val="26"/>
          <w:szCs w:val="26"/>
        </w:rPr>
        <w:t>, 843</w:t>
      </w:r>
      <w:r w:rsidR="00497A67" w:rsidRPr="00497A67">
        <w:rPr>
          <w:sz w:val="26"/>
          <w:szCs w:val="26"/>
        </w:rPr>
        <w:t xml:space="preserve"> (D.C.Cir.</w:t>
      </w:r>
      <w:r w:rsidR="00583F64">
        <w:rPr>
          <w:sz w:val="26"/>
          <w:szCs w:val="26"/>
        </w:rPr>
        <w:t xml:space="preserve"> </w:t>
      </w:r>
      <w:r w:rsidR="00497A67" w:rsidRPr="00497A67">
        <w:rPr>
          <w:sz w:val="26"/>
          <w:szCs w:val="26"/>
        </w:rPr>
        <w:t>1977)</w:t>
      </w:r>
      <w:r w:rsidR="00ED2ABC" w:rsidRPr="004B1256">
        <w:rPr>
          <w:sz w:val="26"/>
          <w:szCs w:val="26"/>
        </w:rPr>
        <w:t>.</w:t>
      </w:r>
    </w:p>
    <w:p w:rsidR="00AC6ACC" w:rsidRDefault="00AC6ACC" w:rsidP="00887816">
      <w:pPr>
        <w:ind w:firstLine="0"/>
        <w:rPr>
          <w:b/>
          <w:sz w:val="26"/>
        </w:rPr>
      </w:pPr>
    </w:p>
    <w:p w:rsidR="004275CA" w:rsidRPr="00ED2ABC" w:rsidRDefault="00796990" w:rsidP="0055287B">
      <w:pPr>
        <w:keepNext/>
        <w:ind w:firstLine="0"/>
        <w:rPr>
          <w:b/>
          <w:sz w:val="26"/>
        </w:rPr>
      </w:pPr>
      <w:r>
        <w:rPr>
          <w:b/>
          <w:sz w:val="26"/>
        </w:rPr>
        <w:t>HIKO’s Petition</w:t>
      </w:r>
    </w:p>
    <w:p w:rsidR="002F6154" w:rsidRDefault="002F6154" w:rsidP="0055287B">
      <w:pPr>
        <w:keepNext/>
        <w:ind w:firstLine="0"/>
        <w:rPr>
          <w:sz w:val="26"/>
        </w:rPr>
      </w:pPr>
    </w:p>
    <w:p w:rsidR="00EA32DB" w:rsidRDefault="00AC6ACC" w:rsidP="00AC6ACC">
      <w:pPr>
        <w:ind w:firstLine="0"/>
        <w:rPr>
          <w:sz w:val="26"/>
        </w:rPr>
      </w:pPr>
      <w:r>
        <w:rPr>
          <w:b/>
          <w:sz w:val="26"/>
        </w:rPr>
        <w:tab/>
      </w:r>
      <w:r>
        <w:rPr>
          <w:b/>
          <w:sz w:val="26"/>
        </w:rPr>
        <w:tab/>
      </w:r>
      <w:r w:rsidR="00AB351E">
        <w:rPr>
          <w:sz w:val="26"/>
        </w:rPr>
        <w:t xml:space="preserve">HIKO contends that it is entitled to relief because it satisfies all four criteria under </w:t>
      </w:r>
      <w:r w:rsidR="00AB351E">
        <w:rPr>
          <w:i/>
          <w:sz w:val="26"/>
        </w:rPr>
        <w:t>Process Gas</w:t>
      </w:r>
      <w:r w:rsidR="00AB351E">
        <w:rPr>
          <w:sz w:val="26"/>
        </w:rPr>
        <w:t xml:space="preserve">.  </w:t>
      </w:r>
      <w:r w:rsidR="00EA32DB">
        <w:rPr>
          <w:sz w:val="26"/>
        </w:rPr>
        <w:t>In the event the Commission grants its request but requires a bond, HIKO requests the Commission to allow it to use “its existing security bond in the amount of $750,000, which is currently posted with the Commission” to assure regulatory compliance.  Petition at 3, 11.</w:t>
      </w:r>
    </w:p>
    <w:p w:rsidR="00EA32DB" w:rsidRDefault="00EA32DB" w:rsidP="00AC6ACC">
      <w:pPr>
        <w:ind w:firstLine="0"/>
        <w:rPr>
          <w:sz w:val="26"/>
        </w:rPr>
      </w:pPr>
    </w:p>
    <w:p w:rsidR="00AA63B1" w:rsidRDefault="00DB78AE" w:rsidP="00EA32DB">
      <w:pPr>
        <w:rPr>
          <w:sz w:val="26"/>
        </w:rPr>
      </w:pPr>
      <w:r>
        <w:rPr>
          <w:sz w:val="26"/>
        </w:rPr>
        <w:lastRenderedPageBreak/>
        <w:t xml:space="preserve">As </w:t>
      </w:r>
      <w:r w:rsidR="00AB351E">
        <w:rPr>
          <w:sz w:val="26"/>
        </w:rPr>
        <w:t xml:space="preserve">to the first criterion, HIKO contends that under </w:t>
      </w:r>
      <w:r w:rsidR="00AB351E">
        <w:rPr>
          <w:i/>
          <w:sz w:val="26"/>
        </w:rPr>
        <w:t xml:space="preserve">Process Gas </w:t>
      </w:r>
      <w:r w:rsidR="00AB351E">
        <w:rPr>
          <w:sz w:val="26"/>
        </w:rPr>
        <w:t xml:space="preserve">our determination of the likelihood of HIKO’s success on appeal is not controlling and that we need not agree with the merits of HIKO’s case.  Rather, HIKO argues that in its appeal it raises significant legal issues and presents a substantial case on the merits, challenging several aspects of the </w:t>
      </w:r>
      <w:r w:rsidR="00AB351E">
        <w:rPr>
          <w:i/>
          <w:sz w:val="26"/>
        </w:rPr>
        <w:t xml:space="preserve">December 2015 </w:t>
      </w:r>
      <w:r w:rsidR="00AB351E" w:rsidRPr="00AB351E">
        <w:rPr>
          <w:i/>
          <w:sz w:val="26"/>
        </w:rPr>
        <w:t>Order</w:t>
      </w:r>
      <w:r w:rsidR="00AB351E">
        <w:rPr>
          <w:sz w:val="26"/>
        </w:rPr>
        <w:t xml:space="preserve"> that </w:t>
      </w:r>
      <w:r w:rsidR="00A73219">
        <w:rPr>
          <w:sz w:val="26"/>
        </w:rPr>
        <w:t xml:space="preserve">HIKO asserts Commonwealth Court will find significant and substantial.  </w:t>
      </w:r>
      <w:r w:rsidR="00AA63B1" w:rsidRPr="00AB351E">
        <w:rPr>
          <w:sz w:val="26"/>
        </w:rPr>
        <w:t>Petition</w:t>
      </w:r>
      <w:r w:rsidR="00AA63B1">
        <w:rPr>
          <w:sz w:val="26"/>
        </w:rPr>
        <w:t xml:space="preserve"> at </w:t>
      </w:r>
      <w:r w:rsidR="00A73219">
        <w:rPr>
          <w:sz w:val="26"/>
        </w:rPr>
        <w:t>5</w:t>
      </w:r>
      <w:r w:rsidR="00AA63B1">
        <w:rPr>
          <w:sz w:val="26"/>
        </w:rPr>
        <w:t>.</w:t>
      </w:r>
    </w:p>
    <w:p w:rsidR="00A73219" w:rsidRDefault="00A73219" w:rsidP="00AC6ACC">
      <w:pPr>
        <w:ind w:firstLine="0"/>
        <w:rPr>
          <w:sz w:val="26"/>
        </w:rPr>
      </w:pPr>
    </w:p>
    <w:p w:rsidR="00A73219" w:rsidRDefault="00A73219" w:rsidP="00A73219">
      <w:pPr>
        <w:rPr>
          <w:sz w:val="26"/>
        </w:rPr>
      </w:pPr>
      <w:r>
        <w:rPr>
          <w:sz w:val="26"/>
        </w:rPr>
        <w:t xml:space="preserve">The first issue </w:t>
      </w:r>
      <w:r w:rsidR="00227CFC">
        <w:rPr>
          <w:sz w:val="26"/>
        </w:rPr>
        <w:t xml:space="preserve">on the merits that </w:t>
      </w:r>
      <w:r>
        <w:rPr>
          <w:sz w:val="26"/>
        </w:rPr>
        <w:t>HIKO raises is the Commission’s imposition of what HIKO claims is an “unprecedented civil penalty” while failing “to properly consider the many mitigating circumstances surrounding HIKO’s alleged violations,” including the extreme cold weather, the unprecedented spikes in the price of wholesale energy, and the resulting severe financial constraints the EGS experienced that “nearly put the Company out of business.”  Petition at 5.  Th</w:t>
      </w:r>
      <w:r w:rsidR="00DD0E46">
        <w:rPr>
          <w:sz w:val="26"/>
        </w:rPr>
        <w:t>e civil penalty imposed</w:t>
      </w:r>
      <w:r>
        <w:rPr>
          <w:sz w:val="26"/>
        </w:rPr>
        <w:t>, claims HIKO, is not only unsupportable under the record evidence and Commission’s “penalty policy,” but also violative of the Excessive Fines Clause of Article I, Section 13, of the Pennsylvania Constitution, which, according to HIKO, requires that a constitutionally permissible civil penalty must be “</w:t>
      </w:r>
      <w:r>
        <w:rPr>
          <w:i/>
          <w:sz w:val="26"/>
        </w:rPr>
        <w:t xml:space="preserve">reasonably proportionate </w:t>
      </w:r>
      <w:r>
        <w:rPr>
          <w:sz w:val="26"/>
        </w:rPr>
        <w:t xml:space="preserve">to the crimes which occasion them.”  </w:t>
      </w:r>
      <w:r>
        <w:rPr>
          <w:i/>
          <w:sz w:val="26"/>
        </w:rPr>
        <w:t>Id.</w:t>
      </w:r>
      <w:r>
        <w:rPr>
          <w:sz w:val="26"/>
        </w:rPr>
        <w:t xml:space="preserve"> at 6, quoting </w:t>
      </w:r>
      <w:r>
        <w:rPr>
          <w:i/>
          <w:sz w:val="26"/>
        </w:rPr>
        <w:t>Commonwealth v. Eisenberg</w:t>
      </w:r>
      <w:r>
        <w:rPr>
          <w:sz w:val="26"/>
        </w:rPr>
        <w:t xml:space="preserve">, 98 A.3d 1268, 1287 (Pa. 2014) </w:t>
      </w:r>
      <w:r w:rsidR="00D67486">
        <w:rPr>
          <w:sz w:val="26"/>
        </w:rPr>
        <w:t>(</w:t>
      </w:r>
      <w:r w:rsidR="00D67486" w:rsidRPr="00D67486">
        <w:rPr>
          <w:i/>
          <w:sz w:val="26"/>
        </w:rPr>
        <w:t>Eisenberg</w:t>
      </w:r>
      <w:r w:rsidR="00D67486">
        <w:rPr>
          <w:sz w:val="26"/>
        </w:rPr>
        <w:t xml:space="preserve">) </w:t>
      </w:r>
      <w:r>
        <w:rPr>
          <w:sz w:val="26"/>
        </w:rPr>
        <w:t>(emphasis supplied by HIKO).</w:t>
      </w:r>
    </w:p>
    <w:p w:rsidR="00455248" w:rsidRDefault="00455248" w:rsidP="00A73219">
      <w:pPr>
        <w:rPr>
          <w:sz w:val="26"/>
        </w:rPr>
      </w:pPr>
    </w:p>
    <w:p w:rsidR="00DD0E46" w:rsidRDefault="00DD0E46" w:rsidP="00A73219">
      <w:pPr>
        <w:rPr>
          <w:sz w:val="26"/>
        </w:rPr>
      </w:pPr>
      <w:r w:rsidRPr="00DD0E46">
        <w:rPr>
          <w:sz w:val="26"/>
        </w:rPr>
        <w:t xml:space="preserve">The </w:t>
      </w:r>
      <w:r w:rsidR="00796990">
        <w:rPr>
          <w:sz w:val="26"/>
        </w:rPr>
        <w:t>next</w:t>
      </w:r>
      <w:r w:rsidRPr="00DD0E46">
        <w:rPr>
          <w:sz w:val="26"/>
        </w:rPr>
        <w:t xml:space="preserve"> issue HIKO raises is </w:t>
      </w:r>
      <w:r>
        <w:rPr>
          <w:sz w:val="26"/>
        </w:rPr>
        <w:t xml:space="preserve">its claim that </w:t>
      </w:r>
      <w:r w:rsidRPr="00DD0E46">
        <w:rPr>
          <w:sz w:val="26"/>
        </w:rPr>
        <w:t>the Commission</w:t>
      </w:r>
      <w:r>
        <w:rPr>
          <w:sz w:val="26"/>
        </w:rPr>
        <w:t xml:space="preserve"> imposed a penalty “nearly 80 times higher than the civil penalties assessed against other EGSs for similar conduct during the same time period.”  Petition at 6.  </w:t>
      </w:r>
      <w:r w:rsidR="005A45AA">
        <w:rPr>
          <w:sz w:val="26"/>
        </w:rPr>
        <w:t xml:space="preserve">HIKO asserts that the Commission completely disregarded what it claims are similar cases solely because they were settled and without providing any explanation why the penalties assessed in those cases should not have persuasive value.  This, claims HIKO, converts the civil penalty into a penalty for choosing to litigate, depriving it of its constitutional right of appeal.  </w:t>
      </w:r>
    </w:p>
    <w:p w:rsidR="005A45AA" w:rsidRDefault="005A45AA" w:rsidP="00A73219">
      <w:pPr>
        <w:rPr>
          <w:sz w:val="26"/>
        </w:rPr>
      </w:pPr>
    </w:p>
    <w:p w:rsidR="005A45AA" w:rsidRDefault="005A45AA" w:rsidP="005A45AA">
      <w:pPr>
        <w:rPr>
          <w:sz w:val="26"/>
        </w:rPr>
      </w:pPr>
      <w:r w:rsidRPr="005A45AA">
        <w:rPr>
          <w:sz w:val="26"/>
        </w:rPr>
        <w:lastRenderedPageBreak/>
        <w:t xml:space="preserve">The </w:t>
      </w:r>
      <w:r w:rsidR="00796990">
        <w:rPr>
          <w:sz w:val="26"/>
        </w:rPr>
        <w:t xml:space="preserve">final </w:t>
      </w:r>
      <w:r w:rsidRPr="005A45AA">
        <w:rPr>
          <w:sz w:val="26"/>
        </w:rPr>
        <w:t xml:space="preserve">issue HIKO raises </w:t>
      </w:r>
      <w:r w:rsidR="00796990">
        <w:rPr>
          <w:sz w:val="26"/>
        </w:rPr>
        <w:t xml:space="preserve">on the merits of its claim is </w:t>
      </w:r>
      <w:r>
        <w:rPr>
          <w:sz w:val="26"/>
        </w:rPr>
        <w:t xml:space="preserve">its assertion that </w:t>
      </w:r>
      <w:r w:rsidRPr="005A45AA">
        <w:rPr>
          <w:sz w:val="26"/>
        </w:rPr>
        <w:t>the Commission</w:t>
      </w:r>
      <w:r>
        <w:rPr>
          <w:sz w:val="26"/>
        </w:rPr>
        <w:t xml:space="preserve"> “</w:t>
      </w:r>
      <w:r w:rsidRPr="009B61B9">
        <w:rPr>
          <w:sz w:val="26"/>
        </w:rPr>
        <w:t>approved one of the highest civil penalties sought by I&amp;E</w:t>
      </w:r>
      <w:r>
        <w:rPr>
          <w:sz w:val="26"/>
        </w:rPr>
        <w:t xml:space="preserve"> despite its concession that the ALJs relied on insufficient evidence to support certain factual findings.”  Petition at 7.  </w:t>
      </w:r>
      <w:r w:rsidR="0064490C">
        <w:rPr>
          <w:sz w:val="26"/>
        </w:rPr>
        <w:t xml:space="preserve">The evidence HIKO identifies as insufficient </w:t>
      </w:r>
      <w:r w:rsidR="006777BA">
        <w:rPr>
          <w:sz w:val="26"/>
        </w:rPr>
        <w:t xml:space="preserve">to support the penalty we adopted </w:t>
      </w:r>
      <w:r w:rsidR="0064490C">
        <w:rPr>
          <w:sz w:val="26"/>
        </w:rPr>
        <w:t xml:space="preserve">was </w:t>
      </w:r>
      <w:r w:rsidR="006777BA">
        <w:rPr>
          <w:sz w:val="26"/>
        </w:rPr>
        <w:t xml:space="preserve">our discounting of </w:t>
      </w:r>
      <w:r w:rsidR="0064490C">
        <w:rPr>
          <w:sz w:val="26"/>
        </w:rPr>
        <w:t>the ALJs’ findings that HIKO’s customers suffered financial hardship as a result of the overcharges, that the EGS was out-of-compliance with the Commission’s annual surety requirements</w:t>
      </w:r>
      <w:r w:rsidR="00583F64">
        <w:rPr>
          <w:sz w:val="26"/>
        </w:rPr>
        <w:t xml:space="preserve"> at the time of the violations</w:t>
      </w:r>
      <w:r w:rsidR="0064490C">
        <w:rPr>
          <w:sz w:val="26"/>
        </w:rPr>
        <w:t>, and that the EGS was a large company.</w:t>
      </w:r>
      <w:r w:rsidR="00EF0922">
        <w:rPr>
          <w:sz w:val="26"/>
        </w:rPr>
        <w:t xml:space="preserve">  </w:t>
      </w:r>
      <w:r w:rsidR="00583F64">
        <w:rPr>
          <w:sz w:val="26"/>
        </w:rPr>
        <w:t>HIKO a</w:t>
      </w:r>
      <w:r w:rsidR="00EF0922">
        <w:rPr>
          <w:sz w:val="26"/>
        </w:rPr>
        <w:t>cknowledg</w:t>
      </w:r>
      <w:r w:rsidR="00583F64">
        <w:rPr>
          <w:sz w:val="26"/>
        </w:rPr>
        <w:t>es</w:t>
      </w:r>
      <w:r w:rsidR="00EF0922">
        <w:rPr>
          <w:sz w:val="26"/>
        </w:rPr>
        <w:t xml:space="preserve"> our conclusion that while not persuaded </w:t>
      </w:r>
      <w:r w:rsidR="00DB78AE">
        <w:rPr>
          <w:sz w:val="26"/>
        </w:rPr>
        <w:t xml:space="preserve">that </w:t>
      </w:r>
      <w:r w:rsidR="00583F64">
        <w:rPr>
          <w:sz w:val="26"/>
        </w:rPr>
        <w:t>the record supported tho</w:t>
      </w:r>
      <w:r w:rsidR="00EF0922">
        <w:rPr>
          <w:sz w:val="26"/>
        </w:rPr>
        <w:t xml:space="preserve">se </w:t>
      </w:r>
      <w:r w:rsidR="00DB78AE">
        <w:rPr>
          <w:sz w:val="26"/>
        </w:rPr>
        <w:t xml:space="preserve">discrete </w:t>
      </w:r>
      <w:r w:rsidR="00EF0922">
        <w:rPr>
          <w:sz w:val="26"/>
        </w:rPr>
        <w:t>findings we nonetheless found ample record support for the penalty</w:t>
      </w:r>
      <w:r w:rsidR="00583F64">
        <w:rPr>
          <w:sz w:val="26"/>
        </w:rPr>
        <w:t xml:space="preserve">.  Nevertheless, </w:t>
      </w:r>
      <w:r w:rsidR="00EF0922">
        <w:rPr>
          <w:sz w:val="26"/>
        </w:rPr>
        <w:t xml:space="preserve">HIKO claims that “the Commission should have, </w:t>
      </w:r>
      <w:r w:rsidR="00EF0922" w:rsidRPr="00EF0922">
        <w:rPr>
          <w:sz w:val="26"/>
        </w:rPr>
        <w:t xml:space="preserve">at a minimum, </w:t>
      </w:r>
      <w:r w:rsidR="00EF0922">
        <w:rPr>
          <w:sz w:val="26"/>
        </w:rPr>
        <w:t xml:space="preserve">adjusted the $1,836,125 civil penalty </w:t>
      </w:r>
      <w:r w:rsidR="00EF0922" w:rsidRPr="00EF0922">
        <w:rPr>
          <w:i/>
          <w:sz w:val="26"/>
        </w:rPr>
        <w:t>downward</w:t>
      </w:r>
      <w:r w:rsidR="00EF0922">
        <w:rPr>
          <w:sz w:val="26"/>
        </w:rPr>
        <w:t xml:space="preserve"> to reflect the shortcomings it found in the ALJs’ findings.” </w:t>
      </w:r>
      <w:r w:rsidR="006777BA">
        <w:rPr>
          <w:sz w:val="26"/>
        </w:rPr>
        <w:t xml:space="preserve"> </w:t>
      </w:r>
      <w:r w:rsidR="00846F67">
        <w:rPr>
          <w:sz w:val="26"/>
        </w:rPr>
        <w:t xml:space="preserve">Petition at 8 (emphasis in original).  </w:t>
      </w:r>
      <w:r w:rsidR="00EF0922">
        <w:rPr>
          <w:sz w:val="26"/>
        </w:rPr>
        <w:t>Failure to do so, claims HIKO, rendered the decision unsupported by substantial evidence.</w:t>
      </w:r>
    </w:p>
    <w:p w:rsidR="006C731B" w:rsidRDefault="006C731B" w:rsidP="005A45AA">
      <w:pPr>
        <w:rPr>
          <w:sz w:val="26"/>
        </w:rPr>
      </w:pPr>
    </w:p>
    <w:p w:rsidR="00DD0E46" w:rsidRDefault="00796990" w:rsidP="00A73219">
      <w:pPr>
        <w:rPr>
          <w:sz w:val="26"/>
        </w:rPr>
      </w:pPr>
      <w:r>
        <w:rPr>
          <w:sz w:val="26"/>
        </w:rPr>
        <w:t>Addressing</w:t>
      </w:r>
      <w:r w:rsidR="00951DE1">
        <w:rPr>
          <w:sz w:val="26"/>
        </w:rPr>
        <w:t xml:space="preserve"> </w:t>
      </w:r>
      <w:r w:rsidR="006C731B">
        <w:rPr>
          <w:sz w:val="26"/>
        </w:rPr>
        <w:t xml:space="preserve">the second criterion necessary to obtain a stay, irreparable harm, HIKO asserts that </w:t>
      </w:r>
      <w:r w:rsidR="005D048E">
        <w:rPr>
          <w:sz w:val="26"/>
        </w:rPr>
        <w:t xml:space="preserve">if it prevails on appeal, </w:t>
      </w:r>
      <w:r w:rsidR="006C731B">
        <w:rPr>
          <w:sz w:val="26"/>
        </w:rPr>
        <w:t xml:space="preserve">it will suffer significant loss that will threaten its economic viability and </w:t>
      </w:r>
      <w:r w:rsidR="005576E0">
        <w:rPr>
          <w:sz w:val="26"/>
        </w:rPr>
        <w:t>“</w:t>
      </w:r>
      <w:r w:rsidR="006C731B">
        <w:rPr>
          <w:sz w:val="26"/>
        </w:rPr>
        <w:t xml:space="preserve">could </w:t>
      </w:r>
      <w:r w:rsidR="005576E0">
        <w:rPr>
          <w:sz w:val="26"/>
        </w:rPr>
        <w:t xml:space="preserve">ultimately </w:t>
      </w:r>
      <w:r w:rsidR="006C731B">
        <w:rPr>
          <w:sz w:val="26"/>
        </w:rPr>
        <w:t>impair</w:t>
      </w:r>
      <w:r w:rsidR="005576E0">
        <w:rPr>
          <w:sz w:val="26"/>
        </w:rPr>
        <w:t>”</w:t>
      </w:r>
      <w:r w:rsidR="006C731B">
        <w:rPr>
          <w:sz w:val="26"/>
        </w:rPr>
        <w:t xml:space="preserve"> its ability to serve customers</w:t>
      </w:r>
      <w:r w:rsidR="00951DE1" w:rsidRPr="00951DE1">
        <w:rPr>
          <w:sz w:val="26"/>
        </w:rPr>
        <w:t xml:space="preserve"> absent a stay</w:t>
      </w:r>
      <w:r w:rsidR="006C731B">
        <w:rPr>
          <w:sz w:val="26"/>
        </w:rPr>
        <w:t xml:space="preserve">.  </w:t>
      </w:r>
      <w:r w:rsidR="005576E0" w:rsidRPr="005576E0">
        <w:rPr>
          <w:sz w:val="26"/>
        </w:rPr>
        <w:t xml:space="preserve">Petition at </w:t>
      </w:r>
      <w:r w:rsidR="005576E0">
        <w:rPr>
          <w:sz w:val="26"/>
        </w:rPr>
        <w:t>8</w:t>
      </w:r>
      <w:r w:rsidR="005576E0" w:rsidRPr="005576E0">
        <w:rPr>
          <w:sz w:val="26"/>
        </w:rPr>
        <w:t>.</w:t>
      </w:r>
      <w:r w:rsidR="005576E0">
        <w:rPr>
          <w:sz w:val="26"/>
        </w:rPr>
        <w:t xml:space="preserve">  </w:t>
      </w:r>
      <w:r w:rsidR="005D048E">
        <w:rPr>
          <w:sz w:val="26"/>
        </w:rPr>
        <w:t xml:space="preserve">Recounting its obligations under </w:t>
      </w:r>
      <w:r w:rsidR="005D048E">
        <w:rPr>
          <w:i/>
          <w:sz w:val="26"/>
        </w:rPr>
        <w:t>OAG/OCA-HIKO Settlement</w:t>
      </w:r>
      <w:r w:rsidR="005D048E">
        <w:rPr>
          <w:sz w:val="26"/>
        </w:rPr>
        <w:t xml:space="preserve">, HIKO claims that it is “financially equipped” to provide the required customer refunds, improve customer service, contribute to the EDCs’ hardship funds, and refrain from offering variable rate contracts through June 2016, but the addition of the $1.8 million civil penalty “will bring liquidity issues that could threaten the Company’s survival.”  </w:t>
      </w:r>
      <w:r w:rsidR="005576E0">
        <w:rPr>
          <w:i/>
          <w:sz w:val="26"/>
        </w:rPr>
        <w:t>Id. </w:t>
      </w:r>
      <w:r w:rsidR="005576E0">
        <w:rPr>
          <w:sz w:val="26"/>
        </w:rPr>
        <w:t>at 9</w:t>
      </w:r>
      <w:r w:rsidR="005D048E">
        <w:rPr>
          <w:sz w:val="26"/>
        </w:rPr>
        <w:t>.</w:t>
      </w:r>
    </w:p>
    <w:p w:rsidR="005576E0" w:rsidRDefault="005576E0" w:rsidP="00A73219">
      <w:pPr>
        <w:rPr>
          <w:sz w:val="26"/>
        </w:rPr>
      </w:pPr>
    </w:p>
    <w:p w:rsidR="005576E0" w:rsidRDefault="00951DE1" w:rsidP="00A73219">
      <w:pPr>
        <w:rPr>
          <w:sz w:val="26"/>
        </w:rPr>
      </w:pPr>
      <w:r>
        <w:rPr>
          <w:sz w:val="26"/>
        </w:rPr>
        <w:t>Addressing</w:t>
      </w:r>
      <w:r w:rsidR="005576E0">
        <w:rPr>
          <w:sz w:val="26"/>
        </w:rPr>
        <w:t xml:space="preserve"> the third criterion of </w:t>
      </w:r>
      <w:r w:rsidR="005576E0">
        <w:rPr>
          <w:i/>
          <w:sz w:val="26"/>
        </w:rPr>
        <w:t>Process Gas</w:t>
      </w:r>
      <w:r w:rsidR="005576E0">
        <w:rPr>
          <w:sz w:val="26"/>
        </w:rPr>
        <w:t xml:space="preserve">, HIKO claims that interested parties will not be substantially harmed because </w:t>
      </w:r>
      <w:r>
        <w:rPr>
          <w:sz w:val="26"/>
        </w:rPr>
        <w:t xml:space="preserve">it will continue to comply with the requirements of </w:t>
      </w:r>
      <w:r>
        <w:rPr>
          <w:i/>
          <w:sz w:val="26"/>
        </w:rPr>
        <w:t>OAG/OCA-HIKO Settlement</w:t>
      </w:r>
      <w:r>
        <w:rPr>
          <w:sz w:val="26"/>
        </w:rPr>
        <w:t xml:space="preserve">, including </w:t>
      </w:r>
      <w:r w:rsidR="00482333">
        <w:rPr>
          <w:sz w:val="26"/>
        </w:rPr>
        <w:t xml:space="preserve">providing refunds and </w:t>
      </w:r>
      <w:r>
        <w:rPr>
          <w:sz w:val="26"/>
        </w:rPr>
        <w:t xml:space="preserve">implementing the practices and procedures that led to I&amp;E’s complaint.  As HIKO states, </w:t>
      </w:r>
      <w:r>
        <w:rPr>
          <w:sz w:val="26"/>
        </w:rPr>
        <w:lastRenderedPageBreak/>
        <w:t xml:space="preserve">it </w:t>
      </w:r>
      <w:r w:rsidRPr="0009536C">
        <w:rPr>
          <w:sz w:val="26"/>
        </w:rPr>
        <w:t>“has already made substantial changes to its business operations to ensure that it is able to deal with the financial constraints and market exposure that led to the violations underlying the civil penalty now levied against it.”</w:t>
      </w:r>
      <w:r>
        <w:rPr>
          <w:sz w:val="26"/>
        </w:rPr>
        <w:t xml:space="preserve">  Petition at 10.</w:t>
      </w:r>
    </w:p>
    <w:p w:rsidR="00892468" w:rsidRDefault="00892468" w:rsidP="00A73219">
      <w:pPr>
        <w:rPr>
          <w:sz w:val="26"/>
        </w:rPr>
      </w:pPr>
    </w:p>
    <w:p w:rsidR="00892468" w:rsidRDefault="00892468" w:rsidP="00A73219">
      <w:pPr>
        <w:rPr>
          <w:sz w:val="26"/>
        </w:rPr>
      </w:pPr>
      <w:r>
        <w:rPr>
          <w:sz w:val="26"/>
        </w:rPr>
        <w:t xml:space="preserve">Finally, as to the fourth factor considered for the grant of a stay, </w:t>
      </w:r>
      <w:r w:rsidR="00796990">
        <w:rPr>
          <w:sz w:val="26"/>
        </w:rPr>
        <w:t xml:space="preserve">effect on the public interest, </w:t>
      </w:r>
      <w:r>
        <w:rPr>
          <w:sz w:val="26"/>
        </w:rPr>
        <w:t xml:space="preserve">HIKO contends that the public interest will not be adversely affected </w:t>
      </w:r>
      <w:r w:rsidR="00D608B5">
        <w:rPr>
          <w:sz w:val="26"/>
        </w:rPr>
        <w:t xml:space="preserve">because </w:t>
      </w:r>
      <w:r w:rsidR="006744E3">
        <w:rPr>
          <w:sz w:val="26"/>
        </w:rPr>
        <w:t>“</w:t>
      </w:r>
      <w:r w:rsidR="00D608B5">
        <w:rPr>
          <w:sz w:val="26"/>
        </w:rPr>
        <w:t xml:space="preserve">[i]n fact, </w:t>
      </w:r>
      <w:r w:rsidR="006744E3">
        <w:rPr>
          <w:sz w:val="26"/>
        </w:rPr>
        <w:t xml:space="preserve">the Commission and I&amp;E have failed to explain how this enormous civil penalty actually serves the public interest.”  Petition at 10.  Further, </w:t>
      </w:r>
      <w:r>
        <w:rPr>
          <w:sz w:val="26"/>
        </w:rPr>
        <w:t>the civil penalty is not paid to consumers but rather to the Commonwealth’s General Fund, which generally finances public operations.</w:t>
      </w:r>
      <w:r w:rsidR="006744E3">
        <w:rPr>
          <w:sz w:val="26"/>
        </w:rPr>
        <w:t xml:space="preserve">  As long as HIKO abides by its commitments to improve business operations and provide refunds going forward, the grant of the stay will me</w:t>
      </w:r>
      <w:r w:rsidR="00D608B5">
        <w:rPr>
          <w:sz w:val="26"/>
        </w:rPr>
        <w:t>rely preserve the status quo</w:t>
      </w:r>
      <w:r w:rsidR="00796990">
        <w:rPr>
          <w:sz w:val="26"/>
        </w:rPr>
        <w:t>, contends HIKO</w:t>
      </w:r>
      <w:r w:rsidR="00D608B5">
        <w:rPr>
          <w:sz w:val="26"/>
        </w:rPr>
        <w:t>.</w:t>
      </w:r>
    </w:p>
    <w:p w:rsidR="00796990" w:rsidRDefault="00796990" w:rsidP="00796990">
      <w:pPr>
        <w:ind w:firstLine="0"/>
        <w:rPr>
          <w:sz w:val="26"/>
        </w:rPr>
      </w:pPr>
    </w:p>
    <w:p w:rsidR="00796990" w:rsidRDefault="00796990" w:rsidP="00796990">
      <w:pPr>
        <w:ind w:firstLine="0"/>
        <w:rPr>
          <w:sz w:val="26"/>
        </w:rPr>
      </w:pPr>
      <w:r w:rsidRPr="00796990">
        <w:rPr>
          <w:b/>
          <w:sz w:val="26"/>
        </w:rPr>
        <w:t>I&amp;E’s Answer</w:t>
      </w:r>
    </w:p>
    <w:p w:rsidR="00D608B5" w:rsidRDefault="00D608B5" w:rsidP="00A73219">
      <w:pPr>
        <w:rPr>
          <w:sz w:val="26"/>
        </w:rPr>
      </w:pPr>
    </w:p>
    <w:p w:rsidR="00D608B5" w:rsidRDefault="00D608B5" w:rsidP="00A73219">
      <w:pPr>
        <w:rPr>
          <w:sz w:val="26"/>
        </w:rPr>
      </w:pPr>
      <w:r>
        <w:rPr>
          <w:sz w:val="26"/>
        </w:rPr>
        <w:t xml:space="preserve">I&amp;E </w:t>
      </w:r>
      <w:r w:rsidR="00666741">
        <w:rPr>
          <w:sz w:val="26"/>
        </w:rPr>
        <w:t xml:space="preserve">argues that </w:t>
      </w:r>
      <w:r w:rsidR="00455248">
        <w:rPr>
          <w:sz w:val="26"/>
        </w:rPr>
        <w:t xml:space="preserve">HIKO’s </w:t>
      </w:r>
      <w:r w:rsidR="00666741">
        <w:rPr>
          <w:sz w:val="26"/>
        </w:rPr>
        <w:t xml:space="preserve">Petition does not satisfy </w:t>
      </w:r>
      <w:r w:rsidR="00455248">
        <w:rPr>
          <w:sz w:val="26"/>
        </w:rPr>
        <w:t xml:space="preserve">the standard required </w:t>
      </w:r>
      <w:r w:rsidR="00666741">
        <w:rPr>
          <w:sz w:val="26"/>
        </w:rPr>
        <w:t xml:space="preserve">for a </w:t>
      </w:r>
      <w:r w:rsidR="00455248">
        <w:rPr>
          <w:sz w:val="26"/>
        </w:rPr>
        <w:t xml:space="preserve">grant </w:t>
      </w:r>
      <w:r w:rsidR="00666741">
        <w:rPr>
          <w:sz w:val="26"/>
        </w:rPr>
        <w:t xml:space="preserve">of </w:t>
      </w:r>
      <w:r w:rsidR="00455248">
        <w:rPr>
          <w:sz w:val="26"/>
        </w:rPr>
        <w:t xml:space="preserve">a stay.  If the Commission were to find otherwise, </w:t>
      </w:r>
      <w:r w:rsidR="00666741">
        <w:rPr>
          <w:sz w:val="26"/>
        </w:rPr>
        <w:t xml:space="preserve">however, </w:t>
      </w:r>
      <w:r w:rsidR="00455248">
        <w:rPr>
          <w:sz w:val="26"/>
        </w:rPr>
        <w:t>I&amp;E opposes</w:t>
      </w:r>
      <w:r>
        <w:rPr>
          <w:sz w:val="26"/>
        </w:rPr>
        <w:t xml:space="preserve"> HIKO’s </w:t>
      </w:r>
      <w:r w:rsidR="00455248">
        <w:rPr>
          <w:sz w:val="26"/>
        </w:rPr>
        <w:t>request to use as a supersedeas bond the security bond it furnished pursuant to 52 Pa. Code § 54.40 to ensure regulatory compliance.</w:t>
      </w:r>
    </w:p>
    <w:p w:rsidR="00666741" w:rsidRDefault="00666741" w:rsidP="00A73219">
      <w:pPr>
        <w:rPr>
          <w:sz w:val="26"/>
        </w:rPr>
      </w:pPr>
    </w:p>
    <w:p w:rsidR="00CF5B38" w:rsidRDefault="00666741" w:rsidP="00A73219">
      <w:pPr>
        <w:rPr>
          <w:sz w:val="26"/>
        </w:rPr>
      </w:pPr>
      <w:r>
        <w:rPr>
          <w:sz w:val="26"/>
        </w:rPr>
        <w:t xml:space="preserve">Addressing HIKO’s chances of success on appeal, I&amp;E argues that to prevail, HIKO must show that the </w:t>
      </w:r>
      <w:r>
        <w:rPr>
          <w:i/>
          <w:sz w:val="26"/>
        </w:rPr>
        <w:t xml:space="preserve">December 2015 Order </w:t>
      </w:r>
      <w:r>
        <w:rPr>
          <w:sz w:val="26"/>
        </w:rPr>
        <w:t>should be reversed under the appellate court’s standard of review and that the appellate court may not substitute its judgment for that of the Commission</w:t>
      </w:r>
      <w:r w:rsidR="00CF5B38">
        <w:rPr>
          <w:sz w:val="26"/>
        </w:rPr>
        <w:t xml:space="preserve">.  This, claims </w:t>
      </w:r>
      <w:r>
        <w:rPr>
          <w:sz w:val="26"/>
        </w:rPr>
        <w:t>I&amp;E</w:t>
      </w:r>
      <w:r w:rsidR="00CF5B38">
        <w:rPr>
          <w:sz w:val="26"/>
        </w:rPr>
        <w:t>, is a high burden that</w:t>
      </w:r>
      <w:r>
        <w:rPr>
          <w:sz w:val="26"/>
        </w:rPr>
        <w:t xml:space="preserve"> HIKO failed to satisfy</w:t>
      </w:r>
      <w:r w:rsidR="00CF5B38">
        <w:rPr>
          <w:sz w:val="26"/>
        </w:rPr>
        <w:t xml:space="preserve"> by simply rehashing the same arguments it presented before the Commission.</w:t>
      </w:r>
    </w:p>
    <w:p w:rsidR="00CF5B38" w:rsidRDefault="00CF5B38" w:rsidP="00A73219">
      <w:pPr>
        <w:rPr>
          <w:sz w:val="26"/>
        </w:rPr>
      </w:pPr>
    </w:p>
    <w:p w:rsidR="00666741" w:rsidRDefault="00CE7214" w:rsidP="00A73219">
      <w:pPr>
        <w:rPr>
          <w:sz w:val="26"/>
        </w:rPr>
      </w:pPr>
      <w:r>
        <w:rPr>
          <w:sz w:val="26"/>
        </w:rPr>
        <w:t xml:space="preserve">Noting </w:t>
      </w:r>
      <w:r w:rsidR="00666741">
        <w:rPr>
          <w:sz w:val="26"/>
        </w:rPr>
        <w:t>that HIKO challenge</w:t>
      </w:r>
      <w:r w:rsidR="00DB78AE">
        <w:rPr>
          <w:sz w:val="26"/>
        </w:rPr>
        <w:t>s only the level of the penalty imposed and not</w:t>
      </w:r>
      <w:r w:rsidR="00666741">
        <w:rPr>
          <w:sz w:val="26"/>
        </w:rPr>
        <w:t xml:space="preserve"> the Commission’s findings of 14,689 separate and distinct violations</w:t>
      </w:r>
      <w:r>
        <w:rPr>
          <w:sz w:val="26"/>
        </w:rPr>
        <w:t>, I&amp;E asserts that</w:t>
      </w:r>
      <w:r w:rsidR="00DB78AE">
        <w:rPr>
          <w:sz w:val="26"/>
        </w:rPr>
        <w:t xml:space="preserve"> </w:t>
      </w:r>
      <w:r w:rsidR="00B04119">
        <w:rPr>
          <w:sz w:val="26"/>
        </w:rPr>
        <w:lastRenderedPageBreak/>
        <w:t xml:space="preserve">HIKO’s </w:t>
      </w:r>
      <w:r w:rsidR="00DB78AE">
        <w:rPr>
          <w:sz w:val="26"/>
        </w:rPr>
        <w:t xml:space="preserve">focus on the “unprecedented” penalty is inappropriate absent a similar focus on the number of violations HIKO committed, which was also unprecedented.  </w:t>
      </w:r>
      <w:r>
        <w:rPr>
          <w:sz w:val="26"/>
        </w:rPr>
        <w:t>T</w:t>
      </w:r>
      <w:r w:rsidR="00DB78AE">
        <w:rPr>
          <w:sz w:val="26"/>
        </w:rPr>
        <w:t>he “so-called outrageous” penalty ordered by the Commission was only 12.5% of the maximum allowable civil penalty allowed by statute</w:t>
      </w:r>
      <w:r>
        <w:rPr>
          <w:sz w:val="26"/>
        </w:rPr>
        <w:t>, I&amp;E notes</w:t>
      </w:r>
      <w:r w:rsidR="00DB78AE">
        <w:rPr>
          <w:sz w:val="26"/>
        </w:rPr>
        <w:t xml:space="preserve">.  </w:t>
      </w:r>
      <w:r w:rsidR="00B04119">
        <w:rPr>
          <w:sz w:val="26"/>
        </w:rPr>
        <w:t>Answer at 6.</w:t>
      </w:r>
    </w:p>
    <w:p w:rsidR="00B04119" w:rsidRDefault="00B04119" w:rsidP="00A73219">
      <w:pPr>
        <w:rPr>
          <w:sz w:val="26"/>
        </w:rPr>
      </w:pPr>
    </w:p>
    <w:p w:rsidR="00B04119" w:rsidRDefault="00B04119" w:rsidP="00A73219">
      <w:pPr>
        <w:rPr>
          <w:sz w:val="26"/>
        </w:rPr>
      </w:pPr>
      <w:r>
        <w:rPr>
          <w:sz w:val="26"/>
        </w:rPr>
        <w:t>I&amp;E repeats its argument discrediting HIKO’s claims that its conduct was the result of circumstances beyond its control, contending as it did before the ALJs that its own CEO admitted that the Company made a “conscious, express decision to ignore its obligations to its customers.”  Answer at 7.</w:t>
      </w:r>
      <w:r w:rsidR="00583F64">
        <w:rPr>
          <w:sz w:val="26"/>
        </w:rPr>
        <w:t xml:space="preserve">  </w:t>
      </w:r>
      <w:r>
        <w:rPr>
          <w:sz w:val="26"/>
        </w:rPr>
        <w:t xml:space="preserve">I&amp;E </w:t>
      </w:r>
      <w:r w:rsidR="00583F64">
        <w:rPr>
          <w:sz w:val="26"/>
        </w:rPr>
        <w:t xml:space="preserve">also </w:t>
      </w:r>
      <w:r>
        <w:rPr>
          <w:sz w:val="26"/>
        </w:rPr>
        <w:t xml:space="preserve">refutes HIKO’s claim that </w:t>
      </w:r>
      <w:r w:rsidR="00CF5B38">
        <w:rPr>
          <w:sz w:val="26"/>
        </w:rPr>
        <w:t>the penalty imposed is punitive or a constitutional impairment of HIKO’s right to litigate. Rather, contends I&amp;E, had HIKO not committed an unprecedented number of violations it would not have been assessed such a large penalty.</w:t>
      </w:r>
    </w:p>
    <w:p w:rsidR="00053A3E" w:rsidRDefault="00053A3E" w:rsidP="00A73219">
      <w:pPr>
        <w:rPr>
          <w:sz w:val="26"/>
        </w:rPr>
      </w:pPr>
    </w:p>
    <w:p w:rsidR="00053A3E" w:rsidRDefault="00053A3E" w:rsidP="00A73219">
      <w:pPr>
        <w:rPr>
          <w:sz w:val="26"/>
        </w:rPr>
      </w:pPr>
      <w:r>
        <w:rPr>
          <w:sz w:val="26"/>
        </w:rPr>
        <w:t>Responding to HIKO’s averments that it will suffer irreparable harm, I&amp;E contends that economic harm alone is insufficient to establish irreparable harm and, in any event, HIKO’s claim is vague with no supporting proof.  Further, I&amp;E argues that HIKO contradicts its own claim of a “massive financial burden” by referring to its financial ability to provide refunds and inject capital into the restructuring of its business plan, characterizing its claim of economic loss as a “ruse” so HIKO can spend funds to serve itself rather than having to account for its unlawful actions.  I&amp;E also describes as “unfathomable” that HIKO did not anticipate the possibility of having to pay a penalty in the amount of only 12.5% of the fine I&amp;E requested.  Answer at 8-9.</w:t>
      </w:r>
    </w:p>
    <w:p w:rsidR="00053A3E" w:rsidRDefault="00053A3E" w:rsidP="00A73219">
      <w:pPr>
        <w:rPr>
          <w:sz w:val="26"/>
        </w:rPr>
      </w:pPr>
    </w:p>
    <w:p w:rsidR="00053A3E" w:rsidRPr="00666741" w:rsidRDefault="00CC6448" w:rsidP="00A73219">
      <w:pPr>
        <w:rPr>
          <w:sz w:val="26"/>
        </w:rPr>
      </w:pPr>
      <w:r>
        <w:rPr>
          <w:sz w:val="26"/>
        </w:rPr>
        <w:t xml:space="preserve">In response to the final two criteria, substantial harm to other interested parties </w:t>
      </w:r>
      <w:r w:rsidR="00DB4426">
        <w:rPr>
          <w:sz w:val="26"/>
        </w:rPr>
        <w:t xml:space="preserve">in the proceeding </w:t>
      </w:r>
      <w:r>
        <w:rPr>
          <w:sz w:val="26"/>
        </w:rPr>
        <w:t>and an adverse effect on the public interest, I&amp;E reiterates the seriousness of HIKO’s violations</w:t>
      </w:r>
      <w:r w:rsidR="00A63052">
        <w:rPr>
          <w:sz w:val="26"/>
        </w:rPr>
        <w:t xml:space="preserve"> and the role of this Commission over the energy market</w:t>
      </w:r>
      <w:r w:rsidR="00DB4426">
        <w:rPr>
          <w:sz w:val="26"/>
        </w:rPr>
        <w:t xml:space="preserve">.  Quoting </w:t>
      </w:r>
      <w:r w:rsidR="00796990">
        <w:rPr>
          <w:sz w:val="26"/>
        </w:rPr>
        <w:t xml:space="preserve">our </w:t>
      </w:r>
      <w:r w:rsidR="00DB4426">
        <w:rPr>
          <w:sz w:val="26"/>
        </w:rPr>
        <w:t>Chairman</w:t>
      </w:r>
      <w:r w:rsidR="0028590C">
        <w:rPr>
          <w:sz w:val="26"/>
        </w:rPr>
        <w:t>’s characterization of</w:t>
      </w:r>
      <w:r w:rsidR="00DB4426">
        <w:rPr>
          <w:sz w:val="26"/>
        </w:rPr>
        <w:t xml:space="preserve"> the Commission as the “retail energy market watchdog” </w:t>
      </w:r>
      <w:r w:rsidR="00796990">
        <w:rPr>
          <w:sz w:val="26"/>
        </w:rPr>
        <w:t xml:space="preserve">in a statement issued with our adoption of </w:t>
      </w:r>
      <w:r w:rsidR="00796990">
        <w:rPr>
          <w:i/>
          <w:sz w:val="26"/>
        </w:rPr>
        <w:t xml:space="preserve">December 2015 </w:t>
      </w:r>
      <w:r w:rsidR="00796990" w:rsidRPr="00796990">
        <w:rPr>
          <w:i/>
          <w:sz w:val="26"/>
        </w:rPr>
        <w:t>Order</w:t>
      </w:r>
      <w:r w:rsidR="00796990">
        <w:rPr>
          <w:sz w:val="26"/>
        </w:rPr>
        <w:t xml:space="preserve">, </w:t>
      </w:r>
      <w:r w:rsidR="00DB4426" w:rsidRPr="00796990">
        <w:rPr>
          <w:sz w:val="26"/>
        </w:rPr>
        <w:t>I</w:t>
      </w:r>
      <w:r w:rsidR="00DB4426">
        <w:rPr>
          <w:sz w:val="26"/>
        </w:rPr>
        <w:t xml:space="preserve">&amp;E contends that “[a]llowing HIKO to defer payment of the civil penalty as it </w:t>
      </w:r>
      <w:r w:rsidR="00DB4426">
        <w:rPr>
          <w:sz w:val="26"/>
        </w:rPr>
        <w:lastRenderedPageBreak/>
        <w:t xml:space="preserve">allocates resources to preserving its business diminishes the punitive purpose of a civil penalty and provides </w:t>
      </w:r>
      <w:r w:rsidR="00796990">
        <w:rPr>
          <w:sz w:val="26"/>
        </w:rPr>
        <w:t>n</w:t>
      </w:r>
      <w:r w:rsidR="00DB4426">
        <w:rPr>
          <w:sz w:val="26"/>
        </w:rPr>
        <w:t>o incentive to deter future misconduct.”  Answer at 9-10.</w:t>
      </w:r>
    </w:p>
    <w:p w:rsidR="00A912E1" w:rsidRDefault="00A912E1" w:rsidP="00AC6ACC">
      <w:pPr>
        <w:ind w:firstLine="0"/>
        <w:rPr>
          <w:sz w:val="26"/>
        </w:rPr>
      </w:pPr>
    </w:p>
    <w:p w:rsidR="00A912E1" w:rsidRPr="00A912E1" w:rsidRDefault="00A912E1" w:rsidP="00AC6ACC">
      <w:pPr>
        <w:ind w:firstLine="0"/>
        <w:rPr>
          <w:b/>
          <w:sz w:val="26"/>
        </w:rPr>
      </w:pPr>
      <w:r>
        <w:rPr>
          <w:b/>
          <w:sz w:val="26"/>
        </w:rPr>
        <w:t>Disposition</w:t>
      </w:r>
    </w:p>
    <w:p w:rsidR="00AA63B1" w:rsidRDefault="00AA63B1" w:rsidP="00AC6ACC">
      <w:pPr>
        <w:ind w:firstLine="0"/>
        <w:rPr>
          <w:sz w:val="26"/>
        </w:rPr>
      </w:pPr>
    </w:p>
    <w:p w:rsidR="00CE7214" w:rsidRPr="00E32ECB" w:rsidRDefault="00CE7214" w:rsidP="00EA2A9A">
      <w:pPr>
        <w:rPr>
          <w:sz w:val="26"/>
        </w:rPr>
      </w:pPr>
      <w:r>
        <w:rPr>
          <w:sz w:val="26"/>
        </w:rPr>
        <w:t>We deny HIKO’s Petition</w:t>
      </w:r>
      <w:r w:rsidR="00E32ECB" w:rsidRPr="00E32ECB">
        <w:rPr>
          <w:sz w:val="26"/>
        </w:rPr>
        <w:t xml:space="preserve"> because HIKO has failed to satisfy the criteria necessary to justify a stay of our </w:t>
      </w:r>
      <w:r w:rsidR="00E32ECB" w:rsidRPr="00E32ECB">
        <w:rPr>
          <w:i/>
          <w:sz w:val="26"/>
        </w:rPr>
        <w:t>December 2015 Order</w:t>
      </w:r>
      <w:r w:rsidR="00E32ECB">
        <w:rPr>
          <w:i/>
          <w:sz w:val="26"/>
        </w:rPr>
        <w:t>.</w:t>
      </w:r>
      <w:r>
        <w:rPr>
          <w:sz w:val="26"/>
        </w:rPr>
        <w:t xml:space="preserve"> </w:t>
      </w:r>
      <w:r w:rsidR="00E32ECB">
        <w:rPr>
          <w:sz w:val="26"/>
        </w:rPr>
        <w:t xml:space="preserve"> This </w:t>
      </w:r>
      <w:r>
        <w:rPr>
          <w:sz w:val="26"/>
        </w:rPr>
        <w:t>render</w:t>
      </w:r>
      <w:r w:rsidR="00E32ECB">
        <w:rPr>
          <w:sz w:val="26"/>
        </w:rPr>
        <w:t>s</w:t>
      </w:r>
      <w:r>
        <w:rPr>
          <w:sz w:val="26"/>
        </w:rPr>
        <w:t xml:space="preserve"> moot the Company’s request to use the required regulatory surety as a supersedeas bond</w:t>
      </w:r>
      <w:r w:rsidR="00796990">
        <w:rPr>
          <w:sz w:val="26"/>
        </w:rPr>
        <w:t xml:space="preserve">, a request we </w:t>
      </w:r>
      <w:r w:rsidR="00E32ECB">
        <w:rPr>
          <w:sz w:val="26"/>
        </w:rPr>
        <w:t xml:space="preserve">would deny on the merits because it does not comply with the regulatory purpose behind </w:t>
      </w:r>
      <w:r w:rsidR="00796990">
        <w:rPr>
          <w:sz w:val="26"/>
        </w:rPr>
        <w:t>the surety requirement</w:t>
      </w:r>
      <w:r w:rsidRPr="00E32ECB">
        <w:rPr>
          <w:sz w:val="26"/>
        </w:rPr>
        <w:t>.</w:t>
      </w:r>
      <w:r w:rsidR="00E32ECB" w:rsidRPr="00E32ECB">
        <w:rPr>
          <w:rStyle w:val="FootnoteReference"/>
          <w:sz w:val="26"/>
        </w:rPr>
        <w:footnoteReference w:id="4"/>
      </w:r>
    </w:p>
    <w:p w:rsidR="00CE7214" w:rsidRDefault="00CE7214" w:rsidP="00EA2A9A">
      <w:pPr>
        <w:rPr>
          <w:i/>
          <w:sz w:val="26"/>
        </w:rPr>
      </w:pPr>
    </w:p>
    <w:p w:rsidR="00501045" w:rsidRDefault="00723120" w:rsidP="00EA2A9A">
      <w:pPr>
        <w:rPr>
          <w:sz w:val="26"/>
        </w:rPr>
      </w:pPr>
      <w:r>
        <w:rPr>
          <w:sz w:val="26"/>
        </w:rPr>
        <w:t xml:space="preserve">The arguments in </w:t>
      </w:r>
      <w:r w:rsidR="00501045">
        <w:rPr>
          <w:sz w:val="26"/>
        </w:rPr>
        <w:t xml:space="preserve">HIKO’s </w:t>
      </w:r>
      <w:r>
        <w:rPr>
          <w:sz w:val="26"/>
        </w:rPr>
        <w:t>Petition do not support the entry of a stay</w:t>
      </w:r>
      <w:r w:rsidR="00501045">
        <w:rPr>
          <w:sz w:val="26"/>
        </w:rPr>
        <w:t xml:space="preserve">.  </w:t>
      </w:r>
      <w:r>
        <w:rPr>
          <w:sz w:val="26"/>
        </w:rPr>
        <w:t>With</w:t>
      </w:r>
      <w:r w:rsidR="00501045">
        <w:rPr>
          <w:sz w:val="26"/>
        </w:rPr>
        <w:t xml:space="preserve"> the exception of </w:t>
      </w:r>
      <w:r w:rsidR="00583F64">
        <w:rPr>
          <w:sz w:val="26"/>
        </w:rPr>
        <w:t>its</w:t>
      </w:r>
      <w:r w:rsidR="00501045">
        <w:rPr>
          <w:sz w:val="26"/>
        </w:rPr>
        <w:t xml:space="preserve"> </w:t>
      </w:r>
      <w:r w:rsidR="0055287B" w:rsidRPr="0055287B">
        <w:rPr>
          <w:sz w:val="26"/>
        </w:rPr>
        <w:t xml:space="preserve">constitutional challenges to our </w:t>
      </w:r>
      <w:r w:rsidR="0055287B">
        <w:rPr>
          <w:i/>
          <w:sz w:val="26"/>
        </w:rPr>
        <w:t>December 2015 Order</w:t>
      </w:r>
      <w:r w:rsidR="0055287B" w:rsidRPr="0055287B">
        <w:rPr>
          <w:sz w:val="26"/>
        </w:rPr>
        <w:t xml:space="preserve"> that are raised for the first time in this Petition</w:t>
      </w:r>
      <w:r w:rsidR="00501045">
        <w:rPr>
          <w:sz w:val="26"/>
        </w:rPr>
        <w:t xml:space="preserve">, HIKO presents no new arguments on appeal that were not addressed in our </w:t>
      </w:r>
      <w:r w:rsidR="00501045">
        <w:rPr>
          <w:i/>
          <w:sz w:val="26"/>
        </w:rPr>
        <w:t>December 2015 Order.</w:t>
      </w:r>
      <w:r w:rsidR="00501045">
        <w:rPr>
          <w:sz w:val="26"/>
        </w:rPr>
        <w:t xml:space="preserve">  More importantly, HIKO </w:t>
      </w:r>
      <w:r>
        <w:rPr>
          <w:sz w:val="26"/>
        </w:rPr>
        <w:t xml:space="preserve">appears to </w:t>
      </w:r>
      <w:r w:rsidR="00501045">
        <w:rPr>
          <w:sz w:val="26"/>
        </w:rPr>
        <w:t xml:space="preserve">remain </w:t>
      </w:r>
      <w:r w:rsidR="0055287B">
        <w:rPr>
          <w:sz w:val="26"/>
        </w:rPr>
        <w:t xml:space="preserve">unaware of </w:t>
      </w:r>
      <w:r w:rsidR="00501045">
        <w:rPr>
          <w:sz w:val="26"/>
        </w:rPr>
        <w:t>not only the seriousness of its actions but also the extent to which they were brought about as a direct result of the Company’s own decisions.</w:t>
      </w:r>
    </w:p>
    <w:p w:rsidR="00501045" w:rsidRDefault="00501045" w:rsidP="00EA2A9A">
      <w:pPr>
        <w:rPr>
          <w:sz w:val="26"/>
        </w:rPr>
      </w:pPr>
    </w:p>
    <w:p w:rsidR="003659DA" w:rsidRDefault="00501045" w:rsidP="00EA2A9A">
      <w:pPr>
        <w:rPr>
          <w:sz w:val="26"/>
        </w:rPr>
      </w:pPr>
      <w:r>
        <w:rPr>
          <w:sz w:val="26"/>
        </w:rPr>
        <w:t>HIKO</w:t>
      </w:r>
      <w:r w:rsidR="0006771E">
        <w:rPr>
          <w:sz w:val="26"/>
        </w:rPr>
        <w:t>’s opposition to the penalty we imposed</w:t>
      </w:r>
      <w:r>
        <w:rPr>
          <w:sz w:val="26"/>
        </w:rPr>
        <w:t xml:space="preserve"> </w:t>
      </w:r>
      <w:r w:rsidR="007F2956">
        <w:rPr>
          <w:sz w:val="26"/>
        </w:rPr>
        <w:t xml:space="preserve">continues to </w:t>
      </w:r>
      <w:r w:rsidR="0006771E">
        <w:rPr>
          <w:sz w:val="26"/>
        </w:rPr>
        <w:t xml:space="preserve">be fueled by the Company’s erroneous conclusions that the penalty </w:t>
      </w:r>
      <w:r>
        <w:rPr>
          <w:sz w:val="26"/>
        </w:rPr>
        <w:t xml:space="preserve">is unprecedented, </w:t>
      </w:r>
      <w:r w:rsidR="0006771E">
        <w:rPr>
          <w:sz w:val="26"/>
        </w:rPr>
        <w:t xml:space="preserve">bears no rational relationship to </w:t>
      </w:r>
      <w:r w:rsidR="0006771E" w:rsidRPr="0006771E">
        <w:rPr>
          <w:sz w:val="26"/>
        </w:rPr>
        <w:t xml:space="preserve">any other </w:t>
      </w:r>
      <w:r w:rsidR="0006771E">
        <w:rPr>
          <w:sz w:val="26"/>
        </w:rPr>
        <w:t xml:space="preserve">we have </w:t>
      </w:r>
      <w:r w:rsidR="0006771E" w:rsidRPr="0006771E">
        <w:rPr>
          <w:sz w:val="26"/>
        </w:rPr>
        <w:t>previously imposed</w:t>
      </w:r>
      <w:r w:rsidR="0006771E">
        <w:rPr>
          <w:sz w:val="26"/>
        </w:rPr>
        <w:t xml:space="preserve">, is unsupported by our “penalty policy,” and was </w:t>
      </w:r>
      <w:r w:rsidR="007F2956">
        <w:rPr>
          <w:sz w:val="26"/>
        </w:rPr>
        <w:t xml:space="preserve">imposed </w:t>
      </w:r>
      <w:r>
        <w:rPr>
          <w:sz w:val="26"/>
        </w:rPr>
        <w:t xml:space="preserve">without regard to </w:t>
      </w:r>
      <w:r w:rsidR="0006771E">
        <w:rPr>
          <w:sz w:val="26"/>
        </w:rPr>
        <w:t xml:space="preserve">consideration of </w:t>
      </w:r>
      <w:r>
        <w:rPr>
          <w:sz w:val="26"/>
        </w:rPr>
        <w:t>mitigating circumstances</w:t>
      </w:r>
      <w:r w:rsidR="0006771E">
        <w:rPr>
          <w:sz w:val="26"/>
        </w:rPr>
        <w:t>, which HIKO claims were</w:t>
      </w:r>
      <w:r>
        <w:rPr>
          <w:sz w:val="26"/>
        </w:rPr>
        <w:t xml:space="preserve"> </w:t>
      </w:r>
      <w:r w:rsidR="00E32ECB">
        <w:rPr>
          <w:sz w:val="26"/>
        </w:rPr>
        <w:t xml:space="preserve">largely </w:t>
      </w:r>
      <w:r>
        <w:rPr>
          <w:sz w:val="26"/>
        </w:rPr>
        <w:t xml:space="preserve">outside its control.  </w:t>
      </w:r>
      <w:r w:rsidR="0006771E">
        <w:rPr>
          <w:sz w:val="26"/>
        </w:rPr>
        <w:t>These arguments</w:t>
      </w:r>
      <w:r w:rsidR="007F2956">
        <w:rPr>
          <w:sz w:val="26"/>
        </w:rPr>
        <w:t xml:space="preserve">, however, were previously raised and </w:t>
      </w:r>
      <w:r w:rsidR="00E32ECB">
        <w:rPr>
          <w:sz w:val="26"/>
        </w:rPr>
        <w:t>rejected</w:t>
      </w:r>
      <w:r w:rsidR="007F2956">
        <w:rPr>
          <w:sz w:val="26"/>
        </w:rPr>
        <w:t>.</w:t>
      </w:r>
    </w:p>
    <w:p w:rsidR="003659DA" w:rsidRDefault="003659DA" w:rsidP="00EA2A9A">
      <w:pPr>
        <w:rPr>
          <w:sz w:val="26"/>
        </w:rPr>
      </w:pPr>
    </w:p>
    <w:p w:rsidR="00723120" w:rsidRDefault="007F2956" w:rsidP="00EA2A9A">
      <w:pPr>
        <w:rPr>
          <w:sz w:val="26"/>
        </w:rPr>
      </w:pPr>
      <w:r>
        <w:rPr>
          <w:sz w:val="26"/>
        </w:rPr>
        <w:lastRenderedPageBreak/>
        <w:t xml:space="preserve">As evidenced by I&amp;E’s own Exception to the ALJs’ determination of a $1.8 million fine, which we also rejected, we did not approve “one of the highest civil penalties sought by I&amp;E.”  Petition at 7.  Rather, as I&amp;E noted in its Answer, we approved a fine that </w:t>
      </w:r>
      <w:r w:rsidR="00E32ECB">
        <w:rPr>
          <w:sz w:val="26"/>
        </w:rPr>
        <w:t>was</w:t>
      </w:r>
      <w:r>
        <w:rPr>
          <w:sz w:val="26"/>
        </w:rPr>
        <w:t xml:space="preserve"> only 12.5% of the total civil penalty I&amp;E sought.  We reached this decision after a thorough review of the totality of the circumstances, including review of HIKO’s own business decisions</w:t>
      </w:r>
      <w:r w:rsidR="00723120">
        <w:rPr>
          <w:sz w:val="26"/>
        </w:rPr>
        <w:t>.  Those decisions included</w:t>
      </w:r>
      <w:r w:rsidR="003659DA">
        <w:rPr>
          <w:sz w:val="26"/>
        </w:rPr>
        <w:t xml:space="preserve"> not just </w:t>
      </w:r>
      <w:r w:rsidR="00E32ECB" w:rsidRPr="00E32ECB">
        <w:rPr>
          <w:sz w:val="26"/>
        </w:rPr>
        <w:t>offering a retail electric product that guaranteed customers savings despite the fact that the Company’s supply portfolio was backed exclusively by spot-market purchases, perhaps the most volatilely-priced and weather-affected supply source</w:t>
      </w:r>
      <w:r w:rsidR="00E32ECB">
        <w:rPr>
          <w:sz w:val="26"/>
        </w:rPr>
        <w:t xml:space="preserve">, but then </w:t>
      </w:r>
      <w:r w:rsidR="003659DA">
        <w:rPr>
          <w:sz w:val="26"/>
        </w:rPr>
        <w:t xml:space="preserve">choosing </w:t>
      </w:r>
      <w:r w:rsidR="00723120">
        <w:rPr>
          <w:sz w:val="26"/>
        </w:rPr>
        <w:t xml:space="preserve">to ignore our Regulation and </w:t>
      </w:r>
      <w:r w:rsidR="003659DA">
        <w:rPr>
          <w:sz w:val="26"/>
        </w:rPr>
        <w:t xml:space="preserve">deliberately convert its customer base to financial guarantors </w:t>
      </w:r>
      <w:r w:rsidR="00E32ECB">
        <w:rPr>
          <w:sz w:val="26"/>
        </w:rPr>
        <w:t>to evade the consequences of its own decisions.</w:t>
      </w:r>
    </w:p>
    <w:p w:rsidR="00723120" w:rsidRDefault="00723120" w:rsidP="00EA2A9A">
      <w:pPr>
        <w:rPr>
          <w:sz w:val="26"/>
        </w:rPr>
      </w:pPr>
    </w:p>
    <w:p w:rsidR="00063817" w:rsidRDefault="00E32ECB" w:rsidP="00EA2A9A">
      <w:pPr>
        <w:rPr>
          <w:sz w:val="26"/>
        </w:rPr>
      </w:pPr>
      <w:r>
        <w:rPr>
          <w:sz w:val="26"/>
        </w:rPr>
        <w:t>W</w:t>
      </w:r>
      <w:r w:rsidR="00FE0770" w:rsidRPr="00FE0770">
        <w:rPr>
          <w:sz w:val="26"/>
        </w:rPr>
        <w:t xml:space="preserve">e did </w:t>
      </w:r>
      <w:r w:rsidR="00723120">
        <w:rPr>
          <w:sz w:val="26"/>
        </w:rPr>
        <w:t xml:space="preserve">not impose </w:t>
      </w:r>
      <w:r w:rsidR="00FE0770" w:rsidRPr="00FE0770">
        <w:rPr>
          <w:sz w:val="26"/>
        </w:rPr>
        <w:t>t</w:t>
      </w:r>
      <w:r w:rsidR="00723120">
        <w:rPr>
          <w:sz w:val="26"/>
        </w:rPr>
        <w:t xml:space="preserve">he maximum penalty sought by I&amp;E in recognition of the fact that under </w:t>
      </w:r>
      <w:r w:rsidR="00723120">
        <w:rPr>
          <w:i/>
          <w:sz w:val="26"/>
        </w:rPr>
        <w:t>OAG/OCA-HIKO Settlement,</w:t>
      </w:r>
      <w:r w:rsidR="00723120">
        <w:rPr>
          <w:sz w:val="26"/>
        </w:rPr>
        <w:t xml:space="preserve"> the Company did “not escape the consequences of its executive-level decisions unscathed.” </w:t>
      </w:r>
      <w:r w:rsidR="00FE0770" w:rsidRPr="00FE0770">
        <w:rPr>
          <w:i/>
          <w:sz w:val="26"/>
        </w:rPr>
        <w:t>December 2015 Order</w:t>
      </w:r>
      <w:r w:rsidR="00FE0770" w:rsidRPr="00FE0770">
        <w:rPr>
          <w:sz w:val="26"/>
        </w:rPr>
        <w:t xml:space="preserve"> at 44.  </w:t>
      </w:r>
      <w:r w:rsidR="00436E1E">
        <w:rPr>
          <w:sz w:val="26"/>
        </w:rPr>
        <w:t xml:space="preserve">In turning to its customer base for financial relief, </w:t>
      </w:r>
      <w:r w:rsidR="00723120">
        <w:rPr>
          <w:sz w:val="26"/>
        </w:rPr>
        <w:t xml:space="preserve">however, </w:t>
      </w:r>
      <w:r w:rsidR="00436E1E">
        <w:rPr>
          <w:sz w:val="26"/>
        </w:rPr>
        <w:t xml:space="preserve">HIKO committed a most serious transgression </w:t>
      </w:r>
      <w:r w:rsidR="00723120">
        <w:rPr>
          <w:sz w:val="26"/>
        </w:rPr>
        <w:t>for which it con</w:t>
      </w:r>
      <w:r w:rsidR="00436E1E">
        <w:rPr>
          <w:sz w:val="26"/>
        </w:rPr>
        <w:t xml:space="preserve">tinues to </w:t>
      </w:r>
      <w:r w:rsidR="00723120">
        <w:rPr>
          <w:sz w:val="26"/>
        </w:rPr>
        <w:t>blame external sources</w:t>
      </w:r>
      <w:r w:rsidR="00436E1E">
        <w:rPr>
          <w:sz w:val="26"/>
        </w:rPr>
        <w:t>.</w:t>
      </w:r>
    </w:p>
    <w:p w:rsidR="00E342CD" w:rsidRDefault="00E342CD" w:rsidP="00EA2A9A">
      <w:pPr>
        <w:rPr>
          <w:sz w:val="26"/>
        </w:rPr>
      </w:pPr>
    </w:p>
    <w:p w:rsidR="00A33E35" w:rsidRDefault="00E32ECB" w:rsidP="00EA2A9A">
      <w:pPr>
        <w:rPr>
          <w:sz w:val="26"/>
        </w:rPr>
      </w:pPr>
      <w:r>
        <w:rPr>
          <w:sz w:val="26"/>
        </w:rPr>
        <w:t>S</w:t>
      </w:r>
      <w:r w:rsidR="00723120">
        <w:rPr>
          <w:sz w:val="26"/>
        </w:rPr>
        <w:t xml:space="preserve">imilar efforts to find </w:t>
      </w:r>
      <w:r>
        <w:rPr>
          <w:sz w:val="26"/>
        </w:rPr>
        <w:t xml:space="preserve">financial refuge </w:t>
      </w:r>
      <w:r w:rsidR="00723120">
        <w:rPr>
          <w:sz w:val="26"/>
        </w:rPr>
        <w:t>from unsound business decisions in customers’ pockets were rejected by Commonwealth Court i</w:t>
      </w:r>
      <w:r w:rsidR="00E342CD">
        <w:rPr>
          <w:sz w:val="26"/>
        </w:rPr>
        <w:t xml:space="preserve">n an early </w:t>
      </w:r>
      <w:r w:rsidR="00DF482F">
        <w:rPr>
          <w:sz w:val="26"/>
        </w:rPr>
        <w:t xml:space="preserve">appellate decision </w:t>
      </w:r>
      <w:r>
        <w:rPr>
          <w:sz w:val="26"/>
        </w:rPr>
        <w:t>following Pennsylvania’s electric restructuring</w:t>
      </w:r>
      <w:r w:rsidR="00723120">
        <w:rPr>
          <w:sz w:val="26"/>
        </w:rPr>
        <w:t xml:space="preserve">.  </w:t>
      </w:r>
      <w:r w:rsidR="00DF482F">
        <w:rPr>
          <w:sz w:val="26"/>
        </w:rPr>
        <w:t xml:space="preserve">In </w:t>
      </w:r>
      <w:r w:rsidR="00DF482F" w:rsidRPr="00DF482F">
        <w:rPr>
          <w:i/>
          <w:sz w:val="26"/>
        </w:rPr>
        <w:t>ARIPPA v.</w:t>
      </w:r>
      <w:r w:rsidR="00DF482F">
        <w:rPr>
          <w:i/>
          <w:sz w:val="26"/>
        </w:rPr>
        <w:t xml:space="preserve"> Pa. PUC,</w:t>
      </w:r>
      <w:r w:rsidR="00DF482F" w:rsidRPr="00DF482F">
        <w:rPr>
          <w:i/>
          <w:sz w:val="26"/>
        </w:rPr>
        <w:t xml:space="preserve"> </w:t>
      </w:r>
      <w:r w:rsidR="005967B8">
        <w:rPr>
          <w:sz w:val="26"/>
        </w:rPr>
        <w:t>792 A.2d 636</w:t>
      </w:r>
      <w:r w:rsidR="00DF482F" w:rsidRPr="00DF482F">
        <w:rPr>
          <w:sz w:val="26"/>
        </w:rPr>
        <w:t xml:space="preserve"> (Pa. Cmwlth. 2002</w:t>
      </w:r>
      <w:r w:rsidR="00DF482F">
        <w:rPr>
          <w:sz w:val="26"/>
        </w:rPr>
        <w:t>) (</w:t>
      </w:r>
      <w:r w:rsidR="00DF482F">
        <w:rPr>
          <w:i/>
          <w:sz w:val="26"/>
        </w:rPr>
        <w:t>ARIPPA</w:t>
      </w:r>
      <w:r w:rsidR="00DF482F">
        <w:rPr>
          <w:sz w:val="26"/>
        </w:rPr>
        <w:t>)</w:t>
      </w:r>
      <w:r w:rsidR="00E342CD">
        <w:rPr>
          <w:sz w:val="26"/>
        </w:rPr>
        <w:t xml:space="preserve">, Commonwealth Court </w:t>
      </w:r>
      <w:r w:rsidR="00F6298F">
        <w:rPr>
          <w:sz w:val="26"/>
        </w:rPr>
        <w:t>determined that</w:t>
      </w:r>
      <w:r w:rsidR="00E342CD">
        <w:rPr>
          <w:sz w:val="26"/>
        </w:rPr>
        <w:t xml:space="preserve"> a similar </w:t>
      </w:r>
      <w:r w:rsidR="00F6298F">
        <w:rPr>
          <w:sz w:val="26"/>
        </w:rPr>
        <w:t xml:space="preserve">strategic business </w:t>
      </w:r>
      <w:r w:rsidR="00E342CD">
        <w:rPr>
          <w:sz w:val="26"/>
        </w:rPr>
        <w:t xml:space="preserve">decision </w:t>
      </w:r>
      <w:r w:rsidR="00DF482F">
        <w:rPr>
          <w:sz w:val="26"/>
        </w:rPr>
        <w:t xml:space="preserve">by </w:t>
      </w:r>
      <w:r w:rsidR="00DF482F" w:rsidRPr="00DF482F">
        <w:rPr>
          <w:sz w:val="26"/>
        </w:rPr>
        <w:t xml:space="preserve">the former GPU, Inc. </w:t>
      </w:r>
      <w:r>
        <w:rPr>
          <w:sz w:val="26"/>
        </w:rPr>
        <w:t>(</w:t>
      </w:r>
      <w:r w:rsidR="00DF482F" w:rsidRPr="00DF482F">
        <w:rPr>
          <w:sz w:val="26"/>
        </w:rPr>
        <w:t>GPU)</w:t>
      </w:r>
      <w:r w:rsidR="00DF482F">
        <w:rPr>
          <w:sz w:val="26"/>
        </w:rPr>
        <w:t xml:space="preserve"> </w:t>
      </w:r>
      <w:r w:rsidR="00F6298F">
        <w:rPr>
          <w:sz w:val="26"/>
        </w:rPr>
        <w:t xml:space="preserve">to rely on the </w:t>
      </w:r>
      <w:r w:rsidR="00F6298F" w:rsidRPr="00F6298F">
        <w:rPr>
          <w:sz w:val="26"/>
        </w:rPr>
        <w:t xml:space="preserve">vagaries of the wholesale power </w:t>
      </w:r>
      <w:r>
        <w:rPr>
          <w:sz w:val="26"/>
        </w:rPr>
        <w:t xml:space="preserve">supply </w:t>
      </w:r>
      <w:r w:rsidR="00F6298F" w:rsidRPr="00F6298F">
        <w:rPr>
          <w:sz w:val="26"/>
        </w:rPr>
        <w:t>market</w:t>
      </w:r>
      <w:r w:rsidR="00F6298F">
        <w:rPr>
          <w:sz w:val="26"/>
        </w:rPr>
        <w:t xml:space="preserve"> coupled with in</w:t>
      </w:r>
      <w:r w:rsidR="00F6298F" w:rsidRPr="00F6298F">
        <w:rPr>
          <w:sz w:val="26"/>
        </w:rPr>
        <w:t xml:space="preserve">effective risk management strategies were </w:t>
      </w:r>
      <w:r>
        <w:rPr>
          <w:sz w:val="26"/>
        </w:rPr>
        <w:t xml:space="preserve">decisions </w:t>
      </w:r>
      <w:r w:rsidR="00F6298F">
        <w:rPr>
          <w:sz w:val="26"/>
        </w:rPr>
        <w:t xml:space="preserve">within the </w:t>
      </w:r>
      <w:r w:rsidR="00DF482F">
        <w:rPr>
          <w:sz w:val="26"/>
        </w:rPr>
        <w:t>GPU’s exclusive</w:t>
      </w:r>
      <w:r w:rsidR="00F6298F" w:rsidRPr="00F6298F">
        <w:rPr>
          <w:sz w:val="26"/>
        </w:rPr>
        <w:t xml:space="preserve"> control</w:t>
      </w:r>
      <w:r w:rsidR="00A33E35">
        <w:rPr>
          <w:sz w:val="26"/>
        </w:rPr>
        <w:t xml:space="preserve">.  </w:t>
      </w:r>
      <w:r w:rsidR="00F6298F">
        <w:rPr>
          <w:sz w:val="26"/>
        </w:rPr>
        <w:t>GPU did then a</w:t>
      </w:r>
      <w:r w:rsidR="00A33E35">
        <w:rPr>
          <w:sz w:val="26"/>
        </w:rPr>
        <w:t xml:space="preserve">s HIKO does now, </w:t>
      </w:r>
      <w:r w:rsidR="00F6298F">
        <w:rPr>
          <w:sz w:val="26"/>
        </w:rPr>
        <w:t>fram</w:t>
      </w:r>
      <w:r>
        <w:rPr>
          <w:sz w:val="26"/>
        </w:rPr>
        <w:t>e</w:t>
      </w:r>
      <w:r w:rsidR="00F6298F">
        <w:rPr>
          <w:sz w:val="26"/>
        </w:rPr>
        <w:t xml:space="preserve"> the issue </w:t>
      </w:r>
      <w:r w:rsidR="00502D67">
        <w:rPr>
          <w:sz w:val="26"/>
        </w:rPr>
        <w:t>as</w:t>
      </w:r>
      <w:r w:rsidR="00F6298F">
        <w:rPr>
          <w:sz w:val="26"/>
        </w:rPr>
        <w:t xml:space="preserve"> the </w:t>
      </w:r>
      <w:r w:rsidR="00A33E35">
        <w:rPr>
          <w:sz w:val="26"/>
        </w:rPr>
        <w:t>unexpected volatility of the wholesale market outside the company’s control</w:t>
      </w:r>
      <w:r w:rsidR="00502D67">
        <w:rPr>
          <w:sz w:val="26"/>
        </w:rPr>
        <w:t>.  T</w:t>
      </w:r>
      <w:r w:rsidR="00DF482F">
        <w:rPr>
          <w:sz w:val="26"/>
        </w:rPr>
        <w:t xml:space="preserve">he Court disagreed, </w:t>
      </w:r>
      <w:r w:rsidR="00A33E35">
        <w:rPr>
          <w:sz w:val="26"/>
        </w:rPr>
        <w:t>stat</w:t>
      </w:r>
      <w:r w:rsidR="00DF482F">
        <w:rPr>
          <w:sz w:val="26"/>
        </w:rPr>
        <w:t>ing</w:t>
      </w:r>
      <w:r w:rsidR="00A33E35">
        <w:rPr>
          <w:sz w:val="26"/>
        </w:rPr>
        <w:t xml:space="preserve"> as follows:</w:t>
      </w:r>
    </w:p>
    <w:p w:rsidR="00A33E35" w:rsidRDefault="00A33E35" w:rsidP="00A33E35">
      <w:pPr>
        <w:ind w:firstLine="0"/>
        <w:rPr>
          <w:sz w:val="26"/>
        </w:rPr>
      </w:pPr>
    </w:p>
    <w:p w:rsidR="00A33E35" w:rsidRPr="00A33E35" w:rsidRDefault="00A33E35" w:rsidP="00A33E35">
      <w:pPr>
        <w:spacing w:line="240" w:lineRule="auto"/>
        <w:ind w:left="1440" w:right="1440" w:firstLine="0"/>
        <w:rPr>
          <w:sz w:val="26"/>
        </w:rPr>
      </w:pPr>
      <w:r>
        <w:rPr>
          <w:sz w:val="26"/>
        </w:rPr>
        <w:lastRenderedPageBreak/>
        <w:t>[T]</w:t>
      </w:r>
      <w:r w:rsidRPr="00A33E35">
        <w:rPr>
          <w:sz w:val="26"/>
        </w:rPr>
        <w:t>he plain meaning of the term “outside of the control” does not means that ratepayers will act as the surety for companies that act to maximize their return, and not, as other utilities did, to protect their exposure from known and definable obligations.</w:t>
      </w:r>
    </w:p>
    <w:p w:rsidR="00A33E35" w:rsidRPr="00A33E35" w:rsidRDefault="00A33E35" w:rsidP="00A33E35">
      <w:pPr>
        <w:spacing w:line="240" w:lineRule="auto"/>
        <w:ind w:left="1440" w:right="1440" w:firstLine="0"/>
        <w:rPr>
          <w:sz w:val="26"/>
        </w:rPr>
      </w:pPr>
    </w:p>
    <w:p w:rsidR="00A33E35" w:rsidRDefault="00A33E35" w:rsidP="00A33E35">
      <w:pPr>
        <w:spacing w:line="240" w:lineRule="auto"/>
        <w:ind w:left="1440" w:right="1440" w:firstLine="0"/>
        <w:rPr>
          <w:sz w:val="26"/>
        </w:rPr>
      </w:pPr>
      <w:r w:rsidRPr="00A33E35">
        <w:rPr>
          <w:sz w:val="26"/>
        </w:rPr>
        <w:t>An event “outside of the control” of a person or group typically refers to sudden illness, fire, theft, acts of God and natural disasters, not situations where a party can take actions to protect himself or herself from risk. Strategic business planning always involves decisions on how much risk to accept and where the burden of risk is placed. In this case, GPU Energy made a choice to divest itself of its generation assets and, unlike other utilities, not to protect itself by entering into long-term contracts within the rate caps to protect itself from PLR costs. Instead, it made a bet that electric rates would remain below the rate caps and chose to maximize its profits. This was not an event outside of its control, but a conscious business decision.</w:t>
      </w:r>
    </w:p>
    <w:p w:rsidR="00A33E35" w:rsidRDefault="00A33E35" w:rsidP="00A33E35">
      <w:pPr>
        <w:ind w:firstLine="0"/>
        <w:rPr>
          <w:sz w:val="26"/>
        </w:rPr>
      </w:pPr>
    </w:p>
    <w:p w:rsidR="00DC5B4D" w:rsidRDefault="00085041" w:rsidP="00A33E35">
      <w:pPr>
        <w:ind w:firstLine="0"/>
        <w:rPr>
          <w:sz w:val="26"/>
        </w:rPr>
      </w:pPr>
      <w:r w:rsidRPr="00085041">
        <w:rPr>
          <w:i/>
          <w:sz w:val="26"/>
        </w:rPr>
        <w:t>ARIPPA</w:t>
      </w:r>
      <w:r w:rsidR="00DF482F">
        <w:rPr>
          <w:i/>
          <w:sz w:val="26"/>
        </w:rPr>
        <w:t xml:space="preserve">, </w:t>
      </w:r>
      <w:r w:rsidR="00F6298F">
        <w:rPr>
          <w:sz w:val="26"/>
        </w:rPr>
        <w:t xml:space="preserve">792 A.2d </w:t>
      </w:r>
      <w:r w:rsidR="00DF482F">
        <w:rPr>
          <w:sz w:val="26"/>
        </w:rPr>
        <w:t xml:space="preserve">at </w:t>
      </w:r>
      <w:r w:rsidR="00A33E35">
        <w:rPr>
          <w:sz w:val="26"/>
        </w:rPr>
        <w:t>66</w:t>
      </w:r>
      <w:r w:rsidR="00F6298F">
        <w:rPr>
          <w:sz w:val="26"/>
        </w:rPr>
        <w:t>5-5</w:t>
      </w:r>
      <w:r w:rsidR="00A33E35">
        <w:rPr>
          <w:sz w:val="26"/>
        </w:rPr>
        <w:t>6 (citations omitted).</w:t>
      </w:r>
    </w:p>
    <w:p w:rsidR="00DC5B4D" w:rsidRDefault="00DC5B4D" w:rsidP="00A33E35">
      <w:pPr>
        <w:ind w:firstLine="0"/>
        <w:rPr>
          <w:sz w:val="26"/>
        </w:rPr>
      </w:pPr>
    </w:p>
    <w:p w:rsidR="00DC5B4D" w:rsidRDefault="00502D67" w:rsidP="00DC5B4D">
      <w:pPr>
        <w:rPr>
          <w:sz w:val="26"/>
        </w:rPr>
      </w:pPr>
      <w:r w:rsidRPr="00502D67">
        <w:rPr>
          <w:sz w:val="26"/>
        </w:rPr>
        <w:t xml:space="preserve">The Court’s rationale in </w:t>
      </w:r>
      <w:r w:rsidRPr="00502D67">
        <w:rPr>
          <w:i/>
          <w:sz w:val="26"/>
        </w:rPr>
        <w:t>ARIPPA</w:t>
      </w:r>
      <w:r w:rsidRPr="00502D67">
        <w:rPr>
          <w:sz w:val="26"/>
        </w:rPr>
        <w:t xml:space="preserve"> </w:t>
      </w:r>
      <w:r>
        <w:rPr>
          <w:sz w:val="26"/>
        </w:rPr>
        <w:t xml:space="preserve">soundly supports </w:t>
      </w:r>
      <w:r w:rsidR="0055287B">
        <w:rPr>
          <w:sz w:val="26"/>
        </w:rPr>
        <w:t xml:space="preserve">the </w:t>
      </w:r>
      <w:r w:rsidR="009462A4">
        <w:rPr>
          <w:sz w:val="26"/>
        </w:rPr>
        <w:t>reasoning</w:t>
      </w:r>
      <w:r>
        <w:rPr>
          <w:sz w:val="26"/>
        </w:rPr>
        <w:t xml:space="preserve"> </w:t>
      </w:r>
      <w:r w:rsidR="0055287B">
        <w:rPr>
          <w:sz w:val="26"/>
        </w:rPr>
        <w:t xml:space="preserve">we employed </w:t>
      </w:r>
      <w:r>
        <w:rPr>
          <w:sz w:val="26"/>
        </w:rPr>
        <w:t>here</w:t>
      </w:r>
      <w:r w:rsidR="00583F64">
        <w:rPr>
          <w:sz w:val="26"/>
        </w:rPr>
        <w:t>. As we stated</w:t>
      </w:r>
      <w:r w:rsidR="0055287B">
        <w:rPr>
          <w:sz w:val="26"/>
        </w:rPr>
        <w:t>:</w:t>
      </w:r>
    </w:p>
    <w:p w:rsidR="00DC5B4D" w:rsidRDefault="00DC5B4D" w:rsidP="00DC5B4D">
      <w:pPr>
        <w:ind w:firstLine="0"/>
        <w:rPr>
          <w:sz w:val="26"/>
        </w:rPr>
      </w:pPr>
    </w:p>
    <w:p w:rsidR="00DC5B4D" w:rsidRDefault="00DC5B4D" w:rsidP="00DC5B4D">
      <w:pPr>
        <w:pStyle w:val="BodyFirst1SS"/>
        <w:spacing w:line="240" w:lineRule="auto"/>
        <w:ind w:left="1440" w:right="1440" w:firstLine="1440"/>
        <w:jc w:val="left"/>
        <w:rPr>
          <w:sz w:val="26"/>
          <w:szCs w:val="26"/>
        </w:rPr>
      </w:pPr>
      <w:r>
        <w:rPr>
          <w:sz w:val="26"/>
          <w:szCs w:val="26"/>
        </w:rPr>
        <w:t xml:space="preserve">We agree with the ALJs that relying on the spot market for 100% of its supply exposed HIKO to known risks, if not foreseeable events, simply because so many factors upon which the wholesale market depends were outside the Company’s control.  HIKO cannot credibly maintain that relying on a market subject to so many known exposures is not inherently risky, </w:t>
      </w:r>
      <w:r w:rsidRPr="006F2A17">
        <w:rPr>
          <w:sz w:val="26"/>
          <w:szCs w:val="26"/>
        </w:rPr>
        <w:t>such</w:t>
      </w:r>
      <w:r>
        <w:rPr>
          <w:sz w:val="26"/>
          <w:szCs w:val="26"/>
        </w:rPr>
        <w:t xml:space="preserve"> that</w:t>
      </w:r>
      <w:r w:rsidRPr="006F2A17">
        <w:rPr>
          <w:sz w:val="26"/>
          <w:szCs w:val="26"/>
        </w:rPr>
        <w:t xml:space="preserve"> they were risks the Company </w:t>
      </w:r>
      <w:r>
        <w:rPr>
          <w:sz w:val="26"/>
          <w:szCs w:val="26"/>
        </w:rPr>
        <w:t xml:space="preserve">apparently </w:t>
      </w:r>
      <w:r w:rsidRPr="006F2A17">
        <w:rPr>
          <w:sz w:val="26"/>
          <w:szCs w:val="26"/>
        </w:rPr>
        <w:t xml:space="preserve">was willing to assume.  </w:t>
      </w:r>
      <w:r>
        <w:rPr>
          <w:sz w:val="26"/>
          <w:szCs w:val="26"/>
        </w:rPr>
        <w:t xml:space="preserve">Stated differently, it was or should have been foreseeable that exclusive reliance on the wholesale spot market could, depending on the confluence of several independent factors at any one time, produce less than favorable pricing conditions.  In addition to the fact that HIKO knew or clearly should have known that many moving pieces affecting the wholesale spot market were outside its control, the Company also should have been able to foresee </w:t>
      </w:r>
      <w:r>
        <w:rPr>
          <w:sz w:val="26"/>
          <w:szCs w:val="26"/>
        </w:rPr>
        <w:lastRenderedPageBreak/>
        <w:t xml:space="preserve">that relying on its customers as financial guarantors, when its finances were stretched because of those many circumstances outside its control, was </w:t>
      </w:r>
      <w:r>
        <w:rPr>
          <w:i/>
          <w:sz w:val="26"/>
          <w:szCs w:val="26"/>
        </w:rPr>
        <w:t xml:space="preserve">not </w:t>
      </w:r>
      <w:r>
        <w:rPr>
          <w:sz w:val="26"/>
          <w:szCs w:val="26"/>
        </w:rPr>
        <w:t>a valid option in the face of its contractual guarantees and existing regulatory protections.  It was the Company’s sole decision how to structure a compatible price and supply scheme.</w:t>
      </w:r>
    </w:p>
    <w:p w:rsidR="00DC5B4D" w:rsidRDefault="00DC5B4D" w:rsidP="00DC5B4D">
      <w:pPr>
        <w:pStyle w:val="BodyFirst1SS"/>
        <w:spacing w:line="240" w:lineRule="auto"/>
        <w:ind w:left="1440" w:right="1440" w:firstLine="1440"/>
        <w:jc w:val="left"/>
        <w:rPr>
          <w:sz w:val="26"/>
          <w:szCs w:val="26"/>
        </w:rPr>
      </w:pPr>
    </w:p>
    <w:p w:rsidR="00DC5B4D" w:rsidRDefault="00DC5B4D" w:rsidP="00DC5B4D">
      <w:pPr>
        <w:pStyle w:val="BodyFirst1SS"/>
        <w:spacing w:line="240" w:lineRule="auto"/>
        <w:ind w:left="1440" w:right="1440" w:firstLine="1440"/>
        <w:jc w:val="left"/>
        <w:rPr>
          <w:sz w:val="26"/>
          <w:szCs w:val="26"/>
        </w:rPr>
      </w:pPr>
    </w:p>
    <w:p w:rsidR="009462A4" w:rsidRDefault="00DC5B4D" w:rsidP="00DC5B4D">
      <w:pPr>
        <w:ind w:firstLine="0"/>
        <w:rPr>
          <w:sz w:val="26"/>
        </w:rPr>
      </w:pPr>
      <w:r>
        <w:rPr>
          <w:i/>
          <w:sz w:val="26"/>
        </w:rPr>
        <w:t>December 2015 Order</w:t>
      </w:r>
      <w:r>
        <w:rPr>
          <w:sz w:val="26"/>
        </w:rPr>
        <w:t xml:space="preserve"> at 47-48.</w:t>
      </w:r>
    </w:p>
    <w:p w:rsidR="009462A4" w:rsidRDefault="009462A4" w:rsidP="00DC5B4D">
      <w:pPr>
        <w:ind w:firstLine="0"/>
        <w:rPr>
          <w:sz w:val="26"/>
        </w:rPr>
      </w:pPr>
    </w:p>
    <w:p w:rsidR="00DC5B4D" w:rsidRPr="009462A4" w:rsidRDefault="0009536C" w:rsidP="009462A4">
      <w:pPr>
        <w:rPr>
          <w:i/>
          <w:sz w:val="26"/>
        </w:rPr>
      </w:pPr>
      <w:r>
        <w:rPr>
          <w:sz w:val="26"/>
        </w:rPr>
        <w:t>I</w:t>
      </w:r>
      <w:r w:rsidRPr="0009536C">
        <w:rPr>
          <w:sz w:val="26"/>
        </w:rPr>
        <w:t xml:space="preserve">n its Petition HIKO </w:t>
      </w:r>
      <w:r w:rsidR="00502D67">
        <w:rPr>
          <w:sz w:val="26"/>
        </w:rPr>
        <w:t xml:space="preserve">acknowledges </w:t>
      </w:r>
      <w:r>
        <w:rPr>
          <w:sz w:val="26"/>
        </w:rPr>
        <w:t xml:space="preserve">that </w:t>
      </w:r>
      <w:r w:rsidRPr="0009536C">
        <w:rPr>
          <w:sz w:val="26"/>
        </w:rPr>
        <w:t xml:space="preserve">the structure of its business plan led to </w:t>
      </w:r>
      <w:r w:rsidR="00502D67">
        <w:rPr>
          <w:sz w:val="26"/>
        </w:rPr>
        <w:t>the</w:t>
      </w:r>
      <w:r w:rsidRPr="0009536C">
        <w:rPr>
          <w:sz w:val="26"/>
        </w:rPr>
        <w:t xml:space="preserve"> </w:t>
      </w:r>
      <w:r w:rsidR="00502D67">
        <w:rPr>
          <w:sz w:val="26"/>
        </w:rPr>
        <w:t>violations, admitting</w:t>
      </w:r>
      <w:r w:rsidRPr="0009536C">
        <w:rPr>
          <w:sz w:val="26"/>
        </w:rPr>
        <w:t xml:space="preserve"> it “made substantial changes to its business operations” to ensure that it will have the wherewithal to handle the “financial constraints and market exposure that led to the violations</w:t>
      </w:r>
      <w:r w:rsidR="00502D67">
        <w:rPr>
          <w:sz w:val="26"/>
        </w:rPr>
        <w:t xml:space="preserve"> underlying the civil penalty[.]</w:t>
      </w:r>
      <w:r w:rsidRPr="0009536C">
        <w:rPr>
          <w:sz w:val="26"/>
        </w:rPr>
        <w:t xml:space="preserve">” </w:t>
      </w:r>
      <w:r w:rsidR="00502D67">
        <w:rPr>
          <w:sz w:val="26"/>
        </w:rPr>
        <w:t xml:space="preserve"> </w:t>
      </w:r>
      <w:r w:rsidRPr="0009536C">
        <w:rPr>
          <w:sz w:val="26"/>
        </w:rPr>
        <w:t>Petition at 10.</w:t>
      </w:r>
      <w:r w:rsidR="009462A4">
        <w:rPr>
          <w:sz w:val="26"/>
        </w:rPr>
        <w:t xml:space="preserve">  </w:t>
      </w:r>
      <w:r w:rsidR="00583F64">
        <w:rPr>
          <w:sz w:val="26"/>
        </w:rPr>
        <w:t>Contrary to HIKO’s argument, w</w:t>
      </w:r>
      <w:r w:rsidR="00863308">
        <w:rPr>
          <w:sz w:val="26"/>
        </w:rPr>
        <w:t xml:space="preserve">e considered all factors raised by HIKO to explain its transgression, </w:t>
      </w:r>
      <w:r w:rsidR="00502D67">
        <w:rPr>
          <w:sz w:val="26"/>
        </w:rPr>
        <w:t xml:space="preserve">including those it characterizes as mitigation.  We </w:t>
      </w:r>
      <w:r w:rsidR="00863308">
        <w:rPr>
          <w:sz w:val="26"/>
        </w:rPr>
        <w:t xml:space="preserve">disagree </w:t>
      </w:r>
      <w:r w:rsidR="00502D67">
        <w:rPr>
          <w:sz w:val="26"/>
        </w:rPr>
        <w:t xml:space="preserve">with HIKO, however, </w:t>
      </w:r>
      <w:r w:rsidR="00863308">
        <w:rPr>
          <w:sz w:val="26"/>
        </w:rPr>
        <w:t xml:space="preserve">that the </w:t>
      </w:r>
      <w:r w:rsidR="00583F64">
        <w:rPr>
          <w:sz w:val="26"/>
        </w:rPr>
        <w:t>results</w:t>
      </w:r>
      <w:r w:rsidR="00502D67">
        <w:rPr>
          <w:sz w:val="26"/>
        </w:rPr>
        <w:t xml:space="preserve"> of the Company’s own</w:t>
      </w:r>
      <w:r w:rsidR="00863308">
        <w:rPr>
          <w:sz w:val="26"/>
        </w:rPr>
        <w:t xml:space="preserve"> business decisions</w:t>
      </w:r>
      <w:r w:rsidR="00583F64">
        <w:rPr>
          <w:sz w:val="26"/>
        </w:rPr>
        <w:t>, though unexpected,</w:t>
      </w:r>
      <w:r w:rsidR="00863308">
        <w:rPr>
          <w:sz w:val="26"/>
        </w:rPr>
        <w:t xml:space="preserve"> were </w:t>
      </w:r>
      <w:r w:rsidR="00502D67">
        <w:rPr>
          <w:sz w:val="26"/>
        </w:rPr>
        <w:t xml:space="preserve">matters </w:t>
      </w:r>
      <w:r w:rsidR="00863308">
        <w:rPr>
          <w:sz w:val="26"/>
        </w:rPr>
        <w:t xml:space="preserve">outside </w:t>
      </w:r>
      <w:r w:rsidR="00502D67">
        <w:rPr>
          <w:sz w:val="26"/>
        </w:rPr>
        <w:t>its</w:t>
      </w:r>
      <w:r w:rsidR="00583F64">
        <w:rPr>
          <w:sz w:val="26"/>
        </w:rPr>
        <w:t xml:space="preserve"> control</w:t>
      </w:r>
      <w:r w:rsidR="00863308">
        <w:rPr>
          <w:sz w:val="26"/>
        </w:rPr>
        <w:t>.</w:t>
      </w:r>
    </w:p>
    <w:p w:rsidR="00E342CD" w:rsidRPr="00F6298F" w:rsidRDefault="00E342CD" w:rsidP="00DC5B4D">
      <w:pPr>
        <w:ind w:firstLine="0"/>
        <w:rPr>
          <w:sz w:val="26"/>
        </w:rPr>
      </w:pPr>
    </w:p>
    <w:p w:rsidR="00863308" w:rsidRPr="00863308" w:rsidRDefault="009462A4" w:rsidP="00863308">
      <w:pPr>
        <w:rPr>
          <w:sz w:val="26"/>
        </w:rPr>
      </w:pPr>
      <w:r>
        <w:rPr>
          <w:sz w:val="26"/>
        </w:rPr>
        <w:t xml:space="preserve">In </w:t>
      </w:r>
      <w:r w:rsidR="00863308">
        <w:rPr>
          <w:sz w:val="26"/>
        </w:rPr>
        <w:t>c</w:t>
      </w:r>
      <w:r w:rsidR="00502D67">
        <w:rPr>
          <w:sz w:val="26"/>
        </w:rPr>
        <w:t xml:space="preserve">hallenging this fine in comparison to others we have imposed, HIKO also </w:t>
      </w:r>
      <w:r w:rsidR="00063817" w:rsidRPr="00063817">
        <w:rPr>
          <w:sz w:val="26"/>
        </w:rPr>
        <w:t xml:space="preserve">repeatedly fails to acknowledge </w:t>
      </w:r>
      <w:r w:rsidR="00863308">
        <w:rPr>
          <w:sz w:val="26"/>
        </w:rPr>
        <w:t>the unprecedented scope of its actions</w:t>
      </w:r>
      <w:r w:rsidR="00583F64">
        <w:rPr>
          <w:sz w:val="26"/>
        </w:rPr>
        <w:t>, as I&amp;E observes</w:t>
      </w:r>
      <w:r w:rsidR="00863308">
        <w:rPr>
          <w:sz w:val="26"/>
        </w:rPr>
        <w:t xml:space="preserve">.  The Company </w:t>
      </w:r>
      <w:r w:rsidR="00063817" w:rsidRPr="00063817">
        <w:rPr>
          <w:sz w:val="26"/>
        </w:rPr>
        <w:t>essentially conducted a pervasive theft from over 5,700 customers upon the direction of its Chief Executive Officer and President that continued</w:t>
      </w:r>
      <w:r w:rsidR="00063817">
        <w:rPr>
          <w:sz w:val="26"/>
        </w:rPr>
        <w:t>,</w:t>
      </w:r>
      <w:r w:rsidR="00063817" w:rsidRPr="00063817">
        <w:rPr>
          <w:sz w:val="26"/>
        </w:rPr>
        <w:t xml:space="preserve"> unabated voluntarily</w:t>
      </w:r>
      <w:r w:rsidR="00863308">
        <w:rPr>
          <w:sz w:val="26"/>
        </w:rPr>
        <w:t>,</w:t>
      </w:r>
      <w:r w:rsidR="00063817" w:rsidRPr="00063817">
        <w:rPr>
          <w:sz w:val="26"/>
        </w:rPr>
        <w:t xml:space="preserve"> </w:t>
      </w:r>
      <w:r w:rsidR="009B61B9" w:rsidRPr="009B61B9">
        <w:rPr>
          <w:sz w:val="26"/>
        </w:rPr>
        <w:t>over a period of four months</w:t>
      </w:r>
      <w:r w:rsidR="00863308">
        <w:rPr>
          <w:sz w:val="26"/>
        </w:rPr>
        <w:t>,</w:t>
      </w:r>
      <w:r w:rsidR="009B61B9" w:rsidRPr="009B61B9">
        <w:rPr>
          <w:sz w:val="26"/>
        </w:rPr>
        <w:t xml:space="preserve"> </w:t>
      </w:r>
      <w:r w:rsidR="00063817" w:rsidRPr="00063817">
        <w:rPr>
          <w:sz w:val="26"/>
        </w:rPr>
        <w:t>except for the few customers who invoked the regulatory oversight of our Bureau of Consumer Services.  I&amp;E witness Mumford testified</w:t>
      </w:r>
      <w:r w:rsidR="00FE0770">
        <w:rPr>
          <w:sz w:val="26"/>
        </w:rPr>
        <w:t xml:space="preserve"> that HIKO’s </w:t>
      </w:r>
      <w:r w:rsidR="00863308">
        <w:rPr>
          <w:sz w:val="26"/>
        </w:rPr>
        <w:t>action</w:t>
      </w:r>
      <w:r w:rsidR="00FE0770">
        <w:rPr>
          <w:sz w:val="26"/>
        </w:rPr>
        <w:t xml:space="preserve"> was </w:t>
      </w:r>
      <w:r w:rsidR="00063817" w:rsidRPr="00063817">
        <w:rPr>
          <w:sz w:val="26"/>
        </w:rPr>
        <w:t>the largest scale violation he had ever experienced</w:t>
      </w:r>
      <w:r w:rsidR="00FE0770">
        <w:rPr>
          <w:sz w:val="26"/>
        </w:rPr>
        <w:t xml:space="preserve">, stating he was “not aware of any previous case where this large number of customers were overcharged deliberately.”  </w:t>
      </w:r>
      <w:r w:rsidR="00063817" w:rsidRPr="00063817">
        <w:rPr>
          <w:sz w:val="26"/>
        </w:rPr>
        <w:t>I</w:t>
      </w:r>
      <w:r w:rsidR="00FE0770">
        <w:rPr>
          <w:sz w:val="26"/>
        </w:rPr>
        <w:t>&amp;</w:t>
      </w:r>
      <w:r w:rsidR="00063817" w:rsidRPr="00063817">
        <w:rPr>
          <w:sz w:val="26"/>
        </w:rPr>
        <w:t>E R</w:t>
      </w:r>
      <w:r w:rsidR="00FE0770">
        <w:rPr>
          <w:sz w:val="26"/>
        </w:rPr>
        <w:t>.</w:t>
      </w:r>
      <w:r w:rsidR="00063817" w:rsidRPr="00063817">
        <w:rPr>
          <w:sz w:val="26"/>
        </w:rPr>
        <w:t xml:space="preserve"> Exc</w:t>
      </w:r>
      <w:r w:rsidR="00FE0770">
        <w:rPr>
          <w:sz w:val="26"/>
        </w:rPr>
        <w:t>. at 20, quoting Tr. at 132.</w:t>
      </w:r>
      <w:r w:rsidR="00063817" w:rsidRPr="00063817">
        <w:rPr>
          <w:sz w:val="26"/>
        </w:rPr>
        <w:t xml:space="preserve">  </w:t>
      </w:r>
      <w:r w:rsidR="00863308">
        <w:rPr>
          <w:sz w:val="26"/>
        </w:rPr>
        <w:t xml:space="preserve">The civil penalty we imposed in this case was, </w:t>
      </w:r>
      <w:r w:rsidR="00110D56">
        <w:rPr>
          <w:sz w:val="26"/>
        </w:rPr>
        <w:t xml:space="preserve">as I&amp;E </w:t>
      </w:r>
      <w:r w:rsidR="00DC5B4D">
        <w:rPr>
          <w:sz w:val="26"/>
        </w:rPr>
        <w:t>argued,</w:t>
      </w:r>
      <w:r w:rsidR="00110D56">
        <w:rPr>
          <w:sz w:val="26"/>
        </w:rPr>
        <w:t xml:space="preserve"> </w:t>
      </w:r>
      <w:r w:rsidR="003664C2">
        <w:rPr>
          <w:sz w:val="26"/>
        </w:rPr>
        <w:t>based on specific, detailed, and convincing evidence</w:t>
      </w:r>
      <w:r w:rsidR="00863308">
        <w:rPr>
          <w:sz w:val="26"/>
        </w:rPr>
        <w:t>,</w:t>
      </w:r>
      <w:r w:rsidR="003664C2">
        <w:rPr>
          <w:sz w:val="26"/>
        </w:rPr>
        <w:t xml:space="preserve"> and not a level of fines agreed to by parties in unrelated, settled matters, which, as we stated, often have incomparable records.  </w:t>
      </w:r>
      <w:r w:rsidR="00110D56">
        <w:rPr>
          <w:i/>
          <w:sz w:val="26"/>
        </w:rPr>
        <w:t xml:space="preserve">See </w:t>
      </w:r>
      <w:r w:rsidR="00110D56">
        <w:rPr>
          <w:sz w:val="26"/>
        </w:rPr>
        <w:t xml:space="preserve">I&amp;E R. Exc. at 20; </w:t>
      </w:r>
      <w:r w:rsidR="00110D56">
        <w:rPr>
          <w:i/>
          <w:sz w:val="26"/>
        </w:rPr>
        <w:lastRenderedPageBreak/>
        <w:t xml:space="preserve">December 2015 Order </w:t>
      </w:r>
      <w:r w:rsidR="00110D56">
        <w:rPr>
          <w:sz w:val="26"/>
        </w:rPr>
        <w:t xml:space="preserve">at 26-27.  </w:t>
      </w:r>
      <w:r w:rsidR="00A6104E">
        <w:rPr>
          <w:sz w:val="26"/>
        </w:rPr>
        <w:t xml:space="preserve">Moreover, </w:t>
      </w:r>
      <w:r w:rsidR="00863308" w:rsidRPr="00863308">
        <w:rPr>
          <w:sz w:val="26"/>
        </w:rPr>
        <w:t xml:space="preserve">we repeatedly acknowledged </w:t>
      </w:r>
      <w:r w:rsidR="00A6104E">
        <w:rPr>
          <w:sz w:val="26"/>
        </w:rPr>
        <w:t xml:space="preserve">that </w:t>
      </w:r>
      <w:r w:rsidR="00863308" w:rsidRPr="00863308">
        <w:rPr>
          <w:sz w:val="26"/>
        </w:rPr>
        <w:t xml:space="preserve">the breadth and gravity of HIKO’s </w:t>
      </w:r>
      <w:r w:rsidR="00502D67">
        <w:rPr>
          <w:sz w:val="26"/>
        </w:rPr>
        <w:t xml:space="preserve">intentional </w:t>
      </w:r>
      <w:r w:rsidR="00863308" w:rsidRPr="00863308">
        <w:rPr>
          <w:sz w:val="26"/>
        </w:rPr>
        <w:t>offense</w:t>
      </w:r>
      <w:r w:rsidR="00502D67">
        <w:rPr>
          <w:sz w:val="26"/>
        </w:rPr>
        <w:t xml:space="preserve"> at the direction of its top management</w:t>
      </w:r>
      <w:r w:rsidR="00863308" w:rsidRPr="00863308">
        <w:rPr>
          <w:sz w:val="26"/>
        </w:rPr>
        <w:t xml:space="preserve"> were factors that substantially distinguished it from the other cases upon which HIKO relied</w:t>
      </w:r>
      <w:r w:rsidR="00583F64">
        <w:rPr>
          <w:sz w:val="26"/>
        </w:rPr>
        <w:t>, settled or otherwise,</w:t>
      </w:r>
      <w:r w:rsidR="00863308" w:rsidRPr="00863308">
        <w:rPr>
          <w:sz w:val="26"/>
        </w:rPr>
        <w:t xml:space="preserve"> </w:t>
      </w:r>
      <w:r w:rsidR="00285844">
        <w:rPr>
          <w:sz w:val="26"/>
        </w:rPr>
        <w:t>and</w:t>
      </w:r>
      <w:r w:rsidR="00863308" w:rsidRPr="00863308">
        <w:rPr>
          <w:sz w:val="26"/>
        </w:rPr>
        <w:t xml:space="preserve"> figured prominently in our determination of the appropriate level of penalty.  </w:t>
      </w:r>
      <w:r w:rsidR="00863308" w:rsidRPr="00863308">
        <w:rPr>
          <w:i/>
          <w:sz w:val="26"/>
        </w:rPr>
        <w:t>See December 2015 Order</w:t>
      </w:r>
      <w:r w:rsidR="00863308" w:rsidRPr="00863308">
        <w:rPr>
          <w:sz w:val="26"/>
        </w:rPr>
        <w:t xml:space="preserve"> at 27, 34, 44, 49, and 53.</w:t>
      </w:r>
    </w:p>
    <w:p w:rsidR="00B93364" w:rsidRDefault="00B93364" w:rsidP="00063817">
      <w:pPr>
        <w:rPr>
          <w:sz w:val="26"/>
        </w:rPr>
      </w:pPr>
    </w:p>
    <w:p w:rsidR="00863308" w:rsidRPr="00863308" w:rsidRDefault="00502D67" w:rsidP="00863308">
      <w:pPr>
        <w:rPr>
          <w:sz w:val="26"/>
        </w:rPr>
      </w:pPr>
      <w:r>
        <w:rPr>
          <w:sz w:val="26"/>
        </w:rPr>
        <w:t xml:space="preserve">HIKO’s challenge </w:t>
      </w:r>
      <w:r w:rsidR="00285844">
        <w:rPr>
          <w:sz w:val="26"/>
        </w:rPr>
        <w:t xml:space="preserve">to the $1.8 million penalty evidences a lack of understanding of </w:t>
      </w:r>
      <w:r w:rsidR="00EA4BBE">
        <w:rPr>
          <w:sz w:val="26"/>
        </w:rPr>
        <w:t>our authority to impose</w:t>
      </w:r>
      <w:r w:rsidR="00285844">
        <w:rPr>
          <w:sz w:val="26"/>
        </w:rPr>
        <w:t xml:space="preserve"> penalties.  Based on </w:t>
      </w:r>
      <w:r w:rsidR="00EA4BBE">
        <w:rPr>
          <w:sz w:val="26"/>
        </w:rPr>
        <w:t xml:space="preserve">the Company’s </w:t>
      </w:r>
      <w:r>
        <w:rPr>
          <w:sz w:val="26"/>
        </w:rPr>
        <w:t>deliberate</w:t>
      </w:r>
      <w:r w:rsidR="00863308" w:rsidRPr="00863308">
        <w:rPr>
          <w:sz w:val="26"/>
        </w:rPr>
        <w:t xml:space="preserve"> overbilling of 5,708 customers</w:t>
      </w:r>
      <w:r w:rsidR="00285844">
        <w:rPr>
          <w:sz w:val="26"/>
        </w:rPr>
        <w:t xml:space="preserve">, </w:t>
      </w:r>
      <w:r>
        <w:rPr>
          <w:sz w:val="26"/>
        </w:rPr>
        <w:t xml:space="preserve">we could have imposed </w:t>
      </w:r>
      <w:r w:rsidR="00863308" w:rsidRPr="00863308">
        <w:rPr>
          <w:sz w:val="26"/>
        </w:rPr>
        <w:t>a penalty of $5,708,000</w:t>
      </w:r>
      <w:r w:rsidR="00EA4BBE">
        <w:rPr>
          <w:sz w:val="26"/>
        </w:rPr>
        <w:t>, a result with clear precedent</w:t>
      </w:r>
      <w:r w:rsidR="00285844">
        <w:rPr>
          <w:sz w:val="26"/>
        </w:rPr>
        <w:t xml:space="preserve">, </w:t>
      </w:r>
      <w:r w:rsidR="00285844" w:rsidRPr="00285844">
        <w:rPr>
          <w:sz w:val="26"/>
        </w:rPr>
        <w:t>had we simply applied the maximum penalty allowed for each individual customer violation</w:t>
      </w:r>
      <w:r w:rsidR="00863308" w:rsidRPr="00863308">
        <w:rPr>
          <w:sz w:val="26"/>
        </w:rPr>
        <w:t xml:space="preserve">.  Indeed, </w:t>
      </w:r>
      <w:r w:rsidR="00EA4BBE">
        <w:rPr>
          <w:sz w:val="26"/>
        </w:rPr>
        <w:t xml:space="preserve">that was the result </w:t>
      </w:r>
      <w:r w:rsidR="00863308" w:rsidRPr="00863308">
        <w:rPr>
          <w:sz w:val="26"/>
        </w:rPr>
        <w:t xml:space="preserve">in a </w:t>
      </w:r>
      <w:r w:rsidR="00285844">
        <w:rPr>
          <w:sz w:val="26"/>
        </w:rPr>
        <w:t xml:space="preserve">settled </w:t>
      </w:r>
      <w:r w:rsidR="00863308" w:rsidRPr="00863308">
        <w:rPr>
          <w:sz w:val="26"/>
        </w:rPr>
        <w:t xml:space="preserve">case </w:t>
      </w:r>
      <w:r w:rsidR="00285844">
        <w:rPr>
          <w:sz w:val="26"/>
        </w:rPr>
        <w:t xml:space="preserve">on which </w:t>
      </w:r>
      <w:r w:rsidR="00863308" w:rsidRPr="00863308">
        <w:rPr>
          <w:sz w:val="26"/>
        </w:rPr>
        <w:t xml:space="preserve">HIKO relies, </w:t>
      </w:r>
      <w:r w:rsidR="00863308" w:rsidRPr="00863308">
        <w:rPr>
          <w:i/>
          <w:sz w:val="26"/>
        </w:rPr>
        <w:t>Pa. PUC Bureau of Investigation and Enforcement v. Energy Services Providers, Inc. d/b/a Pennsylvania Gas and Electric and U.S. Gas and Electric d/b/a Pennsylvania Gas and Electric</w:t>
      </w:r>
      <w:r w:rsidR="00863308" w:rsidRPr="00863308">
        <w:rPr>
          <w:sz w:val="26"/>
        </w:rPr>
        <w:t>, Docket No. M-2013-2325122 (Order entered October 2, 2014) (</w:t>
      </w:r>
      <w:r w:rsidR="00863308" w:rsidRPr="00863308">
        <w:rPr>
          <w:i/>
          <w:sz w:val="26"/>
        </w:rPr>
        <w:t>PaG&amp;E 2014 Settlement</w:t>
      </w:r>
      <w:r w:rsidR="00863308" w:rsidRPr="00863308">
        <w:rPr>
          <w:sz w:val="26"/>
        </w:rPr>
        <w:t>).</w:t>
      </w:r>
    </w:p>
    <w:p w:rsidR="00863308" w:rsidRPr="00863308" w:rsidRDefault="00863308" w:rsidP="00863308">
      <w:pPr>
        <w:rPr>
          <w:sz w:val="26"/>
        </w:rPr>
      </w:pPr>
    </w:p>
    <w:p w:rsidR="00615500" w:rsidRDefault="00863308" w:rsidP="00863308">
      <w:pPr>
        <w:rPr>
          <w:sz w:val="26"/>
        </w:rPr>
      </w:pPr>
      <w:r w:rsidRPr="00863308">
        <w:rPr>
          <w:sz w:val="26"/>
        </w:rPr>
        <w:t xml:space="preserve">In </w:t>
      </w:r>
      <w:r w:rsidRPr="00863308">
        <w:rPr>
          <w:i/>
          <w:sz w:val="26"/>
        </w:rPr>
        <w:t>PaG&amp;E 2014 Settlement</w:t>
      </w:r>
      <w:r w:rsidRPr="00863308">
        <w:rPr>
          <w:sz w:val="26"/>
        </w:rPr>
        <w:t xml:space="preserve">, we rejected the initial </w:t>
      </w:r>
      <w:r>
        <w:rPr>
          <w:sz w:val="26"/>
        </w:rPr>
        <w:t xml:space="preserve">settlement that </w:t>
      </w:r>
      <w:r w:rsidRPr="00863308">
        <w:rPr>
          <w:sz w:val="26"/>
        </w:rPr>
        <w:t>I&amp;E</w:t>
      </w:r>
      <w:r>
        <w:rPr>
          <w:sz w:val="26"/>
        </w:rPr>
        <w:t xml:space="preserve"> and </w:t>
      </w:r>
      <w:r w:rsidRPr="00863308">
        <w:rPr>
          <w:sz w:val="26"/>
        </w:rPr>
        <w:t xml:space="preserve">PaG&amp;E presented for our </w:t>
      </w:r>
      <w:r>
        <w:rPr>
          <w:sz w:val="26"/>
        </w:rPr>
        <w:t xml:space="preserve">approval </w:t>
      </w:r>
      <w:r w:rsidRPr="00863308">
        <w:rPr>
          <w:sz w:val="26"/>
        </w:rPr>
        <w:t xml:space="preserve">because we found the proposed $75,000 civil penalty </w:t>
      </w:r>
      <w:r w:rsidR="00285844">
        <w:rPr>
          <w:sz w:val="26"/>
        </w:rPr>
        <w:t xml:space="preserve">was </w:t>
      </w:r>
      <w:r w:rsidRPr="00863308">
        <w:rPr>
          <w:sz w:val="26"/>
        </w:rPr>
        <w:t xml:space="preserve">insufficient to act as a deterrence regarding a serious violation involving the intentional slamming, or unauthorized switching, of </w:t>
      </w:r>
      <w:r w:rsidR="00EA4BBE">
        <w:rPr>
          <w:sz w:val="26"/>
        </w:rPr>
        <w:t xml:space="preserve">10 </w:t>
      </w:r>
      <w:r w:rsidRPr="00863308">
        <w:rPr>
          <w:sz w:val="26"/>
        </w:rPr>
        <w:t>customer</w:t>
      </w:r>
      <w:r w:rsidR="00EA4BBE">
        <w:rPr>
          <w:sz w:val="26"/>
        </w:rPr>
        <w:t>s with a combined 180 customer</w:t>
      </w:r>
      <w:r w:rsidRPr="00863308">
        <w:rPr>
          <w:sz w:val="26"/>
        </w:rPr>
        <w:t xml:space="preserve"> accounts.  Ultimately we approved a settlement that provided for full refunds of over $67,000</w:t>
      </w:r>
      <w:r w:rsidR="00EA4BBE">
        <w:rPr>
          <w:sz w:val="26"/>
        </w:rPr>
        <w:t xml:space="preserve"> plus</w:t>
      </w:r>
      <w:r w:rsidRPr="00863308">
        <w:rPr>
          <w:sz w:val="26"/>
        </w:rPr>
        <w:t xml:space="preserve"> a civil penalty of $150,000</w:t>
      </w:r>
      <w:r>
        <w:rPr>
          <w:sz w:val="26"/>
        </w:rPr>
        <w:t xml:space="preserve"> </w:t>
      </w:r>
      <w:r w:rsidR="00EA4BBE">
        <w:rPr>
          <w:sz w:val="26"/>
        </w:rPr>
        <w:t>in addition to</w:t>
      </w:r>
      <w:r>
        <w:rPr>
          <w:sz w:val="26"/>
        </w:rPr>
        <w:t xml:space="preserve"> the refunds.  </w:t>
      </w:r>
      <w:r w:rsidR="00EA4BBE">
        <w:rPr>
          <w:sz w:val="26"/>
        </w:rPr>
        <w:t>T</w:t>
      </w:r>
      <w:r>
        <w:rPr>
          <w:sz w:val="26"/>
        </w:rPr>
        <w:t xml:space="preserve">he penalty we imposed </w:t>
      </w:r>
      <w:r w:rsidRPr="00863308">
        <w:rPr>
          <w:sz w:val="26"/>
        </w:rPr>
        <w:t xml:space="preserve">was the </w:t>
      </w:r>
      <w:r>
        <w:rPr>
          <w:sz w:val="26"/>
        </w:rPr>
        <w:t xml:space="preserve">maximum </w:t>
      </w:r>
      <w:r w:rsidRPr="00863308">
        <w:rPr>
          <w:sz w:val="26"/>
        </w:rPr>
        <w:t xml:space="preserve">monetary penalty per violation allowed, $1,000, for each of the 108 accounts actually slammed and an additional $42,000 for accounts </w:t>
      </w:r>
      <w:r w:rsidR="00615500">
        <w:rPr>
          <w:sz w:val="26"/>
        </w:rPr>
        <w:t xml:space="preserve">that were </w:t>
      </w:r>
      <w:r w:rsidRPr="00863308">
        <w:rPr>
          <w:sz w:val="26"/>
        </w:rPr>
        <w:t xml:space="preserve">in the process </w:t>
      </w:r>
      <w:r w:rsidR="00615500">
        <w:rPr>
          <w:sz w:val="26"/>
        </w:rPr>
        <w:t xml:space="preserve">of but had not been </w:t>
      </w:r>
      <w:r w:rsidRPr="00863308">
        <w:rPr>
          <w:sz w:val="26"/>
        </w:rPr>
        <w:t xml:space="preserve">fully switched.  </w:t>
      </w:r>
      <w:r w:rsidR="00615500" w:rsidRPr="00615500">
        <w:rPr>
          <w:i/>
          <w:sz w:val="26"/>
        </w:rPr>
        <w:t xml:space="preserve">December 2015 Order </w:t>
      </w:r>
      <w:r w:rsidR="00615500" w:rsidRPr="00615500">
        <w:rPr>
          <w:sz w:val="26"/>
        </w:rPr>
        <w:t>at 26-27.</w:t>
      </w:r>
    </w:p>
    <w:p w:rsidR="00615500" w:rsidRDefault="00615500" w:rsidP="00863308">
      <w:pPr>
        <w:rPr>
          <w:sz w:val="26"/>
        </w:rPr>
      </w:pPr>
    </w:p>
    <w:p w:rsidR="00863308" w:rsidRDefault="00285844" w:rsidP="00863308">
      <w:pPr>
        <w:rPr>
          <w:sz w:val="26"/>
        </w:rPr>
      </w:pPr>
      <w:r>
        <w:rPr>
          <w:sz w:val="26"/>
        </w:rPr>
        <w:t>Further, c</w:t>
      </w:r>
      <w:r w:rsidR="00863308" w:rsidRPr="00863308">
        <w:rPr>
          <w:sz w:val="26"/>
        </w:rPr>
        <w:t xml:space="preserve">onsidering the continuous nature of the violations over a four-month period, had we applied the violation on a continuing basis for each day that the Company remained in violation, a possibility about which HIKO was I&amp;E specifically </w:t>
      </w:r>
      <w:r w:rsidR="005967B8">
        <w:rPr>
          <w:sz w:val="26"/>
        </w:rPr>
        <w:lastRenderedPageBreak/>
        <w:t>advised in I&amp;E’s</w:t>
      </w:r>
      <w:r w:rsidR="00863308" w:rsidRPr="00863308">
        <w:rPr>
          <w:sz w:val="26"/>
        </w:rPr>
        <w:t xml:space="preserve"> Complaint,</w:t>
      </w:r>
      <w:r w:rsidR="00863308" w:rsidRPr="00863308">
        <w:rPr>
          <w:sz w:val="26"/>
          <w:vertAlign w:val="superscript"/>
        </w:rPr>
        <w:footnoteReference w:id="5"/>
      </w:r>
      <w:r w:rsidR="00863308" w:rsidRPr="00863308">
        <w:rPr>
          <w:sz w:val="26"/>
        </w:rPr>
        <w:t xml:space="preserve"> the civil penalty could have been exponentially higher.</w:t>
      </w:r>
      <w:r w:rsidR="00615500">
        <w:rPr>
          <w:sz w:val="26"/>
        </w:rPr>
        <w:t xml:space="preserve">  </w:t>
      </w:r>
      <w:r w:rsidR="00615500" w:rsidRPr="00615500">
        <w:rPr>
          <w:sz w:val="26"/>
        </w:rPr>
        <w:t xml:space="preserve">Section 3301(b) of the Code provides that </w:t>
      </w:r>
      <w:r w:rsidR="00615500" w:rsidRPr="001B33EA">
        <w:rPr>
          <w:sz w:val="26"/>
        </w:rPr>
        <w:t>“</w:t>
      </w:r>
      <w:r w:rsidR="00615500" w:rsidRPr="001B33EA">
        <w:rPr>
          <w:i/>
          <w:sz w:val="26"/>
        </w:rPr>
        <w:t>[e]ach and every day’s continuance in the violation of any regulation . . . shall be a separate and distinct offense</w:t>
      </w:r>
      <w:r>
        <w:rPr>
          <w:i/>
          <w:sz w:val="26"/>
        </w:rPr>
        <w:t>.</w:t>
      </w:r>
      <w:r w:rsidR="00615500" w:rsidRPr="00615500">
        <w:rPr>
          <w:sz w:val="26"/>
        </w:rPr>
        <w:t>”  66 Pa. C.S. § 3301(b) (emphasis added).</w:t>
      </w:r>
    </w:p>
    <w:p w:rsidR="00615500" w:rsidRDefault="00615500" w:rsidP="00863308">
      <w:pPr>
        <w:rPr>
          <w:sz w:val="26"/>
        </w:rPr>
      </w:pPr>
    </w:p>
    <w:p w:rsidR="00615500" w:rsidRDefault="00EA4BBE" w:rsidP="00863308">
      <w:pPr>
        <w:rPr>
          <w:sz w:val="26"/>
        </w:rPr>
      </w:pPr>
      <w:r>
        <w:rPr>
          <w:sz w:val="26"/>
        </w:rPr>
        <w:t xml:space="preserve">The penalty we imposed on HIKO is neither unprecedented nor unsupported.  </w:t>
      </w:r>
      <w:r w:rsidR="00615500">
        <w:rPr>
          <w:sz w:val="26"/>
        </w:rPr>
        <w:t xml:space="preserve">Like </w:t>
      </w:r>
      <w:r w:rsidR="00615500" w:rsidRPr="00615500">
        <w:rPr>
          <w:i/>
          <w:sz w:val="26"/>
        </w:rPr>
        <w:t>PaG&amp;E 2014 Settlement</w:t>
      </w:r>
      <w:r w:rsidR="00615500">
        <w:rPr>
          <w:sz w:val="26"/>
        </w:rPr>
        <w:t xml:space="preserve">, we found that a civil penalty in addition to customer refunds was appropriate.  As I&amp;E contended, </w:t>
      </w:r>
      <w:r w:rsidR="00615500" w:rsidRPr="00615500">
        <w:rPr>
          <w:sz w:val="26"/>
        </w:rPr>
        <w:t xml:space="preserve">HIKO had no entitlement to withhold funds that rightly belonged to customers.  The actions HIKO agreed to in </w:t>
      </w:r>
      <w:r w:rsidR="00615500" w:rsidRPr="00615500">
        <w:rPr>
          <w:i/>
          <w:sz w:val="26"/>
        </w:rPr>
        <w:t xml:space="preserve">OAG/OCA-HIKO Settlement </w:t>
      </w:r>
      <w:r w:rsidR="00615500" w:rsidRPr="00615500">
        <w:rPr>
          <w:sz w:val="26"/>
        </w:rPr>
        <w:t xml:space="preserve">merely righted the wrongs it had improperly perpetrated on its customers.  </w:t>
      </w:r>
      <w:r w:rsidR="00615500">
        <w:rPr>
          <w:sz w:val="26"/>
        </w:rPr>
        <w:t xml:space="preserve">Unlike </w:t>
      </w:r>
      <w:r w:rsidR="00615500" w:rsidRPr="00615500">
        <w:rPr>
          <w:i/>
          <w:sz w:val="26"/>
        </w:rPr>
        <w:t>PaG&amp;E 2014 Settlement</w:t>
      </w:r>
      <w:r w:rsidR="00615500">
        <w:rPr>
          <w:sz w:val="26"/>
        </w:rPr>
        <w:t xml:space="preserve">, however, we did </w:t>
      </w:r>
      <w:r w:rsidR="00615500">
        <w:rPr>
          <w:i/>
          <w:sz w:val="26"/>
        </w:rPr>
        <w:t xml:space="preserve">not </w:t>
      </w:r>
      <w:r w:rsidR="00615500">
        <w:rPr>
          <w:sz w:val="26"/>
        </w:rPr>
        <w:t xml:space="preserve">impose the maximum statutorily-authorized civil penalty for each customer account affected. </w:t>
      </w:r>
      <w:r w:rsidR="00615500" w:rsidRPr="00615500">
        <w:rPr>
          <w:sz w:val="26"/>
        </w:rPr>
        <w:t xml:space="preserve"> </w:t>
      </w:r>
      <w:r w:rsidR="00615500">
        <w:rPr>
          <w:sz w:val="26"/>
        </w:rPr>
        <w:t xml:space="preserve">At 12.5% of that maximum, the civil penalty was </w:t>
      </w:r>
      <w:r>
        <w:rPr>
          <w:sz w:val="26"/>
        </w:rPr>
        <w:t>relatively modest</w:t>
      </w:r>
      <w:r w:rsidR="00615500">
        <w:rPr>
          <w:sz w:val="26"/>
        </w:rPr>
        <w:t>.</w:t>
      </w:r>
    </w:p>
    <w:p w:rsidR="001B33EA" w:rsidRDefault="001B33EA" w:rsidP="00863308">
      <w:pPr>
        <w:rPr>
          <w:sz w:val="26"/>
        </w:rPr>
      </w:pPr>
    </w:p>
    <w:p w:rsidR="001B33EA" w:rsidRPr="001B33EA" w:rsidRDefault="001B33EA" w:rsidP="001B33EA">
      <w:pPr>
        <w:rPr>
          <w:sz w:val="26"/>
        </w:rPr>
      </w:pPr>
      <w:r w:rsidRPr="001B33EA">
        <w:rPr>
          <w:sz w:val="26"/>
        </w:rPr>
        <w:t>HIKO</w:t>
      </w:r>
      <w:r w:rsidR="00B1458D">
        <w:rPr>
          <w:sz w:val="26"/>
        </w:rPr>
        <w:t xml:space="preserve">’s contention </w:t>
      </w:r>
      <w:r w:rsidRPr="001B33EA">
        <w:rPr>
          <w:sz w:val="26"/>
        </w:rPr>
        <w:t xml:space="preserve">that our decision is </w:t>
      </w:r>
      <w:r w:rsidR="00B1458D">
        <w:rPr>
          <w:sz w:val="26"/>
        </w:rPr>
        <w:t xml:space="preserve">not supported by the record </w:t>
      </w:r>
      <w:r w:rsidRPr="001B33EA">
        <w:rPr>
          <w:sz w:val="26"/>
        </w:rPr>
        <w:t xml:space="preserve">because </w:t>
      </w:r>
      <w:r w:rsidR="00EA4BBE">
        <w:rPr>
          <w:sz w:val="26"/>
        </w:rPr>
        <w:t xml:space="preserve">we did not fully </w:t>
      </w:r>
      <w:r w:rsidRPr="001B33EA">
        <w:rPr>
          <w:sz w:val="26"/>
        </w:rPr>
        <w:t xml:space="preserve">embrace </w:t>
      </w:r>
      <w:r w:rsidR="00EA4BBE">
        <w:rPr>
          <w:sz w:val="26"/>
        </w:rPr>
        <w:t>the ALJs</w:t>
      </w:r>
      <w:r w:rsidR="00285844">
        <w:rPr>
          <w:sz w:val="26"/>
        </w:rPr>
        <w:t>’</w:t>
      </w:r>
      <w:r w:rsidRPr="001B33EA">
        <w:rPr>
          <w:sz w:val="26"/>
        </w:rPr>
        <w:t xml:space="preserve"> findings regarding </w:t>
      </w:r>
      <w:r w:rsidR="00EA4BBE">
        <w:rPr>
          <w:sz w:val="26"/>
        </w:rPr>
        <w:t xml:space="preserve">customer </w:t>
      </w:r>
      <w:r w:rsidRPr="001B33EA">
        <w:rPr>
          <w:sz w:val="26"/>
        </w:rPr>
        <w:t xml:space="preserve">financial hardship, </w:t>
      </w:r>
      <w:r w:rsidR="00EA4BBE">
        <w:rPr>
          <w:sz w:val="26"/>
        </w:rPr>
        <w:t xml:space="preserve">HIKO’s </w:t>
      </w:r>
      <w:r w:rsidRPr="001B33EA">
        <w:rPr>
          <w:sz w:val="26"/>
        </w:rPr>
        <w:t xml:space="preserve">size, and </w:t>
      </w:r>
      <w:r w:rsidR="00EA4BBE">
        <w:rPr>
          <w:sz w:val="26"/>
        </w:rPr>
        <w:t xml:space="preserve">HIKO’s </w:t>
      </w:r>
      <w:r w:rsidRPr="001B33EA">
        <w:rPr>
          <w:sz w:val="26"/>
        </w:rPr>
        <w:t>record of regulatory compliance</w:t>
      </w:r>
      <w:r w:rsidR="00B1458D">
        <w:rPr>
          <w:sz w:val="26"/>
        </w:rPr>
        <w:t xml:space="preserve"> </w:t>
      </w:r>
      <w:r w:rsidR="00EA4BBE">
        <w:rPr>
          <w:sz w:val="26"/>
        </w:rPr>
        <w:t xml:space="preserve">also </w:t>
      </w:r>
      <w:r w:rsidR="00B1458D">
        <w:rPr>
          <w:sz w:val="26"/>
        </w:rPr>
        <w:t>lacks merit</w:t>
      </w:r>
      <w:r w:rsidRPr="001B33EA">
        <w:rPr>
          <w:sz w:val="26"/>
        </w:rPr>
        <w:t>.</w:t>
      </w:r>
      <w:r w:rsidR="00812334">
        <w:rPr>
          <w:sz w:val="26"/>
        </w:rPr>
        <w:t xml:space="preserve">  </w:t>
      </w:r>
      <w:r w:rsidRPr="001B33EA">
        <w:rPr>
          <w:sz w:val="26"/>
        </w:rPr>
        <w:t>HIKO style</w:t>
      </w:r>
      <w:r w:rsidR="00EA4BBE">
        <w:rPr>
          <w:sz w:val="26"/>
        </w:rPr>
        <w:t>s</w:t>
      </w:r>
      <w:r w:rsidRPr="001B33EA">
        <w:rPr>
          <w:sz w:val="26"/>
        </w:rPr>
        <w:t xml:space="preserve"> </w:t>
      </w:r>
      <w:r w:rsidR="00EA4BBE">
        <w:rPr>
          <w:sz w:val="26"/>
        </w:rPr>
        <w:t xml:space="preserve">what it </w:t>
      </w:r>
      <w:r w:rsidR="003810EB">
        <w:rPr>
          <w:sz w:val="26"/>
        </w:rPr>
        <w:t xml:space="preserve">calls </w:t>
      </w:r>
      <w:r w:rsidR="00EA4BBE">
        <w:rPr>
          <w:sz w:val="26"/>
        </w:rPr>
        <w:t xml:space="preserve">our “penalty policy” </w:t>
      </w:r>
      <w:r w:rsidRPr="001B33EA">
        <w:rPr>
          <w:sz w:val="26"/>
        </w:rPr>
        <w:t xml:space="preserve">as a precise mathematical calculation subject to a </w:t>
      </w:r>
      <w:r w:rsidR="00812334">
        <w:rPr>
          <w:sz w:val="26"/>
        </w:rPr>
        <w:t>“calculus”</w:t>
      </w:r>
      <w:r w:rsidRPr="001B33EA">
        <w:rPr>
          <w:sz w:val="26"/>
        </w:rPr>
        <w:t xml:space="preserve"> where the change to one integer will necessarily produce a different </w:t>
      </w:r>
      <w:r w:rsidR="00EA4BBE">
        <w:rPr>
          <w:sz w:val="26"/>
        </w:rPr>
        <w:t>result</w:t>
      </w:r>
      <w:r w:rsidRPr="001B33EA">
        <w:rPr>
          <w:sz w:val="26"/>
        </w:rPr>
        <w:t>.</w:t>
      </w:r>
      <w:r w:rsidR="00812334" w:rsidRPr="00812334">
        <w:rPr>
          <w:sz w:val="26"/>
          <w:vertAlign w:val="superscript"/>
        </w:rPr>
        <w:footnoteReference w:id="6"/>
      </w:r>
      <w:r w:rsidRPr="001B33EA">
        <w:rPr>
          <w:sz w:val="26"/>
        </w:rPr>
        <w:t xml:space="preserve">  </w:t>
      </w:r>
      <w:r w:rsidR="00EA4BBE">
        <w:rPr>
          <w:sz w:val="26"/>
        </w:rPr>
        <w:t>Thus</w:t>
      </w:r>
      <w:r w:rsidR="00812334">
        <w:rPr>
          <w:sz w:val="26"/>
        </w:rPr>
        <w:t>,</w:t>
      </w:r>
      <w:r w:rsidR="00EA4BBE">
        <w:rPr>
          <w:sz w:val="26"/>
        </w:rPr>
        <w:t xml:space="preserve"> HIKO claims</w:t>
      </w:r>
      <w:r w:rsidR="00812334">
        <w:rPr>
          <w:sz w:val="26"/>
        </w:rPr>
        <w:t>,</w:t>
      </w:r>
      <w:r w:rsidR="00EA4BBE">
        <w:rPr>
          <w:sz w:val="26"/>
        </w:rPr>
        <w:t xml:space="preserve"> </w:t>
      </w:r>
      <w:r w:rsidR="00812334">
        <w:rPr>
          <w:sz w:val="26"/>
        </w:rPr>
        <w:t xml:space="preserve">we erred by not calculating a “downward adjustment” to account for </w:t>
      </w:r>
      <w:r w:rsidR="00812334">
        <w:rPr>
          <w:sz w:val="26"/>
        </w:rPr>
        <w:lastRenderedPageBreak/>
        <w:t>these ALJ “shortcomings.”</w:t>
      </w:r>
      <w:r w:rsidR="00EA4BBE">
        <w:rPr>
          <w:sz w:val="26"/>
        </w:rPr>
        <w:t xml:space="preserve"> </w:t>
      </w:r>
      <w:r w:rsidR="00812334">
        <w:rPr>
          <w:sz w:val="26"/>
        </w:rPr>
        <w:t xml:space="preserve"> </w:t>
      </w:r>
      <w:r w:rsidRPr="001B33EA">
        <w:rPr>
          <w:sz w:val="26"/>
        </w:rPr>
        <w:t>Th</w:t>
      </w:r>
      <w:r w:rsidR="00812334">
        <w:rPr>
          <w:sz w:val="26"/>
        </w:rPr>
        <w:t>is argument misstates our analysis</w:t>
      </w:r>
      <w:r w:rsidR="00BB4FD3">
        <w:rPr>
          <w:sz w:val="26"/>
        </w:rPr>
        <w:t xml:space="preserve"> and reflects a fundamental misunderstanding of the penalty process</w:t>
      </w:r>
      <w:r w:rsidR="00812334">
        <w:rPr>
          <w:sz w:val="26"/>
        </w:rPr>
        <w:t>.</w:t>
      </w:r>
    </w:p>
    <w:p w:rsidR="001B33EA" w:rsidRPr="001B33EA" w:rsidRDefault="001B33EA" w:rsidP="001B33EA">
      <w:pPr>
        <w:rPr>
          <w:sz w:val="26"/>
        </w:rPr>
      </w:pPr>
    </w:p>
    <w:p w:rsidR="00BB4FD3" w:rsidRPr="00BB4FD3" w:rsidRDefault="00812334" w:rsidP="00BB4FD3">
      <w:pPr>
        <w:rPr>
          <w:sz w:val="26"/>
        </w:rPr>
      </w:pPr>
      <w:r>
        <w:rPr>
          <w:sz w:val="26"/>
        </w:rPr>
        <w:t xml:space="preserve">First, as </w:t>
      </w:r>
      <w:r w:rsidR="001B33EA" w:rsidRPr="001B33EA">
        <w:rPr>
          <w:sz w:val="26"/>
        </w:rPr>
        <w:t xml:space="preserve">HIKO </w:t>
      </w:r>
      <w:r>
        <w:rPr>
          <w:sz w:val="26"/>
        </w:rPr>
        <w:t>acknowledged</w:t>
      </w:r>
      <w:r w:rsidR="001B33EA" w:rsidRPr="001B33EA">
        <w:rPr>
          <w:sz w:val="26"/>
        </w:rPr>
        <w:t xml:space="preserve">, we </w:t>
      </w:r>
      <w:r>
        <w:rPr>
          <w:sz w:val="26"/>
        </w:rPr>
        <w:t xml:space="preserve">concluded </w:t>
      </w:r>
      <w:r w:rsidR="001B33EA" w:rsidRPr="001B33EA">
        <w:rPr>
          <w:sz w:val="26"/>
        </w:rPr>
        <w:t xml:space="preserve">that </w:t>
      </w:r>
      <w:r w:rsidR="00285844">
        <w:rPr>
          <w:sz w:val="26"/>
        </w:rPr>
        <w:t xml:space="preserve">with respect to each of our </w:t>
      </w:r>
      <w:r w:rsidR="001B33EA" w:rsidRPr="001B33EA">
        <w:rPr>
          <w:sz w:val="26"/>
        </w:rPr>
        <w:t>areas of disagreement with the ALJs’ findings</w:t>
      </w:r>
      <w:r w:rsidR="00285844">
        <w:rPr>
          <w:sz w:val="26"/>
        </w:rPr>
        <w:t xml:space="preserve">, none </w:t>
      </w:r>
      <w:r w:rsidR="001B33EA" w:rsidRPr="001B33EA">
        <w:rPr>
          <w:sz w:val="26"/>
        </w:rPr>
        <w:t xml:space="preserve">was of such import </w:t>
      </w:r>
      <w:r>
        <w:rPr>
          <w:sz w:val="26"/>
        </w:rPr>
        <w:t xml:space="preserve">as </w:t>
      </w:r>
      <w:r w:rsidR="001B33EA" w:rsidRPr="001B33EA">
        <w:rPr>
          <w:sz w:val="26"/>
        </w:rPr>
        <w:t>to convince us that the proposed $1.8 million civil penalty was inappropriate or unsupported.</w:t>
      </w:r>
      <w:r>
        <w:rPr>
          <w:rStyle w:val="FootnoteReference"/>
          <w:sz w:val="26"/>
        </w:rPr>
        <w:footnoteReference w:id="7"/>
      </w:r>
      <w:r w:rsidR="001B33EA" w:rsidRPr="001B33EA">
        <w:rPr>
          <w:sz w:val="26"/>
        </w:rPr>
        <w:t xml:space="preserve">  </w:t>
      </w:r>
      <w:r w:rsidR="00BB4FD3" w:rsidRPr="00BB4FD3">
        <w:rPr>
          <w:sz w:val="26"/>
        </w:rPr>
        <w:t xml:space="preserve">Moreover, despite demanding a precise mathematical calculus, HIKO fails to suggest what level of downward adjustment to our $1.8 million penalty would have </w:t>
      </w:r>
      <w:r w:rsidR="00BB4FD3">
        <w:rPr>
          <w:sz w:val="26"/>
        </w:rPr>
        <w:t>been appropriate</w:t>
      </w:r>
      <w:r w:rsidR="00BB4FD3" w:rsidRPr="00BB4FD3">
        <w:rPr>
          <w:sz w:val="26"/>
        </w:rPr>
        <w:t xml:space="preserve">.  Such a “calculus,” however, is neither quantifiable nor necessary.  The </w:t>
      </w:r>
      <w:r w:rsidR="000C2BE4">
        <w:rPr>
          <w:sz w:val="26"/>
        </w:rPr>
        <w:t>development</w:t>
      </w:r>
      <w:r w:rsidR="00BB4FD3" w:rsidRPr="00BB4FD3">
        <w:rPr>
          <w:sz w:val="26"/>
        </w:rPr>
        <w:t xml:space="preserve"> of a penalty </w:t>
      </w:r>
      <w:r w:rsidR="000C2BE4">
        <w:rPr>
          <w:sz w:val="26"/>
        </w:rPr>
        <w:t xml:space="preserve">is </w:t>
      </w:r>
      <w:r w:rsidR="00BB4FD3" w:rsidRPr="00BB4FD3">
        <w:rPr>
          <w:sz w:val="26"/>
        </w:rPr>
        <w:t xml:space="preserve">not subject to or quantifiable under a precise algebraic formula.  Rather </w:t>
      </w:r>
      <w:r w:rsidR="000C2BE4">
        <w:rPr>
          <w:sz w:val="26"/>
        </w:rPr>
        <w:t xml:space="preserve">it </w:t>
      </w:r>
      <w:r w:rsidR="000C2BE4" w:rsidRPr="000C2BE4">
        <w:rPr>
          <w:sz w:val="26"/>
        </w:rPr>
        <w:t xml:space="preserve">is a </w:t>
      </w:r>
      <w:r w:rsidR="000C2BE4">
        <w:rPr>
          <w:sz w:val="26"/>
        </w:rPr>
        <w:t>d</w:t>
      </w:r>
      <w:r w:rsidR="000C2BE4" w:rsidRPr="000C2BE4">
        <w:rPr>
          <w:sz w:val="26"/>
        </w:rPr>
        <w:t xml:space="preserve">iscretionary exercise </w:t>
      </w:r>
      <w:r w:rsidR="000C2BE4">
        <w:rPr>
          <w:sz w:val="26"/>
        </w:rPr>
        <w:t xml:space="preserve">informed and </w:t>
      </w:r>
      <w:r w:rsidR="00BB4FD3">
        <w:rPr>
          <w:sz w:val="26"/>
        </w:rPr>
        <w:t xml:space="preserve">constrained by </w:t>
      </w:r>
      <w:r w:rsidR="00BB4FD3" w:rsidRPr="00BB4FD3">
        <w:rPr>
          <w:sz w:val="26"/>
        </w:rPr>
        <w:t>our enabling legislation (66 Pa. C.S. §</w:t>
      </w:r>
      <w:r w:rsidR="000C2BE4">
        <w:rPr>
          <w:sz w:val="26"/>
        </w:rPr>
        <w:t> </w:t>
      </w:r>
      <w:r w:rsidR="00BB4FD3" w:rsidRPr="00BB4FD3">
        <w:rPr>
          <w:sz w:val="26"/>
        </w:rPr>
        <w:t xml:space="preserve">3301), our policy statement (52 Pa. Code § 69.1201), and </w:t>
      </w:r>
      <w:r w:rsidR="000C2BE4">
        <w:rPr>
          <w:sz w:val="26"/>
        </w:rPr>
        <w:t xml:space="preserve">long-standing </w:t>
      </w:r>
      <w:r w:rsidR="00BB4FD3" w:rsidRPr="00BB4FD3">
        <w:rPr>
          <w:sz w:val="26"/>
        </w:rPr>
        <w:t xml:space="preserve">case law that not only </w:t>
      </w:r>
      <w:r w:rsidR="000C2BE4">
        <w:rPr>
          <w:sz w:val="26"/>
        </w:rPr>
        <w:t>reflect</w:t>
      </w:r>
      <w:r w:rsidR="00285844">
        <w:rPr>
          <w:sz w:val="26"/>
        </w:rPr>
        <w:t>s</w:t>
      </w:r>
      <w:r w:rsidR="00BB4FD3" w:rsidRPr="00BB4FD3">
        <w:rPr>
          <w:sz w:val="26"/>
        </w:rPr>
        <w:t xml:space="preserve"> our regulatory policy (</w:t>
      </w:r>
      <w:r w:rsidR="00BB4FD3" w:rsidRPr="00BB4FD3">
        <w:rPr>
          <w:i/>
          <w:sz w:val="26"/>
        </w:rPr>
        <w:t>Rosi</w:t>
      </w:r>
      <w:r w:rsidR="00BB4FD3" w:rsidRPr="00BB4FD3">
        <w:rPr>
          <w:sz w:val="26"/>
        </w:rPr>
        <w:t>) but also affirm</w:t>
      </w:r>
      <w:r w:rsidR="00285844">
        <w:rPr>
          <w:sz w:val="26"/>
        </w:rPr>
        <w:t>s</w:t>
      </w:r>
      <w:r w:rsidR="00BB4FD3" w:rsidRPr="00BB4FD3">
        <w:rPr>
          <w:sz w:val="26"/>
        </w:rPr>
        <w:t xml:space="preserve"> our </w:t>
      </w:r>
      <w:r w:rsidR="000C2BE4">
        <w:rPr>
          <w:sz w:val="26"/>
        </w:rPr>
        <w:t xml:space="preserve">statutory </w:t>
      </w:r>
      <w:r w:rsidR="00BB4FD3" w:rsidRPr="00BB4FD3">
        <w:rPr>
          <w:sz w:val="26"/>
        </w:rPr>
        <w:t>discretion (</w:t>
      </w:r>
      <w:r w:rsidR="00BB4FD3" w:rsidRPr="00BB4FD3">
        <w:rPr>
          <w:i/>
          <w:sz w:val="26"/>
        </w:rPr>
        <w:t>Newcomer</w:t>
      </w:r>
      <w:r w:rsidR="00BB4FD3" w:rsidRPr="00BB4FD3">
        <w:rPr>
          <w:sz w:val="26"/>
        </w:rPr>
        <w:t>).</w:t>
      </w:r>
    </w:p>
    <w:p w:rsidR="001B33EA" w:rsidRPr="001B33EA" w:rsidRDefault="001B33EA" w:rsidP="001B33EA">
      <w:pPr>
        <w:rPr>
          <w:sz w:val="26"/>
        </w:rPr>
      </w:pPr>
    </w:p>
    <w:p w:rsidR="001B33EA" w:rsidRPr="001B33EA" w:rsidRDefault="00812334" w:rsidP="001B33EA">
      <w:pPr>
        <w:rPr>
          <w:sz w:val="26"/>
        </w:rPr>
      </w:pPr>
      <w:r>
        <w:rPr>
          <w:sz w:val="26"/>
        </w:rPr>
        <w:t xml:space="preserve">Second, our inability to find clarity regarding </w:t>
      </w:r>
      <w:r w:rsidR="00BB4FD3">
        <w:rPr>
          <w:sz w:val="26"/>
        </w:rPr>
        <w:t xml:space="preserve">the state of </w:t>
      </w:r>
      <w:r w:rsidR="001B33EA" w:rsidRPr="001B33EA">
        <w:rPr>
          <w:sz w:val="26"/>
        </w:rPr>
        <w:t>HIKO’s regulatory compliance</w:t>
      </w:r>
      <w:r>
        <w:rPr>
          <w:sz w:val="26"/>
        </w:rPr>
        <w:t xml:space="preserve"> stemmed in part from </w:t>
      </w:r>
      <w:r w:rsidR="00B1458D">
        <w:rPr>
          <w:sz w:val="26"/>
        </w:rPr>
        <w:t xml:space="preserve">HIKO’s </w:t>
      </w:r>
      <w:r>
        <w:rPr>
          <w:sz w:val="26"/>
        </w:rPr>
        <w:t xml:space="preserve">own erroneous </w:t>
      </w:r>
      <w:r w:rsidR="00B1458D">
        <w:rPr>
          <w:sz w:val="26"/>
        </w:rPr>
        <w:t>representations</w:t>
      </w:r>
      <w:r w:rsidR="00BB4FD3">
        <w:rPr>
          <w:sz w:val="26"/>
        </w:rPr>
        <w:t xml:space="preserve"> about its surety</w:t>
      </w:r>
      <w:r>
        <w:rPr>
          <w:sz w:val="26"/>
        </w:rPr>
        <w:t xml:space="preserve">, which continue in its Petition.  </w:t>
      </w:r>
      <w:r w:rsidR="00B1458D">
        <w:rPr>
          <w:sz w:val="26"/>
        </w:rPr>
        <w:t xml:space="preserve">Contrary to its assertions, </w:t>
      </w:r>
      <w:r w:rsidR="001B33EA" w:rsidRPr="001B33EA">
        <w:rPr>
          <w:sz w:val="26"/>
        </w:rPr>
        <w:t xml:space="preserve">HIKO does not have and never has had before this Commission a bond in the amount of $750,000.  Our public records </w:t>
      </w:r>
      <w:r>
        <w:rPr>
          <w:sz w:val="26"/>
        </w:rPr>
        <w:t>unequivocally</w:t>
      </w:r>
      <w:r w:rsidR="00705B90">
        <w:rPr>
          <w:sz w:val="26"/>
        </w:rPr>
        <w:t xml:space="preserve"> showed</w:t>
      </w:r>
      <w:r>
        <w:rPr>
          <w:sz w:val="26"/>
        </w:rPr>
        <w:t>, however,</w:t>
      </w:r>
      <w:r w:rsidR="001B33EA" w:rsidRPr="001B33EA">
        <w:rPr>
          <w:sz w:val="26"/>
        </w:rPr>
        <w:t xml:space="preserve"> that by letter dated February 20, 2015, </w:t>
      </w:r>
      <w:r>
        <w:rPr>
          <w:sz w:val="26"/>
        </w:rPr>
        <w:t>our</w:t>
      </w:r>
      <w:r w:rsidR="001B33EA" w:rsidRPr="001B33EA">
        <w:rPr>
          <w:sz w:val="26"/>
        </w:rPr>
        <w:t xml:space="preserve"> Staff advised HIKO that </w:t>
      </w:r>
      <w:r w:rsidR="003810EB">
        <w:rPr>
          <w:sz w:val="26"/>
        </w:rPr>
        <w:t>it</w:t>
      </w:r>
      <w:r w:rsidR="001B33EA" w:rsidRPr="001B33EA">
        <w:rPr>
          <w:sz w:val="26"/>
        </w:rPr>
        <w:t xml:space="preserve"> had failed to submit the required proof </w:t>
      </w:r>
      <w:r w:rsidR="00705B90">
        <w:rPr>
          <w:sz w:val="26"/>
        </w:rPr>
        <w:t xml:space="preserve">of continuation of </w:t>
      </w:r>
      <w:r w:rsidR="001B33EA" w:rsidRPr="001B33EA">
        <w:rPr>
          <w:sz w:val="26"/>
        </w:rPr>
        <w:t xml:space="preserve">its 2014 bond, which expired December 22, 2014.  Thus, the Company “clearly did not timely file such evidence for </w:t>
      </w:r>
      <w:r w:rsidR="00285844">
        <w:rPr>
          <w:sz w:val="26"/>
        </w:rPr>
        <w:t>[calendar year]</w:t>
      </w:r>
      <w:r w:rsidR="001B33EA" w:rsidRPr="001B33EA">
        <w:rPr>
          <w:sz w:val="26"/>
        </w:rPr>
        <w:t xml:space="preserve"> 2015” and was out of compliance for </w:t>
      </w:r>
      <w:r w:rsidR="003810EB">
        <w:rPr>
          <w:sz w:val="26"/>
        </w:rPr>
        <w:t xml:space="preserve">some </w:t>
      </w:r>
      <w:r w:rsidR="003810EB">
        <w:rPr>
          <w:sz w:val="26"/>
        </w:rPr>
        <w:lastRenderedPageBreak/>
        <w:t xml:space="preserve">time in </w:t>
      </w:r>
      <w:r w:rsidR="001B33EA" w:rsidRPr="001B33EA">
        <w:rPr>
          <w:sz w:val="26"/>
        </w:rPr>
        <w:t xml:space="preserve">2015.  </w:t>
      </w:r>
      <w:r w:rsidR="001B33EA" w:rsidRPr="001B33EA">
        <w:rPr>
          <w:i/>
          <w:sz w:val="26"/>
        </w:rPr>
        <w:t xml:space="preserve">December 2015 Order </w:t>
      </w:r>
      <w:r w:rsidR="001B33EA" w:rsidRPr="001B33EA">
        <w:rPr>
          <w:sz w:val="26"/>
        </w:rPr>
        <w:t xml:space="preserve">at 51.  </w:t>
      </w:r>
      <w:r w:rsidR="003810EB">
        <w:rPr>
          <w:sz w:val="26"/>
        </w:rPr>
        <w:t>W</w:t>
      </w:r>
      <w:r w:rsidR="00B1458D">
        <w:rPr>
          <w:sz w:val="26"/>
        </w:rPr>
        <w:t xml:space="preserve">e did not accept the </w:t>
      </w:r>
      <w:r w:rsidR="001B33EA" w:rsidRPr="001B33EA">
        <w:rPr>
          <w:sz w:val="26"/>
        </w:rPr>
        <w:t xml:space="preserve">ALJs’ </w:t>
      </w:r>
      <w:r w:rsidR="00B1458D">
        <w:rPr>
          <w:sz w:val="26"/>
        </w:rPr>
        <w:t xml:space="preserve">finding </w:t>
      </w:r>
      <w:r w:rsidR="001B33EA" w:rsidRPr="001B33EA">
        <w:rPr>
          <w:sz w:val="26"/>
        </w:rPr>
        <w:t xml:space="preserve">that HIKO’s security was expired </w:t>
      </w:r>
      <w:r w:rsidR="00285844">
        <w:rPr>
          <w:i/>
          <w:sz w:val="26"/>
        </w:rPr>
        <w:t>at the time of the calendar year</w:t>
      </w:r>
      <w:r w:rsidR="001B33EA" w:rsidRPr="001B33EA">
        <w:rPr>
          <w:i/>
          <w:sz w:val="26"/>
        </w:rPr>
        <w:t xml:space="preserve"> 2014 violations</w:t>
      </w:r>
      <w:r w:rsidR="001B33EA" w:rsidRPr="001B33EA">
        <w:rPr>
          <w:sz w:val="26"/>
        </w:rPr>
        <w:t xml:space="preserve"> (January through April 2014)</w:t>
      </w:r>
      <w:r w:rsidR="003810EB">
        <w:rPr>
          <w:sz w:val="26"/>
        </w:rPr>
        <w:t xml:space="preserve">.  However, </w:t>
      </w:r>
      <w:r w:rsidR="001B33EA" w:rsidRPr="001B33EA">
        <w:rPr>
          <w:sz w:val="26"/>
        </w:rPr>
        <w:t>as I&amp;E had contended and we affirm</w:t>
      </w:r>
      <w:r w:rsidR="00157D0C">
        <w:rPr>
          <w:sz w:val="26"/>
        </w:rPr>
        <w:t>ed</w:t>
      </w:r>
      <w:r w:rsidR="001B33EA" w:rsidRPr="001B33EA">
        <w:rPr>
          <w:sz w:val="26"/>
        </w:rPr>
        <w:t>, at the time of the violations the Company was operating under a probationary license</w:t>
      </w:r>
      <w:r w:rsidR="00157D0C">
        <w:rPr>
          <w:sz w:val="26"/>
        </w:rPr>
        <w:t xml:space="preserve">, and </w:t>
      </w:r>
      <w:r w:rsidR="001B33EA" w:rsidRPr="001B33EA">
        <w:rPr>
          <w:sz w:val="26"/>
        </w:rPr>
        <w:t>the Company was clearly non-complian</w:t>
      </w:r>
      <w:r w:rsidR="00157D0C">
        <w:rPr>
          <w:sz w:val="26"/>
        </w:rPr>
        <w:t>t</w:t>
      </w:r>
      <w:r w:rsidR="001B33EA" w:rsidRPr="001B33EA">
        <w:rPr>
          <w:sz w:val="26"/>
        </w:rPr>
        <w:t xml:space="preserve"> for a portion of CY 2015</w:t>
      </w:r>
      <w:r w:rsidR="003810EB">
        <w:rPr>
          <w:sz w:val="26"/>
        </w:rPr>
        <w:t xml:space="preserve">, two findings that </w:t>
      </w:r>
      <w:r w:rsidR="001B33EA" w:rsidRPr="001B33EA">
        <w:rPr>
          <w:sz w:val="26"/>
        </w:rPr>
        <w:t xml:space="preserve">supported </w:t>
      </w:r>
      <w:r w:rsidR="000C2BE4">
        <w:rPr>
          <w:sz w:val="26"/>
        </w:rPr>
        <w:t xml:space="preserve">our </w:t>
      </w:r>
      <w:r w:rsidR="003810EB">
        <w:rPr>
          <w:sz w:val="26"/>
        </w:rPr>
        <w:t xml:space="preserve">at least </w:t>
      </w:r>
      <w:r w:rsidR="001B33EA" w:rsidRPr="001B33EA">
        <w:rPr>
          <w:sz w:val="26"/>
        </w:rPr>
        <w:t xml:space="preserve">maintaining the level of penalty imposed if not raising it further as </w:t>
      </w:r>
      <w:r w:rsidR="003810EB">
        <w:rPr>
          <w:sz w:val="26"/>
        </w:rPr>
        <w:t xml:space="preserve">I&amp;E </w:t>
      </w:r>
      <w:r w:rsidR="001B33EA" w:rsidRPr="001B33EA">
        <w:rPr>
          <w:sz w:val="26"/>
        </w:rPr>
        <w:t>requested.</w:t>
      </w:r>
    </w:p>
    <w:p w:rsidR="001B33EA" w:rsidRPr="001B33EA" w:rsidRDefault="001B33EA" w:rsidP="001B33EA">
      <w:pPr>
        <w:rPr>
          <w:sz w:val="26"/>
        </w:rPr>
      </w:pPr>
    </w:p>
    <w:p w:rsidR="00B93364" w:rsidRDefault="00B93364" w:rsidP="00B93364">
      <w:pPr>
        <w:rPr>
          <w:sz w:val="26"/>
        </w:rPr>
      </w:pPr>
      <w:r>
        <w:rPr>
          <w:sz w:val="26"/>
        </w:rPr>
        <w:t xml:space="preserve">Finally we respond to HIKO’s constitutional challenges.  </w:t>
      </w:r>
      <w:r w:rsidR="000C2BE4">
        <w:rPr>
          <w:sz w:val="26"/>
        </w:rPr>
        <w:t>In this Petition HIKO claims f</w:t>
      </w:r>
      <w:r w:rsidRPr="00B93364">
        <w:rPr>
          <w:sz w:val="26"/>
        </w:rPr>
        <w:t xml:space="preserve">or the first time that </w:t>
      </w:r>
      <w:r>
        <w:rPr>
          <w:sz w:val="26"/>
        </w:rPr>
        <w:t>our imposition of a</w:t>
      </w:r>
      <w:r w:rsidRPr="00B93364">
        <w:rPr>
          <w:sz w:val="26"/>
        </w:rPr>
        <w:t xml:space="preserve"> $1.8 million civil penalty </w:t>
      </w:r>
      <w:r w:rsidR="000C2BE4">
        <w:rPr>
          <w:sz w:val="26"/>
        </w:rPr>
        <w:t xml:space="preserve">amounts </w:t>
      </w:r>
      <w:r w:rsidRPr="00B93364">
        <w:rPr>
          <w:sz w:val="26"/>
        </w:rPr>
        <w:t xml:space="preserve">to a constitutional deprivation, citing </w:t>
      </w:r>
      <w:r w:rsidR="000C2BE4">
        <w:rPr>
          <w:sz w:val="26"/>
        </w:rPr>
        <w:t xml:space="preserve">the Pennsylvania Constitution, </w:t>
      </w:r>
      <w:r w:rsidRPr="00B93364">
        <w:rPr>
          <w:sz w:val="26"/>
        </w:rPr>
        <w:t>Article, Section 13</w:t>
      </w:r>
      <w:r w:rsidR="000C2BE4">
        <w:rPr>
          <w:sz w:val="26"/>
        </w:rPr>
        <w:t>, addressing bail, fines, and punishments,</w:t>
      </w:r>
      <w:r w:rsidRPr="00B93364">
        <w:rPr>
          <w:sz w:val="26"/>
        </w:rPr>
        <w:t xml:space="preserve"> and Article 5, Section 9</w:t>
      </w:r>
      <w:r w:rsidR="000C2BE4">
        <w:rPr>
          <w:sz w:val="26"/>
        </w:rPr>
        <w:t>, addressing the right of appeal.</w:t>
      </w:r>
      <w:r w:rsidR="000C2BE4">
        <w:rPr>
          <w:rStyle w:val="FootnoteReference"/>
          <w:sz w:val="26"/>
        </w:rPr>
        <w:footnoteReference w:id="8"/>
      </w:r>
      <w:r w:rsidRPr="00B93364">
        <w:rPr>
          <w:sz w:val="26"/>
        </w:rPr>
        <w:t xml:space="preserve"> </w:t>
      </w:r>
      <w:r w:rsidR="008A5248">
        <w:rPr>
          <w:sz w:val="26"/>
        </w:rPr>
        <w:t xml:space="preserve"> </w:t>
      </w:r>
      <w:r w:rsidRPr="00B93364">
        <w:rPr>
          <w:sz w:val="26"/>
        </w:rPr>
        <w:t xml:space="preserve">HIKO’s constitutional challenges </w:t>
      </w:r>
      <w:r w:rsidR="008A5248">
        <w:rPr>
          <w:sz w:val="26"/>
        </w:rPr>
        <w:t xml:space="preserve">fail </w:t>
      </w:r>
      <w:r w:rsidRPr="00B93364">
        <w:rPr>
          <w:sz w:val="26"/>
        </w:rPr>
        <w:t>on multiple grounds.</w:t>
      </w:r>
    </w:p>
    <w:p w:rsidR="00B93364" w:rsidRDefault="00B93364" w:rsidP="00B93364">
      <w:pPr>
        <w:rPr>
          <w:sz w:val="26"/>
        </w:rPr>
      </w:pPr>
    </w:p>
    <w:p w:rsidR="001D21B9" w:rsidRDefault="008A5248" w:rsidP="00B93364">
      <w:pPr>
        <w:rPr>
          <w:sz w:val="26"/>
        </w:rPr>
      </w:pPr>
      <w:r>
        <w:rPr>
          <w:sz w:val="26"/>
        </w:rPr>
        <w:t xml:space="preserve">Preliminarily we </w:t>
      </w:r>
      <w:r w:rsidR="004A3048">
        <w:rPr>
          <w:sz w:val="26"/>
        </w:rPr>
        <w:t>note</w:t>
      </w:r>
      <w:r>
        <w:rPr>
          <w:sz w:val="26"/>
        </w:rPr>
        <w:t xml:space="preserve"> that HIKO’s presentation of the issue is not timely.</w:t>
      </w:r>
      <w:r w:rsidR="001D21B9">
        <w:rPr>
          <w:rStyle w:val="FootnoteReference"/>
          <w:sz w:val="26"/>
        </w:rPr>
        <w:footnoteReference w:id="9"/>
      </w:r>
      <w:r>
        <w:rPr>
          <w:sz w:val="26"/>
        </w:rPr>
        <w:t xml:space="preserve">  </w:t>
      </w:r>
    </w:p>
    <w:p w:rsidR="00B93364" w:rsidRPr="00B93364" w:rsidRDefault="004A3048" w:rsidP="001D21B9">
      <w:pPr>
        <w:ind w:firstLine="0"/>
        <w:rPr>
          <w:sz w:val="26"/>
        </w:rPr>
      </w:pPr>
      <w:r>
        <w:rPr>
          <w:sz w:val="26"/>
        </w:rPr>
        <w:t>C</w:t>
      </w:r>
      <w:r w:rsidR="00B93364" w:rsidRPr="00B93364">
        <w:rPr>
          <w:sz w:val="26"/>
        </w:rPr>
        <w:t>onsider</w:t>
      </w:r>
      <w:r w:rsidR="0079191E">
        <w:rPr>
          <w:sz w:val="26"/>
        </w:rPr>
        <w:t>ing</w:t>
      </w:r>
      <w:r w:rsidR="00B93364" w:rsidRPr="00B93364">
        <w:rPr>
          <w:sz w:val="26"/>
        </w:rPr>
        <w:t xml:space="preserve"> </w:t>
      </w:r>
      <w:r w:rsidR="00B93364">
        <w:rPr>
          <w:sz w:val="26"/>
        </w:rPr>
        <w:t xml:space="preserve">the </w:t>
      </w:r>
      <w:r w:rsidR="008A5248">
        <w:rPr>
          <w:sz w:val="26"/>
        </w:rPr>
        <w:t>issue</w:t>
      </w:r>
      <w:r w:rsidR="00B93364">
        <w:rPr>
          <w:sz w:val="26"/>
        </w:rPr>
        <w:t xml:space="preserve"> on </w:t>
      </w:r>
      <w:r w:rsidR="00B93364" w:rsidRPr="00B93364">
        <w:rPr>
          <w:sz w:val="26"/>
        </w:rPr>
        <w:t xml:space="preserve">its merits, however, </w:t>
      </w:r>
      <w:r w:rsidR="008A5248">
        <w:rPr>
          <w:sz w:val="26"/>
        </w:rPr>
        <w:t>we find it lack</w:t>
      </w:r>
      <w:r w:rsidR="001D21B9">
        <w:rPr>
          <w:sz w:val="26"/>
        </w:rPr>
        <w:t>s</w:t>
      </w:r>
      <w:r w:rsidR="008A5248">
        <w:rPr>
          <w:sz w:val="26"/>
        </w:rPr>
        <w:t xml:space="preserve"> </w:t>
      </w:r>
      <w:r w:rsidR="001D21B9">
        <w:rPr>
          <w:sz w:val="26"/>
        </w:rPr>
        <w:t>merit</w:t>
      </w:r>
      <w:r w:rsidR="00B93364" w:rsidRPr="00B93364">
        <w:rPr>
          <w:sz w:val="26"/>
        </w:rPr>
        <w:t xml:space="preserve">.  The </w:t>
      </w:r>
      <w:r w:rsidR="0009536C">
        <w:rPr>
          <w:sz w:val="26"/>
        </w:rPr>
        <w:t xml:space="preserve">only </w:t>
      </w:r>
      <w:r w:rsidR="00B93364" w:rsidRPr="00B93364">
        <w:rPr>
          <w:sz w:val="26"/>
        </w:rPr>
        <w:t xml:space="preserve">case cited by HIKO, </w:t>
      </w:r>
      <w:r w:rsidR="00B93364" w:rsidRPr="00B93364">
        <w:rPr>
          <w:i/>
          <w:sz w:val="26"/>
        </w:rPr>
        <w:t>Eisenberg</w:t>
      </w:r>
      <w:r w:rsidR="00B93364" w:rsidRPr="00B93364">
        <w:rPr>
          <w:sz w:val="26"/>
        </w:rPr>
        <w:t xml:space="preserve">, addresses the proportionality of a fine resulting from criminal </w:t>
      </w:r>
      <w:r w:rsidR="00B93364" w:rsidRPr="00B93364">
        <w:rPr>
          <w:sz w:val="26"/>
        </w:rPr>
        <w:lastRenderedPageBreak/>
        <w:t>action.  In that case, a guilty plea to misdemeanor theft of $200 resulted in a fine of $75,000 under the terms of a statutory provision the trial court deemed non-discretionary.  This is not a criminal action and HIKO points us to no case law in which a constitutional challenged has been sustained based on the imposition of a civil penalty by a regulatory agency.</w:t>
      </w:r>
    </w:p>
    <w:p w:rsidR="00B93364" w:rsidRPr="00B93364" w:rsidRDefault="00B93364" w:rsidP="00B93364">
      <w:pPr>
        <w:rPr>
          <w:sz w:val="26"/>
        </w:rPr>
      </w:pPr>
    </w:p>
    <w:p w:rsidR="004A3048" w:rsidRDefault="00B93364" w:rsidP="00B93364">
      <w:pPr>
        <w:rPr>
          <w:sz w:val="26"/>
        </w:rPr>
      </w:pPr>
      <w:r w:rsidRPr="00B93364">
        <w:rPr>
          <w:sz w:val="26"/>
        </w:rPr>
        <w:t xml:space="preserve">More informative to our rejection of this claim, however, is the </w:t>
      </w:r>
      <w:r w:rsidRPr="00B93364">
        <w:rPr>
          <w:i/>
          <w:sz w:val="26"/>
        </w:rPr>
        <w:t xml:space="preserve">Eisenberg </w:t>
      </w:r>
      <w:r w:rsidRPr="00B93364">
        <w:rPr>
          <w:sz w:val="26"/>
        </w:rPr>
        <w:t xml:space="preserve">court’s discussion of the purpose of fines and the role of proportionality.  The court required that the fine evince “proportionality” through some analysis that requires a comparison of the amount of the fine to the gravity of the offense, acknowledging that “the difficulty is articulating a principle by which to measure excessiveness or proportionality.”  </w:t>
      </w:r>
      <w:r w:rsidR="004A3048">
        <w:rPr>
          <w:i/>
          <w:sz w:val="26"/>
        </w:rPr>
        <w:t>Eisenberg</w:t>
      </w:r>
      <w:r w:rsidRPr="00B93364">
        <w:rPr>
          <w:sz w:val="26"/>
        </w:rPr>
        <w:t xml:space="preserve">, 98 A.3d at 1280.  The court also acknowledged that “the primary purpose of a fine or a penalty is . . . to punish violators and to deter future or continued violations [and thus] the amount of the fine can be raised to whatever sum is necessary to discourage future or continued violations,” subject to any restriction imposed by the enabling statute or the Constitution.  </w:t>
      </w:r>
      <w:r w:rsidRPr="00B93364">
        <w:rPr>
          <w:i/>
          <w:sz w:val="26"/>
        </w:rPr>
        <w:t>Id.</w:t>
      </w:r>
      <w:r w:rsidRPr="00B93364">
        <w:rPr>
          <w:sz w:val="26"/>
        </w:rPr>
        <w:t xml:space="preserve">, </w:t>
      </w:r>
      <w:r w:rsidR="00C511FD">
        <w:rPr>
          <w:sz w:val="26"/>
        </w:rPr>
        <w:t xml:space="preserve">98 </w:t>
      </w:r>
      <w:r w:rsidRPr="00B93364">
        <w:rPr>
          <w:sz w:val="26"/>
        </w:rPr>
        <w:t>A</w:t>
      </w:r>
      <w:r>
        <w:rPr>
          <w:sz w:val="26"/>
        </w:rPr>
        <w:t>.</w:t>
      </w:r>
      <w:r w:rsidRPr="00B93364">
        <w:rPr>
          <w:sz w:val="26"/>
        </w:rPr>
        <w:t>3d at 1283 (citations omitted).</w:t>
      </w:r>
    </w:p>
    <w:p w:rsidR="004A3048" w:rsidRDefault="004A3048" w:rsidP="00B93364">
      <w:pPr>
        <w:rPr>
          <w:sz w:val="26"/>
        </w:rPr>
      </w:pPr>
    </w:p>
    <w:p w:rsidR="00B93364" w:rsidRDefault="00B93364" w:rsidP="00B93364">
      <w:pPr>
        <w:rPr>
          <w:sz w:val="26"/>
        </w:rPr>
      </w:pPr>
      <w:r>
        <w:rPr>
          <w:sz w:val="26"/>
        </w:rPr>
        <w:t>In finding the particular statute at issue unconstitutional, the court was influenced by the size of the fine in comparison to the crime</w:t>
      </w:r>
      <w:r w:rsidR="00705B90">
        <w:rPr>
          <w:sz w:val="26"/>
        </w:rPr>
        <w:t xml:space="preserve"> and </w:t>
      </w:r>
      <w:r>
        <w:rPr>
          <w:sz w:val="26"/>
        </w:rPr>
        <w:t xml:space="preserve">also </w:t>
      </w:r>
      <w:r w:rsidR="00705B90">
        <w:rPr>
          <w:sz w:val="26"/>
        </w:rPr>
        <w:t xml:space="preserve">by </w:t>
      </w:r>
      <w:r>
        <w:rPr>
          <w:sz w:val="26"/>
        </w:rPr>
        <w:t>the fact that the fine was mandatory</w:t>
      </w:r>
      <w:r w:rsidR="00705B90">
        <w:rPr>
          <w:sz w:val="26"/>
        </w:rPr>
        <w:t>, allowing the trial court in sentencing no</w:t>
      </w:r>
      <w:r>
        <w:rPr>
          <w:sz w:val="26"/>
        </w:rPr>
        <w:t xml:space="preserve"> discretion or ability to consider </w:t>
      </w:r>
      <w:r w:rsidR="00C511FD">
        <w:rPr>
          <w:sz w:val="26"/>
        </w:rPr>
        <w:t>specific facts or individual circumstances</w:t>
      </w:r>
      <w:r>
        <w:rPr>
          <w:sz w:val="26"/>
        </w:rPr>
        <w:t xml:space="preserve">.  As the court stated, </w:t>
      </w:r>
      <w:r w:rsidR="00C511FD">
        <w:rPr>
          <w:sz w:val="26"/>
        </w:rPr>
        <w:t>“[i]</w:t>
      </w:r>
      <w:r w:rsidRPr="00B93364">
        <w:rPr>
          <w:sz w:val="26"/>
        </w:rPr>
        <w:t>n our view, the fine here, when measured against the conduct triggering the punishment, and the lack of discretion afforded the trial court, is constitutionally excessive.</w:t>
      </w:r>
      <w:r w:rsidR="0079191E">
        <w:rPr>
          <w:sz w:val="26"/>
        </w:rPr>
        <w:t>”</w:t>
      </w:r>
      <w:r w:rsidRPr="00B93364">
        <w:rPr>
          <w:sz w:val="26"/>
        </w:rPr>
        <w:t xml:space="preserve"> </w:t>
      </w:r>
      <w:r>
        <w:rPr>
          <w:sz w:val="26"/>
        </w:rPr>
        <w:t xml:space="preserve"> </w:t>
      </w:r>
      <w:r>
        <w:rPr>
          <w:i/>
          <w:sz w:val="26"/>
        </w:rPr>
        <w:t>Id.</w:t>
      </w:r>
      <w:r w:rsidR="00C511FD">
        <w:rPr>
          <w:sz w:val="26"/>
        </w:rPr>
        <w:t>, 98 A.3d at 1285.</w:t>
      </w:r>
      <w:r w:rsidR="004A3048">
        <w:rPr>
          <w:sz w:val="26"/>
        </w:rPr>
        <w:t xml:space="preserve">  In contrast, o</w:t>
      </w:r>
      <w:r w:rsidR="00C511FD">
        <w:rPr>
          <w:sz w:val="26"/>
        </w:rPr>
        <w:t>ur review</w:t>
      </w:r>
      <w:r w:rsidR="00D67486">
        <w:rPr>
          <w:sz w:val="26"/>
        </w:rPr>
        <w:t xml:space="preserve"> of </w:t>
      </w:r>
      <w:r w:rsidR="004A3048">
        <w:rPr>
          <w:sz w:val="26"/>
        </w:rPr>
        <w:t>HIKO’s</w:t>
      </w:r>
      <w:r w:rsidR="00D67486">
        <w:rPr>
          <w:sz w:val="26"/>
        </w:rPr>
        <w:t xml:space="preserve"> violation and discernment of an appropriate civil penalty</w:t>
      </w:r>
      <w:r w:rsidR="00C511FD">
        <w:rPr>
          <w:sz w:val="26"/>
        </w:rPr>
        <w:t xml:space="preserve"> </w:t>
      </w:r>
      <w:r w:rsidR="004A3048">
        <w:rPr>
          <w:sz w:val="26"/>
        </w:rPr>
        <w:t xml:space="preserve">is a result courts have upheld </w:t>
      </w:r>
      <w:r w:rsidR="00C511FD">
        <w:rPr>
          <w:sz w:val="26"/>
        </w:rPr>
        <w:t>in recognition of the dual objectives of punishment and deterrence</w:t>
      </w:r>
      <w:r w:rsidR="004A3048">
        <w:rPr>
          <w:sz w:val="26"/>
        </w:rPr>
        <w:t xml:space="preserve"> and the fact that </w:t>
      </w:r>
      <w:r w:rsidR="00C511FD">
        <w:rPr>
          <w:sz w:val="26"/>
        </w:rPr>
        <w:t>“</w:t>
      </w:r>
      <w:r w:rsidR="00C511FD" w:rsidRPr="00C511FD">
        <w:rPr>
          <w:sz w:val="26"/>
        </w:rPr>
        <w:t>the fines were tailored, scaled, and in the strictest sense, calculated to their offenses.</w:t>
      </w:r>
      <w:r w:rsidR="00C511FD">
        <w:rPr>
          <w:sz w:val="26"/>
        </w:rPr>
        <w:t xml:space="preserve">”  </w:t>
      </w:r>
      <w:r w:rsidR="00C511FD">
        <w:rPr>
          <w:i/>
          <w:sz w:val="26"/>
        </w:rPr>
        <w:t>Id.</w:t>
      </w:r>
      <w:r w:rsidR="00C511FD">
        <w:rPr>
          <w:sz w:val="26"/>
        </w:rPr>
        <w:t xml:space="preserve">, 98 </w:t>
      </w:r>
      <w:r w:rsidR="00C511FD" w:rsidRPr="00C511FD">
        <w:rPr>
          <w:sz w:val="26"/>
        </w:rPr>
        <w:t>A.3d at</w:t>
      </w:r>
      <w:r w:rsidR="00D67486">
        <w:rPr>
          <w:sz w:val="26"/>
        </w:rPr>
        <w:t> </w:t>
      </w:r>
      <w:r w:rsidR="00C511FD" w:rsidRPr="00C511FD">
        <w:rPr>
          <w:sz w:val="26"/>
        </w:rPr>
        <w:t>128</w:t>
      </w:r>
      <w:r w:rsidR="00C511FD">
        <w:rPr>
          <w:sz w:val="26"/>
        </w:rPr>
        <w:t>7.</w:t>
      </w:r>
    </w:p>
    <w:p w:rsidR="00B93364" w:rsidRDefault="00B93364" w:rsidP="00B93364">
      <w:pPr>
        <w:rPr>
          <w:sz w:val="26"/>
        </w:rPr>
      </w:pPr>
    </w:p>
    <w:p w:rsidR="006F3E81" w:rsidRPr="004A3048" w:rsidRDefault="00C511FD" w:rsidP="00063817">
      <w:pPr>
        <w:rPr>
          <w:sz w:val="26"/>
        </w:rPr>
      </w:pPr>
      <w:r>
        <w:rPr>
          <w:sz w:val="26"/>
        </w:rPr>
        <w:lastRenderedPageBreak/>
        <w:t xml:space="preserve">Unlike the mandatory penalty imposed in </w:t>
      </w:r>
      <w:r w:rsidRPr="00C511FD">
        <w:rPr>
          <w:i/>
          <w:sz w:val="26"/>
        </w:rPr>
        <w:t>Eisenberg</w:t>
      </w:r>
      <w:r>
        <w:rPr>
          <w:sz w:val="26"/>
        </w:rPr>
        <w:t>, we exercised discretion</w:t>
      </w:r>
      <w:r w:rsidR="00947B2B">
        <w:rPr>
          <w:sz w:val="26"/>
        </w:rPr>
        <w:t xml:space="preserve"> </w:t>
      </w:r>
      <w:r w:rsidR="0009536C">
        <w:rPr>
          <w:sz w:val="26"/>
        </w:rPr>
        <w:t xml:space="preserve">based upon a careful and thorough </w:t>
      </w:r>
      <w:r>
        <w:rPr>
          <w:sz w:val="26"/>
        </w:rPr>
        <w:t xml:space="preserve">consideration of the ten express factors established in our Section 69.1201 policy statement and </w:t>
      </w:r>
      <w:r w:rsidRPr="00C511FD">
        <w:rPr>
          <w:i/>
          <w:sz w:val="26"/>
        </w:rPr>
        <w:t>Rosi</w:t>
      </w:r>
      <w:r w:rsidR="0009536C">
        <w:rPr>
          <w:i/>
          <w:sz w:val="26"/>
        </w:rPr>
        <w:t>.</w:t>
      </w:r>
      <w:r>
        <w:rPr>
          <w:sz w:val="26"/>
        </w:rPr>
        <w:t xml:space="preserve"> </w:t>
      </w:r>
      <w:r w:rsidR="0009536C">
        <w:rPr>
          <w:sz w:val="26"/>
        </w:rPr>
        <w:t xml:space="preserve"> Following that analysis, </w:t>
      </w:r>
      <w:r w:rsidR="00947B2B">
        <w:rPr>
          <w:sz w:val="26"/>
        </w:rPr>
        <w:t>we adopt</w:t>
      </w:r>
      <w:r w:rsidR="00D67486">
        <w:rPr>
          <w:sz w:val="26"/>
        </w:rPr>
        <w:t>ed</w:t>
      </w:r>
      <w:r w:rsidR="00947B2B">
        <w:rPr>
          <w:sz w:val="26"/>
        </w:rPr>
        <w:t xml:space="preserve"> </w:t>
      </w:r>
      <w:r w:rsidR="0009536C">
        <w:rPr>
          <w:sz w:val="26"/>
        </w:rPr>
        <w:t>the ALJs’ recommended pen</w:t>
      </w:r>
      <w:r>
        <w:rPr>
          <w:sz w:val="26"/>
        </w:rPr>
        <w:t>alty</w:t>
      </w:r>
      <w:r w:rsidR="0009536C">
        <w:rPr>
          <w:sz w:val="26"/>
        </w:rPr>
        <w:t xml:space="preserve">, which </w:t>
      </w:r>
      <w:r w:rsidR="00947B2B">
        <w:rPr>
          <w:sz w:val="26"/>
        </w:rPr>
        <w:t xml:space="preserve">we found was </w:t>
      </w:r>
      <w:r>
        <w:rPr>
          <w:sz w:val="26"/>
        </w:rPr>
        <w:t>tailored, scaled, and calculated to fit the offense committed</w:t>
      </w:r>
      <w:r w:rsidR="00943BEE">
        <w:rPr>
          <w:sz w:val="26"/>
        </w:rPr>
        <w:t xml:space="preserve"> and</w:t>
      </w:r>
      <w:r w:rsidR="00947B2B">
        <w:rPr>
          <w:sz w:val="26"/>
        </w:rPr>
        <w:t xml:space="preserve"> the level of </w:t>
      </w:r>
      <w:r>
        <w:rPr>
          <w:sz w:val="26"/>
        </w:rPr>
        <w:t>deterrence required</w:t>
      </w:r>
      <w:r w:rsidR="00947B2B">
        <w:rPr>
          <w:sz w:val="26"/>
        </w:rPr>
        <w:t xml:space="preserve"> and </w:t>
      </w:r>
      <w:r w:rsidR="00943BEE">
        <w:rPr>
          <w:sz w:val="26"/>
        </w:rPr>
        <w:t xml:space="preserve">was amply </w:t>
      </w:r>
      <w:r w:rsidR="00947B2B">
        <w:rPr>
          <w:sz w:val="26"/>
        </w:rPr>
        <w:t>supported by the evidence</w:t>
      </w:r>
      <w:r>
        <w:rPr>
          <w:sz w:val="26"/>
        </w:rPr>
        <w:t xml:space="preserve">.  </w:t>
      </w:r>
      <w:r w:rsidR="00D67486">
        <w:rPr>
          <w:sz w:val="26"/>
        </w:rPr>
        <w:t xml:space="preserve">Moreover, as the ALJs </w:t>
      </w:r>
      <w:r w:rsidR="006F3E81">
        <w:rPr>
          <w:sz w:val="26"/>
        </w:rPr>
        <w:t>found</w:t>
      </w:r>
      <w:r w:rsidR="00D67486">
        <w:rPr>
          <w:sz w:val="26"/>
        </w:rPr>
        <w:t>, the fine of $125 per violation, in lieu of the maximum $1,000</w:t>
      </w:r>
      <w:r w:rsidR="004A3048">
        <w:rPr>
          <w:sz w:val="26"/>
        </w:rPr>
        <w:t>,</w:t>
      </w:r>
      <w:r w:rsidR="00D67486">
        <w:rPr>
          <w:sz w:val="26"/>
        </w:rPr>
        <w:t xml:space="preserve"> </w:t>
      </w:r>
      <w:r w:rsidR="006F3E81">
        <w:rPr>
          <w:sz w:val="26"/>
        </w:rPr>
        <w:t>approximated</w:t>
      </w:r>
      <w:r w:rsidR="00D67486">
        <w:rPr>
          <w:sz w:val="26"/>
        </w:rPr>
        <w:t xml:space="preserve"> </w:t>
      </w:r>
      <w:r w:rsidR="006F3E81">
        <w:rPr>
          <w:sz w:val="26"/>
        </w:rPr>
        <w:t>t</w:t>
      </w:r>
      <w:r w:rsidR="00D67486">
        <w:rPr>
          <w:sz w:val="26"/>
        </w:rPr>
        <w:t xml:space="preserve">he </w:t>
      </w:r>
      <w:r w:rsidR="006F3E81">
        <w:rPr>
          <w:sz w:val="26"/>
        </w:rPr>
        <w:t xml:space="preserve">average overcharge of $124, rendering the penalty </w:t>
      </w:r>
      <w:r w:rsidR="006F3E81" w:rsidRPr="006F3E81">
        <w:rPr>
          <w:sz w:val="26"/>
        </w:rPr>
        <w:t xml:space="preserve">comparable to the overbillings.  While comparability </w:t>
      </w:r>
      <w:r w:rsidR="006F3E81">
        <w:rPr>
          <w:sz w:val="26"/>
        </w:rPr>
        <w:t xml:space="preserve">is not one of the ten factors we specifically consider and does not alone </w:t>
      </w:r>
      <w:r w:rsidR="006F3E81" w:rsidRPr="006F3E81">
        <w:rPr>
          <w:sz w:val="26"/>
        </w:rPr>
        <w:t xml:space="preserve">justify the $125 as an appropriate </w:t>
      </w:r>
      <w:r w:rsidR="006F3E81">
        <w:rPr>
          <w:sz w:val="26"/>
        </w:rPr>
        <w:t>penalty per violation</w:t>
      </w:r>
      <w:r w:rsidR="006F3E81" w:rsidRPr="006F3E81">
        <w:rPr>
          <w:sz w:val="26"/>
        </w:rPr>
        <w:t>, we f</w:t>
      </w:r>
      <w:r w:rsidR="006F3E81">
        <w:rPr>
          <w:sz w:val="26"/>
        </w:rPr>
        <w:t>ound “</w:t>
      </w:r>
      <w:r w:rsidR="006F3E81" w:rsidRPr="006F3E81">
        <w:rPr>
          <w:sz w:val="26"/>
        </w:rPr>
        <w:t>the correlation between the two to temper HIKO’s claim that the determination is too high.</w:t>
      </w:r>
      <w:r w:rsidR="006F3E81">
        <w:rPr>
          <w:sz w:val="26"/>
        </w:rPr>
        <w:t xml:space="preserve">”  </w:t>
      </w:r>
      <w:r w:rsidR="006F3E81">
        <w:rPr>
          <w:i/>
          <w:sz w:val="26"/>
        </w:rPr>
        <w:t xml:space="preserve">December 2015 Order </w:t>
      </w:r>
      <w:r w:rsidR="006F3E81">
        <w:rPr>
          <w:sz w:val="26"/>
        </w:rPr>
        <w:t>at 48.</w:t>
      </w:r>
      <w:r w:rsidR="006F3E81" w:rsidRPr="006F3E81">
        <w:rPr>
          <w:sz w:val="26"/>
        </w:rPr>
        <w:t xml:space="preserve">  </w:t>
      </w:r>
      <w:r w:rsidR="004A3048">
        <w:rPr>
          <w:sz w:val="26"/>
        </w:rPr>
        <w:t xml:space="preserve">The proportionality lacking in </w:t>
      </w:r>
      <w:r w:rsidR="004A3048">
        <w:rPr>
          <w:i/>
          <w:sz w:val="26"/>
        </w:rPr>
        <w:t>Eisenberg</w:t>
      </w:r>
      <w:r w:rsidR="004A3048">
        <w:rPr>
          <w:sz w:val="26"/>
        </w:rPr>
        <w:t xml:space="preserve"> is satisfied here.</w:t>
      </w:r>
    </w:p>
    <w:p w:rsidR="006F3E81" w:rsidRDefault="006F3E81" w:rsidP="00063817">
      <w:pPr>
        <w:rPr>
          <w:sz w:val="26"/>
        </w:rPr>
      </w:pPr>
    </w:p>
    <w:p w:rsidR="00B93364" w:rsidRPr="00110D56" w:rsidRDefault="00A6104E" w:rsidP="00063817">
      <w:pPr>
        <w:rPr>
          <w:sz w:val="26"/>
        </w:rPr>
      </w:pPr>
      <w:r>
        <w:rPr>
          <w:sz w:val="26"/>
        </w:rPr>
        <w:t xml:space="preserve">In response to HIKO’s constitutional </w:t>
      </w:r>
      <w:r w:rsidR="004A3048">
        <w:rPr>
          <w:sz w:val="26"/>
        </w:rPr>
        <w:t xml:space="preserve">claim to the right to litigate, </w:t>
      </w:r>
      <w:r w:rsidR="001B33EA">
        <w:rPr>
          <w:sz w:val="26"/>
        </w:rPr>
        <w:t xml:space="preserve">HIKO was not punished for not settling. </w:t>
      </w:r>
      <w:r w:rsidR="00530DB9">
        <w:rPr>
          <w:sz w:val="26"/>
        </w:rPr>
        <w:t xml:space="preserve">No party </w:t>
      </w:r>
      <w:r w:rsidR="001B33EA">
        <w:rPr>
          <w:sz w:val="26"/>
        </w:rPr>
        <w:t xml:space="preserve">before this Commission </w:t>
      </w:r>
      <w:r w:rsidR="00530DB9">
        <w:rPr>
          <w:sz w:val="26"/>
        </w:rPr>
        <w:t>is ever obliged to settle</w:t>
      </w:r>
      <w:r>
        <w:rPr>
          <w:sz w:val="26"/>
        </w:rPr>
        <w:t xml:space="preserve">.  Every </w:t>
      </w:r>
      <w:r w:rsidR="001B33EA">
        <w:rPr>
          <w:sz w:val="26"/>
        </w:rPr>
        <w:t>party</w:t>
      </w:r>
      <w:r>
        <w:rPr>
          <w:sz w:val="26"/>
        </w:rPr>
        <w:t>, however,</w:t>
      </w:r>
      <w:r w:rsidR="001B33EA">
        <w:rPr>
          <w:sz w:val="26"/>
        </w:rPr>
        <w:t xml:space="preserve"> is bound by the business decisions it makes.  </w:t>
      </w:r>
      <w:r w:rsidR="00A54B91">
        <w:rPr>
          <w:sz w:val="26"/>
        </w:rPr>
        <w:t xml:space="preserve">HIKO’s </w:t>
      </w:r>
      <w:r w:rsidR="001B33EA">
        <w:rPr>
          <w:sz w:val="26"/>
        </w:rPr>
        <w:t>continu</w:t>
      </w:r>
      <w:r w:rsidR="004A3048">
        <w:rPr>
          <w:sz w:val="26"/>
        </w:rPr>
        <w:t>ing</w:t>
      </w:r>
      <w:r w:rsidR="001B33EA">
        <w:rPr>
          <w:sz w:val="26"/>
        </w:rPr>
        <w:t xml:space="preserve"> argument</w:t>
      </w:r>
      <w:r w:rsidR="004A3048">
        <w:rPr>
          <w:sz w:val="26"/>
        </w:rPr>
        <w:t>s demanding a low or no</w:t>
      </w:r>
      <w:r w:rsidR="00A54B91">
        <w:rPr>
          <w:sz w:val="26"/>
        </w:rPr>
        <w:t xml:space="preserve"> </w:t>
      </w:r>
      <w:r w:rsidR="001B33EA">
        <w:rPr>
          <w:sz w:val="26"/>
        </w:rPr>
        <w:t>pen</w:t>
      </w:r>
      <w:r w:rsidR="00A54B91">
        <w:rPr>
          <w:sz w:val="26"/>
        </w:rPr>
        <w:t>alty evidence</w:t>
      </w:r>
      <w:r w:rsidR="001B33EA">
        <w:rPr>
          <w:sz w:val="26"/>
        </w:rPr>
        <w:t>s</w:t>
      </w:r>
      <w:r w:rsidR="004A3048">
        <w:rPr>
          <w:sz w:val="26"/>
        </w:rPr>
        <w:t xml:space="preserve"> the Company’s continued </w:t>
      </w:r>
      <w:r w:rsidR="00A54B91">
        <w:rPr>
          <w:sz w:val="26"/>
        </w:rPr>
        <w:t xml:space="preserve">failure to grasp the severity of its </w:t>
      </w:r>
      <w:r w:rsidR="001B33EA">
        <w:rPr>
          <w:sz w:val="26"/>
        </w:rPr>
        <w:t xml:space="preserve">actions. </w:t>
      </w:r>
      <w:r w:rsidR="00A54B91">
        <w:rPr>
          <w:sz w:val="26"/>
        </w:rPr>
        <w:t xml:space="preserve"> The Company’s</w:t>
      </w:r>
      <w:r w:rsidR="00943BEE">
        <w:rPr>
          <w:sz w:val="26"/>
        </w:rPr>
        <w:t xml:space="preserve"> </w:t>
      </w:r>
      <w:r w:rsidR="00947B2B">
        <w:rPr>
          <w:sz w:val="26"/>
        </w:rPr>
        <w:t>constitutional challenges are not persuasive.</w:t>
      </w:r>
    </w:p>
    <w:p w:rsidR="00063817" w:rsidRDefault="00063817" w:rsidP="00EA2A9A">
      <w:pPr>
        <w:rPr>
          <w:sz w:val="26"/>
        </w:rPr>
      </w:pPr>
    </w:p>
    <w:p w:rsidR="0071277B" w:rsidRDefault="004A3048" w:rsidP="00EA2A9A">
      <w:pPr>
        <w:rPr>
          <w:sz w:val="26"/>
        </w:rPr>
      </w:pPr>
      <w:r>
        <w:rPr>
          <w:sz w:val="26"/>
        </w:rPr>
        <w:t>In con</w:t>
      </w:r>
      <w:r w:rsidR="00705B90">
        <w:rPr>
          <w:sz w:val="26"/>
        </w:rPr>
        <w:t>cluding</w:t>
      </w:r>
      <w:r>
        <w:rPr>
          <w:sz w:val="26"/>
        </w:rPr>
        <w:t xml:space="preserve"> our review of the first criterion of </w:t>
      </w:r>
      <w:r>
        <w:rPr>
          <w:i/>
          <w:sz w:val="26"/>
        </w:rPr>
        <w:t xml:space="preserve">Process </w:t>
      </w:r>
      <w:r w:rsidRPr="004A3048">
        <w:rPr>
          <w:i/>
          <w:sz w:val="26"/>
        </w:rPr>
        <w:t>Gas</w:t>
      </w:r>
      <w:r>
        <w:rPr>
          <w:sz w:val="26"/>
        </w:rPr>
        <w:t>, w</w:t>
      </w:r>
      <w:r w:rsidR="004328B2" w:rsidRPr="004A3048">
        <w:rPr>
          <w:sz w:val="26"/>
        </w:rPr>
        <w:t>e</w:t>
      </w:r>
      <w:r w:rsidR="004328B2">
        <w:rPr>
          <w:sz w:val="26"/>
        </w:rPr>
        <w:t xml:space="preserve"> recognize the Supreme Court’s comment</w:t>
      </w:r>
      <w:r>
        <w:rPr>
          <w:sz w:val="26"/>
        </w:rPr>
        <w:t>ary</w:t>
      </w:r>
      <w:r w:rsidR="004328B2">
        <w:rPr>
          <w:sz w:val="26"/>
        </w:rPr>
        <w:t xml:space="preserve"> that with respect to a petitioner’s </w:t>
      </w:r>
      <w:r w:rsidR="00705B90">
        <w:rPr>
          <w:sz w:val="26"/>
        </w:rPr>
        <w:t xml:space="preserve">arguments of potential </w:t>
      </w:r>
      <w:r>
        <w:rPr>
          <w:sz w:val="26"/>
        </w:rPr>
        <w:t xml:space="preserve">success on the merits </w:t>
      </w:r>
      <w:r w:rsidR="004328B2">
        <w:rPr>
          <w:sz w:val="26"/>
        </w:rPr>
        <w:t xml:space="preserve">argument, we may exercise discretion to grant a stay where the petitioner has made a substantial case on the merits even if we disagreed with the result advocated.   </w:t>
      </w:r>
      <w:r w:rsidR="00157D0C">
        <w:rPr>
          <w:sz w:val="26"/>
        </w:rPr>
        <w:t xml:space="preserve">In denying HIKO’s Petition, however, it is </w:t>
      </w:r>
      <w:r w:rsidR="00A54B91">
        <w:rPr>
          <w:sz w:val="26"/>
        </w:rPr>
        <w:t xml:space="preserve">not a matter of us disagreeing with the result HIKO advocates.  </w:t>
      </w:r>
      <w:r w:rsidR="00705B90">
        <w:rPr>
          <w:sz w:val="26"/>
        </w:rPr>
        <w:t xml:space="preserve">Rather, we find that HIKO made no showing of a likelihood of success on the merits on appeal.  </w:t>
      </w:r>
      <w:r w:rsidR="00A54B91" w:rsidRPr="00A54B91">
        <w:rPr>
          <w:sz w:val="26"/>
        </w:rPr>
        <w:t>HIKO was n</w:t>
      </w:r>
      <w:r w:rsidR="00157D0C">
        <w:rPr>
          <w:sz w:val="26"/>
        </w:rPr>
        <w:t xml:space="preserve">ot treated differently from past transgressors; our penalty is in line with penalties imposed in other cases involving intentional wrongdoing; the penalty </w:t>
      </w:r>
      <w:r w:rsidR="00EB2C2C" w:rsidRPr="00EB2C2C">
        <w:rPr>
          <w:sz w:val="26"/>
        </w:rPr>
        <w:t xml:space="preserve">on the facts of this record </w:t>
      </w:r>
      <w:r w:rsidR="00157D0C">
        <w:rPr>
          <w:sz w:val="26"/>
        </w:rPr>
        <w:t xml:space="preserve">is neither </w:t>
      </w:r>
      <w:r w:rsidR="00157D0C">
        <w:rPr>
          <w:sz w:val="26"/>
        </w:rPr>
        <w:lastRenderedPageBreak/>
        <w:t xml:space="preserve">unprecedented nor </w:t>
      </w:r>
      <w:r w:rsidR="00A54B91" w:rsidRPr="00A54B91">
        <w:rPr>
          <w:sz w:val="26"/>
        </w:rPr>
        <w:t>excessive</w:t>
      </w:r>
      <w:r w:rsidR="00157D0C">
        <w:rPr>
          <w:sz w:val="26"/>
        </w:rPr>
        <w:t xml:space="preserve">; and HIKO suffered no constitutional infringements.  </w:t>
      </w:r>
      <w:r w:rsidR="00A54B91">
        <w:rPr>
          <w:sz w:val="26"/>
        </w:rPr>
        <w:t xml:space="preserve">Rather, HIKO appears to </w:t>
      </w:r>
      <w:r w:rsidR="00A54B91" w:rsidRPr="00A54B91">
        <w:rPr>
          <w:sz w:val="26"/>
        </w:rPr>
        <w:t xml:space="preserve">have seriously underestimated and continues to understate both the gravity of its conduct and its exposure to penalties under Section 3301 of the Code.  </w:t>
      </w:r>
      <w:r w:rsidR="00705B90">
        <w:rPr>
          <w:sz w:val="26"/>
        </w:rPr>
        <w:t>T</w:t>
      </w:r>
      <w:r w:rsidR="00501045">
        <w:rPr>
          <w:sz w:val="26"/>
        </w:rPr>
        <w:t xml:space="preserve">hus </w:t>
      </w:r>
      <w:r w:rsidR="0071277B">
        <w:rPr>
          <w:sz w:val="26"/>
        </w:rPr>
        <w:t xml:space="preserve">we find that </w:t>
      </w:r>
      <w:r w:rsidR="0080011C">
        <w:rPr>
          <w:sz w:val="26"/>
        </w:rPr>
        <w:t>HIKO</w:t>
      </w:r>
      <w:r w:rsidR="0071277B">
        <w:rPr>
          <w:sz w:val="26"/>
        </w:rPr>
        <w:t xml:space="preserve"> has failed to satisfy the first criterion.</w:t>
      </w:r>
    </w:p>
    <w:p w:rsidR="0071277B" w:rsidRDefault="0071277B" w:rsidP="00EA2A9A">
      <w:pPr>
        <w:rPr>
          <w:sz w:val="26"/>
        </w:rPr>
      </w:pPr>
    </w:p>
    <w:p w:rsidR="0071277B" w:rsidRPr="00BB0E0F" w:rsidRDefault="00157D0C" w:rsidP="00EA2A9A">
      <w:pPr>
        <w:rPr>
          <w:sz w:val="26"/>
        </w:rPr>
      </w:pPr>
      <w:r>
        <w:rPr>
          <w:sz w:val="26"/>
        </w:rPr>
        <w:t xml:space="preserve">In addressing </w:t>
      </w:r>
      <w:r w:rsidR="00EB2C2C">
        <w:rPr>
          <w:sz w:val="26"/>
        </w:rPr>
        <w:t xml:space="preserve">irreparable harm, </w:t>
      </w:r>
      <w:r>
        <w:rPr>
          <w:sz w:val="26"/>
        </w:rPr>
        <w:t xml:space="preserve">the </w:t>
      </w:r>
      <w:r w:rsidR="0071277B">
        <w:rPr>
          <w:sz w:val="26"/>
        </w:rPr>
        <w:t>second criterion</w:t>
      </w:r>
      <w:r>
        <w:rPr>
          <w:sz w:val="26"/>
        </w:rPr>
        <w:t xml:space="preserve"> under </w:t>
      </w:r>
      <w:r>
        <w:rPr>
          <w:i/>
          <w:sz w:val="26"/>
        </w:rPr>
        <w:t>Process Gas</w:t>
      </w:r>
      <w:r w:rsidR="008167B2">
        <w:rPr>
          <w:sz w:val="26"/>
        </w:rPr>
        <w:t xml:space="preserve">, HIKO’s </w:t>
      </w:r>
      <w:r w:rsidR="009D2250">
        <w:rPr>
          <w:sz w:val="26"/>
        </w:rPr>
        <w:t>concerns</w:t>
      </w:r>
      <w:r w:rsidR="007F14AB">
        <w:rPr>
          <w:sz w:val="26"/>
        </w:rPr>
        <w:t xml:space="preserve"> </w:t>
      </w:r>
      <w:r w:rsidR="008167B2">
        <w:rPr>
          <w:sz w:val="26"/>
        </w:rPr>
        <w:t>a</w:t>
      </w:r>
      <w:r>
        <w:rPr>
          <w:sz w:val="26"/>
        </w:rPr>
        <w:t xml:space="preserve">ppear to be </w:t>
      </w:r>
      <w:r w:rsidR="008167B2">
        <w:rPr>
          <w:sz w:val="26"/>
        </w:rPr>
        <w:t xml:space="preserve">strictly financial.  </w:t>
      </w:r>
      <w:r w:rsidR="007F14AB">
        <w:rPr>
          <w:sz w:val="26"/>
        </w:rPr>
        <w:t>It is well</w:t>
      </w:r>
      <w:r w:rsidR="008167B2">
        <w:rPr>
          <w:sz w:val="26"/>
        </w:rPr>
        <w:t>-</w:t>
      </w:r>
      <w:r w:rsidR="007F14AB">
        <w:rPr>
          <w:sz w:val="26"/>
        </w:rPr>
        <w:t xml:space="preserve">settled that financial harm is not </w:t>
      </w:r>
      <w:r w:rsidR="009D2250">
        <w:rPr>
          <w:sz w:val="26"/>
        </w:rPr>
        <w:t xml:space="preserve">considered </w:t>
      </w:r>
      <w:r w:rsidR="007F14AB">
        <w:rPr>
          <w:sz w:val="26"/>
        </w:rPr>
        <w:t>irreparable.</w:t>
      </w:r>
      <w:r w:rsidR="009D2250">
        <w:rPr>
          <w:rStyle w:val="FootnoteReference"/>
          <w:sz w:val="26"/>
        </w:rPr>
        <w:footnoteReference w:id="10"/>
      </w:r>
      <w:r w:rsidR="007F14AB">
        <w:rPr>
          <w:sz w:val="26"/>
        </w:rPr>
        <w:t xml:space="preserve">  </w:t>
      </w:r>
      <w:r w:rsidR="008167B2">
        <w:rPr>
          <w:sz w:val="26"/>
        </w:rPr>
        <w:t xml:space="preserve">Even </w:t>
      </w:r>
      <w:r w:rsidR="00EB2C2C">
        <w:rPr>
          <w:sz w:val="26"/>
        </w:rPr>
        <w:t xml:space="preserve">to </w:t>
      </w:r>
      <w:r w:rsidR="00705B90">
        <w:rPr>
          <w:sz w:val="26"/>
        </w:rPr>
        <w:t xml:space="preserve">allow us to </w:t>
      </w:r>
      <w:r w:rsidR="008167B2">
        <w:rPr>
          <w:sz w:val="26"/>
        </w:rPr>
        <w:t>consider economic impact, however, HIKO presents little factual information</w:t>
      </w:r>
      <w:r w:rsidR="00EB2C2C">
        <w:rPr>
          <w:sz w:val="26"/>
        </w:rPr>
        <w:t>.  Thus</w:t>
      </w:r>
      <w:r>
        <w:rPr>
          <w:sz w:val="26"/>
        </w:rPr>
        <w:t xml:space="preserve">, we </w:t>
      </w:r>
      <w:r w:rsidR="00BB0E0F">
        <w:rPr>
          <w:sz w:val="26"/>
        </w:rPr>
        <w:t>agree with I&amp;E that HIKO’s claims of economic harm are speculative</w:t>
      </w:r>
      <w:r w:rsidR="008167B2">
        <w:rPr>
          <w:sz w:val="26"/>
        </w:rPr>
        <w:t xml:space="preserve">.  </w:t>
      </w:r>
      <w:r w:rsidR="008167B2" w:rsidRPr="008167B2">
        <w:rPr>
          <w:sz w:val="26"/>
        </w:rPr>
        <w:t xml:space="preserve">HIKO constructs a conditional argument </w:t>
      </w:r>
      <w:r w:rsidR="00EB2C2C">
        <w:rPr>
          <w:sz w:val="26"/>
        </w:rPr>
        <w:t>void of</w:t>
      </w:r>
      <w:r w:rsidR="008167B2" w:rsidRPr="008167B2">
        <w:rPr>
          <w:sz w:val="26"/>
        </w:rPr>
        <w:t xml:space="preserve"> facts.  Statements </w:t>
      </w:r>
      <w:r w:rsidR="00EB2C2C">
        <w:rPr>
          <w:sz w:val="26"/>
        </w:rPr>
        <w:t xml:space="preserve">that </w:t>
      </w:r>
      <w:r w:rsidR="008167B2" w:rsidRPr="008167B2">
        <w:rPr>
          <w:sz w:val="26"/>
        </w:rPr>
        <w:t xml:space="preserve">the financial burden is “massive” </w:t>
      </w:r>
      <w:r w:rsidR="00EB2C2C">
        <w:rPr>
          <w:sz w:val="26"/>
        </w:rPr>
        <w:t>and</w:t>
      </w:r>
      <w:r w:rsidR="008167B2" w:rsidRPr="008167B2">
        <w:rPr>
          <w:sz w:val="26"/>
        </w:rPr>
        <w:t xml:space="preserve"> “could ultimately impair” </w:t>
      </w:r>
      <w:r w:rsidR="00BB0E0F">
        <w:rPr>
          <w:sz w:val="26"/>
        </w:rPr>
        <w:t xml:space="preserve">the Company’s </w:t>
      </w:r>
      <w:r w:rsidR="008167B2" w:rsidRPr="008167B2">
        <w:rPr>
          <w:sz w:val="26"/>
        </w:rPr>
        <w:t>ability to serve customers</w:t>
      </w:r>
      <w:r w:rsidR="00BB0E0F">
        <w:rPr>
          <w:sz w:val="26"/>
        </w:rPr>
        <w:t>, and</w:t>
      </w:r>
      <w:r w:rsidR="00EB2C2C">
        <w:rPr>
          <w:sz w:val="26"/>
        </w:rPr>
        <w:t xml:space="preserve"> that</w:t>
      </w:r>
      <w:r w:rsidR="00BB0E0F">
        <w:rPr>
          <w:sz w:val="26"/>
        </w:rPr>
        <w:t xml:space="preserve"> </w:t>
      </w:r>
      <w:r w:rsidR="00E43707">
        <w:rPr>
          <w:sz w:val="26"/>
        </w:rPr>
        <w:t xml:space="preserve">the </w:t>
      </w:r>
      <w:r w:rsidR="00BB0E0F">
        <w:rPr>
          <w:sz w:val="26"/>
        </w:rPr>
        <w:t xml:space="preserve">penalty “will bring liquidity issues that could threaten the Company’s survival,” provide </w:t>
      </w:r>
      <w:r w:rsidR="00EB2C2C">
        <w:rPr>
          <w:sz w:val="26"/>
        </w:rPr>
        <w:t>no</w:t>
      </w:r>
      <w:r w:rsidR="008167B2" w:rsidRPr="008167B2">
        <w:rPr>
          <w:sz w:val="26"/>
        </w:rPr>
        <w:t xml:space="preserve"> </w:t>
      </w:r>
      <w:r w:rsidR="00BB0E0F">
        <w:rPr>
          <w:sz w:val="26"/>
        </w:rPr>
        <w:t xml:space="preserve">information </w:t>
      </w:r>
      <w:r w:rsidR="00EB2C2C">
        <w:rPr>
          <w:sz w:val="26"/>
        </w:rPr>
        <w:t>about</w:t>
      </w:r>
      <w:r w:rsidR="008167B2" w:rsidRPr="008167B2">
        <w:rPr>
          <w:sz w:val="26"/>
        </w:rPr>
        <w:t xml:space="preserve"> the actual financial impact on HIKO.  </w:t>
      </w:r>
      <w:r w:rsidR="00EB2C2C" w:rsidRPr="00EB2C2C">
        <w:rPr>
          <w:sz w:val="26"/>
        </w:rPr>
        <w:t>Petition at 8-9</w:t>
      </w:r>
      <w:r w:rsidR="00EB2C2C">
        <w:rPr>
          <w:sz w:val="26"/>
        </w:rPr>
        <w:t xml:space="preserve">.  </w:t>
      </w:r>
      <w:r w:rsidR="008167B2" w:rsidRPr="008167B2">
        <w:rPr>
          <w:sz w:val="26"/>
        </w:rPr>
        <w:t>W</w:t>
      </w:r>
      <w:r w:rsidR="00EB2C2C">
        <w:rPr>
          <w:sz w:val="26"/>
        </w:rPr>
        <w:t>e are also mindful that the</w:t>
      </w:r>
      <w:r w:rsidR="008167B2" w:rsidRPr="008167B2">
        <w:rPr>
          <w:sz w:val="26"/>
        </w:rPr>
        <w:t xml:space="preserve"> $1.8 million </w:t>
      </w:r>
      <w:r w:rsidR="00EB2C2C">
        <w:rPr>
          <w:sz w:val="26"/>
        </w:rPr>
        <w:t xml:space="preserve">penalty </w:t>
      </w:r>
      <w:r w:rsidR="008167B2" w:rsidRPr="008167B2">
        <w:rPr>
          <w:sz w:val="26"/>
        </w:rPr>
        <w:t xml:space="preserve">is </w:t>
      </w:r>
      <w:r w:rsidR="00EB2C2C">
        <w:rPr>
          <w:sz w:val="26"/>
        </w:rPr>
        <w:t>only 12.5</w:t>
      </w:r>
      <w:r w:rsidR="00E43707">
        <w:rPr>
          <w:sz w:val="26"/>
        </w:rPr>
        <w:t xml:space="preserve">% of the maximum I&amp;E sought and less than </w:t>
      </w:r>
      <w:r w:rsidR="008167B2" w:rsidRPr="008167B2">
        <w:rPr>
          <w:sz w:val="26"/>
        </w:rPr>
        <w:t xml:space="preserve">10% of the $20 million loan HIKO’s President </w:t>
      </w:r>
      <w:r w:rsidR="00BB0E0F">
        <w:rPr>
          <w:sz w:val="26"/>
        </w:rPr>
        <w:t xml:space="preserve">and CEO previously guaranteed with personal assets.  </w:t>
      </w:r>
      <w:r w:rsidR="00BB0E0F">
        <w:rPr>
          <w:i/>
          <w:sz w:val="26"/>
        </w:rPr>
        <w:t xml:space="preserve">See December 2015 Order </w:t>
      </w:r>
      <w:r w:rsidR="00BB0E0F">
        <w:rPr>
          <w:sz w:val="26"/>
        </w:rPr>
        <w:t xml:space="preserve">at 35.  </w:t>
      </w:r>
      <w:r w:rsidR="00BB0E0F" w:rsidRPr="00BB0E0F">
        <w:rPr>
          <w:sz w:val="26"/>
        </w:rPr>
        <w:t xml:space="preserve">Accordingly, we </w:t>
      </w:r>
      <w:r w:rsidR="00EB2C2C">
        <w:rPr>
          <w:sz w:val="26"/>
        </w:rPr>
        <w:t>find that HIKO has provided in</w:t>
      </w:r>
      <w:r w:rsidR="00E43707">
        <w:rPr>
          <w:sz w:val="26"/>
        </w:rPr>
        <w:t xml:space="preserve">adequate </w:t>
      </w:r>
      <w:r w:rsidR="00EB2C2C">
        <w:rPr>
          <w:sz w:val="26"/>
        </w:rPr>
        <w:t xml:space="preserve">information </w:t>
      </w:r>
      <w:r w:rsidR="00E43707">
        <w:rPr>
          <w:sz w:val="26"/>
        </w:rPr>
        <w:t xml:space="preserve">to </w:t>
      </w:r>
      <w:r w:rsidR="00BB0E0F" w:rsidRPr="00BB0E0F">
        <w:rPr>
          <w:sz w:val="26"/>
        </w:rPr>
        <w:t xml:space="preserve">find that in the absence of the requested relief </w:t>
      </w:r>
      <w:r w:rsidR="00EB2C2C">
        <w:rPr>
          <w:sz w:val="26"/>
        </w:rPr>
        <w:t>the Company</w:t>
      </w:r>
      <w:r w:rsidR="00BB0E0F" w:rsidRPr="00BB0E0F">
        <w:rPr>
          <w:sz w:val="26"/>
        </w:rPr>
        <w:t xml:space="preserve"> will suffer irreparable injury.</w:t>
      </w:r>
    </w:p>
    <w:p w:rsidR="009D2250" w:rsidRPr="007F14AB" w:rsidRDefault="009D2250" w:rsidP="00EA2A9A">
      <w:pPr>
        <w:rPr>
          <w:sz w:val="26"/>
        </w:rPr>
      </w:pPr>
    </w:p>
    <w:p w:rsidR="00227CFC" w:rsidRDefault="00705B90" w:rsidP="00134070">
      <w:pPr>
        <w:rPr>
          <w:sz w:val="26"/>
        </w:rPr>
      </w:pPr>
      <w:r>
        <w:rPr>
          <w:sz w:val="26"/>
        </w:rPr>
        <w:t xml:space="preserve">We also find that HIKO has failed to make a strong showing that </w:t>
      </w:r>
      <w:r w:rsidR="00A63052">
        <w:rPr>
          <w:sz w:val="26"/>
        </w:rPr>
        <w:t>the</w:t>
      </w:r>
      <w:r w:rsidR="00B50B66">
        <w:rPr>
          <w:sz w:val="26"/>
        </w:rPr>
        <w:t xml:space="preserve"> third </w:t>
      </w:r>
      <w:r w:rsidR="00F946A3">
        <w:rPr>
          <w:sz w:val="26"/>
        </w:rPr>
        <w:t>and fourth criteria</w:t>
      </w:r>
      <w:r w:rsidR="00A63052">
        <w:rPr>
          <w:sz w:val="26"/>
        </w:rPr>
        <w:t xml:space="preserve"> under </w:t>
      </w:r>
      <w:r w:rsidR="00A63052">
        <w:rPr>
          <w:i/>
          <w:sz w:val="26"/>
        </w:rPr>
        <w:t>Process Gas</w:t>
      </w:r>
      <w:r w:rsidR="00B50B66">
        <w:rPr>
          <w:sz w:val="26"/>
        </w:rPr>
        <w:t xml:space="preserve">, </w:t>
      </w:r>
      <w:r w:rsidR="00BB0E0F">
        <w:rPr>
          <w:sz w:val="26"/>
        </w:rPr>
        <w:t xml:space="preserve">substantial harm on other interested parties and an adverse effect on the public interest, </w:t>
      </w:r>
      <w:r w:rsidR="00246749">
        <w:rPr>
          <w:sz w:val="26"/>
        </w:rPr>
        <w:t>favor our grant of interim relief.  W</w:t>
      </w:r>
      <w:r w:rsidR="00BB0E0F">
        <w:rPr>
          <w:sz w:val="26"/>
        </w:rPr>
        <w:t xml:space="preserve">e agree </w:t>
      </w:r>
      <w:r w:rsidR="00E43707">
        <w:rPr>
          <w:sz w:val="26"/>
        </w:rPr>
        <w:t xml:space="preserve">with I&amp;E </w:t>
      </w:r>
      <w:r w:rsidR="00BB0E0F">
        <w:rPr>
          <w:sz w:val="26"/>
        </w:rPr>
        <w:t>that issuance of a stay</w:t>
      </w:r>
      <w:r w:rsidR="005B4B53">
        <w:rPr>
          <w:sz w:val="26"/>
        </w:rPr>
        <w:t>,</w:t>
      </w:r>
      <w:r w:rsidR="00BB0E0F">
        <w:rPr>
          <w:sz w:val="26"/>
        </w:rPr>
        <w:t xml:space="preserve"> </w:t>
      </w:r>
      <w:r w:rsidR="007921F8">
        <w:rPr>
          <w:sz w:val="26"/>
        </w:rPr>
        <w:t xml:space="preserve">on this record and </w:t>
      </w:r>
      <w:r w:rsidR="005B4B53">
        <w:rPr>
          <w:sz w:val="26"/>
        </w:rPr>
        <w:t xml:space="preserve">in consideration of </w:t>
      </w:r>
      <w:r w:rsidR="007921F8">
        <w:rPr>
          <w:sz w:val="26"/>
        </w:rPr>
        <w:t>the showing made by HIKO in its Petition</w:t>
      </w:r>
      <w:r w:rsidR="005B4B53">
        <w:rPr>
          <w:sz w:val="26"/>
        </w:rPr>
        <w:t>,</w:t>
      </w:r>
      <w:r w:rsidR="007921F8">
        <w:rPr>
          <w:sz w:val="26"/>
        </w:rPr>
        <w:t xml:space="preserve"> </w:t>
      </w:r>
      <w:r w:rsidR="00BB0E0F">
        <w:rPr>
          <w:sz w:val="26"/>
        </w:rPr>
        <w:t xml:space="preserve">degrades our </w:t>
      </w:r>
      <w:r w:rsidR="005B4B53">
        <w:rPr>
          <w:sz w:val="26"/>
        </w:rPr>
        <w:t xml:space="preserve">ability to effectively regulate </w:t>
      </w:r>
      <w:r w:rsidR="00BB0E0F">
        <w:rPr>
          <w:sz w:val="26"/>
        </w:rPr>
        <w:t xml:space="preserve">Pennsylvania’s retail electric </w:t>
      </w:r>
      <w:r w:rsidR="00BB0E0F">
        <w:rPr>
          <w:sz w:val="26"/>
        </w:rPr>
        <w:lastRenderedPageBreak/>
        <w:t xml:space="preserve">market.  As </w:t>
      </w:r>
      <w:r w:rsidR="00E43707">
        <w:rPr>
          <w:sz w:val="26"/>
        </w:rPr>
        <w:t xml:space="preserve">we have discussed throughout this opinion and our </w:t>
      </w:r>
      <w:r w:rsidR="00E43707">
        <w:rPr>
          <w:i/>
          <w:sz w:val="26"/>
        </w:rPr>
        <w:t>December 2015 Order</w:t>
      </w:r>
      <w:r w:rsidR="00E43707">
        <w:rPr>
          <w:sz w:val="26"/>
        </w:rPr>
        <w:t xml:space="preserve">, </w:t>
      </w:r>
      <w:r w:rsidR="00BB0E0F">
        <w:rPr>
          <w:sz w:val="26"/>
        </w:rPr>
        <w:t>the imposition of a penalty here was constructed first and foremost in consideration of the breadth and gravity of HIKO’s violations.</w:t>
      </w:r>
      <w:r w:rsidR="00E43707">
        <w:rPr>
          <w:sz w:val="26"/>
        </w:rPr>
        <w:t xml:space="preserve">  However, the impact of HIKO’s actions on the </w:t>
      </w:r>
      <w:r w:rsidR="00EB2C2C">
        <w:rPr>
          <w:sz w:val="26"/>
        </w:rPr>
        <w:t xml:space="preserve">continued viability </w:t>
      </w:r>
      <w:r w:rsidR="00E43707">
        <w:rPr>
          <w:sz w:val="26"/>
        </w:rPr>
        <w:t xml:space="preserve">of the competitive market in general </w:t>
      </w:r>
      <w:r w:rsidR="00EB2C2C">
        <w:rPr>
          <w:sz w:val="26"/>
        </w:rPr>
        <w:t>was also relevant to our disposition.</w:t>
      </w:r>
    </w:p>
    <w:p w:rsidR="00227CFC" w:rsidRDefault="00227CFC" w:rsidP="00134070">
      <w:pPr>
        <w:rPr>
          <w:sz w:val="26"/>
        </w:rPr>
      </w:pPr>
    </w:p>
    <w:p w:rsidR="007921F8" w:rsidRDefault="00227CFC" w:rsidP="007921F8">
      <w:pPr>
        <w:rPr>
          <w:sz w:val="26"/>
          <w:szCs w:val="26"/>
        </w:rPr>
      </w:pPr>
      <w:r>
        <w:rPr>
          <w:sz w:val="26"/>
        </w:rPr>
        <w:t>I</w:t>
      </w:r>
      <w:r w:rsidR="00F4739E">
        <w:rPr>
          <w:sz w:val="26"/>
        </w:rPr>
        <w:t xml:space="preserve">n opening Pennsylvania’s generation markets to competition, the General Assembly charged us with </w:t>
      </w:r>
      <w:r w:rsidR="007921F8" w:rsidRPr="007921F8">
        <w:rPr>
          <w:sz w:val="26"/>
        </w:rPr>
        <w:t>subject matter jurisdiction to regulate aspects of EGS services, including marketing, sales, and billing.</w:t>
      </w:r>
      <w:r w:rsidR="007921F8">
        <w:rPr>
          <w:rStyle w:val="FootnoteReference"/>
          <w:sz w:val="26"/>
        </w:rPr>
        <w:footnoteReference w:id="11"/>
      </w:r>
      <w:r w:rsidR="006253BD">
        <w:rPr>
          <w:sz w:val="26"/>
        </w:rPr>
        <w:t xml:space="preserve">  </w:t>
      </w:r>
      <w:r w:rsidR="007921F8">
        <w:rPr>
          <w:sz w:val="26"/>
          <w:szCs w:val="26"/>
        </w:rPr>
        <w:t xml:space="preserve">In fulfillment of this mandate, in 1998 </w:t>
      </w:r>
      <w:r w:rsidR="007921F8" w:rsidRPr="006E77DF">
        <w:rPr>
          <w:sz w:val="26"/>
          <w:szCs w:val="26"/>
        </w:rPr>
        <w:t xml:space="preserve">under authority, </w:t>
      </w:r>
      <w:r w:rsidR="007921F8" w:rsidRPr="006E77DF">
        <w:rPr>
          <w:i/>
          <w:sz w:val="26"/>
          <w:szCs w:val="26"/>
        </w:rPr>
        <w:t>inter alia</w:t>
      </w:r>
      <w:r w:rsidR="007921F8" w:rsidRPr="006E77DF">
        <w:rPr>
          <w:sz w:val="26"/>
          <w:szCs w:val="26"/>
        </w:rPr>
        <w:t>, of Sections 501 and 2807 of the Code</w:t>
      </w:r>
      <w:r w:rsidR="007921F8">
        <w:rPr>
          <w:sz w:val="26"/>
          <w:szCs w:val="26"/>
        </w:rPr>
        <w:t>,</w:t>
      </w:r>
      <w:r w:rsidR="007921F8" w:rsidRPr="006E77DF">
        <w:rPr>
          <w:sz w:val="26"/>
          <w:szCs w:val="26"/>
        </w:rPr>
        <w:t xml:space="preserve"> </w:t>
      </w:r>
      <w:r w:rsidR="007921F8">
        <w:rPr>
          <w:sz w:val="26"/>
          <w:szCs w:val="26"/>
        </w:rPr>
        <w:t xml:space="preserve">we enacted our electricity customer choice Regulations codified in Chapter 54 of 52 Pa. Code.  In 2010, as generation rate caps began to expire and our competitive retail market expanded, we </w:t>
      </w:r>
      <w:r w:rsidR="00964E18">
        <w:rPr>
          <w:sz w:val="26"/>
          <w:szCs w:val="26"/>
        </w:rPr>
        <w:t>e</w:t>
      </w:r>
      <w:r w:rsidR="007921F8">
        <w:rPr>
          <w:sz w:val="26"/>
          <w:szCs w:val="26"/>
        </w:rPr>
        <w:t>stablish</w:t>
      </w:r>
      <w:r w:rsidR="00964E18">
        <w:rPr>
          <w:sz w:val="26"/>
          <w:szCs w:val="26"/>
        </w:rPr>
        <w:t>ed</w:t>
      </w:r>
      <w:r w:rsidR="007921F8">
        <w:rPr>
          <w:sz w:val="26"/>
          <w:szCs w:val="26"/>
        </w:rPr>
        <w:t xml:space="preserve"> regulatory guidelines that served as a code of conduct until </w:t>
      </w:r>
      <w:r w:rsidR="007A5887">
        <w:rPr>
          <w:sz w:val="26"/>
          <w:szCs w:val="26"/>
        </w:rPr>
        <w:t>we</w:t>
      </w:r>
      <w:r w:rsidR="007921F8">
        <w:rPr>
          <w:sz w:val="26"/>
          <w:szCs w:val="26"/>
        </w:rPr>
        <w:t xml:space="preserve"> further amend</w:t>
      </w:r>
      <w:r w:rsidR="007A5887">
        <w:rPr>
          <w:sz w:val="26"/>
          <w:szCs w:val="26"/>
        </w:rPr>
        <w:t>ed</w:t>
      </w:r>
      <w:r w:rsidR="007921F8">
        <w:rPr>
          <w:sz w:val="26"/>
          <w:szCs w:val="26"/>
        </w:rPr>
        <w:t xml:space="preserve"> our Regulations</w:t>
      </w:r>
      <w:r w:rsidR="007A5887">
        <w:rPr>
          <w:sz w:val="26"/>
          <w:szCs w:val="26"/>
        </w:rPr>
        <w:t xml:space="preserve"> to address the evolving market</w:t>
      </w:r>
      <w:r w:rsidR="007921F8">
        <w:rPr>
          <w:sz w:val="26"/>
          <w:szCs w:val="26"/>
        </w:rPr>
        <w:t xml:space="preserve">.  We noted </w:t>
      </w:r>
      <w:r w:rsidR="009338A9">
        <w:rPr>
          <w:sz w:val="26"/>
          <w:szCs w:val="26"/>
        </w:rPr>
        <w:t>the</w:t>
      </w:r>
      <w:r w:rsidR="007A5887">
        <w:rPr>
          <w:sz w:val="26"/>
          <w:szCs w:val="26"/>
        </w:rPr>
        <w:t>n the critical role</w:t>
      </w:r>
      <w:r w:rsidR="009338A9">
        <w:rPr>
          <w:sz w:val="26"/>
          <w:szCs w:val="26"/>
        </w:rPr>
        <w:t xml:space="preserve"> fairness and integrity </w:t>
      </w:r>
      <w:r w:rsidR="007A5887">
        <w:rPr>
          <w:sz w:val="26"/>
          <w:szCs w:val="26"/>
        </w:rPr>
        <w:t xml:space="preserve">play in </w:t>
      </w:r>
      <w:r w:rsidR="00E27ADD">
        <w:rPr>
          <w:sz w:val="26"/>
          <w:szCs w:val="26"/>
        </w:rPr>
        <w:t>the</w:t>
      </w:r>
      <w:r w:rsidR="009338A9">
        <w:rPr>
          <w:sz w:val="26"/>
          <w:szCs w:val="26"/>
        </w:rPr>
        <w:t xml:space="preserve"> positive development of a competitive market</w:t>
      </w:r>
      <w:r w:rsidR="007921F8">
        <w:rPr>
          <w:sz w:val="26"/>
          <w:szCs w:val="26"/>
        </w:rPr>
        <w:t>:</w:t>
      </w:r>
    </w:p>
    <w:p w:rsidR="007921F8" w:rsidRDefault="007921F8" w:rsidP="007921F8">
      <w:pPr>
        <w:rPr>
          <w:sz w:val="26"/>
          <w:szCs w:val="26"/>
        </w:rPr>
      </w:pPr>
    </w:p>
    <w:p w:rsidR="007921F8" w:rsidRDefault="007921F8" w:rsidP="007921F8">
      <w:pPr>
        <w:spacing w:line="240" w:lineRule="auto"/>
        <w:ind w:left="1440" w:right="1440"/>
        <w:rPr>
          <w:bCs/>
          <w:sz w:val="26"/>
          <w:szCs w:val="26"/>
          <w:lang w:bidi="en-US"/>
        </w:rPr>
      </w:pPr>
      <w:r w:rsidRPr="006E77DF">
        <w:rPr>
          <w:bCs/>
          <w:sz w:val="26"/>
          <w:szCs w:val="26"/>
          <w:lang w:bidi="en-US"/>
        </w:rPr>
        <w:lastRenderedPageBreak/>
        <w:t xml:space="preserve">These guidelines are intended to facilitate the effective operation of a vigorous, dynamic, yet fair, competitive residential energy market, to the benefit of consumers, [suppliers, and distribution companies] alike.  A competitive energy market can provide a positive experience for all consumers.  Suppliers are expected to conduct themselves with these expectations in mind so that their sales and marketing activities do not call into question the fairness and integrity of the competitive market.  </w:t>
      </w:r>
      <w:r w:rsidRPr="007A5887">
        <w:rPr>
          <w:bCs/>
          <w:i/>
          <w:sz w:val="26"/>
          <w:szCs w:val="26"/>
          <w:lang w:bidi="en-US"/>
        </w:rPr>
        <w:t>Anything that damages the reputation of the competitive market harms not only consumers, but also all suppliers participating in the market.</w:t>
      </w:r>
    </w:p>
    <w:p w:rsidR="007921F8" w:rsidRDefault="007921F8" w:rsidP="007921F8">
      <w:pPr>
        <w:spacing w:line="240" w:lineRule="auto"/>
        <w:ind w:left="1440" w:right="1440"/>
        <w:rPr>
          <w:bCs/>
          <w:sz w:val="26"/>
          <w:szCs w:val="26"/>
          <w:lang w:bidi="en-US"/>
        </w:rPr>
      </w:pPr>
    </w:p>
    <w:p w:rsidR="007921F8" w:rsidRDefault="007921F8" w:rsidP="007921F8">
      <w:pPr>
        <w:spacing w:line="240" w:lineRule="auto"/>
        <w:ind w:left="1440" w:right="1440"/>
        <w:rPr>
          <w:sz w:val="26"/>
          <w:szCs w:val="26"/>
        </w:rPr>
      </w:pPr>
    </w:p>
    <w:p w:rsidR="007921F8" w:rsidRDefault="007921F8" w:rsidP="007921F8">
      <w:pPr>
        <w:ind w:firstLine="0"/>
        <w:rPr>
          <w:sz w:val="26"/>
        </w:rPr>
      </w:pPr>
      <w:r w:rsidRPr="006E77DF">
        <w:rPr>
          <w:bCs/>
          <w:i/>
          <w:sz w:val="26"/>
          <w:szCs w:val="26"/>
          <w:lang w:bidi="en-US"/>
        </w:rPr>
        <w:t>Interim Guidelines on Marketing and Sales Practices for Electric Generation Suppliers and Natural Gas Suppliers</w:t>
      </w:r>
      <w:r w:rsidRPr="006E77DF">
        <w:rPr>
          <w:bCs/>
          <w:sz w:val="26"/>
          <w:szCs w:val="26"/>
          <w:lang w:bidi="en-US"/>
        </w:rPr>
        <w:t>, Docket No. M-2010-2185981 (Order entered November 5, 2010)</w:t>
      </w:r>
      <w:r>
        <w:rPr>
          <w:bCs/>
          <w:sz w:val="26"/>
          <w:szCs w:val="26"/>
          <w:lang w:bidi="en-US"/>
        </w:rPr>
        <w:t>, Annex A at 1</w:t>
      </w:r>
      <w:r w:rsidR="007A5887">
        <w:rPr>
          <w:bCs/>
          <w:sz w:val="26"/>
          <w:szCs w:val="26"/>
          <w:lang w:bidi="en-US"/>
        </w:rPr>
        <w:t xml:space="preserve"> (emphasis added)</w:t>
      </w:r>
      <w:r w:rsidRPr="006E77DF">
        <w:rPr>
          <w:bCs/>
          <w:sz w:val="26"/>
          <w:szCs w:val="26"/>
          <w:lang w:bidi="en-US"/>
        </w:rPr>
        <w:t>.</w:t>
      </w:r>
    </w:p>
    <w:p w:rsidR="007921F8" w:rsidRDefault="007921F8" w:rsidP="00134070">
      <w:pPr>
        <w:rPr>
          <w:sz w:val="26"/>
        </w:rPr>
      </w:pPr>
    </w:p>
    <w:p w:rsidR="006253BD" w:rsidRDefault="00A6104E" w:rsidP="00134070">
      <w:pPr>
        <w:rPr>
          <w:sz w:val="26"/>
        </w:rPr>
      </w:pPr>
      <w:r>
        <w:rPr>
          <w:sz w:val="26"/>
        </w:rPr>
        <w:t xml:space="preserve">We would </w:t>
      </w:r>
      <w:r w:rsidR="007A5887">
        <w:rPr>
          <w:sz w:val="26"/>
        </w:rPr>
        <w:t xml:space="preserve">have been </w:t>
      </w:r>
      <w:r>
        <w:rPr>
          <w:sz w:val="26"/>
        </w:rPr>
        <w:t xml:space="preserve">remiss if we did not consider how </w:t>
      </w:r>
      <w:r w:rsidR="007A5887">
        <w:rPr>
          <w:sz w:val="26"/>
        </w:rPr>
        <w:t xml:space="preserve">HIKO’s conduct and </w:t>
      </w:r>
      <w:r>
        <w:rPr>
          <w:sz w:val="26"/>
        </w:rPr>
        <w:t xml:space="preserve">our resolution of this proceeding </w:t>
      </w:r>
      <w:r w:rsidR="007A5887">
        <w:rPr>
          <w:sz w:val="26"/>
        </w:rPr>
        <w:t xml:space="preserve">impacted </w:t>
      </w:r>
      <w:r>
        <w:rPr>
          <w:sz w:val="26"/>
        </w:rPr>
        <w:t xml:space="preserve">the </w:t>
      </w:r>
      <w:r w:rsidR="007A5887">
        <w:rPr>
          <w:sz w:val="26"/>
        </w:rPr>
        <w:t>market as a whole</w:t>
      </w:r>
      <w:r w:rsidR="00246749">
        <w:rPr>
          <w:sz w:val="26"/>
        </w:rPr>
        <w:t>, in other words the public interest</w:t>
      </w:r>
      <w:r>
        <w:rPr>
          <w:sz w:val="26"/>
        </w:rPr>
        <w:t xml:space="preserve">.  </w:t>
      </w:r>
      <w:r w:rsidR="007A5887">
        <w:rPr>
          <w:sz w:val="26"/>
        </w:rPr>
        <w:t>We experienced a r</w:t>
      </w:r>
      <w:r w:rsidRPr="00A6104E">
        <w:rPr>
          <w:sz w:val="26"/>
        </w:rPr>
        <w:t xml:space="preserve">ecord number of complaints filed and refunds provided </w:t>
      </w:r>
      <w:r w:rsidR="007A5887">
        <w:rPr>
          <w:sz w:val="26"/>
        </w:rPr>
        <w:t xml:space="preserve">following </w:t>
      </w:r>
      <w:r w:rsidRPr="00A6104E">
        <w:rPr>
          <w:sz w:val="26"/>
        </w:rPr>
        <w:t xml:space="preserve">the winter of 2014, albeit few </w:t>
      </w:r>
      <w:r w:rsidR="007A5887">
        <w:rPr>
          <w:sz w:val="26"/>
        </w:rPr>
        <w:t xml:space="preserve">transgressions were on the </w:t>
      </w:r>
      <w:r w:rsidRPr="00A6104E">
        <w:rPr>
          <w:sz w:val="26"/>
        </w:rPr>
        <w:t>scale</w:t>
      </w:r>
      <w:r w:rsidR="007A5887">
        <w:rPr>
          <w:sz w:val="26"/>
        </w:rPr>
        <w:t xml:space="preserve"> of HIKO’s</w:t>
      </w:r>
      <w:r w:rsidRPr="00A6104E">
        <w:rPr>
          <w:sz w:val="26"/>
        </w:rPr>
        <w:t xml:space="preserve">.  </w:t>
      </w:r>
      <w:r w:rsidR="007A5887">
        <w:rPr>
          <w:sz w:val="26"/>
        </w:rPr>
        <w:t>Deterrence, with respect to HIKO specifically and the industry generally</w:t>
      </w:r>
      <w:r w:rsidR="00246749">
        <w:rPr>
          <w:sz w:val="26"/>
        </w:rPr>
        <w:t>,</w:t>
      </w:r>
      <w:r w:rsidR="007A5887">
        <w:rPr>
          <w:sz w:val="26"/>
        </w:rPr>
        <w:t xml:space="preserve"> is a legitimate regulatory goal</w:t>
      </w:r>
      <w:r w:rsidR="00246749">
        <w:rPr>
          <w:sz w:val="26"/>
        </w:rPr>
        <w:t xml:space="preserve"> we noted in our decision.  </w:t>
      </w:r>
      <w:r w:rsidR="00246749">
        <w:rPr>
          <w:i/>
          <w:sz w:val="26"/>
        </w:rPr>
        <w:t>See</w:t>
      </w:r>
      <w:r w:rsidR="00246749">
        <w:rPr>
          <w:sz w:val="26"/>
        </w:rPr>
        <w:t xml:space="preserve"> </w:t>
      </w:r>
      <w:r w:rsidR="00246749">
        <w:rPr>
          <w:i/>
          <w:sz w:val="26"/>
        </w:rPr>
        <w:t>December 2015 Order</w:t>
      </w:r>
      <w:r w:rsidR="00246749">
        <w:rPr>
          <w:sz w:val="26"/>
        </w:rPr>
        <w:t xml:space="preserve"> at 44 n. 13 (though we may craft penalties based on individual circumstances, considering the impact of our actions as a deterrence to the entire industry is effective to assure compliance with our Regulations and the development of a fair and reliable competitive market)</w:t>
      </w:r>
      <w:r w:rsidR="00246749">
        <w:rPr>
          <w:i/>
          <w:sz w:val="26"/>
        </w:rPr>
        <w:t xml:space="preserve">.  </w:t>
      </w:r>
      <w:r w:rsidR="007A5887">
        <w:rPr>
          <w:sz w:val="26"/>
        </w:rPr>
        <w:t xml:space="preserve">Our </w:t>
      </w:r>
      <w:r w:rsidR="00246749">
        <w:rPr>
          <w:sz w:val="26"/>
        </w:rPr>
        <w:t>interest in</w:t>
      </w:r>
      <w:r w:rsidR="00134070">
        <w:rPr>
          <w:sz w:val="26"/>
        </w:rPr>
        <w:t xml:space="preserve"> oversee</w:t>
      </w:r>
      <w:r w:rsidR="00246749">
        <w:rPr>
          <w:sz w:val="26"/>
        </w:rPr>
        <w:t xml:space="preserve">ing </w:t>
      </w:r>
      <w:r w:rsidR="00134070">
        <w:rPr>
          <w:sz w:val="26"/>
        </w:rPr>
        <w:t xml:space="preserve">the development of </w:t>
      </w:r>
      <w:r w:rsidR="00246749">
        <w:rPr>
          <w:sz w:val="26"/>
        </w:rPr>
        <w:t xml:space="preserve">a robust </w:t>
      </w:r>
      <w:r w:rsidR="00134070">
        <w:rPr>
          <w:sz w:val="26"/>
        </w:rPr>
        <w:t>market</w:t>
      </w:r>
      <w:r>
        <w:rPr>
          <w:sz w:val="26"/>
        </w:rPr>
        <w:t xml:space="preserve"> is not novel.  As I&amp;E note</w:t>
      </w:r>
      <w:r w:rsidR="007A5887">
        <w:rPr>
          <w:sz w:val="26"/>
        </w:rPr>
        <w:t>d</w:t>
      </w:r>
      <w:r>
        <w:rPr>
          <w:sz w:val="26"/>
        </w:rPr>
        <w:t>, we previously comment</w:t>
      </w:r>
      <w:r w:rsidR="007A5887">
        <w:rPr>
          <w:sz w:val="26"/>
        </w:rPr>
        <w:t>ed</w:t>
      </w:r>
      <w:r>
        <w:rPr>
          <w:sz w:val="26"/>
        </w:rPr>
        <w:t xml:space="preserve"> that </w:t>
      </w:r>
      <w:r w:rsidR="00134070">
        <w:rPr>
          <w:sz w:val="26"/>
        </w:rPr>
        <w:t>“</w:t>
      </w:r>
      <w:r w:rsidR="009338A9">
        <w:rPr>
          <w:sz w:val="26"/>
        </w:rPr>
        <w:t>w</w:t>
      </w:r>
      <w:r w:rsidR="00134070">
        <w:rPr>
          <w:sz w:val="26"/>
        </w:rPr>
        <w:t>e will not tolerate unlawful activity that threatens to harm Pennsylvania’</w:t>
      </w:r>
      <w:r w:rsidR="007921F8">
        <w:rPr>
          <w:sz w:val="26"/>
        </w:rPr>
        <w:t>s consumers and thereby the burg</w:t>
      </w:r>
      <w:r w:rsidR="00134070">
        <w:rPr>
          <w:sz w:val="26"/>
        </w:rPr>
        <w:t xml:space="preserve">eoning retail electricity market in Pennsylvania.”  </w:t>
      </w:r>
      <w:r w:rsidR="00134070">
        <w:rPr>
          <w:i/>
          <w:sz w:val="26"/>
        </w:rPr>
        <w:t>Pa. PUC, Law Bureau Prosecutory Staff v. MXenergy Electric, Inc.,</w:t>
      </w:r>
      <w:r w:rsidR="00134070">
        <w:rPr>
          <w:sz w:val="26"/>
        </w:rPr>
        <w:t xml:space="preserve"> </w:t>
      </w:r>
      <w:r w:rsidR="00B1458D">
        <w:rPr>
          <w:sz w:val="26"/>
        </w:rPr>
        <w:t>D</w:t>
      </w:r>
      <w:r w:rsidR="00134070">
        <w:rPr>
          <w:sz w:val="26"/>
        </w:rPr>
        <w:t>ocket No.</w:t>
      </w:r>
      <w:r w:rsidR="007921F8">
        <w:rPr>
          <w:sz w:val="26"/>
        </w:rPr>
        <w:t xml:space="preserve"> M-2012-2201861 (Order entered M</w:t>
      </w:r>
      <w:r w:rsidR="00134070">
        <w:rPr>
          <w:sz w:val="26"/>
        </w:rPr>
        <w:t>ay 3, 2012) at 5.</w:t>
      </w:r>
    </w:p>
    <w:p w:rsidR="006253BD" w:rsidRDefault="006253BD" w:rsidP="00134070">
      <w:pPr>
        <w:rPr>
          <w:sz w:val="26"/>
        </w:rPr>
      </w:pPr>
    </w:p>
    <w:p w:rsidR="00134070" w:rsidRDefault="00134070" w:rsidP="00134070">
      <w:pPr>
        <w:rPr>
          <w:bCs/>
          <w:sz w:val="26"/>
          <w:szCs w:val="26"/>
          <w:lang w:bidi="en-US"/>
        </w:rPr>
      </w:pPr>
      <w:r>
        <w:rPr>
          <w:sz w:val="26"/>
        </w:rPr>
        <w:lastRenderedPageBreak/>
        <w:t>More recently</w:t>
      </w:r>
      <w:r w:rsidR="006253BD">
        <w:rPr>
          <w:sz w:val="26"/>
        </w:rPr>
        <w:t xml:space="preserve"> in addressing a single customer complaint arising out of the winter of 2014</w:t>
      </w:r>
      <w:r>
        <w:rPr>
          <w:sz w:val="26"/>
        </w:rPr>
        <w:t>, we affirmed our dedication to ensuring adhere</w:t>
      </w:r>
      <w:r w:rsidR="00246749">
        <w:rPr>
          <w:sz w:val="26"/>
        </w:rPr>
        <w:t>nce</w:t>
      </w:r>
      <w:r>
        <w:rPr>
          <w:sz w:val="26"/>
        </w:rPr>
        <w:t xml:space="preserve"> to our regulatory requirements</w:t>
      </w:r>
      <w:r w:rsidR="006253BD">
        <w:rPr>
          <w:sz w:val="26"/>
        </w:rPr>
        <w:t xml:space="preserve">.  </w:t>
      </w:r>
      <w:r>
        <w:rPr>
          <w:sz w:val="26"/>
          <w:szCs w:val="26"/>
        </w:rPr>
        <w:t>“</w:t>
      </w:r>
      <w:r w:rsidR="007A5887">
        <w:rPr>
          <w:sz w:val="26"/>
          <w:szCs w:val="26"/>
        </w:rPr>
        <w:t>O</w:t>
      </w:r>
      <w:r>
        <w:rPr>
          <w:bCs/>
          <w:sz w:val="26"/>
          <w:szCs w:val="26"/>
          <w:lang w:bidi="en-US"/>
        </w:rPr>
        <w:t xml:space="preserve">ur customer choice standards are high, specific, and unequivocal[,] intended to ensure fairness and integrity in the competitive market by requiring all marketer behavior – oral, written, or electronic – to be straightforward and clear.”  </w:t>
      </w:r>
      <w:r w:rsidR="00CD6EC2" w:rsidRPr="00CD6EC2">
        <w:rPr>
          <w:bCs/>
          <w:i/>
          <w:sz w:val="26"/>
          <w:szCs w:val="26"/>
          <w:lang w:bidi="en-US"/>
        </w:rPr>
        <w:t>Kiback v. IDT Energy, Inc.</w:t>
      </w:r>
      <w:r w:rsidR="00CD6EC2" w:rsidRPr="00CD6EC2">
        <w:rPr>
          <w:bCs/>
          <w:sz w:val="26"/>
          <w:szCs w:val="26"/>
          <w:lang w:bidi="en-US"/>
        </w:rPr>
        <w:t>, Docket No. C</w:t>
      </w:r>
      <w:r w:rsidR="00B1458D">
        <w:rPr>
          <w:bCs/>
          <w:sz w:val="26"/>
          <w:szCs w:val="26"/>
          <w:lang w:bidi="en-US"/>
        </w:rPr>
        <w:noBreakHyphen/>
      </w:r>
      <w:r w:rsidR="00CD6EC2" w:rsidRPr="00CD6EC2">
        <w:rPr>
          <w:bCs/>
          <w:sz w:val="26"/>
          <w:szCs w:val="26"/>
          <w:lang w:bidi="en-US"/>
        </w:rPr>
        <w:t>2014-2409676 (Order entered August 20, 2015)</w:t>
      </w:r>
      <w:r w:rsidR="00CD6EC2" w:rsidRPr="00CD6EC2">
        <w:rPr>
          <w:bCs/>
          <w:i/>
          <w:sz w:val="26"/>
          <w:szCs w:val="26"/>
          <w:lang w:bidi="en-US"/>
        </w:rPr>
        <w:t xml:space="preserve"> </w:t>
      </w:r>
      <w:r>
        <w:rPr>
          <w:bCs/>
          <w:sz w:val="26"/>
          <w:szCs w:val="26"/>
          <w:lang w:bidi="en-US"/>
        </w:rPr>
        <w:t>at 24.</w:t>
      </w:r>
      <w:r w:rsidR="007921F8">
        <w:rPr>
          <w:bCs/>
          <w:sz w:val="26"/>
          <w:szCs w:val="26"/>
          <w:lang w:bidi="en-US"/>
        </w:rPr>
        <w:t xml:space="preserve">  </w:t>
      </w:r>
      <w:r w:rsidR="009338A9" w:rsidRPr="009338A9">
        <w:rPr>
          <w:bCs/>
          <w:sz w:val="26"/>
          <w:szCs w:val="26"/>
          <w:lang w:bidi="en-US"/>
        </w:rPr>
        <w:t xml:space="preserve">Our </w:t>
      </w:r>
      <w:r w:rsidR="00127786">
        <w:rPr>
          <w:bCs/>
          <w:sz w:val="26"/>
          <w:szCs w:val="26"/>
          <w:lang w:bidi="en-US"/>
        </w:rPr>
        <w:t>commitment</w:t>
      </w:r>
      <w:r w:rsidR="009338A9" w:rsidRPr="009338A9">
        <w:rPr>
          <w:bCs/>
          <w:sz w:val="26"/>
          <w:szCs w:val="26"/>
          <w:lang w:bidi="en-US"/>
        </w:rPr>
        <w:t xml:space="preserve"> to </w:t>
      </w:r>
      <w:r w:rsidR="00127786">
        <w:rPr>
          <w:bCs/>
          <w:sz w:val="26"/>
          <w:szCs w:val="26"/>
          <w:lang w:bidi="en-US"/>
        </w:rPr>
        <w:t xml:space="preserve">oversight </w:t>
      </w:r>
      <w:r w:rsidR="009338A9" w:rsidRPr="009338A9">
        <w:rPr>
          <w:bCs/>
          <w:sz w:val="26"/>
          <w:szCs w:val="26"/>
          <w:lang w:bidi="en-US"/>
        </w:rPr>
        <w:t xml:space="preserve">of the market </w:t>
      </w:r>
      <w:r w:rsidR="006253BD">
        <w:rPr>
          <w:bCs/>
          <w:sz w:val="26"/>
          <w:szCs w:val="26"/>
          <w:lang w:bidi="en-US"/>
        </w:rPr>
        <w:t xml:space="preserve">remains high, </w:t>
      </w:r>
      <w:r w:rsidR="009338A9" w:rsidRPr="009338A9">
        <w:rPr>
          <w:bCs/>
          <w:sz w:val="26"/>
          <w:szCs w:val="26"/>
          <w:lang w:bidi="en-US"/>
        </w:rPr>
        <w:t xml:space="preserve">particularly </w:t>
      </w:r>
      <w:r w:rsidR="006253BD">
        <w:rPr>
          <w:bCs/>
          <w:sz w:val="26"/>
          <w:szCs w:val="26"/>
          <w:lang w:bidi="en-US"/>
        </w:rPr>
        <w:t xml:space="preserve">because of </w:t>
      </w:r>
      <w:r w:rsidR="00246749">
        <w:rPr>
          <w:bCs/>
          <w:sz w:val="26"/>
          <w:szCs w:val="26"/>
          <w:lang w:bidi="en-US"/>
        </w:rPr>
        <w:t xml:space="preserve">the behavior of </w:t>
      </w:r>
      <w:r w:rsidR="00127786">
        <w:rPr>
          <w:bCs/>
          <w:sz w:val="26"/>
          <w:szCs w:val="26"/>
          <w:lang w:bidi="en-US"/>
        </w:rPr>
        <w:t>some supplier</w:t>
      </w:r>
      <w:r w:rsidR="00246749">
        <w:rPr>
          <w:bCs/>
          <w:sz w:val="26"/>
          <w:szCs w:val="26"/>
          <w:lang w:bidi="en-US"/>
        </w:rPr>
        <w:t>s</w:t>
      </w:r>
      <w:r w:rsidR="00127786">
        <w:rPr>
          <w:bCs/>
          <w:sz w:val="26"/>
          <w:szCs w:val="26"/>
          <w:lang w:bidi="en-US"/>
        </w:rPr>
        <w:t xml:space="preserve"> </w:t>
      </w:r>
      <w:r w:rsidR="006253BD">
        <w:rPr>
          <w:bCs/>
          <w:sz w:val="26"/>
          <w:szCs w:val="26"/>
          <w:lang w:bidi="en-US"/>
        </w:rPr>
        <w:t xml:space="preserve">we </w:t>
      </w:r>
      <w:r w:rsidR="00246749">
        <w:rPr>
          <w:bCs/>
          <w:sz w:val="26"/>
          <w:szCs w:val="26"/>
          <w:lang w:bidi="en-US"/>
        </w:rPr>
        <w:t>witnessed</w:t>
      </w:r>
      <w:r w:rsidR="006253BD">
        <w:rPr>
          <w:bCs/>
          <w:sz w:val="26"/>
          <w:szCs w:val="26"/>
          <w:lang w:bidi="en-US"/>
        </w:rPr>
        <w:t xml:space="preserve"> </w:t>
      </w:r>
      <w:r w:rsidR="007A5887">
        <w:rPr>
          <w:bCs/>
          <w:sz w:val="26"/>
          <w:szCs w:val="26"/>
          <w:lang w:bidi="en-US"/>
        </w:rPr>
        <w:t>d</w:t>
      </w:r>
      <w:r w:rsidR="006253BD">
        <w:rPr>
          <w:bCs/>
          <w:sz w:val="26"/>
          <w:szCs w:val="26"/>
          <w:lang w:bidi="en-US"/>
        </w:rPr>
        <w:t xml:space="preserve">uring the </w:t>
      </w:r>
      <w:r w:rsidR="00B1458D">
        <w:rPr>
          <w:bCs/>
          <w:sz w:val="26"/>
          <w:szCs w:val="26"/>
          <w:lang w:bidi="en-US"/>
        </w:rPr>
        <w:t>winter of 2014</w:t>
      </w:r>
      <w:r w:rsidR="006253BD">
        <w:rPr>
          <w:bCs/>
          <w:sz w:val="26"/>
          <w:szCs w:val="26"/>
          <w:lang w:bidi="en-US"/>
        </w:rPr>
        <w:t xml:space="preserve">.  </w:t>
      </w:r>
      <w:r w:rsidR="007921F8">
        <w:rPr>
          <w:bCs/>
          <w:sz w:val="26"/>
          <w:szCs w:val="26"/>
          <w:lang w:bidi="en-US"/>
        </w:rPr>
        <w:t xml:space="preserve">A </w:t>
      </w:r>
      <w:r w:rsidR="007921F8" w:rsidRPr="007921F8">
        <w:rPr>
          <w:bCs/>
          <w:sz w:val="26"/>
          <w:szCs w:val="26"/>
          <w:lang w:bidi="en-US"/>
        </w:rPr>
        <w:t>fundamental consumer protection</w:t>
      </w:r>
      <w:r w:rsidR="007921F8">
        <w:rPr>
          <w:bCs/>
          <w:sz w:val="26"/>
          <w:szCs w:val="26"/>
          <w:lang w:bidi="en-US"/>
        </w:rPr>
        <w:t xml:space="preserve">, </w:t>
      </w:r>
      <w:r w:rsidR="00CD6EC2">
        <w:rPr>
          <w:bCs/>
          <w:sz w:val="26"/>
          <w:szCs w:val="26"/>
          <w:lang w:bidi="en-US"/>
        </w:rPr>
        <w:t xml:space="preserve">which HIKO intentionally </w:t>
      </w:r>
      <w:r w:rsidR="007921F8">
        <w:rPr>
          <w:bCs/>
          <w:sz w:val="26"/>
          <w:szCs w:val="26"/>
          <w:lang w:bidi="en-US"/>
        </w:rPr>
        <w:t xml:space="preserve">violated on 14,689 separate occasions, is that </w:t>
      </w:r>
      <w:r w:rsidR="00CD6EC2">
        <w:rPr>
          <w:bCs/>
          <w:sz w:val="26"/>
          <w:szCs w:val="26"/>
          <w:lang w:bidi="en-US"/>
        </w:rPr>
        <w:t xml:space="preserve">an </w:t>
      </w:r>
      <w:r w:rsidR="007921F8">
        <w:rPr>
          <w:bCs/>
          <w:sz w:val="26"/>
          <w:szCs w:val="26"/>
          <w:lang w:bidi="en-US"/>
        </w:rPr>
        <w:t>E</w:t>
      </w:r>
      <w:r w:rsidR="007921F8" w:rsidRPr="007921F8">
        <w:rPr>
          <w:bCs/>
          <w:sz w:val="26"/>
          <w:szCs w:val="26"/>
          <w:lang w:bidi="en-US"/>
        </w:rPr>
        <w:t xml:space="preserve">GS bill </w:t>
      </w:r>
      <w:r w:rsidR="00CD6EC2">
        <w:rPr>
          <w:bCs/>
          <w:sz w:val="26"/>
          <w:szCs w:val="26"/>
          <w:lang w:bidi="en-US"/>
        </w:rPr>
        <w:t>its</w:t>
      </w:r>
      <w:r w:rsidR="007921F8">
        <w:rPr>
          <w:bCs/>
          <w:sz w:val="26"/>
          <w:szCs w:val="26"/>
          <w:lang w:bidi="en-US"/>
        </w:rPr>
        <w:t xml:space="preserve"> </w:t>
      </w:r>
      <w:r w:rsidR="007921F8" w:rsidRPr="007921F8">
        <w:rPr>
          <w:bCs/>
          <w:sz w:val="26"/>
          <w:szCs w:val="26"/>
          <w:lang w:bidi="en-US"/>
        </w:rPr>
        <w:t xml:space="preserve">customers in accordance with </w:t>
      </w:r>
      <w:r w:rsidR="00CD6EC2">
        <w:rPr>
          <w:bCs/>
          <w:sz w:val="26"/>
          <w:szCs w:val="26"/>
          <w:lang w:bidi="en-US"/>
        </w:rPr>
        <w:t>its</w:t>
      </w:r>
      <w:r w:rsidR="007921F8" w:rsidRPr="007921F8">
        <w:rPr>
          <w:bCs/>
          <w:sz w:val="26"/>
          <w:szCs w:val="26"/>
          <w:lang w:bidi="en-US"/>
        </w:rPr>
        <w:t xml:space="preserve"> </w:t>
      </w:r>
      <w:r w:rsidR="00CD6EC2">
        <w:rPr>
          <w:bCs/>
          <w:sz w:val="26"/>
          <w:szCs w:val="26"/>
          <w:lang w:bidi="en-US"/>
        </w:rPr>
        <w:t>contracts</w:t>
      </w:r>
      <w:r w:rsidR="007921F8">
        <w:rPr>
          <w:bCs/>
          <w:sz w:val="26"/>
          <w:szCs w:val="26"/>
          <w:lang w:bidi="en-US"/>
        </w:rPr>
        <w:t>.</w:t>
      </w:r>
    </w:p>
    <w:p w:rsidR="00134070" w:rsidRDefault="00134070" w:rsidP="00134070">
      <w:pPr>
        <w:rPr>
          <w:bCs/>
          <w:sz w:val="26"/>
          <w:szCs w:val="26"/>
          <w:lang w:bidi="en-US"/>
        </w:rPr>
      </w:pPr>
    </w:p>
    <w:p w:rsidR="00227CFC" w:rsidRDefault="00127786" w:rsidP="00B50B66">
      <w:pPr>
        <w:rPr>
          <w:sz w:val="26"/>
        </w:rPr>
      </w:pPr>
      <w:r>
        <w:rPr>
          <w:sz w:val="26"/>
        </w:rPr>
        <w:t>EGSs</w:t>
      </w:r>
      <w:r w:rsidR="006253BD">
        <w:rPr>
          <w:sz w:val="26"/>
        </w:rPr>
        <w:t xml:space="preserve"> that </w:t>
      </w:r>
      <w:r w:rsidR="005B4B53">
        <w:rPr>
          <w:sz w:val="26"/>
        </w:rPr>
        <w:t>induce</w:t>
      </w:r>
      <w:r>
        <w:rPr>
          <w:sz w:val="26"/>
        </w:rPr>
        <w:t>d</w:t>
      </w:r>
      <w:r w:rsidR="005B4B53">
        <w:rPr>
          <w:sz w:val="26"/>
        </w:rPr>
        <w:t xml:space="preserve"> prospective customers through </w:t>
      </w:r>
      <w:r w:rsidR="005B4B53" w:rsidRPr="005B4B53">
        <w:rPr>
          <w:sz w:val="26"/>
        </w:rPr>
        <w:t>variable pric</w:t>
      </w:r>
      <w:r w:rsidR="005B4B53">
        <w:rPr>
          <w:sz w:val="26"/>
        </w:rPr>
        <w:t xml:space="preserve">e contracts </w:t>
      </w:r>
      <w:r w:rsidR="00227CFC">
        <w:rPr>
          <w:sz w:val="26"/>
        </w:rPr>
        <w:t xml:space="preserve">with guaranteed savings </w:t>
      </w:r>
      <w:r w:rsidR="005B4B53">
        <w:rPr>
          <w:sz w:val="26"/>
        </w:rPr>
        <w:t xml:space="preserve">faced significant challenges </w:t>
      </w:r>
      <w:r w:rsidR="006253BD">
        <w:rPr>
          <w:sz w:val="26"/>
        </w:rPr>
        <w:t>that winter</w:t>
      </w:r>
      <w:r w:rsidR="00246749">
        <w:rPr>
          <w:sz w:val="26"/>
        </w:rPr>
        <w:t xml:space="preserve">.  </w:t>
      </w:r>
      <w:r w:rsidR="0000221F">
        <w:rPr>
          <w:sz w:val="26"/>
        </w:rPr>
        <w:t>Both t</w:t>
      </w:r>
      <w:r>
        <w:rPr>
          <w:sz w:val="26"/>
        </w:rPr>
        <w:t>heir business acumen and integrity</w:t>
      </w:r>
      <w:r w:rsidR="0000221F">
        <w:rPr>
          <w:sz w:val="26"/>
        </w:rPr>
        <w:t xml:space="preserve"> were tested</w:t>
      </w:r>
      <w:r w:rsidR="005B4B53" w:rsidRPr="005B4B53">
        <w:rPr>
          <w:sz w:val="26"/>
        </w:rPr>
        <w:t xml:space="preserve">.  </w:t>
      </w:r>
      <w:r>
        <w:rPr>
          <w:sz w:val="26"/>
        </w:rPr>
        <w:t xml:space="preserve">Those </w:t>
      </w:r>
      <w:r w:rsidR="00B1458D">
        <w:rPr>
          <w:sz w:val="26"/>
        </w:rPr>
        <w:t>that</w:t>
      </w:r>
      <w:r w:rsidR="00964E18">
        <w:rPr>
          <w:sz w:val="26"/>
        </w:rPr>
        <w:t xml:space="preserve"> </w:t>
      </w:r>
      <w:r w:rsidR="005B4B53">
        <w:rPr>
          <w:sz w:val="26"/>
        </w:rPr>
        <w:t xml:space="preserve">chose to intentionally disregard their customer contracts and </w:t>
      </w:r>
      <w:r>
        <w:rPr>
          <w:sz w:val="26"/>
        </w:rPr>
        <w:t xml:space="preserve">ignore </w:t>
      </w:r>
      <w:r w:rsidR="005B4B53">
        <w:rPr>
          <w:sz w:val="26"/>
        </w:rPr>
        <w:t xml:space="preserve">our Regulations </w:t>
      </w:r>
      <w:r w:rsidR="00964E18">
        <w:rPr>
          <w:sz w:val="26"/>
        </w:rPr>
        <w:t>did so at their peril</w:t>
      </w:r>
      <w:r w:rsidR="005B4B53">
        <w:rPr>
          <w:sz w:val="26"/>
        </w:rPr>
        <w:t xml:space="preserve">.  HIKO’s </w:t>
      </w:r>
      <w:r w:rsidR="00A63052" w:rsidRPr="00A63052">
        <w:rPr>
          <w:sz w:val="26"/>
        </w:rPr>
        <w:t xml:space="preserve">violations </w:t>
      </w:r>
      <w:r>
        <w:rPr>
          <w:sz w:val="26"/>
        </w:rPr>
        <w:t xml:space="preserve">did not </w:t>
      </w:r>
      <w:r w:rsidR="00B1458D">
        <w:rPr>
          <w:sz w:val="26"/>
        </w:rPr>
        <w:t xml:space="preserve">detrimentally </w:t>
      </w:r>
      <w:r w:rsidR="00A63052" w:rsidRPr="00A63052">
        <w:rPr>
          <w:sz w:val="26"/>
        </w:rPr>
        <w:t xml:space="preserve">affect just the thousands of </w:t>
      </w:r>
      <w:r w:rsidRPr="00127786">
        <w:rPr>
          <w:sz w:val="26"/>
        </w:rPr>
        <w:t xml:space="preserve">private </w:t>
      </w:r>
      <w:r w:rsidR="00A63052" w:rsidRPr="00A63052">
        <w:rPr>
          <w:sz w:val="26"/>
        </w:rPr>
        <w:t xml:space="preserve">customers </w:t>
      </w:r>
      <w:r>
        <w:rPr>
          <w:sz w:val="26"/>
        </w:rPr>
        <w:t xml:space="preserve">the Company </w:t>
      </w:r>
      <w:r w:rsidR="00B1458D">
        <w:rPr>
          <w:sz w:val="26"/>
        </w:rPr>
        <w:t xml:space="preserve">deliberately </w:t>
      </w:r>
      <w:r w:rsidR="00A63052" w:rsidRPr="00A63052">
        <w:rPr>
          <w:sz w:val="26"/>
        </w:rPr>
        <w:t>overcharged</w:t>
      </w:r>
      <w:r>
        <w:rPr>
          <w:sz w:val="26"/>
        </w:rPr>
        <w:t xml:space="preserve">.  HIKO’s conduct also damaged the </w:t>
      </w:r>
      <w:r w:rsidR="00A63052" w:rsidRPr="00A63052">
        <w:rPr>
          <w:sz w:val="26"/>
        </w:rPr>
        <w:t xml:space="preserve">public interest </w:t>
      </w:r>
      <w:r>
        <w:rPr>
          <w:sz w:val="26"/>
        </w:rPr>
        <w:t xml:space="preserve">this Commission serves </w:t>
      </w:r>
      <w:r w:rsidR="00B1458D">
        <w:rPr>
          <w:sz w:val="26"/>
        </w:rPr>
        <w:t xml:space="preserve">by </w:t>
      </w:r>
      <w:r w:rsidR="0000221F">
        <w:rPr>
          <w:sz w:val="26"/>
        </w:rPr>
        <w:t xml:space="preserve">violating </w:t>
      </w:r>
      <w:r>
        <w:rPr>
          <w:sz w:val="26"/>
        </w:rPr>
        <w:t>the trust customers placed in the</w:t>
      </w:r>
      <w:r w:rsidR="00B1458D">
        <w:rPr>
          <w:sz w:val="26"/>
        </w:rPr>
        <w:t xml:space="preserve"> competitive market</w:t>
      </w:r>
      <w:r w:rsidR="005B4B53">
        <w:rPr>
          <w:sz w:val="26"/>
        </w:rPr>
        <w:t>.  V</w:t>
      </w:r>
      <w:r w:rsidR="00A63052" w:rsidRPr="00A63052">
        <w:rPr>
          <w:sz w:val="26"/>
        </w:rPr>
        <w:t xml:space="preserve">iolations </w:t>
      </w:r>
      <w:r w:rsidR="00B1458D">
        <w:rPr>
          <w:sz w:val="26"/>
        </w:rPr>
        <w:t>as severe as HIKO’s cast a long shadow</w:t>
      </w:r>
      <w:r>
        <w:rPr>
          <w:sz w:val="26"/>
        </w:rPr>
        <w:t>, and the integrity of the entire competitive market suffered as a result of HIKO’s choices</w:t>
      </w:r>
      <w:r w:rsidR="005B4B53">
        <w:rPr>
          <w:sz w:val="26"/>
        </w:rPr>
        <w:t>.</w:t>
      </w:r>
    </w:p>
    <w:p w:rsidR="00227CFC" w:rsidRDefault="00227CFC" w:rsidP="00B50B66">
      <w:pPr>
        <w:rPr>
          <w:sz w:val="26"/>
        </w:rPr>
      </w:pPr>
    </w:p>
    <w:p w:rsidR="00F946A3" w:rsidRDefault="00263F48" w:rsidP="00B50B66">
      <w:pPr>
        <w:rPr>
          <w:sz w:val="26"/>
        </w:rPr>
      </w:pPr>
      <w:r>
        <w:rPr>
          <w:sz w:val="26"/>
        </w:rPr>
        <w:t>The</w:t>
      </w:r>
      <w:r w:rsidR="005B4B53">
        <w:rPr>
          <w:sz w:val="26"/>
        </w:rPr>
        <w:t xml:space="preserve"> $1.8 million </w:t>
      </w:r>
      <w:r>
        <w:rPr>
          <w:sz w:val="26"/>
        </w:rPr>
        <w:t xml:space="preserve">penalty we imposed on HIKO was </w:t>
      </w:r>
      <w:r w:rsidR="0000221F">
        <w:rPr>
          <w:sz w:val="26"/>
        </w:rPr>
        <w:t xml:space="preserve">an </w:t>
      </w:r>
      <w:r>
        <w:rPr>
          <w:sz w:val="26"/>
        </w:rPr>
        <w:t xml:space="preserve">important </w:t>
      </w:r>
      <w:r w:rsidR="0000221F">
        <w:rPr>
          <w:sz w:val="26"/>
        </w:rPr>
        <w:t xml:space="preserve">regulatory tool in furthering the legitimate goal of deterrence.  </w:t>
      </w:r>
      <w:r w:rsidR="00964E18">
        <w:rPr>
          <w:sz w:val="26"/>
        </w:rPr>
        <w:t>HIKO</w:t>
      </w:r>
      <w:r>
        <w:rPr>
          <w:sz w:val="26"/>
        </w:rPr>
        <w:t xml:space="preserve">’s arguments do not </w:t>
      </w:r>
      <w:r w:rsidR="00964E18">
        <w:rPr>
          <w:sz w:val="26"/>
        </w:rPr>
        <w:t xml:space="preserve">persuade us that issuance of a stay of our </w:t>
      </w:r>
      <w:r w:rsidR="00964E18">
        <w:rPr>
          <w:i/>
          <w:sz w:val="26"/>
        </w:rPr>
        <w:t xml:space="preserve">December 2015 Order </w:t>
      </w:r>
      <w:r w:rsidR="00964E18">
        <w:rPr>
          <w:sz w:val="26"/>
        </w:rPr>
        <w:t xml:space="preserve">will not diminish our ability to </w:t>
      </w:r>
      <w:r>
        <w:rPr>
          <w:sz w:val="26"/>
        </w:rPr>
        <w:t xml:space="preserve">function effectively as a watchdog over </w:t>
      </w:r>
      <w:r w:rsidR="00964E18">
        <w:rPr>
          <w:sz w:val="26"/>
        </w:rPr>
        <w:t xml:space="preserve">the parties to this proceeding </w:t>
      </w:r>
      <w:r>
        <w:rPr>
          <w:sz w:val="26"/>
        </w:rPr>
        <w:t>and the broader</w:t>
      </w:r>
      <w:r w:rsidR="00964E18">
        <w:rPr>
          <w:sz w:val="26"/>
        </w:rPr>
        <w:t xml:space="preserve"> public interest.  Thus, w</w:t>
      </w:r>
      <w:r w:rsidR="0080011C">
        <w:rPr>
          <w:sz w:val="26"/>
        </w:rPr>
        <w:t>e find that HIKO</w:t>
      </w:r>
      <w:r w:rsidR="00F946A3">
        <w:rPr>
          <w:sz w:val="26"/>
        </w:rPr>
        <w:t xml:space="preserve"> has failed to satisfy the</w:t>
      </w:r>
      <w:r w:rsidR="00964E18">
        <w:rPr>
          <w:sz w:val="26"/>
        </w:rPr>
        <w:t xml:space="preserve"> remaining two </w:t>
      </w:r>
      <w:r w:rsidR="00F946A3">
        <w:rPr>
          <w:sz w:val="26"/>
        </w:rPr>
        <w:t>criteria.</w:t>
      </w:r>
    </w:p>
    <w:p w:rsidR="00F946A3" w:rsidRDefault="00F946A3" w:rsidP="00B50B66">
      <w:pPr>
        <w:rPr>
          <w:sz w:val="26"/>
        </w:rPr>
      </w:pPr>
    </w:p>
    <w:p w:rsidR="006C2160" w:rsidRDefault="004B653A" w:rsidP="006C2160">
      <w:pPr>
        <w:rPr>
          <w:sz w:val="26"/>
          <w:szCs w:val="26"/>
        </w:rPr>
      </w:pPr>
      <w:r>
        <w:rPr>
          <w:sz w:val="26"/>
        </w:rPr>
        <w:t xml:space="preserve">We conclude that the </w:t>
      </w:r>
      <w:r w:rsidR="0027639C">
        <w:rPr>
          <w:sz w:val="26"/>
        </w:rPr>
        <w:t xml:space="preserve">HIKO </w:t>
      </w:r>
      <w:r>
        <w:rPr>
          <w:sz w:val="26"/>
        </w:rPr>
        <w:t xml:space="preserve">has failed to satisfy the </w:t>
      </w:r>
      <w:r w:rsidR="00BB2491">
        <w:rPr>
          <w:sz w:val="26"/>
        </w:rPr>
        <w:t xml:space="preserve">standards under </w:t>
      </w:r>
      <w:r w:rsidR="00BB2491">
        <w:rPr>
          <w:i/>
          <w:sz w:val="26"/>
        </w:rPr>
        <w:t xml:space="preserve">Process Gas </w:t>
      </w:r>
      <w:r w:rsidR="00BB2491">
        <w:rPr>
          <w:sz w:val="26"/>
        </w:rPr>
        <w:t xml:space="preserve">to support the issuance of a stay in this proceeding.  </w:t>
      </w:r>
      <w:r w:rsidR="006C2160">
        <w:rPr>
          <w:sz w:val="26"/>
        </w:rPr>
        <w:t xml:space="preserve">Given the proximity of </w:t>
      </w:r>
      <w:r w:rsidR="006C2160">
        <w:rPr>
          <w:sz w:val="26"/>
        </w:rPr>
        <w:lastRenderedPageBreak/>
        <w:t>the due date for the payment of the civil penalty to the entry date of this Order</w:t>
      </w:r>
      <w:r w:rsidR="00263F48" w:rsidRPr="00263F48">
        <w:rPr>
          <w:sz w:val="26"/>
        </w:rPr>
        <w:t>, however,</w:t>
      </w:r>
      <w:r w:rsidR="00263F48">
        <w:rPr>
          <w:sz w:val="26"/>
        </w:rPr>
        <w:t xml:space="preserve"> </w:t>
      </w:r>
      <w:r w:rsidR="006C2160">
        <w:rPr>
          <w:sz w:val="26"/>
        </w:rPr>
        <w:t xml:space="preserve">we </w:t>
      </w:r>
      <w:r w:rsidR="00263F48">
        <w:rPr>
          <w:sz w:val="26"/>
        </w:rPr>
        <w:t xml:space="preserve">again </w:t>
      </w:r>
      <w:r w:rsidR="006C2160">
        <w:rPr>
          <w:sz w:val="26"/>
          <w:szCs w:val="26"/>
        </w:rPr>
        <w:t xml:space="preserve">find good cause to extend the deadline stated in Ordering Paragraph No. 5 of the </w:t>
      </w:r>
      <w:r w:rsidR="006C2160" w:rsidRPr="00955FD2">
        <w:rPr>
          <w:i/>
          <w:sz w:val="26"/>
          <w:szCs w:val="26"/>
        </w:rPr>
        <w:t>December 3, 2015 Order</w:t>
      </w:r>
      <w:r w:rsidR="006C2160">
        <w:rPr>
          <w:sz w:val="26"/>
          <w:szCs w:val="26"/>
        </w:rPr>
        <w:t xml:space="preserve"> as initially extended by our December 23, 2015 Secretarial Letter.  Therefore, the deadline shall be extended for an additional thirty days, or until March 4, 2016.</w:t>
      </w:r>
    </w:p>
    <w:p w:rsidR="001A5BBE" w:rsidRDefault="001A5BBE" w:rsidP="002168AD">
      <w:pPr>
        <w:rPr>
          <w:sz w:val="26"/>
        </w:rPr>
      </w:pPr>
    </w:p>
    <w:p w:rsidR="00AA4577" w:rsidRPr="00545274" w:rsidRDefault="00AA4577" w:rsidP="00263F48">
      <w:pPr>
        <w:pStyle w:val="ListParagraph"/>
        <w:keepNext/>
        <w:ind w:left="0" w:firstLine="0"/>
        <w:jc w:val="center"/>
        <w:rPr>
          <w:b/>
          <w:sz w:val="26"/>
        </w:rPr>
      </w:pPr>
      <w:r w:rsidRPr="00545274">
        <w:rPr>
          <w:b/>
          <w:sz w:val="26"/>
        </w:rPr>
        <w:t>Conclusion</w:t>
      </w:r>
    </w:p>
    <w:p w:rsidR="00130D9D" w:rsidRPr="0097174A" w:rsidRDefault="00130D9D" w:rsidP="00263F48">
      <w:pPr>
        <w:keepNext/>
        <w:ind w:firstLine="0"/>
        <w:jc w:val="center"/>
        <w:rPr>
          <w:sz w:val="26"/>
          <w:szCs w:val="26"/>
        </w:rPr>
      </w:pPr>
    </w:p>
    <w:p w:rsidR="006728EB" w:rsidRDefault="004414EE" w:rsidP="00263F48">
      <w:pPr>
        <w:keepNext/>
        <w:rPr>
          <w:b/>
          <w:sz w:val="26"/>
          <w:szCs w:val="26"/>
        </w:rPr>
      </w:pPr>
      <w:r>
        <w:rPr>
          <w:sz w:val="26"/>
        </w:rPr>
        <w:t xml:space="preserve">Based </w:t>
      </w:r>
      <w:r w:rsidR="006728EB">
        <w:rPr>
          <w:sz w:val="26"/>
        </w:rPr>
        <w:t>upon the foregoing discussion, we shall</w:t>
      </w:r>
      <w:r w:rsidR="00F77710">
        <w:rPr>
          <w:sz w:val="26"/>
        </w:rPr>
        <w:t xml:space="preserve"> deny </w:t>
      </w:r>
      <w:r w:rsidR="0046442C">
        <w:rPr>
          <w:sz w:val="26"/>
        </w:rPr>
        <w:t>HIKO’s</w:t>
      </w:r>
      <w:r w:rsidR="002168AD">
        <w:rPr>
          <w:sz w:val="26"/>
        </w:rPr>
        <w:t xml:space="preserve"> Petition</w:t>
      </w:r>
      <w:r w:rsidR="00AA4577" w:rsidRPr="003C56D5">
        <w:rPr>
          <w:sz w:val="26"/>
          <w:szCs w:val="26"/>
        </w:rPr>
        <w:t xml:space="preserve">; </w:t>
      </w:r>
      <w:r w:rsidR="00AA4577" w:rsidRPr="003C56D5">
        <w:rPr>
          <w:b/>
          <w:sz w:val="26"/>
          <w:szCs w:val="26"/>
        </w:rPr>
        <w:t>THEREFORE,</w:t>
      </w:r>
    </w:p>
    <w:p w:rsidR="001F691F" w:rsidRPr="002E4BB0" w:rsidRDefault="001F691F" w:rsidP="002E4BB0">
      <w:pPr>
        <w:rPr>
          <w:sz w:val="26"/>
          <w:szCs w:val="26"/>
        </w:rPr>
      </w:pPr>
    </w:p>
    <w:p w:rsidR="00AA4577" w:rsidRPr="00263F48" w:rsidRDefault="00AA4577" w:rsidP="006728EB">
      <w:pPr>
        <w:ind w:firstLine="720"/>
        <w:outlineLvl w:val="0"/>
        <w:rPr>
          <w:sz w:val="26"/>
        </w:rPr>
      </w:pPr>
      <w:r>
        <w:rPr>
          <w:b/>
          <w:sz w:val="26"/>
        </w:rPr>
        <w:t>IT IS ORDERED:</w:t>
      </w:r>
    </w:p>
    <w:p w:rsidR="006728EB" w:rsidRPr="00263F48" w:rsidRDefault="006728EB" w:rsidP="006728EB">
      <w:pPr>
        <w:ind w:firstLine="720"/>
        <w:outlineLvl w:val="0"/>
        <w:rPr>
          <w:sz w:val="26"/>
        </w:rPr>
      </w:pPr>
    </w:p>
    <w:p w:rsidR="001F691F" w:rsidRPr="007E04DF" w:rsidRDefault="006728EB" w:rsidP="001F691F">
      <w:pPr>
        <w:pStyle w:val="ListParagraph"/>
        <w:numPr>
          <w:ilvl w:val="0"/>
          <w:numId w:val="42"/>
        </w:numPr>
        <w:ind w:left="90" w:firstLine="1350"/>
        <w:outlineLvl w:val="0"/>
        <w:rPr>
          <w:sz w:val="26"/>
        </w:rPr>
      </w:pPr>
      <w:r>
        <w:rPr>
          <w:sz w:val="26"/>
        </w:rPr>
        <w:t xml:space="preserve">That the </w:t>
      </w:r>
      <w:r w:rsidR="0027639C">
        <w:rPr>
          <w:sz w:val="26"/>
        </w:rPr>
        <w:t xml:space="preserve">Emergency </w:t>
      </w:r>
      <w:r w:rsidR="002168AD">
        <w:rPr>
          <w:sz w:val="26"/>
          <w:szCs w:val="26"/>
        </w:rPr>
        <w:t xml:space="preserve">Petition for </w:t>
      </w:r>
      <w:r w:rsidR="0027639C">
        <w:rPr>
          <w:sz w:val="26"/>
          <w:szCs w:val="26"/>
        </w:rPr>
        <w:t xml:space="preserve">Supersedeas </w:t>
      </w:r>
      <w:r w:rsidR="002168AD">
        <w:rPr>
          <w:sz w:val="26"/>
          <w:szCs w:val="26"/>
        </w:rPr>
        <w:t xml:space="preserve">filed by </w:t>
      </w:r>
      <w:r w:rsidR="0027639C">
        <w:rPr>
          <w:sz w:val="26"/>
          <w:szCs w:val="26"/>
        </w:rPr>
        <w:t>HIKO Energy, LLC</w:t>
      </w:r>
      <w:r w:rsidR="002168AD">
        <w:rPr>
          <w:sz w:val="26"/>
          <w:szCs w:val="26"/>
        </w:rPr>
        <w:t xml:space="preserve">, on </w:t>
      </w:r>
      <w:r w:rsidR="0027639C">
        <w:rPr>
          <w:sz w:val="26"/>
          <w:szCs w:val="26"/>
        </w:rPr>
        <w:t>December 18</w:t>
      </w:r>
      <w:r w:rsidR="002168AD">
        <w:rPr>
          <w:sz w:val="26"/>
          <w:szCs w:val="26"/>
        </w:rPr>
        <w:t>, 2015, is denied</w:t>
      </w:r>
      <w:r w:rsidR="0034097D">
        <w:rPr>
          <w:sz w:val="26"/>
          <w:szCs w:val="26"/>
        </w:rPr>
        <w:t xml:space="preserve"> consistent with this Opinion and Order.</w:t>
      </w:r>
    </w:p>
    <w:p w:rsidR="007E04DF" w:rsidRPr="0092677C" w:rsidRDefault="007E04DF" w:rsidP="0092677C">
      <w:pPr>
        <w:outlineLvl w:val="0"/>
        <w:rPr>
          <w:sz w:val="26"/>
        </w:rPr>
      </w:pPr>
    </w:p>
    <w:p w:rsidR="00A84285" w:rsidRPr="00A84285" w:rsidRDefault="0034097D" w:rsidP="00A84285">
      <w:pPr>
        <w:pStyle w:val="ListParagraph"/>
        <w:numPr>
          <w:ilvl w:val="0"/>
          <w:numId w:val="42"/>
        </w:numPr>
        <w:ind w:left="0" w:firstLine="1440"/>
        <w:rPr>
          <w:sz w:val="26"/>
        </w:rPr>
      </w:pPr>
      <w:r w:rsidRPr="00A84285">
        <w:rPr>
          <w:sz w:val="26"/>
        </w:rPr>
        <w:t>That</w:t>
      </w:r>
      <w:r w:rsidR="001F691F">
        <w:rPr>
          <w:sz w:val="26"/>
        </w:rPr>
        <w:t xml:space="preserve"> </w:t>
      </w:r>
      <w:r w:rsidR="0027639C" w:rsidRPr="0027639C">
        <w:rPr>
          <w:sz w:val="26"/>
        </w:rPr>
        <w:t xml:space="preserve">in accordance with Section 3301 of the Public Utility Code, 66 Pa. C.S. § 3301, </w:t>
      </w:r>
      <w:r w:rsidR="006C2160">
        <w:rPr>
          <w:sz w:val="26"/>
        </w:rPr>
        <w:t xml:space="preserve">our December 3, 2015 Order, our December 23, 2015 Secretarial Letter, and this Order, </w:t>
      </w:r>
      <w:r w:rsidR="0027639C">
        <w:rPr>
          <w:sz w:val="26"/>
        </w:rPr>
        <w:t xml:space="preserve">on or before </w:t>
      </w:r>
      <w:r w:rsidR="006C2160">
        <w:rPr>
          <w:sz w:val="26"/>
        </w:rPr>
        <w:t>March 4</w:t>
      </w:r>
      <w:r w:rsidR="0027639C">
        <w:rPr>
          <w:sz w:val="26"/>
        </w:rPr>
        <w:t xml:space="preserve">, 2016, HIKO Energy, LLC </w:t>
      </w:r>
      <w:r w:rsidR="001F691F">
        <w:rPr>
          <w:sz w:val="26"/>
          <w:szCs w:val="26"/>
        </w:rPr>
        <w:t xml:space="preserve">shall pay </w:t>
      </w:r>
      <w:r w:rsidR="0027639C" w:rsidRPr="0027639C">
        <w:rPr>
          <w:sz w:val="26"/>
          <w:szCs w:val="26"/>
        </w:rPr>
        <w:t>a civil penalty in the amount of One Million Eight Hundred Thirty-Six Thousand One Hundred Twenty-Five Dollars ($1,836,125</w:t>
      </w:r>
      <w:r w:rsidR="0027639C">
        <w:rPr>
          <w:sz w:val="26"/>
          <w:szCs w:val="26"/>
        </w:rPr>
        <w:t>)</w:t>
      </w:r>
      <w:r w:rsidR="009750A2">
        <w:rPr>
          <w:sz w:val="26"/>
          <w:szCs w:val="26"/>
        </w:rPr>
        <w:t xml:space="preserve">.  </w:t>
      </w:r>
      <w:r w:rsidR="009750A2" w:rsidRPr="009750A2">
        <w:rPr>
          <w:sz w:val="26"/>
          <w:szCs w:val="26"/>
        </w:rPr>
        <w:t>Certified check or money order in that amount shall be made payable to “Commonwealth of Pennsylvania” and sent addressed as follows:</w:t>
      </w:r>
    </w:p>
    <w:p w:rsidR="001A5BBE" w:rsidRDefault="001A5BBE">
      <w:pPr>
        <w:spacing w:line="240" w:lineRule="auto"/>
        <w:ind w:firstLine="0"/>
        <w:rPr>
          <w:sz w:val="26"/>
        </w:rPr>
      </w:pPr>
    </w:p>
    <w:p w:rsidR="00A84285" w:rsidRPr="004C2E32" w:rsidRDefault="00A84285" w:rsidP="00A84285">
      <w:pPr>
        <w:spacing w:line="240" w:lineRule="auto"/>
        <w:ind w:firstLine="2160"/>
        <w:rPr>
          <w:sz w:val="26"/>
        </w:rPr>
      </w:pPr>
      <w:r w:rsidRPr="004C2E32">
        <w:rPr>
          <w:sz w:val="26"/>
        </w:rPr>
        <w:t>Secretary</w:t>
      </w:r>
    </w:p>
    <w:p w:rsidR="00A84285" w:rsidRPr="004C2E32" w:rsidRDefault="00A84285" w:rsidP="00A84285">
      <w:pPr>
        <w:spacing w:line="240" w:lineRule="auto"/>
        <w:ind w:firstLine="2160"/>
        <w:rPr>
          <w:sz w:val="26"/>
        </w:rPr>
      </w:pPr>
      <w:r w:rsidRPr="004C2E32">
        <w:rPr>
          <w:sz w:val="26"/>
        </w:rPr>
        <w:t>Pennsylvania Public Utility Commission</w:t>
      </w:r>
    </w:p>
    <w:p w:rsidR="00A84285" w:rsidRPr="004C2E32" w:rsidRDefault="00A84285" w:rsidP="00A84285">
      <w:pPr>
        <w:spacing w:line="240" w:lineRule="auto"/>
        <w:ind w:firstLine="2160"/>
        <w:rPr>
          <w:sz w:val="26"/>
        </w:rPr>
      </w:pPr>
      <w:r w:rsidRPr="004C2E32">
        <w:rPr>
          <w:sz w:val="26"/>
        </w:rPr>
        <w:t>P.O. Box 3265</w:t>
      </w:r>
    </w:p>
    <w:p w:rsidR="00A84285" w:rsidRDefault="00A84285" w:rsidP="00A84285">
      <w:pPr>
        <w:spacing w:line="240" w:lineRule="auto"/>
        <w:ind w:firstLine="2160"/>
        <w:rPr>
          <w:sz w:val="26"/>
        </w:rPr>
      </w:pPr>
      <w:r w:rsidRPr="004C2E32">
        <w:rPr>
          <w:sz w:val="26"/>
        </w:rPr>
        <w:t>Harrisburg, PA, 17105-3265</w:t>
      </w:r>
    </w:p>
    <w:p w:rsidR="00A84285" w:rsidRPr="004C2E32" w:rsidRDefault="00A84285" w:rsidP="00A84285">
      <w:pPr>
        <w:rPr>
          <w:sz w:val="26"/>
        </w:rPr>
      </w:pPr>
    </w:p>
    <w:p w:rsidR="002E4BB0" w:rsidRDefault="00A84285" w:rsidP="00A84285">
      <w:pPr>
        <w:pStyle w:val="ListParagraph"/>
        <w:numPr>
          <w:ilvl w:val="0"/>
          <w:numId w:val="42"/>
        </w:numPr>
        <w:ind w:left="0" w:firstLine="1440"/>
        <w:rPr>
          <w:sz w:val="26"/>
          <w:szCs w:val="26"/>
        </w:rPr>
      </w:pPr>
      <w:r w:rsidRPr="00A84285">
        <w:rPr>
          <w:sz w:val="26"/>
          <w:szCs w:val="26"/>
        </w:rPr>
        <w:t>That a copy of this Opinion and Order shall be served upon the Financial and Assessment Chief, Office of Administrative Services.</w:t>
      </w:r>
    </w:p>
    <w:p w:rsidR="00DD7719" w:rsidRPr="00BB4832" w:rsidRDefault="00DD7719" w:rsidP="00BB4832">
      <w:pPr>
        <w:spacing w:line="240" w:lineRule="auto"/>
        <w:ind w:firstLine="0"/>
        <w:outlineLvl w:val="0"/>
        <w:rPr>
          <w:sz w:val="26"/>
          <w:szCs w:val="26"/>
        </w:rPr>
      </w:pPr>
    </w:p>
    <w:p w:rsidR="00A84285" w:rsidRPr="00A84285" w:rsidRDefault="00A84285" w:rsidP="00A84285">
      <w:pPr>
        <w:pStyle w:val="ListParagraph"/>
        <w:numPr>
          <w:ilvl w:val="0"/>
          <w:numId w:val="42"/>
        </w:numPr>
        <w:ind w:left="0" w:firstLine="1440"/>
        <w:rPr>
          <w:sz w:val="26"/>
          <w:szCs w:val="26"/>
        </w:rPr>
      </w:pPr>
      <w:r w:rsidRPr="00A84285">
        <w:rPr>
          <w:sz w:val="26"/>
          <w:szCs w:val="26"/>
        </w:rPr>
        <w:t>That</w:t>
      </w:r>
      <w:r>
        <w:rPr>
          <w:sz w:val="26"/>
          <w:szCs w:val="26"/>
        </w:rPr>
        <w:t xml:space="preserve"> after </w:t>
      </w:r>
      <w:r w:rsidR="0027639C">
        <w:rPr>
          <w:sz w:val="26"/>
          <w:szCs w:val="26"/>
        </w:rPr>
        <w:t>HIKO Energy, LLC</w:t>
      </w:r>
      <w:r>
        <w:rPr>
          <w:sz w:val="26"/>
          <w:szCs w:val="26"/>
        </w:rPr>
        <w:t xml:space="preserve">, remits </w:t>
      </w:r>
      <w:r w:rsidRPr="00A84285">
        <w:rPr>
          <w:sz w:val="26"/>
          <w:szCs w:val="26"/>
        </w:rPr>
        <w:t>$</w:t>
      </w:r>
      <w:r w:rsidR="0027639C">
        <w:rPr>
          <w:sz w:val="26"/>
          <w:szCs w:val="26"/>
        </w:rPr>
        <w:t>1,836</w:t>
      </w:r>
      <w:r w:rsidRPr="00A84285">
        <w:rPr>
          <w:sz w:val="26"/>
          <w:szCs w:val="26"/>
        </w:rPr>
        <w:t>,</w:t>
      </w:r>
      <w:r w:rsidR="0027639C">
        <w:rPr>
          <w:sz w:val="26"/>
          <w:szCs w:val="26"/>
        </w:rPr>
        <w:t>125</w:t>
      </w:r>
      <w:r>
        <w:rPr>
          <w:sz w:val="26"/>
          <w:szCs w:val="26"/>
        </w:rPr>
        <w:t xml:space="preserve"> as required by Ordering Paragraph No. </w:t>
      </w:r>
      <w:r w:rsidR="006A1658">
        <w:rPr>
          <w:sz w:val="26"/>
          <w:szCs w:val="26"/>
        </w:rPr>
        <w:t>2</w:t>
      </w:r>
      <w:r>
        <w:rPr>
          <w:sz w:val="26"/>
          <w:szCs w:val="26"/>
        </w:rPr>
        <w:t>, the Secretary’s Bureau shall mark this proceeding closed.</w:t>
      </w:r>
    </w:p>
    <w:p w:rsidR="00AA4577" w:rsidRDefault="00407760" w:rsidP="00AA4577">
      <w:pPr>
        <w:rPr>
          <w:sz w:val="26"/>
        </w:rPr>
      </w:pPr>
      <w:bookmarkStart w:id="0" w:name="_GoBack"/>
      <w:r>
        <w:rPr>
          <w:noProof/>
        </w:rPr>
        <w:drawing>
          <wp:anchor distT="0" distB="0" distL="114300" distR="114300" simplePos="0" relativeHeight="251659264" behindDoc="1" locked="0" layoutInCell="1" allowOverlap="1" wp14:anchorId="65126101" wp14:editId="0D204719">
            <wp:simplePos x="0" y="0"/>
            <wp:positionH relativeFrom="column">
              <wp:posOffset>3081655</wp:posOffset>
            </wp:positionH>
            <wp:positionV relativeFrom="paragraph">
              <wp:posOffset>234315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C16547" w:rsidRDefault="009078DF" w:rsidP="00D2389F">
      <w:pPr>
        <w:ind w:left="3600"/>
        <w:rPr>
          <w:b/>
          <w:sz w:val="26"/>
          <w:szCs w:val="26"/>
        </w:rPr>
      </w:pPr>
      <w:r>
        <w:rPr>
          <w:b/>
          <w:sz w:val="26"/>
          <w:szCs w:val="26"/>
        </w:rPr>
        <w:t>BY THE C</w:t>
      </w:r>
      <w:r w:rsidR="00C16547">
        <w:rPr>
          <w:b/>
          <w:sz w:val="26"/>
          <w:szCs w:val="26"/>
        </w:rPr>
        <w:t>OMMISSIO</w:t>
      </w:r>
      <w:r w:rsidR="00160408">
        <w:rPr>
          <w:b/>
          <w:sz w:val="26"/>
          <w:szCs w:val="26"/>
        </w:rPr>
        <w:t>N</w:t>
      </w:r>
    </w:p>
    <w:p w:rsidR="00D2389F" w:rsidRDefault="00D2389F" w:rsidP="009279E4">
      <w:pPr>
        <w:spacing w:line="240" w:lineRule="auto"/>
        <w:rPr>
          <w:b/>
          <w:sz w:val="26"/>
          <w:szCs w:val="26"/>
        </w:rPr>
      </w:pPr>
    </w:p>
    <w:p w:rsidR="00E85123" w:rsidRDefault="00E85123" w:rsidP="00B43936">
      <w:pPr>
        <w:spacing w:line="240" w:lineRule="auto"/>
        <w:jc w:val="center"/>
        <w:rPr>
          <w:b/>
          <w:sz w:val="26"/>
          <w:szCs w:val="26"/>
        </w:rPr>
      </w:pPr>
    </w:p>
    <w:p w:rsidR="00B43936" w:rsidRDefault="00B43936" w:rsidP="00B43936">
      <w:pPr>
        <w:spacing w:line="240" w:lineRule="auto"/>
        <w:jc w:val="center"/>
        <w:rPr>
          <w:b/>
          <w:sz w:val="26"/>
          <w:szCs w:val="26"/>
        </w:rPr>
      </w:pPr>
    </w:p>
    <w:p w:rsidR="009078DF" w:rsidRDefault="00C16547" w:rsidP="009279E4">
      <w:pPr>
        <w:spacing w:line="240" w:lineRule="auto"/>
        <w:rPr>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sidR="00AA4DB7">
        <w:rPr>
          <w:sz w:val="26"/>
          <w:szCs w:val="26"/>
        </w:rPr>
        <w:t>Rosemary Chiavetta</w:t>
      </w:r>
    </w:p>
    <w:p w:rsidR="00C16547" w:rsidRPr="00C16547" w:rsidRDefault="00C16547" w:rsidP="009279E4">
      <w:pPr>
        <w:spacing w:line="240" w:lineRule="auto"/>
        <w:rPr>
          <w:sz w:val="26"/>
        </w:rPr>
      </w:pPr>
      <w:r>
        <w:rPr>
          <w:sz w:val="26"/>
          <w:szCs w:val="26"/>
        </w:rPr>
        <w:tab/>
      </w:r>
      <w:r>
        <w:rPr>
          <w:sz w:val="26"/>
          <w:szCs w:val="26"/>
        </w:rPr>
        <w:tab/>
      </w:r>
      <w:r>
        <w:rPr>
          <w:sz w:val="26"/>
          <w:szCs w:val="26"/>
        </w:rPr>
        <w:tab/>
      </w:r>
      <w:r>
        <w:rPr>
          <w:sz w:val="26"/>
          <w:szCs w:val="26"/>
        </w:rPr>
        <w:tab/>
      </w:r>
      <w:r>
        <w:rPr>
          <w:sz w:val="26"/>
          <w:szCs w:val="26"/>
        </w:rPr>
        <w:tab/>
        <w:t>Secretary</w:t>
      </w:r>
    </w:p>
    <w:p w:rsidR="001C468E" w:rsidRDefault="001C468E" w:rsidP="00B16D02">
      <w:pPr>
        <w:widowControl w:val="0"/>
        <w:spacing w:line="240" w:lineRule="auto"/>
        <w:ind w:firstLine="0"/>
        <w:rPr>
          <w:sz w:val="26"/>
          <w:szCs w:val="26"/>
        </w:rPr>
      </w:pPr>
    </w:p>
    <w:p w:rsidR="00265670" w:rsidRDefault="00E46816" w:rsidP="00B16D02">
      <w:pPr>
        <w:widowControl w:val="0"/>
        <w:spacing w:line="240" w:lineRule="auto"/>
        <w:ind w:firstLine="0"/>
        <w:rPr>
          <w:sz w:val="26"/>
          <w:szCs w:val="26"/>
        </w:rPr>
      </w:pPr>
      <w:r>
        <w:rPr>
          <w:sz w:val="26"/>
          <w:szCs w:val="26"/>
        </w:rPr>
        <w:t xml:space="preserve">ORDER ADOPTED:  </w:t>
      </w:r>
      <w:r w:rsidR="00BB4832">
        <w:rPr>
          <w:sz w:val="26"/>
          <w:szCs w:val="26"/>
        </w:rPr>
        <w:t>J</w:t>
      </w:r>
      <w:r w:rsidR="00B43936">
        <w:rPr>
          <w:sz w:val="26"/>
          <w:szCs w:val="26"/>
        </w:rPr>
        <w:t>anuary 28</w:t>
      </w:r>
      <w:r w:rsidR="00095E19">
        <w:rPr>
          <w:sz w:val="26"/>
          <w:szCs w:val="26"/>
        </w:rPr>
        <w:t>, 201</w:t>
      </w:r>
      <w:r w:rsidR="00B43936">
        <w:rPr>
          <w:sz w:val="26"/>
          <w:szCs w:val="26"/>
        </w:rPr>
        <w:t>6</w:t>
      </w:r>
    </w:p>
    <w:p w:rsidR="00095E19" w:rsidRDefault="00095E19" w:rsidP="00B16D02">
      <w:pPr>
        <w:widowControl w:val="0"/>
        <w:spacing w:line="240" w:lineRule="auto"/>
        <w:ind w:firstLine="0"/>
        <w:rPr>
          <w:sz w:val="26"/>
          <w:szCs w:val="26"/>
        </w:rPr>
      </w:pPr>
    </w:p>
    <w:p w:rsidR="009078DF" w:rsidRDefault="009078DF" w:rsidP="00B16D02">
      <w:pPr>
        <w:widowControl w:val="0"/>
        <w:spacing w:line="240" w:lineRule="auto"/>
        <w:ind w:firstLine="0"/>
        <w:rPr>
          <w:sz w:val="26"/>
          <w:szCs w:val="26"/>
        </w:rPr>
      </w:pPr>
      <w:r>
        <w:rPr>
          <w:sz w:val="26"/>
          <w:szCs w:val="26"/>
        </w:rPr>
        <w:t>ORDER ENTERED:</w:t>
      </w:r>
      <w:r w:rsidR="00B43936">
        <w:rPr>
          <w:sz w:val="26"/>
          <w:szCs w:val="26"/>
        </w:rPr>
        <w:t xml:space="preserve">  </w:t>
      </w:r>
      <w:r w:rsidR="00407760">
        <w:rPr>
          <w:sz w:val="26"/>
          <w:szCs w:val="26"/>
        </w:rPr>
        <w:t>January 28, 2016</w:t>
      </w:r>
    </w:p>
    <w:p w:rsidR="009078DF" w:rsidRDefault="009078DF" w:rsidP="00B16D02">
      <w:pPr>
        <w:widowControl w:val="0"/>
        <w:tabs>
          <w:tab w:val="left" w:pos="-720"/>
        </w:tabs>
        <w:spacing w:line="240" w:lineRule="auto"/>
        <w:ind w:firstLine="0"/>
        <w:rPr>
          <w:sz w:val="26"/>
          <w:szCs w:val="26"/>
        </w:rPr>
      </w:pPr>
    </w:p>
    <w:p w:rsidR="009078DF" w:rsidRDefault="009078DF" w:rsidP="00B16D02">
      <w:pPr>
        <w:widowControl w:val="0"/>
        <w:tabs>
          <w:tab w:val="left" w:pos="-720"/>
        </w:tabs>
        <w:spacing w:line="240" w:lineRule="auto"/>
        <w:ind w:firstLine="0"/>
        <w:rPr>
          <w:sz w:val="26"/>
          <w:szCs w:val="26"/>
        </w:rPr>
      </w:pPr>
      <w:r>
        <w:rPr>
          <w:sz w:val="26"/>
          <w:szCs w:val="26"/>
        </w:rPr>
        <w:t>(SEAL)</w:t>
      </w:r>
    </w:p>
    <w:sectPr w:rsidR="009078DF" w:rsidSect="00921AF7">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24E" w:rsidRDefault="00C3124E">
      <w:r>
        <w:separator/>
      </w:r>
    </w:p>
  </w:endnote>
  <w:endnote w:type="continuationSeparator" w:id="0">
    <w:p w:rsidR="00C3124E" w:rsidRDefault="00C31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C2C" w:rsidRDefault="00EB2C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B2C2C" w:rsidRDefault="00EB2C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C2C" w:rsidRDefault="00EB2C2C" w:rsidP="003E6607">
    <w:pPr>
      <w:pStyle w:val="Footer"/>
      <w:tabs>
        <w:tab w:val="clear" w:pos="4320"/>
        <w:tab w:val="clear" w:pos="8640"/>
      </w:tabs>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407760">
      <w:rPr>
        <w:rStyle w:val="PageNumber"/>
        <w:noProof/>
      </w:rPr>
      <w:t>31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24E" w:rsidRDefault="00C3124E" w:rsidP="00B43936">
      <w:pPr>
        <w:spacing w:line="240" w:lineRule="auto"/>
        <w:ind w:firstLine="0"/>
      </w:pPr>
      <w:r>
        <w:separator/>
      </w:r>
    </w:p>
  </w:footnote>
  <w:footnote w:type="continuationSeparator" w:id="0">
    <w:p w:rsidR="00C3124E" w:rsidRDefault="00C3124E">
      <w:r>
        <w:continuationSeparator/>
      </w:r>
    </w:p>
  </w:footnote>
  <w:footnote w:id="1">
    <w:p w:rsidR="00EB2C2C" w:rsidRPr="00455248" w:rsidRDefault="00EB2C2C" w:rsidP="00455248">
      <w:pPr>
        <w:pStyle w:val="FootnoteText"/>
        <w:spacing w:line="240" w:lineRule="auto"/>
        <w:rPr>
          <w:sz w:val="26"/>
          <w:szCs w:val="26"/>
        </w:rPr>
      </w:pPr>
      <w:r w:rsidRPr="00455248">
        <w:rPr>
          <w:rStyle w:val="FootnoteReference"/>
          <w:sz w:val="26"/>
          <w:szCs w:val="26"/>
        </w:rPr>
        <w:footnoteRef/>
      </w:r>
      <w:r w:rsidRPr="00455248">
        <w:rPr>
          <w:sz w:val="26"/>
          <w:szCs w:val="26"/>
        </w:rPr>
        <w:t xml:space="preserve"> </w:t>
      </w:r>
      <w:r>
        <w:rPr>
          <w:sz w:val="26"/>
          <w:szCs w:val="26"/>
        </w:rPr>
        <w:tab/>
      </w:r>
      <w:r w:rsidRPr="00455248">
        <w:rPr>
          <w:sz w:val="26"/>
          <w:szCs w:val="26"/>
        </w:rPr>
        <w:t>During the proceeding, based upon the exchange of information and testimony between the parties, I&amp;E reduced the number of alleged violations to 14,689.</w:t>
      </w:r>
    </w:p>
  </w:footnote>
  <w:footnote w:id="2">
    <w:p w:rsidR="00EB2C2C" w:rsidRPr="00F67B8D" w:rsidRDefault="00EB2C2C" w:rsidP="00F67B8D">
      <w:pPr>
        <w:pStyle w:val="FootnoteText"/>
        <w:spacing w:line="240" w:lineRule="auto"/>
        <w:rPr>
          <w:sz w:val="26"/>
          <w:szCs w:val="26"/>
        </w:rPr>
      </w:pPr>
      <w:r w:rsidRPr="00F67B8D">
        <w:rPr>
          <w:rStyle w:val="FootnoteReference"/>
          <w:sz w:val="26"/>
          <w:szCs w:val="26"/>
        </w:rPr>
        <w:footnoteRef/>
      </w:r>
      <w:r w:rsidRPr="00F67B8D">
        <w:rPr>
          <w:sz w:val="26"/>
          <w:szCs w:val="26"/>
        </w:rPr>
        <w:t xml:space="preserve"> </w:t>
      </w:r>
      <w:r>
        <w:rPr>
          <w:sz w:val="26"/>
          <w:szCs w:val="26"/>
        </w:rPr>
        <w:tab/>
      </w:r>
      <w:r w:rsidRPr="00F67B8D">
        <w:rPr>
          <w:sz w:val="26"/>
          <w:szCs w:val="26"/>
        </w:rPr>
        <w:t>On the same date we acted in this proceeding, we adopted th</w:t>
      </w:r>
      <w:r w:rsidR="00766A69">
        <w:rPr>
          <w:sz w:val="26"/>
          <w:szCs w:val="26"/>
        </w:rPr>
        <w:t>at</w:t>
      </w:r>
      <w:r w:rsidRPr="00F67B8D">
        <w:rPr>
          <w:sz w:val="26"/>
          <w:szCs w:val="26"/>
        </w:rPr>
        <w:t xml:space="preserve"> Initial Decision without modification </w:t>
      </w:r>
      <w:r w:rsidRPr="00F67B8D">
        <w:rPr>
          <w:i/>
          <w:sz w:val="26"/>
          <w:szCs w:val="26"/>
        </w:rPr>
        <w:t xml:space="preserve">Commonwealth of PA v. HIKO Energy, LLC, </w:t>
      </w:r>
      <w:r w:rsidRPr="00F67B8D">
        <w:rPr>
          <w:sz w:val="26"/>
          <w:szCs w:val="26"/>
        </w:rPr>
        <w:t>Docket No. C-2014-2427625 (Order entered December 3, 2015) (</w:t>
      </w:r>
      <w:r w:rsidRPr="00F67B8D">
        <w:rPr>
          <w:i/>
          <w:sz w:val="26"/>
          <w:szCs w:val="26"/>
        </w:rPr>
        <w:t>OAG/OCA-HIKO Settlement Order</w:t>
      </w:r>
      <w:r w:rsidRPr="00F67B8D">
        <w:rPr>
          <w:sz w:val="26"/>
          <w:szCs w:val="26"/>
        </w:rPr>
        <w:t>).</w:t>
      </w:r>
    </w:p>
  </w:footnote>
  <w:footnote w:id="3">
    <w:p w:rsidR="00EB2C2C" w:rsidRPr="00455248" w:rsidRDefault="00EB2C2C" w:rsidP="00C125C9">
      <w:pPr>
        <w:pStyle w:val="FootnoteText"/>
        <w:spacing w:line="240" w:lineRule="auto"/>
        <w:rPr>
          <w:sz w:val="26"/>
          <w:szCs w:val="26"/>
        </w:rPr>
      </w:pPr>
      <w:r w:rsidRPr="00455248">
        <w:rPr>
          <w:rStyle w:val="FootnoteReference"/>
          <w:sz w:val="26"/>
          <w:szCs w:val="26"/>
        </w:rPr>
        <w:footnoteRef/>
      </w:r>
      <w:r w:rsidRPr="00455248">
        <w:rPr>
          <w:sz w:val="26"/>
          <w:szCs w:val="26"/>
        </w:rPr>
        <w:t xml:space="preserve"> </w:t>
      </w:r>
      <w:r w:rsidRPr="00455248">
        <w:rPr>
          <w:sz w:val="26"/>
          <w:szCs w:val="26"/>
        </w:rPr>
        <w:tab/>
        <w:t xml:space="preserve">The ALJs found that HIKO issued a disclosure statement to each customer that identified the rate as the price stated when the customer enrolled as confirmed in the Company’s welcome letter.  In our Order, we used the term “customer information” to include all HIKO customer communications concerning the price marketed, disclosed, and billed through oral representations, letters, or disclosure statements pursuant to our Regulation at 52 Pa. Code § 54.2, which defines such information as written, oral, and electronic communications used by providers to communicate prices and terms to consumers.  </w:t>
      </w:r>
      <w:r w:rsidRPr="00455248">
        <w:rPr>
          <w:i/>
          <w:sz w:val="26"/>
          <w:szCs w:val="26"/>
        </w:rPr>
        <w:t xml:space="preserve">December 2015 Order </w:t>
      </w:r>
      <w:r w:rsidRPr="00455248">
        <w:rPr>
          <w:sz w:val="26"/>
          <w:szCs w:val="26"/>
        </w:rPr>
        <w:t>at 10 n.3.</w:t>
      </w:r>
    </w:p>
  </w:footnote>
  <w:footnote w:id="4">
    <w:p w:rsidR="00EB2C2C" w:rsidRPr="00E32ECB" w:rsidRDefault="00EB2C2C" w:rsidP="00E32ECB">
      <w:pPr>
        <w:pStyle w:val="FootnoteText"/>
        <w:spacing w:line="240" w:lineRule="auto"/>
        <w:rPr>
          <w:sz w:val="26"/>
          <w:szCs w:val="26"/>
        </w:rPr>
      </w:pPr>
      <w:r w:rsidRPr="00E32ECB">
        <w:rPr>
          <w:rStyle w:val="FootnoteReference"/>
          <w:sz w:val="26"/>
          <w:szCs w:val="26"/>
        </w:rPr>
        <w:footnoteRef/>
      </w:r>
      <w:r w:rsidRPr="00E32ECB">
        <w:rPr>
          <w:sz w:val="26"/>
          <w:szCs w:val="26"/>
        </w:rPr>
        <w:t xml:space="preserve"> </w:t>
      </w:r>
      <w:r>
        <w:rPr>
          <w:sz w:val="26"/>
          <w:szCs w:val="26"/>
        </w:rPr>
        <w:tab/>
      </w:r>
      <w:r w:rsidRPr="00E32ECB">
        <w:rPr>
          <w:i/>
          <w:sz w:val="26"/>
          <w:szCs w:val="26"/>
        </w:rPr>
        <w:t xml:space="preserve">See </w:t>
      </w:r>
      <w:r w:rsidRPr="00E32ECB">
        <w:rPr>
          <w:sz w:val="26"/>
          <w:szCs w:val="26"/>
        </w:rPr>
        <w:t>52 Pa. Code § 54.40(b): “The purpose of the security requirement is to ensure the licensee’s financial responsibility, the payment of gross receipts tax as required by section 2810 of the code (relating to revenue-neutral reconciliation), and the supply of electricity at retail in accordance with contracts, agreements or arrangement. See section 2809(c) of the code.”</w:t>
      </w:r>
    </w:p>
  </w:footnote>
  <w:footnote w:id="5">
    <w:p w:rsidR="00EB2C2C" w:rsidRPr="008E3D84" w:rsidRDefault="00EB2C2C" w:rsidP="00863308">
      <w:pPr>
        <w:pStyle w:val="FootnoteText"/>
        <w:spacing w:line="240" w:lineRule="auto"/>
        <w:rPr>
          <w:sz w:val="26"/>
          <w:szCs w:val="26"/>
        </w:rPr>
      </w:pPr>
      <w:r w:rsidRPr="008E3D84">
        <w:rPr>
          <w:rStyle w:val="FootnoteReference"/>
          <w:sz w:val="26"/>
          <w:szCs w:val="26"/>
        </w:rPr>
        <w:footnoteRef/>
      </w:r>
      <w:r w:rsidRPr="008E3D84">
        <w:rPr>
          <w:sz w:val="26"/>
          <w:szCs w:val="26"/>
        </w:rPr>
        <w:t xml:space="preserve"> </w:t>
      </w:r>
      <w:r>
        <w:rPr>
          <w:sz w:val="26"/>
          <w:szCs w:val="26"/>
        </w:rPr>
        <w:tab/>
        <w:t xml:space="preserve">In </w:t>
      </w:r>
      <w:r w:rsidRPr="008E3D84">
        <w:rPr>
          <w:sz w:val="26"/>
          <w:szCs w:val="26"/>
        </w:rPr>
        <w:t xml:space="preserve">Paragraph 9 of </w:t>
      </w:r>
      <w:r>
        <w:rPr>
          <w:sz w:val="26"/>
          <w:szCs w:val="26"/>
        </w:rPr>
        <w:t xml:space="preserve">its </w:t>
      </w:r>
      <w:r w:rsidRPr="008E3D84">
        <w:rPr>
          <w:sz w:val="26"/>
          <w:szCs w:val="26"/>
        </w:rPr>
        <w:t>Complaint</w:t>
      </w:r>
      <w:r>
        <w:rPr>
          <w:sz w:val="26"/>
          <w:szCs w:val="26"/>
        </w:rPr>
        <w:t xml:space="preserve">, </w:t>
      </w:r>
      <w:r w:rsidRPr="008E3D84">
        <w:rPr>
          <w:sz w:val="26"/>
          <w:szCs w:val="26"/>
        </w:rPr>
        <w:t>I&amp;E</w:t>
      </w:r>
      <w:r>
        <w:rPr>
          <w:sz w:val="26"/>
          <w:szCs w:val="26"/>
        </w:rPr>
        <w:t xml:space="preserve"> advised HIKO</w:t>
      </w:r>
      <w:r w:rsidRPr="008E3D84">
        <w:rPr>
          <w:sz w:val="26"/>
          <w:szCs w:val="26"/>
        </w:rPr>
        <w:t xml:space="preserve"> </w:t>
      </w:r>
      <w:r w:rsidR="00285844">
        <w:rPr>
          <w:sz w:val="26"/>
          <w:szCs w:val="26"/>
        </w:rPr>
        <w:t>that</w:t>
      </w:r>
      <w:r w:rsidRPr="008E3D84">
        <w:rPr>
          <w:sz w:val="26"/>
          <w:szCs w:val="26"/>
        </w:rPr>
        <w:t xml:space="preserve"> “Section 3301 of the Code, 66 Pa. C.S. § 3301, authorizes the Commission to impose civil penalties on any public utility or on any other person or corporation subject to the Commission’s authority for violations of the Code or Commission regulations or both.  Section 3301 further allows for the imposition of a separate fine for each violation and each day’s continuance of such violation(s).”</w:t>
      </w:r>
    </w:p>
  </w:footnote>
  <w:footnote w:id="6">
    <w:p w:rsidR="00EB2C2C" w:rsidRPr="00B1458D" w:rsidRDefault="00EB2C2C" w:rsidP="00812334">
      <w:pPr>
        <w:pStyle w:val="FootnoteText"/>
        <w:spacing w:line="240" w:lineRule="auto"/>
        <w:rPr>
          <w:sz w:val="26"/>
          <w:szCs w:val="26"/>
        </w:rPr>
      </w:pPr>
      <w:r w:rsidRPr="00B1458D">
        <w:rPr>
          <w:rStyle w:val="FootnoteReference"/>
          <w:sz w:val="26"/>
          <w:szCs w:val="26"/>
        </w:rPr>
        <w:footnoteRef/>
      </w:r>
      <w:r w:rsidRPr="00B1458D">
        <w:rPr>
          <w:sz w:val="26"/>
          <w:szCs w:val="26"/>
        </w:rPr>
        <w:t xml:space="preserve"> </w:t>
      </w:r>
      <w:r>
        <w:rPr>
          <w:sz w:val="26"/>
          <w:szCs w:val="26"/>
        </w:rPr>
        <w:tab/>
      </w:r>
      <w:r w:rsidRPr="003810EB">
        <w:rPr>
          <w:sz w:val="26"/>
          <w:szCs w:val="26"/>
        </w:rPr>
        <w:t>HIKO</w:t>
      </w:r>
      <w:r>
        <w:rPr>
          <w:sz w:val="26"/>
          <w:szCs w:val="26"/>
        </w:rPr>
        <w:t xml:space="preserve">’s demand for </w:t>
      </w:r>
      <w:r w:rsidRPr="003810EB">
        <w:rPr>
          <w:sz w:val="26"/>
          <w:szCs w:val="26"/>
        </w:rPr>
        <w:t xml:space="preserve">mathematical precision is </w:t>
      </w:r>
      <w:r>
        <w:rPr>
          <w:sz w:val="26"/>
          <w:szCs w:val="26"/>
        </w:rPr>
        <w:t xml:space="preserve">also reflected in its </w:t>
      </w:r>
      <w:r w:rsidRPr="003810EB">
        <w:rPr>
          <w:sz w:val="26"/>
          <w:szCs w:val="26"/>
        </w:rPr>
        <w:t>statement before Commonwealth Court that “[c]hanging the weighting of [the Section 69.1201] penalty factors necessarily should have changed the penalty calculus in HIKO’s favor.”  Protective Application for Stay Pending Appeal/Supersedeas, fil</w:t>
      </w:r>
      <w:r>
        <w:rPr>
          <w:sz w:val="26"/>
          <w:szCs w:val="26"/>
        </w:rPr>
        <w:t>ed January 4, 2016 at 5 C.D. 2016.</w:t>
      </w:r>
      <w:r w:rsidRPr="00B1458D">
        <w:rPr>
          <w:sz w:val="26"/>
          <w:szCs w:val="26"/>
        </w:rPr>
        <w:t xml:space="preserve">  </w:t>
      </w:r>
    </w:p>
  </w:footnote>
  <w:footnote w:id="7">
    <w:p w:rsidR="00EB2C2C" w:rsidRPr="00812334" w:rsidRDefault="00EB2C2C" w:rsidP="00812334">
      <w:pPr>
        <w:pStyle w:val="FootnoteText"/>
        <w:spacing w:line="240" w:lineRule="auto"/>
        <w:rPr>
          <w:sz w:val="26"/>
          <w:szCs w:val="26"/>
        </w:rPr>
      </w:pPr>
      <w:r w:rsidRPr="00812334">
        <w:rPr>
          <w:rStyle w:val="FootnoteReference"/>
          <w:sz w:val="26"/>
          <w:szCs w:val="26"/>
        </w:rPr>
        <w:footnoteRef/>
      </w:r>
      <w:r w:rsidRPr="00812334">
        <w:rPr>
          <w:sz w:val="26"/>
          <w:szCs w:val="26"/>
        </w:rPr>
        <w:t xml:space="preserve"> </w:t>
      </w:r>
      <w:r>
        <w:rPr>
          <w:sz w:val="26"/>
          <w:szCs w:val="26"/>
        </w:rPr>
        <w:tab/>
      </w:r>
      <w:r w:rsidRPr="00812334">
        <w:rPr>
          <w:i/>
          <w:sz w:val="26"/>
          <w:szCs w:val="26"/>
        </w:rPr>
        <w:t>See, e.g</w:t>
      </w:r>
      <w:r w:rsidRPr="00812334">
        <w:rPr>
          <w:sz w:val="26"/>
          <w:szCs w:val="26"/>
        </w:rPr>
        <w:t xml:space="preserve">., </w:t>
      </w:r>
      <w:r w:rsidRPr="00812334">
        <w:rPr>
          <w:i/>
          <w:sz w:val="26"/>
          <w:szCs w:val="26"/>
        </w:rPr>
        <w:t>December 2015 Order</w:t>
      </w:r>
      <w:r w:rsidRPr="00812334">
        <w:rPr>
          <w:sz w:val="26"/>
          <w:szCs w:val="26"/>
        </w:rPr>
        <w:t xml:space="preserve"> at 43-44 (“none of those areas . . . rises to such a level as to persuade us that the proposed civil penalty is inappropriate or unsupported.  Rather, we conclude, based upon our review of the totality of the evidence .</w:t>
      </w:r>
      <w:r>
        <w:rPr>
          <w:sz w:val="26"/>
          <w:szCs w:val="26"/>
        </w:rPr>
        <w:t> </w:t>
      </w:r>
      <w:r w:rsidRPr="00812334">
        <w:rPr>
          <w:sz w:val="26"/>
          <w:szCs w:val="26"/>
        </w:rPr>
        <w:t xml:space="preserve">. . that the recommended penalty is appropriate and supported by the record.”); at 48 (placing little or no weight on the ALJs’ finding of customer financial hardship on this record, despite evidence to that effect on the </w:t>
      </w:r>
      <w:r w:rsidRPr="00812334">
        <w:rPr>
          <w:i/>
          <w:sz w:val="26"/>
          <w:szCs w:val="26"/>
        </w:rPr>
        <w:t>OAG/OCA-HIKO Settlement</w:t>
      </w:r>
      <w:r w:rsidRPr="00812334">
        <w:rPr>
          <w:sz w:val="26"/>
          <w:szCs w:val="26"/>
        </w:rPr>
        <w:t xml:space="preserve"> record, does not disturb our conclusion that the civil penalty on the whole is appropriate).</w:t>
      </w:r>
    </w:p>
  </w:footnote>
  <w:footnote w:id="8">
    <w:p w:rsidR="00EB2C2C" w:rsidRPr="000C2BE4" w:rsidRDefault="00EB2C2C" w:rsidP="000C2BE4">
      <w:pPr>
        <w:pStyle w:val="FootnoteText"/>
        <w:spacing w:line="240" w:lineRule="auto"/>
        <w:rPr>
          <w:sz w:val="26"/>
          <w:szCs w:val="26"/>
        </w:rPr>
      </w:pPr>
      <w:r w:rsidRPr="000C2BE4">
        <w:rPr>
          <w:rStyle w:val="FootnoteReference"/>
          <w:sz w:val="26"/>
          <w:szCs w:val="26"/>
        </w:rPr>
        <w:footnoteRef/>
      </w:r>
      <w:r w:rsidRPr="000C2BE4">
        <w:rPr>
          <w:sz w:val="26"/>
          <w:szCs w:val="26"/>
        </w:rPr>
        <w:t xml:space="preserve"> </w:t>
      </w:r>
      <w:r>
        <w:rPr>
          <w:sz w:val="26"/>
          <w:szCs w:val="26"/>
        </w:rPr>
        <w:tab/>
      </w:r>
      <w:r w:rsidRPr="000C2BE4">
        <w:rPr>
          <w:sz w:val="26"/>
          <w:szCs w:val="26"/>
        </w:rPr>
        <w:t>Article I is a declaration of rights</w:t>
      </w:r>
      <w:r>
        <w:rPr>
          <w:sz w:val="26"/>
          <w:szCs w:val="26"/>
        </w:rPr>
        <w:t xml:space="preserve">.  </w:t>
      </w:r>
      <w:r w:rsidRPr="000C2BE4">
        <w:rPr>
          <w:sz w:val="26"/>
          <w:szCs w:val="26"/>
        </w:rPr>
        <w:t>Section 13</w:t>
      </w:r>
      <w:r>
        <w:rPr>
          <w:sz w:val="26"/>
          <w:szCs w:val="26"/>
        </w:rPr>
        <w:t>,</w:t>
      </w:r>
      <w:r w:rsidRPr="000C2BE4">
        <w:rPr>
          <w:sz w:val="26"/>
          <w:szCs w:val="26"/>
        </w:rPr>
        <w:t xml:space="preserve"> titled “Bail, Fines and Punishments</w:t>
      </w:r>
      <w:r>
        <w:rPr>
          <w:sz w:val="26"/>
          <w:szCs w:val="26"/>
        </w:rPr>
        <w:t>,</w:t>
      </w:r>
      <w:r w:rsidRPr="000C2BE4">
        <w:rPr>
          <w:sz w:val="26"/>
          <w:szCs w:val="26"/>
        </w:rPr>
        <w:t>” states that “[e]xcessive bail shall not be required, nor excessive fines imposed, nor cruel punishments inflicted.”  Article 5 addresses the judiciary</w:t>
      </w:r>
      <w:r>
        <w:rPr>
          <w:sz w:val="26"/>
          <w:szCs w:val="26"/>
        </w:rPr>
        <w:t xml:space="preserve">.  </w:t>
      </w:r>
      <w:r w:rsidRPr="000C2BE4">
        <w:rPr>
          <w:sz w:val="26"/>
          <w:szCs w:val="26"/>
        </w:rPr>
        <w:t>Section 9 provid</w:t>
      </w:r>
      <w:r>
        <w:rPr>
          <w:sz w:val="26"/>
          <w:szCs w:val="26"/>
        </w:rPr>
        <w:t>es</w:t>
      </w:r>
      <w:r w:rsidRPr="000C2BE4">
        <w:rPr>
          <w:sz w:val="26"/>
          <w:szCs w:val="26"/>
        </w:rPr>
        <w:t xml:space="preserve"> that </w:t>
      </w:r>
      <w:r>
        <w:rPr>
          <w:sz w:val="26"/>
          <w:szCs w:val="26"/>
        </w:rPr>
        <w:t>“</w:t>
      </w:r>
      <w:r w:rsidRPr="000C2BE4">
        <w:rPr>
          <w:sz w:val="26"/>
          <w:szCs w:val="26"/>
        </w:rPr>
        <w:t>[t]here shall be a right of appeal in all cases to a court of record from a court not of record; and there shall also be a right of appeal from a court of record or from an administrative agency to a court of record or to an appellate court, the selection of such co</w:t>
      </w:r>
      <w:r>
        <w:rPr>
          <w:sz w:val="26"/>
          <w:szCs w:val="26"/>
        </w:rPr>
        <w:t>urt to be as provided by law[.]”</w:t>
      </w:r>
    </w:p>
  </w:footnote>
  <w:footnote w:id="9">
    <w:p w:rsidR="00EB2C2C" w:rsidRPr="001D21B9" w:rsidRDefault="00EB2C2C" w:rsidP="001D21B9">
      <w:pPr>
        <w:pStyle w:val="FootnoteText"/>
        <w:spacing w:line="240" w:lineRule="auto"/>
        <w:rPr>
          <w:sz w:val="26"/>
          <w:szCs w:val="26"/>
        </w:rPr>
      </w:pPr>
      <w:r w:rsidRPr="001D21B9">
        <w:rPr>
          <w:rStyle w:val="FootnoteReference"/>
          <w:sz w:val="26"/>
          <w:szCs w:val="26"/>
        </w:rPr>
        <w:footnoteRef/>
      </w:r>
      <w:r w:rsidRPr="001D21B9">
        <w:rPr>
          <w:sz w:val="26"/>
          <w:szCs w:val="26"/>
        </w:rPr>
        <w:t xml:space="preserve"> </w:t>
      </w:r>
      <w:r>
        <w:rPr>
          <w:sz w:val="26"/>
          <w:szCs w:val="26"/>
        </w:rPr>
        <w:tab/>
      </w:r>
      <w:r w:rsidRPr="001D21B9">
        <w:rPr>
          <w:sz w:val="26"/>
          <w:szCs w:val="26"/>
        </w:rPr>
        <w:t>Under our Regulations, i</w:t>
      </w:r>
      <w:r w:rsidRPr="001D21B9">
        <w:rPr>
          <w:bCs/>
          <w:sz w:val="26"/>
          <w:szCs w:val="26"/>
        </w:rPr>
        <w:t xml:space="preserve">t is </w:t>
      </w:r>
      <w:r w:rsidR="00285844">
        <w:rPr>
          <w:bCs/>
          <w:sz w:val="26"/>
          <w:szCs w:val="26"/>
        </w:rPr>
        <w:t xml:space="preserve">generally </w:t>
      </w:r>
      <w:r w:rsidRPr="001D21B9">
        <w:rPr>
          <w:bCs/>
          <w:sz w:val="26"/>
          <w:szCs w:val="26"/>
        </w:rPr>
        <w:t xml:space="preserve">improper for a </w:t>
      </w:r>
      <w:r w:rsidRPr="001D21B9">
        <w:rPr>
          <w:sz w:val="26"/>
          <w:szCs w:val="26"/>
        </w:rPr>
        <w:t xml:space="preserve">party to raise an issue for the first time in Exceptions.  </w:t>
      </w:r>
      <w:r w:rsidRPr="001D21B9">
        <w:rPr>
          <w:i/>
          <w:sz w:val="26"/>
          <w:szCs w:val="26"/>
        </w:rPr>
        <w:t xml:space="preserve">See </w:t>
      </w:r>
      <w:r w:rsidRPr="001D21B9">
        <w:rPr>
          <w:sz w:val="26"/>
          <w:szCs w:val="26"/>
        </w:rPr>
        <w:t>52 Pa. Code § 5.533(c) (statements of reasons supporting exceptions must incorporate by reference and citation relevant portions of the record and passages in previously filed briefs).  W</w:t>
      </w:r>
      <w:r w:rsidR="00285844">
        <w:rPr>
          <w:sz w:val="26"/>
          <w:szCs w:val="26"/>
        </w:rPr>
        <w:t xml:space="preserve">e recognize that </w:t>
      </w:r>
      <w:r w:rsidRPr="001D21B9">
        <w:rPr>
          <w:sz w:val="26"/>
          <w:szCs w:val="26"/>
        </w:rPr>
        <w:t>the issue was not capable of being preserved until the $1.8 million fine was identified in the ALJs’ Initial Decision</w:t>
      </w:r>
      <w:r w:rsidR="00285844">
        <w:rPr>
          <w:sz w:val="26"/>
          <w:szCs w:val="26"/>
        </w:rPr>
        <w:t xml:space="preserve">.  </w:t>
      </w:r>
      <w:r w:rsidR="00705B90">
        <w:rPr>
          <w:sz w:val="26"/>
          <w:szCs w:val="26"/>
        </w:rPr>
        <w:t>However</w:t>
      </w:r>
      <w:r w:rsidRPr="001D21B9">
        <w:rPr>
          <w:sz w:val="26"/>
          <w:szCs w:val="26"/>
        </w:rPr>
        <w:t xml:space="preserve">, HIKO’s constitutional challenges should have been raised at its first opportunity, which would have been in HIKO’s Exceptions.  </w:t>
      </w:r>
      <w:r w:rsidR="00705B90">
        <w:rPr>
          <w:i/>
          <w:sz w:val="26"/>
          <w:szCs w:val="26"/>
        </w:rPr>
        <w:t xml:space="preserve">See </w:t>
      </w:r>
      <w:r w:rsidRPr="001D21B9">
        <w:rPr>
          <w:sz w:val="26"/>
          <w:szCs w:val="26"/>
        </w:rPr>
        <w:t xml:space="preserve"> </w:t>
      </w:r>
      <w:r w:rsidRPr="001D21B9">
        <w:rPr>
          <w:i/>
          <w:sz w:val="26"/>
          <w:szCs w:val="26"/>
        </w:rPr>
        <w:t>Wilson v. Columbia Gas of Pennsylvania, Inc.</w:t>
      </w:r>
      <w:r w:rsidRPr="001D21B9">
        <w:rPr>
          <w:sz w:val="26"/>
          <w:szCs w:val="26"/>
        </w:rPr>
        <w:t>, 2013 WL 6835138 (Pa.P.U.C.) at *5</w:t>
      </w:r>
      <w:r w:rsidR="00705B90">
        <w:rPr>
          <w:sz w:val="26"/>
          <w:szCs w:val="26"/>
        </w:rPr>
        <w:t xml:space="preserve"> (</w:t>
      </w:r>
      <w:r w:rsidR="00705B90" w:rsidRPr="00705B90">
        <w:rPr>
          <w:sz w:val="26"/>
          <w:szCs w:val="26"/>
        </w:rPr>
        <w:t xml:space="preserve">“new arguments </w:t>
      </w:r>
      <w:r w:rsidR="00705B90" w:rsidRPr="00705B90">
        <w:rPr>
          <w:bCs/>
          <w:sz w:val="26"/>
          <w:szCs w:val="26"/>
        </w:rPr>
        <w:t>may</w:t>
      </w:r>
      <w:r w:rsidR="00705B90" w:rsidRPr="00705B90">
        <w:rPr>
          <w:sz w:val="26"/>
          <w:szCs w:val="26"/>
        </w:rPr>
        <w:t xml:space="preserve"> </w:t>
      </w:r>
      <w:r w:rsidR="00705B90" w:rsidRPr="00705B90">
        <w:rPr>
          <w:bCs/>
          <w:sz w:val="26"/>
          <w:szCs w:val="26"/>
        </w:rPr>
        <w:t>not</w:t>
      </w:r>
      <w:r w:rsidR="00705B90" w:rsidRPr="00705B90">
        <w:rPr>
          <w:sz w:val="26"/>
          <w:szCs w:val="26"/>
        </w:rPr>
        <w:t xml:space="preserve"> be raised at the exception stage of a proceeding, as it deprives </w:t>
      </w:r>
      <w:r w:rsidR="00705B90" w:rsidRPr="00705B90">
        <w:rPr>
          <w:bCs/>
          <w:sz w:val="26"/>
          <w:szCs w:val="26"/>
        </w:rPr>
        <w:t>parties</w:t>
      </w:r>
      <w:r w:rsidR="00705B90" w:rsidRPr="00705B90">
        <w:rPr>
          <w:sz w:val="26"/>
          <w:szCs w:val="26"/>
        </w:rPr>
        <w:t xml:space="preserve"> of the opportunity to respond”</w:t>
      </w:r>
      <w:r w:rsidR="00705B90">
        <w:rPr>
          <w:sz w:val="26"/>
          <w:szCs w:val="26"/>
        </w:rPr>
        <w:t>)</w:t>
      </w:r>
      <w:r w:rsidRPr="001D21B9">
        <w:rPr>
          <w:sz w:val="26"/>
          <w:szCs w:val="26"/>
        </w:rPr>
        <w:t xml:space="preserve">, citing </w:t>
      </w:r>
      <w:r w:rsidRPr="001D21B9">
        <w:rPr>
          <w:i/>
          <w:iCs/>
          <w:sz w:val="26"/>
          <w:szCs w:val="26"/>
        </w:rPr>
        <w:t>Application of PPL Electric Utilities Corporation</w:t>
      </w:r>
      <w:r w:rsidRPr="001D21B9">
        <w:rPr>
          <w:sz w:val="26"/>
          <w:szCs w:val="26"/>
        </w:rPr>
        <w:t>, Docket No. A-2011-2267349 (Order entered July 16, 2013).</w:t>
      </w:r>
    </w:p>
  </w:footnote>
  <w:footnote w:id="10">
    <w:p w:rsidR="00EB2C2C" w:rsidRPr="00455248" w:rsidRDefault="00EB2C2C" w:rsidP="00455248">
      <w:pPr>
        <w:pStyle w:val="FootnoteText"/>
        <w:spacing w:line="240" w:lineRule="auto"/>
        <w:ind w:firstLine="720"/>
        <w:rPr>
          <w:sz w:val="26"/>
          <w:szCs w:val="26"/>
        </w:rPr>
      </w:pPr>
      <w:r w:rsidRPr="00455248">
        <w:rPr>
          <w:rStyle w:val="FootnoteReference"/>
          <w:sz w:val="26"/>
          <w:szCs w:val="26"/>
        </w:rPr>
        <w:footnoteRef/>
      </w:r>
      <w:r w:rsidRPr="00455248">
        <w:rPr>
          <w:sz w:val="26"/>
          <w:szCs w:val="26"/>
        </w:rPr>
        <w:t xml:space="preserve"> </w:t>
      </w:r>
      <w:r w:rsidRPr="00455248">
        <w:rPr>
          <w:sz w:val="26"/>
          <w:szCs w:val="26"/>
        </w:rPr>
        <w:tab/>
      </w:r>
      <w:r w:rsidRPr="00455248">
        <w:rPr>
          <w:i/>
          <w:sz w:val="26"/>
          <w:szCs w:val="26"/>
        </w:rPr>
        <w:t>See, e.g., Duquesne Interruptible Complainants v. Duquesne Light Co.</w:t>
      </w:r>
      <w:r w:rsidRPr="00455248">
        <w:rPr>
          <w:sz w:val="26"/>
          <w:szCs w:val="26"/>
        </w:rPr>
        <w:t>, Docket No. C-913424, 1993 WL 854406 (Order entered May 14, 1993) at *5</w:t>
      </w:r>
      <w:r>
        <w:rPr>
          <w:sz w:val="26"/>
          <w:szCs w:val="26"/>
        </w:rPr>
        <w:t>,</w:t>
      </w:r>
      <w:r w:rsidRPr="00455248">
        <w:rPr>
          <w:sz w:val="26"/>
          <w:szCs w:val="26"/>
        </w:rPr>
        <w:t xml:space="preserve"> citing </w:t>
      </w:r>
      <w:r w:rsidRPr="00455248">
        <w:rPr>
          <w:i/>
          <w:sz w:val="26"/>
          <w:szCs w:val="26"/>
        </w:rPr>
        <w:t>Sameric Corporation v. Gross</w:t>
      </w:r>
      <w:r w:rsidRPr="00455248">
        <w:rPr>
          <w:sz w:val="26"/>
          <w:szCs w:val="26"/>
        </w:rPr>
        <w:t xml:space="preserve">, 448 Pa. 497, 295 A.2d 277 (1972), </w:t>
      </w:r>
      <w:r w:rsidRPr="00455248">
        <w:rPr>
          <w:i/>
          <w:sz w:val="26"/>
          <w:szCs w:val="26"/>
        </w:rPr>
        <w:t xml:space="preserve">Goadby v. Philadelphia Electric Co., </w:t>
      </w:r>
      <w:r w:rsidRPr="00455248">
        <w:rPr>
          <w:sz w:val="26"/>
          <w:szCs w:val="26"/>
        </w:rPr>
        <w:t xml:space="preserve">639 F.2d 117 (3d Cir. 1981), and </w:t>
      </w:r>
      <w:r w:rsidRPr="00455248">
        <w:rPr>
          <w:i/>
          <w:sz w:val="26"/>
          <w:szCs w:val="26"/>
        </w:rPr>
        <w:t>Virginia Jobbers</w:t>
      </w:r>
      <w:r w:rsidRPr="00455248">
        <w:rPr>
          <w:sz w:val="26"/>
          <w:szCs w:val="26"/>
        </w:rPr>
        <w:t xml:space="preserve">.  </w:t>
      </w:r>
    </w:p>
  </w:footnote>
  <w:footnote w:id="11">
    <w:p w:rsidR="00EB2C2C" w:rsidRPr="00964E18" w:rsidRDefault="00EB2C2C" w:rsidP="00964E18">
      <w:pPr>
        <w:pStyle w:val="FootnoteText"/>
        <w:spacing w:line="240" w:lineRule="auto"/>
        <w:rPr>
          <w:sz w:val="26"/>
          <w:szCs w:val="26"/>
        </w:rPr>
      </w:pPr>
      <w:r w:rsidRPr="00964E18">
        <w:rPr>
          <w:rStyle w:val="FootnoteReference"/>
          <w:sz w:val="26"/>
          <w:szCs w:val="26"/>
        </w:rPr>
        <w:footnoteRef/>
      </w:r>
      <w:r w:rsidRPr="00964E18">
        <w:rPr>
          <w:sz w:val="26"/>
          <w:szCs w:val="26"/>
        </w:rPr>
        <w:t xml:space="preserve"> </w:t>
      </w:r>
      <w:r>
        <w:rPr>
          <w:sz w:val="26"/>
          <w:szCs w:val="26"/>
        </w:rPr>
        <w:t xml:space="preserve">Several sections of </w:t>
      </w:r>
      <w:r w:rsidRPr="006253BD">
        <w:rPr>
          <w:sz w:val="26"/>
          <w:szCs w:val="26"/>
        </w:rPr>
        <w:t>the Electricity Generation Customer Choice and Competition Act, Act 138 of 1996, as amended by Act 129 of 2008, 66 Pa. C.S. §§ 2801 -2815 (Competition Act)</w:t>
      </w:r>
      <w:r>
        <w:rPr>
          <w:sz w:val="26"/>
          <w:szCs w:val="26"/>
        </w:rPr>
        <w:t xml:space="preserve"> provide us this guidance and authority.  </w:t>
      </w:r>
      <w:r w:rsidRPr="00964E18">
        <w:rPr>
          <w:sz w:val="26"/>
          <w:szCs w:val="26"/>
        </w:rPr>
        <w:t>Section 2802(14) declares</w:t>
      </w:r>
      <w:r w:rsidR="00AC4A4E">
        <w:rPr>
          <w:sz w:val="26"/>
          <w:szCs w:val="26"/>
        </w:rPr>
        <w:t xml:space="preserve"> it the</w:t>
      </w:r>
      <w:r w:rsidRPr="00964E18">
        <w:rPr>
          <w:sz w:val="26"/>
          <w:szCs w:val="26"/>
        </w:rPr>
        <w:t xml:space="preserve"> Commonwealth</w:t>
      </w:r>
      <w:r w:rsidR="00AC4A4E">
        <w:rPr>
          <w:sz w:val="26"/>
          <w:szCs w:val="26"/>
        </w:rPr>
        <w:t>’s policy</w:t>
      </w:r>
      <w:r w:rsidRPr="00964E18">
        <w:rPr>
          <w:sz w:val="26"/>
          <w:szCs w:val="26"/>
        </w:rPr>
        <w:t xml:space="preserve"> that EGSs obtain licenses</w:t>
      </w:r>
      <w:r w:rsidR="00AC4A4E">
        <w:rPr>
          <w:sz w:val="26"/>
          <w:szCs w:val="26"/>
        </w:rPr>
        <w:t>,</w:t>
      </w:r>
      <w:r w:rsidRPr="00964E18">
        <w:rPr>
          <w:sz w:val="26"/>
          <w:szCs w:val="26"/>
        </w:rPr>
        <w:t xml:space="preserve"> demonstrate financial responsibility</w:t>
      </w:r>
      <w:r w:rsidR="00AC4A4E">
        <w:rPr>
          <w:sz w:val="26"/>
          <w:szCs w:val="26"/>
        </w:rPr>
        <w:t>,</w:t>
      </w:r>
      <w:r>
        <w:rPr>
          <w:sz w:val="26"/>
          <w:szCs w:val="26"/>
        </w:rPr>
        <w:t xml:space="preserve"> and </w:t>
      </w:r>
      <w:r w:rsidRPr="00964E18">
        <w:rPr>
          <w:sz w:val="26"/>
          <w:szCs w:val="26"/>
        </w:rPr>
        <w:t xml:space="preserve">also “comply with such other requirements concerning service as the commission deems necessary for the protection of the public.”  66 Pa. C.S. § 2802(14).  </w:t>
      </w:r>
      <w:r w:rsidR="00AC4A4E">
        <w:rPr>
          <w:sz w:val="26"/>
          <w:szCs w:val="26"/>
        </w:rPr>
        <w:t>S</w:t>
      </w:r>
      <w:r>
        <w:rPr>
          <w:sz w:val="26"/>
          <w:szCs w:val="26"/>
        </w:rPr>
        <w:t xml:space="preserve">pecific </w:t>
      </w:r>
      <w:r w:rsidRPr="00964E18">
        <w:rPr>
          <w:sz w:val="26"/>
          <w:szCs w:val="26"/>
        </w:rPr>
        <w:t xml:space="preserve">provisions </w:t>
      </w:r>
      <w:r w:rsidR="00AC4A4E">
        <w:rPr>
          <w:sz w:val="26"/>
          <w:szCs w:val="26"/>
        </w:rPr>
        <w:t xml:space="preserve">also </w:t>
      </w:r>
      <w:r w:rsidRPr="00964E18">
        <w:rPr>
          <w:sz w:val="26"/>
          <w:szCs w:val="26"/>
        </w:rPr>
        <w:t xml:space="preserve">address consumer protections, customer service, and the mandate that we “establish regulations to require each . . . electricity supplier, marketer, aggregator and broker to provide adequate and accurate customer information to enable customers to make informed choices regarding the purchase of all electricity services offered by that provider” and to do so with information to consumers that is “in an understandable format that enables consumers to compare prices and services on a uniform basis.”  66 Pa. C.S. § 2807(d)(2).  Further, </w:t>
      </w:r>
      <w:r>
        <w:rPr>
          <w:sz w:val="26"/>
          <w:szCs w:val="26"/>
        </w:rPr>
        <w:t xml:space="preserve">while allowing us to forbear from applying unnecessary requirements, </w:t>
      </w:r>
      <w:r w:rsidRPr="00964E18">
        <w:rPr>
          <w:sz w:val="26"/>
          <w:szCs w:val="26"/>
        </w:rPr>
        <w:t>Section 2809(e)</w:t>
      </w:r>
      <w:r>
        <w:rPr>
          <w:sz w:val="26"/>
          <w:szCs w:val="26"/>
        </w:rPr>
        <w:t xml:space="preserve"> mandates </w:t>
      </w:r>
      <w:r w:rsidRPr="00964E18">
        <w:rPr>
          <w:sz w:val="26"/>
          <w:szCs w:val="26"/>
        </w:rPr>
        <w:t xml:space="preserve">that “[i]n regulating the service of electric generation suppliers,” we impose standards that assure continued quality of electric service.  66 Pa. C.S. § 2809(e).  </w:t>
      </w:r>
      <w:r>
        <w:rPr>
          <w:sz w:val="26"/>
          <w:szCs w:val="26"/>
        </w:rPr>
        <w:t xml:space="preserve">Finally, </w:t>
      </w:r>
      <w:r w:rsidRPr="00964E18">
        <w:rPr>
          <w:sz w:val="26"/>
          <w:szCs w:val="26"/>
        </w:rPr>
        <w:t xml:space="preserve">Section 2809(f) specifically reserves for application to EGSs </w:t>
      </w:r>
      <w:r>
        <w:rPr>
          <w:sz w:val="26"/>
          <w:szCs w:val="26"/>
        </w:rPr>
        <w:t xml:space="preserve">our Chapter 56 Regulations regarding </w:t>
      </w:r>
      <w:r w:rsidRPr="00964E18">
        <w:rPr>
          <w:sz w:val="26"/>
          <w:szCs w:val="26"/>
        </w:rPr>
        <w:t>residential standards and billing practices.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D4ED70A"/>
    <w:lvl w:ilvl="0">
      <w:start w:val="1"/>
      <w:numFmt w:val="decimal"/>
      <w:pStyle w:val="ListNumber"/>
      <w:lvlText w:val="%1."/>
      <w:lvlJc w:val="left"/>
      <w:pPr>
        <w:tabs>
          <w:tab w:val="num" w:pos="360"/>
        </w:tabs>
        <w:ind w:left="360" w:hanging="360"/>
      </w:pPr>
    </w:lvl>
  </w:abstractNum>
  <w:abstractNum w:abstractNumId="1">
    <w:nsid w:val="05BC263B"/>
    <w:multiLevelType w:val="hybridMultilevel"/>
    <w:tmpl w:val="A9EC56C0"/>
    <w:lvl w:ilvl="0" w:tplc="6B08775C">
      <w:start w:val="1"/>
      <w:numFmt w:val="upperRoman"/>
      <w:lvlText w:val="%1."/>
      <w:lvlJc w:val="left"/>
      <w:pPr>
        <w:ind w:left="1800" w:hanging="720"/>
      </w:pPr>
      <w:rPr>
        <w:rFonts w:hint="default"/>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7725F6A"/>
    <w:multiLevelType w:val="hybridMultilevel"/>
    <w:tmpl w:val="D24675F0"/>
    <w:lvl w:ilvl="0" w:tplc="C742DC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88C210D"/>
    <w:multiLevelType w:val="hybridMultilevel"/>
    <w:tmpl w:val="8B7C98D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9B81AD4"/>
    <w:multiLevelType w:val="hybridMultilevel"/>
    <w:tmpl w:val="91B68880"/>
    <w:lvl w:ilvl="0" w:tplc="C360F11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D802AD5"/>
    <w:multiLevelType w:val="hybridMultilevel"/>
    <w:tmpl w:val="7096897E"/>
    <w:lvl w:ilvl="0" w:tplc="779E7BD8">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D1C8E"/>
    <w:multiLevelType w:val="hybridMultilevel"/>
    <w:tmpl w:val="319C950C"/>
    <w:lvl w:ilvl="0" w:tplc="BFC804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18215ABA"/>
    <w:multiLevelType w:val="hybridMultilevel"/>
    <w:tmpl w:val="8DFC7696"/>
    <w:lvl w:ilvl="0" w:tplc="36525C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D724590"/>
    <w:multiLevelType w:val="hybridMultilevel"/>
    <w:tmpl w:val="E82A1656"/>
    <w:lvl w:ilvl="0" w:tplc="5AB8D038">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F27D40"/>
    <w:multiLevelType w:val="hybridMultilevel"/>
    <w:tmpl w:val="EBE08B7A"/>
    <w:lvl w:ilvl="0" w:tplc="41B88558">
      <w:start w:val="1"/>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1ED3386"/>
    <w:multiLevelType w:val="hybridMultilevel"/>
    <w:tmpl w:val="AFC6DC8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1FB6263"/>
    <w:multiLevelType w:val="hybridMultilevel"/>
    <w:tmpl w:val="372E4916"/>
    <w:lvl w:ilvl="0" w:tplc="3DC4122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2C667EBC"/>
    <w:multiLevelType w:val="hybridMultilevel"/>
    <w:tmpl w:val="967A5240"/>
    <w:lvl w:ilvl="0" w:tplc="BB5EA98E">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C9F1DE4"/>
    <w:multiLevelType w:val="hybridMultilevel"/>
    <w:tmpl w:val="D15C6CB4"/>
    <w:lvl w:ilvl="0" w:tplc="6472CD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ED557BC"/>
    <w:multiLevelType w:val="hybridMultilevel"/>
    <w:tmpl w:val="48B4B29C"/>
    <w:lvl w:ilvl="0" w:tplc="A998BC4C">
      <w:start w:val="1"/>
      <w:numFmt w:val="decimal"/>
      <w:lvlText w:val="%1."/>
      <w:lvlJc w:val="left"/>
      <w:pPr>
        <w:ind w:left="3600" w:hanging="144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311B08F5"/>
    <w:multiLevelType w:val="hybridMultilevel"/>
    <w:tmpl w:val="D05E34C4"/>
    <w:lvl w:ilvl="0" w:tplc="07C6846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3310D06"/>
    <w:multiLevelType w:val="hybridMultilevel"/>
    <w:tmpl w:val="AC1A034C"/>
    <w:lvl w:ilvl="0" w:tplc="2668C43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5E66A8A"/>
    <w:multiLevelType w:val="hybridMultilevel"/>
    <w:tmpl w:val="1772BBC0"/>
    <w:lvl w:ilvl="0" w:tplc="D3088C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B242629"/>
    <w:multiLevelType w:val="hybridMultilevel"/>
    <w:tmpl w:val="42A656F2"/>
    <w:lvl w:ilvl="0" w:tplc="20F6E7C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22">
    <w:nsid w:val="3C3B6423"/>
    <w:multiLevelType w:val="hybridMultilevel"/>
    <w:tmpl w:val="2C8A0EB2"/>
    <w:lvl w:ilvl="0" w:tplc="B84A8B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EB01F2D"/>
    <w:multiLevelType w:val="hybridMultilevel"/>
    <w:tmpl w:val="0C9AC16A"/>
    <w:lvl w:ilvl="0" w:tplc="A0FC55EE">
      <w:start w:val="1"/>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3FBC4D58"/>
    <w:multiLevelType w:val="hybridMultilevel"/>
    <w:tmpl w:val="B3CAE4CA"/>
    <w:lvl w:ilvl="0" w:tplc="09008A46">
      <w:start w:val="1"/>
      <w:numFmt w:val="lowerLetter"/>
      <w:lvlText w:val="%1."/>
      <w:lvlJc w:val="left"/>
      <w:pPr>
        <w:tabs>
          <w:tab w:val="num" w:pos="2520"/>
        </w:tabs>
        <w:ind w:left="2520" w:hanging="360"/>
      </w:pPr>
      <w:rPr>
        <w:rFonts w:hint="default"/>
      </w:rPr>
    </w:lvl>
    <w:lvl w:ilvl="1" w:tplc="2196C23A">
      <w:start w:val="1"/>
      <w:numFmt w:val="lowerLetter"/>
      <w:lvlText w:val="%2."/>
      <w:lvlJc w:val="left"/>
      <w:pPr>
        <w:tabs>
          <w:tab w:val="num" w:pos="3600"/>
        </w:tabs>
        <w:ind w:left="3600" w:hanging="360"/>
      </w:pPr>
    </w:lvl>
    <w:lvl w:ilvl="2" w:tplc="D11CDAD6">
      <w:start w:val="1"/>
      <w:numFmt w:val="lowerRoman"/>
      <w:lvlText w:val="%3."/>
      <w:lvlJc w:val="right"/>
      <w:pPr>
        <w:tabs>
          <w:tab w:val="num" w:pos="4320"/>
        </w:tabs>
        <w:ind w:left="4320" w:hanging="180"/>
      </w:pPr>
    </w:lvl>
    <w:lvl w:ilvl="3" w:tplc="D3C60D48">
      <w:start w:val="1"/>
      <w:numFmt w:val="lowerLetter"/>
      <w:lvlText w:val="%4."/>
      <w:lvlJc w:val="left"/>
      <w:pPr>
        <w:tabs>
          <w:tab w:val="num" w:pos="5040"/>
        </w:tabs>
        <w:ind w:left="5040" w:hanging="360"/>
      </w:pPr>
      <w:rPr>
        <w:rFonts w:hint="default"/>
      </w:rPr>
    </w:lvl>
    <w:lvl w:ilvl="4" w:tplc="BF721428">
      <w:start w:val="1"/>
      <w:numFmt w:val="decimal"/>
      <w:lvlText w:val="%5."/>
      <w:lvlJc w:val="left"/>
      <w:pPr>
        <w:tabs>
          <w:tab w:val="num" w:pos="5760"/>
        </w:tabs>
        <w:ind w:left="5760" w:hanging="360"/>
      </w:pPr>
      <w:rPr>
        <w:rFonts w:hint="default"/>
      </w:rPr>
    </w:lvl>
    <w:lvl w:ilvl="5" w:tplc="9C2822F6" w:tentative="1">
      <w:start w:val="1"/>
      <w:numFmt w:val="lowerRoman"/>
      <w:lvlText w:val="%6."/>
      <w:lvlJc w:val="right"/>
      <w:pPr>
        <w:tabs>
          <w:tab w:val="num" w:pos="6480"/>
        </w:tabs>
        <w:ind w:left="6480" w:hanging="180"/>
      </w:pPr>
    </w:lvl>
    <w:lvl w:ilvl="6" w:tplc="B22014AE" w:tentative="1">
      <w:start w:val="1"/>
      <w:numFmt w:val="decimal"/>
      <w:lvlText w:val="%7."/>
      <w:lvlJc w:val="left"/>
      <w:pPr>
        <w:tabs>
          <w:tab w:val="num" w:pos="7200"/>
        </w:tabs>
        <w:ind w:left="7200" w:hanging="360"/>
      </w:pPr>
    </w:lvl>
    <w:lvl w:ilvl="7" w:tplc="CCFC5B6A" w:tentative="1">
      <w:start w:val="1"/>
      <w:numFmt w:val="lowerLetter"/>
      <w:lvlText w:val="%8."/>
      <w:lvlJc w:val="left"/>
      <w:pPr>
        <w:tabs>
          <w:tab w:val="num" w:pos="7920"/>
        </w:tabs>
        <w:ind w:left="7920" w:hanging="360"/>
      </w:pPr>
    </w:lvl>
    <w:lvl w:ilvl="8" w:tplc="524EFE3C" w:tentative="1">
      <w:start w:val="1"/>
      <w:numFmt w:val="lowerRoman"/>
      <w:lvlText w:val="%9."/>
      <w:lvlJc w:val="right"/>
      <w:pPr>
        <w:tabs>
          <w:tab w:val="num" w:pos="8640"/>
        </w:tabs>
        <w:ind w:left="8640" w:hanging="180"/>
      </w:pPr>
    </w:lvl>
  </w:abstractNum>
  <w:abstractNum w:abstractNumId="25">
    <w:nsid w:val="415350C1"/>
    <w:multiLevelType w:val="hybridMultilevel"/>
    <w:tmpl w:val="A044DB12"/>
    <w:lvl w:ilvl="0" w:tplc="5AB8D03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5120D30"/>
    <w:multiLevelType w:val="hybridMultilevel"/>
    <w:tmpl w:val="BC4071C6"/>
    <w:lvl w:ilvl="0" w:tplc="6982213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68D526A"/>
    <w:multiLevelType w:val="hybridMultilevel"/>
    <w:tmpl w:val="F1D6566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4854144A"/>
    <w:multiLevelType w:val="hybridMultilevel"/>
    <w:tmpl w:val="F90CDDDE"/>
    <w:lvl w:ilvl="0" w:tplc="9C142F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49BF5EE1"/>
    <w:multiLevelType w:val="hybridMultilevel"/>
    <w:tmpl w:val="AAECD20E"/>
    <w:lvl w:ilvl="0" w:tplc="B4722C6C">
      <w:start w:val="1"/>
      <w:numFmt w:val="lowerLetter"/>
      <w:lvlText w:val="(%1)"/>
      <w:lvlJc w:val="left"/>
      <w:pPr>
        <w:ind w:left="1875" w:hanging="115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BE26FA0"/>
    <w:multiLevelType w:val="hybridMultilevel"/>
    <w:tmpl w:val="3500AB32"/>
    <w:lvl w:ilvl="0" w:tplc="8AAA16D4">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D8947EA"/>
    <w:multiLevelType w:val="hybridMultilevel"/>
    <w:tmpl w:val="C22473E4"/>
    <w:lvl w:ilvl="0" w:tplc="C742DC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4F704D54"/>
    <w:multiLevelType w:val="hybridMultilevel"/>
    <w:tmpl w:val="2974B27C"/>
    <w:lvl w:ilvl="0" w:tplc="B5089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3DC789B"/>
    <w:multiLevelType w:val="hybridMultilevel"/>
    <w:tmpl w:val="6C428844"/>
    <w:lvl w:ilvl="0" w:tplc="8470546E">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54FB7B9F"/>
    <w:multiLevelType w:val="hybridMultilevel"/>
    <w:tmpl w:val="00F4E8D4"/>
    <w:lvl w:ilvl="0" w:tplc="D0C6BB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5AF56A4"/>
    <w:multiLevelType w:val="hybridMultilevel"/>
    <w:tmpl w:val="2C98129E"/>
    <w:lvl w:ilvl="0" w:tplc="B7B4177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ACC058A"/>
    <w:multiLevelType w:val="hybridMultilevel"/>
    <w:tmpl w:val="F6ACEA6A"/>
    <w:lvl w:ilvl="0" w:tplc="760C338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5B743053"/>
    <w:multiLevelType w:val="hybridMultilevel"/>
    <w:tmpl w:val="D29C27DA"/>
    <w:lvl w:ilvl="0" w:tplc="BB14898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5DBD5700"/>
    <w:multiLevelType w:val="hybridMultilevel"/>
    <w:tmpl w:val="D0C6B6C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9">
    <w:nsid w:val="694D6F31"/>
    <w:multiLevelType w:val="singleLevel"/>
    <w:tmpl w:val="5FEC5F3A"/>
    <w:lvl w:ilvl="0">
      <w:start w:val="1"/>
      <w:numFmt w:val="decimal"/>
      <w:lvlText w:val="%1."/>
      <w:lvlJc w:val="left"/>
      <w:pPr>
        <w:tabs>
          <w:tab w:val="num" w:pos="1440"/>
        </w:tabs>
        <w:ind w:left="0" w:firstLine="720"/>
      </w:pPr>
    </w:lvl>
  </w:abstractNum>
  <w:abstractNum w:abstractNumId="40">
    <w:nsid w:val="73AA065C"/>
    <w:multiLevelType w:val="hybridMultilevel"/>
    <w:tmpl w:val="C45C8CB4"/>
    <w:lvl w:ilvl="0" w:tplc="EB0A706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5C25250"/>
    <w:multiLevelType w:val="hybridMultilevel"/>
    <w:tmpl w:val="4E80DC3E"/>
    <w:lvl w:ilvl="0" w:tplc="97BA66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66F5F31"/>
    <w:multiLevelType w:val="hybridMultilevel"/>
    <w:tmpl w:val="3DFEC136"/>
    <w:lvl w:ilvl="0" w:tplc="36525C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76E86E20"/>
    <w:multiLevelType w:val="hybridMultilevel"/>
    <w:tmpl w:val="80664902"/>
    <w:lvl w:ilvl="0" w:tplc="C588A8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7C7150ED"/>
    <w:multiLevelType w:val="hybridMultilevel"/>
    <w:tmpl w:val="FBF0B338"/>
    <w:lvl w:ilvl="0" w:tplc="5E3E048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F123583"/>
    <w:multiLevelType w:val="hybridMultilevel"/>
    <w:tmpl w:val="8C841594"/>
    <w:lvl w:ilvl="0" w:tplc="1D7C8CF2">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num w:numId="1">
    <w:abstractNumId w:val="7"/>
  </w:num>
  <w:num w:numId="2">
    <w:abstractNumId w:val="0"/>
  </w:num>
  <w:num w:numId="3">
    <w:abstractNumId w:val="24"/>
  </w:num>
  <w:num w:numId="4">
    <w:abstractNumId w:val="6"/>
  </w:num>
  <w:num w:numId="5">
    <w:abstractNumId w:val="19"/>
  </w:num>
  <w:num w:numId="6">
    <w:abstractNumId w:val="22"/>
  </w:num>
  <w:num w:numId="7">
    <w:abstractNumId w:val="25"/>
  </w:num>
  <w:num w:numId="8">
    <w:abstractNumId w:val="9"/>
  </w:num>
  <w:num w:numId="9">
    <w:abstractNumId w:val="38"/>
  </w:num>
  <w:num w:numId="10">
    <w:abstractNumId w:val="21"/>
  </w:num>
  <w:num w:numId="11">
    <w:abstractNumId w:val="27"/>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42"/>
  </w:num>
  <w:num w:numId="15">
    <w:abstractNumId w:val="43"/>
  </w:num>
  <w:num w:numId="16">
    <w:abstractNumId w:val="8"/>
  </w:num>
  <w:num w:numId="17">
    <w:abstractNumId w:val="39"/>
  </w:num>
  <w:num w:numId="18">
    <w:abstractNumId w:val="29"/>
  </w:num>
  <w:num w:numId="19">
    <w:abstractNumId w:val="5"/>
  </w:num>
  <w:num w:numId="20">
    <w:abstractNumId w:val="1"/>
  </w:num>
  <w:num w:numId="21">
    <w:abstractNumId w:val="30"/>
  </w:num>
  <w:num w:numId="22">
    <w:abstractNumId w:val="11"/>
  </w:num>
  <w:num w:numId="23">
    <w:abstractNumId w:val="35"/>
  </w:num>
  <w:num w:numId="24">
    <w:abstractNumId w:val="14"/>
  </w:num>
  <w:num w:numId="25">
    <w:abstractNumId w:val="2"/>
  </w:num>
  <w:num w:numId="26">
    <w:abstractNumId w:val="31"/>
  </w:num>
  <w:num w:numId="27">
    <w:abstractNumId w:val="26"/>
  </w:num>
  <w:num w:numId="28">
    <w:abstractNumId w:val="34"/>
  </w:num>
  <w:num w:numId="29">
    <w:abstractNumId w:val="44"/>
  </w:num>
  <w:num w:numId="30">
    <w:abstractNumId w:val="15"/>
  </w:num>
  <w:num w:numId="31">
    <w:abstractNumId w:val="18"/>
  </w:num>
  <w:num w:numId="32">
    <w:abstractNumId w:val="37"/>
  </w:num>
  <w:num w:numId="33">
    <w:abstractNumId w:val="4"/>
  </w:num>
  <w:num w:numId="34">
    <w:abstractNumId w:val="10"/>
  </w:num>
  <w:num w:numId="35">
    <w:abstractNumId w:val="23"/>
  </w:num>
  <w:num w:numId="36">
    <w:abstractNumId w:val="12"/>
  </w:num>
  <w:num w:numId="37">
    <w:abstractNumId w:val="20"/>
  </w:num>
  <w:num w:numId="38">
    <w:abstractNumId w:val="17"/>
  </w:num>
  <w:num w:numId="39">
    <w:abstractNumId w:val="41"/>
  </w:num>
  <w:num w:numId="40">
    <w:abstractNumId w:val="40"/>
  </w:num>
  <w:num w:numId="41">
    <w:abstractNumId w:val="45"/>
  </w:num>
  <w:num w:numId="42">
    <w:abstractNumId w:val="36"/>
  </w:num>
  <w:num w:numId="43">
    <w:abstractNumId w:val="33"/>
  </w:num>
  <w:num w:numId="44">
    <w:abstractNumId w:val="16"/>
  </w:num>
  <w:num w:numId="45">
    <w:abstractNumId w:val="28"/>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3B6"/>
    <w:rsid w:val="00000490"/>
    <w:rsid w:val="00001119"/>
    <w:rsid w:val="0000221F"/>
    <w:rsid w:val="0000428C"/>
    <w:rsid w:val="0000461C"/>
    <w:rsid w:val="000046FB"/>
    <w:rsid w:val="00004994"/>
    <w:rsid w:val="00005F23"/>
    <w:rsid w:val="00006A6C"/>
    <w:rsid w:val="00010437"/>
    <w:rsid w:val="00010785"/>
    <w:rsid w:val="00010C2C"/>
    <w:rsid w:val="0001116B"/>
    <w:rsid w:val="00012488"/>
    <w:rsid w:val="000125AB"/>
    <w:rsid w:val="000130D2"/>
    <w:rsid w:val="00013786"/>
    <w:rsid w:val="00016FF2"/>
    <w:rsid w:val="00017985"/>
    <w:rsid w:val="00017FFA"/>
    <w:rsid w:val="000204E0"/>
    <w:rsid w:val="00021836"/>
    <w:rsid w:val="00021EBA"/>
    <w:rsid w:val="00021ECD"/>
    <w:rsid w:val="00023D23"/>
    <w:rsid w:val="00025A32"/>
    <w:rsid w:val="000267AE"/>
    <w:rsid w:val="00027CC4"/>
    <w:rsid w:val="00030995"/>
    <w:rsid w:val="00030F0C"/>
    <w:rsid w:val="00031717"/>
    <w:rsid w:val="00031EDE"/>
    <w:rsid w:val="00033AC5"/>
    <w:rsid w:val="000346E4"/>
    <w:rsid w:val="00037104"/>
    <w:rsid w:val="00037689"/>
    <w:rsid w:val="0004057B"/>
    <w:rsid w:val="00040D73"/>
    <w:rsid w:val="00041D50"/>
    <w:rsid w:val="00043ABA"/>
    <w:rsid w:val="000463B3"/>
    <w:rsid w:val="00046C24"/>
    <w:rsid w:val="00046D2C"/>
    <w:rsid w:val="00046D3E"/>
    <w:rsid w:val="00047550"/>
    <w:rsid w:val="00050A2C"/>
    <w:rsid w:val="00051048"/>
    <w:rsid w:val="0005106E"/>
    <w:rsid w:val="000514BE"/>
    <w:rsid w:val="000529E1"/>
    <w:rsid w:val="00053335"/>
    <w:rsid w:val="00053A3E"/>
    <w:rsid w:val="00053BD5"/>
    <w:rsid w:val="000553E5"/>
    <w:rsid w:val="00057BD9"/>
    <w:rsid w:val="00061F18"/>
    <w:rsid w:val="00063337"/>
    <w:rsid w:val="000635DA"/>
    <w:rsid w:val="00063817"/>
    <w:rsid w:val="00066CB8"/>
    <w:rsid w:val="0006771E"/>
    <w:rsid w:val="0007018C"/>
    <w:rsid w:val="00070363"/>
    <w:rsid w:val="000706D0"/>
    <w:rsid w:val="00070A21"/>
    <w:rsid w:val="00071724"/>
    <w:rsid w:val="000717AE"/>
    <w:rsid w:val="000719D6"/>
    <w:rsid w:val="00072996"/>
    <w:rsid w:val="00073AED"/>
    <w:rsid w:val="00073E5C"/>
    <w:rsid w:val="000748DD"/>
    <w:rsid w:val="000749D2"/>
    <w:rsid w:val="00076532"/>
    <w:rsid w:val="00080DA3"/>
    <w:rsid w:val="00083A09"/>
    <w:rsid w:val="00083D23"/>
    <w:rsid w:val="00085041"/>
    <w:rsid w:val="0008767C"/>
    <w:rsid w:val="00092469"/>
    <w:rsid w:val="000933C2"/>
    <w:rsid w:val="0009536C"/>
    <w:rsid w:val="000953EF"/>
    <w:rsid w:val="00095E19"/>
    <w:rsid w:val="00097699"/>
    <w:rsid w:val="00097B6E"/>
    <w:rsid w:val="000A002A"/>
    <w:rsid w:val="000A1375"/>
    <w:rsid w:val="000A2658"/>
    <w:rsid w:val="000A297C"/>
    <w:rsid w:val="000A2A7D"/>
    <w:rsid w:val="000A2B83"/>
    <w:rsid w:val="000A3294"/>
    <w:rsid w:val="000A4024"/>
    <w:rsid w:val="000A45F4"/>
    <w:rsid w:val="000A6BAE"/>
    <w:rsid w:val="000A6CAC"/>
    <w:rsid w:val="000A777B"/>
    <w:rsid w:val="000B07E6"/>
    <w:rsid w:val="000B3BA4"/>
    <w:rsid w:val="000B3BE9"/>
    <w:rsid w:val="000B4595"/>
    <w:rsid w:val="000B539F"/>
    <w:rsid w:val="000B5E09"/>
    <w:rsid w:val="000C150B"/>
    <w:rsid w:val="000C2BE4"/>
    <w:rsid w:val="000C372E"/>
    <w:rsid w:val="000C46BF"/>
    <w:rsid w:val="000C5552"/>
    <w:rsid w:val="000C5680"/>
    <w:rsid w:val="000C7A42"/>
    <w:rsid w:val="000D06A4"/>
    <w:rsid w:val="000D1DA9"/>
    <w:rsid w:val="000D3297"/>
    <w:rsid w:val="000D3AA4"/>
    <w:rsid w:val="000D629B"/>
    <w:rsid w:val="000D6E5C"/>
    <w:rsid w:val="000D717E"/>
    <w:rsid w:val="000D73C2"/>
    <w:rsid w:val="000D74E8"/>
    <w:rsid w:val="000E0B17"/>
    <w:rsid w:val="000E12AC"/>
    <w:rsid w:val="000E159A"/>
    <w:rsid w:val="000E1F33"/>
    <w:rsid w:val="000E2205"/>
    <w:rsid w:val="000E27A6"/>
    <w:rsid w:val="000E41EC"/>
    <w:rsid w:val="000E4E3B"/>
    <w:rsid w:val="000E5232"/>
    <w:rsid w:val="000E57F9"/>
    <w:rsid w:val="000E694E"/>
    <w:rsid w:val="000E6AC9"/>
    <w:rsid w:val="000E6E5C"/>
    <w:rsid w:val="000F16C6"/>
    <w:rsid w:val="000F1B49"/>
    <w:rsid w:val="000F4745"/>
    <w:rsid w:val="000F5465"/>
    <w:rsid w:val="000F5EB7"/>
    <w:rsid w:val="000F6852"/>
    <w:rsid w:val="000F6C0E"/>
    <w:rsid w:val="00100508"/>
    <w:rsid w:val="0010176D"/>
    <w:rsid w:val="00101836"/>
    <w:rsid w:val="00102B78"/>
    <w:rsid w:val="00103D94"/>
    <w:rsid w:val="00104931"/>
    <w:rsid w:val="00104D37"/>
    <w:rsid w:val="00105828"/>
    <w:rsid w:val="0010631A"/>
    <w:rsid w:val="00106A2F"/>
    <w:rsid w:val="00106C7F"/>
    <w:rsid w:val="00107753"/>
    <w:rsid w:val="00110D56"/>
    <w:rsid w:val="00111B99"/>
    <w:rsid w:val="001120FD"/>
    <w:rsid w:val="00112AFE"/>
    <w:rsid w:val="00113195"/>
    <w:rsid w:val="00113759"/>
    <w:rsid w:val="00113E36"/>
    <w:rsid w:val="00114294"/>
    <w:rsid w:val="00114E0D"/>
    <w:rsid w:val="00120817"/>
    <w:rsid w:val="00121A5F"/>
    <w:rsid w:val="00121DA9"/>
    <w:rsid w:val="001221C4"/>
    <w:rsid w:val="001225B2"/>
    <w:rsid w:val="00122E52"/>
    <w:rsid w:val="00124436"/>
    <w:rsid w:val="00125613"/>
    <w:rsid w:val="00125F28"/>
    <w:rsid w:val="00126A36"/>
    <w:rsid w:val="00126AD6"/>
    <w:rsid w:val="00127786"/>
    <w:rsid w:val="00127981"/>
    <w:rsid w:val="00130D9D"/>
    <w:rsid w:val="0013156B"/>
    <w:rsid w:val="00131F22"/>
    <w:rsid w:val="001325C4"/>
    <w:rsid w:val="00133293"/>
    <w:rsid w:val="00134070"/>
    <w:rsid w:val="001365D1"/>
    <w:rsid w:val="0013730E"/>
    <w:rsid w:val="00137541"/>
    <w:rsid w:val="00137A08"/>
    <w:rsid w:val="00140ADB"/>
    <w:rsid w:val="00140E71"/>
    <w:rsid w:val="001412F4"/>
    <w:rsid w:val="00141588"/>
    <w:rsid w:val="00142044"/>
    <w:rsid w:val="00143311"/>
    <w:rsid w:val="00144822"/>
    <w:rsid w:val="001453C4"/>
    <w:rsid w:val="00145C08"/>
    <w:rsid w:val="00146BCE"/>
    <w:rsid w:val="00147B41"/>
    <w:rsid w:val="00150344"/>
    <w:rsid w:val="0015365B"/>
    <w:rsid w:val="00155803"/>
    <w:rsid w:val="00157D0C"/>
    <w:rsid w:val="00160408"/>
    <w:rsid w:val="0016112F"/>
    <w:rsid w:val="00162591"/>
    <w:rsid w:val="00162718"/>
    <w:rsid w:val="001627CC"/>
    <w:rsid w:val="00165DFF"/>
    <w:rsid w:val="00166A23"/>
    <w:rsid w:val="001675F1"/>
    <w:rsid w:val="001676D4"/>
    <w:rsid w:val="00167EDF"/>
    <w:rsid w:val="00167F9A"/>
    <w:rsid w:val="001716D1"/>
    <w:rsid w:val="00171BE0"/>
    <w:rsid w:val="00171D79"/>
    <w:rsid w:val="0017201F"/>
    <w:rsid w:val="00172BD2"/>
    <w:rsid w:val="001733FB"/>
    <w:rsid w:val="00175645"/>
    <w:rsid w:val="0017760B"/>
    <w:rsid w:val="00183567"/>
    <w:rsid w:val="0018387E"/>
    <w:rsid w:val="001840C2"/>
    <w:rsid w:val="001846D9"/>
    <w:rsid w:val="001847C6"/>
    <w:rsid w:val="00185E66"/>
    <w:rsid w:val="00187F96"/>
    <w:rsid w:val="00190880"/>
    <w:rsid w:val="00191150"/>
    <w:rsid w:val="001913B0"/>
    <w:rsid w:val="00191905"/>
    <w:rsid w:val="00191B52"/>
    <w:rsid w:val="0019210B"/>
    <w:rsid w:val="00192291"/>
    <w:rsid w:val="0019281A"/>
    <w:rsid w:val="00192D13"/>
    <w:rsid w:val="00192F6B"/>
    <w:rsid w:val="0019307C"/>
    <w:rsid w:val="00193DE5"/>
    <w:rsid w:val="00194578"/>
    <w:rsid w:val="001966BE"/>
    <w:rsid w:val="00196962"/>
    <w:rsid w:val="00196DA2"/>
    <w:rsid w:val="001A12CB"/>
    <w:rsid w:val="001A24D5"/>
    <w:rsid w:val="001A3054"/>
    <w:rsid w:val="001A351F"/>
    <w:rsid w:val="001A49F5"/>
    <w:rsid w:val="001A5BBE"/>
    <w:rsid w:val="001A6F64"/>
    <w:rsid w:val="001B0065"/>
    <w:rsid w:val="001B1607"/>
    <w:rsid w:val="001B1715"/>
    <w:rsid w:val="001B33EA"/>
    <w:rsid w:val="001B37B4"/>
    <w:rsid w:val="001B5725"/>
    <w:rsid w:val="001B5DB5"/>
    <w:rsid w:val="001B64A4"/>
    <w:rsid w:val="001B6A5F"/>
    <w:rsid w:val="001B6D6D"/>
    <w:rsid w:val="001B6F07"/>
    <w:rsid w:val="001C1708"/>
    <w:rsid w:val="001C3700"/>
    <w:rsid w:val="001C3CF1"/>
    <w:rsid w:val="001C3D3D"/>
    <w:rsid w:val="001C468E"/>
    <w:rsid w:val="001C4774"/>
    <w:rsid w:val="001C5CB5"/>
    <w:rsid w:val="001C5EEE"/>
    <w:rsid w:val="001C6D3F"/>
    <w:rsid w:val="001C72E9"/>
    <w:rsid w:val="001D13B6"/>
    <w:rsid w:val="001D21B9"/>
    <w:rsid w:val="001D3997"/>
    <w:rsid w:val="001D4045"/>
    <w:rsid w:val="001D45E0"/>
    <w:rsid w:val="001D49CA"/>
    <w:rsid w:val="001D4C8E"/>
    <w:rsid w:val="001D539A"/>
    <w:rsid w:val="001D5B8B"/>
    <w:rsid w:val="001D6141"/>
    <w:rsid w:val="001D6F98"/>
    <w:rsid w:val="001D7B63"/>
    <w:rsid w:val="001D7E82"/>
    <w:rsid w:val="001E080E"/>
    <w:rsid w:val="001E298E"/>
    <w:rsid w:val="001E29C9"/>
    <w:rsid w:val="001E2AC0"/>
    <w:rsid w:val="001E2EFC"/>
    <w:rsid w:val="001E552E"/>
    <w:rsid w:val="001E5D33"/>
    <w:rsid w:val="001E6C5E"/>
    <w:rsid w:val="001E6DE5"/>
    <w:rsid w:val="001E6DF0"/>
    <w:rsid w:val="001E6EA7"/>
    <w:rsid w:val="001E7264"/>
    <w:rsid w:val="001F09F4"/>
    <w:rsid w:val="001F0C12"/>
    <w:rsid w:val="001F1464"/>
    <w:rsid w:val="001F3A44"/>
    <w:rsid w:val="001F447A"/>
    <w:rsid w:val="001F498D"/>
    <w:rsid w:val="001F665F"/>
    <w:rsid w:val="001F691F"/>
    <w:rsid w:val="001F72EA"/>
    <w:rsid w:val="001F77AE"/>
    <w:rsid w:val="0020010E"/>
    <w:rsid w:val="002003A6"/>
    <w:rsid w:val="002006B4"/>
    <w:rsid w:val="0020148D"/>
    <w:rsid w:val="00202E86"/>
    <w:rsid w:val="0020323E"/>
    <w:rsid w:val="00203344"/>
    <w:rsid w:val="0020417A"/>
    <w:rsid w:val="00204CE5"/>
    <w:rsid w:val="002057B2"/>
    <w:rsid w:val="00205B36"/>
    <w:rsid w:val="00207AD5"/>
    <w:rsid w:val="00207B28"/>
    <w:rsid w:val="00207C45"/>
    <w:rsid w:val="00207C51"/>
    <w:rsid w:val="00207F5C"/>
    <w:rsid w:val="00210080"/>
    <w:rsid w:val="002102FC"/>
    <w:rsid w:val="002109DE"/>
    <w:rsid w:val="00211034"/>
    <w:rsid w:val="00211584"/>
    <w:rsid w:val="00211DEB"/>
    <w:rsid w:val="002139E1"/>
    <w:rsid w:val="00214E7F"/>
    <w:rsid w:val="00215221"/>
    <w:rsid w:val="00216825"/>
    <w:rsid w:val="002168AD"/>
    <w:rsid w:val="002179C1"/>
    <w:rsid w:val="002210A7"/>
    <w:rsid w:val="002219F9"/>
    <w:rsid w:val="00221CD1"/>
    <w:rsid w:val="00221E58"/>
    <w:rsid w:val="00223FC2"/>
    <w:rsid w:val="00224C9C"/>
    <w:rsid w:val="00224FE8"/>
    <w:rsid w:val="002260EE"/>
    <w:rsid w:val="002261D9"/>
    <w:rsid w:val="0022628D"/>
    <w:rsid w:val="002270A5"/>
    <w:rsid w:val="00227CFC"/>
    <w:rsid w:val="002321D4"/>
    <w:rsid w:val="002373CD"/>
    <w:rsid w:val="00237692"/>
    <w:rsid w:val="002402BB"/>
    <w:rsid w:val="00240C64"/>
    <w:rsid w:val="00242F1D"/>
    <w:rsid w:val="00243E20"/>
    <w:rsid w:val="00245415"/>
    <w:rsid w:val="00246749"/>
    <w:rsid w:val="00246B74"/>
    <w:rsid w:val="00247293"/>
    <w:rsid w:val="0024781A"/>
    <w:rsid w:val="00247E69"/>
    <w:rsid w:val="00250A96"/>
    <w:rsid w:val="00251BC5"/>
    <w:rsid w:val="00251C0B"/>
    <w:rsid w:val="0025559B"/>
    <w:rsid w:val="0025679D"/>
    <w:rsid w:val="002569DF"/>
    <w:rsid w:val="00256F58"/>
    <w:rsid w:val="00260211"/>
    <w:rsid w:val="00260520"/>
    <w:rsid w:val="0026062F"/>
    <w:rsid w:val="00261495"/>
    <w:rsid w:val="00261E8E"/>
    <w:rsid w:val="0026237F"/>
    <w:rsid w:val="00262F5D"/>
    <w:rsid w:val="00263C85"/>
    <w:rsid w:val="00263F48"/>
    <w:rsid w:val="0026420B"/>
    <w:rsid w:val="002644B5"/>
    <w:rsid w:val="002648FA"/>
    <w:rsid w:val="00265405"/>
    <w:rsid w:val="00265670"/>
    <w:rsid w:val="00265848"/>
    <w:rsid w:val="00265CCD"/>
    <w:rsid w:val="00265FB7"/>
    <w:rsid w:val="00267D04"/>
    <w:rsid w:val="002707C9"/>
    <w:rsid w:val="00270B97"/>
    <w:rsid w:val="00270EB5"/>
    <w:rsid w:val="0027108A"/>
    <w:rsid w:val="00272E98"/>
    <w:rsid w:val="00272F18"/>
    <w:rsid w:val="00273526"/>
    <w:rsid w:val="00273A7B"/>
    <w:rsid w:val="00274891"/>
    <w:rsid w:val="00274BAD"/>
    <w:rsid w:val="00274E87"/>
    <w:rsid w:val="0027558B"/>
    <w:rsid w:val="0027639C"/>
    <w:rsid w:val="00276496"/>
    <w:rsid w:val="00280A6D"/>
    <w:rsid w:val="0028174B"/>
    <w:rsid w:val="0028270A"/>
    <w:rsid w:val="00282F9C"/>
    <w:rsid w:val="002832E8"/>
    <w:rsid w:val="00285844"/>
    <w:rsid w:val="0028590C"/>
    <w:rsid w:val="002901D8"/>
    <w:rsid w:val="0029242F"/>
    <w:rsid w:val="00294BFF"/>
    <w:rsid w:val="00295B19"/>
    <w:rsid w:val="002960E7"/>
    <w:rsid w:val="00296112"/>
    <w:rsid w:val="002969C3"/>
    <w:rsid w:val="00296A0B"/>
    <w:rsid w:val="00297DA2"/>
    <w:rsid w:val="002A1096"/>
    <w:rsid w:val="002A10EC"/>
    <w:rsid w:val="002A1CB7"/>
    <w:rsid w:val="002A2067"/>
    <w:rsid w:val="002A3231"/>
    <w:rsid w:val="002A4B28"/>
    <w:rsid w:val="002A4D2F"/>
    <w:rsid w:val="002A56D1"/>
    <w:rsid w:val="002B0194"/>
    <w:rsid w:val="002B19C9"/>
    <w:rsid w:val="002B1A85"/>
    <w:rsid w:val="002B25FC"/>
    <w:rsid w:val="002C0CF0"/>
    <w:rsid w:val="002C164A"/>
    <w:rsid w:val="002C24F1"/>
    <w:rsid w:val="002C2FF6"/>
    <w:rsid w:val="002C4D48"/>
    <w:rsid w:val="002C5763"/>
    <w:rsid w:val="002C5E2D"/>
    <w:rsid w:val="002C7171"/>
    <w:rsid w:val="002C7EE6"/>
    <w:rsid w:val="002D11A4"/>
    <w:rsid w:val="002D1455"/>
    <w:rsid w:val="002D1748"/>
    <w:rsid w:val="002D4137"/>
    <w:rsid w:val="002D4682"/>
    <w:rsid w:val="002D4AD5"/>
    <w:rsid w:val="002D518C"/>
    <w:rsid w:val="002D5AA2"/>
    <w:rsid w:val="002D5E54"/>
    <w:rsid w:val="002E0502"/>
    <w:rsid w:val="002E0B0E"/>
    <w:rsid w:val="002E0E5D"/>
    <w:rsid w:val="002E1082"/>
    <w:rsid w:val="002E126F"/>
    <w:rsid w:val="002E1390"/>
    <w:rsid w:val="002E14E4"/>
    <w:rsid w:val="002E151E"/>
    <w:rsid w:val="002E29ED"/>
    <w:rsid w:val="002E2CD7"/>
    <w:rsid w:val="002E2F4F"/>
    <w:rsid w:val="002E3A04"/>
    <w:rsid w:val="002E42C7"/>
    <w:rsid w:val="002E4BB0"/>
    <w:rsid w:val="002E5ADC"/>
    <w:rsid w:val="002E64DA"/>
    <w:rsid w:val="002E6532"/>
    <w:rsid w:val="002E69C1"/>
    <w:rsid w:val="002E70B0"/>
    <w:rsid w:val="002F17BA"/>
    <w:rsid w:val="002F38A3"/>
    <w:rsid w:val="002F4467"/>
    <w:rsid w:val="002F56B5"/>
    <w:rsid w:val="002F5FFC"/>
    <w:rsid w:val="002F6154"/>
    <w:rsid w:val="002F6A2C"/>
    <w:rsid w:val="002F6B4F"/>
    <w:rsid w:val="002F7430"/>
    <w:rsid w:val="002F7498"/>
    <w:rsid w:val="002F7563"/>
    <w:rsid w:val="00301491"/>
    <w:rsid w:val="00301571"/>
    <w:rsid w:val="00303A18"/>
    <w:rsid w:val="00304EBF"/>
    <w:rsid w:val="003079B4"/>
    <w:rsid w:val="00310038"/>
    <w:rsid w:val="00311083"/>
    <w:rsid w:val="00311E8F"/>
    <w:rsid w:val="00312827"/>
    <w:rsid w:val="00313337"/>
    <w:rsid w:val="0031368C"/>
    <w:rsid w:val="003137A0"/>
    <w:rsid w:val="003158B1"/>
    <w:rsid w:val="00315A37"/>
    <w:rsid w:val="00315F7E"/>
    <w:rsid w:val="003170E5"/>
    <w:rsid w:val="003170EA"/>
    <w:rsid w:val="003177EF"/>
    <w:rsid w:val="00320E6A"/>
    <w:rsid w:val="00320F56"/>
    <w:rsid w:val="003232D0"/>
    <w:rsid w:val="00324D38"/>
    <w:rsid w:val="00325F1C"/>
    <w:rsid w:val="003310ED"/>
    <w:rsid w:val="00333CF8"/>
    <w:rsid w:val="0033553B"/>
    <w:rsid w:val="00336847"/>
    <w:rsid w:val="0034097D"/>
    <w:rsid w:val="00340E2E"/>
    <w:rsid w:val="003411F8"/>
    <w:rsid w:val="003415C5"/>
    <w:rsid w:val="00342469"/>
    <w:rsid w:val="003424AD"/>
    <w:rsid w:val="00344C1D"/>
    <w:rsid w:val="00347113"/>
    <w:rsid w:val="0035047A"/>
    <w:rsid w:val="003519A5"/>
    <w:rsid w:val="00353461"/>
    <w:rsid w:val="00353F28"/>
    <w:rsid w:val="00354152"/>
    <w:rsid w:val="00357AD2"/>
    <w:rsid w:val="00360991"/>
    <w:rsid w:val="003612A3"/>
    <w:rsid w:val="00361C0F"/>
    <w:rsid w:val="003628E6"/>
    <w:rsid w:val="00363D81"/>
    <w:rsid w:val="00363EF1"/>
    <w:rsid w:val="00364A94"/>
    <w:rsid w:val="003659DA"/>
    <w:rsid w:val="00365C3C"/>
    <w:rsid w:val="003664C2"/>
    <w:rsid w:val="003665D0"/>
    <w:rsid w:val="00366CB8"/>
    <w:rsid w:val="00367674"/>
    <w:rsid w:val="00370041"/>
    <w:rsid w:val="00371C22"/>
    <w:rsid w:val="00373448"/>
    <w:rsid w:val="0037346D"/>
    <w:rsid w:val="003734FD"/>
    <w:rsid w:val="0037370D"/>
    <w:rsid w:val="003740B5"/>
    <w:rsid w:val="0037622C"/>
    <w:rsid w:val="00376ACA"/>
    <w:rsid w:val="00377C5F"/>
    <w:rsid w:val="00380481"/>
    <w:rsid w:val="003807B2"/>
    <w:rsid w:val="00380FB8"/>
    <w:rsid w:val="003810EB"/>
    <w:rsid w:val="00381FA3"/>
    <w:rsid w:val="00382574"/>
    <w:rsid w:val="0038359D"/>
    <w:rsid w:val="003850A7"/>
    <w:rsid w:val="003852DF"/>
    <w:rsid w:val="003879A6"/>
    <w:rsid w:val="00390421"/>
    <w:rsid w:val="00392B40"/>
    <w:rsid w:val="003951AE"/>
    <w:rsid w:val="00395233"/>
    <w:rsid w:val="0039666C"/>
    <w:rsid w:val="003967C8"/>
    <w:rsid w:val="00396E53"/>
    <w:rsid w:val="00396EB0"/>
    <w:rsid w:val="003972FB"/>
    <w:rsid w:val="003A130D"/>
    <w:rsid w:val="003A235B"/>
    <w:rsid w:val="003A2799"/>
    <w:rsid w:val="003A2B1B"/>
    <w:rsid w:val="003A31A3"/>
    <w:rsid w:val="003A5BDE"/>
    <w:rsid w:val="003A6583"/>
    <w:rsid w:val="003A6686"/>
    <w:rsid w:val="003A6801"/>
    <w:rsid w:val="003B055B"/>
    <w:rsid w:val="003B2F94"/>
    <w:rsid w:val="003B31F2"/>
    <w:rsid w:val="003B48F2"/>
    <w:rsid w:val="003B64F8"/>
    <w:rsid w:val="003B7D11"/>
    <w:rsid w:val="003C0714"/>
    <w:rsid w:val="003C1A3A"/>
    <w:rsid w:val="003C305C"/>
    <w:rsid w:val="003C4147"/>
    <w:rsid w:val="003C4CD1"/>
    <w:rsid w:val="003C56D5"/>
    <w:rsid w:val="003C5B5C"/>
    <w:rsid w:val="003C6897"/>
    <w:rsid w:val="003D3122"/>
    <w:rsid w:val="003D368A"/>
    <w:rsid w:val="003D45A0"/>
    <w:rsid w:val="003D4C38"/>
    <w:rsid w:val="003D50BC"/>
    <w:rsid w:val="003D547B"/>
    <w:rsid w:val="003D7460"/>
    <w:rsid w:val="003D7DF5"/>
    <w:rsid w:val="003D7F68"/>
    <w:rsid w:val="003E053E"/>
    <w:rsid w:val="003E1E0F"/>
    <w:rsid w:val="003E4E49"/>
    <w:rsid w:val="003E6575"/>
    <w:rsid w:val="003E6607"/>
    <w:rsid w:val="003E703B"/>
    <w:rsid w:val="003E7C67"/>
    <w:rsid w:val="003F09CD"/>
    <w:rsid w:val="003F2D02"/>
    <w:rsid w:val="003F3BBB"/>
    <w:rsid w:val="003F3E00"/>
    <w:rsid w:val="003F4218"/>
    <w:rsid w:val="003F4BFD"/>
    <w:rsid w:val="003F5EC0"/>
    <w:rsid w:val="003F60CC"/>
    <w:rsid w:val="00400CE0"/>
    <w:rsid w:val="00400D1A"/>
    <w:rsid w:val="004029D4"/>
    <w:rsid w:val="00405429"/>
    <w:rsid w:val="00405B35"/>
    <w:rsid w:val="004064E4"/>
    <w:rsid w:val="00406602"/>
    <w:rsid w:val="00406645"/>
    <w:rsid w:val="00407760"/>
    <w:rsid w:val="00410130"/>
    <w:rsid w:val="004102C1"/>
    <w:rsid w:val="004118B7"/>
    <w:rsid w:val="00411A40"/>
    <w:rsid w:val="00412FCB"/>
    <w:rsid w:val="00413934"/>
    <w:rsid w:val="00414978"/>
    <w:rsid w:val="00415562"/>
    <w:rsid w:val="0041665B"/>
    <w:rsid w:val="004166BE"/>
    <w:rsid w:val="004203C5"/>
    <w:rsid w:val="00423C60"/>
    <w:rsid w:val="00424783"/>
    <w:rsid w:val="00424DCC"/>
    <w:rsid w:val="00425312"/>
    <w:rsid w:val="00425BD7"/>
    <w:rsid w:val="00425FDB"/>
    <w:rsid w:val="00426023"/>
    <w:rsid w:val="00426142"/>
    <w:rsid w:val="004261DD"/>
    <w:rsid w:val="004275CA"/>
    <w:rsid w:val="00430515"/>
    <w:rsid w:val="0043116C"/>
    <w:rsid w:val="00431A02"/>
    <w:rsid w:val="00432195"/>
    <w:rsid w:val="004328A5"/>
    <w:rsid w:val="004328B2"/>
    <w:rsid w:val="00433BC6"/>
    <w:rsid w:val="00433DC8"/>
    <w:rsid w:val="00433DE7"/>
    <w:rsid w:val="00436A2D"/>
    <w:rsid w:val="00436E1E"/>
    <w:rsid w:val="00437FB5"/>
    <w:rsid w:val="004407A8"/>
    <w:rsid w:val="00440A9B"/>
    <w:rsid w:val="00440F85"/>
    <w:rsid w:val="004413F9"/>
    <w:rsid w:val="0044143E"/>
    <w:rsid w:val="004414EE"/>
    <w:rsid w:val="00441B2C"/>
    <w:rsid w:val="00443A4C"/>
    <w:rsid w:val="004441BE"/>
    <w:rsid w:val="004467E3"/>
    <w:rsid w:val="00446AFE"/>
    <w:rsid w:val="0044799B"/>
    <w:rsid w:val="00447C51"/>
    <w:rsid w:val="00447C84"/>
    <w:rsid w:val="00451532"/>
    <w:rsid w:val="00454D4C"/>
    <w:rsid w:val="00455248"/>
    <w:rsid w:val="00455BFE"/>
    <w:rsid w:val="00457249"/>
    <w:rsid w:val="00457B43"/>
    <w:rsid w:val="00461070"/>
    <w:rsid w:val="00461283"/>
    <w:rsid w:val="00462A05"/>
    <w:rsid w:val="004630F2"/>
    <w:rsid w:val="00463789"/>
    <w:rsid w:val="00463A36"/>
    <w:rsid w:val="00463F87"/>
    <w:rsid w:val="004640E0"/>
    <w:rsid w:val="0046442C"/>
    <w:rsid w:val="0046446C"/>
    <w:rsid w:val="004646EC"/>
    <w:rsid w:val="00465DE0"/>
    <w:rsid w:val="004669EE"/>
    <w:rsid w:val="00466DE6"/>
    <w:rsid w:val="0047112C"/>
    <w:rsid w:val="0047325F"/>
    <w:rsid w:val="00476E5A"/>
    <w:rsid w:val="00476FB3"/>
    <w:rsid w:val="00477466"/>
    <w:rsid w:val="0047795C"/>
    <w:rsid w:val="00480E72"/>
    <w:rsid w:val="0048107C"/>
    <w:rsid w:val="00482333"/>
    <w:rsid w:val="0048439F"/>
    <w:rsid w:val="0048640F"/>
    <w:rsid w:val="00486A9A"/>
    <w:rsid w:val="00486E65"/>
    <w:rsid w:val="00487B42"/>
    <w:rsid w:val="004901E9"/>
    <w:rsid w:val="00490F5D"/>
    <w:rsid w:val="004911E1"/>
    <w:rsid w:val="00491C03"/>
    <w:rsid w:val="00492717"/>
    <w:rsid w:val="0049475A"/>
    <w:rsid w:val="00495E2C"/>
    <w:rsid w:val="004966A7"/>
    <w:rsid w:val="00497267"/>
    <w:rsid w:val="00497470"/>
    <w:rsid w:val="00497A67"/>
    <w:rsid w:val="004A0C01"/>
    <w:rsid w:val="004A1D20"/>
    <w:rsid w:val="004A2A08"/>
    <w:rsid w:val="004A3048"/>
    <w:rsid w:val="004A4E7C"/>
    <w:rsid w:val="004A584E"/>
    <w:rsid w:val="004A7455"/>
    <w:rsid w:val="004B107F"/>
    <w:rsid w:val="004B1119"/>
    <w:rsid w:val="004B2DC8"/>
    <w:rsid w:val="004B31C8"/>
    <w:rsid w:val="004B616A"/>
    <w:rsid w:val="004B653A"/>
    <w:rsid w:val="004B6BBC"/>
    <w:rsid w:val="004B700A"/>
    <w:rsid w:val="004C0816"/>
    <w:rsid w:val="004C119F"/>
    <w:rsid w:val="004C181B"/>
    <w:rsid w:val="004C3077"/>
    <w:rsid w:val="004C31BA"/>
    <w:rsid w:val="004C33CF"/>
    <w:rsid w:val="004C4BFA"/>
    <w:rsid w:val="004C57A8"/>
    <w:rsid w:val="004C5ADD"/>
    <w:rsid w:val="004C5CEA"/>
    <w:rsid w:val="004C66E8"/>
    <w:rsid w:val="004C6BBC"/>
    <w:rsid w:val="004C785A"/>
    <w:rsid w:val="004D06C3"/>
    <w:rsid w:val="004D0785"/>
    <w:rsid w:val="004D0918"/>
    <w:rsid w:val="004D096F"/>
    <w:rsid w:val="004D09FD"/>
    <w:rsid w:val="004D0B74"/>
    <w:rsid w:val="004D1344"/>
    <w:rsid w:val="004D1CD7"/>
    <w:rsid w:val="004D3791"/>
    <w:rsid w:val="004D39E7"/>
    <w:rsid w:val="004D459F"/>
    <w:rsid w:val="004D6BFE"/>
    <w:rsid w:val="004E031E"/>
    <w:rsid w:val="004E10BA"/>
    <w:rsid w:val="004E155D"/>
    <w:rsid w:val="004E2ED4"/>
    <w:rsid w:val="004E3CC9"/>
    <w:rsid w:val="004E3FEA"/>
    <w:rsid w:val="004E4310"/>
    <w:rsid w:val="004E477E"/>
    <w:rsid w:val="004E6E76"/>
    <w:rsid w:val="004E781D"/>
    <w:rsid w:val="004F110F"/>
    <w:rsid w:val="004F1626"/>
    <w:rsid w:val="004F1C20"/>
    <w:rsid w:val="004F4230"/>
    <w:rsid w:val="004F44DF"/>
    <w:rsid w:val="004F4735"/>
    <w:rsid w:val="004F4934"/>
    <w:rsid w:val="004F49B6"/>
    <w:rsid w:val="004F4AE6"/>
    <w:rsid w:val="004F4CB0"/>
    <w:rsid w:val="004F599B"/>
    <w:rsid w:val="004F5BAD"/>
    <w:rsid w:val="004F6C5D"/>
    <w:rsid w:val="004F7E56"/>
    <w:rsid w:val="00501045"/>
    <w:rsid w:val="0050187B"/>
    <w:rsid w:val="00502423"/>
    <w:rsid w:val="0050257B"/>
    <w:rsid w:val="005028F7"/>
    <w:rsid w:val="00502D67"/>
    <w:rsid w:val="0050618A"/>
    <w:rsid w:val="005062F9"/>
    <w:rsid w:val="00506D58"/>
    <w:rsid w:val="00507065"/>
    <w:rsid w:val="0050708E"/>
    <w:rsid w:val="005079DC"/>
    <w:rsid w:val="00507A98"/>
    <w:rsid w:val="00507F0F"/>
    <w:rsid w:val="00512698"/>
    <w:rsid w:val="00512E35"/>
    <w:rsid w:val="005168C4"/>
    <w:rsid w:val="005170C3"/>
    <w:rsid w:val="0052172D"/>
    <w:rsid w:val="005220FB"/>
    <w:rsid w:val="005233F5"/>
    <w:rsid w:val="00523E5E"/>
    <w:rsid w:val="005248AB"/>
    <w:rsid w:val="00527DC6"/>
    <w:rsid w:val="00530DB9"/>
    <w:rsid w:val="0053223A"/>
    <w:rsid w:val="00532703"/>
    <w:rsid w:val="0053426B"/>
    <w:rsid w:val="005342B1"/>
    <w:rsid w:val="00534654"/>
    <w:rsid w:val="00535343"/>
    <w:rsid w:val="005367FD"/>
    <w:rsid w:val="005369DE"/>
    <w:rsid w:val="00540001"/>
    <w:rsid w:val="005400B7"/>
    <w:rsid w:val="00540BEE"/>
    <w:rsid w:val="00541427"/>
    <w:rsid w:val="005420AB"/>
    <w:rsid w:val="0054230B"/>
    <w:rsid w:val="00543589"/>
    <w:rsid w:val="00543838"/>
    <w:rsid w:val="00543B87"/>
    <w:rsid w:val="00544BC2"/>
    <w:rsid w:val="00545133"/>
    <w:rsid w:val="00545274"/>
    <w:rsid w:val="005453F9"/>
    <w:rsid w:val="0054649C"/>
    <w:rsid w:val="00546504"/>
    <w:rsid w:val="00546D51"/>
    <w:rsid w:val="0054781A"/>
    <w:rsid w:val="0055287B"/>
    <w:rsid w:val="00553B02"/>
    <w:rsid w:val="00555134"/>
    <w:rsid w:val="005557F0"/>
    <w:rsid w:val="005576E0"/>
    <w:rsid w:val="00560CE5"/>
    <w:rsid w:val="00561BA3"/>
    <w:rsid w:val="005627A7"/>
    <w:rsid w:val="0056329A"/>
    <w:rsid w:val="00563F84"/>
    <w:rsid w:val="005644FA"/>
    <w:rsid w:val="00565781"/>
    <w:rsid w:val="005659CE"/>
    <w:rsid w:val="005660DF"/>
    <w:rsid w:val="005663DE"/>
    <w:rsid w:val="00567DD4"/>
    <w:rsid w:val="00567F16"/>
    <w:rsid w:val="005724A8"/>
    <w:rsid w:val="00574034"/>
    <w:rsid w:val="00575853"/>
    <w:rsid w:val="00575BF5"/>
    <w:rsid w:val="005769E2"/>
    <w:rsid w:val="0057721C"/>
    <w:rsid w:val="005808CA"/>
    <w:rsid w:val="00580F3D"/>
    <w:rsid w:val="00582B84"/>
    <w:rsid w:val="00583F64"/>
    <w:rsid w:val="00584039"/>
    <w:rsid w:val="00586D10"/>
    <w:rsid w:val="005905A4"/>
    <w:rsid w:val="0059093B"/>
    <w:rsid w:val="005915BF"/>
    <w:rsid w:val="005919E3"/>
    <w:rsid w:val="005923AB"/>
    <w:rsid w:val="00592753"/>
    <w:rsid w:val="00592A89"/>
    <w:rsid w:val="00594773"/>
    <w:rsid w:val="00595889"/>
    <w:rsid w:val="00595992"/>
    <w:rsid w:val="005967B8"/>
    <w:rsid w:val="005A0DB0"/>
    <w:rsid w:val="005A227E"/>
    <w:rsid w:val="005A2AC4"/>
    <w:rsid w:val="005A2CC8"/>
    <w:rsid w:val="005A349E"/>
    <w:rsid w:val="005A4537"/>
    <w:rsid w:val="005A45AA"/>
    <w:rsid w:val="005A6161"/>
    <w:rsid w:val="005A70E6"/>
    <w:rsid w:val="005A7402"/>
    <w:rsid w:val="005B0379"/>
    <w:rsid w:val="005B06E7"/>
    <w:rsid w:val="005B0BBA"/>
    <w:rsid w:val="005B11F9"/>
    <w:rsid w:val="005B16CC"/>
    <w:rsid w:val="005B17A3"/>
    <w:rsid w:val="005B1AA1"/>
    <w:rsid w:val="005B1D53"/>
    <w:rsid w:val="005B259E"/>
    <w:rsid w:val="005B27F2"/>
    <w:rsid w:val="005B3018"/>
    <w:rsid w:val="005B3600"/>
    <w:rsid w:val="005B367F"/>
    <w:rsid w:val="005B4235"/>
    <w:rsid w:val="005B4568"/>
    <w:rsid w:val="005B4B53"/>
    <w:rsid w:val="005B4BFB"/>
    <w:rsid w:val="005B6859"/>
    <w:rsid w:val="005B7081"/>
    <w:rsid w:val="005C2151"/>
    <w:rsid w:val="005C436C"/>
    <w:rsid w:val="005C4415"/>
    <w:rsid w:val="005C4E32"/>
    <w:rsid w:val="005C614C"/>
    <w:rsid w:val="005C62B4"/>
    <w:rsid w:val="005C6C58"/>
    <w:rsid w:val="005D048E"/>
    <w:rsid w:val="005D0CD3"/>
    <w:rsid w:val="005D1E6B"/>
    <w:rsid w:val="005D2297"/>
    <w:rsid w:val="005D2A23"/>
    <w:rsid w:val="005D30F2"/>
    <w:rsid w:val="005D3B5A"/>
    <w:rsid w:val="005D4476"/>
    <w:rsid w:val="005D4D71"/>
    <w:rsid w:val="005D579D"/>
    <w:rsid w:val="005D6B9A"/>
    <w:rsid w:val="005E1E1E"/>
    <w:rsid w:val="005E3267"/>
    <w:rsid w:val="005E3C7C"/>
    <w:rsid w:val="005E5342"/>
    <w:rsid w:val="005E53B6"/>
    <w:rsid w:val="005E55CC"/>
    <w:rsid w:val="005E68DB"/>
    <w:rsid w:val="005E73AB"/>
    <w:rsid w:val="005E7DEF"/>
    <w:rsid w:val="005F1906"/>
    <w:rsid w:val="005F21A7"/>
    <w:rsid w:val="005F488D"/>
    <w:rsid w:val="005F4D2D"/>
    <w:rsid w:val="005F5A99"/>
    <w:rsid w:val="00600418"/>
    <w:rsid w:val="00600A37"/>
    <w:rsid w:val="0060148C"/>
    <w:rsid w:val="00604686"/>
    <w:rsid w:val="00604A3A"/>
    <w:rsid w:val="00605DBD"/>
    <w:rsid w:val="0060648D"/>
    <w:rsid w:val="0060754E"/>
    <w:rsid w:val="006077DA"/>
    <w:rsid w:val="006111A9"/>
    <w:rsid w:val="00611ADD"/>
    <w:rsid w:val="00612205"/>
    <w:rsid w:val="00613489"/>
    <w:rsid w:val="00615500"/>
    <w:rsid w:val="00615F9F"/>
    <w:rsid w:val="00616368"/>
    <w:rsid w:val="0061704B"/>
    <w:rsid w:val="006178A2"/>
    <w:rsid w:val="00617C08"/>
    <w:rsid w:val="0062106D"/>
    <w:rsid w:val="0062289E"/>
    <w:rsid w:val="006236BD"/>
    <w:rsid w:val="006236CE"/>
    <w:rsid w:val="006237C4"/>
    <w:rsid w:val="00624F34"/>
    <w:rsid w:val="006253BD"/>
    <w:rsid w:val="0062664C"/>
    <w:rsid w:val="006266C0"/>
    <w:rsid w:val="00626CDD"/>
    <w:rsid w:val="006301B2"/>
    <w:rsid w:val="00635041"/>
    <w:rsid w:val="00635A72"/>
    <w:rsid w:val="0063764E"/>
    <w:rsid w:val="00641940"/>
    <w:rsid w:val="0064323B"/>
    <w:rsid w:val="0064355B"/>
    <w:rsid w:val="00643BA7"/>
    <w:rsid w:val="00644044"/>
    <w:rsid w:val="0064490C"/>
    <w:rsid w:val="006477CE"/>
    <w:rsid w:val="0064787F"/>
    <w:rsid w:val="00651633"/>
    <w:rsid w:val="00651C99"/>
    <w:rsid w:val="006521F0"/>
    <w:rsid w:val="00652712"/>
    <w:rsid w:val="006533BD"/>
    <w:rsid w:val="00653C99"/>
    <w:rsid w:val="00654CAD"/>
    <w:rsid w:val="00655701"/>
    <w:rsid w:val="00655706"/>
    <w:rsid w:val="006558B5"/>
    <w:rsid w:val="00655957"/>
    <w:rsid w:val="00657516"/>
    <w:rsid w:val="00661956"/>
    <w:rsid w:val="006626AF"/>
    <w:rsid w:val="00662F1A"/>
    <w:rsid w:val="006643AC"/>
    <w:rsid w:val="00665584"/>
    <w:rsid w:val="00665BB7"/>
    <w:rsid w:val="00666741"/>
    <w:rsid w:val="00671572"/>
    <w:rsid w:val="00671BE3"/>
    <w:rsid w:val="00671F2C"/>
    <w:rsid w:val="00672118"/>
    <w:rsid w:val="006723CD"/>
    <w:rsid w:val="006728EB"/>
    <w:rsid w:val="0067319E"/>
    <w:rsid w:val="006744E3"/>
    <w:rsid w:val="006750EE"/>
    <w:rsid w:val="00675253"/>
    <w:rsid w:val="006754DF"/>
    <w:rsid w:val="006757D0"/>
    <w:rsid w:val="00675B07"/>
    <w:rsid w:val="006777BA"/>
    <w:rsid w:val="0068013B"/>
    <w:rsid w:val="0068088F"/>
    <w:rsid w:val="0068136D"/>
    <w:rsid w:val="00681647"/>
    <w:rsid w:val="0068553C"/>
    <w:rsid w:val="00685683"/>
    <w:rsid w:val="006856DF"/>
    <w:rsid w:val="00685E19"/>
    <w:rsid w:val="00685E47"/>
    <w:rsid w:val="006877DC"/>
    <w:rsid w:val="00690482"/>
    <w:rsid w:val="00690EF3"/>
    <w:rsid w:val="00691300"/>
    <w:rsid w:val="00691400"/>
    <w:rsid w:val="00692097"/>
    <w:rsid w:val="00692E63"/>
    <w:rsid w:val="0069449B"/>
    <w:rsid w:val="00694E9F"/>
    <w:rsid w:val="00695025"/>
    <w:rsid w:val="00696254"/>
    <w:rsid w:val="0069668F"/>
    <w:rsid w:val="00697774"/>
    <w:rsid w:val="006A0984"/>
    <w:rsid w:val="006A1658"/>
    <w:rsid w:val="006A1AC6"/>
    <w:rsid w:val="006A2456"/>
    <w:rsid w:val="006A27AB"/>
    <w:rsid w:val="006A29D9"/>
    <w:rsid w:val="006A345F"/>
    <w:rsid w:val="006A371A"/>
    <w:rsid w:val="006A5D77"/>
    <w:rsid w:val="006A6CD9"/>
    <w:rsid w:val="006A6EFC"/>
    <w:rsid w:val="006A7118"/>
    <w:rsid w:val="006A7548"/>
    <w:rsid w:val="006A781F"/>
    <w:rsid w:val="006A7CD0"/>
    <w:rsid w:val="006B0B19"/>
    <w:rsid w:val="006B1428"/>
    <w:rsid w:val="006B1A93"/>
    <w:rsid w:val="006B21E0"/>
    <w:rsid w:val="006B28E2"/>
    <w:rsid w:val="006B4433"/>
    <w:rsid w:val="006B530A"/>
    <w:rsid w:val="006B5A53"/>
    <w:rsid w:val="006B5C75"/>
    <w:rsid w:val="006C2160"/>
    <w:rsid w:val="006C3338"/>
    <w:rsid w:val="006C486B"/>
    <w:rsid w:val="006C5315"/>
    <w:rsid w:val="006C5862"/>
    <w:rsid w:val="006C5A41"/>
    <w:rsid w:val="006C65D2"/>
    <w:rsid w:val="006C6725"/>
    <w:rsid w:val="006C6A2B"/>
    <w:rsid w:val="006C6ACC"/>
    <w:rsid w:val="006C731B"/>
    <w:rsid w:val="006C7784"/>
    <w:rsid w:val="006C7A6E"/>
    <w:rsid w:val="006D1F74"/>
    <w:rsid w:val="006D24EB"/>
    <w:rsid w:val="006D25AC"/>
    <w:rsid w:val="006D27A1"/>
    <w:rsid w:val="006D3A82"/>
    <w:rsid w:val="006D4565"/>
    <w:rsid w:val="006D4D72"/>
    <w:rsid w:val="006D4F02"/>
    <w:rsid w:val="006D4F8E"/>
    <w:rsid w:val="006D54D9"/>
    <w:rsid w:val="006D55F5"/>
    <w:rsid w:val="006D61F2"/>
    <w:rsid w:val="006D7857"/>
    <w:rsid w:val="006E223A"/>
    <w:rsid w:val="006E2D40"/>
    <w:rsid w:val="006E3621"/>
    <w:rsid w:val="006E51C1"/>
    <w:rsid w:val="006E5257"/>
    <w:rsid w:val="006E6ACB"/>
    <w:rsid w:val="006E781F"/>
    <w:rsid w:val="006F288B"/>
    <w:rsid w:val="006F2C21"/>
    <w:rsid w:val="006F3D25"/>
    <w:rsid w:val="006F3E81"/>
    <w:rsid w:val="006F4985"/>
    <w:rsid w:val="006F59A0"/>
    <w:rsid w:val="006F6BD4"/>
    <w:rsid w:val="006F6D21"/>
    <w:rsid w:val="006F7B2E"/>
    <w:rsid w:val="007000C5"/>
    <w:rsid w:val="00700574"/>
    <w:rsid w:val="007007D1"/>
    <w:rsid w:val="00701236"/>
    <w:rsid w:val="0070240D"/>
    <w:rsid w:val="007034D8"/>
    <w:rsid w:val="00703687"/>
    <w:rsid w:val="00705322"/>
    <w:rsid w:val="00705B90"/>
    <w:rsid w:val="00707A65"/>
    <w:rsid w:val="00710184"/>
    <w:rsid w:val="00710CBE"/>
    <w:rsid w:val="00711165"/>
    <w:rsid w:val="00711E65"/>
    <w:rsid w:val="0071277B"/>
    <w:rsid w:val="00716039"/>
    <w:rsid w:val="0071626B"/>
    <w:rsid w:val="00716A51"/>
    <w:rsid w:val="00716B28"/>
    <w:rsid w:val="00716FF7"/>
    <w:rsid w:val="0072105D"/>
    <w:rsid w:val="00723120"/>
    <w:rsid w:val="007269CC"/>
    <w:rsid w:val="00726E2C"/>
    <w:rsid w:val="00727D1B"/>
    <w:rsid w:val="00727DEA"/>
    <w:rsid w:val="00730F1E"/>
    <w:rsid w:val="007317A7"/>
    <w:rsid w:val="00733700"/>
    <w:rsid w:val="007338C8"/>
    <w:rsid w:val="007341AC"/>
    <w:rsid w:val="007343ED"/>
    <w:rsid w:val="00734559"/>
    <w:rsid w:val="0073480C"/>
    <w:rsid w:val="00735E96"/>
    <w:rsid w:val="00736427"/>
    <w:rsid w:val="007371E2"/>
    <w:rsid w:val="00741F56"/>
    <w:rsid w:val="00743577"/>
    <w:rsid w:val="007449FE"/>
    <w:rsid w:val="00745382"/>
    <w:rsid w:val="00745827"/>
    <w:rsid w:val="00747454"/>
    <w:rsid w:val="00747704"/>
    <w:rsid w:val="0075029D"/>
    <w:rsid w:val="007503D3"/>
    <w:rsid w:val="0075096F"/>
    <w:rsid w:val="00750A74"/>
    <w:rsid w:val="00750B01"/>
    <w:rsid w:val="0075261A"/>
    <w:rsid w:val="00752625"/>
    <w:rsid w:val="00753DB6"/>
    <w:rsid w:val="007548C0"/>
    <w:rsid w:val="00755614"/>
    <w:rsid w:val="00757CAF"/>
    <w:rsid w:val="00757F78"/>
    <w:rsid w:val="00760822"/>
    <w:rsid w:val="007612E5"/>
    <w:rsid w:val="00761A46"/>
    <w:rsid w:val="007622D9"/>
    <w:rsid w:val="0076283B"/>
    <w:rsid w:val="0076289E"/>
    <w:rsid w:val="00763694"/>
    <w:rsid w:val="00763FB0"/>
    <w:rsid w:val="0076484B"/>
    <w:rsid w:val="00764F1E"/>
    <w:rsid w:val="0076516C"/>
    <w:rsid w:val="00766001"/>
    <w:rsid w:val="0076670B"/>
    <w:rsid w:val="00766A69"/>
    <w:rsid w:val="007672D1"/>
    <w:rsid w:val="00767D20"/>
    <w:rsid w:val="00771DA8"/>
    <w:rsid w:val="00771F3E"/>
    <w:rsid w:val="007723BD"/>
    <w:rsid w:val="00772CBE"/>
    <w:rsid w:val="00773B49"/>
    <w:rsid w:val="00774FE4"/>
    <w:rsid w:val="00776D32"/>
    <w:rsid w:val="00776F73"/>
    <w:rsid w:val="00777215"/>
    <w:rsid w:val="007776FF"/>
    <w:rsid w:val="00777BA3"/>
    <w:rsid w:val="0078074F"/>
    <w:rsid w:val="0078111B"/>
    <w:rsid w:val="00781399"/>
    <w:rsid w:val="00781464"/>
    <w:rsid w:val="00782223"/>
    <w:rsid w:val="00782E3F"/>
    <w:rsid w:val="00783369"/>
    <w:rsid w:val="00783C12"/>
    <w:rsid w:val="007842C8"/>
    <w:rsid w:val="00785517"/>
    <w:rsid w:val="00785E15"/>
    <w:rsid w:val="00785F8F"/>
    <w:rsid w:val="0078602D"/>
    <w:rsid w:val="007868DC"/>
    <w:rsid w:val="0078694A"/>
    <w:rsid w:val="00787F57"/>
    <w:rsid w:val="007906B0"/>
    <w:rsid w:val="0079191E"/>
    <w:rsid w:val="007921F8"/>
    <w:rsid w:val="00795184"/>
    <w:rsid w:val="0079542C"/>
    <w:rsid w:val="007958B4"/>
    <w:rsid w:val="00795BBC"/>
    <w:rsid w:val="00795CA6"/>
    <w:rsid w:val="00795EED"/>
    <w:rsid w:val="00795F6B"/>
    <w:rsid w:val="00796990"/>
    <w:rsid w:val="00796C34"/>
    <w:rsid w:val="007A00DC"/>
    <w:rsid w:val="007A250A"/>
    <w:rsid w:val="007A2854"/>
    <w:rsid w:val="007A41B1"/>
    <w:rsid w:val="007A4843"/>
    <w:rsid w:val="007A49A0"/>
    <w:rsid w:val="007A5887"/>
    <w:rsid w:val="007A64CF"/>
    <w:rsid w:val="007A70BC"/>
    <w:rsid w:val="007A7D86"/>
    <w:rsid w:val="007B165C"/>
    <w:rsid w:val="007B31E6"/>
    <w:rsid w:val="007B6118"/>
    <w:rsid w:val="007B732D"/>
    <w:rsid w:val="007C1FC4"/>
    <w:rsid w:val="007C3F38"/>
    <w:rsid w:val="007C4EBB"/>
    <w:rsid w:val="007C5040"/>
    <w:rsid w:val="007C665E"/>
    <w:rsid w:val="007C6943"/>
    <w:rsid w:val="007C74FA"/>
    <w:rsid w:val="007D0186"/>
    <w:rsid w:val="007D163E"/>
    <w:rsid w:val="007D1ECB"/>
    <w:rsid w:val="007D2ECE"/>
    <w:rsid w:val="007D3131"/>
    <w:rsid w:val="007D368B"/>
    <w:rsid w:val="007D505F"/>
    <w:rsid w:val="007D54C5"/>
    <w:rsid w:val="007D6A12"/>
    <w:rsid w:val="007D7505"/>
    <w:rsid w:val="007E01D3"/>
    <w:rsid w:val="007E04DF"/>
    <w:rsid w:val="007E0655"/>
    <w:rsid w:val="007E0E81"/>
    <w:rsid w:val="007E35F9"/>
    <w:rsid w:val="007E36B2"/>
    <w:rsid w:val="007E4023"/>
    <w:rsid w:val="007F125C"/>
    <w:rsid w:val="007F14AB"/>
    <w:rsid w:val="007F2956"/>
    <w:rsid w:val="007F2FF5"/>
    <w:rsid w:val="007F37BD"/>
    <w:rsid w:val="007F74F6"/>
    <w:rsid w:val="0080011C"/>
    <w:rsid w:val="00801A5F"/>
    <w:rsid w:val="00802649"/>
    <w:rsid w:val="008038AD"/>
    <w:rsid w:val="00804F70"/>
    <w:rsid w:val="00805351"/>
    <w:rsid w:val="008058C9"/>
    <w:rsid w:val="008059B3"/>
    <w:rsid w:val="008059BB"/>
    <w:rsid w:val="008060B4"/>
    <w:rsid w:val="0081101D"/>
    <w:rsid w:val="00811B21"/>
    <w:rsid w:val="00811E68"/>
    <w:rsid w:val="00812334"/>
    <w:rsid w:val="0081316E"/>
    <w:rsid w:val="0081323E"/>
    <w:rsid w:val="00813435"/>
    <w:rsid w:val="008134FF"/>
    <w:rsid w:val="008141B7"/>
    <w:rsid w:val="0081534F"/>
    <w:rsid w:val="00815512"/>
    <w:rsid w:val="00815BED"/>
    <w:rsid w:val="00815EF2"/>
    <w:rsid w:val="008160D0"/>
    <w:rsid w:val="008167B2"/>
    <w:rsid w:val="0081681C"/>
    <w:rsid w:val="00816BAB"/>
    <w:rsid w:val="008174A1"/>
    <w:rsid w:val="00817729"/>
    <w:rsid w:val="00820CB4"/>
    <w:rsid w:val="008217BF"/>
    <w:rsid w:val="00822AF9"/>
    <w:rsid w:val="00823894"/>
    <w:rsid w:val="00823BF9"/>
    <w:rsid w:val="00825116"/>
    <w:rsid w:val="00826D42"/>
    <w:rsid w:val="00827387"/>
    <w:rsid w:val="00827990"/>
    <w:rsid w:val="00830348"/>
    <w:rsid w:val="00830A85"/>
    <w:rsid w:val="00830CBD"/>
    <w:rsid w:val="008326DF"/>
    <w:rsid w:val="0083346C"/>
    <w:rsid w:val="008337AC"/>
    <w:rsid w:val="00834E4A"/>
    <w:rsid w:val="0083575C"/>
    <w:rsid w:val="00840655"/>
    <w:rsid w:val="00843332"/>
    <w:rsid w:val="00843DD5"/>
    <w:rsid w:val="008441B3"/>
    <w:rsid w:val="00844F62"/>
    <w:rsid w:val="00845224"/>
    <w:rsid w:val="00845B00"/>
    <w:rsid w:val="00845DE1"/>
    <w:rsid w:val="008463F9"/>
    <w:rsid w:val="00846F67"/>
    <w:rsid w:val="00847697"/>
    <w:rsid w:val="00847938"/>
    <w:rsid w:val="00851488"/>
    <w:rsid w:val="008527D5"/>
    <w:rsid w:val="00853297"/>
    <w:rsid w:val="008533A3"/>
    <w:rsid w:val="00853618"/>
    <w:rsid w:val="00856437"/>
    <w:rsid w:val="00860C6F"/>
    <w:rsid w:val="008619BA"/>
    <w:rsid w:val="008630EC"/>
    <w:rsid w:val="00863308"/>
    <w:rsid w:val="00863DEF"/>
    <w:rsid w:val="008642CB"/>
    <w:rsid w:val="00865346"/>
    <w:rsid w:val="00865A26"/>
    <w:rsid w:val="00865C16"/>
    <w:rsid w:val="008662A5"/>
    <w:rsid w:val="008701E0"/>
    <w:rsid w:val="0087174F"/>
    <w:rsid w:val="00871DCC"/>
    <w:rsid w:val="0087545E"/>
    <w:rsid w:val="008755F7"/>
    <w:rsid w:val="0087578A"/>
    <w:rsid w:val="00876C95"/>
    <w:rsid w:val="00876F05"/>
    <w:rsid w:val="00880780"/>
    <w:rsid w:val="00880C40"/>
    <w:rsid w:val="00881516"/>
    <w:rsid w:val="0088287D"/>
    <w:rsid w:val="00882C50"/>
    <w:rsid w:val="008837E9"/>
    <w:rsid w:val="00883B2E"/>
    <w:rsid w:val="0088471C"/>
    <w:rsid w:val="00885BDA"/>
    <w:rsid w:val="00886B38"/>
    <w:rsid w:val="0088731C"/>
    <w:rsid w:val="00887761"/>
    <w:rsid w:val="00887816"/>
    <w:rsid w:val="00887F51"/>
    <w:rsid w:val="008912A0"/>
    <w:rsid w:val="0089169A"/>
    <w:rsid w:val="00891A21"/>
    <w:rsid w:val="00892468"/>
    <w:rsid w:val="00894A51"/>
    <w:rsid w:val="0089527E"/>
    <w:rsid w:val="008957E2"/>
    <w:rsid w:val="008A0BF5"/>
    <w:rsid w:val="008A1099"/>
    <w:rsid w:val="008A2819"/>
    <w:rsid w:val="008A2E70"/>
    <w:rsid w:val="008A3C74"/>
    <w:rsid w:val="008A41AC"/>
    <w:rsid w:val="008A4E7A"/>
    <w:rsid w:val="008A5248"/>
    <w:rsid w:val="008A5511"/>
    <w:rsid w:val="008A645E"/>
    <w:rsid w:val="008A6FBA"/>
    <w:rsid w:val="008A77EE"/>
    <w:rsid w:val="008B0B77"/>
    <w:rsid w:val="008B101F"/>
    <w:rsid w:val="008B1FE2"/>
    <w:rsid w:val="008B3379"/>
    <w:rsid w:val="008B3CEB"/>
    <w:rsid w:val="008B4F27"/>
    <w:rsid w:val="008B752F"/>
    <w:rsid w:val="008B7693"/>
    <w:rsid w:val="008C0D1C"/>
    <w:rsid w:val="008C1219"/>
    <w:rsid w:val="008C195B"/>
    <w:rsid w:val="008C22C8"/>
    <w:rsid w:val="008C4024"/>
    <w:rsid w:val="008C481A"/>
    <w:rsid w:val="008C4BA6"/>
    <w:rsid w:val="008C4D2E"/>
    <w:rsid w:val="008C4DB3"/>
    <w:rsid w:val="008C5167"/>
    <w:rsid w:val="008C5DE4"/>
    <w:rsid w:val="008C79D2"/>
    <w:rsid w:val="008D02CA"/>
    <w:rsid w:val="008D044F"/>
    <w:rsid w:val="008D0636"/>
    <w:rsid w:val="008D41C6"/>
    <w:rsid w:val="008D64BD"/>
    <w:rsid w:val="008E1317"/>
    <w:rsid w:val="008E1921"/>
    <w:rsid w:val="008E1BEF"/>
    <w:rsid w:val="008E242F"/>
    <w:rsid w:val="008E265B"/>
    <w:rsid w:val="008E278B"/>
    <w:rsid w:val="008E2CD8"/>
    <w:rsid w:val="008E2E7E"/>
    <w:rsid w:val="008E3D5F"/>
    <w:rsid w:val="008E3D84"/>
    <w:rsid w:val="008E484E"/>
    <w:rsid w:val="008E5109"/>
    <w:rsid w:val="008E53C5"/>
    <w:rsid w:val="008E5C87"/>
    <w:rsid w:val="008E5EDC"/>
    <w:rsid w:val="008E7491"/>
    <w:rsid w:val="008E76C9"/>
    <w:rsid w:val="008F0BE0"/>
    <w:rsid w:val="008F0C2C"/>
    <w:rsid w:val="008F13CC"/>
    <w:rsid w:val="008F1934"/>
    <w:rsid w:val="008F4FC5"/>
    <w:rsid w:val="008F703C"/>
    <w:rsid w:val="00900D6F"/>
    <w:rsid w:val="00903532"/>
    <w:rsid w:val="00905284"/>
    <w:rsid w:val="00905DF4"/>
    <w:rsid w:val="00905E8D"/>
    <w:rsid w:val="00906166"/>
    <w:rsid w:val="00906F21"/>
    <w:rsid w:val="009078DF"/>
    <w:rsid w:val="00910BFE"/>
    <w:rsid w:val="00911332"/>
    <w:rsid w:val="00911344"/>
    <w:rsid w:val="00912C73"/>
    <w:rsid w:val="00914759"/>
    <w:rsid w:val="00914D0C"/>
    <w:rsid w:val="009158E5"/>
    <w:rsid w:val="0091681A"/>
    <w:rsid w:val="00920AEF"/>
    <w:rsid w:val="00921AF7"/>
    <w:rsid w:val="00921C5D"/>
    <w:rsid w:val="009227A3"/>
    <w:rsid w:val="009238A9"/>
    <w:rsid w:val="009249C6"/>
    <w:rsid w:val="00924E55"/>
    <w:rsid w:val="00925AB0"/>
    <w:rsid w:val="009265C3"/>
    <w:rsid w:val="0092677C"/>
    <w:rsid w:val="009279E4"/>
    <w:rsid w:val="00930150"/>
    <w:rsid w:val="00930B50"/>
    <w:rsid w:val="00932822"/>
    <w:rsid w:val="00932FE6"/>
    <w:rsid w:val="009338A9"/>
    <w:rsid w:val="00933A99"/>
    <w:rsid w:val="00934715"/>
    <w:rsid w:val="009347A6"/>
    <w:rsid w:val="0093527A"/>
    <w:rsid w:val="0093616B"/>
    <w:rsid w:val="009367D6"/>
    <w:rsid w:val="0093727F"/>
    <w:rsid w:val="00937D2A"/>
    <w:rsid w:val="009410C4"/>
    <w:rsid w:val="0094225B"/>
    <w:rsid w:val="0094297F"/>
    <w:rsid w:val="00943505"/>
    <w:rsid w:val="00943BEE"/>
    <w:rsid w:val="009462A4"/>
    <w:rsid w:val="009475CD"/>
    <w:rsid w:val="00947AEB"/>
    <w:rsid w:val="00947B2B"/>
    <w:rsid w:val="00947D10"/>
    <w:rsid w:val="00950415"/>
    <w:rsid w:val="009506DA"/>
    <w:rsid w:val="00951C09"/>
    <w:rsid w:val="00951DE1"/>
    <w:rsid w:val="00952156"/>
    <w:rsid w:val="00952A16"/>
    <w:rsid w:val="00952CA1"/>
    <w:rsid w:val="009537D0"/>
    <w:rsid w:val="00953BEB"/>
    <w:rsid w:val="00953C00"/>
    <w:rsid w:val="00954A01"/>
    <w:rsid w:val="00954CBC"/>
    <w:rsid w:val="00960466"/>
    <w:rsid w:val="00962586"/>
    <w:rsid w:val="00964E18"/>
    <w:rsid w:val="00966813"/>
    <w:rsid w:val="009675A1"/>
    <w:rsid w:val="0097143A"/>
    <w:rsid w:val="0097174A"/>
    <w:rsid w:val="00971895"/>
    <w:rsid w:val="00972317"/>
    <w:rsid w:val="0097384B"/>
    <w:rsid w:val="00973E2C"/>
    <w:rsid w:val="009750A2"/>
    <w:rsid w:val="0097769F"/>
    <w:rsid w:val="00977924"/>
    <w:rsid w:val="00977F62"/>
    <w:rsid w:val="009801D9"/>
    <w:rsid w:val="0098136F"/>
    <w:rsid w:val="0098269C"/>
    <w:rsid w:val="009835C6"/>
    <w:rsid w:val="009849B9"/>
    <w:rsid w:val="00984A82"/>
    <w:rsid w:val="0098623E"/>
    <w:rsid w:val="0098643D"/>
    <w:rsid w:val="0099021D"/>
    <w:rsid w:val="00990AD5"/>
    <w:rsid w:val="00991B39"/>
    <w:rsid w:val="009922A9"/>
    <w:rsid w:val="0099350D"/>
    <w:rsid w:val="009936A9"/>
    <w:rsid w:val="00993EF3"/>
    <w:rsid w:val="00997B01"/>
    <w:rsid w:val="009A0557"/>
    <w:rsid w:val="009A0A44"/>
    <w:rsid w:val="009A0C09"/>
    <w:rsid w:val="009A161F"/>
    <w:rsid w:val="009A49A2"/>
    <w:rsid w:val="009A4B53"/>
    <w:rsid w:val="009A4E04"/>
    <w:rsid w:val="009A527C"/>
    <w:rsid w:val="009A62DF"/>
    <w:rsid w:val="009A782F"/>
    <w:rsid w:val="009B146D"/>
    <w:rsid w:val="009B16B6"/>
    <w:rsid w:val="009B1867"/>
    <w:rsid w:val="009B2A73"/>
    <w:rsid w:val="009B3184"/>
    <w:rsid w:val="009B61B9"/>
    <w:rsid w:val="009B6384"/>
    <w:rsid w:val="009B690E"/>
    <w:rsid w:val="009B6D83"/>
    <w:rsid w:val="009B7A28"/>
    <w:rsid w:val="009C1296"/>
    <w:rsid w:val="009C152F"/>
    <w:rsid w:val="009C1A2C"/>
    <w:rsid w:val="009C3086"/>
    <w:rsid w:val="009C3CEF"/>
    <w:rsid w:val="009C4F6C"/>
    <w:rsid w:val="009C5776"/>
    <w:rsid w:val="009C59C7"/>
    <w:rsid w:val="009C5FA1"/>
    <w:rsid w:val="009D02A2"/>
    <w:rsid w:val="009D1730"/>
    <w:rsid w:val="009D1B05"/>
    <w:rsid w:val="009D1D01"/>
    <w:rsid w:val="009D1E53"/>
    <w:rsid w:val="009D2250"/>
    <w:rsid w:val="009D22C2"/>
    <w:rsid w:val="009D2C46"/>
    <w:rsid w:val="009D3999"/>
    <w:rsid w:val="009D569F"/>
    <w:rsid w:val="009D6D4A"/>
    <w:rsid w:val="009E00EC"/>
    <w:rsid w:val="009E0277"/>
    <w:rsid w:val="009E1D8D"/>
    <w:rsid w:val="009E20C9"/>
    <w:rsid w:val="009E4B2E"/>
    <w:rsid w:val="009E502C"/>
    <w:rsid w:val="009E53BB"/>
    <w:rsid w:val="009E6CE9"/>
    <w:rsid w:val="009F14D3"/>
    <w:rsid w:val="009F3D16"/>
    <w:rsid w:val="009F41E8"/>
    <w:rsid w:val="009F468A"/>
    <w:rsid w:val="009F4955"/>
    <w:rsid w:val="00A00073"/>
    <w:rsid w:val="00A0031F"/>
    <w:rsid w:val="00A03B94"/>
    <w:rsid w:val="00A06332"/>
    <w:rsid w:val="00A069A9"/>
    <w:rsid w:val="00A07E96"/>
    <w:rsid w:val="00A114C8"/>
    <w:rsid w:val="00A13F86"/>
    <w:rsid w:val="00A14524"/>
    <w:rsid w:val="00A15CDF"/>
    <w:rsid w:val="00A16C10"/>
    <w:rsid w:val="00A1717D"/>
    <w:rsid w:val="00A179FF"/>
    <w:rsid w:val="00A20377"/>
    <w:rsid w:val="00A20F19"/>
    <w:rsid w:val="00A20F8F"/>
    <w:rsid w:val="00A2264B"/>
    <w:rsid w:val="00A22E38"/>
    <w:rsid w:val="00A23330"/>
    <w:rsid w:val="00A23C49"/>
    <w:rsid w:val="00A255B5"/>
    <w:rsid w:val="00A26562"/>
    <w:rsid w:val="00A27DDF"/>
    <w:rsid w:val="00A27E16"/>
    <w:rsid w:val="00A3203A"/>
    <w:rsid w:val="00A33E35"/>
    <w:rsid w:val="00A33EE7"/>
    <w:rsid w:val="00A34166"/>
    <w:rsid w:val="00A3448A"/>
    <w:rsid w:val="00A36905"/>
    <w:rsid w:val="00A3690B"/>
    <w:rsid w:val="00A37CC2"/>
    <w:rsid w:val="00A37D57"/>
    <w:rsid w:val="00A40FD9"/>
    <w:rsid w:val="00A413BA"/>
    <w:rsid w:val="00A41E70"/>
    <w:rsid w:val="00A4401D"/>
    <w:rsid w:val="00A44E47"/>
    <w:rsid w:val="00A45F91"/>
    <w:rsid w:val="00A45FE0"/>
    <w:rsid w:val="00A467FD"/>
    <w:rsid w:val="00A47463"/>
    <w:rsid w:val="00A505B1"/>
    <w:rsid w:val="00A5178F"/>
    <w:rsid w:val="00A53CA0"/>
    <w:rsid w:val="00A542BD"/>
    <w:rsid w:val="00A54381"/>
    <w:rsid w:val="00A54B91"/>
    <w:rsid w:val="00A559C6"/>
    <w:rsid w:val="00A55D40"/>
    <w:rsid w:val="00A568CF"/>
    <w:rsid w:val="00A56C8B"/>
    <w:rsid w:val="00A573B6"/>
    <w:rsid w:val="00A6104E"/>
    <w:rsid w:val="00A610B6"/>
    <w:rsid w:val="00A61E47"/>
    <w:rsid w:val="00A624D6"/>
    <w:rsid w:val="00A62B57"/>
    <w:rsid w:val="00A63052"/>
    <w:rsid w:val="00A64A18"/>
    <w:rsid w:val="00A64DF8"/>
    <w:rsid w:val="00A64DFA"/>
    <w:rsid w:val="00A6634F"/>
    <w:rsid w:val="00A670B5"/>
    <w:rsid w:val="00A67740"/>
    <w:rsid w:val="00A70226"/>
    <w:rsid w:val="00A70A7F"/>
    <w:rsid w:val="00A713C7"/>
    <w:rsid w:val="00A71689"/>
    <w:rsid w:val="00A716CB"/>
    <w:rsid w:val="00A73219"/>
    <w:rsid w:val="00A73ED6"/>
    <w:rsid w:val="00A73F0D"/>
    <w:rsid w:val="00A74682"/>
    <w:rsid w:val="00A747D5"/>
    <w:rsid w:val="00A75E07"/>
    <w:rsid w:val="00A76A25"/>
    <w:rsid w:val="00A77F71"/>
    <w:rsid w:val="00A81271"/>
    <w:rsid w:val="00A84285"/>
    <w:rsid w:val="00A84D13"/>
    <w:rsid w:val="00A84DF8"/>
    <w:rsid w:val="00A860B3"/>
    <w:rsid w:val="00A870CC"/>
    <w:rsid w:val="00A90FAC"/>
    <w:rsid w:val="00A912E1"/>
    <w:rsid w:val="00A951BF"/>
    <w:rsid w:val="00A9589C"/>
    <w:rsid w:val="00A968A2"/>
    <w:rsid w:val="00AA0B67"/>
    <w:rsid w:val="00AA1669"/>
    <w:rsid w:val="00AA16F8"/>
    <w:rsid w:val="00AA2589"/>
    <w:rsid w:val="00AA343F"/>
    <w:rsid w:val="00AA4577"/>
    <w:rsid w:val="00AA4DB7"/>
    <w:rsid w:val="00AA5EC5"/>
    <w:rsid w:val="00AA63B1"/>
    <w:rsid w:val="00AA65CC"/>
    <w:rsid w:val="00AA6A42"/>
    <w:rsid w:val="00AB0C0A"/>
    <w:rsid w:val="00AB351E"/>
    <w:rsid w:val="00AB4118"/>
    <w:rsid w:val="00AB6B44"/>
    <w:rsid w:val="00AC0556"/>
    <w:rsid w:val="00AC163A"/>
    <w:rsid w:val="00AC292C"/>
    <w:rsid w:val="00AC3B64"/>
    <w:rsid w:val="00AC4A4E"/>
    <w:rsid w:val="00AC5F0D"/>
    <w:rsid w:val="00AC6ACC"/>
    <w:rsid w:val="00AC6C51"/>
    <w:rsid w:val="00AC6FFE"/>
    <w:rsid w:val="00AC7479"/>
    <w:rsid w:val="00AC74D9"/>
    <w:rsid w:val="00AC7CAA"/>
    <w:rsid w:val="00AD0069"/>
    <w:rsid w:val="00AD122B"/>
    <w:rsid w:val="00AD4344"/>
    <w:rsid w:val="00AD56B5"/>
    <w:rsid w:val="00AD6408"/>
    <w:rsid w:val="00AD72F7"/>
    <w:rsid w:val="00AD7DC7"/>
    <w:rsid w:val="00AE1D65"/>
    <w:rsid w:val="00AE2530"/>
    <w:rsid w:val="00AE461B"/>
    <w:rsid w:val="00AE5D6A"/>
    <w:rsid w:val="00AE6E1C"/>
    <w:rsid w:val="00AF01DC"/>
    <w:rsid w:val="00AF12AF"/>
    <w:rsid w:val="00AF12E5"/>
    <w:rsid w:val="00AF2211"/>
    <w:rsid w:val="00AF2A72"/>
    <w:rsid w:val="00AF323B"/>
    <w:rsid w:val="00AF479C"/>
    <w:rsid w:val="00AF5ACF"/>
    <w:rsid w:val="00AF5C6D"/>
    <w:rsid w:val="00B010A2"/>
    <w:rsid w:val="00B03879"/>
    <w:rsid w:val="00B03942"/>
    <w:rsid w:val="00B03DCC"/>
    <w:rsid w:val="00B04119"/>
    <w:rsid w:val="00B0634F"/>
    <w:rsid w:val="00B06C31"/>
    <w:rsid w:val="00B06EA5"/>
    <w:rsid w:val="00B100C6"/>
    <w:rsid w:val="00B10806"/>
    <w:rsid w:val="00B130E9"/>
    <w:rsid w:val="00B13399"/>
    <w:rsid w:val="00B14533"/>
    <w:rsid w:val="00B1458D"/>
    <w:rsid w:val="00B147DF"/>
    <w:rsid w:val="00B14E09"/>
    <w:rsid w:val="00B15275"/>
    <w:rsid w:val="00B167FD"/>
    <w:rsid w:val="00B16D02"/>
    <w:rsid w:val="00B178D1"/>
    <w:rsid w:val="00B20EEF"/>
    <w:rsid w:val="00B22013"/>
    <w:rsid w:val="00B22886"/>
    <w:rsid w:val="00B22DA7"/>
    <w:rsid w:val="00B238A7"/>
    <w:rsid w:val="00B23DA9"/>
    <w:rsid w:val="00B23F88"/>
    <w:rsid w:val="00B25C48"/>
    <w:rsid w:val="00B25FC1"/>
    <w:rsid w:val="00B30595"/>
    <w:rsid w:val="00B3191A"/>
    <w:rsid w:val="00B31B03"/>
    <w:rsid w:val="00B322BA"/>
    <w:rsid w:val="00B32DDA"/>
    <w:rsid w:val="00B34831"/>
    <w:rsid w:val="00B35498"/>
    <w:rsid w:val="00B35E4C"/>
    <w:rsid w:val="00B3798C"/>
    <w:rsid w:val="00B37F01"/>
    <w:rsid w:val="00B41F8D"/>
    <w:rsid w:val="00B4202D"/>
    <w:rsid w:val="00B42312"/>
    <w:rsid w:val="00B43936"/>
    <w:rsid w:val="00B439AE"/>
    <w:rsid w:val="00B43E02"/>
    <w:rsid w:val="00B45448"/>
    <w:rsid w:val="00B45AFE"/>
    <w:rsid w:val="00B46552"/>
    <w:rsid w:val="00B466C5"/>
    <w:rsid w:val="00B46954"/>
    <w:rsid w:val="00B50B66"/>
    <w:rsid w:val="00B51DC2"/>
    <w:rsid w:val="00B52157"/>
    <w:rsid w:val="00B5329D"/>
    <w:rsid w:val="00B53798"/>
    <w:rsid w:val="00B53CC8"/>
    <w:rsid w:val="00B54414"/>
    <w:rsid w:val="00B55EDA"/>
    <w:rsid w:val="00B60FB4"/>
    <w:rsid w:val="00B615CD"/>
    <w:rsid w:val="00B62689"/>
    <w:rsid w:val="00B62890"/>
    <w:rsid w:val="00B62977"/>
    <w:rsid w:val="00B6333B"/>
    <w:rsid w:val="00B6365E"/>
    <w:rsid w:val="00B6481E"/>
    <w:rsid w:val="00B64A31"/>
    <w:rsid w:val="00B64A84"/>
    <w:rsid w:val="00B66B37"/>
    <w:rsid w:val="00B6797B"/>
    <w:rsid w:val="00B70D19"/>
    <w:rsid w:val="00B7117B"/>
    <w:rsid w:val="00B721AF"/>
    <w:rsid w:val="00B72908"/>
    <w:rsid w:val="00B74497"/>
    <w:rsid w:val="00B75592"/>
    <w:rsid w:val="00B75622"/>
    <w:rsid w:val="00B75DCB"/>
    <w:rsid w:val="00B772EE"/>
    <w:rsid w:val="00B7787D"/>
    <w:rsid w:val="00B77B51"/>
    <w:rsid w:val="00B81C5F"/>
    <w:rsid w:val="00B823B3"/>
    <w:rsid w:val="00B83502"/>
    <w:rsid w:val="00B83E69"/>
    <w:rsid w:val="00B844F2"/>
    <w:rsid w:val="00B8497C"/>
    <w:rsid w:val="00B84D61"/>
    <w:rsid w:val="00B855CE"/>
    <w:rsid w:val="00B87751"/>
    <w:rsid w:val="00B9024C"/>
    <w:rsid w:val="00B90A51"/>
    <w:rsid w:val="00B91745"/>
    <w:rsid w:val="00B91B88"/>
    <w:rsid w:val="00B925EB"/>
    <w:rsid w:val="00B92995"/>
    <w:rsid w:val="00B92E64"/>
    <w:rsid w:val="00B92F31"/>
    <w:rsid w:val="00B93364"/>
    <w:rsid w:val="00B93CF0"/>
    <w:rsid w:val="00B9425A"/>
    <w:rsid w:val="00B948E9"/>
    <w:rsid w:val="00B94D55"/>
    <w:rsid w:val="00B96252"/>
    <w:rsid w:val="00B966AC"/>
    <w:rsid w:val="00B96778"/>
    <w:rsid w:val="00B96E8B"/>
    <w:rsid w:val="00B970FC"/>
    <w:rsid w:val="00B97377"/>
    <w:rsid w:val="00B9746B"/>
    <w:rsid w:val="00B97CD9"/>
    <w:rsid w:val="00BA0873"/>
    <w:rsid w:val="00BA1081"/>
    <w:rsid w:val="00BA18E0"/>
    <w:rsid w:val="00BA21B7"/>
    <w:rsid w:val="00BA24E4"/>
    <w:rsid w:val="00BA2BAB"/>
    <w:rsid w:val="00BA459F"/>
    <w:rsid w:val="00BA564E"/>
    <w:rsid w:val="00BA6B5C"/>
    <w:rsid w:val="00BA7082"/>
    <w:rsid w:val="00BB0E0F"/>
    <w:rsid w:val="00BB2491"/>
    <w:rsid w:val="00BB3B2C"/>
    <w:rsid w:val="00BB3B89"/>
    <w:rsid w:val="00BB42D6"/>
    <w:rsid w:val="00BB4832"/>
    <w:rsid w:val="00BB4DF6"/>
    <w:rsid w:val="00BB4FD3"/>
    <w:rsid w:val="00BB51A1"/>
    <w:rsid w:val="00BB5875"/>
    <w:rsid w:val="00BC2D55"/>
    <w:rsid w:val="00BC43E8"/>
    <w:rsid w:val="00BC51B4"/>
    <w:rsid w:val="00BC529B"/>
    <w:rsid w:val="00BC6CCA"/>
    <w:rsid w:val="00BC6DDB"/>
    <w:rsid w:val="00BD2003"/>
    <w:rsid w:val="00BD2B39"/>
    <w:rsid w:val="00BD2BE1"/>
    <w:rsid w:val="00BD4E22"/>
    <w:rsid w:val="00BD6BDA"/>
    <w:rsid w:val="00BD77C0"/>
    <w:rsid w:val="00BE0CFC"/>
    <w:rsid w:val="00BE2452"/>
    <w:rsid w:val="00BE2714"/>
    <w:rsid w:val="00BE38E0"/>
    <w:rsid w:val="00BE4508"/>
    <w:rsid w:val="00BE570B"/>
    <w:rsid w:val="00BE5741"/>
    <w:rsid w:val="00BE6021"/>
    <w:rsid w:val="00BE69D6"/>
    <w:rsid w:val="00BE7536"/>
    <w:rsid w:val="00BF11D4"/>
    <w:rsid w:val="00BF205B"/>
    <w:rsid w:val="00BF292D"/>
    <w:rsid w:val="00BF2B28"/>
    <w:rsid w:val="00BF39C6"/>
    <w:rsid w:val="00BF442F"/>
    <w:rsid w:val="00BF48BF"/>
    <w:rsid w:val="00BF4A06"/>
    <w:rsid w:val="00BF52BC"/>
    <w:rsid w:val="00BF53A8"/>
    <w:rsid w:val="00BF6C30"/>
    <w:rsid w:val="00BF6C4F"/>
    <w:rsid w:val="00BF6FC2"/>
    <w:rsid w:val="00BF754C"/>
    <w:rsid w:val="00BF7BDD"/>
    <w:rsid w:val="00BF7F8B"/>
    <w:rsid w:val="00C023E8"/>
    <w:rsid w:val="00C04FDB"/>
    <w:rsid w:val="00C05A25"/>
    <w:rsid w:val="00C0631A"/>
    <w:rsid w:val="00C06E7B"/>
    <w:rsid w:val="00C117E5"/>
    <w:rsid w:val="00C1207F"/>
    <w:rsid w:val="00C125C9"/>
    <w:rsid w:val="00C12B9B"/>
    <w:rsid w:val="00C13DC5"/>
    <w:rsid w:val="00C14B25"/>
    <w:rsid w:val="00C154F6"/>
    <w:rsid w:val="00C15697"/>
    <w:rsid w:val="00C159A3"/>
    <w:rsid w:val="00C15A00"/>
    <w:rsid w:val="00C16547"/>
    <w:rsid w:val="00C16557"/>
    <w:rsid w:val="00C16EB9"/>
    <w:rsid w:val="00C16FF0"/>
    <w:rsid w:val="00C1745D"/>
    <w:rsid w:val="00C20562"/>
    <w:rsid w:val="00C22124"/>
    <w:rsid w:val="00C22AD4"/>
    <w:rsid w:val="00C25232"/>
    <w:rsid w:val="00C256F2"/>
    <w:rsid w:val="00C26C58"/>
    <w:rsid w:val="00C27A73"/>
    <w:rsid w:val="00C30537"/>
    <w:rsid w:val="00C3124E"/>
    <w:rsid w:val="00C32560"/>
    <w:rsid w:val="00C33FF5"/>
    <w:rsid w:val="00C34E8B"/>
    <w:rsid w:val="00C355BD"/>
    <w:rsid w:val="00C35984"/>
    <w:rsid w:val="00C35AF2"/>
    <w:rsid w:val="00C3620E"/>
    <w:rsid w:val="00C413BD"/>
    <w:rsid w:val="00C41C24"/>
    <w:rsid w:val="00C422D5"/>
    <w:rsid w:val="00C440B2"/>
    <w:rsid w:val="00C45AA7"/>
    <w:rsid w:val="00C4631E"/>
    <w:rsid w:val="00C463AD"/>
    <w:rsid w:val="00C46C5C"/>
    <w:rsid w:val="00C46EB5"/>
    <w:rsid w:val="00C47D71"/>
    <w:rsid w:val="00C5075F"/>
    <w:rsid w:val="00C511FD"/>
    <w:rsid w:val="00C51B72"/>
    <w:rsid w:val="00C53E01"/>
    <w:rsid w:val="00C54041"/>
    <w:rsid w:val="00C54441"/>
    <w:rsid w:val="00C54988"/>
    <w:rsid w:val="00C55D3E"/>
    <w:rsid w:val="00C56A33"/>
    <w:rsid w:val="00C56CAA"/>
    <w:rsid w:val="00C5773A"/>
    <w:rsid w:val="00C60304"/>
    <w:rsid w:val="00C6065F"/>
    <w:rsid w:val="00C60D60"/>
    <w:rsid w:val="00C61C0C"/>
    <w:rsid w:val="00C67652"/>
    <w:rsid w:val="00C67E80"/>
    <w:rsid w:val="00C705AA"/>
    <w:rsid w:val="00C7152C"/>
    <w:rsid w:val="00C74E17"/>
    <w:rsid w:val="00C77B01"/>
    <w:rsid w:val="00C80590"/>
    <w:rsid w:val="00C80708"/>
    <w:rsid w:val="00C80755"/>
    <w:rsid w:val="00C8179E"/>
    <w:rsid w:val="00C81B09"/>
    <w:rsid w:val="00C82323"/>
    <w:rsid w:val="00C8305A"/>
    <w:rsid w:val="00C86E15"/>
    <w:rsid w:val="00C905C9"/>
    <w:rsid w:val="00C91439"/>
    <w:rsid w:val="00C92791"/>
    <w:rsid w:val="00C92B31"/>
    <w:rsid w:val="00C966E0"/>
    <w:rsid w:val="00C96766"/>
    <w:rsid w:val="00C96DAA"/>
    <w:rsid w:val="00CA03B8"/>
    <w:rsid w:val="00CA0F3F"/>
    <w:rsid w:val="00CA1713"/>
    <w:rsid w:val="00CA2356"/>
    <w:rsid w:val="00CA29FB"/>
    <w:rsid w:val="00CA29FF"/>
    <w:rsid w:val="00CA334C"/>
    <w:rsid w:val="00CA387C"/>
    <w:rsid w:val="00CA39DD"/>
    <w:rsid w:val="00CA3CC2"/>
    <w:rsid w:val="00CA6485"/>
    <w:rsid w:val="00CA660F"/>
    <w:rsid w:val="00CA672E"/>
    <w:rsid w:val="00CA739E"/>
    <w:rsid w:val="00CA7813"/>
    <w:rsid w:val="00CA7985"/>
    <w:rsid w:val="00CB0224"/>
    <w:rsid w:val="00CB08F1"/>
    <w:rsid w:val="00CB10EF"/>
    <w:rsid w:val="00CB12E8"/>
    <w:rsid w:val="00CB3471"/>
    <w:rsid w:val="00CB3654"/>
    <w:rsid w:val="00CB36DC"/>
    <w:rsid w:val="00CB41EC"/>
    <w:rsid w:val="00CB496D"/>
    <w:rsid w:val="00CB49D5"/>
    <w:rsid w:val="00CB4AED"/>
    <w:rsid w:val="00CB55F8"/>
    <w:rsid w:val="00CB6D51"/>
    <w:rsid w:val="00CB6E44"/>
    <w:rsid w:val="00CC0B1C"/>
    <w:rsid w:val="00CC1A43"/>
    <w:rsid w:val="00CC1CBD"/>
    <w:rsid w:val="00CC1EC1"/>
    <w:rsid w:val="00CC23FD"/>
    <w:rsid w:val="00CC3221"/>
    <w:rsid w:val="00CC327C"/>
    <w:rsid w:val="00CC34F0"/>
    <w:rsid w:val="00CC5E9B"/>
    <w:rsid w:val="00CC6448"/>
    <w:rsid w:val="00CC7B6C"/>
    <w:rsid w:val="00CD1742"/>
    <w:rsid w:val="00CD1D91"/>
    <w:rsid w:val="00CD2E55"/>
    <w:rsid w:val="00CD32BB"/>
    <w:rsid w:val="00CD35B9"/>
    <w:rsid w:val="00CD3D92"/>
    <w:rsid w:val="00CD5D12"/>
    <w:rsid w:val="00CD6EC2"/>
    <w:rsid w:val="00CD72D7"/>
    <w:rsid w:val="00CD77FF"/>
    <w:rsid w:val="00CE02AD"/>
    <w:rsid w:val="00CE104E"/>
    <w:rsid w:val="00CE16C4"/>
    <w:rsid w:val="00CE1703"/>
    <w:rsid w:val="00CE18F2"/>
    <w:rsid w:val="00CE41A2"/>
    <w:rsid w:val="00CE4555"/>
    <w:rsid w:val="00CE4BD1"/>
    <w:rsid w:val="00CE583A"/>
    <w:rsid w:val="00CE591B"/>
    <w:rsid w:val="00CE5D53"/>
    <w:rsid w:val="00CE635D"/>
    <w:rsid w:val="00CE658B"/>
    <w:rsid w:val="00CE7214"/>
    <w:rsid w:val="00CE735D"/>
    <w:rsid w:val="00CF00B7"/>
    <w:rsid w:val="00CF2552"/>
    <w:rsid w:val="00CF3EEB"/>
    <w:rsid w:val="00CF4217"/>
    <w:rsid w:val="00CF461F"/>
    <w:rsid w:val="00CF4A5C"/>
    <w:rsid w:val="00CF5B38"/>
    <w:rsid w:val="00CF61E0"/>
    <w:rsid w:val="00CF6A1A"/>
    <w:rsid w:val="00CF73CB"/>
    <w:rsid w:val="00D00D0C"/>
    <w:rsid w:val="00D00E7A"/>
    <w:rsid w:val="00D01711"/>
    <w:rsid w:val="00D01984"/>
    <w:rsid w:val="00D0204E"/>
    <w:rsid w:val="00D03B08"/>
    <w:rsid w:val="00D063D1"/>
    <w:rsid w:val="00D106F1"/>
    <w:rsid w:val="00D117D7"/>
    <w:rsid w:val="00D14587"/>
    <w:rsid w:val="00D14914"/>
    <w:rsid w:val="00D14CEB"/>
    <w:rsid w:val="00D154BE"/>
    <w:rsid w:val="00D16C46"/>
    <w:rsid w:val="00D17448"/>
    <w:rsid w:val="00D22EA2"/>
    <w:rsid w:val="00D234D2"/>
    <w:rsid w:val="00D2389F"/>
    <w:rsid w:val="00D24F62"/>
    <w:rsid w:val="00D252E6"/>
    <w:rsid w:val="00D25569"/>
    <w:rsid w:val="00D302ED"/>
    <w:rsid w:val="00D30815"/>
    <w:rsid w:val="00D30B4B"/>
    <w:rsid w:val="00D324C0"/>
    <w:rsid w:val="00D327D9"/>
    <w:rsid w:val="00D3291D"/>
    <w:rsid w:val="00D3306D"/>
    <w:rsid w:val="00D33978"/>
    <w:rsid w:val="00D34542"/>
    <w:rsid w:val="00D34E06"/>
    <w:rsid w:val="00D35369"/>
    <w:rsid w:val="00D3557F"/>
    <w:rsid w:val="00D37B19"/>
    <w:rsid w:val="00D37DB6"/>
    <w:rsid w:val="00D41C21"/>
    <w:rsid w:val="00D4416F"/>
    <w:rsid w:val="00D44CF1"/>
    <w:rsid w:val="00D45851"/>
    <w:rsid w:val="00D4604F"/>
    <w:rsid w:val="00D46140"/>
    <w:rsid w:val="00D47DCD"/>
    <w:rsid w:val="00D5112E"/>
    <w:rsid w:val="00D526A0"/>
    <w:rsid w:val="00D547F0"/>
    <w:rsid w:val="00D558FC"/>
    <w:rsid w:val="00D5649B"/>
    <w:rsid w:val="00D565E0"/>
    <w:rsid w:val="00D60202"/>
    <w:rsid w:val="00D608B5"/>
    <w:rsid w:val="00D62E52"/>
    <w:rsid w:val="00D637BD"/>
    <w:rsid w:val="00D63DE0"/>
    <w:rsid w:val="00D64551"/>
    <w:rsid w:val="00D64842"/>
    <w:rsid w:val="00D64F77"/>
    <w:rsid w:val="00D652DC"/>
    <w:rsid w:val="00D65D46"/>
    <w:rsid w:val="00D6672E"/>
    <w:rsid w:val="00D67486"/>
    <w:rsid w:val="00D677EE"/>
    <w:rsid w:val="00D7046C"/>
    <w:rsid w:val="00D73D58"/>
    <w:rsid w:val="00D74A4B"/>
    <w:rsid w:val="00D75212"/>
    <w:rsid w:val="00D77661"/>
    <w:rsid w:val="00D80FA1"/>
    <w:rsid w:val="00D81B46"/>
    <w:rsid w:val="00D82F50"/>
    <w:rsid w:val="00D8325C"/>
    <w:rsid w:val="00D83440"/>
    <w:rsid w:val="00D84291"/>
    <w:rsid w:val="00D85683"/>
    <w:rsid w:val="00D869AC"/>
    <w:rsid w:val="00D87555"/>
    <w:rsid w:val="00D87A3E"/>
    <w:rsid w:val="00D904B6"/>
    <w:rsid w:val="00D909BA"/>
    <w:rsid w:val="00D90A10"/>
    <w:rsid w:val="00D91A51"/>
    <w:rsid w:val="00D92720"/>
    <w:rsid w:val="00D92836"/>
    <w:rsid w:val="00D929B7"/>
    <w:rsid w:val="00D929D1"/>
    <w:rsid w:val="00D95A63"/>
    <w:rsid w:val="00DA08F4"/>
    <w:rsid w:val="00DA0C61"/>
    <w:rsid w:val="00DA352A"/>
    <w:rsid w:val="00DA36F8"/>
    <w:rsid w:val="00DA3848"/>
    <w:rsid w:val="00DA4B2D"/>
    <w:rsid w:val="00DA4CAB"/>
    <w:rsid w:val="00DA53E6"/>
    <w:rsid w:val="00DA678D"/>
    <w:rsid w:val="00DA6B8F"/>
    <w:rsid w:val="00DB120B"/>
    <w:rsid w:val="00DB1D16"/>
    <w:rsid w:val="00DB2149"/>
    <w:rsid w:val="00DB3C1E"/>
    <w:rsid w:val="00DB3CB7"/>
    <w:rsid w:val="00DB3F38"/>
    <w:rsid w:val="00DB4378"/>
    <w:rsid w:val="00DB4426"/>
    <w:rsid w:val="00DB484E"/>
    <w:rsid w:val="00DB4F03"/>
    <w:rsid w:val="00DB54ED"/>
    <w:rsid w:val="00DB6461"/>
    <w:rsid w:val="00DB6E46"/>
    <w:rsid w:val="00DB7384"/>
    <w:rsid w:val="00DB78AE"/>
    <w:rsid w:val="00DB7B98"/>
    <w:rsid w:val="00DC3395"/>
    <w:rsid w:val="00DC377C"/>
    <w:rsid w:val="00DC5B05"/>
    <w:rsid w:val="00DC5B4D"/>
    <w:rsid w:val="00DC75E6"/>
    <w:rsid w:val="00DC7947"/>
    <w:rsid w:val="00DD0162"/>
    <w:rsid w:val="00DD0DA2"/>
    <w:rsid w:val="00DD0DB8"/>
    <w:rsid w:val="00DD0E46"/>
    <w:rsid w:val="00DD1E22"/>
    <w:rsid w:val="00DD3F4D"/>
    <w:rsid w:val="00DD62E9"/>
    <w:rsid w:val="00DD66D0"/>
    <w:rsid w:val="00DD6733"/>
    <w:rsid w:val="00DD7719"/>
    <w:rsid w:val="00DD7C7E"/>
    <w:rsid w:val="00DD7D31"/>
    <w:rsid w:val="00DD7F11"/>
    <w:rsid w:val="00DE02D4"/>
    <w:rsid w:val="00DE2B9F"/>
    <w:rsid w:val="00DE314B"/>
    <w:rsid w:val="00DE39E7"/>
    <w:rsid w:val="00DE3FA5"/>
    <w:rsid w:val="00DE4147"/>
    <w:rsid w:val="00DE4F31"/>
    <w:rsid w:val="00DE4F6A"/>
    <w:rsid w:val="00DE50AE"/>
    <w:rsid w:val="00DE5261"/>
    <w:rsid w:val="00DE56D1"/>
    <w:rsid w:val="00DE5F4A"/>
    <w:rsid w:val="00DE6A10"/>
    <w:rsid w:val="00DE7132"/>
    <w:rsid w:val="00DF12FD"/>
    <w:rsid w:val="00DF1E36"/>
    <w:rsid w:val="00DF348A"/>
    <w:rsid w:val="00DF3541"/>
    <w:rsid w:val="00DF4366"/>
    <w:rsid w:val="00DF47B1"/>
    <w:rsid w:val="00DF482F"/>
    <w:rsid w:val="00DF4E7C"/>
    <w:rsid w:val="00DF5895"/>
    <w:rsid w:val="00DF6206"/>
    <w:rsid w:val="00DF6E4E"/>
    <w:rsid w:val="00E00C66"/>
    <w:rsid w:val="00E02A7F"/>
    <w:rsid w:val="00E0495D"/>
    <w:rsid w:val="00E064E3"/>
    <w:rsid w:val="00E0670B"/>
    <w:rsid w:val="00E07B11"/>
    <w:rsid w:val="00E07DC0"/>
    <w:rsid w:val="00E12176"/>
    <w:rsid w:val="00E122D7"/>
    <w:rsid w:val="00E12E41"/>
    <w:rsid w:val="00E13023"/>
    <w:rsid w:val="00E13A33"/>
    <w:rsid w:val="00E1495F"/>
    <w:rsid w:val="00E14D49"/>
    <w:rsid w:val="00E154F5"/>
    <w:rsid w:val="00E15E97"/>
    <w:rsid w:val="00E17DE8"/>
    <w:rsid w:val="00E2044C"/>
    <w:rsid w:val="00E20A36"/>
    <w:rsid w:val="00E211C4"/>
    <w:rsid w:val="00E215A4"/>
    <w:rsid w:val="00E21906"/>
    <w:rsid w:val="00E22311"/>
    <w:rsid w:val="00E22DA7"/>
    <w:rsid w:val="00E23D12"/>
    <w:rsid w:val="00E26AA7"/>
    <w:rsid w:val="00E26BBF"/>
    <w:rsid w:val="00E2760C"/>
    <w:rsid w:val="00E27ADD"/>
    <w:rsid w:val="00E27FE5"/>
    <w:rsid w:val="00E27FEA"/>
    <w:rsid w:val="00E3043A"/>
    <w:rsid w:val="00E306BA"/>
    <w:rsid w:val="00E314BA"/>
    <w:rsid w:val="00E3162F"/>
    <w:rsid w:val="00E31A19"/>
    <w:rsid w:val="00E32ECB"/>
    <w:rsid w:val="00E3345E"/>
    <w:rsid w:val="00E339F5"/>
    <w:rsid w:val="00E342CD"/>
    <w:rsid w:val="00E35A1A"/>
    <w:rsid w:val="00E35CDA"/>
    <w:rsid w:val="00E36B13"/>
    <w:rsid w:val="00E37914"/>
    <w:rsid w:val="00E41E07"/>
    <w:rsid w:val="00E42654"/>
    <w:rsid w:val="00E434CC"/>
    <w:rsid w:val="00E43707"/>
    <w:rsid w:val="00E43A21"/>
    <w:rsid w:val="00E44583"/>
    <w:rsid w:val="00E44737"/>
    <w:rsid w:val="00E456D2"/>
    <w:rsid w:val="00E45FAE"/>
    <w:rsid w:val="00E46816"/>
    <w:rsid w:val="00E46B0A"/>
    <w:rsid w:val="00E46F0D"/>
    <w:rsid w:val="00E473EF"/>
    <w:rsid w:val="00E4767A"/>
    <w:rsid w:val="00E50498"/>
    <w:rsid w:val="00E51CB4"/>
    <w:rsid w:val="00E530FF"/>
    <w:rsid w:val="00E54F0B"/>
    <w:rsid w:val="00E55119"/>
    <w:rsid w:val="00E55BE9"/>
    <w:rsid w:val="00E603FA"/>
    <w:rsid w:val="00E61851"/>
    <w:rsid w:val="00E6248A"/>
    <w:rsid w:val="00E62493"/>
    <w:rsid w:val="00E629C5"/>
    <w:rsid w:val="00E62E20"/>
    <w:rsid w:val="00E63868"/>
    <w:rsid w:val="00E65973"/>
    <w:rsid w:val="00E65ACA"/>
    <w:rsid w:val="00E66459"/>
    <w:rsid w:val="00E679BE"/>
    <w:rsid w:val="00E67C17"/>
    <w:rsid w:val="00E703DB"/>
    <w:rsid w:val="00E71168"/>
    <w:rsid w:val="00E71D37"/>
    <w:rsid w:val="00E72AE5"/>
    <w:rsid w:val="00E7482F"/>
    <w:rsid w:val="00E75EBB"/>
    <w:rsid w:val="00E76075"/>
    <w:rsid w:val="00E766D2"/>
    <w:rsid w:val="00E7735F"/>
    <w:rsid w:val="00E77A22"/>
    <w:rsid w:val="00E82446"/>
    <w:rsid w:val="00E83CC9"/>
    <w:rsid w:val="00E83F67"/>
    <w:rsid w:val="00E85123"/>
    <w:rsid w:val="00E8597B"/>
    <w:rsid w:val="00E85D68"/>
    <w:rsid w:val="00E904D6"/>
    <w:rsid w:val="00E92595"/>
    <w:rsid w:val="00E93285"/>
    <w:rsid w:val="00E938D2"/>
    <w:rsid w:val="00E94A55"/>
    <w:rsid w:val="00E95AC8"/>
    <w:rsid w:val="00E964C3"/>
    <w:rsid w:val="00E972CF"/>
    <w:rsid w:val="00E97E72"/>
    <w:rsid w:val="00EA0544"/>
    <w:rsid w:val="00EA07B8"/>
    <w:rsid w:val="00EA0C50"/>
    <w:rsid w:val="00EA11B7"/>
    <w:rsid w:val="00EA1DE7"/>
    <w:rsid w:val="00EA21C5"/>
    <w:rsid w:val="00EA2A9A"/>
    <w:rsid w:val="00EA2B0B"/>
    <w:rsid w:val="00EA3117"/>
    <w:rsid w:val="00EA32DB"/>
    <w:rsid w:val="00EA35E1"/>
    <w:rsid w:val="00EA4933"/>
    <w:rsid w:val="00EA4BBE"/>
    <w:rsid w:val="00EA4FC0"/>
    <w:rsid w:val="00EA62E4"/>
    <w:rsid w:val="00EA7AAB"/>
    <w:rsid w:val="00EA7C35"/>
    <w:rsid w:val="00EB060A"/>
    <w:rsid w:val="00EB0B29"/>
    <w:rsid w:val="00EB18D3"/>
    <w:rsid w:val="00EB1A80"/>
    <w:rsid w:val="00EB2C2C"/>
    <w:rsid w:val="00EB3F7F"/>
    <w:rsid w:val="00EB46BD"/>
    <w:rsid w:val="00EB5151"/>
    <w:rsid w:val="00EB582C"/>
    <w:rsid w:val="00EB595F"/>
    <w:rsid w:val="00EB5FEB"/>
    <w:rsid w:val="00EB665B"/>
    <w:rsid w:val="00EB6AA7"/>
    <w:rsid w:val="00EB7326"/>
    <w:rsid w:val="00EB7A73"/>
    <w:rsid w:val="00EB7BE5"/>
    <w:rsid w:val="00EB7FC3"/>
    <w:rsid w:val="00EC0AAD"/>
    <w:rsid w:val="00EC255E"/>
    <w:rsid w:val="00EC2778"/>
    <w:rsid w:val="00EC38F7"/>
    <w:rsid w:val="00EC7BEF"/>
    <w:rsid w:val="00ED120F"/>
    <w:rsid w:val="00ED20BC"/>
    <w:rsid w:val="00ED2417"/>
    <w:rsid w:val="00ED25EE"/>
    <w:rsid w:val="00ED2ABC"/>
    <w:rsid w:val="00ED30FE"/>
    <w:rsid w:val="00ED4661"/>
    <w:rsid w:val="00ED4BEB"/>
    <w:rsid w:val="00ED528F"/>
    <w:rsid w:val="00ED7483"/>
    <w:rsid w:val="00EE0A8D"/>
    <w:rsid w:val="00EE1D08"/>
    <w:rsid w:val="00EE4974"/>
    <w:rsid w:val="00EE4BCD"/>
    <w:rsid w:val="00EE4E17"/>
    <w:rsid w:val="00EE6A7B"/>
    <w:rsid w:val="00EE6DCD"/>
    <w:rsid w:val="00EE7DEA"/>
    <w:rsid w:val="00EE7FDF"/>
    <w:rsid w:val="00EF0922"/>
    <w:rsid w:val="00EF10BF"/>
    <w:rsid w:val="00EF126F"/>
    <w:rsid w:val="00EF15F0"/>
    <w:rsid w:val="00EF1E55"/>
    <w:rsid w:val="00EF2E4B"/>
    <w:rsid w:val="00EF3C36"/>
    <w:rsid w:val="00EF4F28"/>
    <w:rsid w:val="00EF56BA"/>
    <w:rsid w:val="00EF570B"/>
    <w:rsid w:val="00EF7391"/>
    <w:rsid w:val="00EF7BD3"/>
    <w:rsid w:val="00F0274B"/>
    <w:rsid w:val="00F02E74"/>
    <w:rsid w:val="00F040DE"/>
    <w:rsid w:val="00F04A2B"/>
    <w:rsid w:val="00F04AAE"/>
    <w:rsid w:val="00F06887"/>
    <w:rsid w:val="00F06C58"/>
    <w:rsid w:val="00F06C94"/>
    <w:rsid w:val="00F11B04"/>
    <w:rsid w:val="00F12403"/>
    <w:rsid w:val="00F12D26"/>
    <w:rsid w:val="00F12EFC"/>
    <w:rsid w:val="00F13380"/>
    <w:rsid w:val="00F1439E"/>
    <w:rsid w:val="00F14D9B"/>
    <w:rsid w:val="00F14E89"/>
    <w:rsid w:val="00F157D6"/>
    <w:rsid w:val="00F15D8C"/>
    <w:rsid w:val="00F15DF5"/>
    <w:rsid w:val="00F1641B"/>
    <w:rsid w:val="00F17922"/>
    <w:rsid w:val="00F211B8"/>
    <w:rsid w:val="00F21D86"/>
    <w:rsid w:val="00F23E72"/>
    <w:rsid w:val="00F23EA3"/>
    <w:rsid w:val="00F24587"/>
    <w:rsid w:val="00F2559A"/>
    <w:rsid w:val="00F25E1A"/>
    <w:rsid w:val="00F27D64"/>
    <w:rsid w:val="00F30170"/>
    <w:rsid w:val="00F3023F"/>
    <w:rsid w:val="00F30EDB"/>
    <w:rsid w:val="00F31582"/>
    <w:rsid w:val="00F31ACA"/>
    <w:rsid w:val="00F333C5"/>
    <w:rsid w:val="00F340C4"/>
    <w:rsid w:val="00F343ED"/>
    <w:rsid w:val="00F34764"/>
    <w:rsid w:val="00F35283"/>
    <w:rsid w:val="00F35DBC"/>
    <w:rsid w:val="00F3633F"/>
    <w:rsid w:val="00F36847"/>
    <w:rsid w:val="00F37604"/>
    <w:rsid w:val="00F37629"/>
    <w:rsid w:val="00F37673"/>
    <w:rsid w:val="00F3775D"/>
    <w:rsid w:val="00F37F3B"/>
    <w:rsid w:val="00F40823"/>
    <w:rsid w:val="00F428CD"/>
    <w:rsid w:val="00F43FA8"/>
    <w:rsid w:val="00F4496D"/>
    <w:rsid w:val="00F45860"/>
    <w:rsid w:val="00F4602B"/>
    <w:rsid w:val="00F4739E"/>
    <w:rsid w:val="00F51243"/>
    <w:rsid w:val="00F51740"/>
    <w:rsid w:val="00F51F6D"/>
    <w:rsid w:val="00F535C1"/>
    <w:rsid w:val="00F556B4"/>
    <w:rsid w:val="00F56702"/>
    <w:rsid w:val="00F57B67"/>
    <w:rsid w:val="00F612DB"/>
    <w:rsid w:val="00F616A2"/>
    <w:rsid w:val="00F61EA9"/>
    <w:rsid w:val="00F6298F"/>
    <w:rsid w:val="00F63ED7"/>
    <w:rsid w:val="00F64EC9"/>
    <w:rsid w:val="00F651A6"/>
    <w:rsid w:val="00F6681C"/>
    <w:rsid w:val="00F67B8D"/>
    <w:rsid w:val="00F7112B"/>
    <w:rsid w:val="00F73556"/>
    <w:rsid w:val="00F7636E"/>
    <w:rsid w:val="00F76CDF"/>
    <w:rsid w:val="00F77292"/>
    <w:rsid w:val="00F77710"/>
    <w:rsid w:val="00F77A29"/>
    <w:rsid w:val="00F809EE"/>
    <w:rsid w:val="00F82189"/>
    <w:rsid w:val="00F8219F"/>
    <w:rsid w:val="00F82B15"/>
    <w:rsid w:val="00F82D52"/>
    <w:rsid w:val="00F832A2"/>
    <w:rsid w:val="00F83D5A"/>
    <w:rsid w:val="00F84367"/>
    <w:rsid w:val="00F84378"/>
    <w:rsid w:val="00F84A17"/>
    <w:rsid w:val="00F84EB1"/>
    <w:rsid w:val="00F85655"/>
    <w:rsid w:val="00F85868"/>
    <w:rsid w:val="00F85BD6"/>
    <w:rsid w:val="00F85C87"/>
    <w:rsid w:val="00F85F4A"/>
    <w:rsid w:val="00F873F0"/>
    <w:rsid w:val="00F911CF"/>
    <w:rsid w:val="00F9391C"/>
    <w:rsid w:val="00F946A3"/>
    <w:rsid w:val="00F9577F"/>
    <w:rsid w:val="00F96E44"/>
    <w:rsid w:val="00F97E60"/>
    <w:rsid w:val="00FA0673"/>
    <w:rsid w:val="00FA2CC4"/>
    <w:rsid w:val="00FA2FDD"/>
    <w:rsid w:val="00FA5007"/>
    <w:rsid w:val="00FB13AB"/>
    <w:rsid w:val="00FB14D6"/>
    <w:rsid w:val="00FB2240"/>
    <w:rsid w:val="00FB31B9"/>
    <w:rsid w:val="00FB5229"/>
    <w:rsid w:val="00FB531C"/>
    <w:rsid w:val="00FB7CFC"/>
    <w:rsid w:val="00FC003B"/>
    <w:rsid w:val="00FC0C45"/>
    <w:rsid w:val="00FC1040"/>
    <w:rsid w:val="00FC1D84"/>
    <w:rsid w:val="00FC2078"/>
    <w:rsid w:val="00FC21B6"/>
    <w:rsid w:val="00FC223D"/>
    <w:rsid w:val="00FC3460"/>
    <w:rsid w:val="00FC36B0"/>
    <w:rsid w:val="00FC5063"/>
    <w:rsid w:val="00FC5AA5"/>
    <w:rsid w:val="00FC5CAC"/>
    <w:rsid w:val="00FC6F74"/>
    <w:rsid w:val="00FD0A33"/>
    <w:rsid w:val="00FD0DE2"/>
    <w:rsid w:val="00FD116A"/>
    <w:rsid w:val="00FD11E8"/>
    <w:rsid w:val="00FD14B2"/>
    <w:rsid w:val="00FD45B4"/>
    <w:rsid w:val="00FD5294"/>
    <w:rsid w:val="00FD7F72"/>
    <w:rsid w:val="00FE02C0"/>
    <w:rsid w:val="00FE0770"/>
    <w:rsid w:val="00FE17ED"/>
    <w:rsid w:val="00FE1B32"/>
    <w:rsid w:val="00FE253F"/>
    <w:rsid w:val="00FE424E"/>
    <w:rsid w:val="00FF1241"/>
    <w:rsid w:val="00FF37D7"/>
    <w:rsid w:val="00FF3AF8"/>
    <w:rsid w:val="00FF60F3"/>
    <w:rsid w:val="00FF7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1AF7"/>
    <w:pPr>
      <w:spacing w:line="360" w:lineRule="auto"/>
      <w:ind w:firstLine="1440"/>
    </w:pPr>
    <w:rPr>
      <w:sz w:val="24"/>
      <w:szCs w:val="24"/>
    </w:rPr>
  </w:style>
  <w:style w:type="paragraph" w:styleId="Heading1">
    <w:name w:val="heading 1"/>
    <w:basedOn w:val="Normal"/>
    <w:next w:val="BodyText2"/>
    <w:qFormat/>
    <w:rsid w:val="00921AF7"/>
    <w:pPr>
      <w:keepLines/>
      <w:widowControl w:val="0"/>
      <w:tabs>
        <w:tab w:val="num" w:pos="0"/>
      </w:tabs>
      <w:spacing w:after="240"/>
      <w:ind w:left="720" w:hanging="720"/>
      <w:outlineLvl w:val="0"/>
    </w:pPr>
    <w:rPr>
      <w:rFonts w:ascii="Times New Roman Bold" w:hAnsi="Times New Roman Bold" w:cs="Arial"/>
      <w:b/>
      <w:bCs/>
      <w:caps/>
      <w:snapToGrid w:val="0"/>
      <w:szCs w:val="32"/>
    </w:rPr>
  </w:style>
  <w:style w:type="paragraph" w:styleId="Heading2">
    <w:name w:val="heading 2"/>
    <w:basedOn w:val="Normal"/>
    <w:next w:val="Normal"/>
    <w:qFormat/>
    <w:rsid w:val="00921AF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21AF7"/>
    <w:pPr>
      <w:keepNext/>
      <w:spacing w:before="240" w:after="60"/>
      <w:outlineLvl w:val="2"/>
    </w:pPr>
    <w:rPr>
      <w:rFonts w:ascii="Arial" w:hAnsi="Arial" w:cs="Arial"/>
      <w:b/>
      <w:bCs/>
      <w:sz w:val="26"/>
      <w:szCs w:val="26"/>
    </w:rPr>
  </w:style>
  <w:style w:type="paragraph" w:styleId="Heading4">
    <w:name w:val="heading 4"/>
    <w:basedOn w:val="Normal"/>
    <w:qFormat/>
    <w:rsid w:val="00921AF7"/>
    <w:pPr>
      <w:spacing w:before="100" w:beforeAutospacing="1" w:after="100" w:afterAutospacing="1"/>
      <w:outlineLvl w:val="3"/>
    </w:pPr>
    <w:rPr>
      <w:b/>
      <w:bCs/>
    </w:rPr>
  </w:style>
  <w:style w:type="paragraph" w:styleId="Heading5">
    <w:name w:val="heading 5"/>
    <w:basedOn w:val="Normal"/>
    <w:next w:val="BodyText2"/>
    <w:qFormat/>
    <w:rsid w:val="00921AF7"/>
    <w:pPr>
      <w:widowControl w:val="0"/>
      <w:tabs>
        <w:tab w:val="num" w:pos="0"/>
      </w:tabs>
      <w:spacing w:after="240"/>
      <w:ind w:left="3586" w:hanging="706"/>
      <w:outlineLvl w:val="4"/>
    </w:pPr>
    <w:rPr>
      <w:bCs/>
      <w:iCs/>
      <w:snapToGrid w:val="0"/>
      <w:szCs w:val="26"/>
    </w:rPr>
  </w:style>
  <w:style w:type="paragraph" w:styleId="Heading6">
    <w:name w:val="heading 6"/>
    <w:basedOn w:val="Normal"/>
    <w:next w:val="BodyText2"/>
    <w:qFormat/>
    <w:rsid w:val="00921AF7"/>
    <w:pPr>
      <w:widowControl w:val="0"/>
      <w:tabs>
        <w:tab w:val="num" w:pos="0"/>
      </w:tabs>
      <w:spacing w:after="240"/>
      <w:ind w:left="4306" w:hanging="720"/>
      <w:outlineLvl w:val="5"/>
    </w:pPr>
    <w:rPr>
      <w:bCs/>
      <w:snapToGrid w:val="0"/>
      <w:szCs w:val="22"/>
    </w:rPr>
  </w:style>
  <w:style w:type="paragraph" w:styleId="Heading7">
    <w:name w:val="heading 7"/>
    <w:basedOn w:val="Normal"/>
    <w:next w:val="BodyText2"/>
    <w:qFormat/>
    <w:rsid w:val="00921AF7"/>
    <w:pPr>
      <w:widowControl w:val="0"/>
      <w:tabs>
        <w:tab w:val="num" w:pos="0"/>
      </w:tabs>
      <w:spacing w:after="240"/>
      <w:ind w:left="5026" w:hanging="720"/>
      <w:outlineLvl w:val="6"/>
    </w:pPr>
    <w:rPr>
      <w:snapToGrid w:val="0"/>
    </w:rPr>
  </w:style>
  <w:style w:type="paragraph" w:styleId="Heading8">
    <w:name w:val="heading 8"/>
    <w:basedOn w:val="Normal"/>
    <w:next w:val="BodyText2"/>
    <w:qFormat/>
    <w:rsid w:val="00921AF7"/>
    <w:pPr>
      <w:widowControl w:val="0"/>
      <w:tabs>
        <w:tab w:val="num" w:pos="0"/>
      </w:tabs>
      <w:spacing w:after="240"/>
      <w:ind w:left="5746" w:hanging="720"/>
      <w:outlineLvl w:val="7"/>
    </w:pPr>
    <w:rPr>
      <w:iCs/>
      <w:snapToGrid w:val="0"/>
    </w:rPr>
  </w:style>
  <w:style w:type="paragraph" w:styleId="Heading9">
    <w:name w:val="heading 9"/>
    <w:basedOn w:val="Normal"/>
    <w:next w:val="BodyText2"/>
    <w:qFormat/>
    <w:rsid w:val="00921AF7"/>
    <w:pPr>
      <w:widowControl w:val="0"/>
      <w:tabs>
        <w:tab w:val="num" w:pos="0"/>
      </w:tabs>
      <w:spacing w:after="240"/>
      <w:ind w:left="6466" w:hanging="720"/>
      <w:outlineLvl w:val="8"/>
    </w:pPr>
    <w:rPr>
      <w:snapToGrid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21AF7"/>
    <w:pPr>
      <w:spacing w:before="100" w:beforeAutospacing="1" w:after="100" w:afterAutospacing="1"/>
    </w:p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
    <w:basedOn w:val="Normal"/>
    <w:link w:val="FootnoteTextChar"/>
    <w:qFormat/>
    <w:rsid w:val="00921AF7"/>
    <w:rPr>
      <w:sz w:val="20"/>
      <w:szCs w:val="20"/>
    </w:rPr>
  </w:style>
  <w:style w:type="character" w:styleId="FootnoteReference">
    <w:name w:val="footnote reference"/>
    <w:aliases w:val="o,fr"/>
    <w:basedOn w:val="DefaultParagraphFont"/>
    <w:rsid w:val="00921AF7"/>
    <w:rPr>
      <w:vertAlign w:val="superscript"/>
    </w:rPr>
  </w:style>
  <w:style w:type="paragraph" w:styleId="Footer">
    <w:name w:val="footer"/>
    <w:basedOn w:val="Normal"/>
    <w:rsid w:val="00921AF7"/>
    <w:pPr>
      <w:tabs>
        <w:tab w:val="center" w:pos="4320"/>
        <w:tab w:val="right" w:pos="8640"/>
      </w:tabs>
    </w:pPr>
  </w:style>
  <w:style w:type="character" w:styleId="PageNumber">
    <w:name w:val="page number"/>
    <w:basedOn w:val="DefaultParagraphFont"/>
    <w:rsid w:val="00921AF7"/>
  </w:style>
  <w:style w:type="paragraph" w:styleId="BodyText2">
    <w:name w:val="Body Text 2"/>
    <w:basedOn w:val="Normal"/>
    <w:rsid w:val="00921AF7"/>
    <w:pPr>
      <w:spacing w:after="120" w:line="480" w:lineRule="auto"/>
    </w:pPr>
  </w:style>
  <w:style w:type="paragraph" w:styleId="BodyText">
    <w:name w:val="Body Text"/>
    <w:basedOn w:val="Normal"/>
    <w:rsid w:val="00921AF7"/>
    <w:rPr>
      <w:rFonts w:ascii="Times New (W1)" w:hAnsi="Times New (W1)" w:cs="Times New (W1)"/>
      <w:color w:val="000000"/>
      <w:sz w:val="26"/>
    </w:rPr>
  </w:style>
  <w:style w:type="paragraph" w:styleId="ListNumber">
    <w:name w:val="List Number"/>
    <w:basedOn w:val="Normal"/>
    <w:rsid w:val="00921AF7"/>
    <w:pPr>
      <w:numPr>
        <w:numId w:val="2"/>
      </w:numPr>
      <w:tabs>
        <w:tab w:val="clear" w:pos="360"/>
      </w:tabs>
      <w:spacing w:line="480" w:lineRule="auto"/>
      <w:ind w:left="0" w:firstLine="720"/>
    </w:pPr>
  </w:style>
  <w:style w:type="character" w:customStyle="1" w:styleId="CharChar">
    <w:name w:val="Char Char"/>
    <w:basedOn w:val="DefaultParagraphFont"/>
    <w:rsid w:val="00921AF7"/>
    <w:rPr>
      <w:rFonts w:ascii="Arial" w:hAnsi="Arial" w:cs="Arial"/>
      <w:b/>
      <w:bCs/>
      <w:sz w:val="26"/>
      <w:szCs w:val="26"/>
      <w:lang w:val="en-US" w:eastAsia="en-US" w:bidi="ar-SA"/>
    </w:rPr>
  </w:style>
  <w:style w:type="paragraph" w:styleId="z-TopofForm">
    <w:name w:val="HTML Top of Form"/>
    <w:basedOn w:val="Normal"/>
    <w:next w:val="Normal"/>
    <w:link w:val="z-TopofFormChar"/>
    <w:hidden/>
    <w:rsid w:val="000953E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0953EF"/>
    <w:rPr>
      <w:rFonts w:ascii="Arial" w:hAnsi="Arial" w:cs="Arial"/>
      <w:vanish/>
      <w:sz w:val="16"/>
      <w:szCs w:val="16"/>
    </w:rPr>
  </w:style>
  <w:style w:type="paragraph" w:styleId="ListParagraph">
    <w:name w:val="List Paragraph"/>
    <w:basedOn w:val="Normal"/>
    <w:uiPriority w:val="34"/>
    <w:qFormat/>
    <w:rsid w:val="00CE591B"/>
    <w:pPr>
      <w:ind w:left="720"/>
    </w:pPr>
  </w:style>
  <w:style w:type="character" w:styleId="Emphasis">
    <w:name w:val="Emphasis"/>
    <w:basedOn w:val="DefaultParagraphFont"/>
    <w:uiPriority w:val="20"/>
    <w:qFormat/>
    <w:rsid w:val="00E434CC"/>
    <w:rPr>
      <w:i/>
      <w:iCs/>
    </w:rPr>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DA3848"/>
  </w:style>
  <w:style w:type="paragraph" w:styleId="BalloonText">
    <w:name w:val="Balloon Text"/>
    <w:basedOn w:val="Normal"/>
    <w:link w:val="BalloonTextChar"/>
    <w:rsid w:val="0016040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60408"/>
    <w:rPr>
      <w:rFonts w:ascii="Tahoma" w:hAnsi="Tahoma" w:cs="Tahoma"/>
      <w:sz w:val="16"/>
      <w:szCs w:val="16"/>
    </w:rPr>
  </w:style>
  <w:style w:type="paragraph" w:styleId="Header">
    <w:name w:val="header"/>
    <w:basedOn w:val="Normal"/>
    <w:link w:val="HeaderChar"/>
    <w:rsid w:val="003E6607"/>
    <w:pPr>
      <w:tabs>
        <w:tab w:val="center" w:pos="4680"/>
        <w:tab w:val="right" w:pos="9360"/>
      </w:tabs>
      <w:spacing w:line="240" w:lineRule="auto"/>
    </w:pPr>
  </w:style>
  <w:style w:type="character" w:customStyle="1" w:styleId="HeaderChar">
    <w:name w:val="Header Char"/>
    <w:basedOn w:val="DefaultParagraphFont"/>
    <w:link w:val="Header"/>
    <w:rsid w:val="003E6607"/>
    <w:rPr>
      <w:sz w:val="24"/>
      <w:szCs w:val="24"/>
    </w:rPr>
  </w:style>
  <w:style w:type="table" w:styleId="TableGrid">
    <w:name w:val="Table Grid"/>
    <w:basedOn w:val="TableNormal"/>
    <w:rsid w:val="00856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266C0"/>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1F77AE"/>
    <w:rPr>
      <w:sz w:val="16"/>
      <w:szCs w:val="16"/>
    </w:rPr>
  </w:style>
  <w:style w:type="paragraph" w:styleId="CommentText">
    <w:name w:val="annotation text"/>
    <w:basedOn w:val="Normal"/>
    <w:link w:val="CommentTextChar"/>
    <w:rsid w:val="001F77AE"/>
    <w:pPr>
      <w:spacing w:line="240" w:lineRule="auto"/>
    </w:pPr>
    <w:rPr>
      <w:sz w:val="20"/>
      <w:szCs w:val="20"/>
    </w:rPr>
  </w:style>
  <w:style w:type="character" w:customStyle="1" w:styleId="CommentTextChar">
    <w:name w:val="Comment Text Char"/>
    <w:basedOn w:val="DefaultParagraphFont"/>
    <w:link w:val="CommentText"/>
    <w:rsid w:val="001F77AE"/>
  </w:style>
  <w:style w:type="paragraph" w:styleId="CommentSubject">
    <w:name w:val="annotation subject"/>
    <w:basedOn w:val="CommentText"/>
    <w:next w:val="CommentText"/>
    <w:link w:val="CommentSubjectChar"/>
    <w:rsid w:val="001F77AE"/>
    <w:rPr>
      <w:b/>
      <w:bCs/>
    </w:rPr>
  </w:style>
  <w:style w:type="character" w:customStyle="1" w:styleId="CommentSubjectChar">
    <w:name w:val="Comment Subject Char"/>
    <w:basedOn w:val="CommentTextChar"/>
    <w:link w:val="CommentSubject"/>
    <w:rsid w:val="001F77AE"/>
    <w:rPr>
      <w:b/>
      <w:bCs/>
    </w:rPr>
  </w:style>
  <w:style w:type="paragraph" w:styleId="Revision">
    <w:name w:val="Revision"/>
    <w:hidden/>
    <w:uiPriority w:val="99"/>
    <w:semiHidden/>
    <w:rsid w:val="001F77AE"/>
    <w:rPr>
      <w:sz w:val="24"/>
      <w:szCs w:val="24"/>
    </w:rPr>
  </w:style>
  <w:style w:type="paragraph" w:customStyle="1" w:styleId="TxBrp7">
    <w:name w:val="TxBr_p7"/>
    <w:basedOn w:val="Normal"/>
    <w:rsid w:val="00140ADB"/>
    <w:pPr>
      <w:widowControl w:val="0"/>
      <w:tabs>
        <w:tab w:val="left" w:pos="600"/>
        <w:tab w:val="left" w:pos="1031"/>
      </w:tabs>
      <w:autoSpaceDE w:val="0"/>
      <w:autoSpaceDN w:val="0"/>
      <w:adjustRightInd w:val="0"/>
      <w:spacing w:line="249" w:lineRule="atLeast"/>
      <w:ind w:left="1031" w:hanging="430"/>
    </w:pPr>
  </w:style>
  <w:style w:type="paragraph" w:customStyle="1" w:styleId="ParaTab1">
    <w:name w:val="ParaTab 1"/>
    <w:rsid w:val="00F0274B"/>
    <w:pPr>
      <w:tabs>
        <w:tab w:val="left" w:pos="-720"/>
      </w:tabs>
      <w:suppressAutoHyphens/>
      <w:autoSpaceDE w:val="0"/>
      <w:autoSpaceDN w:val="0"/>
      <w:ind w:firstLine="1440"/>
    </w:pPr>
    <w:rPr>
      <w:rFonts w:ascii="CG Times" w:hAnsi="CG Times" w:cs="CG Times"/>
      <w:sz w:val="24"/>
      <w:szCs w:val="24"/>
    </w:rPr>
  </w:style>
  <w:style w:type="paragraph" w:styleId="EndnoteText">
    <w:name w:val="endnote text"/>
    <w:basedOn w:val="Normal"/>
    <w:link w:val="EndnoteTextChar"/>
    <w:rsid w:val="005B3018"/>
    <w:pPr>
      <w:spacing w:line="240" w:lineRule="auto"/>
    </w:pPr>
    <w:rPr>
      <w:sz w:val="20"/>
      <w:szCs w:val="20"/>
    </w:rPr>
  </w:style>
  <w:style w:type="character" w:customStyle="1" w:styleId="EndnoteTextChar">
    <w:name w:val="Endnote Text Char"/>
    <w:basedOn w:val="DefaultParagraphFont"/>
    <w:link w:val="EndnoteText"/>
    <w:rsid w:val="005B3018"/>
  </w:style>
  <w:style w:type="character" w:styleId="EndnoteReference">
    <w:name w:val="endnote reference"/>
    <w:basedOn w:val="DefaultParagraphFont"/>
    <w:rsid w:val="005B3018"/>
    <w:rPr>
      <w:vertAlign w:val="superscript"/>
    </w:rPr>
  </w:style>
  <w:style w:type="character" w:styleId="Hyperlink">
    <w:name w:val="Hyperlink"/>
    <w:rsid w:val="00750A74"/>
    <w:rPr>
      <w:color w:val="0000FF"/>
      <w:u w:val="single"/>
    </w:rPr>
  </w:style>
  <w:style w:type="character" w:customStyle="1" w:styleId="term1">
    <w:name w:val="term1"/>
    <w:basedOn w:val="DefaultParagraphFont"/>
    <w:rsid w:val="00750A74"/>
    <w:rPr>
      <w:b/>
      <w:bCs/>
    </w:rPr>
  </w:style>
  <w:style w:type="character" w:customStyle="1" w:styleId="documentbody">
    <w:name w:val="documentbody"/>
    <w:basedOn w:val="DefaultParagraphFont"/>
    <w:rsid w:val="00750A74"/>
  </w:style>
  <w:style w:type="table" w:customStyle="1" w:styleId="TableGrid2">
    <w:name w:val="Table Grid2"/>
    <w:basedOn w:val="TableNormal"/>
    <w:next w:val="TableGrid"/>
    <w:rsid w:val="00270EB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First1SS">
    <w:name w:val="Body First 1 SS"/>
    <w:basedOn w:val="Normal"/>
    <w:uiPriority w:val="10"/>
    <w:qFormat/>
    <w:rsid w:val="002B19C9"/>
    <w:pPr>
      <w:spacing w:line="480" w:lineRule="auto"/>
      <w:ind w:firstLine="72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1AF7"/>
    <w:pPr>
      <w:spacing w:line="360" w:lineRule="auto"/>
      <w:ind w:firstLine="1440"/>
    </w:pPr>
    <w:rPr>
      <w:sz w:val="24"/>
      <w:szCs w:val="24"/>
    </w:rPr>
  </w:style>
  <w:style w:type="paragraph" w:styleId="Heading1">
    <w:name w:val="heading 1"/>
    <w:basedOn w:val="Normal"/>
    <w:next w:val="BodyText2"/>
    <w:qFormat/>
    <w:rsid w:val="00921AF7"/>
    <w:pPr>
      <w:keepLines/>
      <w:widowControl w:val="0"/>
      <w:tabs>
        <w:tab w:val="num" w:pos="0"/>
      </w:tabs>
      <w:spacing w:after="240"/>
      <w:ind w:left="720" w:hanging="720"/>
      <w:outlineLvl w:val="0"/>
    </w:pPr>
    <w:rPr>
      <w:rFonts w:ascii="Times New Roman Bold" w:hAnsi="Times New Roman Bold" w:cs="Arial"/>
      <w:b/>
      <w:bCs/>
      <w:caps/>
      <w:snapToGrid w:val="0"/>
      <w:szCs w:val="32"/>
    </w:rPr>
  </w:style>
  <w:style w:type="paragraph" w:styleId="Heading2">
    <w:name w:val="heading 2"/>
    <w:basedOn w:val="Normal"/>
    <w:next w:val="Normal"/>
    <w:qFormat/>
    <w:rsid w:val="00921AF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21AF7"/>
    <w:pPr>
      <w:keepNext/>
      <w:spacing w:before="240" w:after="60"/>
      <w:outlineLvl w:val="2"/>
    </w:pPr>
    <w:rPr>
      <w:rFonts w:ascii="Arial" w:hAnsi="Arial" w:cs="Arial"/>
      <w:b/>
      <w:bCs/>
      <w:sz w:val="26"/>
      <w:szCs w:val="26"/>
    </w:rPr>
  </w:style>
  <w:style w:type="paragraph" w:styleId="Heading4">
    <w:name w:val="heading 4"/>
    <w:basedOn w:val="Normal"/>
    <w:qFormat/>
    <w:rsid w:val="00921AF7"/>
    <w:pPr>
      <w:spacing w:before="100" w:beforeAutospacing="1" w:after="100" w:afterAutospacing="1"/>
      <w:outlineLvl w:val="3"/>
    </w:pPr>
    <w:rPr>
      <w:b/>
      <w:bCs/>
    </w:rPr>
  </w:style>
  <w:style w:type="paragraph" w:styleId="Heading5">
    <w:name w:val="heading 5"/>
    <w:basedOn w:val="Normal"/>
    <w:next w:val="BodyText2"/>
    <w:qFormat/>
    <w:rsid w:val="00921AF7"/>
    <w:pPr>
      <w:widowControl w:val="0"/>
      <w:tabs>
        <w:tab w:val="num" w:pos="0"/>
      </w:tabs>
      <w:spacing w:after="240"/>
      <w:ind w:left="3586" w:hanging="706"/>
      <w:outlineLvl w:val="4"/>
    </w:pPr>
    <w:rPr>
      <w:bCs/>
      <w:iCs/>
      <w:snapToGrid w:val="0"/>
      <w:szCs w:val="26"/>
    </w:rPr>
  </w:style>
  <w:style w:type="paragraph" w:styleId="Heading6">
    <w:name w:val="heading 6"/>
    <w:basedOn w:val="Normal"/>
    <w:next w:val="BodyText2"/>
    <w:qFormat/>
    <w:rsid w:val="00921AF7"/>
    <w:pPr>
      <w:widowControl w:val="0"/>
      <w:tabs>
        <w:tab w:val="num" w:pos="0"/>
      </w:tabs>
      <w:spacing w:after="240"/>
      <w:ind w:left="4306" w:hanging="720"/>
      <w:outlineLvl w:val="5"/>
    </w:pPr>
    <w:rPr>
      <w:bCs/>
      <w:snapToGrid w:val="0"/>
      <w:szCs w:val="22"/>
    </w:rPr>
  </w:style>
  <w:style w:type="paragraph" w:styleId="Heading7">
    <w:name w:val="heading 7"/>
    <w:basedOn w:val="Normal"/>
    <w:next w:val="BodyText2"/>
    <w:qFormat/>
    <w:rsid w:val="00921AF7"/>
    <w:pPr>
      <w:widowControl w:val="0"/>
      <w:tabs>
        <w:tab w:val="num" w:pos="0"/>
      </w:tabs>
      <w:spacing w:after="240"/>
      <w:ind w:left="5026" w:hanging="720"/>
      <w:outlineLvl w:val="6"/>
    </w:pPr>
    <w:rPr>
      <w:snapToGrid w:val="0"/>
    </w:rPr>
  </w:style>
  <w:style w:type="paragraph" w:styleId="Heading8">
    <w:name w:val="heading 8"/>
    <w:basedOn w:val="Normal"/>
    <w:next w:val="BodyText2"/>
    <w:qFormat/>
    <w:rsid w:val="00921AF7"/>
    <w:pPr>
      <w:widowControl w:val="0"/>
      <w:tabs>
        <w:tab w:val="num" w:pos="0"/>
      </w:tabs>
      <w:spacing w:after="240"/>
      <w:ind w:left="5746" w:hanging="720"/>
      <w:outlineLvl w:val="7"/>
    </w:pPr>
    <w:rPr>
      <w:iCs/>
      <w:snapToGrid w:val="0"/>
    </w:rPr>
  </w:style>
  <w:style w:type="paragraph" w:styleId="Heading9">
    <w:name w:val="heading 9"/>
    <w:basedOn w:val="Normal"/>
    <w:next w:val="BodyText2"/>
    <w:qFormat/>
    <w:rsid w:val="00921AF7"/>
    <w:pPr>
      <w:widowControl w:val="0"/>
      <w:tabs>
        <w:tab w:val="num" w:pos="0"/>
      </w:tabs>
      <w:spacing w:after="240"/>
      <w:ind w:left="6466" w:hanging="720"/>
      <w:outlineLvl w:val="8"/>
    </w:pPr>
    <w:rPr>
      <w:snapToGrid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21AF7"/>
    <w:pPr>
      <w:spacing w:before="100" w:beforeAutospacing="1" w:after="100" w:afterAutospacing="1"/>
    </w:p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
    <w:basedOn w:val="Normal"/>
    <w:link w:val="FootnoteTextChar"/>
    <w:qFormat/>
    <w:rsid w:val="00921AF7"/>
    <w:rPr>
      <w:sz w:val="20"/>
      <w:szCs w:val="20"/>
    </w:rPr>
  </w:style>
  <w:style w:type="character" w:styleId="FootnoteReference">
    <w:name w:val="footnote reference"/>
    <w:aliases w:val="o,fr"/>
    <w:basedOn w:val="DefaultParagraphFont"/>
    <w:rsid w:val="00921AF7"/>
    <w:rPr>
      <w:vertAlign w:val="superscript"/>
    </w:rPr>
  </w:style>
  <w:style w:type="paragraph" w:styleId="Footer">
    <w:name w:val="footer"/>
    <w:basedOn w:val="Normal"/>
    <w:rsid w:val="00921AF7"/>
    <w:pPr>
      <w:tabs>
        <w:tab w:val="center" w:pos="4320"/>
        <w:tab w:val="right" w:pos="8640"/>
      </w:tabs>
    </w:pPr>
  </w:style>
  <w:style w:type="character" w:styleId="PageNumber">
    <w:name w:val="page number"/>
    <w:basedOn w:val="DefaultParagraphFont"/>
    <w:rsid w:val="00921AF7"/>
  </w:style>
  <w:style w:type="paragraph" w:styleId="BodyText2">
    <w:name w:val="Body Text 2"/>
    <w:basedOn w:val="Normal"/>
    <w:rsid w:val="00921AF7"/>
    <w:pPr>
      <w:spacing w:after="120" w:line="480" w:lineRule="auto"/>
    </w:pPr>
  </w:style>
  <w:style w:type="paragraph" w:styleId="BodyText">
    <w:name w:val="Body Text"/>
    <w:basedOn w:val="Normal"/>
    <w:rsid w:val="00921AF7"/>
    <w:rPr>
      <w:rFonts w:ascii="Times New (W1)" w:hAnsi="Times New (W1)" w:cs="Times New (W1)"/>
      <w:color w:val="000000"/>
      <w:sz w:val="26"/>
    </w:rPr>
  </w:style>
  <w:style w:type="paragraph" w:styleId="ListNumber">
    <w:name w:val="List Number"/>
    <w:basedOn w:val="Normal"/>
    <w:rsid w:val="00921AF7"/>
    <w:pPr>
      <w:numPr>
        <w:numId w:val="2"/>
      </w:numPr>
      <w:tabs>
        <w:tab w:val="clear" w:pos="360"/>
      </w:tabs>
      <w:spacing w:line="480" w:lineRule="auto"/>
      <w:ind w:left="0" w:firstLine="720"/>
    </w:pPr>
  </w:style>
  <w:style w:type="character" w:customStyle="1" w:styleId="CharChar">
    <w:name w:val="Char Char"/>
    <w:basedOn w:val="DefaultParagraphFont"/>
    <w:rsid w:val="00921AF7"/>
    <w:rPr>
      <w:rFonts w:ascii="Arial" w:hAnsi="Arial" w:cs="Arial"/>
      <w:b/>
      <w:bCs/>
      <w:sz w:val="26"/>
      <w:szCs w:val="26"/>
      <w:lang w:val="en-US" w:eastAsia="en-US" w:bidi="ar-SA"/>
    </w:rPr>
  </w:style>
  <w:style w:type="paragraph" w:styleId="z-TopofForm">
    <w:name w:val="HTML Top of Form"/>
    <w:basedOn w:val="Normal"/>
    <w:next w:val="Normal"/>
    <w:link w:val="z-TopofFormChar"/>
    <w:hidden/>
    <w:rsid w:val="000953E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0953EF"/>
    <w:rPr>
      <w:rFonts w:ascii="Arial" w:hAnsi="Arial" w:cs="Arial"/>
      <w:vanish/>
      <w:sz w:val="16"/>
      <w:szCs w:val="16"/>
    </w:rPr>
  </w:style>
  <w:style w:type="paragraph" w:styleId="ListParagraph">
    <w:name w:val="List Paragraph"/>
    <w:basedOn w:val="Normal"/>
    <w:uiPriority w:val="34"/>
    <w:qFormat/>
    <w:rsid w:val="00CE591B"/>
    <w:pPr>
      <w:ind w:left="720"/>
    </w:pPr>
  </w:style>
  <w:style w:type="character" w:styleId="Emphasis">
    <w:name w:val="Emphasis"/>
    <w:basedOn w:val="DefaultParagraphFont"/>
    <w:uiPriority w:val="20"/>
    <w:qFormat/>
    <w:rsid w:val="00E434CC"/>
    <w:rPr>
      <w:i/>
      <w:iCs/>
    </w:rPr>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DA3848"/>
  </w:style>
  <w:style w:type="paragraph" w:styleId="BalloonText">
    <w:name w:val="Balloon Text"/>
    <w:basedOn w:val="Normal"/>
    <w:link w:val="BalloonTextChar"/>
    <w:rsid w:val="0016040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60408"/>
    <w:rPr>
      <w:rFonts w:ascii="Tahoma" w:hAnsi="Tahoma" w:cs="Tahoma"/>
      <w:sz w:val="16"/>
      <w:szCs w:val="16"/>
    </w:rPr>
  </w:style>
  <w:style w:type="paragraph" w:styleId="Header">
    <w:name w:val="header"/>
    <w:basedOn w:val="Normal"/>
    <w:link w:val="HeaderChar"/>
    <w:rsid w:val="003E6607"/>
    <w:pPr>
      <w:tabs>
        <w:tab w:val="center" w:pos="4680"/>
        <w:tab w:val="right" w:pos="9360"/>
      </w:tabs>
      <w:spacing w:line="240" w:lineRule="auto"/>
    </w:pPr>
  </w:style>
  <w:style w:type="character" w:customStyle="1" w:styleId="HeaderChar">
    <w:name w:val="Header Char"/>
    <w:basedOn w:val="DefaultParagraphFont"/>
    <w:link w:val="Header"/>
    <w:rsid w:val="003E6607"/>
    <w:rPr>
      <w:sz w:val="24"/>
      <w:szCs w:val="24"/>
    </w:rPr>
  </w:style>
  <w:style w:type="table" w:styleId="TableGrid">
    <w:name w:val="Table Grid"/>
    <w:basedOn w:val="TableNormal"/>
    <w:rsid w:val="00856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266C0"/>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1F77AE"/>
    <w:rPr>
      <w:sz w:val="16"/>
      <w:szCs w:val="16"/>
    </w:rPr>
  </w:style>
  <w:style w:type="paragraph" w:styleId="CommentText">
    <w:name w:val="annotation text"/>
    <w:basedOn w:val="Normal"/>
    <w:link w:val="CommentTextChar"/>
    <w:rsid w:val="001F77AE"/>
    <w:pPr>
      <w:spacing w:line="240" w:lineRule="auto"/>
    </w:pPr>
    <w:rPr>
      <w:sz w:val="20"/>
      <w:szCs w:val="20"/>
    </w:rPr>
  </w:style>
  <w:style w:type="character" w:customStyle="1" w:styleId="CommentTextChar">
    <w:name w:val="Comment Text Char"/>
    <w:basedOn w:val="DefaultParagraphFont"/>
    <w:link w:val="CommentText"/>
    <w:rsid w:val="001F77AE"/>
  </w:style>
  <w:style w:type="paragraph" w:styleId="CommentSubject">
    <w:name w:val="annotation subject"/>
    <w:basedOn w:val="CommentText"/>
    <w:next w:val="CommentText"/>
    <w:link w:val="CommentSubjectChar"/>
    <w:rsid w:val="001F77AE"/>
    <w:rPr>
      <w:b/>
      <w:bCs/>
    </w:rPr>
  </w:style>
  <w:style w:type="character" w:customStyle="1" w:styleId="CommentSubjectChar">
    <w:name w:val="Comment Subject Char"/>
    <w:basedOn w:val="CommentTextChar"/>
    <w:link w:val="CommentSubject"/>
    <w:rsid w:val="001F77AE"/>
    <w:rPr>
      <w:b/>
      <w:bCs/>
    </w:rPr>
  </w:style>
  <w:style w:type="paragraph" w:styleId="Revision">
    <w:name w:val="Revision"/>
    <w:hidden/>
    <w:uiPriority w:val="99"/>
    <w:semiHidden/>
    <w:rsid w:val="001F77AE"/>
    <w:rPr>
      <w:sz w:val="24"/>
      <w:szCs w:val="24"/>
    </w:rPr>
  </w:style>
  <w:style w:type="paragraph" w:customStyle="1" w:styleId="TxBrp7">
    <w:name w:val="TxBr_p7"/>
    <w:basedOn w:val="Normal"/>
    <w:rsid w:val="00140ADB"/>
    <w:pPr>
      <w:widowControl w:val="0"/>
      <w:tabs>
        <w:tab w:val="left" w:pos="600"/>
        <w:tab w:val="left" w:pos="1031"/>
      </w:tabs>
      <w:autoSpaceDE w:val="0"/>
      <w:autoSpaceDN w:val="0"/>
      <w:adjustRightInd w:val="0"/>
      <w:spacing w:line="249" w:lineRule="atLeast"/>
      <w:ind w:left="1031" w:hanging="430"/>
    </w:pPr>
  </w:style>
  <w:style w:type="paragraph" w:customStyle="1" w:styleId="ParaTab1">
    <w:name w:val="ParaTab 1"/>
    <w:rsid w:val="00F0274B"/>
    <w:pPr>
      <w:tabs>
        <w:tab w:val="left" w:pos="-720"/>
      </w:tabs>
      <w:suppressAutoHyphens/>
      <w:autoSpaceDE w:val="0"/>
      <w:autoSpaceDN w:val="0"/>
      <w:ind w:firstLine="1440"/>
    </w:pPr>
    <w:rPr>
      <w:rFonts w:ascii="CG Times" w:hAnsi="CG Times" w:cs="CG Times"/>
      <w:sz w:val="24"/>
      <w:szCs w:val="24"/>
    </w:rPr>
  </w:style>
  <w:style w:type="paragraph" w:styleId="EndnoteText">
    <w:name w:val="endnote text"/>
    <w:basedOn w:val="Normal"/>
    <w:link w:val="EndnoteTextChar"/>
    <w:rsid w:val="005B3018"/>
    <w:pPr>
      <w:spacing w:line="240" w:lineRule="auto"/>
    </w:pPr>
    <w:rPr>
      <w:sz w:val="20"/>
      <w:szCs w:val="20"/>
    </w:rPr>
  </w:style>
  <w:style w:type="character" w:customStyle="1" w:styleId="EndnoteTextChar">
    <w:name w:val="Endnote Text Char"/>
    <w:basedOn w:val="DefaultParagraphFont"/>
    <w:link w:val="EndnoteText"/>
    <w:rsid w:val="005B3018"/>
  </w:style>
  <w:style w:type="character" w:styleId="EndnoteReference">
    <w:name w:val="endnote reference"/>
    <w:basedOn w:val="DefaultParagraphFont"/>
    <w:rsid w:val="005B3018"/>
    <w:rPr>
      <w:vertAlign w:val="superscript"/>
    </w:rPr>
  </w:style>
  <w:style w:type="character" w:styleId="Hyperlink">
    <w:name w:val="Hyperlink"/>
    <w:rsid w:val="00750A74"/>
    <w:rPr>
      <w:color w:val="0000FF"/>
      <w:u w:val="single"/>
    </w:rPr>
  </w:style>
  <w:style w:type="character" w:customStyle="1" w:styleId="term1">
    <w:name w:val="term1"/>
    <w:basedOn w:val="DefaultParagraphFont"/>
    <w:rsid w:val="00750A74"/>
    <w:rPr>
      <w:b/>
      <w:bCs/>
    </w:rPr>
  </w:style>
  <w:style w:type="character" w:customStyle="1" w:styleId="documentbody">
    <w:name w:val="documentbody"/>
    <w:basedOn w:val="DefaultParagraphFont"/>
    <w:rsid w:val="00750A74"/>
  </w:style>
  <w:style w:type="table" w:customStyle="1" w:styleId="TableGrid2">
    <w:name w:val="Table Grid2"/>
    <w:basedOn w:val="TableNormal"/>
    <w:next w:val="TableGrid"/>
    <w:rsid w:val="00270EB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First1SS">
    <w:name w:val="Body First 1 SS"/>
    <w:basedOn w:val="Normal"/>
    <w:uiPriority w:val="10"/>
    <w:qFormat/>
    <w:rsid w:val="002B19C9"/>
    <w:pPr>
      <w:spacing w:line="480" w:lineRule="auto"/>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47250">
      <w:bodyDiv w:val="1"/>
      <w:marLeft w:val="0"/>
      <w:marRight w:val="0"/>
      <w:marTop w:val="0"/>
      <w:marBottom w:val="0"/>
      <w:divBdr>
        <w:top w:val="none" w:sz="0" w:space="0" w:color="auto"/>
        <w:left w:val="none" w:sz="0" w:space="0" w:color="auto"/>
        <w:bottom w:val="none" w:sz="0" w:space="0" w:color="auto"/>
        <w:right w:val="none" w:sz="0" w:space="0" w:color="auto"/>
      </w:divBdr>
      <w:divsChild>
        <w:div w:id="1867257469">
          <w:marLeft w:val="0"/>
          <w:marRight w:val="0"/>
          <w:marTop w:val="0"/>
          <w:marBottom w:val="0"/>
          <w:divBdr>
            <w:top w:val="single" w:sz="2" w:space="31" w:color="DBDBDB"/>
            <w:left w:val="single" w:sz="2" w:space="0" w:color="DBDBDB"/>
            <w:bottom w:val="single" w:sz="6" w:space="0" w:color="DBDBDB"/>
            <w:right w:val="single" w:sz="2" w:space="0" w:color="DBDBDB"/>
          </w:divBdr>
          <w:divsChild>
            <w:div w:id="686638475">
              <w:marLeft w:val="0"/>
              <w:marRight w:val="0"/>
              <w:marTop w:val="0"/>
              <w:marBottom w:val="0"/>
              <w:divBdr>
                <w:top w:val="none" w:sz="0" w:space="0" w:color="auto"/>
                <w:left w:val="none" w:sz="0" w:space="0" w:color="auto"/>
                <w:bottom w:val="none" w:sz="0" w:space="0" w:color="auto"/>
                <w:right w:val="none" w:sz="0" w:space="0" w:color="auto"/>
              </w:divBdr>
              <w:divsChild>
                <w:div w:id="1702971415">
                  <w:marLeft w:val="0"/>
                  <w:marRight w:val="0"/>
                  <w:marTop w:val="0"/>
                  <w:marBottom w:val="0"/>
                  <w:divBdr>
                    <w:top w:val="none" w:sz="0" w:space="0" w:color="auto"/>
                    <w:left w:val="none" w:sz="0" w:space="0" w:color="auto"/>
                    <w:bottom w:val="none" w:sz="0" w:space="0" w:color="auto"/>
                    <w:right w:val="none" w:sz="0" w:space="0" w:color="auto"/>
                  </w:divBdr>
                  <w:divsChild>
                    <w:div w:id="12323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832149">
      <w:bodyDiv w:val="1"/>
      <w:marLeft w:val="0"/>
      <w:marRight w:val="0"/>
      <w:marTop w:val="0"/>
      <w:marBottom w:val="0"/>
      <w:divBdr>
        <w:top w:val="none" w:sz="0" w:space="0" w:color="auto"/>
        <w:left w:val="none" w:sz="0" w:space="0" w:color="auto"/>
        <w:bottom w:val="none" w:sz="0" w:space="0" w:color="auto"/>
        <w:right w:val="none" w:sz="0" w:space="0" w:color="auto"/>
      </w:divBdr>
      <w:divsChild>
        <w:div w:id="1206484530">
          <w:marLeft w:val="0"/>
          <w:marRight w:val="0"/>
          <w:marTop w:val="0"/>
          <w:marBottom w:val="0"/>
          <w:divBdr>
            <w:top w:val="none" w:sz="0" w:space="0" w:color="auto"/>
            <w:left w:val="none" w:sz="0" w:space="0" w:color="auto"/>
            <w:bottom w:val="none" w:sz="0" w:space="0" w:color="auto"/>
            <w:right w:val="none" w:sz="0" w:space="0" w:color="auto"/>
          </w:divBdr>
          <w:divsChild>
            <w:div w:id="1122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D6019-C31D-41E8-BA97-78DECCB36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8342</Words>
  <Characters>47550</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2016-01-15T16:06:00Z</dcterms:created>
  <dcterms:modified xsi:type="dcterms:W3CDTF">2016-01-28T12:47:00Z</dcterms:modified>
</cp:coreProperties>
</file>