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E29" w:rsidRPr="00657DFD" w:rsidRDefault="00162E29" w:rsidP="00621FFC">
      <w:pPr>
        <w:pStyle w:val="Subtitle"/>
        <w:rPr>
          <w:rFonts w:ascii="Times New Roman" w:hAnsi="Times New Roman"/>
          <w:b w:val="0"/>
          <w:sz w:val="26"/>
          <w:szCs w:val="26"/>
        </w:rPr>
      </w:pPr>
      <w:r w:rsidRPr="00DE68FB">
        <w:rPr>
          <w:rFonts w:ascii="Times New Roman" w:hAnsi="Times New Roman"/>
          <w:sz w:val="26"/>
          <w:szCs w:val="26"/>
        </w:rPr>
        <w:t>PENNSYLVANIA</w:t>
      </w:r>
    </w:p>
    <w:p w:rsidR="00162E29" w:rsidRPr="00657DFD" w:rsidRDefault="00162E29" w:rsidP="00621FFC">
      <w:pPr>
        <w:pStyle w:val="Subtitle"/>
        <w:rPr>
          <w:rFonts w:ascii="Times New Roman" w:hAnsi="Times New Roman"/>
          <w:b w:val="0"/>
          <w:sz w:val="26"/>
          <w:szCs w:val="26"/>
        </w:rPr>
      </w:pPr>
      <w:r w:rsidRPr="00DE68FB">
        <w:rPr>
          <w:rFonts w:ascii="Times New Roman" w:hAnsi="Times New Roman"/>
          <w:sz w:val="26"/>
          <w:szCs w:val="26"/>
        </w:rPr>
        <w:t>PUBLIC UTILITY COMMISSION</w:t>
      </w:r>
    </w:p>
    <w:p w:rsidR="00162E29" w:rsidRPr="00657DFD" w:rsidRDefault="00162E29" w:rsidP="00621FFC">
      <w:pPr>
        <w:pStyle w:val="Subtitle"/>
        <w:rPr>
          <w:rFonts w:ascii="Times New Roman" w:hAnsi="Times New Roman"/>
          <w:b w:val="0"/>
          <w:sz w:val="26"/>
          <w:szCs w:val="26"/>
        </w:rPr>
      </w:pPr>
      <w:r w:rsidRPr="00DE68FB">
        <w:rPr>
          <w:rFonts w:ascii="Times New Roman" w:hAnsi="Times New Roman"/>
          <w:sz w:val="26"/>
          <w:szCs w:val="26"/>
        </w:rPr>
        <w:t>Harrisburg, PA 17105-3265</w:t>
      </w:r>
    </w:p>
    <w:p w:rsidR="00162E29" w:rsidRPr="00657DFD" w:rsidRDefault="00162E29" w:rsidP="00DE68FB">
      <w:pPr>
        <w:pStyle w:val="Subtitle"/>
        <w:spacing w:line="360" w:lineRule="auto"/>
        <w:jc w:val="left"/>
        <w:rPr>
          <w:rFonts w:ascii="Times New Roman" w:hAnsi="Times New Roman"/>
          <w:b w:val="0"/>
          <w:sz w:val="26"/>
          <w:szCs w:val="26"/>
        </w:rPr>
      </w:pPr>
    </w:p>
    <w:p w:rsidR="00162E29" w:rsidRPr="00DE68FB" w:rsidRDefault="001B34A6" w:rsidP="00DE68FB">
      <w:pPr>
        <w:jc w:val="right"/>
        <w:rPr>
          <w:rFonts w:ascii="Times New Roman" w:hAnsi="Times New Roman"/>
          <w:sz w:val="26"/>
          <w:szCs w:val="26"/>
        </w:rPr>
      </w:pPr>
      <w:r>
        <w:rPr>
          <w:rFonts w:ascii="Times New Roman" w:hAnsi="Times New Roman"/>
          <w:sz w:val="26"/>
          <w:szCs w:val="26"/>
        </w:rPr>
        <w:t xml:space="preserve">Public Meeting held </w:t>
      </w:r>
      <w:r w:rsidR="00521D8D">
        <w:rPr>
          <w:rFonts w:ascii="Times New Roman" w:hAnsi="Times New Roman"/>
          <w:sz w:val="26"/>
          <w:szCs w:val="26"/>
        </w:rPr>
        <w:t>January 28</w:t>
      </w:r>
      <w:r w:rsidR="00162E29" w:rsidRPr="00DE68FB">
        <w:rPr>
          <w:rFonts w:ascii="Times New Roman" w:hAnsi="Times New Roman"/>
          <w:sz w:val="26"/>
          <w:szCs w:val="26"/>
        </w:rPr>
        <w:t>, 201</w:t>
      </w:r>
      <w:r w:rsidR="00521D8D">
        <w:rPr>
          <w:rFonts w:ascii="Times New Roman" w:hAnsi="Times New Roman"/>
          <w:sz w:val="26"/>
          <w:szCs w:val="26"/>
        </w:rPr>
        <w:t>6</w:t>
      </w:r>
    </w:p>
    <w:p w:rsidR="00162E29" w:rsidRPr="00DE68FB" w:rsidRDefault="00162E29" w:rsidP="00DE68FB">
      <w:pPr>
        <w:rPr>
          <w:rFonts w:ascii="Times New Roman" w:hAnsi="Times New Roman"/>
          <w:sz w:val="26"/>
          <w:szCs w:val="26"/>
        </w:rPr>
      </w:pPr>
    </w:p>
    <w:p w:rsidR="00162E29" w:rsidRPr="00DE68FB" w:rsidRDefault="00162E29" w:rsidP="00DE68FB">
      <w:pPr>
        <w:rPr>
          <w:rFonts w:ascii="Times New Roman" w:hAnsi="Times New Roman"/>
          <w:sz w:val="26"/>
          <w:szCs w:val="26"/>
        </w:rPr>
      </w:pPr>
      <w:r w:rsidRPr="00DE68FB">
        <w:rPr>
          <w:rFonts w:ascii="Times New Roman" w:hAnsi="Times New Roman"/>
          <w:sz w:val="26"/>
          <w:szCs w:val="26"/>
        </w:rPr>
        <w:t>Commissioners Present:</w:t>
      </w:r>
    </w:p>
    <w:p w:rsidR="00162E29" w:rsidRPr="00DE68FB" w:rsidRDefault="00162E29" w:rsidP="00DE68FB">
      <w:pPr>
        <w:rPr>
          <w:rFonts w:ascii="Times New Roman" w:hAnsi="Times New Roman"/>
          <w:sz w:val="26"/>
          <w:szCs w:val="26"/>
        </w:rPr>
      </w:pPr>
    </w:p>
    <w:p w:rsidR="00893940" w:rsidRDefault="00893940" w:rsidP="00893940">
      <w:pPr>
        <w:spacing w:line="240" w:lineRule="auto"/>
        <w:ind w:firstLine="720"/>
        <w:rPr>
          <w:rFonts w:ascii="Times New Roman" w:hAnsi="Times New Roman"/>
          <w:sz w:val="26"/>
          <w:szCs w:val="26"/>
        </w:rPr>
      </w:pPr>
      <w:r w:rsidRPr="00DE68FB">
        <w:rPr>
          <w:rFonts w:ascii="Times New Roman" w:hAnsi="Times New Roman"/>
          <w:sz w:val="26"/>
          <w:szCs w:val="26"/>
        </w:rPr>
        <w:t>Gladys M. Brown</w:t>
      </w:r>
      <w:r w:rsidR="00162E29" w:rsidRPr="00DE68FB">
        <w:rPr>
          <w:rFonts w:ascii="Times New Roman" w:hAnsi="Times New Roman"/>
          <w:sz w:val="26"/>
          <w:szCs w:val="26"/>
        </w:rPr>
        <w:t>, Chairman</w:t>
      </w:r>
    </w:p>
    <w:p w:rsidR="00162E29" w:rsidRPr="00DE68FB" w:rsidRDefault="00FD2FA0" w:rsidP="00FD2FA0">
      <w:pPr>
        <w:spacing w:line="240" w:lineRule="auto"/>
        <w:ind w:firstLine="720"/>
        <w:rPr>
          <w:rFonts w:ascii="Times New Roman" w:hAnsi="Times New Roman"/>
          <w:sz w:val="26"/>
          <w:szCs w:val="26"/>
        </w:rPr>
      </w:pPr>
      <w:r>
        <w:rPr>
          <w:rFonts w:ascii="Times New Roman" w:hAnsi="Times New Roman"/>
          <w:sz w:val="26"/>
          <w:szCs w:val="26"/>
        </w:rPr>
        <w:t>Andrew G. Place</w:t>
      </w:r>
      <w:r w:rsidR="00162E29" w:rsidRPr="00DE68FB">
        <w:rPr>
          <w:rFonts w:ascii="Times New Roman" w:hAnsi="Times New Roman"/>
          <w:sz w:val="26"/>
          <w:szCs w:val="26"/>
        </w:rPr>
        <w:t>, Vice Chairman</w:t>
      </w:r>
    </w:p>
    <w:p w:rsidR="00162E29" w:rsidRPr="00DE68FB" w:rsidRDefault="00162E29" w:rsidP="00DE68FB">
      <w:pPr>
        <w:spacing w:line="240" w:lineRule="auto"/>
        <w:ind w:firstLine="720"/>
        <w:rPr>
          <w:rFonts w:ascii="Times New Roman" w:hAnsi="Times New Roman"/>
          <w:sz w:val="26"/>
          <w:szCs w:val="26"/>
        </w:rPr>
      </w:pPr>
      <w:r w:rsidRPr="00DE68FB">
        <w:rPr>
          <w:rFonts w:ascii="Times New Roman" w:hAnsi="Times New Roman"/>
          <w:sz w:val="26"/>
          <w:szCs w:val="26"/>
        </w:rPr>
        <w:t>Pamela A. Witmer</w:t>
      </w:r>
    </w:p>
    <w:p w:rsidR="00FD2FA0" w:rsidRDefault="00FD2FA0" w:rsidP="00604715">
      <w:pPr>
        <w:spacing w:line="240" w:lineRule="auto"/>
        <w:ind w:firstLine="720"/>
        <w:rPr>
          <w:rFonts w:ascii="Times New Roman" w:hAnsi="Times New Roman"/>
          <w:sz w:val="26"/>
          <w:szCs w:val="26"/>
        </w:rPr>
      </w:pPr>
      <w:r w:rsidRPr="00DE68FB">
        <w:rPr>
          <w:rFonts w:ascii="Times New Roman" w:hAnsi="Times New Roman"/>
          <w:sz w:val="26"/>
          <w:szCs w:val="26"/>
        </w:rPr>
        <w:t>John F. Coleman, Jr</w:t>
      </w:r>
      <w:r>
        <w:rPr>
          <w:rFonts w:ascii="Times New Roman" w:hAnsi="Times New Roman"/>
          <w:sz w:val="26"/>
          <w:szCs w:val="26"/>
        </w:rPr>
        <w:t>.</w:t>
      </w:r>
    </w:p>
    <w:p w:rsidR="00162E29" w:rsidRDefault="00893940" w:rsidP="00604715">
      <w:pPr>
        <w:spacing w:line="240" w:lineRule="auto"/>
        <w:ind w:firstLine="720"/>
        <w:rPr>
          <w:rFonts w:ascii="Times New Roman" w:hAnsi="Times New Roman"/>
          <w:sz w:val="26"/>
          <w:szCs w:val="26"/>
        </w:rPr>
      </w:pPr>
      <w:r w:rsidRPr="00DE68FB">
        <w:rPr>
          <w:rFonts w:ascii="Times New Roman" w:hAnsi="Times New Roman"/>
          <w:sz w:val="26"/>
          <w:szCs w:val="26"/>
        </w:rPr>
        <w:t>Robert F. Powelson</w:t>
      </w:r>
    </w:p>
    <w:p w:rsidR="00893940" w:rsidRPr="00DE68FB" w:rsidRDefault="00893940" w:rsidP="00DE68FB">
      <w:pPr>
        <w:ind w:firstLine="720"/>
        <w:rPr>
          <w:rFonts w:ascii="Times New Roman" w:hAnsi="Times New Roman"/>
          <w:sz w:val="26"/>
          <w:szCs w:val="26"/>
        </w:rPr>
      </w:pPr>
    </w:p>
    <w:p w:rsidR="00162E29" w:rsidRPr="00DE68FB" w:rsidRDefault="00162E29" w:rsidP="00DE68FB">
      <w:pPr>
        <w:rPr>
          <w:rFonts w:ascii="Times New Roman" w:hAnsi="Times New Roman"/>
          <w:sz w:val="26"/>
          <w:szCs w:val="26"/>
        </w:rPr>
      </w:pPr>
      <w:r w:rsidRPr="00DE68FB">
        <w:rPr>
          <w:rFonts w:ascii="Times New Roman" w:hAnsi="Times New Roman"/>
          <w:sz w:val="26"/>
          <w:szCs w:val="26"/>
        </w:rPr>
        <w:t>Justin L. Herp</w:t>
      </w:r>
      <w:r w:rsidRPr="00DE68FB">
        <w:rPr>
          <w:rFonts w:ascii="Times New Roman" w:hAnsi="Times New Roman"/>
          <w:sz w:val="26"/>
          <w:szCs w:val="26"/>
        </w:rPr>
        <w:tab/>
      </w:r>
      <w:r w:rsidRPr="00DE68FB">
        <w:rPr>
          <w:rFonts w:ascii="Times New Roman" w:hAnsi="Times New Roman"/>
          <w:sz w:val="26"/>
          <w:szCs w:val="26"/>
        </w:rPr>
        <w:tab/>
      </w:r>
      <w:r w:rsidRPr="00DE68FB">
        <w:rPr>
          <w:rFonts w:ascii="Times New Roman" w:hAnsi="Times New Roman"/>
          <w:sz w:val="26"/>
          <w:szCs w:val="26"/>
        </w:rPr>
        <w:tab/>
      </w:r>
      <w:r w:rsidRPr="00DE68FB">
        <w:rPr>
          <w:rFonts w:ascii="Times New Roman" w:hAnsi="Times New Roman"/>
          <w:sz w:val="26"/>
          <w:szCs w:val="26"/>
        </w:rPr>
        <w:tab/>
      </w:r>
      <w:r w:rsidRPr="00DE68FB">
        <w:rPr>
          <w:rFonts w:ascii="Times New Roman" w:hAnsi="Times New Roman"/>
          <w:sz w:val="26"/>
          <w:szCs w:val="26"/>
        </w:rPr>
        <w:tab/>
      </w:r>
      <w:r w:rsidRPr="00DE68FB">
        <w:rPr>
          <w:rFonts w:ascii="Times New Roman" w:hAnsi="Times New Roman"/>
          <w:sz w:val="26"/>
          <w:szCs w:val="26"/>
        </w:rPr>
        <w:tab/>
      </w:r>
      <w:r w:rsidRPr="00DE68FB">
        <w:rPr>
          <w:rFonts w:ascii="Times New Roman" w:hAnsi="Times New Roman"/>
          <w:sz w:val="26"/>
          <w:szCs w:val="26"/>
        </w:rPr>
        <w:tab/>
      </w:r>
      <w:r w:rsidRPr="00DE68FB">
        <w:rPr>
          <w:rFonts w:ascii="Times New Roman" w:hAnsi="Times New Roman"/>
          <w:sz w:val="26"/>
          <w:szCs w:val="26"/>
        </w:rPr>
        <w:tab/>
        <w:t>C-2014-2413756</w:t>
      </w:r>
    </w:p>
    <w:p w:rsidR="00162E29" w:rsidRPr="00DE68FB" w:rsidRDefault="00162E29" w:rsidP="00DE68FB">
      <w:pPr>
        <w:rPr>
          <w:rFonts w:ascii="Times New Roman" w:hAnsi="Times New Roman"/>
          <w:sz w:val="26"/>
          <w:szCs w:val="26"/>
        </w:rPr>
      </w:pPr>
      <w:r w:rsidRPr="00DE68FB">
        <w:rPr>
          <w:rFonts w:ascii="Times New Roman" w:hAnsi="Times New Roman"/>
          <w:sz w:val="26"/>
          <w:szCs w:val="26"/>
        </w:rPr>
        <w:tab/>
      </w:r>
      <w:proofErr w:type="gramStart"/>
      <w:r w:rsidRPr="00DE68FB">
        <w:rPr>
          <w:rFonts w:ascii="Times New Roman" w:hAnsi="Times New Roman"/>
          <w:sz w:val="26"/>
          <w:szCs w:val="26"/>
        </w:rPr>
        <w:t>v</w:t>
      </w:r>
      <w:proofErr w:type="gramEnd"/>
      <w:r w:rsidRPr="00DE68FB">
        <w:rPr>
          <w:rFonts w:ascii="Times New Roman" w:hAnsi="Times New Roman"/>
          <w:sz w:val="26"/>
          <w:szCs w:val="26"/>
        </w:rPr>
        <w:t>.</w:t>
      </w:r>
    </w:p>
    <w:p w:rsidR="00162E29" w:rsidRPr="00DE68FB" w:rsidRDefault="00162E29" w:rsidP="00DE68FB">
      <w:pPr>
        <w:rPr>
          <w:rFonts w:ascii="Times New Roman" w:hAnsi="Times New Roman"/>
          <w:sz w:val="26"/>
          <w:szCs w:val="26"/>
        </w:rPr>
      </w:pPr>
      <w:r w:rsidRPr="00DE68FB">
        <w:rPr>
          <w:rFonts w:ascii="Times New Roman" w:hAnsi="Times New Roman"/>
          <w:sz w:val="26"/>
          <w:szCs w:val="26"/>
        </w:rPr>
        <w:t>Respond Power LLC</w:t>
      </w:r>
    </w:p>
    <w:p w:rsidR="00162E29" w:rsidRPr="00DE68FB" w:rsidRDefault="00162E29" w:rsidP="00DE68FB">
      <w:pPr>
        <w:rPr>
          <w:rFonts w:ascii="Times New Roman" w:hAnsi="Times New Roman"/>
          <w:sz w:val="26"/>
          <w:szCs w:val="26"/>
        </w:rPr>
      </w:pPr>
    </w:p>
    <w:p w:rsidR="00162E29" w:rsidRPr="00DE68FB" w:rsidRDefault="00162E29" w:rsidP="00DE68FB">
      <w:pPr>
        <w:jc w:val="center"/>
        <w:rPr>
          <w:rFonts w:ascii="Times New Roman" w:hAnsi="Times New Roman"/>
          <w:b/>
          <w:sz w:val="26"/>
          <w:szCs w:val="26"/>
        </w:rPr>
      </w:pPr>
      <w:r w:rsidRPr="00DE68FB">
        <w:rPr>
          <w:rFonts w:ascii="Times New Roman" w:hAnsi="Times New Roman"/>
          <w:b/>
          <w:sz w:val="26"/>
          <w:szCs w:val="26"/>
        </w:rPr>
        <w:t>OPINION AND ORDER</w:t>
      </w:r>
    </w:p>
    <w:p w:rsidR="00162E29" w:rsidRPr="00DE68FB" w:rsidRDefault="00162E29" w:rsidP="00D15018">
      <w:pPr>
        <w:rPr>
          <w:rFonts w:ascii="Times New Roman" w:hAnsi="Times New Roman"/>
          <w:b/>
          <w:sz w:val="26"/>
          <w:szCs w:val="26"/>
        </w:rPr>
      </w:pPr>
    </w:p>
    <w:p w:rsidR="00162E29" w:rsidRPr="00DE68FB" w:rsidRDefault="00162E29" w:rsidP="00D15018">
      <w:pPr>
        <w:pStyle w:val="BodyTextIndent"/>
        <w:keepNext/>
        <w:spacing w:after="0"/>
        <w:ind w:left="0"/>
        <w:rPr>
          <w:rFonts w:ascii="Times New Roman" w:hAnsi="Times New Roman"/>
          <w:b/>
          <w:sz w:val="26"/>
          <w:szCs w:val="26"/>
        </w:rPr>
      </w:pPr>
      <w:r w:rsidRPr="00DE68FB">
        <w:rPr>
          <w:rFonts w:ascii="Times New Roman" w:hAnsi="Times New Roman"/>
          <w:b/>
          <w:sz w:val="26"/>
          <w:szCs w:val="26"/>
        </w:rPr>
        <w:t>BY THE COMMISSION:</w:t>
      </w:r>
    </w:p>
    <w:p w:rsidR="00162E29" w:rsidRPr="00DE68FB" w:rsidRDefault="00162E29" w:rsidP="00D15018">
      <w:pPr>
        <w:pStyle w:val="BodyTextIndent"/>
        <w:keepNext/>
        <w:spacing w:after="0"/>
        <w:ind w:left="0"/>
        <w:rPr>
          <w:rFonts w:ascii="Times New Roman" w:hAnsi="Times New Roman"/>
          <w:b/>
          <w:sz w:val="26"/>
          <w:szCs w:val="26"/>
        </w:rPr>
      </w:pPr>
    </w:p>
    <w:p w:rsidR="00162E29" w:rsidRPr="00DE68FB" w:rsidRDefault="00162E29" w:rsidP="00D15018">
      <w:pPr>
        <w:pStyle w:val="BodyTextIndent"/>
        <w:spacing w:after="0"/>
        <w:ind w:left="0" w:firstLine="1440"/>
        <w:rPr>
          <w:rFonts w:ascii="Times New Roman" w:hAnsi="Times New Roman"/>
          <w:sz w:val="26"/>
          <w:szCs w:val="26"/>
        </w:rPr>
      </w:pPr>
      <w:r w:rsidRPr="00DE68FB">
        <w:rPr>
          <w:rFonts w:ascii="Times New Roman" w:hAnsi="Times New Roman"/>
          <w:sz w:val="26"/>
          <w:szCs w:val="26"/>
        </w:rPr>
        <w:t>Before the Pennsylvania Public Utility Commission (Commission) for consideration and disposition are the Exceptions of Respond Power LLC (Respond</w:t>
      </w:r>
      <w:r w:rsidR="00551EEC" w:rsidRPr="00DE68FB">
        <w:rPr>
          <w:rFonts w:ascii="Times New Roman" w:hAnsi="Times New Roman"/>
          <w:sz w:val="26"/>
          <w:szCs w:val="26"/>
        </w:rPr>
        <w:t xml:space="preserve"> </w:t>
      </w:r>
      <w:r w:rsidR="00087B04" w:rsidRPr="00DE68FB">
        <w:rPr>
          <w:rFonts w:ascii="Times New Roman" w:hAnsi="Times New Roman"/>
          <w:sz w:val="26"/>
          <w:szCs w:val="26"/>
        </w:rPr>
        <w:t>or Company</w:t>
      </w:r>
      <w:r w:rsidRPr="00DE68FB">
        <w:rPr>
          <w:rFonts w:ascii="Times New Roman" w:hAnsi="Times New Roman"/>
          <w:sz w:val="26"/>
          <w:szCs w:val="26"/>
        </w:rPr>
        <w:t>)</w:t>
      </w:r>
      <w:r w:rsidR="004E4001">
        <w:rPr>
          <w:rFonts w:ascii="Times New Roman" w:hAnsi="Times New Roman"/>
          <w:sz w:val="26"/>
          <w:szCs w:val="26"/>
        </w:rPr>
        <w:t xml:space="preserve">, an electric generation supplier (EGS), </w:t>
      </w:r>
      <w:r w:rsidRPr="00DE68FB">
        <w:rPr>
          <w:rFonts w:ascii="Times New Roman" w:hAnsi="Times New Roman"/>
          <w:sz w:val="26"/>
          <w:szCs w:val="26"/>
        </w:rPr>
        <w:t xml:space="preserve">filed on January 8, 2015, to the Initial Decision (I.D.) of Administrative Law Judge (ALJ) Elizabeth H. Barnes, issued on December 19, 2014, </w:t>
      </w:r>
      <w:r w:rsidR="00174F6A">
        <w:rPr>
          <w:rFonts w:ascii="Times New Roman" w:hAnsi="Times New Roman"/>
          <w:sz w:val="26"/>
          <w:szCs w:val="26"/>
        </w:rPr>
        <w:t>in</w:t>
      </w:r>
      <w:r w:rsidRPr="00DE68FB">
        <w:rPr>
          <w:rFonts w:ascii="Times New Roman" w:hAnsi="Times New Roman"/>
          <w:sz w:val="26"/>
          <w:szCs w:val="26"/>
        </w:rPr>
        <w:t xml:space="preserve"> the above-captioned proceeding.  </w:t>
      </w:r>
      <w:r w:rsidR="00174F6A">
        <w:rPr>
          <w:rFonts w:ascii="Times New Roman" w:hAnsi="Times New Roman"/>
          <w:sz w:val="26"/>
          <w:szCs w:val="26"/>
        </w:rPr>
        <w:t xml:space="preserve">The Office of Consumer Advocate (OCA) filed </w:t>
      </w:r>
      <w:r w:rsidRPr="00DE68FB">
        <w:rPr>
          <w:rFonts w:ascii="Times New Roman" w:hAnsi="Times New Roman"/>
          <w:sz w:val="26"/>
          <w:szCs w:val="26"/>
        </w:rPr>
        <w:t>Replies to Exceptions on January 22, 2015.</w:t>
      </w:r>
    </w:p>
    <w:p w:rsidR="00162E29" w:rsidRPr="00DE68FB" w:rsidRDefault="00162E29" w:rsidP="00D15018">
      <w:pPr>
        <w:pStyle w:val="BodyTextIndent"/>
        <w:spacing w:after="0"/>
        <w:ind w:left="0" w:firstLine="1440"/>
        <w:rPr>
          <w:rFonts w:ascii="Times New Roman" w:hAnsi="Times New Roman"/>
          <w:sz w:val="26"/>
          <w:szCs w:val="26"/>
        </w:rPr>
      </w:pPr>
    </w:p>
    <w:p w:rsidR="00162E29" w:rsidRPr="00176547" w:rsidRDefault="00521D8D" w:rsidP="00521D8D">
      <w:pPr>
        <w:pStyle w:val="Heading1"/>
        <w:keepNext/>
        <w:numPr>
          <w:ilvl w:val="0"/>
          <w:numId w:val="0"/>
        </w:numPr>
        <w:ind w:left="360"/>
        <w:rPr>
          <w:b w:val="0"/>
        </w:rPr>
      </w:pPr>
      <w:bookmarkStart w:id="0" w:name="_Toc385423060"/>
      <w:r>
        <w:lastRenderedPageBreak/>
        <w:t xml:space="preserve">I.  </w:t>
      </w:r>
      <w:r w:rsidR="00162E29" w:rsidRPr="00DE68FB">
        <w:t>History of the Proceeding</w:t>
      </w:r>
      <w:bookmarkEnd w:id="0"/>
    </w:p>
    <w:p w:rsidR="009716DE" w:rsidRPr="00DE68FB" w:rsidRDefault="009716DE" w:rsidP="00621FFC">
      <w:pPr>
        <w:keepNext/>
        <w:rPr>
          <w:rFonts w:ascii="Times New Roman" w:hAnsi="Times New Roman"/>
          <w:sz w:val="26"/>
          <w:szCs w:val="26"/>
        </w:rPr>
      </w:pPr>
    </w:p>
    <w:p w:rsidR="009716DE" w:rsidRPr="00DE68FB" w:rsidRDefault="009716DE" w:rsidP="00DE68FB">
      <w:pPr>
        <w:ind w:firstLine="1440"/>
        <w:rPr>
          <w:rFonts w:ascii="Times New Roman" w:hAnsi="Times New Roman"/>
          <w:sz w:val="26"/>
          <w:szCs w:val="26"/>
        </w:rPr>
      </w:pPr>
      <w:r w:rsidRPr="00DE68FB">
        <w:rPr>
          <w:rFonts w:ascii="Times New Roman" w:hAnsi="Times New Roman"/>
          <w:sz w:val="26"/>
          <w:szCs w:val="26"/>
        </w:rPr>
        <w:t xml:space="preserve">On March 18, 2014, Justin L. Herp (Mr. Herp or Complainant) filed a Formal Complaint averring that he was told that by switching to Respond, his electric bill would </w:t>
      </w:r>
      <w:r w:rsidR="00B8332B">
        <w:rPr>
          <w:rFonts w:ascii="Times New Roman" w:hAnsi="Times New Roman"/>
          <w:sz w:val="26"/>
          <w:szCs w:val="26"/>
        </w:rPr>
        <w:t>“</w:t>
      </w:r>
      <w:r w:rsidRPr="00DE68FB">
        <w:rPr>
          <w:rFonts w:ascii="Times New Roman" w:hAnsi="Times New Roman"/>
          <w:sz w:val="26"/>
          <w:szCs w:val="26"/>
        </w:rPr>
        <w:t>always be lower</w:t>
      </w:r>
      <w:r w:rsidR="00B8332B">
        <w:rPr>
          <w:rFonts w:ascii="Times New Roman" w:hAnsi="Times New Roman"/>
          <w:sz w:val="26"/>
          <w:szCs w:val="26"/>
        </w:rPr>
        <w:t>”</w:t>
      </w:r>
      <w:r w:rsidRPr="00DE68FB">
        <w:rPr>
          <w:rFonts w:ascii="Times New Roman" w:hAnsi="Times New Roman"/>
          <w:sz w:val="26"/>
          <w:szCs w:val="26"/>
        </w:rPr>
        <w:t xml:space="preserve"> than </w:t>
      </w:r>
      <w:r w:rsidR="00174F6A">
        <w:rPr>
          <w:rFonts w:ascii="Times New Roman" w:hAnsi="Times New Roman"/>
          <w:sz w:val="26"/>
          <w:szCs w:val="26"/>
        </w:rPr>
        <w:t>the variable rate of h</w:t>
      </w:r>
      <w:r w:rsidRPr="00DE68FB">
        <w:rPr>
          <w:rFonts w:ascii="Times New Roman" w:hAnsi="Times New Roman"/>
          <w:sz w:val="26"/>
          <w:szCs w:val="26"/>
        </w:rPr>
        <w:t xml:space="preserve">is </w:t>
      </w:r>
      <w:r w:rsidR="00174F6A">
        <w:rPr>
          <w:rFonts w:ascii="Times New Roman" w:hAnsi="Times New Roman"/>
          <w:sz w:val="26"/>
          <w:szCs w:val="26"/>
        </w:rPr>
        <w:t>electric dis</w:t>
      </w:r>
      <w:r w:rsidRPr="00DE68FB">
        <w:rPr>
          <w:rFonts w:ascii="Times New Roman" w:hAnsi="Times New Roman"/>
          <w:sz w:val="26"/>
          <w:szCs w:val="26"/>
        </w:rPr>
        <w:t>tribut</w:t>
      </w:r>
      <w:r w:rsidR="007F2ABC">
        <w:rPr>
          <w:rFonts w:ascii="Times New Roman" w:hAnsi="Times New Roman"/>
          <w:sz w:val="26"/>
          <w:szCs w:val="26"/>
        </w:rPr>
        <w:t>ion company</w:t>
      </w:r>
      <w:r w:rsidR="00174F6A">
        <w:rPr>
          <w:rFonts w:ascii="Times New Roman" w:hAnsi="Times New Roman"/>
          <w:sz w:val="26"/>
          <w:szCs w:val="26"/>
        </w:rPr>
        <w:t xml:space="preserve"> (EDC), </w:t>
      </w:r>
      <w:r w:rsidR="00FE7EE7">
        <w:rPr>
          <w:rFonts w:ascii="Times New Roman" w:hAnsi="Times New Roman"/>
          <w:sz w:val="26"/>
          <w:szCs w:val="26"/>
        </w:rPr>
        <w:t xml:space="preserve">West Penn Power Company </w:t>
      </w:r>
      <w:r w:rsidR="00174F6A">
        <w:rPr>
          <w:rFonts w:ascii="Times New Roman" w:hAnsi="Times New Roman"/>
          <w:sz w:val="26"/>
          <w:szCs w:val="26"/>
        </w:rPr>
        <w:t>(</w:t>
      </w:r>
      <w:r w:rsidR="00FE7EE7">
        <w:rPr>
          <w:rFonts w:ascii="Times New Roman" w:hAnsi="Times New Roman"/>
          <w:sz w:val="26"/>
          <w:szCs w:val="26"/>
        </w:rPr>
        <w:t>West Penn</w:t>
      </w:r>
      <w:r w:rsidRPr="00DE68FB">
        <w:rPr>
          <w:rFonts w:ascii="Times New Roman" w:hAnsi="Times New Roman"/>
          <w:sz w:val="26"/>
          <w:szCs w:val="26"/>
        </w:rPr>
        <w:t xml:space="preserve">).  </w:t>
      </w:r>
      <w:proofErr w:type="gramStart"/>
      <w:r w:rsidR="00B8332B">
        <w:rPr>
          <w:rFonts w:ascii="Times New Roman" w:hAnsi="Times New Roman"/>
          <w:sz w:val="26"/>
          <w:szCs w:val="26"/>
        </w:rPr>
        <w:t>Complaint at 4.</w:t>
      </w:r>
      <w:proofErr w:type="gramEnd"/>
      <w:r w:rsidR="00B8332B">
        <w:rPr>
          <w:rFonts w:ascii="Times New Roman" w:hAnsi="Times New Roman"/>
          <w:sz w:val="26"/>
          <w:szCs w:val="26"/>
        </w:rPr>
        <w:t xml:space="preserve">  </w:t>
      </w:r>
      <w:r w:rsidRPr="00DE68FB">
        <w:rPr>
          <w:rFonts w:ascii="Times New Roman" w:hAnsi="Times New Roman"/>
          <w:sz w:val="26"/>
          <w:szCs w:val="26"/>
        </w:rPr>
        <w:t xml:space="preserve">The Complainant claimed he experienced a 150% increase in </w:t>
      </w:r>
      <w:r w:rsidR="004445C2">
        <w:rPr>
          <w:rFonts w:ascii="Times New Roman" w:hAnsi="Times New Roman"/>
          <w:sz w:val="26"/>
          <w:szCs w:val="26"/>
        </w:rPr>
        <w:t>the cost of his</w:t>
      </w:r>
      <w:r w:rsidRPr="00DE68FB">
        <w:rPr>
          <w:rFonts w:ascii="Times New Roman" w:hAnsi="Times New Roman"/>
          <w:sz w:val="26"/>
          <w:szCs w:val="26"/>
        </w:rPr>
        <w:t xml:space="preserve"> electric supply since switch</w:t>
      </w:r>
      <w:r w:rsidR="001528F2" w:rsidRPr="00DE68FB">
        <w:rPr>
          <w:rFonts w:ascii="Times New Roman" w:hAnsi="Times New Roman"/>
          <w:sz w:val="26"/>
          <w:szCs w:val="26"/>
        </w:rPr>
        <w:t xml:space="preserve">ing to </w:t>
      </w:r>
      <w:proofErr w:type="gramStart"/>
      <w:r w:rsidR="001528F2" w:rsidRPr="00DE68FB">
        <w:rPr>
          <w:rFonts w:ascii="Times New Roman" w:hAnsi="Times New Roman"/>
          <w:sz w:val="26"/>
          <w:szCs w:val="26"/>
        </w:rPr>
        <w:t>Respond</w:t>
      </w:r>
      <w:proofErr w:type="gramEnd"/>
      <w:r w:rsidR="00F10B86" w:rsidRPr="00DE68FB">
        <w:rPr>
          <w:rFonts w:ascii="Times New Roman" w:hAnsi="Times New Roman"/>
          <w:sz w:val="26"/>
          <w:szCs w:val="26"/>
        </w:rPr>
        <w:t xml:space="preserve"> in January </w:t>
      </w:r>
      <w:r w:rsidRPr="00DE68FB">
        <w:rPr>
          <w:rFonts w:ascii="Times New Roman" w:hAnsi="Times New Roman"/>
          <w:sz w:val="26"/>
          <w:szCs w:val="26"/>
        </w:rPr>
        <w:t xml:space="preserve">2014.  He averred </w:t>
      </w:r>
      <w:r w:rsidR="00F42599" w:rsidRPr="00DE68FB">
        <w:rPr>
          <w:rFonts w:ascii="Times New Roman" w:hAnsi="Times New Roman"/>
          <w:sz w:val="26"/>
          <w:szCs w:val="26"/>
        </w:rPr>
        <w:t xml:space="preserve">that </w:t>
      </w:r>
      <w:r w:rsidR="001528F2" w:rsidRPr="00DE68FB">
        <w:rPr>
          <w:rFonts w:ascii="Times New Roman" w:hAnsi="Times New Roman"/>
          <w:sz w:val="26"/>
          <w:szCs w:val="26"/>
        </w:rPr>
        <w:t xml:space="preserve">Respond </w:t>
      </w:r>
      <w:r w:rsidRPr="00DE68FB">
        <w:rPr>
          <w:rFonts w:ascii="Times New Roman" w:hAnsi="Times New Roman"/>
          <w:sz w:val="26"/>
          <w:szCs w:val="26"/>
        </w:rPr>
        <w:t xml:space="preserve">lied to him to get him to switch to their service.  </w:t>
      </w:r>
      <w:r w:rsidR="00F42599" w:rsidRPr="00DE68FB">
        <w:rPr>
          <w:rFonts w:ascii="Times New Roman" w:hAnsi="Times New Roman"/>
          <w:sz w:val="26"/>
          <w:szCs w:val="26"/>
        </w:rPr>
        <w:t xml:space="preserve">The </w:t>
      </w:r>
      <w:r w:rsidRPr="00DE68FB">
        <w:rPr>
          <w:rFonts w:ascii="Times New Roman" w:hAnsi="Times New Roman"/>
          <w:sz w:val="26"/>
          <w:szCs w:val="26"/>
        </w:rPr>
        <w:t>Comp</w:t>
      </w:r>
      <w:r w:rsidR="00F42599" w:rsidRPr="00DE68FB">
        <w:rPr>
          <w:rFonts w:ascii="Times New Roman" w:hAnsi="Times New Roman"/>
          <w:sz w:val="26"/>
          <w:szCs w:val="26"/>
        </w:rPr>
        <w:t>lainant requested</w:t>
      </w:r>
      <w:r w:rsidRPr="00DE68FB">
        <w:rPr>
          <w:rFonts w:ascii="Times New Roman" w:hAnsi="Times New Roman"/>
          <w:sz w:val="26"/>
          <w:szCs w:val="26"/>
        </w:rPr>
        <w:t xml:space="preserve"> </w:t>
      </w:r>
      <w:r w:rsidR="00B8332B">
        <w:rPr>
          <w:rFonts w:ascii="Times New Roman" w:hAnsi="Times New Roman"/>
          <w:sz w:val="26"/>
          <w:szCs w:val="26"/>
        </w:rPr>
        <w:t xml:space="preserve">that his “bill be adjusted to no more than the rate offered by West Penn Power for the entire time [he] was with Respond Power.”  </w:t>
      </w:r>
      <w:r w:rsidR="00B8332B">
        <w:rPr>
          <w:rFonts w:ascii="Times New Roman" w:hAnsi="Times New Roman"/>
          <w:i/>
          <w:sz w:val="26"/>
          <w:szCs w:val="26"/>
        </w:rPr>
        <w:t xml:space="preserve">Id.  </w:t>
      </w:r>
      <w:r w:rsidR="00F42599" w:rsidRPr="00DE68FB">
        <w:rPr>
          <w:rFonts w:ascii="Times New Roman" w:hAnsi="Times New Roman"/>
          <w:sz w:val="26"/>
          <w:szCs w:val="26"/>
        </w:rPr>
        <w:t xml:space="preserve">The </w:t>
      </w:r>
      <w:r w:rsidRPr="00DE68FB">
        <w:rPr>
          <w:rFonts w:ascii="Times New Roman" w:hAnsi="Times New Roman"/>
          <w:sz w:val="26"/>
          <w:szCs w:val="26"/>
        </w:rPr>
        <w:t xml:space="preserve">Complainant </w:t>
      </w:r>
      <w:r w:rsidR="00F42599" w:rsidRPr="00DE68FB">
        <w:rPr>
          <w:rFonts w:ascii="Times New Roman" w:hAnsi="Times New Roman"/>
          <w:sz w:val="26"/>
          <w:szCs w:val="26"/>
        </w:rPr>
        <w:t>further requested that</w:t>
      </w:r>
      <w:r w:rsidRPr="00DE68FB">
        <w:rPr>
          <w:rFonts w:ascii="Times New Roman" w:hAnsi="Times New Roman"/>
          <w:sz w:val="26"/>
          <w:szCs w:val="26"/>
        </w:rPr>
        <w:t xml:space="preserve"> the Commission make essential changes to allow consumers to know energy costs prior to energy use.  </w:t>
      </w:r>
      <w:r w:rsidR="00F42599" w:rsidRPr="00DE68FB">
        <w:rPr>
          <w:rFonts w:ascii="Times New Roman" w:hAnsi="Times New Roman"/>
          <w:sz w:val="26"/>
          <w:szCs w:val="26"/>
        </w:rPr>
        <w:t>Additionally, the Complainant requested that</w:t>
      </w:r>
      <w:r w:rsidRPr="00DE68FB">
        <w:rPr>
          <w:rFonts w:ascii="Times New Roman" w:hAnsi="Times New Roman"/>
          <w:sz w:val="26"/>
          <w:szCs w:val="26"/>
        </w:rPr>
        <w:t xml:space="preserve"> consumers be able to change energy providers immediately if faced with rate increases and not to have to wait until the end of their next billing cycle. </w:t>
      </w:r>
      <w:r w:rsidR="00B8332B">
        <w:rPr>
          <w:rFonts w:ascii="Times New Roman" w:hAnsi="Times New Roman"/>
          <w:sz w:val="26"/>
          <w:szCs w:val="26"/>
        </w:rPr>
        <w:t xml:space="preserve"> </w:t>
      </w:r>
      <w:r w:rsidR="00B8332B">
        <w:rPr>
          <w:rFonts w:ascii="Times New Roman" w:hAnsi="Times New Roman"/>
          <w:i/>
          <w:sz w:val="26"/>
          <w:szCs w:val="26"/>
        </w:rPr>
        <w:t>Id.</w:t>
      </w:r>
    </w:p>
    <w:p w:rsidR="009716DE" w:rsidRPr="00DE68FB" w:rsidRDefault="009716DE" w:rsidP="00DE68FB">
      <w:pPr>
        <w:ind w:firstLine="1440"/>
        <w:rPr>
          <w:rFonts w:ascii="Times New Roman" w:hAnsi="Times New Roman"/>
          <w:sz w:val="26"/>
          <w:szCs w:val="26"/>
        </w:rPr>
      </w:pPr>
    </w:p>
    <w:p w:rsidR="009716DE" w:rsidRPr="00DE68FB" w:rsidRDefault="00F42599" w:rsidP="00DE68FB">
      <w:pPr>
        <w:ind w:firstLine="1440"/>
        <w:rPr>
          <w:rFonts w:ascii="Times New Roman" w:hAnsi="Times New Roman"/>
          <w:sz w:val="26"/>
          <w:szCs w:val="26"/>
        </w:rPr>
      </w:pPr>
      <w:r w:rsidRPr="00DE68FB">
        <w:rPr>
          <w:rFonts w:ascii="Times New Roman" w:hAnsi="Times New Roman"/>
          <w:sz w:val="26"/>
          <w:szCs w:val="26"/>
        </w:rPr>
        <w:t>On A</w:t>
      </w:r>
      <w:r w:rsidR="00F10B86" w:rsidRPr="00DE68FB">
        <w:rPr>
          <w:rFonts w:ascii="Times New Roman" w:hAnsi="Times New Roman"/>
          <w:sz w:val="26"/>
          <w:szCs w:val="26"/>
        </w:rPr>
        <w:t>pril 18</w:t>
      </w:r>
      <w:r w:rsidRPr="00DE68FB">
        <w:rPr>
          <w:rFonts w:ascii="Times New Roman" w:hAnsi="Times New Roman"/>
          <w:sz w:val="26"/>
          <w:szCs w:val="26"/>
        </w:rPr>
        <w:t xml:space="preserve">, 2014, </w:t>
      </w:r>
      <w:r w:rsidR="001528F2" w:rsidRPr="00DE68FB">
        <w:rPr>
          <w:rFonts w:ascii="Times New Roman" w:hAnsi="Times New Roman"/>
          <w:sz w:val="26"/>
          <w:szCs w:val="26"/>
        </w:rPr>
        <w:t xml:space="preserve">Respond </w:t>
      </w:r>
      <w:r w:rsidR="009716DE" w:rsidRPr="00DE68FB">
        <w:rPr>
          <w:rFonts w:ascii="Times New Roman" w:hAnsi="Times New Roman"/>
          <w:sz w:val="26"/>
          <w:szCs w:val="26"/>
        </w:rPr>
        <w:t>filed an A</w:t>
      </w:r>
      <w:r w:rsidRPr="00DE68FB">
        <w:rPr>
          <w:rFonts w:ascii="Times New Roman" w:hAnsi="Times New Roman"/>
          <w:sz w:val="26"/>
          <w:szCs w:val="26"/>
        </w:rPr>
        <w:t>nswer</w:t>
      </w:r>
      <w:r w:rsidR="009716DE" w:rsidRPr="00DE68FB">
        <w:rPr>
          <w:rFonts w:ascii="Times New Roman" w:hAnsi="Times New Roman"/>
          <w:sz w:val="26"/>
          <w:szCs w:val="26"/>
        </w:rPr>
        <w:t xml:space="preserve"> denying all allegations </w:t>
      </w:r>
      <w:r w:rsidRPr="00DE68FB">
        <w:rPr>
          <w:rFonts w:ascii="Times New Roman" w:hAnsi="Times New Roman"/>
          <w:sz w:val="26"/>
          <w:szCs w:val="26"/>
        </w:rPr>
        <w:t>i</w:t>
      </w:r>
      <w:r w:rsidR="001528F2" w:rsidRPr="00DE68FB">
        <w:rPr>
          <w:rFonts w:ascii="Times New Roman" w:hAnsi="Times New Roman"/>
          <w:sz w:val="26"/>
          <w:szCs w:val="26"/>
        </w:rPr>
        <w:t xml:space="preserve">n the Complaint.  Respond </w:t>
      </w:r>
      <w:r w:rsidRPr="00DE68FB">
        <w:rPr>
          <w:rFonts w:ascii="Times New Roman" w:hAnsi="Times New Roman"/>
          <w:sz w:val="26"/>
          <w:szCs w:val="26"/>
        </w:rPr>
        <w:t xml:space="preserve">stated that the </w:t>
      </w:r>
      <w:r w:rsidR="009716DE" w:rsidRPr="00DE68FB">
        <w:rPr>
          <w:rFonts w:ascii="Times New Roman" w:hAnsi="Times New Roman"/>
          <w:sz w:val="26"/>
          <w:szCs w:val="26"/>
        </w:rPr>
        <w:t>Complainant was validly enrolled in a variable rate plan i</w:t>
      </w:r>
      <w:r w:rsidRPr="00DE68FB">
        <w:rPr>
          <w:rFonts w:ascii="Times New Roman" w:hAnsi="Times New Roman"/>
          <w:sz w:val="26"/>
          <w:szCs w:val="26"/>
        </w:rPr>
        <w:t xml:space="preserve">n October </w:t>
      </w:r>
      <w:r w:rsidR="009716DE" w:rsidRPr="00DE68FB">
        <w:rPr>
          <w:rFonts w:ascii="Times New Roman" w:hAnsi="Times New Roman"/>
          <w:sz w:val="26"/>
          <w:szCs w:val="26"/>
        </w:rPr>
        <w:t>2013</w:t>
      </w:r>
      <w:r w:rsidR="00F10B86" w:rsidRPr="00DE68FB">
        <w:rPr>
          <w:rFonts w:ascii="Times New Roman" w:hAnsi="Times New Roman"/>
          <w:sz w:val="26"/>
          <w:szCs w:val="26"/>
        </w:rPr>
        <w:t>,</w:t>
      </w:r>
      <w:r w:rsidR="009716DE" w:rsidRPr="00DE68FB">
        <w:rPr>
          <w:rFonts w:ascii="Times New Roman" w:hAnsi="Times New Roman"/>
          <w:sz w:val="26"/>
          <w:szCs w:val="26"/>
        </w:rPr>
        <w:t xml:space="preserve"> and on March 7, 2014, he was offered a fixed rate going forward on his account.  Additionally, Respond </w:t>
      </w:r>
      <w:r w:rsidRPr="00DE68FB">
        <w:rPr>
          <w:rFonts w:ascii="Times New Roman" w:hAnsi="Times New Roman"/>
          <w:sz w:val="26"/>
          <w:szCs w:val="26"/>
        </w:rPr>
        <w:t xml:space="preserve">noted that it </w:t>
      </w:r>
      <w:r w:rsidR="009716DE" w:rsidRPr="00DE68FB">
        <w:rPr>
          <w:rFonts w:ascii="Times New Roman" w:hAnsi="Times New Roman"/>
          <w:sz w:val="26"/>
          <w:szCs w:val="26"/>
        </w:rPr>
        <w:t xml:space="preserve">offered to adjust the </w:t>
      </w:r>
      <w:r w:rsidRPr="00DE68FB">
        <w:rPr>
          <w:rFonts w:ascii="Times New Roman" w:hAnsi="Times New Roman"/>
          <w:sz w:val="26"/>
          <w:szCs w:val="26"/>
        </w:rPr>
        <w:t xml:space="preserve">Complainant’s bills issued for the </w:t>
      </w:r>
      <w:r w:rsidR="00F10B86" w:rsidRPr="00DE68FB">
        <w:rPr>
          <w:rFonts w:ascii="Times New Roman" w:hAnsi="Times New Roman"/>
          <w:sz w:val="26"/>
          <w:szCs w:val="26"/>
        </w:rPr>
        <w:t xml:space="preserve">billing </w:t>
      </w:r>
      <w:r w:rsidRPr="00DE68FB">
        <w:rPr>
          <w:rFonts w:ascii="Times New Roman" w:hAnsi="Times New Roman"/>
          <w:sz w:val="26"/>
          <w:szCs w:val="26"/>
        </w:rPr>
        <w:t xml:space="preserve">periods </w:t>
      </w:r>
      <w:r w:rsidR="009716DE" w:rsidRPr="00DE68FB">
        <w:rPr>
          <w:rFonts w:ascii="Times New Roman" w:hAnsi="Times New Roman"/>
          <w:sz w:val="26"/>
          <w:szCs w:val="26"/>
        </w:rPr>
        <w:t>ending on January 24, 2014</w:t>
      </w:r>
      <w:r w:rsidRPr="00DE68FB">
        <w:rPr>
          <w:rFonts w:ascii="Times New Roman" w:hAnsi="Times New Roman"/>
          <w:sz w:val="26"/>
          <w:szCs w:val="26"/>
        </w:rPr>
        <w:t>,</w:t>
      </w:r>
      <w:r w:rsidR="009716DE" w:rsidRPr="00DE68FB">
        <w:rPr>
          <w:rFonts w:ascii="Times New Roman" w:hAnsi="Times New Roman"/>
          <w:sz w:val="26"/>
          <w:szCs w:val="26"/>
        </w:rPr>
        <w:t xml:space="preserve"> and February 26, 2014</w:t>
      </w:r>
      <w:r w:rsidRPr="00DE68FB">
        <w:rPr>
          <w:rFonts w:ascii="Times New Roman" w:hAnsi="Times New Roman"/>
          <w:sz w:val="26"/>
          <w:szCs w:val="26"/>
        </w:rPr>
        <w:t>,</w:t>
      </w:r>
      <w:r w:rsidR="009716DE" w:rsidRPr="00DE68FB">
        <w:rPr>
          <w:rFonts w:ascii="Times New Roman" w:hAnsi="Times New Roman"/>
          <w:sz w:val="26"/>
          <w:szCs w:val="26"/>
        </w:rPr>
        <w:t xml:space="preserve"> down to that fixed rate, but Mr. Herp refused.  Respond </w:t>
      </w:r>
      <w:r w:rsidRPr="00DE68FB">
        <w:rPr>
          <w:rFonts w:ascii="Times New Roman" w:hAnsi="Times New Roman"/>
          <w:sz w:val="26"/>
          <w:szCs w:val="26"/>
        </w:rPr>
        <w:t>denied</w:t>
      </w:r>
      <w:r w:rsidR="009716DE" w:rsidRPr="00DE68FB">
        <w:rPr>
          <w:rFonts w:ascii="Times New Roman" w:hAnsi="Times New Roman"/>
          <w:sz w:val="26"/>
          <w:szCs w:val="26"/>
        </w:rPr>
        <w:t xml:space="preserve"> it ow</w:t>
      </w:r>
      <w:r w:rsidRPr="00DE68FB">
        <w:rPr>
          <w:rFonts w:ascii="Times New Roman" w:hAnsi="Times New Roman"/>
          <w:sz w:val="26"/>
          <w:szCs w:val="26"/>
        </w:rPr>
        <w:t>ed</w:t>
      </w:r>
      <w:r w:rsidR="009716DE" w:rsidRPr="00DE68FB">
        <w:rPr>
          <w:rFonts w:ascii="Times New Roman" w:hAnsi="Times New Roman"/>
          <w:sz w:val="26"/>
          <w:szCs w:val="26"/>
        </w:rPr>
        <w:t xml:space="preserve"> </w:t>
      </w:r>
      <w:r w:rsidRPr="00DE68FB">
        <w:rPr>
          <w:rFonts w:ascii="Times New Roman" w:hAnsi="Times New Roman"/>
          <w:sz w:val="26"/>
          <w:szCs w:val="26"/>
        </w:rPr>
        <w:t xml:space="preserve">the </w:t>
      </w:r>
      <w:r w:rsidR="009716DE" w:rsidRPr="00DE68FB">
        <w:rPr>
          <w:rFonts w:ascii="Times New Roman" w:hAnsi="Times New Roman"/>
          <w:sz w:val="26"/>
          <w:szCs w:val="26"/>
        </w:rPr>
        <w:t>Complainant any refund.</w:t>
      </w:r>
    </w:p>
    <w:p w:rsidR="009716DE" w:rsidRPr="00DE68FB" w:rsidRDefault="009716DE" w:rsidP="00DE68FB">
      <w:pPr>
        <w:ind w:firstLine="1440"/>
        <w:rPr>
          <w:rFonts w:ascii="Times New Roman" w:hAnsi="Times New Roman"/>
          <w:sz w:val="26"/>
          <w:szCs w:val="26"/>
        </w:rPr>
      </w:pPr>
    </w:p>
    <w:p w:rsidR="009716DE" w:rsidRPr="00DE68FB" w:rsidRDefault="009716DE" w:rsidP="00DE68FB">
      <w:pPr>
        <w:ind w:firstLine="1440"/>
        <w:rPr>
          <w:rFonts w:ascii="Times New Roman" w:hAnsi="Times New Roman"/>
          <w:sz w:val="26"/>
          <w:szCs w:val="26"/>
        </w:rPr>
      </w:pPr>
      <w:r w:rsidRPr="00DE68FB">
        <w:rPr>
          <w:rFonts w:ascii="Times New Roman" w:hAnsi="Times New Roman"/>
          <w:sz w:val="26"/>
          <w:szCs w:val="26"/>
        </w:rPr>
        <w:t xml:space="preserve">On June 4, 2014, Respond </w:t>
      </w:r>
      <w:r w:rsidR="00174F6A">
        <w:rPr>
          <w:rFonts w:ascii="Times New Roman" w:hAnsi="Times New Roman"/>
          <w:sz w:val="26"/>
          <w:szCs w:val="26"/>
        </w:rPr>
        <w:t>filed</w:t>
      </w:r>
      <w:r w:rsidRPr="00DE68FB">
        <w:rPr>
          <w:rFonts w:ascii="Times New Roman" w:hAnsi="Times New Roman"/>
          <w:sz w:val="26"/>
          <w:szCs w:val="26"/>
        </w:rPr>
        <w:t xml:space="preserve"> </w:t>
      </w:r>
      <w:r w:rsidR="004A1E0A" w:rsidRPr="00DE68FB">
        <w:rPr>
          <w:rFonts w:ascii="Times New Roman" w:hAnsi="Times New Roman"/>
          <w:sz w:val="26"/>
          <w:szCs w:val="26"/>
        </w:rPr>
        <w:t>a Motion for Summary Judgment</w:t>
      </w:r>
      <w:r w:rsidR="000C0244" w:rsidRPr="00DE68FB">
        <w:rPr>
          <w:rFonts w:ascii="Times New Roman" w:hAnsi="Times New Roman"/>
          <w:sz w:val="26"/>
          <w:szCs w:val="26"/>
        </w:rPr>
        <w:t xml:space="preserve"> seeking dismissal of the Complaint</w:t>
      </w:r>
      <w:r w:rsidR="004A1E0A" w:rsidRPr="00DE68FB">
        <w:rPr>
          <w:rFonts w:ascii="Times New Roman" w:hAnsi="Times New Roman"/>
          <w:sz w:val="26"/>
          <w:szCs w:val="26"/>
        </w:rPr>
        <w:t xml:space="preserve">. </w:t>
      </w:r>
      <w:r w:rsidR="000C0244" w:rsidRPr="00DE68FB">
        <w:rPr>
          <w:rFonts w:ascii="Times New Roman" w:hAnsi="Times New Roman"/>
          <w:sz w:val="26"/>
          <w:szCs w:val="26"/>
        </w:rPr>
        <w:t xml:space="preserve"> </w:t>
      </w:r>
      <w:r w:rsidRPr="00DE68FB">
        <w:rPr>
          <w:rFonts w:ascii="Times New Roman" w:hAnsi="Times New Roman"/>
          <w:sz w:val="26"/>
          <w:szCs w:val="26"/>
        </w:rPr>
        <w:t>On June 24, 2014,</w:t>
      </w:r>
      <w:r w:rsidR="004A1E0A" w:rsidRPr="00DE68FB">
        <w:rPr>
          <w:rFonts w:ascii="Times New Roman" w:hAnsi="Times New Roman"/>
          <w:sz w:val="26"/>
          <w:szCs w:val="26"/>
        </w:rPr>
        <w:t xml:space="preserve"> the OCA</w:t>
      </w:r>
      <w:r w:rsidRPr="00DE68FB">
        <w:rPr>
          <w:rFonts w:ascii="Times New Roman" w:hAnsi="Times New Roman"/>
          <w:sz w:val="26"/>
          <w:szCs w:val="26"/>
        </w:rPr>
        <w:t xml:space="preserve"> filed a Notice of Intervention and an Answer in Response to the Mo</w:t>
      </w:r>
      <w:r w:rsidR="004A1E0A" w:rsidRPr="00DE68FB">
        <w:rPr>
          <w:rFonts w:ascii="Times New Roman" w:hAnsi="Times New Roman"/>
          <w:sz w:val="26"/>
          <w:szCs w:val="26"/>
        </w:rPr>
        <w:t>tion for Summary Judgment</w:t>
      </w:r>
      <w:r w:rsidRPr="00DE68FB">
        <w:rPr>
          <w:rFonts w:ascii="Times New Roman" w:hAnsi="Times New Roman"/>
          <w:sz w:val="26"/>
          <w:szCs w:val="26"/>
        </w:rPr>
        <w:t xml:space="preserve">.  </w:t>
      </w:r>
      <w:r w:rsidR="001528F2" w:rsidRPr="00DE68FB">
        <w:rPr>
          <w:rFonts w:ascii="Times New Roman" w:hAnsi="Times New Roman"/>
          <w:sz w:val="26"/>
          <w:szCs w:val="26"/>
        </w:rPr>
        <w:t xml:space="preserve">On July 7, 2014, Respond </w:t>
      </w:r>
      <w:r w:rsidRPr="00DE68FB">
        <w:rPr>
          <w:rFonts w:ascii="Times New Roman" w:hAnsi="Times New Roman"/>
          <w:sz w:val="26"/>
          <w:szCs w:val="26"/>
        </w:rPr>
        <w:t xml:space="preserve">filed a Motion in Limine requesting a narrowed </w:t>
      </w:r>
      <w:r w:rsidR="000C0244" w:rsidRPr="00DE68FB">
        <w:rPr>
          <w:rFonts w:ascii="Times New Roman" w:hAnsi="Times New Roman"/>
          <w:sz w:val="26"/>
          <w:szCs w:val="26"/>
        </w:rPr>
        <w:t>scope of the hearing</w:t>
      </w:r>
      <w:r w:rsidR="00DF5EFC">
        <w:rPr>
          <w:rFonts w:ascii="Times New Roman" w:hAnsi="Times New Roman"/>
          <w:sz w:val="26"/>
          <w:szCs w:val="26"/>
        </w:rPr>
        <w:t>, to which the OCA and the Complainant filed answers o</w:t>
      </w:r>
      <w:r w:rsidR="000C0244" w:rsidRPr="00DE68FB">
        <w:rPr>
          <w:rFonts w:ascii="Times New Roman" w:hAnsi="Times New Roman"/>
          <w:sz w:val="26"/>
          <w:szCs w:val="26"/>
        </w:rPr>
        <w:t>n July</w:t>
      </w:r>
      <w:r w:rsidR="00DF5EFC">
        <w:rPr>
          <w:rFonts w:ascii="Times New Roman" w:hAnsi="Times New Roman"/>
          <w:sz w:val="26"/>
          <w:szCs w:val="26"/>
        </w:rPr>
        <w:t> </w:t>
      </w:r>
      <w:r w:rsidRPr="00DE68FB">
        <w:rPr>
          <w:rFonts w:ascii="Times New Roman" w:hAnsi="Times New Roman"/>
          <w:sz w:val="26"/>
          <w:szCs w:val="26"/>
        </w:rPr>
        <w:t>28, 2014</w:t>
      </w:r>
      <w:r w:rsidR="00DF5EFC">
        <w:rPr>
          <w:rFonts w:ascii="Times New Roman" w:hAnsi="Times New Roman"/>
          <w:sz w:val="26"/>
          <w:szCs w:val="26"/>
        </w:rPr>
        <w:t xml:space="preserve">. </w:t>
      </w:r>
      <w:r w:rsidRPr="00DE68FB">
        <w:rPr>
          <w:rFonts w:ascii="Times New Roman" w:hAnsi="Times New Roman"/>
          <w:sz w:val="26"/>
          <w:szCs w:val="26"/>
        </w:rPr>
        <w:t xml:space="preserve"> </w:t>
      </w:r>
      <w:r w:rsidR="00621FFC">
        <w:rPr>
          <w:rFonts w:ascii="Times New Roman" w:hAnsi="Times New Roman"/>
          <w:sz w:val="26"/>
          <w:szCs w:val="26"/>
        </w:rPr>
        <w:t xml:space="preserve">By separately issued orders, the ALJ denied both motions.  </w:t>
      </w:r>
      <w:proofErr w:type="gramStart"/>
      <w:r w:rsidR="00621FFC">
        <w:rPr>
          <w:rFonts w:ascii="Times New Roman" w:hAnsi="Times New Roman"/>
          <w:sz w:val="26"/>
          <w:szCs w:val="26"/>
        </w:rPr>
        <w:t>I.D. at 2.</w:t>
      </w:r>
      <w:proofErr w:type="gramEnd"/>
    </w:p>
    <w:p w:rsidR="009716DE" w:rsidRPr="00DE68FB" w:rsidRDefault="009716DE" w:rsidP="00DE68FB">
      <w:pPr>
        <w:ind w:firstLine="1440"/>
        <w:rPr>
          <w:rFonts w:ascii="Times New Roman" w:hAnsi="Times New Roman"/>
          <w:sz w:val="26"/>
          <w:szCs w:val="26"/>
        </w:rPr>
      </w:pPr>
    </w:p>
    <w:p w:rsidR="009716DE" w:rsidRPr="00DE68FB" w:rsidRDefault="009716DE" w:rsidP="00DE68FB">
      <w:pPr>
        <w:pStyle w:val="BodyFirst1SS"/>
        <w:spacing w:line="360" w:lineRule="auto"/>
        <w:jc w:val="left"/>
        <w:rPr>
          <w:sz w:val="26"/>
          <w:szCs w:val="26"/>
        </w:rPr>
      </w:pPr>
      <w:r w:rsidRPr="00DE68FB">
        <w:rPr>
          <w:sz w:val="26"/>
          <w:szCs w:val="26"/>
        </w:rPr>
        <w:tab/>
        <w:t xml:space="preserve">A telephonic </w:t>
      </w:r>
      <w:r w:rsidR="00621FFC">
        <w:rPr>
          <w:sz w:val="26"/>
          <w:szCs w:val="26"/>
        </w:rPr>
        <w:t xml:space="preserve">evidentiary </w:t>
      </w:r>
      <w:r w:rsidRPr="00DE68FB">
        <w:rPr>
          <w:sz w:val="26"/>
          <w:szCs w:val="26"/>
        </w:rPr>
        <w:t xml:space="preserve">hearing was held on August 1, 2014.  </w:t>
      </w:r>
      <w:r w:rsidR="009B6B5F" w:rsidRPr="00DE68FB">
        <w:rPr>
          <w:sz w:val="26"/>
          <w:szCs w:val="26"/>
        </w:rPr>
        <w:t xml:space="preserve">The </w:t>
      </w:r>
      <w:r w:rsidRPr="00DE68FB">
        <w:rPr>
          <w:sz w:val="26"/>
          <w:szCs w:val="26"/>
        </w:rPr>
        <w:t xml:space="preserve">Complainant appeared </w:t>
      </w:r>
      <w:r w:rsidR="009B6B5F" w:rsidRPr="00DE68FB">
        <w:rPr>
          <w:i/>
          <w:sz w:val="26"/>
          <w:szCs w:val="26"/>
        </w:rPr>
        <w:t xml:space="preserve">pro se </w:t>
      </w:r>
      <w:r w:rsidR="009B6B5F" w:rsidRPr="00DE68FB">
        <w:rPr>
          <w:sz w:val="26"/>
          <w:szCs w:val="26"/>
        </w:rPr>
        <w:t xml:space="preserve">and </w:t>
      </w:r>
      <w:r w:rsidR="00E754D2">
        <w:rPr>
          <w:sz w:val="26"/>
          <w:szCs w:val="26"/>
        </w:rPr>
        <w:t xml:space="preserve">testified on his own behalf.  He also </w:t>
      </w:r>
      <w:r w:rsidR="009B6B5F" w:rsidRPr="00DE68FB">
        <w:rPr>
          <w:sz w:val="26"/>
          <w:szCs w:val="26"/>
        </w:rPr>
        <w:t xml:space="preserve">presented </w:t>
      </w:r>
      <w:r w:rsidR="00E754D2">
        <w:rPr>
          <w:sz w:val="26"/>
          <w:szCs w:val="26"/>
        </w:rPr>
        <w:t xml:space="preserve">the testimony of </w:t>
      </w:r>
      <w:r w:rsidRPr="00DE68FB">
        <w:rPr>
          <w:sz w:val="26"/>
          <w:szCs w:val="26"/>
        </w:rPr>
        <w:t>one witness, William Earl Hackett, Jr.</w:t>
      </w:r>
      <w:r w:rsidR="009B6B5F" w:rsidRPr="00DE68FB">
        <w:rPr>
          <w:sz w:val="26"/>
          <w:szCs w:val="26"/>
        </w:rPr>
        <w:t xml:space="preserve">  The </w:t>
      </w:r>
      <w:r w:rsidRPr="00DE68FB">
        <w:rPr>
          <w:sz w:val="26"/>
          <w:szCs w:val="26"/>
        </w:rPr>
        <w:t>OCA participated in the hearing throu</w:t>
      </w:r>
      <w:r w:rsidR="009B6B5F" w:rsidRPr="00DE68FB">
        <w:rPr>
          <w:sz w:val="26"/>
          <w:szCs w:val="26"/>
        </w:rPr>
        <w:t>gh the cr</w:t>
      </w:r>
      <w:r w:rsidR="001528F2" w:rsidRPr="00DE68FB">
        <w:rPr>
          <w:sz w:val="26"/>
          <w:szCs w:val="26"/>
        </w:rPr>
        <w:t>oss-examination of Respond</w:t>
      </w:r>
      <w:r w:rsidR="009B6B5F" w:rsidRPr="00DE68FB">
        <w:rPr>
          <w:sz w:val="26"/>
          <w:szCs w:val="26"/>
        </w:rPr>
        <w:t>’s witness</w:t>
      </w:r>
      <w:r w:rsidR="004E4001">
        <w:rPr>
          <w:sz w:val="26"/>
          <w:szCs w:val="26"/>
        </w:rPr>
        <w:t>.</w:t>
      </w:r>
      <w:r w:rsidR="001528F2" w:rsidRPr="00DE68FB">
        <w:rPr>
          <w:sz w:val="26"/>
          <w:szCs w:val="26"/>
        </w:rPr>
        <w:t xml:space="preserve">  Respond </w:t>
      </w:r>
      <w:r w:rsidR="009B6B5F" w:rsidRPr="00DE68FB">
        <w:rPr>
          <w:sz w:val="26"/>
          <w:szCs w:val="26"/>
        </w:rPr>
        <w:t xml:space="preserve">appeared and </w:t>
      </w:r>
      <w:r w:rsidRPr="00DE68FB">
        <w:rPr>
          <w:sz w:val="26"/>
          <w:szCs w:val="26"/>
        </w:rPr>
        <w:t>presented the testimony of one witness, Adam Sma</w:t>
      </w:r>
      <w:r w:rsidR="001528F2" w:rsidRPr="00DE68FB">
        <w:rPr>
          <w:sz w:val="26"/>
          <w:szCs w:val="26"/>
        </w:rPr>
        <w:t>ll, General Counsel for Respond</w:t>
      </w:r>
      <w:r w:rsidRPr="00DE68FB">
        <w:rPr>
          <w:sz w:val="26"/>
          <w:szCs w:val="26"/>
        </w:rPr>
        <w:t xml:space="preserve">.  </w:t>
      </w:r>
      <w:r w:rsidR="009B6B5F" w:rsidRPr="00DE68FB">
        <w:rPr>
          <w:sz w:val="26"/>
          <w:szCs w:val="26"/>
        </w:rPr>
        <w:t>On September</w:t>
      </w:r>
      <w:r w:rsidR="00621FFC">
        <w:rPr>
          <w:sz w:val="26"/>
          <w:szCs w:val="26"/>
        </w:rPr>
        <w:t> </w:t>
      </w:r>
      <w:r w:rsidR="009B6B5F" w:rsidRPr="00DE68FB">
        <w:rPr>
          <w:sz w:val="26"/>
          <w:szCs w:val="26"/>
        </w:rPr>
        <w:t xml:space="preserve">2, 2014, </w:t>
      </w:r>
      <w:r w:rsidR="00DF5EFC">
        <w:rPr>
          <w:sz w:val="26"/>
          <w:szCs w:val="26"/>
        </w:rPr>
        <w:t xml:space="preserve">Respond and the OCA submitted </w:t>
      </w:r>
      <w:r w:rsidR="009B6B5F" w:rsidRPr="00DE68FB">
        <w:rPr>
          <w:sz w:val="26"/>
          <w:szCs w:val="26"/>
        </w:rPr>
        <w:t xml:space="preserve">Main Briefs.  On September 19, 2014, </w:t>
      </w:r>
      <w:r w:rsidR="00DF5EFC">
        <w:rPr>
          <w:sz w:val="26"/>
          <w:szCs w:val="26"/>
        </w:rPr>
        <w:t xml:space="preserve">those parties submitted </w:t>
      </w:r>
      <w:r w:rsidR="009B6B5F" w:rsidRPr="00DE68FB">
        <w:rPr>
          <w:sz w:val="26"/>
          <w:szCs w:val="26"/>
        </w:rPr>
        <w:t>Reply B</w:t>
      </w:r>
      <w:r w:rsidRPr="00DE68FB">
        <w:rPr>
          <w:sz w:val="26"/>
          <w:szCs w:val="26"/>
        </w:rPr>
        <w:t xml:space="preserve">riefs.  </w:t>
      </w:r>
      <w:r w:rsidR="00DF5EFC">
        <w:rPr>
          <w:sz w:val="26"/>
          <w:szCs w:val="26"/>
        </w:rPr>
        <w:t xml:space="preserve">The hearing generated a </w:t>
      </w:r>
      <w:r w:rsidRPr="00DE68FB">
        <w:rPr>
          <w:sz w:val="26"/>
          <w:szCs w:val="26"/>
        </w:rPr>
        <w:t xml:space="preserve">transcript </w:t>
      </w:r>
      <w:r w:rsidR="007F2ABC">
        <w:rPr>
          <w:sz w:val="26"/>
          <w:szCs w:val="26"/>
        </w:rPr>
        <w:t>compris</w:t>
      </w:r>
      <w:r w:rsidR="00DF5EFC">
        <w:rPr>
          <w:sz w:val="26"/>
          <w:szCs w:val="26"/>
        </w:rPr>
        <w:t>ing</w:t>
      </w:r>
      <w:r w:rsidR="007F2ABC">
        <w:rPr>
          <w:sz w:val="26"/>
          <w:szCs w:val="26"/>
        </w:rPr>
        <w:t xml:space="preserve"> ninety-four pages</w:t>
      </w:r>
      <w:r w:rsidR="00DF5EFC">
        <w:rPr>
          <w:sz w:val="26"/>
          <w:szCs w:val="26"/>
        </w:rPr>
        <w:t>, and t</w:t>
      </w:r>
      <w:r w:rsidRPr="00DE68FB">
        <w:rPr>
          <w:sz w:val="26"/>
          <w:szCs w:val="26"/>
        </w:rPr>
        <w:t xml:space="preserve">he record </w:t>
      </w:r>
      <w:r w:rsidR="009B6B5F" w:rsidRPr="00DE68FB">
        <w:rPr>
          <w:sz w:val="26"/>
          <w:szCs w:val="26"/>
        </w:rPr>
        <w:t xml:space="preserve">was </w:t>
      </w:r>
      <w:r w:rsidRPr="00DE68FB">
        <w:rPr>
          <w:sz w:val="26"/>
          <w:szCs w:val="26"/>
        </w:rPr>
        <w:t xml:space="preserve">closed on September 19, 2014.  </w:t>
      </w:r>
      <w:r w:rsidR="009B6B5F" w:rsidRPr="00DE68FB">
        <w:rPr>
          <w:sz w:val="26"/>
          <w:szCs w:val="26"/>
        </w:rPr>
        <w:t xml:space="preserve">By Initial Decision issued on December 19, 2014, the ALJ </w:t>
      </w:r>
      <w:r w:rsidRPr="00DE68FB">
        <w:rPr>
          <w:sz w:val="26"/>
          <w:szCs w:val="26"/>
        </w:rPr>
        <w:t>sustained</w:t>
      </w:r>
      <w:r w:rsidR="009B6B5F" w:rsidRPr="00DE68FB">
        <w:rPr>
          <w:sz w:val="26"/>
          <w:szCs w:val="26"/>
        </w:rPr>
        <w:t xml:space="preserve"> the Complaint</w:t>
      </w:r>
      <w:r w:rsidRPr="00DE68FB">
        <w:rPr>
          <w:sz w:val="26"/>
          <w:szCs w:val="26"/>
        </w:rPr>
        <w:t xml:space="preserve">, </w:t>
      </w:r>
      <w:r w:rsidR="009B6B5F" w:rsidRPr="00DE68FB">
        <w:rPr>
          <w:sz w:val="26"/>
          <w:szCs w:val="26"/>
        </w:rPr>
        <w:t xml:space="preserve">ordered </w:t>
      </w:r>
      <w:r w:rsidR="001528F2" w:rsidRPr="00DE68FB">
        <w:rPr>
          <w:sz w:val="26"/>
          <w:szCs w:val="26"/>
        </w:rPr>
        <w:t xml:space="preserve">that Respond </w:t>
      </w:r>
      <w:r w:rsidR="00A83F3B" w:rsidRPr="00DE68FB">
        <w:rPr>
          <w:sz w:val="26"/>
          <w:szCs w:val="26"/>
        </w:rPr>
        <w:t xml:space="preserve">provide a refund, </w:t>
      </w:r>
      <w:r w:rsidRPr="00DE68FB">
        <w:rPr>
          <w:sz w:val="26"/>
          <w:szCs w:val="26"/>
        </w:rPr>
        <w:t xml:space="preserve">and </w:t>
      </w:r>
      <w:r w:rsidR="00A83F3B" w:rsidRPr="00DE68FB">
        <w:rPr>
          <w:sz w:val="26"/>
          <w:szCs w:val="26"/>
        </w:rPr>
        <w:t xml:space="preserve">levied </w:t>
      </w:r>
      <w:r w:rsidRPr="00DE68FB">
        <w:rPr>
          <w:sz w:val="26"/>
          <w:szCs w:val="26"/>
        </w:rPr>
        <w:t xml:space="preserve">a civil penalty </w:t>
      </w:r>
      <w:r w:rsidR="001528F2" w:rsidRPr="00DE68FB">
        <w:rPr>
          <w:sz w:val="26"/>
          <w:szCs w:val="26"/>
        </w:rPr>
        <w:t>of $10,000 on Respond</w:t>
      </w:r>
      <w:r w:rsidRPr="00DE68FB">
        <w:rPr>
          <w:sz w:val="26"/>
          <w:szCs w:val="26"/>
        </w:rPr>
        <w:t>.</w:t>
      </w:r>
      <w:r w:rsidR="00001ED3" w:rsidRPr="00DE68FB">
        <w:rPr>
          <w:sz w:val="26"/>
          <w:szCs w:val="26"/>
        </w:rPr>
        <w:t xml:space="preserve">  As stated previously, </w:t>
      </w:r>
      <w:r w:rsidR="00621FFC">
        <w:rPr>
          <w:sz w:val="26"/>
          <w:szCs w:val="26"/>
        </w:rPr>
        <w:t xml:space="preserve">Respond filed </w:t>
      </w:r>
      <w:r w:rsidR="00001ED3" w:rsidRPr="00DE68FB">
        <w:rPr>
          <w:sz w:val="26"/>
          <w:szCs w:val="26"/>
        </w:rPr>
        <w:t>Excepti</w:t>
      </w:r>
      <w:r w:rsidR="001528F2" w:rsidRPr="00DE68FB">
        <w:rPr>
          <w:sz w:val="26"/>
          <w:szCs w:val="26"/>
        </w:rPr>
        <w:t xml:space="preserve">ons </w:t>
      </w:r>
      <w:r w:rsidR="00001ED3" w:rsidRPr="00DE68FB">
        <w:rPr>
          <w:sz w:val="26"/>
          <w:szCs w:val="26"/>
        </w:rPr>
        <w:t xml:space="preserve">on January 8, 2015, and </w:t>
      </w:r>
      <w:r w:rsidR="00621FFC">
        <w:rPr>
          <w:sz w:val="26"/>
          <w:szCs w:val="26"/>
        </w:rPr>
        <w:t xml:space="preserve">the OCA filed </w:t>
      </w:r>
      <w:r w:rsidR="00001ED3" w:rsidRPr="00DE68FB">
        <w:rPr>
          <w:sz w:val="26"/>
          <w:szCs w:val="26"/>
        </w:rPr>
        <w:t>Replies to Exceptions on January 22, 2015.</w:t>
      </w:r>
    </w:p>
    <w:p w:rsidR="00082A7C" w:rsidRPr="00DE68FB" w:rsidRDefault="00082A7C" w:rsidP="00DE68FB">
      <w:pPr>
        <w:pStyle w:val="BodyFirst1SS"/>
        <w:spacing w:line="360" w:lineRule="auto"/>
        <w:jc w:val="left"/>
        <w:rPr>
          <w:sz w:val="26"/>
          <w:szCs w:val="26"/>
        </w:rPr>
      </w:pPr>
    </w:p>
    <w:p w:rsidR="005C52C9" w:rsidRPr="00176547" w:rsidRDefault="00521D8D" w:rsidP="00521D8D">
      <w:pPr>
        <w:pStyle w:val="Heading1"/>
        <w:keepNext/>
        <w:keepLines/>
        <w:numPr>
          <w:ilvl w:val="0"/>
          <w:numId w:val="0"/>
        </w:numPr>
        <w:ind w:left="360"/>
        <w:rPr>
          <w:b w:val="0"/>
        </w:rPr>
      </w:pPr>
      <w:r>
        <w:t>II</w:t>
      </w:r>
      <w:proofErr w:type="gramStart"/>
      <w:r>
        <w:t xml:space="preserve">.  </w:t>
      </w:r>
      <w:r w:rsidR="005C52C9" w:rsidRPr="00DE68FB">
        <w:t>Discussion</w:t>
      </w:r>
      <w:proofErr w:type="gramEnd"/>
    </w:p>
    <w:p w:rsidR="004E4001" w:rsidRDefault="004E4001" w:rsidP="00521D8D">
      <w:pPr>
        <w:keepNext/>
        <w:keepLines/>
      </w:pPr>
    </w:p>
    <w:p w:rsidR="004E4001" w:rsidRPr="00176547" w:rsidRDefault="004E4001" w:rsidP="00521D8D">
      <w:pPr>
        <w:keepNext/>
        <w:keepLines/>
        <w:rPr>
          <w:rFonts w:ascii="Times New Roman" w:hAnsi="Times New Roman"/>
          <w:sz w:val="26"/>
          <w:szCs w:val="26"/>
        </w:rPr>
      </w:pPr>
      <w:r w:rsidRPr="00DE68FB">
        <w:rPr>
          <w:rFonts w:ascii="Times New Roman" w:hAnsi="Times New Roman"/>
          <w:b/>
          <w:sz w:val="26"/>
          <w:szCs w:val="26"/>
        </w:rPr>
        <w:t>A.</w:t>
      </w:r>
      <w:r w:rsidRPr="00DE68FB">
        <w:rPr>
          <w:rFonts w:ascii="Times New Roman" w:hAnsi="Times New Roman"/>
          <w:b/>
          <w:sz w:val="26"/>
          <w:szCs w:val="26"/>
        </w:rPr>
        <w:tab/>
        <w:t>Burden of Proof</w:t>
      </w:r>
    </w:p>
    <w:p w:rsidR="004E4001" w:rsidRPr="00DE68FB" w:rsidRDefault="004E4001" w:rsidP="00521D8D">
      <w:pPr>
        <w:pStyle w:val="ListParagraph"/>
        <w:keepNext/>
        <w:keepLines/>
        <w:ind w:left="1080"/>
        <w:rPr>
          <w:rFonts w:ascii="Times New Roman" w:hAnsi="Times New Roman"/>
          <w:b/>
          <w:sz w:val="26"/>
          <w:szCs w:val="26"/>
        </w:rPr>
      </w:pPr>
    </w:p>
    <w:p w:rsidR="004E4001" w:rsidRPr="00DE68FB" w:rsidRDefault="004E4001" w:rsidP="004E4001">
      <w:pPr>
        <w:ind w:firstLine="1440"/>
        <w:rPr>
          <w:rFonts w:ascii="Times New Roman" w:hAnsi="Times New Roman"/>
          <w:sz w:val="26"/>
          <w:szCs w:val="26"/>
        </w:rPr>
      </w:pPr>
      <w:r w:rsidRPr="00DE68FB">
        <w:rPr>
          <w:rFonts w:ascii="Times New Roman" w:hAnsi="Times New Roman"/>
          <w:sz w:val="26"/>
          <w:szCs w:val="26"/>
        </w:rPr>
        <w:t xml:space="preserve">As the proponent of a rule or order, the Complainant in this proceeding bears the burden of proof pursuant to Section 332(a) of the </w:t>
      </w:r>
      <w:r>
        <w:rPr>
          <w:rFonts w:ascii="Times New Roman" w:hAnsi="Times New Roman"/>
          <w:sz w:val="26"/>
          <w:szCs w:val="26"/>
        </w:rPr>
        <w:t>Public Utility Code (</w:t>
      </w:r>
      <w:r w:rsidRPr="00DE68FB">
        <w:rPr>
          <w:rFonts w:ascii="Times New Roman" w:hAnsi="Times New Roman"/>
          <w:sz w:val="26"/>
          <w:szCs w:val="26"/>
        </w:rPr>
        <w:t>Code</w:t>
      </w:r>
      <w:r>
        <w:rPr>
          <w:rFonts w:ascii="Times New Roman" w:hAnsi="Times New Roman"/>
          <w:sz w:val="26"/>
          <w:szCs w:val="26"/>
        </w:rPr>
        <w:t>)</w:t>
      </w:r>
      <w:r w:rsidR="007F2ABC">
        <w:rPr>
          <w:rFonts w:ascii="Times New Roman" w:hAnsi="Times New Roman"/>
          <w:sz w:val="26"/>
          <w:szCs w:val="26"/>
        </w:rPr>
        <w:t>,</w:t>
      </w:r>
      <w:r w:rsidRPr="00DE68FB">
        <w:rPr>
          <w:rFonts w:ascii="Times New Roman" w:hAnsi="Times New Roman"/>
          <w:sz w:val="26"/>
          <w:szCs w:val="26"/>
        </w:rPr>
        <w:t xml:space="preserve"> 66 Pa. C.S. § 332(a).  To establish a sufficient case and satisfy the burden of proof, the Complainant must show that Respond is responsible or accountable for the problem described in the Complaint.  </w:t>
      </w:r>
      <w:proofErr w:type="gramStart"/>
      <w:r w:rsidRPr="00DE68FB">
        <w:rPr>
          <w:rFonts w:ascii="Times New Roman" w:hAnsi="Times New Roman"/>
          <w:i/>
          <w:sz w:val="26"/>
          <w:szCs w:val="26"/>
        </w:rPr>
        <w:t>Patterson v.</w:t>
      </w:r>
      <w:proofErr w:type="gramEnd"/>
      <w:r w:rsidRPr="00DE68FB">
        <w:rPr>
          <w:rFonts w:ascii="Times New Roman" w:hAnsi="Times New Roman"/>
          <w:i/>
          <w:sz w:val="26"/>
          <w:szCs w:val="26"/>
        </w:rPr>
        <w:t xml:space="preserve"> </w:t>
      </w:r>
      <w:proofErr w:type="gramStart"/>
      <w:r w:rsidRPr="00DE68FB">
        <w:rPr>
          <w:rFonts w:ascii="Times New Roman" w:hAnsi="Times New Roman"/>
          <w:i/>
          <w:sz w:val="26"/>
          <w:szCs w:val="26"/>
        </w:rPr>
        <w:t>The Bell Telephone Company of Pennsylvania</w:t>
      </w:r>
      <w:r w:rsidRPr="00DE68FB">
        <w:rPr>
          <w:rFonts w:ascii="Times New Roman" w:hAnsi="Times New Roman"/>
          <w:sz w:val="26"/>
          <w:szCs w:val="26"/>
        </w:rPr>
        <w:t>, 72 Pa. P.U.C. 196 (1990).</w:t>
      </w:r>
      <w:proofErr w:type="gramEnd"/>
      <w:r w:rsidRPr="00DE68FB">
        <w:rPr>
          <w:rFonts w:ascii="Times New Roman" w:hAnsi="Times New Roman"/>
          <w:sz w:val="26"/>
          <w:szCs w:val="26"/>
        </w:rPr>
        <w:t xml:space="preserve">  Such a showing must be by a preponderance of the evidence.  </w:t>
      </w:r>
      <w:proofErr w:type="gramStart"/>
      <w:r w:rsidRPr="00DE68FB">
        <w:rPr>
          <w:rFonts w:ascii="Times New Roman" w:hAnsi="Times New Roman"/>
          <w:i/>
          <w:iCs/>
          <w:sz w:val="26"/>
          <w:szCs w:val="26"/>
        </w:rPr>
        <w:t>Samuel J. Lansberry, Inc. v. Pa. PUC</w:t>
      </w:r>
      <w:r w:rsidRPr="00DE68FB">
        <w:rPr>
          <w:rFonts w:ascii="Times New Roman" w:hAnsi="Times New Roman"/>
          <w:sz w:val="26"/>
          <w:szCs w:val="26"/>
        </w:rPr>
        <w:t xml:space="preserve">, 578 A.2d 600 (Pa. Cmwlth. 1990), </w:t>
      </w:r>
      <w:r w:rsidRPr="00DE68FB">
        <w:rPr>
          <w:rFonts w:ascii="Times New Roman" w:hAnsi="Times New Roman"/>
          <w:i/>
          <w:sz w:val="26"/>
          <w:szCs w:val="26"/>
        </w:rPr>
        <w:t>alloc.</w:t>
      </w:r>
      <w:proofErr w:type="gramEnd"/>
      <w:r w:rsidRPr="00DE68FB">
        <w:rPr>
          <w:rFonts w:ascii="Times New Roman" w:hAnsi="Times New Roman"/>
          <w:i/>
          <w:sz w:val="26"/>
          <w:szCs w:val="26"/>
        </w:rPr>
        <w:t xml:space="preserve"> </w:t>
      </w:r>
      <w:proofErr w:type="gramStart"/>
      <w:r w:rsidRPr="00DE68FB">
        <w:rPr>
          <w:rFonts w:ascii="Times New Roman" w:hAnsi="Times New Roman"/>
          <w:i/>
          <w:sz w:val="26"/>
          <w:szCs w:val="26"/>
        </w:rPr>
        <w:t>denied</w:t>
      </w:r>
      <w:proofErr w:type="gramEnd"/>
      <w:r w:rsidRPr="00DE68FB">
        <w:rPr>
          <w:rFonts w:ascii="Times New Roman" w:hAnsi="Times New Roman"/>
          <w:i/>
          <w:sz w:val="26"/>
          <w:szCs w:val="26"/>
        </w:rPr>
        <w:t>,</w:t>
      </w:r>
      <w:r w:rsidRPr="00DE68FB">
        <w:rPr>
          <w:rFonts w:ascii="Times New Roman" w:hAnsi="Times New Roman"/>
          <w:sz w:val="26"/>
          <w:szCs w:val="26"/>
        </w:rPr>
        <w:t xml:space="preserve"> 529 Pa. 654, 602 A.2d 863 (1992).  That is, the Complainant’s evidence must be more convincing, by even the smallest amount, than that presented by the Company.  </w:t>
      </w:r>
      <w:proofErr w:type="gramStart"/>
      <w:r w:rsidRPr="00DE68FB">
        <w:rPr>
          <w:rFonts w:ascii="Times New Roman" w:hAnsi="Times New Roman"/>
          <w:i/>
          <w:sz w:val="26"/>
          <w:szCs w:val="26"/>
        </w:rPr>
        <w:t>Se-Ling Hosiery, Inc. v. Margulies</w:t>
      </w:r>
      <w:r w:rsidRPr="00DE68FB">
        <w:rPr>
          <w:rFonts w:ascii="Times New Roman" w:hAnsi="Times New Roman"/>
          <w:sz w:val="26"/>
          <w:szCs w:val="26"/>
        </w:rPr>
        <w:t>, 364 Pa. 45, 70 A.2d 854 (1950).</w:t>
      </w:r>
      <w:proofErr w:type="gramEnd"/>
      <w:r w:rsidRPr="00DE68FB">
        <w:rPr>
          <w:rFonts w:ascii="Times New Roman" w:hAnsi="Times New Roman"/>
          <w:sz w:val="26"/>
          <w:szCs w:val="26"/>
        </w:rPr>
        <w:t xml:space="preserve">  Additionally, this Commission’s decision must be supported by substantial evidence in the record.  More is </w:t>
      </w:r>
      <w:r w:rsidRPr="00DE68FB">
        <w:rPr>
          <w:rFonts w:ascii="Times New Roman" w:hAnsi="Times New Roman"/>
          <w:sz w:val="26"/>
          <w:szCs w:val="26"/>
        </w:rPr>
        <w:lastRenderedPageBreak/>
        <w:t xml:space="preserve">required than a mere trace of evidence or a suspicion of the existence of a fact sought to be established.  </w:t>
      </w:r>
      <w:proofErr w:type="gramStart"/>
      <w:r w:rsidRPr="00DE68FB">
        <w:rPr>
          <w:rFonts w:ascii="Times New Roman" w:hAnsi="Times New Roman"/>
          <w:i/>
          <w:sz w:val="26"/>
          <w:szCs w:val="26"/>
        </w:rPr>
        <w:t xml:space="preserve">Norfolk &amp; Western Ry. Co. v. Pa. PUC, </w:t>
      </w:r>
      <w:r w:rsidRPr="00DE68FB">
        <w:rPr>
          <w:rFonts w:ascii="Times New Roman" w:hAnsi="Times New Roman"/>
          <w:sz w:val="26"/>
          <w:szCs w:val="26"/>
        </w:rPr>
        <w:t>489 Pa. 109, 413 A.2d 1037 (1980).</w:t>
      </w:r>
      <w:proofErr w:type="gramEnd"/>
    </w:p>
    <w:p w:rsidR="004E4001" w:rsidRPr="00DE68FB" w:rsidRDefault="004E4001" w:rsidP="004E4001">
      <w:pPr>
        <w:ind w:firstLine="1440"/>
        <w:rPr>
          <w:rFonts w:ascii="Times New Roman" w:hAnsi="Times New Roman"/>
          <w:sz w:val="26"/>
          <w:szCs w:val="26"/>
        </w:rPr>
      </w:pPr>
    </w:p>
    <w:p w:rsidR="004E4001" w:rsidRPr="00DE68FB" w:rsidRDefault="004E4001" w:rsidP="004E4001">
      <w:pPr>
        <w:ind w:firstLine="1440"/>
        <w:rPr>
          <w:rFonts w:ascii="Times New Roman" w:hAnsi="Times New Roman"/>
          <w:i/>
          <w:color w:val="000000" w:themeColor="text1"/>
          <w:sz w:val="26"/>
          <w:szCs w:val="26"/>
        </w:rPr>
      </w:pPr>
      <w:r w:rsidRPr="00DE68FB">
        <w:rPr>
          <w:rFonts w:ascii="Times New Roman" w:hAnsi="Times New Roman"/>
          <w:sz w:val="26"/>
          <w:szCs w:val="26"/>
        </w:rPr>
        <w:t xml:space="preserve">Upon the presentation by the Complainant of evidence sufficient to initially satisfy the burden of proof, the burden of going forward with the evidence to rebut the evidence of the customer shifts to </w:t>
      </w:r>
      <w:proofErr w:type="gramStart"/>
      <w:r w:rsidRPr="00DE68FB">
        <w:rPr>
          <w:rFonts w:ascii="Times New Roman" w:hAnsi="Times New Roman"/>
          <w:sz w:val="26"/>
          <w:szCs w:val="26"/>
        </w:rPr>
        <w:t>Respond</w:t>
      </w:r>
      <w:proofErr w:type="gramEnd"/>
      <w:r w:rsidRPr="00DE68FB">
        <w:rPr>
          <w:rFonts w:ascii="Times New Roman" w:hAnsi="Times New Roman"/>
          <w:sz w:val="26"/>
          <w:szCs w:val="26"/>
        </w:rPr>
        <w:t>.</w:t>
      </w:r>
      <w:r>
        <w:rPr>
          <w:rFonts w:ascii="Times New Roman" w:hAnsi="Times New Roman"/>
          <w:sz w:val="26"/>
          <w:szCs w:val="26"/>
        </w:rPr>
        <w:t xml:space="preserve"> </w:t>
      </w:r>
      <w:r w:rsidRPr="00DE68FB">
        <w:rPr>
          <w:rFonts w:ascii="Times New Roman" w:hAnsi="Times New Roman"/>
          <w:sz w:val="26"/>
          <w:szCs w:val="26"/>
        </w:rPr>
        <w:t xml:space="preserve"> If the evidence presented by the Company is of co-equal value or “weight,” the burden of proof has not been satisfied. </w:t>
      </w:r>
      <w:r w:rsidR="00DF5EFC">
        <w:rPr>
          <w:rFonts w:ascii="Times New Roman" w:hAnsi="Times New Roman"/>
          <w:sz w:val="26"/>
          <w:szCs w:val="26"/>
        </w:rPr>
        <w:t xml:space="preserve"> </w:t>
      </w:r>
      <w:r w:rsidRPr="00DE68FB">
        <w:rPr>
          <w:rFonts w:ascii="Times New Roman" w:hAnsi="Times New Roman"/>
          <w:sz w:val="26"/>
          <w:szCs w:val="26"/>
        </w:rPr>
        <w:t xml:space="preserve">The Complainant now has to provide some additional evidence to rebut that of the Company. </w:t>
      </w:r>
      <w:r w:rsidRPr="00DE68FB">
        <w:rPr>
          <w:rFonts w:ascii="Times New Roman" w:hAnsi="Times New Roman"/>
          <w:iCs/>
          <w:sz w:val="26"/>
          <w:szCs w:val="26"/>
        </w:rPr>
        <w:t xml:space="preserve"> </w:t>
      </w:r>
      <w:hyperlink r:id="rId9" w:history="1">
        <w:r w:rsidRPr="00047AB3">
          <w:rPr>
            <w:rStyle w:val="Hyperlink"/>
            <w:rFonts w:ascii="Times New Roman" w:hAnsi="Times New Roman"/>
            <w:i/>
            <w:iCs/>
            <w:color w:val="000000" w:themeColor="text1"/>
            <w:sz w:val="26"/>
            <w:szCs w:val="26"/>
            <w:u w:val="none"/>
          </w:rPr>
          <w:t>Burleson v. Pa. PUC,</w:t>
        </w:r>
        <w:r w:rsidRPr="00047AB3">
          <w:rPr>
            <w:rStyle w:val="Hyperlink"/>
            <w:rFonts w:ascii="Times New Roman" w:hAnsi="Times New Roman"/>
            <w:iCs/>
            <w:color w:val="000000" w:themeColor="text1"/>
            <w:sz w:val="26"/>
            <w:szCs w:val="26"/>
            <w:u w:val="none"/>
          </w:rPr>
          <w:t xml:space="preserve"> 443 A.2d 1373 (Pa. Cmwlth. 1982), </w:t>
        </w:r>
        <w:r w:rsidRPr="00047AB3">
          <w:rPr>
            <w:rStyle w:val="Hyperlink"/>
            <w:rFonts w:ascii="Times New Roman" w:hAnsi="Times New Roman"/>
            <w:i/>
            <w:iCs/>
            <w:color w:val="000000" w:themeColor="text1"/>
            <w:sz w:val="26"/>
            <w:szCs w:val="26"/>
            <w:u w:val="none"/>
          </w:rPr>
          <w:t>aff’d,</w:t>
        </w:r>
        <w:r w:rsidRPr="00047AB3">
          <w:rPr>
            <w:rStyle w:val="Hyperlink"/>
            <w:rFonts w:ascii="Times New Roman" w:hAnsi="Times New Roman"/>
            <w:iCs/>
            <w:color w:val="000000" w:themeColor="text1"/>
            <w:sz w:val="26"/>
            <w:szCs w:val="26"/>
            <w:u w:val="none"/>
          </w:rPr>
          <w:t xml:space="preserve"> 501 Pa. 433, 461 A.2d </w:t>
        </w:r>
        <w:r w:rsidRPr="000D3F89">
          <w:rPr>
            <w:rStyle w:val="Hyperlink"/>
            <w:rFonts w:ascii="Times New Roman" w:hAnsi="Times New Roman"/>
            <w:iCs/>
            <w:color w:val="000000" w:themeColor="text1"/>
            <w:sz w:val="26"/>
            <w:szCs w:val="26"/>
            <w:u w:val="none"/>
          </w:rPr>
          <w:t>1234</w:t>
        </w:r>
        <w:r w:rsidRPr="00047AB3">
          <w:rPr>
            <w:rStyle w:val="Hyperlink"/>
            <w:rFonts w:ascii="Times New Roman" w:hAnsi="Times New Roman"/>
            <w:iCs/>
            <w:color w:val="000000" w:themeColor="text1"/>
            <w:sz w:val="26"/>
            <w:szCs w:val="26"/>
            <w:u w:val="none"/>
          </w:rPr>
          <w:t xml:space="preserve"> (1983).</w:t>
        </w:r>
      </w:hyperlink>
    </w:p>
    <w:p w:rsidR="004E4001" w:rsidRPr="00DE68FB" w:rsidRDefault="004E4001" w:rsidP="004E4001">
      <w:pPr>
        <w:ind w:firstLine="1440"/>
        <w:rPr>
          <w:rFonts w:ascii="Times New Roman" w:hAnsi="Times New Roman"/>
          <w:sz w:val="26"/>
          <w:szCs w:val="26"/>
        </w:rPr>
      </w:pPr>
    </w:p>
    <w:p w:rsidR="004E4001" w:rsidRPr="00DE68FB" w:rsidRDefault="004E4001" w:rsidP="004E4001">
      <w:pPr>
        <w:ind w:firstLine="1440"/>
        <w:rPr>
          <w:rFonts w:ascii="Times New Roman" w:hAnsi="Times New Roman"/>
          <w:sz w:val="26"/>
          <w:szCs w:val="26"/>
        </w:rPr>
      </w:pPr>
      <w:r w:rsidRPr="00DE68FB">
        <w:rPr>
          <w:rFonts w:ascii="Times New Roman" w:hAnsi="Times New Roman"/>
          <w:sz w:val="26"/>
          <w:szCs w:val="26"/>
        </w:rPr>
        <w:t xml:space="preserve">While the burden of going forward with the evidence may </w:t>
      </w:r>
      <w:r w:rsidRPr="00DE68FB">
        <w:rPr>
          <w:rStyle w:val="term1"/>
          <w:rFonts w:ascii="Times New Roman" w:hAnsi="Times New Roman"/>
          <w:b w:val="0"/>
          <w:sz w:val="26"/>
          <w:szCs w:val="26"/>
        </w:rPr>
        <w:t>shift</w:t>
      </w:r>
      <w:r w:rsidRPr="00DE68FB">
        <w:rPr>
          <w:rFonts w:ascii="Times New Roman" w:hAnsi="Times New Roman"/>
          <w:b/>
          <w:sz w:val="26"/>
          <w:szCs w:val="26"/>
        </w:rPr>
        <w:t xml:space="preserve"> </w:t>
      </w:r>
      <w:r w:rsidRPr="00DE68FB">
        <w:rPr>
          <w:rFonts w:ascii="Times New Roman" w:hAnsi="Times New Roman"/>
          <w:sz w:val="26"/>
          <w:szCs w:val="26"/>
        </w:rPr>
        <w:t xml:space="preserve">back and forth during a proceeding, the </w:t>
      </w:r>
      <w:r w:rsidRPr="00DE68FB">
        <w:rPr>
          <w:rStyle w:val="term1"/>
          <w:rFonts w:ascii="Times New Roman" w:hAnsi="Times New Roman"/>
          <w:b w:val="0"/>
          <w:sz w:val="26"/>
          <w:szCs w:val="26"/>
        </w:rPr>
        <w:t>burden of proof</w:t>
      </w:r>
      <w:r w:rsidRPr="00DE68FB">
        <w:rPr>
          <w:rFonts w:ascii="Times New Roman" w:hAnsi="Times New Roman"/>
          <w:sz w:val="26"/>
          <w:szCs w:val="26"/>
        </w:rPr>
        <w:t xml:space="preserve"> never </w:t>
      </w:r>
      <w:r w:rsidRPr="00DE68FB">
        <w:rPr>
          <w:rStyle w:val="term1"/>
          <w:rFonts w:ascii="Times New Roman" w:hAnsi="Times New Roman"/>
          <w:b w:val="0"/>
          <w:sz w:val="26"/>
          <w:szCs w:val="26"/>
        </w:rPr>
        <w:t>shifts. The burden of proof</w:t>
      </w:r>
      <w:r w:rsidRPr="00DE68FB">
        <w:rPr>
          <w:rFonts w:ascii="Times New Roman" w:hAnsi="Times New Roman"/>
          <w:sz w:val="26"/>
          <w:szCs w:val="26"/>
        </w:rPr>
        <w:t xml:space="preserve"> always remains on the party seeking affirmative relief from the Commission.  </w:t>
      </w:r>
      <w:proofErr w:type="gramStart"/>
      <w:r w:rsidRPr="00DE68FB">
        <w:rPr>
          <w:rFonts w:ascii="Times New Roman" w:hAnsi="Times New Roman"/>
          <w:i/>
          <w:sz w:val="26"/>
          <w:szCs w:val="26"/>
        </w:rPr>
        <w:t xml:space="preserve">Milkie v. Pa. PUC, </w:t>
      </w:r>
      <w:r w:rsidRPr="00DE68FB">
        <w:rPr>
          <w:rFonts w:ascii="Times New Roman" w:hAnsi="Times New Roman"/>
          <w:sz w:val="26"/>
          <w:szCs w:val="26"/>
        </w:rPr>
        <w:t>768 A.2d 1217 (Pa. Cmwlth. 2001).</w:t>
      </w:r>
      <w:proofErr w:type="gramEnd"/>
      <w:r w:rsidR="00062B18">
        <w:rPr>
          <w:rFonts w:ascii="Times New Roman" w:hAnsi="Times New Roman"/>
          <w:sz w:val="26"/>
          <w:szCs w:val="26"/>
        </w:rPr>
        <w:t xml:space="preserve">  Having filed the Complaint against Respond, Mr.</w:t>
      </w:r>
      <w:r w:rsidR="007F2ABC">
        <w:rPr>
          <w:rFonts w:ascii="Times New Roman" w:hAnsi="Times New Roman"/>
          <w:sz w:val="26"/>
          <w:szCs w:val="26"/>
        </w:rPr>
        <w:t> </w:t>
      </w:r>
      <w:r w:rsidR="00062B18">
        <w:rPr>
          <w:rFonts w:ascii="Times New Roman" w:hAnsi="Times New Roman"/>
          <w:sz w:val="26"/>
          <w:szCs w:val="26"/>
        </w:rPr>
        <w:t>Herp is obliged to carry the burden of proving that the Company has violated the Code, a Commission Regulation</w:t>
      </w:r>
      <w:r w:rsidR="00DF5EFC">
        <w:rPr>
          <w:rFonts w:ascii="Times New Roman" w:hAnsi="Times New Roman"/>
          <w:sz w:val="26"/>
          <w:szCs w:val="26"/>
        </w:rPr>
        <w:t>,</w:t>
      </w:r>
      <w:r w:rsidR="00062B18">
        <w:rPr>
          <w:rFonts w:ascii="Times New Roman" w:hAnsi="Times New Roman"/>
          <w:sz w:val="26"/>
          <w:szCs w:val="26"/>
        </w:rPr>
        <w:t xml:space="preserve"> or a Commission Order.</w:t>
      </w:r>
    </w:p>
    <w:p w:rsidR="004E4001" w:rsidRDefault="004E4001" w:rsidP="004E4001"/>
    <w:p w:rsidR="004E4001" w:rsidRPr="004E4001" w:rsidRDefault="00062B18" w:rsidP="00062B18">
      <w:pPr>
        <w:ind w:firstLine="1440"/>
      </w:pPr>
      <w:r w:rsidRPr="00DE68FB">
        <w:rPr>
          <w:rFonts w:ascii="Times New Roman" w:hAnsi="Times New Roman"/>
          <w:sz w:val="26"/>
          <w:szCs w:val="26"/>
        </w:rPr>
        <w:t xml:space="preserve">In her Initial Decision, ALJ Barnes made fifty-nine Findings of Fact </w:t>
      </w:r>
      <w:r>
        <w:rPr>
          <w:rFonts w:ascii="Times New Roman" w:hAnsi="Times New Roman"/>
          <w:sz w:val="26"/>
          <w:szCs w:val="26"/>
        </w:rPr>
        <w:t xml:space="preserve">(FOF) </w:t>
      </w:r>
      <w:r w:rsidRPr="00DE68FB">
        <w:rPr>
          <w:rFonts w:ascii="Times New Roman" w:hAnsi="Times New Roman"/>
          <w:sz w:val="26"/>
          <w:szCs w:val="26"/>
        </w:rPr>
        <w:t>and reached seventeen Conclusions of Law</w:t>
      </w:r>
      <w:r>
        <w:rPr>
          <w:rFonts w:ascii="Times New Roman" w:hAnsi="Times New Roman"/>
          <w:sz w:val="26"/>
          <w:szCs w:val="26"/>
        </w:rPr>
        <w:t xml:space="preserve"> (COL)</w:t>
      </w:r>
      <w:r w:rsidRPr="00DE68FB">
        <w:rPr>
          <w:rFonts w:ascii="Times New Roman" w:hAnsi="Times New Roman"/>
          <w:sz w:val="26"/>
          <w:szCs w:val="26"/>
        </w:rPr>
        <w:t>.  I.D. at 3-11, 50-52.  The Findings of Fact and Conclusions of Law are incorporated herein by reference and are adopted without comment unless they are either expressly or by necessary implication rejected or modified by this Opinion and Order</w:t>
      </w:r>
    </w:p>
    <w:p w:rsidR="005C52C9" w:rsidRPr="00DE68FB" w:rsidRDefault="005C52C9" w:rsidP="00DE68FB">
      <w:pPr>
        <w:rPr>
          <w:rFonts w:ascii="Times New Roman" w:hAnsi="Times New Roman"/>
          <w:sz w:val="26"/>
          <w:szCs w:val="26"/>
        </w:rPr>
      </w:pPr>
    </w:p>
    <w:p w:rsidR="00E72288" w:rsidRPr="002322F4" w:rsidRDefault="005C52C9" w:rsidP="00062B18">
      <w:pPr>
        <w:ind w:firstLine="1440"/>
        <w:rPr>
          <w:rFonts w:ascii="Times New Roman" w:hAnsi="Times New Roman"/>
          <w:sz w:val="26"/>
          <w:szCs w:val="26"/>
        </w:rPr>
      </w:pPr>
      <w:r w:rsidRPr="00DE68FB">
        <w:rPr>
          <w:rFonts w:ascii="Times New Roman" w:hAnsi="Times New Roman"/>
          <w:sz w:val="26"/>
          <w:szCs w:val="26"/>
        </w:rPr>
        <w:t>Before addressing the Exceptions, we note that any issue or Exception that we do not specifically delineate shall be deemed to have been duly considered and denied without further discussion.  It is well</w:t>
      </w:r>
      <w:r w:rsidR="00DF5EFC">
        <w:rPr>
          <w:rFonts w:ascii="Times New Roman" w:hAnsi="Times New Roman"/>
          <w:sz w:val="26"/>
          <w:szCs w:val="26"/>
        </w:rPr>
        <w:t>-</w:t>
      </w:r>
      <w:r w:rsidRPr="00DE68FB">
        <w:rPr>
          <w:rFonts w:ascii="Times New Roman" w:hAnsi="Times New Roman"/>
          <w:sz w:val="26"/>
          <w:szCs w:val="26"/>
        </w:rPr>
        <w:t xml:space="preserve">settled that the Commission is not required to consider expressly or at length each contention or argument raised by the parties.  </w:t>
      </w:r>
      <w:hyperlink r:id="rId10" w:history="1">
        <w:proofErr w:type="gramStart"/>
        <w:r w:rsidRPr="00DE68FB">
          <w:rPr>
            <w:rStyle w:val="Emphasis"/>
            <w:rFonts w:ascii="Times New Roman" w:hAnsi="Times New Roman"/>
            <w:sz w:val="26"/>
            <w:szCs w:val="26"/>
          </w:rPr>
          <w:t>Consolidated Ra</w:t>
        </w:r>
        <w:r w:rsidRPr="00DE68FB">
          <w:rPr>
            <w:rStyle w:val="Emphasis"/>
            <w:rFonts w:ascii="Times New Roman" w:hAnsi="Times New Roman"/>
            <w:color w:val="000000"/>
            <w:sz w:val="26"/>
            <w:szCs w:val="26"/>
          </w:rPr>
          <w:t xml:space="preserve">il Corp. v. Pa. PUC, </w:t>
        </w:r>
        <w:r w:rsidRPr="00062B18">
          <w:rPr>
            <w:rStyle w:val="Hyperlink"/>
            <w:rFonts w:ascii="Times New Roman" w:hAnsi="Times New Roman"/>
            <w:color w:val="000000"/>
            <w:sz w:val="26"/>
            <w:szCs w:val="26"/>
            <w:u w:val="none"/>
          </w:rPr>
          <w:t>625 A.2d 741 (Pa. Cmwlth. 1993);</w:t>
        </w:r>
      </w:hyperlink>
      <w:r w:rsidRPr="00DE68FB">
        <w:rPr>
          <w:rFonts w:ascii="Times New Roman" w:hAnsi="Times New Roman"/>
          <w:color w:val="000000"/>
          <w:sz w:val="26"/>
          <w:szCs w:val="26"/>
        </w:rPr>
        <w:t xml:space="preserve"> </w:t>
      </w:r>
      <w:r w:rsidRPr="00DE68FB">
        <w:rPr>
          <w:rFonts w:ascii="Times New Roman" w:hAnsi="Times New Roman"/>
          <w:i/>
          <w:color w:val="000000"/>
          <w:sz w:val="26"/>
          <w:szCs w:val="26"/>
        </w:rPr>
        <w:t xml:space="preserve">also </w:t>
      </w:r>
      <w:r w:rsidRPr="00DE68FB">
        <w:rPr>
          <w:rStyle w:val="Emphasis"/>
          <w:rFonts w:ascii="Times New Roman" w:hAnsi="Times New Roman"/>
          <w:color w:val="000000"/>
          <w:sz w:val="26"/>
          <w:szCs w:val="26"/>
        </w:rPr>
        <w:t>see, generally, University of Pennsylvania v. Pa. PUC</w:t>
      </w:r>
      <w:r w:rsidRPr="00062B18">
        <w:rPr>
          <w:rFonts w:ascii="Times New Roman" w:hAnsi="Times New Roman"/>
          <w:sz w:val="26"/>
          <w:szCs w:val="26"/>
        </w:rPr>
        <w:t>, 485 A.2d 1217 (Pa. Cmwlth. 1984).</w:t>
      </w:r>
      <w:proofErr w:type="gramEnd"/>
    </w:p>
    <w:p w:rsidR="00E72288" w:rsidRPr="00DE68FB" w:rsidRDefault="00E72288" w:rsidP="00DE68FB">
      <w:pPr>
        <w:ind w:firstLine="1440"/>
        <w:rPr>
          <w:rFonts w:ascii="Times New Roman" w:hAnsi="Times New Roman"/>
          <w:sz w:val="26"/>
          <w:szCs w:val="26"/>
        </w:rPr>
      </w:pPr>
    </w:p>
    <w:p w:rsidR="005B1E89" w:rsidRPr="002322F4" w:rsidRDefault="005D15A3" w:rsidP="00521D8D">
      <w:pPr>
        <w:keepNext/>
        <w:keepLines/>
        <w:rPr>
          <w:rFonts w:ascii="Times New Roman" w:hAnsi="Times New Roman"/>
          <w:sz w:val="26"/>
          <w:szCs w:val="26"/>
        </w:rPr>
      </w:pPr>
      <w:r w:rsidRPr="00DE68FB">
        <w:rPr>
          <w:rFonts w:ascii="Times New Roman" w:hAnsi="Times New Roman"/>
          <w:b/>
          <w:sz w:val="26"/>
          <w:szCs w:val="26"/>
        </w:rPr>
        <w:t>B.</w:t>
      </w:r>
      <w:r w:rsidRPr="00DE68FB">
        <w:rPr>
          <w:rFonts w:ascii="Times New Roman" w:hAnsi="Times New Roman"/>
          <w:b/>
          <w:sz w:val="26"/>
          <w:szCs w:val="26"/>
        </w:rPr>
        <w:tab/>
      </w:r>
      <w:r w:rsidR="00022CEA">
        <w:rPr>
          <w:rFonts w:ascii="Times New Roman" w:hAnsi="Times New Roman"/>
          <w:b/>
          <w:sz w:val="26"/>
          <w:szCs w:val="26"/>
        </w:rPr>
        <w:t>Positions of the Parties</w:t>
      </w:r>
    </w:p>
    <w:p w:rsidR="0036781B" w:rsidRPr="002322F4" w:rsidRDefault="0036781B" w:rsidP="00521D8D">
      <w:pPr>
        <w:keepNext/>
        <w:keepLines/>
        <w:rPr>
          <w:rFonts w:ascii="Times New Roman" w:hAnsi="Times New Roman"/>
          <w:sz w:val="26"/>
          <w:szCs w:val="26"/>
        </w:rPr>
      </w:pPr>
    </w:p>
    <w:p w:rsidR="0036781B" w:rsidRPr="002322F4" w:rsidRDefault="0036781B" w:rsidP="00521D8D">
      <w:pPr>
        <w:keepNext/>
        <w:keepLines/>
        <w:rPr>
          <w:rFonts w:ascii="Times New Roman" w:hAnsi="Times New Roman"/>
          <w:sz w:val="26"/>
          <w:szCs w:val="26"/>
        </w:rPr>
      </w:pPr>
      <w:r>
        <w:rPr>
          <w:rFonts w:ascii="Times New Roman" w:hAnsi="Times New Roman"/>
          <w:b/>
          <w:sz w:val="26"/>
          <w:szCs w:val="26"/>
        </w:rPr>
        <w:tab/>
        <w:t>1.</w:t>
      </w:r>
      <w:r>
        <w:rPr>
          <w:rFonts w:ascii="Times New Roman" w:hAnsi="Times New Roman"/>
          <w:b/>
          <w:sz w:val="26"/>
          <w:szCs w:val="26"/>
        </w:rPr>
        <w:tab/>
        <w:t>Respond’s Position</w:t>
      </w:r>
    </w:p>
    <w:p w:rsidR="005B1E89" w:rsidRPr="002322F4" w:rsidRDefault="005B1E89" w:rsidP="00521D8D">
      <w:pPr>
        <w:keepNext/>
        <w:keepLines/>
        <w:rPr>
          <w:rFonts w:ascii="Times New Roman" w:hAnsi="Times New Roman"/>
          <w:sz w:val="26"/>
          <w:szCs w:val="26"/>
        </w:rPr>
      </w:pPr>
    </w:p>
    <w:p w:rsidR="00312BE4" w:rsidRDefault="00257709" w:rsidP="005B1E89">
      <w:pPr>
        <w:pStyle w:val="BodyFirst1SS"/>
        <w:spacing w:line="360" w:lineRule="auto"/>
        <w:ind w:firstLine="1440"/>
        <w:jc w:val="left"/>
        <w:rPr>
          <w:sz w:val="26"/>
          <w:szCs w:val="26"/>
        </w:rPr>
      </w:pPr>
      <w:r>
        <w:rPr>
          <w:sz w:val="26"/>
          <w:szCs w:val="26"/>
        </w:rPr>
        <w:t xml:space="preserve">In its Main Brief, </w:t>
      </w:r>
      <w:r w:rsidR="005B1E89">
        <w:rPr>
          <w:sz w:val="26"/>
          <w:szCs w:val="26"/>
        </w:rPr>
        <w:t xml:space="preserve">Respond </w:t>
      </w:r>
      <w:r w:rsidR="00DD7BC7">
        <w:rPr>
          <w:sz w:val="26"/>
          <w:szCs w:val="26"/>
        </w:rPr>
        <w:t xml:space="preserve">noted </w:t>
      </w:r>
      <w:r w:rsidR="00E66735">
        <w:rPr>
          <w:sz w:val="26"/>
          <w:szCs w:val="26"/>
        </w:rPr>
        <w:t xml:space="preserve">initially </w:t>
      </w:r>
      <w:r w:rsidR="00DD7BC7">
        <w:rPr>
          <w:sz w:val="26"/>
          <w:szCs w:val="26"/>
        </w:rPr>
        <w:t xml:space="preserve">that while the Complainant is a residential </w:t>
      </w:r>
      <w:proofErr w:type="gramStart"/>
      <w:r w:rsidR="00DD7BC7">
        <w:rPr>
          <w:sz w:val="26"/>
          <w:szCs w:val="26"/>
        </w:rPr>
        <w:t>customer</w:t>
      </w:r>
      <w:r w:rsidR="0043752B">
        <w:rPr>
          <w:sz w:val="26"/>
          <w:szCs w:val="26"/>
        </w:rPr>
        <w:t>,</w:t>
      </w:r>
      <w:proofErr w:type="gramEnd"/>
      <w:r w:rsidR="00DD7BC7">
        <w:rPr>
          <w:sz w:val="26"/>
          <w:szCs w:val="26"/>
        </w:rPr>
        <w:t xml:space="preserve"> and that he was solicited and his service was switched while he was at his home during a Respond door-to-door marketing campaign, the account that was switched is a general service business account.</w:t>
      </w:r>
      <w:r w:rsidR="00DD7BC7">
        <w:rPr>
          <w:rStyle w:val="FootnoteReference"/>
          <w:sz w:val="26"/>
          <w:szCs w:val="26"/>
        </w:rPr>
        <w:footnoteReference w:id="1"/>
      </w:r>
      <w:r w:rsidR="00DD7BC7">
        <w:rPr>
          <w:sz w:val="26"/>
          <w:szCs w:val="26"/>
        </w:rPr>
        <w:t xml:space="preserve">  Respond M.B. at 1.</w:t>
      </w:r>
    </w:p>
    <w:p w:rsidR="001838E9" w:rsidRDefault="001838E9" w:rsidP="005B1E89">
      <w:pPr>
        <w:pStyle w:val="BodyFirst1SS"/>
        <w:spacing w:line="360" w:lineRule="auto"/>
        <w:ind w:firstLine="1440"/>
        <w:jc w:val="left"/>
        <w:rPr>
          <w:sz w:val="26"/>
          <w:szCs w:val="26"/>
        </w:rPr>
      </w:pPr>
    </w:p>
    <w:p w:rsidR="003564B9" w:rsidRPr="003564B9" w:rsidRDefault="001838E9" w:rsidP="003564B9">
      <w:pPr>
        <w:pStyle w:val="BodyFirst1SS"/>
        <w:spacing w:line="360" w:lineRule="auto"/>
        <w:ind w:firstLine="1440"/>
        <w:jc w:val="left"/>
        <w:rPr>
          <w:sz w:val="26"/>
          <w:szCs w:val="26"/>
        </w:rPr>
      </w:pPr>
      <w:r>
        <w:rPr>
          <w:sz w:val="26"/>
          <w:szCs w:val="26"/>
        </w:rPr>
        <w:t>In defense</w:t>
      </w:r>
      <w:r w:rsidR="00632E9F">
        <w:rPr>
          <w:sz w:val="26"/>
          <w:szCs w:val="26"/>
        </w:rPr>
        <w:t xml:space="preserve"> of the Complaint</w:t>
      </w:r>
      <w:r>
        <w:rPr>
          <w:sz w:val="26"/>
          <w:szCs w:val="26"/>
        </w:rPr>
        <w:t xml:space="preserve">, </w:t>
      </w:r>
      <w:r w:rsidR="00DD7BC7">
        <w:rPr>
          <w:sz w:val="26"/>
          <w:szCs w:val="26"/>
        </w:rPr>
        <w:t xml:space="preserve">Respond </w:t>
      </w:r>
      <w:r w:rsidR="00746AE1">
        <w:rPr>
          <w:sz w:val="26"/>
          <w:szCs w:val="26"/>
        </w:rPr>
        <w:t>presented two arguments.</w:t>
      </w:r>
      <w:r w:rsidR="00DD7BC7">
        <w:rPr>
          <w:sz w:val="26"/>
          <w:szCs w:val="26"/>
        </w:rPr>
        <w:t xml:space="preserve"> </w:t>
      </w:r>
      <w:r w:rsidR="00746AE1">
        <w:rPr>
          <w:sz w:val="26"/>
          <w:szCs w:val="26"/>
        </w:rPr>
        <w:t xml:space="preserve"> First, Respond </w:t>
      </w:r>
      <w:r w:rsidR="00257709">
        <w:rPr>
          <w:sz w:val="26"/>
          <w:szCs w:val="26"/>
        </w:rPr>
        <w:t xml:space="preserve">focused on the Commission’s jurisdiction over EGSs, </w:t>
      </w:r>
      <w:r w:rsidR="005B1E89" w:rsidRPr="0079185D">
        <w:rPr>
          <w:sz w:val="26"/>
          <w:szCs w:val="26"/>
        </w:rPr>
        <w:t>contend</w:t>
      </w:r>
      <w:r w:rsidR="00257709">
        <w:rPr>
          <w:sz w:val="26"/>
          <w:szCs w:val="26"/>
        </w:rPr>
        <w:t>ing</w:t>
      </w:r>
      <w:r w:rsidR="005B1E89" w:rsidRPr="0079185D">
        <w:rPr>
          <w:sz w:val="26"/>
          <w:szCs w:val="26"/>
        </w:rPr>
        <w:t xml:space="preserve"> that the Commission lack</w:t>
      </w:r>
      <w:r w:rsidR="000D3F89">
        <w:rPr>
          <w:sz w:val="26"/>
          <w:szCs w:val="26"/>
        </w:rPr>
        <w:t>ed</w:t>
      </w:r>
      <w:r w:rsidR="005B1E89" w:rsidRPr="0079185D">
        <w:rPr>
          <w:sz w:val="26"/>
          <w:szCs w:val="26"/>
        </w:rPr>
        <w:t xml:space="preserve"> statutory authority to regulate or limit the prices charged by EGSs or to direct the</w:t>
      </w:r>
      <w:r w:rsidR="005B1E89">
        <w:rPr>
          <w:sz w:val="26"/>
          <w:szCs w:val="26"/>
        </w:rPr>
        <w:t xml:space="preserve"> issuance of refunds by EGSs.  </w:t>
      </w:r>
      <w:r w:rsidR="00746AE1">
        <w:rPr>
          <w:sz w:val="26"/>
          <w:szCs w:val="26"/>
        </w:rPr>
        <w:t>Respond M.B. at 5-</w:t>
      </w:r>
      <w:r w:rsidR="000D3F89">
        <w:rPr>
          <w:sz w:val="26"/>
          <w:szCs w:val="26"/>
        </w:rPr>
        <w:t xml:space="preserve">11.  </w:t>
      </w:r>
      <w:r w:rsidR="003564B9" w:rsidRPr="003564B9">
        <w:rPr>
          <w:sz w:val="26"/>
          <w:szCs w:val="26"/>
        </w:rPr>
        <w:t>Respond denied it owe</w:t>
      </w:r>
      <w:r w:rsidR="004445C2">
        <w:rPr>
          <w:sz w:val="26"/>
          <w:szCs w:val="26"/>
        </w:rPr>
        <w:t>d</w:t>
      </w:r>
      <w:r w:rsidR="003564B9" w:rsidRPr="003564B9">
        <w:rPr>
          <w:sz w:val="26"/>
          <w:szCs w:val="26"/>
        </w:rPr>
        <w:t xml:space="preserve"> the Complainant a refund</w:t>
      </w:r>
      <w:r w:rsidR="004445C2">
        <w:rPr>
          <w:sz w:val="26"/>
          <w:szCs w:val="26"/>
        </w:rPr>
        <w:t>.  The Company</w:t>
      </w:r>
      <w:r w:rsidR="003564B9" w:rsidRPr="003564B9">
        <w:rPr>
          <w:sz w:val="26"/>
          <w:szCs w:val="26"/>
        </w:rPr>
        <w:t xml:space="preserve"> further contended it is not a “public utility” within the meaning of Section 1312 and</w:t>
      </w:r>
      <w:r w:rsidR="004445C2">
        <w:rPr>
          <w:sz w:val="26"/>
          <w:szCs w:val="26"/>
        </w:rPr>
        <w:t>,</w:t>
      </w:r>
      <w:r w:rsidR="003564B9" w:rsidRPr="003564B9">
        <w:rPr>
          <w:sz w:val="26"/>
          <w:szCs w:val="26"/>
        </w:rPr>
        <w:t xml:space="preserve"> as such, the Commission does not have jurisdictional authority to order it to issue</w:t>
      </w:r>
      <w:r w:rsidR="00632E9F">
        <w:rPr>
          <w:sz w:val="26"/>
          <w:szCs w:val="26"/>
        </w:rPr>
        <w:t xml:space="preserve"> a</w:t>
      </w:r>
      <w:r w:rsidR="003564B9" w:rsidRPr="003564B9">
        <w:rPr>
          <w:sz w:val="26"/>
          <w:szCs w:val="26"/>
        </w:rPr>
        <w:t xml:space="preserve"> refund to Mr. Herp.  Respond M.B. at 10-11.</w:t>
      </w:r>
    </w:p>
    <w:p w:rsidR="003564B9" w:rsidRDefault="003564B9" w:rsidP="001838E9">
      <w:pPr>
        <w:pStyle w:val="BodyFirst1SS"/>
        <w:spacing w:line="360" w:lineRule="auto"/>
        <w:ind w:firstLine="1440"/>
        <w:jc w:val="left"/>
        <w:rPr>
          <w:sz w:val="26"/>
          <w:szCs w:val="26"/>
        </w:rPr>
      </w:pPr>
    </w:p>
    <w:p w:rsidR="001838E9" w:rsidRPr="001838E9" w:rsidRDefault="001838E9" w:rsidP="001838E9">
      <w:pPr>
        <w:pStyle w:val="BodyFirst1SS"/>
        <w:spacing w:line="360" w:lineRule="auto"/>
        <w:ind w:firstLine="1440"/>
        <w:jc w:val="left"/>
        <w:rPr>
          <w:sz w:val="26"/>
          <w:szCs w:val="26"/>
        </w:rPr>
      </w:pPr>
      <w:r w:rsidRPr="001838E9">
        <w:rPr>
          <w:sz w:val="26"/>
          <w:szCs w:val="26"/>
        </w:rPr>
        <w:t xml:space="preserve">Respond </w:t>
      </w:r>
      <w:r w:rsidR="004445C2">
        <w:rPr>
          <w:sz w:val="26"/>
          <w:szCs w:val="26"/>
        </w:rPr>
        <w:t xml:space="preserve">argued </w:t>
      </w:r>
      <w:r w:rsidRPr="001838E9">
        <w:rPr>
          <w:sz w:val="26"/>
          <w:szCs w:val="26"/>
        </w:rPr>
        <w:t>that immediately prior to switching to Respond, the Complainant was being served by a different EGS also on a variable rate plan</w:t>
      </w:r>
      <w:r w:rsidR="004445C2">
        <w:rPr>
          <w:sz w:val="26"/>
          <w:szCs w:val="26"/>
        </w:rPr>
        <w:t xml:space="preserve">, and </w:t>
      </w:r>
      <w:r w:rsidRPr="001838E9">
        <w:rPr>
          <w:sz w:val="26"/>
          <w:szCs w:val="26"/>
        </w:rPr>
        <w:t>that had the Complainant stayed with that EGS, his rate may have increased in the same way it did with Respond</w:t>
      </w:r>
      <w:r w:rsidR="004445C2">
        <w:rPr>
          <w:sz w:val="26"/>
          <w:szCs w:val="26"/>
        </w:rPr>
        <w:t>.  Accordingly</w:t>
      </w:r>
      <w:r w:rsidRPr="001838E9">
        <w:rPr>
          <w:sz w:val="26"/>
          <w:szCs w:val="26"/>
        </w:rPr>
        <w:t xml:space="preserve">, </w:t>
      </w:r>
      <w:r w:rsidR="004445C2">
        <w:rPr>
          <w:sz w:val="26"/>
          <w:szCs w:val="26"/>
        </w:rPr>
        <w:t xml:space="preserve">Respond argued that </w:t>
      </w:r>
      <w:r w:rsidRPr="001838E9">
        <w:rPr>
          <w:sz w:val="26"/>
          <w:szCs w:val="26"/>
        </w:rPr>
        <w:t xml:space="preserve">the Complainant had not demonstrated that by switching to </w:t>
      </w:r>
      <w:proofErr w:type="gramStart"/>
      <w:r w:rsidRPr="001838E9">
        <w:rPr>
          <w:sz w:val="26"/>
          <w:szCs w:val="26"/>
        </w:rPr>
        <w:t>Respond</w:t>
      </w:r>
      <w:proofErr w:type="gramEnd"/>
      <w:r w:rsidRPr="001838E9">
        <w:rPr>
          <w:sz w:val="26"/>
          <w:szCs w:val="26"/>
        </w:rPr>
        <w:t xml:space="preserve"> he incurred higher costs than if he had not switched.  Respond M.B. at 11.</w:t>
      </w:r>
    </w:p>
    <w:p w:rsidR="001838E9" w:rsidRDefault="001838E9" w:rsidP="005B1E89">
      <w:pPr>
        <w:pStyle w:val="BodyFirst1SS"/>
        <w:spacing w:line="360" w:lineRule="auto"/>
        <w:ind w:firstLine="1440"/>
        <w:jc w:val="left"/>
        <w:rPr>
          <w:sz w:val="26"/>
          <w:szCs w:val="26"/>
        </w:rPr>
      </w:pPr>
    </w:p>
    <w:p w:rsidR="003564B9" w:rsidRDefault="005B1E89" w:rsidP="005B1E89">
      <w:pPr>
        <w:pStyle w:val="BodyFirst1SS"/>
        <w:spacing w:line="360" w:lineRule="auto"/>
        <w:jc w:val="left"/>
        <w:rPr>
          <w:sz w:val="26"/>
          <w:szCs w:val="26"/>
        </w:rPr>
      </w:pPr>
      <w:r w:rsidRPr="0079185D">
        <w:rPr>
          <w:sz w:val="26"/>
          <w:szCs w:val="26"/>
        </w:rPr>
        <w:lastRenderedPageBreak/>
        <w:tab/>
      </w:r>
      <w:r>
        <w:rPr>
          <w:sz w:val="26"/>
          <w:szCs w:val="26"/>
        </w:rPr>
        <w:t>Respond maintained</w:t>
      </w:r>
      <w:r w:rsidRPr="0079185D">
        <w:rPr>
          <w:sz w:val="26"/>
          <w:szCs w:val="26"/>
        </w:rPr>
        <w:t xml:space="preserve"> </w:t>
      </w:r>
      <w:r w:rsidR="004445C2">
        <w:rPr>
          <w:sz w:val="26"/>
          <w:szCs w:val="26"/>
        </w:rPr>
        <w:t xml:space="preserve">that </w:t>
      </w:r>
      <w:r w:rsidRPr="0079185D">
        <w:rPr>
          <w:sz w:val="26"/>
          <w:szCs w:val="26"/>
        </w:rPr>
        <w:t xml:space="preserve">it </w:t>
      </w:r>
      <w:r w:rsidR="001838E9">
        <w:rPr>
          <w:sz w:val="26"/>
          <w:szCs w:val="26"/>
        </w:rPr>
        <w:t>acted</w:t>
      </w:r>
      <w:r w:rsidRPr="0079185D">
        <w:rPr>
          <w:sz w:val="26"/>
          <w:szCs w:val="26"/>
        </w:rPr>
        <w:t xml:space="preserve"> </w:t>
      </w:r>
      <w:r w:rsidR="001838E9">
        <w:rPr>
          <w:sz w:val="26"/>
          <w:szCs w:val="26"/>
        </w:rPr>
        <w:t>in conformance</w:t>
      </w:r>
      <w:r w:rsidRPr="0079185D">
        <w:rPr>
          <w:sz w:val="26"/>
          <w:szCs w:val="26"/>
        </w:rPr>
        <w:t xml:space="preserve"> with the Commission’s </w:t>
      </w:r>
      <w:r w:rsidR="007F2ABC">
        <w:rPr>
          <w:sz w:val="26"/>
          <w:szCs w:val="26"/>
        </w:rPr>
        <w:t>R</w:t>
      </w:r>
      <w:r w:rsidRPr="0079185D">
        <w:rPr>
          <w:sz w:val="26"/>
          <w:szCs w:val="26"/>
        </w:rPr>
        <w:t xml:space="preserve">egulations when </w:t>
      </w:r>
      <w:r w:rsidR="001838E9">
        <w:rPr>
          <w:sz w:val="26"/>
          <w:szCs w:val="26"/>
        </w:rPr>
        <w:t xml:space="preserve">at the time of the sale </w:t>
      </w:r>
      <w:r w:rsidRPr="0079185D">
        <w:rPr>
          <w:sz w:val="26"/>
          <w:szCs w:val="26"/>
        </w:rPr>
        <w:t xml:space="preserve">its agent </w:t>
      </w:r>
      <w:r w:rsidR="001838E9">
        <w:rPr>
          <w:sz w:val="26"/>
          <w:szCs w:val="26"/>
        </w:rPr>
        <w:t>provided</w:t>
      </w:r>
      <w:r w:rsidRPr="0079185D">
        <w:rPr>
          <w:sz w:val="26"/>
          <w:szCs w:val="26"/>
        </w:rPr>
        <w:t xml:space="preserve"> the Complainant a written disclosure statement containing the terms and conditions of service.</w:t>
      </w:r>
      <w:r>
        <w:rPr>
          <w:sz w:val="26"/>
          <w:szCs w:val="26"/>
        </w:rPr>
        <w:t xml:space="preserve">  Respond </w:t>
      </w:r>
      <w:r w:rsidRPr="0079185D">
        <w:rPr>
          <w:sz w:val="26"/>
          <w:szCs w:val="26"/>
        </w:rPr>
        <w:t xml:space="preserve">contends that its disclosure statement was submitted to the Commission with its license application and approved by the Commission </w:t>
      </w:r>
      <w:r w:rsidR="00632E9F">
        <w:rPr>
          <w:sz w:val="26"/>
          <w:szCs w:val="26"/>
        </w:rPr>
        <w:t xml:space="preserve">in </w:t>
      </w:r>
      <w:r w:rsidR="00826AEA" w:rsidRPr="00826AEA">
        <w:rPr>
          <w:i/>
          <w:sz w:val="26"/>
          <w:szCs w:val="26"/>
        </w:rPr>
        <w:t xml:space="preserve">License Application of Respond Power LLC for Approval to Offer, Render, Furnish or Supply Electricity or Electric Generation Services as a Supplier of Retail Electric Power, </w:t>
      </w:r>
      <w:r w:rsidR="00826AEA" w:rsidRPr="00826AEA">
        <w:rPr>
          <w:sz w:val="26"/>
          <w:szCs w:val="26"/>
        </w:rPr>
        <w:t>Docket No. A-2010-2163898 (Order entered August 19, 2010) (</w:t>
      </w:r>
      <w:r w:rsidR="00826AEA" w:rsidRPr="00826AEA">
        <w:rPr>
          <w:i/>
          <w:sz w:val="26"/>
          <w:szCs w:val="26"/>
        </w:rPr>
        <w:t>Licensing Order)</w:t>
      </w:r>
      <w:r w:rsidR="00826AEA" w:rsidRPr="00826AEA">
        <w:rPr>
          <w:sz w:val="26"/>
          <w:szCs w:val="26"/>
        </w:rPr>
        <w:t xml:space="preserve">.  </w:t>
      </w:r>
      <w:r w:rsidR="004445C2" w:rsidRPr="004445C2">
        <w:rPr>
          <w:sz w:val="26"/>
          <w:szCs w:val="26"/>
        </w:rPr>
        <w:t>Respond contended that its disclosure statement complied with the Commission’s Regulations then in effect, which required EGSs to disclose the applicable terms of service but did not require EGSs to include an initial price.  In addition, Respond maintained that those Regulations did not require the EGS to place limits on the variable prices, only to disclose if such limits existed.  Respond M.B. at 13-14.</w:t>
      </w:r>
    </w:p>
    <w:p w:rsidR="003564B9" w:rsidRDefault="003564B9" w:rsidP="005B1E89">
      <w:pPr>
        <w:pStyle w:val="BodyFirst1SS"/>
        <w:spacing w:line="360" w:lineRule="auto"/>
        <w:jc w:val="left"/>
        <w:rPr>
          <w:sz w:val="26"/>
          <w:szCs w:val="26"/>
        </w:rPr>
      </w:pPr>
    </w:p>
    <w:p w:rsidR="005B1E89" w:rsidRDefault="003564B9" w:rsidP="004445C2">
      <w:pPr>
        <w:pStyle w:val="BodyFirst1SS"/>
        <w:spacing w:line="360" w:lineRule="auto"/>
        <w:ind w:firstLine="1440"/>
        <w:jc w:val="left"/>
        <w:rPr>
          <w:sz w:val="26"/>
          <w:szCs w:val="26"/>
        </w:rPr>
      </w:pPr>
      <w:r w:rsidRPr="003564B9">
        <w:rPr>
          <w:sz w:val="26"/>
          <w:szCs w:val="26"/>
        </w:rPr>
        <w:t>In response to Mr. Herp’s Complaint that he was misled by the oral presentation of Respond’s door-to-door sales agent, Respond faulted the Complainant for failing to refer to written materials distributed by Respond</w:t>
      </w:r>
      <w:r>
        <w:rPr>
          <w:sz w:val="26"/>
          <w:szCs w:val="26"/>
        </w:rPr>
        <w:t>, which Respond contended</w:t>
      </w:r>
      <w:r w:rsidR="005B1E89" w:rsidRPr="0079185D">
        <w:rPr>
          <w:sz w:val="26"/>
          <w:szCs w:val="26"/>
        </w:rPr>
        <w:t xml:space="preserve"> contradict</w:t>
      </w:r>
      <w:r w:rsidR="004445C2">
        <w:rPr>
          <w:sz w:val="26"/>
          <w:szCs w:val="26"/>
        </w:rPr>
        <w:t>ed</w:t>
      </w:r>
      <w:r w:rsidR="005B1E89" w:rsidRPr="0079185D">
        <w:rPr>
          <w:sz w:val="26"/>
          <w:szCs w:val="26"/>
        </w:rPr>
        <w:t xml:space="preserve"> what the Complainant claims the sales agent told him</w:t>
      </w:r>
      <w:r>
        <w:rPr>
          <w:sz w:val="26"/>
          <w:szCs w:val="26"/>
        </w:rPr>
        <w:t xml:space="preserve">.  Respond asserted that </w:t>
      </w:r>
      <w:r w:rsidRPr="003564B9">
        <w:rPr>
          <w:sz w:val="26"/>
          <w:szCs w:val="26"/>
        </w:rPr>
        <w:t xml:space="preserve">it is not possible to know exactly what the sales agent told the Complainant during a </w:t>
      </w:r>
      <w:r w:rsidR="00632E9F">
        <w:rPr>
          <w:sz w:val="26"/>
          <w:szCs w:val="26"/>
        </w:rPr>
        <w:t xml:space="preserve">door-to-door </w:t>
      </w:r>
      <w:r w:rsidRPr="003564B9">
        <w:rPr>
          <w:sz w:val="26"/>
          <w:szCs w:val="26"/>
        </w:rPr>
        <w:t>sales pitch</w:t>
      </w:r>
      <w:r>
        <w:rPr>
          <w:sz w:val="26"/>
          <w:szCs w:val="26"/>
        </w:rPr>
        <w:t xml:space="preserve">, that it </w:t>
      </w:r>
      <w:r w:rsidRPr="003564B9">
        <w:rPr>
          <w:sz w:val="26"/>
          <w:szCs w:val="26"/>
        </w:rPr>
        <w:t>adequately trained the agent to provide the correct information</w:t>
      </w:r>
      <w:r>
        <w:rPr>
          <w:sz w:val="26"/>
          <w:szCs w:val="26"/>
        </w:rPr>
        <w:t xml:space="preserve">, </w:t>
      </w:r>
      <w:r w:rsidR="005B1E89" w:rsidRPr="0079185D">
        <w:rPr>
          <w:sz w:val="26"/>
          <w:szCs w:val="26"/>
        </w:rPr>
        <w:t xml:space="preserve">and </w:t>
      </w:r>
      <w:r w:rsidR="001838E9">
        <w:rPr>
          <w:sz w:val="26"/>
          <w:szCs w:val="26"/>
        </w:rPr>
        <w:t>that</w:t>
      </w:r>
      <w:r w:rsidR="005B1E89" w:rsidRPr="0079185D">
        <w:rPr>
          <w:sz w:val="26"/>
          <w:szCs w:val="26"/>
        </w:rPr>
        <w:t xml:space="preserve"> the </w:t>
      </w:r>
      <w:r w:rsidR="001838E9">
        <w:rPr>
          <w:sz w:val="26"/>
          <w:szCs w:val="26"/>
        </w:rPr>
        <w:t xml:space="preserve">written </w:t>
      </w:r>
      <w:r w:rsidR="005B1E89" w:rsidRPr="0079185D">
        <w:rPr>
          <w:sz w:val="26"/>
          <w:szCs w:val="26"/>
        </w:rPr>
        <w:t xml:space="preserve">terms of service in the disclosure statement control.  </w:t>
      </w:r>
      <w:r w:rsidR="005B1E89">
        <w:rPr>
          <w:sz w:val="26"/>
          <w:szCs w:val="26"/>
        </w:rPr>
        <w:t>According to Respond, o</w:t>
      </w:r>
      <w:r w:rsidR="005B1E89" w:rsidRPr="0079185D">
        <w:rPr>
          <w:sz w:val="26"/>
          <w:szCs w:val="26"/>
        </w:rPr>
        <w:t xml:space="preserve">ral discussions between a sales agent and a prospective customer have </w:t>
      </w:r>
      <w:r w:rsidR="00387EBE">
        <w:rPr>
          <w:sz w:val="26"/>
          <w:szCs w:val="26"/>
        </w:rPr>
        <w:t>inherent</w:t>
      </w:r>
      <w:r w:rsidR="005B1E89" w:rsidRPr="0079185D">
        <w:rPr>
          <w:sz w:val="26"/>
          <w:szCs w:val="26"/>
        </w:rPr>
        <w:t xml:space="preserve"> potential for misunderstanding, especially with the amount of information that must be shared during a sales pitch for electric generation supply.  </w:t>
      </w:r>
      <w:r w:rsidRPr="003564B9">
        <w:rPr>
          <w:sz w:val="26"/>
          <w:szCs w:val="26"/>
        </w:rPr>
        <w:t xml:space="preserve">Respond further contends that customers bear some responsibility for making decisions that best suit their individual needs, and as an intelligent and articulate business customer, Mr. Herp should have known the importance of reviewing the written materials Respond’s agent provided.  Focusing on its written disclosure statement, </w:t>
      </w:r>
      <w:r w:rsidR="005B1E89">
        <w:rPr>
          <w:sz w:val="26"/>
          <w:szCs w:val="26"/>
        </w:rPr>
        <w:t xml:space="preserve">Respond </w:t>
      </w:r>
      <w:r w:rsidR="005B1E89" w:rsidRPr="0079185D">
        <w:rPr>
          <w:sz w:val="26"/>
          <w:szCs w:val="26"/>
        </w:rPr>
        <w:t>contend</w:t>
      </w:r>
      <w:r w:rsidR="00837BB9">
        <w:rPr>
          <w:sz w:val="26"/>
          <w:szCs w:val="26"/>
        </w:rPr>
        <w:t>ed</w:t>
      </w:r>
      <w:r w:rsidR="005B1E89" w:rsidRPr="0079185D">
        <w:rPr>
          <w:sz w:val="26"/>
          <w:szCs w:val="26"/>
        </w:rPr>
        <w:t xml:space="preserve"> </w:t>
      </w:r>
      <w:r w:rsidR="005B1E89">
        <w:rPr>
          <w:sz w:val="26"/>
          <w:szCs w:val="26"/>
        </w:rPr>
        <w:t xml:space="preserve">that the </w:t>
      </w:r>
      <w:r w:rsidR="005B1E89" w:rsidRPr="0079185D">
        <w:rPr>
          <w:sz w:val="26"/>
          <w:szCs w:val="26"/>
        </w:rPr>
        <w:t>Complainant</w:t>
      </w:r>
      <w:r w:rsidR="005B1E89">
        <w:rPr>
          <w:sz w:val="26"/>
          <w:szCs w:val="26"/>
        </w:rPr>
        <w:t xml:space="preserve">’s </w:t>
      </w:r>
      <w:r w:rsidR="005B1E89" w:rsidRPr="0079185D">
        <w:rPr>
          <w:sz w:val="26"/>
          <w:szCs w:val="26"/>
        </w:rPr>
        <w:lastRenderedPageBreak/>
        <w:t>failure to read the written contract preclude</w:t>
      </w:r>
      <w:r w:rsidR="004445C2">
        <w:rPr>
          <w:sz w:val="26"/>
          <w:szCs w:val="26"/>
        </w:rPr>
        <w:t>d</w:t>
      </w:r>
      <w:r w:rsidR="005B1E89" w:rsidRPr="0079185D">
        <w:rPr>
          <w:sz w:val="26"/>
          <w:szCs w:val="26"/>
        </w:rPr>
        <w:t xml:space="preserve"> him from </w:t>
      </w:r>
      <w:r w:rsidR="004445C2">
        <w:rPr>
          <w:sz w:val="26"/>
          <w:szCs w:val="26"/>
        </w:rPr>
        <w:t>a</w:t>
      </w:r>
      <w:r w:rsidR="005B1E89" w:rsidRPr="0079185D">
        <w:rPr>
          <w:sz w:val="26"/>
          <w:szCs w:val="26"/>
        </w:rPr>
        <w:t>voiding the charges that were pr</w:t>
      </w:r>
      <w:r w:rsidR="005B1E89">
        <w:rPr>
          <w:sz w:val="26"/>
          <w:szCs w:val="26"/>
        </w:rPr>
        <w:t xml:space="preserve">operly imposed by Respond </w:t>
      </w:r>
      <w:r w:rsidR="005B1E89" w:rsidRPr="0079185D">
        <w:rPr>
          <w:sz w:val="26"/>
          <w:szCs w:val="26"/>
        </w:rPr>
        <w:t xml:space="preserve">in accordance with that contract.  </w:t>
      </w:r>
      <w:r w:rsidR="005B1E89">
        <w:rPr>
          <w:sz w:val="26"/>
          <w:szCs w:val="26"/>
        </w:rPr>
        <w:t>Respond M.B. at</w:t>
      </w:r>
      <w:r w:rsidR="00976D1B">
        <w:rPr>
          <w:sz w:val="26"/>
          <w:szCs w:val="26"/>
        </w:rPr>
        <w:t> </w:t>
      </w:r>
      <w:r w:rsidR="005B1E89">
        <w:rPr>
          <w:sz w:val="26"/>
          <w:szCs w:val="26"/>
        </w:rPr>
        <w:t>15-17.</w:t>
      </w:r>
      <w:r>
        <w:rPr>
          <w:sz w:val="26"/>
          <w:szCs w:val="26"/>
        </w:rPr>
        <w:t xml:space="preserve">  </w:t>
      </w:r>
    </w:p>
    <w:p w:rsidR="00DD347A" w:rsidRDefault="00DD347A" w:rsidP="005B1E89">
      <w:pPr>
        <w:pStyle w:val="BodyFirst1SS"/>
        <w:spacing w:line="360" w:lineRule="auto"/>
        <w:jc w:val="left"/>
        <w:rPr>
          <w:sz w:val="26"/>
          <w:szCs w:val="26"/>
        </w:rPr>
      </w:pPr>
    </w:p>
    <w:p w:rsidR="008B4859" w:rsidRDefault="00DD347A" w:rsidP="003564B9">
      <w:pPr>
        <w:pStyle w:val="BodyFirst1SS"/>
        <w:spacing w:line="360" w:lineRule="auto"/>
        <w:jc w:val="left"/>
        <w:rPr>
          <w:sz w:val="26"/>
          <w:szCs w:val="26"/>
        </w:rPr>
      </w:pPr>
      <w:r>
        <w:rPr>
          <w:sz w:val="26"/>
          <w:szCs w:val="26"/>
        </w:rPr>
        <w:tab/>
      </w:r>
      <w:r w:rsidR="0004310C">
        <w:rPr>
          <w:sz w:val="26"/>
          <w:szCs w:val="26"/>
        </w:rPr>
        <w:t xml:space="preserve">In its Reply Brief, </w:t>
      </w:r>
      <w:r w:rsidR="0033229E">
        <w:rPr>
          <w:sz w:val="26"/>
          <w:szCs w:val="26"/>
        </w:rPr>
        <w:t xml:space="preserve">Respond contended that </w:t>
      </w:r>
      <w:r w:rsidR="00FD58FF">
        <w:rPr>
          <w:sz w:val="26"/>
          <w:szCs w:val="26"/>
        </w:rPr>
        <w:t xml:space="preserve">the testimony of Mr. Herp’s witness, </w:t>
      </w:r>
      <w:r w:rsidR="0033229E">
        <w:rPr>
          <w:sz w:val="26"/>
          <w:szCs w:val="26"/>
        </w:rPr>
        <w:t>M</w:t>
      </w:r>
      <w:r w:rsidR="009A28F3">
        <w:rPr>
          <w:sz w:val="26"/>
          <w:szCs w:val="26"/>
        </w:rPr>
        <w:t xml:space="preserve">r. </w:t>
      </w:r>
      <w:r w:rsidR="00FD58FF">
        <w:rPr>
          <w:sz w:val="26"/>
          <w:szCs w:val="26"/>
        </w:rPr>
        <w:t xml:space="preserve">Earl </w:t>
      </w:r>
      <w:r w:rsidR="009A28F3">
        <w:rPr>
          <w:sz w:val="26"/>
          <w:szCs w:val="26"/>
        </w:rPr>
        <w:t>Hackett</w:t>
      </w:r>
      <w:r w:rsidR="00FD58FF">
        <w:rPr>
          <w:sz w:val="26"/>
          <w:szCs w:val="26"/>
        </w:rPr>
        <w:t xml:space="preserve">, </w:t>
      </w:r>
      <w:r w:rsidR="0033229E">
        <w:rPr>
          <w:sz w:val="26"/>
          <w:szCs w:val="26"/>
        </w:rPr>
        <w:t xml:space="preserve">did not </w:t>
      </w:r>
      <w:r w:rsidR="009A28F3">
        <w:rPr>
          <w:sz w:val="26"/>
          <w:szCs w:val="26"/>
        </w:rPr>
        <w:t>corroborate Mr. Herp’s allegation</w:t>
      </w:r>
      <w:r w:rsidR="00094938">
        <w:rPr>
          <w:sz w:val="26"/>
          <w:szCs w:val="26"/>
        </w:rPr>
        <w:t xml:space="preserve"> that he would save money over West Penn’s rate</w:t>
      </w:r>
      <w:r w:rsidR="009A28F3">
        <w:rPr>
          <w:sz w:val="26"/>
          <w:szCs w:val="26"/>
        </w:rPr>
        <w:t xml:space="preserve"> because Mr. H</w:t>
      </w:r>
      <w:r w:rsidR="0033229E">
        <w:rPr>
          <w:sz w:val="26"/>
          <w:szCs w:val="26"/>
        </w:rPr>
        <w:t>erp</w:t>
      </w:r>
      <w:r w:rsidR="00094938">
        <w:rPr>
          <w:sz w:val="26"/>
          <w:szCs w:val="26"/>
        </w:rPr>
        <w:t xml:space="preserve">’s testimony addressed </w:t>
      </w:r>
      <w:r w:rsidR="009A28F3">
        <w:rPr>
          <w:sz w:val="26"/>
          <w:szCs w:val="26"/>
        </w:rPr>
        <w:t xml:space="preserve">“promised savings,” </w:t>
      </w:r>
      <w:r w:rsidR="0033229E">
        <w:rPr>
          <w:sz w:val="26"/>
          <w:szCs w:val="26"/>
        </w:rPr>
        <w:t xml:space="preserve">whereas </w:t>
      </w:r>
      <w:r w:rsidR="009A28F3">
        <w:rPr>
          <w:sz w:val="26"/>
          <w:szCs w:val="26"/>
        </w:rPr>
        <w:t>Mr. Hackett testified only to “prices [</w:t>
      </w:r>
      <w:r w:rsidR="0033229E">
        <w:rPr>
          <w:sz w:val="26"/>
          <w:szCs w:val="26"/>
        </w:rPr>
        <w:t xml:space="preserve">that </w:t>
      </w:r>
      <w:r w:rsidR="009A28F3">
        <w:rPr>
          <w:sz w:val="26"/>
          <w:szCs w:val="26"/>
        </w:rPr>
        <w:t xml:space="preserve">would be] ‘competitive with other electric companies.’”  Respond R.B. at 2.  </w:t>
      </w:r>
      <w:r w:rsidR="00757FD1">
        <w:rPr>
          <w:sz w:val="26"/>
          <w:szCs w:val="26"/>
        </w:rPr>
        <w:t>Respond also contended that Mr.</w:t>
      </w:r>
      <w:r w:rsidR="00E02A4C">
        <w:rPr>
          <w:sz w:val="26"/>
          <w:szCs w:val="26"/>
        </w:rPr>
        <w:t> </w:t>
      </w:r>
      <w:r w:rsidR="00757FD1">
        <w:rPr>
          <w:sz w:val="26"/>
          <w:szCs w:val="26"/>
        </w:rPr>
        <w:t>Hackett’s testimony did not support the OCA’s claim that Respond lacked control over its sales agents</w:t>
      </w:r>
      <w:r w:rsidR="00094938">
        <w:rPr>
          <w:sz w:val="26"/>
          <w:szCs w:val="26"/>
        </w:rPr>
        <w:t xml:space="preserve"> in both Mr. Herp’s and Mr. Hackett’s situations</w:t>
      </w:r>
      <w:r w:rsidR="00757FD1">
        <w:rPr>
          <w:sz w:val="26"/>
          <w:szCs w:val="26"/>
        </w:rPr>
        <w:t xml:space="preserve">.  </w:t>
      </w:r>
      <w:r w:rsidR="008B4859">
        <w:rPr>
          <w:sz w:val="26"/>
          <w:szCs w:val="26"/>
        </w:rPr>
        <w:t>With respect to Mr.</w:t>
      </w:r>
      <w:r w:rsidR="00E02A4C">
        <w:rPr>
          <w:sz w:val="26"/>
          <w:szCs w:val="26"/>
        </w:rPr>
        <w:t> </w:t>
      </w:r>
      <w:r w:rsidR="008B4859">
        <w:rPr>
          <w:sz w:val="26"/>
          <w:szCs w:val="26"/>
        </w:rPr>
        <w:t xml:space="preserve">Hackett’s testimony, </w:t>
      </w:r>
      <w:r w:rsidR="009A28F3">
        <w:rPr>
          <w:sz w:val="26"/>
          <w:szCs w:val="26"/>
        </w:rPr>
        <w:t xml:space="preserve">Respond </w:t>
      </w:r>
      <w:r w:rsidR="008B4859">
        <w:rPr>
          <w:sz w:val="26"/>
          <w:szCs w:val="26"/>
        </w:rPr>
        <w:t>contended as follows:</w:t>
      </w:r>
    </w:p>
    <w:p w:rsidR="008B4859" w:rsidRDefault="008B4859" w:rsidP="00976D1B">
      <w:pPr>
        <w:pStyle w:val="BodyFirst1SS"/>
        <w:tabs>
          <w:tab w:val="left" w:pos="1440"/>
        </w:tabs>
        <w:spacing w:line="360" w:lineRule="auto"/>
        <w:jc w:val="left"/>
        <w:rPr>
          <w:sz w:val="26"/>
          <w:szCs w:val="26"/>
        </w:rPr>
      </w:pPr>
    </w:p>
    <w:p w:rsidR="00E02A4C" w:rsidRDefault="008B4859" w:rsidP="00E02A4C">
      <w:pPr>
        <w:pStyle w:val="BodyFirst1SS"/>
        <w:tabs>
          <w:tab w:val="left" w:pos="1440"/>
        </w:tabs>
        <w:spacing w:line="240" w:lineRule="auto"/>
        <w:ind w:left="1440" w:right="1440" w:firstLine="1440"/>
        <w:jc w:val="left"/>
        <w:rPr>
          <w:sz w:val="26"/>
          <w:szCs w:val="26"/>
        </w:rPr>
      </w:pPr>
      <w:r>
        <w:rPr>
          <w:sz w:val="26"/>
          <w:szCs w:val="26"/>
        </w:rPr>
        <w:t>W</w:t>
      </w:r>
      <w:r w:rsidR="009A28F3">
        <w:rPr>
          <w:sz w:val="26"/>
          <w:szCs w:val="26"/>
        </w:rPr>
        <w:t>ithout a full review of Mr. Hackett’s enrollment, it is simply inappropriate for the OCA to lump his brief testimony with the Complainant’s allegations to argue</w:t>
      </w:r>
      <w:r>
        <w:rPr>
          <w:sz w:val="26"/>
          <w:szCs w:val="26"/>
        </w:rPr>
        <w:t xml:space="preserve"> that “Respond Power’s lack o</w:t>
      </w:r>
      <w:r w:rsidR="00FD58FF">
        <w:rPr>
          <w:sz w:val="26"/>
          <w:szCs w:val="26"/>
        </w:rPr>
        <w:t>f</w:t>
      </w:r>
      <w:r>
        <w:rPr>
          <w:sz w:val="26"/>
          <w:szCs w:val="26"/>
        </w:rPr>
        <w:t xml:space="preserve"> care and control, at a minimum, over its sales agents subjected Mr. Herp and Mr. Hackett to bills for electric supply priced far beyond their expectations.</w:t>
      </w:r>
      <w:r w:rsidR="00094938">
        <w:rPr>
          <w:sz w:val="26"/>
          <w:szCs w:val="26"/>
        </w:rPr>
        <w:t>”</w:t>
      </w:r>
      <w:r>
        <w:rPr>
          <w:sz w:val="26"/>
          <w:szCs w:val="26"/>
        </w:rPr>
        <w:t xml:space="preserve">  The only factual allegation that is appropriate to address in this proceeding is whether Respond Power engaged in misleading marketing practices in its dealings with the Complainant. While the Complainant was free to present Mr. Hackett’s testimony as a way of trying to establish his own credibility, </w:t>
      </w:r>
      <w:r w:rsidR="00094938">
        <w:rPr>
          <w:sz w:val="26"/>
          <w:szCs w:val="26"/>
        </w:rPr>
        <w:t>the OCA’s argument goes well bey</w:t>
      </w:r>
      <w:r>
        <w:rPr>
          <w:sz w:val="26"/>
          <w:szCs w:val="26"/>
        </w:rPr>
        <w:t>ond the scope of this proceeding and should be ignored by the Commission.</w:t>
      </w:r>
    </w:p>
    <w:p w:rsidR="00E02A4C" w:rsidRDefault="00E02A4C" w:rsidP="00E02A4C">
      <w:pPr>
        <w:pStyle w:val="BodyFirst1SS"/>
        <w:tabs>
          <w:tab w:val="left" w:pos="1440"/>
        </w:tabs>
        <w:spacing w:line="240" w:lineRule="auto"/>
        <w:ind w:left="1440" w:right="1440" w:firstLine="1440"/>
        <w:jc w:val="left"/>
        <w:rPr>
          <w:sz w:val="26"/>
          <w:szCs w:val="26"/>
        </w:rPr>
      </w:pPr>
    </w:p>
    <w:p w:rsidR="00E02A4C" w:rsidRDefault="00E02A4C" w:rsidP="00E02A4C">
      <w:pPr>
        <w:pStyle w:val="BodyFirst1SS"/>
        <w:tabs>
          <w:tab w:val="left" w:pos="1440"/>
        </w:tabs>
        <w:spacing w:line="240" w:lineRule="auto"/>
        <w:ind w:left="1440" w:right="1440" w:firstLine="1440"/>
        <w:jc w:val="left"/>
        <w:rPr>
          <w:sz w:val="26"/>
          <w:szCs w:val="26"/>
        </w:rPr>
      </w:pPr>
    </w:p>
    <w:p w:rsidR="005B1E89" w:rsidRDefault="008B4859" w:rsidP="005B1E89">
      <w:pPr>
        <w:pStyle w:val="BodyFirst1SS"/>
        <w:spacing w:line="360" w:lineRule="auto"/>
        <w:ind w:firstLine="0"/>
        <w:jc w:val="left"/>
        <w:rPr>
          <w:sz w:val="26"/>
          <w:szCs w:val="26"/>
        </w:rPr>
      </w:pPr>
      <w:r>
        <w:rPr>
          <w:sz w:val="26"/>
          <w:szCs w:val="26"/>
        </w:rPr>
        <w:t xml:space="preserve">Respond R.B. at 2, citing OCA M.B. at 12 (footnote omitted).  </w:t>
      </w:r>
      <w:r w:rsidR="0033229E">
        <w:rPr>
          <w:sz w:val="26"/>
          <w:szCs w:val="26"/>
        </w:rPr>
        <w:t xml:space="preserve">Respond </w:t>
      </w:r>
      <w:r w:rsidR="00094938">
        <w:rPr>
          <w:sz w:val="26"/>
          <w:szCs w:val="26"/>
        </w:rPr>
        <w:t>again</w:t>
      </w:r>
      <w:r w:rsidR="00757FD1">
        <w:rPr>
          <w:sz w:val="26"/>
          <w:szCs w:val="26"/>
        </w:rPr>
        <w:t xml:space="preserve"> </w:t>
      </w:r>
      <w:r w:rsidR="0033229E">
        <w:rPr>
          <w:sz w:val="26"/>
          <w:szCs w:val="26"/>
        </w:rPr>
        <w:t xml:space="preserve">argued that </w:t>
      </w:r>
      <w:r w:rsidR="00094938">
        <w:rPr>
          <w:sz w:val="26"/>
          <w:szCs w:val="26"/>
        </w:rPr>
        <w:t xml:space="preserve">it used a proper </w:t>
      </w:r>
      <w:r w:rsidR="0033229E">
        <w:rPr>
          <w:sz w:val="26"/>
          <w:szCs w:val="26"/>
        </w:rPr>
        <w:t xml:space="preserve">disclosure statement and that the Commission lacked jurisdiction and authority to order a refund or credit.  </w:t>
      </w:r>
      <w:r w:rsidR="0033229E">
        <w:rPr>
          <w:i/>
          <w:sz w:val="26"/>
          <w:szCs w:val="26"/>
        </w:rPr>
        <w:t xml:space="preserve">Id. </w:t>
      </w:r>
      <w:r w:rsidR="0033229E">
        <w:rPr>
          <w:sz w:val="26"/>
          <w:szCs w:val="26"/>
        </w:rPr>
        <w:t>at 3-6.</w:t>
      </w:r>
    </w:p>
    <w:p w:rsidR="00E02A4C" w:rsidRDefault="00E02A4C" w:rsidP="005B1E89">
      <w:pPr>
        <w:pStyle w:val="BodyFirst1SS"/>
        <w:spacing w:line="360" w:lineRule="auto"/>
        <w:ind w:firstLine="0"/>
        <w:jc w:val="left"/>
        <w:rPr>
          <w:sz w:val="26"/>
          <w:szCs w:val="26"/>
        </w:rPr>
      </w:pPr>
    </w:p>
    <w:p w:rsidR="005B1E89" w:rsidRPr="002322F4" w:rsidRDefault="008B4859" w:rsidP="002322F4">
      <w:pPr>
        <w:pStyle w:val="BodyFirst1SS"/>
        <w:keepNext/>
        <w:spacing w:line="360" w:lineRule="auto"/>
        <w:jc w:val="left"/>
        <w:rPr>
          <w:sz w:val="26"/>
          <w:szCs w:val="26"/>
        </w:rPr>
      </w:pPr>
      <w:r>
        <w:rPr>
          <w:b/>
          <w:sz w:val="26"/>
          <w:szCs w:val="26"/>
        </w:rPr>
        <w:lastRenderedPageBreak/>
        <w:t>2.</w:t>
      </w:r>
      <w:r>
        <w:rPr>
          <w:b/>
          <w:sz w:val="26"/>
          <w:szCs w:val="26"/>
        </w:rPr>
        <w:tab/>
        <w:t>The OCA’s and Complainant’s Positions</w:t>
      </w:r>
    </w:p>
    <w:p w:rsidR="005B1E89" w:rsidRPr="002322F4" w:rsidRDefault="005B1E89" w:rsidP="002322F4">
      <w:pPr>
        <w:pStyle w:val="BodyFirst1SS"/>
        <w:keepNext/>
        <w:spacing w:line="360" w:lineRule="auto"/>
        <w:ind w:firstLine="0"/>
        <w:jc w:val="left"/>
        <w:rPr>
          <w:sz w:val="26"/>
          <w:szCs w:val="26"/>
        </w:rPr>
      </w:pPr>
    </w:p>
    <w:p w:rsidR="005B1E89" w:rsidRPr="0079185D" w:rsidRDefault="005B1E89" w:rsidP="005B1E89">
      <w:pPr>
        <w:pStyle w:val="BodyFirst1SS"/>
        <w:spacing w:line="360" w:lineRule="auto"/>
        <w:ind w:firstLine="1440"/>
        <w:jc w:val="left"/>
        <w:rPr>
          <w:sz w:val="26"/>
          <w:szCs w:val="26"/>
        </w:rPr>
      </w:pPr>
      <w:r w:rsidRPr="0079185D">
        <w:rPr>
          <w:sz w:val="26"/>
          <w:szCs w:val="26"/>
        </w:rPr>
        <w:t>The Complainant and the OCA contend</w:t>
      </w:r>
      <w:r w:rsidR="00E754D2">
        <w:rPr>
          <w:sz w:val="26"/>
          <w:szCs w:val="26"/>
        </w:rPr>
        <w:t>ed</w:t>
      </w:r>
      <w:r w:rsidRPr="0079185D">
        <w:rPr>
          <w:sz w:val="26"/>
          <w:szCs w:val="26"/>
        </w:rPr>
        <w:t xml:space="preserve"> the Commission has the authority to require Respond to comply with all applicable law as a condition of </w:t>
      </w:r>
      <w:r w:rsidR="00387EBE">
        <w:rPr>
          <w:sz w:val="26"/>
          <w:szCs w:val="26"/>
        </w:rPr>
        <w:t xml:space="preserve">being an EGS licensee </w:t>
      </w:r>
      <w:r w:rsidRPr="0079185D">
        <w:rPr>
          <w:sz w:val="26"/>
          <w:szCs w:val="26"/>
        </w:rPr>
        <w:t>in Pennsylvania.</w:t>
      </w:r>
      <w:r w:rsidR="008B4859" w:rsidRPr="008B4859">
        <w:rPr>
          <w:sz w:val="26"/>
          <w:szCs w:val="26"/>
          <w:vertAlign w:val="superscript"/>
        </w:rPr>
        <w:footnoteReference w:id="2"/>
      </w:r>
      <w:r w:rsidRPr="0079185D">
        <w:rPr>
          <w:sz w:val="26"/>
          <w:szCs w:val="26"/>
        </w:rPr>
        <w:t xml:space="preserve">  They asserted that the Commission’s Chapters 54, 56, and 111 </w:t>
      </w:r>
      <w:r w:rsidR="00837BB9">
        <w:rPr>
          <w:sz w:val="26"/>
          <w:szCs w:val="26"/>
        </w:rPr>
        <w:t>R</w:t>
      </w:r>
      <w:r w:rsidRPr="0079185D">
        <w:rPr>
          <w:sz w:val="26"/>
          <w:szCs w:val="26"/>
        </w:rPr>
        <w:t>egulations are designed to protect consumers and assure that they have accurate and adequate information to make informed decisions when choosing between offers for electric supply service.  According to the OCA, when a sales agent for a licensed EGS makes misrepresentations, unsupported claims, or material omissions that lead a consumer to enroll with the EGS, the consumer has been denied those protections.</w:t>
      </w:r>
      <w:r>
        <w:rPr>
          <w:sz w:val="26"/>
          <w:szCs w:val="26"/>
        </w:rPr>
        <w:t xml:space="preserve">  </w:t>
      </w:r>
      <w:proofErr w:type="gramStart"/>
      <w:r>
        <w:rPr>
          <w:sz w:val="26"/>
          <w:szCs w:val="26"/>
        </w:rPr>
        <w:t>OCA M.B. at 2.</w:t>
      </w:r>
      <w:proofErr w:type="gramEnd"/>
    </w:p>
    <w:p w:rsidR="005B1E89" w:rsidRPr="0079185D" w:rsidRDefault="005B1E89" w:rsidP="005B1E89">
      <w:pPr>
        <w:tabs>
          <w:tab w:val="left" w:pos="5160"/>
        </w:tabs>
        <w:rPr>
          <w:rFonts w:ascii="Times New Roman" w:hAnsi="Times New Roman"/>
          <w:sz w:val="26"/>
          <w:szCs w:val="26"/>
        </w:rPr>
      </w:pPr>
      <w:r w:rsidRPr="0079185D">
        <w:rPr>
          <w:rFonts w:ascii="Times New Roman" w:hAnsi="Times New Roman"/>
          <w:sz w:val="26"/>
          <w:szCs w:val="26"/>
        </w:rPr>
        <w:tab/>
      </w:r>
    </w:p>
    <w:p w:rsidR="00936897" w:rsidRDefault="005B1E89" w:rsidP="005B1E89">
      <w:pPr>
        <w:rPr>
          <w:rFonts w:ascii="Times New Roman" w:hAnsi="Times New Roman"/>
          <w:sz w:val="26"/>
          <w:szCs w:val="26"/>
        </w:rPr>
      </w:pPr>
      <w:r w:rsidRPr="0079185D">
        <w:rPr>
          <w:rFonts w:ascii="Times New Roman" w:hAnsi="Times New Roman"/>
          <w:sz w:val="26"/>
          <w:szCs w:val="26"/>
        </w:rPr>
        <w:tab/>
      </w:r>
      <w:r w:rsidRPr="0079185D">
        <w:rPr>
          <w:rFonts w:ascii="Times New Roman" w:hAnsi="Times New Roman"/>
          <w:sz w:val="26"/>
          <w:szCs w:val="26"/>
        </w:rPr>
        <w:tab/>
        <w:t>The OCA contend</w:t>
      </w:r>
      <w:r w:rsidR="00837BB9">
        <w:rPr>
          <w:rFonts w:ascii="Times New Roman" w:hAnsi="Times New Roman"/>
          <w:sz w:val="26"/>
          <w:szCs w:val="26"/>
        </w:rPr>
        <w:t>ed</w:t>
      </w:r>
      <w:r w:rsidRPr="0079185D">
        <w:rPr>
          <w:rFonts w:ascii="Times New Roman" w:hAnsi="Times New Roman"/>
          <w:sz w:val="26"/>
          <w:szCs w:val="26"/>
        </w:rPr>
        <w:t xml:space="preserve"> the evidence supports Mr. Herp’s claim that he was misled by Respond’s sales agent and wrongly induced to switch </w:t>
      </w:r>
      <w:r w:rsidR="00A709D1">
        <w:rPr>
          <w:rFonts w:ascii="Times New Roman" w:hAnsi="Times New Roman"/>
          <w:sz w:val="26"/>
          <w:szCs w:val="26"/>
        </w:rPr>
        <w:t>service</w:t>
      </w:r>
      <w:r w:rsidRPr="0079185D">
        <w:rPr>
          <w:rFonts w:ascii="Times New Roman" w:hAnsi="Times New Roman"/>
          <w:sz w:val="26"/>
          <w:szCs w:val="26"/>
        </w:rPr>
        <w:t xml:space="preserve">.  </w:t>
      </w:r>
      <w:r w:rsidR="00936897">
        <w:rPr>
          <w:rFonts w:ascii="Times New Roman" w:hAnsi="Times New Roman"/>
          <w:sz w:val="26"/>
          <w:szCs w:val="26"/>
        </w:rPr>
        <w:t>R</w:t>
      </w:r>
      <w:r w:rsidR="004C7ED9">
        <w:rPr>
          <w:rFonts w:ascii="Times New Roman" w:hAnsi="Times New Roman"/>
          <w:sz w:val="26"/>
          <w:szCs w:val="26"/>
        </w:rPr>
        <w:t>eferring to Chapter 111 of our Regulations, the OCA contended that Respond “may not ‘make false or misleading representations including misrepresenting rates or savings offered by the supplier.’”  OCA M.B. at 2, quoting 52 Pa. Code §</w:t>
      </w:r>
      <w:r w:rsidR="00094938">
        <w:rPr>
          <w:rFonts w:ascii="Times New Roman" w:hAnsi="Times New Roman"/>
          <w:sz w:val="26"/>
          <w:szCs w:val="26"/>
        </w:rPr>
        <w:t> </w:t>
      </w:r>
      <w:r w:rsidR="004C7ED9">
        <w:rPr>
          <w:rFonts w:ascii="Times New Roman" w:hAnsi="Times New Roman"/>
          <w:sz w:val="26"/>
          <w:szCs w:val="26"/>
        </w:rPr>
        <w:t>111.12(d</w:t>
      </w:r>
      <w:proofErr w:type="gramStart"/>
      <w:r w:rsidR="004C7ED9">
        <w:rPr>
          <w:rFonts w:ascii="Times New Roman" w:hAnsi="Times New Roman"/>
          <w:sz w:val="26"/>
          <w:szCs w:val="26"/>
        </w:rPr>
        <w:t>)(</w:t>
      </w:r>
      <w:proofErr w:type="gramEnd"/>
      <w:r w:rsidR="004C7ED9">
        <w:rPr>
          <w:rFonts w:ascii="Times New Roman" w:hAnsi="Times New Roman"/>
          <w:sz w:val="26"/>
          <w:szCs w:val="26"/>
        </w:rPr>
        <w:t>2).  Further, contended the OCA, Respond is “‘responsible for the fraudulent deceptive or other unlawful marketing” by its employees, agents, or representatives.</w:t>
      </w:r>
      <w:r w:rsidR="00094938">
        <w:rPr>
          <w:rFonts w:ascii="Times New Roman" w:hAnsi="Times New Roman"/>
          <w:sz w:val="26"/>
          <w:szCs w:val="26"/>
        </w:rPr>
        <w:t>’”</w:t>
      </w:r>
      <w:r w:rsidR="004C7ED9">
        <w:rPr>
          <w:rFonts w:ascii="Times New Roman" w:hAnsi="Times New Roman"/>
          <w:sz w:val="26"/>
          <w:szCs w:val="26"/>
        </w:rPr>
        <w:t xml:space="preserve"> </w:t>
      </w:r>
      <w:r w:rsidR="00094938">
        <w:rPr>
          <w:rFonts w:ascii="Times New Roman" w:hAnsi="Times New Roman"/>
          <w:sz w:val="26"/>
          <w:szCs w:val="26"/>
        </w:rPr>
        <w:t xml:space="preserve"> </w:t>
      </w:r>
      <w:proofErr w:type="gramStart"/>
      <w:r w:rsidR="004C7ED9">
        <w:rPr>
          <w:rFonts w:ascii="Times New Roman" w:hAnsi="Times New Roman"/>
          <w:i/>
          <w:sz w:val="26"/>
          <w:szCs w:val="26"/>
        </w:rPr>
        <w:t>Id.</w:t>
      </w:r>
      <w:r w:rsidR="004C7ED9">
        <w:rPr>
          <w:rFonts w:ascii="Times New Roman" w:hAnsi="Times New Roman"/>
          <w:sz w:val="26"/>
          <w:szCs w:val="26"/>
        </w:rPr>
        <w:t xml:space="preserve">, quoting 52 </w:t>
      </w:r>
      <w:r w:rsidR="004C7ED9" w:rsidRPr="00AF3C70">
        <w:rPr>
          <w:rFonts w:ascii="Times New Roman" w:hAnsi="Times New Roman"/>
          <w:sz w:val="26"/>
          <w:szCs w:val="26"/>
        </w:rPr>
        <w:t xml:space="preserve">Pa. Code § 54.43 (f) </w:t>
      </w:r>
      <w:r w:rsidR="00094938" w:rsidRPr="00AF3C70">
        <w:rPr>
          <w:rFonts w:ascii="Times New Roman" w:hAnsi="Times New Roman"/>
          <w:sz w:val="26"/>
          <w:szCs w:val="26"/>
        </w:rPr>
        <w:t>and citing</w:t>
      </w:r>
      <w:r w:rsidR="004C7ED9" w:rsidRPr="00AF3C70">
        <w:rPr>
          <w:rFonts w:ascii="Times New Roman" w:hAnsi="Times New Roman"/>
          <w:i/>
          <w:sz w:val="26"/>
          <w:szCs w:val="26"/>
        </w:rPr>
        <w:t xml:space="preserve"> </w:t>
      </w:r>
      <w:r w:rsidR="004C7ED9" w:rsidRPr="00AF3C70">
        <w:rPr>
          <w:rFonts w:ascii="Times New Roman" w:hAnsi="Times New Roman"/>
          <w:sz w:val="26"/>
          <w:szCs w:val="26"/>
        </w:rPr>
        <w:t>§ 111.3(f).</w:t>
      </w:r>
      <w:proofErr w:type="gramEnd"/>
      <w:r w:rsidR="004C7ED9" w:rsidRPr="00AF3C70">
        <w:rPr>
          <w:rFonts w:ascii="Times New Roman" w:hAnsi="Times New Roman"/>
          <w:sz w:val="26"/>
          <w:szCs w:val="26"/>
        </w:rPr>
        <w:t xml:space="preserve">  </w:t>
      </w:r>
      <w:r w:rsidR="00936897" w:rsidRPr="00AF3C70">
        <w:rPr>
          <w:rFonts w:ascii="Times New Roman" w:hAnsi="Times New Roman"/>
          <w:sz w:val="26"/>
          <w:szCs w:val="26"/>
        </w:rPr>
        <w:t>The</w:t>
      </w:r>
      <w:r w:rsidR="00936897">
        <w:rPr>
          <w:rFonts w:ascii="Times New Roman" w:hAnsi="Times New Roman"/>
          <w:sz w:val="26"/>
          <w:szCs w:val="26"/>
        </w:rPr>
        <w:t xml:space="preserve"> OCA also contended that Chapter 111 requires Respond to ensure </w:t>
      </w:r>
      <w:r w:rsidR="00AF3C70">
        <w:rPr>
          <w:rFonts w:ascii="Times New Roman" w:hAnsi="Times New Roman"/>
          <w:sz w:val="26"/>
          <w:szCs w:val="26"/>
        </w:rPr>
        <w:t xml:space="preserve">proper </w:t>
      </w:r>
      <w:r w:rsidR="00936897">
        <w:rPr>
          <w:rFonts w:ascii="Times New Roman" w:hAnsi="Times New Roman"/>
          <w:sz w:val="26"/>
          <w:szCs w:val="26"/>
        </w:rPr>
        <w:t xml:space="preserve">training </w:t>
      </w:r>
      <w:r w:rsidR="00AF3C70">
        <w:rPr>
          <w:rFonts w:ascii="Times New Roman" w:hAnsi="Times New Roman"/>
          <w:sz w:val="26"/>
          <w:szCs w:val="26"/>
        </w:rPr>
        <w:t xml:space="preserve">of </w:t>
      </w:r>
      <w:r w:rsidR="00936897">
        <w:rPr>
          <w:rFonts w:ascii="Times New Roman" w:hAnsi="Times New Roman"/>
          <w:sz w:val="26"/>
          <w:szCs w:val="26"/>
        </w:rPr>
        <w:t xml:space="preserve">its agents, including with respect to state and federal consumer protection laws, ethical sales practices, and Respond’s products.  </w:t>
      </w:r>
      <w:proofErr w:type="gramStart"/>
      <w:r w:rsidR="00936897">
        <w:rPr>
          <w:rFonts w:ascii="Times New Roman" w:hAnsi="Times New Roman"/>
          <w:sz w:val="26"/>
          <w:szCs w:val="26"/>
        </w:rPr>
        <w:t>OCA M.B.</w:t>
      </w:r>
      <w:r w:rsidR="00936897">
        <w:rPr>
          <w:rFonts w:ascii="Times New Roman" w:hAnsi="Times New Roman"/>
          <w:i/>
          <w:sz w:val="26"/>
          <w:szCs w:val="26"/>
        </w:rPr>
        <w:t xml:space="preserve"> </w:t>
      </w:r>
      <w:r w:rsidR="00936897">
        <w:rPr>
          <w:rFonts w:ascii="Times New Roman" w:hAnsi="Times New Roman"/>
          <w:sz w:val="26"/>
          <w:szCs w:val="26"/>
        </w:rPr>
        <w:t>at</w:t>
      </w:r>
      <w:r w:rsidR="001F0603">
        <w:rPr>
          <w:rFonts w:ascii="Times New Roman" w:hAnsi="Times New Roman"/>
          <w:sz w:val="26"/>
          <w:szCs w:val="26"/>
        </w:rPr>
        <w:t> </w:t>
      </w:r>
      <w:r w:rsidR="00936897">
        <w:rPr>
          <w:rFonts w:ascii="Times New Roman" w:hAnsi="Times New Roman"/>
          <w:sz w:val="26"/>
          <w:szCs w:val="26"/>
        </w:rPr>
        <w:t>3.</w:t>
      </w:r>
      <w:proofErr w:type="gramEnd"/>
    </w:p>
    <w:p w:rsidR="00936897" w:rsidRDefault="00936897" w:rsidP="005B1E89">
      <w:pPr>
        <w:rPr>
          <w:rFonts w:ascii="Times New Roman" w:hAnsi="Times New Roman"/>
          <w:sz w:val="26"/>
          <w:szCs w:val="26"/>
        </w:rPr>
      </w:pPr>
    </w:p>
    <w:p w:rsidR="00251752" w:rsidRDefault="00936897" w:rsidP="005662DB">
      <w:pPr>
        <w:tabs>
          <w:tab w:val="left" w:pos="1440"/>
        </w:tabs>
        <w:ind w:firstLine="720"/>
        <w:rPr>
          <w:rFonts w:ascii="Times New Roman" w:hAnsi="Times New Roman"/>
          <w:bCs/>
          <w:color w:val="000000"/>
          <w:sz w:val="26"/>
          <w:szCs w:val="26"/>
        </w:rPr>
      </w:pPr>
      <w:r>
        <w:rPr>
          <w:rFonts w:ascii="Times New Roman" w:hAnsi="Times New Roman"/>
          <w:sz w:val="26"/>
          <w:szCs w:val="26"/>
        </w:rPr>
        <w:tab/>
        <w:t xml:space="preserve">Finally, citing </w:t>
      </w:r>
      <w:r w:rsidR="005B1E89" w:rsidRPr="0079185D">
        <w:rPr>
          <w:rFonts w:ascii="Times New Roman" w:hAnsi="Times New Roman"/>
          <w:bCs/>
          <w:sz w:val="26"/>
          <w:szCs w:val="26"/>
        </w:rPr>
        <w:t>Chapter 54</w:t>
      </w:r>
      <w:r>
        <w:rPr>
          <w:rFonts w:ascii="Times New Roman" w:hAnsi="Times New Roman"/>
          <w:bCs/>
          <w:sz w:val="26"/>
          <w:szCs w:val="26"/>
        </w:rPr>
        <w:t>, the OCA contended that our Regulations</w:t>
      </w:r>
      <w:r w:rsidR="005B1E89" w:rsidRPr="0079185D">
        <w:rPr>
          <w:rFonts w:ascii="Times New Roman" w:hAnsi="Times New Roman"/>
          <w:bCs/>
          <w:sz w:val="26"/>
          <w:szCs w:val="26"/>
        </w:rPr>
        <w:t xml:space="preserve"> require continuity and consistency between the marketed or advertised price, the agreed upon </w:t>
      </w:r>
      <w:r w:rsidR="005B1E89" w:rsidRPr="0079185D">
        <w:rPr>
          <w:rFonts w:ascii="Times New Roman" w:hAnsi="Times New Roman"/>
          <w:bCs/>
          <w:sz w:val="26"/>
          <w:szCs w:val="26"/>
        </w:rPr>
        <w:lastRenderedPageBreak/>
        <w:t>price in the disclosure statement, and the billed price</w:t>
      </w:r>
      <w:r>
        <w:rPr>
          <w:rFonts w:ascii="Times New Roman" w:hAnsi="Times New Roman"/>
          <w:bCs/>
          <w:sz w:val="26"/>
          <w:szCs w:val="26"/>
        </w:rPr>
        <w:t>, citing</w:t>
      </w:r>
      <w:r w:rsidR="005B1E89" w:rsidRPr="0079185D">
        <w:rPr>
          <w:rFonts w:ascii="Times New Roman" w:hAnsi="Times New Roman"/>
          <w:bCs/>
          <w:sz w:val="26"/>
          <w:szCs w:val="26"/>
        </w:rPr>
        <w:t xml:space="preserve"> 52 Pa.</w:t>
      </w:r>
      <w:r w:rsidR="005B1E89">
        <w:rPr>
          <w:rFonts w:ascii="Times New Roman" w:hAnsi="Times New Roman"/>
          <w:bCs/>
          <w:sz w:val="26"/>
          <w:szCs w:val="26"/>
        </w:rPr>
        <w:t xml:space="preserve"> </w:t>
      </w:r>
      <w:r w:rsidR="005B1E89" w:rsidRPr="0079185D">
        <w:rPr>
          <w:rFonts w:ascii="Times New Roman" w:hAnsi="Times New Roman"/>
          <w:bCs/>
          <w:sz w:val="26"/>
          <w:szCs w:val="26"/>
        </w:rPr>
        <w:t xml:space="preserve">Code §§ 54.4(a), 54.5(a), 54.7(a).  </w:t>
      </w:r>
      <w:r w:rsidR="00A426A7">
        <w:rPr>
          <w:rFonts w:ascii="Times New Roman" w:hAnsi="Times New Roman"/>
          <w:bCs/>
          <w:sz w:val="26"/>
          <w:szCs w:val="26"/>
        </w:rPr>
        <w:t xml:space="preserve">The OCA noted that Respond enrolled Mr. Herp as a residential customer for service at his business, an apartment, and did not treat Mr. Herp as a commercial customer until March 2014, after he contacted Respond to discuss his high bills and he switched to West Penn.  </w:t>
      </w:r>
      <w:proofErr w:type="gramStart"/>
      <w:r w:rsidR="00A426A7">
        <w:rPr>
          <w:rFonts w:ascii="Times New Roman" w:hAnsi="Times New Roman"/>
          <w:bCs/>
          <w:sz w:val="26"/>
          <w:szCs w:val="26"/>
        </w:rPr>
        <w:t>OCA M.B. at 4.</w:t>
      </w:r>
      <w:proofErr w:type="gramEnd"/>
      <w:r w:rsidR="00A426A7">
        <w:rPr>
          <w:rFonts w:ascii="Times New Roman" w:hAnsi="Times New Roman"/>
          <w:bCs/>
          <w:sz w:val="26"/>
          <w:szCs w:val="26"/>
        </w:rPr>
        <w:t xml:space="preserve">  </w:t>
      </w:r>
      <w:r w:rsidR="005B1E89" w:rsidRPr="0079185D">
        <w:rPr>
          <w:rFonts w:ascii="Times New Roman" w:hAnsi="Times New Roman"/>
          <w:bCs/>
          <w:sz w:val="26"/>
          <w:szCs w:val="26"/>
        </w:rPr>
        <w:t xml:space="preserve">If there is inconsistency between </w:t>
      </w:r>
      <w:r w:rsidR="00A709D1">
        <w:rPr>
          <w:rFonts w:ascii="Times New Roman" w:hAnsi="Times New Roman"/>
          <w:bCs/>
          <w:sz w:val="26"/>
          <w:szCs w:val="26"/>
        </w:rPr>
        <w:t xml:space="preserve">Respond’s </w:t>
      </w:r>
      <w:r w:rsidR="005B1E89" w:rsidRPr="0079185D">
        <w:rPr>
          <w:rFonts w:ascii="Times New Roman" w:hAnsi="Times New Roman"/>
          <w:bCs/>
          <w:sz w:val="26"/>
          <w:szCs w:val="26"/>
        </w:rPr>
        <w:t xml:space="preserve">marketing and the content of Respond’s disclosure statement, the OCA </w:t>
      </w:r>
      <w:r w:rsidR="00AF3C70">
        <w:rPr>
          <w:rFonts w:ascii="Times New Roman" w:hAnsi="Times New Roman"/>
          <w:bCs/>
          <w:sz w:val="26"/>
          <w:szCs w:val="26"/>
        </w:rPr>
        <w:t>argued</w:t>
      </w:r>
      <w:r w:rsidR="005B1E89" w:rsidRPr="0079185D">
        <w:rPr>
          <w:rFonts w:ascii="Times New Roman" w:hAnsi="Times New Roman"/>
          <w:bCs/>
          <w:sz w:val="26"/>
          <w:szCs w:val="26"/>
        </w:rPr>
        <w:t xml:space="preserve"> that the responsibility </w:t>
      </w:r>
      <w:r w:rsidR="00A426A7">
        <w:rPr>
          <w:rFonts w:ascii="Times New Roman" w:hAnsi="Times New Roman"/>
          <w:bCs/>
          <w:sz w:val="26"/>
          <w:szCs w:val="26"/>
        </w:rPr>
        <w:t>lay</w:t>
      </w:r>
      <w:r w:rsidR="005B1E89" w:rsidRPr="0079185D">
        <w:rPr>
          <w:rFonts w:ascii="Times New Roman" w:hAnsi="Times New Roman"/>
          <w:bCs/>
          <w:sz w:val="26"/>
          <w:szCs w:val="26"/>
        </w:rPr>
        <w:t xml:space="preserve"> with Respond</w:t>
      </w:r>
      <w:r w:rsidR="00A709D1">
        <w:rPr>
          <w:rFonts w:ascii="Times New Roman" w:hAnsi="Times New Roman"/>
          <w:bCs/>
          <w:sz w:val="26"/>
          <w:szCs w:val="26"/>
        </w:rPr>
        <w:t xml:space="preserve"> and that n</w:t>
      </w:r>
      <w:r w:rsidR="005B1E89" w:rsidRPr="0079185D">
        <w:rPr>
          <w:rFonts w:ascii="Times New Roman" w:hAnsi="Times New Roman"/>
          <w:bCs/>
          <w:sz w:val="26"/>
          <w:szCs w:val="26"/>
        </w:rPr>
        <w:t xml:space="preserve">on-compliance with relevant law may </w:t>
      </w:r>
      <w:r w:rsidR="005B1E89" w:rsidRPr="0079185D">
        <w:rPr>
          <w:rFonts w:ascii="Times New Roman" w:hAnsi="Times New Roman"/>
          <w:color w:val="000000"/>
          <w:sz w:val="26"/>
          <w:szCs w:val="26"/>
        </w:rPr>
        <w:t xml:space="preserve">result in suspension or revocation of Respond’s license and/or the imposition of fines.  </w:t>
      </w:r>
      <w:r w:rsidR="00A709D1">
        <w:rPr>
          <w:rFonts w:ascii="Times New Roman" w:hAnsi="Times New Roman"/>
          <w:color w:val="000000"/>
          <w:sz w:val="26"/>
          <w:szCs w:val="26"/>
        </w:rPr>
        <w:t xml:space="preserve">The </w:t>
      </w:r>
      <w:r w:rsidRPr="00936897">
        <w:rPr>
          <w:rFonts w:ascii="Times New Roman" w:hAnsi="Times New Roman"/>
          <w:bCs/>
          <w:color w:val="000000"/>
          <w:sz w:val="26"/>
          <w:szCs w:val="26"/>
        </w:rPr>
        <w:t xml:space="preserve">OCA </w:t>
      </w:r>
      <w:r w:rsidR="00A709D1">
        <w:rPr>
          <w:rFonts w:ascii="Times New Roman" w:hAnsi="Times New Roman"/>
          <w:bCs/>
          <w:color w:val="000000"/>
          <w:sz w:val="26"/>
          <w:szCs w:val="26"/>
        </w:rPr>
        <w:t>claimed that</w:t>
      </w:r>
      <w:r w:rsidRPr="00936897">
        <w:rPr>
          <w:rFonts w:ascii="Times New Roman" w:hAnsi="Times New Roman"/>
          <w:bCs/>
          <w:color w:val="000000"/>
          <w:sz w:val="26"/>
          <w:szCs w:val="26"/>
        </w:rPr>
        <w:t xml:space="preserve"> rather than responding directly to the Complainant’s testimony that he was misled by the sales agent, Respond relied on its disclosure statement.  OCA M.B. at 3</w:t>
      </w:r>
      <w:r w:rsidR="00A426A7">
        <w:rPr>
          <w:rFonts w:ascii="Times New Roman" w:hAnsi="Times New Roman"/>
          <w:bCs/>
          <w:color w:val="000000"/>
          <w:sz w:val="26"/>
          <w:szCs w:val="26"/>
        </w:rPr>
        <w:t>-4</w:t>
      </w:r>
      <w:r w:rsidRPr="00936897">
        <w:rPr>
          <w:rFonts w:ascii="Times New Roman" w:hAnsi="Times New Roman"/>
          <w:bCs/>
          <w:color w:val="000000"/>
          <w:sz w:val="26"/>
          <w:szCs w:val="26"/>
        </w:rPr>
        <w:t>.</w:t>
      </w:r>
    </w:p>
    <w:p w:rsidR="00251752" w:rsidRDefault="00251752" w:rsidP="00A426A7">
      <w:pPr>
        <w:tabs>
          <w:tab w:val="left" w:pos="1440"/>
        </w:tabs>
        <w:ind w:firstLine="720"/>
        <w:rPr>
          <w:rFonts w:ascii="Times New Roman" w:hAnsi="Times New Roman"/>
          <w:bCs/>
          <w:color w:val="000000"/>
          <w:sz w:val="26"/>
          <w:szCs w:val="26"/>
        </w:rPr>
      </w:pPr>
    </w:p>
    <w:p w:rsidR="00DD347A" w:rsidRDefault="005B1E89" w:rsidP="00DD347A">
      <w:pPr>
        <w:pStyle w:val="ListParagraph"/>
        <w:ind w:left="0" w:firstLine="1440"/>
        <w:rPr>
          <w:rFonts w:ascii="Times New Roman" w:hAnsi="Times New Roman"/>
          <w:sz w:val="26"/>
          <w:szCs w:val="26"/>
        </w:rPr>
      </w:pPr>
      <w:r w:rsidRPr="0079185D">
        <w:rPr>
          <w:rFonts w:ascii="Times New Roman" w:hAnsi="Times New Roman"/>
          <w:color w:val="000000"/>
          <w:sz w:val="26"/>
          <w:szCs w:val="26"/>
        </w:rPr>
        <w:t xml:space="preserve">The OCA </w:t>
      </w:r>
      <w:r w:rsidR="00251752">
        <w:rPr>
          <w:rFonts w:ascii="Times New Roman" w:hAnsi="Times New Roman"/>
          <w:color w:val="000000"/>
          <w:sz w:val="26"/>
          <w:szCs w:val="26"/>
        </w:rPr>
        <w:t xml:space="preserve">also </w:t>
      </w:r>
      <w:r w:rsidRPr="0079185D">
        <w:rPr>
          <w:rFonts w:ascii="Times New Roman" w:hAnsi="Times New Roman"/>
          <w:color w:val="000000"/>
          <w:sz w:val="26"/>
          <w:szCs w:val="26"/>
        </w:rPr>
        <w:t>maintained that t</w:t>
      </w:r>
      <w:r w:rsidRPr="0079185D">
        <w:rPr>
          <w:rFonts w:ascii="Times New Roman" w:hAnsi="Times New Roman"/>
          <w:sz w:val="26"/>
          <w:szCs w:val="26"/>
        </w:rPr>
        <w:t>he Commission has the authority to order equitable remedies and to do so under the present circumstances would be entirely consistently with past precedent.</w:t>
      </w:r>
      <w:r>
        <w:rPr>
          <w:rFonts w:ascii="Times New Roman" w:hAnsi="Times New Roman"/>
          <w:sz w:val="26"/>
          <w:szCs w:val="26"/>
        </w:rPr>
        <w:t xml:space="preserve">  OCA M.B. at 3-4.</w:t>
      </w:r>
      <w:r w:rsidR="00251752">
        <w:rPr>
          <w:rFonts w:ascii="Times New Roman" w:hAnsi="Times New Roman"/>
          <w:sz w:val="26"/>
          <w:szCs w:val="26"/>
        </w:rPr>
        <w:t xml:space="preserve">  </w:t>
      </w:r>
      <w:r w:rsidR="00DD347A" w:rsidRPr="00C574E2">
        <w:rPr>
          <w:rFonts w:ascii="Times New Roman" w:hAnsi="Times New Roman"/>
          <w:sz w:val="26"/>
          <w:szCs w:val="26"/>
        </w:rPr>
        <w:t>The Complainant and the OCA request</w:t>
      </w:r>
      <w:r w:rsidR="00A426A7">
        <w:rPr>
          <w:rFonts w:ascii="Times New Roman" w:hAnsi="Times New Roman"/>
          <w:sz w:val="26"/>
          <w:szCs w:val="26"/>
        </w:rPr>
        <w:t>ed</w:t>
      </w:r>
      <w:r w:rsidR="00DD347A" w:rsidRPr="00C574E2">
        <w:rPr>
          <w:rFonts w:ascii="Times New Roman" w:hAnsi="Times New Roman"/>
          <w:sz w:val="26"/>
          <w:szCs w:val="26"/>
        </w:rPr>
        <w:t xml:space="preserve"> a refund or credit </w:t>
      </w:r>
      <w:r w:rsidR="00DD347A">
        <w:rPr>
          <w:rFonts w:ascii="Times New Roman" w:hAnsi="Times New Roman"/>
          <w:sz w:val="26"/>
          <w:szCs w:val="26"/>
        </w:rPr>
        <w:t>a</w:t>
      </w:r>
      <w:r w:rsidR="00A709D1">
        <w:rPr>
          <w:rFonts w:ascii="Times New Roman" w:hAnsi="Times New Roman"/>
          <w:sz w:val="26"/>
          <w:szCs w:val="26"/>
        </w:rPr>
        <w:t xml:space="preserve">s consistent with </w:t>
      </w:r>
      <w:r w:rsidR="00AF3C70">
        <w:rPr>
          <w:rFonts w:ascii="Times New Roman" w:hAnsi="Times New Roman"/>
          <w:sz w:val="26"/>
          <w:szCs w:val="26"/>
        </w:rPr>
        <w:t xml:space="preserve">Sections 501 and 2809(e) of the Code, </w:t>
      </w:r>
      <w:r w:rsidR="00DD347A">
        <w:rPr>
          <w:rFonts w:ascii="Times New Roman" w:hAnsi="Times New Roman"/>
          <w:sz w:val="26"/>
          <w:szCs w:val="26"/>
        </w:rPr>
        <w:t xml:space="preserve">66 Pa. C.S. §§ 501 and 2809(e).  </w:t>
      </w:r>
      <w:r w:rsidR="00465864">
        <w:rPr>
          <w:rFonts w:ascii="Times New Roman" w:hAnsi="Times New Roman"/>
          <w:sz w:val="26"/>
          <w:szCs w:val="26"/>
        </w:rPr>
        <w:t>OCA M.B. at 15-17.</w:t>
      </w:r>
    </w:p>
    <w:p w:rsidR="00251752" w:rsidRDefault="00251752" w:rsidP="00DD347A">
      <w:pPr>
        <w:pStyle w:val="ListParagraph"/>
        <w:ind w:left="0" w:firstLine="1440"/>
        <w:rPr>
          <w:rFonts w:ascii="Times New Roman" w:hAnsi="Times New Roman"/>
          <w:sz w:val="26"/>
          <w:szCs w:val="26"/>
        </w:rPr>
      </w:pPr>
    </w:p>
    <w:p w:rsidR="00A94F45" w:rsidRDefault="009D72A7" w:rsidP="00DD347A">
      <w:pPr>
        <w:pStyle w:val="ListParagraph"/>
        <w:ind w:left="0" w:firstLine="1440"/>
        <w:rPr>
          <w:rFonts w:ascii="Times New Roman" w:hAnsi="Times New Roman"/>
          <w:sz w:val="26"/>
          <w:szCs w:val="26"/>
        </w:rPr>
      </w:pPr>
      <w:r>
        <w:rPr>
          <w:rFonts w:ascii="Times New Roman" w:hAnsi="Times New Roman"/>
          <w:sz w:val="26"/>
          <w:szCs w:val="26"/>
        </w:rPr>
        <w:t>T</w:t>
      </w:r>
      <w:r w:rsidR="00251752">
        <w:rPr>
          <w:rFonts w:ascii="Times New Roman" w:hAnsi="Times New Roman"/>
          <w:sz w:val="26"/>
          <w:szCs w:val="26"/>
        </w:rPr>
        <w:t xml:space="preserve">he OCA </w:t>
      </w:r>
      <w:r>
        <w:rPr>
          <w:rFonts w:ascii="Times New Roman" w:hAnsi="Times New Roman"/>
          <w:sz w:val="26"/>
          <w:szCs w:val="26"/>
        </w:rPr>
        <w:t xml:space="preserve">also </w:t>
      </w:r>
      <w:r w:rsidR="00251752">
        <w:rPr>
          <w:rFonts w:ascii="Times New Roman" w:hAnsi="Times New Roman"/>
          <w:sz w:val="26"/>
          <w:szCs w:val="26"/>
        </w:rPr>
        <w:t>submitted that the Commission should consider the imposition of fines under authority of Section 3301 of the Code, 66 Pa. C.S. § 3301(a), and our Regulations at 52 Pa. Code §§ 54.42 and 111.3</w:t>
      </w:r>
      <w:r w:rsidR="00B90B72">
        <w:rPr>
          <w:rFonts w:ascii="Times New Roman" w:hAnsi="Times New Roman"/>
          <w:sz w:val="26"/>
          <w:szCs w:val="26"/>
        </w:rPr>
        <w:t>(</w:t>
      </w:r>
      <w:r w:rsidR="00251752">
        <w:rPr>
          <w:rFonts w:ascii="Times New Roman" w:hAnsi="Times New Roman"/>
          <w:sz w:val="26"/>
          <w:szCs w:val="26"/>
        </w:rPr>
        <w:t>c).  Referring to the Commission’s policy statement at 52 Pa. Code § 69.1201</w:t>
      </w:r>
      <w:r w:rsidR="00B90B72">
        <w:rPr>
          <w:rFonts w:ascii="Times New Roman" w:hAnsi="Times New Roman"/>
          <w:sz w:val="26"/>
          <w:szCs w:val="26"/>
        </w:rPr>
        <w:t xml:space="preserve">, the OCA characterized the nature of Respond’s sales agent’s door-to-door marketing as “willful fraud or misrepresentation” that resulted in financial harm to the Complainant.  Accordingly, the OCA </w:t>
      </w:r>
      <w:r w:rsidR="00A709D1">
        <w:rPr>
          <w:rFonts w:ascii="Times New Roman" w:hAnsi="Times New Roman"/>
          <w:sz w:val="26"/>
          <w:szCs w:val="26"/>
        </w:rPr>
        <w:t xml:space="preserve">also </w:t>
      </w:r>
      <w:r w:rsidR="00B90B72">
        <w:rPr>
          <w:rFonts w:ascii="Times New Roman" w:hAnsi="Times New Roman"/>
          <w:sz w:val="26"/>
          <w:szCs w:val="26"/>
        </w:rPr>
        <w:t xml:space="preserve">considered a civil penalty </w:t>
      </w:r>
      <w:r w:rsidR="00A709D1">
        <w:rPr>
          <w:rFonts w:ascii="Times New Roman" w:hAnsi="Times New Roman"/>
          <w:sz w:val="26"/>
          <w:szCs w:val="26"/>
        </w:rPr>
        <w:t xml:space="preserve">to be </w:t>
      </w:r>
      <w:r w:rsidR="00B90B72">
        <w:rPr>
          <w:rFonts w:ascii="Times New Roman" w:hAnsi="Times New Roman"/>
          <w:sz w:val="26"/>
          <w:szCs w:val="26"/>
        </w:rPr>
        <w:t>appropriate.  OCA M.B. at 17-18.</w:t>
      </w:r>
    </w:p>
    <w:p w:rsidR="00A426A7" w:rsidRDefault="00A426A7" w:rsidP="00DD347A">
      <w:pPr>
        <w:pStyle w:val="ListParagraph"/>
        <w:ind w:left="0" w:firstLine="1440"/>
        <w:rPr>
          <w:rFonts w:ascii="Times New Roman" w:hAnsi="Times New Roman"/>
          <w:sz w:val="26"/>
          <w:szCs w:val="26"/>
        </w:rPr>
      </w:pPr>
    </w:p>
    <w:p w:rsidR="00DD347A" w:rsidRDefault="00A94F45" w:rsidP="00A426A7">
      <w:pPr>
        <w:pStyle w:val="ListParagraph"/>
        <w:ind w:left="0" w:firstLine="1440"/>
        <w:rPr>
          <w:rFonts w:ascii="Times New Roman" w:hAnsi="Times New Roman"/>
          <w:sz w:val="26"/>
          <w:szCs w:val="26"/>
        </w:rPr>
      </w:pPr>
      <w:r>
        <w:rPr>
          <w:rFonts w:ascii="Times New Roman" w:hAnsi="Times New Roman"/>
          <w:sz w:val="26"/>
          <w:szCs w:val="26"/>
        </w:rPr>
        <w:t xml:space="preserve">In its Reply Brief, the OCA confirmed that </w:t>
      </w:r>
      <w:r w:rsidR="009D72A7">
        <w:rPr>
          <w:rFonts w:ascii="Times New Roman" w:hAnsi="Times New Roman"/>
          <w:sz w:val="26"/>
          <w:szCs w:val="26"/>
        </w:rPr>
        <w:t xml:space="preserve">Respond is responsible for the oral sales representations of its agents, and that neither compliance with the disclosure statement nor training and monitoring of its sales agent negates an agent’s false or </w:t>
      </w:r>
      <w:r w:rsidR="009D72A7">
        <w:rPr>
          <w:rFonts w:ascii="Times New Roman" w:hAnsi="Times New Roman"/>
          <w:sz w:val="26"/>
          <w:szCs w:val="26"/>
        </w:rPr>
        <w:lastRenderedPageBreak/>
        <w:t xml:space="preserve">misleading oral sales representations.  As a licensed EGS, Respond must comply with all applicable Regulations, including </w:t>
      </w:r>
      <w:r w:rsidR="00645E2B">
        <w:rPr>
          <w:rFonts w:ascii="Times New Roman" w:hAnsi="Times New Roman"/>
          <w:sz w:val="26"/>
          <w:szCs w:val="26"/>
        </w:rPr>
        <w:t xml:space="preserve">those </w:t>
      </w:r>
      <w:r w:rsidR="00F70891">
        <w:rPr>
          <w:rFonts w:ascii="Times New Roman" w:hAnsi="Times New Roman"/>
          <w:sz w:val="26"/>
          <w:szCs w:val="26"/>
        </w:rPr>
        <w:t xml:space="preserve">addressing both </w:t>
      </w:r>
      <w:r w:rsidR="00645E2B">
        <w:rPr>
          <w:rFonts w:ascii="Times New Roman" w:hAnsi="Times New Roman"/>
          <w:sz w:val="26"/>
          <w:szCs w:val="26"/>
        </w:rPr>
        <w:t xml:space="preserve">oral communications </w:t>
      </w:r>
      <w:r w:rsidR="00F70891">
        <w:rPr>
          <w:rFonts w:ascii="Times New Roman" w:hAnsi="Times New Roman"/>
          <w:sz w:val="26"/>
          <w:szCs w:val="26"/>
        </w:rPr>
        <w:t xml:space="preserve">and </w:t>
      </w:r>
      <w:r w:rsidR="009D72A7">
        <w:rPr>
          <w:rFonts w:ascii="Times New Roman" w:hAnsi="Times New Roman"/>
          <w:sz w:val="26"/>
          <w:szCs w:val="26"/>
        </w:rPr>
        <w:t xml:space="preserve">written documents. Thus contended the OCA, “Respond’s suggestion that the oral communications of its sales agents are superseded by the disclosure statement, once provided, is contrary to the Commission’s regulations.”  </w:t>
      </w:r>
      <w:proofErr w:type="gramStart"/>
      <w:r w:rsidR="009D72A7">
        <w:rPr>
          <w:rFonts w:ascii="Times New Roman" w:hAnsi="Times New Roman"/>
          <w:sz w:val="26"/>
          <w:szCs w:val="26"/>
        </w:rPr>
        <w:t>OCA R. B. at 8.</w:t>
      </w:r>
      <w:proofErr w:type="gramEnd"/>
    </w:p>
    <w:p w:rsidR="005B1E89" w:rsidRDefault="005B1E89" w:rsidP="005B1E89">
      <w:pPr>
        <w:rPr>
          <w:rFonts w:ascii="Times New Roman" w:hAnsi="Times New Roman"/>
          <w:sz w:val="26"/>
          <w:szCs w:val="26"/>
        </w:rPr>
      </w:pPr>
    </w:p>
    <w:p w:rsidR="00637592" w:rsidRPr="00F70891" w:rsidRDefault="00E57EFA" w:rsidP="00521D8D">
      <w:pPr>
        <w:keepNext/>
        <w:keepLines/>
        <w:rPr>
          <w:rFonts w:ascii="Times New Roman" w:hAnsi="Times New Roman"/>
          <w:sz w:val="26"/>
          <w:szCs w:val="26"/>
        </w:rPr>
      </w:pPr>
      <w:r>
        <w:rPr>
          <w:rFonts w:ascii="Times New Roman" w:hAnsi="Times New Roman"/>
          <w:b/>
          <w:sz w:val="26"/>
          <w:szCs w:val="26"/>
        </w:rPr>
        <w:t>C</w:t>
      </w:r>
      <w:r w:rsidR="005B1E89">
        <w:rPr>
          <w:rFonts w:ascii="Times New Roman" w:hAnsi="Times New Roman"/>
          <w:b/>
          <w:sz w:val="26"/>
          <w:szCs w:val="26"/>
        </w:rPr>
        <w:t>.</w:t>
      </w:r>
      <w:r w:rsidR="005B1E89">
        <w:rPr>
          <w:rFonts w:ascii="Times New Roman" w:hAnsi="Times New Roman"/>
          <w:b/>
          <w:sz w:val="26"/>
          <w:szCs w:val="26"/>
        </w:rPr>
        <w:tab/>
      </w:r>
      <w:r w:rsidR="00062B18">
        <w:rPr>
          <w:rFonts w:ascii="Times New Roman" w:hAnsi="Times New Roman"/>
          <w:b/>
          <w:sz w:val="26"/>
          <w:szCs w:val="26"/>
        </w:rPr>
        <w:t xml:space="preserve">The </w:t>
      </w:r>
      <w:r w:rsidR="00E72288" w:rsidRPr="00DE68FB">
        <w:rPr>
          <w:rFonts w:ascii="Times New Roman" w:hAnsi="Times New Roman"/>
          <w:b/>
          <w:sz w:val="26"/>
          <w:szCs w:val="26"/>
        </w:rPr>
        <w:t>ALJ’s Initial Decision</w:t>
      </w:r>
    </w:p>
    <w:p w:rsidR="00FF74C2" w:rsidRPr="00F70891" w:rsidRDefault="00FF74C2" w:rsidP="00521D8D">
      <w:pPr>
        <w:keepNext/>
        <w:keepLines/>
        <w:rPr>
          <w:rFonts w:ascii="Times New Roman" w:hAnsi="Times New Roman"/>
          <w:sz w:val="26"/>
          <w:szCs w:val="26"/>
        </w:rPr>
      </w:pPr>
    </w:p>
    <w:p w:rsidR="00FF74C2" w:rsidRPr="00FF74C2" w:rsidRDefault="00FF74C2" w:rsidP="00DE68FB">
      <w:pPr>
        <w:rPr>
          <w:rFonts w:ascii="Times New Roman" w:hAnsi="Times New Roman"/>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sz w:val="26"/>
          <w:szCs w:val="26"/>
        </w:rPr>
        <w:t>In her Initial D</w:t>
      </w:r>
      <w:r w:rsidRPr="00FF74C2">
        <w:rPr>
          <w:rFonts w:ascii="Times New Roman" w:hAnsi="Times New Roman"/>
          <w:sz w:val="26"/>
          <w:szCs w:val="26"/>
        </w:rPr>
        <w:t>ecision</w:t>
      </w:r>
      <w:r>
        <w:rPr>
          <w:rFonts w:ascii="Times New Roman" w:hAnsi="Times New Roman"/>
          <w:sz w:val="26"/>
          <w:szCs w:val="26"/>
        </w:rPr>
        <w:t xml:space="preserve">, </w:t>
      </w:r>
      <w:r w:rsidR="002C62FF">
        <w:rPr>
          <w:rFonts w:ascii="Times New Roman" w:hAnsi="Times New Roman"/>
          <w:sz w:val="26"/>
          <w:szCs w:val="26"/>
        </w:rPr>
        <w:t>the ALJ sustained the Complaint, directed</w:t>
      </w:r>
      <w:r>
        <w:rPr>
          <w:rFonts w:ascii="Times New Roman" w:hAnsi="Times New Roman"/>
          <w:sz w:val="26"/>
          <w:szCs w:val="26"/>
        </w:rPr>
        <w:t xml:space="preserve"> Respond to pay a refund or issue a cr</w:t>
      </w:r>
      <w:r w:rsidR="002C62FF">
        <w:rPr>
          <w:rFonts w:ascii="Times New Roman" w:hAnsi="Times New Roman"/>
          <w:sz w:val="26"/>
          <w:szCs w:val="26"/>
        </w:rPr>
        <w:t>edit to the customer</w:t>
      </w:r>
      <w:r w:rsidR="00A426A7">
        <w:rPr>
          <w:rFonts w:ascii="Times New Roman" w:hAnsi="Times New Roman"/>
          <w:sz w:val="26"/>
          <w:szCs w:val="26"/>
        </w:rPr>
        <w:t>,</w:t>
      </w:r>
      <w:r w:rsidR="002C62FF">
        <w:rPr>
          <w:rFonts w:ascii="Times New Roman" w:hAnsi="Times New Roman"/>
          <w:sz w:val="26"/>
          <w:szCs w:val="26"/>
        </w:rPr>
        <w:t xml:space="preserve"> and directed</w:t>
      </w:r>
      <w:r>
        <w:rPr>
          <w:rFonts w:ascii="Times New Roman" w:hAnsi="Times New Roman"/>
          <w:sz w:val="26"/>
          <w:szCs w:val="26"/>
        </w:rPr>
        <w:t xml:space="preserve"> Respond to pay a civil penalty in the amount of $10,000.</w:t>
      </w:r>
      <w:r w:rsidR="009B3A5C">
        <w:rPr>
          <w:rFonts w:ascii="Times New Roman" w:hAnsi="Times New Roman"/>
          <w:sz w:val="26"/>
          <w:szCs w:val="26"/>
        </w:rPr>
        <w:t xml:space="preserve">  </w:t>
      </w:r>
      <w:proofErr w:type="gramStart"/>
      <w:r w:rsidR="009B3A5C">
        <w:rPr>
          <w:rFonts w:ascii="Times New Roman" w:hAnsi="Times New Roman"/>
          <w:sz w:val="26"/>
          <w:szCs w:val="26"/>
        </w:rPr>
        <w:t>I.D. at 1</w:t>
      </w:r>
      <w:r w:rsidR="002C62FF">
        <w:rPr>
          <w:rFonts w:ascii="Times New Roman" w:hAnsi="Times New Roman"/>
          <w:sz w:val="26"/>
          <w:szCs w:val="26"/>
        </w:rPr>
        <w:t>.</w:t>
      </w:r>
      <w:proofErr w:type="gramEnd"/>
    </w:p>
    <w:p w:rsidR="005C52C9" w:rsidRPr="00DE68FB" w:rsidRDefault="005C52C9" w:rsidP="00DE68FB">
      <w:pPr>
        <w:rPr>
          <w:rFonts w:ascii="Times New Roman" w:hAnsi="Times New Roman"/>
          <w:sz w:val="26"/>
          <w:szCs w:val="26"/>
        </w:rPr>
      </w:pPr>
    </w:p>
    <w:p w:rsidR="00DC7C52" w:rsidRPr="00DE68FB" w:rsidRDefault="00A84AB5" w:rsidP="00DE68FB">
      <w:pPr>
        <w:rPr>
          <w:rFonts w:ascii="Times New Roman" w:hAnsi="Times New Roman"/>
          <w:sz w:val="26"/>
          <w:szCs w:val="26"/>
        </w:rPr>
      </w:pPr>
      <w:r w:rsidRPr="00DE68FB">
        <w:rPr>
          <w:rFonts w:ascii="Times New Roman" w:hAnsi="Times New Roman"/>
          <w:sz w:val="26"/>
          <w:szCs w:val="26"/>
        </w:rPr>
        <w:tab/>
      </w:r>
      <w:r w:rsidRPr="00DE68FB">
        <w:rPr>
          <w:rFonts w:ascii="Times New Roman" w:hAnsi="Times New Roman"/>
          <w:sz w:val="26"/>
          <w:szCs w:val="26"/>
        </w:rPr>
        <w:tab/>
      </w:r>
      <w:r w:rsidR="00F70891">
        <w:rPr>
          <w:rFonts w:ascii="Times New Roman" w:hAnsi="Times New Roman"/>
          <w:sz w:val="26"/>
          <w:szCs w:val="26"/>
        </w:rPr>
        <w:t>T</w:t>
      </w:r>
      <w:r w:rsidRPr="00DE68FB">
        <w:rPr>
          <w:rFonts w:ascii="Times New Roman" w:hAnsi="Times New Roman"/>
          <w:sz w:val="26"/>
          <w:szCs w:val="26"/>
        </w:rPr>
        <w:t>he ALJ</w:t>
      </w:r>
      <w:r w:rsidR="00FF74C2">
        <w:rPr>
          <w:rFonts w:ascii="Times New Roman" w:hAnsi="Times New Roman"/>
          <w:sz w:val="26"/>
          <w:szCs w:val="26"/>
        </w:rPr>
        <w:t xml:space="preserve"> </w:t>
      </w:r>
      <w:r w:rsidR="00F70891">
        <w:rPr>
          <w:rFonts w:ascii="Times New Roman" w:hAnsi="Times New Roman"/>
          <w:sz w:val="26"/>
          <w:szCs w:val="26"/>
        </w:rPr>
        <w:t xml:space="preserve">addressed the Commission’s </w:t>
      </w:r>
      <w:r w:rsidR="00580F09" w:rsidRPr="00DE68FB">
        <w:rPr>
          <w:rFonts w:ascii="Times New Roman" w:hAnsi="Times New Roman"/>
          <w:sz w:val="26"/>
          <w:szCs w:val="26"/>
        </w:rPr>
        <w:t>jurisdiction</w:t>
      </w:r>
      <w:r w:rsidR="00F70891">
        <w:rPr>
          <w:rFonts w:ascii="Times New Roman" w:hAnsi="Times New Roman"/>
          <w:sz w:val="26"/>
          <w:szCs w:val="26"/>
        </w:rPr>
        <w:t xml:space="preserve"> over</w:t>
      </w:r>
      <w:r w:rsidR="00580F09" w:rsidRPr="00DE68FB">
        <w:rPr>
          <w:rFonts w:ascii="Times New Roman" w:hAnsi="Times New Roman"/>
          <w:sz w:val="26"/>
          <w:szCs w:val="26"/>
        </w:rPr>
        <w:t xml:space="preserve"> the subject matter of this Complaint</w:t>
      </w:r>
      <w:r w:rsidR="00F70891">
        <w:rPr>
          <w:rFonts w:ascii="Times New Roman" w:hAnsi="Times New Roman"/>
          <w:sz w:val="26"/>
          <w:szCs w:val="26"/>
        </w:rPr>
        <w:t xml:space="preserve">, stating </w:t>
      </w:r>
      <w:r w:rsidR="005879CC" w:rsidRPr="00DE68FB">
        <w:rPr>
          <w:rFonts w:ascii="Times New Roman" w:hAnsi="Times New Roman"/>
          <w:sz w:val="26"/>
          <w:szCs w:val="26"/>
        </w:rPr>
        <w:t>t</w:t>
      </w:r>
      <w:r w:rsidR="00DC7C52" w:rsidRPr="00DE68FB">
        <w:rPr>
          <w:rFonts w:ascii="Times New Roman" w:hAnsi="Times New Roman"/>
          <w:sz w:val="26"/>
          <w:szCs w:val="26"/>
        </w:rPr>
        <w:t xml:space="preserve">he Commission does not have subject matter jurisdiction to interpret the terms and conditions of a contract between an EGS and a customer to determine whether a breach of the contract has occurred.  </w:t>
      </w:r>
      <w:proofErr w:type="gramStart"/>
      <w:r w:rsidR="002F6A0E">
        <w:rPr>
          <w:rFonts w:ascii="Times New Roman" w:hAnsi="Times New Roman"/>
          <w:sz w:val="26"/>
          <w:szCs w:val="26"/>
        </w:rPr>
        <w:t xml:space="preserve">I.D. at 12, citing </w:t>
      </w:r>
      <w:r w:rsidR="00DC7C52" w:rsidRPr="00DE68FB">
        <w:rPr>
          <w:rFonts w:ascii="Times New Roman" w:hAnsi="Times New Roman"/>
          <w:i/>
          <w:sz w:val="26"/>
          <w:szCs w:val="26"/>
        </w:rPr>
        <w:t>Allport Water Auth. v. Winburne Water Co.</w:t>
      </w:r>
      <w:r w:rsidR="00DC7C52" w:rsidRPr="00DE68FB">
        <w:rPr>
          <w:rFonts w:ascii="Times New Roman" w:hAnsi="Times New Roman"/>
          <w:sz w:val="26"/>
          <w:szCs w:val="26"/>
        </w:rPr>
        <w:t>, 393 A.2d 673 (Pa. Super. 1978).</w:t>
      </w:r>
      <w:proofErr w:type="gramEnd"/>
      <w:r w:rsidR="00DC7C52" w:rsidRPr="00DE68FB">
        <w:rPr>
          <w:rFonts w:ascii="Times New Roman" w:hAnsi="Times New Roman"/>
          <w:sz w:val="26"/>
          <w:szCs w:val="26"/>
        </w:rPr>
        <w:t xml:space="preserve">  </w:t>
      </w:r>
      <w:r w:rsidR="00F70891">
        <w:rPr>
          <w:rFonts w:ascii="Times New Roman" w:hAnsi="Times New Roman"/>
          <w:sz w:val="26"/>
          <w:szCs w:val="26"/>
        </w:rPr>
        <w:t xml:space="preserve">The ALJ also affirmed that </w:t>
      </w:r>
      <w:r w:rsidR="00675831" w:rsidRPr="00DE68FB">
        <w:rPr>
          <w:rFonts w:ascii="Times New Roman" w:hAnsi="Times New Roman"/>
          <w:sz w:val="26"/>
          <w:szCs w:val="26"/>
        </w:rPr>
        <w:t>t</w:t>
      </w:r>
      <w:r w:rsidR="00DC7C52" w:rsidRPr="00DE68FB">
        <w:rPr>
          <w:rFonts w:ascii="Times New Roman" w:hAnsi="Times New Roman"/>
          <w:sz w:val="26"/>
          <w:szCs w:val="26"/>
        </w:rPr>
        <w:t xml:space="preserve">he Commission has held that it does not have traditional ratemaking authority over competitive suppliers and has not asserted authority to regulate competitive supply rates.  However, </w:t>
      </w:r>
      <w:r w:rsidR="00816DE7">
        <w:rPr>
          <w:rFonts w:ascii="Times New Roman" w:hAnsi="Times New Roman"/>
          <w:sz w:val="26"/>
          <w:szCs w:val="26"/>
        </w:rPr>
        <w:t xml:space="preserve">the ALJ noted that </w:t>
      </w:r>
      <w:r w:rsidR="00DC7C52" w:rsidRPr="00DE68FB">
        <w:rPr>
          <w:rFonts w:ascii="Times New Roman" w:hAnsi="Times New Roman"/>
          <w:sz w:val="26"/>
          <w:szCs w:val="26"/>
        </w:rPr>
        <w:t>the Commission recently held it has subject matter jurisdiction to regulate certain aspec</w:t>
      </w:r>
      <w:r w:rsidR="00816DE7">
        <w:rPr>
          <w:rFonts w:ascii="Times New Roman" w:hAnsi="Times New Roman"/>
          <w:sz w:val="26"/>
          <w:szCs w:val="26"/>
        </w:rPr>
        <w:t>ts of the services provided by EGS</w:t>
      </w:r>
      <w:r w:rsidR="00021EE8">
        <w:rPr>
          <w:rFonts w:ascii="Times New Roman" w:hAnsi="Times New Roman"/>
          <w:sz w:val="26"/>
          <w:szCs w:val="26"/>
        </w:rPr>
        <w:t>s</w:t>
      </w:r>
      <w:r w:rsidR="00DC7C52" w:rsidRPr="00DE68FB">
        <w:rPr>
          <w:rFonts w:ascii="Times New Roman" w:hAnsi="Times New Roman"/>
          <w:sz w:val="26"/>
          <w:szCs w:val="26"/>
        </w:rPr>
        <w:t>, specifically issues involving S</w:t>
      </w:r>
      <w:r w:rsidR="004300A2">
        <w:rPr>
          <w:rFonts w:ascii="Times New Roman" w:hAnsi="Times New Roman"/>
          <w:sz w:val="26"/>
          <w:szCs w:val="26"/>
        </w:rPr>
        <w:t xml:space="preserve">ections 54.4(a) and 54.5(a) of </w:t>
      </w:r>
      <w:r w:rsidR="00021EE8">
        <w:rPr>
          <w:rFonts w:ascii="Times New Roman" w:hAnsi="Times New Roman"/>
          <w:sz w:val="26"/>
          <w:szCs w:val="26"/>
        </w:rPr>
        <w:t>our Regulations</w:t>
      </w:r>
      <w:r w:rsidR="00DD32E2">
        <w:rPr>
          <w:rFonts w:ascii="Times New Roman" w:hAnsi="Times New Roman"/>
          <w:sz w:val="26"/>
          <w:szCs w:val="26"/>
        </w:rPr>
        <w:t>, which include the mandate</w:t>
      </w:r>
      <w:r w:rsidR="00F70891">
        <w:rPr>
          <w:rFonts w:ascii="Times New Roman" w:hAnsi="Times New Roman"/>
          <w:sz w:val="26"/>
          <w:szCs w:val="26"/>
        </w:rPr>
        <w:t>s</w:t>
      </w:r>
      <w:r w:rsidR="00DD32E2">
        <w:rPr>
          <w:rFonts w:ascii="Times New Roman" w:hAnsi="Times New Roman"/>
          <w:sz w:val="26"/>
          <w:szCs w:val="26"/>
        </w:rPr>
        <w:t xml:space="preserve"> that prices that are marketed, agreed upon, and billed must conform to each other.</w:t>
      </w:r>
      <w:r w:rsidR="00DC7C52" w:rsidRPr="00DE68FB">
        <w:rPr>
          <w:rFonts w:ascii="Times New Roman" w:hAnsi="Times New Roman"/>
          <w:sz w:val="26"/>
          <w:szCs w:val="26"/>
        </w:rPr>
        <w:t xml:space="preserve">  </w:t>
      </w:r>
      <w:r w:rsidR="00816DE7">
        <w:rPr>
          <w:rFonts w:ascii="Times New Roman" w:hAnsi="Times New Roman"/>
          <w:sz w:val="26"/>
          <w:szCs w:val="26"/>
        </w:rPr>
        <w:t xml:space="preserve">The ALJ referenced </w:t>
      </w:r>
      <w:r w:rsidR="00DC7C52" w:rsidRPr="00DE68FB">
        <w:rPr>
          <w:rFonts w:ascii="Times New Roman" w:hAnsi="Times New Roman"/>
          <w:i/>
          <w:sz w:val="26"/>
          <w:szCs w:val="26"/>
        </w:rPr>
        <w:t xml:space="preserve">Commonwealth of Pennsylvania v. Blue Pilot Energy, LLC, </w:t>
      </w:r>
      <w:proofErr w:type="gramStart"/>
      <w:r w:rsidR="00822373">
        <w:rPr>
          <w:rFonts w:ascii="Times New Roman" w:hAnsi="Times New Roman"/>
          <w:sz w:val="26"/>
          <w:szCs w:val="26"/>
        </w:rPr>
        <w:t>Docket</w:t>
      </w:r>
      <w:proofErr w:type="gramEnd"/>
      <w:r w:rsidR="00822373">
        <w:rPr>
          <w:rFonts w:ascii="Times New Roman" w:hAnsi="Times New Roman"/>
          <w:sz w:val="26"/>
          <w:szCs w:val="26"/>
        </w:rPr>
        <w:t xml:space="preserve"> No. </w:t>
      </w:r>
      <w:r w:rsidR="00DC7C52" w:rsidRPr="00DE68FB">
        <w:rPr>
          <w:rFonts w:ascii="Times New Roman" w:hAnsi="Times New Roman"/>
          <w:sz w:val="26"/>
          <w:szCs w:val="26"/>
        </w:rPr>
        <w:t>C-2014-2427655,</w:t>
      </w:r>
      <w:r w:rsidR="00DC7C52" w:rsidRPr="00DE68FB">
        <w:rPr>
          <w:rFonts w:ascii="Times New Roman" w:hAnsi="Times New Roman"/>
          <w:i/>
          <w:sz w:val="26"/>
          <w:szCs w:val="26"/>
        </w:rPr>
        <w:t xml:space="preserve"> </w:t>
      </w:r>
      <w:r w:rsidR="00816DE7">
        <w:rPr>
          <w:rFonts w:ascii="Times New Roman" w:hAnsi="Times New Roman"/>
          <w:sz w:val="26"/>
          <w:szCs w:val="26"/>
        </w:rPr>
        <w:t>(</w:t>
      </w:r>
      <w:r w:rsidR="00DC7C52" w:rsidRPr="00DE68FB">
        <w:rPr>
          <w:rFonts w:ascii="Times New Roman" w:hAnsi="Times New Roman"/>
          <w:sz w:val="26"/>
          <w:szCs w:val="26"/>
        </w:rPr>
        <w:t>Order entered December 11, 2014</w:t>
      </w:r>
      <w:r w:rsidR="00816DE7">
        <w:rPr>
          <w:rFonts w:ascii="Times New Roman" w:hAnsi="Times New Roman"/>
          <w:sz w:val="26"/>
          <w:szCs w:val="26"/>
        </w:rPr>
        <w:t>)</w:t>
      </w:r>
      <w:r w:rsidR="00B608C7">
        <w:rPr>
          <w:rFonts w:ascii="Times New Roman" w:hAnsi="Times New Roman"/>
          <w:sz w:val="26"/>
          <w:szCs w:val="26"/>
        </w:rPr>
        <w:t xml:space="preserve"> </w:t>
      </w:r>
      <w:r w:rsidR="00822373">
        <w:rPr>
          <w:rFonts w:ascii="Times New Roman" w:hAnsi="Times New Roman"/>
          <w:sz w:val="26"/>
          <w:szCs w:val="26"/>
        </w:rPr>
        <w:t>(</w:t>
      </w:r>
      <w:r w:rsidR="00822373">
        <w:rPr>
          <w:rFonts w:ascii="Times New Roman" w:hAnsi="Times New Roman"/>
          <w:i/>
          <w:sz w:val="26"/>
          <w:szCs w:val="26"/>
        </w:rPr>
        <w:t>Blue Pilot</w:t>
      </w:r>
      <w:r w:rsidR="00CA66DB">
        <w:rPr>
          <w:rFonts w:ascii="Times New Roman" w:hAnsi="Times New Roman"/>
          <w:i/>
          <w:sz w:val="26"/>
          <w:szCs w:val="26"/>
        </w:rPr>
        <w:t xml:space="preserve"> Material Question</w:t>
      </w:r>
      <w:r w:rsidR="00822373">
        <w:rPr>
          <w:rFonts w:ascii="Times New Roman" w:hAnsi="Times New Roman"/>
          <w:i/>
          <w:sz w:val="26"/>
          <w:szCs w:val="26"/>
        </w:rPr>
        <w:t>)</w:t>
      </w:r>
      <w:r w:rsidR="00DC7C52" w:rsidRPr="00DE68FB">
        <w:rPr>
          <w:rFonts w:ascii="Times New Roman" w:hAnsi="Times New Roman"/>
          <w:sz w:val="26"/>
          <w:szCs w:val="26"/>
        </w:rPr>
        <w:t xml:space="preserve">, </w:t>
      </w:r>
      <w:r w:rsidR="00F70891">
        <w:rPr>
          <w:rFonts w:ascii="Times New Roman" w:hAnsi="Times New Roman"/>
          <w:sz w:val="26"/>
          <w:szCs w:val="26"/>
        </w:rPr>
        <w:t xml:space="preserve">in which </w:t>
      </w:r>
      <w:r w:rsidR="00DC7C52" w:rsidRPr="00DE68FB">
        <w:rPr>
          <w:rFonts w:ascii="Times New Roman" w:hAnsi="Times New Roman"/>
          <w:sz w:val="26"/>
          <w:szCs w:val="26"/>
        </w:rPr>
        <w:t xml:space="preserve">the Commission addressed </w:t>
      </w:r>
      <w:r w:rsidR="002F6A0E">
        <w:rPr>
          <w:rFonts w:ascii="Times New Roman" w:hAnsi="Times New Roman"/>
          <w:sz w:val="26"/>
          <w:szCs w:val="26"/>
        </w:rPr>
        <w:t>its jurisdiction over EGSs</w:t>
      </w:r>
      <w:r w:rsidR="00337172">
        <w:rPr>
          <w:rFonts w:ascii="Times New Roman" w:hAnsi="Times New Roman"/>
          <w:sz w:val="26"/>
          <w:szCs w:val="26"/>
        </w:rPr>
        <w:t>’ pricing</w:t>
      </w:r>
      <w:r w:rsidR="002F6A0E">
        <w:rPr>
          <w:rFonts w:ascii="Times New Roman" w:hAnsi="Times New Roman"/>
          <w:sz w:val="26"/>
          <w:szCs w:val="26"/>
        </w:rPr>
        <w:t xml:space="preserve">. </w:t>
      </w:r>
      <w:r w:rsidR="00DC7C52" w:rsidRPr="00DE68FB">
        <w:rPr>
          <w:rFonts w:ascii="Times New Roman" w:hAnsi="Times New Roman"/>
          <w:sz w:val="26"/>
          <w:szCs w:val="26"/>
        </w:rPr>
        <w:t xml:space="preserve"> </w:t>
      </w:r>
      <w:proofErr w:type="gramStart"/>
      <w:r w:rsidR="00816DE7">
        <w:rPr>
          <w:rFonts w:ascii="Times New Roman" w:hAnsi="Times New Roman"/>
          <w:sz w:val="26"/>
          <w:szCs w:val="26"/>
        </w:rPr>
        <w:t>I</w:t>
      </w:r>
      <w:r w:rsidR="00DC7C52" w:rsidRPr="00DE68FB">
        <w:rPr>
          <w:rFonts w:ascii="Times New Roman" w:hAnsi="Times New Roman"/>
          <w:i/>
          <w:sz w:val="26"/>
          <w:szCs w:val="26"/>
        </w:rPr>
        <w:t>.</w:t>
      </w:r>
      <w:r w:rsidR="00816DE7">
        <w:rPr>
          <w:rFonts w:ascii="Times New Roman" w:hAnsi="Times New Roman"/>
          <w:sz w:val="26"/>
          <w:szCs w:val="26"/>
        </w:rPr>
        <w:t>D. at</w:t>
      </w:r>
      <w:r w:rsidR="00337172">
        <w:rPr>
          <w:rFonts w:ascii="Times New Roman" w:hAnsi="Times New Roman"/>
          <w:sz w:val="26"/>
          <w:szCs w:val="26"/>
        </w:rPr>
        <w:t> </w:t>
      </w:r>
      <w:r w:rsidR="00816DE7">
        <w:rPr>
          <w:rFonts w:ascii="Times New Roman" w:hAnsi="Times New Roman"/>
          <w:sz w:val="26"/>
          <w:szCs w:val="26"/>
        </w:rPr>
        <w:t>12</w:t>
      </w:r>
      <w:r w:rsidR="00DC7C52" w:rsidRPr="00DE68FB">
        <w:rPr>
          <w:rFonts w:ascii="Times New Roman" w:hAnsi="Times New Roman"/>
          <w:sz w:val="26"/>
          <w:szCs w:val="26"/>
        </w:rPr>
        <w:t>.</w:t>
      </w:r>
      <w:proofErr w:type="gramEnd"/>
    </w:p>
    <w:p w:rsidR="00DC7C52" w:rsidRPr="005303BC" w:rsidRDefault="00DC7C52" w:rsidP="00DE68FB">
      <w:pPr>
        <w:rPr>
          <w:rFonts w:ascii="Times New Roman" w:hAnsi="Times New Roman"/>
          <w:sz w:val="26"/>
          <w:szCs w:val="26"/>
        </w:rPr>
      </w:pPr>
    </w:p>
    <w:p w:rsidR="00DC7C52" w:rsidRPr="00DE68FB" w:rsidRDefault="00DC7C52" w:rsidP="00DE68FB">
      <w:pPr>
        <w:rPr>
          <w:rFonts w:ascii="Times New Roman" w:hAnsi="Times New Roman"/>
          <w:sz w:val="26"/>
          <w:szCs w:val="26"/>
        </w:rPr>
      </w:pPr>
      <w:r w:rsidRPr="00DE68FB">
        <w:rPr>
          <w:rFonts w:ascii="Times New Roman" w:hAnsi="Times New Roman"/>
          <w:sz w:val="26"/>
          <w:szCs w:val="26"/>
        </w:rPr>
        <w:lastRenderedPageBreak/>
        <w:tab/>
      </w:r>
      <w:r w:rsidRPr="00DE68FB">
        <w:rPr>
          <w:rFonts w:ascii="Times New Roman" w:hAnsi="Times New Roman"/>
          <w:sz w:val="26"/>
          <w:szCs w:val="26"/>
        </w:rPr>
        <w:tab/>
      </w:r>
      <w:r w:rsidR="00CF0E05">
        <w:rPr>
          <w:rFonts w:ascii="Times New Roman" w:hAnsi="Times New Roman"/>
          <w:sz w:val="26"/>
          <w:szCs w:val="26"/>
        </w:rPr>
        <w:t>T</w:t>
      </w:r>
      <w:r w:rsidR="00022470" w:rsidRPr="00DE68FB">
        <w:rPr>
          <w:rFonts w:ascii="Times New Roman" w:hAnsi="Times New Roman"/>
          <w:sz w:val="26"/>
          <w:szCs w:val="26"/>
        </w:rPr>
        <w:t xml:space="preserve">he ALJ </w:t>
      </w:r>
      <w:r w:rsidR="00AF3C70">
        <w:rPr>
          <w:rFonts w:ascii="Times New Roman" w:hAnsi="Times New Roman"/>
          <w:sz w:val="26"/>
          <w:szCs w:val="26"/>
        </w:rPr>
        <w:t>concluded</w:t>
      </w:r>
      <w:r w:rsidR="00022470" w:rsidRPr="00DE68FB">
        <w:rPr>
          <w:rFonts w:ascii="Times New Roman" w:hAnsi="Times New Roman"/>
          <w:sz w:val="26"/>
          <w:szCs w:val="26"/>
        </w:rPr>
        <w:t xml:space="preserve"> that t</w:t>
      </w:r>
      <w:r w:rsidRPr="00DE68FB">
        <w:rPr>
          <w:rFonts w:ascii="Times New Roman" w:hAnsi="Times New Roman"/>
          <w:sz w:val="26"/>
          <w:szCs w:val="26"/>
        </w:rPr>
        <w:t xml:space="preserve">he Commission </w:t>
      </w:r>
      <w:r w:rsidR="00F70891">
        <w:rPr>
          <w:rFonts w:ascii="Times New Roman" w:hAnsi="Times New Roman"/>
          <w:sz w:val="26"/>
          <w:szCs w:val="26"/>
        </w:rPr>
        <w:t>has</w:t>
      </w:r>
      <w:r w:rsidRPr="00DE68FB">
        <w:rPr>
          <w:rFonts w:ascii="Times New Roman" w:hAnsi="Times New Roman"/>
          <w:sz w:val="26"/>
          <w:szCs w:val="26"/>
        </w:rPr>
        <w:t xml:space="preserve"> subject matter jurisdiction to regulate certain aspects of </w:t>
      </w:r>
      <w:r w:rsidR="00AF3C70">
        <w:rPr>
          <w:rFonts w:ascii="Times New Roman" w:hAnsi="Times New Roman"/>
          <w:sz w:val="26"/>
          <w:szCs w:val="26"/>
        </w:rPr>
        <w:t xml:space="preserve">EGS </w:t>
      </w:r>
      <w:r w:rsidRPr="00DE68FB">
        <w:rPr>
          <w:rFonts w:ascii="Times New Roman" w:hAnsi="Times New Roman"/>
          <w:sz w:val="26"/>
          <w:szCs w:val="26"/>
        </w:rPr>
        <w:t>services</w:t>
      </w:r>
      <w:r w:rsidR="00F70891">
        <w:rPr>
          <w:rFonts w:ascii="Times New Roman" w:hAnsi="Times New Roman"/>
          <w:sz w:val="26"/>
          <w:szCs w:val="26"/>
        </w:rPr>
        <w:t xml:space="preserve"> as</w:t>
      </w:r>
      <w:r w:rsidRPr="00DE68FB">
        <w:rPr>
          <w:rFonts w:ascii="Times New Roman" w:hAnsi="Times New Roman"/>
          <w:sz w:val="26"/>
          <w:szCs w:val="26"/>
        </w:rPr>
        <w:t xml:space="preserve"> set forth in Section</w:t>
      </w:r>
      <w:r w:rsidR="00F70891">
        <w:rPr>
          <w:rFonts w:ascii="Times New Roman" w:hAnsi="Times New Roman"/>
          <w:sz w:val="26"/>
          <w:szCs w:val="26"/>
        </w:rPr>
        <w:t>s</w:t>
      </w:r>
      <w:r w:rsidRPr="00DE68FB">
        <w:rPr>
          <w:rFonts w:ascii="Times New Roman" w:hAnsi="Times New Roman"/>
          <w:sz w:val="26"/>
          <w:szCs w:val="26"/>
        </w:rPr>
        <w:t xml:space="preserve"> 2807 and 2809 of the Code, 66 Pa.</w:t>
      </w:r>
      <w:r w:rsidR="00D15018">
        <w:rPr>
          <w:rFonts w:ascii="Times New Roman" w:hAnsi="Times New Roman"/>
          <w:sz w:val="26"/>
          <w:szCs w:val="26"/>
        </w:rPr>
        <w:t xml:space="preserve"> </w:t>
      </w:r>
      <w:r w:rsidRPr="00DE68FB">
        <w:rPr>
          <w:rFonts w:ascii="Times New Roman" w:hAnsi="Times New Roman"/>
          <w:sz w:val="26"/>
          <w:szCs w:val="26"/>
        </w:rPr>
        <w:t xml:space="preserve">C.S. §§ 2807, 2809.  </w:t>
      </w:r>
      <w:r w:rsidR="00E540A0">
        <w:rPr>
          <w:rFonts w:ascii="Times New Roman" w:hAnsi="Times New Roman"/>
          <w:sz w:val="26"/>
          <w:szCs w:val="26"/>
        </w:rPr>
        <w:t>The ALJ noted that u</w:t>
      </w:r>
      <w:r w:rsidRPr="00DE68FB">
        <w:rPr>
          <w:rFonts w:ascii="Times New Roman" w:hAnsi="Times New Roman"/>
          <w:sz w:val="26"/>
          <w:szCs w:val="26"/>
        </w:rPr>
        <w:t xml:space="preserve">nder Section 2809, EGSs are required to abide by the Commission’s Regulations.  </w:t>
      </w:r>
      <w:r w:rsidR="00F70891">
        <w:rPr>
          <w:rFonts w:ascii="Times New Roman" w:hAnsi="Times New Roman"/>
          <w:sz w:val="26"/>
          <w:szCs w:val="26"/>
        </w:rPr>
        <w:t>T</w:t>
      </w:r>
      <w:r w:rsidR="00E540A0">
        <w:rPr>
          <w:rFonts w:ascii="Times New Roman" w:hAnsi="Times New Roman"/>
          <w:sz w:val="26"/>
          <w:szCs w:val="26"/>
        </w:rPr>
        <w:t xml:space="preserve">he ALJ stated that </w:t>
      </w:r>
      <w:r w:rsidR="00F70891">
        <w:rPr>
          <w:rFonts w:ascii="Times New Roman" w:hAnsi="Times New Roman"/>
          <w:sz w:val="26"/>
          <w:szCs w:val="26"/>
        </w:rPr>
        <w:t xml:space="preserve">for residential customers </w:t>
      </w:r>
      <w:r w:rsidRPr="00DE68FB">
        <w:rPr>
          <w:rFonts w:ascii="Times New Roman" w:hAnsi="Times New Roman"/>
          <w:sz w:val="26"/>
          <w:szCs w:val="26"/>
        </w:rPr>
        <w:t>this includes abiding by the Commission’s Chapter 54 Regulations on bill format, disclosure statements, marketing and sales activities, and contract expiration notices</w:t>
      </w:r>
      <w:r w:rsidRPr="00DE68FB">
        <w:rPr>
          <w:rStyle w:val="FootnoteReference"/>
          <w:sz w:val="26"/>
          <w:szCs w:val="26"/>
        </w:rPr>
        <w:footnoteReference w:id="3"/>
      </w:r>
      <w:r w:rsidR="00F70891">
        <w:rPr>
          <w:rFonts w:ascii="Times New Roman" w:hAnsi="Times New Roman"/>
          <w:sz w:val="26"/>
          <w:szCs w:val="26"/>
        </w:rPr>
        <w:t xml:space="preserve"> and </w:t>
      </w:r>
      <w:r w:rsidRPr="00DE68FB">
        <w:rPr>
          <w:rFonts w:ascii="Times New Roman" w:hAnsi="Times New Roman"/>
          <w:sz w:val="26"/>
          <w:szCs w:val="26"/>
        </w:rPr>
        <w:t xml:space="preserve">standards and billing practices in Chapter 56 Regulations. </w:t>
      </w:r>
      <w:r w:rsidR="00C12356">
        <w:rPr>
          <w:rFonts w:ascii="Times New Roman" w:hAnsi="Times New Roman"/>
          <w:sz w:val="26"/>
          <w:szCs w:val="26"/>
        </w:rPr>
        <w:t xml:space="preserve"> I.D. at 12-13.</w:t>
      </w:r>
    </w:p>
    <w:p w:rsidR="00DC7C52" w:rsidRPr="00DE68FB" w:rsidRDefault="00DC7C52" w:rsidP="00DE68FB">
      <w:pPr>
        <w:rPr>
          <w:rFonts w:ascii="Times New Roman" w:hAnsi="Times New Roman"/>
          <w:sz w:val="26"/>
          <w:szCs w:val="26"/>
        </w:rPr>
      </w:pPr>
    </w:p>
    <w:p w:rsidR="00337172" w:rsidRDefault="00DC7C52" w:rsidP="00DE68FB">
      <w:pPr>
        <w:rPr>
          <w:rFonts w:ascii="Times New Roman" w:hAnsi="Times New Roman"/>
          <w:sz w:val="26"/>
          <w:szCs w:val="26"/>
        </w:rPr>
      </w:pPr>
      <w:r w:rsidRPr="00DE68FB">
        <w:rPr>
          <w:rFonts w:ascii="Times New Roman" w:hAnsi="Times New Roman"/>
          <w:sz w:val="26"/>
          <w:szCs w:val="26"/>
        </w:rPr>
        <w:tab/>
      </w:r>
      <w:r w:rsidRPr="00DE68FB">
        <w:rPr>
          <w:rFonts w:ascii="Times New Roman" w:hAnsi="Times New Roman"/>
          <w:sz w:val="26"/>
          <w:szCs w:val="26"/>
        </w:rPr>
        <w:tab/>
      </w:r>
      <w:r w:rsidR="00AA21B4">
        <w:rPr>
          <w:rFonts w:ascii="Times New Roman" w:hAnsi="Times New Roman"/>
          <w:sz w:val="26"/>
          <w:szCs w:val="26"/>
        </w:rPr>
        <w:t>Next, the ALJ stated that t</w:t>
      </w:r>
      <w:r w:rsidRPr="00DE68FB">
        <w:rPr>
          <w:rFonts w:ascii="Times New Roman" w:hAnsi="Times New Roman"/>
          <w:sz w:val="26"/>
          <w:szCs w:val="26"/>
        </w:rPr>
        <w:t xml:space="preserve">he Commission has jurisdiction and authority under Section 54.4(a) and 54.5(a) Regulations, which require an EGS’s billed price </w:t>
      </w:r>
      <w:r w:rsidR="003D5C4C">
        <w:rPr>
          <w:rFonts w:ascii="Times New Roman" w:hAnsi="Times New Roman"/>
          <w:sz w:val="26"/>
          <w:szCs w:val="26"/>
        </w:rPr>
        <w:t xml:space="preserve">to </w:t>
      </w:r>
      <w:r w:rsidRPr="00DE68FB">
        <w:rPr>
          <w:rFonts w:ascii="Times New Roman" w:hAnsi="Times New Roman"/>
          <w:sz w:val="26"/>
          <w:szCs w:val="26"/>
        </w:rPr>
        <w:t xml:space="preserve">reflect its disclosure statement.  </w:t>
      </w:r>
      <w:r w:rsidR="00A7171F">
        <w:rPr>
          <w:rFonts w:ascii="Times New Roman" w:hAnsi="Times New Roman"/>
          <w:sz w:val="26"/>
          <w:szCs w:val="26"/>
        </w:rPr>
        <w:t>I</w:t>
      </w:r>
      <w:r w:rsidRPr="00DE68FB">
        <w:rPr>
          <w:rFonts w:ascii="Times New Roman" w:hAnsi="Times New Roman"/>
          <w:sz w:val="26"/>
          <w:szCs w:val="26"/>
        </w:rPr>
        <w:t>nfer</w:t>
      </w:r>
      <w:r w:rsidR="00AA21B4">
        <w:rPr>
          <w:rFonts w:ascii="Times New Roman" w:hAnsi="Times New Roman"/>
          <w:sz w:val="26"/>
          <w:szCs w:val="26"/>
        </w:rPr>
        <w:t>r</w:t>
      </w:r>
      <w:r w:rsidR="00A7171F">
        <w:rPr>
          <w:rFonts w:ascii="Times New Roman" w:hAnsi="Times New Roman"/>
          <w:sz w:val="26"/>
          <w:szCs w:val="26"/>
        </w:rPr>
        <w:t>ing that</w:t>
      </w:r>
      <w:r w:rsidRPr="00DE68FB">
        <w:rPr>
          <w:rFonts w:ascii="Times New Roman" w:hAnsi="Times New Roman"/>
          <w:sz w:val="26"/>
          <w:szCs w:val="26"/>
        </w:rPr>
        <w:t xml:space="preserve"> the term “disclosure statement” mean</w:t>
      </w:r>
      <w:r w:rsidR="00A7171F">
        <w:rPr>
          <w:rFonts w:ascii="Times New Roman" w:hAnsi="Times New Roman"/>
          <w:sz w:val="26"/>
          <w:szCs w:val="26"/>
        </w:rPr>
        <w:t>t</w:t>
      </w:r>
      <w:r w:rsidRPr="00DE68FB">
        <w:rPr>
          <w:rFonts w:ascii="Times New Roman" w:hAnsi="Times New Roman"/>
          <w:sz w:val="26"/>
          <w:szCs w:val="26"/>
        </w:rPr>
        <w:t xml:space="preserve"> a “regulatory-compliant” or “Commission-approved” disclosure statement</w:t>
      </w:r>
      <w:r w:rsidR="00A7171F">
        <w:rPr>
          <w:rFonts w:ascii="Times New Roman" w:hAnsi="Times New Roman"/>
          <w:sz w:val="26"/>
          <w:szCs w:val="26"/>
        </w:rPr>
        <w:t xml:space="preserve">, the </w:t>
      </w:r>
      <w:r w:rsidR="00AA21B4">
        <w:rPr>
          <w:rFonts w:ascii="Times New Roman" w:hAnsi="Times New Roman"/>
          <w:sz w:val="26"/>
          <w:szCs w:val="26"/>
        </w:rPr>
        <w:t xml:space="preserve">ALJ </w:t>
      </w:r>
      <w:r w:rsidR="00A7171F">
        <w:rPr>
          <w:rFonts w:ascii="Times New Roman" w:hAnsi="Times New Roman"/>
          <w:sz w:val="26"/>
          <w:szCs w:val="26"/>
        </w:rPr>
        <w:t xml:space="preserve">deemed </w:t>
      </w:r>
      <w:r w:rsidRPr="00DE68FB">
        <w:rPr>
          <w:rFonts w:ascii="Times New Roman" w:hAnsi="Times New Roman"/>
          <w:sz w:val="26"/>
          <w:szCs w:val="26"/>
        </w:rPr>
        <w:t>one issue in th</w:t>
      </w:r>
      <w:r w:rsidR="00A7171F">
        <w:rPr>
          <w:rFonts w:ascii="Times New Roman" w:hAnsi="Times New Roman"/>
          <w:sz w:val="26"/>
          <w:szCs w:val="26"/>
        </w:rPr>
        <w:t>is</w:t>
      </w:r>
      <w:r w:rsidR="007B6ABE" w:rsidRPr="00DE68FB">
        <w:rPr>
          <w:rFonts w:ascii="Times New Roman" w:hAnsi="Times New Roman"/>
          <w:sz w:val="26"/>
          <w:szCs w:val="26"/>
        </w:rPr>
        <w:t xml:space="preserve"> case </w:t>
      </w:r>
      <w:r w:rsidR="00A7171F">
        <w:rPr>
          <w:rFonts w:ascii="Times New Roman" w:hAnsi="Times New Roman"/>
          <w:sz w:val="26"/>
          <w:szCs w:val="26"/>
        </w:rPr>
        <w:t>to be</w:t>
      </w:r>
      <w:r w:rsidR="007B6ABE" w:rsidRPr="00DE68FB">
        <w:rPr>
          <w:rFonts w:ascii="Times New Roman" w:hAnsi="Times New Roman"/>
          <w:sz w:val="26"/>
          <w:szCs w:val="26"/>
        </w:rPr>
        <w:t xml:space="preserve"> whether Respond </w:t>
      </w:r>
      <w:r w:rsidRPr="00DE68FB">
        <w:rPr>
          <w:rFonts w:ascii="Times New Roman" w:hAnsi="Times New Roman"/>
          <w:sz w:val="26"/>
          <w:szCs w:val="26"/>
        </w:rPr>
        <w:t xml:space="preserve">billed Mr. Herp in accordance with a compliant or approved disclosure statement.  </w:t>
      </w:r>
      <w:proofErr w:type="gramStart"/>
      <w:r w:rsidR="007B0256">
        <w:rPr>
          <w:rFonts w:ascii="Times New Roman" w:hAnsi="Times New Roman"/>
          <w:sz w:val="26"/>
          <w:szCs w:val="26"/>
        </w:rPr>
        <w:t>I.D. at 13.</w:t>
      </w:r>
      <w:proofErr w:type="gramEnd"/>
    </w:p>
    <w:p w:rsidR="00337172" w:rsidRDefault="00337172" w:rsidP="00DE68FB">
      <w:pPr>
        <w:rPr>
          <w:rFonts w:ascii="Times New Roman" w:hAnsi="Times New Roman"/>
          <w:sz w:val="26"/>
          <w:szCs w:val="26"/>
        </w:rPr>
      </w:pPr>
    </w:p>
    <w:p w:rsidR="002C5729" w:rsidRDefault="00A7171F" w:rsidP="00337172">
      <w:pPr>
        <w:ind w:firstLine="1440"/>
        <w:rPr>
          <w:rFonts w:ascii="Times New Roman" w:hAnsi="Times New Roman"/>
          <w:sz w:val="26"/>
          <w:szCs w:val="26"/>
        </w:rPr>
      </w:pPr>
      <w:r>
        <w:rPr>
          <w:rFonts w:ascii="Times New Roman" w:hAnsi="Times New Roman"/>
          <w:sz w:val="26"/>
          <w:szCs w:val="26"/>
        </w:rPr>
        <w:t>In the remainder of her Initial Decisions, t</w:t>
      </w:r>
      <w:r w:rsidR="004E1991">
        <w:rPr>
          <w:rFonts w:ascii="Times New Roman" w:hAnsi="Times New Roman"/>
          <w:sz w:val="26"/>
          <w:szCs w:val="26"/>
        </w:rPr>
        <w:t xml:space="preserve">he </w:t>
      </w:r>
      <w:r w:rsidR="003D5C4C">
        <w:rPr>
          <w:rFonts w:ascii="Times New Roman" w:hAnsi="Times New Roman"/>
          <w:sz w:val="26"/>
          <w:szCs w:val="26"/>
        </w:rPr>
        <w:t xml:space="preserve">ALJ addressed </w:t>
      </w:r>
      <w:r>
        <w:rPr>
          <w:rFonts w:ascii="Times New Roman" w:hAnsi="Times New Roman"/>
          <w:sz w:val="26"/>
          <w:szCs w:val="26"/>
        </w:rPr>
        <w:t>Respond’s</w:t>
      </w:r>
      <w:r w:rsidR="004E1991">
        <w:rPr>
          <w:rFonts w:ascii="Times New Roman" w:hAnsi="Times New Roman"/>
          <w:sz w:val="26"/>
          <w:szCs w:val="26"/>
        </w:rPr>
        <w:t xml:space="preserve"> disclosure statements </w:t>
      </w:r>
      <w:r>
        <w:rPr>
          <w:rFonts w:ascii="Times New Roman" w:hAnsi="Times New Roman"/>
          <w:sz w:val="26"/>
          <w:szCs w:val="26"/>
        </w:rPr>
        <w:t>a</w:t>
      </w:r>
      <w:r w:rsidR="004E1991">
        <w:rPr>
          <w:rFonts w:ascii="Times New Roman" w:hAnsi="Times New Roman"/>
          <w:sz w:val="26"/>
          <w:szCs w:val="26"/>
        </w:rPr>
        <w:t xml:space="preserve">nd </w:t>
      </w:r>
      <w:r>
        <w:rPr>
          <w:rFonts w:ascii="Times New Roman" w:hAnsi="Times New Roman"/>
          <w:sz w:val="26"/>
          <w:szCs w:val="26"/>
        </w:rPr>
        <w:t>the Company’s</w:t>
      </w:r>
      <w:r w:rsidR="004E1991">
        <w:rPr>
          <w:rFonts w:ascii="Times New Roman" w:hAnsi="Times New Roman"/>
          <w:sz w:val="26"/>
          <w:szCs w:val="26"/>
        </w:rPr>
        <w:t xml:space="preserve"> compliance with our Regulations </w:t>
      </w:r>
      <w:r>
        <w:rPr>
          <w:rFonts w:ascii="Times New Roman" w:hAnsi="Times New Roman"/>
          <w:sz w:val="26"/>
          <w:szCs w:val="26"/>
        </w:rPr>
        <w:t>concerning</w:t>
      </w:r>
      <w:r w:rsidR="004E1991">
        <w:rPr>
          <w:rFonts w:ascii="Times New Roman" w:hAnsi="Times New Roman"/>
          <w:sz w:val="26"/>
          <w:szCs w:val="26"/>
        </w:rPr>
        <w:t xml:space="preserve"> written and oral communications</w:t>
      </w:r>
      <w:r w:rsidR="00647D3E">
        <w:rPr>
          <w:rFonts w:ascii="Times New Roman" w:hAnsi="Times New Roman"/>
          <w:sz w:val="26"/>
          <w:szCs w:val="26"/>
        </w:rPr>
        <w:t>,</w:t>
      </w:r>
      <w:r w:rsidR="003D5C4C">
        <w:rPr>
          <w:rFonts w:ascii="Times New Roman" w:hAnsi="Times New Roman"/>
          <w:sz w:val="26"/>
          <w:szCs w:val="26"/>
        </w:rPr>
        <w:t xml:space="preserve"> I.D. at </w:t>
      </w:r>
      <w:r w:rsidR="004E1991">
        <w:rPr>
          <w:rFonts w:ascii="Times New Roman" w:hAnsi="Times New Roman"/>
          <w:sz w:val="26"/>
          <w:szCs w:val="26"/>
        </w:rPr>
        <w:t>18</w:t>
      </w:r>
      <w:r w:rsidR="003D5C4C">
        <w:rPr>
          <w:rFonts w:ascii="Times New Roman" w:hAnsi="Times New Roman"/>
          <w:sz w:val="26"/>
          <w:szCs w:val="26"/>
        </w:rPr>
        <w:noBreakHyphen/>
      </w:r>
      <w:r w:rsidR="004E1991">
        <w:rPr>
          <w:rFonts w:ascii="Times New Roman" w:hAnsi="Times New Roman"/>
          <w:sz w:val="26"/>
          <w:szCs w:val="26"/>
        </w:rPr>
        <w:t>24; our authority to issue refunds, I.D. at 25-36</w:t>
      </w:r>
      <w:r w:rsidR="00CF4425">
        <w:rPr>
          <w:rFonts w:ascii="Times New Roman" w:hAnsi="Times New Roman"/>
          <w:sz w:val="26"/>
          <w:szCs w:val="26"/>
        </w:rPr>
        <w:t>;</w:t>
      </w:r>
      <w:r w:rsidR="004E1991">
        <w:rPr>
          <w:rFonts w:ascii="Times New Roman" w:hAnsi="Times New Roman"/>
          <w:sz w:val="26"/>
          <w:szCs w:val="26"/>
        </w:rPr>
        <w:t xml:space="preserve"> her specific findings of violations, I.D. at</w:t>
      </w:r>
      <w:r>
        <w:rPr>
          <w:rFonts w:ascii="Times New Roman" w:hAnsi="Times New Roman"/>
          <w:sz w:val="26"/>
          <w:szCs w:val="26"/>
        </w:rPr>
        <w:t> </w:t>
      </w:r>
      <w:r w:rsidR="004E1991">
        <w:rPr>
          <w:rFonts w:ascii="Times New Roman" w:hAnsi="Times New Roman"/>
          <w:sz w:val="26"/>
          <w:szCs w:val="26"/>
        </w:rPr>
        <w:t>36-43; Mr.</w:t>
      </w:r>
      <w:r w:rsidR="003D5C4C">
        <w:rPr>
          <w:rFonts w:ascii="Times New Roman" w:hAnsi="Times New Roman"/>
          <w:sz w:val="26"/>
          <w:szCs w:val="26"/>
        </w:rPr>
        <w:t> </w:t>
      </w:r>
      <w:r w:rsidR="004E1991">
        <w:rPr>
          <w:rFonts w:ascii="Times New Roman" w:hAnsi="Times New Roman"/>
          <w:sz w:val="26"/>
          <w:szCs w:val="26"/>
        </w:rPr>
        <w:t xml:space="preserve">Herp’s request for a reduction in delays </w:t>
      </w:r>
      <w:r w:rsidR="00647D3E">
        <w:rPr>
          <w:rFonts w:ascii="Times New Roman" w:hAnsi="Times New Roman"/>
          <w:sz w:val="26"/>
          <w:szCs w:val="26"/>
        </w:rPr>
        <w:t xml:space="preserve">in switching suppliers, I.D. at 44; the assessment of a civil penalty, I.D. at 45-49; and the potential for suspension or revocation of an EGS license, I.D. at 49-50.  We address in detail, </w:t>
      </w:r>
      <w:r w:rsidR="00647D3E">
        <w:rPr>
          <w:rFonts w:ascii="Times New Roman" w:hAnsi="Times New Roman"/>
          <w:i/>
          <w:sz w:val="26"/>
          <w:szCs w:val="26"/>
        </w:rPr>
        <w:t>infra</w:t>
      </w:r>
      <w:r w:rsidR="00647D3E">
        <w:rPr>
          <w:rFonts w:ascii="Times New Roman" w:hAnsi="Times New Roman"/>
          <w:sz w:val="26"/>
          <w:szCs w:val="26"/>
        </w:rPr>
        <w:t>, those issues</w:t>
      </w:r>
      <w:r w:rsidR="006B667D">
        <w:rPr>
          <w:rFonts w:ascii="Times New Roman" w:hAnsi="Times New Roman"/>
          <w:sz w:val="26"/>
          <w:szCs w:val="26"/>
        </w:rPr>
        <w:t xml:space="preserve"> to which E</w:t>
      </w:r>
      <w:r w:rsidR="00647D3E">
        <w:rPr>
          <w:rFonts w:ascii="Times New Roman" w:hAnsi="Times New Roman"/>
          <w:sz w:val="26"/>
          <w:szCs w:val="26"/>
        </w:rPr>
        <w:t>xceptions were taken.</w:t>
      </w:r>
    </w:p>
    <w:p w:rsidR="00637592" w:rsidRPr="00DE68FB" w:rsidRDefault="00637592" w:rsidP="00DE68FB">
      <w:pPr>
        <w:rPr>
          <w:rFonts w:ascii="Times New Roman" w:hAnsi="Times New Roman"/>
          <w:b/>
          <w:sz w:val="26"/>
          <w:szCs w:val="26"/>
        </w:rPr>
      </w:pPr>
    </w:p>
    <w:p w:rsidR="00662061" w:rsidRPr="00A7171F" w:rsidRDefault="00E57EFA" w:rsidP="002322F4">
      <w:pPr>
        <w:keepNext/>
        <w:rPr>
          <w:rFonts w:ascii="Times New Roman" w:hAnsi="Times New Roman"/>
          <w:sz w:val="26"/>
          <w:szCs w:val="26"/>
        </w:rPr>
      </w:pPr>
      <w:r>
        <w:rPr>
          <w:rFonts w:ascii="Times New Roman" w:hAnsi="Times New Roman"/>
          <w:b/>
          <w:sz w:val="26"/>
          <w:szCs w:val="26"/>
        </w:rPr>
        <w:lastRenderedPageBreak/>
        <w:t>D</w:t>
      </w:r>
      <w:r w:rsidR="005D15A3" w:rsidRPr="00DE68FB">
        <w:rPr>
          <w:rFonts w:ascii="Times New Roman" w:hAnsi="Times New Roman"/>
          <w:b/>
          <w:sz w:val="26"/>
          <w:szCs w:val="26"/>
        </w:rPr>
        <w:t>.</w:t>
      </w:r>
      <w:r w:rsidR="005D15A3" w:rsidRPr="00DE68FB">
        <w:rPr>
          <w:rFonts w:ascii="Times New Roman" w:hAnsi="Times New Roman"/>
          <w:b/>
          <w:sz w:val="26"/>
          <w:szCs w:val="26"/>
        </w:rPr>
        <w:tab/>
      </w:r>
      <w:r w:rsidR="00647D3E">
        <w:rPr>
          <w:rFonts w:ascii="Times New Roman" w:hAnsi="Times New Roman"/>
          <w:b/>
          <w:sz w:val="26"/>
          <w:szCs w:val="26"/>
        </w:rPr>
        <w:t>Exceptions</w:t>
      </w:r>
      <w:r w:rsidR="00DD32E2">
        <w:rPr>
          <w:rFonts w:ascii="Times New Roman" w:hAnsi="Times New Roman"/>
          <w:b/>
          <w:sz w:val="26"/>
          <w:szCs w:val="26"/>
        </w:rPr>
        <w:t>, Replies,</w:t>
      </w:r>
      <w:r w:rsidR="00647D3E">
        <w:rPr>
          <w:rFonts w:ascii="Times New Roman" w:hAnsi="Times New Roman"/>
          <w:b/>
          <w:sz w:val="26"/>
          <w:szCs w:val="26"/>
        </w:rPr>
        <w:t xml:space="preserve"> and </w:t>
      </w:r>
      <w:r w:rsidR="00DD32E2">
        <w:rPr>
          <w:rFonts w:ascii="Times New Roman" w:hAnsi="Times New Roman"/>
          <w:b/>
          <w:sz w:val="26"/>
          <w:szCs w:val="26"/>
        </w:rPr>
        <w:t>Disposition</w:t>
      </w:r>
    </w:p>
    <w:p w:rsidR="00B93DD5" w:rsidRPr="00A7171F" w:rsidRDefault="00B93DD5" w:rsidP="002322F4">
      <w:pPr>
        <w:pStyle w:val="ListParagraph"/>
        <w:keepNext/>
        <w:ind w:left="0"/>
        <w:rPr>
          <w:rFonts w:ascii="Times New Roman" w:hAnsi="Times New Roman"/>
          <w:sz w:val="26"/>
          <w:szCs w:val="26"/>
        </w:rPr>
      </w:pPr>
    </w:p>
    <w:p w:rsidR="00E57EFA" w:rsidRPr="00A7171F" w:rsidRDefault="00E57EFA" w:rsidP="002322F4">
      <w:pPr>
        <w:pStyle w:val="ListParagraph"/>
        <w:keepNext/>
        <w:ind w:left="0"/>
        <w:rPr>
          <w:rFonts w:ascii="Times New Roman" w:hAnsi="Times New Roman"/>
          <w:sz w:val="26"/>
          <w:szCs w:val="26"/>
        </w:rPr>
      </w:pPr>
      <w:r>
        <w:rPr>
          <w:rFonts w:ascii="Times New Roman" w:hAnsi="Times New Roman"/>
          <w:b/>
          <w:sz w:val="26"/>
          <w:szCs w:val="26"/>
        </w:rPr>
        <w:tab/>
        <w:t>1.</w:t>
      </w:r>
      <w:r>
        <w:rPr>
          <w:rFonts w:ascii="Times New Roman" w:hAnsi="Times New Roman"/>
          <w:b/>
          <w:sz w:val="26"/>
          <w:szCs w:val="26"/>
        </w:rPr>
        <w:tab/>
        <w:t>Respond Exception No. 1 – Disclosure Statement</w:t>
      </w:r>
    </w:p>
    <w:p w:rsidR="00E57EFA" w:rsidRPr="00A7171F" w:rsidRDefault="00E57EFA" w:rsidP="00521D8D">
      <w:pPr>
        <w:keepNext/>
        <w:keepLines/>
        <w:ind w:left="720"/>
        <w:rPr>
          <w:rFonts w:ascii="Times New Roman" w:hAnsi="Times New Roman"/>
          <w:sz w:val="26"/>
          <w:szCs w:val="26"/>
        </w:rPr>
      </w:pPr>
    </w:p>
    <w:p w:rsidR="00B93DD5" w:rsidRPr="00A7171F" w:rsidRDefault="00E57EFA" w:rsidP="00521D8D">
      <w:pPr>
        <w:keepNext/>
        <w:keepLines/>
        <w:ind w:left="720" w:firstLine="720"/>
        <w:rPr>
          <w:rFonts w:ascii="Times New Roman" w:hAnsi="Times New Roman"/>
          <w:sz w:val="26"/>
          <w:szCs w:val="26"/>
        </w:rPr>
      </w:pPr>
      <w:r>
        <w:rPr>
          <w:rFonts w:ascii="Times New Roman" w:hAnsi="Times New Roman"/>
          <w:b/>
          <w:sz w:val="26"/>
          <w:szCs w:val="26"/>
        </w:rPr>
        <w:t>a.</w:t>
      </w:r>
      <w:r>
        <w:rPr>
          <w:rFonts w:ascii="Times New Roman" w:hAnsi="Times New Roman"/>
          <w:b/>
          <w:sz w:val="26"/>
          <w:szCs w:val="26"/>
        </w:rPr>
        <w:tab/>
      </w:r>
      <w:r w:rsidR="00B93DD5" w:rsidRPr="00E57EFA">
        <w:rPr>
          <w:rFonts w:ascii="Times New Roman" w:hAnsi="Times New Roman"/>
          <w:b/>
          <w:sz w:val="26"/>
          <w:szCs w:val="26"/>
        </w:rPr>
        <w:t xml:space="preserve">ALJ’s </w:t>
      </w:r>
      <w:r w:rsidR="00DD32E2">
        <w:rPr>
          <w:rFonts w:ascii="Times New Roman" w:hAnsi="Times New Roman"/>
          <w:b/>
          <w:sz w:val="26"/>
          <w:szCs w:val="26"/>
        </w:rPr>
        <w:t>Initial Decision</w:t>
      </w:r>
    </w:p>
    <w:p w:rsidR="00CF1F8A" w:rsidRPr="00A7171F" w:rsidRDefault="00CF1F8A" w:rsidP="00521D8D">
      <w:pPr>
        <w:pStyle w:val="ListParagraph"/>
        <w:keepNext/>
        <w:keepLines/>
        <w:ind w:left="1440"/>
        <w:rPr>
          <w:rFonts w:ascii="Times New Roman" w:hAnsi="Times New Roman"/>
          <w:sz w:val="26"/>
          <w:szCs w:val="26"/>
        </w:rPr>
      </w:pPr>
    </w:p>
    <w:p w:rsidR="00E82688" w:rsidRDefault="006D2B30" w:rsidP="006D2B30">
      <w:pPr>
        <w:ind w:firstLine="1440"/>
        <w:rPr>
          <w:rFonts w:ascii="Times New Roman" w:hAnsi="Times New Roman"/>
          <w:sz w:val="26"/>
          <w:szCs w:val="26"/>
        </w:rPr>
      </w:pPr>
      <w:r>
        <w:rPr>
          <w:rFonts w:ascii="Times New Roman" w:hAnsi="Times New Roman"/>
          <w:sz w:val="26"/>
          <w:szCs w:val="26"/>
        </w:rPr>
        <w:t>The ALJ concluded that Respond’s argument</w:t>
      </w:r>
      <w:r w:rsidR="00E82688">
        <w:rPr>
          <w:rFonts w:ascii="Times New Roman" w:hAnsi="Times New Roman"/>
          <w:sz w:val="26"/>
          <w:szCs w:val="26"/>
        </w:rPr>
        <w:t xml:space="preserve"> that the Commission </w:t>
      </w:r>
      <w:r w:rsidR="00A7171F">
        <w:rPr>
          <w:rFonts w:ascii="Times New Roman" w:hAnsi="Times New Roman"/>
          <w:sz w:val="26"/>
          <w:szCs w:val="26"/>
        </w:rPr>
        <w:t xml:space="preserve">lacked jurisdiction </w:t>
      </w:r>
      <w:r w:rsidR="00E82688">
        <w:rPr>
          <w:rFonts w:ascii="Times New Roman" w:hAnsi="Times New Roman"/>
          <w:sz w:val="26"/>
          <w:szCs w:val="26"/>
        </w:rPr>
        <w:t>to regulate or limit EGS prices or direct the issuance of refunds</w:t>
      </w:r>
      <w:r w:rsidR="00A7171F">
        <w:rPr>
          <w:rFonts w:ascii="Times New Roman" w:hAnsi="Times New Roman"/>
          <w:sz w:val="26"/>
          <w:szCs w:val="26"/>
        </w:rPr>
        <w:t xml:space="preserve"> itself lacked</w:t>
      </w:r>
      <w:r>
        <w:rPr>
          <w:rFonts w:ascii="Times New Roman" w:hAnsi="Times New Roman"/>
          <w:sz w:val="26"/>
          <w:szCs w:val="26"/>
        </w:rPr>
        <w:t xml:space="preserve"> merit </w:t>
      </w:r>
      <w:r w:rsidR="00CF4425">
        <w:rPr>
          <w:rFonts w:ascii="Times New Roman" w:hAnsi="Times New Roman"/>
          <w:sz w:val="26"/>
          <w:szCs w:val="26"/>
        </w:rPr>
        <w:t xml:space="preserve">because </w:t>
      </w:r>
      <w:r>
        <w:rPr>
          <w:rFonts w:ascii="Times New Roman" w:hAnsi="Times New Roman"/>
          <w:sz w:val="26"/>
          <w:szCs w:val="26"/>
        </w:rPr>
        <w:t>she</w:t>
      </w:r>
      <w:r w:rsidRPr="006D2B30">
        <w:rPr>
          <w:rFonts w:ascii="Times New Roman" w:hAnsi="Times New Roman"/>
          <w:sz w:val="26"/>
          <w:szCs w:val="26"/>
        </w:rPr>
        <w:t xml:space="preserve"> </w:t>
      </w:r>
      <w:r>
        <w:rPr>
          <w:rFonts w:ascii="Times New Roman" w:hAnsi="Times New Roman"/>
          <w:sz w:val="26"/>
          <w:szCs w:val="26"/>
        </w:rPr>
        <w:t>was</w:t>
      </w:r>
      <w:r w:rsidRPr="006D2B30">
        <w:rPr>
          <w:rFonts w:ascii="Times New Roman" w:hAnsi="Times New Roman"/>
          <w:sz w:val="26"/>
          <w:szCs w:val="26"/>
        </w:rPr>
        <w:t xml:space="preserve"> not </w:t>
      </w:r>
      <w:r w:rsidR="00A7171F">
        <w:rPr>
          <w:rFonts w:ascii="Times New Roman" w:hAnsi="Times New Roman"/>
          <w:sz w:val="26"/>
          <w:szCs w:val="26"/>
        </w:rPr>
        <w:t xml:space="preserve">analyzing </w:t>
      </w:r>
      <w:r w:rsidRPr="006D2B30">
        <w:rPr>
          <w:rFonts w:ascii="Times New Roman" w:hAnsi="Times New Roman"/>
          <w:sz w:val="26"/>
          <w:szCs w:val="26"/>
        </w:rPr>
        <w:t>a breach of contract under Pennsylvania contract law</w:t>
      </w:r>
      <w:r w:rsidR="00CF4425">
        <w:rPr>
          <w:rFonts w:ascii="Times New Roman" w:hAnsi="Times New Roman"/>
          <w:sz w:val="26"/>
          <w:szCs w:val="26"/>
        </w:rPr>
        <w:t xml:space="preserve">, </w:t>
      </w:r>
      <w:r w:rsidR="00A7171F">
        <w:rPr>
          <w:rFonts w:ascii="Times New Roman" w:hAnsi="Times New Roman"/>
          <w:sz w:val="26"/>
          <w:szCs w:val="26"/>
        </w:rPr>
        <w:t xml:space="preserve">but </w:t>
      </w:r>
      <w:r w:rsidR="00CF4425">
        <w:rPr>
          <w:rFonts w:ascii="Times New Roman" w:hAnsi="Times New Roman"/>
          <w:sz w:val="26"/>
          <w:szCs w:val="26"/>
        </w:rPr>
        <w:t xml:space="preserve">rather compliance with </w:t>
      </w:r>
      <w:r w:rsidRPr="006D2B30">
        <w:rPr>
          <w:rFonts w:ascii="Times New Roman" w:hAnsi="Times New Roman"/>
          <w:sz w:val="26"/>
          <w:szCs w:val="26"/>
        </w:rPr>
        <w:t>applicable statu</w:t>
      </w:r>
      <w:r w:rsidR="00C8119D">
        <w:rPr>
          <w:rFonts w:ascii="Times New Roman" w:hAnsi="Times New Roman"/>
          <w:sz w:val="26"/>
          <w:szCs w:val="26"/>
        </w:rPr>
        <w:t>t</w:t>
      </w:r>
      <w:r w:rsidR="00337172">
        <w:rPr>
          <w:rFonts w:ascii="Times New Roman" w:hAnsi="Times New Roman"/>
          <w:sz w:val="26"/>
          <w:szCs w:val="26"/>
        </w:rPr>
        <w:t>ory provisions</w:t>
      </w:r>
      <w:r w:rsidR="00C8119D">
        <w:rPr>
          <w:rFonts w:ascii="Times New Roman" w:hAnsi="Times New Roman"/>
          <w:sz w:val="26"/>
          <w:szCs w:val="26"/>
        </w:rPr>
        <w:t xml:space="preserve"> under the </w:t>
      </w:r>
      <w:r w:rsidR="006B667D">
        <w:rPr>
          <w:rFonts w:ascii="Times New Roman" w:hAnsi="Times New Roman"/>
          <w:sz w:val="26"/>
          <w:szCs w:val="26"/>
        </w:rPr>
        <w:t>Electricity Generation Customer Choice and Competition Act, Act 138 of 1996, as amended by Act 129 of 2008, 66 Pa. C.S. §§ 2801 -2815 (</w:t>
      </w:r>
      <w:r w:rsidR="00C8119D">
        <w:rPr>
          <w:rFonts w:ascii="Times New Roman" w:hAnsi="Times New Roman"/>
          <w:sz w:val="26"/>
          <w:szCs w:val="26"/>
        </w:rPr>
        <w:t>Competition Act</w:t>
      </w:r>
      <w:r w:rsidR="006B667D">
        <w:rPr>
          <w:rFonts w:ascii="Times New Roman" w:hAnsi="Times New Roman"/>
          <w:sz w:val="26"/>
          <w:szCs w:val="26"/>
        </w:rPr>
        <w:t>)</w:t>
      </w:r>
      <w:r w:rsidR="00C8119D">
        <w:rPr>
          <w:rFonts w:ascii="Times New Roman" w:hAnsi="Times New Roman"/>
          <w:sz w:val="26"/>
          <w:szCs w:val="26"/>
        </w:rPr>
        <w:t>, R</w:t>
      </w:r>
      <w:r w:rsidRPr="006D2B30">
        <w:rPr>
          <w:rFonts w:ascii="Times New Roman" w:hAnsi="Times New Roman"/>
          <w:sz w:val="26"/>
          <w:szCs w:val="26"/>
        </w:rPr>
        <w:t>egulations under Chapters 54, 56</w:t>
      </w:r>
      <w:r w:rsidR="00337172">
        <w:rPr>
          <w:rFonts w:ascii="Times New Roman" w:hAnsi="Times New Roman"/>
          <w:sz w:val="26"/>
          <w:szCs w:val="26"/>
        </w:rPr>
        <w:t>,</w:t>
      </w:r>
      <w:r w:rsidRPr="006D2B30">
        <w:rPr>
          <w:rFonts w:ascii="Times New Roman" w:hAnsi="Times New Roman"/>
          <w:sz w:val="26"/>
          <w:szCs w:val="26"/>
        </w:rPr>
        <w:t xml:space="preserve"> and 111 of 52 Pa</w:t>
      </w:r>
      <w:r w:rsidR="00021EE8">
        <w:rPr>
          <w:rFonts w:ascii="Times New Roman" w:hAnsi="Times New Roman"/>
          <w:sz w:val="26"/>
          <w:szCs w:val="26"/>
        </w:rPr>
        <w:t>.</w:t>
      </w:r>
      <w:r w:rsidRPr="006D2B30">
        <w:rPr>
          <w:rFonts w:ascii="Times New Roman" w:hAnsi="Times New Roman"/>
          <w:sz w:val="26"/>
          <w:szCs w:val="26"/>
        </w:rPr>
        <w:t xml:space="preserve"> Code, and </w:t>
      </w:r>
      <w:r w:rsidR="006B667D">
        <w:rPr>
          <w:rFonts w:ascii="Times New Roman" w:hAnsi="Times New Roman"/>
          <w:sz w:val="26"/>
          <w:szCs w:val="26"/>
        </w:rPr>
        <w:t xml:space="preserve">prior </w:t>
      </w:r>
      <w:r w:rsidRPr="006D2B30">
        <w:rPr>
          <w:rFonts w:ascii="Times New Roman" w:hAnsi="Times New Roman"/>
          <w:sz w:val="26"/>
          <w:szCs w:val="26"/>
        </w:rPr>
        <w:t xml:space="preserve">Commission Orders.  </w:t>
      </w:r>
      <w:r w:rsidR="001A1361">
        <w:rPr>
          <w:rFonts w:ascii="Times New Roman" w:hAnsi="Times New Roman"/>
          <w:sz w:val="26"/>
          <w:szCs w:val="26"/>
        </w:rPr>
        <w:t>Accordingly</w:t>
      </w:r>
      <w:r w:rsidRPr="006D2B30">
        <w:rPr>
          <w:rFonts w:ascii="Times New Roman" w:hAnsi="Times New Roman"/>
          <w:sz w:val="26"/>
          <w:szCs w:val="26"/>
        </w:rPr>
        <w:t xml:space="preserve">, </w:t>
      </w:r>
      <w:r w:rsidR="006B667D">
        <w:rPr>
          <w:rFonts w:ascii="Times New Roman" w:hAnsi="Times New Roman"/>
          <w:sz w:val="26"/>
          <w:szCs w:val="26"/>
        </w:rPr>
        <w:t xml:space="preserve">oral </w:t>
      </w:r>
      <w:r w:rsidRPr="006D2B30">
        <w:rPr>
          <w:rFonts w:ascii="Times New Roman" w:hAnsi="Times New Roman"/>
          <w:sz w:val="26"/>
          <w:szCs w:val="26"/>
        </w:rPr>
        <w:t>statements ma</w:t>
      </w:r>
      <w:r>
        <w:rPr>
          <w:rFonts w:ascii="Times New Roman" w:hAnsi="Times New Roman"/>
          <w:sz w:val="26"/>
          <w:szCs w:val="26"/>
        </w:rPr>
        <w:t>de by Respond</w:t>
      </w:r>
      <w:r w:rsidR="001A1361">
        <w:rPr>
          <w:rFonts w:ascii="Times New Roman" w:hAnsi="Times New Roman"/>
          <w:sz w:val="26"/>
          <w:szCs w:val="26"/>
        </w:rPr>
        <w:t>’s agent</w:t>
      </w:r>
      <w:r>
        <w:rPr>
          <w:rFonts w:ascii="Times New Roman" w:hAnsi="Times New Roman"/>
          <w:sz w:val="26"/>
          <w:szCs w:val="26"/>
        </w:rPr>
        <w:t xml:space="preserve"> </w:t>
      </w:r>
      <w:r w:rsidRPr="006D2B30">
        <w:rPr>
          <w:rFonts w:ascii="Times New Roman" w:hAnsi="Times New Roman"/>
          <w:sz w:val="26"/>
          <w:szCs w:val="26"/>
        </w:rPr>
        <w:t>to Mr.</w:t>
      </w:r>
      <w:r w:rsidR="00E82688">
        <w:rPr>
          <w:rFonts w:ascii="Times New Roman" w:hAnsi="Times New Roman"/>
          <w:sz w:val="26"/>
          <w:szCs w:val="26"/>
        </w:rPr>
        <w:t> </w:t>
      </w:r>
      <w:r w:rsidRPr="006D2B30">
        <w:rPr>
          <w:rFonts w:ascii="Times New Roman" w:hAnsi="Times New Roman"/>
          <w:sz w:val="26"/>
          <w:szCs w:val="26"/>
        </w:rPr>
        <w:t xml:space="preserve">Herp </w:t>
      </w:r>
      <w:r w:rsidR="00CF4425">
        <w:rPr>
          <w:rFonts w:ascii="Times New Roman" w:hAnsi="Times New Roman"/>
          <w:sz w:val="26"/>
          <w:szCs w:val="26"/>
        </w:rPr>
        <w:t>were</w:t>
      </w:r>
      <w:r w:rsidRPr="006D2B30">
        <w:rPr>
          <w:rFonts w:ascii="Times New Roman" w:hAnsi="Times New Roman"/>
          <w:sz w:val="26"/>
          <w:szCs w:val="26"/>
        </w:rPr>
        <w:t xml:space="preserve"> relevant.  </w:t>
      </w:r>
      <w:proofErr w:type="gramStart"/>
      <w:r w:rsidR="00E82688">
        <w:rPr>
          <w:rFonts w:ascii="Times New Roman" w:hAnsi="Times New Roman"/>
          <w:sz w:val="26"/>
          <w:szCs w:val="26"/>
        </w:rPr>
        <w:t>I.D. at 19.</w:t>
      </w:r>
      <w:proofErr w:type="gramEnd"/>
    </w:p>
    <w:p w:rsidR="00E82688" w:rsidRDefault="00E82688" w:rsidP="006D2B30">
      <w:pPr>
        <w:ind w:firstLine="1440"/>
        <w:rPr>
          <w:rFonts w:ascii="Times New Roman" w:hAnsi="Times New Roman"/>
          <w:sz w:val="26"/>
          <w:szCs w:val="26"/>
        </w:rPr>
      </w:pPr>
    </w:p>
    <w:p w:rsidR="006D2B30" w:rsidRDefault="00E82688" w:rsidP="006D2B30">
      <w:pPr>
        <w:ind w:firstLine="1440"/>
        <w:rPr>
          <w:rFonts w:ascii="Times New Roman" w:hAnsi="Times New Roman"/>
          <w:sz w:val="26"/>
          <w:szCs w:val="26"/>
        </w:rPr>
      </w:pPr>
      <w:r>
        <w:rPr>
          <w:rFonts w:ascii="Times New Roman" w:hAnsi="Times New Roman"/>
          <w:sz w:val="26"/>
          <w:szCs w:val="26"/>
        </w:rPr>
        <w:t xml:space="preserve">The ALJ found that Respond’s argument demonstrated a disregard for the Commission’s Regulations and </w:t>
      </w:r>
      <w:r w:rsidR="001A1361">
        <w:rPr>
          <w:rFonts w:ascii="Times New Roman" w:hAnsi="Times New Roman"/>
          <w:sz w:val="26"/>
          <w:szCs w:val="26"/>
        </w:rPr>
        <w:t xml:space="preserve">raised </w:t>
      </w:r>
      <w:r w:rsidR="006D2B30" w:rsidRPr="006D2B30">
        <w:rPr>
          <w:rFonts w:ascii="Times New Roman" w:hAnsi="Times New Roman"/>
          <w:sz w:val="26"/>
          <w:szCs w:val="26"/>
        </w:rPr>
        <w:t>question</w:t>
      </w:r>
      <w:r w:rsidR="001A1361">
        <w:rPr>
          <w:rFonts w:ascii="Times New Roman" w:hAnsi="Times New Roman"/>
          <w:sz w:val="26"/>
          <w:szCs w:val="26"/>
        </w:rPr>
        <w:t>s</w:t>
      </w:r>
      <w:r w:rsidR="006D2B30">
        <w:rPr>
          <w:rFonts w:ascii="Times New Roman" w:hAnsi="Times New Roman"/>
          <w:sz w:val="26"/>
          <w:szCs w:val="26"/>
        </w:rPr>
        <w:t xml:space="preserve"> whether Respond </w:t>
      </w:r>
      <w:r w:rsidR="006D2B30" w:rsidRPr="006D2B30">
        <w:rPr>
          <w:rFonts w:ascii="Times New Roman" w:hAnsi="Times New Roman"/>
          <w:sz w:val="26"/>
          <w:szCs w:val="26"/>
        </w:rPr>
        <w:t>advised its third</w:t>
      </w:r>
      <w:r w:rsidR="001A1361">
        <w:rPr>
          <w:rFonts w:ascii="Times New Roman" w:hAnsi="Times New Roman"/>
          <w:sz w:val="26"/>
          <w:szCs w:val="26"/>
        </w:rPr>
        <w:t>-</w:t>
      </w:r>
      <w:r w:rsidR="006D2B30" w:rsidRPr="006D2B30">
        <w:rPr>
          <w:rFonts w:ascii="Times New Roman" w:hAnsi="Times New Roman"/>
          <w:sz w:val="26"/>
          <w:szCs w:val="26"/>
        </w:rPr>
        <w:t>party marketer</w:t>
      </w:r>
      <w:r w:rsidR="001A1361">
        <w:rPr>
          <w:rFonts w:ascii="Times New Roman" w:hAnsi="Times New Roman"/>
          <w:sz w:val="26"/>
          <w:szCs w:val="26"/>
        </w:rPr>
        <w:t>s</w:t>
      </w:r>
      <w:r w:rsidR="006D2B30" w:rsidRPr="006D2B30">
        <w:rPr>
          <w:rFonts w:ascii="Times New Roman" w:hAnsi="Times New Roman"/>
          <w:sz w:val="26"/>
          <w:szCs w:val="26"/>
        </w:rPr>
        <w:t xml:space="preserve"> to comply with Commission </w:t>
      </w:r>
      <w:r w:rsidR="00C8119D">
        <w:rPr>
          <w:rFonts w:ascii="Times New Roman" w:hAnsi="Times New Roman"/>
          <w:sz w:val="26"/>
          <w:szCs w:val="26"/>
        </w:rPr>
        <w:t>R</w:t>
      </w:r>
      <w:r w:rsidR="006D2B30">
        <w:rPr>
          <w:rFonts w:ascii="Times New Roman" w:hAnsi="Times New Roman"/>
          <w:sz w:val="26"/>
          <w:szCs w:val="26"/>
        </w:rPr>
        <w:t>egulations</w:t>
      </w:r>
      <w:r>
        <w:rPr>
          <w:rFonts w:ascii="Times New Roman" w:hAnsi="Times New Roman"/>
          <w:sz w:val="26"/>
          <w:szCs w:val="26"/>
        </w:rPr>
        <w:t>, including the provision of timely and accurate information</w:t>
      </w:r>
      <w:r w:rsidR="006D2B30">
        <w:rPr>
          <w:rFonts w:ascii="Times New Roman" w:hAnsi="Times New Roman"/>
          <w:sz w:val="26"/>
          <w:szCs w:val="26"/>
        </w:rPr>
        <w:t xml:space="preserve"> </w:t>
      </w:r>
      <w:r>
        <w:rPr>
          <w:rFonts w:ascii="Times New Roman" w:hAnsi="Times New Roman"/>
          <w:sz w:val="26"/>
          <w:szCs w:val="26"/>
        </w:rPr>
        <w:t xml:space="preserve">as required in Respond’s </w:t>
      </w:r>
      <w:r>
        <w:rPr>
          <w:rFonts w:ascii="Times New Roman" w:hAnsi="Times New Roman"/>
          <w:i/>
          <w:sz w:val="26"/>
          <w:szCs w:val="26"/>
        </w:rPr>
        <w:t xml:space="preserve">License </w:t>
      </w:r>
      <w:r w:rsidRPr="00E82688">
        <w:rPr>
          <w:rFonts w:ascii="Times New Roman" w:hAnsi="Times New Roman"/>
          <w:i/>
          <w:sz w:val="26"/>
          <w:szCs w:val="26"/>
        </w:rPr>
        <w:t>Order</w:t>
      </w:r>
      <w:r>
        <w:rPr>
          <w:rFonts w:ascii="Times New Roman" w:hAnsi="Times New Roman"/>
          <w:sz w:val="26"/>
          <w:szCs w:val="26"/>
        </w:rPr>
        <w:t xml:space="preserve">, </w:t>
      </w:r>
      <w:r w:rsidR="006D2B30" w:rsidRPr="00E82688">
        <w:rPr>
          <w:rFonts w:ascii="Times New Roman" w:hAnsi="Times New Roman"/>
          <w:sz w:val="26"/>
          <w:szCs w:val="26"/>
        </w:rPr>
        <w:t>when</w:t>
      </w:r>
      <w:r w:rsidR="006D2B30">
        <w:rPr>
          <w:rFonts w:ascii="Times New Roman" w:hAnsi="Times New Roman"/>
          <w:sz w:val="26"/>
          <w:szCs w:val="26"/>
        </w:rPr>
        <w:t xml:space="preserve"> Respond </w:t>
      </w:r>
      <w:r w:rsidR="006D2B30" w:rsidRPr="006D2B30">
        <w:rPr>
          <w:rFonts w:ascii="Times New Roman" w:hAnsi="Times New Roman"/>
          <w:sz w:val="26"/>
          <w:szCs w:val="26"/>
        </w:rPr>
        <w:t>advocate</w:t>
      </w:r>
      <w:r w:rsidR="006B667D">
        <w:rPr>
          <w:rFonts w:ascii="Times New Roman" w:hAnsi="Times New Roman"/>
          <w:sz w:val="26"/>
          <w:szCs w:val="26"/>
        </w:rPr>
        <w:t>d</w:t>
      </w:r>
      <w:r w:rsidR="006D2B30" w:rsidRPr="006D2B30">
        <w:rPr>
          <w:rFonts w:ascii="Times New Roman" w:hAnsi="Times New Roman"/>
          <w:sz w:val="26"/>
          <w:szCs w:val="26"/>
        </w:rPr>
        <w:t xml:space="preserve"> </w:t>
      </w:r>
      <w:r>
        <w:rPr>
          <w:rFonts w:ascii="Times New Roman" w:hAnsi="Times New Roman"/>
          <w:sz w:val="26"/>
          <w:szCs w:val="26"/>
        </w:rPr>
        <w:t>t</w:t>
      </w:r>
      <w:r w:rsidR="00021EE8">
        <w:rPr>
          <w:rFonts w:ascii="Times New Roman" w:hAnsi="Times New Roman"/>
          <w:sz w:val="26"/>
          <w:szCs w:val="26"/>
        </w:rPr>
        <w:t>hat</w:t>
      </w:r>
      <w:r w:rsidR="006D2B30" w:rsidRPr="006D2B30">
        <w:rPr>
          <w:rFonts w:ascii="Times New Roman" w:hAnsi="Times New Roman"/>
          <w:sz w:val="26"/>
          <w:szCs w:val="26"/>
        </w:rPr>
        <w:t xml:space="preserve"> </w:t>
      </w:r>
      <w:r>
        <w:rPr>
          <w:rFonts w:ascii="Times New Roman" w:hAnsi="Times New Roman"/>
          <w:sz w:val="26"/>
          <w:szCs w:val="26"/>
        </w:rPr>
        <w:t xml:space="preserve">any </w:t>
      </w:r>
      <w:r w:rsidR="006B667D">
        <w:rPr>
          <w:rFonts w:ascii="Times New Roman" w:hAnsi="Times New Roman"/>
          <w:sz w:val="26"/>
          <w:szCs w:val="26"/>
        </w:rPr>
        <w:t>oral representation to</w:t>
      </w:r>
      <w:r w:rsidR="006D2B30" w:rsidRPr="006D2B30">
        <w:rPr>
          <w:rFonts w:ascii="Times New Roman" w:hAnsi="Times New Roman"/>
          <w:sz w:val="26"/>
          <w:szCs w:val="26"/>
        </w:rPr>
        <w:t xml:space="preserve"> </w:t>
      </w:r>
      <w:r w:rsidR="001A1361">
        <w:rPr>
          <w:rFonts w:ascii="Times New Roman" w:hAnsi="Times New Roman"/>
          <w:sz w:val="26"/>
          <w:szCs w:val="26"/>
        </w:rPr>
        <w:t>a</w:t>
      </w:r>
      <w:r w:rsidR="006D2B30" w:rsidRPr="006D2B30">
        <w:rPr>
          <w:rFonts w:ascii="Times New Roman" w:hAnsi="Times New Roman"/>
          <w:sz w:val="26"/>
          <w:szCs w:val="26"/>
        </w:rPr>
        <w:t xml:space="preserve"> prospective customer </w:t>
      </w:r>
      <w:r w:rsidR="006B667D">
        <w:rPr>
          <w:rFonts w:ascii="Times New Roman" w:hAnsi="Times New Roman"/>
          <w:sz w:val="26"/>
          <w:szCs w:val="26"/>
        </w:rPr>
        <w:t xml:space="preserve">by an </w:t>
      </w:r>
      <w:r w:rsidR="006D2B30" w:rsidRPr="006D2B30">
        <w:rPr>
          <w:rFonts w:ascii="Times New Roman" w:hAnsi="Times New Roman"/>
          <w:sz w:val="26"/>
          <w:szCs w:val="26"/>
        </w:rPr>
        <w:t xml:space="preserve">agent prior to execution of the agreement </w:t>
      </w:r>
      <w:r w:rsidR="00E57EFA">
        <w:rPr>
          <w:rFonts w:ascii="Times New Roman" w:hAnsi="Times New Roman"/>
          <w:sz w:val="26"/>
          <w:szCs w:val="26"/>
        </w:rPr>
        <w:t>is</w:t>
      </w:r>
      <w:r w:rsidR="006D2B30" w:rsidRPr="006D2B30">
        <w:rPr>
          <w:rFonts w:ascii="Times New Roman" w:hAnsi="Times New Roman"/>
          <w:sz w:val="26"/>
          <w:szCs w:val="26"/>
        </w:rPr>
        <w:t xml:space="preserve"> irrelevant</w:t>
      </w:r>
      <w:r>
        <w:rPr>
          <w:rFonts w:ascii="Times New Roman" w:hAnsi="Times New Roman"/>
          <w:sz w:val="26"/>
          <w:szCs w:val="26"/>
        </w:rPr>
        <w:t xml:space="preserve"> because </w:t>
      </w:r>
      <w:r w:rsidRPr="00E82688">
        <w:rPr>
          <w:rFonts w:ascii="Times New Roman" w:hAnsi="Times New Roman"/>
          <w:sz w:val="26"/>
          <w:szCs w:val="26"/>
        </w:rPr>
        <w:t>the written terms of a contract control</w:t>
      </w:r>
      <w:r w:rsidR="006D2B30" w:rsidRPr="006D2B30">
        <w:rPr>
          <w:rFonts w:ascii="Times New Roman" w:hAnsi="Times New Roman"/>
          <w:sz w:val="26"/>
          <w:szCs w:val="26"/>
        </w:rPr>
        <w:t>.</w:t>
      </w:r>
      <w:r w:rsidR="006D2B30">
        <w:rPr>
          <w:rFonts w:ascii="Times New Roman" w:hAnsi="Times New Roman"/>
          <w:sz w:val="26"/>
          <w:szCs w:val="26"/>
        </w:rPr>
        <w:t xml:space="preserve">  </w:t>
      </w:r>
      <w:r w:rsidR="00CF4425">
        <w:rPr>
          <w:rFonts w:ascii="Times New Roman" w:hAnsi="Times New Roman"/>
          <w:i/>
          <w:sz w:val="26"/>
          <w:szCs w:val="26"/>
        </w:rPr>
        <w:t>Id</w:t>
      </w:r>
      <w:r w:rsidR="006D2B30">
        <w:rPr>
          <w:rFonts w:ascii="Times New Roman" w:hAnsi="Times New Roman"/>
          <w:sz w:val="26"/>
          <w:szCs w:val="26"/>
        </w:rPr>
        <w:t>.</w:t>
      </w:r>
    </w:p>
    <w:p w:rsidR="000F2C81" w:rsidRDefault="000F2C81" w:rsidP="006D2B30">
      <w:pPr>
        <w:ind w:firstLine="1440"/>
        <w:rPr>
          <w:rFonts w:ascii="Times New Roman" w:hAnsi="Times New Roman"/>
          <w:sz w:val="26"/>
          <w:szCs w:val="26"/>
        </w:rPr>
      </w:pPr>
    </w:p>
    <w:p w:rsidR="00E50A59" w:rsidRPr="002C62FF" w:rsidRDefault="001A1361" w:rsidP="002C62FF">
      <w:pPr>
        <w:ind w:firstLine="1440"/>
        <w:rPr>
          <w:rFonts w:ascii="Times New Roman" w:hAnsi="Times New Roman"/>
          <w:sz w:val="26"/>
          <w:szCs w:val="26"/>
        </w:rPr>
      </w:pPr>
      <w:r>
        <w:rPr>
          <w:rFonts w:ascii="Times New Roman" w:hAnsi="Times New Roman"/>
          <w:sz w:val="26"/>
          <w:szCs w:val="26"/>
        </w:rPr>
        <w:t>I</w:t>
      </w:r>
      <w:r w:rsidR="00E50A59" w:rsidRPr="002C62FF">
        <w:rPr>
          <w:rFonts w:ascii="Times New Roman" w:hAnsi="Times New Roman"/>
          <w:sz w:val="26"/>
          <w:szCs w:val="26"/>
        </w:rPr>
        <w:t xml:space="preserve">n comparing the “Disclosure Statement of Respond Power LLC” (Draft Disclosure Statement) attached to </w:t>
      </w:r>
      <w:r w:rsidR="007A4AC3">
        <w:rPr>
          <w:rFonts w:ascii="Times New Roman" w:hAnsi="Times New Roman"/>
          <w:sz w:val="26"/>
          <w:szCs w:val="26"/>
        </w:rPr>
        <w:t xml:space="preserve">Respond’s License </w:t>
      </w:r>
      <w:r w:rsidR="00E50A59" w:rsidRPr="002C62FF">
        <w:rPr>
          <w:rFonts w:ascii="Times New Roman" w:hAnsi="Times New Roman"/>
          <w:sz w:val="26"/>
          <w:szCs w:val="26"/>
        </w:rPr>
        <w:t xml:space="preserve">Application </w:t>
      </w:r>
      <w:r w:rsidR="007A4AC3">
        <w:rPr>
          <w:rFonts w:ascii="Times New Roman" w:hAnsi="Times New Roman"/>
          <w:sz w:val="26"/>
          <w:szCs w:val="26"/>
        </w:rPr>
        <w:t>(Application) to</w:t>
      </w:r>
      <w:r w:rsidR="00E50A59" w:rsidRPr="002C62FF">
        <w:rPr>
          <w:rFonts w:ascii="Times New Roman" w:hAnsi="Times New Roman"/>
          <w:sz w:val="26"/>
          <w:szCs w:val="26"/>
        </w:rPr>
        <w:t xml:space="preserve"> </w:t>
      </w:r>
      <w:proofErr w:type="gramStart"/>
      <w:r w:rsidR="00E50A59" w:rsidRPr="002C62FF">
        <w:rPr>
          <w:rFonts w:ascii="Times New Roman" w:hAnsi="Times New Roman"/>
          <w:sz w:val="26"/>
          <w:szCs w:val="26"/>
        </w:rPr>
        <w:t>Respond’s</w:t>
      </w:r>
      <w:proofErr w:type="gramEnd"/>
      <w:r w:rsidR="00E50A59" w:rsidRPr="002C62FF">
        <w:rPr>
          <w:rFonts w:ascii="Times New Roman" w:hAnsi="Times New Roman"/>
          <w:sz w:val="26"/>
          <w:szCs w:val="26"/>
        </w:rPr>
        <w:t xml:space="preserve"> Exh. 2 “Respond Power LLC and Major Energy Services LLC, Affiliates Disclosure Statement” (Affiliates Disclosure Statement), </w:t>
      </w:r>
      <w:r>
        <w:rPr>
          <w:rFonts w:ascii="Times New Roman" w:hAnsi="Times New Roman"/>
          <w:sz w:val="26"/>
          <w:szCs w:val="26"/>
        </w:rPr>
        <w:t>the ALJ</w:t>
      </w:r>
      <w:r w:rsidR="00E50A59" w:rsidRPr="002C62FF">
        <w:rPr>
          <w:rFonts w:ascii="Times New Roman" w:hAnsi="Times New Roman"/>
          <w:sz w:val="26"/>
          <w:szCs w:val="26"/>
        </w:rPr>
        <w:t xml:space="preserve"> found </w:t>
      </w:r>
      <w:r w:rsidR="007A4AC3">
        <w:rPr>
          <w:rFonts w:ascii="Times New Roman" w:hAnsi="Times New Roman"/>
          <w:sz w:val="26"/>
          <w:szCs w:val="26"/>
        </w:rPr>
        <w:t xml:space="preserve">both similarities and </w:t>
      </w:r>
      <w:r w:rsidR="00E50A59" w:rsidRPr="002C62FF">
        <w:rPr>
          <w:rFonts w:ascii="Times New Roman" w:hAnsi="Times New Roman"/>
          <w:sz w:val="26"/>
          <w:szCs w:val="26"/>
        </w:rPr>
        <w:t xml:space="preserve">differences.  The ALJ </w:t>
      </w:r>
      <w:r w:rsidR="007A4AC3">
        <w:rPr>
          <w:rFonts w:ascii="Times New Roman" w:hAnsi="Times New Roman"/>
          <w:sz w:val="26"/>
          <w:szCs w:val="26"/>
        </w:rPr>
        <w:t xml:space="preserve">also questioned whether either had been approved by the Commission, particularly the </w:t>
      </w:r>
      <w:r w:rsidR="00E50A59" w:rsidRPr="002C62FF">
        <w:rPr>
          <w:rFonts w:ascii="Times New Roman" w:hAnsi="Times New Roman"/>
          <w:sz w:val="26"/>
          <w:szCs w:val="26"/>
        </w:rPr>
        <w:t>Affiliates Disclosure Statement</w:t>
      </w:r>
      <w:r w:rsidR="007A4AC3">
        <w:rPr>
          <w:rFonts w:ascii="Times New Roman" w:hAnsi="Times New Roman"/>
          <w:sz w:val="26"/>
          <w:szCs w:val="26"/>
        </w:rPr>
        <w:t xml:space="preserve"> provided to the Complainant</w:t>
      </w:r>
      <w:r w:rsidR="00E50A59" w:rsidRPr="002C62FF">
        <w:rPr>
          <w:rFonts w:ascii="Times New Roman" w:hAnsi="Times New Roman"/>
          <w:sz w:val="26"/>
          <w:szCs w:val="26"/>
        </w:rPr>
        <w:t xml:space="preserve">.  </w:t>
      </w:r>
      <w:proofErr w:type="gramStart"/>
      <w:r w:rsidR="009D562F">
        <w:rPr>
          <w:rFonts w:ascii="Times New Roman" w:hAnsi="Times New Roman"/>
          <w:i/>
          <w:sz w:val="26"/>
          <w:szCs w:val="26"/>
        </w:rPr>
        <w:t>Id</w:t>
      </w:r>
      <w:r w:rsidR="00E50A59" w:rsidRPr="002C62FF">
        <w:rPr>
          <w:rFonts w:ascii="Times New Roman" w:hAnsi="Times New Roman"/>
          <w:sz w:val="26"/>
          <w:szCs w:val="26"/>
        </w:rPr>
        <w:t>. at 20.</w:t>
      </w:r>
      <w:proofErr w:type="gramEnd"/>
    </w:p>
    <w:p w:rsidR="00E002DE" w:rsidRDefault="00E002DE" w:rsidP="00E50A59"/>
    <w:p w:rsidR="00FB0011" w:rsidRDefault="00E002DE" w:rsidP="001C5F60">
      <w:pPr>
        <w:rPr>
          <w:rFonts w:ascii="Times New Roman" w:hAnsi="Times New Roman"/>
          <w:color w:val="000000"/>
          <w:sz w:val="26"/>
          <w:szCs w:val="26"/>
        </w:rPr>
      </w:pPr>
      <w:r>
        <w:tab/>
      </w:r>
      <w:r>
        <w:tab/>
      </w:r>
      <w:r w:rsidR="007A4AC3" w:rsidRPr="007A4AC3">
        <w:rPr>
          <w:sz w:val="26"/>
          <w:szCs w:val="26"/>
        </w:rPr>
        <w:t>Reviewing the A</w:t>
      </w:r>
      <w:r w:rsidRPr="007A4AC3">
        <w:rPr>
          <w:rFonts w:ascii="Times New Roman" w:hAnsi="Times New Roman"/>
          <w:sz w:val="26"/>
          <w:szCs w:val="26"/>
        </w:rPr>
        <w:t>ffiliates</w:t>
      </w:r>
      <w:r w:rsidRPr="002C62FF">
        <w:rPr>
          <w:rFonts w:ascii="Times New Roman" w:hAnsi="Times New Roman"/>
          <w:sz w:val="26"/>
          <w:szCs w:val="26"/>
        </w:rPr>
        <w:t xml:space="preserve"> Disclosure Statement</w:t>
      </w:r>
      <w:r w:rsidR="007A4AC3">
        <w:rPr>
          <w:rFonts w:ascii="Times New Roman" w:hAnsi="Times New Roman"/>
          <w:sz w:val="26"/>
          <w:szCs w:val="26"/>
        </w:rPr>
        <w:t xml:space="preserve">, the ALJ </w:t>
      </w:r>
      <w:r w:rsidR="00AE0AFA">
        <w:rPr>
          <w:rFonts w:ascii="Times New Roman" w:hAnsi="Times New Roman"/>
          <w:sz w:val="26"/>
          <w:szCs w:val="26"/>
        </w:rPr>
        <w:t>fou</w:t>
      </w:r>
      <w:r w:rsidRPr="00E002DE">
        <w:rPr>
          <w:rFonts w:ascii="Times New Roman" w:hAnsi="Times New Roman"/>
          <w:sz w:val="26"/>
          <w:szCs w:val="26"/>
        </w:rPr>
        <w:t xml:space="preserve">nd </w:t>
      </w:r>
      <w:r w:rsidR="001C5F60">
        <w:rPr>
          <w:rFonts w:ascii="Times New Roman" w:hAnsi="Times New Roman"/>
          <w:sz w:val="26"/>
          <w:szCs w:val="26"/>
        </w:rPr>
        <w:t>its</w:t>
      </w:r>
      <w:r w:rsidRPr="00E002DE">
        <w:rPr>
          <w:rFonts w:ascii="Times New Roman" w:hAnsi="Times New Roman"/>
          <w:sz w:val="26"/>
          <w:szCs w:val="26"/>
        </w:rPr>
        <w:t xml:space="preserve"> </w:t>
      </w:r>
      <w:r w:rsidR="009D17FE">
        <w:rPr>
          <w:rFonts w:ascii="Times New Roman" w:hAnsi="Times New Roman"/>
          <w:sz w:val="26"/>
          <w:szCs w:val="26"/>
        </w:rPr>
        <w:t>language</w:t>
      </w:r>
      <w:r w:rsidRPr="00E002DE">
        <w:rPr>
          <w:rFonts w:ascii="Times New Roman" w:hAnsi="Times New Roman"/>
          <w:sz w:val="26"/>
          <w:szCs w:val="26"/>
        </w:rPr>
        <w:t xml:space="preserve"> </w:t>
      </w:r>
      <w:r w:rsidR="001A1361">
        <w:rPr>
          <w:rFonts w:ascii="Times New Roman" w:hAnsi="Times New Roman"/>
          <w:sz w:val="26"/>
          <w:szCs w:val="26"/>
        </w:rPr>
        <w:t xml:space="preserve">to be </w:t>
      </w:r>
      <w:r w:rsidRPr="00E002DE">
        <w:rPr>
          <w:rFonts w:ascii="Times New Roman" w:hAnsi="Times New Roman"/>
          <w:sz w:val="26"/>
          <w:szCs w:val="26"/>
        </w:rPr>
        <w:t xml:space="preserve">misleading </w:t>
      </w:r>
      <w:r w:rsidR="008979C9">
        <w:rPr>
          <w:rFonts w:ascii="Times New Roman" w:hAnsi="Times New Roman"/>
          <w:sz w:val="26"/>
          <w:szCs w:val="26"/>
        </w:rPr>
        <w:t xml:space="preserve">and poorly written with respect to pricing, particularly in </w:t>
      </w:r>
      <w:r w:rsidR="001C5F60">
        <w:rPr>
          <w:rFonts w:ascii="Times New Roman" w:hAnsi="Times New Roman"/>
          <w:sz w:val="26"/>
          <w:szCs w:val="26"/>
        </w:rPr>
        <w:t xml:space="preserve">its </w:t>
      </w:r>
      <w:r w:rsidR="008979C9">
        <w:rPr>
          <w:rFonts w:ascii="Times New Roman" w:hAnsi="Times New Roman"/>
          <w:sz w:val="26"/>
          <w:szCs w:val="26"/>
        </w:rPr>
        <w:t xml:space="preserve">comparison to </w:t>
      </w:r>
      <w:r w:rsidR="001C5F60">
        <w:rPr>
          <w:rFonts w:ascii="Times New Roman" w:hAnsi="Times New Roman"/>
          <w:sz w:val="26"/>
          <w:szCs w:val="26"/>
        </w:rPr>
        <w:t>the local EDC’s</w:t>
      </w:r>
      <w:r w:rsidR="008979C9">
        <w:rPr>
          <w:rFonts w:ascii="Times New Roman" w:hAnsi="Times New Roman"/>
          <w:sz w:val="26"/>
          <w:szCs w:val="26"/>
        </w:rPr>
        <w:t xml:space="preserve"> </w:t>
      </w:r>
      <w:r w:rsidRPr="00E002DE">
        <w:rPr>
          <w:rFonts w:ascii="Times New Roman" w:hAnsi="Times New Roman"/>
          <w:sz w:val="26"/>
          <w:szCs w:val="26"/>
        </w:rPr>
        <w:t>price-to-compare</w:t>
      </w:r>
      <w:r w:rsidR="008979C9">
        <w:rPr>
          <w:rFonts w:ascii="Times New Roman" w:hAnsi="Times New Roman"/>
          <w:sz w:val="26"/>
          <w:szCs w:val="26"/>
        </w:rPr>
        <w:t xml:space="preserve"> (PTC)</w:t>
      </w:r>
      <w:r w:rsidRPr="00E002DE">
        <w:rPr>
          <w:rFonts w:ascii="Times New Roman" w:hAnsi="Times New Roman"/>
          <w:sz w:val="26"/>
          <w:szCs w:val="26"/>
        </w:rPr>
        <w:t>.</w:t>
      </w:r>
      <w:r w:rsidR="00AE0AFA">
        <w:rPr>
          <w:rFonts w:ascii="Times New Roman" w:hAnsi="Times New Roman"/>
          <w:sz w:val="26"/>
          <w:szCs w:val="26"/>
        </w:rPr>
        <w:t xml:space="preserve">  </w:t>
      </w:r>
      <w:r w:rsidR="009D562F" w:rsidRPr="009D562F">
        <w:rPr>
          <w:rFonts w:ascii="Times New Roman" w:hAnsi="Times New Roman"/>
          <w:i/>
          <w:sz w:val="26"/>
          <w:szCs w:val="26"/>
        </w:rPr>
        <w:t>Id</w:t>
      </w:r>
      <w:r w:rsidR="00AE0AFA">
        <w:rPr>
          <w:rFonts w:ascii="Times New Roman" w:hAnsi="Times New Roman"/>
          <w:sz w:val="26"/>
          <w:szCs w:val="26"/>
        </w:rPr>
        <w:t>. at 20-21.</w:t>
      </w:r>
      <w:r w:rsidR="001C5F60">
        <w:rPr>
          <w:rFonts w:ascii="Times New Roman" w:hAnsi="Times New Roman"/>
          <w:sz w:val="26"/>
          <w:szCs w:val="26"/>
        </w:rPr>
        <w:t xml:space="preserve">  T</w:t>
      </w:r>
      <w:r w:rsidR="00FB0011">
        <w:rPr>
          <w:rFonts w:ascii="Times New Roman" w:hAnsi="Times New Roman"/>
          <w:sz w:val="26"/>
          <w:szCs w:val="26"/>
        </w:rPr>
        <w:t>he ALJ also fou</w:t>
      </w:r>
      <w:r w:rsidR="00FB0011" w:rsidRPr="00FB0011">
        <w:rPr>
          <w:rFonts w:ascii="Times New Roman" w:hAnsi="Times New Roman"/>
          <w:sz w:val="26"/>
          <w:szCs w:val="26"/>
        </w:rPr>
        <w:t xml:space="preserve">nd </w:t>
      </w:r>
      <w:r w:rsidR="001A1361">
        <w:rPr>
          <w:rFonts w:ascii="Times New Roman" w:hAnsi="Times New Roman"/>
          <w:sz w:val="26"/>
          <w:szCs w:val="26"/>
        </w:rPr>
        <w:t xml:space="preserve">insufficient evidence </w:t>
      </w:r>
      <w:r w:rsidR="00FB0011" w:rsidRPr="00FB0011">
        <w:rPr>
          <w:rFonts w:ascii="Times New Roman" w:hAnsi="Times New Roman"/>
          <w:sz w:val="26"/>
          <w:szCs w:val="26"/>
        </w:rPr>
        <w:t xml:space="preserve">to </w:t>
      </w:r>
      <w:r w:rsidR="001A1361">
        <w:rPr>
          <w:rFonts w:ascii="Times New Roman" w:hAnsi="Times New Roman"/>
          <w:sz w:val="26"/>
          <w:szCs w:val="26"/>
        </w:rPr>
        <w:t>conclude</w:t>
      </w:r>
      <w:r w:rsidR="00FB0011" w:rsidRPr="00FB0011">
        <w:rPr>
          <w:rFonts w:ascii="Times New Roman" w:hAnsi="Times New Roman"/>
          <w:sz w:val="26"/>
          <w:szCs w:val="26"/>
        </w:rPr>
        <w:t xml:space="preserve"> th</w:t>
      </w:r>
      <w:r w:rsidR="00CB15C9">
        <w:rPr>
          <w:rFonts w:ascii="Times New Roman" w:hAnsi="Times New Roman"/>
          <w:sz w:val="26"/>
          <w:szCs w:val="26"/>
        </w:rPr>
        <w:t>e</w:t>
      </w:r>
      <w:r w:rsidR="00FB0011" w:rsidRPr="00FB0011">
        <w:rPr>
          <w:rFonts w:ascii="Times New Roman" w:hAnsi="Times New Roman"/>
          <w:sz w:val="26"/>
          <w:szCs w:val="26"/>
        </w:rPr>
        <w:t xml:space="preserve"> Affiliates Disclosure Statement was approved</w:t>
      </w:r>
      <w:r w:rsidR="00FB0011">
        <w:rPr>
          <w:rFonts w:ascii="Times New Roman" w:hAnsi="Times New Roman"/>
          <w:sz w:val="26"/>
          <w:szCs w:val="26"/>
        </w:rPr>
        <w:t xml:space="preserve"> by the Commission; therefore, </w:t>
      </w:r>
      <w:r w:rsidR="001A1361">
        <w:rPr>
          <w:rFonts w:ascii="Times New Roman" w:hAnsi="Times New Roman"/>
          <w:sz w:val="26"/>
          <w:szCs w:val="26"/>
        </w:rPr>
        <w:t xml:space="preserve">it lacked </w:t>
      </w:r>
      <w:r w:rsidR="00FB0011" w:rsidRPr="00FB0011">
        <w:rPr>
          <w:rFonts w:ascii="Times New Roman" w:hAnsi="Times New Roman"/>
          <w:sz w:val="26"/>
          <w:szCs w:val="26"/>
        </w:rPr>
        <w:t>any presu</w:t>
      </w:r>
      <w:r w:rsidR="00FB0011">
        <w:rPr>
          <w:rFonts w:ascii="Times New Roman" w:hAnsi="Times New Roman"/>
          <w:sz w:val="26"/>
          <w:szCs w:val="26"/>
        </w:rPr>
        <w:t xml:space="preserve">mption </w:t>
      </w:r>
      <w:r w:rsidR="001A1361">
        <w:rPr>
          <w:rFonts w:ascii="Times New Roman" w:hAnsi="Times New Roman"/>
          <w:sz w:val="26"/>
          <w:szCs w:val="26"/>
        </w:rPr>
        <w:t xml:space="preserve">of </w:t>
      </w:r>
      <w:r w:rsidR="00FB0011">
        <w:rPr>
          <w:rFonts w:ascii="Times New Roman" w:hAnsi="Times New Roman"/>
          <w:sz w:val="26"/>
          <w:szCs w:val="26"/>
        </w:rPr>
        <w:t>compliance with Commission Regulations.  She</w:t>
      </w:r>
      <w:r w:rsidR="00FB0011" w:rsidRPr="00FB0011">
        <w:rPr>
          <w:rFonts w:ascii="Times New Roman" w:hAnsi="Times New Roman"/>
          <w:sz w:val="26"/>
          <w:szCs w:val="26"/>
        </w:rPr>
        <w:t xml:space="preserve"> specifically note</w:t>
      </w:r>
      <w:r w:rsidR="00FB0011">
        <w:rPr>
          <w:rFonts w:ascii="Times New Roman" w:hAnsi="Times New Roman"/>
          <w:sz w:val="26"/>
          <w:szCs w:val="26"/>
        </w:rPr>
        <w:t>d</w:t>
      </w:r>
      <w:r w:rsidR="00FB0011" w:rsidRPr="00FB0011">
        <w:rPr>
          <w:rFonts w:ascii="Times New Roman" w:hAnsi="Times New Roman"/>
          <w:sz w:val="26"/>
          <w:szCs w:val="26"/>
        </w:rPr>
        <w:t xml:space="preserve"> that the “no refund policy” clause may be voidable given the Commission’s recent rulings that the Commission has jurisdiction and authority to order an EGS to refund </w:t>
      </w:r>
      <w:r w:rsidR="001C5F60">
        <w:rPr>
          <w:rFonts w:ascii="Times New Roman" w:hAnsi="Times New Roman"/>
          <w:sz w:val="26"/>
          <w:szCs w:val="26"/>
        </w:rPr>
        <w:t xml:space="preserve">an overbilling to </w:t>
      </w:r>
      <w:r w:rsidR="00FB0011" w:rsidRPr="00FB0011">
        <w:rPr>
          <w:rFonts w:ascii="Times New Roman" w:hAnsi="Times New Roman"/>
          <w:sz w:val="26"/>
          <w:szCs w:val="26"/>
        </w:rPr>
        <w:t>a customer in certain situations.</w:t>
      </w:r>
      <w:r w:rsidR="001C5F60">
        <w:rPr>
          <w:rStyle w:val="FootnoteReference"/>
          <w:sz w:val="26"/>
          <w:szCs w:val="26"/>
        </w:rPr>
        <w:footnoteReference w:id="4"/>
      </w:r>
      <w:r w:rsidR="001C5F60">
        <w:rPr>
          <w:rFonts w:ascii="Times New Roman" w:hAnsi="Times New Roman"/>
          <w:sz w:val="26"/>
          <w:szCs w:val="26"/>
        </w:rPr>
        <w:t xml:space="preserve">  </w:t>
      </w:r>
      <w:proofErr w:type="gramStart"/>
      <w:r w:rsidR="009D562F" w:rsidRPr="009D562F">
        <w:rPr>
          <w:rFonts w:ascii="Times New Roman" w:hAnsi="Times New Roman"/>
          <w:i/>
          <w:sz w:val="26"/>
          <w:szCs w:val="26"/>
        </w:rPr>
        <w:t>Id</w:t>
      </w:r>
      <w:r w:rsidR="001C5F60">
        <w:rPr>
          <w:rFonts w:ascii="Times New Roman" w:hAnsi="Times New Roman"/>
          <w:sz w:val="26"/>
          <w:szCs w:val="26"/>
        </w:rPr>
        <w:t>. at 22.</w:t>
      </w:r>
      <w:proofErr w:type="gramEnd"/>
    </w:p>
    <w:p w:rsidR="00770877" w:rsidRDefault="00770877" w:rsidP="00FB0011">
      <w:pPr>
        <w:ind w:firstLine="1440"/>
        <w:rPr>
          <w:rFonts w:ascii="Times New Roman" w:hAnsi="Times New Roman"/>
          <w:color w:val="000000"/>
          <w:sz w:val="26"/>
          <w:szCs w:val="26"/>
        </w:rPr>
      </w:pPr>
    </w:p>
    <w:p w:rsidR="00B93DD5" w:rsidRDefault="00770877" w:rsidP="00770877">
      <w:pPr>
        <w:ind w:firstLine="1440"/>
        <w:rPr>
          <w:rFonts w:ascii="Times New Roman" w:hAnsi="Times New Roman"/>
          <w:sz w:val="26"/>
          <w:szCs w:val="26"/>
        </w:rPr>
      </w:pPr>
      <w:r>
        <w:rPr>
          <w:rFonts w:ascii="Times New Roman" w:hAnsi="Times New Roman"/>
          <w:sz w:val="26"/>
          <w:szCs w:val="26"/>
        </w:rPr>
        <w:t xml:space="preserve">The ALJ next noted </w:t>
      </w:r>
      <w:r w:rsidRPr="00770877">
        <w:rPr>
          <w:rFonts w:ascii="Times New Roman" w:hAnsi="Times New Roman"/>
          <w:sz w:val="26"/>
          <w:szCs w:val="26"/>
        </w:rPr>
        <w:t>the Commission</w:t>
      </w:r>
      <w:r w:rsidR="001A1361">
        <w:rPr>
          <w:rFonts w:ascii="Times New Roman" w:hAnsi="Times New Roman"/>
          <w:sz w:val="26"/>
          <w:szCs w:val="26"/>
        </w:rPr>
        <w:t>’s</w:t>
      </w:r>
      <w:r w:rsidRPr="00770877">
        <w:rPr>
          <w:rFonts w:ascii="Times New Roman" w:hAnsi="Times New Roman"/>
          <w:sz w:val="26"/>
          <w:szCs w:val="26"/>
        </w:rPr>
        <w:t xml:space="preserve"> concern </w:t>
      </w:r>
      <w:r w:rsidR="009D17FE">
        <w:rPr>
          <w:rFonts w:ascii="Times New Roman" w:hAnsi="Times New Roman"/>
          <w:sz w:val="26"/>
          <w:szCs w:val="26"/>
        </w:rPr>
        <w:t xml:space="preserve">that </w:t>
      </w:r>
      <w:r w:rsidRPr="00770877">
        <w:rPr>
          <w:rFonts w:ascii="Times New Roman" w:hAnsi="Times New Roman"/>
          <w:sz w:val="26"/>
          <w:szCs w:val="26"/>
        </w:rPr>
        <w:t>customers receive clear and unequivocal disc</w:t>
      </w:r>
      <w:r>
        <w:rPr>
          <w:rFonts w:ascii="Times New Roman" w:hAnsi="Times New Roman"/>
          <w:sz w:val="26"/>
          <w:szCs w:val="26"/>
        </w:rPr>
        <w:t>losures</w:t>
      </w:r>
      <w:r w:rsidR="009D17FE">
        <w:rPr>
          <w:rFonts w:ascii="Times New Roman" w:hAnsi="Times New Roman"/>
          <w:sz w:val="26"/>
          <w:szCs w:val="26"/>
        </w:rPr>
        <w:t>,</w:t>
      </w:r>
      <w:r>
        <w:rPr>
          <w:rFonts w:ascii="Times New Roman" w:hAnsi="Times New Roman"/>
          <w:sz w:val="26"/>
          <w:szCs w:val="26"/>
        </w:rPr>
        <w:t xml:space="preserve"> whether oral or written</w:t>
      </w:r>
      <w:r w:rsidR="009D17FE">
        <w:rPr>
          <w:rFonts w:ascii="Times New Roman" w:hAnsi="Times New Roman"/>
          <w:sz w:val="26"/>
          <w:szCs w:val="26"/>
        </w:rPr>
        <w:t>,</w:t>
      </w:r>
      <w:r>
        <w:rPr>
          <w:rFonts w:ascii="Times New Roman" w:hAnsi="Times New Roman"/>
          <w:sz w:val="26"/>
          <w:szCs w:val="26"/>
        </w:rPr>
        <w:t xml:space="preserve"> and fou</w:t>
      </w:r>
      <w:r w:rsidRPr="00770877">
        <w:rPr>
          <w:rFonts w:ascii="Times New Roman" w:hAnsi="Times New Roman"/>
          <w:sz w:val="26"/>
          <w:szCs w:val="26"/>
        </w:rPr>
        <w:t xml:space="preserve">nd </w:t>
      </w:r>
      <w:r>
        <w:rPr>
          <w:rFonts w:ascii="Times New Roman" w:hAnsi="Times New Roman"/>
          <w:sz w:val="26"/>
          <w:szCs w:val="26"/>
        </w:rPr>
        <w:t xml:space="preserve">that </w:t>
      </w:r>
      <w:r w:rsidRPr="00770877">
        <w:rPr>
          <w:rFonts w:ascii="Times New Roman" w:hAnsi="Times New Roman"/>
          <w:sz w:val="26"/>
          <w:szCs w:val="26"/>
        </w:rPr>
        <w:t xml:space="preserve">a reasonable customer could be misled by the written disclosure statement in Respond’s Exhibits 1-2.  Therefore, </w:t>
      </w:r>
      <w:r>
        <w:rPr>
          <w:rFonts w:ascii="Times New Roman" w:hAnsi="Times New Roman"/>
          <w:sz w:val="26"/>
          <w:szCs w:val="26"/>
        </w:rPr>
        <w:t>the ALJ fou</w:t>
      </w:r>
      <w:r w:rsidRPr="00770877">
        <w:rPr>
          <w:rFonts w:ascii="Times New Roman" w:hAnsi="Times New Roman"/>
          <w:sz w:val="26"/>
          <w:szCs w:val="26"/>
        </w:rPr>
        <w:t xml:space="preserve">nd </w:t>
      </w:r>
      <w:r w:rsidR="001A1361">
        <w:rPr>
          <w:rFonts w:ascii="Times New Roman" w:hAnsi="Times New Roman"/>
          <w:sz w:val="26"/>
          <w:szCs w:val="26"/>
        </w:rPr>
        <w:t>Respond violated</w:t>
      </w:r>
      <w:r w:rsidRPr="00770877">
        <w:rPr>
          <w:rFonts w:ascii="Times New Roman" w:hAnsi="Times New Roman"/>
          <w:sz w:val="26"/>
          <w:szCs w:val="26"/>
        </w:rPr>
        <w:t xml:space="preserve"> the </w:t>
      </w:r>
      <w:r w:rsidRPr="00770877">
        <w:rPr>
          <w:rFonts w:ascii="Times New Roman" w:hAnsi="Times New Roman"/>
          <w:i/>
          <w:sz w:val="26"/>
          <w:szCs w:val="26"/>
        </w:rPr>
        <w:t>License Order</w:t>
      </w:r>
      <w:r w:rsidRPr="00770877">
        <w:rPr>
          <w:rFonts w:ascii="Times New Roman" w:hAnsi="Times New Roman"/>
          <w:sz w:val="26"/>
          <w:szCs w:val="26"/>
        </w:rPr>
        <w:t xml:space="preserve"> for using </w:t>
      </w:r>
      <w:r w:rsidR="00100D85">
        <w:rPr>
          <w:rFonts w:ascii="Times New Roman" w:hAnsi="Times New Roman"/>
          <w:sz w:val="26"/>
          <w:szCs w:val="26"/>
        </w:rPr>
        <w:t xml:space="preserve">the Affiliates Disclosure Statement, which she found to be </w:t>
      </w:r>
      <w:r w:rsidRPr="00770877">
        <w:rPr>
          <w:rFonts w:ascii="Times New Roman" w:hAnsi="Times New Roman"/>
          <w:sz w:val="26"/>
          <w:szCs w:val="26"/>
        </w:rPr>
        <w:t>unclear and mislead</w:t>
      </w:r>
      <w:r>
        <w:rPr>
          <w:rFonts w:ascii="Times New Roman" w:hAnsi="Times New Roman"/>
          <w:sz w:val="26"/>
          <w:szCs w:val="26"/>
        </w:rPr>
        <w:t xml:space="preserve">ing </w:t>
      </w:r>
      <w:r w:rsidR="004D25AF">
        <w:rPr>
          <w:rFonts w:ascii="Times New Roman" w:hAnsi="Times New Roman"/>
          <w:sz w:val="26"/>
          <w:szCs w:val="26"/>
        </w:rPr>
        <w:t>and which</w:t>
      </w:r>
      <w:r w:rsidR="00391E8D">
        <w:rPr>
          <w:rFonts w:ascii="Times New Roman" w:hAnsi="Times New Roman"/>
          <w:sz w:val="26"/>
          <w:szCs w:val="26"/>
        </w:rPr>
        <w:t xml:space="preserve"> </w:t>
      </w:r>
      <w:r>
        <w:rPr>
          <w:rFonts w:ascii="Times New Roman" w:hAnsi="Times New Roman"/>
          <w:sz w:val="26"/>
          <w:szCs w:val="26"/>
        </w:rPr>
        <w:t>she</w:t>
      </w:r>
      <w:r w:rsidRPr="00770877">
        <w:rPr>
          <w:rFonts w:ascii="Times New Roman" w:hAnsi="Times New Roman"/>
          <w:sz w:val="26"/>
          <w:szCs w:val="26"/>
        </w:rPr>
        <w:t xml:space="preserve"> doubt</w:t>
      </w:r>
      <w:r w:rsidR="00391E8D">
        <w:rPr>
          <w:rFonts w:ascii="Times New Roman" w:hAnsi="Times New Roman"/>
          <w:sz w:val="26"/>
          <w:szCs w:val="26"/>
        </w:rPr>
        <w:t>ed</w:t>
      </w:r>
      <w:r w:rsidRPr="00770877">
        <w:rPr>
          <w:rFonts w:ascii="Times New Roman" w:hAnsi="Times New Roman"/>
          <w:sz w:val="26"/>
          <w:szCs w:val="26"/>
        </w:rPr>
        <w:t xml:space="preserve"> was ever approved in its final form by the Commission.</w:t>
      </w:r>
      <w:r>
        <w:rPr>
          <w:rFonts w:ascii="Times New Roman" w:hAnsi="Times New Roman"/>
          <w:sz w:val="26"/>
          <w:szCs w:val="26"/>
        </w:rPr>
        <w:t xml:space="preserve">  </w:t>
      </w:r>
      <w:proofErr w:type="gramStart"/>
      <w:r w:rsidR="009D562F" w:rsidRPr="009D562F">
        <w:rPr>
          <w:rFonts w:ascii="Times New Roman" w:hAnsi="Times New Roman"/>
          <w:i/>
          <w:sz w:val="26"/>
          <w:szCs w:val="26"/>
        </w:rPr>
        <w:t>Id</w:t>
      </w:r>
      <w:r>
        <w:rPr>
          <w:rFonts w:ascii="Times New Roman" w:hAnsi="Times New Roman"/>
          <w:sz w:val="26"/>
          <w:szCs w:val="26"/>
        </w:rPr>
        <w:t>. at 24.</w:t>
      </w:r>
      <w:proofErr w:type="gramEnd"/>
    </w:p>
    <w:p w:rsidR="00770877" w:rsidRPr="00DE68FB" w:rsidRDefault="00770877" w:rsidP="00770877">
      <w:pPr>
        <w:ind w:firstLine="1440"/>
        <w:rPr>
          <w:rFonts w:ascii="Times New Roman" w:hAnsi="Times New Roman"/>
          <w:b/>
          <w:sz w:val="26"/>
          <w:szCs w:val="26"/>
        </w:rPr>
      </w:pPr>
    </w:p>
    <w:p w:rsidR="00A86550" w:rsidRPr="00E57EFA" w:rsidRDefault="00E57EFA" w:rsidP="00521D8D">
      <w:pPr>
        <w:keepNext/>
        <w:keepLines/>
        <w:ind w:left="720" w:firstLine="720"/>
        <w:rPr>
          <w:rFonts w:ascii="Times New Roman" w:hAnsi="Times New Roman"/>
          <w:sz w:val="26"/>
          <w:szCs w:val="26"/>
        </w:rPr>
      </w:pPr>
      <w:r>
        <w:rPr>
          <w:rFonts w:ascii="Times New Roman" w:hAnsi="Times New Roman"/>
          <w:b/>
          <w:sz w:val="26"/>
          <w:szCs w:val="26"/>
        </w:rPr>
        <w:t>b.</w:t>
      </w:r>
      <w:r>
        <w:rPr>
          <w:rFonts w:ascii="Times New Roman" w:hAnsi="Times New Roman"/>
          <w:b/>
          <w:sz w:val="26"/>
          <w:szCs w:val="26"/>
        </w:rPr>
        <w:tab/>
        <w:t xml:space="preserve">Respond’s </w:t>
      </w:r>
      <w:r w:rsidR="00C133EA" w:rsidRPr="00E57EFA">
        <w:rPr>
          <w:rFonts w:ascii="Times New Roman" w:hAnsi="Times New Roman"/>
          <w:b/>
          <w:sz w:val="26"/>
          <w:szCs w:val="26"/>
        </w:rPr>
        <w:t>Exception</w:t>
      </w:r>
    </w:p>
    <w:p w:rsidR="003B2E30" w:rsidRPr="00DE68FB" w:rsidRDefault="003B2E30" w:rsidP="00521D8D">
      <w:pPr>
        <w:pStyle w:val="BodyFirst1SS"/>
        <w:keepNext/>
        <w:keepLines/>
        <w:spacing w:line="360" w:lineRule="auto"/>
        <w:jc w:val="left"/>
        <w:rPr>
          <w:sz w:val="26"/>
          <w:szCs w:val="26"/>
        </w:rPr>
      </w:pPr>
    </w:p>
    <w:p w:rsidR="000C2A78" w:rsidRPr="00DE68FB" w:rsidRDefault="00A86550" w:rsidP="00DE68FB">
      <w:pPr>
        <w:pStyle w:val="BodyFirst1SS"/>
        <w:spacing w:line="360" w:lineRule="auto"/>
        <w:ind w:firstLine="1440"/>
        <w:jc w:val="left"/>
        <w:rPr>
          <w:sz w:val="26"/>
          <w:szCs w:val="26"/>
        </w:rPr>
      </w:pPr>
      <w:r w:rsidRPr="00DE68FB">
        <w:rPr>
          <w:sz w:val="26"/>
          <w:szCs w:val="26"/>
        </w:rPr>
        <w:t xml:space="preserve">In its Exception No. 1, Respond states that the ALJ’s decision contains several errors concerning Respond’s disclosure statement, which it claims fully complied with the Commission’s </w:t>
      </w:r>
      <w:r w:rsidR="009D17FE">
        <w:rPr>
          <w:sz w:val="26"/>
          <w:szCs w:val="26"/>
        </w:rPr>
        <w:t>R</w:t>
      </w:r>
      <w:r w:rsidRPr="00DE68FB">
        <w:rPr>
          <w:sz w:val="26"/>
          <w:szCs w:val="26"/>
        </w:rPr>
        <w:t>egulations in effect at the time of the Complainant’s enrollment</w:t>
      </w:r>
      <w:r w:rsidRPr="004D25AF">
        <w:rPr>
          <w:sz w:val="26"/>
          <w:szCs w:val="26"/>
        </w:rPr>
        <w:t>.</w:t>
      </w:r>
      <w:r w:rsidR="003B2E30" w:rsidRPr="004D25AF">
        <w:rPr>
          <w:sz w:val="26"/>
          <w:szCs w:val="26"/>
        </w:rPr>
        <w:t xml:space="preserve">  </w:t>
      </w:r>
      <w:r w:rsidR="000C2A78" w:rsidRPr="004D25AF">
        <w:rPr>
          <w:sz w:val="26"/>
          <w:szCs w:val="26"/>
        </w:rPr>
        <w:t xml:space="preserve">Respond </w:t>
      </w:r>
      <w:r w:rsidR="00D92F10">
        <w:rPr>
          <w:sz w:val="26"/>
          <w:szCs w:val="26"/>
        </w:rPr>
        <w:t>contends</w:t>
      </w:r>
      <w:r w:rsidR="000C2A78" w:rsidRPr="004D25AF">
        <w:rPr>
          <w:sz w:val="26"/>
          <w:szCs w:val="26"/>
        </w:rPr>
        <w:t xml:space="preserve"> that a</w:t>
      </w:r>
      <w:r w:rsidR="003B2E30" w:rsidRPr="00F80925">
        <w:rPr>
          <w:sz w:val="26"/>
          <w:szCs w:val="26"/>
        </w:rPr>
        <w:t>lthough the Complainant did not allege any</w:t>
      </w:r>
      <w:r w:rsidR="000C2A78" w:rsidRPr="00F80925">
        <w:rPr>
          <w:sz w:val="26"/>
          <w:szCs w:val="26"/>
        </w:rPr>
        <w:t xml:space="preserve"> deficiencies with </w:t>
      </w:r>
      <w:r w:rsidR="00100D85" w:rsidRPr="004D25AF">
        <w:rPr>
          <w:sz w:val="26"/>
          <w:szCs w:val="26"/>
        </w:rPr>
        <w:t xml:space="preserve">the </w:t>
      </w:r>
      <w:r w:rsidR="003B2E30" w:rsidRPr="00F80925">
        <w:rPr>
          <w:sz w:val="26"/>
          <w:szCs w:val="26"/>
        </w:rPr>
        <w:t>disclosure statement</w:t>
      </w:r>
      <w:r w:rsidR="003B2E30" w:rsidRPr="004D25AF">
        <w:rPr>
          <w:sz w:val="26"/>
          <w:szCs w:val="26"/>
        </w:rPr>
        <w:t xml:space="preserve"> </w:t>
      </w:r>
      <w:r w:rsidR="003B2E30" w:rsidRPr="00F80925">
        <w:rPr>
          <w:sz w:val="26"/>
          <w:szCs w:val="26"/>
        </w:rPr>
        <w:t xml:space="preserve">and conceded he did not review </w:t>
      </w:r>
      <w:r w:rsidR="001A1361">
        <w:rPr>
          <w:sz w:val="26"/>
          <w:szCs w:val="26"/>
        </w:rPr>
        <w:t>it</w:t>
      </w:r>
      <w:r w:rsidR="003B2E30" w:rsidRPr="00F80925">
        <w:rPr>
          <w:sz w:val="26"/>
          <w:szCs w:val="26"/>
        </w:rPr>
        <w:t xml:space="preserve"> prior</w:t>
      </w:r>
      <w:r w:rsidR="000C2A78" w:rsidRPr="00F80925">
        <w:rPr>
          <w:sz w:val="26"/>
          <w:szCs w:val="26"/>
        </w:rPr>
        <w:t xml:space="preserve"> to enrolling with Respond</w:t>
      </w:r>
      <w:r w:rsidR="003B2E30" w:rsidRPr="00F80925">
        <w:rPr>
          <w:sz w:val="26"/>
          <w:szCs w:val="26"/>
        </w:rPr>
        <w:t xml:space="preserve">, the ALJ </w:t>
      </w:r>
      <w:r w:rsidR="005D05EA">
        <w:rPr>
          <w:sz w:val="26"/>
          <w:szCs w:val="26"/>
        </w:rPr>
        <w:t>conducted</w:t>
      </w:r>
      <w:r w:rsidR="003B2E30" w:rsidRPr="00DE68FB">
        <w:rPr>
          <w:sz w:val="26"/>
          <w:szCs w:val="26"/>
        </w:rPr>
        <w:t xml:space="preserve"> a </w:t>
      </w:r>
      <w:r w:rsidR="00391E8D">
        <w:rPr>
          <w:sz w:val="26"/>
          <w:szCs w:val="26"/>
        </w:rPr>
        <w:t>“</w:t>
      </w:r>
      <w:r w:rsidR="003B2E30" w:rsidRPr="00DE68FB">
        <w:rPr>
          <w:sz w:val="26"/>
          <w:szCs w:val="26"/>
        </w:rPr>
        <w:t>microscopic</w:t>
      </w:r>
      <w:r w:rsidR="00391E8D">
        <w:rPr>
          <w:sz w:val="26"/>
          <w:szCs w:val="26"/>
        </w:rPr>
        <w:t>”</w:t>
      </w:r>
      <w:r w:rsidR="003B2E30" w:rsidRPr="00DE68FB">
        <w:rPr>
          <w:sz w:val="26"/>
          <w:szCs w:val="26"/>
        </w:rPr>
        <w:t xml:space="preserve"> review of all provisions of the disclosure statement, including many that were irrelevant to the Complaint</w:t>
      </w:r>
      <w:r w:rsidR="00F80925">
        <w:rPr>
          <w:sz w:val="26"/>
          <w:szCs w:val="26"/>
        </w:rPr>
        <w:t xml:space="preserve">.  </w:t>
      </w:r>
      <w:r w:rsidR="009D562F">
        <w:rPr>
          <w:sz w:val="26"/>
          <w:szCs w:val="26"/>
        </w:rPr>
        <w:t>Respond Exc. at 6.</w:t>
      </w:r>
    </w:p>
    <w:p w:rsidR="003B2E30" w:rsidRPr="00DE68FB" w:rsidRDefault="003B2E30" w:rsidP="00DE68FB">
      <w:pPr>
        <w:pStyle w:val="BodyFirst1SS"/>
        <w:spacing w:line="360" w:lineRule="auto"/>
        <w:ind w:firstLine="1440"/>
        <w:jc w:val="left"/>
        <w:rPr>
          <w:sz w:val="26"/>
          <w:szCs w:val="26"/>
        </w:rPr>
      </w:pPr>
    </w:p>
    <w:p w:rsidR="0087300D" w:rsidRDefault="005D05EA" w:rsidP="0087300D">
      <w:pPr>
        <w:pStyle w:val="BodyFirst1SS"/>
        <w:spacing w:line="360" w:lineRule="auto"/>
        <w:ind w:firstLine="1440"/>
        <w:jc w:val="left"/>
        <w:rPr>
          <w:sz w:val="26"/>
          <w:szCs w:val="26"/>
        </w:rPr>
      </w:pPr>
      <w:r>
        <w:rPr>
          <w:sz w:val="26"/>
          <w:szCs w:val="26"/>
        </w:rPr>
        <w:t xml:space="preserve">Reviewing amendments the Commission undertook to its Regulations following the </w:t>
      </w:r>
      <w:r w:rsidR="009D562F">
        <w:rPr>
          <w:sz w:val="26"/>
          <w:szCs w:val="26"/>
        </w:rPr>
        <w:t>p</w:t>
      </w:r>
      <w:r w:rsidR="003B2E30" w:rsidRPr="00DE68FB">
        <w:rPr>
          <w:sz w:val="26"/>
          <w:szCs w:val="26"/>
        </w:rPr>
        <w:t xml:space="preserve">olar </w:t>
      </w:r>
      <w:r w:rsidR="009D562F">
        <w:rPr>
          <w:sz w:val="26"/>
          <w:szCs w:val="26"/>
        </w:rPr>
        <w:t>v</w:t>
      </w:r>
      <w:r w:rsidR="003B2E30" w:rsidRPr="00DE68FB">
        <w:rPr>
          <w:sz w:val="26"/>
          <w:szCs w:val="26"/>
        </w:rPr>
        <w:t xml:space="preserve">ortex </w:t>
      </w:r>
      <w:r w:rsidR="009D562F">
        <w:rPr>
          <w:sz w:val="26"/>
          <w:szCs w:val="26"/>
        </w:rPr>
        <w:t xml:space="preserve">weather effects </w:t>
      </w:r>
      <w:r w:rsidR="003B2E30" w:rsidRPr="00DE68FB">
        <w:rPr>
          <w:sz w:val="26"/>
          <w:szCs w:val="26"/>
        </w:rPr>
        <w:t>beg</w:t>
      </w:r>
      <w:r>
        <w:rPr>
          <w:sz w:val="26"/>
          <w:szCs w:val="26"/>
        </w:rPr>
        <w:t>inning</w:t>
      </w:r>
      <w:r w:rsidR="003B2E30" w:rsidRPr="00DE68FB">
        <w:rPr>
          <w:sz w:val="26"/>
          <w:szCs w:val="26"/>
        </w:rPr>
        <w:t xml:space="preserve"> January 2014, </w:t>
      </w:r>
      <w:r>
        <w:rPr>
          <w:sz w:val="26"/>
          <w:szCs w:val="26"/>
        </w:rPr>
        <w:t xml:space="preserve">Respond contends that the disclosure statement provided to Mr. Herp </w:t>
      </w:r>
      <w:r w:rsidR="009D562F">
        <w:rPr>
          <w:sz w:val="26"/>
          <w:szCs w:val="26"/>
        </w:rPr>
        <w:t xml:space="preserve">not only </w:t>
      </w:r>
      <w:r>
        <w:rPr>
          <w:sz w:val="26"/>
          <w:szCs w:val="26"/>
        </w:rPr>
        <w:t xml:space="preserve">was approved by the </w:t>
      </w:r>
      <w:r w:rsidR="003B2E30" w:rsidRPr="00DE68FB">
        <w:rPr>
          <w:sz w:val="26"/>
          <w:szCs w:val="26"/>
        </w:rPr>
        <w:t xml:space="preserve">Commission </w:t>
      </w:r>
      <w:r>
        <w:rPr>
          <w:sz w:val="26"/>
          <w:szCs w:val="26"/>
        </w:rPr>
        <w:t xml:space="preserve">but also complied with all then-effective requirements.  Of particular import, according to Respond, is that the description of the variable price product was consistent between the Affiliate Disclosure Statement and the Draft Disclosure Statement, and that it affirmed that the price set by Respond would vary and would attempt to provide but not guarantee savings.   Moreover, claims Respond, there was no evidence </w:t>
      </w:r>
      <w:r w:rsidR="00D92F10">
        <w:rPr>
          <w:sz w:val="26"/>
          <w:szCs w:val="26"/>
        </w:rPr>
        <w:t xml:space="preserve">of </w:t>
      </w:r>
      <w:r>
        <w:rPr>
          <w:sz w:val="26"/>
          <w:szCs w:val="26"/>
        </w:rPr>
        <w:t xml:space="preserve">any material changes </w:t>
      </w:r>
      <w:r w:rsidR="00D92F10">
        <w:rPr>
          <w:sz w:val="26"/>
          <w:szCs w:val="26"/>
        </w:rPr>
        <w:t xml:space="preserve">made to </w:t>
      </w:r>
      <w:r>
        <w:rPr>
          <w:sz w:val="26"/>
          <w:szCs w:val="26"/>
        </w:rPr>
        <w:t>its disclosure statements requir</w:t>
      </w:r>
      <w:r w:rsidR="00D92F10">
        <w:rPr>
          <w:sz w:val="26"/>
          <w:szCs w:val="26"/>
        </w:rPr>
        <w:t>ing</w:t>
      </w:r>
      <w:r>
        <w:rPr>
          <w:sz w:val="26"/>
          <w:szCs w:val="26"/>
        </w:rPr>
        <w:t xml:space="preserve"> Commission approval following the issuance of the </w:t>
      </w:r>
      <w:r>
        <w:rPr>
          <w:i/>
          <w:sz w:val="26"/>
          <w:szCs w:val="26"/>
        </w:rPr>
        <w:t xml:space="preserve">License </w:t>
      </w:r>
      <w:r w:rsidRPr="005D05EA">
        <w:rPr>
          <w:i/>
          <w:sz w:val="26"/>
          <w:szCs w:val="26"/>
        </w:rPr>
        <w:t>Order</w:t>
      </w:r>
      <w:r>
        <w:rPr>
          <w:sz w:val="26"/>
          <w:szCs w:val="26"/>
        </w:rPr>
        <w:t xml:space="preserve"> so long as they remained compliant with applicable Regulations, which, Respond concludes, they did.  </w:t>
      </w:r>
      <w:r w:rsidR="0087300D">
        <w:rPr>
          <w:sz w:val="26"/>
          <w:szCs w:val="26"/>
        </w:rPr>
        <w:t>Respond Exc. at 7-10.</w:t>
      </w:r>
    </w:p>
    <w:p w:rsidR="0087300D" w:rsidRDefault="0087300D" w:rsidP="0087300D">
      <w:pPr>
        <w:pStyle w:val="BodyFirst1SS"/>
        <w:spacing w:line="360" w:lineRule="auto"/>
        <w:ind w:firstLine="1440"/>
        <w:jc w:val="left"/>
        <w:rPr>
          <w:sz w:val="26"/>
          <w:szCs w:val="26"/>
        </w:rPr>
      </w:pPr>
    </w:p>
    <w:p w:rsidR="002A13AE" w:rsidRDefault="008D42C4" w:rsidP="002A13AE">
      <w:pPr>
        <w:pStyle w:val="BodyFirst1SS"/>
        <w:spacing w:line="360" w:lineRule="auto"/>
        <w:ind w:firstLine="1440"/>
        <w:jc w:val="left"/>
        <w:rPr>
          <w:sz w:val="26"/>
          <w:szCs w:val="26"/>
        </w:rPr>
      </w:pPr>
      <w:r>
        <w:rPr>
          <w:sz w:val="26"/>
          <w:szCs w:val="26"/>
        </w:rPr>
        <w:t xml:space="preserve">Respond asserts that </w:t>
      </w:r>
      <w:r w:rsidR="006C77FF" w:rsidRPr="00513C4F">
        <w:rPr>
          <w:sz w:val="26"/>
          <w:szCs w:val="26"/>
        </w:rPr>
        <w:t>given the fact that the Complainant did not read the Affiliates Disclosure Statement until after filing the Complaint, it was meaningless to engage in this in-depth examination of the document.</w:t>
      </w:r>
      <w:r>
        <w:rPr>
          <w:sz w:val="26"/>
          <w:szCs w:val="26"/>
        </w:rPr>
        <w:t xml:space="preserve">  </w:t>
      </w:r>
      <w:r w:rsidR="009D562F" w:rsidRPr="009D562F">
        <w:rPr>
          <w:i/>
          <w:sz w:val="26"/>
          <w:szCs w:val="26"/>
        </w:rPr>
        <w:t>Id</w:t>
      </w:r>
      <w:r>
        <w:rPr>
          <w:sz w:val="26"/>
          <w:szCs w:val="26"/>
        </w:rPr>
        <w:t>. at 10-11.</w:t>
      </w:r>
      <w:r w:rsidR="006C77FF" w:rsidRPr="00513C4F">
        <w:rPr>
          <w:sz w:val="26"/>
          <w:szCs w:val="26"/>
        </w:rPr>
        <w:t xml:space="preserve"> </w:t>
      </w:r>
      <w:r w:rsidR="0087300D">
        <w:rPr>
          <w:sz w:val="26"/>
          <w:szCs w:val="26"/>
        </w:rPr>
        <w:t xml:space="preserve"> In response to the ALJ’s findings regarding the “tiny” font size on the disclosure statement, Respond asserts </w:t>
      </w:r>
      <w:r w:rsidR="0087300D" w:rsidRPr="009D562F">
        <w:rPr>
          <w:sz w:val="26"/>
          <w:szCs w:val="26"/>
        </w:rPr>
        <w:t>that “there is no evidence in the record to show that [it] provided the same size of document as an exhibit that is provided to customers” and that, instead, its “Affiliates Disclosure Statement was introduced for the purpose of showing the language” regarding variable pricing</w:t>
      </w:r>
      <w:r w:rsidR="0087300D">
        <w:rPr>
          <w:sz w:val="26"/>
          <w:szCs w:val="26"/>
        </w:rPr>
        <w:t xml:space="preserve">.  </w:t>
      </w:r>
      <w:proofErr w:type="gramStart"/>
      <w:r w:rsidR="0087300D">
        <w:rPr>
          <w:i/>
          <w:sz w:val="26"/>
          <w:szCs w:val="26"/>
        </w:rPr>
        <w:t xml:space="preserve">Id. </w:t>
      </w:r>
      <w:r w:rsidR="0087300D">
        <w:rPr>
          <w:sz w:val="26"/>
          <w:szCs w:val="26"/>
        </w:rPr>
        <w:t>at 11.</w:t>
      </w:r>
      <w:proofErr w:type="gramEnd"/>
      <w:r w:rsidR="0087300D">
        <w:rPr>
          <w:sz w:val="26"/>
          <w:szCs w:val="26"/>
        </w:rPr>
        <w:t xml:space="preserve">  Addressing the ALJ’s discussion of misleading language in the disclosure statement, Respond accuses the ALJ of ignoring Mr. Herp’s testimony that he did not read the disclosure statement until after he filed the Complaint</w:t>
      </w:r>
      <w:r w:rsidR="00D92F10">
        <w:rPr>
          <w:sz w:val="26"/>
          <w:szCs w:val="26"/>
        </w:rPr>
        <w:t xml:space="preserve">.  Thus, concludes Respond, </w:t>
      </w:r>
      <w:r w:rsidR="0087300D">
        <w:rPr>
          <w:sz w:val="26"/>
          <w:szCs w:val="26"/>
        </w:rPr>
        <w:t xml:space="preserve">even were the Commission to find the language inadequate, “it has no bearing on the outcome of this Complaint.”  </w:t>
      </w:r>
      <w:proofErr w:type="gramStart"/>
      <w:r w:rsidR="0087300D">
        <w:rPr>
          <w:i/>
          <w:sz w:val="26"/>
          <w:szCs w:val="26"/>
        </w:rPr>
        <w:t xml:space="preserve">Id. </w:t>
      </w:r>
      <w:r w:rsidR="0087300D">
        <w:rPr>
          <w:sz w:val="26"/>
          <w:szCs w:val="26"/>
        </w:rPr>
        <w:t>at 12.</w:t>
      </w:r>
      <w:proofErr w:type="gramEnd"/>
      <w:r w:rsidR="0087300D">
        <w:rPr>
          <w:sz w:val="26"/>
          <w:szCs w:val="26"/>
        </w:rPr>
        <w:t xml:space="preserve">  </w:t>
      </w:r>
      <w:r w:rsidR="00D92F10">
        <w:rPr>
          <w:sz w:val="26"/>
          <w:szCs w:val="26"/>
        </w:rPr>
        <w:t xml:space="preserve">With respect to its </w:t>
      </w:r>
      <w:r w:rsidR="00C53361">
        <w:rPr>
          <w:sz w:val="26"/>
          <w:szCs w:val="26"/>
        </w:rPr>
        <w:t>choice of word</w:t>
      </w:r>
      <w:r w:rsidR="00D92F10">
        <w:rPr>
          <w:sz w:val="26"/>
          <w:szCs w:val="26"/>
        </w:rPr>
        <w:t>ing</w:t>
      </w:r>
      <w:r w:rsidR="00C53361">
        <w:rPr>
          <w:sz w:val="26"/>
          <w:szCs w:val="26"/>
        </w:rPr>
        <w:t xml:space="preserve"> in the disclosure statement, Respond asserts that the standard is not “[w]hether there is a different or even a better way to explain the </w:t>
      </w:r>
      <w:proofErr w:type="gramStart"/>
      <w:r w:rsidR="00C53361">
        <w:rPr>
          <w:sz w:val="26"/>
          <w:szCs w:val="26"/>
        </w:rPr>
        <w:t>product[</w:t>
      </w:r>
      <w:proofErr w:type="gramEnd"/>
      <w:r w:rsidR="00C53361">
        <w:rPr>
          <w:sz w:val="26"/>
          <w:szCs w:val="26"/>
        </w:rPr>
        <w:t xml:space="preserve">, but rather] whether the disclosure statement accurately informs the customer of the applicable terms and </w:t>
      </w:r>
      <w:r w:rsidR="00C53361">
        <w:rPr>
          <w:sz w:val="26"/>
          <w:szCs w:val="26"/>
        </w:rPr>
        <w:lastRenderedPageBreak/>
        <w:t xml:space="preserve">conditions.”  </w:t>
      </w:r>
      <w:proofErr w:type="gramStart"/>
      <w:r w:rsidR="00C53361">
        <w:rPr>
          <w:i/>
          <w:sz w:val="26"/>
          <w:szCs w:val="26"/>
        </w:rPr>
        <w:t xml:space="preserve">Id. </w:t>
      </w:r>
      <w:r w:rsidR="00C53361">
        <w:rPr>
          <w:sz w:val="26"/>
          <w:szCs w:val="26"/>
        </w:rPr>
        <w:t>at 14.</w:t>
      </w:r>
      <w:proofErr w:type="gramEnd"/>
      <w:r w:rsidR="00001603">
        <w:rPr>
          <w:sz w:val="26"/>
          <w:szCs w:val="26"/>
        </w:rPr>
        <w:t xml:space="preserve">  Respond asserts that in all manners its disclosure statement complied with then-effective Commission Regulations.</w:t>
      </w:r>
    </w:p>
    <w:p w:rsidR="00001603" w:rsidRPr="002A13AE" w:rsidRDefault="00001603" w:rsidP="002A13AE">
      <w:pPr>
        <w:pStyle w:val="BodyFirst1SS"/>
        <w:spacing w:line="360" w:lineRule="auto"/>
        <w:ind w:firstLine="1440"/>
        <w:jc w:val="left"/>
        <w:rPr>
          <w:sz w:val="26"/>
          <w:szCs w:val="26"/>
        </w:rPr>
      </w:pPr>
    </w:p>
    <w:p w:rsidR="004E2192" w:rsidRPr="002A13AE" w:rsidRDefault="00001603" w:rsidP="00263E23">
      <w:pPr>
        <w:pStyle w:val="BodyFirst1SS"/>
        <w:spacing w:line="360" w:lineRule="auto"/>
        <w:ind w:firstLine="1440"/>
        <w:jc w:val="left"/>
        <w:rPr>
          <w:sz w:val="26"/>
          <w:szCs w:val="26"/>
        </w:rPr>
      </w:pPr>
      <w:r>
        <w:rPr>
          <w:sz w:val="26"/>
          <w:szCs w:val="26"/>
        </w:rPr>
        <w:t>Finally</w:t>
      </w:r>
      <w:r w:rsidR="00C133EA">
        <w:rPr>
          <w:sz w:val="26"/>
          <w:szCs w:val="26"/>
        </w:rPr>
        <w:t xml:space="preserve">, </w:t>
      </w:r>
      <w:r w:rsidR="00263E23">
        <w:rPr>
          <w:sz w:val="26"/>
          <w:szCs w:val="26"/>
        </w:rPr>
        <w:t xml:space="preserve">Respond </w:t>
      </w:r>
      <w:r>
        <w:rPr>
          <w:sz w:val="26"/>
          <w:szCs w:val="26"/>
        </w:rPr>
        <w:t xml:space="preserve">challenges the ALJ’s conclusion that </w:t>
      </w:r>
      <w:r w:rsidR="002A13AE" w:rsidRPr="002A13AE">
        <w:rPr>
          <w:sz w:val="26"/>
          <w:szCs w:val="26"/>
        </w:rPr>
        <w:t>the “no refund policy” clause in the Affiliates Disclosure Statement “may be voidable given the Commission’s recent rulings that the Commission has jurisdiction and authority to order an EGS to refund a customer in certain situations</w:t>
      </w:r>
      <w:r w:rsidR="00367E7F">
        <w:rPr>
          <w:sz w:val="26"/>
          <w:szCs w:val="26"/>
        </w:rPr>
        <w:t>[</w:t>
      </w:r>
      <w:r>
        <w:rPr>
          <w:sz w:val="26"/>
          <w:szCs w:val="26"/>
        </w:rPr>
        <w:t>.</w:t>
      </w:r>
      <w:r w:rsidR="00367E7F">
        <w:rPr>
          <w:sz w:val="26"/>
          <w:szCs w:val="26"/>
        </w:rPr>
        <w:t xml:space="preserve">]”  </w:t>
      </w:r>
      <w:proofErr w:type="gramStart"/>
      <w:r w:rsidR="00367E7F">
        <w:rPr>
          <w:i/>
          <w:sz w:val="26"/>
          <w:szCs w:val="26"/>
        </w:rPr>
        <w:t xml:space="preserve">Id. </w:t>
      </w:r>
      <w:r w:rsidR="00367E7F">
        <w:rPr>
          <w:sz w:val="26"/>
          <w:szCs w:val="26"/>
        </w:rPr>
        <w:t>at 16.</w:t>
      </w:r>
      <w:proofErr w:type="gramEnd"/>
      <w:r>
        <w:rPr>
          <w:sz w:val="26"/>
          <w:szCs w:val="26"/>
        </w:rPr>
        <w:t xml:space="preserve">  Respond concludes that the ALJ’s finding that the disclosure statement was confusing and misleading is erroneous, and that her imputations of violations should be reversed.</w:t>
      </w:r>
    </w:p>
    <w:p w:rsidR="00C133EA" w:rsidRDefault="00C133EA" w:rsidP="00620A15">
      <w:pPr>
        <w:pStyle w:val="BodyFirst1SS"/>
        <w:spacing w:line="360" w:lineRule="auto"/>
        <w:ind w:firstLine="1440"/>
        <w:jc w:val="left"/>
        <w:rPr>
          <w:sz w:val="26"/>
          <w:szCs w:val="26"/>
        </w:rPr>
      </w:pPr>
    </w:p>
    <w:p w:rsidR="00C133EA" w:rsidRPr="002322F4" w:rsidRDefault="00C47FA2" w:rsidP="00521D8D">
      <w:pPr>
        <w:pStyle w:val="BodyFirst1SS"/>
        <w:keepNext/>
        <w:keepLines/>
        <w:spacing w:line="360" w:lineRule="auto"/>
        <w:ind w:left="720"/>
        <w:jc w:val="left"/>
        <w:rPr>
          <w:sz w:val="26"/>
          <w:szCs w:val="26"/>
        </w:rPr>
      </w:pPr>
      <w:r>
        <w:rPr>
          <w:b/>
          <w:sz w:val="26"/>
          <w:szCs w:val="26"/>
        </w:rPr>
        <w:t>c.</w:t>
      </w:r>
      <w:r>
        <w:rPr>
          <w:b/>
          <w:sz w:val="26"/>
          <w:szCs w:val="26"/>
        </w:rPr>
        <w:tab/>
        <w:t xml:space="preserve">The </w:t>
      </w:r>
      <w:r w:rsidR="00C133EA">
        <w:rPr>
          <w:b/>
          <w:sz w:val="26"/>
          <w:szCs w:val="26"/>
        </w:rPr>
        <w:t>OCA</w:t>
      </w:r>
      <w:r>
        <w:rPr>
          <w:b/>
          <w:sz w:val="26"/>
          <w:szCs w:val="26"/>
        </w:rPr>
        <w:t>’s</w:t>
      </w:r>
      <w:r w:rsidR="00C133EA">
        <w:rPr>
          <w:b/>
          <w:sz w:val="26"/>
          <w:szCs w:val="26"/>
        </w:rPr>
        <w:t xml:space="preserve"> Repl</w:t>
      </w:r>
      <w:r>
        <w:rPr>
          <w:b/>
          <w:sz w:val="26"/>
          <w:szCs w:val="26"/>
        </w:rPr>
        <w:t>y</w:t>
      </w:r>
    </w:p>
    <w:p w:rsidR="00EF4A77" w:rsidRPr="002322F4" w:rsidRDefault="00EF4A77" w:rsidP="00521D8D">
      <w:pPr>
        <w:pStyle w:val="BodyFirst1SS"/>
        <w:keepNext/>
        <w:keepLines/>
        <w:spacing w:line="360" w:lineRule="auto"/>
        <w:jc w:val="left"/>
        <w:rPr>
          <w:sz w:val="26"/>
          <w:szCs w:val="26"/>
        </w:rPr>
      </w:pPr>
    </w:p>
    <w:p w:rsidR="006114E9" w:rsidRDefault="00EF4A77" w:rsidP="00837344">
      <w:pPr>
        <w:pStyle w:val="BodyFirst1SS"/>
        <w:spacing w:line="360" w:lineRule="auto"/>
        <w:ind w:firstLine="1440"/>
        <w:jc w:val="left"/>
        <w:rPr>
          <w:sz w:val="26"/>
          <w:szCs w:val="26"/>
        </w:rPr>
      </w:pPr>
      <w:r>
        <w:rPr>
          <w:sz w:val="26"/>
          <w:szCs w:val="26"/>
        </w:rPr>
        <w:t>In its Repl</w:t>
      </w:r>
      <w:r w:rsidR="00D92F10">
        <w:rPr>
          <w:sz w:val="26"/>
          <w:szCs w:val="26"/>
        </w:rPr>
        <w:t>y</w:t>
      </w:r>
      <w:r>
        <w:rPr>
          <w:sz w:val="26"/>
          <w:szCs w:val="26"/>
        </w:rPr>
        <w:t xml:space="preserve"> to </w:t>
      </w:r>
      <w:r w:rsidR="00C47FA2">
        <w:rPr>
          <w:sz w:val="26"/>
          <w:szCs w:val="26"/>
        </w:rPr>
        <w:t xml:space="preserve">Respond’s </w:t>
      </w:r>
      <w:r>
        <w:rPr>
          <w:sz w:val="26"/>
          <w:szCs w:val="26"/>
        </w:rPr>
        <w:t>Exception</w:t>
      </w:r>
      <w:r w:rsidR="00C47FA2">
        <w:rPr>
          <w:sz w:val="26"/>
          <w:szCs w:val="26"/>
        </w:rPr>
        <w:t xml:space="preserve"> No. 1</w:t>
      </w:r>
      <w:r>
        <w:rPr>
          <w:sz w:val="26"/>
          <w:szCs w:val="26"/>
        </w:rPr>
        <w:t xml:space="preserve">, the OCA </w:t>
      </w:r>
      <w:r w:rsidR="00060A32">
        <w:rPr>
          <w:sz w:val="26"/>
          <w:szCs w:val="26"/>
        </w:rPr>
        <w:t>asserts</w:t>
      </w:r>
      <w:r w:rsidR="00837344">
        <w:rPr>
          <w:sz w:val="26"/>
          <w:szCs w:val="26"/>
        </w:rPr>
        <w:t xml:space="preserve"> the ALJ properly </w:t>
      </w:r>
      <w:r w:rsidR="0013533D">
        <w:rPr>
          <w:sz w:val="26"/>
          <w:szCs w:val="26"/>
        </w:rPr>
        <w:t>found</w:t>
      </w:r>
      <w:r w:rsidR="00837344">
        <w:rPr>
          <w:sz w:val="26"/>
          <w:szCs w:val="26"/>
        </w:rPr>
        <w:t xml:space="preserve"> Respond’s </w:t>
      </w:r>
      <w:r w:rsidR="004B7EF9">
        <w:rPr>
          <w:sz w:val="26"/>
          <w:szCs w:val="26"/>
        </w:rPr>
        <w:t>Affiliates D</w:t>
      </w:r>
      <w:r w:rsidR="00837344">
        <w:rPr>
          <w:sz w:val="26"/>
          <w:szCs w:val="26"/>
        </w:rPr>
        <w:t xml:space="preserve">isclosure </w:t>
      </w:r>
      <w:r w:rsidR="004B7EF9">
        <w:rPr>
          <w:sz w:val="26"/>
          <w:szCs w:val="26"/>
        </w:rPr>
        <w:t>S</w:t>
      </w:r>
      <w:r w:rsidR="00837344">
        <w:rPr>
          <w:sz w:val="26"/>
          <w:szCs w:val="26"/>
        </w:rPr>
        <w:t xml:space="preserve">tatement does not comply with </w:t>
      </w:r>
      <w:r w:rsidR="00060A32">
        <w:rPr>
          <w:sz w:val="26"/>
          <w:szCs w:val="26"/>
        </w:rPr>
        <w:t>its</w:t>
      </w:r>
      <w:r w:rsidR="00434C3A">
        <w:rPr>
          <w:sz w:val="26"/>
          <w:szCs w:val="26"/>
        </w:rPr>
        <w:t xml:space="preserve"> </w:t>
      </w:r>
      <w:r w:rsidR="0013533D">
        <w:rPr>
          <w:i/>
          <w:sz w:val="26"/>
          <w:szCs w:val="26"/>
        </w:rPr>
        <w:t>L</w:t>
      </w:r>
      <w:r w:rsidR="00434C3A" w:rsidRPr="0013533D">
        <w:rPr>
          <w:i/>
          <w:sz w:val="26"/>
          <w:szCs w:val="26"/>
        </w:rPr>
        <w:t>icense</w:t>
      </w:r>
      <w:r w:rsidR="00434C3A">
        <w:rPr>
          <w:sz w:val="26"/>
          <w:szCs w:val="26"/>
        </w:rPr>
        <w:t xml:space="preserve"> </w:t>
      </w:r>
      <w:r w:rsidR="0013533D">
        <w:rPr>
          <w:i/>
          <w:sz w:val="26"/>
          <w:szCs w:val="26"/>
        </w:rPr>
        <w:t>O</w:t>
      </w:r>
      <w:r w:rsidR="00837344" w:rsidRPr="0013533D">
        <w:rPr>
          <w:i/>
          <w:sz w:val="26"/>
          <w:szCs w:val="26"/>
        </w:rPr>
        <w:t>rder</w:t>
      </w:r>
      <w:r w:rsidR="00837344">
        <w:rPr>
          <w:sz w:val="26"/>
          <w:szCs w:val="26"/>
        </w:rPr>
        <w:t xml:space="preserve"> and multiple Commission </w:t>
      </w:r>
      <w:r w:rsidR="00D26FAB">
        <w:rPr>
          <w:sz w:val="26"/>
          <w:szCs w:val="26"/>
        </w:rPr>
        <w:t>R</w:t>
      </w:r>
      <w:r w:rsidR="00837344">
        <w:rPr>
          <w:sz w:val="26"/>
          <w:szCs w:val="26"/>
        </w:rPr>
        <w:t xml:space="preserve">egulations that govern both the manner and presentation of </w:t>
      </w:r>
      <w:r w:rsidR="00D92F10">
        <w:rPr>
          <w:sz w:val="26"/>
          <w:szCs w:val="26"/>
        </w:rPr>
        <w:t>R</w:t>
      </w:r>
      <w:r w:rsidR="00837344">
        <w:rPr>
          <w:sz w:val="26"/>
          <w:szCs w:val="26"/>
        </w:rPr>
        <w:t>espond</w:t>
      </w:r>
      <w:r w:rsidR="00D92F10">
        <w:rPr>
          <w:sz w:val="26"/>
          <w:szCs w:val="26"/>
        </w:rPr>
        <w:t>’s</w:t>
      </w:r>
      <w:r w:rsidR="00837344">
        <w:rPr>
          <w:sz w:val="26"/>
          <w:szCs w:val="26"/>
        </w:rPr>
        <w:t xml:space="preserve"> communicat</w:t>
      </w:r>
      <w:r w:rsidR="00D92F10">
        <w:rPr>
          <w:sz w:val="26"/>
          <w:szCs w:val="26"/>
        </w:rPr>
        <w:t>ions</w:t>
      </w:r>
      <w:r w:rsidR="00837344">
        <w:rPr>
          <w:sz w:val="26"/>
          <w:szCs w:val="26"/>
        </w:rPr>
        <w:t xml:space="preserve"> with consumers.</w:t>
      </w:r>
      <w:r w:rsidR="00434C3A">
        <w:rPr>
          <w:sz w:val="26"/>
          <w:szCs w:val="26"/>
        </w:rPr>
        <w:t xml:space="preserve">  The OCA </w:t>
      </w:r>
      <w:r w:rsidR="0013533D">
        <w:rPr>
          <w:sz w:val="26"/>
          <w:szCs w:val="26"/>
        </w:rPr>
        <w:t xml:space="preserve">rejects Respond’s position that because the Complainant was provided a copy of a written disclosure statement that the Commission at least implicitly approved, Pennsylvania contact law “trumps any misrepresentations” by Respond’s sales agent.  </w:t>
      </w:r>
      <w:proofErr w:type="gramStart"/>
      <w:r w:rsidR="0013533D">
        <w:rPr>
          <w:sz w:val="26"/>
          <w:szCs w:val="26"/>
        </w:rPr>
        <w:t>OCA R. Exc. at 2.</w:t>
      </w:r>
      <w:proofErr w:type="gramEnd"/>
    </w:p>
    <w:p w:rsidR="006114E9" w:rsidRDefault="006114E9" w:rsidP="00837344">
      <w:pPr>
        <w:pStyle w:val="BodyFirst1SS"/>
        <w:spacing w:line="360" w:lineRule="auto"/>
        <w:ind w:firstLine="1440"/>
        <w:jc w:val="left"/>
        <w:rPr>
          <w:sz w:val="26"/>
          <w:szCs w:val="26"/>
        </w:rPr>
      </w:pPr>
    </w:p>
    <w:p w:rsidR="00407965" w:rsidRDefault="006114E9" w:rsidP="006114E9">
      <w:pPr>
        <w:pStyle w:val="BodyFirst1SS"/>
        <w:spacing w:line="360" w:lineRule="auto"/>
        <w:ind w:firstLine="1440"/>
        <w:jc w:val="left"/>
        <w:rPr>
          <w:sz w:val="26"/>
          <w:szCs w:val="26"/>
        </w:rPr>
      </w:pPr>
      <w:r>
        <w:rPr>
          <w:sz w:val="26"/>
          <w:szCs w:val="26"/>
        </w:rPr>
        <w:t xml:space="preserve">The OCA </w:t>
      </w:r>
      <w:r w:rsidR="00FC19B5">
        <w:rPr>
          <w:sz w:val="26"/>
          <w:szCs w:val="26"/>
        </w:rPr>
        <w:t xml:space="preserve">states </w:t>
      </w:r>
      <w:proofErr w:type="gramStart"/>
      <w:r w:rsidR="00FC19B5">
        <w:rPr>
          <w:sz w:val="26"/>
          <w:szCs w:val="26"/>
        </w:rPr>
        <w:t>R</w:t>
      </w:r>
      <w:r>
        <w:rPr>
          <w:sz w:val="26"/>
          <w:szCs w:val="26"/>
        </w:rPr>
        <w:t>espond</w:t>
      </w:r>
      <w:proofErr w:type="gramEnd"/>
      <w:r>
        <w:rPr>
          <w:sz w:val="26"/>
          <w:szCs w:val="26"/>
        </w:rPr>
        <w:t xml:space="preserve"> </w:t>
      </w:r>
      <w:r w:rsidR="00574802">
        <w:rPr>
          <w:sz w:val="26"/>
          <w:szCs w:val="26"/>
        </w:rPr>
        <w:t>“</w:t>
      </w:r>
      <w:r>
        <w:rPr>
          <w:sz w:val="26"/>
          <w:szCs w:val="26"/>
        </w:rPr>
        <w:t>has an obligation to provide adequate and accurate information to consumers to enable them to make informed decisions about the purchase of electric supply service, including comparisons</w:t>
      </w:r>
      <w:r w:rsidR="00574802">
        <w:rPr>
          <w:sz w:val="26"/>
          <w:szCs w:val="26"/>
        </w:rPr>
        <w:t xml:space="preserve">” and that this accurate information includes </w:t>
      </w:r>
      <w:r>
        <w:rPr>
          <w:sz w:val="26"/>
          <w:szCs w:val="26"/>
        </w:rPr>
        <w:t xml:space="preserve">all “[w]ritten, oral and electronic communications” used “to communicate to consumers prices and terms of service.”  </w:t>
      </w:r>
      <w:proofErr w:type="gramStart"/>
      <w:r w:rsidR="00574802">
        <w:rPr>
          <w:i/>
          <w:sz w:val="26"/>
          <w:szCs w:val="26"/>
        </w:rPr>
        <w:t xml:space="preserve">Id. </w:t>
      </w:r>
      <w:r w:rsidR="00574802">
        <w:rPr>
          <w:sz w:val="26"/>
          <w:szCs w:val="26"/>
        </w:rPr>
        <w:t xml:space="preserve">at 5, citing </w:t>
      </w:r>
      <w:r>
        <w:rPr>
          <w:sz w:val="26"/>
          <w:szCs w:val="26"/>
        </w:rPr>
        <w:t>52 Pa. Code §§</w:t>
      </w:r>
      <w:r w:rsidR="00574802">
        <w:rPr>
          <w:sz w:val="26"/>
          <w:szCs w:val="26"/>
        </w:rPr>
        <w:t> </w:t>
      </w:r>
      <w:r>
        <w:rPr>
          <w:sz w:val="26"/>
          <w:szCs w:val="26"/>
        </w:rPr>
        <w:t>54.1</w:t>
      </w:r>
      <w:r w:rsidR="00574802">
        <w:rPr>
          <w:sz w:val="26"/>
          <w:szCs w:val="26"/>
        </w:rPr>
        <w:t xml:space="preserve"> and</w:t>
      </w:r>
      <w:r>
        <w:rPr>
          <w:sz w:val="26"/>
          <w:szCs w:val="26"/>
        </w:rPr>
        <w:t xml:space="preserve"> 54.2.</w:t>
      </w:r>
      <w:proofErr w:type="gramEnd"/>
      <w:r>
        <w:rPr>
          <w:sz w:val="26"/>
          <w:szCs w:val="26"/>
        </w:rPr>
        <w:t xml:space="preserve">  The OCA further asserts that Respond’s </w:t>
      </w:r>
      <w:r w:rsidR="00574802">
        <w:rPr>
          <w:sz w:val="26"/>
          <w:szCs w:val="26"/>
        </w:rPr>
        <w:t>“</w:t>
      </w:r>
      <w:r>
        <w:rPr>
          <w:sz w:val="26"/>
          <w:szCs w:val="26"/>
        </w:rPr>
        <w:t>obligations to provide consistent, accurate and adequate information extend from the earliest of sales and marketing communications to prospective customers through</w:t>
      </w:r>
      <w:r w:rsidR="00574802">
        <w:rPr>
          <w:sz w:val="26"/>
          <w:szCs w:val="26"/>
        </w:rPr>
        <w:t>”</w:t>
      </w:r>
      <w:r>
        <w:rPr>
          <w:sz w:val="26"/>
          <w:szCs w:val="26"/>
        </w:rPr>
        <w:t xml:space="preserve"> Respond’s billing of the agreed</w:t>
      </w:r>
      <w:r w:rsidR="00574802">
        <w:rPr>
          <w:sz w:val="26"/>
          <w:szCs w:val="26"/>
        </w:rPr>
        <w:t>-</w:t>
      </w:r>
      <w:r>
        <w:rPr>
          <w:sz w:val="26"/>
          <w:szCs w:val="26"/>
        </w:rPr>
        <w:t xml:space="preserve">upon price.  </w:t>
      </w:r>
      <w:proofErr w:type="gramStart"/>
      <w:r w:rsidR="00574802">
        <w:rPr>
          <w:i/>
          <w:sz w:val="26"/>
          <w:szCs w:val="26"/>
        </w:rPr>
        <w:t>Id.</w:t>
      </w:r>
      <w:r w:rsidR="00574802">
        <w:rPr>
          <w:sz w:val="26"/>
          <w:szCs w:val="26"/>
        </w:rPr>
        <w:t xml:space="preserve"> at 5-6, citing </w:t>
      </w:r>
      <w:r>
        <w:rPr>
          <w:sz w:val="26"/>
          <w:szCs w:val="26"/>
        </w:rPr>
        <w:t>52 Pa. Code §§ 54.4(a), 54.5(a), 54.7(a).</w:t>
      </w:r>
      <w:proofErr w:type="gramEnd"/>
      <w:r w:rsidR="00FC19B5">
        <w:rPr>
          <w:sz w:val="26"/>
          <w:szCs w:val="26"/>
        </w:rPr>
        <w:t xml:space="preserve">  </w:t>
      </w:r>
      <w:r w:rsidR="00987CFC">
        <w:rPr>
          <w:sz w:val="26"/>
          <w:szCs w:val="26"/>
        </w:rPr>
        <w:t xml:space="preserve">According </w:t>
      </w:r>
      <w:r w:rsidR="00987CFC">
        <w:rPr>
          <w:sz w:val="26"/>
          <w:szCs w:val="26"/>
        </w:rPr>
        <w:lastRenderedPageBreak/>
        <w:t>to the OCA, the ALJ correctly rejected Respond’s common law contract arguments and instead measured Respond’s disclosure statement against its obligations as a licensed E</w:t>
      </w:r>
      <w:r w:rsidR="00B00E32">
        <w:rPr>
          <w:sz w:val="26"/>
          <w:szCs w:val="26"/>
        </w:rPr>
        <w:t xml:space="preserve">GS to provide consumers </w:t>
      </w:r>
      <w:r w:rsidR="00987CFC">
        <w:rPr>
          <w:sz w:val="26"/>
          <w:szCs w:val="26"/>
        </w:rPr>
        <w:t xml:space="preserve">adequate and accurate information in plain language and consistent with all Commission </w:t>
      </w:r>
      <w:r w:rsidR="004A730E">
        <w:rPr>
          <w:sz w:val="26"/>
          <w:szCs w:val="26"/>
        </w:rPr>
        <w:t>R</w:t>
      </w:r>
      <w:r w:rsidR="00987CFC">
        <w:rPr>
          <w:sz w:val="26"/>
          <w:szCs w:val="26"/>
        </w:rPr>
        <w:t>egulations</w:t>
      </w:r>
      <w:r w:rsidR="00574802">
        <w:rPr>
          <w:sz w:val="26"/>
          <w:szCs w:val="26"/>
        </w:rPr>
        <w:t>.</w:t>
      </w:r>
    </w:p>
    <w:p w:rsidR="00574802" w:rsidRDefault="00574802" w:rsidP="006114E9">
      <w:pPr>
        <w:pStyle w:val="BodyFirst1SS"/>
        <w:spacing w:line="360" w:lineRule="auto"/>
        <w:ind w:firstLine="1440"/>
        <w:jc w:val="left"/>
        <w:rPr>
          <w:sz w:val="26"/>
          <w:szCs w:val="26"/>
        </w:rPr>
      </w:pPr>
    </w:p>
    <w:p w:rsidR="00EF4A77" w:rsidRDefault="00407965" w:rsidP="008F08FF">
      <w:pPr>
        <w:pStyle w:val="BodyFirst1SS"/>
        <w:spacing w:line="360" w:lineRule="auto"/>
        <w:ind w:firstLine="1440"/>
        <w:jc w:val="left"/>
        <w:rPr>
          <w:sz w:val="26"/>
          <w:szCs w:val="26"/>
        </w:rPr>
      </w:pPr>
      <w:r>
        <w:rPr>
          <w:sz w:val="26"/>
          <w:szCs w:val="26"/>
        </w:rPr>
        <w:t xml:space="preserve">The OCA further submits that the Commission must also </w:t>
      </w:r>
      <w:r w:rsidR="000C7658">
        <w:rPr>
          <w:sz w:val="26"/>
          <w:szCs w:val="26"/>
        </w:rPr>
        <w:t>r</w:t>
      </w:r>
      <w:r w:rsidR="00EE2ED4">
        <w:rPr>
          <w:sz w:val="26"/>
          <w:szCs w:val="26"/>
        </w:rPr>
        <w:t xml:space="preserve">eject </w:t>
      </w:r>
      <w:r w:rsidR="00574802">
        <w:rPr>
          <w:sz w:val="26"/>
          <w:szCs w:val="26"/>
        </w:rPr>
        <w:t xml:space="preserve">Respond’s </w:t>
      </w:r>
      <w:r w:rsidR="00EE2ED4">
        <w:rPr>
          <w:sz w:val="26"/>
          <w:szCs w:val="26"/>
        </w:rPr>
        <w:t xml:space="preserve">improper and unsupported </w:t>
      </w:r>
      <w:r w:rsidR="00060A32" w:rsidRPr="00060A32">
        <w:rPr>
          <w:sz w:val="26"/>
          <w:szCs w:val="26"/>
        </w:rPr>
        <w:t>claim</w:t>
      </w:r>
      <w:r w:rsidR="00060A32">
        <w:rPr>
          <w:sz w:val="26"/>
          <w:szCs w:val="26"/>
        </w:rPr>
        <w:t>,</w:t>
      </w:r>
      <w:r w:rsidR="00574802">
        <w:rPr>
          <w:sz w:val="26"/>
          <w:szCs w:val="26"/>
        </w:rPr>
        <w:t xml:space="preserve"> made</w:t>
      </w:r>
      <w:r>
        <w:rPr>
          <w:sz w:val="26"/>
          <w:szCs w:val="26"/>
        </w:rPr>
        <w:t xml:space="preserve"> for the first time in its </w:t>
      </w:r>
      <w:proofErr w:type="gramStart"/>
      <w:r>
        <w:rPr>
          <w:sz w:val="26"/>
          <w:szCs w:val="26"/>
        </w:rPr>
        <w:t>Excepti</w:t>
      </w:r>
      <w:r w:rsidR="00EE2ED4">
        <w:rPr>
          <w:sz w:val="26"/>
          <w:szCs w:val="26"/>
        </w:rPr>
        <w:t>ons</w:t>
      </w:r>
      <w:r w:rsidR="00574802">
        <w:rPr>
          <w:sz w:val="26"/>
          <w:szCs w:val="26"/>
        </w:rPr>
        <w:t>, that</w:t>
      </w:r>
      <w:proofErr w:type="gramEnd"/>
      <w:r w:rsidR="00574802">
        <w:rPr>
          <w:sz w:val="26"/>
          <w:szCs w:val="26"/>
        </w:rPr>
        <w:t xml:space="preserve"> the </w:t>
      </w:r>
      <w:r w:rsidR="00574802" w:rsidRPr="009D562F">
        <w:rPr>
          <w:sz w:val="26"/>
          <w:szCs w:val="26"/>
        </w:rPr>
        <w:t xml:space="preserve">Affiliates Disclosure Statement </w:t>
      </w:r>
      <w:r w:rsidR="00060A32">
        <w:rPr>
          <w:sz w:val="26"/>
          <w:szCs w:val="26"/>
        </w:rPr>
        <w:t xml:space="preserve">placed into </w:t>
      </w:r>
      <w:r w:rsidR="00574802" w:rsidRPr="009D562F">
        <w:rPr>
          <w:sz w:val="26"/>
          <w:szCs w:val="26"/>
        </w:rPr>
        <w:t>evidence as R</w:t>
      </w:r>
      <w:r w:rsidRPr="009D562F">
        <w:rPr>
          <w:sz w:val="26"/>
          <w:szCs w:val="26"/>
        </w:rPr>
        <w:t>espond</w:t>
      </w:r>
      <w:r w:rsidR="00574802" w:rsidRPr="009D562F">
        <w:rPr>
          <w:sz w:val="26"/>
          <w:szCs w:val="26"/>
        </w:rPr>
        <w:t xml:space="preserve">’s </w:t>
      </w:r>
      <w:r w:rsidR="00EE2ED4" w:rsidRPr="009D562F">
        <w:rPr>
          <w:sz w:val="26"/>
          <w:szCs w:val="26"/>
        </w:rPr>
        <w:t>Exh</w:t>
      </w:r>
      <w:r w:rsidR="009D562F" w:rsidRPr="009D562F">
        <w:rPr>
          <w:sz w:val="26"/>
          <w:szCs w:val="26"/>
        </w:rPr>
        <w:t>.</w:t>
      </w:r>
      <w:r w:rsidR="00EE2ED4" w:rsidRPr="009D562F">
        <w:rPr>
          <w:sz w:val="26"/>
          <w:szCs w:val="26"/>
        </w:rPr>
        <w:t xml:space="preserve"> 2</w:t>
      </w:r>
      <w:r w:rsidR="00574802" w:rsidRPr="009D562F">
        <w:rPr>
          <w:sz w:val="26"/>
          <w:szCs w:val="26"/>
        </w:rPr>
        <w:t xml:space="preserve"> </w:t>
      </w:r>
      <w:r w:rsidRPr="009D562F">
        <w:rPr>
          <w:sz w:val="26"/>
          <w:szCs w:val="26"/>
        </w:rPr>
        <w:t>is not necessarily the same size document used in marketing and enrollment.</w:t>
      </w:r>
      <w:r w:rsidR="000C7658" w:rsidRPr="009D562F">
        <w:rPr>
          <w:sz w:val="26"/>
          <w:szCs w:val="26"/>
        </w:rPr>
        <w:t xml:space="preserve">  According to the OCA, three witnesses testified that the </w:t>
      </w:r>
      <w:r w:rsidR="00060A32">
        <w:rPr>
          <w:sz w:val="26"/>
          <w:szCs w:val="26"/>
        </w:rPr>
        <w:t xml:space="preserve">Respond Exh. 2 </w:t>
      </w:r>
      <w:r w:rsidR="000C7658" w:rsidRPr="009D562F">
        <w:rPr>
          <w:sz w:val="26"/>
          <w:szCs w:val="26"/>
        </w:rPr>
        <w:t xml:space="preserve">disclosure </w:t>
      </w:r>
      <w:proofErr w:type="gramStart"/>
      <w:r w:rsidR="000C7658" w:rsidRPr="009D562F">
        <w:rPr>
          <w:sz w:val="26"/>
          <w:szCs w:val="26"/>
        </w:rPr>
        <w:t>statement</w:t>
      </w:r>
      <w:proofErr w:type="gramEnd"/>
      <w:r w:rsidR="000C7658" w:rsidRPr="009D562F">
        <w:rPr>
          <w:sz w:val="26"/>
          <w:szCs w:val="26"/>
        </w:rPr>
        <w:t xml:space="preserve"> occupied no more space than the reverse side of Respond’s sales agreement and that the</w:t>
      </w:r>
      <w:r w:rsidR="00060A32">
        <w:rPr>
          <w:sz w:val="26"/>
          <w:szCs w:val="26"/>
        </w:rPr>
        <w:t xml:space="preserve"> Affiliates Disclosure Statement </w:t>
      </w:r>
      <w:r w:rsidR="000C7658" w:rsidRPr="009D562F">
        <w:rPr>
          <w:sz w:val="26"/>
          <w:szCs w:val="26"/>
        </w:rPr>
        <w:t>w</w:t>
      </w:r>
      <w:r w:rsidR="00060A32">
        <w:rPr>
          <w:sz w:val="26"/>
          <w:szCs w:val="26"/>
        </w:rPr>
        <w:t>as</w:t>
      </w:r>
      <w:r w:rsidR="000C7658" w:rsidRPr="009D562F">
        <w:rPr>
          <w:sz w:val="26"/>
          <w:szCs w:val="26"/>
        </w:rPr>
        <w:t xml:space="preserve"> the same</w:t>
      </w:r>
      <w:r w:rsidR="00060A32">
        <w:rPr>
          <w:sz w:val="26"/>
          <w:szCs w:val="26"/>
        </w:rPr>
        <w:t xml:space="preserve"> as the document provided to Mr. Herp</w:t>
      </w:r>
      <w:r w:rsidR="000C7658">
        <w:rPr>
          <w:sz w:val="26"/>
          <w:szCs w:val="26"/>
        </w:rPr>
        <w:t xml:space="preserve">.  The OCA opines that </w:t>
      </w:r>
      <w:r w:rsidR="00AA5C7A">
        <w:rPr>
          <w:sz w:val="26"/>
          <w:szCs w:val="26"/>
        </w:rPr>
        <w:t xml:space="preserve">it is untimely </w:t>
      </w:r>
      <w:r w:rsidR="00060A32">
        <w:rPr>
          <w:sz w:val="26"/>
          <w:szCs w:val="26"/>
        </w:rPr>
        <w:t>now</w:t>
      </w:r>
      <w:r w:rsidR="00AA5C7A">
        <w:rPr>
          <w:sz w:val="26"/>
          <w:szCs w:val="26"/>
        </w:rPr>
        <w:t xml:space="preserve"> for </w:t>
      </w:r>
      <w:r w:rsidR="000C7658">
        <w:rPr>
          <w:sz w:val="26"/>
          <w:szCs w:val="26"/>
        </w:rPr>
        <w:t xml:space="preserve">Respond to </w:t>
      </w:r>
      <w:r w:rsidR="00AA5C7A">
        <w:rPr>
          <w:sz w:val="26"/>
          <w:szCs w:val="26"/>
        </w:rPr>
        <w:t>assert t</w:t>
      </w:r>
      <w:r w:rsidR="000C7658">
        <w:rPr>
          <w:sz w:val="26"/>
          <w:szCs w:val="26"/>
        </w:rPr>
        <w:t xml:space="preserve">hat its </w:t>
      </w:r>
      <w:r w:rsidR="000C7658" w:rsidRPr="00FB3E1B">
        <w:rPr>
          <w:sz w:val="26"/>
          <w:szCs w:val="26"/>
        </w:rPr>
        <w:t>Exhibit 2</w:t>
      </w:r>
      <w:r w:rsidR="000C7658">
        <w:rPr>
          <w:sz w:val="26"/>
          <w:szCs w:val="26"/>
        </w:rPr>
        <w:t xml:space="preserve"> is not an accurate copy in all respects, including form, lay-out</w:t>
      </w:r>
      <w:r w:rsidR="00AA5C7A">
        <w:rPr>
          <w:sz w:val="26"/>
          <w:szCs w:val="26"/>
        </w:rPr>
        <w:t>,</w:t>
      </w:r>
      <w:r w:rsidR="000C7658">
        <w:rPr>
          <w:sz w:val="26"/>
          <w:szCs w:val="26"/>
        </w:rPr>
        <w:t xml:space="preserve"> and </w:t>
      </w:r>
      <w:r w:rsidR="00AA5C7A">
        <w:rPr>
          <w:sz w:val="26"/>
          <w:szCs w:val="26"/>
        </w:rPr>
        <w:t xml:space="preserve">font </w:t>
      </w:r>
      <w:r w:rsidR="000C7658">
        <w:rPr>
          <w:sz w:val="26"/>
          <w:szCs w:val="26"/>
        </w:rPr>
        <w:t>size, of the disclosure statement provided to Mr. Herp.  OCA R. Exc. at</w:t>
      </w:r>
      <w:r w:rsidR="009D562F">
        <w:rPr>
          <w:sz w:val="26"/>
          <w:szCs w:val="26"/>
        </w:rPr>
        <w:t> </w:t>
      </w:r>
      <w:r w:rsidR="00C55238">
        <w:rPr>
          <w:sz w:val="26"/>
          <w:szCs w:val="26"/>
        </w:rPr>
        <w:t>7-8.</w:t>
      </w:r>
    </w:p>
    <w:p w:rsidR="008F08FF" w:rsidRPr="00060A32" w:rsidRDefault="008F08FF" w:rsidP="008F08FF">
      <w:pPr>
        <w:pStyle w:val="BodyFirst1SS"/>
        <w:spacing w:line="360" w:lineRule="auto"/>
        <w:ind w:firstLine="1440"/>
        <w:jc w:val="left"/>
        <w:rPr>
          <w:sz w:val="26"/>
          <w:szCs w:val="26"/>
        </w:rPr>
      </w:pPr>
    </w:p>
    <w:p w:rsidR="00EF4A77" w:rsidRPr="00060A32" w:rsidRDefault="00C47FA2" w:rsidP="00521D8D">
      <w:pPr>
        <w:pStyle w:val="BodyFirst1SS"/>
        <w:keepNext/>
        <w:keepLines/>
        <w:spacing w:line="360" w:lineRule="auto"/>
        <w:ind w:left="720"/>
        <w:jc w:val="left"/>
        <w:rPr>
          <w:sz w:val="26"/>
          <w:szCs w:val="26"/>
        </w:rPr>
      </w:pPr>
      <w:r>
        <w:rPr>
          <w:b/>
          <w:sz w:val="26"/>
          <w:szCs w:val="26"/>
        </w:rPr>
        <w:t>d.</w:t>
      </w:r>
      <w:r>
        <w:rPr>
          <w:b/>
          <w:sz w:val="26"/>
          <w:szCs w:val="26"/>
        </w:rPr>
        <w:tab/>
      </w:r>
      <w:r w:rsidR="00EF4A77">
        <w:rPr>
          <w:b/>
          <w:sz w:val="26"/>
          <w:szCs w:val="26"/>
        </w:rPr>
        <w:t>Disposition</w:t>
      </w:r>
    </w:p>
    <w:p w:rsidR="00DF24B2" w:rsidRPr="00060A32" w:rsidRDefault="00DF24B2" w:rsidP="00521D8D">
      <w:pPr>
        <w:pStyle w:val="BodyFirst1SS"/>
        <w:keepNext/>
        <w:keepLines/>
        <w:spacing w:line="360" w:lineRule="auto"/>
        <w:ind w:left="1440" w:firstLine="0"/>
        <w:jc w:val="left"/>
        <w:rPr>
          <w:sz w:val="26"/>
          <w:szCs w:val="26"/>
        </w:rPr>
      </w:pPr>
    </w:p>
    <w:p w:rsidR="00AA5C7A" w:rsidRDefault="00DF24B2" w:rsidP="00982B4D">
      <w:pPr>
        <w:pStyle w:val="BodyFirst1SS"/>
        <w:spacing w:line="360" w:lineRule="auto"/>
        <w:ind w:firstLine="1440"/>
        <w:jc w:val="left"/>
        <w:rPr>
          <w:sz w:val="26"/>
          <w:szCs w:val="26"/>
        </w:rPr>
      </w:pPr>
      <w:r>
        <w:rPr>
          <w:sz w:val="26"/>
          <w:szCs w:val="26"/>
        </w:rPr>
        <w:t xml:space="preserve">Based upon </w:t>
      </w:r>
      <w:r w:rsidR="00982B4D">
        <w:rPr>
          <w:sz w:val="26"/>
          <w:szCs w:val="26"/>
        </w:rPr>
        <w:t xml:space="preserve">our review of </w:t>
      </w:r>
      <w:r>
        <w:rPr>
          <w:sz w:val="26"/>
          <w:szCs w:val="26"/>
        </w:rPr>
        <w:t xml:space="preserve">the evidence, </w:t>
      </w:r>
      <w:r w:rsidR="00AA5C7A">
        <w:rPr>
          <w:sz w:val="26"/>
          <w:szCs w:val="26"/>
        </w:rPr>
        <w:t xml:space="preserve">we decline to adopt the ALJ’s </w:t>
      </w:r>
      <w:r w:rsidR="0025278C">
        <w:rPr>
          <w:sz w:val="26"/>
          <w:szCs w:val="26"/>
        </w:rPr>
        <w:t xml:space="preserve">conclusions </w:t>
      </w:r>
      <w:r w:rsidR="00AA5C7A">
        <w:rPr>
          <w:sz w:val="26"/>
          <w:szCs w:val="26"/>
        </w:rPr>
        <w:t xml:space="preserve">regarding </w:t>
      </w:r>
      <w:r w:rsidR="00060A32">
        <w:rPr>
          <w:sz w:val="26"/>
          <w:szCs w:val="26"/>
        </w:rPr>
        <w:t>Re</w:t>
      </w:r>
      <w:r w:rsidR="00AA5C7A">
        <w:rPr>
          <w:sz w:val="26"/>
          <w:szCs w:val="26"/>
        </w:rPr>
        <w:t>spond’s disclosure statement</w:t>
      </w:r>
      <w:r w:rsidR="005C0375">
        <w:rPr>
          <w:sz w:val="26"/>
          <w:szCs w:val="26"/>
        </w:rPr>
        <w:t xml:space="preserve"> and grant Respond’s </w:t>
      </w:r>
      <w:r w:rsidR="005C0375" w:rsidRPr="005C0375">
        <w:rPr>
          <w:sz w:val="26"/>
          <w:szCs w:val="26"/>
        </w:rPr>
        <w:t>Exception to the ALJ’s Initial Decision</w:t>
      </w:r>
      <w:r w:rsidR="005C0375">
        <w:rPr>
          <w:sz w:val="26"/>
          <w:szCs w:val="26"/>
        </w:rPr>
        <w:t xml:space="preserve"> with respect to the result</w:t>
      </w:r>
      <w:r w:rsidR="0096061E">
        <w:rPr>
          <w:sz w:val="26"/>
          <w:szCs w:val="26"/>
        </w:rPr>
        <w:t xml:space="preserve"> only</w:t>
      </w:r>
      <w:r w:rsidR="00AA5C7A">
        <w:rPr>
          <w:sz w:val="26"/>
          <w:szCs w:val="26"/>
        </w:rPr>
        <w:t xml:space="preserve">.  </w:t>
      </w:r>
      <w:r w:rsidR="0096061E">
        <w:rPr>
          <w:sz w:val="26"/>
          <w:szCs w:val="26"/>
        </w:rPr>
        <w:t>W</w:t>
      </w:r>
      <w:r w:rsidR="00AA5C7A" w:rsidRPr="005C0375">
        <w:rPr>
          <w:sz w:val="26"/>
          <w:szCs w:val="26"/>
        </w:rPr>
        <w:t>e</w:t>
      </w:r>
      <w:r w:rsidR="00AA5C7A">
        <w:rPr>
          <w:sz w:val="26"/>
          <w:szCs w:val="26"/>
        </w:rPr>
        <w:t xml:space="preserve"> decline to </w:t>
      </w:r>
      <w:r w:rsidR="005C0375">
        <w:rPr>
          <w:sz w:val="26"/>
          <w:szCs w:val="26"/>
        </w:rPr>
        <w:t>find</w:t>
      </w:r>
      <w:r w:rsidR="00AA5C7A">
        <w:rPr>
          <w:sz w:val="26"/>
          <w:szCs w:val="26"/>
        </w:rPr>
        <w:t xml:space="preserve">, as </w:t>
      </w:r>
      <w:proofErr w:type="gramStart"/>
      <w:r w:rsidR="00AA5C7A">
        <w:rPr>
          <w:sz w:val="26"/>
          <w:szCs w:val="26"/>
        </w:rPr>
        <w:t>Respond</w:t>
      </w:r>
      <w:proofErr w:type="gramEnd"/>
      <w:r w:rsidR="00AA5C7A">
        <w:rPr>
          <w:sz w:val="26"/>
          <w:szCs w:val="26"/>
        </w:rPr>
        <w:t xml:space="preserve"> requests</w:t>
      </w:r>
      <w:r w:rsidR="0025278C">
        <w:rPr>
          <w:sz w:val="26"/>
          <w:szCs w:val="26"/>
        </w:rPr>
        <w:t>,</w:t>
      </w:r>
      <w:r w:rsidR="00AA5C7A">
        <w:rPr>
          <w:sz w:val="26"/>
          <w:szCs w:val="26"/>
        </w:rPr>
        <w:t xml:space="preserve"> that the relevant language of </w:t>
      </w:r>
      <w:r w:rsidR="00AA5C7A" w:rsidRPr="0025278C">
        <w:rPr>
          <w:sz w:val="26"/>
          <w:szCs w:val="26"/>
        </w:rPr>
        <w:t>Respond’s disclosure statement was previously approved and consistent with our Regulations in effect at the time of Mr.</w:t>
      </w:r>
      <w:r w:rsidR="00060A32">
        <w:rPr>
          <w:sz w:val="26"/>
          <w:szCs w:val="26"/>
        </w:rPr>
        <w:t> </w:t>
      </w:r>
      <w:r w:rsidR="00AA5C7A" w:rsidRPr="0025278C">
        <w:rPr>
          <w:sz w:val="26"/>
          <w:szCs w:val="26"/>
        </w:rPr>
        <w:t>Herp’s enrollment</w:t>
      </w:r>
      <w:r w:rsidR="00AA5C7A">
        <w:rPr>
          <w:sz w:val="26"/>
          <w:szCs w:val="26"/>
        </w:rPr>
        <w:t xml:space="preserve">.  </w:t>
      </w:r>
      <w:r w:rsidR="0096061E">
        <w:rPr>
          <w:sz w:val="26"/>
          <w:szCs w:val="26"/>
        </w:rPr>
        <w:t>Rather, o</w:t>
      </w:r>
      <w:r w:rsidR="0025278C">
        <w:rPr>
          <w:sz w:val="26"/>
          <w:szCs w:val="26"/>
        </w:rPr>
        <w:t>n the basis of the record before us</w:t>
      </w:r>
      <w:r w:rsidR="00060A32">
        <w:rPr>
          <w:sz w:val="26"/>
          <w:szCs w:val="26"/>
        </w:rPr>
        <w:t xml:space="preserve"> and the representations made by Respond in its Exceptions</w:t>
      </w:r>
      <w:r w:rsidR="0025278C">
        <w:rPr>
          <w:sz w:val="26"/>
          <w:szCs w:val="26"/>
        </w:rPr>
        <w:t xml:space="preserve">, </w:t>
      </w:r>
      <w:r w:rsidR="00060A32">
        <w:rPr>
          <w:sz w:val="26"/>
          <w:szCs w:val="26"/>
        </w:rPr>
        <w:t>o</w:t>
      </w:r>
      <w:r w:rsidR="00060A32" w:rsidRPr="00060A32">
        <w:rPr>
          <w:sz w:val="26"/>
          <w:szCs w:val="26"/>
        </w:rPr>
        <w:t xml:space="preserve">ur </w:t>
      </w:r>
      <w:r w:rsidR="00060A32">
        <w:rPr>
          <w:sz w:val="26"/>
          <w:szCs w:val="26"/>
        </w:rPr>
        <w:t xml:space="preserve">conclusion is simply that no </w:t>
      </w:r>
      <w:r w:rsidR="005C0375">
        <w:rPr>
          <w:sz w:val="26"/>
          <w:szCs w:val="26"/>
        </w:rPr>
        <w:t xml:space="preserve">violation was </w:t>
      </w:r>
      <w:r w:rsidR="0025278C">
        <w:rPr>
          <w:sz w:val="26"/>
          <w:szCs w:val="26"/>
        </w:rPr>
        <w:t xml:space="preserve">claimed or </w:t>
      </w:r>
      <w:r w:rsidR="005C0375">
        <w:rPr>
          <w:sz w:val="26"/>
          <w:szCs w:val="26"/>
        </w:rPr>
        <w:t>proven.</w:t>
      </w:r>
    </w:p>
    <w:p w:rsidR="00AA5C7A" w:rsidRDefault="00AA5C7A" w:rsidP="00982B4D">
      <w:pPr>
        <w:pStyle w:val="BodyFirst1SS"/>
        <w:spacing w:line="360" w:lineRule="auto"/>
        <w:ind w:firstLine="1440"/>
        <w:jc w:val="left"/>
        <w:rPr>
          <w:sz w:val="26"/>
          <w:szCs w:val="26"/>
        </w:rPr>
      </w:pPr>
    </w:p>
    <w:p w:rsidR="003E2022" w:rsidRDefault="00AA5C7A" w:rsidP="00982B4D">
      <w:pPr>
        <w:pStyle w:val="BodyFirst1SS"/>
        <w:spacing w:line="360" w:lineRule="auto"/>
        <w:ind w:firstLine="1440"/>
        <w:jc w:val="left"/>
        <w:rPr>
          <w:i/>
          <w:sz w:val="26"/>
          <w:szCs w:val="26"/>
        </w:rPr>
      </w:pPr>
      <w:r>
        <w:rPr>
          <w:sz w:val="26"/>
          <w:szCs w:val="26"/>
        </w:rPr>
        <w:t xml:space="preserve">Foremost, our disposition of this Exception </w:t>
      </w:r>
      <w:r w:rsidR="0025278C">
        <w:rPr>
          <w:sz w:val="26"/>
          <w:szCs w:val="26"/>
        </w:rPr>
        <w:t>is</w:t>
      </w:r>
      <w:r>
        <w:rPr>
          <w:sz w:val="26"/>
          <w:szCs w:val="26"/>
        </w:rPr>
        <w:t xml:space="preserve"> grounded in our attempt to resolve the Complaint filed and pursued by Mr. Herp throughout this proceeding</w:t>
      </w:r>
      <w:r w:rsidR="0025278C">
        <w:rPr>
          <w:sz w:val="26"/>
          <w:szCs w:val="26"/>
        </w:rPr>
        <w:t xml:space="preserve">, namely </w:t>
      </w:r>
      <w:r w:rsidR="0025278C">
        <w:rPr>
          <w:sz w:val="26"/>
          <w:szCs w:val="26"/>
        </w:rPr>
        <w:lastRenderedPageBreak/>
        <w:t>t</w:t>
      </w:r>
      <w:r w:rsidR="003E2022">
        <w:rPr>
          <w:sz w:val="26"/>
          <w:szCs w:val="26"/>
        </w:rPr>
        <w:t xml:space="preserve">hat </w:t>
      </w:r>
      <w:r w:rsidR="0025278C">
        <w:rPr>
          <w:sz w:val="26"/>
          <w:szCs w:val="26"/>
        </w:rPr>
        <w:t>M</w:t>
      </w:r>
      <w:r w:rsidR="003E2022">
        <w:rPr>
          <w:sz w:val="26"/>
          <w:szCs w:val="26"/>
        </w:rPr>
        <w:t xml:space="preserve">r. Herp wants his “bill adjusted to no more than the rate offered by West Penn Power for the entire time [he] was with Respond” because based upon Respond’s door-to-door marketing activities by its agent, he was informed that his variable rate would be capped at West Penn’s PTC.  </w:t>
      </w:r>
      <w:proofErr w:type="gramStart"/>
      <w:r w:rsidR="003E2022">
        <w:rPr>
          <w:sz w:val="26"/>
          <w:szCs w:val="26"/>
        </w:rPr>
        <w:t>Complaint at 4.</w:t>
      </w:r>
      <w:proofErr w:type="gramEnd"/>
      <w:r w:rsidR="003E2022">
        <w:rPr>
          <w:sz w:val="26"/>
          <w:szCs w:val="26"/>
        </w:rPr>
        <w:t xml:space="preserve">  </w:t>
      </w:r>
      <w:r w:rsidR="0025278C">
        <w:rPr>
          <w:sz w:val="26"/>
          <w:szCs w:val="26"/>
        </w:rPr>
        <w:t xml:space="preserve">As </w:t>
      </w:r>
      <w:r w:rsidR="00982B4D">
        <w:rPr>
          <w:sz w:val="26"/>
          <w:szCs w:val="26"/>
        </w:rPr>
        <w:t>Mr.</w:t>
      </w:r>
      <w:r w:rsidR="003E2022">
        <w:rPr>
          <w:sz w:val="26"/>
          <w:szCs w:val="26"/>
        </w:rPr>
        <w:t> </w:t>
      </w:r>
      <w:r w:rsidR="00982B4D">
        <w:rPr>
          <w:sz w:val="26"/>
          <w:szCs w:val="26"/>
        </w:rPr>
        <w:t>Herp stated</w:t>
      </w:r>
      <w:r w:rsidR="0025278C">
        <w:rPr>
          <w:sz w:val="26"/>
          <w:szCs w:val="26"/>
        </w:rPr>
        <w:t xml:space="preserve">, </w:t>
      </w:r>
      <w:r w:rsidR="0096061E">
        <w:rPr>
          <w:sz w:val="26"/>
          <w:szCs w:val="26"/>
        </w:rPr>
        <w:t xml:space="preserve">although he was </w:t>
      </w:r>
      <w:r w:rsidR="00982B4D">
        <w:rPr>
          <w:sz w:val="26"/>
          <w:szCs w:val="26"/>
        </w:rPr>
        <w:t xml:space="preserve">told that by switching to Respond </w:t>
      </w:r>
      <w:r w:rsidR="0096061E">
        <w:rPr>
          <w:sz w:val="26"/>
          <w:szCs w:val="26"/>
        </w:rPr>
        <w:t xml:space="preserve">his </w:t>
      </w:r>
      <w:r w:rsidR="00982B4D">
        <w:rPr>
          <w:sz w:val="26"/>
          <w:szCs w:val="26"/>
        </w:rPr>
        <w:t xml:space="preserve">electric bill would always be lower than </w:t>
      </w:r>
      <w:r w:rsidR="0096061E">
        <w:rPr>
          <w:sz w:val="26"/>
          <w:szCs w:val="26"/>
        </w:rPr>
        <w:t xml:space="preserve">West Penn’s, he experienced </w:t>
      </w:r>
      <w:r w:rsidR="00982B4D">
        <w:rPr>
          <w:sz w:val="26"/>
          <w:szCs w:val="26"/>
        </w:rPr>
        <w:t xml:space="preserve">a 150% increase in </w:t>
      </w:r>
      <w:r w:rsidR="0096061E">
        <w:rPr>
          <w:sz w:val="26"/>
          <w:szCs w:val="26"/>
        </w:rPr>
        <w:t>his cost of e</w:t>
      </w:r>
      <w:r w:rsidR="00982B4D">
        <w:rPr>
          <w:sz w:val="26"/>
          <w:szCs w:val="26"/>
        </w:rPr>
        <w:t>lectric supply</w:t>
      </w:r>
      <w:r w:rsidR="0096061E">
        <w:rPr>
          <w:sz w:val="26"/>
          <w:szCs w:val="26"/>
        </w:rPr>
        <w:t xml:space="preserve"> and he believed Respond’s agent </w:t>
      </w:r>
      <w:r w:rsidR="00982B4D">
        <w:rPr>
          <w:sz w:val="26"/>
          <w:szCs w:val="26"/>
        </w:rPr>
        <w:t xml:space="preserve">lied to get </w:t>
      </w:r>
      <w:r w:rsidR="0096061E">
        <w:rPr>
          <w:sz w:val="26"/>
          <w:szCs w:val="26"/>
        </w:rPr>
        <w:t xml:space="preserve">him </w:t>
      </w:r>
      <w:r w:rsidR="00982B4D">
        <w:rPr>
          <w:sz w:val="26"/>
          <w:szCs w:val="26"/>
        </w:rPr>
        <w:t xml:space="preserve">to switch </w:t>
      </w:r>
      <w:r w:rsidR="0096061E">
        <w:rPr>
          <w:sz w:val="26"/>
          <w:szCs w:val="26"/>
        </w:rPr>
        <w:t>his</w:t>
      </w:r>
      <w:r w:rsidR="00982B4D">
        <w:rPr>
          <w:sz w:val="26"/>
          <w:szCs w:val="26"/>
        </w:rPr>
        <w:t xml:space="preserve"> service.</w:t>
      </w:r>
    </w:p>
    <w:p w:rsidR="003E2022" w:rsidRDefault="003E2022" w:rsidP="00982B4D">
      <w:pPr>
        <w:pStyle w:val="BodyFirst1SS"/>
        <w:spacing w:line="360" w:lineRule="auto"/>
        <w:ind w:firstLine="1440"/>
        <w:jc w:val="left"/>
        <w:rPr>
          <w:i/>
          <w:sz w:val="26"/>
          <w:szCs w:val="26"/>
        </w:rPr>
      </w:pPr>
    </w:p>
    <w:p w:rsidR="00B513AC" w:rsidRDefault="003E2022" w:rsidP="00982B4D">
      <w:pPr>
        <w:pStyle w:val="BodyFirst1SS"/>
        <w:spacing w:line="360" w:lineRule="auto"/>
        <w:ind w:firstLine="1440"/>
        <w:jc w:val="left"/>
        <w:rPr>
          <w:sz w:val="26"/>
          <w:szCs w:val="26"/>
        </w:rPr>
      </w:pPr>
      <w:r>
        <w:rPr>
          <w:sz w:val="26"/>
          <w:szCs w:val="26"/>
        </w:rPr>
        <w:t>A</w:t>
      </w:r>
      <w:r w:rsidR="00982B4D">
        <w:rPr>
          <w:sz w:val="26"/>
          <w:szCs w:val="26"/>
        </w:rPr>
        <w:t xml:space="preserve">t no point did the Complainant </w:t>
      </w:r>
      <w:r w:rsidR="00FB3E1B">
        <w:rPr>
          <w:sz w:val="26"/>
          <w:szCs w:val="26"/>
        </w:rPr>
        <w:t xml:space="preserve">raise an issue regarding </w:t>
      </w:r>
      <w:r w:rsidR="00982B4D" w:rsidRPr="0004310C">
        <w:rPr>
          <w:sz w:val="26"/>
          <w:szCs w:val="26"/>
        </w:rPr>
        <w:t>Respond</w:t>
      </w:r>
      <w:r w:rsidR="0004310C">
        <w:rPr>
          <w:sz w:val="26"/>
          <w:szCs w:val="26"/>
        </w:rPr>
        <w:t>’s</w:t>
      </w:r>
      <w:r w:rsidR="00982B4D">
        <w:rPr>
          <w:sz w:val="26"/>
          <w:szCs w:val="26"/>
        </w:rPr>
        <w:t xml:space="preserve"> disclosure statement</w:t>
      </w:r>
      <w:r w:rsidR="00C349E7">
        <w:rPr>
          <w:sz w:val="26"/>
          <w:szCs w:val="26"/>
        </w:rPr>
        <w:t xml:space="preserve"> or</w:t>
      </w:r>
      <w:r w:rsidR="00982B4D">
        <w:rPr>
          <w:sz w:val="26"/>
          <w:szCs w:val="26"/>
        </w:rPr>
        <w:t xml:space="preserve"> </w:t>
      </w:r>
      <w:r w:rsidR="00C47FA2">
        <w:rPr>
          <w:sz w:val="26"/>
          <w:szCs w:val="26"/>
        </w:rPr>
        <w:t xml:space="preserve">assert that it </w:t>
      </w:r>
      <w:r w:rsidR="00982B4D">
        <w:rPr>
          <w:sz w:val="26"/>
          <w:szCs w:val="26"/>
        </w:rPr>
        <w:t xml:space="preserve">was </w:t>
      </w:r>
      <w:r w:rsidR="00C47FA2">
        <w:rPr>
          <w:sz w:val="26"/>
          <w:szCs w:val="26"/>
        </w:rPr>
        <w:t>the disclosure statement that</w:t>
      </w:r>
      <w:r w:rsidR="00982B4D">
        <w:rPr>
          <w:sz w:val="26"/>
          <w:szCs w:val="26"/>
        </w:rPr>
        <w:t xml:space="preserve"> caused him to switch</w:t>
      </w:r>
      <w:r w:rsidR="00C349E7">
        <w:rPr>
          <w:sz w:val="26"/>
          <w:szCs w:val="26"/>
        </w:rPr>
        <w:t xml:space="preserve">. </w:t>
      </w:r>
      <w:r w:rsidR="00982B4D">
        <w:rPr>
          <w:sz w:val="26"/>
          <w:szCs w:val="26"/>
        </w:rPr>
        <w:t xml:space="preserve"> </w:t>
      </w:r>
      <w:r>
        <w:rPr>
          <w:sz w:val="26"/>
          <w:szCs w:val="26"/>
        </w:rPr>
        <w:t xml:space="preserve">Further, </w:t>
      </w:r>
      <w:r w:rsidR="003777BE">
        <w:rPr>
          <w:sz w:val="26"/>
          <w:szCs w:val="26"/>
        </w:rPr>
        <w:t xml:space="preserve">the Complainant </w:t>
      </w:r>
      <w:r w:rsidR="0081665B">
        <w:rPr>
          <w:sz w:val="26"/>
          <w:szCs w:val="26"/>
        </w:rPr>
        <w:t xml:space="preserve">neither </w:t>
      </w:r>
      <w:r w:rsidR="003777BE">
        <w:rPr>
          <w:sz w:val="26"/>
          <w:szCs w:val="26"/>
        </w:rPr>
        <w:t>allege</w:t>
      </w:r>
      <w:r w:rsidR="0081665B">
        <w:rPr>
          <w:sz w:val="26"/>
          <w:szCs w:val="26"/>
        </w:rPr>
        <w:t>d no</w:t>
      </w:r>
      <w:r w:rsidR="00BE045E">
        <w:rPr>
          <w:sz w:val="26"/>
          <w:szCs w:val="26"/>
        </w:rPr>
        <w:t>r</w:t>
      </w:r>
      <w:r w:rsidR="0081665B">
        <w:rPr>
          <w:sz w:val="26"/>
          <w:szCs w:val="26"/>
        </w:rPr>
        <w:t xml:space="preserve"> premised his Complaint on the averment t</w:t>
      </w:r>
      <w:r w:rsidR="003777BE">
        <w:rPr>
          <w:sz w:val="26"/>
          <w:szCs w:val="26"/>
        </w:rPr>
        <w:t>hat there were deficiencies with Respond’s disclosure statement.</w:t>
      </w:r>
    </w:p>
    <w:p w:rsidR="00C35FA8" w:rsidRDefault="00C35FA8" w:rsidP="00982B4D">
      <w:pPr>
        <w:pStyle w:val="BodyFirst1SS"/>
        <w:spacing w:line="360" w:lineRule="auto"/>
        <w:ind w:firstLine="1440"/>
        <w:jc w:val="left"/>
        <w:rPr>
          <w:sz w:val="26"/>
          <w:szCs w:val="26"/>
        </w:rPr>
      </w:pPr>
    </w:p>
    <w:p w:rsidR="00C35FA8" w:rsidRDefault="0081665B" w:rsidP="00C35FA8">
      <w:pPr>
        <w:pStyle w:val="BodyFirst1SS"/>
        <w:spacing w:line="360" w:lineRule="auto"/>
        <w:ind w:firstLine="1440"/>
        <w:jc w:val="left"/>
        <w:rPr>
          <w:sz w:val="26"/>
          <w:szCs w:val="26"/>
        </w:rPr>
      </w:pPr>
      <w:r>
        <w:rPr>
          <w:sz w:val="26"/>
          <w:szCs w:val="26"/>
        </w:rPr>
        <w:t>T</w:t>
      </w:r>
      <w:r w:rsidR="00982B4D">
        <w:rPr>
          <w:sz w:val="26"/>
          <w:szCs w:val="26"/>
        </w:rPr>
        <w:t xml:space="preserve">he Complainant testified that </w:t>
      </w:r>
      <w:r>
        <w:rPr>
          <w:sz w:val="26"/>
          <w:szCs w:val="26"/>
        </w:rPr>
        <w:t xml:space="preserve">he was not shown the disclosure statement until after he signed the sales agreement, at which time he was shown the back of the </w:t>
      </w:r>
      <w:r w:rsidR="00141EF7" w:rsidRPr="00141EF7">
        <w:rPr>
          <w:sz w:val="26"/>
          <w:szCs w:val="26"/>
        </w:rPr>
        <w:t>document, which contained the effective disclosure statement</w:t>
      </w:r>
      <w:r w:rsidR="00141EF7">
        <w:rPr>
          <w:sz w:val="26"/>
          <w:szCs w:val="26"/>
        </w:rPr>
        <w:t>.  Mr. Herp testified that</w:t>
      </w:r>
      <w:r w:rsidR="00141EF7" w:rsidRPr="00141EF7">
        <w:rPr>
          <w:sz w:val="26"/>
          <w:szCs w:val="26"/>
        </w:rPr>
        <w:t xml:space="preserve"> he “looked it over” </w:t>
      </w:r>
      <w:r w:rsidR="00B513AC">
        <w:rPr>
          <w:sz w:val="26"/>
          <w:szCs w:val="26"/>
        </w:rPr>
        <w:t xml:space="preserve">and </w:t>
      </w:r>
      <w:r w:rsidR="00141EF7" w:rsidRPr="00141EF7">
        <w:rPr>
          <w:sz w:val="26"/>
          <w:szCs w:val="26"/>
        </w:rPr>
        <w:t>confirm</w:t>
      </w:r>
      <w:r w:rsidR="00141EF7">
        <w:rPr>
          <w:sz w:val="26"/>
          <w:szCs w:val="26"/>
        </w:rPr>
        <w:t>ed</w:t>
      </w:r>
      <w:r w:rsidR="00141EF7" w:rsidRPr="00141EF7">
        <w:rPr>
          <w:sz w:val="26"/>
          <w:szCs w:val="26"/>
        </w:rPr>
        <w:t xml:space="preserve"> that “basically it confirmed the sales pitch</w:t>
      </w:r>
      <w:r w:rsidR="00B513AC">
        <w:rPr>
          <w:sz w:val="26"/>
          <w:szCs w:val="26"/>
        </w:rPr>
        <w:t>.</w:t>
      </w:r>
      <w:r w:rsidR="00141EF7">
        <w:rPr>
          <w:sz w:val="26"/>
          <w:szCs w:val="26"/>
        </w:rPr>
        <w:t>”</w:t>
      </w:r>
      <w:r w:rsidR="00B513AC">
        <w:rPr>
          <w:sz w:val="26"/>
          <w:szCs w:val="26"/>
        </w:rPr>
        <w:t xml:space="preserve">  Tr. at</w:t>
      </w:r>
      <w:r w:rsidR="00C349E7">
        <w:rPr>
          <w:sz w:val="26"/>
          <w:szCs w:val="26"/>
        </w:rPr>
        <w:t> </w:t>
      </w:r>
      <w:r w:rsidR="00B513AC">
        <w:rPr>
          <w:sz w:val="26"/>
          <w:szCs w:val="26"/>
        </w:rPr>
        <w:t xml:space="preserve">15-16.  Mr. Herp further testified </w:t>
      </w:r>
      <w:r w:rsidR="00141EF7">
        <w:rPr>
          <w:sz w:val="26"/>
          <w:szCs w:val="26"/>
        </w:rPr>
        <w:t>that “at no time during the pitch were any of the points in the disclosure statement explained” and that “[w]hen the sales agent left, [he] thought [he] had purchased a better utility product than” that offered by West Penn</w:t>
      </w:r>
      <w:r w:rsidR="00141EF7" w:rsidRPr="00141EF7">
        <w:rPr>
          <w:sz w:val="26"/>
          <w:szCs w:val="26"/>
        </w:rPr>
        <w:t xml:space="preserve">.  </w:t>
      </w:r>
      <w:r w:rsidR="00B513AC">
        <w:rPr>
          <w:i/>
          <w:sz w:val="26"/>
          <w:szCs w:val="26"/>
        </w:rPr>
        <w:t xml:space="preserve">Id. </w:t>
      </w:r>
      <w:r w:rsidR="00141EF7" w:rsidRPr="00141EF7">
        <w:rPr>
          <w:sz w:val="26"/>
          <w:szCs w:val="26"/>
        </w:rPr>
        <w:t>at</w:t>
      </w:r>
      <w:r w:rsidR="00B513AC">
        <w:rPr>
          <w:sz w:val="26"/>
          <w:szCs w:val="26"/>
        </w:rPr>
        <w:t> </w:t>
      </w:r>
      <w:r w:rsidR="00141EF7" w:rsidRPr="00141EF7">
        <w:rPr>
          <w:sz w:val="26"/>
          <w:szCs w:val="26"/>
        </w:rPr>
        <w:t>1</w:t>
      </w:r>
      <w:r w:rsidR="00141EF7">
        <w:rPr>
          <w:sz w:val="26"/>
          <w:szCs w:val="26"/>
        </w:rPr>
        <w:t>6</w:t>
      </w:r>
      <w:r w:rsidR="00D3066B">
        <w:rPr>
          <w:sz w:val="26"/>
          <w:szCs w:val="26"/>
        </w:rPr>
        <w:t>; 28-29</w:t>
      </w:r>
      <w:r w:rsidR="00141EF7">
        <w:rPr>
          <w:sz w:val="26"/>
          <w:szCs w:val="26"/>
        </w:rPr>
        <w:t xml:space="preserve">.  </w:t>
      </w:r>
      <w:r w:rsidR="00C349E7">
        <w:rPr>
          <w:sz w:val="26"/>
          <w:szCs w:val="26"/>
        </w:rPr>
        <w:t>B</w:t>
      </w:r>
      <w:r w:rsidR="00141EF7">
        <w:rPr>
          <w:sz w:val="26"/>
          <w:szCs w:val="26"/>
        </w:rPr>
        <w:t>ased upon the oral marketing representations of Respond’s agent, Mr.</w:t>
      </w:r>
      <w:r w:rsidR="003772D1">
        <w:rPr>
          <w:sz w:val="26"/>
          <w:szCs w:val="26"/>
        </w:rPr>
        <w:t> </w:t>
      </w:r>
      <w:r w:rsidR="00141EF7">
        <w:rPr>
          <w:sz w:val="26"/>
          <w:szCs w:val="26"/>
        </w:rPr>
        <w:t xml:space="preserve">Herp </w:t>
      </w:r>
      <w:r w:rsidR="003772D1">
        <w:rPr>
          <w:sz w:val="26"/>
          <w:szCs w:val="26"/>
        </w:rPr>
        <w:t xml:space="preserve">further </w:t>
      </w:r>
      <w:r w:rsidR="00141EF7">
        <w:rPr>
          <w:sz w:val="26"/>
          <w:szCs w:val="26"/>
        </w:rPr>
        <w:t>testified that he “believed [he] was purchasing a variable rate [] that was capped</w:t>
      </w:r>
      <w:r w:rsidR="00EB3C53">
        <w:rPr>
          <w:sz w:val="26"/>
          <w:szCs w:val="26"/>
        </w:rPr>
        <w:t>,” with the cap being “the current rate offered by [his] local util</w:t>
      </w:r>
      <w:r w:rsidR="00141EF7">
        <w:rPr>
          <w:sz w:val="26"/>
          <w:szCs w:val="26"/>
        </w:rPr>
        <w:t xml:space="preserve">ity company.”  </w:t>
      </w:r>
      <w:proofErr w:type="gramStart"/>
      <w:r w:rsidR="00141EF7">
        <w:rPr>
          <w:i/>
          <w:sz w:val="26"/>
          <w:szCs w:val="26"/>
        </w:rPr>
        <w:t>Id.</w:t>
      </w:r>
      <w:r w:rsidR="00141EF7">
        <w:rPr>
          <w:sz w:val="26"/>
          <w:szCs w:val="26"/>
        </w:rPr>
        <w:t xml:space="preserve"> at 17</w:t>
      </w:r>
      <w:r w:rsidR="00EB3C53">
        <w:rPr>
          <w:sz w:val="26"/>
          <w:szCs w:val="26"/>
        </w:rPr>
        <w:t>, 26</w:t>
      </w:r>
      <w:r w:rsidR="00141EF7">
        <w:rPr>
          <w:sz w:val="26"/>
          <w:szCs w:val="26"/>
        </w:rPr>
        <w:t>.</w:t>
      </w:r>
      <w:proofErr w:type="gramEnd"/>
      <w:r w:rsidR="00141EF7">
        <w:rPr>
          <w:sz w:val="26"/>
          <w:szCs w:val="26"/>
        </w:rPr>
        <w:t xml:space="preserve">  </w:t>
      </w:r>
      <w:r w:rsidR="003772D1">
        <w:rPr>
          <w:sz w:val="26"/>
          <w:szCs w:val="26"/>
        </w:rPr>
        <w:t xml:space="preserve">As Mr. Herp testified, </w:t>
      </w:r>
      <w:r w:rsidR="00982B4D">
        <w:rPr>
          <w:sz w:val="26"/>
          <w:szCs w:val="26"/>
        </w:rPr>
        <w:t xml:space="preserve">he did not even </w:t>
      </w:r>
      <w:r w:rsidR="003772D1">
        <w:rPr>
          <w:sz w:val="26"/>
          <w:szCs w:val="26"/>
        </w:rPr>
        <w:t xml:space="preserve">fully </w:t>
      </w:r>
      <w:r w:rsidR="00982B4D">
        <w:rPr>
          <w:sz w:val="26"/>
          <w:szCs w:val="26"/>
        </w:rPr>
        <w:t xml:space="preserve">read </w:t>
      </w:r>
      <w:r w:rsidR="00594C7E">
        <w:rPr>
          <w:sz w:val="26"/>
          <w:szCs w:val="26"/>
        </w:rPr>
        <w:t>Respond</w:t>
      </w:r>
      <w:r w:rsidR="0004310C">
        <w:rPr>
          <w:sz w:val="26"/>
          <w:szCs w:val="26"/>
        </w:rPr>
        <w:t>’s</w:t>
      </w:r>
      <w:r w:rsidR="00594C7E">
        <w:rPr>
          <w:sz w:val="26"/>
          <w:szCs w:val="26"/>
        </w:rPr>
        <w:t xml:space="preserve"> </w:t>
      </w:r>
      <w:r w:rsidR="00982B4D">
        <w:rPr>
          <w:sz w:val="26"/>
          <w:szCs w:val="26"/>
        </w:rPr>
        <w:t xml:space="preserve">disclosure statement until </w:t>
      </w:r>
      <w:r w:rsidR="003772D1">
        <w:rPr>
          <w:sz w:val="26"/>
          <w:szCs w:val="26"/>
        </w:rPr>
        <w:t xml:space="preserve">after Respond sent him a copy </w:t>
      </w:r>
      <w:r w:rsidR="00982B4D">
        <w:rPr>
          <w:sz w:val="26"/>
          <w:szCs w:val="26"/>
        </w:rPr>
        <w:t>after he filed the Complaint</w:t>
      </w:r>
      <w:r w:rsidR="003772D1">
        <w:rPr>
          <w:sz w:val="26"/>
          <w:szCs w:val="26"/>
        </w:rPr>
        <w:t xml:space="preserve">, at which time </w:t>
      </w:r>
      <w:r w:rsidR="00EE5D25">
        <w:rPr>
          <w:sz w:val="26"/>
          <w:szCs w:val="26"/>
        </w:rPr>
        <w:t xml:space="preserve">he “sat down and read it verbatim.”  </w:t>
      </w:r>
      <w:r w:rsidR="003772D1">
        <w:rPr>
          <w:i/>
          <w:sz w:val="26"/>
          <w:szCs w:val="26"/>
        </w:rPr>
        <w:t>Id.</w:t>
      </w:r>
      <w:r w:rsidR="00EE5D25">
        <w:rPr>
          <w:sz w:val="26"/>
          <w:szCs w:val="26"/>
        </w:rPr>
        <w:t xml:space="preserve"> at </w:t>
      </w:r>
      <w:r w:rsidR="00D3066B">
        <w:rPr>
          <w:sz w:val="26"/>
          <w:szCs w:val="26"/>
        </w:rPr>
        <w:t xml:space="preserve">26, </w:t>
      </w:r>
      <w:r w:rsidR="00EE5D25">
        <w:rPr>
          <w:sz w:val="26"/>
          <w:szCs w:val="26"/>
        </w:rPr>
        <w:t>34-35.</w:t>
      </w:r>
      <w:r w:rsidR="003772D1">
        <w:rPr>
          <w:sz w:val="26"/>
          <w:szCs w:val="26"/>
        </w:rPr>
        <w:t xml:space="preserve">  Until then, he had only skimmed the disclosure statement and “saw things that seemed to correspond with what the sales agent was advertising.”  </w:t>
      </w:r>
      <w:proofErr w:type="gramStart"/>
      <w:r w:rsidR="003772D1">
        <w:rPr>
          <w:i/>
          <w:sz w:val="26"/>
          <w:szCs w:val="26"/>
        </w:rPr>
        <w:t xml:space="preserve">Id. </w:t>
      </w:r>
      <w:r w:rsidR="003772D1">
        <w:rPr>
          <w:sz w:val="26"/>
          <w:szCs w:val="26"/>
        </w:rPr>
        <w:t>at 33.</w:t>
      </w:r>
      <w:proofErr w:type="gramEnd"/>
      <w:r w:rsidR="003772D1">
        <w:rPr>
          <w:sz w:val="26"/>
          <w:szCs w:val="26"/>
        </w:rPr>
        <w:t xml:space="preserve">  </w:t>
      </w:r>
      <w:r w:rsidR="00331D45">
        <w:rPr>
          <w:sz w:val="26"/>
          <w:szCs w:val="26"/>
        </w:rPr>
        <w:t>T</w:t>
      </w:r>
      <w:r w:rsidR="00D3066B">
        <w:rPr>
          <w:sz w:val="26"/>
          <w:szCs w:val="26"/>
        </w:rPr>
        <w:t>he disclosure statement, once read in full, was “not the product that was advertised to [him]</w:t>
      </w:r>
      <w:r w:rsidR="00331D45">
        <w:rPr>
          <w:sz w:val="26"/>
          <w:szCs w:val="26"/>
        </w:rPr>
        <w:t>.</w:t>
      </w:r>
      <w:r w:rsidR="00D3066B">
        <w:rPr>
          <w:sz w:val="26"/>
          <w:szCs w:val="26"/>
        </w:rPr>
        <w:t xml:space="preserve">” </w:t>
      </w:r>
      <w:proofErr w:type="gramStart"/>
      <w:r w:rsidR="00331D45">
        <w:rPr>
          <w:i/>
          <w:sz w:val="26"/>
          <w:szCs w:val="26"/>
        </w:rPr>
        <w:t>Id.</w:t>
      </w:r>
      <w:r w:rsidR="00331D45">
        <w:rPr>
          <w:sz w:val="26"/>
          <w:szCs w:val="26"/>
        </w:rPr>
        <w:t xml:space="preserve"> at 28.</w:t>
      </w:r>
      <w:proofErr w:type="gramEnd"/>
      <w:r w:rsidR="00331D45">
        <w:rPr>
          <w:sz w:val="26"/>
          <w:szCs w:val="26"/>
        </w:rPr>
        <w:t xml:space="preserve">  While the Complainant </w:t>
      </w:r>
      <w:r w:rsidR="003772D1">
        <w:rPr>
          <w:sz w:val="26"/>
          <w:szCs w:val="26"/>
        </w:rPr>
        <w:t xml:space="preserve">knew he was signed up </w:t>
      </w:r>
      <w:r w:rsidR="003772D1">
        <w:rPr>
          <w:sz w:val="26"/>
          <w:szCs w:val="26"/>
        </w:rPr>
        <w:lastRenderedPageBreak/>
        <w:t>for the variable rate</w:t>
      </w:r>
      <w:r w:rsidR="00331D45">
        <w:rPr>
          <w:sz w:val="26"/>
          <w:szCs w:val="26"/>
        </w:rPr>
        <w:t xml:space="preserve">, the sales agent did not go over the disclosure statement with him and </w:t>
      </w:r>
      <w:r w:rsidR="003772D1">
        <w:rPr>
          <w:sz w:val="26"/>
          <w:szCs w:val="26"/>
        </w:rPr>
        <w:t xml:space="preserve">he “wasn’t looking through it to see if the sales agent was telling me the truth or to try to catch them in a lie or something. I expected that this pretty much said everything that he had told me.”  </w:t>
      </w:r>
      <w:proofErr w:type="gramStart"/>
      <w:r w:rsidR="003772D1">
        <w:rPr>
          <w:i/>
          <w:sz w:val="26"/>
          <w:szCs w:val="26"/>
        </w:rPr>
        <w:t xml:space="preserve">Id. </w:t>
      </w:r>
      <w:r w:rsidR="003772D1">
        <w:rPr>
          <w:sz w:val="26"/>
          <w:szCs w:val="26"/>
        </w:rPr>
        <w:t>at</w:t>
      </w:r>
      <w:r w:rsidR="00D3066B">
        <w:rPr>
          <w:sz w:val="26"/>
          <w:szCs w:val="26"/>
        </w:rPr>
        <w:t xml:space="preserve"> 2</w:t>
      </w:r>
      <w:r w:rsidR="00331D45">
        <w:rPr>
          <w:sz w:val="26"/>
          <w:szCs w:val="26"/>
        </w:rPr>
        <w:t>9</w:t>
      </w:r>
      <w:r w:rsidR="00D3066B">
        <w:rPr>
          <w:sz w:val="26"/>
          <w:szCs w:val="26"/>
        </w:rPr>
        <w:t>,</w:t>
      </w:r>
      <w:r w:rsidR="003772D1">
        <w:rPr>
          <w:sz w:val="26"/>
          <w:szCs w:val="26"/>
        </w:rPr>
        <w:t> 34.</w:t>
      </w:r>
      <w:proofErr w:type="gramEnd"/>
    </w:p>
    <w:p w:rsidR="00C35FA8" w:rsidRDefault="00C35FA8" w:rsidP="00C35FA8">
      <w:pPr>
        <w:pStyle w:val="BodyFirst1SS"/>
        <w:spacing w:line="360" w:lineRule="auto"/>
        <w:ind w:firstLine="1440"/>
        <w:jc w:val="left"/>
        <w:rPr>
          <w:sz w:val="26"/>
          <w:szCs w:val="26"/>
        </w:rPr>
      </w:pPr>
    </w:p>
    <w:p w:rsidR="00C35FA8" w:rsidRDefault="00C35FA8" w:rsidP="00C35FA8">
      <w:pPr>
        <w:pStyle w:val="BodyFirst1SS"/>
        <w:spacing w:line="360" w:lineRule="auto"/>
        <w:ind w:firstLine="1440"/>
        <w:jc w:val="left"/>
        <w:rPr>
          <w:sz w:val="26"/>
          <w:szCs w:val="26"/>
        </w:rPr>
      </w:pPr>
      <w:r>
        <w:rPr>
          <w:sz w:val="26"/>
          <w:szCs w:val="26"/>
        </w:rPr>
        <w:t>Thus, it was not the content or form of the disclosure statement</w:t>
      </w:r>
      <w:r w:rsidR="00331D45">
        <w:rPr>
          <w:sz w:val="26"/>
          <w:szCs w:val="26"/>
        </w:rPr>
        <w:t xml:space="preserve"> that generated Mr. Herp’s Complaint.  R</w:t>
      </w:r>
      <w:r>
        <w:rPr>
          <w:sz w:val="26"/>
          <w:szCs w:val="26"/>
        </w:rPr>
        <w:t>ather</w:t>
      </w:r>
      <w:r w:rsidR="00331D45">
        <w:rPr>
          <w:sz w:val="26"/>
          <w:szCs w:val="26"/>
        </w:rPr>
        <w:t xml:space="preserve">, it was </w:t>
      </w:r>
      <w:r w:rsidRPr="00C35FA8">
        <w:rPr>
          <w:sz w:val="26"/>
          <w:szCs w:val="26"/>
        </w:rPr>
        <w:t>Respond’s oral marketing by its door-to-door sales agent</w:t>
      </w:r>
      <w:r>
        <w:rPr>
          <w:sz w:val="26"/>
          <w:szCs w:val="26"/>
        </w:rPr>
        <w:t xml:space="preserve"> that the Complainant asserts induced him to enroll with Respond for a variable rate capped at West Penn Power’s PTC</w:t>
      </w:r>
      <w:r w:rsidRPr="00C35FA8">
        <w:rPr>
          <w:sz w:val="26"/>
          <w:szCs w:val="26"/>
        </w:rPr>
        <w:t>.</w:t>
      </w:r>
      <w:r>
        <w:rPr>
          <w:sz w:val="26"/>
          <w:szCs w:val="26"/>
        </w:rPr>
        <w:t xml:space="preserve">  </w:t>
      </w:r>
      <w:r w:rsidR="00331D45">
        <w:rPr>
          <w:sz w:val="26"/>
          <w:szCs w:val="26"/>
        </w:rPr>
        <w:t>W</w:t>
      </w:r>
      <w:r>
        <w:rPr>
          <w:sz w:val="26"/>
          <w:szCs w:val="26"/>
        </w:rPr>
        <w:t xml:space="preserve">hile we </w:t>
      </w:r>
      <w:r w:rsidR="001642A8">
        <w:rPr>
          <w:sz w:val="26"/>
          <w:szCs w:val="26"/>
        </w:rPr>
        <w:t>laud</w:t>
      </w:r>
      <w:r>
        <w:rPr>
          <w:sz w:val="26"/>
          <w:szCs w:val="26"/>
        </w:rPr>
        <w:t xml:space="preserve"> the ALJ’s thorough review of and analysis concerning Respond’s disclosure statement, </w:t>
      </w:r>
      <w:r w:rsidRPr="00C35FA8">
        <w:rPr>
          <w:sz w:val="26"/>
          <w:szCs w:val="26"/>
        </w:rPr>
        <w:t xml:space="preserve">we conclude that the disclosure statement used by Respond is not the issue here </w:t>
      </w:r>
      <w:r>
        <w:rPr>
          <w:sz w:val="26"/>
          <w:szCs w:val="26"/>
        </w:rPr>
        <w:t xml:space="preserve">and decline to adopt </w:t>
      </w:r>
      <w:r w:rsidRPr="00C35FA8">
        <w:rPr>
          <w:sz w:val="26"/>
          <w:szCs w:val="26"/>
        </w:rPr>
        <w:t>that part of the ALJ’s Initial Decision that found that Respond used an unclear and misleading disclosure statement.</w:t>
      </w:r>
    </w:p>
    <w:p w:rsidR="00C35FA8" w:rsidRDefault="00C35FA8" w:rsidP="00C35FA8">
      <w:pPr>
        <w:pStyle w:val="BodyFirst1SS"/>
        <w:spacing w:line="360" w:lineRule="auto"/>
        <w:ind w:firstLine="1440"/>
        <w:jc w:val="left"/>
        <w:rPr>
          <w:sz w:val="26"/>
          <w:szCs w:val="26"/>
        </w:rPr>
      </w:pPr>
    </w:p>
    <w:p w:rsidR="008B27CB" w:rsidRDefault="003E2022" w:rsidP="00982B4D">
      <w:pPr>
        <w:pStyle w:val="BodyFirst1SS"/>
        <w:spacing w:line="360" w:lineRule="auto"/>
        <w:ind w:firstLine="1440"/>
        <w:jc w:val="left"/>
        <w:rPr>
          <w:sz w:val="26"/>
          <w:szCs w:val="26"/>
        </w:rPr>
      </w:pPr>
      <w:r>
        <w:rPr>
          <w:sz w:val="26"/>
          <w:szCs w:val="26"/>
        </w:rPr>
        <w:t xml:space="preserve">However, we are troubled by Respond’s </w:t>
      </w:r>
      <w:r w:rsidR="003F127D">
        <w:rPr>
          <w:sz w:val="26"/>
          <w:szCs w:val="26"/>
        </w:rPr>
        <w:t xml:space="preserve">statements </w:t>
      </w:r>
      <w:r w:rsidR="00331D45">
        <w:rPr>
          <w:sz w:val="26"/>
          <w:szCs w:val="26"/>
        </w:rPr>
        <w:t xml:space="preserve">made for the first time </w:t>
      </w:r>
      <w:r>
        <w:rPr>
          <w:sz w:val="26"/>
          <w:szCs w:val="26"/>
        </w:rPr>
        <w:t>in Exceptions</w:t>
      </w:r>
      <w:r w:rsidR="003F127D">
        <w:rPr>
          <w:sz w:val="26"/>
          <w:szCs w:val="26"/>
        </w:rPr>
        <w:t xml:space="preserve"> that </w:t>
      </w:r>
      <w:r>
        <w:rPr>
          <w:sz w:val="26"/>
          <w:szCs w:val="26"/>
        </w:rPr>
        <w:t xml:space="preserve">its own </w:t>
      </w:r>
      <w:r w:rsidR="00D44E3D">
        <w:rPr>
          <w:sz w:val="26"/>
          <w:szCs w:val="26"/>
        </w:rPr>
        <w:t>ex</w:t>
      </w:r>
      <w:r>
        <w:rPr>
          <w:sz w:val="26"/>
          <w:szCs w:val="26"/>
        </w:rPr>
        <w:t>h</w:t>
      </w:r>
      <w:r w:rsidR="001642A8">
        <w:rPr>
          <w:sz w:val="26"/>
          <w:szCs w:val="26"/>
        </w:rPr>
        <w:t xml:space="preserve">ibit </w:t>
      </w:r>
      <w:r w:rsidR="00A94A2A">
        <w:rPr>
          <w:sz w:val="26"/>
          <w:szCs w:val="26"/>
        </w:rPr>
        <w:t>admitted into evidence</w:t>
      </w:r>
      <w:r w:rsidR="00DE48E4">
        <w:rPr>
          <w:sz w:val="26"/>
          <w:szCs w:val="26"/>
        </w:rPr>
        <w:t xml:space="preserve"> as</w:t>
      </w:r>
      <w:r>
        <w:rPr>
          <w:sz w:val="26"/>
          <w:szCs w:val="26"/>
        </w:rPr>
        <w:t xml:space="preserve"> the </w:t>
      </w:r>
      <w:r w:rsidR="00D44E3D">
        <w:rPr>
          <w:sz w:val="26"/>
          <w:szCs w:val="26"/>
        </w:rPr>
        <w:t xml:space="preserve">disclosure statement </w:t>
      </w:r>
      <w:r w:rsidR="003F127D">
        <w:rPr>
          <w:sz w:val="26"/>
          <w:szCs w:val="26"/>
        </w:rPr>
        <w:t>provided to Mr. Herp</w:t>
      </w:r>
      <w:r w:rsidR="001642A8">
        <w:rPr>
          <w:sz w:val="26"/>
          <w:szCs w:val="26"/>
        </w:rPr>
        <w:t xml:space="preserve"> by its sales agent</w:t>
      </w:r>
      <w:r w:rsidR="003F127D">
        <w:rPr>
          <w:sz w:val="26"/>
          <w:szCs w:val="26"/>
        </w:rPr>
        <w:t xml:space="preserve"> </w:t>
      </w:r>
      <w:r w:rsidR="001642A8">
        <w:rPr>
          <w:sz w:val="26"/>
          <w:szCs w:val="26"/>
        </w:rPr>
        <w:t xml:space="preserve">may not be identical to the document </w:t>
      </w:r>
      <w:r w:rsidR="00D44E3D">
        <w:rPr>
          <w:sz w:val="26"/>
          <w:szCs w:val="26"/>
        </w:rPr>
        <w:t xml:space="preserve">actually </w:t>
      </w:r>
      <w:r w:rsidR="00A94A2A">
        <w:rPr>
          <w:sz w:val="26"/>
          <w:szCs w:val="26"/>
        </w:rPr>
        <w:t>provided to Mr. Herp</w:t>
      </w:r>
      <w:r w:rsidR="001642A8">
        <w:rPr>
          <w:sz w:val="26"/>
          <w:szCs w:val="26"/>
        </w:rPr>
        <w:t>.</w:t>
      </w:r>
      <w:r w:rsidR="00D44E3D" w:rsidRPr="00D44E3D">
        <w:rPr>
          <w:sz w:val="26"/>
          <w:szCs w:val="26"/>
          <w:vertAlign w:val="superscript"/>
        </w:rPr>
        <w:footnoteReference w:id="5"/>
      </w:r>
      <w:r w:rsidR="001642A8">
        <w:rPr>
          <w:sz w:val="26"/>
          <w:szCs w:val="26"/>
        </w:rPr>
        <w:t xml:space="preserve">  </w:t>
      </w:r>
      <w:r w:rsidR="00DE48E4">
        <w:rPr>
          <w:sz w:val="26"/>
          <w:szCs w:val="26"/>
        </w:rPr>
        <w:t xml:space="preserve">In excepting to the ALJ’s finding of a violation related to the font size used in the document, Respond stated that “there is no evidence in the record to show that Respond Power provided the same size of document as an exhibit that is provided to customers.”  Respond Exc. at 11.  </w:t>
      </w:r>
      <w:r w:rsidR="008B27CB">
        <w:rPr>
          <w:sz w:val="26"/>
          <w:szCs w:val="26"/>
        </w:rPr>
        <w:t>Rather, Respond claims, it provided the exhibit for content only.</w:t>
      </w:r>
    </w:p>
    <w:p w:rsidR="008B27CB" w:rsidRDefault="008B27CB" w:rsidP="00982B4D">
      <w:pPr>
        <w:pStyle w:val="BodyFirst1SS"/>
        <w:spacing w:line="360" w:lineRule="auto"/>
        <w:ind w:firstLine="1440"/>
        <w:jc w:val="left"/>
        <w:rPr>
          <w:sz w:val="26"/>
          <w:szCs w:val="26"/>
        </w:rPr>
      </w:pPr>
    </w:p>
    <w:p w:rsidR="00483E4B" w:rsidRDefault="005C0375" w:rsidP="00982B4D">
      <w:pPr>
        <w:pStyle w:val="BodyFirst1SS"/>
        <w:spacing w:line="360" w:lineRule="auto"/>
        <w:ind w:firstLine="1440"/>
        <w:jc w:val="left"/>
        <w:rPr>
          <w:sz w:val="26"/>
          <w:szCs w:val="26"/>
        </w:rPr>
      </w:pPr>
      <w:proofErr w:type="gramStart"/>
      <w:r>
        <w:rPr>
          <w:sz w:val="26"/>
          <w:szCs w:val="26"/>
        </w:rPr>
        <w:lastRenderedPageBreak/>
        <w:t>A</w:t>
      </w:r>
      <w:r w:rsidR="00DE48E4">
        <w:rPr>
          <w:sz w:val="26"/>
          <w:szCs w:val="26"/>
        </w:rPr>
        <w:t xml:space="preserve">s the OCA </w:t>
      </w:r>
      <w:r w:rsidR="00483E4B">
        <w:rPr>
          <w:sz w:val="26"/>
          <w:szCs w:val="26"/>
        </w:rPr>
        <w:t>notes, in challenging what it describes as Respond’s “unfounded and unwarranted attack on its own authenticated and admitted exhibit</w:t>
      </w:r>
      <w:r w:rsidR="008B27CB">
        <w:rPr>
          <w:sz w:val="26"/>
          <w:szCs w:val="26"/>
        </w:rPr>
        <w:t>,</w:t>
      </w:r>
      <w:r w:rsidR="00483E4B">
        <w:rPr>
          <w:sz w:val="26"/>
          <w:szCs w:val="26"/>
        </w:rPr>
        <w:t>”</w:t>
      </w:r>
      <w:r w:rsidR="00DE48E4">
        <w:rPr>
          <w:sz w:val="26"/>
          <w:szCs w:val="26"/>
        </w:rPr>
        <w:t xml:space="preserve"> the </w:t>
      </w:r>
      <w:r w:rsidR="00483E4B">
        <w:rPr>
          <w:sz w:val="26"/>
          <w:szCs w:val="26"/>
        </w:rPr>
        <w:t>disclosure statement presented in Respond Exh.</w:t>
      </w:r>
      <w:proofErr w:type="gramEnd"/>
      <w:r w:rsidR="00483E4B">
        <w:rPr>
          <w:sz w:val="26"/>
          <w:szCs w:val="26"/>
        </w:rPr>
        <w:t> 2 “may not necessarily be the same size as the document used in marketing and enrollment.”</w:t>
      </w:r>
      <w:r w:rsidR="00DE48E4">
        <w:rPr>
          <w:sz w:val="26"/>
          <w:szCs w:val="26"/>
        </w:rPr>
        <w:t xml:space="preserve"> </w:t>
      </w:r>
      <w:r w:rsidR="008B27CB">
        <w:rPr>
          <w:sz w:val="26"/>
          <w:szCs w:val="26"/>
        </w:rPr>
        <w:t xml:space="preserve"> </w:t>
      </w:r>
      <w:proofErr w:type="gramStart"/>
      <w:r w:rsidR="008B27CB">
        <w:rPr>
          <w:sz w:val="26"/>
          <w:szCs w:val="26"/>
        </w:rPr>
        <w:t>OCA R. Exc. at 7.</w:t>
      </w:r>
      <w:proofErr w:type="gramEnd"/>
      <w:r w:rsidR="008B27CB">
        <w:rPr>
          <w:sz w:val="26"/>
          <w:szCs w:val="26"/>
        </w:rPr>
        <w:t xml:space="preserve">  </w:t>
      </w:r>
      <w:r w:rsidR="00DE48E4">
        <w:rPr>
          <w:i/>
          <w:sz w:val="26"/>
          <w:szCs w:val="26"/>
        </w:rPr>
        <w:t>See</w:t>
      </w:r>
      <w:r w:rsidR="008B27CB">
        <w:rPr>
          <w:i/>
          <w:sz w:val="26"/>
          <w:szCs w:val="26"/>
        </w:rPr>
        <w:t xml:space="preserve"> also</w:t>
      </w:r>
      <w:r w:rsidR="00DE48E4">
        <w:rPr>
          <w:i/>
          <w:sz w:val="26"/>
          <w:szCs w:val="26"/>
        </w:rPr>
        <w:t>, e.g.</w:t>
      </w:r>
      <w:r w:rsidR="00DE48E4">
        <w:rPr>
          <w:sz w:val="26"/>
          <w:szCs w:val="26"/>
        </w:rPr>
        <w:t>, Respond Exc. at 12, citing Tr. at 34-35 (“[The Complainant] testified that he simply turned over the sales agreement to see the disclosure statement on the back and skimmed over it quickly.”)</w:t>
      </w:r>
      <w:r w:rsidR="008B27CB">
        <w:rPr>
          <w:sz w:val="26"/>
          <w:szCs w:val="26"/>
        </w:rPr>
        <w:t>; Tr.</w:t>
      </w:r>
      <w:r>
        <w:rPr>
          <w:sz w:val="26"/>
          <w:szCs w:val="26"/>
        </w:rPr>
        <w:t> </w:t>
      </w:r>
      <w:r w:rsidR="008B27CB">
        <w:rPr>
          <w:sz w:val="26"/>
          <w:szCs w:val="26"/>
        </w:rPr>
        <w:t xml:space="preserve">at 59 (the </w:t>
      </w:r>
      <w:r>
        <w:rPr>
          <w:sz w:val="26"/>
          <w:szCs w:val="26"/>
        </w:rPr>
        <w:t>d</w:t>
      </w:r>
      <w:r w:rsidR="008B27CB">
        <w:rPr>
          <w:sz w:val="26"/>
          <w:szCs w:val="26"/>
        </w:rPr>
        <w:t xml:space="preserve">isclosure </w:t>
      </w:r>
      <w:r>
        <w:rPr>
          <w:sz w:val="26"/>
          <w:szCs w:val="26"/>
        </w:rPr>
        <w:t>s</w:t>
      </w:r>
      <w:r w:rsidR="008B27CB">
        <w:rPr>
          <w:sz w:val="26"/>
          <w:szCs w:val="26"/>
        </w:rPr>
        <w:t xml:space="preserve">tatement was on the back of the </w:t>
      </w:r>
      <w:r>
        <w:rPr>
          <w:sz w:val="26"/>
          <w:szCs w:val="26"/>
        </w:rPr>
        <w:t>s</w:t>
      </w:r>
      <w:r w:rsidR="008B27CB">
        <w:rPr>
          <w:sz w:val="26"/>
          <w:szCs w:val="26"/>
        </w:rPr>
        <w:t xml:space="preserve">ales </w:t>
      </w:r>
      <w:r>
        <w:rPr>
          <w:sz w:val="26"/>
          <w:szCs w:val="26"/>
        </w:rPr>
        <w:t>a</w:t>
      </w:r>
      <w:r w:rsidR="008B27CB">
        <w:rPr>
          <w:sz w:val="26"/>
          <w:szCs w:val="26"/>
        </w:rPr>
        <w:t>greement).  Also as the OCA notes, three witnesses</w:t>
      </w:r>
      <w:r w:rsidR="00D44E3D">
        <w:rPr>
          <w:sz w:val="26"/>
          <w:szCs w:val="26"/>
        </w:rPr>
        <w:t xml:space="preserve"> – the </w:t>
      </w:r>
      <w:r w:rsidR="008B27CB">
        <w:rPr>
          <w:sz w:val="26"/>
          <w:szCs w:val="26"/>
        </w:rPr>
        <w:t>Complainant, his witness Mr.</w:t>
      </w:r>
      <w:r w:rsidR="00483E4B">
        <w:rPr>
          <w:sz w:val="26"/>
          <w:szCs w:val="26"/>
        </w:rPr>
        <w:t> </w:t>
      </w:r>
      <w:r w:rsidR="008B27CB">
        <w:rPr>
          <w:sz w:val="26"/>
          <w:szCs w:val="26"/>
        </w:rPr>
        <w:t>Hackett, and Respond’s witness Mr. Small</w:t>
      </w:r>
      <w:r w:rsidR="00D44E3D">
        <w:rPr>
          <w:sz w:val="26"/>
          <w:szCs w:val="26"/>
        </w:rPr>
        <w:t xml:space="preserve"> – all </w:t>
      </w:r>
      <w:r w:rsidR="008B27CB">
        <w:rPr>
          <w:sz w:val="26"/>
          <w:szCs w:val="26"/>
        </w:rPr>
        <w:t xml:space="preserve">testified </w:t>
      </w:r>
      <w:r w:rsidR="004B78B5">
        <w:rPr>
          <w:sz w:val="26"/>
          <w:szCs w:val="26"/>
        </w:rPr>
        <w:t xml:space="preserve">that the disclosure statement occupied no more space than the reverse side of the Sales Agreement.  </w:t>
      </w:r>
      <w:proofErr w:type="gramStart"/>
      <w:r w:rsidR="004B78B5">
        <w:rPr>
          <w:sz w:val="26"/>
          <w:szCs w:val="26"/>
        </w:rPr>
        <w:t>OCA R. Exc. at 8.</w:t>
      </w:r>
      <w:proofErr w:type="gramEnd"/>
      <w:r w:rsidR="004B78B5">
        <w:rPr>
          <w:sz w:val="26"/>
          <w:szCs w:val="26"/>
        </w:rPr>
        <w:t xml:space="preserve">  </w:t>
      </w:r>
      <w:r w:rsidR="00483E4B">
        <w:rPr>
          <w:sz w:val="26"/>
          <w:szCs w:val="26"/>
        </w:rPr>
        <w:t xml:space="preserve">Thus, </w:t>
      </w:r>
      <w:r w:rsidR="00923782">
        <w:rPr>
          <w:sz w:val="26"/>
          <w:szCs w:val="26"/>
        </w:rPr>
        <w:t xml:space="preserve">it is not clear whether </w:t>
      </w:r>
      <w:r w:rsidR="00483E4B">
        <w:rPr>
          <w:sz w:val="26"/>
          <w:szCs w:val="26"/>
        </w:rPr>
        <w:t xml:space="preserve">the </w:t>
      </w:r>
      <w:r w:rsidR="00483E4B" w:rsidRPr="00483E4B">
        <w:rPr>
          <w:sz w:val="26"/>
          <w:szCs w:val="26"/>
        </w:rPr>
        <w:t xml:space="preserve">double-sided combination Sales Agreement and Disclosure Statement provided to the Complainant </w:t>
      </w:r>
      <w:r w:rsidR="00483E4B">
        <w:rPr>
          <w:sz w:val="26"/>
          <w:szCs w:val="26"/>
        </w:rPr>
        <w:t xml:space="preserve">is identical in all respect to the individual, stand-alone document </w:t>
      </w:r>
      <w:r w:rsidR="00923782">
        <w:rPr>
          <w:sz w:val="26"/>
          <w:szCs w:val="26"/>
        </w:rPr>
        <w:t>entered</w:t>
      </w:r>
      <w:r w:rsidR="00483E4B">
        <w:rPr>
          <w:sz w:val="26"/>
          <w:szCs w:val="26"/>
        </w:rPr>
        <w:t xml:space="preserve"> as Respond Exh. 2.</w:t>
      </w:r>
    </w:p>
    <w:p w:rsidR="00483E4B" w:rsidRDefault="00483E4B" w:rsidP="00982B4D">
      <w:pPr>
        <w:pStyle w:val="BodyFirst1SS"/>
        <w:spacing w:line="360" w:lineRule="auto"/>
        <w:ind w:firstLine="1440"/>
        <w:jc w:val="left"/>
        <w:rPr>
          <w:sz w:val="26"/>
          <w:szCs w:val="26"/>
        </w:rPr>
      </w:pPr>
    </w:p>
    <w:p w:rsidR="00846794" w:rsidRDefault="0096061E" w:rsidP="00982B4D">
      <w:pPr>
        <w:pStyle w:val="BodyFirst1SS"/>
        <w:spacing w:line="360" w:lineRule="auto"/>
        <w:ind w:firstLine="1440"/>
        <w:jc w:val="left"/>
        <w:rPr>
          <w:sz w:val="26"/>
          <w:szCs w:val="26"/>
        </w:rPr>
      </w:pPr>
      <w:r>
        <w:rPr>
          <w:sz w:val="26"/>
          <w:szCs w:val="26"/>
        </w:rPr>
        <w:t>For these reasons</w:t>
      </w:r>
      <w:r w:rsidR="00483E4B">
        <w:rPr>
          <w:sz w:val="26"/>
          <w:szCs w:val="26"/>
        </w:rPr>
        <w:t xml:space="preserve">, </w:t>
      </w:r>
      <w:r w:rsidR="00923782">
        <w:rPr>
          <w:sz w:val="26"/>
          <w:szCs w:val="26"/>
        </w:rPr>
        <w:t xml:space="preserve">while we grant Respond’s Exception No. 1 </w:t>
      </w:r>
      <w:r>
        <w:rPr>
          <w:sz w:val="26"/>
          <w:szCs w:val="26"/>
        </w:rPr>
        <w:t xml:space="preserve">because we find that the disclosure statement used by Respond was not the basis for </w:t>
      </w:r>
      <w:r w:rsidR="00483E4B">
        <w:rPr>
          <w:sz w:val="26"/>
          <w:szCs w:val="26"/>
        </w:rPr>
        <w:t>Mr. Herp</w:t>
      </w:r>
      <w:r>
        <w:rPr>
          <w:sz w:val="26"/>
          <w:szCs w:val="26"/>
        </w:rPr>
        <w:t>’s Complaint</w:t>
      </w:r>
      <w:r w:rsidR="00483E4B">
        <w:rPr>
          <w:sz w:val="26"/>
          <w:szCs w:val="26"/>
        </w:rPr>
        <w:t>, w</w:t>
      </w:r>
      <w:r w:rsidR="004B78B5">
        <w:rPr>
          <w:sz w:val="26"/>
          <w:szCs w:val="26"/>
        </w:rPr>
        <w:t xml:space="preserve">e </w:t>
      </w:r>
      <w:r w:rsidR="00923782" w:rsidRPr="00923782">
        <w:rPr>
          <w:sz w:val="26"/>
          <w:szCs w:val="26"/>
        </w:rPr>
        <w:t xml:space="preserve">decline to endorse Respond’s Affiliates Disclosure Agreement in the manner requested by Respond </w:t>
      </w:r>
      <w:r>
        <w:rPr>
          <w:sz w:val="26"/>
          <w:szCs w:val="26"/>
        </w:rPr>
        <w:t>and urge Respond to confer with our Bureau of Consumer Services (BCS) about the regulatory compliance of its disclosure statement</w:t>
      </w:r>
      <w:r w:rsidR="00923782">
        <w:rPr>
          <w:sz w:val="26"/>
          <w:szCs w:val="26"/>
        </w:rPr>
        <w:t>.</w:t>
      </w:r>
    </w:p>
    <w:p w:rsidR="004B78B5" w:rsidRDefault="004B78B5" w:rsidP="00982B4D">
      <w:pPr>
        <w:pStyle w:val="BodyFirst1SS"/>
        <w:spacing w:line="360" w:lineRule="auto"/>
        <w:ind w:firstLine="1440"/>
        <w:jc w:val="left"/>
        <w:rPr>
          <w:sz w:val="26"/>
          <w:szCs w:val="26"/>
        </w:rPr>
      </w:pPr>
    </w:p>
    <w:p w:rsidR="003B4F31" w:rsidRPr="003E3852" w:rsidRDefault="00C47FA2" w:rsidP="00521D8D">
      <w:pPr>
        <w:keepNext/>
        <w:keepLines/>
        <w:rPr>
          <w:rFonts w:ascii="Times New Roman" w:hAnsi="Times New Roman"/>
          <w:sz w:val="26"/>
          <w:szCs w:val="26"/>
        </w:rPr>
      </w:pPr>
      <w:r>
        <w:rPr>
          <w:rFonts w:ascii="Times New Roman" w:hAnsi="Times New Roman"/>
          <w:b/>
          <w:sz w:val="26"/>
          <w:szCs w:val="26"/>
        </w:rPr>
        <w:tab/>
        <w:t>2.</w:t>
      </w:r>
      <w:r>
        <w:rPr>
          <w:rFonts w:ascii="Times New Roman" w:hAnsi="Times New Roman"/>
          <w:b/>
          <w:sz w:val="26"/>
          <w:szCs w:val="26"/>
        </w:rPr>
        <w:tab/>
        <w:t xml:space="preserve">Respond Exception No. 2 - </w:t>
      </w:r>
      <w:r w:rsidR="00F6104A" w:rsidRPr="00DE68FB">
        <w:rPr>
          <w:rFonts w:ascii="Times New Roman" w:hAnsi="Times New Roman"/>
          <w:b/>
          <w:sz w:val="26"/>
          <w:szCs w:val="26"/>
        </w:rPr>
        <w:t>Hearsay</w:t>
      </w:r>
    </w:p>
    <w:p w:rsidR="0096213B" w:rsidRPr="003E3852" w:rsidRDefault="0096213B" w:rsidP="00521D8D">
      <w:pPr>
        <w:keepNext/>
        <w:keepLines/>
        <w:rPr>
          <w:rFonts w:ascii="Times New Roman" w:hAnsi="Times New Roman"/>
          <w:sz w:val="26"/>
          <w:szCs w:val="26"/>
        </w:rPr>
      </w:pPr>
    </w:p>
    <w:p w:rsidR="003B4F31" w:rsidRPr="003E3852" w:rsidRDefault="00C47FA2" w:rsidP="00521D8D">
      <w:pPr>
        <w:keepNext/>
        <w:keepLines/>
        <w:ind w:left="720" w:firstLine="720"/>
        <w:rPr>
          <w:rFonts w:ascii="Times New Roman" w:hAnsi="Times New Roman"/>
          <w:sz w:val="26"/>
          <w:szCs w:val="26"/>
        </w:rPr>
      </w:pPr>
      <w:r>
        <w:rPr>
          <w:rFonts w:ascii="Times New Roman" w:hAnsi="Times New Roman"/>
          <w:b/>
          <w:sz w:val="26"/>
          <w:szCs w:val="26"/>
        </w:rPr>
        <w:t>a.</w:t>
      </w:r>
      <w:r>
        <w:rPr>
          <w:rFonts w:ascii="Times New Roman" w:hAnsi="Times New Roman"/>
          <w:b/>
          <w:sz w:val="26"/>
          <w:szCs w:val="26"/>
        </w:rPr>
        <w:tab/>
      </w:r>
      <w:r w:rsidR="00DF24B2" w:rsidRPr="00C47FA2">
        <w:rPr>
          <w:rFonts w:ascii="Times New Roman" w:hAnsi="Times New Roman"/>
          <w:b/>
          <w:sz w:val="26"/>
          <w:szCs w:val="26"/>
        </w:rPr>
        <w:t>ALJ’s Initial Decision</w:t>
      </w:r>
    </w:p>
    <w:p w:rsidR="00E556FF" w:rsidRPr="003E3852" w:rsidRDefault="00E556FF" w:rsidP="00521D8D">
      <w:pPr>
        <w:keepNext/>
        <w:keepLines/>
        <w:rPr>
          <w:rFonts w:ascii="Times New Roman" w:hAnsi="Times New Roman"/>
          <w:sz w:val="26"/>
          <w:szCs w:val="26"/>
        </w:rPr>
      </w:pPr>
    </w:p>
    <w:p w:rsidR="00C50CF0" w:rsidRDefault="00C50CF0" w:rsidP="00C50CF0">
      <w:pPr>
        <w:ind w:firstLine="1440"/>
        <w:rPr>
          <w:rFonts w:ascii="Times New Roman" w:hAnsi="Times New Roman"/>
          <w:sz w:val="26"/>
          <w:szCs w:val="26"/>
        </w:rPr>
      </w:pPr>
      <w:r w:rsidRPr="00C50CF0">
        <w:rPr>
          <w:rFonts w:ascii="Times New Roman" w:hAnsi="Times New Roman"/>
          <w:sz w:val="26"/>
          <w:szCs w:val="26"/>
        </w:rPr>
        <w:t>This issue was raised for the first time in Respond’s Exceptions</w:t>
      </w:r>
      <w:r>
        <w:rPr>
          <w:rFonts w:ascii="Times New Roman" w:hAnsi="Times New Roman"/>
          <w:sz w:val="26"/>
          <w:szCs w:val="26"/>
        </w:rPr>
        <w:t xml:space="preserve">, and </w:t>
      </w:r>
      <w:r w:rsidR="003E3852">
        <w:rPr>
          <w:rFonts w:ascii="Times New Roman" w:hAnsi="Times New Roman"/>
          <w:sz w:val="26"/>
          <w:szCs w:val="26"/>
        </w:rPr>
        <w:t>thus</w:t>
      </w:r>
      <w:r w:rsidR="00CC6427">
        <w:rPr>
          <w:rFonts w:ascii="Times New Roman" w:hAnsi="Times New Roman"/>
          <w:sz w:val="26"/>
          <w:szCs w:val="26"/>
        </w:rPr>
        <w:t xml:space="preserve"> </w:t>
      </w:r>
      <w:r>
        <w:rPr>
          <w:rFonts w:ascii="Times New Roman" w:hAnsi="Times New Roman"/>
          <w:sz w:val="26"/>
          <w:szCs w:val="26"/>
        </w:rPr>
        <w:t>was not addressed by the ALJ</w:t>
      </w:r>
      <w:r w:rsidRPr="00C50CF0">
        <w:rPr>
          <w:rFonts w:ascii="Times New Roman" w:hAnsi="Times New Roman"/>
          <w:sz w:val="26"/>
          <w:szCs w:val="26"/>
        </w:rPr>
        <w:t xml:space="preserve">.  </w:t>
      </w:r>
      <w:r>
        <w:rPr>
          <w:rFonts w:ascii="Times New Roman" w:hAnsi="Times New Roman"/>
          <w:sz w:val="26"/>
          <w:szCs w:val="26"/>
        </w:rPr>
        <w:t xml:space="preserve">In order to frame the evidentiary issue, we review the ALJ’s receipt and analysis of the testimony to which Respond </w:t>
      </w:r>
      <w:r w:rsidR="002161AF">
        <w:rPr>
          <w:rFonts w:ascii="Times New Roman" w:hAnsi="Times New Roman"/>
          <w:sz w:val="26"/>
          <w:szCs w:val="26"/>
        </w:rPr>
        <w:t>now</w:t>
      </w:r>
      <w:r>
        <w:rPr>
          <w:rFonts w:ascii="Times New Roman" w:hAnsi="Times New Roman"/>
          <w:sz w:val="26"/>
          <w:szCs w:val="26"/>
        </w:rPr>
        <w:t xml:space="preserve"> objects as hearsay.</w:t>
      </w:r>
    </w:p>
    <w:p w:rsidR="00C50CF0" w:rsidRDefault="00C50CF0" w:rsidP="00C50CF0">
      <w:pPr>
        <w:ind w:firstLine="1440"/>
        <w:rPr>
          <w:rFonts w:ascii="Times New Roman" w:hAnsi="Times New Roman"/>
          <w:sz w:val="26"/>
          <w:szCs w:val="26"/>
        </w:rPr>
      </w:pPr>
    </w:p>
    <w:p w:rsidR="00C50CF0" w:rsidRDefault="00C50CF0" w:rsidP="00C50CF0">
      <w:pPr>
        <w:ind w:firstLine="1440"/>
        <w:rPr>
          <w:rFonts w:ascii="Times New Roman" w:hAnsi="Times New Roman"/>
          <w:sz w:val="26"/>
          <w:szCs w:val="26"/>
        </w:rPr>
      </w:pPr>
      <w:r w:rsidRPr="00C50CF0">
        <w:rPr>
          <w:rFonts w:ascii="Times New Roman" w:hAnsi="Times New Roman"/>
          <w:sz w:val="26"/>
          <w:szCs w:val="26"/>
        </w:rPr>
        <w:lastRenderedPageBreak/>
        <w:t xml:space="preserve">In the hearing Mr. Herp presented exhibits comprising documents associated with his account as well as the account of another Respond customer, Earl Hackett.  When identifying these exhibits, Mr. Herp described Mr. Hackett as another customer who had “gotten duped by the same sales pitch.”  </w:t>
      </w:r>
      <w:proofErr w:type="gramStart"/>
      <w:r w:rsidRPr="00C50CF0">
        <w:rPr>
          <w:rFonts w:ascii="Times New Roman" w:hAnsi="Times New Roman"/>
          <w:sz w:val="26"/>
          <w:szCs w:val="26"/>
        </w:rPr>
        <w:t>Tr. at 31.</w:t>
      </w:r>
      <w:proofErr w:type="gramEnd"/>
      <w:r w:rsidRPr="00C50CF0">
        <w:rPr>
          <w:rFonts w:ascii="Times New Roman" w:hAnsi="Times New Roman"/>
          <w:sz w:val="26"/>
          <w:szCs w:val="26"/>
        </w:rPr>
        <w:t xml:space="preserve">  </w:t>
      </w:r>
      <w:r w:rsidR="003E3852">
        <w:rPr>
          <w:rFonts w:ascii="Times New Roman" w:hAnsi="Times New Roman"/>
          <w:sz w:val="26"/>
          <w:szCs w:val="26"/>
        </w:rPr>
        <w:t xml:space="preserve">At that point </w:t>
      </w:r>
      <w:r w:rsidRPr="00C50CF0">
        <w:rPr>
          <w:rFonts w:ascii="Times New Roman" w:hAnsi="Times New Roman"/>
          <w:sz w:val="26"/>
          <w:szCs w:val="26"/>
        </w:rPr>
        <w:t xml:space="preserve">Respond objected to the exhibits unless Mr. Hackett was called as a witness to authenticate them.  </w:t>
      </w:r>
      <w:r w:rsidRPr="00C50CF0">
        <w:rPr>
          <w:rFonts w:ascii="Times New Roman" w:hAnsi="Times New Roman"/>
          <w:i/>
          <w:sz w:val="26"/>
          <w:szCs w:val="26"/>
        </w:rPr>
        <w:t>Id.</w:t>
      </w:r>
      <w:r w:rsidRPr="00C50CF0">
        <w:rPr>
          <w:rFonts w:ascii="Times New Roman" w:hAnsi="Times New Roman"/>
          <w:sz w:val="26"/>
          <w:szCs w:val="26"/>
        </w:rPr>
        <w:t xml:space="preserve">  Following the completion of his own direct testimony, Mr. Herp called Mr. Hackett as a witness, at which time Respond requested an offer of the proof of Mr. Hackett’s testimony so that the ALJ could “determine its relevance to the proceeding.”  Tr. at 42-43.  Mr. Herp offered that Mr. Hackett would testify to having received a similar sales pitch from another Respond agent.  Respond objected to Mr. Hackett’s provision of testimony “on the basis that it is not relevant to Mr. Herp’s experience unless Mr. Hackett was present when Mr. Herp was approached by a Respond Power agent.”  </w:t>
      </w:r>
      <w:proofErr w:type="gramStart"/>
      <w:r w:rsidRPr="00C50CF0">
        <w:rPr>
          <w:rFonts w:ascii="Times New Roman" w:hAnsi="Times New Roman"/>
          <w:sz w:val="26"/>
          <w:szCs w:val="26"/>
        </w:rPr>
        <w:t>Tr. at 43.</w:t>
      </w:r>
      <w:proofErr w:type="gramEnd"/>
      <w:r w:rsidRPr="00C50CF0">
        <w:rPr>
          <w:rFonts w:ascii="Times New Roman" w:hAnsi="Times New Roman"/>
          <w:sz w:val="26"/>
          <w:szCs w:val="26"/>
        </w:rPr>
        <w:t xml:space="preserve">  Following a discussion of the admission of Mr. Hackett’s testimony under the Pennsylvania Rules of Evidence and its relevance to the Herp Complaint proceeding, the ALJ allowed the testimony.  There was no hearsay objection</w:t>
      </w:r>
      <w:r w:rsidR="003E3852">
        <w:rPr>
          <w:rFonts w:ascii="Times New Roman" w:hAnsi="Times New Roman"/>
          <w:sz w:val="26"/>
          <w:szCs w:val="26"/>
        </w:rPr>
        <w:t xml:space="preserve"> to Mr. Hackett’s testimony, </w:t>
      </w:r>
      <w:r w:rsidRPr="00C50CF0">
        <w:rPr>
          <w:rFonts w:ascii="Times New Roman" w:hAnsi="Times New Roman"/>
          <w:sz w:val="26"/>
          <w:szCs w:val="26"/>
        </w:rPr>
        <w:t>Tr. at 43-45</w:t>
      </w:r>
      <w:r w:rsidR="003E3852">
        <w:rPr>
          <w:rFonts w:ascii="Times New Roman" w:hAnsi="Times New Roman"/>
          <w:sz w:val="26"/>
          <w:szCs w:val="26"/>
        </w:rPr>
        <w:t>, nor did Respond</w:t>
      </w:r>
      <w:r w:rsidRPr="00C50CF0">
        <w:rPr>
          <w:rFonts w:ascii="Times New Roman" w:hAnsi="Times New Roman"/>
          <w:sz w:val="26"/>
          <w:szCs w:val="26"/>
        </w:rPr>
        <w:t xml:space="preserve"> at </w:t>
      </w:r>
      <w:r w:rsidR="003E3852">
        <w:rPr>
          <w:rFonts w:ascii="Times New Roman" w:hAnsi="Times New Roman"/>
          <w:sz w:val="26"/>
          <w:szCs w:val="26"/>
        </w:rPr>
        <w:t>any</w:t>
      </w:r>
      <w:r w:rsidRPr="00C50CF0">
        <w:rPr>
          <w:rFonts w:ascii="Times New Roman" w:hAnsi="Times New Roman"/>
          <w:sz w:val="26"/>
          <w:szCs w:val="26"/>
        </w:rPr>
        <w:t xml:space="preserve"> time object </w:t>
      </w:r>
      <w:r w:rsidR="003E3852">
        <w:rPr>
          <w:rFonts w:ascii="Times New Roman" w:hAnsi="Times New Roman"/>
          <w:sz w:val="26"/>
          <w:szCs w:val="26"/>
        </w:rPr>
        <w:t xml:space="preserve">to Mr. Herp’s testimony </w:t>
      </w:r>
      <w:r w:rsidR="003E3852" w:rsidRPr="003E3852">
        <w:rPr>
          <w:rFonts w:ascii="Times New Roman" w:hAnsi="Times New Roman"/>
          <w:sz w:val="26"/>
          <w:szCs w:val="26"/>
        </w:rPr>
        <w:t xml:space="preserve">describing </w:t>
      </w:r>
      <w:r w:rsidR="003E3852">
        <w:rPr>
          <w:rFonts w:ascii="Times New Roman" w:hAnsi="Times New Roman"/>
          <w:sz w:val="26"/>
          <w:szCs w:val="26"/>
        </w:rPr>
        <w:t xml:space="preserve">the </w:t>
      </w:r>
      <w:r w:rsidR="003E3852" w:rsidRPr="003E3852">
        <w:rPr>
          <w:rFonts w:ascii="Times New Roman" w:hAnsi="Times New Roman"/>
          <w:sz w:val="26"/>
          <w:szCs w:val="26"/>
        </w:rPr>
        <w:t xml:space="preserve">oral sales presentation Respond’s agent’s </w:t>
      </w:r>
      <w:r w:rsidR="003E3852">
        <w:rPr>
          <w:rFonts w:ascii="Times New Roman" w:hAnsi="Times New Roman"/>
          <w:sz w:val="26"/>
          <w:szCs w:val="26"/>
        </w:rPr>
        <w:t>made to him on</w:t>
      </w:r>
      <w:r w:rsidRPr="00C50CF0">
        <w:rPr>
          <w:rFonts w:ascii="Times New Roman" w:hAnsi="Times New Roman"/>
          <w:sz w:val="26"/>
          <w:szCs w:val="26"/>
        </w:rPr>
        <w:t xml:space="preserve"> </w:t>
      </w:r>
      <w:r w:rsidR="003E3852">
        <w:rPr>
          <w:rFonts w:ascii="Times New Roman" w:hAnsi="Times New Roman"/>
          <w:sz w:val="26"/>
          <w:szCs w:val="26"/>
        </w:rPr>
        <w:t xml:space="preserve">the basis of </w:t>
      </w:r>
      <w:r w:rsidRPr="00C50CF0">
        <w:rPr>
          <w:rFonts w:ascii="Times New Roman" w:hAnsi="Times New Roman"/>
          <w:sz w:val="26"/>
          <w:szCs w:val="26"/>
        </w:rPr>
        <w:t xml:space="preserve">hearsay or any other </w:t>
      </w:r>
      <w:r w:rsidR="003E3852">
        <w:rPr>
          <w:rFonts w:ascii="Times New Roman" w:hAnsi="Times New Roman"/>
          <w:sz w:val="26"/>
          <w:szCs w:val="26"/>
        </w:rPr>
        <w:t>ground</w:t>
      </w:r>
      <w:r w:rsidRPr="00C50CF0">
        <w:rPr>
          <w:rFonts w:ascii="Times New Roman" w:hAnsi="Times New Roman"/>
          <w:sz w:val="26"/>
          <w:szCs w:val="26"/>
        </w:rPr>
        <w:t>.</w:t>
      </w:r>
    </w:p>
    <w:p w:rsidR="00592B2F" w:rsidRDefault="00592B2F" w:rsidP="00C50CF0">
      <w:pPr>
        <w:ind w:firstLine="1440"/>
        <w:rPr>
          <w:rFonts w:ascii="Times New Roman" w:hAnsi="Times New Roman"/>
          <w:sz w:val="26"/>
          <w:szCs w:val="26"/>
        </w:rPr>
      </w:pPr>
    </w:p>
    <w:p w:rsidR="002161AF" w:rsidRPr="00C50CF0" w:rsidRDefault="002161AF" w:rsidP="002161AF">
      <w:pPr>
        <w:ind w:firstLine="1440"/>
        <w:rPr>
          <w:rFonts w:ascii="Times New Roman" w:hAnsi="Times New Roman"/>
          <w:sz w:val="26"/>
          <w:szCs w:val="26"/>
        </w:rPr>
      </w:pPr>
      <w:r w:rsidRPr="00C50CF0">
        <w:rPr>
          <w:rFonts w:ascii="Times New Roman" w:hAnsi="Times New Roman"/>
          <w:sz w:val="26"/>
          <w:szCs w:val="26"/>
        </w:rPr>
        <w:t>In its Reply Brief, Respond disputed the conclusions drawn by the OCA from Mr. Hackett’s testimony.  Respond contended first that Mr. Hackett knew nothing about Mr. Herp’s sales transaction, which was the subject of the proceeding</w:t>
      </w:r>
      <w:r w:rsidR="00CC6427">
        <w:rPr>
          <w:rFonts w:ascii="Times New Roman" w:hAnsi="Times New Roman"/>
          <w:sz w:val="26"/>
          <w:szCs w:val="26"/>
        </w:rPr>
        <w:t xml:space="preserve"> and</w:t>
      </w:r>
      <w:r w:rsidRPr="00C50CF0">
        <w:rPr>
          <w:rFonts w:ascii="Times New Roman" w:hAnsi="Times New Roman"/>
          <w:sz w:val="26"/>
          <w:szCs w:val="26"/>
        </w:rPr>
        <w:t xml:space="preserve"> not Mr. Hackett’s own enrollment.  Respond next countered that Mr. Hackett’s testimony did not corroborate Mr. Herp’s </w:t>
      </w:r>
      <w:proofErr w:type="gramStart"/>
      <w:r w:rsidRPr="00C50CF0">
        <w:rPr>
          <w:rFonts w:ascii="Times New Roman" w:hAnsi="Times New Roman"/>
          <w:sz w:val="26"/>
          <w:szCs w:val="26"/>
        </w:rPr>
        <w:t>allegations,</w:t>
      </w:r>
      <w:proofErr w:type="gramEnd"/>
      <w:r w:rsidRPr="00C50CF0">
        <w:rPr>
          <w:rFonts w:ascii="Times New Roman" w:hAnsi="Times New Roman"/>
          <w:sz w:val="26"/>
          <w:szCs w:val="26"/>
        </w:rPr>
        <w:t xml:space="preserve"> since Mr. Hackett did not testify that he was “promised savings” but rather only that his rate would be “competitive with other electric companies.”  Respond R.B. at 2, quoting Tr. at 45.  Respond claimed that it was “inappropriate for the OCA to lump [Mr. Hackett’s] brief testimony with the Complainant’s allegations to argue that” Respond failed to exert care and control over its sales agents.  Respond R.B. at 2.  In other words, Respond continued to assert that </w:t>
      </w:r>
      <w:r w:rsidRPr="00C50CF0">
        <w:rPr>
          <w:rFonts w:ascii="Times New Roman" w:hAnsi="Times New Roman"/>
          <w:sz w:val="26"/>
          <w:szCs w:val="26"/>
        </w:rPr>
        <w:lastRenderedPageBreak/>
        <w:t>Mr.</w:t>
      </w:r>
      <w:r>
        <w:rPr>
          <w:rFonts w:ascii="Times New Roman" w:hAnsi="Times New Roman"/>
          <w:sz w:val="26"/>
          <w:szCs w:val="26"/>
        </w:rPr>
        <w:t> </w:t>
      </w:r>
      <w:r w:rsidRPr="00C50CF0">
        <w:rPr>
          <w:rFonts w:ascii="Times New Roman" w:hAnsi="Times New Roman"/>
          <w:sz w:val="26"/>
          <w:szCs w:val="26"/>
        </w:rPr>
        <w:t>Hackett’s testimony was not relevant to Mr. Herp’s proving his own Complaint because he knew nothing of the promise of savings made to Mr. Herp, and a promise of a competitive price was not equivalent to a promise of savings.  Respond concluded as follows:</w:t>
      </w:r>
    </w:p>
    <w:p w:rsidR="002161AF" w:rsidRPr="00C50CF0" w:rsidRDefault="002161AF" w:rsidP="002161AF">
      <w:pPr>
        <w:ind w:firstLine="1440"/>
        <w:rPr>
          <w:rFonts w:ascii="Times New Roman" w:hAnsi="Times New Roman"/>
          <w:sz w:val="26"/>
          <w:szCs w:val="26"/>
        </w:rPr>
      </w:pPr>
    </w:p>
    <w:p w:rsidR="002161AF" w:rsidRDefault="002161AF" w:rsidP="002161AF">
      <w:pPr>
        <w:spacing w:line="240" w:lineRule="auto"/>
        <w:ind w:left="1440" w:right="1440"/>
        <w:rPr>
          <w:rFonts w:ascii="Times New Roman" w:hAnsi="Times New Roman"/>
          <w:sz w:val="26"/>
          <w:szCs w:val="26"/>
        </w:rPr>
      </w:pPr>
      <w:r w:rsidRPr="00C50CF0">
        <w:rPr>
          <w:rFonts w:ascii="Times New Roman" w:hAnsi="Times New Roman"/>
          <w:sz w:val="26"/>
          <w:szCs w:val="26"/>
        </w:rPr>
        <w:t xml:space="preserve">The only factual allegation that is appropriate to address in this proceeding is whether Respond Power engaged in misleading marketing practices in its dealings with the Complainant. </w:t>
      </w:r>
      <w:r w:rsidRPr="00C50CF0">
        <w:rPr>
          <w:rFonts w:ascii="Times New Roman" w:hAnsi="Times New Roman"/>
          <w:i/>
          <w:sz w:val="26"/>
          <w:szCs w:val="26"/>
        </w:rPr>
        <w:t>While the Complainant was free to present Mr. Hackett’s testimony as a way of trying to establish his own credibility</w:t>
      </w:r>
      <w:r w:rsidRPr="00C50CF0">
        <w:rPr>
          <w:rFonts w:ascii="Times New Roman" w:hAnsi="Times New Roman"/>
          <w:sz w:val="26"/>
          <w:szCs w:val="26"/>
        </w:rPr>
        <w:t>, the OCA’s argument [that the testimony of the two witnesses established Respond’s lack of care and control over its agents] goes well beyond the scope of this proceeding and should be ignored by the Commission.</w:t>
      </w:r>
    </w:p>
    <w:p w:rsidR="002161AF" w:rsidRDefault="002161AF" w:rsidP="00521D8D">
      <w:pPr>
        <w:ind w:left="1440" w:right="1440"/>
        <w:rPr>
          <w:rFonts w:ascii="Times New Roman" w:hAnsi="Times New Roman"/>
          <w:sz w:val="26"/>
          <w:szCs w:val="26"/>
        </w:rPr>
      </w:pPr>
    </w:p>
    <w:p w:rsidR="002161AF" w:rsidRPr="00C50CF0" w:rsidRDefault="002161AF" w:rsidP="002161AF">
      <w:pPr>
        <w:rPr>
          <w:rFonts w:ascii="Times New Roman" w:hAnsi="Times New Roman"/>
          <w:sz w:val="26"/>
          <w:szCs w:val="26"/>
        </w:rPr>
      </w:pPr>
      <w:r w:rsidRPr="00C50CF0">
        <w:rPr>
          <w:rFonts w:ascii="Times New Roman" w:hAnsi="Times New Roman"/>
          <w:sz w:val="26"/>
          <w:szCs w:val="26"/>
        </w:rPr>
        <w:t>Respond R.B. at 2 (emphasis added).</w:t>
      </w:r>
    </w:p>
    <w:p w:rsidR="002161AF" w:rsidRPr="00C50CF0" w:rsidRDefault="002161AF" w:rsidP="002161AF">
      <w:pPr>
        <w:ind w:firstLine="1440"/>
        <w:rPr>
          <w:rFonts w:ascii="Times New Roman" w:hAnsi="Times New Roman"/>
          <w:sz w:val="26"/>
          <w:szCs w:val="26"/>
        </w:rPr>
      </w:pPr>
    </w:p>
    <w:p w:rsidR="002161AF" w:rsidRPr="00C50CF0" w:rsidRDefault="002161AF" w:rsidP="002161AF">
      <w:pPr>
        <w:ind w:firstLine="1440"/>
        <w:rPr>
          <w:rFonts w:ascii="Times New Roman" w:hAnsi="Times New Roman"/>
          <w:sz w:val="26"/>
          <w:szCs w:val="26"/>
        </w:rPr>
      </w:pPr>
      <w:r w:rsidRPr="00C50CF0">
        <w:rPr>
          <w:rFonts w:ascii="Times New Roman" w:hAnsi="Times New Roman"/>
          <w:sz w:val="26"/>
          <w:szCs w:val="26"/>
        </w:rPr>
        <w:t xml:space="preserve">Respond never challenged or characterized the testimony of either Mr. Herp or Mr. Hackett as hearsay.  Moreover, in its brief before the ALJ, the Company offered that Mr. Herp could use Mr. Hackett’s testimony to establish the credibility of Mr. Herp’s own testimony regarding Respond’s sales agents’ oral practices.  Thus, the ALJ was never called upon and did not address a hearsay issue.  Rather, in reaching her resolution, the ALJ assessed the value and weight to be given to </w:t>
      </w:r>
      <w:r>
        <w:rPr>
          <w:rFonts w:ascii="Times New Roman" w:hAnsi="Times New Roman"/>
          <w:sz w:val="26"/>
          <w:szCs w:val="26"/>
        </w:rPr>
        <w:t xml:space="preserve">the testimony of </w:t>
      </w:r>
      <w:r w:rsidRPr="00C50CF0">
        <w:rPr>
          <w:rFonts w:ascii="Times New Roman" w:hAnsi="Times New Roman"/>
          <w:sz w:val="26"/>
          <w:szCs w:val="26"/>
        </w:rPr>
        <w:t>both Messrs. Herp and Hackett.</w:t>
      </w:r>
    </w:p>
    <w:p w:rsidR="002161AF" w:rsidRPr="00C50CF0" w:rsidRDefault="002161AF" w:rsidP="002161AF">
      <w:pPr>
        <w:ind w:firstLine="1440"/>
        <w:rPr>
          <w:rFonts w:ascii="Times New Roman" w:hAnsi="Times New Roman"/>
          <w:sz w:val="26"/>
          <w:szCs w:val="26"/>
        </w:rPr>
      </w:pPr>
    </w:p>
    <w:p w:rsidR="002161AF" w:rsidRPr="00C50CF0" w:rsidRDefault="002161AF" w:rsidP="002161AF">
      <w:pPr>
        <w:ind w:firstLine="1440"/>
        <w:rPr>
          <w:rFonts w:ascii="Times New Roman" w:hAnsi="Times New Roman"/>
          <w:bCs/>
          <w:sz w:val="26"/>
          <w:szCs w:val="26"/>
        </w:rPr>
      </w:pPr>
      <w:r w:rsidRPr="00C50CF0">
        <w:rPr>
          <w:rFonts w:ascii="Times New Roman" w:hAnsi="Times New Roman"/>
          <w:bCs/>
          <w:sz w:val="26"/>
          <w:szCs w:val="26"/>
        </w:rPr>
        <w:t xml:space="preserve">The ALJ found the testimony of Mr. Herp to be credible that Respond’s door-to-door sales agent promised that as an enrolled customer of Respond, Mr. Herp’s variable-priced supply service would provide savings because Respond’s rate would be capped or constrained by West Penn’s PTC.  The ALJ noted that Mr. Herp’s agreement to a variable-service product was not in dispute.  However, the ALJ stated that based upon the statements made by Respond’s agent, Mr. Herp understood that Respond “offered rates that were always lower than the local utility company, in my case West </w:t>
      </w:r>
      <w:r w:rsidRPr="00C50CF0">
        <w:rPr>
          <w:rFonts w:ascii="Times New Roman" w:hAnsi="Times New Roman"/>
          <w:bCs/>
          <w:sz w:val="26"/>
          <w:szCs w:val="26"/>
        </w:rPr>
        <w:lastRenderedPageBreak/>
        <w:t xml:space="preserve">Penn Power.”  </w:t>
      </w:r>
      <w:proofErr w:type="gramStart"/>
      <w:r w:rsidRPr="00C50CF0">
        <w:rPr>
          <w:rFonts w:ascii="Times New Roman" w:hAnsi="Times New Roman"/>
          <w:bCs/>
          <w:sz w:val="26"/>
          <w:szCs w:val="26"/>
        </w:rPr>
        <w:t>I.D. at 28, quoting Tr. at 14.</w:t>
      </w:r>
      <w:proofErr w:type="gramEnd"/>
      <w:r w:rsidRPr="00C50CF0">
        <w:rPr>
          <w:rFonts w:ascii="Times New Roman" w:hAnsi="Times New Roman"/>
          <w:bCs/>
          <w:sz w:val="26"/>
          <w:szCs w:val="26"/>
        </w:rPr>
        <w:t xml:space="preserve">  The ALJ noted Mr. Herp’s testimony that “[w]hen the sale agent left, I thought I had purchased a better utility product than West Penn.”  </w:t>
      </w:r>
      <w:proofErr w:type="gramStart"/>
      <w:r w:rsidRPr="00C50CF0">
        <w:rPr>
          <w:rFonts w:ascii="Times New Roman" w:hAnsi="Times New Roman"/>
          <w:bCs/>
          <w:i/>
          <w:sz w:val="26"/>
          <w:szCs w:val="26"/>
        </w:rPr>
        <w:t>Id</w:t>
      </w:r>
      <w:r w:rsidRPr="00C50CF0">
        <w:rPr>
          <w:rFonts w:ascii="Times New Roman" w:hAnsi="Times New Roman"/>
          <w:bCs/>
          <w:sz w:val="26"/>
          <w:szCs w:val="26"/>
        </w:rPr>
        <w:t>., quoting Tr. at 16.</w:t>
      </w:r>
      <w:proofErr w:type="gramEnd"/>
      <w:r w:rsidRPr="00C50CF0">
        <w:rPr>
          <w:rFonts w:ascii="Times New Roman" w:hAnsi="Times New Roman"/>
          <w:bCs/>
          <w:sz w:val="26"/>
          <w:szCs w:val="26"/>
        </w:rPr>
        <w:t xml:space="preserve">  “[I]t was my understanding that this variable rate did have a cap, and that being the rate</w:t>
      </w:r>
      <w:r w:rsidR="00521D8D">
        <w:rPr>
          <w:rFonts w:ascii="Times New Roman" w:hAnsi="Times New Roman"/>
          <w:bCs/>
          <w:sz w:val="26"/>
          <w:szCs w:val="26"/>
        </w:rPr>
        <w:t xml:space="preserve"> </w:t>
      </w:r>
      <w:proofErr w:type="gramStart"/>
      <w:r w:rsidR="00521D8D">
        <w:rPr>
          <w:rFonts w:ascii="Times New Roman" w:hAnsi="Times New Roman"/>
          <w:bCs/>
          <w:sz w:val="26"/>
          <w:szCs w:val="26"/>
        </w:rPr>
        <w:t xml:space="preserve">— </w:t>
      </w:r>
      <w:r w:rsidRPr="00C50CF0">
        <w:rPr>
          <w:rFonts w:ascii="Times New Roman" w:hAnsi="Times New Roman"/>
          <w:bCs/>
          <w:sz w:val="26"/>
          <w:szCs w:val="26"/>
        </w:rPr>
        <w:t xml:space="preserve"> the</w:t>
      </w:r>
      <w:proofErr w:type="gramEnd"/>
      <w:r w:rsidRPr="00C50CF0">
        <w:rPr>
          <w:rFonts w:ascii="Times New Roman" w:hAnsi="Times New Roman"/>
          <w:bCs/>
          <w:sz w:val="26"/>
          <w:szCs w:val="26"/>
        </w:rPr>
        <w:t xml:space="preserve"> current rate offered by my local utility company.”  </w:t>
      </w:r>
      <w:proofErr w:type="gramStart"/>
      <w:r w:rsidRPr="00592B2F">
        <w:rPr>
          <w:rFonts w:ascii="Times New Roman" w:hAnsi="Times New Roman"/>
          <w:bCs/>
          <w:i/>
          <w:sz w:val="26"/>
          <w:szCs w:val="26"/>
        </w:rPr>
        <w:t>Id</w:t>
      </w:r>
      <w:r w:rsidRPr="00C50CF0">
        <w:rPr>
          <w:rFonts w:ascii="Times New Roman" w:hAnsi="Times New Roman"/>
          <w:bCs/>
          <w:sz w:val="26"/>
          <w:szCs w:val="26"/>
        </w:rPr>
        <w:t>. at 28, quoting Tr. at 26.</w:t>
      </w:r>
      <w:proofErr w:type="gramEnd"/>
      <w:r w:rsidRPr="00C50CF0">
        <w:rPr>
          <w:rFonts w:ascii="Times New Roman" w:hAnsi="Times New Roman"/>
          <w:bCs/>
          <w:sz w:val="26"/>
          <w:szCs w:val="26"/>
        </w:rPr>
        <w:t xml:space="preserve">  According to the ALJ, Mr. Herp was convinced by the agent’s explanation of Respond’s purchasing approach that consistent savings compared to West Penn’s PTC was possible and</w:t>
      </w:r>
      <w:r w:rsidR="00CC6427">
        <w:rPr>
          <w:rFonts w:ascii="Times New Roman" w:hAnsi="Times New Roman"/>
          <w:bCs/>
          <w:sz w:val="26"/>
          <w:szCs w:val="26"/>
        </w:rPr>
        <w:t>, a</w:t>
      </w:r>
      <w:r w:rsidRPr="00C50CF0">
        <w:rPr>
          <w:rFonts w:ascii="Times New Roman" w:hAnsi="Times New Roman"/>
          <w:bCs/>
          <w:sz w:val="26"/>
          <w:szCs w:val="26"/>
        </w:rPr>
        <w:t xml:space="preserve">s the ALJ concluded, “[b]ased on the persuasive claims of the Respond Power sales agent, Mr. Herp agreed to enroll with Respond Power.”  </w:t>
      </w:r>
      <w:proofErr w:type="gramStart"/>
      <w:r w:rsidRPr="00C50CF0">
        <w:rPr>
          <w:rFonts w:ascii="Times New Roman" w:hAnsi="Times New Roman"/>
          <w:bCs/>
          <w:sz w:val="26"/>
          <w:szCs w:val="26"/>
        </w:rPr>
        <w:t>I.D. at</w:t>
      </w:r>
      <w:r w:rsidR="00CC6427">
        <w:rPr>
          <w:rFonts w:ascii="Times New Roman" w:hAnsi="Times New Roman"/>
          <w:bCs/>
          <w:sz w:val="26"/>
          <w:szCs w:val="26"/>
        </w:rPr>
        <w:t> </w:t>
      </w:r>
      <w:r w:rsidRPr="00C50CF0">
        <w:rPr>
          <w:rFonts w:ascii="Times New Roman" w:hAnsi="Times New Roman"/>
          <w:bCs/>
          <w:sz w:val="26"/>
          <w:szCs w:val="26"/>
        </w:rPr>
        <w:t>29.</w:t>
      </w:r>
      <w:proofErr w:type="gramEnd"/>
    </w:p>
    <w:p w:rsidR="002161AF" w:rsidRPr="00C50CF0" w:rsidRDefault="002161AF" w:rsidP="002161AF">
      <w:pPr>
        <w:ind w:firstLine="1440"/>
        <w:rPr>
          <w:rFonts w:ascii="Times New Roman" w:hAnsi="Times New Roman"/>
          <w:bCs/>
          <w:sz w:val="26"/>
          <w:szCs w:val="26"/>
        </w:rPr>
      </w:pPr>
    </w:p>
    <w:p w:rsidR="002161AF" w:rsidRPr="00C50CF0" w:rsidRDefault="002161AF" w:rsidP="002161AF">
      <w:pPr>
        <w:ind w:firstLine="1440"/>
        <w:rPr>
          <w:rFonts w:ascii="Times New Roman" w:hAnsi="Times New Roman"/>
          <w:bCs/>
          <w:sz w:val="26"/>
          <w:szCs w:val="26"/>
        </w:rPr>
      </w:pPr>
      <w:r w:rsidRPr="00C50CF0">
        <w:rPr>
          <w:rFonts w:ascii="Times New Roman" w:hAnsi="Times New Roman"/>
          <w:bCs/>
          <w:sz w:val="26"/>
          <w:szCs w:val="26"/>
        </w:rPr>
        <w:t xml:space="preserve">Additionally, the ALJ stated that Mr. Hackett testified in support of Mr. Herp.  The ALJ noted that like Mr. Herp, Mr. Hackett testified he was solicited by a Respond sales agent at his home and was induced to switch to </w:t>
      </w:r>
      <w:proofErr w:type="gramStart"/>
      <w:r w:rsidRPr="00C50CF0">
        <w:rPr>
          <w:rFonts w:ascii="Times New Roman" w:hAnsi="Times New Roman"/>
          <w:bCs/>
          <w:sz w:val="26"/>
          <w:szCs w:val="26"/>
        </w:rPr>
        <w:t>Respond</w:t>
      </w:r>
      <w:proofErr w:type="gramEnd"/>
      <w:r w:rsidRPr="00C50CF0">
        <w:rPr>
          <w:rFonts w:ascii="Times New Roman" w:hAnsi="Times New Roman"/>
          <w:bCs/>
          <w:sz w:val="26"/>
          <w:szCs w:val="26"/>
        </w:rPr>
        <w:t xml:space="preserve"> based on promises of savings compared to West Penn’s rates for default service.  The ALJ stated that Mr. Hackett understood the rate would be variable but that there would be limits on the variability capped at the level of West Penn’s rates.  Importantly, the ALJ found that the testimony of Respond’s witness, Mr. Small, was insufficient to counter Mr. Herp’s testimony that Respond made misrepresentations regarding limits on the variability of Respond’s pricing, as corroborated by Mr. Hackett who heard a similar message from a different Respond sales agent in the same community in roughly the same time period.  The ALJ stated that Respond’s witness simply testified that Respond sales agents are not allowed, based on training, to make misrepresentations as to pricing or savings.  Furthermore, the ALJ noted that the sales agent who persuaded Mr. Herp to switch to </w:t>
      </w:r>
      <w:proofErr w:type="gramStart"/>
      <w:r w:rsidRPr="00C50CF0">
        <w:rPr>
          <w:rFonts w:ascii="Times New Roman" w:hAnsi="Times New Roman"/>
          <w:bCs/>
          <w:sz w:val="26"/>
          <w:szCs w:val="26"/>
        </w:rPr>
        <w:t>Respond</w:t>
      </w:r>
      <w:proofErr w:type="gramEnd"/>
      <w:r w:rsidRPr="00C50CF0">
        <w:rPr>
          <w:rFonts w:ascii="Times New Roman" w:hAnsi="Times New Roman"/>
          <w:bCs/>
          <w:sz w:val="26"/>
          <w:szCs w:val="26"/>
        </w:rPr>
        <w:t xml:space="preserve"> was not presented by Respond to testify.  </w:t>
      </w:r>
      <w:r w:rsidR="00CC6427" w:rsidRPr="00CC6427">
        <w:rPr>
          <w:rFonts w:ascii="Times New Roman" w:hAnsi="Times New Roman"/>
          <w:bCs/>
          <w:i/>
          <w:sz w:val="26"/>
          <w:szCs w:val="26"/>
        </w:rPr>
        <w:t>Id</w:t>
      </w:r>
      <w:r w:rsidR="00CC6427" w:rsidRPr="00CC6427">
        <w:rPr>
          <w:rFonts w:ascii="Times New Roman" w:hAnsi="Times New Roman"/>
          <w:bCs/>
          <w:sz w:val="26"/>
          <w:szCs w:val="26"/>
        </w:rPr>
        <w:t>.</w:t>
      </w:r>
      <w:r w:rsidRPr="00C50CF0">
        <w:rPr>
          <w:rFonts w:ascii="Times New Roman" w:hAnsi="Times New Roman"/>
          <w:bCs/>
          <w:sz w:val="26"/>
          <w:szCs w:val="26"/>
        </w:rPr>
        <w:t xml:space="preserve"> at 29-30.</w:t>
      </w:r>
    </w:p>
    <w:p w:rsidR="00C50CF0" w:rsidRPr="00C50CF0" w:rsidRDefault="00C50CF0" w:rsidP="00C50CF0">
      <w:pPr>
        <w:ind w:firstLine="1440"/>
        <w:rPr>
          <w:rFonts w:ascii="Times New Roman" w:hAnsi="Times New Roman"/>
          <w:sz w:val="26"/>
          <w:szCs w:val="26"/>
        </w:rPr>
      </w:pPr>
    </w:p>
    <w:p w:rsidR="00C50CF0" w:rsidRPr="002322F4" w:rsidRDefault="00C50CF0" w:rsidP="002322F4">
      <w:pPr>
        <w:keepNext/>
        <w:ind w:firstLine="1440"/>
        <w:rPr>
          <w:rFonts w:ascii="Times New Roman" w:hAnsi="Times New Roman"/>
          <w:sz w:val="26"/>
          <w:szCs w:val="26"/>
        </w:rPr>
      </w:pPr>
      <w:r w:rsidRPr="00C50CF0">
        <w:rPr>
          <w:rFonts w:ascii="Times New Roman" w:hAnsi="Times New Roman"/>
          <w:b/>
          <w:sz w:val="26"/>
          <w:szCs w:val="26"/>
        </w:rPr>
        <w:t>b.</w:t>
      </w:r>
      <w:r w:rsidRPr="00C50CF0">
        <w:rPr>
          <w:rFonts w:ascii="Times New Roman" w:hAnsi="Times New Roman"/>
          <w:b/>
          <w:sz w:val="26"/>
          <w:szCs w:val="26"/>
        </w:rPr>
        <w:tab/>
      </w:r>
      <w:r w:rsidR="00B8234A">
        <w:rPr>
          <w:rFonts w:ascii="Times New Roman" w:hAnsi="Times New Roman"/>
          <w:b/>
          <w:sz w:val="26"/>
          <w:szCs w:val="26"/>
        </w:rPr>
        <w:t xml:space="preserve">Respond’s </w:t>
      </w:r>
      <w:r w:rsidRPr="00C50CF0">
        <w:rPr>
          <w:rFonts w:ascii="Times New Roman" w:hAnsi="Times New Roman"/>
          <w:b/>
          <w:sz w:val="26"/>
          <w:szCs w:val="26"/>
        </w:rPr>
        <w:t xml:space="preserve">Exception </w:t>
      </w:r>
    </w:p>
    <w:p w:rsidR="00C50CF0" w:rsidRPr="002322F4" w:rsidRDefault="00C50CF0" w:rsidP="002322F4">
      <w:pPr>
        <w:keepNext/>
        <w:ind w:firstLine="1440"/>
        <w:rPr>
          <w:rFonts w:ascii="Times New Roman" w:hAnsi="Times New Roman"/>
          <w:sz w:val="26"/>
          <w:szCs w:val="26"/>
        </w:rPr>
      </w:pPr>
    </w:p>
    <w:p w:rsidR="00C50CF0" w:rsidRPr="001074BA" w:rsidRDefault="00C50CF0" w:rsidP="00C50CF0">
      <w:pPr>
        <w:ind w:firstLine="1440"/>
        <w:rPr>
          <w:rFonts w:ascii="Times New Roman" w:hAnsi="Times New Roman"/>
          <w:sz w:val="26"/>
          <w:szCs w:val="26"/>
        </w:rPr>
      </w:pPr>
      <w:r w:rsidRPr="00C50CF0">
        <w:rPr>
          <w:rFonts w:ascii="Times New Roman" w:hAnsi="Times New Roman"/>
          <w:sz w:val="26"/>
          <w:szCs w:val="26"/>
        </w:rPr>
        <w:t xml:space="preserve">In its Exception No. 2, </w:t>
      </w:r>
      <w:proofErr w:type="gramStart"/>
      <w:r w:rsidRPr="00C50CF0">
        <w:rPr>
          <w:rFonts w:ascii="Times New Roman" w:hAnsi="Times New Roman"/>
          <w:sz w:val="26"/>
          <w:szCs w:val="26"/>
        </w:rPr>
        <w:t>Respond</w:t>
      </w:r>
      <w:proofErr w:type="gramEnd"/>
      <w:r w:rsidRPr="00C50CF0">
        <w:rPr>
          <w:rFonts w:ascii="Times New Roman" w:hAnsi="Times New Roman"/>
          <w:sz w:val="26"/>
          <w:szCs w:val="26"/>
        </w:rPr>
        <w:t xml:space="preserve"> states that the ALJ improperly relied on uncorroborated hearsay testimony that was in direct contravention of the written </w:t>
      </w:r>
      <w:r w:rsidRPr="00C50CF0">
        <w:rPr>
          <w:rFonts w:ascii="Times New Roman" w:hAnsi="Times New Roman"/>
          <w:sz w:val="26"/>
          <w:szCs w:val="26"/>
        </w:rPr>
        <w:lastRenderedPageBreak/>
        <w:t>Affiliates Disclosure Statement to conclude that it engaged in misleading or deceptive marketing practices.  Respond notes that the Complainant alleged that the sales agent told him that his price with Respond would always be lower than the EDC’s PTC.  Respond avers that in making this allegation, the Complainant referred to no advertising campaign or written marketing materials distributed by Respond containing such promises.  According to Respond, the Complainant conveniently ignored the plain language of Respond’s disclosure statement provided at the time of enrollment</w:t>
      </w:r>
      <w:r w:rsidR="00CC6427">
        <w:rPr>
          <w:rFonts w:ascii="Times New Roman" w:hAnsi="Times New Roman"/>
          <w:sz w:val="26"/>
          <w:szCs w:val="26"/>
        </w:rPr>
        <w:t>,</w:t>
      </w:r>
      <w:r w:rsidRPr="00C50CF0">
        <w:rPr>
          <w:rFonts w:ascii="Times New Roman" w:hAnsi="Times New Roman"/>
          <w:sz w:val="26"/>
          <w:szCs w:val="26"/>
        </w:rPr>
        <w:t xml:space="preserve"> </w:t>
      </w:r>
      <w:r w:rsidRPr="001074BA">
        <w:rPr>
          <w:rFonts w:ascii="Times New Roman" w:hAnsi="Times New Roman"/>
          <w:sz w:val="26"/>
          <w:szCs w:val="26"/>
        </w:rPr>
        <w:t xml:space="preserve">which clearly provided that such savings cannot be guaranteed.  Respond Exc. at 17.  </w:t>
      </w:r>
    </w:p>
    <w:p w:rsidR="00C50CF0" w:rsidRPr="001074BA" w:rsidRDefault="00C50CF0" w:rsidP="00C50CF0">
      <w:pPr>
        <w:ind w:firstLine="1440"/>
        <w:rPr>
          <w:rFonts w:ascii="Times New Roman" w:hAnsi="Times New Roman"/>
          <w:sz w:val="26"/>
          <w:szCs w:val="26"/>
        </w:rPr>
      </w:pPr>
    </w:p>
    <w:p w:rsidR="00C50CF0" w:rsidRPr="001074BA" w:rsidRDefault="00C50CF0" w:rsidP="001074BA">
      <w:pPr>
        <w:ind w:firstLine="1440"/>
        <w:rPr>
          <w:rFonts w:ascii="Times New Roman" w:hAnsi="Times New Roman"/>
          <w:sz w:val="26"/>
          <w:szCs w:val="26"/>
        </w:rPr>
      </w:pPr>
      <w:r w:rsidRPr="001074BA">
        <w:rPr>
          <w:rFonts w:ascii="Times New Roman" w:hAnsi="Times New Roman"/>
          <w:sz w:val="26"/>
          <w:szCs w:val="26"/>
        </w:rPr>
        <w:t xml:space="preserve">Respond claims that in relying wholly on the Complainant’s hearsay testimony, the ALJ inappropriately found that a Respond sales agent offered the Complainant electric rates that would be always lower than </w:t>
      </w:r>
      <w:r w:rsidR="001E2F18" w:rsidRPr="001074BA">
        <w:rPr>
          <w:rFonts w:ascii="Times New Roman" w:hAnsi="Times New Roman"/>
          <w:sz w:val="26"/>
          <w:szCs w:val="26"/>
        </w:rPr>
        <w:t>West Penn’s</w:t>
      </w:r>
      <w:r w:rsidRPr="001074BA">
        <w:rPr>
          <w:rFonts w:ascii="Times New Roman" w:hAnsi="Times New Roman"/>
          <w:sz w:val="26"/>
          <w:szCs w:val="26"/>
        </w:rPr>
        <w:t xml:space="preserve"> PTC.  Respond asserts that hearsay evidence, admitted without objection, will be given its natural probative effect and may support a finding only if it is corroborated by any competent evidence in the record.  </w:t>
      </w:r>
      <w:proofErr w:type="gramStart"/>
      <w:r w:rsidR="001E2F18" w:rsidRPr="001074BA">
        <w:rPr>
          <w:rFonts w:ascii="Times New Roman" w:hAnsi="Times New Roman"/>
          <w:sz w:val="26"/>
          <w:szCs w:val="26"/>
        </w:rPr>
        <w:t>Contending that while</w:t>
      </w:r>
      <w:r w:rsidRPr="001074BA">
        <w:rPr>
          <w:rFonts w:ascii="Times New Roman" w:hAnsi="Times New Roman"/>
          <w:sz w:val="26"/>
          <w:szCs w:val="26"/>
        </w:rPr>
        <w:t xml:space="preserve"> Pennsylvania</w:t>
      </w:r>
      <w:r w:rsidR="001E2F18" w:rsidRPr="001074BA">
        <w:rPr>
          <w:rFonts w:ascii="Times New Roman" w:hAnsi="Times New Roman"/>
          <w:sz w:val="26"/>
          <w:szCs w:val="26"/>
        </w:rPr>
        <w:t xml:space="preserve">’s evidentiary rules </w:t>
      </w:r>
      <w:r w:rsidRPr="001074BA">
        <w:rPr>
          <w:rFonts w:ascii="Times New Roman" w:hAnsi="Times New Roman"/>
          <w:sz w:val="26"/>
          <w:szCs w:val="26"/>
        </w:rPr>
        <w:t xml:space="preserve">are relaxed in administrative proceedings, crucial findings of fact may not be </w:t>
      </w:r>
      <w:r w:rsidR="001E2F18" w:rsidRPr="001074BA">
        <w:rPr>
          <w:rFonts w:ascii="Times New Roman" w:hAnsi="Times New Roman"/>
          <w:sz w:val="26"/>
          <w:szCs w:val="26"/>
        </w:rPr>
        <w:t xml:space="preserve">supported </w:t>
      </w:r>
      <w:r w:rsidRPr="001074BA">
        <w:rPr>
          <w:rFonts w:ascii="Times New Roman" w:hAnsi="Times New Roman"/>
          <w:sz w:val="26"/>
          <w:szCs w:val="26"/>
        </w:rPr>
        <w:t>solely by hearsay evidence</w:t>
      </w:r>
      <w:r w:rsidR="001E2F18" w:rsidRPr="001074BA">
        <w:rPr>
          <w:rFonts w:ascii="Times New Roman" w:hAnsi="Times New Roman"/>
          <w:sz w:val="26"/>
          <w:szCs w:val="26"/>
        </w:rPr>
        <w:t xml:space="preserve"> as a matter of law</w:t>
      </w:r>
      <w:r w:rsidRPr="001074BA">
        <w:rPr>
          <w:rFonts w:ascii="Times New Roman" w:hAnsi="Times New Roman"/>
          <w:sz w:val="26"/>
          <w:szCs w:val="26"/>
        </w:rPr>
        <w:t>.</w:t>
      </w:r>
      <w:proofErr w:type="gramEnd"/>
      <w:r w:rsidRPr="001074BA">
        <w:rPr>
          <w:rFonts w:ascii="Times New Roman" w:hAnsi="Times New Roman"/>
          <w:sz w:val="26"/>
          <w:szCs w:val="26"/>
        </w:rPr>
        <w:t xml:space="preserve">  A</w:t>
      </w:r>
      <w:r w:rsidR="001E2F18" w:rsidRPr="001074BA">
        <w:rPr>
          <w:rFonts w:ascii="Times New Roman" w:hAnsi="Times New Roman"/>
          <w:sz w:val="26"/>
          <w:szCs w:val="26"/>
        </w:rPr>
        <w:t xml:space="preserve">s </w:t>
      </w:r>
      <w:r w:rsidRPr="001074BA">
        <w:rPr>
          <w:rFonts w:ascii="Times New Roman" w:hAnsi="Times New Roman"/>
          <w:sz w:val="26"/>
          <w:szCs w:val="26"/>
        </w:rPr>
        <w:t>Respond</w:t>
      </w:r>
      <w:r w:rsidR="001E2F18" w:rsidRPr="001074BA">
        <w:rPr>
          <w:rFonts w:ascii="Times New Roman" w:hAnsi="Times New Roman"/>
          <w:sz w:val="26"/>
          <w:szCs w:val="26"/>
        </w:rPr>
        <w:t xml:space="preserve"> asserts</w:t>
      </w:r>
      <w:r w:rsidRPr="001074BA">
        <w:rPr>
          <w:rFonts w:ascii="Times New Roman" w:hAnsi="Times New Roman"/>
          <w:sz w:val="26"/>
          <w:szCs w:val="26"/>
        </w:rPr>
        <w:t xml:space="preserve">, </w:t>
      </w:r>
      <w:r w:rsidR="001E2F18" w:rsidRPr="001074BA">
        <w:rPr>
          <w:rFonts w:ascii="Times New Roman" w:hAnsi="Times New Roman"/>
          <w:sz w:val="26"/>
          <w:szCs w:val="26"/>
        </w:rPr>
        <w:t>even when hearsay is excl</w:t>
      </w:r>
      <w:r w:rsidRPr="001074BA">
        <w:rPr>
          <w:rFonts w:ascii="Times New Roman" w:hAnsi="Times New Roman"/>
          <w:sz w:val="26"/>
          <w:szCs w:val="26"/>
        </w:rPr>
        <w:t xml:space="preserve">uded, the Commission has refused to make findings of fact without </w:t>
      </w:r>
      <w:r w:rsidR="00980E41" w:rsidRPr="001074BA">
        <w:rPr>
          <w:rFonts w:ascii="Times New Roman" w:hAnsi="Times New Roman"/>
          <w:sz w:val="26"/>
          <w:szCs w:val="26"/>
        </w:rPr>
        <w:t xml:space="preserve">corroborating </w:t>
      </w:r>
      <w:r w:rsidRPr="001074BA">
        <w:rPr>
          <w:rFonts w:ascii="Times New Roman" w:hAnsi="Times New Roman"/>
          <w:sz w:val="26"/>
          <w:szCs w:val="26"/>
        </w:rPr>
        <w:t xml:space="preserve">evidence.  </w:t>
      </w:r>
      <w:proofErr w:type="gramStart"/>
      <w:r w:rsidR="00457CF4">
        <w:rPr>
          <w:rFonts w:ascii="Times New Roman" w:hAnsi="Times New Roman"/>
          <w:i/>
          <w:sz w:val="26"/>
          <w:szCs w:val="26"/>
        </w:rPr>
        <w:t>Id</w:t>
      </w:r>
      <w:r w:rsidRPr="001074BA">
        <w:rPr>
          <w:rFonts w:ascii="Times New Roman" w:hAnsi="Times New Roman"/>
          <w:sz w:val="26"/>
          <w:szCs w:val="26"/>
        </w:rPr>
        <w:t xml:space="preserve">. at 18 </w:t>
      </w:r>
      <w:r w:rsidR="00B0584B" w:rsidRPr="001074BA">
        <w:rPr>
          <w:rFonts w:ascii="Times New Roman" w:hAnsi="Times New Roman"/>
          <w:sz w:val="26"/>
          <w:szCs w:val="26"/>
        </w:rPr>
        <w:t>(</w:t>
      </w:r>
      <w:r w:rsidRPr="001074BA">
        <w:rPr>
          <w:rFonts w:ascii="Times New Roman" w:hAnsi="Times New Roman"/>
          <w:sz w:val="26"/>
          <w:szCs w:val="26"/>
        </w:rPr>
        <w:t>cit</w:t>
      </w:r>
      <w:r w:rsidR="00B0584B" w:rsidRPr="001074BA">
        <w:rPr>
          <w:rFonts w:ascii="Times New Roman" w:hAnsi="Times New Roman"/>
          <w:sz w:val="26"/>
          <w:szCs w:val="26"/>
        </w:rPr>
        <w:t>ations omitted</w:t>
      </w:r>
      <w:r w:rsidR="001E2F18" w:rsidRPr="001074BA">
        <w:rPr>
          <w:rFonts w:ascii="Times New Roman" w:hAnsi="Times New Roman"/>
          <w:sz w:val="26"/>
          <w:szCs w:val="26"/>
        </w:rPr>
        <w:t>)</w:t>
      </w:r>
      <w:r w:rsidR="00B0584B" w:rsidRPr="001074BA">
        <w:rPr>
          <w:rFonts w:ascii="Times New Roman" w:hAnsi="Times New Roman"/>
          <w:sz w:val="26"/>
          <w:szCs w:val="26"/>
        </w:rPr>
        <w:t>.</w:t>
      </w:r>
      <w:proofErr w:type="gramEnd"/>
    </w:p>
    <w:p w:rsidR="00C50CF0" w:rsidRPr="001074BA" w:rsidRDefault="00C50CF0" w:rsidP="00C50CF0">
      <w:pPr>
        <w:ind w:firstLine="1440"/>
        <w:rPr>
          <w:rFonts w:ascii="Times New Roman" w:hAnsi="Times New Roman"/>
          <w:sz w:val="26"/>
          <w:szCs w:val="26"/>
        </w:rPr>
      </w:pPr>
    </w:p>
    <w:p w:rsidR="00C50CF0" w:rsidRPr="00C50CF0" w:rsidRDefault="00C50CF0" w:rsidP="00C50CF0">
      <w:pPr>
        <w:ind w:firstLine="1440"/>
        <w:rPr>
          <w:rFonts w:ascii="Times New Roman" w:hAnsi="Times New Roman"/>
          <w:sz w:val="26"/>
          <w:szCs w:val="26"/>
        </w:rPr>
      </w:pPr>
      <w:r w:rsidRPr="001074BA">
        <w:rPr>
          <w:rFonts w:ascii="Times New Roman" w:hAnsi="Times New Roman"/>
          <w:sz w:val="26"/>
          <w:szCs w:val="26"/>
        </w:rPr>
        <w:t>Next, Respond</w:t>
      </w:r>
      <w:r w:rsidRPr="00C50CF0">
        <w:rPr>
          <w:rFonts w:ascii="Times New Roman" w:hAnsi="Times New Roman"/>
          <w:sz w:val="26"/>
          <w:szCs w:val="26"/>
        </w:rPr>
        <w:t xml:space="preserve"> states that while the ALJ viewed the testimony of Mr. Hackett as corroborating the Complainant’s testimony, it</w:t>
      </w:r>
      <w:r w:rsidR="0039531F">
        <w:rPr>
          <w:rFonts w:ascii="Times New Roman" w:hAnsi="Times New Roman"/>
          <w:sz w:val="26"/>
          <w:szCs w:val="26"/>
        </w:rPr>
        <w:t xml:space="preserve">, too, </w:t>
      </w:r>
      <w:r w:rsidRPr="00C50CF0">
        <w:rPr>
          <w:rFonts w:ascii="Times New Roman" w:hAnsi="Times New Roman"/>
          <w:sz w:val="26"/>
          <w:szCs w:val="26"/>
        </w:rPr>
        <w:t xml:space="preserve">was improperly relied on as hearsay.  Moreover, Respond asserts that </w:t>
      </w:r>
      <w:r w:rsidR="0039531F">
        <w:rPr>
          <w:rFonts w:ascii="Times New Roman" w:hAnsi="Times New Roman"/>
          <w:sz w:val="26"/>
          <w:szCs w:val="26"/>
        </w:rPr>
        <w:t>Mr. Hackett’s</w:t>
      </w:r>
      <w:r w:rsidRPr="00C50CF0">
        <w:rPr>
          <w:rFonts w:ascii="Times New Roman" w:hAnsi="Times New Roman"/>
          <w:sz w:val="26"/>
          <w:szCs w:val="26"/>
        </w:rPr>
        <w:t xml:space="preserve"> testimony solely </w:t>
      </w:r>
      <w:r w:rsidR="0039531F">
        <w:rPr>
          <w:rFonts w:ascii="Times New Roman" w:hAnsi="Times New Roman"/>
          <w:sz w:val="26"/>
          <w:szCs w:val="26"/>
        </w:rPr>
        <w:t>addressed</w:t>
      </w:r>
      <w:r w:rsidRPr="00C50CF0">
        <w:rPr>
          <w:rFonts w:ascii="Times New Roman" w:hAnsi="Times New Roman"/>
          <w:sz w:val="26"/>
          <w:szCs w:val="26"/>
        </w:rPr>
        <w:t xml:space="preserve"> his own experience with a different </w:t>
      </w:r>
      <w:r w:rsidR="00CC6427">
        <w:rPr>
          <w:rFonts w:ascii="Times New Roman" w:hAnsi="Times New Roman"/>
          <w:sz w:val="26"/>
          <w:szCs w:val="26"/>
        </w:rPr>
        <w:t xml:space="preserve">Respond </w:t>
      </w:r>
      <w:r w:rsidRPr="00C50CF0">
        <w:rPr>
          <w:rFonts w:ascii="Times New Roman" w:hAnsi="Times New Roman"/>
          <w:sz w:val="26"/>
          <w:szCs w:val="26"/>
        </w:rPr>
        <w:t xml:space="preserve">sales agent and </w:t>
      </w:r>
      <w:r w:rsidR="0039531F">
        <w:rPr>
          <w:rFonts w:ascii="Times New Roman" w:hAnsi="Times New Roman"/>
          <w:sz w:val="26"/>
          <w:szCs w:val="26"/>
        </w:rPr>
        <w:t xml:space="preserve">was not relevant </w:t>
      </w:r>
      <w:r w:rsidRPr="00C50CF0">
        <w:rPr>
          <w:rFonts w:ascii="Times New Roman" w:hAnsi="Times New Roman"/>
          <w:sz w:val="26"/>
          <w:szCs w:val="26"/>
        </w:rPr>
        <w:t xml:space="preserve">to the Complainant’s transaction.  According to Respond, Mr. Hackett did not testify that the agent told him his rates would always be lower than the EDC’s PTC, rather, he testified that the agent told him that Respond offered competitive rates, which is a much more general and very different description.  </w:t>
      </w:r>
      <w:r w:rsidR="00CC6427" w:rsidRPr="00CC6427">
        <w:rPr>
          <w:rFonts w:ascii="Times New Roman" w:hAnsi="Times New Roman"/>
          <w:bCs/>
          <w:i/>
          <w:sz w:val="26"/>
          <w:szCs w:val="26"/>
        </w:rPr>
        <w:t>Id.</w:t>
      </w:r>
    </w:p>
    <w:p w:rsidR="00C50CF0" w:rsidRPr="00C50CF0" w:rsidRDefault="00C50CF0" w:rsidP="00C50CF0">
      <w:pPr>
        <w:ind w:firstLine="1440"/>
        <w:rPr>
          <w:rFonts w:ascii="Times New Roman" w:hAnsi="Times New Roman"/>
          <w:sz w:val="26"/>
          <w:szCs w:val="26"/>
        </w:rPr>
      </w:pPr>
    </w:p>
    <w:p w:rsidR="00C50CF0" w:rsidRPr="00C50CF0" w:rsidRDefault="00C50CF0" w:rsidP="00C50CF0">
      <w:pPr>
        <w:ind w:firstLine="1440"/>
        <w:rPr>
          <w:rFonts w:ascii="Times New Roman" w:hAnsi="Times New Roman"/>
          <w:sz w:val="26"/>
          <w:szCs w:val="26"/>
        </w:rPr>
      </w:pPr>
      <w:r w:rsidRPr="00C50CF0">
        <w:rPr>
          <w:rFonts w:ascii="Times New Roman" w:hAnsi="Times New Roman"/>
          <w:sz w:val="26"/>
          <w:szCs w:val="26"/>
        </w:rPr>
        <w:lastRenderedPageBreak/>
        <w:t xml:space="preserve">Next, Respond notes that the ALJ criticized it for being “unable or unwilling to rebut the testimony” of the Complainant with any tape recordings of conversation between him and the sales agent or between the Complainant and a third-party verifier.  </w:t>
      </w:r>
      <w:proofErr w:type="gramStart"/>
      <w:r w:rsidR="0063715D" w:rsidRPr="0063715D">
        <w:rPr>
          <w:rFonts w:ascii="Times New Roman" w:hAnsi="Times New Roman"/>
          <w:bCs/>
          <w:i/>
          <w:sz w:val="26"/>
          <w:szCs w:val="26"/>
        </w:rPr>
        <w:t>Id</w:t>
      </w:r>
      <w:r w:rsidR="0063715D" w:rsidRPr="0063715D">
        <w:rPr>
          <w:rFonts w:ascii="Times New Roman" w:hAnsi="Times New Roman"/>
          <w:bCs/>
          <w:sz w:val="26"/>
          <w:szCs w:val="26"/>
        </w:rPr>
        <w:t>.</w:t>
      </w:r>
      <w:r w:rsidR="0039531F">
        <w:rPr>
          <w:rFonts w:ascii="Times New Roman" w:hAnsi="Times New Roman"/>
          <w:sz w:val="26"/>
          <w:szCs w:val="26"/>
        </w:rPr>
        <w:t xml:space="preserve"> at 19, quoting I.D. at 51.</w:t>
      </w:r>
      <w:proofErr w:type="gramEnd"/>
      <w:r w:rsidR="0039531F">
        <w:rPr>
          <w:rFonts w:ascii="Times New Roman" w:hAnsi="Times New Roman"/>
          <w:sz w:val="26"/>
          <w:szCs w:val="26"/>
        </w:rPr>
        <w:t xml:space="preserve">  </w:t>
      </w:r>
      <w:r w:rsidRPr="00C50CF0">
        <w:rPr>
          <w:rFonts w:ascii="Times New Roman" w:hAnsi="Times New Roman"/>
          <w:sz w:val="26"/>
          <w:szCs w:val="26"/>
        </w:rPr>
        <w:t xml:space="preserve">However, Respond avers that </w:t>
      </w:r>
      <w:r w:rsidR="0039531F">
        <w:rPr>
          <w:rFonts w:ascii="Times New Roman" w:hAnsi="Times New Roman"/>
          <w:sz w:val="26"/>
          <w:szCs w:val="26"/>
        </w:rPr>
        <w:t xml:space="preserve">the Commission’s Regulations addressing </w:t>
      </w:r>
      <w:r w:rsidRPr="00C50CF0">
        <w:rPr>
          <w:rFonts w:ascii="Times New Roman" w:hAnsi="Times New Roman"/>
          <w:sz w:val="26"/>
          <w:szCs w:val="26"/>
        </w:rPr>
        <w:t>door-to-door sale</w:t>
      </w:r>
      <w:r w:rsidR="0039531F">
        <w:rPr>
          <w:rFonts w:ascii="Times New Roman" w:hAnsi="Times New Roman"/>
          <w:sz w:val="26"/>
          <w:szCs w:val="26"/>
        </w:rPr>
        <w:t>s do not require a</w:t>
      </w:r>
      <w:r w:rsidRPr="00C50CF0">
        <w:rPr>
          <w:rFonts w:ascii="Times New Roman" w:hAnsi="Times New Roman"/>
          <w:sz w:val="26"/>
          <w:szCs w:val="26"/>
        </w:rPr>
        <w:t xml:space="preserve"> recording and typically would not be available.  </w:t>
      </w:r>
      <w:r w:rsidR="0039531F">
        <w:rPr>
          <w:rFonts w:ascii="Times New Roman" w:hAnsi="Times New Roman"/>
          <w:sz w:val="26"/>
          <w:szCs w:val="26"/>
        </w:rPr>
        <w:t>Regarding its third</w:t>
      </w:r>
      <w:r w:rsidRPr="00C50CF0">
        <w:rPr>
          <w:rFonts w:ascii="Times New Roman" w:hAnsi="Times New Roman"/>
          <w:sz w:val="26"/>
          <w:szCs w:val="26"/>
        </w:rPr>
        <w:t>-party verification (TPV) recording, Respond claims it had no reason to offer it into evidence since the Complainant did not dispute the enrollment or the variable nature of his contract during the presentation of his case at the hearing.  According to Respond, the TPV recording could have shed no light on the prior conversation between the Complainant and Respond’s sales agent.  Respond states that more importantly</w:t>
      </w:r>
      <w:r w:rsidR="0039531F">
        <w:rPr>
          <w:rFonts w:ascii="Times New Roman" w:hAnsi="Times New Roman"/>
          <w:sz w:val="26"/>
          <w:szCs w:val="26"/>
        </w:rPr>
        <w:t xml:space="preserve">, the </w:t>
      </w:r>
      <w:r w:rsidRPr="00C50CF0">
        <w:rPr>
          <w:rFonts w:ascii="Times New Roman" w:hAnsi="Times New Roman"/>
          <w:sz w:val="26"/>
          <w:szCs w:val="26"/>
        </w:rPr>
        <w:t xml:space="preserve">ALJ failed to consider that the Complainant, who had the burden of proof, did not offer any recordings of what was allegedly said to him during the sales transaction </w:t>
      </w:r>
      <w:r w:rsidR="0039531F">
        <w:rPr>
          <w:rFonts w:ascii="Times New Roman" w:hAnsi="Times New Roman"/>
          <w:sz w:val="26"/>
          <w:szCs w:val="26"/>
        </w:rPr>
        <w:t xml:space="preserve">to </w:t>
      </w:r>
      <w:r w:rsidRPr="00C50CF0">
        <w:rPr>
          <w:rFonts w:ascii="Times New Roman" w:hAnsi="Times New Roman"/>
          <w:sz w:val="26"/>
          <w:szCs w:val="26"/>
        </w:rPr>
        <w:t>corroborate his hearsay testimony</w:t>
      </w:r>
      <w:r w:rsidR="0039531F" w:rsidRPr="0039531F">
        <w:rPr>
          <w:rFonts w:ascii="Times New Roman" w:hAnsi="Times New Roman"/>
          <w:sz w:val="26"/>
          <w:szCs w:val="26"/>
        </w:rPr>
        <w:t xml:space="preserve"> in weighing the evidence</w:t>
      </w:r>
      <w:r w:rsidRPr="00C50CF0">
        <w:rPr>
          <w:rFonts w:ascii="Times New Roman" w:hAnsi="Times New Roman"/>
          <w:sz w:val="26"/>
          <w:szCs w:val="26"/>
        </w:rPr>
        <w:t xml:space="preserve">.  According to Respond, this is especially significant since the written documentation provided to the Complainant at the time of the sale clearly provided that savings were not guaranteed.  </w:t>
      </w:r>
      <w:proofErr w:type="gramStart"/>
      <w:r w:rsidR="0063715D" w:rsidRPr="0063715D">
        <w:rPr>
          <w:rFonts w:ascii="Times New Roman" w:hAnsi="Times New Roman"/>
          <w:bCs/>
          <w:i/>
          <w:sz w:val="26"/>
          <w:szCs w:val="26"/>
        </w:rPr>
        <w:t>Id</w:t>
      </w:r>
      <w:r w:rsidR="0063715D" w:rsidRPr="0063715D">
        <w:rPr>
          <w:rFonts w:ascii="Times New Roman" w:hAnsi="Times New Roman"/>
          <w:bCs/>
          <w:sz w:val="26"/>
          <w:szCs w:val="26"/>
        </w:rPr>
        <w:t>.</w:t>
      </w:r>
      <w:r w:rsidRPr="00C50CF0">
        <w:rPr>
          <w:rFonts w:ascii="Times New Roman" w:hAnsi="Times New Roman"/>
          <w:sz w:val="26"/>
          <w:szCs w:val="26"/>
        </w:rPr>
        <w:t xml:space="preserve"> at 19.</w:t>
      </w:r>
      <w:proofErr w:type="gramEnd"/>
    </w:p>
    <w:p w:rsidR="00C50CF0" w:rsidRPr="00C50CF0" w:rsidRDefault="00C50CF0" w:rsidP="00C50CF0">
      <w:pPr>
        <w:ind w:firstLine="1440"/>
        <w:rPr>
          <w:rFonts w:ascii="Times New Roman" w:hAnsi="Times New Roman"/>
          <w:sz w:val="26"/>
          <w:szCs w:val="26"/>
        </w:rPr>
      </w:pPr>
    </w:p>
    <w:p w:rsidR="00C50CF0" w:rsidRPr="00C50CF0" w:rsidRDefault="00C50CF0" w:rsidP="00C50CF0">
      <w:pPr>
        <w:ind w:firstLine="1440"/>
        <w:rPr>
          <w:rFonts w:ascii="Times New Roman" w:hAnsi="Times New Roman"/>
          <w:sz w:val="26"/>
          <w:szCs w:val="26"/>
        </w:rPr>
      </w:pPr>
      <w:r w:rsidRPr="00C50CF0">
        <w:rPr>
          <w:rFonts w:ascii="Times New Roman" w:hAnsi="Times New Roman"/>
          <w:sz w:val="26"/>
          <w:szCs w:val="26"/>
        </w:rPr>
        <w:t xml:space="preserve">Concerning the ALJ’s claim that Respond offered no corroborative evidence </w:t>
      </w:r>
      <w:r w:rsidR="00DC622B">
        <w:rPr>
          <w:rFonts w:ascii="Times New Roman" w:hAnsi="Times New Roman"/>
          <w:sz w:val="26"/>
          <w:szCs w:val="26"/>
        </w:rPr>
        <w:t xml:space="preserve">such as </w:t>
      </w:r>
      <w:r w:rsidRPr="00C50CF0">
        <w:rPr>
          <w:rFonts w:ascii="Times New Roman" w:hAnsi="Times New Roman"/>
          <w:sz w:val="26"/>
          <w:szCs w:val="26"/>
        </w:rPr>
        <w:t>customer service training manuals, scripts, audit</w:t>
      </w:r>
      <w:r w:rsidR="00DC622B">
        <w:rPr>
          <w:rFonts w:ascii="Times New Roman" w:hAnsi="Times New Roman"/>
          <w:sz w:val="26"/>
          <w:szCs w:val="26"/>
        </w:rPr>
        <w:t>s</w:t>
      </w:r>
      <w:r w:rsidRPr="00C50CF0">
        <w:rPr>
          <w:rFonts w:ascii="Times New Roman" w:hAnsi="Times New Roman"/>
          <w:sz w:val="26"/>
          <w:szCs w:val="26"/>
        </w:rPr>
        <w:t>, marketing materials</w:t>
      </w:r>
      <w:r w:rsidR="00DC622B">
        <w:rPr>
          <w:rFonts w:ascii="Times New Roman" w:hAnsi="Times New Roman"/>
          <w:sz w:val="26"/>
          <w:szCs w:val="26"/>
        </w:rPr>
        <w:t>,</w:t>
      </w:r>
      <w:r w:rsidRPr="00C50CF0">
        <w:rPr>
          <w:rFonts w:ascii="Times New Roman" w:hAnsi="Times New Roman"/>
          <w:sz w:val="26"/>
          <w:szCs w:val="26"/>
        </w:rPr>
        <w:t xml:space="preserve"> or investigation reports to show that the agent did not promise monthly savings compared to the EDC’s prices, Respond avers it offered unrefuted testimony regarding several of these topics, including what agents are </w:t>
      </w:r>
      <w:r w:rsidR="0039531F">
        <w:rPr>
          <w:rFonts w:ascii="Times New Roman" w:hAnsi="Times New Roman"/>
          <w:sz w:val="26"/>
          <w:szCs w:val="26"/>
        </w:rPr>
        <w:t>advised</w:t>
      </w:r>
      <w:r w:rsidRPr="00C50CF0">
        <w:rPr>
          <w:rFonts w:ascii="Times New Roman" w:hAnsi="Times New Roman"/>
          <w:sz w:val="26"/>
          <w:szCs w:val="26"/>
        </w:rPr>
        <w:t xml:space="preserve"> to say and not say during sales transaction</w:t>
      </w:r>
      <w:r w:rsidR="0039531F">
        <w:rPr>
          <w:rFonts w:ascii="Times New Roman" w:hAnsi="Times New Roman"/>
          <w:sz w:val="26"/>
          <w:szCs w:val="26"/>
        </w:rPr>
        <w:t>s</w:t>
      </w:r>
      <w:r w:rsidRPr="00C50CF0">
        <w:rPr>
          <w:rFonts w:ascii="Times New Roman" w:hAnsi="Times New Roman"/>
          <w:sz w:val="26"/>
          <w:szCs w:val="26"/>
        </w:rPr>
        <w:t>.  Specifically, Respond states that Mr. Small testified that the Company contracts with third parties to handle door-to-door marketing, telemarketing</w:t>
      </w:r>
      <w:r w:rsidR="00DC622B">
        <w:rPr>
          <w:rFonts w:ascii="Times New Roman" w:hAnsi="Times New Roman"/>
          <w:sz w:val="26"/>
          <w:szCs w:val="26"/>
        </w:rPr>
        <w:t>,</w:t>
      </w:r>
      <w:r w:rsidRPr="00C50CF0">
        <w:rPr>
          <w:rFonts w:ascii="Times New Roman" w:hAnsi="Times New Roman"/>
          <w:sz w:val="26"/>
          <w:szCs w:val="26"/>
        </w:rPr>
        <w:t xml:space="preserve"> and internet marketing; approves all literature and training materials used by the third parties and their agents; and approves quality assurance programs.  According to Respond, </w:t>
      </w:r>
      <w:r w:rsidR="0063715D">
        <w:rPr>
          <w:rFonts w:ascii="Times New Roman" w:hAnsi="Times New Roman"/>
          <w:sz w:val="26"/>
          <w:szCs w:val="26"/>
        </w:rPr>
        <w:t>Mr. Small</w:t>
      </w:r>
      <w:r w:rsidRPr="00C50CF0">
        <w:rPr>
          <w:rFonts w:ascii="Times New Roman" w:hAnsi="Times New Roman"/>
          <w:sz w:val="26"/>
          <w:szCs w:val="26"/>
        </w:rPr>
        <w:t xml:space="preserve"> further testified that agents are instructed to tell prospective customers that their variable rate plans may change month</w:t>
      </w:r>
      <w:r w:rsidR="00DC622B">
        <w:rPr>
          <w:rFonts w:ascii="Times New Roman" w:hAnsi="Times New Roman"/>
          <w:sz w:val="26"/>
          <w:szCs w:val="26"/>
        </w:rPr>
        <w:t>ly</w:t>
      </w:r>
      <w:r w:rsidRPr="00C50CF0">
        <w:rPr>
          <w:rFonts w:ascii="Times New Roman" w:hAnsi="Times New Roman"/>
          <w:sz w:val="26"/>
          <w:szCs w:val="26"/>
        </w:rPr>
        <w:t xml:space="preserve"> based on market fluctuations, are instructed not to guarantee savings, and are required to provide disclosure statements.  In addition, agents </w:t>
      </w:r>
      <w:r w:rsidRPr="00C50CF0">
        <w:rPr>
          <w:rFonts w:ascii="Times New Roman" w:hAnsi="Times New Roman"/>
          <w:sz w:val="26"/>
          <w:szCs w:val="26"/>
        </w:rPr>
        <w:lastRenderedPageBreak/>
        <w:t xml:space="preserve">are advised that they will be suspended or terminated if they make any misrepresentations to prospective customers.  Respond </w:t>
      </w:r>
      <w:r w:rsidR="0063715D">
        <w:rPr>
          <w:rFonts w:ascii="Times New Roman" w:hAnsi="Times New Roman"/>
          <w:sz w:val="26"/>
          <w:szCs w:val="26"/>
        </w:rPr>
        <w:t>contends</w:t>
      </w:r>
      <w:r w:rsidRPr="00C50CF0">
        <w:rPr>
          <w:rFonts w:ascii="Times New Roman" w:hAnsi="Times New Roman"/>
          <w:sz w:val="26"/>
          <w:szCs w:val="26"/>
        </w:rPr>
        <w:t xml:space="preserve"> that with the natural turnover among agents, it is unreasonable to expect an EGS to produce testimony from them, especially given Mr. Small’s unrefuted testimony about the steps taken by Respond to ensure that customers receive appropriate information.  </w:t>
      </w:r>
      <w:r w:rsidR="0063715D" w:rsidRPr="0063715D">
        <w:rPr>
          <w:rFonts w:ascii="Times New Roman" w:hAnsi="Times New Roman"/>
          <w:bCs/>
          <w:i/>
          <w:sz w:val="26"/>
          <w:szCs w:val="26"/>
        </w:rPr>
        <w:t>Id</w:t>
      </w:r>
      <w:r w:rsidR="0063715D" w:rsidRPr="0063715D">
        <w:rPr>
          <w:rFonts w:ascii="Times New Roman" w:hAnsi="Times New Roman"/>
          <w:bCs/>
          <w:sz w:val="26"/>
          <w:szCs w:val="26"/>
        </w:rPr>
        <w:t>.</w:t>
      </w:r>
      <w:r w:rsidRPr="00C50CF0">
        <w:rPr>
          <w:rFonts w:ascii="Times New Roman" w:hAnsi="Times New Roman"/>
          <w:sz w:val="26"/>
          <w:szCs w:val="26"/>
        </w:rPr>
        <w:t xml:space="preserve"> at 19-20.</w:t>
      </w:r>
    </w:p>
    <w:p w:rsidR="00C50CF0" w:rsidRPr="00C50CF0" w:rsidRDefault="00C50CF0" w:rsidP="00C50CF0">
      <w:pPr>
        <w:ind w:firstLine="1440"/>
        <w:rPr>
          <w:rFonts w:ascii="Times New Roman" w:hAnsi="Times New Roman"/>
          <w:sz w:val="26"/>
          <w:szCs w:val="26"/>
        </w:rPr>
      </w:pPr>
    </w:p>
    <w:p w:rsidR="00C50CF0" w:rsidRDefault="00C50CF0" w:rsidP="00C50CF0">
      <w:pPr>
        <w:ind w:firstLine="1440"/>
        <w:rPr>
          <w:rFonts w:ascii="Times New Roman" w:hAnsi="Times New Roman"/>
          <w:sz w:val="26"/>
          <w:szCs w:val="26"/>
        </w:rPr>
      </w:pPr>
      <w:r w:rsidRPr="00C50CF0">
        <w:rPr>
          <w:rFonts w:ascii="Times New Roman" w:hAnsi="Times New Roman"/>
          <w:sz w:val="26"/>
          <w:szCs w:val="26"/>
        </w:rPr>
        <w:t xml:space="preserve">Respond </w:t>
      </w:r>
      <w:r w:rsidR="00DC622B">
        <w:rPr>
          <w:rFonts w:ascii="Times New Roman" w:hAnsi="Times New Roman"/>
          <w:sz w:val="26"/>
          <w:szCs w:val="26"/>
        </w:rPr>
        <w:t xml:space="preserve">repeats its contention </w:t>
      </w:r>
      <w:r w:rsidR="00562CE8">
        <w:rPr>
          <w:rFonts w:ascii="Times New Roman" w:hAnsi="Times New Roman"/>
          <w:sz w:val="26"/>
          <w:szCs w:val="26"/>
        </w:rPr>
        <w:t xml:space="preserve">from its Main Brief </w:t>
      </w:r>
      <w:r w:rsidR="00DC622B">
        <w:rPr>
          <w:rFonts w:ascii="Times New Roman" w:hAnsi="Times New Roman"/>
          <w:sz w:val="26"/>
          <w:szCs w:val="26"/>
        </w:rPr>
        <w:t>that it is im</w:t>
      </w:r>
      <w:r w:rsidRPr="00C50CF0">
        <w:rPr>
          <w:rFonts w:ascii="Times New Roman" w:hAnsi="Times New Roman"/>
          <w:sz w:val="26"/>
          <w:szCs w:val="26"/>
        </w:rPr>
        <w:t xml:space="preserve">possible to know </w:t>
      </w:r>
      <w:r w:rsidR="00562CE8">
        <w:rPr>
          <w:rFonts w:ascii="Times New Roman" w:hAnsi="Times New Roman"/>
          <w:sz w:val="26"/>
          <w:szCs w:val="26"/>
        </w:rPr>
        <w:t xml:space="preserve">precisely </w:t>
      </w:r>
      <w:r w:rsidRPr="00C50CF0">
        <w:rPr>
          <w:rFonts w:ascii="Times New Roman" w:hAnsi="Times New Roman"/>
          <w:sz w:val="26"/>
          <w:szCs w:val="26"/>
        </w:rPr>
        <w:t xml:space="preserve">what the sales agent told the Complainant </w:t>
      </w:r>
      <w:r w:rsidR="00562CE8">
        <w:rPr>
          <w:rFonts w:ascii="Times New Roman" w:hAnsi="Times New Roman"/>
          <w:sz w:val="26"/>
          <w:szCs w:val="26"/>
        </w:rPr>
        <w:t xml:space="preserve">but that </w:t>
      </w:r>
      <w:r w:rsidRPr="00C50CF0">
        <w:rPr>
          <w:rFonts w:ascii="Times New Roman" w:hAnsi="Times New Roman"/>
          <w:sz w:val="26"/>
          <w:szCs w:val="26"/>
        </w:rPr>
        <w:t>the Company adequately trained the agent to provide the correct information</w:t>
      </w:r>
      <w:r w:rsidR="00562CE8">
        <w:rPr>
          <w:rFonts w:ascii="Times New Roman" w:hAnsi="Times New Roman"/>
          <w:sz w:val="26"/>
          <w:szCs w:val="26"/>
        </w:rPr>
        <w:t xml:space="preserve">, and the inherent potential for misunderstanding of </w:t>
      </w:r>
      <w:r w:rsidRPr="00C50CF0">
        <w:rPr>
          <w:rFonts w:ascii="Times New Roman" w:hAnsi="Times New Roman"/>
          <w:sz w:val="26"/>
          <w:szCs w:val="26"/>
        </w:rPr>
        <w:t xml:space="preserve">verbal discussions </w:t>
      </w:r>
      <w:r w:rsidR="00562CE8">
        <w:rPr>
          <w:rFonts w:ascii="Times New Roman" w:hAnsi="Times New Roman"/>
          <w:sz w:val="26"/>
          <w:szCs w:val="26"/>
        </w:rPr>
        <w:t xml:space="preserve">is why EGSs are required to </w:t>
      </w:r>
      <w:r w:rsidRPr="00C50CF0">
        <w:rPr>
          <w:rFonts w:ascii="Times New Roman" w:hAnsi="Times New Roman"/>
          <w:sz w:val="26"/>
          <w:szCs w:val="26"/>
        </w:rPr>
        <w:t xml:space="preserve">provide </w:t>
      </w:r>
      <w:r w:rsidR="00562CE8">
        <w:rPr>
          <w:rFonts w:ascii="Times New Roman" w:hAnsi="Times New Roman"/>
          <w:sz w:val="26"/>
          <w:szCs w:val="26"/>
        </w:rPr>
        <w:t xml:space="preserve">written </w:t>
      </w:r>
      <w:r w:rsidRPr="00C50CF0">
        <w:rPr>
          <w:rFonts w:ascii="Times New Roman" w:hAnsi="Times New Roman"/>
          <w:sz w:val="26"/>
          <w:szCs w:val="26"/>
        </w:rPr>
        <w:t>disclosure statements</w:t>
      </w:r>
      <w:r w:rsidR="00562CE8">
        <w:rPr>
          <w:rFonts w:ascii="Times New Roman" w:hAnsi="Times New Roman"/>
          <w:sz w:val="26"/>
          <w:szCs w:val="26"/>
        </w:rPr>
        <w:t xml:space="preserve">. </w:t>
      </w:r>
      <w:r w:rsidRPr="00C50CF0">
        <w:rPr>
          <w:rFonts w:ascii="Times New Roman" w:hAnsi="Times New Roman"/>
          <w:sz w:val="26"/>
          <w:szCs w:val="26"/>
        </w:rPr>
        <w:t xml:space="preserve"> Respond </w:t>
      </w:r>
      <w:r w:rsidR="00562CE8">
        <w:rPr>
          <w:rFonts w:ascii="Times New Roman" w:hAnsi="Times New Roman"/>
          <w:sz w:val="26"/>
          <w:szCs w:val="26"/>
        </w:rPr>
        <w:t xml:space="preserve">concludes that </w:t>
      </w:r>
      <w:r w:rsidRPr="00C50CF0">
        <w:rPr>
          <w:rFonts w:ascii="Times New Roman" w:hAnsi="Times New Roman"/>
          <w:sz w:val="26"/>
          <w:szCs w:val="26"/>
        </w:rPr>
        <w:t xml:space="preserve">the ALJ erred in relying on uncorroborated hearsay testimony </w:t>
      </w:r>
      <w:r w:rsidR="00562CE8">
        <w:rPr>
          <w:rFonts w:ascii="Times New Roman" w:hAnsi="Times New Roman"/>
          <w:sz w:val="26"/>
          <w:szCs w:val="26"/>
        </w:rPr>
        <w:t xml:space="preserve">in finding </w:t>
      </w:r>
      <w:r w:rsidRPr="00C50CF0">
        <w:rPr>
          <w:rFonts w:ascii="Times New Roman" w:hAnsi="Times New Roman"/>
          <w:sz w:val="26"/>
          <w:szCs w:val="26"/>
        </w:rPr>
        <w:t xml:space="preserve">that </w:t>
      </w:r>
      <w:r w:rsidR="00562CE8">
        <w:rPr>
          <w:rFonts w:ascii="Times New Roman" w:hAnsi="Times New Roman"/>
          <w:sz w:val="26"/>
          <w:szCs w:val="26"/>
        </w:rPr>
        <w:t>its</w:t>
      </w:r>
      <w:r w:rsidRPr="00C50CF0">
        <w:rPr>
          <w:rFonts w:ascii="Times New Roman" w:hAnsi="Times New Roman"/>
          <w:sz w:val="26"/>
          <w:szCs w:val="26"/>
        </w:rPr>
        <w:t xml:space="preserve"> agent made misleading representations to the Complainant.  </w:t>
      </w:r>
      <w:r w:rsidR="0063715D" w:rsidRPr="0063715D">
        <w:rPr>
          <w:rFonts w:ascii="Times New Roman" w:hAnsi="Times New Roman"/>
          <w:bCs/>
          <w:i/>
          <w:sz w:val="26"/>
          <w:szCs w:val="26"/>
        </w:rPr>
        <w:t>Id</w:t>
      </w:r>
      <w:r w:rsidR="0063715D" w:rsidRPr="0063715D">
        <w:rPr>
          <w:rFonts w:ascii="Times New Roman" w:hAnsi="Times New Roman"/>
          <w:bCs/>
          <w:sz w:val="26"/>
          <w:szCs w:val="26"/>
        </w:rPr>
        <w:t>.</w:t>
      </w:r>
      <w:r w:rsidRPr="00C50CF0">
        <w:rPr>
          <w:rFonts w:ascii="Times New Roman" w:hAnsi="Times New Roman"/>
          <w:sz w:val="26"/>
          <w:szCs w:val="26"/>
        </w:rPr>
        <w:t xml:space="preserve"> at</w:t>
      </w:r>
      <w:r w:rsidR="0039531F">
        <w:rPr>
          <w:rFonts w:ascii="Times New Roman" w:hAnsi="Times New Roman"/>
          <w:sz w:val="26"/>
          <w:szCs w:val="26"/>
        </w:rPr>
        <w:t> </w:t>
      </w:r>
      <w:r w:rsidRPr="00C50CF0">
        <w:rPr>
          <w:rFonts w:ascii="Times New Roman" w:hAnsi="Times New Roman"/>
          <w:sz w:val="26"/>
          <w:szCs w:val="26"/>
        </w:rPr>
        <w:t>20-21.</w:t>
      </w:r>
    </w:p>
    <w:p w:rsidR="00C50CF0" w:rsidRPr="00C50CF0" w:rsidRDefault="00C50CF0" w:rsidP="00C50CF0">
      <w:pPr>
        <w:ind w:firstLine="1440"/>
        <w:rPr>
          <w:rFonts w:ascii="Times New Roman" w:hAnsi="Times New Roman"/>
          <w:sz w:val="26"/>
          <w:szCs w:val="26"/>
        </w:rPr>
      </w:pPr>
    </w:p>
    <w:p w:rsidR="00C50CF0" w:rsidRPr="00562CE8" w:rsidRDefault="00C50CF0" w:rsidP="00521D8D">
      <w:pPr>
        <w:keepNext/>
        <w:keepLines/>
        <w:ind w:firstLine="1440"/>
        <w:rPr>
          <w:rFonts w:ascii="Times New Roman" w:hAnsi="Times New Roman"/>
          <w:sz w:val="26"/>
          <w:szCs w:val="26"/>
        </w:rPr>
      </w:pPr>
      <w:r w:rsidRPr="00C50CF0">
        <w:rPr>
          <w:rFonts w:ascii="Times New Roman" w:hAnsi="Times New Roman"/>
          <w:b/>
          <w:sz w:val="26"/>
          <w:szCs w:val="26"/>
        </w:rPr>
        <w:t>c.</w:t>
      </w:r>
      <w:r w:rsidRPr="00C50CF0">
        <w:rPr>
          <w:rFonts w:ascii="Times New Roman" w:hAnsi="Times New Roman"/>
          <w:b/>
          <w:sz w:val="26"/>
          <w:szCs w:val="26"/>
        </w:rPr>
        <w:tab/>
      </w:r>
      <w:r w:rsidR="00B8234A">
        <w:rPr>
          <w:rFonts w:ascii="Times New Roman" w:hAnsi="Times New Roman"/>
          <w:b/>
          <w:sz w:val="26"/>
          <w:szCs w:val="26"/>
        </w:rPr>
        <w:t xml:space="preserve">The OCA’s </w:t>
      </w:r>
      <w:r w:rsidRPr="00C50CF0">
        <w:rPr>
          <w:rFonts w:ascii="Times New Roman" w:hAnsi="Times New Roman"/>
          <w:b/>
          <w:sz w:val="26"/>
          <w:szCs w:val="26"/>
        </w:rPr>
        <w:t>Repl</w:t>
      </w:r>
      <w:r w:rsidR="00B8234A">
        <w:rPr>
          <w:rFonts w:ascii="Times New Roman" w:hAnsi="Times New Roman"/>
          <w:b/>
          <w:sz w:val="26"/>
          <w:szCs w:val="26"/>
        </w:rPr>
        <w:t>y</w:t>
      </w:r>
      <w:r w:rsidRPr="00C50CF0">
        <w:rPr>
          <w:rFonts w:ascii="Times New Roman" w:hAnsi="Times New Roman"/>
          <w:b/>
          <w:sz w:val="26"/>
          <w:szCs w:val="26"/>
        </w:rPr>
        <w:t xml:space="preserve"> </w:t>
      </w:r>
    </w:p>
    <w:p w:rsidR="00C50CF0" w:rsidRPr="00562CE8" w:rsidRDefault="00C50CF0" w:rsidP="00521D8D">
      <w:pPr>
        <w:keepNext/>
        <w:keepLines/>
        <w:ind w:firstLine="1440"/>
        <w:rPr>
          <w:rFonts w:ascii="Times New Roman" w:hAnsi="Times New Roman"/>
          <w:sz w:val="26"/>
          <w:szCs w:val="26"/>
        </w:rPr>
      </w:pPr>
    </w:p>
    <w:p w:rsidR="00C50CF0" w:rsidRPr="00C50CF0" w:rsidRDefault="00562CE8" w:rsidP="00C50CF0">
      <w:pPr>
        <w:ind w:firstLine="1440"/>
        <w:rPr>
          <w:rFonts w:ascii="Times New Roman" w:hAnsi="Times New Roman"/>
          <w:sz w:val="26"/>
          <w:szCs w:val="26"/>
        </w:rPr>
      </w:pPr>
      <w:r>
        <w:rPr>
          <w:rFonts w:ascii="Times New Roman" w:hAnsi="Times New Roman"/>
          <w:sz w:val="26"/>
          <w:szCs w:val="26"/>
        </w:rPr>
        <w:t>T</w:t>
      </w:r>
      <w:r w:rsidR="00C50CF0" w:rsidRPr="00C50CF0">
        <w:rPr>
          <w:rFonts w:ascii="Times New Roman" w:hAnsi="Times New Roman"/>
          <w:sz w:val="26"/>
          <w:szCs w:val="26"/>
        </w:rPr>
        <w:t xml:space="preserve">he OCA </w:t>
      </w:r>
      <w:r>
        <w:rPr>
          <w:rFonts w:ascii="Times New Roman" w:hAnsi="Times New Roman"/>
          <w:sz w:val="26"/>
          <w:szCs w:val="26"/>
        </w:rPr>
        <w:t xml:space="preserve">replies </w:t>
      </w:r>
      <w:r w:rsidR="00C50CF0" w:rsidRPr="00C50CF0">
        <w:rPr>
          <w:rFonts w:ascii="Times New Roman" w:hAnsi="Times New Roman"/>
          <w:sz w:val="26"/>
          <w:szCs w:val="26"/>
        </w:rPr>
        <w:t xml:space="preserve">that Respond is incorrect that Mr. Herp’s testimony is hearsay.  The OCA asserts that Mr. Herp’s testimony is his first-person account of his personal knowledge provided under oath and subject to cross-examination.  </w:t>
      </w:r>
      <w:r w:rsidR="0063715D">
        <w:rPr>
          <w:rFonts w:ascii="Times New Roman" w:hAnsi="Times New Roman"/>
          <w:sz w:val="26"/>
          <w:szCs w:val="26"/>
        </w:rPr>
        <w:t>T</w:t>
      </w:r>
      <w:r w:rsidR="00C50CF0" w:rsidRPr="00C50CF0">
        <w:rPr>
          <w:rFonts w:ascii="Times New Roman" w:hAnsi="Times New Roman"/>
          <w:sz w:val="26"/>
          <w:szCs w:val="26"/>
        </w:rPr>
        <w:t xml:space="preserve">he OCA </w:t>
      </w:r>
      <w:r w:rsidR="0063715D">
        <w:rPr>
          <w:rFonts w:ascii="Times New Roman" w:hAnsi="Times New Roman"/>
          <w:sz w:val="26"/>
          <w:szCs w:val="26"/>
        </w:rPr>
        <w:t xml:space="preserve">similarly </w:t>
      </w:r>
      <w:r w:rsidR="00C50CF0" w:rsidRPr="00C50CF0">
        <w:rPr>
          <w:rFonts w:ascii="Times New Roman" w:hAnsi="Times New Roman"/>
          <w:sz w:val="26"/>
          <w:szCs w:val="26"/>
        </w:rPr>
        <w:t xml:space="preserve">asserts that Mr. Hackett’s testimony is also his first-person account of his interaction with a Respond agent.  The OCA </w:t>
      </w:r>
      <w:r>
        <w:rPr>
          <w:rFonts w:ascii="Times New Roman" w:hAnsi="Times New Roman"/>
          <w:sz w:val="26"/>
          <w:szCs w:val="26"/>
        </w:rPr>
        <w:t>claims</w:t>
      </w:r>
      <w:r w:rsidR="00C50CF0" w:rsidRPr="00C50CF0">
        <w:rPr>
          <w:rFonts w:ascii="Times New Roman" w:hAnsi="Times New Roman"/>
          <w:sz w:val="26"/>
          <w:szCs w:val="26"/>
        </w:rPr>
        <w:t xml:space="preserve"> that although Respond uses the label “hearsay” liberally, the Company does not cite to a legal definition.  </w:t>
      </w:r>
      <w:r>
        <w:rPr>
          <w:rFonts w:ascii="Times New Roman" w:hAnsi="Times New Roman"/>
          <w:sz w:val="26"/>
          <w:szCs w:val="26"/>
        </w:rPr>
        <w:t>T</w:t>
      </w:r>
      <w:r w:rsidR="00C50CF0" w:rsidRPr="00C50CF0">
        <w:rPr>
          <w:rFonts w:ascii="Times New Roman" w:hAnsi="Times New Roman"/>
          <w:sz w:val="26"/>
          <w:szCs w:val="26"/>
        </w:rPr>
        <w:t>he OCA</w:t>
      </w:r>
      <w:r>
        <w:rPr>
          <w:rFonts w:ascii="Times New Roman" w:hAnsi="Times New Roman"/>
          <w:sz w:val="26"/>
          <w:szCs w:val="26"/>
        </w:rPr>
        <w:t xml:space="preserve"> quotes </w:t>
      </w:r>
      <w:r w:rsidR="00C50CF0" w:rsidRPr="00C50CF0">
        <w:rPr>
          <w:rFonts w:ascii="Times New Roman" w:hAnsi="Times New Roman"/>
          <w:sz w:val="26"/>
          <w:szCs w:val="26"/>
        </w:rPr>
        <w:t xml:space="preserve">Pennsylvania Rule of Evidence 801(c) </w:t>
      </w:r>
      <w:r>
        <w:rPr>
          <w:rFonts w:ascii="Times New Roman" w:hAnsi="Times New Roman"/>
          <w:sz w:val="26"/>
          <w:szCs w:val="26"/>
        </w:rPr>
        <w:t xml:space="preserve">as </w:t>
      </w:r>
      <w:r w:rsidR="00C50CF0" w:rsidRPr="00C50CF0">
        <w:rPr>
          <w:rFonts w:ascii="Times New Roman" w:hAnsi="Times New Roman"/>
          <w:sz w:val="26"/>
          <w:szCs w:val="26"/>
        </w:rPr>
        <w:t>defin</w:t>
      </w:r>
      <w:r>
        <w:rPr>
          <w:rFonts w:ascii="Times New Roman" w:hAnsi="Times New Roman"/>
          <w:sz w:val="26"/>
          <w:szCs w:val="26"/>
        </w:rPr>
        <w:t>ing</w:t>
      </w:r>
      <w:r w:rsidR="00C50CF0" w:rsidRPr="00C50CF0">
        <w:rPr>
          <w:rFonts w:ascii="Times New Roman" w:hAnsi="Times New Roman"/>
          <w:sz w:val="26"/>
          <w:szCs w:val="26"/>
        </w:rPr>
        <w:t xml:space="preserve"> “hearsay” </w:t>
      </w:r>
      <w:r>
        <w:rPr>
          <w:rFonts w:ascii="Times New Roman" w:hAnsi="Times New Roman"/>
          <w:sz w:val="26"/>
          <w:szCs w:val="26"/>
        </w:rPr>
        <w:t xml:space="preserve">to be </w:t>
      </w:r>
      <w:r w:rsidR="00C50CF0" w:rsidRPr="00C50CF0">
        <w:rPr>
          <w:rFonts w:ascii="Times New Roman" w:hAnsi="Times New Roman"/>
          <w:sz w:val="26"/>
          <w:szCs w:val="26"/>
        </w:rPr>
        <w:t xml:space="preserve">“a statement that (1) the declarant does not make while testifying at the current trial or hearing; and (2) a party offers in evidence to prove the truth of the matter asserted in the statement.”  </w:t>
      </w:r>
      <w:proofErr w:type="gramStart"/>
      <w:r w:rsidR="0063715D">
        <w:rPr>
          <w:rFonts w:ascii="Times New Roman" w:hAnsi="Times New Roman"/>
          <w:sz w:val="26"/>
          <w:szCs w:val="26"/>
        </w:rPr>
        <w:t>OCA R.</w:t>
      </w:r>
      <w:r>
        <w:rPr>
          <w:rFonts w:ascii="Times New Roman" w:hAnsi="Times New Roman"/>
          <w:sz w:val="26"/>
          <w:szCs w:val="26"/>
        </w:rPr>
        <w:t> </w:t>
      </w:r>
      <w:r w:rsidR="0063715D">
        <w:rPr>
          <w:rFonts w:ascii="Times New Roman" w:hAnsi="Times New Roman"/>
          <w:sz w:val="26"/>
          <w:szCs w:val="26"/>
        </w:rPr>
        <w:t>Exc. at 13</w:t>
      </w:r>
      <w:r w:rsidR="00C50CF0" w:rsidRPr="00C50CF0">
        <w:rPr>
          <w:rFonts w:ascii="Times New Roman" w:hAnsi="Times New Roman"/>
          <w:sz w:val="26"/>
          <w:szCs w:val="26"/>
        </w:rPr>
        <w:t>.</w:t>
      </w:r>
      <w:proofErr w:type="gramEnd"/>
      <w:r w:rsidR="00C50CF0" w:rsidRPr="00C50CF0">
        <w:rPr>
          <w:rFonts w:ascii="Times New Roman" w:hAnsi="Times New Roman"/>
          <w:sz w:val="26"/>
          <w:szCs w:val="26"/>
        </w:rPr>
        <w:t xml:space="preserve">  The OCA </w:t>
      </w:r>
      <w:r>
        <w:rPr>
          <w:rFonts w:ascii="Times New Roman" w:hAnsi="Times New Roman"/>
          <w:sz w:val="26"/>
          <w:szCs w:val="26"/>
        </w:rPr>
        <w:t xml:space="preserve">concludes </w:t>
      </w:r>
      <w:r w:rsidR="00C50CF0" w:rsidRPr="00C50CF0">
        <w:rPr>
          <w:rFonts w:ascii="Times New Roman" w:hAnsi="Times New Roman"/>
          <w:sz w:val="26"/>
          <w:szCs w:val="26"/>
        </w:rPr>
        <w:t>that Mr. Herp’s first</w:t>
      </w:r>
      <w:r w:rsidR="00B8234A">
        <w:rPr>
          <w:rFonts w:ascii="Times New Roman" w:hAnsi="Times New Roman"/>
          <w:sz w:val="26"/>
          <w:szCs w:val="26"/>
        </w:rPr>
        <w:t>-</w:t>
      </w:r>
      <w:r w:rsidR="00C50CF0" w:rsidRPr="00C50CF0">
        <w:rPr>
          <w:rFonts w:ascii="Times New Roman" w:hAnsi="Times New Roman"/>
          <w:sz w:val="26"/>
          <w:szCs w:val="26"/>
        </w:rPr>
        <w:t>person testimony regarding his impressions, understanding</w:t>
      </w:r>
      <w:r w:rsidR="0063715D">
        <w:rPr>
          <w:rFonts w:ascii="Times New Roman" w:hAnsi="Times New Roman"/>
          <w:sz w:val="26"/>
          <w:szCs w:val="26"/>
        </w:rPr>
        <w:t>,</w:t>
      </w:r>
      <w:r w:rsidR="00C50CF0" w:rsidRPr="00C50CF0">
        <w:rPr>
          <w:rFonts w:ascii="Times New Roman" w:hAnsi="Times New Roman"/>
          <w:sz w:val="26"/>
          <w:szCs w:val="26"/>
        </w:rPr>
        <w:t xml:space="preserve"> and state of mind after listening to the sales pitch of Respond’s sales agent is not hearsay.  The OCA contends likewise</w:t>
      </w:r>
      <w:r w:rsidR="0063715D">
        <w:rPr>
          <w:rFonts w:ascii="Times New Roman" w:hAnsi="Times New Roman"/>
          <w:sz w:val="26"/>
          <w:szCs w:val="26"/>
        </w:rPr>
        <w:t xml:space="preserve"> that </w:t>
      </w:r>
      <w:r w:rsidR="00C50CF0" w:rsidRPr="00C50CF0">
        <w:rPr>
          <w:rFonts w:ascii="Times New Roman" w:hAnsi="Times New Roman"/>
          <w:sz w:val="26"/>
          <w:szCs w:val="26"/>
        </w:rPr>
        <w:t xml:space="preserve">Mr. Hackett’s testimony regarding his own personal encounter with a different Respond sales agent </w:t>
      </w:r>
      <w:r w:rsidR="00B8234A">
        <w:rPr>
          <w:rFonts w:ascii="Times New Roman" w:hAnsi="Times New Roman"/>
          <w:sz w:val="26"/>
          <w:szCs w:val="26"/>
        </w:rPr>
        <w:t>is</w:t>
      </w:r>
      <w:r w:rsidR="00C50CF0" w:rsidRPr="00C50CF0">
        <w:rPr>
          <w:rFonts w:ascii="Times New Roman" w:hAnsi="Times New Roman"/>
          <w:sz w:val="26"/>
          <w:szCs w:val="26"/>
        </w:rPr>
        <w:t xml:space="preserve"> </w:t>
      </w:r>
      <w:r w:rsidR="00C50CF0" w:rsidRPr="00C50CF0">
        <w:rPr>
          <w:rFonts w:ascii="Times New Roman" w:hAnsi="Times New Roman"/>
          <w:sz w:val="26"/>
          <w:szCs w:val="26"/>
        </w:rPr>
        <w:lastRenderedPageBreak/>
        <w:t>not hearsay</w:t>
      </w:r>
      <w:r w:rsidR="00B8234A">
        <w:rPr>
          <w:rFonts w:ascii="Times New Roman" w:hAnsi="Times New Roman"/>
          <w:sz w:val="26"/>
          <w:szCs w:val="26"/>
        </w:rPr>
        <w:t xml:space="preserve"> and was </w:t>
      </w:r>
      <w:r w:rsidR="006D561F">
        <w:rPr>
          <w:rFonts w:ascii="Times New Roman" w:hAnsi="Times New Roman"/>
          <w:sz w:val="26"/>
          <w:szCs w:val="26"/>
        </w:rPr>
        <w:t xml:space="preserve">correctly </w:t>
      </w:r>
      <w:r w:rsidR="00B8234A">
        <w:rPr>
          <w:rFonts w:ascii="Times New Roman" w:hAnsi="Times New Roman"/>
          <w:sz w:val="26"/>
          <w:szCs w:val="26"/>
        </w:rPr>
        <w:t>found by the ALJ not only to corroborate the testimony of Mr. Herp but also to rebut the vague testimony of Respond’s witness Small</w:t>
      </w:r>
      <w:r w:rsidR="00C50CF0" w:rsidRPr="00C50CF0">
        <w:rPr>
          <w:rFonts w:ascii="Times New Roman" w:hAnsi="Times New Roman"/>
          <w:sz w:val="26"/>
          <w:szCs w:val="26"/>
        </w:rPr>
        <w:t xml:space="preserve">.  </w:t>
      </w:r>
      <w:r w:rsidR="0063715D" w:rsidRPr="0063715D">
        <w:rPr>
          <w:rFonts w:ascii="Times New Roman" w:hAnsi="Times New Roman"/>
          <w:i/>
          <w:sz w:val="26"/>
          <w:szCs w:val="26"/>
        </w:rPr>
        <w:t>Id</w:t>
      </w:r>
      <w:r w:rsidR="0063715D">
        <w:rPr>
          <w:rFonts w:ascii="Times New Roman" w:hAnsi="Times New Roman"/>
          <w:sz w:val="26"/>
          <w:szCs w:val="26"/>
        </w:rPr>
        <w:t xml:space="preserve">. </w:t>
      </w:r>
      <w:r w:rsidR="00C50CF0" w:rsidRPr="00C50CF0">
        <w:rPr>
          <w:rFonts w:ascii="Times New Roman" w:hAnsi="Times New Roman"/>
          <w:sz w:val="26"/>
          <w:szCs w:val="26"/>
        </w:rPr>
        <w:t>at</w:t>
      </w:r>
      <w:r w:rsidR="00B8234A">
        <w:rPr>
          <w:rFonts w:ascii="Times New Roman" w:hAnsi="Times New Roman"/>
          <w:sz w:val="26"/>
          <w:szCs w:val="26"/>
        </w:rPr>
        <w:t> </w:t>
      </w:r>
      <w:r w:rsidR="00C50CF0" w:rsidRPr="00C50CF0">
        <w:rPr>
          <w:rFonts w:ascii="Times New Roman" w:hAnsi="Times New Roman"/>
          <w:sz w:val="26"/>
          <w:szCs w:val="26"/>
        </w:rPr>
        <w:t>1</w:t>
      </w:r>
      <w:r w:rsidR="00B8234A">
        <w:rPr>
          <w:rFonts w:ascii="Times New Roman" w:hAnsi="Times New Roman"/>
          <w:sz w:val="26"/>
          <w:szCs w:val="26"/>
        </w:rPr>
        <w:t>1</w:t>
      </w:r>
      <w:r w:rsidR="00C50CF0" w:rsidRPr="00C50CF0">
        <w:rPr>
          <w:rFonts w:ascii="Times New Roman" w:hAnsi="Times New Roman"/>
          <w:sz w:val="26"/>
          <w:szCs w:val="26"/>
        </w:rPr>
        <w:t>-13.</w:t>
      </w:r>
    </w:p>
    <w:p w:rsidR="00C50CF0" w:rsidRPr="00C50CF0" w:rsidRDefault="00C50CF0" w:rsidP="00C50CF0">
      <w:pPr>
        <w:ind w:firstLine="1440"/>
        <w:rPr>
          <w:rFonts w:ascii="Times New Roman" w:hAnsi="Times New Roman"/>
          <w:sz w:val="26"/>
          <w:szCs w:val="26"/>
        </w:rPr>
      </w:pPr>
    </w:p>
    <w:p w:rsidR="00C50CF0" w:rsidRPr="00C50CF0" w:rsidRDefault="00C50CF0" w:rsidP="00C50CF0">
      <w:pPr>
        <w:ind w:firstLine="1440"/>
        <w:rPr>
          <w:rFonts w:ascii="Times New Roman" w:hAnsi="Times New Roman"/>
          <w:sz w:val="26"/>
          <w:szCs w:val="26"/>
        </w:rPr>
      </w:pPr>
      <w:r w:rsidRPr="00C50CF0">
        <w:rPr>
          <w:rFonts w:ascii="Times New Roman" w:hAnsi="Times New Roman"/>
          <w:sz w:val="26"/>
          <w:szCs w:val="26"/>
        </w:rPr>
        <w:t xml:space="preserve">The OCA refers to </w:t>
      </w:r>
      <w:r w:rsidR="0063715D">
        <w:rPr>
          <w:rFonts w:ascii="Times New Roman" w:hAnsi="Times New Roman"/>
          <w:sz w:val="26"/>
          <w:szCs w:val="26"/>
        </w:rPr>
        <w:t>our</w:t>
      </w:r>
      <w:r w:rsidRPr="00C50CF0">
        <w:rPr>
          <w:rFonts w:ascii="Times New Roman" w:hAnsi="Times New Roman"/>
          <w:sz w:val="26"/>
          <w:szCs w:val="26"/>
        </w:rPr>
        <w:t xml:space="preserve"> decision in </w:t>
      </w:r>
      <w:r w:rsidRPr="00C50CF0">
        <w:rPr>
          <w:rFonts w:ascii="Times New Roman" w:hAnsi="Times New Roman"/>
          <w:i/>
          <w:sz w:val="26"/>
          <w:szCs w:val="26"/>
        </w:rPr>
        <w:t>Rahman v. Verizon Pennsylvania, Inc.</w:t>
      </w:r>
      <w:r w:rsidRPr="00C50CF0">
        <w:rPr>
          <w:rFonts w:ascii="Times New Roman" w:hAnsi="Times New Roman"/>
          <w:sz w:val="26"/>
          <w:szCs w:val="26"/>
        </w:rPr>
        <w:t>, Docket No. F-02009165 (Order entered May 15, 2007) (</w:t>
      </w:r>
      <w:r w:rsidRPr="00C50CF0">
        <w:rPr>
          <w:rFonts w:ascii="Times New Roman" w:hAnsi="Times New Roman"/>
          <w:i/>
          <w:sz w:val="26"/>
          <w:szCs w:val="26"/>
        </w:rPr>
        <w:t>Rahman)</w:t>
      </w:r>
      <w:r w:rsidRPr="00C50CF0">
        <w:rPr>
          <w:rFonts w:ascii="Times New Roman" w:hAnsi="Times New Roman"/>
          <w:sz w:val="26"/>
          <w:szCs w:val="26"/>
        </w:rPr>
        <w:t>.  In that case,</w:t>
      </w:r>
      <w:r w:rsidRPr="00C50CF0">
        <w:rPr>
          <w:rFonts w:ascii="Times New Roman" w:hAnsi="Times New Roman"/>
          <w:i/>
          <w:sz w:val="26"/>
          <w:szCs w:val="26"/>
        </w:rPr>
        <w:t xml:space="preserve"> </w:t>
      </w:r>
      <w:r w:rsidRPr="00C50CF0">
        <w:rPr>
          <w:rFonts w:ascii="Times New Roman" w:hAnsi="Times New Roman"/>
          <w:sz w:val="26"/>
          <w:szCs w:val="26"/>
        </w:rPr>
        <w:t xml:space="preserve">we granted the </w:t>
      </w:r>
      <w:r w:rsidRPr="00C50CF0">
        <w:rPr>
          <w:rFonts w:ascii="Times New Roman" w:hAnsi="Times New Roman"/>
          <w:i/>
          <w:sz w:val="26"/>
          <w:szCs w:val="26"/>
        </w:rPr>
        <w:t>pro se</w:t>
      </w:r>
      <w:r w:rsidRPr="00C50CF0">
        <w:rPr>
          <w:rFonts w:ascii="Times New Roman" w:hAnsi="Times New Roman"/>
          <w:sz w:val="26"/>
          <w:szCs w:val="26"/>
        </w:rPr>
        <w:t xml:space="preserve"> complainant’s objection to the testimony of the Verizon witness as uncorroborated hearsay because, while based upon review of Verizon’s business records, those records were not entered into evidence and the Verizon witness otherwise had no first-hand knowledge of Verizon’s steps taken to terminate Ms. Rahman’s service.  The OCA states that the Commission noted, under the same </w:t>
      </w:r>
      <w:r w:rsidRPr="00C50CF0">
        <w:rPr>
          <w:rFonts w:ascii="Times New Roman" w:hAnsi="Times New Roman"/>
          <w:i/>
          <w:sz w:val="26"/>
          <w:szCs w:val="26"/>
        </w:rPr>
        <w:t>Walker</w:t>
      </w:r>
      <w:r w:rsidRPr="00C50CF0">
        <w:rPr>
          <w:rFonts w:ascii="Times New Roman" w:hAnsi="Times New Roman"/>
          <w:sz w:val="26"/>
          <w:szCs w:val="26"/>
        </w:rPr>
        <w:t xml:space="preserve"> decision cited by Respond, that “the </w:t>
      </w:r>
      <w:r w:rsidRPr="00C50CF0">
        <w:rPr>
          <w:rFonts w:ascii="Times New Roman" w:hAnsi="Times New Roman"/>
          <w:i/>
          <w:sz w:val="26"/>
          <w:szCs w:val="26"/>
        </w:rPr>
        <w:t>Walker</w:t>
      </w:r>
      <w:r w:rsidRPr="00C50CF0">
        <w:rPr>
          <w:rFonts w:ascii="Times New Roman" w:hAnsi="Times New Roman"/>
          <w:sz w:val="26"/>
          <w:szCs w:val="26"/>
        </w:rPr>
        <w:t xml:space="preserve"> decision tells us that the portion of the Verizon witness’ testimony that is not based on first-hand knowledge or is not supported by other competent evidence cannot be the basis for a finding in this case.”  OCA R. Exc. at 13, quoting </w:t>
      </w:r>
      <w:r w:rsidRPr="00C50CF0">
        <w:rPr>
          <w:rFonts w:ascii="Times New Roman" w:hAnsi="Times New Roman"/>
          <w:i/>
          <w:sz w:val="26"/>
          <w:szCs w:val="26"/>
        </w:rPr>
        <w:t>Rahman</w:t>
      </w:r>
      <w:r w:rsidRPr="00C50CF0">
        <w:rPr>
          <w:rFonts w:ascii="Times New Roman" w:hAnsi="Times New Roman"/>
          <w:sz w:val="26"/>
          <w:szCs w:val="26"/>
        </w:rPr>
        <w:t xml:space="preserve"> at 8.  The OCA further notes that the Commission denied Verizon’s request for reconsideration, stating as follows:</w:t>
      </w:r>
    </w:p>
    <w:p w:rsidR="00C50CF0" w:rsidRPr="00C50CF0" w:rsidRDefault="00C50CF0" w:rsidP="00C50CF0">
      <w:pPr>
        <w:ind w:firstLine="1440"/>
        <w:rPr>
          <w:rFonts w:ascii="Times New Roman" w:hAnsi="Times New Roman"/>
          <w:sz w:val="26"/>
          <w:szCs w:val="26"/>
        </w:rPr>
      </w:pPr>
    </w:p>
    <w:p w:rsidR="00C50CF0" w:rsidRDefault="00C50CF0" w:rsidP="006D561F">
      <w:pPr>
        <w:spacing w:line="240" w:lineRule="auto"/>
        <w:ind w:left="1440" w:right="1440"/>
        <w:rPr>
          <w:rFonts w:ascii="Times New Roman" w:hAnsi="Times New Roman"/>
          <w:sz w:val="26"/>
          <w:szCs w:val="26"/>
        </w:rPr>
      </w:pPr>
      <w:r w:rsidRPr="00C50CF0">
        <w:rPr>
          <w:rFonts w:ascii="Times New Roman" w:hAnsi="Times New Roman"/>
          <w:sz w:val="26"/>
          <w:szCs w:val="26"/>
        </w:rPr>
        <w:t xml:space="preserve">The Verizon PA witness offered testimony as to the events she assumed had </w:t>
      </w:r>
      <w:proofErr w:type="gramStart"/>
      <w:r w:rsidRPr="00C50CF0">
        <w:rPr>
          <w:rFonts w:ascii="Times New Roman" w:hAnsi="Times New Roman"/>
          <w:sz w:val="26"/>
          <w:szCs w:val="26"/>
        </w:rPr>
        <w:t>occurred,</w:t>
      </w:r>
      <w:proofErr w:type="gramEnd"/>
      <w:r w:rsidRPr="00C50CF0">
        <w:rPr>
          <w:rFonts w:ascii="Times New Roman" w:hAnsi="Times New Roman"/>
          <w:sz w:val="26"/>
          <w:szCs w:val="26"/>
        </w:rPr>
        <w:t xml:space="preserve"> based on Verizon PA’s practices and policies.  However, the only evidence in the record of the actual events that transpired in this case was Ms. Rahman’s testimony.  In such an instance, greater weight must clearly be given to the testimony of the person who was actually there.</w:t>
      </w:r>
    </w:p>
    <w:p w:rsidR="006D561F" w:rsidRDefault="006D561F" w:rsidP="006D561F">
      <w:pPr>
        <w:spacing w:line="240" w:lineRule="auto"/>
        <w:ind w:left="1440" w:right="1440"/>
        <w:rPr>
          <w:rFonts w:ascii="Times New Roman" w:hAnsi="Times New Roman"/>
          <w:sz w:val="26"/>
          <w:szCs w:val="26"/>
        </w:rPr>
      </w:pPr>
    </w:p>
    <w:p w:rsidR="006D561F" w:rsidRPr="00C50CF0" w:rsidRDefault="006D561F" w:rsidP="006D561F">
      <w:pPr>
        <w:spacing w:line="240" w:lineRule="auto"/>
        <w:ind w:left="1440" w:right="1440"/>
        <w:rPr>
          <w:rFonts w:ascii="Times New Roman" w:hAnsi="Times New Roman"/>
          <w:sz w:val="26"/>
          <w:szCs w:val="26"/>
        </w:rPr>
      </w:pPr>
    </w:p>
    <w:p w:rsidR="00C50CF0" w:rsidRPr="00C50CF0" w:rsidRDefault="006D561F" w:rsidP="006D561F">
      <w:pPr>
        <w:rPr>
          <w:rFonts w:ascii="Times New Roman" w:hAnsi="Times New Roman"/>
          <w:sz w:val="26"/>
          <w:szCs w:val="26"/>
        </w:rPr>
      </w:pPr>
      <w:r w:rsidRPr="006D561F">
        <w:rPr>
          <w:rFonts w:ascii="Times New Roman" w:hAnsi="Times New Roman"/>
          <w:sz w:val="26"/>
          <w:szCs w:val="26"/>
        </w:rPr>
        <w:t xml:space="preserve">OCA R. Exc. at 13, </w:t>
      </w:r>
      <w:r>
        <w:rPr>
          <w:rFonts w:ascii="Times New Roman" w:hAnsi="Times New Roman"/>
          <w:sz w:val="26"/>
          <w:szCs w:val="26"/>
        </w:rPr>
        <w:t xml:space="preserve">quoting </w:t>
      </w:r>
      <w:r w:rsidR="00C50CF0" w:rsidRPr="00C50CF0">
        <w:rPr>
          <w:rFonts w:ascii="Times New Roman" w:hAnsi="Times New Roman"/>
          <w:i/>
          <w:sz w:val="26"/>
          <w:szCs w:val="26"/>
        </w:rPr>
        <w:t>Rahman v. Verizon Pennsylvania, Inc.</w:t>
      </w:r>
      <w:r w:rsidR="00C50CF0" w:rsidRPr="00C50CF0">
        <w:rPr>
          <w:rFonts w:ascii="Times New Roman" w:hAnsi="Times New Roman"/>
          <w:sz w:val="26"/>
          <w:szCs w:val="26"/>
        </w:rPr>
        <w:t>, Docket No. F</w:t>
      </w:r>
      <w:r w:rsidR="008518FD">
        <w:rPr>
          <w:rFonts w:ascii="Times New Roman" w:hAnsi="Times New Roman"/>
          <w:sz w:val="26"/>
          <w:szCs w:val="26"/>
        </w:rPr>
        <w:noBreakHyphen/>
      </w:r>
      <w:r w:rsidR="00C50CF0" w:rsidRPr="00C50CF0">
        <w:rPr>
          <w:rFonts w:ascii="Times New Roman" w:hAnsi="Times New Roman"/>
          <w:sz w:val="26"/>
          <w:szCs w:val="26"/>
        </w:rPr>
        <w:t>02009165 (Order entered September 4, 2007) (</w:t>
      </w:r>
      <w:r w:rsidR="00C50CF0" w:rsidRPr="00C50CF0">
        <w:rPr>
          <w:rFonts w:ascii="Times New Roman" w:hAnsi="Times New Roman"/>
          <w:i/>
          <w:sz w:val="26"/>
          <w:szCs w:val="26"/>
        </w:rPr>
        <w:t>Rahman Reconsideration Order)</w:t>
      </w:r>
      <w:r w:rsidR="00C50CF0" w:rsidRPr="00C50CF0">
        <w:rPr>
          <w:rFonts w:ascii="Times New Roman" w:hAnsi="Times New Roman"/>
          <w:sz w:val="26"/>
          <w:szCs w:val="26"/>
        </w:rPr>
        <w:t xml:space="preserve"> at 7.</w:t>
      </w:r>
    </w:p>
    <w:p w:rsidR="00C50CF0" w:rsidRPr="00C50CF0" w:rsidRDefault="00C50CF0" w:rsidP="00C50CF0">
      <w:pPr>
        <w:ind w:firstLine="1440"/>
        <w:rPr>
          <w:rFonts w:ascii="Times New Roman" w:hAnsi="Times New Roman"/>
          <w:sz w:val="26"/>
          <w:szCs w:val="26"/>
        </w:rPr>
      </w:pPr>
    </w:p>
    <w:p w:rsidR="00C50CF0" w:rsidRPr="00C50CF0" w:rsidRDefault="00C50CF0" w:rsidP="00C50CF0">
      <w:pPr>
        <w:ind w:firstLine="1440"/>
        <w:rPr>
          <w:rFonts w:ascii="Times New Roman" w:hAnsi="Times New Roman"/>
          <w:sz w:val="26"/>
          <w:szCs w:val="26"/>
        </w:rPr>
      </w:pPr>
      <w:r w:rsidRPr="00C50CF0">
        <w:rPr>
          <w:rFonts w:ascii="Times New Roman" w:hAnsi="Times New Roman"/>
          <w:sz w:val="26"/>
          <w:szCs w:val="26"/>
        </w:rPr>
        <w:t xml:space="preserve">The OCA </w:t>
      </w:r>
      <w:r w:rsidR="006D561F">
        <w:rPr>
          <w:rFonts w:ascii="Times New Roman" w:hAnsi="Times New Roman"/>
          <w:sz w:val="26"/>
          <w:szCs w:val="26"/>
        </w:rPr>
        <w:t>argues</w:t>
      </w:r>
      <w:r w:rsidRPr="00C50CF0">
        <w:rPr>
          <w:rFonts w:ascii="Times New Roman" w:hAnsi="Times New Roman"/>
          <w:sz w:val="26"/>
          <w:szCs w:val="26"/>
        </w:rPr>
        <w:t xml:space="preserve"> that based on </w:t>
      </w:r>
      <w:r w:rsidRPr="00C50CF0">
        <w:rPr>
          <w:rFonts w:ascii="Times New Roman" w:hAnsi="Times New Roman"/>
          <w:i/>
          <w:sz w:val="26"/>
          <w:szCs w:val="26"/>
        </w:rPr>
        <w:t>Walker, Rahman, Rahman Reconsideration Order</w:t>
      </w:r>
      <w:r w:rsidR="00562CE8">
        <w:rPr>
          <w:rFonts w:ascii="Times New Roman" w:hAnsi="Times New Roman"/>
          <w:sz w:val="26"/>
          <w:szCs w:val="26"/>
        </w:rPr>
        <w:t>,</w:t>
      </w:r>
      <w:r w:rsidRPr="00C50CF0">
        <w:rPr>
          <w:rFonts w:ascii="Times New Roman" w:hAnsi="Times New Roman"/>
          <w:i/>
          <w:sz w:val="26"/>
          <w:szCs w:val="26"/>
        </w:rPr>
        <w:t xml:space="preserve"> </w:t>
      </w:r>
      <w:r w:rsidRPr="00C50CF0">
        <w:rPr>
          <w:rFonts w:ascii="Times New Roman" w:hAnsi="Times New Roman"/>
          <w:sz w:val="26"/>
          <w:szCs w:val="26"/>
        </w:rPr>
        <w:t xml:space="preserve">and Pa. R.E. 801(c), the Commission should deny Respond’s Exception No. 2.  </w:t>
      </w:r>
      <w:r w:rsidR="006D561F">
        <w:rPr>
          <w:rFonts w:ascii="Times New Roman" w:hAnsi="Times New Roman"/>
          <w:sz w:val="26"/>
          <w:szCs w:val="26"/>
        </w:rPr>
        <w:t>T</w:t>
      </w:r>
      <w:r w:rsidRPr="00C50CF0">
        <w:rPr>
          <w:rFonts w:ascii="Times New Roman" w:hAnsi="Times New Roman"/>
          <w:sz w:val="26"/>
          <w:szCs w:val="26"/>
        </w:rPr>
        <w:t>he OCA</w:t>
      </w:r>
      <w:r w:rsidR="006D561F">
        <w:rPr>
          <w:rFonts w:ascii="Times New Roman" w:hAnsi="Times New Roman"/>
          <w:sz w:val="26"/>
          <w:szCs w:val="26"/>
        </w:rPr>
        <w:t xml:space="preserve"> contends that </w:t>
      </w:r>
      <w:r w:rsidRPr="00C50CF0">
        <w:rPr>
          <w:rFonts w:ascii="Times New Roman" w:hAnsi="Times New Roman"/>
          <w:sz w:val="26"/>
          <w:szCs w:val="26"/>
        </w:rPr>
        <w:t xml:space="preserve">the ALJ correctly recognized that Mr. Small’s </w:t>
      </w:r>
      <w:r w:rsidR="002061DF">
        <w:rPr>
          <w:rFonts w:ascii="Times New Roman" w:hAnsi="Times New Roman"/>
          <w:sz w:val="26"/>
          <w:szCs w:val="26"/>
        </w:rPr>
        <w:t xml:space="preserve">general </w:t>
      </w:r>
      <w:r w:rsidRPr="00C50CF0">
        <w:rPr>
          <w:rFonts w:ascii="Times New Roman" w:hAnsi="Times New Roman"/>
          <w:sz w:val="26"/>
          <w:szCs w:val="26"/>
        </w:rPr>
        <w:t>testimony regarding Respond’s training</w:t>
      </w:r>
      <w:r w:rsidR="006D561F">
        <w:rPr>
          <w:rFonts w:ascii="Times New Roman" w:hAnsi="Times New Roman"/>
          <w:sz w:val="26"/>
          <w:szCs w:val="26"/>
        </w:rPr>
        <w:t xml:space="preserve"> and</w:t>
      </w:r>
      <w:r w:rsidRPr="00C50CF0">
        <w:rPr>
          <w:rFonts w:ascii="Times New Roman" w:hAnsi="Times New Roman"/>
          <w:sz w:val="26"/>
          <w:szCs w:val="26"/>
        </w:rPr>
        <w:t xml:space="preserve"> oversight</w:t>
      </w:r>
      <w:r w:rsidR="006D561F">
        <w:rPr>
          <w:rFonts w:ascii="Times New Roman" w:hAnsi="Times New Roman"/>
          <w:sz w:val="26"/>
          <w:szCs w:val="26"/>
        </w:rPr>
        <w:t xml:space="preserve"> of sales agents lacked any </w:t>
      </w:r>
      <w:r w:rsidRPr="00C50CF0">
        <w:rPr>
          <w:rFonts w:ascii="Times New Roman" w:hAnsi="Times New Roman"/>
          <w:sz w:val="26"/>
          <w:szCs w:val="26"/>
        </w:rPr>
        <w:t xml:space="preserve">first-hand </w:t>
      </w:r>
      <w:r w:rsidRPr="00C50CF0">
        <w:rPr>
          <w:rFonts w:ascii="Times New Roman" w:hAnsi="Times New Roman"/>
          <w:sz w:val="26"/>
          <w:szCs w:val="26"/>
        </w:rPr>
        <w:lastRenderedPageBreak/>
        <w:t xml:space="preserve">knowledge of the </w:t>
      </w:r>
      <w:r w:rsidR="006D561F">
        <w:rPr>
          <w:rFonts w:ascii="Times New Roman" w:hAnsi="Times New Roman"/>
          <w:sz w:val="26"/>
          <w:szCs w:val="26"/>
        </w:rPr>
        <w:t xml:space="preserve">particular </w:t>
      </w:r>
      <w:r w:rsidRPr="00C50CF0">
        <w:rPr>
          <w:rFonts w:ascii="Times New Roman" w:hAnsi="Times New Roman"/>
          <w:sz w:val="26"/>
          <w:szCs w:val="26"/>
        </w:rPr>
        <w:t xml:space="preserve">sales agent’s conduct during the sale with Mr. Herp.  The OCA avers that the ALJ did not err in according less probative weight to Mr. Small’s general testimony </w:t>
      </w:r>
      <w:r w:rsidR="002061DF">
        <w:rPr>
          <w:rFonts w:ascii="Times New Roman" w:hAnsi="Times New Roman"/>
          <w:sz w:val="26"/>
          <w:szCs w:val="26"/>
        </w:rPr>
        <w:t xml:space="preserve">how Respond’s training is supposed to work </w:t>
      </w:r>
      <w:r w:rsidRPr="00C50CF0">
        <w:rPr>
          <w:rFonts w:ascii="Times New Roman" w:hAnsi="Times New Roman"/>
          <w:sz w:val="26"/>
          <w:szCs w:val="26"/>
        </w:rPr>
        <w:t>than to the first-hand testimonies of M</w:t>
      </w:r>
      <w:r w:rsidR="006D561F">
        <w:rPr>
          <w:rFonts w:ascii="Times New Roman" w:hAnsi="Times New Roman"/>
          <w:sz w:val="26"/>
          <w:szCs w:val="26"/>
        </w:rPr>
        <w:t>essrs</w:t>
      </w:r>
      <w:r w:rsidRPr="00C50CF0">
        <w:rPr>
          <w:rFonts w:ascii="Times New Roman" w:hAnsi="Times New Roman"/>
          <w:sz w:val="26"/>
          <w:szCs w:val="26"/>
        </w:rPr>
        <w:t>. Herp and Hackett</w:t>
      </w:r>
      <w:r w:rsidR="002061DF">
        <w:rPr>
          <w:rFonts w:ascii="Times New Roman" w:hAnsi="Times New Roman"/>
          <w:sz w:val="26"/>
          <w:szCs w:val="26"/>
        </w:rPr>
        <w:t xml:space="preserve"> about what actually happened</w:t>
      </w:r>
      <w:r w:rsidRPr="00C50CF0">
        <w:rPr>
          <w:rFonts w:ascii="Times New Roman" w:hAnsi="Times New Roman"/>
          <w:sz w:val="26"/>
          <w:szCs w:val="26"/>
        </w:rPr>
        <w:t>.  OCA R. Exc. at</w:t>
      </w:r>
      <w:r w:rsidR="002061DF">
        <w:rPr>
          <w:rFonts w:ascii="Times New Roman" w:hAnsi="Times New Roman"/>
          <w:sz w:val="26"/>
          <w:szCs w:val="26"/>
        </w:rPr>
        <w:t> </w:t>
      </w:r>
      <w:r w:rsidRPr="00C50CF0">
        <w:rPr>
          <w:rFonts w:ascii="Times New Roman" w:hAnsi="Times New Roman"/>
          <w:sz w:val="26"/>
          <w:szCs w:val="26"/>
        </w:rPr>
        <w:t>13-14.</w:t>
      </w:r>
    </w:p>
    <w:p w:rsidR="00C50CF0" w:rsidRPr="00C50CF0" w:rsidRDefault="00C50CF0" w:rsidP="00C50CF0">
      <w:pPr>
        <w:ind w:firstLine="1440"/>
        <w:rPr>
          <w:rFonts w:ascii="Times New Roman" w:hAnsi="Times New Roman"/>
          <w:sz w:val="26"/>
          <w:szCs w:val="26"/>
        </w:rPr>
      </w:pPr>
    </w:p>
    <w:p w:rsidR="00C50CF0" w:rsidRPr="008518FD" w:rsidRDefault="00C50CF0" w:rsidP="00521D8D">
      <w:pPr>
        <w:keepNext/>
        <w:keepLines/>
        <w:ind w:firstLine="1440"/>
        <w:rPr>
          <w:rFonts w:ascii="Times New Roman" w:hAnsi="Times New Roman"/>
          <w:sz w:val="26"/>
          <w:szCs w:val="26"/>
        </w:rPr>
      </w:pPr>
      <w:r w:rsidRPr="00C50CF0">
        <w:rPr>
          <w:rFonts w:ascii="Times New Roman" w:hAnsi="Times New Roman"/>
          <w:b/>
          <w:sz w:val="26"/>
          <w:szCs w:val="26"/>
        </w:rPr>
        <w:t>d.</w:t>
      </w:r>
      <w:r w:rsidRPr="00C50CF0">
        <w:rPr>
          <w:rFonts w:ascii="Times New Roman" w:hAnsi="Times New Roman"/>
          <w:b/>
          <w:sz w:val="26"/>
          <w:szCs w:val="26"/>
        </w:rPr>
        <w:tab/>
        <w:t>Disposition</w:t>
      </w:r>
    </w:p>
    <w:p w:rsidR="00C50CF0" w:rsidRPr="008518FD" w:rsidRDefault="00C50CF0" w:rsidP="00521D8D">
      <w:pPr>
        <w:keepNext/>
        <w:keepLines/>
        <w:ind w:firstLine="1440"/>
        <w:rPr>
          <w:rFonts w:ascii="Times New Roman" w:hAnsi="Times New Roman"/>
          <w:sz w:val="26"/>
          <w:szCs w:val="26"/>
        </w:rPr>
      </w:pPr>
    </w:p>
    <w:p w:rsidR="00C50CF0" w:rsidRPr="00C50CF0" w:rsidRDefault="00C50CF0" w:rsidP="00C50CF0">
      <w:pPr>
        <w:ind w:firstLine="1440"/>
        <w:rPr>
          <w:rFonts w:ascii="Times New Roman" w:hAnsi="Times New Roman"/>
          <w:sz w:val="26"/>
          <w:szCs w:val="26"/>
        </w:rPr>
      </w:pPr>
      <w:r w:rsidRPr="00C50CF0">
        <w:rPr>
          <w:rFonts w:ascii="Times New Roman" w:hAnsi="Times New Roman"/>
          <w:bCs/>
          <w:sz w:val="26"/>
          <w:szCs w:val="26"/>
        </w:rPr>
        <w:t xml:space="preserve">Based upon our review of the evidence </w:t>
      </w:r>
      <w:r w:rsidR="002339E6">
        <w:rPr>
          <w:rFonts w:ascii="Times New Roman" w:hAnsi="Times New Roman"/>
          <w:bCs/>
          <w:sz w:val="26"/>
          <w:szCs w:val="26"/>
        </w:rPr>
        <w:t>and arguments presented</w:t>
      </w:r>
      <w:r w:rsidR="0072455C">
        <w:rPr>
          <w:rFonts w:ascii="Times New Roman" w:hAnsi="Times New Roman"/>
          <w:bCs/>
          <w:sz w:val="26"/>
          <w:szCs w:val="26"/>
        </w:rPr>
        <w:t>,</w:t>
      </w:r>
      <w:r w:rsidRPr="00C50CF0">
        <w:rPr>
          <w:rFonts w:ascii="Times New Roman" w:hAnsi="Times New Roman"/>
          <w:bCs/>
          <w:sz w:val="26"/>
          <w:szCs w:val="26"/>
        </w:rPr>
        <w:t xml:space="preserve"> we deny this Exception.  </w:t>
      </w:r>
      <w:r w:rsidR="002339E6">
        <w:rPr>
          <w:rFonts w:ascii="Times New Roman" w:hAnsi="Times New Roman"/>
          <w:bCs/>
          <w:sz w:val="26"/>
          <w:szCs w:val="26"/>
        </w:rPr>
        <w:t>First, i</w:t>
      </w:r>
      <w:r w:rsidR="00A20BA3">
        <w:rPr>
          <w:rFonts w:ascii="Times New Roman" w:hAnsi="Times New Roman"/>
          <w:bCs/>
          <w:sz w:val="26"/>
          <w:szCs w:val="26"/>
        </w:rPr>
        <w:t xml:space="preserve">t is improper for a </w:t>
      </w:r>
      <w:r w:rsidRPr="00C50CF0">
        <w:rPr>
          <w:rFonts w:ascii="Times New Roman" w:hAnsi="Times New Roman"/>
          <w:sz w:val="26"/>
          <w:szCs w:val="26"/>
        </w:rPr>
        <w:t xml:space="preserve">party </w:t>
      </w:r>
      <w:r w:rsidR="00A20BA3">
        <w:rPr>
          <w:rFonts w:ascii="Times New Roman" w:hAnsi="Times New Roman"/>
          <w:sz w:val="26"/>
          <w:szCs w:val="26"/>
        </w:rPr>
        <w:t xml:space="preserve">to </w:t>
      </w:r>
      <w:r w:rsidRPr="00C50CF0">
        <w:rPr>
          <w:rFonts w:ascii="Times New Roman" w:hAnsi="Times New Roman"/>
          <w:sz w:val="26"/>
          <w:szCs w:val="26"/>
        </w:rPr>
        <w:t xml:space="preserve">raise an issue for the first time in Exceptions.  </w:t>
      </w:r>
      <w:r w:rsidR="00A20BA3">
        <w:rPr>
          <w:rFonts w:ascii="Times New Roman" w:hAnsi="Times New Roman"/>
          <w:sz w:val="26"/>
          <w:szCs w:val="26"/>
        </w:rPr>
        <w:t>P</w:t>
      </w:r>
      <w:r w:rsidRPr="00C50CF0">
        <w:rPr>
          <w:rFonts w:ascii="Times New Roman" w:hAnsi="Times New Roman"/>
          <w:sz w:val="26"/>
          <w:szCs w:val="26"/>
        </w:rPr>
        <w:t xml:space="preserve">ursuant to 52 Pa. Code § 5.533(c), statements of reasons supporting exceptions must incorporate by reference and citation relevant portions of the record and passages in previously filed briefs.  </w:t>
      </w:r>
      <w:r w:rsidR="00A20BA3">
        <w:rPr>
          <w:rFonts w:ascii="Times New Roman" w:hAnsi="Times New Roman"/>
          <w:sz w:val="26"/>
          <w:szCs w:val="26"/>
        </w:rPr>
        <w:t xml:space="preserve">Respond did not </w:t>
      </w:r>
      <w:r w:rsidR="002339E6">
        <w:rPr>
          <w:rFonts w:ascii="Times New Roman" w:hAnsi="Times New Roman"/>
          <w:sz w:val="26"/>
          <w:szCs w:val="26"/>
        </w:rPr>
        <w:t xml:space="preserve">in hearing or </w:t>
      </w:r>
      <w:r w:rsidR="00A20BA3">
        <w:rPr>
          <w:rFonts w:ascii="Times New Roman" w:hAnsi="Times New Roman"/>
          <w:sz w:val="26"/>
          <w:szCs w:val="26"/>
        </w:rPr>
        <w:t xml:space="preserve">brief </w:t>
      </w:r>
      <w:r w:rsidR="002339E6">
        <w:rPr>
          <w:rFonts w:ascii="Times New Roman" w:hAnsi="Times New Roman"/>
          <w:sz w:val="26"/>
          <w:szCs w:val="26"/>
        </w:rPr>
        <w:t xml:space="preserve">raise the issue of </w:t>
      </w:r>
      <w:r w:rsidR="00A20BA3">
        <w:rPr>
          <w:rFonts w:ascii="Times New Roman" w:hAnsi="Times New Roman"/>
          <w:sz w:val="26"/>
          <w:szCs w:val="26"/>
        </w:rPr>
        <w:t>hearsay before the ALJ</w:t>
      </w:r>
      <w:r w:rsidR="00CB3FEE">
        <w:rPr>
          <w:rFonts w:ascii="Times New Roman" w:hAnsi="Times New Roman"/>
          <w:sz w:val="26"/>
          <w:szCs w:val="26"/>
        </w:rPr>
        <w:t>, and</w:t>
      </w:r>
      <w:r w:rsidR="00A20BA3">
        <w:rPr>
          <w:rFonts w:ascii="Times New Roman" w:hAnsi="Times New Roman"/>
          <w:sz w:val="26"/>
          <w:szCs w:val="26"/>
        </w:rPr>
        <w:t xml:space="preserve"> the ALJ did not address it.  We have previously held that “</w:t>
      </w:r>
      <w:r w:rsidR="00A20BA3" w:rsidRPr="00A20BA3">
        <w:rPr>
          <w:rFonts w:ascii="Times New Roman" w:hAnsi="Times New Roman"/>
          <w:sz w:val="26"/>
          <w:szCs w:val="26"/>
        </w:rPr>
        <w:t xml:space="preserve">new arguments </w:t>
      </w:r>
      <w:r w:rsidR="00A20BA3" w:rsidRPr="00A20BA3">
        <w:rPr>
          <w:rFonts w:ascii="Times New Roman" w:hAnsi="Times New Roman"/>
          <w:bCs/>
          <w:sz w:val="26"/>
          <w:szCs w:val="26"/>
        </w:rPr>
        <w:t>may</w:t>
      </w:r>
      <w:r w:rsidR="00A20BA3" w:rsidRPr="00A20BA3">
        <w:rPr>
          <w:rFonts w:ascii="Times New Roman" w:hAnsi="Times New Roman"/>
          <w:sz w:val="26"/>
          <w:szCs w:val="26"/>
        </w:rPr>
        <w:t xml:space="preserve"> </w:t>
      </w:r>
      <w:r w:rsidR="00A20BA3" w:rsidRPr="00A20BA3">
        <w:rPr>
          <w:rFonts w:ascii="Times New Roman" w:hAnsi="Times New Roman"/>
          <w:bCs/>
          <w:sz w:val="26"/>
          <w:szCs w:val="26"/>
        </w:rPr>
        <w:t>not</w:t>
      </w:r>
      <w:r w:rsidR="00A20BA3" w:rsidRPr="00A20BA3">
        <w:rPr>
          <w:rFonts w:ascii="Times New Roman" w:hAnsi="Times New Roman"/>
          <w:sz w:val="26"/>
          <w:szCs w:val="26"/>
        </w:rPr>
        <w:t xml:space="preserve"> be raised at the exception stage of a proceeding, as it deprives </w:t>
      </w:r>
      <w:r w:rsidR="00A20BA3" w:rsidRPr="00A20BA3">
        <w:rPr>
          <w:rFonts w:ascii="Times New Roman" w:hAnsi="Times New Roman"/>
          <w:bCs/>
          <w:sz w:val="26"/>
          <w:szCs w:val="26"/>
        </w:rPr>
        <w:t>parties</w:t>
      </w:r>
      <w:r w:rsidR="00A20BA3" w:rsidRPr="00A20BA3">
        <w:rPr>
          <w:rFonts w:ascii="Times New Roman" w:hAnsi="Times New Roman"/>
          <w:sz w:val="26"/>
          <w:szCs w:val="26"/>
        </w:rPr>
        <w:t xml:space="preserve"> of the opportunity to respond.</w:t>
      </w:r>
      <w:r w:rsidR="00A20BA3">
        <w:rPr>
          <w:rFonts w:ascii="Times New Roman" w:hAnsi="Times New Roman"/>
          <w:sz w:val="26"/>
          <w:szCs w:val="26"/>
        </w:rPr>
        <w:t>”</w:t>
      </w:r>
      <w:r w:rsidR="00A20BA3" w:rsidRPr="00A20BA3">
        <w:rPr>
          <w:rFonts w:ascii="Times New Roman" w:hAnsi="Times New Roman"/>
          <w:sz w:val="26"/>
          <w:szCs w:val="26"/>
        </w:rPr>
        <w:t xml:space="preserve"> </w:t>
      </w:r>
      <w:r w:rsidR="00A20BA3">
        <w:rPr>
          <w:rFonts w:ascii="Times New Roman" w:hAnsi="Times New Roman"/>
          <w:sz w:val="26"/>
          <w:szCs w:val="26"/>
        </w:rPr>
        <w:t xml:space="preserve"> </w:t>
      </w:r>
      <w:proofErr w:type="gramStart"/>
      <w:r w:rsidR="00A20BA3">
        <w:rPr>
          <w:rFonts w:ascii="Times New Roman" w:hAnsi="Times New Roman"/>
          <w:i/>
          <w:sz w:val="26"/>
          <w:szCs w:val="26"/>
        </w:rPr>
        <w:t>Wilson v. Columbia Gas of Pennsylvania, Inc.</w:t>
      </w:r>
      <w:r w:rsidR="00A20BA3">
        <w:rPr>
          <w:rFonts w:ascii="Times New Roman" w:hAnsi="Times New Roman"/>
          <w:sz w:val="26"/>
          <w:szCs w:val="26"/>
        </w:rPr>
        <w:t xml:space="preserve">, </w:t>
      </w:r>
      <w:r w:rsidR="00A20BA3" w:rsidRPr="00A20BA3">
        <w:rPr>
          <w:rFonts w:ascii="Times New Roman" w:hAnsi="Times New Roman"/>
          <w:sz w:val="26"/>
          <w:szCs w:val="26"/>
        </w:rPr>
        <w:t xml:space="preserve">2013 WL 6835138 </w:t>
      </w:r>
      <w:r w:rsidR="00A20BA3">
        <w:rPr>
          <w:rFonts w:ascii="Times New Roman" w:hAnsi="Times New Roman"/>
          <w:sz w:val="26"/>
          <w:szCs w:val="26"/>
        </w:rPr>
        <w:t xml:space="preserve">(Pa.P.U.C.) at *5, </w:t>
      </w:r>
      <w:r w:rsidR="00A20BA3" w:rsidRPr="00A20BA3">
        <w:rPr>
          <w:rFonts w:ascii="Times New Roman" w:hAnsi="Times New Roman"/>
          <w:sz w:val="26"/>
          <w:szCs w:val="26"/>
        </w:rPr>
        <w:t xml:space="preserve">citing </w:t>
      </w:r>
      <w:r w:rsidR="00A20BA3" w:rsidRPr="00A20BA3">
        <w:rPr>
          <w:rFonts w:ascii="Times New Roman" w:hAnsi="Times New Roman"/>
          <w:i/>
          <w:iCs/>
          <w:sz w:val="26"/>
          <w:szCs w:val="26"/>
        </w:rPr>
        <w:t>Application of PPL Electric Utilities Corporation</w:t>
      </w:r>
      <w:r w:rsidR="00A20BA3" w:rsidRPr="00A20BA3">
        <w:rPr>
          <w:rFonts w:ascii="Times New Roman" w:hAnsi="Times New Roman"/>
          <w:sz w:val="26"/>
          <w:szCs w:val="26"/>
        </w:rPr>
        <w:t>, Docket No.</w:t>
      </w:r>
      <w:proofErr w:type="gramEnd"/>
      <w:r w:rsidR="00A20BA3" w:rsidRPr="00A20BA3">
        <w:rPr>
          <w:rFonts w:ascii="Times New Roman" w:hAnsi="Times New Roman"/>
          <w:sz w:val="26"/>
          <w:szCs w:val="26"/>
        </w:rPr>
        <w:t xml:space="preserve"> A-2011-2267349 (Order entered July 16, 2013).</w:t>
      </w:r>
      <w:r w:rsidR="00763C97">
        <w:rPr>
          <w:rFonts w:ascii="Times New Roman" w:hAnsi="Times New Roman"/>
          <w:sz w:val="26"/>
          <w:szCs w:val="26"/>
        </w:rPr>
        <w:t xml:space="preserve">  </w:t>
      </w:r>
      <w:r w:rsidR="00763C97">
        <w:rPr>
          <w:rFonts w:ascii="Times New Roman" w:hAnsi="Times New Roman"/>
          <w:i/>
          <w:sz w:val="26"/>
          <w:szCs w:val="26"/>
        </w:rPr>
        <w:t>See also Payne v. Philadelphia Gas Works</w:t>
      </w:r>
      <w:r w:rsidR="00763C97">
        <w:rPr>
          <w:rFonts w:ascii="Times New Roman" w:hAnsi="Times New Roman"/>
          <w:sz w:val="26"/>
          <w:szCs w:val="26"/>
        </w:rPr>
        <w:t xml:space="preserve">, Docket No. </w:t>
      </w:r>
      <w:r w:rsidR="008E511A" w:rsidRPr="008E511A">
        <w:rPr>
          <w:rFonts w:ascii="Times New Roman" w:hAnsi="Times New Roman"/>
          <w:sz w:val="26"/>
          <w:szCs w:val="26"/>
        </w:rPr>
        <w:t>C-2011-2247124</w:t>
      </w:r>
      <w:r w:rsidR="008E511A">
        <w:rPr>
          <w:rFonts w:ascii="Times New Roman" w:hAnsi="Times New Roman"/>
          <w:sz w:val="26"/>
          <w:szCs w:val="26"/>
        </w:rPr>
        <w:t xml:space="preserve"> (Order entered February 6, 2012) (An issue not raised in a complaint is improperly raised in exceptions, and even if it had been, would not have changed the disposition.).</w:t>
      </w:r>
      <w:r w:rsidR="00A20BA3">
        <w:rPr>
          <w:rFonts w:ascii="Times New Roman" w:hAnsi="Times New Roman"/>
          <w:sz w:val="26"/>
          <w:szCs w:val="26"/>
        </w:rPr>
        <w:t xml:space="preserve">  </w:t>
      </w:r>
      <w:r w:rsidRPr="00A20BA3">
        <w:rPr>
          <w:rFonts w:ascii="Times New Roman" w:hAnsi="Times New Roman"/>
          <w:sz w:val="26"/>
          <w:szCs w:val="26"/>
        </w:rPr>
        <w:t>Respond’s</w:t>
      </w:r>
      <w:r w:rsidRPr="00C50CF0">
        <w:rPr>
          <w:rFonts w:ascii="Times New Roman" w:hAnsi="Times New Roman"/>
          <w:sz w:val="26"/>
          <w:szCs w:val="26"/>
        </w:rPr>
        <w:t xml:space="preserve"> hearsay argument, therefore, </w:t>
      </w:r>
      <w:proofErr w:type="gramStart"/>
      <w:r w:rsidRPr="00C50CF0">
        <w:rPr>
          <w:rFonts w:ascii="Times New Roman" w:hAnsi="Times New Roman"/>
          <w:sz w:val="26"/>
          <w:szCs w:val="26"/>
        </w:rPr>
        <w:t>raised</w:t>
      </w:r>
      <w:proofErr w:type="gramEnd"/>
      <w:r w:rsidRPr="00C50CF0">
        <w:rPr>
          <w:rFonts w:ascii="Times New Roman" w:hAnsi="Times New Roman"/>
          <w:sz w:val="26"/>
          <w:szCs w:val="26"/>
        </w:rPr>
        <w:t xml:space="preserve"> for the first time in Exceptions, has been waived.</w:t>
      </w:r>
    </w:p>
    <w:p w:rsidR="00C50CF0" w:rsidRPr="00C50CF0" w:rsidRDefault="00C50CF0" w:rsidP="00C50CF0">
      <w:pPr>
        <w:ind w:firstLine="1440"/>
        <w:rPr>
          <w:rFonts w:ascii="Times New Roman" w:hAnsi="Times New Roman"/>
          <w:sz w:val="26"/>
          <w:szCs w:val="26"/>
        </w:rPr>
      </w:pPr>
    </w:p>
    <w:p w:rsidR="00C50CF0" w:rsidRPr="00C50CF0" w:rsidRDefault="00C50CF0" w:rsidP="00C50CF0">
      <w:pPr>
        <w:ind w:firstLine="1440"/>
        <w:rPr>
          <w:rFonts w:ascii="Times New Roman" w:hAnsi="Times New Roman"/>
          <w:bCs/>
          <w:sz w:val="26"/>
          <w:szCs w:val="26"/>
        </w:rPr>
      </w:pPr>
      <w:r w:rsidRPr="00C50CF0">
        <w:rPr>
          <w:rFonts w:ascii="Times New Roman" w:hAnsi="Times New Roman"/>
          <w:sz w:val="26"/>
          <w:szCs w:val="26"/>
        </w:rPr>
        <w:t xml:space="preserve">Nevertheless, so that the evidentiary support for our findings in this case is clear, upon our review of the ALJ’s </w:t>
      </w:r>
      <w:r w:rsidR="0072455C">
        <w:rPr>
          <w:rFonts w:ascii="Times New Roman" w:hAnsi="Times New Roman"/>
          <w:sz w:val="26"/>
          <w:szCs w:val="26"/>
        </w:rPr>
        <w:t xml:space="preserve">evaluation </w:t>
      </w:r>
      <w:r w:rsidRPr="00C50CF0">
        <w:rPr>
          <w:rFonts w:ascii="Times New Roman" w:hAnsi="Times New Roman"/>
          <w:sz w:val="26"/>
          <w:szCs w:val="26"/>
        </w:rPr>
        <w:t xml:space="preserve">of the evidence </w:t>
      </w:r>
      <w:r w:rsidR="0072455C" w:rsidRPr="0072455C">
        <w:rPr>
          <w:rFonts w:ascii="Times New Roman" w:hAnsi="Times New Roman"/>
          <w:sz w:val="26"/>
          <w:szCs w:val="26"/>
        </w:rPr>
        <w:t>and disposition</w:t>
      </w:r>
      <w:r w:rsidRPr="00C50CF0">
        <w:rPr>
          <w:rFonts w:ascii="Times New Roman" w:hAnsi="Times New Roman"/>
          <w:sz w:val="26"/>
          <w:szCs w:val="26"/>
        </w:rPr>
        <w:t>, we find that the testimonies of Messrs. Herp and Hackett support the ALJ’s findings of violations of our marketing and sales Regulations.  We</w:t>
      </w:r>
      <w:r w:rsidRPr="00C50CF0">
        <w:rPr>
          <w:rFonts w:ascii="Times New Roman" w:hAnsi="Times New Roman"/>
          <w:bCs/>
          <w:sz w:val="26"/>
          <w:szCs w:val="26"/>
        </w:rPr>
        <w:t xml:space="preserve"> are persuaded by the position expressed by the OCA that the ALJ properly relied upon the testimonies of M</w:t>
      </w:r>
      <w:r w:rsidR="00FE7EE7">
        <w:rPr>
          <w:rFonts w:ascii="Times New Roman" w:hAnsi="Times New Roman"/>
          <w:bCs/>
          <w:sz w:val="26"/>
          <w:szCs w:val="26"/>
        </w:rPr>
        <w:t>essrs</w:t>
      </w:r>
      <w:r w:rsidRPr="00C50CF0">
        <w:rPr>
          <w:rFonts w:ascii="Times New Roman" w:hAnsi="Times New Roman"/>
          <w:bCs/>
          <w:sz w:val="26"/>
          <w:szCs w:val="26"/>
        </w:rPr>
        <w:t>. Herp and Hackett</w:t>
      </w:r>
      <w:r w:rsidR="00FE7EE7">
        <w:rPr>
          <w:rFonts w:ascii="Times New Roman" w:hAnsi="Times New Roman"/>
          <w:bCs/>
          <w:sz w:val="26"/>
          <w:szCs w:val="26"/>
        </w:rPr>
        <w:t>,</w:t>
      </w:r>
      <w:r w:rsidRPr="00C50CF0">
        <w:rPr>
          <w:rFonts w:ascii="Times New Roman" w:hAnsi="Times New Roman"/>
          <w:bCs/>
          <w:sz w:val="26"/>
          <w:szCs w:val="26"/>
        </w:rPr>
        <w:t xml:space="preserve"> and we conclude that their testimony is not uncorroborated hearsay incapable of </w:t>
      </w:r>
      <w:r w:rsidRPr="00C50CF0">
        <w:rPr>
          <w:rFonts w:ascii="Times New Roman" w:hAnsi="Times New Roman"/>
          <w:bCs/>
          <w:sz w:val="26"/>
          <w:szCs w:val="26"/>
        </w:rPr>
        <w:lastRenderedPageBreak/>
        <w:t xml:space="preserve">supporting a finding as argued by Respond.  We find that Mr. Herp has supported his Complaint with credible testimony, based on his first-hand contact with Respond’s agent.  We note that Mr. Herp exercised care and questioned the sales agent’s claims that Respond’s variable priced service would provide savings compared to West Penn’s supply service.  </w:t>
      </w:r>
      <w:r w:rsidR="00FE7EE7">
        <w:rPr>
          <w:rFonts w:ascii="Times New Roman" w:hAnsi="Times New Roman"/>
          <w:bCs/>
          <w:i/>
          <w:sz w:val="26"/>
          <w:szCs w:val="26"/>
        </w:rPr>
        <w:t xml:space="preserve">See </w:t>
      </w:r>
      <w:r w:rsidRPr="00C50CF0">
        <w:rPr>
          <w:rFonts w:ascii="Times New Roman" w:hAnsi="Times New Roman"/>
          <w:bCs/>
          <w:sz w:val="26"/>
          <w:szCs w:val="26"/>
        </w:rPr>
        <w:t>Tr. at 14-15.  We also find that Mr. Hackett’s testimony is based upon his first-hand contact with a different Respond sales agent and is not uncorroborated hearsay.  In contrast, the testimony presented by Respond’s witness Mr.</w:t>
      </w:r>
      <w:r w:rsidR="009E407E">
        <w:rPr>
          <w:rFonts w:ascii="Times New Roman" w:hAnsi="Times New Roman"/>
          <w:bCs/>
          <w:sz w:val="26"/>
          <w:szCs w:val="26"/>
        </w:rPr>
        <w:t> </w:t>
      </w:r>
      <w:r w:rsidRPr="00C50CF0">
        <w:rPr>
          <w:rFonts w:ascii="Times New Roman" w:hAnsi="Times New Roman"/>
          <w:bCs/>
          <w:sz w:val="26"/>
          <w:szCs w:val="26"/>
        </w:rPr>
        <w:t>Small was general</w:t>
      </w:r>
      <w:r w:rsidR="00CB3FEE">
        <w:rPr>
          <w:rFonts w:ascii="Times New Roman" w:hAnsi="Times New Roman"/>
          <w:bCs/>
          <w:sz w:val="26"/>
          <w:szCs w:val="26"/>
        </w:rPr>
        <w:t>ized with respect to the Company’s policies and lacking any</w:t>
      </w:r>
      <w:r w:rsidRPr="00C50CF0">
        <w:rPr>
          <w:rFonts w:ascii="Times New Roman" w:hAnsi="Times New Roman"/>
          <w:bCs/>
          <w:sz w:val="26"/>
          <w:szCs w:val="26"/>
        </w:rPr>
        <w:t xml:space="preserve"> first-hand knowledge of the conversation between Mr. Herp and the sales agent.</w:t>
      </w:r>
    </w:p>
    <w:p w:rsidR="00C50CF0" w:rsidRPr="00C50CF0" w:rsidRDefault="00C50CF0" w:rsidP="00C50CF0">
      <w:pPr>
        <w:ind w:firstLine="1440"/>
        <w:rPr>
          <w:rFonts w:ascii="Times New Roman" w:hAnsi="Times New Roman"/>
          <w:bCs/>
          <w:sz w:val="26"/>
          <w:szCs w:val="26"/>
        </w:rPr>
      </w:pPr>
    </w:p>
    <w:p w:rsidR="00C50CF0" w:rsidRPr="00C50CF0" w:rsidRDefault="00C50CF0" w:rsidP="00C50CF0">
      <w:pPr>
        <w:ind w:firstLine="1440"/>
        <w:rPr>
          <w:rFonts w:ascii="Times New Roman" w:hAnsi="Times New Roman"/>
          <w:bCs/>
          <w:sz w:val="26"/>
          <w:szCs w:val="26"/>
        </w:rPr>
      </w:pPr>
      <w:r w:rsidRPr="00C50CF0">
        <w:rPr>
          <w:rFonts w:ascii="Times New Roman" w:hAnsi="Times New Roman"/>
          <w:bCs/>
          <w:sz w:val="26"/>
          <w:szCs w:val="26"/>
        </w:rPr>
        <w:t xml:space="preserve">As pointed out by the OCA, this result is consistent with our decision in </w:t>
      </w:r>
      <w:r w:rsidRPr="00C50CF0">
        <w:rPr>
          <w:rFonts w:ascii="Times New Roman" w:hAnsi="Times New Roman"/>
          <w:bCs/>
          <w:i/>
          <w:sz w:val="26"/>
          <w:szCs w:val="26"/>
        </w:rPr>
        <w:t xml:space="preserve">Rahman </w:t>
      </w:r>
      <w:r w:rsidRPr="00C50CF0">
        <w:rPr>
          <w:rFonts w:ascii="Times New Roman" w:hAnsi="Times New Roman"/>
          <w:bCs/>
          <w:sz w:val="26"/>
          <w:szCs w:val="26"/>
        </w:rPr>
        <w:t>because Mr. Herp’s testimony was the only evidence in the record of the actual events that occurred in this proceeding with respect to Mr. Herp’s transaction.  As the ALJ noted, Respond chose not to present the testimony of the actual third</w:t>
      </w:r>
      <w:r w:rsidR="00D43F74">
        <w:rPr>
          <w:rFonts w:ascii="Times New Roman" w:hAnsi="Times New Roman"/>
          <w:bCs/>
          <w:sz w:val="26"/>
          <w:szCs w:val="26"/>
        </w:rPr>
        <w:t>-</w:t>
      </w:r>
      <w:r w:rsidRPr="00C50CF0">
        <w:rPr>
          <w:rFonts w:ascii="Times New Roman" w:hAnsi="Times New Roman"/>
          <w:bCs/>
          <w:sz w:val="26"/>
          <w:szCs w:val="26"/>
        </w:rPr>
        <w:t xml:space="preserve">party marketer, its agent under our Regulations, to refute the nature of the oral representations made.  Further, as the ALJ found, Respond did not attempt to audit or investigate the actions of that agent nor did the Company even know whether that agent was still employed as a third-party marketer.  </w:t>
      </w:r>
      <w:proofErr w:type="gramStart"/>
      <w:r w:rsidRPr="00C50CF0">
        <w:rPr>
          <w:rFonts w:ascii="Times New Roman" w:hAnsi="Times New Roman"/>
          <w:bCs/>
          <w:sz w:val="26"/>
          <w:szCs w:val="26"/>
        </w:rPr>
        <w:t>I.D. at 10 (FOF No. 53), 30.</w:t>
      </w:r>
      <w:proofErr w:type="gramEnd"/>
    </w:p>
    <w:p w:rsidR="00C50CF0" w:rsidRPr="00C50CF0" w:rsidRDefault="00C50CF0" w:rsidP="00C50CF0">
      <w:pPr>
        <w:ind w:firstLine="1440"/>
        <w:rPr>
          <w:rFonts w:ascii="Times New Roman" w:hAnsi="Times New Roman"/>
          <w:bCs/>
          <w:sz w:val="26"/>
          <w:szCs w:val="26"/>
        </w:rPr>
      </w:pPr>
    </w:p>
    <w:p w:rsidR="00C50CF0" w:rsidRPr="00C50CF0" w:rsidRDefault="00C50CF0" w:rsidP="00C50CF0">
      <w:pPr>
        <w:ind w:firstLine="1440"/>
        <w:rPr>
          <w:rFonts w:ascii="Times New Roman" w:hAnsi="Times New Roman"/>
          <w:bCs/>
          <w:sz w:val="26"/>
          <w:szCs w:val="26"/>
        </w:rPr>
      </w:pPr>
      <w:r w:rsidRPr="00C50CF0">
        <w:rPr>
          <w:rFonts w:ascii="Times New Roman" w:hAnsi="Times New Roman"/>
          <w:bCs/>
          <w:sz w:val="26"/>
          <w:szCs w:val="26"/>
        </w:rPr>
        <w:t xml:space="preserve">Also as argued by the OCA, Mr. Hackett’s testimony, although presented out of order in that it was presented after Mr. Herp’s testimony but before Respond presented the testimony of Mr. Small, served to impeach the testimony of Mr. Small.  </w:t>
      </w:r>
      <w:r w:rsidRPr="00C50CF0">
        <w:rPr>
          <w:rFonts w:ascii="Times New Roman" w:hAnsi="Times New Roman"/>
          <w:bCs/>
          <w:i/>
          <w:sz w:val="26"/>
          <w:szCs w:val="26"/>
        </w:rPr>
        <w:t xml:space="preserve">See </w:t>
      </w:r>
      <w:r w:rsidRPr="00C50CF0">
        <w:rPr>
          <w:rFonts w:ascii="Times New Roman" w:hAnsi="Times New Roman"/>
          <w:bCs/>
          <w:sz w:val="26"/>
          <w:szCs w:val="26"/>
        </w:rPr>
        <w:t>Tr. at 44, citing Pa. R.E. 607.</w:t>
      </w:r>
      <w:r w:rsidRPr="00C50CF0">
        <w:rPr>
          <w:rFonts w:ascii="Times New Roman" w:hAnsi="Times New Roman"/>
          <w:bCs/>
          <w:sz w:val="26"/>
          <w:szCs w:val="26"/>
          <w:vertAlign w:val="superscript"/>
        </w:rPr>
        <w:footnoteReference w:id="6"/>
      </w:r>
      <w:r w:rsidRPr="00C50CF0">
        <w:rPr>
          <w:rFonts w:ascii="Times New Roman" w:hAnsi="Times New Roman"/>
          <w:bCs/>
          <w:sz w:val="26"/>
          <w:szCs w:val="26"/>
        </w:rPr>
        <w:t xml:space="preserve">  Respond provided Mr. Small’s testimony about the Company’s general training and auditing practices to refute Mr. Herp’s testimony that, in essence, the Company’s training was sufficient to overcome any allegation that an agent would orally misrepresent a sales offer.  As the ALJ found, and we affirm:</w:t>
      </w:r>
    </w:p>
    <w:p w:rsidR="00C50CF0" w:rsidRPr="00C50CF0" w:rsidRDefault="00C50CF0" w:rsidP="00C50CF0">
      <w:pPr>
        <w:ind w:firstLine="1440"/>
        <w:rPr>
          <w:rFonts w:ascii="Times New Roman" w:hAnsi="Times New Roman"/>
          <w:bCs/>
          <w:sz w:val="26"/>
          <w:szCs w:val="26"/>
        </w:rPr>
      </w:pPr>
    </w:p>
    <w:p w:rsidR="00C50CF0" w:rsidRDefault="00C50CF0" w:rsidP="00C50CF0">
      <w:pPr>
        <w:spacing w:line="240" w:lineRule="auto"/>
        <w:ind w:left="1440" w:right="1440" w:firstLine="1440"/>
        <w:rPr>
          <w:rFonts w:ascii="Times New Roman" w:hAnsi="Times New Roman"/>
          <w:bCs/>
          <w:sz w:val="26"/>
          <w:szCs w:val="26"/>
        </w:rPr>
      </w:pPr>
      <w:r w:rsidRPr="00C50CF0">
        <w:rPr>
          <w:rFonts w:ascii="Times New Roman" w:hAnsi="Times New Roman"/>
          <w:bCs/>
          <w:sz w:val="26"/>
          <w:szCs w:val="26"/>
        </w:rPr>
        <w:t>The testimony of Respond Power General Counsel and witness Adam Small was insufficient to counter Mr. Herp’s testimony that Respond made misrepresentations regarding limits on the variability of Respond’s pricing, as corroborated by Mr. Hackett who heard a similar message from a different Respond sales agent in the same community in roughly the same time period.  Respond’s witness Adam Small simply testified that Respond sales agents are not allowed, based on training, to make misrepresentations as to pricing or savings.</w:t>
      </w:r>
    </w:p>
    <w:p w:rsidR="00211E3D" w:rsidRPr="00C50CF0" w:rsidRDefault="00211E3D" w:rsidP="00521D8D">
      <w:pPr>
        <w:ind w:left="1440" w:right="1440" w:firstLine="1440"/>
        <w:rPr>
          <w:rFonts w:ascii="Times New Roman" w:hAnsi="Times New Roman"/>
          <w:bCs/>
          <w:sz w:val="26"/>
          <w:szCs w:val="26"/>
        </w:rPr>
      </w:pPr>
    </w:p>
    <w:p w:rsidR="00C50CF0" w:rsidRPr="00C50CF0" w:rsidRDefault="00C50CF0" w:rsidP="00C50CF0">
      <w:pPr>
        <w:rPr>
          <w:rFonts w:ascii="Times New Roman" w:hAnsi="Times New Roman"/>
          <w:bCs/>
          <w:sz w:val="26"/>
          <w:szCs w:val="26"/>
        </w:rPr>
      </w:pPr>
      <w:proofErr w:type="gramStart"/>
      <w:r w:rsidRPr="00C50CF0">
        <w:rPr>
          <w:rFonts w:ascii="Times New Roman" w:hAnsi="Times New Roman"/>
          <w:bCs/>
          <w:sz w:val="26"/>
          <w:szCs w:val="26"/>
        </w:rPr>
        <w:t>I.D. at 30.</w:t>
      </w:r>
      <w:proofErr w:type="gramEnd"/>
    </w:p>
    <w:p w:rsidR="00C50CF0" w:rsidRPr="00C50CF0" w:rsidRDefault="00C50CF0" w:rsidP="00C50CF0">
      <w:pPr>
        <w:ind w:firstLine="1440"/>
        <w:rPr>
          <w:rFonts w:ascii="Times New Roman" w:hAnsi="Times New Roman"/>
          <w:bCs/>
          <w:sz w:val="26"/>
          <w:szCs w:val="26"/>
        </w:rPr>
      </w:pPr>
    </w:p>
    <w:p w:rsidR="00C50CF0" w:rsidRPr="00C50CF0" w:rsidRDefault="00C50CF0" w:rsidP="00C50CF0">
      <w:pPr>
        <w:ind w:firstLine="1440"/>
        <w:rPr>
          <w:rFonts w:ascii="Times New Roman" w:hAnsi="Times New Roman"/>
          <w:bCs/>
          <w:sz w:val="26"/>
          <w:szCs w:val="26"/>
        </w:rPr>
      </w:pPr>
      <w:r w:rsidRPr="00C50CF0">
        <w:rPr>
          <w:rFonts w:ascii="Times New Roman" w:hAnsi="Times New Roman"/>
          <w:bCs/>
          <w:sz w:val="26"/>
          <w:szCs w:val="26"/>
        </w:rPr>
        <w:t xml:space="preserve">Finally, in addition to constituting first-hand knowledge of the contents of the oral sales presentation and therefore a subject to which both Messrs’ Herp and Hackett may testify to support a finding, as contended by the OCA, we also note the statements to which Respond now takes issue were statements made by its agents.  The contents of an agent’s oral sales representations constitute an opposing party’s statement, previously referred to in Pennsylvania case law as a party admission, which is an exception to the hearsay rule regardless of the availability of the agent as a witness.  </w:t>
      </w:r>
      <w:r w:rsidRPr="00C50CF0">
        <w:rPr>
          <w:rFonts w:ascii="Times New Roman" w:hAnsi="Times New Roman"/>
          <w:bCs/>
          <w:i/>
          <w:sz w:val="26"/>
          <w:szCs w:val="26"/>
        </w:rPr>
        <w:t>See</w:t>
      </w:r>
      <w:r w:rsidR="00521D8D">
        <w:rPr>
          <w:rFonts w:ascii="Times New Roman" w:hAnsi="Times New Roman"/>
          <w:bCs/>
          <w:i/>
          <w:sz w:val="26"/>
          <w:szCs w:val="26"/>
        </w:rPr>
        <w:t> </w:t>
      </w:r>
      <w:r w:rsidRPr="00C50CF0">
        <w:rPr>
          <w:rFonts w:ascii="Times New Roman" w:hAnsi="Times New Roman"/>
          <w:bCs/>
          <w:sz w:val="26"/>
          <w:szCs w:val="26"/>
        </w:rPr>
        <w:t>Pa. R.E. 803(25).</w:t>
      </w:r>
      <w:r w:rsidRPr="00C50CF0">
        <w:rPr>
          <w:rFonts w:ascii="Times New Roman" w:hAnsi="Times New Roman"/>
          <w:bCs/>
          <w:sz w:val="26"/>
          <w:szCs w:val="26"/>
          <w:vertAlign w:val="superscript"/>
        </w:rPr>
        <w:footnoteReference w:id="7"/>
      </w:r>
      <w:r w:rsidRPr="00C50CF0">
        <w:rPr>
          <w:rFonts w:ascii="Times New Roman" w:hAnsi="Times New Roman"/>
          <w:bCs/>
          <w:sz w:val="26"/>
          <w:szCs w:val="26"/>
        </w:rPr>
        <w:t xml:space="preserve">  Consequently, the ALJ properly considered and evaluated the testimonial evidence from both Mr. Herp and Mr. Hackett to support her findings and conclusions.  The ALJ determined that Mr. Herp’s testimony was credible</w:t>
      </w:r>
      <w:r w:rsidR="00211E3D">
        <w:rPr>
          <w:rFonts w:ascii="Times New Roman" w:hAnsi="Times New Roman"/>
          <w:bCs/>
          <w:sz w:val="26"/>
          <w:szCs w:val="26"/>
        </w:rPr>
        <w:t>,</w:t>
      </w:r>
      <w:r w:rsidRPr="00C50CF0">
        <w:rPr>
          <w:rFonts w:ascii="Times New Roman" w:hAnsi="Times New Roman"/>
          <w:bCs/>
          <w:sz w:val="26"/>
          <w:szCs w:val="26"/>
        </w:rPr>
        <w:t xml:space="preserve"> that Respond’s sales agent’s oral representation was false or misleading as to the rates Respond would charge, that the testimony of Mr. Hackett refuted the general testimony of Mr. Small that his agents are trained not to guarantee savings, and that Mr. Herp </w:t>
      </w:r>
      <w:r w:rsidRPr="00C50CF0">
        <w:rPr>
          <w:rFonts w:ascii="Times New Roman" w:hAnsi="Times New Roman"/>
          <w:bCs/>
          <w:sz w:val="26"/>
          <w:szCs w:val="26"/>
        </w:rPr>
        <w:lastRenderedPageBreak/>
        <w:t xml:space="preserve">carried his burden of proof.  </w:t>
      </w:r>
      <w:proofErr w:type="gramStart"/>
      <w:r w:rsidRPr="00C50CF0">
        <w:rPr>
          <w:rFonts w:ascii="Times New Roman" w:hAnsi="Times New Roman"/>
          <w:bCs/>
          <w:sz w:val="26"/>
          <w:szCs w:val="26"/>
        </w:rPr>
        <w:t>I.D. at 42.</w:t>
      </w:r>
      <w:proofErr w:type="gramEnd"/>
      <w:r w:rsidRPr="00C50CF0">
        <w:rPr>
          <w:rFonts w:ascii="Times New Roman" w:hAnsi="Times New Roman"/>
          <w:bCs/>
          <w:sz w:val="26"/>
          <w:szCs w:val="26"/>
        </w:rPr>
        <w:t xml:space="preserve">  Upon our review of the record, we find no reason to modify the ALJ’s evidentiary assessments, with which we agree and find to be supported by the record.</w:t>
      </w:r>
      <w:r w:rsidRPr="00C50CF0">
        <w:rPr>
          <w:rFonts w:ascii="Times New Roman" w:hAnsi="Times New Roman"/>
          <w:bCs/>
          <w:sz w:val="26"/>
          <w:szCs w:val="26"/>
          <w:vertAlign w:val="superscript"/>
        </w:rPr>
        <w:footnoteReference w:id="8"/>
      </w:r>
      <w:r w:rsidRPr="00C50CF0">
        <w:rPr>
          <w:rFonts w:ascii="Times New Roman" w:hAnsi="Times New Roman"/>
          <w:bCs/>
          <w:sz w:val="26"/>
          <w:szCs w:val="26"/>
        </w:rPr>
        <w:t xml:space="preserve"> </w:t>
      </w:r>
    </w:p>
    <w:p w:rsidR="00C50CF0" w:rsidRPr="00C50CF0" w:rsidRDefault="00C50CF0" w:rsidP="00C50CF0">
      <w:pPr>
        <w:ind w:firstLine="1440"/>
        <w:rPr>
          <w:rFonts w:ascii="Times New Roman" w:hAnsi="Times New Roman"/>
          <w:bCs/>
          <w:sz w:val="26"/>
          <w:szCs w:val="26"/>
        </w:rPr>
      </w:pPr>
    </w:p>
    <w:p w:rsidR="00D43F74" w:rsidRDefault="00C50CF0" w:rsidP="00C50CF0">
      <w:pPr>
        <w:ind w:firstLine="1440"/>
        <w:rPr>
          <w:rFonts w:ascii="Times New Roman" w:hAnsi="Times New Roman"/>
          <w:bCs/>
          <w:sz w:val="26"/>
          <w:szCs w:val="26"/>
        </w:rPr>
      </w:pPr>
      <w:r w:rsidRPr="00C50CF0">
        <w:rPr>
          <w:rFonts w:ascii="Times New Roman" w:hAnsi="Times New Roman"/>
          <w:bCs/>
          <w:sz w:val="26"/>
          <w:szCs w:val="26"/>
        </w:rPr>
        <w:t xml:space="preserve">We also find more tenable the OCA’s proposition that if there is an inconsistency between the </w:t>
      </w:r>
      <w:r w:rsidR="00D43F74">
        <w:rPr>
          <w:rFonts w:ascii="Times New Roman" w:hAnsi="Times New Roman"/>
          <w:bCs/>
          <w:sz w:val="26"/>
          <w:szCs w:val="26"/>
        </w:rPr>
        <w:t xml:space="preserve">oral </w:t>
      </w:r>
      <w:r w:rsidRPr="00C50CF0">
        <w:rPr>
          <w:rFonts w:ascii="Times New Roman" w:hAnsi="Times New Roman"/>
          <w:bCs/>
          <w:sz w:val="26"/>
          <w:szCs w:val="26"/>
        </w:rPr>
        <w:t>marketing message communicated by Respond’s sales agent and the content of Respond’s written disclosure statement regarding Respond’s pricing, the responsibility for that inconsistency lies with the EGS</w:t>
      </w:r>
      <w:r w:rsidR="00E143CA">
        <w:rPr>
          <w:rFonts w:ascii="Times New Roman" w:hAnsi="Times New Roman"/>
          <w:bCs/>
          <w:sz w:val="26"/>
          <w:szCs w:val="26"/>
        </w:rPr>
        <w:t>,</w:t>
      </w:r>
      <w:r w:rsidRPr="00C50CF0">
        <w:rPr>
          <w:rFonts w:ascii="Times New Roman" w:hAnsi="Times New Roman"/>
          <w:bCs/>
          <w:sz w:val="26"/>
          <w:szCs w:val="26"/>
        </w:rPr>
        <w:t xml:space="preserve"> the party responsible for the representations of its agents.  Contrary to Respond’s suggestion, we find it unacceptable to expect customers to produce recordings of the oral sales representations made by marketers in order to carry their burden of proving misrepresentation.</w:t>
      </w:r>
    </w:p>
    <w:p w:rsidR="00D43F74" w:rsidRDefault="00D43F74" w:rsidP="00C50CF0">
      <w:pPr>
        <w:ind w:firstLine="1440"/>
        <w:rPr>
          <w:rFonts w:ascii="Times New Roman" w:hAnsi="Times New Roman"/>
          <w:bCs/>
          <w:sz w:val="26"/>
          <w:szCs w:val="26"/>
        </w:rPr>
      </w:pPr>
    </w:p>
    <w:p w:rsidR="00C50CF0" w:rsidRDefault="00C50CF0" w:rsidP="00C50CF0">
      <w:pPr>
        <w:ind w:firstLine="1440"/>
        <w:rPr>
          <w:rFonts w:ascii="Times New Roman" w:hAnsi="Times New Roman"/>
          <w:bCs/>
          <w:sz w:val="26"/>
          <w:szCs w:val="26"/>
        </w:rPr>
      </w:pPr>
      <w:r w:rsidRPr="00C50CF0">
        <w:rPr>
          <w:rFonts w:ascii="Times New Roman" w:hAnsi="Times New Roman"/>
          <w:bCs/>
          <w:sz w:val="26"/>
          <w:szCs w:val="26"/>
        </w:rPr>
        <w:t xml:space="preserve">Customers must be able to rely on all representations made in the sales process.  While written disclosure statements are one source of information upon which customers may rely, they are equally entitled to rely on the oral </w:t>
      </w:r>
      <w:r w:rsidR="00D43F74">
        <w:rPr>
          <w:rFonts w:ascii="Times New Roman" w:hAnsi="Times New Roman"/>
          <w:bCs/>
          <w:sz w:val="26"/>
          <w:szCs w:val="26"/>
        </w:rPr>
        <w:t>marketing of a</w:t>
      </w:r>
      <w:r w:rsidRPr="00C50CF0">
        <w:rPr>
          <w:rFonts w:ascii="Times New Roman" w:hAnsi="Times New Roman"/>
          <w:bCs/>
          <w:sz w:val="26"/>
          <w:szCs w:val="26"/>
        </w:rPr>
        <w:t>n EGS’ agents</w:t>
      </w:r>
      <w:r w:rsidR="00D43F74">
        <w:rPr>
          <w:rFonts w:ascii="Times New Roman" w:hAnsi="Times New Roman"/>
          <w:bCs/>
          <w:sz w:val="26"/>
          <w:szCs w:val="26"/>
        </w:rPr>
        <w:t xml:space="preserve">.  For purposes of our review for compliance with our Regulations, the subsequently provided </w:t>
      </w:r>
      <w:r w:rsidRPr="00C50CF0">
        <w:rPr>
          <w:rFonts w:ascii="Times New Roman" w:hAnsi="Times New Roman"/>
          <w:bCs/>
          <w:sz w:val="26"/>
          <w:szCs w:val="26"/>
        </w:rPr>
        <w:t xml:space="preserve">terms in a written </w:t>
      </w:r>
      <w:r w:rsidR="00D43F74">
        <w:rPr>
          <w:rFonts w:ascii="Times New Roman" w:hAnsi="Times New Roman"/>
          <w:bCs/>
          <w:sz w:val="26"/>
          <w:szCs w:val="26"/>
        </w:rPr>
        <w:t xml:space="preserve">statement </w:t>
      </w:r>
      <w:r w:rsidRPr="00C50CF0">
        <w:rPr>
          <w:rFonts w:ascii="Times New Roman" w:hAnsi="Times New Roman"/>
          <w:bCs/>
          <w:sz w:val="26"/>
          <w:szCs w:val="26"/>
        </w:rPr>
        <w:t xml:space="preserve">do not override </w:t>
      </w:r>
      <w:r w:rsidR="00D43F74">
        <w:rPr>
          <w:rFonts w:ascii="Times New Roman" w:hAnsi="Times New Roman"/>
          <w:bCs/>
          <w:sz w:val="26"/>
          <w:szCs w:val="26"/>
        </w:rPr>
        <w:t xml:space="preserve">the </w:t>
      </w:r>
      <w:r w:rsidRPr="00C50CF0">
        <w:rPr>
          <w:rFonts w:ascii="Times New Roman" w:hAnsi="Times New Roman"/>
          <w:bCs/>
          <w:sz w:val="26"/>
          <w:szCs w:val="26"/>
        </w:rPr>
        <w:t xml:space="preserve">oral misrepresentations that may be made in the inducement of the sale.  Respond is correct that marketing involves a volume of information that may have the potential for misunderstanding.  This is all the more reason, however, why Respond’s agents must be held to our regulatory standards regarding accuracy in those disclosures when describing their product in their oral presentations.  Respond’s decision to rely on general testimony describing the training it provides its agents was, as the ALJ found, insufficient to refute </w:t>
      </w:r>
      <w:r w:rsidRPr="00C50CF0">
        <w:rPr>
          <w:rFonts w:ascii="Times New Roman" w:hAnsi="Times New Roman"/>
          <w:bCs/>
          <w:sz w:val="26"/>
          <w:szCs w:val="26"/>
        </w:rPr>
        <w:lastRenderedPageBreak/>
        <w:t>the Complainant’s evidence</w:t>
      </w:r>
      <w:r w:rsidR="00D43F74">
        <w:rPr>
          <w:rFonts w:ascii="Times New Roman" w:hAnsi="Times New Roman"/>
          <w:bCs/>
          <w:sz w:val="26"/>
          <w:szCs w:val="26"/>
        </w:rPr>
        <w:t xml:space="preserve"> of misleading statements by </w:t>
      </w:r>
      <w:r w:rsidR="00E143CA">
        <w:rPr>
          <w:rFonts w:ascii="Times New Roman" w:hAnsi="Times New Roman"/>
          <w:bCs/>
          <w:sz w:val="26"/>
          <w:szCs w:val="26"/>
        </w:rPr>
        <w:t>its</w:t>
      </w:r>
      <w:r w:rsidR="00D43F74">
        <w:rPr>
          <w:rFonts w:ascii="Times New Roman" w:hAnsi="Times New Roman"/>
          <w:bCs/>
          <w:sz w:val="26"/>
          <w:szCs w:val="26"/>
        </w:rPr>
        <w:t xml:space="preserve"> agent</w:t>
      </w:r>
      <w:r w:rsidR="00E143CA">
        <w:rPr>
          <w:rFonts w:ascii="Times New Roman" w:hAnsi="Times New Roman"/>
          <w:bCs/>
          <w:sz w:val="26"/>
          <w:szCs w:val="26"/>
        </w:rPr>
        <w:t>s</w:t>
      </w:r>
      <w:r w:rsidRPr="00C50CF0">
        <w:rPr>
          <w:rFonts w:ascii="Times New Roman" w:hAnsi="Times New Roman"/>
          <w:bCs/>
          <w:sz w:val="26"/>
          <w:szCs w:val="26"/>
        </w:rPr>
        <w:t xml:space="preserve">.  And contrary to Respond’s suggestion, </w:t>
      </w:r>
      <w:r w:rsidR="00AB0D85">
        <w:rPr>
          <w:rFonts w:ascii="Times New Roman" w:hAnsi="Times New Roman"/>
          <w:bCs/>
          <w:sz w:val="26"/>
          <w:szCs w:val="26"/>
        </w:rPr>
        <w:t>it is not impossible to p</w:t>
      </w:r>
      <w:r w:rsidRPr="00C50CF0">
        <w:rPr>
          <w:rFonts w:ascii="Times New Roman" w:hAnsi="Times New Roman"/>
          <w:bCs/>
          <w:sz w:val="26"/>
          <w:szCs w:val="26"/>
        </w:rPr>
        <w:t>roduce recordings of sales agents’ pitches.</w:t>
      </w:r>
      <w:r w:rsidRPr="00C50CF0">
        <w:rPr>
          <w:rFonts w:ascii="Times New Roman" w:hAnsi="Times New Roman"/>
          <w:bCs/>
          <w:sz w:val="26"/>
          <w:szCs w:val="26"/>
          <w:vertAlign w:val="superscript"/>
        </w:rPr>
        <w:footnoteReference w:id="9"/>
      </w:r>
    </w:p>
    <w:p w:rsidR="00521D8D" w:rsidRPr="00C50CF0" w:rsidRDefault="00521D8D" w:rsidP="00C50CF0">
      <w:pPr>
        <w:ind w:firstLine="1440"/>
        <w:rPr>
          <w:rFonts w:ascii="Times New Roman" w:hAnsi="Times New Roman"/>
          <w:bCs/>
          <w:sz w:val="26"/>
          <w:szCs w:val="26"/>
        </w:rPr>
      </w:pPr>
    </w:p>
    <w:p w:rsidR="002715C8" w:rsidRDefault="00C50CF0" w:rsidP="00C50CF0">
      <w:pPr>
        <w:ind w:firstLine="1440"/>
        <w:rPr>
          <w:rFonts w:ascii="Times New Roman" w:hAnsi="Times New Roman"/>
          <w:sz w:val="26"/>
          <w:szCs w:val="26"/>
        </w:rPr>
      </w:pPr>
      <w:r w:rsidRPr="00C50CF0">
        <w:rPr>
          <w:rFonts w:ascii="Times New Roman" w:hAnsi="Times New Roman"/>
          <w:bCs/>
          <w:sz w:val="26"/>
          <w:szCs w:val="26"/>
        </w:rPr>
        <w:t xml:space="preserve">Accordingly, we deny </w:t>
      </w:r>
      <w:r w:rsidR="00FE7EE7">
        <w:rPr>
          <w:rFonts w:ascii="Times New Roman" w:hAnsi="Times New Roman"/>
          <w:bCs/>
          <w:sz w:val="26"/>
          <w:szCs w:val="26"/>
        </w:rPr>
        <w:t xml:space="preserve">Respond’s </w:t>
      </w:r>
      <w:r w:rsidRPr="00C50CF0">
        <w:rPr>
          <w:rFonts w:ascii="Times New Roman" w:hAnsi="Times New Roman"/>
          <w:bCs/>
          <w:sz w:val="26"/>
          <w:szCs w:val="26"/>
        </w:rPr>
        <w:t>Exception on this issue and adopt the ALJ’s conclusion that Mr. Herp satisfied his burden of proving that Respond’s sales agent misrepresented th</w:t>
      </w:r>
      <w:r w:rsidR="00FE7EE7">
        <w:rPr>
          <w:rFonts w:ascii="Times New Roman" w:hAnsi="Times New Roman"/>
          <w:bCs/>
          <w:sz w:val="26"/>
          <w:szCs w:val="26"/>
        </w:rPr>
        <w:t>e</w:t>
      </w:r>
      <w:r w:rsidRPr="00C50CF0">
        <w:rPr>
          <w:rFonts w:ascii="Times New Roman" w:hAnsi="Times New Roman"/>
          <w:bCs/>
          <w:sz w:val="26"/>
          <w:szCs w:val="26"/>
        </w:rPr>
        <w:t xml:space="preserve"> nature of Respond’s product offering in his oral sales representation to Mr. Herp.</w:t>
      </w:r>
    </w:p>
    <w:p w:rsidR="002715C8" w:rsidRPr="00DE68FB" w:rsidRDefault="002715C8" w:rsidP="00DE68FB">
      <w:pPr>
        <w:rPr>
          <w:rFonts w:ascii="Times New Roman" w:hAnsi="Times New Roman"/>
          <w:sz w:val="26"/>
          <w:szCs w:val="26"/>
        </w:rPr>
      </w:pPr>
    </w:p>
    <w:p w:rsidR="00B67540" w:rsidRPr="008E511A" w:rsidRDefault="00E5450C" w:rsidP="00521D8D">
      <w:pPr>
        <w:keepNext/>
        <w:keepLines/>
        <w:rPr>
          <w:rFonts w:ascii="Times New Roman" w:hAnsi="Times New Roman"/>
          <w:sz w:val="26"/>
          <w:szCs w:val="26"/>
        </w:rPr>
      </w:pPr>
      <w:r>
        <w:rPr>
          <w:rFonts w:ascii="Times New Roman" w:hAnsi="Times New Roman"/>
          <w:b/>
          <w:sz w:val="26"/>
          <w:szCs w:val="26"/>
        </w:rPr>
        <w:tab/>
        <w:t>3</w:t>
      </w:r>
      <w:r w:rsidR="00B67540" w:rsidRPr="00DE68FB">
        <w:rPr>
          <w:rFonts w:ascii="Times New Roman" w:hAnsi="Times New Roman"/>
          <w:b/>
          <w:sz w:val="26"/>
          <w:szCs w:val="26"/>
        </w:rPr>
        <w:t>.</w:t>
      </w:r>
      <w:r w:rsidR="00B67540" w:rsidRPr="00DE68FB">
        <w:rPr>
          <w:rFonts w:ascii="Times New Roman" w:hAnsi="Times New Roman"/>
          <w:b/>
          <w:sz w:val="26"/>
          <w:szCs w:val="26"/>
        </w:rPr>
        <w:tab/>
      </w:r>
      <w:r>
        <w:rPr>
          <w:rFonts w:ascii="Times New Roman" w:hAnsi="Times New Roman"/>
          <w:b/>
          <w:sz w:val="26"/>
          <w:szCs w:val="26"/>
        </w:rPr>
        <w:t xml:space="preserve">Respond Exception No. 3 </w:t>
      </w:r>
      <w:r w:rsidR="00B67540" w:rsidRPr="00DE68FB">
        <w:rPr>
          <w:rFonts w:ascii="Times New Roman" w:hAnsi="Times New Roman"/>
          <w:b/>
          <w:sz w:val="26"/>
          <w:szCs w:val="26"/>
        </w:rPr>
        <w:t>– Refund to Complainant</w:t>
      </w:r>
    </w:p>
    <w:p w:rsidR="008E511A" w:rsidRPr="008E511A" w:rsidRDefault="008E511A" w:rsidP="00521D8D">
      <w:pPr>
        <w:keepNext/>
        <w:keepLines/>
        <w:rPr>
          <w:rFonts w:ascii="Times New Roman" w:hAnsi="Times New Roman"/>
          <w:sz w:val="26"/>
          <w:szCs w:val="26"/>
        </w:rPr>
      </w:pPr>
    </w:p>
    <w:p w:rsidR="00024713" w:rsidRPr="00E5450C" w:rsidRDefault="00E5450C" w:rsidP="00521D8D">
      <w:pPr>
        <w:keepNext/>
        <w:keepLines/>
        <w:ind w:left="720" w:firstLine="720"/>
        <w:rPr>
          <w:rFonts w:ascii="Times New Roman" w:hAnsi="Times New Roman"/>
          <w:b/>
          <w:sz w:val="26"/>
          <w:szCs w:val="26"/>
        </w:rPr>
      </w:pPr>
      <w:r>
        <w:rPr>
          <w:rFonts w:ascii="Times New Roman" w:hAnsi="Times New Roman"/>
          <w:b/>
          <w:sz w:val="26"/>
          <w:szCs w:val="26"/>
        </w:rPr>
        <w:t>a.</w:t>
      </w:r>
      <w:r>
        <w:rPr>
          <w:rFonts w:ascii="Times New Roman" w:hAnsi="Times New Roman"/>
          <w:b/>
          <w:sz w:val="26"/>
          <w:szCs w:val="26"/>
        </w:rPr>
        <w:tab/>
      </w:r>
      <w:r w:rsidR="00024713" w:rsidRPr="00E5450C">
        <w:rPr>
          <w:rFonts w:ascii="Times New Roman" w:hAnsi="Times New Roman"/>
          <w:b/>
          <w:sz w:val="26"/>
          <w:szCs w:val="26"/>
        </w:rPr>
        <w:t xml:space="preserve">ALJ’s </w:t>
      </w:r>
      <w:r w:rsidR="00B2400F">
        <w:rPr>
          <w:rFonts w:ascii="Times New Roman" w:hAnsi="Times New Roman"/>
          <w:b/>
          <w:sz w:val="26"/>
          <w:szCs w:val="26"/>
        </w:rPr>
        <w:t>Initial Decision</w:t>
      </w:r>
    </w:p>
    <w:p w:rsidR="00556BAD" w:rsidRDefault="00556BAD" w:rsidP="00521D8D">
      <w:pPr>
        <w:pStyle w:val="ListParagraph"/>
        <w:keepNext/>
        <w:keepLines/>
        <w:ind w:left="1440"/>
        <w:rPr>
          <w:rFonts w:ascii="Times New Roman" w:hAnsi="Times New Roman"/>
          <w:b/>
          <w:sz w:val="26"/>
          <w:szCs w:val="26"/>
        </w:rPr>
      </w:pPr>
    </w:p>
    <w:p w:rsidR="00805030" w:rsidRDefault="00310985" w:rsidP="00556BAD">
      <w:pPr>
        <w:pStyle w:val="BodyFirst1SS"/>
        <w:spacing w:line="360" w:lineRule="auto"/>
        <w:ind w:firstLine="1440"/>
        <w:jc w:val="left"/>
        <w:rPr>
          <w:sz w:val="26"/>
          <w:szCs w:val="26"/>
        </w:rPr>
      </w:pPr>
      <w:r>
        <w:rPr>
          <w:sz w:val="26"/>
          <w:szCs w:val="26"/>
        </w:rPr>
        <w:t>T</w:t>
      </w:r>
      <w:r w:rsidR="00556BAD">
        <w:rPr>
          <w:sz w:val="26"/>
          <w:szCs w:val="26"/>
        </w:rPr>
        <w:t xml:space="preserve">he ALJ </w:t>
      </w:r>
      <w:r>
        <w:rPr>
          <w:sz w:val="26"/>
          <w:szCs w:val="26"/>
        </w:rPr>
        <w:t>w</w:t>
      </w:r>
      <w:r w:rsidR="00556BAD">
        <w:rPr>
          <w:sz w:val="26"/>
          <w:szCs w:val="26"/>
        </w:rPr>
        <w:t xml:space="preserve">as </w:t>
      </w:r>
      <w:r w:rsidR="00556BAD" w:rsidRPr="00556BAD">
        <w:rPr>
          <w:sz w:val="26"/>
          <w:szCs w:val="26"/>
        </w:rPr>
        <w:t>not pers</w:t>
      </w:r>
      <w:r w:rsidR="00556BAD">
        <w:rPr>
          <w:sz w:val="26"/>
          <w:szCs w:val="26"/>
        </w:rPr>
        <w:t>uaded by Respond</w:t>
      </w:r>
      <w:r w:rsidR="00556BAD" w:rsidRPr="00556BAD">
        <w:rPr>
          <w:sz w:val="26"/>
          <w:szCs w:val="26"/>
        </w:rPr>
        <w:t xml:space="preserve">’s </w:t>
      </w:r>
      <w:r>
        <w:rPr>
          <w:sz w:val="26"/>
          <w:szCs w:val="26"/>
        </w:rPr>
        <w:t>argument</w:t>
      </w:r>
      <w:r w:rsidR="00556BAD" w:rsidRPr="00556BAD">
        <w:rPr>
          <w:sz w:val="26"/>
          <w:szCs w:val="26"/>
        </w:rPr>
        <w:t xml:space="preserve"> that the Commission lack</w:t>
      </w:r>
      <w:r w:rsidR="00D43F74">
        <w:rPr>
          <w:sz w:val="26"/>
          <w:szCs w:val="26"/>
        </w:rPr>
        <w:t>ed</w:t>
      </w:r>
      <w:r w:rsidR="00556BAD" w:rsidRPr="00556BAD">
        <w:rPr>
          <w:sz w:val="26"/>
          <w:szCs w:val="26"/>
        </w:rPr>
        <w:t xml:space="preserve"> subject matter jurisdiction to award the relief</w:t>
      </w:r>
      <w:r w:rsidR="00556BAD">
        <w:rPr>
          <w:sz w:val="26"/>
          <w:szCs w:val="26"/>
        </w:rPr>
        <w:t xml:space="preserve"> requested by the Complainant, </w:t>
      </w:r>
      <w:r w:rsidR="00556BAD" w:rsidRPr="00556BAD">
        <w:rPr>
          <w:sz w:val="26"/>
          <w:szCs w:val="26"/>
        </w:rPr>
        <w:t>a refund or credit to reflect the difference between what</w:t>
      </w:r>
      <w:r w:rsidR="00556BAD">
        <w:rPr>
          <w:sz w:val="26"/>
          <w:szCs w:val="26"/>
        </w:rPr>
        <w:t xml:space="preserve"> he was charged by Respond</w:t>
      </w:r>
      <w:r w:rsidR="00556BAD" w:rsidRPr="00556BAD">
        <w:rPr>
          <w:sz w:val="26"/>
          <w:szCs w:val="26"/>
        </w:rPr>
        <w:t xml:space="preserve"> </w:t>
      </w:r>
      <w:r w:rsidR="00EB745B">
        <w:rPr>
          <w:sz w:val="26"/>
          <w:szCs w:val="26"/>
        </w:rPr>
        <w:t xml:space="preserve">and </w:t>
      </w:r>
      <w:r w:rsidR="00556BAD" w:rsidRPr="00556BAD">
        <w:rPr>
          <w:sz w:val="26"/>
          <w:szCs w:val="26"/>
        </w:rPr>
        <w:t xml:space="preserve">West Penn’s </w:t>
      </w:r>
      <w:r w:rsidR="00556BAD">
        <w:rPr>
          <w:sz w:val="26"/>
          <w:szCs w:val="26"/>
        </w:rPr>
        <w:t>PTC</w:t>
      </w:r>
      <w:r w:rsidR="00EB745B">
        <w:rPr>
          <w:sz w:val="26"/>
          <w:szCs w:val="26"/>
        </w:rPr>
        <w:t xml:space="preserve">.  </w:t>
      </w:r>
      <w:r w:rsidR="009E407E">
        <w:rPr>
          <w:sz w:val="26"/>
          <w:szCs w:val="26"/>
        </w:rPr>
        <w:t>The ALJ reviewed Sections 501</w:t>
      </w:r>
      <w:r w:rsidR="00805030">
        <w:rPr>
          <w:sz w:val="26"/>
          <w:szCs w:val="26"/>
        </w:rPr>
        <w:t>(a) and (c)</w:t>
      </w:r>
      <w:r w:rsidR="009E407E">
        <w:rPr>
          <w:sz w:val="26"/>
          <w:szCs w:val="26"/>
        </w:rPr>
        <w:t xml:space="preserve"> of the Code, 66 Pa. C.S. §§</w:t>
      </w:r>
      <w:r>
        <w:rPr>
          <w:sz w:val="26"/>
          <w:szCs w:val="26"/>
        </w:rPr>
        <w:t> </w:t>
      </w:r>
      <w:r w:rsidR="009E407E">
        <w:rPr>
          <w:sz w:val="26"/>
          <w:szCs w:val="26"/>
        </w:rPr>
        <w:t>501</w:t>
      </w:r>
      <w:r w:rsidR="00805030">
        <w:rPr>
          <w:sz w:val="26"/>
          <w:szCs w:val="26"/>
        </w:rPr>
        <w:t>(a) and (c),</w:t>
      </w:r>
      <w:r w:rsidR="009E407E">
        <w:rPr>
          <w:sz w:val="26"/>
          <w:szCs w:val="26"/>
        </w:rPr>
        <w:t xml:space="preserve"> setting forth our general powers</w:t>
      </w:r>
      <w:r w:rsidR="00805030">
        <w:rPr>
          <w:sz w:val="26"/>
          <w:szCs w:val="26"/>
        </w:rPr>
        <w:t xml:space="preserve"> over public utilities and every other person or corporation, including full power to enforce our </w:t>
      </w:r>
      <w:r w:rsidR="0027507C">
        <w:rPr>
          <w:sz w:val="26"/>
          <w:szCs w:val="26"/>
        </w:rPr>
        <w:t>R</w:t>
      </w:r>
      <w:r w:rsidR="00805030">
        <w:rPr>
          <w:sz w:val="26"/>
          <w:szCs w:val="26"/>
        </w:rPr>
        <w:t xml:space="preserve">egulations and </w:t>
      </w:r>
      <w:r w:rsidR="0027507C">
        <w:rPr>
          <w:sz w:val="26"/>
          <w:szCs w:val="26"/>
        </w:rPr>
        <w:t>O</w:t>
      </w:r>
      <w:r w:rsidR="00805030">
        <w:rPr>
          <w:sz w:val="26"/>
          <w:szCs w:val="26"/>
        </w:rPr>
        <w:t xml:space="preserve">rders.  The ALJ also referenced Section </w:t>
      </w:r>
      <w:r w:rsidR="00805030" w:rsidRPr="00805030">
        <w:rPr>
          <w:sz w:val="26"/>
          <w:szCs w:val="26"/>
        </w:rPr>
        <w:t>1312</w:t>
      </w:r>
      <w:r w:rsidR="00805030">
        <w:rPr>
          <w:sz w:val="26"/>
          <w:szCs w:val="26"/>
        </w:rPr>
        <w:t>,</w:t>
      </w:r>
      <w:r w:rsidR="009E407E">
        <w:rPr>
          <w:sz w:val="26"/>
          <w:szCs w:val="26"/>
        </w:rPr>
        <w:t xml:space="preserve"> </w:t>
      </w:r>
      <w:r w:rsidR="00805030">
        <w:rPr>
          <w:sz w:val="26"/>
          <w:szCs w:val="26"/>
        </w:rPr>
        <w:t xml:space="preserve">66 Pa. C.S. § 1312, </w:t>
      </w:r>
      <w:r w:rsidR="009E407E">
        <w:rPr>
          <w:sz w:val="26"/>
          <w:szCs w:val="26"/>
        </w:rPr>
        <w:t xml:space="preserve">addressing </w:t>
      </w:r>
      <w:r w:rsidR="00805030">
        <w:rPr>
          <w:sz w:val="26"/>
          <w:szCs w:val="26"/>
        </w:rPr>
        <w:t xml:space="preserve">refunds for </w:t>
      </w:r>
      <w:r w:rsidR="009E407E">
        <w:rPr>
          <w:sz w:val="26"/>
          <w:szCs w:val="26"/>
        </w:rPr>
        <w:t xml:space="preserve">rates received by public utilities.  </w:t>
      </w:r>
      <w:r w:rsidR="00805030">
        <w:rPr>
          <w:sz w:val="26"/>
          <w:szCs w:val="26"/>
        </w:rPr>
        <w:t xml:space="preserve">The ALJ </w:t>
      </w:r>
      <w:r w:rsidR="00EB745B">
        <w:rPr>
          <w:sz w:val="26"/>
          <w:szCs w:val="26"/>
        </w:rPr>
        <w:t xml:space="preserve">then turned specifically to the provisions of the Competition Act, reviewing </w:t>
      </w:r>
      <w:r w:rsidR="00805030">
        <w:rPr>
          <w:sz w:val="26"/>
          <w:szCs w:val="26"/>
        </w:rPr>
        <w:t xml:space="preserve">Sections 2802(14), </w:t>
      </w:r>
      <w:r w:rsidR="00805030" w:rsidRPr="00805030">
        <w:rPr>
          <w:sz w:val="26"/>
          <w:szCs w:val="26"/>
        </w:rPr>
        <w:t>2803</w:t>
      </w:r>
      <w:r w:rsidR="00805030">
        <w:rPr>
          <w:sz w:val="26"/>
          <w:szCs w:val="26"/>
        </w:rPr>
        <w:t>, and 2809(f), 66 Pa. C.S. §</w:t>
      </w:r>
      <w:r w:rsidR="00805030" w:rsidRPr="00805030">
        <w:rPr>
          <w:sz w:val="26"/>
          <w:szCs w:val="26"/>
        </w:rPr>
        <w:t>§</w:t>
      </w:r>
      <w:r>
        <w:rPr>
          <w:sz w:val="26"/>
          <w:szCs w:val="26"/>
        </w:rPr>
        <w:t> </w:t>
      </w:r>
      <w:r w:rsidR="00805030">
        <w:rPr>
          <w:sz w:val="26"/>
          <w:szCs w:val="26"/>
        </w:rPr>
        <w:t xml:space="preserve">2802(14), 2803, and 2809(f).  In particular the ALJ noted </w:t>
      </w:r>
      <w:r w:rsidR="00EB745B">
        <w:rPr>
          <w:sz w:val="26"/>
          <w:szCs w:val="26"/>
        </w:rPr>
        <w:t>our charge</w:t>
      </w:r>
      <w:r>
        <w:rPr>
          <w:sz w:val="26"/>
          <w:szCs w:val="26"/>
        </w:rPr>
        <w:t>,</w:t>
      </w:r>
      <w:r w:rsidR="00805030">
        <w:rPr>
          <w:sz w:val="26"/>
          <w:szCs w:val="26"/>
        </w:rPr>
        <w:t xml:space="preserve"> under Section</w:t>
      </w:r>
      <w:r>
        <w:rPr>
          <w:sz w:val="26"/>
          <w:szCs w:val="26"/>
        </w:rPr>
        <w:t> </w:t>
      </w:r>
      <w:r w:rsidR="00805030">
        <w:rPr>
          <w:sz w:val="26"/>
          <w:szCs w:val="26"/>
        </w:rPr>
        <w:t>2802(14)</w:t>
      </w:r>
      <w:r>
        <w:rPr>
          <w:sz w:val="26"/>
          <w:szCs w:val="26"/>
        </w:rPr>
        <w:t>,</w:t>
      </w:r>
      <w:r w:rsidR="0070173E">
        <w:rPr>
          <w:sz w:val="26"/>
          <w:szCs w:val="26"/>
        </w:rPr>
        <w:t xml:space="preserve"> to </w:t>
      </w:r>
      <w:r w:rsidR="00805030">
        <w:rPr>
          <w:sz w:val="26"/>
          <w:szCs w:val="26"/>
        </w:rPr>
        <w:t>regulat</w:t>
      </w:r>
      <w:r w:rsidR="0070173E">
        <w:rPr>
          <w:sz w:val="26"/>
          <w:szCs w:val="26"/>
        </w:rPr>
        <w:t>e</w:t>
      </w:r>
      <w:r w:rsidR="00805030">
        <w:rPr>
          <w:sz w:val="26"/>
          <w:szCs w:val="26"/>
        </w:rPr>
        <w:t xml:space="preserve"> EGSs as necessary “for the protection of the public” and </w:t>
      </w:r>
      <w:r w:rsidR="00EB745B">
        <w:rPr>
          <w:sz w:val="26"/>
          <w:szCs w:val="26"/>
        </w:rPr>
        <w:lastRenderedPageBreak/>
        <w:t>our authorization</w:t>
      </w:r>
      <w:r w:rsidR="0070173E">
        <w:rPr>
          <w:sz w:val="26"/>
          <w:szCs w:val="26"/>
        </w:rPr>
        <w:t>,</w:t>
      </w:r>
      <w:r w:rsidR="00EB745B">
        <w:rPr>
          <w:sz w:val="26"/>
          <w:szCs w:val="26"/>
        </w:rPr>
        <w:t xml:space="preserve"> </w:t>
      </w:r>
      <w:r w:rsidR="00805030">
        <w:rPr>
          <w:sz w:val="26"/>
          <w:szCs w:val="26"/>
        </w:rPr>
        <w:t>under Section 2809(f)</w:t>
      </w:r>
      <w:r w:rsidR="0070173E">
        <w:rPr>
          <w:sz w:val="26"/>
          <w:szCs w:val="26"/>
        </w:rPr>
        <w:t>,</w:t>
      </w:r>
      <w:r w:rsidR="00805030">
        <w:rPr>
          <w:sz w:val="26"/>
          <w:szCs w:val="26"/>
        </w:rPr>
        <w:t xml:space="preserve"> to ensure that brokers, marketers, and aggregators comply with our Chapter 56 Regulations</w:t>
      </w:r>
      <w:r w:rsidR="00EB745B">
        <w:rPr>
          <w:sz w:val="26"/>
          <w:szCs w:val="26"/>
        </w:rPr>
        <w:t xml:space="preserve"> (residential standards and billing practices).</w:t>
      </w:r>
      <w:r w:rsidR="00805030">
        <w:rPr>
          <w:sz w:val="26"/>
          <w:szCs w:val="26"/>
        </w:rPr>
        <w:t xml:space="preserve">  I.D. at 26-27.</w:t>
      </w:r>
    </w:p>
    <w:p w:rsidR="00805030" w:rsidRDefault="00805030" w:rsidP="00556BAD">
      <w:pPr>
        <w:pStyle w:val="BodyFirst1SS"/>
        <w:spacing w:line="360" w:lineRule="auto"/>
        <w:ind w:firstLine="1440"/>
        <w:jc w:val="left"/>
        <w:rPr>
          <w:sz w:val="26"/>
          <w:szCs w:val="26"/>
        </w:rPr>
      </w:pPr>
    </w:p>
    <w:p w:rsidR="00556BAD" w:rsidRDefault="00EB745B" w:rsidP="00556BAD">
      <w:pPr>
        <w:pStyle w:val="BodyFirst1SS"/>
        <w:spacing w:line="360" w:lineRule="auto"/>
        <w:ind w:firstLine="1440"/>
        <w:jc w:val="left"/>
        <w:rPr>
          <w:sz w:val="26"/>
          <w:szCs w:val="26"/>
        </w:rPr>
      </w:pPr>
      <w:r>
        <w:rPr>
          <w:sz w:val="26"/>
          <w:szCs w:val="26"/>
        </w:rPr>
        <w:t xml:space="preserve">The ALJ found that to hold Respond “is not a ‘public utility’ or ‘other corporation’ subject to the Commission’s authority </w:t>
      </w:r>
      <w:r w:rsidR="0070173E">
        <w:rPr>
          <w:sz w:val="26"/>
          <w:szCs w:val="26"/>
        </w:rPr>
        <w:t>t</w:t>
      </w:r>
      <w:r>
        <w:rPr>
          <w:sz w:val="26"/>
          <w:szCs w:val="26"/>
        </w:rPr>
        <w:t xml:space="preserve">o direct [refunds or credits] would be contrary to the public interest and would not protect the public.”  </w:t>
      </w:r>
      <w:proofErr w:type="gramStart"/>
      <w:r>
        <w:rPr>
          <w:i/>
          <w:sz w:val="26"/>
          <w:szCs w:val="26"/>
        </w:rPr>
        <w:t xml:space="preserve">Id. </w:t>
      </w:r>
      <w:r>
        <w:rPr>
          <w:sz w:val="26"/>
          <w:szCs w:val="26"/>
        </w:rPr>
        <w:t>at 27.</w:t>
      </w:r>
      <w:proofErr w:type="gramEnd"/>
      <w:r>
        <w:rPr>
          <w:sz w:val="26"/>
          <w:szCs w:val="26"/>
        </w:rPr>
        <w:t xml:space="preserve">  </w:t>
      </w:r>
      <w:r w:rsidR="00556BAD">
        <w:rPr>
          <w:sz w:val="26"/>
          <w:szCs w:val="26"/>
        </w:rPr>
        <w:t xml:space="preserve">While </w:t>
      </w:r>
      <w:r w:rsidR="00805030">
        <w:rPr>
          <w:sz w:val="26"/>
          <w:szCs w:val="26"/>
        </w:rPr>
        <w:t xml:space="preserve">the ALJ </w:t>
      </w:r>
      <w:r w:rsidR="00556BAD" w:rsidRPr="00556BAD">
        <w:rPr>
          <w:sz w:val="26"/>
          <w:szCs w:val="26"/>
        </w:rPr>
        <w:t>agree</w:t>
      </w:r>
      <w:r w:rsidR="00556BAD">
        <w:rPr>
          <w:sz w:val="26"/>
          <w:szCs w:val="26"/>
        </w:rPr>
        <w:t>d</w:t>
      </w:r>
      <w:r w:rsidR="00556BAD" w:rsidRPr="00556BAD">
        <w:rPr>
          <w:sz w:val="26"/>
          <w:szCs w:val="26"/>
        </w:rPr>
        <w:t xml:space="preserve"> </w:t>
      </w:r>
      <w:r w:rsidR="00805030">
        <w:rPr>
          <w:sz w:val="26"/>
          <w:szCs w:val="26"/>
        </w:rPr>
        <w:t xml:space="preserve">with </w:t>
      </w:r>
      <w:r w:rsidR="00556BAD">
        <w:rPr>
          <w:sz w:val="26"/>
          <w:szCs w:val="26"/>
        </w:rPr>
        <w:t xml:space="preserve">Respond </w:t>
      </w:r>
      <w:r w:rsidR="00805030">
        <w:rPr>
          <w:sz w:val="26"/>
          <w:szCs w:val="26"/>
        </w:rPr>
        <w:t xml:space="preserve">that </w:t>
      </w:r>
      <w:r w:rsidR="00366DF7">
        <w:rPr>
          <w:sz w:val="26"/>
          <w:szCs w:val="26"/>
        </w:rPr>
        <w:t>an</w:t>
      </w:r>
      <w:r w:rsidR="0070173E">
        <w:rPr>
          <w:sz w:val="26"/>
          <w:szCs w:val="26"/>
        </w:rPr>
        <w:t xml:space="preserve"> EGS</w:t>
      </w:r>
      <w:r w:rsidR="00805030">
        <w:rPr>
          <w:sz w:val="26"/>
          <w:szCs w:val="26"/>
        </w:rPr>
        <w:t xml:space="preserve"> </w:t>
      </w:r>
      <w:r w:rsidR="00556BAD" w:rsidRPr="00556BAD">
        <w:rPr>
          <w:sz w:val="26"/>
          <w:szCs w:val="26"/>
        </w:rPr>
        <w:t xml:space="preserve">is not a “public utility” except in certain limited circumstances, </w:t>
      </w:r>
      <w:r w:rsidR="00556BAD">
        <w:rPr>
          <w:sz w:val="26"/>
          <w:szCs w:val="26"/>
        </w:rPr>
        <w:t xml:space="preserve">she found that </w:t>
      </w:r>
      <w:r w:rsidR="00556BAD" w:rsidRPr="00556BAD">
        <w:rPr>
          <w:sz w:val="26"/>
          <w:szCs w:val="26"/>
        </w:rPr>
        <w:t xml:space="preserve">the Commission has clearly held that in order for vigorous retail competition to occur, customers must be protected and EGSs must be held to certain standards.  </w:t>
      </w:r>
      <w:r w:rsidR="0013452C" w:rsidRPr="0013452C">
        <w:rPr>
          <w:sz w:val="26"/>
          <w:szCs w:val="26"/>
        </w:rPr>
        <w:t>The ALJ maintained that to the extent the Commission would not be allowed to direct EGSs to issue refunds to customers under Section 1312 whe</w:t>
      </w:r>
      <w:r w:rsidR="0027507C">
        <w:rPr>
          <w:sz w:val="26"/>
          <w:szCs w:val="26"/>
        </w:rPr>
        <w:t>re</w:t>
      </w:r>
      <w:r w:rsidR="0013452C" w:rsidRPr="0013452C">
        <w:rPr>
          <w:sz w:val="26"/>
          <w:szCs w:val="26"/>
        </w:rPr>
        <w:t xml:space="preserve"> deemed appropriate, </w:t>
      </w:r>
      <w:r w:rsidR="0070173E">
        <w:rPr>
          <w:sz w:val="26"/>
          <w:szCs w:val="26"/>
        </w:rPr>
        <w:t>the Commission</w:t>
      </w:r>
      <w:r w:rsidR="0013452C" w:rsidRPr="0013452C">
        <w:rPr>
          <w:sz w:val="26"/>
          <w:szCs w:val="26"/>
        </w:rPr>
        <w:t xml:space="preserve"> would lose </w:t>
      </w:r>
      <w:r w:rsidR="0070173E">
        <w:rPr>
          <w:sz w:val="26"/>
          <w:szCs w:val="26"/>
        </w:rPr>
        <w:t>the</w:t>
      </w:r>
      <w:r w:rsidR="0013452C" w:rsidRPr="0013452C">
        <w:rPr>
          <w:sz w:val="26"/>
          <w:szCs w:val="26"/>
        </w:rPr>
        <w:t xml:space="preserve"> ability to regulate EGSs for other purposes essential to the public interest, such as issuing civil penalties</w:t>
      </w:r>
      <w:r w:rsidR="0013452C">
        <w:rPr>
          <w:sz w:val="26"/>
          <w:szCs w:val="26"/>
        </w:rPr>
        <w:t xml:space="preserve"> under Section 3301 of the Code, </w:t>
      </w:r>
      <w:r w:rsidR="0013452C" w:rsidRPr="0013452C">
        <w:rPr>
          <w:sz w:val="26"/>
          <w:szCs w:val="26"/>
        </w:rPr>
        <w:t xml:space="preserve">66 Pa. C.S. § 3301.  </w:t>
      </w:r>
      <w:r w:rsidR="00556BAD">
        <w:rPr>
          <w:sz w:val="26"/>
          <w:szCs w:val="26"/>
        </w:rPr>
        <w:t xml:space="preserve">She found that </w:t>
      </w:r>
      <w:r w:rsidR="00556BAD" w:rsidRPr="00556BAD">
        <w:rPr>
          <w:sz w:val="26"/>
          <w:szCs w:val="26"/>
        </w:rPr>
        <w:t>the Commission has authority to ensure public utility rates</w:t>
      </w:r>
      <w:r w:rsidR="00366B21">
        <w:rPr>
          <w:sz w:val="26"/>
          <w:szCs w:val="26"/>
        </w:rPr>
        <w:t>,</w:t>
      </w:r>
      <w:r w:rsidR="00556BAD" w:rsidRPr="00556BAD">
        <w:rPr>
          <w:sz w:val="26"/>
          <w:szCs w:val="26"/>
        </w:rPr>
        <w:t xml:space="preserve"> including an EGS’ rates</w:t>
      </w:r>
      <w:r w:rsidR="00366B21">
        <w:rPr>
          <w:sz w:val="26"/>
          <w:szCs w:val="26"/>
        </w:rPr>
        <w:t>,</w:t>
      </w:r>
      <w:r w:rsidR="00556BAD" w:rsidRPr="00556BAD">
        <w:rPr>
          <w:sz w:val="26"/>
          <w:szCs w:val="26"/>
        </w:rPr>
        <w:t xml:space="preserve"> are just and reasonable </w:t>
      </w:r>
      <w:r>
        <w:rPr>
          <w:sz w:val="26"/>
          <w:szCs w:val="26"/>
        </w:rPr>
        <w:t>under Section 1301 of the Code,</w:t>
      </w:r>
      <w:r w:rsidR="00556BAD" w:rsidRPr="00556BAD">
        <w:rPr>
          <w:sz w:val="26"/>
          <w:szCs w:val="26"/>
        </w:rPr>
        <w:t xml:space="preserve"> 66 Pa.</w:t>
      </w:r>
      <w:r w:rsidR="00366B21">
        <w:rPr>
          <w:sz w:val="26"/>
          <w:szCs w:val="26"/>
        </w:rPr>
        <w:t xml:space="preserve"> </w:t>
      </w:r>
      <w:r w:rsidR="00556BAD" w:rsidRPr="00556BAD">
        <w:rPr>
          <w:sz w:val="26"/>
          <w:szCs w:val="26"/>
        </w:rPr>
        <w:t xml:space="preserve">C.S. § 1301.  </w:t>
      </w:r>
      <w:r w:rsidR="00556BAD">
        <w:rPr>
          <w:sz w:val="26"/>
          <w:szCs w:val="26"/>
        </w:rPr>
        <w:t>According to the ALJ, t</w:t>
      </w:r>
      <w:r w:rsidR="00556BAD" w:rsidRPr="00556BAD">
        <w:rPr>
          <w:sz w:val="26"/>
          <w:szCs w:val="26"/>
        </w:rPr>
        <w:t>he Competition Act restructured the industry, but did not deregulate it entirely.</w:t>
      </w:r>
    </w:p>
    <w:p w:rsidR="00EB745B" w:rsidRDefault="00EB745B" w:rsidP="00556BAD">
      <w:pPr>
        <w:pStyle w:val="BodyFirst1SS"/>
        <w:spacing w:line="360" w:lineRule="auto"/>
        <w:ind w:firstLine="1440"/>
        <w:jc w:val="left"/>
        <w:rPr>
          <w:sz w:val="26"/>
          <w:szCs w:val="26"/>
        </w:rPr>
      </w:pPr>
    </w:p>
    <w:p w:rsidR="00EB745B" w:rsidRPr="00556BAD" w:rsidRDefault="00EB745B" w:rsidP="00556BAD">
      <w:pPr>
        <w:pStyle w:val="BodyFirst1SS"/>
        <w:spacing w:line="360" w:lineRule="auto"/>
        <w:ind w:firstLine="1440"/>
        <w:jc w:val="left"/>
        <w:rPr>
          <w:sz w:val="26"/>
          <w:szCs w:val="26"/>
        </w:rPr>
      </w:pPr>
      <w:r>
        <w:rPr>
          <w:sz w:val="26"/>
          <w:szCs w:val="26"/>
        </w:rPr>
        <w:t>Turning to Section 2807(d)</w:t>
      </w:r>
      <w:r w:rsidR="00060052">
        <w:rPr>
          <w:sz w:val="26"/>
          <w:szCs w:val="26"/>
        </w:rPr>
        <w:t xml:space="preserve">(2) </w:t>
      </w:r>
      <w:r>
        <w:rPr>
          <w:sz w:val="26"/>
          <w:szCs w:val="26"/>
        </w:rPr>
        <w:t xml:space="preserve">of the Competition Act, </w:t>
      </w:r>
      <w:r w:rsidR="00060052">
        <w:rPr>
          <w:sz w:val="26"/>
          <w:szCs w:val="26"/>
        </w:rPr>
        <w:t>66 Pa. C.S. §</w:t>
      </w:r>
      <w:r w:rsidR="0070173E">
        <w:rPr>
          <w:sz w:val="26"/>
          <w:szCs w:val="26"/>
        </w:rPr>
        <w:t> </w:t>
      </w:r>
      <w:r w:rsidR="00060052">
        <w:rPr>
          <w:sz w:val="26"/>
          <w:szCs w:val="26"/>
        </w:rPr>
        <w:t xml:space="preserve">2807(d)(2), </w:t>
      </w:r>
      <w:r>
        <w:rPr>
          <w:sz w:val="26"/>
          <w:szCs w:val="26"/>
        </w:rPr>
        <w:t xml:space="preserve">the ALJ noted our obligation to establish </w:t>
      </w:r>
      <w:r w:rsidR="0070173E">
        <w:rPr>
          <w:sz w:val="26"/>
          <w:szCs w:val="26"/>
        </w:rPr>
        <w:t>R</w:t>
      </w:r>
      <w:r>
        <w:rPr>
          <w:sz w:val="26"/>
          <w:szCs w:val="26"/>
        </w:rPr>
        <w:t xml:space="preserve">egulations requiring EGSs to provide adequate and accurate information </w:t>
      </w:r>
      <w:r w:rsidR="00366DF7">
        <w:rPr>
          <w:sz w:val="26"/>
          <w:szCs w:val="26"/>
        </w:rPr>
        <w:t xml:space="preserve">so </w:t>
      </w:r>
      <w:r>
        <w:rPr>
          <w:sz w:val="26"/>
          <w:szCs w:val="26"/>
        </w:rPr>
        <w:t xml:space="preserve">customers </w:t>
      </w:r>
      <w:r w:rsidR="00366DF7">
        <w:rPr>
          <w:sz w:val="26"/>
          <w:szCs w:val="26"/>
        </w:rPr>
        <w:t>may</w:t>
      </w:r>
      <w:r>
        <w:rPr>
          <w:sz w:val="26"/>
          <w:szCs w:val="26"/>
        </w:rPr>
        <w:t xml:space="preserve"> make informed choices in the competitive market</w:t>
      </w:r>
      <w:r w:rsidR="0070173E">
        <w:rPr>
          <w:sz w:val="26"/>
          <w:szCs w:val="26"/>
        </w:rPr>
        <w:t xml:space="preserve">.  </w:t>
      </w:r>
      <w:r w:rsidR="00366DF7">
        <w:rPr>
          <w:sz w:val="26"/>
          <w:szCs w:val="26"/>
        </w:rPr>
        <w:t>Citing Section 2801(12) of that Act, t</w:t>
      </w:r>
      <w:r w:rsidR="00366DF7" w:rsidRPr="00366DF7">
        <w:rPr>
          <w:sz w:val="26"/>
          <w:szCs w:val="26"/>
        </w:rPr>
        <w:t xml:space="preserve">he ALJ also noted our authority </w:t>
      </w:r>
      <w:r w:rsidR="00060052">
        <w:rPr>
          <w:sz w:val="26"/>
          <w:szCs w:val="26"/>
        </w:rPr>
        <w:t>to require EGS to “comply with such other requirements concerning service as the commission deems necessary for the protection of the public.”</w:t>
      </w:r>
      <w:r w:rsidR="00366DF7" w:rsidRPr="00366DF7">
        <w:rPr>
          <w:sz w:val="26"/>
          <w:szCs w:val="26"/>
          <w:vertAlign w:val="superscript"/>
        </w:rPr>
        <w:footnoteReference w:id="10"/>
      </w:r>
      <w:r w:rsidR="0027507C">
        <w:rPr>
          <w:sz w:val="26"/>
          <w:szCs w:val="26"/>
        </w:rPr>
        <w:t xml:space="preserve">  </w:t>
      </w:r>
      <w:proofErr w:type="gramStart"/>
      <w:r w:rsidR="0027507C">
        <w:rPr>
          <w:sz w:val="26"/>
          <w:szCs w:val="26"/>
        </w:rPr>
        <w:t>I.D. at 28.</w:t>
      </w:r>
      <w:proofErr w:type="gramEnd"/>
    </w:p>
    <w:p w:rsidR="00556BAD" w:rsidRPr="00366DF7" w:rsidRDefault="00556BAD" w:rsidP="00556BAD">
      <w:pPr>
        <w:pStyle w:val="ListParagraph"/>
        <w:ind w:left="1440"/>
        <w:rPr>
          <w:rFonts w:ascii="Times New Roman" w:hAnsi="Times New Roman"/>
          <w:sz w:val="26"/>
          <w:szCs w:val="26"/>
        </w:rPr>
      </w:pPr>
    </w:p>
    <w:p w:rsidR="00962A84" w:rsidRDefault="0013452C" w:rsidP="00962A84">
      <w:pPr>
        <w:pStyle w:val="BodyFirst1SS"/>
        <w:spacing w:line="360" w:lineRule="auto"/>
        <w:ind w:firstLine="1440"/>
        <w:jc w:val="left"/>
        <w:rPr>
          <w:sz w:val="26"/>
          <w:szCs w:val="26"/>
        </w:rPr>
      </w:pPr>
      <w:r>
        <w:rPr>
          <w:sz w:val="26"/>
          <w:szCs w:val="26"/>
        </w:rPr>
        <w:lastRenderedPageBreak/>
        <w:t>In summarizing these numerous s</w:t>
      </w:r>
      <w:r w:rsidR="0027507C">
        <w:rPr>
          <w:sz w:val="26"/>
          <w:szCs w:val="26"/>
        </w:rPr>
        <w:t>tatutory provisions</w:t>
      </w:r>
      <w:r>
        <w:rPr>
          <w:sz w:val="26"/>
          <w:szCs w:val="26"/>
        </w:rPr>
        <w:t xml:space="preserve">, the ALJ </w:t>
      </w:r>
      <w:r w:rsidR="00962A84">
        <w:rPr>
          <w:sz w:val="26"/>
          <w:szCs w:val="26"/>
        </w:rPr>
        <w:t>concluded that</w:t>
      </w:r>
      <w:r w:rsidR="00962A84" w:rsidRPr="00556BAD">
        <w:rPr>
          <w:sz w:val="26"/>
          <w:szCs w:val="26"/>
        </w:rPr>
        <w:t xml:space="preserve"> the Commission has the au</w:t>
      </w:r>
      <w:r w:rsidR="00962A84">
        <w:rPr>
          <w:sz w:val="26"/>
          <w:szCs w:val="26"/>
        </w:rPr>
        <w:t xml:space="preserve">thority to direct Respond </w:t>
      </w:r>
      <w:r w:rsidR="00962A84" w:rsidRPr="00556BAD">
        <w:rPr>
          <w:sz w:val="26"/>
          <w:szCs w:val="26"/>
        </w:rPr>
        <w:t xml:space="preserve">to refund the customer at the rate promised </w:t>
      </w:r>
      <w:r w:rsidR="00366DF7">
        <w:rPr>
          <w:sz w:val="26"/>
          <w:szCs w:val="26"/>
        </w:rPr>
        <w:t>through</w:t>
      </w:r>
      <w:r w:rsidR="00962A84" w:rsidRPr="00556BAD">
        <w:rPr>
          <w:sz w:val="26"/>
          <w:szCs w:val="26"/>
        </w:rPr>
        <w:t xml:space="preserve"> misleading marketing and sales activities and a misleading disclosure statement </w:t>
      </w:r>
      <w:r>
        <w:rPr>
          <w:sz w:val="26"/>
          <w:szCs w:val="26"/>
        </w:rPr>
        <w:t xml:space="preserve">by virtue of its general powers under Section 501 over public utilities “and ‘every other person or corporation’ subject to the Public Utility Code” if not first as a public utility under Section 1312.  </w:t>
      </w:r>
      <w:proofErr w:type="gramStart"/>
      <w:r w:rsidR="0027507C">
        <w:rPr>
          <w:i/>
          <w:sz w:val="26"/>
          <w:szCs w:val="26"/>
        </w:rPr>
        <w:t>Id.</w:t>
      </w:r>
      <w:r>
        <w:rPr>
          <w:sz w:val="26"/>
          <w:szCs w:val="26"/>
        </w:rPr>
        <w:t xml:space="preserve"> at 28.</w:t>
      </w:r>
      <w:proofErr w:type="gramEnd"/>
    </w:p>
    <w:p w:rsidR="0013452C" w:rsidRDefault="0013452C" w:rsidP="00962A84">
      <w:pPr>
        <w:pStyle w:val="BodyFirst1SS"/>
        <w:spacing w:line="360" w:lineRule="auto"/>
        <w:ind w:firstLine="1440"/>
        <w:jc w:val="left"/>
        <w:rPr>
          <w:sz w:val="26"/>
          <w:szCs w:val="26"/>
        </w:rPr>
      </w:pPr>
    </w:p>
    <w:p w:rsidR="00A94A02" w:rsidRDefault="00366DF7" w:rsidP="00962A84">
      <w:pPr>
        <w:pStyle w:val="BodyFirst1SS"/>
        <w:spacing w:line="360" w:lineRule="auto"/>
        <w:ind w:firstLine="1440"/>
        <w:jc w:val="left"/>
        <w:rPr>
          <w:sz w:val="26"/>
          <w:szCs w:val="26"/>
        </w:rPr>
      </w:pPr>
      <w:r>
        <w:rPr>
          <w:sz w:val="26"/>
          <w:szCs w:val="26"/>
        </w:rPr>
        <w:t>Concluding the Commission had</w:t>
      </w:r>
      <w:r w:rsidR="0013452C">
        <w:rPr>
          <w:sz w:val="26"/>
          <w:szCs w:val="26"/>
        </w:rPr>
        <w:t xml:space="preserve"> jurisdiction to order a refund (or credit) where circumstances warranted, the ALJ review</w:t>
      </w:r>
      <w:r>
        <w:rPr>
          <w:sz w:val="26"/>
          <w:szCs w:val="26"/>
        </w:rPr>
        <w:t>ed</w:t>
      </w:r>
      <w:r w:rsidR="0013452C">
        <w:rPr>
          <w:sz w:val="26"/>
          <w:szCs w:val="26"/>
        </w:rPr>
        <w:t xml:space="preserve"> Mr. Herp’s evidence </w:t>
      </w:r>
      <w:r w:rsidR="00A94A02">
        <w:rPr>
          <w:sz w:val="26"/>
          <w:szCs w:val="26"/>
        </w:rPr>
        <w:t>that he was marketed a better product than he had, inducing him to switch to Respond</w:t>
      </w:r>
      <w:r w:rsidR="0070173E" w:rsidRPr="0070173E">
        <w:rPr>
          <w:sz w:val="26"/>
          <w:szCs w:val="26"/>
        </w:rPr>
        <w:t xml:space="preserve">, as addressed, </w:t>
      </w:r>
      <w:r w:rsidR="0070173E" w:rsidRPr="0070173E">
        <w:rPr>
          <w:i/>
          <w:sz w:val="26"/>
          <w:szCs w:val="26"/>
        </w:rPr>
        <w:t>supra</w:t>
      </w:r>
      <w:r w:rsidR="0070173E" w:rsidRPr="0070173E">
        <w:rPr>
          <w:sz w:val="26"/>
          <w:szCs w:val="26"/>
        </w:rPr>
        <w:t>, in our resolution of Respond’s Exception Nos. 1 and 2</w:t>
      </w:r>
      <w:r w:rsidR="00A94A02">
        <w:rPr>
          <w:sz w:val="26"/>
          <w:szCs w:val="26"/>
        </w:rPr>
        <w:t xml:space="preserve">. </w:t>
      </w:r>
      <w:r w:rsidR="0070173E">
        <w:rPr>
          <w:sz w:val="26"/>
          <w:szCs w:val="26"/>
        </w:rPr>
        <w:t xml:space="preserve"> </w:t>
      </w:r>
      <w:r w:rsidR="00A94A02">
        <w:rPr>
          <w:sz w:val="26"/>
          <w:szCs w:val="26"/>
        </w:rPr>
        <w:t>As the ALJ stated:</w:t>
      </w:r>
    </w:p>
    <w:p w:rsidR="00A94A02" w:rsidRDefault="00A94A02" w:rsidP="00A94A02">
      <w:pPr>
        <w:pStyle w:val="BodyFirst1SS"/>
        <w:spacing w:line="360" w:lineRule="auto"/>
        <w:ind w:firstLine="0"/>
        <w:jc w:val="left"/>
        <w:rPr>
          <w:sz w:val="26"/>
          <w:szCs w:val="26"/>
        </w:rPr>
      </w:pPr>
    </w:p>
    <w:p w:rsidR="0013452C" w:rsidRDefault="00A94A02" w:rsidP="00A94A02">
      <w:pPr>
        <w:pStyle w:val="BodyFirst1SS"/>
        <w:spacing w:line="240" w:lineRule="auto"/>
        <w:ind w:left="1440" w:right="1440" w:firstLine="1440"/>
        <w:jc w:val="left"/>
        <w:rPr>
          <w:sz w:val="26"/>
          <w:szCs w:val="26"/>
        </w:rPr>
      </w:pPr>
      <w:r>
        <w:rPr>
          <w:sz w:val="26"/>
          <w:szCs w:val="26"/>
        </w:rPr>
        <w:t>I find the testimony of Mr. Herp to be credible that Respond Power’s door-to-door sales agent promised that as an enrolled customer of Respond Power, Mr. Herp’s variable priced supply service would provide savings relative to West Penn Power and was capped or constrained by West Penn Power’s price</w:t>
      </w:r>
      <w:r w:rsidR="00AB5CEB">
        <w:rPr>
          <w:sz w:val="26"/>
          <w:szCs w:val="26"/>
        </w:rPr>
        <w:t>-</w:t>
      </w:r>
      <w:r>
        <w:rPr>
          <w:sz w:val="26"/>
          <w:szCs w:val="26"/>
        </w:rPr>
        <w:t>to-compare.</w:t>
      </w:r>
      <w:r w:rsidR="0013452C">
        <w:rPr>
          <w:sz w:val="26"/>
          <w:szCs w:val="26"/>
        </w:rPr>
        <w:t xml:space="preserve">  </w:t>
      </w:r>
      <w:r>
        <w:rPr>
          <w:sz w:val="26"/>
          <w:szCs w:val="26"/>
        </w:rPr>
        <w:t>That Mr. Herp agreed to a variable service product is not in dispute.  However, based upon the statements made by Respond Power’s agent, Mr.</w:t>
      </w:r>
      <w:r w:rsidR="00AB5CEB">
        <w:rPr>
          <w:sz w:val="26"/>
          <w:szCs w:val="26"/>
        </w:rPr>
        <w:t> </w:t>
      </w:r>
      <w:r>
        <w:rPr>
          <w:sz w:val="26"/>
          <w:szCs w:val="26"/>
        </w:rPr>
        <w:t>Herp understood that Respond Power “offered rates that were always lower than the local utility company, in my case West Penn Power.”  Mr. Herp reported that “[w]hen the sales agent left, I thought I had purchased a better utility product than West Penn.  [I]t was my understanding that this variable rate did have a cap, and that being the rate --- the current rate offered by my local utility company.</w:t>
      </w:r>
    </w:p>
    <w:p w:rsidR="00A94A02" w:rsidRDefault="00A94A02" w:rsidP="00A94A02">
      <w:pPr>
        <w:pStyle w:val="BodyFirst1SS"/>
        <w:spacing w:line="240" w:lineRule="auto"/>
        <w:ind w:left="1440" w:right="1440" w:firstLine="1440"/>
        <w:jc w:val="left"/>
        <w:rPr>
          <w:sz w:val="26"/>
          <w:szCs w:val="26"/>
        </w:rPr>
      </w:pPr>
    </w:p>
    <w:p w:rsidR="00A94A02" w:rsidRPr="0013452C" w:rsidRDefault="00A94A02" w:rsidP="00A94A02">
      <w:pPr>
        <w:pStyle w:val="BodyFirst1SS"/>
        <w:spacing w:line="240" w:lineRule="auto"/>
        <w:ind w:left="1440" w:right="1440" w:firstLine="1440"/>
        <w:jc w:val="left"/>
        <w:rPr>
          <w:sz w:val="26"/>
          <w:szCs w:val="26"/>
        </w:rPr>
      </w:pPr>
    </w:p>
    <w:p w:rsidR="00947E6F" w:rsidRDefault="00AB5CEB" w:rsidP="00A94A02">
      <w:pPr>
        <w:pStyle w:val="BodyFirst1SS"/>
        <w:spacing w:line="360" w:lineRule="auto"/>
        <w:ind w:firstLine="0"/>
        <w:jc w:val="left"/>
        <w:rPr>
          <w:sz w:val="26"/>
          <w:szCs w:val="26"/>
        </w:rPr>
      </w:pPr>
      <w:proofErr w:type="gramStart"/>
      <w:r>
        <w:rPr>
          <w:i/>
          <w:sz w:val="26"/>
          <w:szCs w:val="26"/>
        </w:rPr>
        <w:t>Id</w:t>
      </w:r>
      <w:r w:rsidR="00A94A02">
        <w:rPr>
          <w:sz w:val="26"/>
          <w:szCs w:val="26"/>
        </w:rPr>
        <w:t>. at 28 (citations omitted).</w:t>
      </w:r>
      <w:proofErr w:type="gramEnd"/>
      <w:r w:rsidR="00A94A02">
        <w:rPr>
          <w:sz w:val="26"/>
          <w:szCs w:val="26"/>
        </w:rPr>
        <w:t xml:space="preserve">  The ALJ also discussed </w:t>
      </w:r>
      <w:r w:rsidR="00366DF7" w:rsidRPr="00366DF7">
        <w:rPr>
          <w:sz w:val="26"/>
          <w:szCs w:val="26"/>
        </w:rPr>
        <w:t xml:space="preserve">Mr. Hackett’s testimony, which </w:t>
      </w:r>
      <w:r w:rsidR="00366DF7">
        <w:rPr>
          <w:sz w:val="26"/>
          <w:szCs w:val="26"/>
        </w:rPr>
        <w:t xml:space="preserve">she found </w:t>
      </w:r>
      <w:r w:rsidR="00A94A02">
        <w:rPr>
          <w:sz w:val="26"/>
          <w:szCs w:val="26"/>
        </w:rPr>
        <w:t>support</w:t>
      </w:r>
      <w:r w:rsidR="00366DF7">
        <w:rPr>
          <w:sz w:val="26"/>
          <w:szCs w:val="26"/>
        </w:rPr>
        <w:t>ed</w:t>
      </w:r>
      <w:r w:rsidR="00A94A02">
        <w:rPr>
          <w:sz w:val="26"/>
          <w:szCs w:val="26"/>
        </w:rPr>
        <w:t xml:space="preserve"> </w:t>
      </w:r>
      <w:r w:rsidR="00947E6F">
        <w:rPr>
          <w:sz w:val="26"/>
          <w:szCs w:val="26"/>
        </w:rPr>
        <w:t>Mr. Herp’s claim</w:t>
      </w:r>
      <w:r w:rsidR="00EF4CDB">
        <w:rPr>
          <w:sz w:val="26"/>
          <w:szCs w:val="26"/>
        </w:rPr>
        <w:t>,</w:t>
      </w:r>
      <w:r w:rsidR="00947E6F">
        <w:rPr>
          <w:sz w:val="26"/>
          <w:szCs w:val="26"/>
        </w:rPr>
        <w:t xml:space="preserve"> and Respond’s witness Small’s testimony, which she found insufficient to refute Mr. Herp’s evidence.  </w:t>
      </w:r>
      <w:r w:rsidR="00947E6F">
        <w:rPr>
          <w:i/>
          <w:sz w:val="26"/>
          <w:szCs w:val="26"/>
        </w:rPr>
        <w:t xml:space="preserve">Id. </w:t>
      </w:r>
      <w:r w:rsidR="00947E6F">
        <w:rPr>
          <w:sz w:val="26"/>
          <w:szCs w:val="26"/>
        </w:rPr>
        <w:t>at 29-32.</w:t>
      </w:r>
    </w:p>
    <w:p w:rsidR="00947E6F" w:rsidRDefault="00947E6F" w:rsidP="00A94A02">
      <w:pPr>
        <w:pStyle w:val="BodyFirst1SS"/>
        <w:spacing w:line="360" w:lineRule="auto"/>
        <w:ind w:firstLine="0"/>
        <w:jc w:val="left"/>
        <w:rPr>
          <w:sz w:val="26"/>
          <w:szCs w:val="26"/>
        </w:rPr>
      </w:pPr>
    </w:p>
    <w:p w:rsidR="00947E6F" w:rsidRDefault="00947E6F" w:rsidP="00521D8D">
      <w:pPr>
        <w:pStyle w:val="BodyFirst1SS"/>
        <w:keepNext/>
        <w:keepLines/>
        <w:spacing w:line="360" w:lineRule="auto"/>
        <w:ind w:firstLine="1440"/>
        <w:jc w:val="left"/>
        <w:rPr>
          <w:sz w:val="26"/>
          <w:szCs w:val="26"/>
        </w:rPr>
      </w:pPr>
      <w:r>
        <w:rPr>
          <w:sz w:val="26"/>
          <w:szCs w:val="26"/>
        </w:rPr>
        <w:lastRenderedPageBreak/>
        <w:t>Specifically with respect to Respond’s evidence, the ALJ stated as follows:</w:t>
      </w:r>
    </w:p>
    <w:p w:rsidR="00947E6F" w:rsidRDefault="00947E6F" w:rsidP="00521D8D">
      <w:pPr>
        <w:pStyle w:val="BodyFirst1SS"/>
        <w:keepNext/>
        <w:keepLines/>
        <w:spacing w:line="360" w:lineRule="auto"/>
        <w:ind w:firstLine="0"/>
        <w:jc w:val="left"/>
        <w:rPr>
          <w:sz w:val="26"/>
          <w:szCs w:val="26"/>
        </w:rPr>
      </w:pPr>
    </w:p>
    <w:p w:rsidR="00947E6F" w:rsidRDefault="00947E6F" w:rsidP="00947E6F">
      <w:pPr>
        <w:pStyle w:val="BodyFirst1SS"/>
        <w:spacing w:line="240" w:lineRule="auto"/>
        <w:ind w:left="1440" w:right="1440" w:firstLine="1440"/>
        <w:jc w:val="left"/>
        <w:rPr>
          <w:sz w:val="26"/>
          <w:szCs w:val="26"/>
        </w:rPr>
      </w:pPr>
      <w:r>
        <w:rPr>
          <w:sz w:val="26"/>
          <w:szCs w:val="26"/>
        </w:rPr>
        <w:t>Mr. Small had no knowledge if Mr. Herp was on a residential or commercial account. Mr. Small was uncertain whether Larry Majek (the sales agent identified in the sales agreement) was working for the marketer at the time the service agreement was executed or verified.  Mr. Small had no knowledge of whether Mr. Majek still worked for the marketer.  Mr. Small testified he believed Mr. Majek had never been audited, but he did not say if Mr. Majek had been disciplined for making any misrepresentations to customers.  There was no offering of customer scripts, marketing materials or training manuals into evidence to corroborate Mr.</w:t>
      </w:r>
      <w:r w:rsidR="00AB5CEB">
        <w:rPr>
          <w:sz w:val="26"/>
          <w:szCs w:val="26"/>
        </w:rPr>
        <w:t> </w:t>
      </w:r>
      <w:r>
        <w:rPr>
          <w:sz w:val="26"/>
          <w:szCs w:val="26"/>
        </w:rPr>
        <w:t>Small’s testimony.  There was no investigative report regrading Mr. Majek, and not even a verification or clarification as to his name spelling.</w:t>
      </w:r>
    </w:p>
    <w:p w:rsidR="00947E6F" w:rsidRDefault="00947E6F" w:rsidP="00A94A02">
      <w:pPr>
        <w:pStyle w:val="BodyFirst1SS"/>
        <w:spacing w:line="360" w:lineRule="auto"/>
        <w:ind w:firstLine="0"/>
        <w:jc w:val="left"/>
        <w:rPr>
          <w:sz w:val="26"/>
          <w:szCs w:val="26"/>
        </w:rPr>
      </w:pPr>
    </w:p>
    <w:p w:rsidR="00947E6F" w:rsidRDefault="00947E6F" w:rsidP="00A94A02">
      <w:pPr>
        <w:pStyle w:val="BodyFirst1SS"/>
        <w:spacing w:line="360" w:lineRule="auto"/>
        <w:ind w:firstLine="0"/>
        <w:jc w:val="left"/>
        <w:rPr>
          <w:sz w:val="26"/>
          <w:szCs w:val="26"/>
        </w:rPr>
      </w:pPr>
      <w:proofErr w:type="gramStart"/>
      <w:r>
        <w:rPr>
          <w:i/>
          <w:sz w:val="26"/>
          <w:szCs w:val="26"/>
        </w:rPr>
        <w:t>Id.</w:t>
      </w:r>
      <w:r>
        <w:rPr>
          <w:sz w:val="26"/>
          <w:szCs w:val="26"/>
        </w:rPr>
        <w:t xml:space="preserve"> at 33.</w:t>
      </w:r>
      <w:proofErr w:type="gramEnd"/>
    </w:p>
    <w:p w:rsidR="00947E6F" w:rsidRDefault="00947E6F" w:rsidP="00A94A02">
      <w:pPr>
        <w:pStyle w:val="BodyFirst1SS"/>
        <w:spacing w:line="360" w:lineRule="auto"/>
        <w:ind w:firstLine="0"/>
        <w:jc w:val="left"/>
        <w:rPr>
          <w:sz w:val="26"/>
          <w:szCs w:val="26"/>
        </w:rPr>
      </w:pPr>
    </w:p>
    <w:p w:rsidR="006A5A33" w:rsidRDefault="00EF4CDB" w:rsidP="00947E6F">
      <w:pPr>
        <w:pStyle w:val="BodyFirst1SS"/>
        <w:tabs>
          <w:tab w:val="left" w:pos="1440"/>
        </w:tabs>
        <w:spacing w:line="360" w:lineRule="auto"/>
        <w:ind w:firstLine="0"/>
        <w:jc w:val="left"/>
        <w:rPr>
          <w:sz w:val="26"/>
          <w:szCs w:val="26"/>
        </w:rPr>
      </w:pPr>
      <w:r>
        <w:rPr>
          <w:sz w:val="26"/>
          <w:szCs w:val="26"/>
        </w:rPr>
        <w:tab/>
        <w:t>Concluding</w:t>
      </w:r>
      <w:r w:rsidR="00947E6F">
        <w:rPr>
          <w:sz w:val="26"/>
          <w:szCs w:val="26"/>
        </w:rPr>
        <w:t xml:space="preserve"> </w:t>
      </w:r>
      <w:r w:rsidR="0070173E">
        <w:rPr>
          <w:sz w:val="26"/>
          <w:szCs w:val="26"/>
        </w:rPr>
        <w:t xml:space="preserve">her </w:t>
      </w:r>
      <w:r w:rsidR="00947E6F">
        <w:rPr>
          <w:sz w:val="26"/>
          <w:szCs w:val="26"/>
        </w:rPr>
        <w:t>review</w:t>
      </w:r>
      <w:r w:rsidR="006A5A33">
        <w:rPr>
          <w:sz w:val="26"/>
          <w:szCs w:val="26"/>
        </w:rPr>
        <w:t xml:space="preserve">, </w:t>
      </w:r>
      <w:r w:rsidR="00947E6F">
        <w:rPr>
          <w:sz w:val="26"/>
          <w:szCs w:val="26"/>
        </w:rPr>
        <w:t xml:space="preserve">the ALJ found </w:t>
      </w:r>
      <w:r w:rsidR="00AF3397">
        <w:rPr>
          <w:sz w:val="26"/>
          <w:szCs w:val="26"/>
        </w:rPr>
        <w:t>that Mr. Herp</w:t>
      </w:r>
      <w:r w:rsidR="006A5A33">
        <w:rPr>
          <w:sz w:val="26"/>
          <w:szCs w:val="26"/>
        </w:rPr>
        <w:t>’s evidence supported a finding that Respond violated Section 54.4(a) of our Regulations because Respond</w:t>
      </w:r>
      <w:r>
        <w:rPr>
          <w:sz w:val="26"/>
          <w:szCs w:val="26"/>
        </w:rPr>
        <w:t>’s</w:t>
      </w:r>
      <w:r w:rsidR="006A5A33">
        <w:rPr>
          <w:sz w:val="26"/>
          <w:szCs w:val="26"/>
        </w:rPr>
        <w:t xml:space="preserve"> “prices billed did not reflect the marketed prices promised to Mr.</w:t>
      </w:r>
      <w:r w:rsidR="0070173E">
        <w:rPr>
          <w:sz w:val="26"/>
          <w:szCs w:val="26"/>
        </w:rPr>
        <w:t> </w:t>
      </w:r>
      <w:r w:rsidR="006A5A33">
        <w:rPr>
          <w:sz w:val="26"/>
          <w:szCs w:val="26"/>
        </w:rPr>
        <w:t>Herp by Mr. Majek.</w:t>
      </w:r>
      <w:r w:rsidR="003D0F54">
        <w:rPr>
          <w:sz w:val="26"/>
          <w:szCs w:val="26"/>
        </w:rPr>
        <w:t>”</w:t>
      </w:r>
      <w:r w:rsidR="006A5A33">
        <w:rPr>
          <w:sz w:val="26"/>
          <w:szCs w:val="26"/>
        </w:rPr>
        <w:t xml:space="preserve">  </w:t>
      </w:r>
      <w:r w:rsidR="003D0F54">
        <w:rPr>
          <w:i/>
          <w:sz w:val="26"/>
          <w:szCs w:val="26"/>
        </w:rPr>
        <w:t>Id.</w:t>
      </w:r>
      <w:r w:rsidR="003D0F54">
        <w:rPr>
          <w:sz w:val="26"/>
          <w:szCs w:val="26"/>
        </w:rPr>
        <w:t xml:space="preserve">  </w:t>
      </w:r>
      <w:r w:rsidR="006A5A33">
        <w:rPr>
          <w:sz w:val="26"/>
          <w:szCs w:val="26"/>
        </w:rPr>
        <w:t xml:space="preserve">Under this provision and Section 1312 of the Code, the ALJ ordered a refund “consisting of the difference between the amount Complainant was actually billed at Respond Power’s variable rate less the amount he would have been billed at West Penn Power’s price-to-compare during the time he was a customer of Respond Power from November 26, 2013 through March 29, 2014[.]”  </w:t>
      </w:r>
      <w:r w:rsidR="006A5A33">
        <w:rPr>
          <w:i/>
          <w:sz w:val="26"/>
          <w:szCs w:val="26"/>
        </w:rPr>
        <w:t>Id.</w:t>
      </w:r>
    </w:p>
    <w:p w:rsidR="006A5A33" w:rsidRDefault="006A5A33" w:rsidP="00947E6F">
      <w:pPr>
        <w:pStyle w:val="BodyFirst1SS"/>
        <w:tabs>
          <w:tab w:val="left" w:pos="1440"/>
        </w:tabs>
        <w:spacing w:line="360" w:lineRule="auto"/>
        <w:ind w:firstLine="0"/>
        <w:jc w:val="left"/>
        <w:rPr>
          <w:sz w:val="26"/>
          <w:szCs w:val="26"/>
        </w:rPr>
      </w:pPr>
    </w:p>
    <w:p w:rsidR="00A94A02" w:rsidRPr="00E45FBA" w:rsidRDefault="006A5A33" w:rsidP="00947E6F">
      <w:pPr>
        <w:pStyle w:val="BodyFirst1SS"/>
        <w:tabs>
          <w:tab w:val="left" w:pos="1440"/>
        </w:tabs>
        <w:spacing w:line="360" w:lineRule="auto"/>
        <w:ind w:firstLine="0"/>
        <w:jc w:val="left"/>
        <w:rPr>
          <w:sz w:val="26"/>
          <w:szCs w:val="26"/>
        </w:rPr>
      </w:pPr>
      <w:r>
        <w:rPr>
          <w:sz w:val="26"/>
          <w:szCs w:val="26"/>
        </w:rPr>
        <w:tab/>
        <w:t>T</w:t>
      </w:r>
      <w:r w:rsidR="00947E6F">
        <w:rPr>
          <w:sz w:val="26"/>
          <w:szCs w:val="26"/>
        </w:rPr>
        <w:t xml:space="preserve">he ALJ </w:t>
      </w:r>
      <w:r>
        <w:rPr>
          <w:sz w:val="26"/>
          <w:szCs w:val="26"/>
        </w:rPr>
        <w:t xml:space="preserve">then </w:t>
      </w:r>
      <w:r w:rsidR="00947E6F">
        <w:rPr>
          <w:sz w:val="26"/>
          <w:szCs w:val="26"/>
        </w:rPr>
        <w:t xml:space="preserve">turned again to her analysis of our authority over EGSs.  </w:t>
      </w:r>
      <w:r w:rsidR="00E45FBA">
        <w:rPr>
          <w:sz w:val="26"/>
          <w:szCs w:val="26"/>
        </w:rPr>
        <w:t xml:space="preserve">Citing </w:t>
      </w:r>
      <w:r w:rsidR="00E45FBA">
        <w:rPr>
          <w:i/>
          <w:sz w:val="26"/>
          <w:szCs w:val="26"/>
        </w:rPr>
        <w:t xml:space="preserve">Nadav </w:t>
      </w:r>
      <w:r w:rsidR="00E45FBA">
        <w:rPr>
          <w:sz w:val="26"/>
          <w:szCs w:val="26"/>
        </w:rPr>
        <w:t>and</w:t>
      </w:r>
      <w:r w:rsidR="00E71738">
        <w:rPr>
          <w:sz w:val="26"/>
          <w:szCs w:val="26"/>
        </w:rPr>
        <w:t xml:space="preserve"> </w:t>
      </w:r>
      <w:r w:rsidR="00E71738">
        <w:rPr>
          <w:i/>
          <w:sz w:val="26"/>
          <w:szCs w:val="26"/>
        </w:rPr>
        <w:t>MacLuckie v. Palmco Energy PA LLC</w:t>
      </w:r>
      <w:r w:rsidR="00E71738">
        <w:rPr>
          <w:sz w:val="26"/>
          <w:szCs w:val="26"/>
        </w:rPr>
        <w:t>, Docket No. C-2014-2402558 (Order entered December 4, 2014)</w:t>
      </w:r>
      <w:r w:rsidR="00E45FBA">
        <w:rPr>
          <w:sz w:val="26"/>
          <w:szCs w:val="26"/>
        </w:rPr>
        <w:t xml:space="preserve"> </w:t>
      </w:r>
      <w:r w:rsidR="00E71738">
        <w:rPr>
          <w:sz w:val="26"/>
          <w:szCs w:val="26"/>
        </w:rPr>
        <w:t>(</w:t>
      </w:r>
      <w:r w:rsidR="00E45FBA">
        <w:rPr>
          <w:i/>
          <w:sz w:val="26"/>
          <w:szCs w:val="26"/>
        </w:rPr>
        <w:t>MacLuckie Remand</w:t>
      </w:r>
      <w:r w:rsidR="00E71738">
        <w:rPr>
          <w:sz w:val="26"/>
          <w:szCs w:val="26"/>
        </w:rPr>
        <w:t>),</w:t>
      </w:r>
      <w:r w:rsidR="00E45FBA">
        <w:rPr>
          <w:sz w:val="26"/>
          <w:szCs w:val="26"/>
        </w:rPr>
        <w:t xml:space="preserve"> the ALJ concluded that she could find authority to direct a refund upon finding violations of Commission Regulations and Orders concerning EGS licensing, marketing, and sales Regulations.  </w:t>
      </w:r>
      <w:r w:rsidR="00E45FBA">
        <w:rPr>
          <w:sz w:val="26"/>
          <w:szCs w:val="26"/>
        </w:rPr>
        <w:lastRenderedPageBreak/>
        <w:t>She further noted that the several cases cited by Respond for the proposition that the Commission has no authority to order EGS refunds were ALJ decisions, some of which were settled by satisfaction and others that were still under review or were recently remanded or amended</w:t>
      </w:r>
      <w:r w:rsidR="003D0F54">
        <w:rPr>
          <w:sz w:val="26"/>
          <w:szCs w:val="26"/>
        </w:rPr>
        <w:t xml:space="preserve">. </w:t>
      </w:r>
      <w:r w:rsidR="00E45FBA">
        <w:rPr>
          <w:sz w:val="26"/>
          <w:szCs w:val="26"/>
        </w:rPr>
        <w:t xml:space="preserve"> </w:t>
      </w:r>
      <w:r w:rsidR="0079661D">
        <w:rPr>
          <w:sz w:val="26"/>
          <w:szCs w:val="26"/>
        </w:rPr>
        <w:t xml:space="preserve">Regardless of the fact </w:t>
      </w:r>
      <w:r w:rsidR="00EF4CDB">
        <w:rPr>
          <w:sz w:val="26"/>
          <w:szCs w:val="26"/>
        </w:rPr>
        <w:t xml:space="preserve">argued by Respond </w:t>
      </w:r>
      <w:r w:rsidR="0079661D">
        <w:rPr>
          <w:sz w:val="26"/>
          <w:szCs w:val="26"/>
        </w:rPr>
        <w:t xml:space="preserve">that the Complainant switched from one EGS to another, the ALJ found that Respond’s misleading statements entailed a promise that his rate would not exceed his EDC’s PTC.  </w:t>
      </w:r>
      <w:r w:rsidR="00E45FBA">
        <w:rPr>
          <w:sz w:val="26"/>
          <w:szCs w:val="26"/>
        </w:rPr>
        <w:t>The ALJ concluded there was sufficient evidence to find a violation of our Regulations</w:t>
      </w:r>
      <w:r w:rsidR="00EF4CDB">
        <w:rPr>
          <w:sz w:val="26"/>
          <w:szCs w:val="26"/>
        </w:rPr>
        <w:t xml:space="preserve"> and</w:t>
      </w:r>
      <w:r w:rsidR="00E45FBA">
        <w:rPr>
          <w:sz w:val="26"/>
          <w:szCs w:val="26"/>
        </w:rPr>
        <w:t xml:space="preserve"> authority under Sections 501, 1301, and 1312 of the Code to order </w:t>
      </w:r>
      <w:r w:rsidR="003D0F54">
        <w:rPr>
          <w:sz w:val="26"/>
          <w:szCs w:val="26"/>
        </w:rPr>
        <w:t>a</w:t>
      </w:r>
      <w:r w:rsidR="00E45FBA">
        <w:rPr>
          <w:sz w:val="26"/>
          <w:szCs w:val="26"/>
        </w:rPr>
        <w:t xml:space="preserve"> refund.  </w:t>
      </w:r>
      <w:r w:rsidR="00E45FBA">
        <w:rPr>
          <w:i/>
          <w:sz w:val="26"/>
          <w:szCs w:val="26"/>
        </w:rPr>
        <w:t>Id.</w:t>
      </w:r>
      <w:r w:rsidR="00E45FBA">
        <w:rPr>
          <w:sz w:val="26"/>
          <w:szCs w:val="26"/>
        </w:rPr>
        <w:t xml:space="preserve"> at 34-36.</w:t>
      </w:r>
    </w:p>
    <w:p w:rsidR="00A94A02" w:rsidRDefault="00A94A02" w:rsidP="00A94A02">
      <w:pPr>
        <w:pStyle w:val="BodyFirst1SS"/>
        <w:spacing w:line="360" w:lineRule="auto"/>
        <w:ind w:firstLine="0"/>
        <w:jc w:val="left"/>
        <w:rPr>
          <w:sz w:val="26"/>
          <w:szCs w:val="26"/>
        </w:rPr>
      </w:pPr>
    </w:p>
    <w:p w:rsidR="008654C0" w:rsidRPr="00E5450C" w:rsidRDefault="00E5450C" w:rsidP="00521D8D">
      <w:pPr>
        <w:keepNext/>
        <w:keepLines/>
        <w:ind w:left="720" w:firstLine="720"/>
        <w:rPr>
          <w:rFonts w:ascii="Times New Roman" w:hAnsi="Times New Roman"/>
        </w:rPr>
      </w:pPr>
      <w:r>
        <w:rPr>
          <w:rFonts w:ascii="Times New Roman" w:hAnsi="Times New Roman"/>
          <w:b/>
          <w:sz w:val="26"/>
          <w:szCs w:val="26"/>
        </w:rPr>
        <w:t>b.</w:t>
      </w:r>
      <w:r>
        <w:rPr>
          <w:rFonts w:ascii="Times New Roman" w:hAnsi="Times New Roman"/>
          <w:b/>
          <w:sz w:val="26"/>
          <w:szCs w:val="26"/>
        </w:rPr>
        <w:tab/>
        <w:t xml:space="preserve">Respond’s </w:t>
      </w:r>
      <w:r w:rsidR="00024713" w:rsidRPr="00E5450C">
        <w:rPr>
          <w:rFonts w:ascii="Times New Roman" w:hAnsi="Times New Roman"/>
          <w:b/>
          <w:sz w:val="26"/>
          <w:szCs w:val="26"/>
        </w:rPr>
        <w:t xml:space="preserve">Exception </w:t>
      </w:r>
    </w:p>
    <w:p w:rsidR="008654C0" w:rsidRDefault="008654C0" w:rsidP="00521D8D">
      <w:pPr>
        <w:pStyle w:val="ListParagraph"/>
        <w:keepNext/>
        <w:keepLines/>
        <w:ind w:left="1440"/>
        <w:rPr>
          <w:rFonts w:ascii="Times New Roman" w:hAnsi="Times New Roman"/>
          <w:b/>
          <w:sz w:val="26"/>
          <w:szCs w:val="26"/>
        </w:rPr>
      </w:pPr>
    </w:p>
    <w:p w:rsidR="00C7593A" w:rsidRDefault="00B67540" w:rsidP="008654C0">
      <w:pPr>
        <w:pStyle w:val="ListParagraph"/>
        <w:ind w:left="0"/>
        <w:rPr>
          <w:rFonts w:ascii="Times New Roman" w:hAnsi="Times New Roman"/>
          <w:sz w:val="26"/>
          <w:szCs w:val="26"/>
        </w:rPr>
      </w:pPr>
      <w:r w:rsidRPr="008654C0">
        <w:rPr>
          <w:rFonts w:ascii="Times New Roman" w:hAnsi="Times New Roman"/>
        </w:rPr>
        <w:tab/>
      </w:r>
      <w:r w:rsidRPr="008654C0">
        <w:rPr>
          <w:rFonts w:ascii="Times New Roman" w:hAnsi="Times New Roman"/>
        </w:rPr>
        <w:tab/>
      </w:r>
      <w:r w:rsidR="00FE144A" w:rsidRPr="008654C0">
        <w:rPr>
          <w:rFonts w:ascii="Times New Roman" w:hAnsi="Times New Roman"/>
          <w:sz w:val="26"/>
          <w:szCs w:val="26"/>
        </w:rPr>
        <w:t xml:space="preserve">In its </w:t>
      </w:r>
      <w:r w:rsidR="00C7593A" w:rsidRPr="008654C0">
        <w:rPr>
          <w:rFonts w:ascii="Times New Roman" w:hAnsi="Times New Roman"/>
          <w:sz w:val="26"/>
          <w:szCs w:val="26"/>
        </w:rPr>
        <w:t xml:space="preserve">Exception No. 3, Respond </w:t>
      </w:r>
      <w:r w:rsidR="00EF4CDB">
        <w:rPr>
          <w:rFonts w:ascii="Times New Roman" w:hAnsi="Times New Roman"/>
          <w:sz w:val="26"/>
          <w:szCs w:val="26"/>
        </w:rPr>
        <w:t>claims</w:t>
      </w:r>
      <w:r w:rsidR="00FE144A" w:rsidRPr="008654C0">
        <w:rPr>
          <w:rFonts w:ascii="Times New Roman" w:hAnsi="Times New Roman"/>
          <w:sz w:val="26"/>
          <w:szCs w:val="26"/>
        </w:rPr>
        <w:t xml:space="preserve"> the ALJ erred in </w:t>
      </w:r>
      <w:r w:rsidR="003D0F54">
        <w:rPr>
          <w:rFonts w:ascii="Times New Roman" w:hAnsi="Times New Roman"/>
          <w:sz w:val="26"/>
          <w:szCs w:val="26"/>
        </w:rPr>
        <w:t>directing</w:t>
      </w:r>
      <w:r w:rsidR="00FE144A" w:rsidRPr="008654C0">
        <w:rPr>
          <w:rFonts w:ascii="Times New Roman" w:hAnsi="Times New Roman"/>
          <w:sz w:val="26"/>
          <w:szCs w:val="26"/>
        </w:rPr>
        <w:t xml:space="preserve"> </w:t>
      </w:r>
      <w:r w:rsidR="0070173E">
        <w:rPr>
          <w:rFonts w:ascii="Times New Roman" w:hAnsi="Times New Roman"/>
          <w:sz w:val="26"/>
          <w:szCs w:val="26"/>
        </w:rPr>
        <w:t xml:space="preserve">a </w:t>
      </w:r>
      <w:r w:rsidR="00FE144A" w:rsidRPr="008654C0">
        <w:rPr>
          <w:rFonts w:ascii="Times New Roman" w:hAnsi="Times New Roman"/>
          <w:sz w:val="26"/>
          <w:szCs w:val="26"/>
        </w:rPr>
        <w:t>refund</w:t>
      </w:r>
      <w:r w:rsidR="0070173E">
        <w:rPr>
          <w:rFonts w:ascii="Times New Roman" w:hAnsi="Times New Roman"/>
          <w:sz w:val="26"/>
          <w:szCs w:val="26"/>
        </w:rPr>
        <w:t xml:space="preserve">, arguing that </w:t>
      </w:r>
      <w:r w:rsidR="00FE144A" w:rsidRPr="008654C0">
        <w:rPr>
          <w:rFonts w:ascii="Times New Roman" w:hAnsi="Times New Roman"/>
          <w:sz w:val="26"/>
          <w:szCs w:val="26"/>
        </w:rPr>
        <w:t xml:space="preserve">while the Commission recently found that it has statutory authority in limited circumstances to require an EGS </w:t>
      </w:r>
      <w:r w:rsidR="00C7593A" w:rsidRPr="008654C0">
        <w:rPr>
          <w:rFonts w:ascii="Times New Roman" w:hAnsi="Times New Roman"/>
          <w:sz w:val="26"/>
          <w:szCs w:val="26"/>
        </w:rPr>
        <w:t xml:space="preserve">to </w:t>
      </w:r>
      <w:r w:rsidR="00FE144A" w:rsidRPr="008654C0">
        <w:rPr>
          <w:rFonts w:ascii="Times New Roman" w:hAnsi="Times New Roman"/>
          <w:sz w:val="26"/>
          <w:szCs w:val="26"/>
        </w:rPr>
        <w:t xml:space="preserve">issue a refund to a customer, those circumstances are not present </w:t>
      </w:r>
      <w:r w:rsidR="002F56A8">
        <w:rPr>
          <w:rFonts w:ascii="Times New Roman" w:hAnsi="Times New Roman"/>
          <w:sz w:val="26"/>
          <w:szCs w:val="26"/>
        </w:rPr>
        <w:t>in this case</w:t>
      </w:r>
      <w:r w:rsidR="00FE144A" w:rsidRPr="008654C0">
        <w:rPr>
          <w:rFonts w:ascii="Times New Roman" w:hAnsi="Times New Roman"/>
          <w:sz w:val="26"/>
          <w:szCs w:val="26"/>
        </w:rPr>
        <w:t xml:space="preserve">.  </w:t>
      </w:r>
      <w:r w:rsidR="00C40D5B" w:rsidRPr="00C40D5B">
        <w:rPr>
          <w:rFonts w:ascii="Times New Roman" w:hAnsi="Times New Roman"/>
          <w:sz w:val="26"/>
          <w:szCs w:val="26"/>
        </w:rPr>
        <w:t xml:space="preserve">Respond </w:t>
      </w:r>
      <w:r w:rsidR="002F56A8">
        <w:rPr>
          <w:rFonts w:ascii="Times New Roman" w:hAnsi="Times New Roman"/>
          <w:sz w:val="26"/>
          <w:szCs w:val="26"/>
        </w:rPr>
        <w:t xml:space="preserve">argues </w:t>
      </w:r>
      <w:r w:rsidR="00C40D5B" w:rsidRPr="00C40D5B">
        <w:rPr>
          <w:rFonts w:ascii="Times New Roman" w:hAnsi="Times New Roman"/>
          <w:sz w:val="26"/>
          <w:szCs w:val="26"/>
        </w:rPr>
        <w:t xml:space="preserve">that as a creation of the General Assembly, the Commission has only the powers granted to it </w:t>
      </w:r>
      <w:r w:rsidR="002F56A8">
        <w:rPr>
          <w:rFonts w:ascii="Times New Roman" w:hAnsi="Times New Roman"/>
          <w:sz w:val="26"/>
          <w:szCs w:val="26"/>
        </w:rPr>
        <w:t>i</w:t>
      </w:r>
      <w:r w:rsidR="00C40D5B" w:rsidRPr="00C40D5B">
        <w:rPr>
          <w:rFonts w:ascii="Times New Roman" w:hAnsi="Times New Roman"/>
          <w:sz w:val="26"/>
          <w:szCs w:val="26"/>
        </w:rPr>
        <w:t>n the Code, that the Commission must act within its jurisdiction, which may not be conferred where none exists, and that subject matter jurisdiction is a prerequisite to the exercise of power to decide a controversy.</w:t>
      </w:r>
      <w:r w:rsidR="00C40D5B">
        <w:rPr>
          <w:rFonts w:ascii="Times New Roman" w:hAnsi="Times New Roman"/>
          <w:sz w:val="26"/>
          <w:szCs w:val="26"/>
        </w:rPr>
        <w:t xml:space="preserve">  </w:t>
      </w:r>
      <w:r w:rsidR="00C7593A" w:rsidRPr="008654C0">
        <w:rPr>
          <w:rFonts w:ascii="Times New Roman" w:hAnsi="Times New Roman"/>
          <w:sz w:val="26"/>
          <w:szCs w:val="26"/>
        </w:rPr>
        <w:t>Respond Ex</w:t>
      </w:r>
      <w:r w:rsidR="00816ABF" w:rsidRPr="008654C0">
        <w:rPr>
          <w:rFonts w:ascii="Times New Roman" w:hAnsi="Times New Roman"/>
          <w:sz w:val="26"/>
          <w:szCs w:val="26"/>
        </w:rPr>
        <w:t>c</w:t>
      </w:r>
      <w:r w:rsidR="00C7593A" w:rsidRPr="008654C0">
        <w:rPr>
          <w:rFonts w:ascii="Times New Roman" w:hAnsi="Times New Roman"/>
          <w:sz w:val="26"/>
          <w:szCs w:val="26"/>
        </w:rPr>
        <w:t>. at 21.</w:t>
      </w:r>
    </w:p>
    <w:p w:rsidR="00C40D5B" w:rsidRDefault="00C40D5B" w:rsidP="008654C0">
      <w:pPr>
        <w:pStyle w:val="ListParagraph"/>
        <w:ind w:left="0"/>
        <w:rPr>
          <w:rFonts w:ascii="Times New Roman" w:hAnsi="Times New Roman"/>
          <w:sz w:val="26"/>
          <w:szCs w:val="26"/>
        </w:rPr>
      </w:pPr>
    </w:p>
    <w:p w:rsidR="00FE144A" w:rsidRPr="006408E1" w:rsidRDefault="0014132D" w:rsidP="00700860">
      <w:pPr>
        <w:pStyle w:val="BodyFirst1SS"/>
        <w:spacing w:line="360" w:lineRule="auto"/>
        <w:ind w:firstLine="1440"/>
        <w:jc w:val="left"/>
        <w:rPr>
          <w:sz w:val="26"/>
          <w:szCs w:val="26"/>
        </w:rPr>
      </w:pPr>
      <w:r>
        <w:rPr>
          <w:sz w:val="26"/>
          <w:szCs w:val="26"/>
        </w:rPr>
        <w:t xml:space="preserve">Respond </w:t>
      </w:r>
      <w:r w:rsidR="001D49A3">
        <w:rPr>
          <w:sz w:val="26"/>
          <w:szCs w:val="26"/>
        </w:rPr>
        <w:t xml:space="preserve">contends </w:t>
      </w:r>
      <w:r>
        <w:rPr>
          <w:sz w:val="26"/>
          <w:szCs w:val="26"/>
        </w:rPr>
        <w:t>that n</w:t>
      </w:r>
      <w:r w:rsidR="00FE144A" w:rsidRPr="00DE68FB">
        <w:rPr>
          <w:sz w:val="26"/>
          <w:szCs w:val="26"/>
        </w:rPr>
        <w:t xml:space="preserve">othing in the Code authorizes the Commission to regulate the prices of EGSs, </w:t>
      </w:r>
      <w:r w:rsidR="001D49A3">
        <w:rPr>
          <w:sz w:val="26"/>
          <w:szCs w:val="26"/>
        </w:rPr>
        <w:t>including consideration of just and reasonable rates and the direction of a refund</w:t>
      </w:r>
      <w:r w:rsidR="00FE144A" w:rsidRPr="00DE68FB">
        <w:rPr>
          <w:sz w:val="26"/>
          <w:szCs w:val="26"/>
        </w:rPr>
        <w:t xml:space="preserve">.  </w:t>
      </w:r>
      <w:r>
        <w:rPr>
          <w:sz w:val="26"/>
          <w:szCs w:val="26"/>
        </w:rPr>
        <w:t xml:space="preserve">Respond </w:t>
      </w:r>
      <w:r w:rsidR="001D49A3">
        <w:rPr>
          <w:sz w:val="26"/>
          <w:szCs w:val="26"/>
        </w:rPr>
        <w:t xml:space="preserve">contends </w:t>
      </w:r>
      <w:r>
        <w:rPr>
          <w:sz w:val="26"/>
          <w:szCs w:val="26"/>
        </w:rPr>
        <w:t xml:space="preserve">that </w:t>
      </w:r>
      <w:r w:rsidR="003D0F54">
        <w:rPr>
          <w:sz w:val="26"/>
          <w:szCs w:val="26"/>
        </w:rPr>
        <w:t xml:space="preserve">to the contrary, </w:t>
      </w:r>
      <w:r w:rsidR="00FE144A" w:rsidRPr="00DE68FB">
        <w:rPr>
          <w:sz w:val="26"/>
          <w:szCs w:val="26"/>
        </w:rPr>
        <w:t xml:space="preserve">Section 2806(a) </w:t>
      </w:r>
      <w:r w:rsidR="00BC241D">
        <w:rPr>
          <w:sz w:val="26"/>
          <w:szCs w:val="26"/>
        </w:rPr>
        <w:t xml:space="preserve">of the Code </w:t>
      </w:r>
      <w:r w:rsidR="00FE144A" w:rsidRPr="00DE68FB">
        <w:rPr>
          <w:sz w:val="26"/>
          <w:szCs w:val="26"/>
        </w:rPr>
        <w:t xml:space="preserve">provides that </w:t>
      </w:r>
      <w:r w:rsidR="003D0F54">
        <w:rPr>
          <w:sz w:val="26"/>
          <w:szCs w:val="26"/>
        </w:rPr>
        <w:t>electric</w:t>
      </w:r>
      <w:r w:rsidR="00FE144A" w:rsidRPr="00DE68FB">
        <w:rPr>
          <w:sz w:val="26"/>
          <w:szCs w:val="26"/>
        </w:rPr>
        <w:t xml:space="preserve"> generation </w:t>
      </w:r>
      <w:r w:rsidR="003D0F54">
        <w:rPr>
          <w:sz w:val="26"/>
          <w:szCs w:val="26"/>
        </w:rPr>
        <w:t>“</w:t>
      </w:r>
      <w:r w:rsidR="00FE144A" w:rsidRPr="00DE68FB">
        <w:rPr>
          <w:sz w:val="26"/>
          <w:szCs w:val="26"/>
        </w:rPr>
        <w:t>shall no longer be regulated as a public utility service or function excep</w:t>
      </w:r>
      <w:r w:rsidR="002715C8">
        <w:rPr>
          <w:sz w:val="26"/>
          <w:szCs w:val="26"/>
        </w:rPr>
        <w:t xml:space="preserve">t as otherwise provided for </w:t>
      </w:r>
      <w:r w:rsidR="00FE144A" w:rsidRPr="00DE68FB">
        <w:rPr>
          <w:sz w:val="26"/>
          <w:szCs w:val="26"/>
        </w:rPr>
        <w:t xml:space="preserve">in this chapter.”  </w:t>
      </w:r>
      <w:proofErr w:type="gramStart"/>
      <w:r w:rsidR="003D0F54" w:rsidRPr="003D0F54">
        <w:rPr>
          <w:i/>
          <w:sz w:val="26"/>
          <w:szCs w:val="26"/>
        </w:rPr>
        <w:t>Id</w:t>
      </w:r>
      <w:r w:rsidR="003D0F54">
        <w:rPr>
          <w:sz w:val="26"/>
          <w:szCs w:val="26"/>
        </w:rPr>
        <w:t>. a</w:t>
      </w:r>
      <w:r w:rsidR="00BC241D">
        <w:rPr>
          <w:sz w:val="26"/>
          <w:szCs w:val="26"/>
        </w:rPr>
        <w:t xml:space="preserve">t </w:t>
      </w:r>
      <w:r w:rsidR="001D49A3">
        <w:rPr>
          <w:sz w:val="26"/>
          <w:szCs w:val="26"/>
        </w:rPr>
        <w:t>22</w:t>
      </w:r>
      <w:r w:rsidR="00BC241D">
        <w:rPr>
          <w:sz w:val="26"/>
          <w:szCs w:val="26"/>
        </w:rPr>
        <w:t xml:space="preserve">, quoting </w:t>
      </w:r>
      <w:r w:rsidR="00FE144A" w:rsidRPr="00DE68FB">
        <w:rPr>
          <w:sz w:val="26"/>
          <w:szCs w:val="26"/>
        </w:rPr>
        <w:t>66 Pa. C.S. § 2806(a)</w:t>
      </w:r>
      <w:r w:rsidR="001D49A3">
        <w:rPr>
          <w:sz w:val="26"/>
          <w:szCs w:val="26"/>
        </w:rPr>
        <w:t>.</w:t>
      </w:r>
      <w:proofErr w:type="gramEnd"/>
      <w:r w:rsidR="00FE144A" w:rsidRPr="00DE68FB">
        <w:rPr>
          <w:sz w:val="26"/>
          <w:szCs w:val="26"/>
        </w:rPr>
        <w:t xml:space="preserve"> </w:t>
      </w:r>
      <w:r>
        <w:rPr>
          <w:sz w:val="26"/>
          <w:szCs w:val="26"/>
        </w:rPr>
        <w:t xml:space="preserve"> </w:t>
      </w:r>
      <w:r w:rsidR="001D49A3">
        <w:rPr>
          <w:sz w:val="26"/>
          <w:szCs w:val="26"/>
        </w:rPr>
        <w:t xml:space="preserve">Citing the Supreme Court’s decision in </w:t>
      </w:r>
      <w:r w:rsidR="001D49A3" w:rsidRPr="001D49A3">
        <w:rPr>
          <w:i/>
          <w:sz w:val="26"/>
          <w:szCs w:val="26"/>
        </w:rPr>
        <w:t>Delmarva Power &amp; Light Co. v. Pa. PUC</w:t>
      </w:r>
      <w:r w:rsidR="001D49A3" w:rsidRPr="001D49A3">
        <w:rPr>
          <w:sz w:val="26"/>
          <w:szCs w:val="26"/>
        </w:rPr>
        <w:t>, 870 A.2d 901 (Pa. 2005)</w:t>
      </w:r>
      <w:r w:rsidR="00B14349">
        <w:rPr>
          <w:sz w:val="26"/>
          <w:szCs w:val="26"/>
        </w:rPr>
        <w:t xml:space="preserve"> (</w:t>
      </w:r>
      <w:r w:rsidR="00B14349">
        <w:rPr>
          <w:i/>
          <w:sz w:val="26"/>
          <w:szCs w:val="26"/>
        </w:rPr>
        <w:t>Delmarva</w:t>
      </w:r>
      <w:r w:rsidR="00B14349">
        <w:rPr>
          <w:sz w:val="26"/>
          <w:szCs w:val="26"/>
        </w:rPr>
        <w:t>)</w:t>
      </w:r>
      <w:r w:rsidR="001D49A3">
        <w:rPr>
          <w:sz w:val="26"/>
          <w:szCs w:val="26"/>
        </w:rPr>
        <w:t xml:space="preserve">, </w:t>
      </w:r>
      <w:r w:rsidR="006408E1">
        <w:rPr>
          <w:sz w:val="26"/>
          <w:szCs w:val="26"/>
        </w:rPr>
        <w:t xml:space="preserve">Respond argues that </w:t>
      </w:r>
      <w:r w:rsidR="001D49A3">
        <w:rPr>
          <w:sz w:val="26"/>
          <w:szCs w:val="26"/>
        </w:rPr>
        <w:t xml:space="preserve">EGSs are not to be considered a public utility </w:t>
      </w:r>
      <w:r w:rsidR="00FE144A" w:rsidRPr="00DE68FB">
        <w:rPr>
          <w:sz w:val="26"/>
          <w:szCs w:val="26"/>
        </w:rPr>
        <w:t>except for the limited purposes set forth in Sections 2809 and 2810</w:t>
      </w:r>
      <w:r w:rsidR="001D49A3">
        <w:rPr>
          <w:sz w:val="26"/>
          <w:szCs w:val="26"/>
        </w:rPr>
        <w:t xml:space="preserve"> of the Competition Act, which </w:t>
      </w:r>
      <w:r w:rsidR="00700860">
        <w:rPr>
          <w:sz w:val="26"/>
          <w:szCs w:val="26"/>
        </w:rPr>
        <w:t xml:space="preserve">Respond maintains </w:t>
      </w:r>
      <w:r w:rsidR="00FE144A" w:rsidRPr="00DE68FB">
        <w:rPr>
          <w:sz w:val="26"/>
          <w:szCs w:val="26"/>
        </w:rPr>
        <w:t>have no be</w:t>
      </w:r>
      <w:r w:rsidR="00700860">
        <w:rPr>
          <w:sz w:val="26"/>
          <w:szCs w:val="26"/>
        </w:rPr>
        <w:t xml:space="preserve">aring on prices </w:t>
      </w:r>
      <w:r w:rsidR="00700860">
        <w:rPr>
          <w:sz w:val="26"/>
          <w:szCs w:val="26"/>
        </w:rPr>
        <w:lastRenderedPageBreak/>
        <w:t>charged by EGSs</w:t>
      </w:r>
      <w:r w:rsidR="001D49A3">
        <w:rPr>
          <w:sz w:val="26"/>
          <w:szCs w:val="26"/>
        </w:rPr>
        <w:t xml:space="preserve">.  </w:t>
      </w:r>
      <w:r w:rsidR="006408E1">
        <w:rPr>
          <w:sz w:val="26"/>
          <w:szCs w:val="26"/>
        </w:rPr>
        <w:t xml:space="preserve">Respond further refers to the Commission’s decision in </w:t>
      </w:r>
      <w:r w:rsidR="006408E1">
        <w:rPr>
          <w:i/>
          <w:sz w:val="26"/>
          <w:szCs w:val="26"/>
        </w:rPr>
        <w:t>Petition of PECO Energy Company for Approval of its Default Service Plan</w:t>
      </w:r>
      <w:r w:rsidR="006408E1">
        <w:rPr>
          <w:sz w:val="26"/>
          <w:szCs w:val="26"/>
        </w:rPr>
        <w:t xml:space="preserve">, Docket No. P-2012-2283641 (Order entered March </w:t>
      </w:r>
      <w:r w:rsidR="00AC1056">
        <w:rPr>
          <w:sz w:val="26"/>
          <w:szCs w:val="26"/>
        </w:rPr>
        <w:t>12</w:t>
      </w:r>
      <w:r w:rsidR="006408E1">
        <w:rPr>
          <w:sz w:val="26"/>
          <w:szCs w:val="26"/>
        </w:rPr>
        <w:t>, 2014) (</w:t>
      </w:r>
      <w:r w:rsidR="006408E1">
        <w:rPr>
          <w:i/>
          <w:sz w:val="26"/>
          <w:szCs w:val="26"/>
        </w:rPr>
        <w:t>PECO Default Service Plan</w:t>
      </w:r>
      <w:r w:rsidR="006408E1">
        <w:rPr>
          <w:sz w:val="26"/>
          <w:szCs w:val="26"/>
        </w:rPr>
        <w:t>)</w:t>
      </w:r>
      <w:r w:rsidR="009E180E">
        <w:rPr>
          <w:sz w:val="26"/>
          <w:szCs w:val="26"/>
        </w:rPr>
        <w:t>, in which</w:t>
      </w:r>
      <w:r w:rsidR="00EF4CDB">
        <w:rPr>
          <w:sz w:val="26"/>
          <w:szCs w:val="26"/>
        </w:rPr>
        <w:t>,</w:t>
      </w:r>
      <w:r w:rsidR="003D0F54">
        <w:rPr>
          <w:sz w:val="26"/>
          <w:szCs w:val="26"/>
        </w:rPr>
        <w:t xml:space="preserve"> Respond argues</w:t>
      </w:r>
      <w:r w:rsidR="00EF4CDB">
        <w:rPr>
          <w:sz w:val="26"/>
          <w:szCs w:val="26"/>
        </w:rPr>
        <w:t>,</w:t>
      </w:r>
      <w:r w:rsidR="003D0F54">
        <w:rPr>
          <w:sz w:val="26"/>
          <w:szCs w:val="26"/>
        </w:rPr>
        <w:t xml:space="preserve"> </w:t>
      </w:r>
      <w:r w:rsidR="00E70174">
        <w:rPr>
          <w:sz w:val="26"/>
          <w:szCs w:val="26"/>
        </w:rPr>
        <w:t xml:space="preserve">the Commission </w:t>
      </w:r>
      <w:r w:rsidR="00EF4CDB">
        <w:rPr>
          <w:sz w:val="26"/>
          <w:szCs w:val="26"/>
        </w:rPr>
        <w:t>reject</w:t>
      </w:r>
      <w:r w:rsidR="00C61652">
        <w:rPr>
          <w:sz w:val="26"/>
          <w:szCs w:val="26"/>
        </w:rPr>
        <w:t>ed</w:t>
      </w:r>
      <w:r w:rsidR="00EF4CDB">
        <w:rPr>
          <w:sz w:val="26"/>
          <w:szCs w:val="26"/>
        </w:rPr>
        <w:t xml:space="preserve"> </w:t>
      </w:r>
      <w:r w:rsidR="00E70174">
        <w:rPr>
          <w:sz w:val="26"/>
          <w:szCs w:val="26"/>
        </w:rPr>
        <w:t xml:space="preserve">PECO’s proposal to </w:t>
      </w:r>
      <w:r w:rsidR="00EF4CDB" w:rsidRPr="00EF4CDB">
        <w:rPr>
          <w:sz w:val="26"/>
          <w:szCs w:val="26"/>
        </w:rPr>
        <w:t>cap EGS</w:t>
      </w:r>
      <w:r w:rsidR="00C61652">
        <w:rPr>
          <w:sz w:val="26"/>
          <w:szCs w:val="26"/>
        </w:rPr>
        <w:t>s’</w:t>
      </w:r>
      <w:r w:rsidR="00EF4CDB" w:rsidRPr="00EF4CDB">
        <w:rPr>
          <w:sz w:val="26"/>
          <w:szCs w:val="26"/>
        </w:rPr>
        <w:t xml:space="preserve"> </w:t>
      </w:r>
      <w:r w:rsidR="00C61652">
        <w:rPr>
          <w:sz w:val="26"/>
          <w:szCs w:val="26"/>
        </w:rPr>
        <w:t xml:space="preserve">low-income </w:t>
      </w:r>
      <w:r w:rsidR="00EF4CDB" w:rsidRPr="00EF4CDB">
        <w:rPr>
          <w:sz w:val="26"/>
          <w:szCs w:val="26"/>
        </w:rPr>
        <w:t xml:space="preserve">CAP (customer assistance program) </w:t>
      </w:r>
      <w:r w:rsidR="00C61652">
        <w:rPr>
          <w:sz w:val="26"/>
          <w:szCs w:val="26"/>
        </w:rPr>
        <w:t xml:space="preserve">shopping customers’ </w:t>
      </w:r>
      <w:r w:rsidR="00EF4CDB" w:rsidRPr="00EF4CDB">
        <w:rPr>
          <w:sz w:val="26"/>
          <w:szCs w:val="26"/>
        </w:rPr>
        <w:t xml:space="preserve">prices </w:t>
      </w:r>
      <w:r w:rsidR="00C61652">
        <w:rPr>
          <w:sz w:val="26"/>
          <w:szCs w:val="26"/>
        </w:rPr>
        <w:t xml:space="preserve">because the Commission </w:t>
      </w:r>
      <w:r w:rsidR="00C61652" w:rsidRPr="00C61652">
        <w:rPr>
          <w:sz w:val="26"/>
          <w:szCs w:val="26"/>
        </w:rPr>
        <w:t>determined it lacked authority to limit prices charged by EGSs</w:t>
      </w:r>
      <w:r w:rsidR="00E70174">
        <w:rPr>
          <w:sz w:val="26"/>
          <w:szCs w:val="26"/>
        </w:rPr>
        <w:t>.  Respond Exc. at 22-23.</w:t>
      </w:r>
    </w:p>
    <w:p w:rsidR="00700860" w:rsidRPr="00DE68FB" w:rsidRDefault="00700860" w:rsidP="00700860">
      <w:pPr>
        <w:pStyle w:val="BodyFirst1SS"/>
        <w:spacing w:line="360" w:lineRule="auto"/>
        <w:ind w:firstLine="1440"/>
        <w:jc w:val="left"/>
        <w:rPr>
          <w:sz w:val="26"/>
          <w:szCs w:val="26"/>
        </w:rPr>
      </w:pPr>
    </w:p>
    <w:p w:rsidR="00E73BE9" w:rsidRDefault="00ED073E" w:rsidP="00ED073E">
      <w:pPr>
        <w:pStyle w:val="BodyFirst1SS"/>
        <w:spacing w:line="360" w:lineRule="auto"/>
        <w:ind w:firstLine="1440"/>
        <w:jc w:val="left"/>
        <w:rPr>
          <w:sz w:val="26"/>
          <w:szCs w:val="26"/>
        </w:rPr>
      </w:pPr>
      <w:r>
        <w:rPr>
          <w:sz w:val="26"/>
          <w:szCs w:val="26"/>
        </w:rPr>
        <w:t xml:space="preserve">Respond </w:t>
      </w:r>
      <w:r w:rsidR="00825C80">
        <w:rPr>
          <w:sz w:val="26"/>
          <w:szCs w:val="26"/>
        </w:rPr>
        <w:t xml:space="preserve">also </w:t>
      </w:r>
      <w:r w:rsidR="006408E1">
        <w:rPr>
          <w:sz w:val="26"/>
          <w:szCs w:val="26"/>
        </w:rPr>
        <w:t>argues that in the Commission’s review of EGSs’</w:t>
      </w:r>
      <w:r w:rsidR="003D0F54">
        <w:rPr>
          <w:sz w:val="26"/>
          <w:szCs w:val="26"/>
        </w:rPr>
        <w:t xml:space="preserve"> </w:t>
      </w:r>
      <w:r w:rsidR="00E73BE9">
        <w:rPr>
          <w:sz w:val="26"/>
          <w:szCs w:val="26"/>
        </w:rPr>
        <w:t>use of</w:t>
      </w:r>
      <w:r w:rsidR="006408E1">
        <w:rPr>
          <w:sz w:val="26"/>
          <w:szCs w:val="26"/>
        </w:rPr>
        <w:t xml:space="preserve"> variable pricing </w:t>
      </w:r>
      <w:r w:rsidR="00E73BE9">
        <w:rPr>
          <w:sz w:val="26"/>
          <w:szCs w:val="26"/>
        </w:rPr>
        <w:t xml:space="preserve">options </w:t>
      </w:r>
      <w:r w:rsidR="006408E1">
        <w:rPr>
          <w:sz w:val="26"/>
          <w:szCs w:val="26"/>
        </w:rPr>
        <w:t xml:space="preserve">following the </w:t>
      </w:r>
      <w:r w:rsidR="00E73BE9">
        <w:rPr>
          <w:sz w:val="26"/>
          <w:szCs w:val="26"/>
        </w:rPr>
        <w:t xml:space="preserve">price </w:t>
      </w:r>
      <w:r w:rsidR="006408E1">
        <w:rPr>
          <w:sz w:val="26"/>
          <w:szCs w:val="26"/>
        </w:rPr>
        <w:t>impact</w:t>
      </w:r>
      <w:r w:rsidR="00E73BE9">
        <w:rPr>
          <w:sz w:val="26"/>
          <w:szCs w:val="26"/>
        </w:rPr>
        <w:t xml:space="preserve">s of the </w:t>
      </w:r>
      <w:r w:rsidR="003D0F54">
        <w:rPr>
          <w:sz w:val="26"/>
          <w:szCs w:val="26"/>
        </w:rPr>
        <w:t>p</w:t>
      </w:r>
      <w:r w:rsidR="00E73BE9">
        <w:rPr>
          <w:sz w:val="26"/>
          <w:szCs w:val="26"/>
        </w:rPr>
        <w:t xml:space="preserve">olar </w:t>
      </w:r>
      <w:r w:rsidR="003D0F54">
        <w:rPr>
          <w:sz w:val="26"/>
          <w:szCs w:val="26"/>
        </w:rPr>
        <w:t>v</w:t>
      </w:r>
      <w:r w:rsidR="00E73BE9">
        <w:rPr>
          <w:sz w:val="26"/>
          <w:szCs w:val="26"/>
        </w:rPr>
        <w:t xml:space="preserve">ortex, the Commission emphasized the importance of customers’ reviewing their contracts carefully, citing </w:t>
      </w:r>
      <w:r w:rsidR="00FE144A" w:rsidRPr="00DE68FB">
        <w:rPr>
          <w:i/>
          <w:sz w:val="26"/>
          <w:szCs w:val="26"/>
        </w:rPr>
        <w:t>Review of Rules, Policies and Consumer Education Measures Regarding Variable Rate Retail Electric Products,</w:t>
      </w:r>
      <w:r w:rsidR="00FE144A" w:rsidRPr="00DE68FB">
        <w:rPr>
          <w:sz w:val="26"/>
          <w:szCs w:val="26"/>
        </w:rPr>
        <w:t xml:space="preserve"> Docket No. M-2014-2406134 (</w:t>
      </w:r>
      <w:r w:rsidR="00BC241D">
        <w:rPr>
          <w:sz w:val="26"/>
          <w:szCs w:val="26"/>
        </w:rPr>
        <w:t xml:space="preserve">Order entered </w:t>
      </w:r>
      <w:r w:rsidR="00E73BE9">
        <w:rPr>
          <w:sz w:val="26"/>
          <w:szCs w:val="26"/>
        </w:rPr>
        <w:t>March 4</w:t>
      </w:r>
      <w:r w:rsidR="00FE144A" w:rsidRPr="00DE68FB">
        <w:rPr>
          <w:sz w:val="26"/>
          <w:szCs w:val="26"/>
        </w:rPr>
        <w:t>, 2014)</w:t>
      </w:r>
      <w:r>
        <w:rPr>
          <w:sz w:val="26"/>
          <w:szCs w:val="26"/>
        </w:rPr>
        <w:t xml:space="preserve"> (</w:t>
      </w:r>
      <w:r w:rsidR="00FE144A" w:rsidRPr="00DE68FB">
        <w:rPr>
          <w:i/>
          <w:sz w:val="26"/>
          <w:szCs w:val="26"/>
        </w:rPr>
        <w:t>Variable Rate Order</w:t>
      </w:r>
      <w:r w:rsidR="00FE144A" w:rsidRPr="00DE68FB">
        <w:rPr>
          <w:sz w:val="26"/>
          <w:szCs w:val="26"/>
        </w:rPr>
        <w:t xml:space="preserve">).  </w:t>
      </w:r>
      <w:proofErr w:type="gramStart"/>
      <w:r w:rsidR="00C61652">
        <w:rPr>
          <w:i/>
          <w:sz w:val="26"/>
          <w:szCs w:val="26"/>
        </w:rPr>
        <w:t>Id.</w:t>
      </w:r>
      <w:r w:rsidR="00E73BE9">
        <w:rPr>
          <w:sz w:val="26"/>
          <w:szCs w:val="26"/>
        </w:rPr>
        <w:t xml:space="preserve"> at 23.</w:t>
      </w:r>
      <w:proofErr w:type="gramEnd"/>
    </w:p>
    <w:p w:rsidR="00E73BE9" w:rsidRDefault="00E73BE9" w:rsidP="00ED073E">
      <w:pPr>
        <w:pStyle w:val="BodyFirst1SS"/>
        <w:spacing w:line="360" w:lineRule="auto"/>
        <w:ind w:firstLine="1440"/>
        <w:jc w:val="left"/>
        <w:rPr>
          <w:sz w:val="26"/>
          <w:szCs w:val="26"/>
        </w:rPr>
      </w:pPr>
    </w:p>
    <w:p w:rsidR="00ED073E" w:rsidRDefault="00E73BE9" w:rsidP="00ED073E">
      <w:pPr>
        <w:pStyle w:val="BodyFirst1SS"/>
        <w:spacing w:line="360" w:lineRule="auto"/>
        <w:ind w:firstLine="1440"/>
        <w:jc w:val="left"/>
        <w:rPr>
          <w:sz w:val="26"/>
          <w:szCs w:val="26"/>
        </w:rPr>
      </w:pPr>
      <w:r>
        <w:rPr>
          <w:sz w:val="26"/>
          <w:szCs w:val="26"/>
        </w:rPr>
        <w:t xml:space="preserve">Respond further argues that the ALJ erred in relying on Sections 1301 and 1312 for authority to issue a refund, citing our decisions in </w:t>
      </w:r>
      <w:r>
        <w:rPr>
          <w:i/>
          <w:sz w:val="26"/>
          <w:szCs w:val="26"/>
        </w:rPr>
        <w:t xml:space="preserve">Commw. </w:t>
      </w:r>
      <w:proofErr w:type="gramStart"/>
      <w:r>
        <w:rPr>
          <w:i/>
          <w:sz w:val="26"/>
          <w:szCs w:val="26"/>
        </w:rPr>
        <w:t>of</w:t>
      </w:r>
      <w:proofErr w:type="gramEnd"/>
      <w:r>
        <w:rPr>
          <w:i/>
          <w:sz w:val="26"/>
          <w:szCs w:val="26"/>
        </w:rPr>
        <w:t xml:space="preserve"> PA v. IDT Energy, Inc.</w:t>
      </w:r>
      <w:r>
        <w:rPr>
          <w:sz w:val="26"/>
          <w:szCs w:val="26"/>
        </w:rPr>
        <w:t>, Docket No. C-2014-2427657 (Order entered December 18, 2014) (</w:t>
      </w:r>
      <w:r>
        <w:rPr>
          <w:i/>
          <w:sz w:val="26"/>
          <w:szCs w:val="26"/>
        </w:rPr>
        <w:t>IDT Material Question</w:t>
      </w:r>
      <w:r>
        <w:rPr>
          <w:sz w:val="26"/>
          <w:szCs w:val="26"/>
        </w:rPr>
        <w:t xml:space="preserve">) and </w:t>
      </w:r>
      <w:r>
        <w:rPr>
          <w:i/>
          <w:sz w:val="26"/>
          <w:szCs w:val="26"/>
        </w:rPr>
        <w:t>Blue Pilot Material Question</w:t>
      </w:r>
      <w:r>
        <w:rPr>
          <w:sz w:val="26"/>
          <w:szCs w:val="26"/>
        </w:rPr>
        <w:t xml:space="preserve">, in which we rejected the </w:t>
      </w:r>
      <w:r w:rsidR="00825C80">
        <w:rPr>
          <w:sz w:val="26"/>
          <w:szCs w:val="26"/>
        </w:rPr>
        <w:t>notion</w:t>
      </w:r>
      <w:r>
        <w:rPr>
          <w:sz w:val="26"/>
          <w:szCs w:val="26"/>
        </w:rPr>
        <w:t xml:space="preserve"> that </w:t>
      </w:r>
      <w:r w:rsidR="00825C80">
        <w:rPr>
          <w:sz w:val="26"/>
          <w:szCs w:val="26"/>
        </w:rPr>
        <w:t xml:space="preserve">our ratemaking authority under </w:t>
      </w:r>
      <w:r>
        <w:rPr>
          <w:sz w:val="26"/>
          <w:szCs w:val="26"/>
        </w:rPr>
        <w:t xml:space="preserve">Chapter 13 of the Code </w:t>
      </w:r>
      <w:r w:rsidR="00825C80">
        <w:rPr>
          <w:sz w:val="26"/>
          <w:szCs w:val="26"/>
        </w:rPr>
        <w:t xml:space="preserve">extended </w:t>
      </w:r>
      <w:r>
        <w:rPr>
          <w:sz w:val="26"/>
          <w:szCs w:val="26"/>
        </w:rPr>
        <w:t xml:space="preserve">to </w:t>
      </w:r>
      <w:r w:rsidR="00825C80">
        <w:rPr>
          <w:sz w:val="26"/>
          <w:szCs w:val="26"/>
        </w:rPr>
        <w:t xml:space="preserve">the </w:t>
      </w:r>
      <w:r>
        <w:rPr>
          <w:sz w:val="26"/>
          <w:szCs w:val="26"/>
        </w:rPr>
        <w:t>regulat</w:t>
      </w:r>
      <w:r w:rsidR="00825C80">
        <w:rPr>
          <w:sz w:val="26"/>
          <w:szCs w:val="26"/>
        </w:rPr>
        <w:t>ion of</w:t>
      </w:r>
      <w:r>
        <w:rPr>
          <w:sz w:val="26"/>
          <w:szCs w:val="26"/>
        </w:rPr>
        <w:t xml:space="preserve"> EGS rates.  </w:t>
      </w:r>
      <w:r w:rsidR="00C61652">
        <w:rPr>
          <w:i/>
          <w:sz w:val="26"/>
          <w:szCs w:val="26"/>
        </w:rPr>
        <w:t>Id</w:t>
      </w:r>
      <w:r>
        <w:rPr>
          <w:sz w:val="26"/>
          <w:szCs w:val="26"/>
        </w:rPr>
        <w:t>. at 23-24.</w:t>
      </w:r>
    </w:p>
    <w:p w:rsidR="00E73BE9" w:rsidRDefault="00E73BE9" w:rsidP="00ED073E">
      <w:pPr>
        <w:pStyle w:val="BodyFirst1SS"/>
        <w:spacing w:line="360" w:lineRule="auto"/>
        <w:ind w:firstLine="1440"/>
        <w:jc w:val="left"/>
        <w:rPr>
          <w:sz w:val="26"/>
          <w:szCs w:val="26"/>
        </w:rPr>
      </w:pPr>
    </w:p>
    <w:p w:rsidR="005360E3" w:rsidRDefault="00825C80" w:rsidP="003A438A">
      <w:pPr>
        <w:pStyle w:val="BodyFirst1SS"/>
        <w:spacing w:line="360" w:lineRule="auto"/>
        <w:ind w:firstLine="1440"/>
        <w:jc w:val="left"/>
        <w:rPr>
          <w:sz w:val="26"/>
          <w:szCs w:val="26"/>
        </w:rPr>
      </w:pPr>
      <w:r>
        <w:rPr>
          <w:sz w:val="26"/>
          <w:szCs w:val="26"/>
        </w:rPr>
        <w:t xml:space="preserve">Respond further </w:t>
      </w:r>
      <w:r w:rsidR="00212930">
        <w:rPr>
          <w:sz w:val="26"/>
          <w:szCs w:val="26"/>
        </w:rPr>
        <w:t xml:space="preserve">discusses </w:t>
      </w:r>
      <w:r>
        <w:rPr>
          <w:sz w:val="26"/>
          <w:szCs w:val="26"/>
        </w:rPr>
        <w:t xml:space="preserve">our determination in </w:t>
      </w:r>
      <w:r>
        <w:rPr>
          <w:i/>
          <w:sz w:val="26"/>
          <w:szCs w:val="26"/>
        </w:rPr>
        <w:t xml:space="preserve">IDT Material </w:t>
      </w:r>
      <w:r w:rsidRPr="00825C80">
        <w:rPr>
          <w:i/>
          <w:sz w:val="26"/>
          <w:szCs w:val="26"/>
        </w:rPr>
        <w:t>Question</w:t>
      </w:r>
      <w:r>
        <w:rPr>
          <w:sz w:val="26"/>
          <w:szCs w:val="26"/>
        </w:rPr>
        <w:t xml:space="preserve"> that </w:t>
      </w:r>
      <w:r w:rsidR="00E413CF" w:rsidRPr="00DD60BE">
        <w:rPr>
          <w:sz w:val="26"/>
          <w:szCs w:val="26"/>
        </w:rPr>
        <w:t xml:space="preserve">under Section 501 </w:t>
      </w:r>
      <w:r>
        <w:rPr>
          <w:sz w:val="26"/>
          <w:szCs w:val="26"/>
        </w:rPr>
        <w:t xml:space="preserve">of the Code, and in specific consideration of Section 2809(b) of the Competition Act, </w:t>
      </w:r>
      <w:r w:rsidRPr="00825C80">
        <w:rPr>
          <w:sz w:val="26"/>
          <w:szCs w:val="26"/>
        </w:rPr>
        <w:t xml:space="preserve">we have authority </w:t>
      </w:r>
      <w:r>
        <w:rPr>
          <w:sz w:val="26"/>
          <w:szCs w:val="26"/>
        </w:rPr>
        <w:t>to direct a refund or credit resulting from an EGS overbilling</w:t>
      </w:r>
      <w:r w:rsidR="00212930">
        <w:rPr>
          <w:sz w:val="26"/>
          <w:szCs w:val="26"/>
        </w:rPr>
        <w:t xml:space="preserve">.  According to </w:t>
      </w:r>
      <w:r w:rsidR="00E413CF" w:rsidRPr="00DD60BE">
        <w:rPr>
          <w:sz w:val="26"/>
          <w:szCs w:val="26"/>
        </w:rPr>
        <w:t>Respond</w:t>
      </w:r>
      <w:r w:rsidR="00212930">
        <w:rPr>
          <w:sz w:val="26"/>
          <w:szCs w:val="26"/>
        </w:rPr>
        <w:t>, our decision in that case was in error because ab</w:t>
      </w:r>
      <w:r>
        <w:rPr>
          <w:sz w:val="26"/>
          <w:szCs w:val="26"/>
        </w:rPr>
        <w:t>sent specific authority for refunds such as that found in Section 1312 of the Code</w:t>
      </w:r>
      <w:r w:rsidR="00212930">
        <w:rPr>
          <w:sz w:val="26"/>
          <w:szCs w:val="26"/>
        </w:rPr>
        <w:t xml:space="preserve"> (</w:t>
      </w:r>
      <w:r>
        <w:rPr>
          <w:sz w:val="26"/>
          <w:szCs w:val="26"/>
        </w:rPr>
        <w:t>which only applies to public utilities</w:t>
      </w:r>
      <w:r w:rsidR="00212930">
        <w:rPr>
          <w:sz w:val="26"/>
          <w:szCs w:val="26"/>
        </w:rPr>
        <w:t>)</w:t>
      </w:r>
      <w:r>
        <w:rPr>
          <w:sz w:val="26"/>
          <w:szCs w:val="26"/>
        </w:rPr>
        <w:t xml:space="preserve">, </w:t>
      </w:r>
      <w:r w:rsidR="00212930">
        <w:rPr>
          <w:sz w:val="26"/>
          <w:szCs w:val="26"/>
        </w:rPr>
        <w:t xml:space="preserve">it is inappropriate to </w:t>
      </w:r>
      <w:r>
        <w:rPr>
          <w:sz w:val="26"/>
          <w:szCs w:val="26"/>
        </w:rPr>
        <w:t xml:space="preserve">rely on our </w:t>
      </w:r>
      <w:r w:rsidR="00212930">
        <w:rPr>
          <w:sz w:val="26"/>
          <w:szCs w:val="26"/>
        </w:rPr>
        <w:t xml:space="preserve">general </w:t>
      </w:r>
      <w:r>
        <w:rPr>
          <w:sz w:val="26"/>
          <w:szCs w:val="26"/>
        </w:rPr>
        <w:t xml:space="preserve">Section 501 authority.  </w:t>
      </w:r>
      <w:r w:rsidR="00212930">
        <w:rPr>
          <w:sz w:val="26"/>
          <w:szCs w:val="26"/>
        </w:rPr>
        <w:t xml:space="preserve">Moreover, contends Respond, reliance on </w:t>
      </w:r>
      <w:r w:rsidR="00E413CF" w:rsidRPr="00DD60BE">
        <w:rPr>
          <w:sz w:val="26"/>
          <w:szCs w:val="26"/>
        </w:rPr>
        <w:t>Section 2809(b)</w:t>
      </w:r>
      <w:r w:rsidR="00212930">
        <w:rPr>
          <w:sz w:val="26"/>
          <w:szCs w:val="26"/>
        </w:rPr>
        <w:t>,</w:t>
      </w:r>
      <w:r w:rsidR="00E413CF" w:rsidRPr="00DD60BE">
        <w:rPr>
          <w:sz w:val="26"/>
          <w:szCs w:val="26"/>
        </w:rPr>
        <w:t xml:space="preserve"> relating to compliance with billing and disclosure regulations</w:t>
      </w:r>
      <w:r w:rsidR="00212930">
        <w:rPr>
          <w:sz w:val="26"/>
          <w:szCs w:val="26"/>
        </w:rPr>
        <w:t xml:space="preserve">, is misplaced because that section relates to licensing </w:t>
      </w:r>
      <w:r w:rsidR="00212930">
        <w:rPr>
          <w:sz w:val="26"/>
          <w:szCs w:val="26"/>
        </w:rPr>
        <w:lastRenderedPageBreak/>
        <w:t xml:space="preserve">and not EGS prices or refunds.  </w:t>
      </w:r>
      <w:proofErr w:type="gramStart"/>
      <w:r w:rsidR="00212930">
        <w:rPr>
          <w:sz w:val="26"/>
          <w:szCs w:val="26"/>
        </w:rPr>
        <w:t xml:space="preserve">Relying, </w:t>
      </w:r>
      <w:r w:rsidR="00212930">
        <w:rPr>
          <w:i/>
          <w:sz w:val="26"/>
          <w:szCs w:val="26"/>
        </w:rPr>
        <w:t>inter alia</w:t>
      </w:r>
      <w:r w:rsidR="00212930">
        <w:rPr>
          <w:sz w:val="26"/>
          <w:szCs w:val="26"/>
        </w:rPr>
        <w:t>, on a motion adopted November</w:t>
      </w:r>
      <w:r w:rsidR="00B0707B">
        <w:rPr>
          <w:sz w:val="26"/>
          <w:szCs w:val="26"/>
        </w:rPr>
        <w:t> </w:t>
      </w:r>
      <w:r w:rsidR="00212930">
        <w:rPr>
          <w:sz w:val="26"/>
          <w:szCs w:val="26"/>
        </w:rPr>
        <w:t xml:space="preserve">13, 2014 in </w:t>
      </w:r>
      <w:r w:rsidR="00212930">
        <w:rPr>
          <w:i/>
          <w:sz w:val="26"/>
          <w:szCs w:val="26"/>
        </w:rPr>
        <w:t>Evans v. FirstEnergy Solutions Corp.</w:t>
      </w:r>
      <w:r w:rsidR="00212930">
        <w:rPr>
          <w:sz w:val="26"/>
          <w:szCs w:val="26"/>
        </w:rPr>
        <w:t>, Docket No.</w:t>
      </w:r>
      <w:proofErr w:type="gramEnd"/>
      <w:r w:rsidR="00212930">
        <w:rPr>
          <w:sz w:val="26"/>
          <w:szCs w:val="26"/>
        </w:rPr>
        <w:t xml:space="preserve"> P-2014-2421556 (Order entered </w:t>
      </w:r>
      <w:r w:rsidR="00B0707B">
        <w:rPr>
          <w:sz w:val="26"/>
          <w:szCs w:val="26"/>
        </w:rPr>
        <w:t>January 26, 2015</w:t>
      </w:r>
      <w:r w:rsidR="009617ED">
        <w:rPr>
          <w:sz w:val="26"/>
          <w:szCs w:val="26"/>
        </w:rPr>
        <w:t>)</w:t>
      </w:r>
      <w:r w:rsidR="00212930">
        <w:rPr>
          <w:sz w:val="26"/>
          <w:szCs w:val="26"/>
        </w:rPr>
        <w:t xml:space="preserve">, </w:t>
      </w:r>
      <w:r w:rsidR="00212930" w:rsidRPr="00212930">
        <w:rPr>
          <w:sz w:val="26"/>
          <w:szCs w:val="26"/>
        </w:rPr>
        <w:t xml:space="preserve">Respond contends </w:t>
      </w:r>
      <w:r w:rsidR="00212930">
        <w:rPr>
          <w:sz w:val="26"/>
          <w:szCs w:val="26"/>
        </w:rPr>
        <w:t xml:space="preserve">that we lack </w:t>
      </w:r>
      <w:r w:rsidR="009617ED">
        <w:rPr>
          <w:sz w:val="26"/>
          <w:szCs w:val="26"/>
        </w:rPr>
        <w:t xml:space="preserve">even </w:t>
      </w:r>
      <w:r w:rsidR="00212930">
        <w:rPr>
          <w:sz w:val="26"/>
          <w:szCs w:val="26"/>
        </w:rPr>
        <w:t>the authority to confirm whether a</w:t>
      </w:r>
      <w:r w:rsidR="009617ED">
        <w:rPr>
          <w:sz w:val="26"/>
          <w:szCs w:val="26"/>
        </w:rPr>
        <w:t>n EGS</w:t>
      </w:r>
      <w:r w:rsidR="00212930">
        <w:rPr>
          <w:sz w:val="26"/>
          <w:szCs w:val="26"/>
        </w:rPr>
        <w:t xml:space="preserve"> rate set forth in a disclosure statement matched </w:t>
      </w:r>
      <w:r w:rsidR="009617ED">
        <w:rPr>
          <w:sz w:val="26"/>
          <w:szCs w:val="26"/>
        </w:rPr>
        <w:t>an EGS</w:t>
      </w:r>
      <w:r w:rsidR="00212930">
        <w:rPr>
          <w:sz w:val="26"/>
          <w:szCs w:val="26"/>
        </w:rPr>
        <w:t xml:space="preserve"> rate billed because </w:t>
      </w:r>
      <w:r w:rsidR="009617ED">
        <w:rPr>
          <w:sz w:val="26"/>
          <w:szCs w:val="26"/>
        </w:rPr>
        <w:t xml:space="preserve">to do so would entail the </w:t>
      </w:r>
      <w:r w:rsidR="00B0707B">
        <w:rPr>
          <w:sz w:val="26"/>
          <w:szCs w:val="26"/>
        </w:rPr>
        <w:t>r</w:t>
      </w:r>
      <w:r w:rsidR="009617ED">
        <w:rPr>
          <w:sz w:val="26"/>
          <w:szCs w:val="26"/>
        </w:rPr>
        <w:t>eview and interpretation of an entire contract, an act we have, a</w:t>
      </w:r>
      <w:r w:rsidR="00212930">
        <w:rPr>
          <w:sz w:val="26"/>
          <w:szCs w:val="26"/>
        </w:rPr>
        <w:t xml:space="preserve">ccording to Respond, </w:t>
      </w:r>
      <w:r w:rsidR="009617ED">
        <w:rPr>
          <w:sz w:val="26"/>
          <w:szCs w:val="26"/>
        </w:rPr>
        <w:t>already determined we lack the statutory to conduct.</w:t>
      </w:r>
      <w:r w:rsidR="00B0707B">
        <w:rPr>
          <w:sz w:val="26"/>
          <w:szCs w:val="26"/>
        </w:rPr>
        <w:t xml:space="preserve">  Respond Exc. at 24-26.</w:t>
      </w:r>
    </w:p>
    <w:p w:rsidR="005360E3" w:rsidRDefault="005360E3" w:rsidP="003A438A">
      <w:pPr>
        <w:pStyle w:val="BodyFirst1SS"/>
        <w:spacing w:line="360" w:lineRule="auto"/>
        <w:ind w:firstLine="1440"/>
        <w:jc w:val="left"/>
        <w:rPr>
          <w:sz w:val="26"/>
          <w:szCs w:val="26"/>
        </w:rPr>
      </w:pPr>
    </w:p>
    <w:p w:rsidR="005360E3" w:rsidRDefault="00B0707B" w:rsidP="003A438A">
      <w:pPr>
        <w:pStyle w:val="BodyFirst1SS"/>
        <w:spacing w:line="360" w:lineRule="auto"/>
        <w:ind w:firstLine="1440"/>
        <w:jc w:val="left"/>
        <w:rPr>
          <w:sz w:val="26"/>
          <w:szCs w:val="26"/>
        </w:rPr>
      </w:pPr>
      <w:r>
        <w:rPr>
          <w:sz w:val="26"/>
          <w:szCs w:val="26"/>
        </w:rPr>
        <w:t>Respond contends that e</w:t>
      </w:r>
      <w:r w:rsidR="00ED515F">
        <w:rPr>
          <w:sz w:val="26"/>
          <w:szCs w:val="26"/>
        </w:rPr>
        <w:t xml:space="preserve">ven assuming </w:t>
      </w:r>
      <w:r w:rsidR="00ED515F" w:rsidRPr="005360E3">
        <w:rPr>
          <w:i/>
          <w:sz w:val="26"/>
          <w:szCs w:val="26"/>
        </w:rPr>
        <w:t>arguendo</w:t>
      </w:r>
      <w:r w:rsidR="00ED515F">
        <w:rPr>
          <w:sz w:val="26"/>
          <w:szCs w:val="26"/>
        </w:rPr>
        <w:t xml:space="preserve"> we had authority under the Code to direct a refund where the price in the disclosure statement or written marketing materials did</w:t>
      </w:r>
      <w:r w:rsidR="005360E3">
        <w:rPr>
          <w:sz w:val="26"/>
          <w:szCs w:val="26"/>
        </w:rPr>
        <w:t xml:space="preserve"> </w:t>
      </w:r>
      <w:r w:rsidR="00ED515F">
        <w:rPr>
          <w:sz w:val="26"/>
          <w:szCs w:val="26"/>
        </w:rPr>
        <w:t xml:space="preserve">not </w:t>
      </w:r>
      <w:proofErr w:type="gramStart"/>
      <w:r w:rsidR="00ED515F">
        <w:rPr>
          <w:sz w:val="26"/>
          <w:szCs w:val="26"/>
        </w:rPr>
        <w:t>match,</w:t>
      </w:r>
      <w:proofErr w:type="gramEnd"/>
      <w:r w:rsidR="00ED515F">
        <w:rPr>
          <w:sz w:val="26"/>
          <w:szCs w:val="26"/>
        </w:rPr>
        <w:t xml:space="preserve"> such authority would not extend to a situation </w:t>
      </w:r>
      <w:r w:rsidR="005360E3">
        <w:rPr>
          <w:sz w:val="26"/>
          <w:szCs w:val="26"/>
        </w:rPr>
        <w:t xml:space="preserve">where written materials did not match an agent’s oral statements upon which a prospective customer relied.  According to Respond, such a situation would exceed “any reasonable bounds of the Commission’s authority” </w:t>
      </w:r>
      <w:r>
        <w:rPr>
          <w:sz w:val="26"/>
          <w:szCs w:val="26"/>
        </w:rPr>
        <w:t>and would “</w:t>
      </w:r>
      <w:r w:rsidR="005360E3">
        <w:rPr>
          <w:sz w:val="26"/>
          <w:szCs w:val="26"/>
        </w:rPr>
        <w:t>open the floodgates</w:t>
      </w:r>
      <w:r>
        <w:rPr>
          <w:sz w:val="26"/>
          <w:szCs w:val="26"/>
        </w:rPr>
        <w:t>”</w:t>
      </w:r>
      <w:r w:rsidR="005360E3">
        <w:rPr>
          <w:sz w:val="26"/>
          <w:szCs w:val="26"/>
        </w:rPr>
        <w:t xml:space="preserve"> </w:t>
      </w:r>
      <w:r>
        <w:rPr>
          <w:sz w:val="26"/>
          <w:szCs w:val="26"/>
        </w:rPr>
        <w:t xml:space="preserve">to the filing </w:t>
      </w:r>
      <w:r w:rsidR="005360E3">
        <w:rPr>
          <w:sz w:val="26"/>
          <w:szCs w:val="26"/>
        </w:rPr>
        <w:t>of unwarranted and untimely complaints</w:t>
      </w:r>
      <w:r>
        <w:rPr>
          <w:sz w:val="26"/>
          <w:szCs w:val="26"/>
        </w:rPr>
        <w:t xml:space="preserve">, </w:t>
      </w:r>
      <w:r w:rsidR="005360E3">
        <w:rPr>
          <w:sz w:val="26"/>
          <w:szCs w:val="26"/>
        </w:rPr>
        <w:t xml:space="preserve">even motivating customers </w:t>
      </w:r>
      <w:r>
        <w:rPr>
          <w:sz w:val="26"/>
          <w:szCs w:val="26"/>
        </w:rPr>
        <w:t>“</w:t>
      </w:r>
      <w:r w:rsidR="005360E3">
        <w:rPr>
          <w:sz w:val="26"/>
          <w:szCs w:val="26"/>
        </w:rPr>
        <w:t>to lie</w:t>
      </w:r>
      <w:r>
        <w:rPr>
          <w:sz w:val="26"/>
          <w:szCs w:val="26"/>
        </w:rPr>
        <w:t xml:space="preserve"> about what was told them</w:t>
      </w:r>
      <w:r w:rsidR="000307E0">
        <w:rPr>
          <w:sz w:val="26"/>
          <w:szCs w:val="26"/>
        </w:rPr>
        <w:t xml:space="preserve"> if the financial stakes are high </w:t>
      </w:r>
      <w:proofErr w:type="gramStart"/>
      <w:r w:rsidR="000307E0">
        <w:rPr>
          <w:sz w:val="26"/>
          <w:szCs w:val="26"/>
        </w:rPr>
        <w:t>enough</w:t>
      </w:r>
      <w:r>
        <w:rPr>
          <w:sz w:val="26"/>
          <w:szCs w:val="26"/>
        </w:rPr>
        <w:t>[</w:t>
      </w:r>
      <w:proofErr w:type="gramEnd"/>
      <w:r>
        <w:rPr>
          <w:sz w:val="26"/>
          <w:szCs w:val="26"/>
        </w:rPr>
        <w:t>.]”</w:t>
      </w:r>
      <w:r w:rsidR="005360E3" w:rsidRPr="005360E3">
        <w:rPr>
          <w:sz w:val="26"/>
          <w:szCs w:val="26"/>
        </w:rPr>
        <w:t xml:space="preserve">  </w:t>
      </w:r>
      <w:r w:rsidR="000307E0" w:rsidRPr="000307E0">
        <w:rPr>
          <w:i/>
          <w:sz w:val="26"/>
          <w:szCs w:val="26"/>
        </w:rPr>
        <w:t>Id</w:t>
      </w:r>
      <w:r w:rsidR="000307E0">
        <w:rPr>
          <w:sz w:val="26"/>
          <w:szCs w:val="26"/>
        </w:rPr>
        <w:t xml:space="preserve">. </w:t>
      </w:r>
      <w:r w:rsidR="005360E3" w:rsidRPr="005360E3">
        <w:rPr>
          <w:sz w:val="26"/>
          <w:szCs w:val="26"/>
        </w:rPr>
        <w:t>at 26</w:t>
      </w:r>
      <w:r>
        <w:rPr>
          <w:sz w:val="26"/>
          <w:szCs w:val="26"/>
        </w:rPr>
        <w:t>-27</w:t>
      </w:r>
      <w:r w:rsidR="005360E3" w:rsidRPr="005360E3">
        <w:rPr>
          <w:sz w:val="26"/>
          <w:szCs w:val="26"/>
        </w:rPr>
        <w:t>.</w:t>
      </w:r>
    </w:p>
    <w:p w:rsidR="005360E3" w:rsidRDefault="005360E3" w:rsidP="003A438A">
      <w:pPr>
        <w:pStyle w:val="BodyFirst1SS"/>
        <w:spacing w:line="360" w:lineRule="auto"/>
        <w:ind w:firstLine="1440"/>
        <w:jc w:val="left"/>
        <w:rPr>
          <w:sz w:val="26"/>
          <w:szCs w:val="26"/>
        </w:rPr>
      </w:pPr>
    </w:p>
    <w:p w:rsidR="00E413CF" w:rsidRPr="000307E0" w:rsidRDefault="00DC3D3C" w:rsidP="00350F4B">
      <w:pPr>
        <w:pStyle w:val="BodyFirst1SS"/>
        <w:spacing w:line="360" w:lineRule="auto"/>
        <w:ind w:firstLine="1440"/>
        <w:jc w:val="left"/>
        <w:rPr>
          <w:sz w:val="26"/>
          <w:szCs w:val="26"/>
        </w:rPr>
      </w:pPr>
      <w:r>
        <w:rPr>
          <w:sz w:val="26"/>
          <w:szCs w:val="26"/>
        </w:rPr>
        <w:t>R</w:t>
      </w:r>
      <w:r w:rsidR="00E413CF" w:rsidRPr="00DC3D3C">
        <w:rPr>
          <w:sz w:val="26"/>
          <w:szCs w:val="26"/>
        </w:rPr>
        <w:t xml:space="preserve">espond </w:t>
      </w:r>
      <w:r>
        <w:rPr>
          <w:sz w:val="26"/>
          <w:szCs w:val="26"/>
        </w:rPr>
        <w:t>states that its</w:t>
      </w:r>
      <w:r w:rsidR="00E413CF" w:rsidRPr="00DC3D3C">
        <w:rPr>
          <w:sz w:val="26"/>
          <w:szCs w:val="26"/>
        </w:rPr>
        <w:t xml:space="preserve"> analysis of Pennsylvania contract law was offered </w:t>
      </w:r>
      <w:r w:rsidR="005360E3">
        <w:rPr>
          <w:sz w:val="26"/>
          <w:szCs w:val="26"/>
        </w:rPr>
        <w:t xml:space="preserve">to </w:t>
      </w:r>
      <w:r w:rsidR="00E413CF" w:rsidRPr="00DC3D3C">
        <w:rPr>
          <w:sz w:val="26"/>
          <w:szCs w:val="26"/>
        </w:rPr>
        <w:t xml:space="preserve">support its argument that </w:t>
      </w:r>
      <w:r w:rsidR="005360E3">
        <w:rPr>
          <w:sz w:val="26"/>
          <w:szCs w:val="26"/>
        </w:rPr>
        <w:t xml:space="preserve">even if the Commission had authority to direct a refund, </w:t>
      </w:r>
      <w:r w:rsidR="00E413CF" w:rsidRPr="00DC3D3C">
        <w:rPr>
          <w:sz w:val="26"/>
          <w:szCs w:val="26"/>
        </w:rPr>
        <w:t xml:space="preserve">the Complainant is not entitled </w:t>
      </w:r>
      <w:r w:rsidR="005360E3">
        <w:rPr>
          <w:sz w:val="26"/>
          <w:szCs w:val="26"/>
        </w:rPr>
        <w:t xml:space="preserve">one here because by allowing the customer to alter the terms of the written contract through oral testimony </w:t>
      </w:r>
      <w:r w:rsidR="00C61652">
        <w:rPr>
          <w:sz w:val="26"/>
          <w:szCs w:val="26"/>
        </w:rPr>
        <w:t>about</w:t>
      </w:r>
      <w:r w:rsidR="005360E3">
        <w:rPr>
          <w:sz w:val="26"/>
          <w:szCs w:val="26"/>
        </w:rPr>
        <w:t xml:space="preserve"> marketing, </w:t>
      </w:r>
      <w:r w:rsidR="00E413CF" w:rsidRPr="00DC3D3C">
        <w:rPr>
          <w:sz w:val="26"/>
          <w:szCs w:val="26"/>
        </w:rPr>
        <w:t xml:space="preserve">the Commission would be venturing into </w:t>
      </w:r>
      <w:r w:rsidR="005360E3">
        <w:rPr>
          <w:sz w:val="26"/>
          <w:szCs w:val="26"/>
        </w:rPr>
        <w:t xml:space="preserve">unauthorized </w:t>
      </w:r>
      <w:r w:rsidR="00E413CF" w:rsidRPr="00DC3D3C">
        <w:rPr>
          <w:sz w:val="26"/>
          <w:szCs w:val="26"/>
        </w:rPr>
        <w:t>private contract interpretation and breach of contract law.</w:t>
      </w:r>
      <w:r>
        <w:rPr>
          <w:sz w:val="26"/>
          <w:szCs w:val="26"/>
        </w:rPr>
        <w:t xml:space="preserve">  Respond maintains that i</w:t>
      </w:r>
      <w:r w:rsidR="00E413CF" w:rsidRPr="00DC3D3C">
        <w:rPr>
          <w:sz w:val="26"/>
          <w:szCs w:val="26"/>
        </w:rPr>
        <w:t xml:space="preserve">t is well-settled that a competent person who signs a document but fails to read it is </w:t>
      </w:r>
      <w:r w:rsidR="005360E3">
        <w:rPr>
          <w:sz w:val="26"/>
          <w:szCs w:val="26"/>
        </w:rPr>
        <w:t xml:space="preserve">still </w:t>
      </w:r>
      <w:r w:rsidR="00E413CF" w:rsidRPr="00DC3D3C">
        <w:rPr>
          <w:sz w:val="26"/>
          <w:szCs w:val="26"/>
        </w:rPr>
        <w:t xml:space="preserve">bound by its terms.  </w:t>
      </w:r>
      <w:r w:rsidR="00350F4B">
        <w:rPr>
          <w:sz w:val="26"/>
          <w:szCs w:val="26"/>
        </w:rPr>
        <w:t>Respond argues that the written documents must control</w:t>
      </w:r>
      <w:r w:rsidR="00C61652">
        <w:rPr>
          <w:sz w:val="26"/>
          <w:szCs w:val="26"/>
        </w:rPr>
        <w:t xml:space="preserve"> </w:t>
      </w:r>
      <w:r w:rsidR="00350F4B">
        <w:rPr>
          <w:sz w:val="26"/>
          <w:szCs w:val="26"/>
        </w:rPr>
        <w:t>particularly where, as here, the customer failed to review th</w:t>
      </w:r>
      <w:r w:rsidR="00C61652">
        <w:rPr>
          <w:sz w:val="26"/>
          <w:szCs w:val="26"/>
        </w:rPr>
        <w:t>os</w:t>
      </w:r>
      <w:r w:rsidR="00350F4B">
        <w:rPr>
          <w:sz w:val="26"/>
          <w:szCs w:val="26"/>
        </w:rPr>
        <w:t xml:space="preserve">e documents and instead “chose to simply rely on alleged snippets of language, as he understood them, from the sales pitch of Respond Power’s sales agent.”  </w:t>
      </w:r>
      <w:proofErr w:type="gramStart"/>
      <w:r w:rsidR="000307E0">
        <w:rPr>
          <w:i/>
          <w:sz w:val="26"/>
          <w:szCs w:val="26"/>
        </w:rPr>
        <w:t>Id.</w:t>
      </w:r>
      <w:r w:rsidR="000307E0">
        <w:rPr>
          <w:sz w:val="26"/>
          <w:szCs w:val="26"/>
        </w:rPr>
        <w:t xml:space="preserve"> </w:t>
      </w:r>
      <w:r w:rsidR="00350F4B">
        <w:rPr>
          <w:sz w:val="26"/>
          <w:szCs w:val="26"/>
        </w:rPr>
        <w:t>at 29.</w:t>
      </w:r>
      <w:proofErr w:type="gramEnd"/>
      <w:r w:rsidR="00350F4B">
        <w:rPr>
          <w:sz w:val="26"/>
          <w:szCs w:val="26"/>
        </w:rPr>
        <w:t xml:space="preserve">  </w:t>
      </w:r>
      <w:r w:rsidR="002A7BB9" w:rsidRPr="002A7BB9">
        <w:rPr>
          <w:sz w:val="26"/>
          <w:szCs w:val="26"/>
        </w:rPr>
        <w:t xml:space="preserve">Respond </w:t>
      </w:r>
      <w:r w:rsidR="000307E0">
        <w:rPr>
          <w:sz w:val="26"/>
          <w:szCs w:val="26"/>
        </w:rPr>
        <w:t>concludes</w:t>
      </w:r>
      <w:r w:rsidR="002A7BB9" w:rsidRPr="002A7BB9">
        <w:rPr>
          <w:sz w:val="26"/>
          <w:szCs w:val="26"/>
        </w:rPr>
        <w:t xml:space="preserve"> that </w:t>
      </w:r>
      <w:r w:rsidR="00350F4B">
        <w:rPr>
          <w:sz w:val="26"/>
          <w:szCs w:val="26"/>
        </w:rPr>
        <w:t xml:space="preserve">given </w:t>
      </w:r>
      <w:r w:rsidR="00E413CF" w:rsidRPr="002A7BB9">
        <w:rPr>
          <w:sz w:val="26"/>
          <w:szCs w:val="26"/>
        </w:rPr>
        <w:t xml:space="preserve">the Commission’s lack of authority to regulate or limit </w:t>
      </w:r>
      <w:r w:rsidR="00350F4B">
        <w:rPr>
          <w:sz w:val="26"/>
          <w:szCs w:val="26"/>
        </w:rPr>
        <w:t xml:space="preserve">EGS </w:t>
      </w:r>
      <w:r w:rsidR="00E413CF" w:rsidRPr="002A7BB9">
        <w:rPr>
          <w:sz w:val="26"/>
          <w:szCs w:val="26"/>
        </w:rPr>
        <w:t>prices or direct refunds</w:t>
      </w:r>
      <w:r w:rsidR="00350F4B">
        <w:rPr>
          <w:sz w:val="26"/>
          <w:szCs w:val="26"/>
        </w:rPr>
        <w:t xml:space="preserve">, </w:t>
      </w:r>
      <w:r w:rsidR="00E413CF" w:rsidRPr="002A7BB9">
        <w:rPr>
          <w:sz w:val="26"/>
          <w:szCs w:val="26"/>
        </w:rPr>
        <w:t xml:space="preserve">the Complainant’s request for relief should be denied.  </w:t>
      </w:r>
      <w:r w:rsidR="000307E0">
        <w:rPr>
          <w:i/>
          <w:sz w:val="26"/>
          <w:szCs w:val="26"/>
        </w:rPr>
        <w:t>Id.</w:t>
      </w:r>
      <w:r w:rsidR="000307E0">
        <w:rPr>
          <w:sz w:val="26"/>
          <w:szCs w:val="26"/>
        </w:rPr>
        <w:t xml:space="preserve"> at 30-32.</w:t>
      </w:r>
    </w:p>
    <w:p w:rsidR="00024713" w:rsidRDefault="00024713" w:rsidP="002A7BB9">
      <w:pPr>
        <w:pStyle w:val="BodyFirst1SS"/>
        <w:spacing w:line="360" w:lineRule="auto"/>
        <w:ind w:firstLine="0"/>
        <w:jc w:val="left"/>
        <w:rPr>
          <w:sz w:val="26"/>
          <w:szCs w:val="26"/>
        </w:rPr>
      </w:pPr>
    </w:p>
    <w:p w:rsidR="00024713" w:rsidRPr="008518FD" w:rsidRDefault="00521D8D" w:rsidP="00521D8D">
      <w:pPr>
        <w:pStyle w:val="BodyFirst1SS"/>
        <w:keepNext/>
        <w:keepLines/>
        <w:spacing w:line="360" w:lineRule="auto"/>
        <w:ind w:left="720"/>
        <w:jc w:val="left"/>
        <w:rPr>
          <w:sz w:val="26"/>
          <w:szCs w:val="26"/>
        </w:rPr>
      </w:pPr>
      <w:r>
        <w:rPr>
          <w:b/>
          <w:sz w:val="26"/>
          <w:szCs w:val="26"/>
        </w:rPr>
        <w:t>c</w:t>
      </w:r>
      <w:r w:rsidR="00E5450C">
        <w:rPr>
          <w:b/>
          <w:sz w:val="26"/>
          <w:szCs w:val="26"/>
        </w:rPr>
        <w:t>.</w:t>
      </w:r>
      <w:r w:rsidR="00E5450C">
        <w:rPr>
          <w:b/>
          <w:sz w:val="26"/>
          <w:szCs w:val="26"/>
        </w:rPr>
        <w:tab/>
        <w:t xml:space="preserve">The </w:t>
      </w:r>
      <w:r w:rsidR="00024713" w:rsidRPr="00E075E7">
        <w:rPr>
          <w:b/>
          <w:sz w:val="26"/>
          <w:szCs w:val="26"/>
        </w:rPr>
        <w:t>OCA</w:t>
      </w:r>
      <w:r w:rsidR="00E5450C">
        <w:rPr>
          <w:b/>
          <w:sz w:val="26"/>
          <w:szCs w:val="26"/>
        </w:rPr>
        <w:t>’s</w:t>
      </w:r>
      <w:r w:rsidR="00024713" w:rsidRPr="00E075E7">
        <w:rPr>
          <w:b/>
          <w:sz w:val="26"/>
          <w:szCs w:val="26"/>
        </w:rPr>
        <w:t xml:space="preserve"> Repl</w:t>
      </w:r>
      <w:r w:rsidR="00E5450C">
        <w:rPr>
          <w:b/>
          <w:sz w:val="26"/>
          <w:szCs w:val="26"/>
        </w:rPr>
        <w:t>y</w:t>
      </w:r>
    </w:p>
    <w:p w:rsidR="00E075E7" w:rsidRPr="008518FD" w:rsidRDefault="00E075E7" w:rsidP="00521D8D">
      <w:pPr>
        <w:pStyle w:val="BodyFirst1SS"/>
        <w:keepNext/>
        <w:keepLines/>
        <w:spacing w:line="360" w:lineRule="auto"/>
        <w:ind w:left="1440" w:firstLine="0"/>
        <w:jc w:val="left"/>
        <w:rPr>
          <w:sz w:val="26"/>
          <w:szCs w:val="26"/>
        </w:rPr>
      </w:pPr>
    </w:p>
    <w:p w:rsidR="00AE35CE" w:rsidRDefault="00C61652" w:rsidP="00C61652">
      <w:pPr>
        <w:pStyle w:val="BodyFirst1SS"/>
        <w:spacing w:line="360" w:lineRule="auto"/>
        <w:ind w:firstLine="1440"/>
        <w:jc w:val="left"/>
        <w:rPr>
          <w:sz w:val="26"/>
          <w:szCs w:val="26"/>
        </w:rPr>
      </w:pPr>
      <w:r>
        <w:rPr>
          <w:sz w:val="26"/>
          <w:szCs w:val="26"/>
        </w:rPr>
        <w:t>T</w:t>
      </w:r>
      <w:r w:rsidR="00024713" w:rsidRPr="00024713">
        <w:rPr>
          <w:sz w:val="26"/>
          <w:szCs w:val="26"/>
        </w:rPr>
        <w:t xml:space="preserve">he OCA </w:t>
      </w:r>
      <w:r w:rsidR="0048108E">
        <w:rPr>
          <w:sz w:val="26"/>
          <w:szCs w:val="26"/>
        </w:rPr>
        <w:t>contends</w:t>
      </w:r>
      <w:r w:rsidR="00024713">
        <w:rPr>
          <w:sz w:val="26"/>
          <w:szCs w:val="26"/>
        </w:rPr>
        <w:t xml:space="preserve"> </w:t>
      </w:r>
      <w:r>
        <w:rPr>
          <w:sz w:val="26"/>
          <w:szCs w:val="26"/>
        </w:rPr>
        <w:t xml:space="preserve">that </w:t>
      </w:r>
      <w:r w:rsidR="00024713">
        <w:rPr>
          <w:sz w:val="26"/>
          <w:szCs w:val="26"/>
        </w:rPr>
        <w:t>the ALJ’s determination</w:t>
      </w:r>
      <w:r w:rsidR="002065A1">
        <w:rPr>
          <w:sz w:val="26"/>
          <w:szCs w:val="26"/>
        </w:rPr>
        <w:t>,</w:t>
      </w:r>
      <w:r w:rsidR="00024713">
        <w:rPr>
          <w:sz w:val="26"/>
          <w:szCs w:val="26"/>
        </w:rPr>
        <w:t xml:space="preserve"> that Respond’s illegal marketing and billing support issuance of a refund</w:t>
      </w:r>
      <w:r w:rsidR="002065A1">
        <w:rPr>
          <w:sz w:val="26"/>
          <w:szCs w:val="26"/>
        </w:rPr>
        <w:t>,</w:t>
      </w:r>
      <w:r w:rsidR="00024713">
        <w:rPr>
          <w:sz w:val="26"/>
          <w:szCs w:val="26"/>
        </w:rPr>
        <w:t xml:space="preserve"> is within the Commission’s authority</w:t>
      </w:r>
      <w:r w:rsidR="003532E2">
        <w:rPr>
          <w:sz w:val="26"/>
          <w:szCs w:val="26"/>
        </w:rPr>
        <w:t>.  The O</w:t>
      </w:r>
      <w:r w:rsidR="00E075E7">
        <w:rPr>
          <w:sz w:val="26"/>
          <w:szCs w:val="26"/>
        </w:rPr>
        <w:t xml:space="preserve">CA refers to </w:t>
      </w:r>
      <w:r w:rsidRPr="00C61652">
        <w:rPr>
          <w:i/>
          <w:sz w:val="26"/>
          <w:szCs w:val="26"/>
        </w:rPr>
        <w:t xml:space="preserve">IDT Material Question </w:t>
      </w:r>
      <w:r w:rsidRPr="00C61652">
        <w:rPr>
          <w:sz w:val="26"/>
          <w:szCs w:val="26"/>
        </w:rPr>
        <w:t xml:space="preserve">and </w:t>
      </w:r>
      <w:r w:rsidRPr="00C61652">
        <w:rPr>
          <w:i/>
          <w:sz w:val="26"/>
          <w:szCs w:val="26"/>
        </w:rPr>
        <w:t>Blue Pilot Material Question</w:t>
      </w:r>
      <w:r>
        <w:rPr>
          <w:sz w:val="26"/>
          <w:szCs w:val="26"/>
        </w:rPr>
        <w:t>, iss</w:t>
      </w:r>
      <w:r w:rsidR="00E075E7">
        <w:rPr>
          <w:sz w:val="26"/>
          <w:szCs w:val="26"/>
        </w:rPr>
        <w:t>ued just one day after the I</w:t>
      </w:r>
      <w:r w:rsidR="003532E2">
        <w:rPr>
          <w:sz w:val="26"/>
          <w:szCs w:val="26"/>
        </w:rPr>
        <w:t xml:space="preserve">nitial Decision </w:t>
      </w:r>
      <w:r w:rsidR="00ED3239">
        <w:rPr>
          <w:sz w:val="26"/>
          <w:szCs w:val="26"/>
        </w:rPr>
        <w:t xml:space="preserve">at issue here.  </w:t>
      </w:r>
      <w:r w:rsidR="0048108E">
        <w:rPr>
          <w:sz w:val="26"/>
          <w:szCs w:val="26"/>
        </w:rPr>
        <w:t>OCA R. Exc. at 14-1</w:t>
      </w:r>
      <w:r w:rsidR="00AE35CE">
        <w:rPr>
          <w:sz w:val="26"/>
          <w:szCs w:val="26"/>
        </w:rPr>
        <w:t>6</w:t>
      </w:r>
      <w:r w:rsidR="0048108E">
        <w:rPr>
          <w:sz w:val="26"/>
          <w:szCs w:val="26"/>
        </w:rPr>
        <w:t>.</w:t>
      </w:r>
    </w:p>
    <w:p w:rsidR="00AE35CE" w:rsidRDefault="00AE35CE" w:rsidP="00E075E7">
      <w:pPr>
        <w:pStyle w:val="BodyFirst1SS"/>
        <w:spacing w:line="360" w:lineRule="auto"/>
        <w:ind w:firstLine="1440"/>
        <w:rPr>
          <w:sz w:val="26"/>
          <w:szCs w:val="26"/>
        </w:rPr>
      </w:pPr>
    </w:p>
    <w:p w:rsidR="00A07CC2" w:rsidRDefault="00AE35CE" w:rsidP="002065A1">
      <w:pPr>
        <w:pStyle w:val="BodyFirst1SS"/>
        <w:spacing w:line="360" w:lineRule="auto"/>
        <w:ind w:firstLine="1440"/>
        <w:jc w:val="left"/>
        <w:rPr>
          <w:sz w:val="26"/>
          <w:szCs w:val="26"/>
        </w:rPr>
      </w:pPr>
      <w:r>
        <w:rPr>
          <w:sz w:val="26"/>
          <w:szCs w:val="26"/>
        </w:rPr>
        <w:t xml:space="preserve">In response to Respond’s argument that Mr. Herp bears responsibility for his actions because he failed to read in full the disclosure statement, the OCA refers to </w:t>
      </w:r>
      <w:r w:rsidRPr="00AE35CE">
        <w:rPr>
          <w:i/>
          <w:sz w:val="26"/>
          <w:szCs w:val="26"/>
        </w:rPr>
        <w:t>Towne v. Great American Power, LLC</w:t>
      </w:r>
      <w:r w:rsidRPr="00AE35CE">
        <w:rPr>
          <w:sz w:val="26"/>
          <w:szCs w:val="26"/>
        </w:rPr>
        <w:t>, Docket No. C-2012-2307991 (Order entered October 18, 2013) (</w:t>
      </w:r>
      <w:r w:rsidRPr="00AE35CE">
        <w:rPr>
          <w:i/>
          <w:sz w:val="26"/>
          <w:szCs w:val="26"/>
        </w:rPr>
        <w:t>Towne</w:t>
      </w:r>
      <w:r>
        <w:rPr>
          <w:sz w:val="26"/>
          <w:szCs w:val="26"/>
        </w:rPr>
        <w:t xml:space="preserve">) and </w:t>
      </w:r>
      <w:r>
        <w:rPr>
          <w:i/>
          <w:sz w:val="26"/>
          <w:szCs w:val="26"/>
        </w:rPr>
        <w:t>MacLuckie Remand</w:t>
      </w:r>
      <w:r>
        <w:rPr>
          <w:sz w:val="26"/>
          <w:szCs w:val="26"/>
        </w:rPr>
        <w:t xml:space="preserve"> for the proposition that the EGS is responsible for providing prospective customers both oral and written communications that are clear and unequivocal.  Further, the OCA contends, the Commission’s exertion of jurisdiction is not </w:t>
      </w:r>
      <w:r w:rsidR="002065A1">
        <w:rPr>
          <w:sz w:val="26"/>
          <w:szCs w:val="26"/>
        </w:rPr>
        <w:t xml:space="preserve">an </w:t>
      </w:r>
      <w:r w:rsidR="002065A1">
        <w:rPr>
          <w:i/>
          <w:sz w:val="26"/>
          <w:szCs w:val="26"/>
        </w:rPr>
        <w:t xml:space="preserve">ultra vires </w:t>
      </w:r>
      <w:r w:rsidR="002065A1">
        <w:rPr>
          <w:sz w:val="26"/>
          <w:szCs w:val="26"/>
        </w:rPr>
        <w:t xml:space="preserve">exercise </w:t>
      </w:r>
      <w:r>
        <w:rPr>
          <w:sz w:val="26"/>
          <w:szCs w:val="26"/>
        </w:rPr>
        <w:t xml:space="preserve">based on contract law, but rather </w:t>
      </w:r>
      <w:r w:rsidR="002065A1">
        <w:rPr>
          <w:sz w:val="26"/>
          <w:szCs w:val="26"/>
        </w:rPr>
        <w:t xml:space="preserve">an assertion of </w:t>
      </w:r>
      <w:r>
        <w:rPr>
          <w:sz w:val="26"/>
          <w:szCs w:val="26"/>
        </w:rPr>
        <w:t xml:space="preserve">compliance with Commission Orders and Regulations as </w:t>
      </w:r>
      <w:r w:rsidR="002065A1">
        <w:rPr>
          <w:sz w:val="26"/>
          <w:szCs w:val="26"/>
        </w:rPr>
        <w:t xml:space="preserve">the ALJ </w:t>
      </w:r>
      <w:r>
        <w:rPr>
          <w:sz w:val="26"/>
          <w:szCs w:val="26"/>
        </w:rPr>
        <w:t xml:space="preserve">concluded.  </w:t>
      </w:r>
      <w:r w:rsidR="002065A1">
        <w:rPr>
          <w:sz w:val="26"/>
          <w:szCs w:val="26"/>
        </w:rPr>
        <w:t>A</w:t>
      </w:r>
      <w:r w:rsidR="00A07CC2">
        <w:rPr>
          <w:sz w:val="26"/>
          <w:szCs w:val="26"/>
        </w:rPr>
        <w:t xml:space="preserve">ffirming the Commission’s discussion of its jurisdiction to mandate refunds in </w:t>
      </w:r>
      <w:r w:rsidR="00A07CC2">
        <w:rPr>
          <w:i/>
          <w:sz w:val="26"/>
          <w:szCs w:val="26"/>
        </w:rPr>
        <w:t xml:space="preserve">IDT Material </w:t>
      </w:r>
      <w:r w:rsidR="00A07CC2" w:rsidRPr="00A07CC2">
        <w:rPr>
          <w:i/>
          <w:sz w:val="26"/>
          <w:szCs w:val="26"/>
        </w:rPr>
        <w:t>Question</w:t>
      </w:r>
      <w:r w:rsidR="00A07CC2">
        <w:rPr>
          <w:sz w:val="26"/>
          <w:szCs w:val="26"/>
        </w:rPr>
        <w:t>, t</w:t>
      </w:r>
      <w:r w:rsidRPr="00A07CC2">
        <w:rPr>
          <w:sz w:val="26"/>
          <w:szCs w:val="26"/>
        </w:rPr>
        <w:t>he</w:t>
      </w:r>
      <w:r>
        <w:rPr>
          <w:sz w:val="26"/>
          <w:szCs w:val="26"/>
        </w:rPr>
        <w:t xml:space="preserve"> OCA also </w:t>
      </w:r>
      <w:r w:rsidR="00A07CC2">
        <w:rPr>
          <w:sz w:val="26"/>
          <w:szCs w:val="26"/>
        </w:rPr>
        <w:t xml:space="preserve">refers to </w:t>
      </w:r>
      <w:r w:rsidR="00A07CC2" w:rsidRPr="00A07CC2">
        <w:rPr>
          <w:i/>
          <w:sz w:val="26"/>
          <w:szCs w:val="26"/>
        </w:rPr>
        <w:t>Nadav</w:t>
      </w:r>
      <w:r w:rsidR="002065A1" w:rsidRPr="002065A1">
        <w:rPr>
          <w:sz w:val="26"/>
          <w:szCs w:val="26"/>
        </w:rPr>
        <w:t>,</w:t>
      </w:r>
      <w:r w:rsidR="00A07CC2">
        <w:rPr>
          <w:sz w:val="26"/>
          <w:szCs w:val="26"/>
        </w:rPr>
        <w:t xml:space="preserve"> </w:t>
      </w:r>
      <w:r w:rsidR="002065A1">
        <w:rPr>
          <w:sz w:val="26"/>
          <w:szCs w:val="26"/>
        </w:rPr>
        <w:t xml:space="preserve">in which </w:t>
      </w:r>
      <w:r w:rsidR="00A07CC2">
        <w:rPr>
          <w:sz w:val="26"/>
          <w:szCs w:val="26"/>
        </w:rPr>
        <w:t xml:space="preserve">the Commission concluded </w:t>
      </w:r>
      <w:r w:rsidR="000307E0">
        <w:rPr>
          <w:sz w:val="26"/>
          <w:szCs w:val="26"/>
        </w:rPr>
        <w:t>it</w:t>
      </w:r>
      <w:r w:rsidR="00A07CC2">
        <w:rPr>
          <w:sz w:val="26"/>
          <w:szCs w:val="26"/>
        </w:rPr>
        <w:t xml:space="preserve"> had authority t</w:t>
      </w:r>
      <w:r w:rsidR="000307E0">
        <w:rPr>
          <w:sz w:val="26"/>
          <w:szCs w:val="26"/>
        </w:rPr>
        <w:t>o</w:t>
      </w:r>
      <w:r w:rsidR="00A07CC2">
        <w:rPr>
          <w:sz w:val="26"/>
          <w:szCs w:val="26"/>
        </w:rPr>
        <w:t xml:space="preserve"> require the issuance of refunds in appropriate circumstances.  </w:t>
      </w:r>
      <w:r w:rsidR="00A07CC2">
        <w:rPr>
          <w:i/>
          <w:sz w:val="26"/>
          <w:szCs w:val="26"/>
        </w:rPr>
        <w:t xml:space="preserve">Id. </w:t>
      </w:r>
      <w:r w:rsidR="00A07CC2">
        <w:rPr>
          <w:sz w:val="26"/>
          <w:szCs w:val="26"/>
        </w:rPr>
        <w:t>at 16-17.</w:t>
      </w:r>
    </w:p>
    <w:p w:rsidR="00A07CC2" w:rsidRDefault="00A07CC2" w:rsidP="00E075E7">
      <w:pPr>
        <w:pStyle w:val="BodyFirst1SS"/>
        <w:spacing w:line="360" w:lineRule="auto"/>
        <w:ind w:firstLine="1440"/>
        <w:rPr>
          <w:sz w:val="26"/>
          <w:szCs w:val="26"/>
        </w:rPr>
      </w:pPr>
    </w:p>
    <w:p w:rsidR="0048108E" w:rsidRDefault="002065A1" w:rsidP="002065A1">
      <w:pPr>
        <w:pStyle w:val="BodyFirst1SS"/>
        <w:spacing w:line="360" w:lineRule="auto"/>
        <w:ind w:firstLine="1440"/>
        <w:jc w:val="left"/>
        <w:rPr>
          <w:sz w:val="26"/>
          <w:szCs w:val="26"/>
        </w:rPr>
      </w:pPr>
      <w:r>
        <w:rPr>
          <w:sz w:val="26"/>
          <w:szCs w:val="26"/>
        </w:rPr>
        <w:t>T</w:t>
      </w:r>
      <w:r w:rsidR="00A07CC2">
        <w:rPr>
          <w:sz w:val="26"/>
          <w:szCs w:val="26"/>
        </w:rPr>
        <w:t>he OCA concludes that Mr. Herp</w:t>
      </w:r>
      <w:r>
        <w:rPr>
          <w:sz w:val="26"/>
          <w:szCs w:val="26"/>
        </w:rPr>
        <w:t>’ s Complaint</w:t>
      </w:r>
      <w:r w:rsidR="00A07CC2">
        <w:rPr>
          <w:sz w:val="26"/>
          <w:szCs w:val="26"/>
        </w:rPr>
        <w:t xml:space="preserve"> provided Respond clear notice </w:t>
      </w:r>
      <w:r>
        <w:rPr>
          <w:sz w:val="26"/>
          <w:szCs w:val="26"/>
        </w:rPr>
        <w:t xml:space="preserve">of his claim </w:t>
      </w:r>
      <w:r w:rsidR="00A07CC2">
        <w:rPr>
          <w:sz w:val="26"/>
          <w:szCs w:val="26"/>
        </w:rPr>
        <w:t xml:space="preserve">that </w:t>
      </w:r>
      <w:r w:rsidR="000307E0">
        <w:rPr>
          <w:sz w:val="26"/>
          <w:szCs w:val="26"/>
        </w:rPr>
        <w:t>he was</w:t>
      </w:r>
      <w:r w:rsidR="00A07CC2">
        <w:rPr>
          <w:sz w:val="26"/>
          <w:szCs w:val="26"/>
        </w:rPr>
        <w:t xml:space="preserve"> induced to switch to its service through its agent’s misleading sales statement</w:t>
      </w:r>
      <w:r w:rsidR="000307E0">
        <w:rPr>
          <w:sz w:val="26"/>
          <w:szCs w:val="26"/>
        </w:rPr>
        <w:t xml:space="preserve"> that Respond</w:t>
      </w:r>
      <w:r>
        <w:rPr>
          <w:sz w:val="26"/>
          <w:szCs w:val="26"/>
        </w:rPr>
        <w:t>’s</w:t>
      </w:r>
      <w:r w:rsidR="000307E0">
        <w:rPr>
          <w:sz w:val="26"/>
          <w:szCs w:val="26"/>
        </w:rPr>
        <w:t xml:space="preserve"> variable rate would be capped at</w:t>
      </w:r>
      <w:r w:rsidR="00A07CC2">
        <w:rPr>
          <w:sz w:val="26"/>
          <w:szCs w:val="26"/>
        </w:rPr>
        <w:t xml:space="preserve"> West Penn’s PTC.  Accordingly, the ALJ’s conclusion</w:t>
      </w:r>
      <w:r>
        <w:rPr>
          <w:sz w:val="26"/>
          <w:szCs w:val="26"/>
        </w:rPr>
        <w:t>,</w:t>
      </w:r>
      <w:r w:rsidR="00A07CC2">
        <w:rPr>
          <w:sz w:val="26"/>
          <w:szCs w:val="26"/>
        </w:rPr>
        <w:t xml:space="preserve"> that Respond violated the Commission’s Chapter 54 </w:t>
      </w:r>
      <w:r w:rsidR="000307E0">
        <w:rPr>
          <w:sz w:val="26"/>
          <w:szCs w:val="26"/>
        </w:rPr>
        <w:t>Regulation</w:t>
      </w:r>
      <w:r w:rsidR="00A07CC2">
        <w:rPr>
          <w:sz w:val="26"/>
          <w:szCs w:val="26"/>
        </w:rPr>
        <w:t>s because Respond failed to bill Mr. Herp in accordance with its agent’s marketed price</w:t>
      </w:r>
      <w:r>
        <w:rPr>
          <w:sz w:val="26"/>
          <w:szCs w:val="26"/>
        </w:rPr>
        <w:t>,</w:t>
      </w:r>
      <w:r w:rsidR="00A07CC2">
        <w:rPr>
          <w:sz w:val="26"/>
          <w:szCs w:val="26"/>
        </w:rPr>
        <w:t xml:space="preserve"> was proper.  Acknowledging that the ALJ did not have the benefit of the Commission’s discussion of its authority under Section 1312 regarding public utility refunds in </w:t>
      </w:r>
      <w:r w:rsidR="00A07CC2">
        <w:rPr>
          <w:i/>
          <w:sz w:val="26"/>
          <w:szCs w:val="26"/>
        </w:rPr>
        <w:t xml:space="preserve">IDT Material </w:t>
      </w:r>
      <w:r w:rsidR="00A07CC2" w:rsidRPr="00A07CC2">
        <w:rPr>
          <w:i/>
          <w:sz w:val="26"/>
          <w:szCs w:val="26"/>
        </w:rPr>
        <w:t>Question</w:t>
      </w:r>
      <w:r w:rsidR="00A07CC2">
        <w:rPr>
          <w:sz w:val="26"/>
          <w:szCs w:val="26"/>
        </w:rPr>
        <w:t xml:space="preserve"> at the time of the Initial Decision, </w:t>
      </w:r>
      <w:r w:rsidR="00787F35">
        <w:rPr>
          <w:sz w:val="26"/>
          <w:szCs w:val="26"/>
        </w:rPr>
        <w:t xml:space="preserve">the OCA claims that in all other respects the ALJ’s Initial Decision is soundly based.  </w:t>
      </w:r>
      <w:r w:rsidR="00787F35">
        <w:rPr>
          <w:sz w:val="26"/>
          <w:szCs w:val="26"/>
        </w:rPr>
        <w:lastRenderedPageBreak/>
        <w:t xml:space="preserve">Accordingly, the </w:t>
      </w:r>
      <w:r w:rsidR="00A03C52">
        <w:rPr>
          <w:sz w:val="26"/>
          <w:szCs w:val="26"/>
        </w:rPr>
        <w:t xml:space="preserve">OCA </w:t>
      </w:r>
      <w:r>
        <w:rPr>
          <w:sz w:val="26"/>
          <w:szCs w:val="26"/>
        </w:rPr>
        <w:t xml:space="preserve">contends </w:t>
      </w:r>
      <w:r w:rsidR="00A03C52">
        <w:rPr>
          <w:sz w:val="26"/>
          <w:szCs w:val="26"/>
        </w:rPr>
        <w:t xml:space="preserve">that </w:t>
      </w:r>
      <w:r>
        <w:rPr>
          <w:sz w:val="26"/>
          <w:szCs w:val="26"/>
        </w:rPr>
        <w:t xml:space="preserve">the </w:t>
      </w:r>
      <w:r w:rsidR="00787F35">
        <w:rPr>
          <w:sz w:val="26"/>
          <w:szCs w:val="26"/>
        </w:rPr>
        <w:t xml:space="preserve">Commission </w:t>
      </w:r>
      <w:r w:rsidR="00787F35" w:rsidRPr="00787F35">
        <w:rPr>
          <w:sz w:val="26"/>
          <w:szCs w:val="26"/>
        </w:rPr>
        <w:t>should deny Respond’s Exception</w:t>
      </w:r>
      <w:r w:rsidR="00787F35">
        <w:rPr>
          <w:sz w:val="26"/>
          <w:szCs w:val="26"/>
        </w:rPr>
        <w:t xml:space="preserve"> </w:t>
      </w:r>
      <w:r w:rsidR="00787F35" w:rsidRPr="00787F35">
        <w:rPr>
          <w:sz w:val="26"/>
          <w:szCs w:val="26"/>
        </w:rPr>
        <w:t xml:space="preserve">and direct Respond to issue a refund consistent with the Initial Decision and the Commission’s affirmative statements that it possesses authority to direct </w:t>
      </w:r>
      <w:proofErr w:type="gramStart"/>
      <w:r w:rsidR="00787F35" w:rsidRPr="00787F35">
        <w:rPr>
          <w:sz w:val="26"/>
          <w:szCs w:val="26"/>
        </w:rPr>
        <w:t>Respond</w:t>
      </w:r>
      <w:proofErr w:type="gramEnd"/>
      <w:r w:rsidR="00787F35" w:rsidRPr="00787F35">
        <w:rPr>
          <w:sz w:val="26"/>
          <w:szCs w:val="26"/>
        </w:rPr>
        <w:t xml:space="preserve"> to issue a credit or refund in a case such as this.  </w:t>
      </w:r>
      <w:r w:rsidR="00787F35">
        <w:rPr>
          <w:i/>
          <w:sz w:val="26"/>
          <w:szCs w:val="26"/>
        </w:rPr>
        <w:t xml:space="preserve">Id. </w:t>
      </w:r>
      <w:r w:rsidR="00787F35">
        <w:rPr>
          <w:sz w:val="26"/>
          <w:szCs w:val="26"/>
        </w:rPr>
        <w:t>at 17-19.</w:t>
      </w:r>
    </w:p>
    <w:p w:rsidR="0048108E" w:rsidRDefault="0048108E" w:rsidP="00E075E7">
      <w:pPr>
        <w:pStyle w:val="BodyFirst1SS"/>
        <w:spacing w:line="360" w:lineRule="auto"/>
        <w:ind w:firstLine="1440"/>
        <w:rPr>
          <w:sz w:val="26"/>
          <w:szCs w:val="26"/>
        </w:rPr>
      </w:pPr>
    </w:p>
    <w:p w:rsidR="00AE08BB" w:rsidRDefault="0099746B" w:rsidP="00521D8D">
      <w:pPr>
        <w:pStyle w:val="BodyFirst1SS"/>
        <w:keepNext/>
        <w:keepLines/>
        <w:spacing w:line="360" w:lineRule="auto"/>
        <w:ind w:left="720"/>
        <w:rPr>
          <w:sz w:val="26"/>
          <w:szCs w:val="26"/>
        </w:rPr>
      </w:pPr>
      <w:r>
        <w:rPr>
          <w:b/>
          <w:sz w:val="26"/>
          <w:szCs w:val="26"/>
        </w:rPr>
        <w:t>d.</w:t>
      </w:r>
      <w:r>
        <w:rPr>
          <w:b/>
          <w:sz w:val="26"/>
          <w:szCs w:val="26"/>
        </w:rPr>
        <w:tab/>
      </w:r>
      <w:r w:rsidR="005901AD">
        <w:rPr>
          <w:b/>
          <w:sz w:val="26"/>
          <w:szCs w:val="26"/>
        </w:rPr>
        <w:t>Disposition</w:t>
      </w:r>
    </w:p>
    <w:p w:rsidR="00EC1C6B" w:rsidRDefault="00EC1C6B" w:rsidP="00521D8D">
      <w:pPr>
        <w:pStyle w:val="BodyFirst1SS"/>
        <w:keepNext/>
        <w:keepLines/>
        <w:spacing w:line="360" w:lineRule="auto"/>
        <w:ind w:left="1440" w:firstLine="0"/>
        <w:rPr>
          <w:sz w:val="26"/>
          <w:szCs w:val="26"/>
        </w:rPr>
      </w:pPr>
    </w:p>
    <w:p w:rsidR="000B2D0C" w:rsidRPr="004E5C2B" w:rsidRDefault="00C9418A" w:rsidP="00C9418A">
      <w:pPr>
        <w:ind w:firstLine="1440"/>
        <w:rPr>
          <w:rFonts w:ascii="Times New Roman" w:hAnsi="Times New Roman"/>
          <w:sz w:val="26"/>
          <w:szCs w:val="26"/>
        </w:rPr>
      </w:pPr>
      <w:r w:rsidRPr="004E5C2B">
        <w:rPr>
          <w:rFonts w:ascii="Times New Roman" w:hAnsi="Times New Roman"/>
          <w:sz w:val="26"/>
          <w:szCs w:val="26"/>
        </w:rPr>
        <w:t>Based upon our review of the evidence</w:t>
      </w:r>
      <w:r w:rsidR="00DA4BFC" w:rsidRPr="004E5C2B">
        <w:rPr>
          <w:rFonts w:ascii="Times New Roman" w:hAnsi="Times New Roman"/>
          <w:sz w:val="26"/>
          <w:szCs w:val="26"/>
        </w:rPr>
        <w:t xml:space="preserve"> and upon consideration of our recent actions in </w:t>
      </w:r>
      <w:r w:rsidR="00DA4BFC" w:rsidRPr="004E5C2B">
        <w:rPr>
          <w:rFonts w:ascii="Times New Roman" w:hAnsi="Times New Roman"/>
          <w:i/>
          <w:sz w:val="26"/>
          <w:szCs w:val="26"/>
        </w:rPr>
        <w:t>IDT Material Question</w:t>
      </w:r>
      <w:r w:rsidR="00DA4BFC" w:rsidRPr="004E5C2B">
        <w:rPr>
          <w:rFonts w:ascii="Times New Roman" w:hAnsi="Times New Roman"/>
          <w:sz w:val="26"/>
          <w:szCs w:val="26"/>
        </w:rPr>
        <w:t xml:space="preserve">, </w:t>
      </w:r>
      <w:r w:rsidR="00DA4BFC" w:rsidRPr="004E5C2B">
        <w:rPr>
          <w:rFonts w:ascii="Times New Roman" w:hAnsi="Times New Roman"/>
          <w:i/>
          <w:sz w:val="26"/>
          <w:szCs w:val="26"/>
        </w:rPr>
        <w:t>Nadav</w:t>
      </w:r>
      <w:r w:rsidR="00DA4BFC" w:rsidRPr="004E5C2B">
        <w:rPr>
          <w:rFonts w:ascii="Times New Roman" w:hAnsi="Times New Roman"/>
          <w:sz w:val="26"/>
          <w:szCs w:val="26"/>
        </w:rPr>
        <w:t xml:space="preserve">, and other cases, </w:t>
      </w:r>
      <w:r w:rsidRPr="004E5C2B">
        <w:rPr>
          <w:rFonts w:ascii="Times New Roman" w:hAnsi="Times New Roman"/>
          <w:sz w:val="26"/>
          <w:szCs w:val="26"/>
        </w:rPr>
        <w:t xml:space="preserve">we find </w:t>
      </w:r>
      <w:r w:rsidR="00DA4BFC" w:rsidRPr="004E5C2B">
        <w:rPr>
          <w:rFonts w:ascii="Times New Roman" w:hAnsi="Times New Roman"/>
          <w:sz w:val="26"/>
          <w:szCs w:val="26"/>
        </w:rPr>
        <w:t xml:space="preserve">the ALJ correctly concluded that Respond’s agent’s marketing </w:t>
      </w:r>
      <w:r w:rsidR="000B2D0C" w:rsidRPr="004E5C2B">
        <w:rPr>
          <w:rFonts w:ascii="Times New Roman" w:hAnsi="Times New Roman"/>
          <w:sz w:val="26"/>
          <w:szCs w:val="26"/>
        </w:rPr>
        <w:t>did not conform with Respond’s subsequent billing, resulting in violations of our Regulations and constituting appropriate circumstances warranting a refund.  Therefore, we</w:t>
      </w:r>
      <w:r w:rsidR="00206E56" w:rsidRPr="004E5C2B">
        <w:rPr>
          <w:rFonts w:ascii="Times New Roman" w:hAnsi="Times New Roman"/>
          <w:sz w:val="26"/>
          <w:szCs w:val="26"/>
        </w:rPr>
        <w:t xml:space="preserve"> adopt the ALJ’s decision, although we modify her analysis</w:t>
      </w:r>
      <w:r w:rsidR="00DA4BFC" w:rsidRPr="004E5C2B">
        <w:rPr>
          <w:rFonts w:ascii="Times New Roman" w:hAnsi="Times New Roman"/>
          <w:sz w:val="26"/>
          <w:szCs w:val="26"/>
        </w:rPr>
        <w:t xml:space="preserve"> to reflect our decision in </w:t>
      </w:r>
      <w:r w:rsidR="00DA4BFC" w:rsidRPr="004E5C2B">
        <w:rPr>
          <w:rFonts w:ascii="Times New Roman" w:hAnsi="Times New Roman"/>
          <w:i/>
          <w:sz w:val="26"/>
          <w:szCs w:val="26"/>
        </w:rPr>
        <w:t>IDT Material Question</w:t>
      </w:r>
      <w:r w:rsidR="00DA4BFC" w:rsidRPr="004E5C2B">
        <w:rPr>
          <w:rFonts w:ascii="Times New Roman" w:hAnsi="Times New Roman"/>
          <w:sz w:val="26"/>
          <w:szCs w:val="26"/>
        </w:rPr>
        <w:t xml:space="preserve"> rejecting Section</w:t>
      </w:r>
      <w:r w:rsidR="002065A1">
        <w:rPr>
          <w:rFonts w:ascii="Times New Roman" w:hAnsi="Times New Roman"/>
          <w:sz w:val="26"/>
          <w:szCs w:val="26"/>
        </w:rPr>
        <w:t> </w:t>
      </w:r>
      <w:r w:rsidR="00DA4BFC" w:rsidRPr="004E5C2B">
        <w:rPr>
          <w:rFonts w:ascii="Times New Roman" w:hAnsi="Times New Roman"/>
          <w:sz w:val="26"/>
          <w:szCs w:val="26"/>
        </w:rPr>
        <w:t>1312 of the Code as authority for our decision</w:t>
      </w:r>
      <w:r w:rsidRPr="004E5C2B">
        <w:rPr>
          <w:rFonts w:ascii="Times New Roman" w:hAnsi="Times New Roman"/>
          <w:sz w:val="26"/>
          <w:szCs w:val="26"/>
        </w:rPr>
        <w:t>.</w:t>
      </w:r>
    </w:p>
    <w:p w:rsidR="000B2D0C" w:rsidRPr="004E5C2B" w:rsidRDefault="000B2D0C" w:rsidP="00C9418A">
      <w:pPr>
        <w:ind w:firstLine="1440"/>
        <w:rPr>
          <w:rFonts w:ascii="Times New Roman" w:hAnsi="Times New Roman"/>
          <w:sz w:val="26"/>
          <w:szCs w:val="26"/>
        </w:rPr>
      </w:pPr>
    </w:p>
    <w:p w:rsidR="00C9418A" w:rsidRPr="004E5C2B" w:rsidRDefault="002876D8" w:rsidP="00C9418A">
      <w:pPr>
        <w:ind w:firstLine="1440"/>
        <w:rPr>
          <w:rFonts w:ascii="Times New Roman" w:hAnsi="Times New Roman"/>
          <w:sz w:val="26"/>
          <w:szCs w:val="26"/>
        </w:rPr>
      </w:pPr>
      <w:r w:rsidRPr="004E5C2B">
        <w:rPr>
          <w:rFonts w:ascii="Times New Roman" w:hAnsi="Times New Roman"/>
          <w:sz w:val="26"/>
          <w:szCs w:val="26"/>
        </w:rPr>
        <w:t>The ALJ and OCA correct</w:t>
      </w:r>
      <w:r w:rsidR="00B878F4">
        <w:rPr>
          <w:rFonts w:ascii="Times New Roman" w:hAnsi="Times New Roman"/>
          <w:sz w:val="26"/>
          <w:szCs w:val="26"/>
        </w:rPr>
        <w:t>ly</w:t>
      </w:r>
      <w:r w:rsidRPr="004E5C2B">
        <w:rPr>
          <w:rFonts w:ascii="Times New Roman" w:hAnsi="Times New Roman"/>
          <w:sz w:val="26"/>
          <w:szCs w:val="26"/>
        </w:rPr>
        <w:t xml:space="preserve"> interpret</w:t>
      </w:r>
      <w:r w:rsidR="00B878F4">
        <w:rPr>
          <w:rFonts w:ascii="Times New Roman" w:hAnsi="Times New Roman"/>
          <w:sz w:val="26"/>
          <w:szCs w:val="26"/>
        </w:rPr>
        <w:t>ed</w:t>
      </w:r>
      <w:r w:rsidRPr="004E5C2B">
        <w:rPr>
          <w:rFonts w:ascii="Times New Roman" w:hAnsi="Times New Roman"/>
          <w:sz w:val="26"/>
          <w:szCs w:val="26"/>
        </w:rPr>
        <w:t xml:space="preserve"> and appli</w:t>
      </w:r>
      <w:r w:rsidR="00B878F4">
        <w:rPr>
          <w:rFonts w:ascii="Times New Roman" w:hAnsi="Times New Roman"/>
          <w:sz w:val="26"/>
          <w:szCs w:val="26"/>
        </w:rPr>
        <w:t>ed our analysis</w:t>
      </w:r>
      <w:r w:rsidRPr="004E5C2B">
        <w:rPr>
          <w:rFonts w:ascii="Times New Roman" w:hAnsi="Times New Roman"/>
          <w:sz w:val="26"/>
          <w:szCs w:val="26"/>
        </w:rPr>
        <w:t xml:space="preserve"> </w:t>
      </w:r>
      <w:r w:rsidRPr="004E5C2B">
        <w:rPr>
          <w:rFonts w:ascii="Times New Roman" w:hAnsi="Times New Roman"/>
          <w:i/>
          <w:sz w:val="26"/>
          <w:szCs w:val="26"/>
        </w:rPr>
        <w:t>IDT Material Question</w:t>
      </w:r>
      <w:r w:rsidRPr="004E5C2B">
        <w:rPr>
          <w:rFonts w:ascii="Times New Roman" w:hAnsi="Times New Roman"/>
          <w:sz w:val="26"/>
          <w:szCs w:val="26"/>
        </w:rPr>
        <w:t xml:space="preserve">.  </w:t>
      </w:r>
      <w:r w:rsidR="00D55C68" w:rsidRPr="004E5C2B">
        <w:rPr>
          <w:rFonts w:ascii="Times New Roman" w:hAnsi="Times New Roman"/>
          <w:sz w:val="26"/>
          <w:szCs w:val="26"/>
        </w:rPr>
        <w:t>W</w:t>
      </w:r>
      <w:r w:rsidR="00C9418A" w:rsidRPr="004E5C2B">
        <w:rPr>
          <w:rFonts w:ascii="Times New Roman" w:hAnsi="Times New Roman"/>
          <w:sz w:val="26"/>
          <w:szCs w:val="26"/>
        </w:rPr>
        <w:t xml:space="preserve">hile we do not have traditional </w:t>
      </w:r>
      <w:r w:rsidRPr="004E5C2B">
        <w:rPr>
          <w:rFonts w:ascii="Times New Roman" w:hAnsi="Times New Roman"/>
          <w:sz w:val="26"/>
          <w:szCs w:val="26"/>
        </w:rPr>
        <w:t xml:space="preserve">utility </w:t>
      </w:r>
      <w:r w:rsidR="00C9418A" w:rsidRPr="004E5C2B">
        <w:rPr>
          <w:rFonts w:ascii="Times New Roman" w:hAnsi="Times New Roman"/>
          <w:sz w:val="26"/>
          <w:szCs w:val="26"/>
        </w:rPr>
        <w:t>ratemaking authority over competitive suppliers</w:t>
      </w:r>
      <w:r w:rsidRPr="004E5C2B">
        <w:rPr>
          <w:rFonts w:ascii="Times New Roman" w:hAnsi="Times New Roman"/>
          <w:sz w:val="26"/>
          <w:szCs w:val="26"/>
        </w:rPr>
        <w:t>, and we</w:t>
      </w:r>
      <w:r w:rsidR="00C9418A" w:rsidRPr="004E5C2B">
        <w:rPr>
          <w:rFonts w:ascii="Times New Roman" w:hAnsi="Times New Roman"/>
          <w:sz w:val="26"/>
          <w:szCs w:val="26"/>
        </w:rPr>
        <w:t xml:space="preserve"> do not regulate competitive supply </w:t>
      </w:r>
      <w:r w:rsidRPr="004E5C2B">
        <w:rPr>
          <w:rFonts w:ascii="Times New Roman" w:hAnsi="Times New Roman"/>
          <w:sz w:val="26"/>
          <w:szCs w:val="26"/>
        </w:rPr>
        <w:t>prices</w:t>
      </w:r>
      <w:r w:rsidR="00C9418A" w:rsidRPr="004E5C2B">
        <w:rPr>
          <w:rFonts w:ascii="Times New Roman" w:hAnsi="Times New Roman"/>
          <w:sz w:val="26"/>
          <w:szCs w:val="26"/>
        </w:rPr>
        <w:t>, we do have subject matter jurisdiction to regulate aspects of EGS services, including marketing</w:t>
      </w:r>
      <w:r w:rsidR="00A03C52">
        <w:rPr>
          <w:rFonts w:ascii="Times New Roman" w:hAnsi="Times New Roman"/>
          <w:sz w:val="26"/>
          <w:szCs w:val="26"/>
        </w:rPr>
        <w:t>,</w:t>
      </w:r>
      <w:r w:rsidR="00C9418A" w:rsidRPr="004E5C2B">
        <w:rPr>
          <w:rFonts w:ascii="Times New Roman" w:hAnsi="Times New Roman"/>
          <w:sz w:val="26"/>
          <w:szCs w:val="26"/>
        </w:rPr>
        <w:t xml:space="preserve"> sales</w:t>
      </w:r>
      <w:r w:rsidR="00A03C52">
        <w:rPr>
          <w:rFonts w:ascii="Times New Roman" w:hAnsi="Times New Roman"/>
          <w:sz w:val="26"/>
          <w:szCs w:val="26"/>
        </w:rPr>
        <w:t>, and billing</w:t>
      </w:r>
      <w:r w:rsidR="00C9418A" w:rsidRPr="004E5C2B">
        <w:rPr>
          <w:rFonts w:ascii="Times New Roman" w:hAnsi="Times New Roman"/>
          <w:sz w:val="26"/>
          <w:szCs w:val="26"/>
        </w:rPr>
        <w:t xml:space="preserve">.  </w:t>
      </w:r>
      <w:r w:rsidRPr="004E5C2B">
        <w:rPr>
          <w:rFonts w:ascii="Times New Roman" w:hAnsi="Times New Roman"/>
          <w:sz w:val="26"/>
          <w:szCs w:val="26"/>
        </w:rPr>
        <w:t xml:space="preserve">This is so not only under our plenary authority in Section 501 of the Code </w:t>
      </w:r>
      <w:r w:rsidR="001C1436" w:rsidRPr="004E5C2B">
        <w:rPr>
          <w:rFonts w:ascii="Times New Roman" w:hAnsi="Times New Roman"/>
          <w:sz w:val="26"/>
          <w:szCs w:val="26"/>
        </w:rPr>
        <w:t>as discussed</w:t>
      </w:r>
      <w:r w:rsidRPr="004E5C2B">
        <w:rPr>
          <w:rFonts w:ascii="Times New Roman" w:hAnsi="Times New Roman"/>
          <w:sz w:val="26"/>
          <w:szCs w:val="26"/>
        </w:rPr>
        <w:t xml:space="preserve"> in </w:t>
      </w:r>
      <w:r w:rsidR="00B54A65" w:rsidRPr="004E5C2B">
        <w:rPr>
          <w:rFonts w:ascii="Times New Roman" w:hAnsi="Times New Roman"/>
          <w:i/>
          <w:sz w:val="26"/>
          <w:szCs w:val="26"/>
        </w:rPr>
        <w:t xml:space="preserve">IDT </w:t>
      </w:r>
      <w:r w:rsidR="00576785" w:rsidRPr="004E5C2B">
        <w:rPr>
          <w:rFonts w:ascii="Times New Roman" w:hAnsi="Times New Roman"/>
          <w:i/>
          <w:sz w:val="26"/>
          <w:szCs w:val="26"/>
        </w:rPr>
        <w:t>Material Question</w:t>
      </w:r>
      <w:r w:rsidRPr="004E5C2B">
        <w:rPr>
          <w:rFonts w:ascii="Times New Roman" w:hAnsi="Times New Roman"/>
          <w:sz w:val="26"/>
          <w:szCs w:val="26"/>
        </w:rPr>
        <w:t xml:space="preserve"> but also in the Competition Act itself</w:t>
      </w:r>
      <w:r w:rsidR="00C9418A" w:rsidRPr="004E5C2B">
        <w:rPr>
          <w:rFonts w:ascii="Times New Roman" w:hAnsi="Times New Roman"/>
          <w:sz w:val="26"/>
          <w:szCs w:val="26"/>
        </w:rPr>
        <w:t>.  A</w:t>
      </w:r>
      <w:r w:rsidR="00A03C52">
        <w:rPr>
          <w:rFonts w:ascii="Times New Roman" w:hAnsi="Times New Roman"/>
          <w:sz w:val="26"/>
          <w:szCs w:val="26"/>
        </w:rPr>
        <w:t xml:space="preserve">s we </w:t>
      </w:r>
      <w:r w:rsidRPr="004E5C2B">
        <w:rPr>
          <w:rFonts w:ascii="Times New Roman" w:hAnsi="Times New Roman"/>
          <w:sz w:val="26"/>
          <w:szCs w:val="26"/>
        </w:rPr>
        <w:t xml:space="preserve">concluded in </w:t>
      </w:r>
      <w:r w:rsidR="00A03C52">
        <w:rPr>
          <w:rFonts w:ascii="Times New Roman" w:hAnsi="Times New Roman"/>
          <w:i/>
          <w:sz w:val="26"/>
          <w:szCs w:val="26"/>
        </w:rPr>
        <w:t>IDT Material Question</w:t>
      </w:r>
      <w:r w:rsidRPr="004E5C2B">
        <w:rPr>
          <w:rFonts w:ascii="Times New Roman" w:hAnsi="Times New Roman"/>
          <w:sz w:val="26"/>
          <w:szCs w:val="26"/>
        </w:rPr>
        <w:t xml:space="preserve"> and subsequent Orders, f</w:t>
      </w:r>
      <w:r w:rsidR="00C9418A" w:rsidRPr="004E5C2B">
        <w:rPr>
          <w:rFonts w:ascii="Times New Roman" w:hAnsi="Times New Roman"/>
          <w:sz w:val="26"/>
          <w:szCs w:val="26"/>
        </w:rPr>
        <w:t xml:space="preserve">ailure to abide by our Regulations </w:t>
      </w:r>
      <w:r w:rsidR="00576785" w:rsidRPr="004E5C2B">
        <w:rPr>
          <w:rFonts w:ascii="Times New Roman" w:hAnsi="Times New Roman"/>
          <w:sz w:val="26"/>
          <w:szCs w:val="26"/>
        </w:rPr>
        <w:t xml:space="preserve">with respect to the marketing of </w:t>
      </w:r>
      <w:r w:rsidR="00C9418A" w:rsidRPr="004E5C2B">
        <w:rPr>
          <w:rFonts w:ascii="Times New Roman" w:hAnsi="Times New Roman"/>
          <w:sz w:val="26"/>
          <w:szCs w:val="26"/>
        </w:rPr>
        <w:t>information to customers – oral or written – constitute</w:t>
      </w:r>
      <w:r w:rsidR="00576785" w:rsidRPr="004E5C2B">
        <w:rPr>
          <w:rFonts w:ascii="Times New Roman" w:hAnsi="Times New Roman"/>
          <w:sz w:val="26"/>
          <w:szCs w:val="26"/>
        </w:rPr>
        <w:t>s</w:t>
      </w:r>
      <w:r w:rsidR="00C9418A" w:rsidRPr="004E5C2B">
        <w:rPr>
          <w:rFonts w:ascii="Times New Roman" w:hAnsi="Times New Roman"/>
          <w:sz w:val="26"/>
          <w:szCs w:val="26"/>
        </w:rPr>
        <w:t xml:space="preserve"> appropriate circumstances that justify </w:t>
      </w:r>
      <w:r w:rsidR="00B14349">
        <w:rPr>
          <w:rFonts w:ascii="Times New Roman" w:hAnsi="Times New Roman"/>
          <w:sz w:val="26"/>
          <w:szCs w:val="26"/>
        </w:rPr>
        <w:t xml:space="preserve">the </w:t>
      </w:r>
      <w:r w:rsidR="00C9418A" w:rsidRPr="004E5C2B">
        <w:rPr>
          <w:rFonts w:ascii="Times New Roman" w:hAnsi="Times New Roman"/>
          <w:sz w:val="26"/>
          <w:szCs w:val="26"/>
        </w:rPr>
        <w:t>order of a credit or refund.</w:t>
      </w:r>
    </w:p>
    <w:p w:rsidR="00576785" w:rsidRPr="004E5C2B" w:rsidRDefault="00576785" w:rsidP="00C9418A">
      <w:pPr>
        <w:ind w:firstLine="1440"/>
        <w:rPr>
          <w:rFonts w:ascii="Times New Roman" w:hAnsi="Times New Roman"/>
          <w:sz w:val="26"/>
          <w:szCs w:val="26"/>
        </w:rPr>
      </w:pPr>
    </w:p>
    <w:p w:rsidR="00B14349" w:rsidRDefault="001C1436" w:rsidP="002F2404">
      <w:pPr>
        <w:ind w:firstLine="1440"/>
        <w:rPr>
          <w:rFonts w:ascii="Times New Roman" w:hAnsi="Times New Roman"/>
          <w:sz w:val="26"/>
          <w:szCs w:val="26"/>
        </w:rPr>
      </w:pPr>
      <w:r w:rsidRPr="004E5C2B">
        <w:rPr>
          <w:rFonts w:ascii="Times New Roman" w:hAnsi="Times New Roman"/>
          <w:sz w:val="26"/>
          <w:szCs w:val="26"/>
        </w:rPr>
        <w:t xml:space="preserve">We agree with Respond that Chapter 28 deregulates as public utility service the generation of electricity, and limits, as the Supreme Court determined in </w:t>
      </w:r>
      <w:r w:rsidRPr="004E5C2B">
        <w:rPr>
          <w:rFonts w:ascii="Times New Roman" w:hAnsi="Times New Roman"/>
          <w:i/>
          <w:sz w:val="26"/>
          <w:szCs w:val="26"/>
        </w:rPr>
        <w:t>Delmarva</w:t>
      </w:r>
      <w:r w:rsidRPr="004E5C2B">
        <w:rPr>
          <w:rFonts w:ascii="Times New Roman" w:hAnsi="Times New Roman"/>
          <w:sz w:val="26"/>
          <w:szCs w:val="26"/>
        </w:rPr>
        <w:t>, the extent of our regulatory reach over of EGSs as “public utilities</w:t>
      </w:r>
      <w:r w:rsidR="00B14349">
        <w:rPr>
          <w:rFonts w:ascii="Times New Roman" w:hAnsi="Times New Roman"/>
          <w:sz w:val="26"/>
          <w:szCs w:val="26"/>
        </w:rPr>
        <w:t>.</w:t>
      </w:r>
      <w:r w:rsidRPr="004E5C2B">
        <w:rPr>
          <w:rFonts w:ascii="Times New Roman" w:hAnsi="Times New Roman"/>
          <w:sz w:val="26"/>
          <w:szCs w:val="26"/>
        </w:rPr>
        <w:t>”</w:t>
      </w:r>
      <w:r w:rsidR="00B14349">
        <w:rPr>
          <w:rFonts w:ascii="Times New Roman" w:hAnsi="Times New Roman"/>
          <w:sz w:val="26"/>
          <w:szCs w:val="26"/>
        </w:rPr>
        <w:t xml:space="preserve">  We disagree with Respond, however, that </w:t>
      </w:r>
      <w:r w:rsidRPr="004E5C2B">
        <w:rPr>
          <w:rFonts w:ascii="Times New Roman" w:hAnsi="Times New Roman"/>
          <w:sz w:val="26"/>
          <w:szCs w:val="26"/>
        </w:rPr>
        <w:t xml:space="preserve">our authority over EGSs is limited to licensure and taxation.  As </w:t>
      </w:r>
      <w:r w:rsidRPr="004E5C2B">
        <w:rPr>
          <w:rFonts w:ascii="Times New Roman" w:hAnsi="Times New Roman"/>
          <w:sz w:val="26"/>
          <w:szCs w:val="26"/>
        </w:rPr>
        <w:lastRenderedPageBreak/>
        <w:t xml:space="preserve">the ALJ </w:t>
      </w:r>
      <w:r w:rsidR="00B14349">
        <w:rPr>
          <w:rFonts w:ascii="Times New Roman" w:hAnsi="Times New Roman"/>
          <w:sz w:val="26"/>
          <w:szCs w:val="26"/>
        </w:rPr>
        <w:t>correctly noted</w:t>
      </w:r>
      <w:r w:rsidRPr="004E5C2B">
        <w:rPr>
          <w:rFonts w:ascii="Times New Roman" w:hAnsi="Times New Roman"/>
          <w:sz w:val="26"/>
          <w:szCs w:val="26"/>
        </w:rPr>
        <w:t xml:space="preserve">, </w:t>
      </w:r>
      <w:r w:rsidR="00EE05AB">
        <w:rPr>
          <w:rFonts w:ascii="Times New Roman" w:hAnsi="Times New Roman"/>
          <w:sz w:val="26"/>
          <w:szCs w:val="26"/>
        </w:rPr>
        <w:t xml:space="preserve">several provisions within </w:t>
      </w:r>
      <w:r w:rsidRPr="004E5C2B">
        <w:rPr>
          <w:rFonts w:ascii="Times New Roman" w:hAnsi="Times New Roman"/>
          <w:sz w:val="26"/>
          <w:szCs w:val="26"/>
        </w:rPr>
        <w:t xml:space="preserve">Chapter 28 address our </w:t>
      </w:r>
      <w:r w:rsidR="00B14349">
        <w:rPr>
          <w:rFonts w:ascii="Times New Roman" w:hAnsi="Times New Roman"/>
          <w:sz w:val="26"/>
          <w:szCs w:val="26"/>
        </w:rPr>
        <w:t xml:space="preserve">jurisdiction over EGSs, particularly with respect to their </w:t>
      </w:r>
      <w:r w:rsidRPr="004E5C2B">
        <w:rPr>
          <w:rFonts w:ascii="Times New Roman" w:hAnsi="Times New Roman"/>
          <w:sz w:val="26"/>
          <w:szCs w:val="26"/>
        </w:rPr>
        <w:t xml:space="preserve">obligations </w:t>
      </w:r>
      <w:r w:rsidR="00B14349">
        <w:rPr>
          <w:rFonts w:ascii="Times New Roman" w:hAnsi="Times New Roman"/>
          <w:sz w:val="26"/>
          <w:szCs w:val="26"/>
        </w:rPr>
        <w:t xml:space="preserve">to </w:t>
      </w:r>
      <w:r w:rsidRPr="004E5C2B">
        <w:rPr>
          <w:rFonts w:ascii="Times New Roman" w:hAnsi="Times New Roman"/>
          <w:sz w:val="26"/>
          <w:szCs w:val="26"/>
        </w:rPr>
        <w:t>the public</w:t>
      </w:r>
      <w:r w:rsidR="004E5C2B" w:rsidRPr="004E5C2B">
        <w:rPr>
          <w:rFonts w:ascii="Times New Roman" w:hAnsi="Times New Roman"/>
          <w:sz w:val="26"/>
          <w:szCs w:val="26"/>
        </w:rPr>
        <w:t>.</w:t>
      </w:r>
      <w:r w:rsidR="00B14349">
        <w:rPr>
          <w:rFonts w:ascii="Times New Roman" w:hAnsi="Times New Roman"/>
          <w:sz w:val="26"/>
          <w:szCs w:val="26"/>
        </w:rPr>
        <w:t xml:space="preserve">  </w:t>
      </w:r>
      <w:r w:rsidR="00951E34">
        <w:rPr>
          <w:rFonts w:ascii="Times New Roman" w:hAnsi="Times New Roman"/>
          <w:i/>
          <w:sz w:val="26"/>
          <w:szCs w:val="26"/>
        </w:rPr>
        <w:t xml:space="preserve">See </w:t>
      </w:r>
      <w:r w:rsidR="002F2404" w:rsidRPr="002F2404">
        <w:rPr>
          <w:rFonts w:ascii="Times New Roman" w:hAnsi="Times New Roman"/>
          <w:sz w:val="26"/>
          <w:szCs w:val="26"/>
        </w:rPr>
        <w:t>I.D. at 27-29.</w:t>
      </w:r>
    </w:p>
    <w:p w:rsidR="00B14349" w:rsidRDefault="00B14349" w:rsidP="002F2404">
      <w:pPr>
        <w:ind w:firstLine="1440"/>
        <w:rPr>
          <w:rFonts w:ascii="Times New Roman" w:hAnsi="Times New Roman"/>
          <w:sz w:val="26"/>
          <w:szCs w:val="26"/>
        </w:rPr>
      </w:pPr>
    </w:p>
    <w:p w:rsidR="002F2404" w:rsidRDefault="004E5C2B" w:rsidP="002F2404">
      <w:pPr>
        <w:ind w:firstLine="1440"/>
        <w:rPr>
          <w:rFonts w:ascii="Times New Roman" w:hAnsi="Times New Roman"/>
          <w:sz w:val="26"/>
          <w:szCs w:val="26"/>
        </w:rPr>
      </w:pPr>
      <w:r w:rsidRPr="004E5C2B">
        <w:rPr>
          <w:rFonts w:ascii="Times New Roman" w:hAnsi="Times New Roman"/>
          <w:sz w:val="26"/>
          <w:szCs w:val="26"/>
        </w:rPr>
        <w:t xml:space="preserve">First, Section 2802(14) declares </w:t>
      </w:r>
      <w:r w:rsidR="008407EC">
        <w:rPr>
          <w:rFonts w:ascii="Times New Roman" w:hAnsi="Times New Roman"/>
          <w:sz w:val="26"/>
          <w:szCs w:val="26"/>
        </w:rPr>
        <w:t xml:space="preserve">as </w:t>
      </w:r>
      <w:r w:rsidRPr="004E5C2B">
        <w:rPr>
          <w:rFonts w:ascii="Times New Roman" w:hAnsi="Times New Roman"/>
          <w:sz w:val="26"/>
          <w:szCs w:val="26"/>
        </w:rPr>
        <w:t xml:space="preserve">the policy of this Commonwealth not only </w:t>
      </w:r>
      <w:r w:rsidR="008407EC">
        <w:rPr>
          <w:rFonts w:ascii="Times New Roman" w:hAnsi="Times New Roman"/>
          <w:sz w:val="26"/>
          <w:szCs w:val="26"/>
        </w:rPr>
        <w:t xml:space="preserve">that EGSs must </w:t>
      </w:r>
      <w:r w:rsidRPr="004E5C2B">
        <w:rPr>
          <w:rFonts w:ascii="Times New Roman" w:hAnsi="Times New Roman"/>
          <w:sz w:val="26"/>
          <w:szCs w:val="26"/>
        </w:rPr>
        <w:t xml:space="preserve">obtain licenses and demonstrate financial responsibility, but also “comply with such other requirements concerning service as the commission deems necessary for the protection of the public.”  </w:t>
      </w:r>
      <w:proofErr w:type="gramStart"/>
      <w:r w:rsidRPr="004E5C2B">
        <w:rPr>
          <w:rFonts w:ascii="Times New Roman" w:hAnsi="Times New Roman"/>
          <w:sz w:val="26"/>
          <w:szCs w:val="26"/>
        </w:rPr>
        <w:t>66 Pa. C.S. § 2802(14)</w:t>
      </w:r>
      <w:r w:rsidR="002F2404">
        <w:rPr>
          <w:rFonts w:ascii="Times New Roman" w:hAnsi="Times New Roman"/>
          <w:sz w:val="26"/>
          <w:szCs w:val="26"/>
        </w:rPr>
        <w:t>.</w:t>
      </w:r>
      <w:proofErr w:type="gramEnd"/>
      <w:r w:rsidR="002F2404">
        <w:rPr>
          <w:rFonts w:ascii="Times New Roman" w:hAnsi="Times New Roman"/>
          <w:sz w:val="26"/>
          <w:szCs w:val="26"/>
        </w:rPr>
        <w:t xml:space="preserve">  </w:t>
      </w:r>
      <w:r w:rsidRPr="004E5C2B">
        <w:rPr>
          <w:rFonts w:ascii="Times New Roman" w:hAnsi="Times New Roman"/>
          <w:sz w:val="26"/>
          <w:szCs w:val="26"/>
        </w:rPr>
        <w:t>Th</w:t>
      </w:r>
      <w:r>
        <w:rPr>
          <w:rFonts w:ascii="Times New Roman" w:hAnsi="Times New Roman"/>
          <w:sz w:val="26"/>
          <w:szCs w:val="26"/>
        </w:rPr>
        <w:t xml:space="preserve">e General Assembly provided teeth to this </w:t>
      </w:r>
      <w:r w:rsidR="002F2404">
        <w:rPr>
          <w:rFonts w:ascii="Times New Roman" w:hAnsi="Times New Roman"/>
          <w:sz w:val="26"/>
          <w:szCs w:val="26"/>
        </w:rPr>
        <w:t>policy</w:t>
      </w:r>
      <w:r>
        <w:rPr>
          <w:rFonts w:ascii="Times New Roman" w:hAnsi="Times New Roman"/>
          <w:sz w:val="26"/>
          <w:szCs w:val="26"/>
        </w:rPr>
        <w:t xml:space="preserve">, setting forth </w:t>
      </w:r>
      <w:r w:rsidR="00951E34">
        <w:rPr>
          <w:rFonts w:ascii="Times New Roman" w:hAnsi="Times New Roman"/>
          <w:sz w:val="26"/>
          <w:szCs w:val="26"/>
        </w:rPr>
        <w:t xml:space="preserve">in </w:t>
      </w:r>
      <w:r>
        <w:rPr>
          <w:rFonts w:ascii="Times New Roman" w:hAnsi="Times New Roman"/>
          <w:sz w:val="26"/>
          <w:szCs w:val="26"/>
        </w:rPr>
        <w:t xml:space="preserve">the Competition Act provisions addressing </w:t>
      </w:r>
      <w:r w:rsidRPr="004E5C2B">
        <w:rPr>
          <w:rFonts w:ascii="Times New Roman" w:hAnsi="Times New Roman"/>
          <w:sz w:val="26"/>
          <w:szCs w:val="26"/>
        </w:rPr>
        <w:t xml:space="preserve">consumer protections, customer service, and </w:t>
      </w:r>
      <w:r w:rsidR="002F2404">
        <w:rPr>
          <w:rFonts w:ascii="Times New Roman" w:hAnsi="Times New Roman"/>
          <w:sz w:val="26"/>
          <w:szCs w:val="26"/>
        </w:rPr>
        <w:t xml:space="preserve">the </w:t>
      </w:r>
      <w:r>
        <w:rPr>
          <w:rFonts w:ascii="Times New Roman" w:hAnsi="Times New Roman"/>
          <w:sz w:val="26"/>
          <w:szCs w:val="26"/>
        </w:rPr>
        <w:t xml:space="preserve">mandate </w:t>
      </w:r>
      <w:r w:rsidR="002F2404">
        <w:rPr>
          <w:rFonts w:ascii="Times New Roman" w:hAnsi="Times New Roman"/>
          <w:sz w:val="26"/>
          <w:szCs w:val="26"/>
        </w:rPr>
        <w:t>that we “</w:t>
      </w:r>
      <w:r w:rsidRPr="004E5C2B">
        <w:rPr>
          <w:rFonts w:ascii="Times New Roman" w:hAnsi="Times New Roman"/>
          <w:sz w:val="26"/>
          <w:szCs w:val="26"/>
        </w:rPr>
        <w:t>establish regulations to require each . . . electricity supplier, marketer, aggregator and broker to provide adequate and accurate customer information to enable customers to make informed choices regarding the purchase of all electricity services offered by that provider</w:t>
      </w:r>
      <w:r w:rsidR="002F2404">
        <w:rPr>
          <w:rFonts w:ascii="Times New Roman" w:hAnsi="Times New Roman"/>
          <w:sz w:val="26"/>
          <w:szCs w:val="26"/>
        </w:rPr>
        <w:t>” and to do so with information to consumers that is “</w:t>
      </w:r>
      <w:r w:rsidRPr="004E5C2B">
        <w:rPr>
          <w:rFonts w:ascii="Times New Roman" w:hAnsi="Times New Roman"/>
          <w:sz w:val="26"/>
          <w:szCs w:val="26"/>
        </w:rPr>
        <w:t>in an understandable format that enables consumers to compare prices and services on a uniform basis</w:t>
      </w:r>
      <w:r w:rsidR="002F2404">
        <w:rPr>
          <w:rFonts w:ascii="Times New Roman" w:hAnsi="Times New Roman"/>
          <w:sz w:val="26"/>
          <w:szCs w:val="26"/>
        </w:rPr>
        <w:t xml:space="preserve">.”  </w:t>
      </w:r>
      <w:r w:rsidRPr="004E5C2B">
        <w:rPr>
          <w:rFonts w:ascii="Times New Roman" w:hAnsi="Times New Roman"/>
          <w:sz w:val="26"/>
          <w:szCs w:val="26"/>
        </w:rPr>
        <w:t>66</w:t>
      </w:r>
      <w:r w:rsidR="00B14349">
        <w:rPr>
          <w:rFonts w:ascii="Times New Roman" w:hAnsi="Times New Roman"/>
          <w:sz w:val="26"/>
          <w:szCs w:val="26"/>
        </w:rPr>
        <w:t> </w:t>
      </w:r>
      <w:r w:rsidRPr="004E5C2B">
        <w:rPr>
          <w:rFonts w:ascii="Times New Roman" w:hAnsi="Times New Roman"/>
          <w:sz w:val="26"/>
          <w:szCs w:val="26"/>
        </w:rPr>
        <w:t>Pa. C.S. § 280</w:t>
      </w:r>
      <w:r w:rsidR="002F2404">
        <w:rPr>
          <w:rFonts w:ascii="Times New Roman" w:hAnsi="Times New Roman"/>
          <w:sz w:val="26"/>
          <w:szCs w:val="26"/>
        </w:rPr>
        <w:t>7</w:t>
      </w:r>
      <w:r w:rsidRPr="004E5C2B">
        <w:rPr>
          <w:rFonts w:ascii="Times New Roman" w:hAnsi="Times New Roman"/>
          <w:sz w:val="26"/>
          <w:szCs w:val="26"/>
        </w:rPr>
        <w:t>(d</w:t>
      </w:r>
      <w:proofErr w:type="gramStart"/>
      <w:r w:rsidRPr="004E5C2B">
        <w:rPr>
          <w:rFonts w:ascii="Times New Roman" w:hAnsi="Times New Roman"/>
          <w:sz w:val="26"/>
          <w:szCs w:val="26"/>
        </w:rPr>
        <w:t>)(</w:t>
      </w:r>
      <w:proofErr w:type="gramEnd"/>
      <w:r w:rsidRPr="004E5C2B">
        <w:rPr>
          <w:rFonts w:ascii="Times New Roman" w:hAnsi="Times New Roman"/>
          <w:sz w:val="26"/>
          <w:szCs w:val="26"/>
        </w:rPr>
        <w:t xml:space="preserve">2).  </w:t>
      </w:r>
      <w:r w:rsidR="002F2404">
        <w:rPr>
          <w:rFonts w:ascii="Times New Roman" w:hAnsi="Times New Roman"/>
          <w:sz w:val="26"/>
          <w:szCs w:val="26"/>
        </w:rPr>
        <w:t>Further, Section</w:t>
      </w:r>
      <w:r w:rsidR="00951E34">
        <w:rPr>
          <w:rFonts w:ascii="Times New Roman" w:hAnsi="Times New Roman"/>
          <w:sz w:val="26"/>
          <w:szCs w:val="26"/>
        </w:rPr>
        <w:t xml:space="preserve"> </w:t>
      </w:r>
      <w:r w:rsidR="002F2404">
        <w:rPr>
          <w:rFonts w:ascii="Times New Roman" w:hAnsi="Times New Roman"/>
          <w:sz w:val="26"/>
          <w:szCs w:val="26"/>
        </w:rPr>
        <w:t>2809</w:t>
      </w:r>
      <w:r w:rsidR="00BB25F3">
        <w:rPr>
          <w:rFonts w:ascii="Times New Roman" w:hAnsi="Times New Roman"/>
          <w:sz w:val="26"/>
          <w:szCs w:val="26"/>
        </w:rPr>
        <w:t>(e)</w:t>
      </w:r>
      <w:r w:rsidR="002F2404">
        <w:rPr>
          <w:rFonts w:ascii="Times New Roman" w:hAnsi="Times New Roman"/>
          <w:sz w:val="26"/>
          <w:szCs w:val="26"/>
        </w:rPr>
        <w:t xml:space="preserve">, while vesting us with discretion to choose the weight of the regulatory hand we wield over the competitive market, nonetheless mandates that </w:t>
      </w:r>
      <w:r w:rsidR="00BB25F3">
        <w:rPr>
          <w:rFonts w:ascii="Times New Roman" w:hAnsi="Times New Roman"/>
          <w:sz w:val="26"/>
          <w:szCs w:val="26"/>
        </w:rPr>
        <w:t>“[i]</w:t>
      </w:r>
      <w:r w:rsidR="002F2404">
        <w:rPr>
          <w:rFonts w:ascii="Times New Roman" w:hAnsi="Times New Roman"/>
          <w:sz w:val="26"/>
          <w:szCs w:val="26"/>
        </w:rPr>
        <w:t xml:space="preserve">n regulating </w:t>
      </w:r>
      <w:r w:rsidR="00BB25F3">
        <w:rPr>
          <w:rFonts w:ascii="Times New Roman" w:hAnsi="Times New Roman"/>
          <w:sz w:val="26"/>
          <w:szCs w:val="26"/>
        </w:rPr>
        <w:t xml:space="preserve">the service of electric generation suppliers,” we impose standards that assure continued </w:t>
      </w:r>
      <w:r w:rsidR="00CA0CE0">
        <w:rPr>
          <w:rFonts w:ascii="Times New Roman" w:hAnsi="Times New Roman"/>
          <w:sz w:val="26"/>
          <w:szCs w:val="26"/>
        </w:rPr>
        <w:t>quality of electric service</w:t>
      </w:r>
      <w:r w:rsidR="00951E34">
        <w:rPr>
          <w:rFonts w:ascii="Times New Roman" w:hAnsi="Times New Roman"/>
          <w:sz w:val="26"/>
          <w:szCs w:val="26"/>
        </w:rPr>
        <w:t xml:space="preserve">.  </w:t>
      </w:r>
      <w:proofErr w:type="gramStart"/>
      <w:r w:rsidR="00951E34" w:rsidRPr="00951E34">
        <w:rPr>
          <w:rFonts w:ascii="Times New Roman" w:hAnsi="Times New Roman"/>
          <w:sz w:val="26"/>
          <w:szCs w:val="26"/>
        </w:rPr>
        <w:t>66 Pa. C.S. §</w:t>
      </w:r>
      <w:r w:rsidR="00B23BE6">
        <w:rPr>
          <w:rFonts w:ascii="Times New Roman" w:hAnsi="Times New Roman"/>
          <w:sz w:val="26"/>
          <w:szCs w:val="26"/>
        </w:rPr>
        <w:t> </w:t>
      </w:r>
      <w:r w:rsidR="00951E34" w:rsidRPr="00951E34">
        <w:rPr>
          <w:rFonts w:ascii="Times New Roman" w:hAnsi="Times New Roman"/>
          <w:sz w:val="26"/>
          <w:szCs w:val="26"/>
        </w:rPr>
        <w:t>2809(e)</w:t>
      </w:r>
      <w:r w:rsidR="00951E34">
        <w:rPr>
          <w:rFonts w:ascii="Times New Roman" w:hAnsi="Times New Roman"/>
          <w:sz w:val="26"/>
          <w:szCs w:val="26"/>
        </w:rPr>
        <w:t>.</w:t>
      </w:r>
      <w:proofErr w:type="gramEnd"/>
      <w:r w:rsidR="00951E34">
        <w:rPr>
          <w:rFonts w:ascii="Times New Roman" w:hAnsi="Times New Roman"/>
          <w:sz w:val="26"/>
          <w:szCs w:val="26"/>
        </w:rPr>
        <w:t xml:space="preserve">  And Section 2809(f)</w:t>
      </w:r>
      <w:r w:rsidR="00BB25F3">
        <w:rPr>
          <w:rFonts w:ascii="Times New Roman" w:hAnsi="Times New Roman"/>
          <w:sz w:val="26"/>
          <w:szCs w:val="26"/>
        </w:rPr>
        <w:t xml:space="preserve"> specifically reserv</w:t>
      </w:r>
      <w:r w:rsidR="00951E34">
        <w:rPr>
          <w:rFonts w:ascii="Times New Roman" w:hAnsi="Times New Roman"/>
          <w:sz w:val="26"/>
          <w:szCs w:val="26"/>
        </w:rPr>
        <w:t>es</w:t>
      </w:r>
      <w:r w:rsidR="00BB25F3">
        <w:rPr>
          <w:rFonts w:ascii="Times New Roman" w:hAnsi="Times New Roman"/>
          <w:sz w:val="26"/>
          <w:szCs w:val="26"/>
        </w:rPr>
        <w:t xml:space="preserve"> for application to EGSs the residential standards and billing practices in our Chapter 56 Regulations.  </w:t>
      </w:r>
      <w:proofErr w:type="gramStart"/>
      <w:r w:rsidR="00BB25F3">
        <w:rPr>
          <w:rFonts w:ascii="Times New Roman" w:hAnsi="Times New Roman"/>
          <w:sz w:val="26"/>
          <w:szCs w:val="26"/>
        </w:rPr>
        <w:t>66 Pa. C.S. §</w:t>
      </w:r>
      <w:r w:rsidR="00B23BE6">
        <w:rPr>
          <w:rFonts w:ascii="Times New Roman" w:hAnsi="Times New Roman"/>
          <w:sz w:val="26"/>
          <w:szCs w:val="26"/>
        </w:rPr>
        <w:t> </w:t>
      </w:r>
      <w:r w:rsidR="00BB25F3">
        <w:rPr>
          <w:rFonts w:ascii="Times New Roman" w:hAnsi="Times New Roman"/>
          <w:sz w:val="26"/>
          <w:szCs w:val="26"/>
        </w:rPr>
        <w:t>2809(</w:t>
      </w:r>
      <w:r w:rsidR="00E30E1E">
        <w:rPr>
          <w:rFonts w:ascii="Times New Roman" w:hAnsi="Times New Roman"/>
          <w:sz w:val="26"/>
          <w:szCs w:val="26"/>
        </w:rPr>
        <w:t>f).</w:t>
      </w:r>
      <w:proofErr w:type="gramEnd"/>
    </w:p>
    <w:p w:rsidR="002F2404" w:rsidRDefault="002F2404" w:rsidP="002F2404">
      <w:pPr>
        <w:ind w:firstLine="1440"/>
        <w:rPr>
          <w:rFonts w:ascii="Times New Roman" w:hAnsi="Times New Roman"/>
          <w:sz w:val="26"/>
          <w:szCs w:val="26"/>
        </w:rPr>
      </w:pPr>
    </w:p>
    <w:p w:rsidR="00241D49" w:rsidRDefault="00B23BE6" w:rsidP="002F2404">
      <w:pPr>
        <w:ind w:firstLine="1440"/>
        <w:rPr>
          <w:rFonts w:ascii="Times New Roman" w:hAnsi="Times New Roman"/>
          <w:sz w:val="26"/>
          <w:szCs w:val="26"/>
        </w:rPr>
      </w:pPr>
      <w:r>
        <w:rPr>
          <w:rFonts w:ascii="Times New Roman" w:hAnsi="Times New Roman"/>
          <w:sz w:val="26"/>
          <w:szCs w:val="26"/>
        </w:rPr>
        <w:t xml:space="preserve">In fulfillment of this mandate, in 1998 </w:t>
      </w:r>
      <w:r w:rsidR="006E77DF" w:rsidRPr="006E77DF">
        <w:rPr>
          <w:rFonts w:ascii="Times New Roman" w:hAnsi="Times New Roman"/>
          <w:sz w:val="26"/>
          <w:szCs w:val="26"/>
        </w:rPr>
        <w:t xml:space="preserve">under authority, </w:t>
      </w:r>
      <w:r w:rsidR="006E77DF" w:rsidRPr="006E77DF">
        <w:rPr>
          <w:rFonts w:ascii="Times New Roman" w:hAnsi="Times New Roman"/>
          <w:i/>
          <w:sz w:val="26"/>
          <w:szCs w:val="26"/>
        </w:rPr>
        <w:t>inter alia</w:t>
      </w:r>
      <w:r w:rsidR="006E77DF" w:rsidRPr="006E77DF">
        <w:rPr>
          <w:rFonts w:ascii="Times New Roman" w:hAnsi="Times New Roman"/>
          <w:sz w:val="26"/>
          <w:szCs w:val="26"/>
        </w:rPr>
        <w:t>, of Sections 501 and 2807 of the Code</w:t>
      </w:r>
      <w:r w:rsidR="00B14349">
        <w:rPr>
          <w:rFonts w:ascii="Times New Roman" w:hAnsi="Times New Roman"/>
          <w:sz w:val="26"/>
          <w:szCs w:val="26"/>
        </w:rPr>
        <w:t>,</w:t>
      </w:r>
      <w:r w:rsidR="006E77DF" w:rsidRPr="006E77DF">
        <w:rPr>
          <w:rFonts w:ascii="Times New Roman" w:hAnsi="Times New Roman"/>
          <w:sz w:val="26"/>
          <w:szCs w:val="26"/>
        </w:rPr>
        <w:t xml:space="preserve"> </w:t>
      </w:r>
      <w:r>
        <w:rPr>
          <w:rFonts w:ascii="Times New Roman" w:hAnsi="Times New Roman"/>
          <w:sz w:val="26"/>
          <w:szCs w:val="26"/>
        </w:rPr>
        <w:t>we enacted our electricity customer choice Regulations codified in Chapter 54</w:t>
      </w:r>
      <w:r w:rsidR="008407EC">
        <w:rPr>
          <w:rFonts w:ascii="Times New Roman" w:hAnsi="Times New Roman"/>
          <w:sz w:val="26"/>
          <w:szCs w:val="26"/>
        </w:rPr>
        <w:t xml:space="preserve"> of 52 Pa. Code</w:t>
      </w:r>
      <w:r>
        <w:rPr>
          <w:rFonts w:ascii="Times New Roman" w:hAnsi="Times New Roman"/>
          <w:sz w:val="26"/>
          <w:szCs w:val="26"/>
        </w:rPr>
        <w:t xml:space="preserve">.  </w:t>
      </w:r>
      <w:r w:rsidR="00E30E1E">
        <w:rPr>
          <w:rFonts w:ascii="Times New Roman" w:hAnsi="Times New Roman"/>
          <w:sz w:val="26"/>
          <w:szCs w:val="26"/>
        </w:rPr>
        <w:t>In 2010, as electric generation rate caps began to expire</w:t>
      </w:r>
      <w:r w:rsidR="00CA0CE0">
        <w:rPr>
          <w:rFonts w:ascii="Times New Roman" w:hAnsi="Times New Roman"/>
          <w:sz w:val="26"/>
          <w:szCs w:val="26"/>
        </w:rPr>
        <w:t xml:space="preserve"> and our competitive retail market expanded</w:t>
      </w:r>
      <w:r w:rsidR="00E30E1E">
        <w:rPr>
          <w:rFonts w:ascii="Times New Roman" w:hAnsi="Times New Roman"/>
          <w:sz w:val="26"/>
          <w:szCs w:val="26"/>
        </w:rPr>
        <w:t xml:space="preserve">, </w:t>
      </w:r>
      <w:r w:rsidR="00CA0CE0">
        <w:rPr>
          <w:rFonts w:ascii="Times New Roman" w:hAnsi="Times New Roman"/>
          <w:sz w:val="26"/>
          <w:szCs w:val="26"/>
        </w:rPr>
        <w:t xml:space="preserve">we undertook </w:t>
      </w:r>
      <w:r w:rsidR="00241D49">
        <w:rPr>
          <w:rFonts w:ascii="Times New Roman" w:hAnsi="Times New Roman"/>
          <w:sz w:val="26"/>
          <w:szCs w:val="26"/>
        </w:rPr>
        <w:t xml:space="preserve">a </w:t>
      </w:r>
      <w:r w:rsidR="00CA0CE0">
        <w:rPr>
          <w:rFonts w:ascii="Times New Roman" w:hAnsi="Times New Roman"/>
          <w:sz w:val="26"/>
          <w:szCs w:val="26"/>
        </w:rPr>
        <w:t xml:space="preserve">further </w:t>
      </w:r>
      <w:r w:rsidR="00241D49">
        <w:rPr>
          <w:rFonts w:ascii="Times New Roman" w:hAnsi="Times New Roman"/>
          <w:sz w:val="26"/>
          <w:szCs w:val="26"/>
        </w:rPr>
        <w:t xml:space="preserve">examination of the competitive market to </w:t>
      </w:r>
      <w:r w:rsidR="006E77DF">
        <w:rPr>
          <w:rFonts w:ascii="Times New Roman" w:hAnsi="Times New Roman"/>
          <w:sz w:val="26"/>
          <w:szCs w:val="26"/>
        </w:rPr>
        <w:t>assess the</w:t>
      </w:r>
      <w:r w:rsidR="00241D49">
        <w:rPr>
          <w:rFonts w:ascii="Times New Roman" w:hAnsi="Times New Roman"/>
          <w:sz w:val="26"/>
          <w:szCs w:val="26"/>
        </w:rPr>
        <w:t xml:space="preserve"> need to address previously unfamiliar marketing strategies and sales techniques involving </w:t>
      </w:r>
      <w:r w:rsidR="00CA0CE0">
        <w:rPr>
          <w:rFonts w:ascii="Times New Roman" w:hAnsi="Times New Roman"/>
          <w:sz w:val="26"/>
          <w:szCs w:val="26"/>
        </w:rPr>
        <w:t xml:space="preserve">door-to-door and telemarketing sales.  </w:t>
      </w:r>
      <w:r w:rsidR="00BB018F">
        <w:rPr>
          <w:rFonts w:ascii="Times New Roman" w:hAnsi="Times New Roman"/>
          <w:sz w:val="26"/>
          <w:szCs w:val="26"/>
        </w:rPr>
        <w:t xml:space="preserve">We proceeded to </w:t>
      </w:r>
      <w:r w:rsidR="00241D49">
        <w:rPr>
          <w:rFonts w:ascii="Times New Roman" w:hAnsi="Times New Roman"/>
          <w:sz w:val="26"/>
          <w:szCs w:val="26"/>
        </w:rPr>
        <w:t xml:space="preserve">establish regulatory guidelines </w:t>
      </w:r>
      <w:r w:rsidR="006E77DF">
        <w:rPr>
          <w:rFonts w:ascii="Times New Roman" w:hAnsi="Times New Roman"/>
          <w:sz w:val="26"/>
          <w:szCs w:val="26"/>
        </w:rPr>
        <w:t xml:space="preserve">that </w:t>
      </w:r>
      <w:r w:rsidR="00241D49">
        <w:rPr>
          <w:rFonts w:ascii="Times New Roman" w:hAnsi="Times New Roman"/>
          <w:sz w:val="26"/>
          <w:szCs w:val="26"/>
        </w:rPr>
        <w:t>serve</w:t>
      </w:r>
      <w:r w:rsidR="006E77DF">
        <w:rPr>
          <w:rFonts w:ascii="Times New Roman" w:hAnsi="Times New Roman"/>
          <w:sz w:val="26"/>
          <w:szCs w:val="26"/>
        </w:rPr>
        <w:t>d</w:t>
      </w:r>
      <w:r w:rsidR="00241D49">
        <w:rPr>
          <w:rFonts w:ascii="Times New Roman" w:hAnsi="Times New Roman"/>
          <w:sz w:val="26"/>
          <w:szCs w:val="26"/>
        </w:rPr>
        <w:t xml:space="preserve"> as a code of conduct </w:t>
      </w:r>
      <w:r w:rsidR="006E77DF">
        <w:rPr>
          <w:rFonts w:ascii="Times New Roman" w:hAnsi="Times New Roman"/>
          <w:sz w:val="26"/>
          <w:szCs w:val="26"/>
        </w:rPr>
        <w:t xml:space="preserve">until the </w:t>
      </w:r>
      <w:r w:rsidR="006E77DF">
        <w:rPr>
          <w:rFonts w:ascii="Times New Roman" w:hAnsi="Times New Roman"/>
          <w:sz w:val="26"/>
          <w:szCs w:val="26"/>
        </w:rPr>
        <w:lastRenderedPageBreak/>
        <w:t xml:space="preserve">further amendment of our </w:t>
      </w:r>
      <w:r w:rsidR="00241D49">
        <w:rPr>
          <w:rFonts w:ascii="Times New Roman" w:hAnsi="Times New Roman"/>
          <w:sz w:val="26"/>
          <w:szCs w:val="26"/>
        </w:rPr>
        <w:t xml:space="preserve">Regulations </w:t>
      </w:r>
      <w:r w:rsidR="006E77DF">
        <w:rPr>
          <w:rFonts w:ascii="Times New Roman" w:hAnsi="Times New Roman"/>
          <w:sz w:val="26"/>
          <w:szCs w:val="26"/>
        </w:rPr>
        <w:t xml:space="preserve">through the addition of </w:t>
      </w:r>
      <w:r w:rsidR="00241D49">
        <w:rPr>
          <w:rFonts w:ascii="Times New Roman" w:hAnsi="Times New Roman"/>
          <w:sz w:val="26"/>
          <w:szCs w:val="26"/>
        </w:rPr>
        <w:t xml:space="preserve">Chapter 111 </w:t>
      </w:r>
      <w:r w:rsidR="00B14349">
        <w:rPr>
          <w:rFonts w:ascii="Times New Roman" w:hAnsi="Times New Roman"/>
          <w:sz w:val="26"/>
          <w:szCs w:val="26"/>
        </w:rPr>
        <w:t>to</w:t>
      </w:r>
      <w:r w:rsidR="00241D49">
        <w:rPr>
          <w:rFonts w:ascii="Times New Roman" w:hAnsi="Times New Roman"/>
          <w:sz w:val="26"/>
          <w:szCs w:val="26"/>
        </w:rPr>
        <w:t xml:space="preserve"> </w:t>
      </w:r>
      <w:r w:rsidR="00B14349">
        <w:rPr>
          <w:rFonts w:ascii="Times New Roman" w:hAnsi="Times New Roman"/>
          <w:sz w:val="26"/>
          <w:szCs w:val="26"/>
        </w:rPr>
        <w:t xml:space="preserve">Title </w:t>
      </w:r>
      <w:r w:rsidR="00241D49">
        <w:rPr>
          <w:rFonts w:ascii="Times New Roman" w:hAnsi="Times New Roman"/>
          <w:sz w:val="26"/>
          <w:szCs w:val="26"/>
        </w:rPr>
        <w:t xml:space="preserve">52 </w:t>
      </w:r>
      <w:r w:rsidR="00B14349">
        <w:rPr>
          <w:rFonts w:ascii="Times New Roman" w:hAnsi="Times New Roman"/>
          <w:sz w:val="26"/>
          <w:szCs w:val="26"/>
        </w:rPr>
        <w:t xml:space="preserve">of the </w:t>
      </w:r>
      <w:r w:rsidR="00241D49">
        <w:rPr>
          <w:rFonts w:ascii="Times New Roman" w:hAnsi="Times New Roman"/>
          <w:sz w:val="26"/>
          <w:szCs w:val="26"/>
        </w:rPr>
        <w:t>P</w:t>
      </w:r>
      <w:r w:rsidR="00B14349">
        <w:rPr>
          <w:rFonts w:ascii="Times New Roman" w:hAnsi="Times New Roman"/>
          <w:sz w:val="26"/>
          <w:szCs w:val="26"/>
        </w:rPr>
        <w:t>ennsylvani</w:t>
      </w:r>
      <w:r w:rsidR="00241D49">
        <w:rPr>
          <w:rFonts w:ascii="Times New Roman" w:hAnsi="Times New Roman"/>
          <w:sz w:val="26"/>
          <w:szCs w:val="26"/>
        </w:rPr>
        <w:t>a Code</w:t>
      </w:r>
      <w:r w:rsidR="00BB018F">
        <w:rPr>
          <w:rFonts w:ascii="Times New Roman" w:hAnsi="Times New Roman"/>
          <w:sz w:val="26"/>
          <w:szCs w:val="26"/>
        </w:rPr>
        <w:t>.  We noted o</w:t>
      </w:r>
      <w:r w:rsidR="00241D49">
        <w:rPr>
          <w:rFonts w:ascii="Times New Roman" w:hAnsi="Times New Roman"/>
          <w:sz w:val="26"/>
          <w:szCs w:val="26"/>
        </w:rPr>
        <w:t>ur concern then</w:t>
      </w:r>
      <w:r w:rsidR="00BB018F">
        <w:rPr>
          <w:rFonts w:ascii="Times New Roman" w:hAnsi="Times New Roman"/>
          <w:sz w:val="26"/>
          <w:szCs w:val="26"/>
        </w:rPr>
        <w:t xml:space="preserve"> as follows:</w:t>
      </w:r>
    </w:p>
    <w:p w:rsidR="006E77DF" w:rsidRDefault="006E77DF" w:rsidP="006E77DF">
      <w:pPr>
        <w:rPr>
          <w:rFonts w:ascii="Times New Roman" w:hAnsi="Times New Roman"/>
          <w:sz w:val="26"/>
          <w:szCs w:val="26"/>
        </w:rPr>
      </w:pPr>
    </w:p>
    <w:p w:rsidR="006E77DF" w:rsidRDefault="006E77DF" w:rsidP="006E77DF">
      <w:pPr>
        <w:spacing w:line="240" w:lineRule="auto"/>
        <w:ind w:left="1440" w:right="1440" w:firstLine="1440"/>
        <w:rPr>
          <w:rFonts w:ascii="Times New Roman" w:hAnsi="Times New Roman"/>
          <w:bCs/>
          <w:sz w:val="26"/>
          <w:szCs w:val="26"/>
          <w:lang w:bidi="en-US"/>
        </w:rPr>
      </w:pPr>
      <w:r w:rsidRPr="006E77DF">
        <w:rPr>
          <w:rFonts w:ascii="Times New Roman" w:hAnsi="Times New Roman"/>
          <w:bCs/>
          <w:sz w:val="26"/>
          <w:szCs w:val="26"/>
          <w:lang w:bidi="en-US"/>
        </w:rPr>
        <w:t>These guidelines are intended to facilitate the effective operation of a vigorous, dynamic, yet fair, competitive residential energy market, to the benefit of consumers, [suppliers, and distribution companies] alike.  A competitive energy market can provide a positive experience for all consumers.  Suppliers are expected to conduct themselves with these expectations in mind so that their sales and marketing activities do not call into question the fairness and integrity of the competitive market.  Anything that damages the reputation of the competitive market harms not only consumers, but also all suppliers participating in the market</w:t>
      </w:r>
      <w:r>
        <w:rPr>
          <w:rFonts w:ascii="Times New Roman" w:hAnsi="Times New Roman"/>
          <w:bCs/>
          <w:sz w:val="26"/>
          <w:szCs w:val="26"/>
          <w:lang w:bidi="en-US"/>
        </w:rPr>
        <w:t>.</w:t>
      </w:r>
    </w:p>
    <w:p w:rsidR="00B14349" w:rsidRDefault="00B14349" w:rsidP="00F531DC">
      <w:pPr>
        <w:ind w:left="1440" w:right="1440" w:firstLine="1440"/>
        <w:rPr>
          <w:rFonts w:ascii="Times New Roman" w:hAnsi="Times New Roman"/>
          <w:sz w:val="26"/>
          <w:szCs w:val="26"/>
        </w:rPr>
      </w:pPr>
    </w:p>
    <w:p w:rsidR="006E77DF" w:rsidRPr="005F00CB" w:rsidRDefault="006E77DF" w:rsidP="006E77DF">
      <w:pPr>
        <w:rPr>
          <w:rFonts w:ascii="Times New Roman" w:hAnsi="Times New Roman"/>
          <w:bCs/>
          <w:sz w:val="26"/>
          <w:szCs w:val="26"/>
          <w:lang w:bidi="en-US"/>
        </w:rPr>
      </w:pPr>
      <w:r w:rsidRPr="006E77DF">
        <w:rPr>
          <w:rFonts w:ascii="Times New Roman" w:hAnsi="Times New Roman"/>
          <w:bCs/>
          <w:i/>
          <w:sz w:val="26"/>
          <w:szCs w:val="26"/>
          <w:lang w:bidi="en-US"/>
        </w:rPr>
        <w:t>Interim Guidelines on Marketing and Sales Practices for Electric Generation Suppliers and Natural Gas Suppliers</w:t>
      </w:r>
      <w:r w:rsidRPr="006E77DF">
        <w:rPr>
          <w:rFonts w:ascii="Times New Roman" w:hAnsi="Times New Roman"/>
          <w:bCs/>
          <w:sz w:val="26"/>
          <w:szCs w:val="26"/>
          <w:lang w:bidi="en-US"/>
        </w:rPr>
        <w:t>, Docket No. M-2010-2185981 (Order entered November 5, 2010) (</w:t>
      </w:r>
      <w:r w:rsidRPr="006E77DF">
        <w:rPr>
          <w:rFonts w:ascii="Times New Roman" w:hAnsi="Times New Roman"/>
          <w:bCs/>
          <w:i/>
          <w:sz w:val="26"/>
          <w:szCs w:val="26"/>
          <w:lang w:bidi="en-US"/>
        </w:rPr>
        <w:t>2010 Interim Guidelines</w:t>
      </w:r>
      <w:r w:rsidRPr="006E77DF">
        <w:rPr>
          <w:rFonts w:ascii="Times New Roman" w:hAnsi="Times New Roman"/>
          <w:bCs/>
          <w:sz w:val="26"/>
          <w:szCs w:val="26"/>
          <w:lang w:bidi="en-US"/>
        </w:rPr>
        <w:t>)</w:t>
      </w:r>
      <w:r>
        <w:rPr>
          <w:rFonts w:ascii="Times New Roman" w:hAnsi="Times New Roman"/>
          <w:bCs/>
          <w:sz w:val="26"/>
          <w:szCs w:val="26"/>
          <w:lang w:bidi="en-US"/>
        </w:rPr>
        <w:t>, Annex A at 1</w:t>
      </w:r>
      <w:r w:rsidRPr="006E77DF">
        <w:rPr>
          <w:rFonts w:ascii="Times New Roman" w:hAnsi="Times New Roman"/>
          <w:bCs/>
          <w:sz w:val="26"/>
          <w:szCs w:val="26"/>
          <w:lang w:bidi="en-US"/>
        </w:rPr>
        <w:t xml:space="preserve">.  </w:t>
      </w:r>
      <w:r w:rsidR="00712A87">
        <w:rPr>
          <w:rFonts w:ascii="Times New Roman" w:hAnsi="Times New Roman"/>
          <w:bCs/>
          <w:sz w:val="26"/>
          <w:szCs w:val="26"/>
          <w:lang w:bidi="en-US"/>
        </w:rPr>
        <w:t xml:space="preserve">Perhaps prescient of </w:t>
      </w:r>
      <w:r w:rsidR="005F00CB">
        <w:rPr>
          <w:rFonts w:ascii="Times New Roman" w:hAnsi="Times New Roman"/>
          <w:bCs/>
          <w:sz w:val="26"/>
          <w:szCs w:val="26"/>
          <w:lang w:bidi="en-US"/>
        </w:rPr>
        <w:t xml:space="preserve">challenges </w:t>
      </w:r>
      <w:r w:rsidR="00712A87">
        <w:rPr>
          <w:rFonts w:ascii="Times New Roman" w:hAnsi="Times New Roman"/>
          <w:bCs/>
          <w:sz w:val="26"/>
          <w:szCs w:val="26"/>
          <w:lang w:bidi="en-US"/>
        </w:rPr>
        <w:t xml:space="preserve">yet to </w:t>
      </w:r>
      <w:r w:rsidR="005F00CB">
        <w:rPr>
          <w:rFonts w:ascii="Times New Roman" w:hAnsi="Times New Roman"/>
          <w:bCs/>
          <w:sz w:val="26"/>
          <w:szCs w:val="26"/>
          <w:lang w:bidi="en-US"/>
        </w:rPr>
        <w:t>unfold</w:t>
      </w:r>
      <w:r w:rsidR="00712A87">
        <w:rPr>
          <w:rFonts w:ascii="Times New Roman" w:hAnsi="Times New Roman"/>
          <w:bCs/>
          <w:sz w:val="26"/>
          <w:szCs w:val="26"/>
          <w:lang w:bidi="en-US"/>
        </w:rPr>
        <w:t>, we cautioned all stakeholders to use good judgment</w:t>
      </w:r>
      <w:r w:rsidR="005F00CB">
        <w:rPr>
          <w:rFonts w:ascii="Times New Roman" w:hAnsi="Times New Roman"/>
          <w:bCs/>
          <w:sz w:val="26"/>
          <w:szCs w:val="26"/>
          <w:lang w:bidi="en-US"/>
        </w:rPr>
        <w:t xml:space="preserve"> because “[w]hile these guidelines were important, they (could) not address all of the possible issues that may arise when suppliers or their sales agents or marketing agents interact with customers.”  </w:t>
      </w:r>
      <w:r w:rsidR="005F00CB">
        <w:rPr>
          <w:rFonts w:ascii="Times New Roman" w:hAnsi="Times New Roman"/>
          <w:bCs/>
          <w:i/>
          <w:sz w:val="26"/>
          <w:szCs w:val="26"/>
          <w:lang w:bidi="en-US"/>
        </w:rPr>
        <w:t>Id.</w:t>
      </w:r>
      <w:r w:rsidR="00712A87">
        <w:rPr>
          <w:rFonts w:ascii="Times New Roman" w:hAnsi="Times New Roman"/>
          <w:bCs/>
          <w:sz w:val="26"/>
          <w:szCs w:val="26"/>
          <w:lang w:bidi="en-US"/>
        </w:rPr>
        <w:t xml:space="preserve"> </w:t>
      </w:r>
      <w:r w:rsidR="005F00CB">
        <w:rPr>
          <w:rFonts w:ascii="Times New Roman" w:hAnsi="Times New Roman"/>
          <w:bCs/>
          <w:sz w:val="26"/>
          <w:szCs w:val="26"/>
          <w:lang w:bidi="en-US"/>
        </w:rPr>
        <w:t xml:space="preserve"> In response to one party’s challenge to our ability to enforce the guidelines prior to their enactment as Regulations, we also forewarned stakeholders that full compliance was expected and penalties would be imposed “as required.”  </w:t>
      </w:r>
      <w:proofErr w:type="gramStart"/>
      <w:r w:rsidR="005F00CB" w:rsidRPr="005F00CB">
        <w:rPr>
          <w:rFonts w:ascii="Times New Roman" w:hAnsi="Times New Roman"/>
          <w:bCs/>
          <w:i/>
          <w:sz w:val="26"/>
          <w:szCs w:val="26"/>
          <w:lang w:bidi="en-US"/>
        </w:rPr>
        <w:t>2010 Interim Guidelines</w:t>
      </w:r>
      <w:r w:rsidR="005F00CB">
        <w:rPr>
          <w:rFonts w:ascii="Times New Roman" w:hAnsi="Times New Roman"/>
          <w:bCs/>
          <w:i/>
          <w:sz w:val="26"/>
          <w:szCs w:val="26"/>
          <w:lang w:bidi="en-US"/>
        </w:rPr>
        <w:t xml:space="preserve"> </w:t>
      </w:r>
      <w:r w:rsidR="005F00CB">
        <w:rPr>
          <w:rFonts w:ascii="Times New Roman" w:hAnsi="Times New Roman"/>
          <w:bCs/>
          <w:sz w:val="26"/>
          <w:szCs w:val="26"/>
          <w:lang w:bidi="en-US"/>
        </w:rPr>
        <w:t>at 11.</w:t>
      </w:r>
      <w:proofErr w:type="gramEnd"/>
    </w:p>
    <w:p w:rsidR="00241D49" w:rsidRDefault="00241D49" w:rsidP="002F2404">
      <w:pPr>
        <w:ind w:firstLine="1440"/>
        <w:rPr>
          <w:rFonts w:ascii="Times New Roman" w:hAnsi="Times New Roman"/>
          <w:sz w:val="26"/>
          <w:szCs w:val="26"/>
        </w:rPr>
      </w:pPr>
    </w:p>
    <w:p w:rsidR="00BB018F" w:rsidRDefault="00A01ED7" w:rsidP="002F2404">
      <w:pPr>
        <w:ind w:firstLine="1440"/>
        <w:rPr>
          <w:rFonts w:ascii="Times New Roman" w:hAnsi="Times New Roman"/>
          <w:sz w:val="26"/>
          <w:szCs w:val="26"/>
        </w:rPr>
      </w:pPr>
      <w:r>
        <w:rPr>
          <w:rFonts w:ascii="Times New Roman" w:hAnsi="Times New Roman"/>
          <w:sz w:val="26"/>
          <w:szCs w:val="26"/>
        </w:rPr>
        <w:t xml:space="preserve">The boundaries of the regulatory discretion we would exert over the </w:t>
      </w:r>
      <w:r w:rsidR="00BB018F">
        <w:rPr>
          <w:rFonts w:ascii="Times New Roman" w:hAnsi="Times New Roman"/>
          <w:sz w:val="26"/>
          <w:szCs w:val="26"/>
        </w:rPr>
        <w:t xml:space="preserve">competitive market continued to be tested in the period of highly volatile variable pricing following the polar vortex weather effects in the winter of 2014.  The market challenge </w:t>
      </w:r>
      <w:r>
        <w:rPr>
          <w:rFonts w:ascii="Times New Roman" w:hAnsi="Times New Roman"/>
          <w:sz w:val="26"/>
          <w:szCs w:val="26"/>
        </w:rPr>
        <w:t>we addressed then was the appropriate remedy to afford consumers whose competitive choices were induced through deceptive marketing rather than the “</w:t>
      </w:r>
      <w:r w:rsidRPr="00A01ED7">
        <w:rPr>
          <w:rFonts w:ascii="Times New Roman" w:hAnsi="Times New Roman"/>
          <w:sz w:val="26"/>
          <w:szCs w:val="26"/>
        </w:rPr>
        <w:t xml:space="preserve">adequate and accurate customer information to enable customers to make informed choices regarding the purchase of all electricity services offered by that provider” </w:t>
      </w:r>
      <w:r>
        <w:rPr>
          <w:rFonts w:ascii="Times New Roman" w:hAnsi="Times New Roman"/>
          <w:sz w:val="26"/>
          <w:szCs w:val="26"/>
        </w:rPr>
        <w:t xml:space="preserve">as required in </w:t>
      </w:r>
      <w:r>
        <w:rPr>
          <w:rFonts w:ascii="Times New Roman" w:hAnsi="Times New Roman"/>
          <w:sz w:val="26"/>
          <w:szCs w:val="26"/>
        </w:rPr>
        <w:lastRenderedPageBreak/>
        <w:t>Section</w:t>
      </w:r>
      <w:r w:rsidR="009E180E">
        <w:rPr>
          <w:rFonts w:ascii="Times New Roman" w:hAnsi="Times New Roman"/>
          <w:sz w:val="26"/>
          <w:szCs w:val="26"/>
        </w:rPr>
        <w:t> </w:t>
      </w:r>
      <w:r>
        <w:rPr>
          <w:rFonts w:ascii="Times New Roman" w:hAnsi="Times New Roman"/>
          <w:sz w:val="26"/>
          <w:szCs w:val="26"/>
        </w:rPr>
        <w:t xml:space="preserve">2807(d)(2) of the Competition Act.  </w:t>
      </w:r>
      <w:r w:rsidR="0075370F" w:rsidRPr="0075370F">
        <w:rPr>
          <w:rFonts w:ascii="Times New Roman" w:hAnsi="Times New Roman"/>
          <w:sz w:val="26"/>
          <w:szCs w:val="26"/>
        </w:rPr>
        <w:t xml:space="preserve">As we stated </w:t>
      </w:r>
      <w:r w:rsidR="00BB018F">
        <w:rPr>
          <w:rFonts w:ascii="Times New Roman" w:hAnsi="Times New Roman"/>
          <w:sz w:val="26"/>
          <w:szCs w:val="26"/>
        </w:rPr>
        <w:t xml:space="preserve">in </w:t>
      </w:r>
      <w:r w:rsidR="00BB018F" w:rsidRPr="00A01ED7">
        <w:rPr>
          <w:rFonts w:ascii="Times New Roman" w:hAnsi="Times New Roman"/>
          <w:i/>
          <w:sz w:val="26"/>
          <w:szCs w:val="26"/>
        </w:rPr>
        <w:t>IDT</w:t>
      </w:r>
      <w:r w:rsidRPr="00A01ED7">
        <w:rPr>
          <w:rFonts w:ascii="Times New Roman" w:hAnsi="Times New Roman"/>
          <w:i/>
          <w:sz w:val="26"/>
          <w:szCs w:val="26"/>
        </w:rPr>
        <w:t xml:space="preserve"> Material Question</w:t>
      </w:r>
      <w:r w:rsidR="0075370F" w:rsidRPr="0075370F">
        <w:rPr>
          <w:rFonts w:ascii="Times New Roman" w:hAnsi="Times New Roman"/>
          <w:sz w:val="26"/>
          <w:szCs w:val="26"/>
        </w:rPr>
        <w:t xml:space="preserve">, “[h]aving the authority to order EGS credits and/or refunds carries out these statutorily-prescribed consumer protections (under Section 2809(b) of the Electric Competition Act and Chapter 54 of our Regulations) by ensuring that electric generation supply bills are adjusted accordingly when an EGS, </w:t>
      </w:r>
      <w:r w:rsidR="0075370F" w:rsidRPr="00E07B90">
        <w:rPr>
          <w:rFonts w:ascii="Times New Roman" w:hAnsi="Times New Roman"/>
          <w:sz w:val="26"/>
          <w:szCs w:val="26"/>
        </w:rPr>
        <w:t>for example</w:t>
      </w:r>
      <w:r w:rsidR="0075370F" w:rsidRPr="0075370F">
        <w:rPr>
          <w:rFonts w:ascii="Times New Roman" w:hAnsi="Times New Roman"/>
          <w:sz w:val="26"/>
          <w:szCs w:val="26"/>
        </w:rPr>
        <w:t xml:space="preserve">, fails to bill a customer in accordance with its disclosure statement.”  </w:t>
      </w:r>
      <w:r w:rsidR="0075370F" w:rsidRPr="0075370F">
        <w:rPr>
          <w:rFonts w:ascii="Times New Roman" w:hAnsi="Times New Roman"/>
          <w:i/>
          <w:sz w:val="26"/>
          <w:szCs w:val="26"/>
        </w:rPr>
        <w:t xml:space="preserve">IDT </w:t>
      </w:r>
      <w:r w:rsidR="00E07B90">
        <w:rPr>
          <w:rFonts w:ascii="Times New Roman" w:hAnsi="Times New Roman"/>
          <w:i/>
          <w:sz w:val="26"/>
          <w:szCs w:val="26"/>
        </w:rPr>
        <w:t>Material Question</w:t>
      </w:r>
      <w:r w:rsidR="0075370F" w:rsidRPr="0075370F">
        <w:rPr>
          <w:rFonts w:ascii="Times New Roman" w:hAnsi="Times New Roman"/>
          <w:sz w:val="26"/>
          <w:szCs w:val="26"/>
        </w:rPr>
        <w:t xml:space="preserve"> at 17-18.  </w:t>
      </w:r>
      <w:r w:rsidR="00E07B90">
        <w:rPr>
          <w:rFonts w:ascii="Times New Roman" w:hAnsi="Times New Roman"/>
          <w:sz w:val="26"/>
          <w:szCs w:val="26"/>
        </w:rPr>
        <w:t>W</w:t>
      </w:r>
      <w:r w:rsidR="0075370F" w:rsidRPr="0075370F">
        <w:rPr>
          <w:rFonts w:ascii="Times New Roman" w:hAnsi="Times New Roman"/>
          <w:sz w:val="26"/>
          <w:szCs w:val="26"/>
        </w:rPr>
        <w:t>e concluded there</w:t>
      </w:r>
      <w:r w:rsidR="00E07B90">
        <w:rPr>
          <w:rFonts w:ascii="Times New Roman" w:hAnsi="Times New Roman"/>
          <w:sz w:val="26"/>
          <w:szCs w:val="26"/>
        </w:rPr>
        <w:t xml:space="preserve"> that </w:t>
      </w:r>
      <w:r w:rsidR="0075370F" w:rsidRPr="0075370F">
        <w:rPr>
          <w:rFonts w:ascii="Times New Roman" w:hAnsi="Times New Roman"/>
          <w:sz w:val="26"/>
          <w:szCs w:val="26"/>
        </w:rPr>
        <w:t>our plenary authority under Section 501(a) of the Code</w:t>
      </w:r>
      <w:r w:rsidR="00E07B90">
        <w:rPr>
          <w:rFonts w:ascii="Times New Roman" w:hAnsi="Times New Roman"/>
          <w:sz w:val="26"/>
          <w:szCs w:val="26"/>
        </w:rPr>
        <w:t>, and without reliance on Section 1312,</w:t>
      </w:r>
      <w:r w:rsidR="0075370F" w:rsidRPr="0075370F">
        <w:rPr>
          <w:rFonts w:ascii="Times New Roman" w:hAnsi="Times New Roman"/>
          <w:sz w:val="26"/>
          <w:szCs w:val="26"/>
        </w:rPr>
        <w:t xml:space="preserve"> includes directing an EGS to issue a credit or refund for an overbill in “appropriate circumstances.”</w:t>
      </w:r>
      <w:r w:rsidR="00E07B90">
        <w:rPr>
          <w:rFonts w:ascii="Times New Roman" w:hAnsi="Times New Roman"/>
          <w:sz w:val="26"/>
          <w:szCs w:val="26"/>
        </w:rPr>
        <w:t xml:space="preserve">  </w:t>
      </w:r>
      <w:proofErr w:type="gramStart"/>
      <w:r w:rsidR="00E07B90">
        <w:rPr>
          <w:rFonts w:ascii="Times New Roman" w:hAnsi="Times New Roman"/>
          <w:i/>
          <w:sz w:val="26"/>
          <w:szCs w:val="26"/>
        </w:rPr>
        <w:t xml:space="preserve">Id. </w:t>
      </w:r>
      <w:r w:rsidR="00E07B90">
        <w:rPr>
          <w:rFonts w:ascii="Times New Roman" w:hAnsi="Times New Roman"/>
          <w:sz w:val="26"/>
          <w:szCs w:val="26"/>
        </w:rPr>
        <w:t>at 18.</w:t>
      </w:r>
      <w:proofErr w:type="gramEnd"/>
      <w:r w:rsidR="00E07B90">
        <w:rPr>
          <w:rFonts w:ascii="Times New Roman" w:hAnsi="Times New Roman"/>
          <w:sz w:val="26"/>
          <w:szCs w:val="26"/>
        </w:rPr>
        <w:t xml:space="preserve">  </w:t>
      </w:r>
      <w:r w:rsidR="00E07B90">
        <w:rPr>
          <w:rFonts w:ascii="Times New Roman" w:hAnsi="Times New Roman"/>
          <w:i/>
          <w:sz w:val="26"/>
          <w:szCs w:val="26"/>
        </w:rPr>
        <w:t xml:space="preserve">See also </w:t>
      </w:r>
      <w:r w:rsidR="00E07B90" w:rsidRPr="00E07B90">
        <w:rPr>
          <w:rFonts w:ascii="Times New Roman" w:hAnsi="Times New Roman"/>
          <w:i/>
          <w:sz w:val="26"/>
          <w:szCs w:val="26"/>
        </w:rPr>
        <w:t>Werle v. Respond Power LLC</w:t>
      </w:r>
      <w:r w:rsidR="00E07B90" w:rsidRPr="00E07B90">
        <w:rPr>
          <w:rFonts w:ascii="Times New Roman" w:hAnsi="Times New Roman"/>
          <w:sz w:val="26"/>
          <w:szCs w:val="26"/>
        </w:rPr>
        <w:t>, Docket No. C-2014-2429158 (Order entered February 23, 2015)</w:t>
      </w:r>
      <w:r w:rsidR="00E07B90">
        <w:rPr>
          <w:rFonts w:ascii="Times New Roman" w:hAnsi="Times New Roman"/>
          <w:sz w:val="26"/>
          <w:szCs w:val="26"/>
        </w:rPr>
        <w:t>.</w:t>
      </w:r>
    </w:p>
    <w:p w:rsidR="00BB018F" w:rsidRDefault="00BB018F" w:rsidP="002F2404">
      <w:pPr>
        <w:ind w:firstLine="1440"/>
        <w:rPr>
          <w:rFonts w:ascii="Times New Roman" w:hAnsi="Times New Roman"/>
          <w:sz w:val="26"/>
          <w:szCs w:val="26"/>
        </w:rPr>
      </w:pPr>
    </w:p>
    <w:p w:rsidR="00EF7C00" w:rsidRDefault="00E07B90" w:rsidP="00E07B90">
      <w:pPr>
        <w:ind w:firstLine="1440"/>
        <w:rPr>
          <w:rFonts w:ascii="Times New Roman" w:hAnsi="Times New Roman"/>
          <w:sz w:val="26"/>
          <w:szCs w:val="26"/>
        </w:rPr>
      </w:pPr>
      <w:r>
        <w:rPr>
          <w:rFonts w:ascii="Times New Roman" w:hAnsi="Times New Roman"/>
          <w:sz w:val="26"/>
          <w:szCs w:val="26"/>
        </w:rPr>
        <w:t xml:space="preserve">While Respond </w:t>
      </w:r>
      <w:r w:rsidR="00EF7C00">
        <w:rPr>
          <w:rFonts w:ascii="Times New Roman" w:hAnsi="Times New Roman"/>
          <w:sz w:val="26"/>
          <w:szCs w:val="26"/>
        </w:rPr>
        <w:t>agrees that “misleading statement</w:t>
      </w:r>
      <w:r w:rsidR="00C91CBC">
        <w:rPr>
          <w:rFonts w:ascii="Times New Roman" w:hAnsi="Times New Roman"/>
          <w:sz w:val="26"/>
          <w:szCs w:val="26"/>
        </w:rPr>
        <w:t>s</w:t>
      </w:r>
      <w:r w:rsidR="00EF7C00">
        <w:rPr>
          <w:rFonts w:ascii="Times New Roman" w:hAnsi="Times New Roman"/>
          <w:sz w:val="26"/>
          <w:szCs w:val="26"/>
        </w:rPr>
        <w:t xml:space="preserve"> of promised savings by an agent is a serious matter that, if true, has the potential to adversely affect the competitive market,” Respond Exc. at 39, the Company faults the Complainant for </w:t>
      </w:r>
      <w:r w:rsidR="00D167C6">
        <w:rPr>
          <w:rFonts w:ascii="Times New Roman" w:hAnsi="Times New Roman"/>
          <w:sz w:val="26"/>
          <w:szCs w:val="26"/>
        </w:rPr>
        <w:t xml:space="preserve">failing to read the disclosure statement and instead </w:t>
      </w:r>
      <w:r w:rsidR="00EF7C00">
        <w:rPr>
          <w:rFonts w:ascii="Times New Roman" w:hAnsi="Times New Roman"/>
          <w:sz w:val="26"/>
          <w:szCs w:val="26"/>
        </w:rPr>
        <w:t xml:space="preserve">relying on alleged oral </w:t>
      </w:r>
      <w:r w:rsidR="00C91CBC">
        <w:rPr>
          <w:rFonts w:ascii="Times New Roman" w:hAnsi="Times New Roman"/>
          <w:sz w:val="26"/>
          <w:szCs w:val="26"/>
        </w:rPr>
        <w:t>marketing st</w:t>
      </w:r>
      <w:r w:rsidR="00EF7C00">
        <w:rPr>
          <w:rFonts w:ascii="Times New Roman" w:hAnsi="Times New Roman"/>
          <w:sz w:val="26"/>
          <w:szCs w:val="26"/>
        </w:rPr>
        <w:t>atements when those oral statements were not contained in the subsequently delivered written documents</w:t>
      </w:r>
      <w:r w:rsidR="00D167C6">
        <w:rPr>
          <w:rFonts w:ascii="Times New Roman" w:hAnsi="Times New Roman"/>
          <w:sz w:val="26"/>
          <w:szCs w:val="26"/>
        </w:rPr>
        <w:t>.  Respond contends that it is the subsequent written document, and not the “</w:t>
      </w:r>
      <w:r w:rsidR="00D167C6" w:rsidRPr="00D167C6">
        <w:rPr>
          <w:rFonts w:ascii="Times New Roman" w:hAnsi="Times New Roman"/>
          <w:sz w:val="26"/>
          <w:szCs w:val="26"/>
        </w:rPr>
        <w:t xml:space="preserve">alleged snippets of language, as </w:t>
      </w:r>
      <w:r w:rsidR="00D167C6">
        <w:rPr>
          <w:rFonts w:ascii="Times New Roman" w:hAnsi="Times New Roman"/>
          <w:sz w:val="26"/>
          <w:szCs w:val="26"/>
        </w:rPr>
        <w:t>(the Complainant)</w:t>
      </w:r>
      <w:r w:rsidR="00D167C6" w:rsidRPr="00D167C6">
        <w:rPr>
          <w:rFonts w:ascii="Times New Roman" w:hAnsi="Times New Roman"/>
          <w:sz w:val="26"/>
          <w:szCs w:val="26"/>
        </w:rPr>
        <w:t xml:space="preserve"> understood them, from the sales pitch of</w:t>
      </w:r>
      <w:r w:rsidR="00D167C6">
        <w:rPr>
          <w:rFonts w:ascii="Times New Roman" w:hAnsi="Times New Roman"/>
          <w:sz w:val="26"/>
          <w:szCs w:val="26"/>
        </w:rPr>
        <w:t xml:space="preserve">” Respond’s agent, </w:t>
      </w:r>
      <w:r w:rsidR="009E180E">
        <w:rPr>
          <w:rFonts w:ascii="Times New Roman" w:hAnsi="Times New Roman"/>
          <w:sz w:val="26"/>
          <w:szCs w:val="26"/>
        </w:rPr>
        <w:t>that</w:t>
      </w:r>
      <w:r w:rsidR="00EF7C00">
        <w:rPr>
          <w:rFonts w:ascii="Times New Roman" w:hAnsi="Times New Roman"/>
          <w:sz w:val="26"/>
          <w:szCs w:val="26"/>
        </w:rPr>
        <w:t xml:space="preserve"> should control.  </w:t>
      </w:r>
      <w:proofErr w:type="gramStart"/>
      <w:r w:rsidR="00EF7C00">
        <w:rPr>
          <w:rFonts w:ascii="Times New Roman" w:hAnsi="Times New Roman"/>
          <w:i/>
          <w:sz w:val="26"/>
          <w:szCs w:val="26"/>
        </w:rPr>
        <w:t>Id.</w:t>
      </w:r>
      <w:r w:rsidR="00EF7C00">
        <w:rPr>
          <w:rFonts w:ascii="Times New Roman" w:hAnsi="Times New Roman"/>
          <w:sz w:val="26"/>
          <w:szCs w:val="26"/>
        </w:rPr>
        <w:t xml:space="preserve"> at 2</w:t>
      </w:r>
      <w:r w:rsidR="00D167C6">
        <w:rPr>
          <w:rFonts w:ascii="Times New Roman" w:hAnsi="Times New Roman"/>
          <w:sz w:val="26"/>
          <w:szCs w:val="26"/>
        </w:rPr>
        <w:t>9</w:t>
      </w:r>
      <w:r w:rsidR="00EF7C00">
        <w:rPr>
          <w:rFonts w:ascii="Times New Roman" w:hAnsi="Times New Roman"/>
          <w:sz w:val="26"/>
          <w:szCs w:val="26"/>
        </w:rPr>
        <w:t>.</w:t>
      </w:r>
      <w:proofErr w:type="gramEnd"/>
    </w:p>
    <w:p w:rsidR="00EF7C00" w:rsidRDefault="00EF7C00" w:rsidP="00E07B90">
      <w:pPr>
        <w:ind w:firstLine="1440"/>
        <w:rPr>
          <w:rFonts w:ascii="Times New Roman" w:hAnsi="Times New Roman"/>
          <w:sz w:val="26"/>
          <w:szCs w:val="26"/>
        </w:rPr>
      </w:pPr>
    </w:p>
    <w:p w:rsidR="00B119CD" w:rsidRDefault="00D167C6" w:rsidP="00E07B90">
      <w:pPr>
        <w:ind w:firstLine="1440"/>
        <w:rPr>
          <w:bCs/>
          <w:sz w:val="26"/>
          <w:szCs w:val="26"/>
          <w:lang w:bidi="en-US"/>
        </w:rPr>
      </w:pPr>
      <w:r>
        <w:rPr>
          <w:rFonts w:ascii="Times New Roman" w:hAnsi="Times New Roman"/>
          <w:sz w:val="26"/>
          <w:szCs w:val="26"/>
        </w:rPr>
        <w:t xml:space="preserve">We recently addressed similar arguments in </w:t>
      </w:r>
      <w:r>
        <w:rPr>
          <w:rFonts w:ascii="Times New Roman" w:hAnsi="Times New Roman"/>
          <w:i/>
          <w:sz w:val="26"/>
          <w:szCs w:val="26"/>
        </w:rPr>
        <w:t>Kiback v. IDT Energy, Inc.</w:t>
      </w:r>
      <w:r>
        <w:rPr>
          <w:rFonts w:ascii="Times New Roman" w:hAnsi="Times New Roman"/>
          <w:sz w:val="26"/>
          <w:szCs w:val="26"/>
        </w:rPr>
        <w:t>, Docket No. C-2014-2409676 (Order entered August 20, 2015) (</w:t>
      </w:r>
      <w:r>
        <w:rPr>
          <w:rFonts w:ascii="Times New Roman" w:hAnsi="Times New Roman"/>
          <w:i/>
          <w:sz w:val="26"/>
          <w:szCs w:val="26"/>
        </w:rPr>
        <w:t>Kiback</w:t>
      </w:r>
      <w:r>
        <w:rPr>
          <w:rFonts w:ascii="Times New Roman" w:hAnsi="Times New Roman"/>
          <w:sz w:val="26"/>
          <w:szCs w:val="26"/>
        </w:rPr>
        <w:t xml:space="preserve">).  In that case, addressing </w:t>
      </w:r>
      <w:r w:rsidR="009E180E">
        <w:rPr>
          <w:rFonts w:ascii="Times New Roman" w:hAnsi="Times New Roman"/>
          <w:sz w:val="26"/>
          <w:szCs w:val="26"/>
        </w:rPr>
        <w:t xml:space="preserve">an agent’s </w:t>
      </w:r>
      <w:r>
        <w:rPr>
          <w:rFonts w:ascii="Times New Roman" w:hAnsi="Times New Roman"/>
          <w:sz w:val="26"/>
          <w:szCs w:val="26"/>
        </w:rPr>
        <w:t>deceptive telemarketing, we rejected IDT’s argument that there is no cause of action relating to its mark</w:t>
      </w:r>
      <w:r w:rsidR="004D417D">
        <w:rPr>
          <w:rFonts w:ascii="Times New Roman" w:hAnsi="Times New Roman"/>
          <w:sz w:val="26"/>
          <w:szCs w:val="26"/>
        </w:rPr>
        <w:t>e</w:t>
      </w:r>
      <w:r>
        <w:rPr>
          <w:rFonts w:ascii="Times New Roman" w:hAnsi="Times New Roman"/>
          <w:sz w:val="26"/>
          <w:szCs w:val="26"/>
        </w:rPr>
        <w:t xml:space="preserve">ter’s promise of savings </w:t>
      </w:r>
      <w:r w:rsidR="004D417D">
        <w:rPr>
          <w:rFonts w:ascii="Times New Roman" w:hAnsi="Times New Roman"/>
          <w:sz w:val="26"/>
          <w:szCs w:val="26"/>
        </w:rPr>
        <w:t xml:space="preserve">in relating to </w:t>
      </w:r>
      <w:r>
        <w:rPr>
          <w:rFonts w:ascii="Times New Roman" w:hAnsi="Times New Roman"/>
          <w:sz w:val="26"/>
          <w:szCs w:val="26"/>
        </w:rPr>
        <w:t xml:space="preserve">the local EDC’s PTC because the EGS billed </w:t>
      </w:r>
      <w:r w:rsidR="00B119CD">
        <w:rPr>
          <w:rFonts w:ascii="Times New Roman" w:hAnsi="Times New Roman"/>
          <w:sz w:val="26"/>
          <w:szCs w:val="26"/>
        </w:rPr>
        <w:t xml:space="preserve">a </w:t>
      </w:r>
      <w:r>
        <w:rPr>
          <w:rFonts w:ascii="Times New Roman" w:hAnsi="Times New Roman"/>
          <w:sz w:val="26"/>
          <w:szCs w:val="26"/>
        </w:rPr>
        <w:t>customer</w:t>
      </w:r>
      <w:r w:rsidR="00B119CD">
        <w:rPr>
          <w:rFonts w:ascii="Times New Roman" w:hAnsi="Times New Roman"/>
          <w:sz w:val="26"/>
          <w:szCs w:val="26"/>
        </w:rPr>
        <w:t>-acknowledged</w:t>
      </w:r>
      <w:r>
        <w:rPr>
          <w:rFonts w:ascii="Times New Roman" w:hAnsi="Times New Roman"/>
          <w:sz w:val="26"/>
          <w:szCs w:val="26"/>
        </w:rPr>
        <w:t xml:space="preserve"> variable rate</w:t>
      </w:r>
      <w:r w:rsidR="004D417D">
        <w:rPr>
          <w:rFonts w:ascii="Times New Roman" w:hAnsi="Times New Roman"/>
          <w:sz w:val="26"/>
          <w:szCs w:val="26"/>
        </w:rPr>
        <w:t xml:space="preserve"> in accord with its written disclosure statement.  </w:t>
      </w:r>
      <w:r w:rsidR="00F05FDB">
        <w:rPr>
          <w:rFonts w:ascii="Times New Roman" w:hAnsi="Times New Roman"/>
          <w:sz w:val="26"/>
          <w:szCs w:val="26"/>
        </w:rPr>
        <w:t xml:space="preserve">There, as here, </w:t>
      </w:r>
      <w:r w:rsidR="009E180E">
        <w:rPr>
          <w:rFonts w:ascii="Times New Roman" w:hAnsi="Times New Roman"/>
          <w:sz w:val="26"/>
          <w:szCs w:val="26"/>
        </w:rPr>
        <w:t xml:space="preserve">the EGS </w:t>
      </w:r>
      <w:r w:rsidR="00B119CD">
        <w:rPr>
          <w:rFonts w:ascii="Times New Roman" w:hAnsi="Times New Roman"/>
          <w:sz w:val="26"/>
          <w:szCs w:val="26"/>
        </w:rPr>
        <w:t xml:space="preserve">was dismissive of </w:t>
      </w:r>
      <w:r w:rsidR="00F05FDB">
        <w:rPr>
          <w:rFonts w:ascii="Times New Roman" w:hAnsi="Times New Roman"/>
          <w:sz w:val="26"/>
          <w:szCs w:val="26"/>
        </w:rPr>
        <w:t xml:space="preserve">the role oral marketing plays in the competitive market.  Reviewing our regulatory standards, </w:t>
      </w:r>
      <w:r w:rsidR="009E180E">
        <w:rPr>
          <w:rFonts w:ascii="Times New Roman" w:hAnsi="Times New Roman"/>
          <w:sz w:val="26"/>
          <w:szCs w:val="26"/>
        </w:rPr>
        <w:t xml:space="preserve">which </w:t>
      </w:r>
      <w:r w:rsidR="00F05FDB">
        <w:rPr>
          <w:rFonts w:ascii="Times New Roman" w:hAnsi="Times New Roman"/>
          <w:sz w:val="26"/>
          <w:szCs w:val="26"/>
        </w:rPr>
        <w:t xml:space="preserve">encompass all aspects of the marketer/customer relationship from </w:t>
      </w:r>
      <w:r w:rsidR="00B60462">
        <w:rPr>
          <w:rFonts w:ascii="Times New Roman" w:hAnsi="Times New Roman"/>
          <w:sz w:val="26"/>
          <w:szCs w:val="26"/>
        </w:rPr>
        <w:t xml:space="preserve">oral </w:t>
      </w:r>
      <w:r w:rsidR="00F05FDB">
        <w:rPr>
          <w:rFonts w:ascii="Times New Roman" w:hAnsi="Times New Roman"/>
          <w:sz w:val="26"/>
          <w:szCs w:val="26"/>
        </w:rPr>
        <w:t xml:space="preserve">marketing </w:t>
      </w:r>
      <w:r w:rsidR="00B60462">
        <w:rPr>
          <w:rFonts w:ascii="Times New Roman" w:hAnsi="Times New Roman"/>
          <w:sz w:val="26"/>
          <w:szCs w:val="26"/>
        </w:rPr>
        <w:t xml:space="preserve">through written </w:t>
      </w:r>
      <w:r w:rsidR="00F05FDB">
        <w:rPr>
          <w:rFonts w:ascii="Times New Roman" w:hAnsi="Times New Roman"/>
          <w:sz w:val="26"/>
          <w:szCs w:val="26"/>
        </w:rPr>
        <w:t xml:space="preserve">consummation of the sale, we concluded that </w:t>
      </w:r>
      <w:r w:rsidR="00BB018F">
        <w:rPr>
          <w:rFonts w:ascii="Times New Roman" w:hAnsi="Times New Roman"/>
          <w:sz w:val="26"/>
          <w:szCs w:val="26"/>
        </w:rPr>
        <w:t>“</w:t>
      </w:r>
      <w:r w:rsidR="00F05FDB">
        <w:rPr>
          <w:rFonts w:ascii="Times New Roman" w:hAnsi="Times New Roman"/>
          <w:sz w:val="26"/>
          <w:szCs w:val="26"/>
        </w:rPr>
        <w:t>[o]</w:t>
      </w:r>
      <w:r w:rsidR="00BB018F">
        <w:rPr>
          <w:bCs/>
          <w:sz w:val="26"/>
          <w:szCs w:val="26"/>
          <w:lang w:bidi="en-US"/>
        </w:rPr>
        <w:t xml:space="preserve">ur customer choice </w:t>
      </w:r>
      <w:r w:rsidR="00BB018F">
        <w:rPr>
          <w:bCs/>
          <w:sz w:val="26"/>
          <w:szCs w:val="26"/>
          <w:lang w:bidi="en-US"/>
        </w:rPr>
        <w:lastRenderedPageBreak/>
        <w:t>standards are high, specific, and unequivocal</w:t>
      </w:r>
      <w:r w:rsidR="00F05FDB">
        <w:rPr>
          <w:bCs/>
          <w:sz w:val="26"/>
          <w:szCs w:val="26"/>
          <w:lang w:bidi="en-US"/>
        </w:rPr>
        <w:t>[,]</w:t>
      </w:r>
      <w:r w:rsidR="00BB018F">
        <w:rPr>
          <w:bCs/>
          <w:sz w:val="26"/>
          <w:szCs w:val="26"/>
          <w:lang w:bidi="en-US"/>
        </w:rPr>
        <w:t xml:space="preserve"> intended to ensure fairness and integrity in the competitive market by requiring all marketer behavior – oral, written, or electronic – to be straightforward and clear.</w:t>
      </w:r>
      <w:r w:rsidR="00F05FDB">
        <w:rPr>
          <w:bCs/>
          <w:sz w:val="26"/>
          <w:szCs w:val="26"/>
          <w:lang w:bidi="en-US"/>
        </w:rPr>
        <w:t>”</w:t>
      </w:r>
      <w:r w:rsidR="00BB018F">
        <w:rPr>
          <w:bCs/>
          <w:sz w:val="26"/>
          <w:szCs w:val="26"/>
          <w:lang w:bidi="en-US"/>
        </w:rPr>
        <w:t xml:space="preserve">  </w:t>
      </w:r>
      <w:proofErr w:type="gramStart"/>
      <w:r w:rsidR="00F05FDB" w:rsidRPr="00F05FDB">
        <w:rPr>
          <w:bCs/>
          <w:i/>
          <w:sz w:val="26"/>
          <w:szCs w:val="26"/>
          <w:lang w:bidi="en-US"/>
        </w:rPr>
        <w:t>Kiback</w:t>
      </w:r>
      <w:r w:rsidR="00F05FDB">
        <w:rPr>
          <w:bCs/>
          <w:sz w:val="26"/>
          <w:szCs w:val="26"/>
          <w:lang w:bidi="en-US"/>
        </w:rPr>
        <w:t xml:space="preserve"> at 24.</w:t>
      </w:r>
      <w:proofErr w:type="gramEnd"/>
    </w:p>
    <w:p w:rsidR="00B119CD" w:rsidRDefault="00B119CD" w:rsidP="00E07B90">
      <w:pPr>
        <w:ind w:firstLine="1440"/>
        <w:rPr>
          <w:bCs/>
          <w:sz w:val="26"/>
          <w:szCs w:val="26"/>
          <w:lang w:bidi="en-US"/>
        </w:rPr>
      </w:pPr>
    </w:p>
    <w:p w:rsidR="00BB018F" w:rsidRPr="00B60462" w:rsidRDefault="00DB0A08" w:rsidP="00E07B90">
      <w:pPr>
        <w:ind w:firstLine="1440"/>
        <w:rPr>
          <w:sz w:val="26"/>
          <w:szCs w:val="26"/>
        </w:rPr>
      </w:pPr>
      <w:r>
        <w:rPr>
          <w:bCs/>
          <w:sz w:val="26"/>
          <w:szCs w:val="26"/>
          <w:lang w:bidi="en-US"/>
        </w:rPr>
        <w:t xml:space="preserve">Our concern today remains </w:t>
      </w:r>
      <w:r w:rsidR="00B119CD">
        <w:rPr>
          <w:bCs/>
          <w:sz w:val="26"/>
          <w:szCs w:val="26"/>
          <w:lang w:bidi="en-US"/>
        </w:rPr>
        <w:t xml:space="preserve">the same </w:t>
      </w:r>
      <w:r w:rsidR="00F05FDB">
        <w:rPr>
          <w:bCs/>
          <w:sz w:val="26"/>
          <w:szCs w:val="26"/>
          <w:lang w:bidi="en-US"/>
        </w:rPr>
        <w:t xml:space="preserve">it was in 1998 with our initial promulgation of </w:t>
      </w:r>
      <w:r w:rsidR="009E180E">
        <w:rPr>
          <w:bCs/>
          <w:sz w:val="26"/>
          <w:szCs w:val="26"/>
          <w:lang w:bidi="en-US"/>
        </w:rPr>
        <w:t xml:space="preserve">customer choice </w:t>
      </w:r>
      <w:r w:rsidR="00F05FDB">
        <w:rPr>
          <w:bCs/>
          <w:sz w:val="26"/>
          <w:szCs w:val="26"/>
          <w:lang w:bidi="en-US"/>
        </w:rPr>
        <w:t>Regulations</w:t>
      </w:r>
      <w:r>
        <w:rPr>
          <w:bCs/>
          <w:sz w:val="26"/>
          <w:szCs w:val="26"/>
          <w:lang w:bidi="en-US"/>
        </w:rPr>
        <w:t xml:space="preserve">.  </w:t>
      </w:r>
      <w:r w:rsidR="00B60462">
        <w:rPr>
          <w:bCs/>
          <w:sz w:val="26"/>
          <w:szCs w:val="26"/>
          <w:lang w:bidi="en-US"/>
        </w:rPr>
        <w:t xml:space="preserve">Requiring integrity in all marketer communications is the </w:t>
      </w:r>
      <w:r w:rsidR="00F05FDB">
        <w:rPr>
          <w:bCs/>
          <w:sz w:val="26"/>
          <w:szCs w:val="26"/>
          <w:lang w:bidi="en-US"/>
        </w:rPr>
        <w:t xml:space="preserve">only </w:t>
      </w:r>
      <w:r w:rsidR="00B60462">
        <w:rPr>
          <w:bCs/>
          <w:sz w:val="26"/>
          <w:szCs w:val="26"/>
          <w:lang w:bidi="en-US"/>
        </w:rPr>
        <w:t xml:space="preserve">way consumers </w:t>
      </w:r>
      <w:r w:rsidR="00F05FDB">
        <w:rPr>
          <w:bCs/>
          <w:sz w:val="26"/>
          <w:szCs w:val="26"/>
          <w:lang w:bidi="en-US"/>
        </w:rPr>
        <w:t>“</w:t>
      </w:r>
      <w:r w:rsidR="00BB018F">
        <w:rPr>
          <w:bCs/>
          <w:sz w:val="26"/>
          <w:szCs w:val="26"/>
          <w:lang w:bidi="en-US"/>
        </w:rPr>
        <w:t xml:space="preserve">may </w:t>
      </w:r>
      <w:r w:rsidR="00B60462">
        <w:rPr>
          <w:bCs/>
          <w:sz w:val="26"/>
          <w:szCs w:val="26"/>
          <w:lang w:bidi="en-US"/>
        </w:rPr>
        <w:t>[ ]</w:t>
      </w:r>
      <w:r w:rsidR="00BB018F">
        <w:rPr>
          <w:bCs/>
          <w:sz w:val="26"/>
          <w:szCs w:val="26"/>
          <w:lang w:bidi="en-US"/>
        </w:rPr>
        <w:t xml:space="preserve"> make informed choices and the market flourish.” </w:t>
      </w:r>
      <w:r w:rsidR="00F05FDB">
        <w:rPr>
          <w:bCs/>
          <w:sz w:val="26"/>
          <w:szCs w:val="26"/>
          <w:lang w:bidi="en-US"/>
        </w:rPr>
        <w:t xml:space="preserve"> </w:t>
      </w:r>
      <w:r w:rsidR="00F05FDB">
        <w:rPr>
          <w:bCs/>
          <w:i/>
          <w:sz w:val="26"/>
          <w:szCs w:val="26"/>
          <w:lang w:bidi="en-US"/>
        </w:rPr>
        <w:t>Id.</w:t>
      </w:r>
      <w:r w:rsidR="00F05FDB">
        <w:rPr>
          <w:bCs/>
          <w:sz w:val="26"/>
          <w:szCs w:val="26"/>
          <w:lang w:bidi="en-US"/>
        </w:rPr>
        <w:t xml:space="preserve"> </w:t>
      </w:r>
      <w:r w:rsidR="002C58E1">
        <w:rPr>
          <w:bCs/>
          <w:sz w:val="26"/>
          <w:szCs w:val="26"/>
          <w:lang w:bidi="en-US"/>
        </w:rPr>
        <w:t xml:space="preserve"> “The propriety of an EGS’ marketing does not end with the review of its written disclosure statement and </w:t>
      </w:r>
      <w:proofErr w:type="gramStart"/>
      <w:r w:rsidR="002C58E1">
        <w:rPr>
          <w:bCs/>
          <w:sz w:val="26"/>
          <w:szCs w:val="26"/>
          <w:lang w:bidi="en-US"/>
        </w:rPr>
        <w:t>bills[</w:t>
      </w:r>
      <w:proofErr w:type="gramEnd"/>
      <w:r w:rsidR="002C58E1">
        <w:rPr>
          <w:bCs/>
          <w:sz w:val="26"/>
          <w:szCs w:val="26"/>
          <w:lang w:bidi="en-US"/>
        </w:rPr>
        <w:t>.]</w:t>
      </w:r>
      <w:r>
        <w:rPr>
          <w:bCs/>
          <w:sz w:val="26"/>
          <w:szCs w:val="26"/>
          <w:lang w:bidi="en-US"/>
        </w:rPr>
        <w:t xml:space="preserve">”  </w:t>
      </w:r>
      <w:proofErr w:type="gramStart"/>
      <w:r>
        <w:rPr>
          <w:bCs/>
          <w:i/>
          <w:sz w:val="26"/>
          <w:szCs w:val="26"/>
          <w:lang w:bidi="en-US"/>
        </w:rPr>
        <w:t>Id.</w:t>
      </w:r>
      <w:r>
        <w:rPr>
          <w:bCs/>
          <w:sz w:val="26"/>
          <w:szCs w:val="26"/>
          <w:lang w:bidi="en-US"/>
        </w:rPr>
        <w:t xml:space="preserve"> at 25.</w:t>
      </w:r>
      <w:proofErr w:type="gramEnd"/>
      <w:r w:rsidR="00B60462">
        <w:rPr>
          <w:bCs/>
          <w:sz w:val="26"/>
          <w:szCs w:val="26"/>
          <w:lang w:bidi="en-US"/>
        </w:rPr>
        <w:t xml:space="preserve">  We affirm our conclusion in </w:t>
      </w:r>
      <w:r w:rsidR="00B60462">
        <w:rPr>
          <w:bCs/>
          <w:i/>
          <w:sz w:val="26"/>
          <w:szCs w:val="26"/>
          <w:lang w:bidi="en-US"/>
        </w:rPr>
        <w:t xml:space="preserve">IDT Material Question </w:t>
      </w:r>
      <w:r w:rsidR="00B60462">
        <w:rPr>
          <w:bCs/>
          <w:sz w:val="26"/>
          <w:szCs w:val="26"/>
          <w:lang w:bidi="en-US"/>
        </w:rPr>
        <w:t>and subsequent cases that an EGS’ failure to abide by our applicable regulatory standards governing customer communications constitutes appropriate circumstances justifying the ordering of a credit or refund.</w:t>
      </w:r>
    </w:p>
    <w:p w:rsidR="00BB018F" w:rsidRDefault="00BB018F" w:rsidP="002F2404">
      <w:pPr>
        <w:ind w:firstLine="1440"/>
        <w:rPr>
          <w:rFonts w:ascii="Times New Roman" w:hAnsi="Times New Roman"/>
          <w:sz w:val="26"/>
          <w:szCs w:val="26"/>
        </w:rPr>
      </w:pPr>
    </w:p>
    <w:p w:rsidR="005B0469" w:rsidRDefault="00B60462" w:rsidP="002F2404">
      <w:pPr>
        <w:ind w:firstLine="1440"/>
        <w:rPr>
          <w:rFonts w:ascii="Times New Roman" w:hAnsi="Times New Roman"/>
          <w:sz w:val="26"/>
          <w:szCs w:val="26"/>
        </w:rPr>
      </w:pPr>
      <w:r>
        <w:rPr>
          <w:rFonts w:ascii="Times New Roman" w:hAnsi="Times New Roman"/>
          <w:sz w:val="26"/>
          <w:szCs w:val="26"/>
        </w:rPr>
        <w:t xml:space="preserve">We find support </w:t>
      </w:r>
      <w:r w:rsidR="005B0469">
        <w:rPr>
          <w:rFonts w:ascii="Times New Roman" w:hAnsi="Times New Roman"/>
          <w:sz w:val="26"/>
          <w:szCs w:val="26"/>
        </w:rPr>
        <w:t xml:space="preserve">for our conclusion </w:t>
      </w:r>
      <w:r>
        <w:rPr>
          <w:rFonts w:ascii="Times New Roman" w:hAnsi="Times New Roman"/>
          <w:sz w:val="26"/>
          <w:szCs w:val="26"/>
        </w:rPr>
        <w:t xml:space="preserve">in </w:t>
      </w:r>
      <w:r w:rsidR="005B0469">
        <w:rPr>
          <w:rFonts w:ascii="Times New Roman" w:hAnsi="Times New Roman"/>
          <w:sz w:val="26"/>
          <w:szCs w:val="26"/>
        </w:rPr>
        <w:t>the</w:t>
      </w:r>
      <w:r>
        <w:rPr>
          <w:rFonts w:ascii="Times New Roman" w:hAnsi="Times New Roman"/>
          <w:sz w:val="26"/>
          <w:szCs w:val="26"/>
        </w:rPr>
        <w:t xml:space="preserve"> recent Commonwealth Court decision</w:t>
      </w:r>
      <w:r w:rsidR="005B0469">
        <w:rPr>
          <w:rFonts w:ascii="Times New Roman" w:hAnsi="Times New Roman"/>
          <w:sz w:val="26"/>
          <w:szCs w:val="26"/>
        </w:rPr>
        <w:t xml:space="preserve">, </w:t>
      </w:r>
      <w:r w:rsidR="005B0469" w:rsidRPr="005B0469">
        <w:rPr>
          <w:rFonts w:ascii="Times New Roman" w:hAnsi="Times New Roman"/>
          <w:i/>
          <w:sz w:val="26"/>
          <w:szCs w:val="26"/>
        </w:rPr>
        <w:t>Coalition for Affordable Utility Services and Energy Efficiency in Pennsylvania v. Pa. PUC</w:t>
      </w:r>
      <w:r w:rsidR="005B0469" w:rsidRPr="005B0469">
        <w:rPr>
          <w:rFonts w:ascii="Times New Roman" w:hAnsi="Times New Roman"/>
          <w:sz w:val="26"/>
          <w:szCs w:val="26"/>
        </w:rPr>
        <w:t>, 120 A.3d 1087 (Pa. Commw. 2015) (</w:t>
      </w:r>
      <w:r w:rsidR="005B0469" w:rsidRPr="005B0469">
        <w:rPr>
          <w:rFonts w:ascii="Times New Roman" w:hAnsi="Times New Roman"/>
          <w:i/>
          <w:sz w:val="26"/>
          <w:szCs w:val="26"/>
        </w:rPr>
        <w:t>CAUSE</w:t>
      </w:r>
      <w:r w:rsidR="005B0469">
        <w:rPr>
          <w:rFonts w:ascii="Times New Roman" w:hAnsi="Times New Roman"/>
          <w:sz w:val="26"/>
          <w:szCs w:val="26"/>
        </w:rPr>
        <w:t>),</w:t>
      </w:r>
      <w:r>
        <w:rPr>
          <w:rFonts w:ascii="Times New Roman" w:hAnsi="Times New Roman"/>
          <w:sz w:val="26"/>
          <w:szCs w:val="26"/>
        </w:rPr>
        <w:t xml:space="preserve"> </w:t>
      </w:r>
      <w:r w:rsidR="005B0469">
        <w:rPr>
          <w:rFonts w:ascii="Times New Roman" w:hAnsi="Times New Roman"/>
          <w:sz w:val="26"/>
          <w:szCs w:val="26"/>
        </w:rPr>
        <w:t xml:space="preserve">in which the Court </w:t>
      </w:r>
      <w:r w:rsidR="009E180E">
        <w:rPr>
          <w:rFonts w:ascii="Times New Roman" w:hAnsi="Times New Roman"/>
          <w:sz w:val="26"/>
          <w:szCs w:val="26"/>
        </w:rPr>
        <w:t xml:space="preserve">reviewed </w:t>
      </w:r>
      <w:r w:rsidR="006F0CCF">
        <w:rPr>
          <w:rFonts w:ascii="Times New Roman" w:hAnsi="Times New Roman"/>
          <w:sz w:val="26"/>
          <w:szCs w:val="26"/>
        </w:rPr>
        <w:t xml:space="preserve">Chapter 28 </w:t>
      </w:r>
      <w:r w:rsidR="009E180E">
        <w:rPr>
          <w:rFonts w:ascii="Times New Roman" w:hAnsi="Times New Roman"/>
          <w:sz w:val="26"/>
          <w:szCs w:val="26"/>
        </w:rPr>
        <w:t xml:space="preserve">and </w:t>
      </w:r>
      <w:r w:rsidR="009E180E" w:rsidRPr="009E180E">
        <w:rPr>
          <w:rFonts w:ascii="Times New Roman" w:hAnsi="Times New Roman"/>
          <w:sz w:val="26"/>
          <w:szCs w:val="26"/>
        </w:rPr>
        <w:t xml:space="preserve">confirmed that </w:t>
      </w:r>
      <w:r w:rsidR="009E180E">
        <w:rPr>
          <w:rFonts w:ascii="Times New Roman" w:hAnsi="Times New Roman"/>
          <w:sz w:val="26"/>
          <w:szCs w:val="26"/>
        </w:rPr>
        <w:t xml:space="preserve">it </w:t>
      </w:r>
      <w:r w:rsidR="006F0CCF">
        <w:rPr>
          <w:rFonts w:ascii="Times New Roman" w:hAnsi="Times New Roman"/>
          <w:sz w:val="26"/>
          <w:szCs w:val="26"/>
        </w:rPr>
        <w:t xml:space="preserve">specifically preserved our regulation </w:t>
      </w:r>
      <w:r w:rsidR="009E180E">
        <w:rPr>
          <w:rFonts w:ascii="Times New Roman" w:hAnsi="Times New Roman"/>
          <w:sz w:val="26"/>
          <w:szCs w:val="26"/>
        </w:rPr>
        <w:t xml:space="preserve">over </w:t>
      </w:r>
      <w:r w:rsidR="006F0CCF">
        <w:rPr>
          <w:rFonts w:ascii="Times New Roman" w:hAnsi="Times New Roman"/>
          <w:sz w:val="26"/>
          <w:szCs w:val="26"/>
        </w:rPr>
        <w:t>certain EGS activities.</w:t>
      </w:r>
      <w:r w:rsidR="00EE05AB">
        <w:rPr>
          <w:rStyle w:val="FootnoteReference"/>
          <w:sz w:val="26"/>
          <w:szCs w:val="26"/>
        </w:rPr>
        <w:footnoteReference w:id="11"/>
      </w:r>
    </w:p>
    <w:p w:rsidR="005B0469" w:rsidRDefault="005B0469" w:rsidP="002F2404">
      <w:pPr>
        <w:ind w:firstLine="1440"/>
        <w:rPr>
          <w:rFonts w:ascii="Times New Roman" w:hAnsi="Times New Roman"/>
          <w:sz w:val="26"/>
          <w:szCs w:val="26"/>
        </w:rPr>
      </w:pPr>
    </w:p>
    <w:p w:rsidR="005B0469" w:rsidRPr="005B0469" w:rsidRDefault="005B0469" w:rsidP="005B0469">
      <w:pPr>
        <w:ind w:firstLine="1440"/>
        <w:rPr>
          <w:rFonts w:ascii="Times New Roman" w:hAnsi="Times New Roman"/>
          <w:sz w:val="26"/>
          <w:szCs w:val="26"/>
        </w:rPr>
      </w:pPr>
      <w:r w:rsidRPr="005B0469">
        <w:rPr>
          <w:rFonts w:ascii="Times New Roman" w:hAnsi="Times New Roman"/>
          <w:sz w:val="26"/>
          <w:szCs w:val="26"/>
        </w:rPr>
        <w:t xml:space="preserve">On July 14, 2015, Commonwealth Court issued an opinion affirming in part, and reversing in part, our decision in </w:t>
      </w:r>
      <w:r w:rsidRPr="005B0469">
        <w:rPr>
          <w:rFonts w:ascii="Times New Roman" w:hAnsi="Times New Roman"/>
          <w:i/>
          <w:sz w:val="26"/>
          <w:szCs w:val="26"/>
        </w:rPr>
        <w:t>PECO Default Service Plan</w:t>
      </w:r>
      <w:r w:rsidRPr="005B0469">
        <w:rPr>
          <w:rFonts w:ascii="Times New Roman" w:hAnsi="Times New Roman"/>
          <w:sz w:val="26"/>
          <w:szCs w:val="26"/>
        </w:rPr>
        <w:t>.  In th</w:t>
      </w:r>
      <w:r w:rsidR="00087ECE">
        <w:rPr>
          <w:rFonts w:ascii="Times New Roman" w:hAnsi="Times New Roman"/>
          <w:sz w:val="26"/>
          <w:szCs w:val="26"/>
        </w:rPr>
        <w:t>at</w:t>
      </w:r>
      <w:r w:rsidRPr="005B0469">
        <w:rPr>
          <w:rFonts w:ascii="Times New Roman" w:hAnsi="Times New Roman"/>
          <w:sz w:val="26"/>
          <w:szCs w:val="26"/>
        </w:rPr>
        <w:t xml:space="preserve"> </w:t>
      </w:r>
      <w:r>
        <w:rPr>
          <w:rFonts w:ascii="Times New Roman" w:hAnsi="Times New Roman"/>
          <w:sz w:val="26"/>
          <w:szCs w:val="26"/>
        </w:rPr>
        <w:t>proceeding</w:t>
      </w:r>
      <w:r w:rsidRPr="005B0469">
        <w:rPr>
          <w:rFonts w:ascii="Times New Roman" w:hAnsi="Times New Roman"/>
          <w:sz w:val="26"/>
          <w:szCs w:val="26"/>
        </w:rPr>
        <w:t>, PECO</w:t>
      </w:r>
      <w:r>
        <w:rPr>
          <w:rFonts w:ascii="Times New Roman" w:hAnsi="Times New Roman"/>
          <w:sz w:val="26"/>
          <w:szCs w:val="26"/>
        </w:rPr>
        <w:t xml:space="preserve"> proposed a </w:t>
      </w:r>
      <w:r w:rsidRPr="005B0469">
        <w:rPr>
          <w:rFonts w:ascii="Times New Roman" w:hAnsi="Times New Roman"/>
          <w:sz w:val="26"/>
          <w:szCs w:val="26"/>
        </w:rPr>
        <w:t xml:space="preserve">CAP Shopping Plan </w:t>
      </w:r>
      <w:r>
        <w:rPr>
          <w:rFonts w:ascii="Times New Roman" w:hAnsi="Times New Roman"/>
          <w:sz w:val="26"/>
          <w:szCs w:val="26"/>
        </w:rPr>
        <w:t xml:space="preserve">that </w:t>
      </w:r>
      <w:r w:rsidRPr="005B0469">
        <w:rPr>
          <w:rFonts w:ascii="Times New Roman" w:hAnsi="Times New Roman"/>
          <w:sz w:val="26"/>
          <w:szCs w:val="26"/>
        </w:rPr>
        <w:t>require</w:t>
      </w:r>
      <w:r w:rsidR="00087ECE">
        <w:rPr>
          <w:rFonts w:ascii="Times New Roman" w:hAnsi="Times New Roman"/>
          <w:sz w:val="26"/>
          <w:szCs w:val="26"/>
        </w:rPr>
        <w:t>d</w:t>
      </w:r>
      <w:r w:rsidRPr="005B0469">
        <w:rPr>
          <w:rFonts w:ascii="Times New Roman" w:hAnsi="Times New Roman"/>
          <w:sz w:val="26"/>
          <w:szCs w:val="26"/>
        </w:rPr>
        <w:t xml:space="preserve"> EGSs serving CAP </w:t>
      </w:r>
      <w:r w:rsidRPr="005B0469">
        <w:rPr>
          <w:rFonts w:ascii="Times New Roman" w:hAnsi="Times New Roman"/>
          <w:sz w:val="26"/>
          <w:szCs w:val="26"/>
        </w:rPr>
        <w:lastRenderedPageBreak/>
        <w:t xml:space="preserve">customers </w:t>
      </w:r>
      <w:r w:rsidR="00087ECE">
        <w:rPr>
          <w:rFonts w:ascii="Times New Roman" w:hAnsi="Times New Roman"/>
          <w:sz w:val="26"/>
          <w:szCs w:val="26"/>
        </w:rPr>
        <w:t xml:space="preserve">to </w:t>
      </w:r>
      <w:r w:rsidRPr="005B0469">
        <w:rPr>
          <w:rFonts w:ascii="Times New Roman" w:hAnsi="Times New Roman"/>
          <w:sz w:val="26"/>
          <w:szCs w:val="26"/>
        </w:rPr>
        <w:t>charge a rate for electric supply equal to or less than PECO’s applicable PTC.  We rejected this limitation, finding that there was nothing in the Competition Act provid</w:t>
      </w:r>
      <w:r w:rsidR="00087ECE">
        <w:rPr>
          <w:rFonts w:ascii="Times New Roman" w:hAnsi="Times New Roman"/>
          <w:sz w:val="26"/>
          <w:szCs w:val="26"/>
        </w:rPr>
        <w:t>ing</w:t>
      </w:r>
      <w:r w:rsidRPr="005B0469">
        <w:rPr>
          <w:rFonts w:ascii="Times New Roman" w:hAnsi="Times New Roman"/>
          <w:sz w:val="26"/>
          <w:szCs w:val="26"/>
        </w:rPr>
        <w:t xml:space="preserve"> us authority to limit prices charged by the EGSs.  Upon appeal by the OCA and CAUSE-PA, the Commonwealth Court conducted an informative analysis of our authority over EGSs particular</w:t>
      </w:r>
      <w:r w:rsidR="009E180E">
        <w:rPr>
          <w:rFonts w:ascii="Times New Roman" w:hAnsi="Times New Roman"/>
          <w:sz w:val="26"/>
          <w:szCs w:val="26"/>
        </w:rPr>
        <w:t>ly</w:t>
      </w:r>
      <w:r w:rsidRPr="005B0469">
        <w:rPr>
          <w:rFonts w:ascii="Times New Roman" w:hAnsi="Times New Roman"/>
          <w:sz w:val="26"/>
          <w:szCs w:val="26"/>
        </w:rPr>
        <w:t xml:space="preserve"> as compared to our regulation of public utilities in general.  Instructive to our decision with respect to this proceeding was the Court’s analysis of the legal issue presented, namely whether we had the authority to impose a </w:t>
      </w:r>
      <w:r w:rsidR="00B119CD">
        <w:rPr>
          <w:rFonts w:ascii="Times New Roman" w:hAnsi="Times New Roman"/>
          <w:sz w:val="26"/>
          <w:szCs w:val="26"/>
        </w:rPr>
        <w:t xml:space="preserve">price </w:t>
      </w:r>
      <w:r w:rsidRPr="005B0469">
        <w:rPr>
          <w:rFonts w:ascii="Times New Roman" w:hAnsi="Times New Roman"/>
          <w:sz w:val="26"/>
          <w:szCs w:val="26"/>
        </w:rPr>
        <w:t>condition such as an EGS cap.</w:t>
      </w:r>
    </w:p>
    <w:p w:rsidR="005B0469" w:rsidRPr="005B0469" w:rsidRDefault="005B0469" w:rsidP="005B0469">
      <w:pPr>
        <w:ind w:firstLine="1440"/>
        <w:rPr>
          <w:rFonts w:ascii="Times New Roman" w:hAnsi="Times New Roman"/>
          <w:sz w:val="26"/>
          <w:szCs w:val="26"/>
        </w:rPr>
      </w:pPr>
    </w:p>
    <w:p w:rsidR="00096A31" w:rsidRDefault="005B0469" w:rsidP="005B0469">
      <w:pPr>
        <w:ind w:firstLine="1440"/>
        <w:rPr>
          <w:rFonts w:ascii="Times New Roman" w:hAnsi="Times New Roman"/>
          <w:sz w:val="26"/>
          <w:szCs w:val="26"/>
        </w:rPr>
      </w:pPr>
      <w:r w:rsidRPr="005B0469">
        <w:rPr>
          <w:rFonts w:ascii="Times New Roman" w:hAnsi="Times New Roman"/>
          <w:sz w:val="26"/>
          <w:szCs w:val="26"/>
        </w:rPr>
        <w:t xml:space="preserve">In discussing the General Assembly’s circumscription of our authority under the Code, the Court noted the rule cited by Respond that we may only act within the confines of our legislative delegation.  The Court countered, however, that the rule requiring express delegation “is tempered by the recognition that an administrative agency is invested with the implied authority necessary to the effectuation of its express mandates.”  </w:t>
      </w:r>
      <w:r w:rsidRPr="005B0469">
        <w:rPr>
          <w:rFonts w:ascii="Times New Roman" w:hAnsi="Times New Roman"/>
          <w:i/>
          <w:sz w:val="26"/>
          <w:szCs w:val="26"/>
        </w:rPr>
        <w:t>CAUSE</w:t>
      </w:r>
      <w:r>
        <w:rPr>
          <w:rFonts w:ascii="Times New Roman" w:hAnsi="Times New Roman"/>
          <w:sz w:val="26"/>
          <w:szCs w:val="26"/>
        </w:rPr>
        <w:t>, 1</w:t>
      </w:r>
      <w:r w:rsidRPr="005B0469">
        <w:rPr>
          <w:rFonts w:ascii="Times New Roman" w:hAnsi="Times New Roman"/>
          <w:sz w:val="26"/>
          <w:szCs w:val="26"/>
        </w:rPr>
        <w:t xml:space="preserve">20 A.3d </w:t>
      </w:r>
      <w:r>
        <w:rPr>
          <w:rFonts w:ascii="Times New Roman" w:hAnsi="Times New Roman"/>
          <w:sz w:val="26"/>
          <w:szCs w:val="26"/>
        </w:rPr>
        <w:t>at</w:t>
      </w:r>
      <w:r w:rsidRPr="005B0469">
        <w:rPr>
          <w:rFonts w:ascii="Times New Roman" w:hAnsi="Times New Roman"/>
          <w:sz w:val="26"/>
          <w:szCs w:val="26"/>
        </w:rPr>
        <w:t xml:space="preserve"> 1100, quoting </w:t>
      </w:r>
      <w:proofErr w:type="gramStart"/>
      <w:r w:rsidRPr="005B0469">
        <w:rPr>
          <w:rFonts w:ascii="Times New Roman" w:hAnsi="Times New Roman"/>
          <w:i/>
          <w:sz w:val="26"/>
          <w:szCs w:val="26"/>
        </w:rPr>
        <w:t>Commw.,</w:t>
      </w:r>
      <w:proofErr w:type="gramEnd"/>
      <w:r w:rsidRPr="005B0469">
        <w:rPr>
          <w:rFonts w:ascii="Times New Roman" w:hAnsi="Times New Roman"/>
          <w:i/>
          <w:sz w:val="26"/>
          <w:szCs w:val="26"/>
        </w:rPr>
        <w:t xml:space="preserve"> Dept. of Transp. v. Beam</w:t>
      </w:r>
      <w:r w:rsidRPr="005B0469">
        <w:rPr>
          <w:rFonts w:ascii="Times New Roman" w:hAnsi="Times New Roman"/>
          <w:sz w:val="26"/>
          <w:szCs w:val="26"/>
        </w:rPr>
        <w:t xml:space="preserve">, 788 A.2d 357, 359 (Pa. 2002).  The Court </w:t>
      </w:r>
      <w:r w:rsidR="00087ECE">
        <w:rPr>
          <w:rFonts w:ascii="Times New Roman" w:hAnsi="Times New Roman"/>
          <w:sz w:val="26"/>
          <w:szCs w:val="26"/>
        </w:rPr>
        <w:t>c</w:t>
      </w:r>
      <w:r w:rsidRPr="005B0469">
        <w:rPr>
          <w:rFonts w:ascii="Times New Roman" w:hAnsi="Times New Roman"/>
          <w:sz w:val="26"/>
          <w:szCs w:val="26"/>
        </w:rPr>
        <w:t>onclude</w:t>
      </w:r>
      <w:r w:rsidR="00087ECE">
        <w:rPr>
          <w:rFonts w:ascii="Times New Roman" w:hAnsi="Times New Roman"/>
          <w:sz w:val="26"/>
          <w:szCs w:val="26"/>
        </w:rPr>
        <w:t>d</w:t>
      </w:r>
      <w:r w:rsidRPr="005B0469">
        <w:rPr>
          <w:rFonts w:ascii="Times New Roman" w:hAnsi="Times New Roman"/>
          <w:sz w:val="26"/>
          <w:szCs w:val="26"/>
        </w:rPr>
        <w:t xml:space="preserve"> that while “the overarching goal of the (Competition) Act is competition through deregulation of the energy supply </w:t>
      </w:r>
      <w:proofErr w:type="gramStart"/>
      <w:r w:rsidRPr="005B0469">
        <w:rPr>
          <w:rFonts w:ascii="Times New Roman" w:hAnsi="Times New Roman"/>
          <w:sz w:val="26"/>
          <w:szCs w:val="26"/>
        </w:rPr>
        <w:t>industry[</w:t>
      </w:r>
      <w:proofErr w:type="gramEnd"/>
      <w:r w:rsidRPr="005B0469">
        <w:rPr>
          <w:rFonts w:ascii="Times New Roman" w:hAnsi="Times New Roman"/>
          <w:sz w:val="26"/>
          <w:szCs w:val="26"/>
        </w:rPr>
        <w:t xml:space="preserve">,] the scheme does not demand absolute and unbridled competition.”  </w:t>
      </w:r>
      <w:r w:rsidRPr="005B0469">
        <w:rPr>
          <w:rFonts w:ascii="Times New Roman" w:hAnsi="Times New Roman"/>
          <w:i/>
          <w:sz w:val="26"/>
          <w:szCs w:val="26"/>
        </w:rPr>
        <w:t>C</w:t>
      </w:r>
      <w:r w:rsidR="00B119CD">
        <w:rPr>
          <w:rFonts w:ascii="Times New Roman" w:hAnsi="Times New Roman"/>
          <w:i/>
          <w:sz w:val="26"/>
          <w:szCs w:val="26"/>
        </w:rPr>
        <w:t>AUSE</w:t>
      </w:r>
      <w:r w:rsidRPr="005B0469">
        <w:rPr>
          <w:rFonts w:ascii="Times New Roman" w:hAnsi="Times New Roman"/>
          <w:sz w:val="26"/>
          <w:szCs w:val="26"/>
        </w:rPr>
        <w:t xml:space="preserve">, </w:t>
      </w:r>
      <w:proofErr w:type="gramStart"/>
      <w:r w:rsidRPr="005B0469">
        <w:rPr>
          <w:rFonts w:ascii="Times New Roman" w:hAnsi="Times New Roman"/>
          <w:sz w:val="26"/>
          <w:szCs w:val="26"/>
        </w:rPr>
        <w:t>120 A.3d at</w:t>
      </w:r>
      <w:r w:rsidR="00457CF4">
        <w:rPr>
          <w:rFonts w:ascii="Times New Roman" w:hAnsi="Times New Roman"/>
          <w:sz w:val="26"/>
          <w:szCs w:val="26"/>
        </w:rPr>
        <w:t> </w:t>
      </w:r>
      <w:r w:rsidRPr="005B0469">
        <w:rPr>
          <w:rFonts w:ascii="Times New Roman" w:hAnsi="Times New Roman"/>
          <w:sz w:val="26"/>
          <w:szCs w:val="26"/>
        </w:rPr>
        <w:t>1101</w:t>
      </w:r>
      <w:proofErr w:type="gramEnd"/>
      <w:r w:rsidRPr="005B0469">
        <w:rPr>
          <w:rFonts w:ascii="Times New Roman" w:hAnsi="Times New Roman"/>
          <w:sz w:val="26"/>
          <w:szCs w:val="26"/>
        </w:rPr>
        <w:t>.</w:t>
      </w:r>
    </w:p>
    <w:p w:rsidR="00096A31" w:rsidRDefault="00096A31" w:rsidP="005B0469">
      <w:pPr>
        <w:ind w:firstLine="1440"/>
        <w:rPr>
          <w:rFonts w:ascii="Times New Roman" w:hAnsi="Times New Roman"/>
          <w:sz w:val="26"/>
          <w:szCs w:val="26"/>
        </w:rPr>
      </w:pPr>
    </w:p>
    <w:p w:rsidR="00087ECE" w:rsidRDefault="007532BB" w:rsidP="005B0469">
      <w:pPr>
        <w:ind w:firstLine="1440"/>
        <w:rPr>
          <w:rFonts w:ascii="Times New Roman" w:hAnsi="Times New Roman"/>
          <w:sz w:val="26"/>
          <w:szCs w:val="26"/>
        </w:rPr>
      </w:pPr>
      <w:r>
        <w:rPr>
          <w:rFonts w:ascii="Times New Roman" w:hAnsi="Times New Roman"/>
          <w:sz w:val="26"/>
          <w:szCs w:val="26"/>
        </w:rPr>
        <w:t>The Court r</w:t>
      </w:r>
      <w:r w:rsidR="005B0469" w:rsidRPr="005B0469">
        <w:rPr>
          <w:rFonts w:ascii="Times New Roman" w:hAnsi="Times New Roman"/>
          <w:sz w:val="26"/>
          <w:szCs w:val="26"/>
        </w:rPr>
        <w:t>eferr</w:t>
      </w:r>
      <w:r w:rsidR="00087ECE">
        <w:rPr>
          <w:rFonts w:ascii="Times New Roman" w:hAnsi="Times New Roman"/>
          <w:sz w:val="26"/>
          <w:szCs w:val="26"/>
        </w:rPr>
        <w:t>ed</w:t>
      </w:r>
      <w:r w:rsidR="005B0469" w:rsidRPr="005B0469">
        <w:rPr>
          <w:rFonts w:ascii="Times New Roman" w:hAnsi="Times New Roman"/>
          <w:sz w:val="26"/>
          <w:szCs w:val="26"/>
        </w:rPr>
        <w:t xml:space="preserve"> to our decision to allow </w:t>
      </w:r>
      <w:r w:rsidR="00096A31">
        <w:rPr>
          <w:rFonts w:ascii="Times New Roman" w:hAnsi="Times New Roman"/>
          <w:sz w:val="26"/>
          <w:szCs w:val="26"/>
        </w:rPr>
        <w:t>(</w:t>
      </w:r>
      <w:r w:rsidR="005B0469" w:rsidRPr="005B0469">
        <w:rPr>
          <w:rFonts w:ascii="Times New Roman" w:hAnsi="Times New Roman"/>
          <w:sz w:val="26"/>
          <w:szCs w:val="26"/>
        </w:rPr>
        <w:t>then</w:t>
      </w:r>
      <w:r w:rsidR="00096A31">
        <w:rPr>
          <w:rFonts w:ascii="Times New Roman" w:hAnsi="Times New Roman"/>
          <w:sz w:val="26"/>
          <w:szCs w:val="26"/>
        </w:rPr>
        <w:t>)</w:t>
      </w:r>
      <w:r w:rsidR="005B0469" w:rsidRPr="005B0469">
        <w:rPr>
          <w:rFonts w:ascii="Times New Roman" w:hAnsi="Times New Roman"/>
          <w:sz w:val="26"/>
          <w:szCs w:val="26"/>
        </w:rPr>
        <w:t xml:space="preserve"> Pennsylvania Power &amp; Light Company (PPL) to curtail service to interruptible customers served by an EGS in order to maintain system integrity</w:t>
      </w:r>
      <w:r>
        <w:rPr>
          <w:rFonts w:ascii="Times New Roman" w:hAnsi="Times New Roman"/>
          <w:sz w:val="26"/>
          <w:szCs w:val="26"/>
        </w:rPr>
        <w:t>.  Affirming that decision</w:t>
      </w:r>
      <w:r w:rsidR="005B0469" w:rsidRPr="005B0469">
        <w:rPr>
          <w:rFonts w:ascii="Times New Roman" w:hAnsi="Times New Roman"/>
          <w:sz w:val="26"/>
          <w:szCs w:val="26"/>
        </w:rPr>
        <w:t xml:space="preserve"> in </w:t>
      </w:r>
      <w:r w:rsidR="005B0469" w:rsidRPr="005B0469">
        <w:rPr>
          <w:rFonts w:ascii="Times New Roman" w:hAnsi="Times New Roman"/>
          <w:i/>
          <w:sz w:val="26"/>
          <w:szCs w:val="26"/>
        </w:rPr>
        <w:t>PP&amp;L Industrial Customer Alliance v. Pa. PUC</w:t>
      </w:r>
      <w:r w:rsidR="005B0469" w:rsidRPr="005B0469">
        <w:rPr>
          <w:rFonts w:ascii="Times New Roman" w:hAnsi="Times New Roman"/>
          <w:sz w:val="26"/>
          <w:szCs w:val="26"/>
        </w:rPr>
        <w:t>, 7780 A.2d 773 (Pa. Commw. 2001) (</w:t>
      </w:r>
      <w:r w:rsidR="005B0469" w:rsidRPr="005B0469">
        <w:rPr>
          <w:rFonts w:ascii="Times New Roman" w:hAnsi="Times New Roman"/>
          <w:i/>
          <w:sz w:val="26"/>
          <w:szCs w:val="26"/>
        </w:rPr>
        <w:t>PP&amp;L Industrial</w:t>
      </w:r>
      <w:r w:rsidR="005B0469" w:rsidRPr="005B0469">
        <w:rPr>
          <w:rFonts w:ascii="Times New Roman" w:hAnsi="Times New Roman"/>
          <w:sz w:val="26"/>
          <w:szCs w:val="26"/>
        </w:rPr>
        <w:t xml:space="preserve">), the Court determined that the goal of competition to assure low rates must also allow for a mechanism to retain overall reliability of the grid.  Quoting </w:t>
      </w:r>
      <w:r w:rsidR="005B0469" w:rsidRPr="005B0469">
        <w:rPr>
          <w:rFonts w:ascii="Times New Roman" w:hAnsi="Times New Roman"/>
          <w:i/>
          <w:sz w:val="26"/>
          <w:szCs w:val="26"/>
        </w:rPr>
        <w:t>PP&amp;L Industrial</w:t>
      </w:r>
      <w:r w:rsidR="005B0469" w:rsidRPr="005B0469">
        <w:rPr>
          <w:rFonts w:ascii="Times New Roman" w:hAnsi="Times New Roman"/>
          <w:sz w:val="26"/>
          <w:szCs w:val="26"/>
        </w:rPr>
        <w:t xml:space="preserve">, the Court reaffirmed that “under certain circumstances, unbridled competition may have to give way to other important concerns” and that “as long as (the Commission) provides substantial reasons why there is no reasonable alternative so competition needs to </w:t>
      </w:r>
      <w:proofErr w:type="gramStart"/>
      <w:r w:rsidR="005B0469" w:rsidRPr="005B0469">
        <w:rPr>
          <w:rFonts w:ascii="Times New Roman" w:hAnsi="Times New Roman"/>
          <w:sz w:val="26"/>
          <w:szCs w:val="26"/>
        </w:rPr>
        <w:lastRenderedPageBreak/>
        <w:t>bend[</w:t>
      </w:r>
      <w:proofErr w:type="gramEnd"/>
      <w:r w:rsidR="005B0469" w:rsidRPr="005B0469">
        <w:rPr>
          <w:rFonts w:ascii="Times New Roman" w:hAnsi="Times New Roman"/>
          <w:sz w:val="26"/>
          <w:szCs w:val="26"/>
        </w:rPr>
        <w:t xml:space="preserve">,]” the Commission may exercise its authority and “bend” competition.  </w:t>
      </w:r>
      <w:proofErr w:type="gramStart"/>
      <w:r w:rsidR="005B0469" w:rsidRPr="005B0469">
        <w:rPr>
          <w:rFonts w:ascii="Times New Roman" w:hAnsi="Times New Roman"/>
          <w:i/>
          <w:sz w:val="26"/>
          <w:szCs w:val="26"/>
        </w:rPr>
        <w:t>CAUSE</w:t>
      </w:r>
      <w:r w:rsidR="005B0469" w:rsidRPr="005B0469">
        <w:rPr>
          <w:rFonts w:ascii="Times New Roman" w:hAnsi="Times New Roman"/>
          <w:sz w:val="26"/>
          <w:szCs w:val="26"/>
        </w:rPr>
        <w:t>, 120 A.3d at 1103 (citation and emphasis omitted).</w:t>
      </w:r>
      <w:proofErr w:type="gramEnd"/>
    </w:p>
    <w:p w:rsidR="00087ECE" w:rsidRDefault="00087ECE" w:rsidP="005B0469">
      <w:pPr>
        <w:ind w:firstLine="1440"/>
        <w:rPr>
          <w:rFonts w:ascii="Times New Roman" w:hAnsi="Times New Roman"/>
          <w:sz w:val="26"/>
          <w:szCs w:val="26"/>
        </w:rPr>
      </w:pPr>
    </w:p>
    <w:p w:rsidR="005B0469" w:rsidRPr="005B0469" w:rsidRDefault="005B0469" w:rsidP="005B0469">
      <w:pPr>
        <w:ind w:firstLine="1440"/>
        <w:rPr>
          <w:rFonts w:ascii="Times New Roman" w:hAnsi="Times New Roman"/>
          <w:sz w:val="26"/>
          <w:szCs w:val="26"/>
        </w:rPr>
      </w:pPr>
      <w:r w:rsidRPr="005B0469">
        <w:rPr>
          <w:rFonts w:ascii="Times New Roman" w:hAnsi="Times New Roman"/>
          <w:sz w:val="26"/>
          <w:szCs w:val="26"/>
        </w:rPr>
        <w:t xml:space="preserve">Finding support in the legislative declaration of policy in the Competition Act to encourage deregulation but also continue and maintain universal service programs, the Court </w:t>
      </w:r>
      <w:r w:rsidR="00096A31">
        <w:rPr>
          <w:rFonts w:ascii="Times New Roman" w:hAnsi="Times New Roman"/>
          <w:sz w:val="26"/>
          <w:szCs w:val="26"/>
        </w:rPr>
        <w:t xml:space="preserve">determined that we had </w:t>
      </w:r>
      <w:r w:rsidRPr="005B0469">
        <w:rPr>
          <w:rFonts w:ascii="Times New Roman" w:hAnsi="Times New Roman"/>
          <w:sz w:val="26"/>
          <w:szCs w:val="26"/>
        </w:rPr>
        <w:t xml:space="preserve">authority to impose CAP rules that would limit terms of EGS offerings, including </w:t>
      </w:r>
      <w:r w:rsidR="00096A31">
        <w:rPr>
          <w:rFonts w:ascii="Times New Roman" w:hAnsi="Times New Roman"/>
          <w:sz w:val="26"/>
          <w:szCs w:val="26"/>
        </w:rPr>
        <w:t xml:space="preserve">imposition of </w:t>
      </w:r>
      <w:r w:rsidRPr="005B0469">
        <w:rPr>
          <w:rFonts w:ascii="Times New Roman" w:hAnsi="Times New Roman"/>
          <w:sz w:val="26"/>
          <w:szCs w:val="26"/>
        </w:rPr>
        <w:t>an EGS rate ceiling.  While the Court declined to reverse our rejection of PECO’s proposal, it did so not because it found we lacked the legal authority.  Rather, the Court reiterated its conclusion that “the General Assembly has reserved within the PUC the authority to ‘bend’ competition to further other important aspects of the Code, including the (Competition) Act, where it provides substantial reasons why the restriction on competition is necessary (</w:t>
      </w:r>
      <w:r w:rsidRPr="005B0469">
        <w:rPr>
          <w:rFonts w:ascii="Times New Roman" w:hAnsi="Times New Roman"/>
          <w:i/>
          <w:sz w:val="26"/>
          <w:szCs w:val="26"/>
        </w:rPr>
        <w:t xml:space="preserve">i.e., </w:t>
      </w:r>
      <w:r w:rsidRPr="005B0469">
        <w:rPr>
          <w:rFonts w:ascii="Times New Roman" w:hAnsi="Times New Roman"/>
          <w:sz w:val="26"/>
          <w:szCs w:val="26"/>
        </w:rPr>
        <w:t xml:space="preserve">there are no reasonable alternatives).”  </w:t>
      </w:r>
      <w:r w:rsidRPr="005B0469">
        <w:rPr>
          <w:rFonts w:ascii="Times New Roman" w:hAnsi="Times New Roman"/>
          <w:i/>
          <w:sz w:val="26"/>
          <w:szCs w:val="26"/>
        </w:rPr>
        <w:t>Id.</w:t>
      </w:r>
      <w:r w:rsidRPr="005B0469">
        <w:rPr>
          <w:rFonts w:ascii="Times New Roman" w:hAnsi="Times New Roman"/>
          <w:sz w:val="26"/>
          <w:szCs w:val="26"/>
        </w:rPr>
        <w:t xml:space="preserve">, </w:t>
      </w:r>
      <w:proofErr w:type="gramStart"/>
      <w:r w:rsidRPr="005B0469">
        <w:rPr>
          <w:rFonts w:ascii="Times New Roman" w:hAnsi="Times New Roman"/>
          <w:sz w:val="26"/>
          <w:szCs w:val="26"/>
        </w:rPr>
        <w:t>120 A.3d at</w:t>
      </w:r>
      <w:r w:rsidR="00096A31">
        <w:rPr>
          <w:rFonts w:ascii="Times New Roman" w:hAnsi="Times New Roman"/>
          <w:sz w:val="26"/>
          <w:szCs w:val="26"/>
        </w:rPr>
        <w:t> </w:t>
      </w:r>
      <w:r w:rsidRPr="005B0469">
        <w:rPr>
          <w:rFonts w:ascii="Times New Roman" w:hAnsi="Times New Roman"/>
          <w:sz w:val="26"/>
          <w:szCs w:val="26"/>
        </w:rPr>
        <w:t>1106</w:t>
      </w:r>
      <w:proofErr w:type="gramEnd"/>
      <w:r w:rsidRPr="005B0469">
        <w:rPr>
          <w:rFonts w:ascii="Times New Roman" w:hAnsi="Times New Roman"/>
          <w:sz w:val="26"/>
          <w:szCs w:val="26"/>
        </w:rPr>
        <w:t xml:space="preserve">.  On review of the record, the Court found that while there was evidence to support Petitioners’ view, substantial evidence supported our decision to reject PECO’s proposed price ceiling, and it was not the role of the Court to reweigh the evidence or substitute its judgment.  </w:t>
      </w:r>
      <w:r w:rsidRPr="005B0469">
        <w:rPr>
          <w:rFonts w:ascii="Times New Roman" w:hAnsi="Times New Roman"/>
          <w:i/>
          <w:sz w:val="26"/>
          <w:szCs w:val="26"/>
        </w:rPr>
        <w:t>Id.</w:t>
      </w:r>
      <w:r w:rsidRPr="005B0469">
        <w:rPr>
          <w:rFonts w:ascii="Times New Roman" w:hAnsi="Times New Roman"/>
          <w:sz w:val="26"/>
          <w:szCs w:val="26"/>
        </w:rPr>
        <w:t xml:space="preserve">, </w:t>
      </w:r>
      <w:proofErr w:type="gramStart"/>
      <w:r w:rsidRPr="005B0469">
        <w:rPr>
          <w:rFonts w:ascii="Times New Roman" w:hAnsi="Times New Roman"/>
          <w:sz w:val="26"/>
          <w:szCs w:val="26"/>
        </w:rPr>
        <w:t>120 A.3d at 1107</w:t>
      </w:r>
      <w:proofErr w:type="gramEnd"/>
      <w:r w:rsidRPr="005B0469">
        <w:rPr>
          <w:rFonts w:ascii="Times New Roman" w:hAnsi="Times New Roman"/>
          <w:sz w:val="26"/>
          <w:szCs w:val="26"/>
        </w:rPr>
        <w:t>.</w:t>
      </w:r>
    </w:p>
    <w:p w:rsidR="005B0469" w:rsidRPr="005B0469" w:rsidRDefault="005B0469" w:rsidP="005B0469">
      <w:pPr>
        <w:ind w:firstLine="1440"/>
        <w:rPr>
          <w:rFonts w:ascii="Times New Roman" w:hAnsi="Times New Roman"/>
          <w:sz w:val="26"/>
          <w:szCs w:val="26"/>
        </w:rPr>
      </w:pPr>
    </w:p>
    <w:p w:rsidR="003F40EE" w:rsidRDefault="007532BB" w:rsidP="005B0469">
      <w:pPr>
        <w:ind w:firstLine="1440"/>
        <w:rPr>
          <w:rFonts w:ascii="Times New Roman" w:hAnsi="Times New Roman"/>
          <w:sz w:val="26"/>
          <w:szCs w:val="26"/>
        </w:rPr>
      </w:pPr>
      <w:r>
        <w:rPr>
          <w:rFonts w:ascii="Times New Roman" w:hAnsi="Times New Roman"/>
          <w:sz w:val="26"/>
          <w:szCs w:val="26"/>
        </w:rPr>
        <w:t>A</w:t>
      </w:r>
      <w:r w:rsidR="009048AC">
        <w:rPr>
          <w:rFonts w:ascii="Times New Roman" w:hAnsi="Times New Roman"/>
          <w:sz w:val="26"/>
          <w:szCs w:val="26"/>
        </w:rPr>
        <w:t>s the Court found Chapter 28 preserved</w:t>
      </w:r>
      <w:r w:rsidR="00087ECE">
        <w:rPr>
          <w:rFonts w:ascii="Times New Roman" w:hAnsi="Times New Roman"/>
          <w:sz w:val="26"/>
          <w:szCs w:val="26"/>
        </w:rPr>
        <w:t>,</w:t>
      </w:r>
      <w:r w:rsidR="009048AC">
        <w:rPr>
          <w:rFonts w:ascii="Times New Roman" w:hAnsi="Times New Roman"/>
          <w:sz w:val="26"/>
          <w:szCs w:val="26"/>
        </w:rPr>
        <w:t xml:space="preserve"> </w:t>
      </w:r>
      <w:r>
        <w:rPr>
          <w:rFonts w:ascii="Times New Roman" w:hAnsi="Times New Roman"/>
          <w:sz w:val="26"/>
          <w:szCs w:val="26"/>
        </w:rPr>
        <w:t>as necessary</w:t>
      </w:r>
      <w:r w:rsidR="00087ECE">
        <w:rPr>
          <w:rFonts w:ascii="Times New Roman" w:hAnsi="Times New Roman"/>
          <w:sz w:val="26"/>
          <w:szCs w:val="26"/>
        </w:rPr>
        <w:t>,</w:t>
      </w:r>
      <w:r>
        <w:rPr>
          <w:rFonts w:ascii="Times New Roman" w:hAnsi="Times New Roman"/>
          <w:sz w:val="26"/>
          <w:szCs w:val="26"/>
        </w:rPr>
        <w:t xml:space="preserve"> our</w:t>
      </w:r>
      <w:r w:rsidR="009048AC">
        <w:rPr>
          <w:rFonts w:ascii="Times New Roman" w:hAnsi="Times New Roman"/>
          <w:sz w:val="26"/>
          <w:szCs w:val="26"/>
        </w:rPr>
        <w:t xml:space="preserve"> regulatory oversight </w:t>
      </w:r>
      <w:r>
        <w:rPr>
          <w:rFonts w:ascii="Times New Roman" w:hAnsi="Times New Roman"/>
          <w:sz w:val="26"/>
          <w:szCs w:val="26"/>
        </w:rPr>
        <w:t xml:space="preserve">over </w:t>
      </w:r>
      <w:r w:rsidR="009048AC">
        <w:rPr>
          <w:rFonts w:ascii="Times New Roman" w:hAnsi="Times New Roman"/>
          <w:sz w:val="26"/>
          <w:szCs w:val="26"/>
        </w:rPr>
        <w:t xml:space="preserve">system reliability </w:t>
      </w:r>
      <w:r w:rsidR="008A1B30">
        <w:rPr>
          <w:rFonts w:ascii="Times New Roman" w:hAnsi="Times New Roman"/>
          <w:sz w:val="26"/>
          <w:szCs w:val="26"/>
        </w:rPr>
        <w:t xml:space="preserve">in </w:t>
      </w:r>
      <w:r w:rsidR="008A1B30">
        <w:rPr>
          <w:rFonts w:ascii="Times New Roman" w:hAnsi="Times New Roman"/>
          <w:i/>
          <w:sz w:val="26"/>
          <w:szCs w:val="26"/>
        </w:rPr>
        <w:t xml:space="preserve">PPL Industrial </w:t>
      </w:r>
      <w:r w:rsidR="009048AC">
        <w:rPr>
          <w:rFonts w:ascii="Times New Roman" w:hAnsi="Times New Roman"/>
          <w:sz w:val="26"/>
          <w:szCs w:val="26"/>
        </w:rPr>
        <w:t>and universal service</w:t>
      </w:r>
      <w:r w:rsidR="008A1B30">
        <w:rPr>
          <w:rFonts w:ascii="Times New Roman" w:hAnsi="Times New Roman"/>
          <w:sz w:val="26"/>
          <w:szCs w:val="26"/>
        </w:rPr>
        <w:t xml:space="preserve"> in </w:t>
      </w:r>
      <w:r w:rsidR="008A1B30">
        <w:rPr>
          <w:rFonts w:ascii="Times New Roman" w:hAnsi="Times New Roman"/>
          <w:i/>
          <w:sz w:val="26"/>
          <w:szCs w:val="26"/>
        </w:rPr>
        <w:t>C</w:t>
      </w:r>
      <w:r>
        <w:rPr>
          <w:rFonts w:ascii="Times New Roman" w:hAnsi="Times New Roman"/>
          <w:i/>
          <w:sz w:val="26"/>
          <w:szCs w:val="26"/>
        </w:rPr>
        <w:t>AUSE</w:t>
      </w:r>
      <w:r w:rsidR="009048AC">
        <w:rPr>
          <w:rFonts w:ascii="Times New Roman" w:hAnsi="Times New Roman"/>
          <w:sz w:val="26"/>
          <w:szCs w:val="26"/>
        </w:rPr>
        <w:t xml:space="preserve">, </w:t>
      </w:r>
      <w:r w:rsidR="00096A31">
        <w:rPr>
          <w:rFonts w:ascii="Times New Roman" w:hAnsi="Times New Roman"/>
          <w:sz w:val="26"/>
          <w:szCs w:val="26"/>
        </w:rPr>
        <w:t xml:space="preserve">our analysis </w:t>
      </w:r>
      <w:r>
        <w:rPr>
          <w:rFonts w:ascii="Times New Roman" w:hAnsi="Times New Roman"/>
          <w:sz w:val="26"/>
          <w:szCs w:val="26"/>
        </w:rPr>
        <w:t xml:space="preserve">here </w:t>
      </w:r>
      <w:r w:rsidR="00087ECE">
        <w:rPr>
          <w:rFonts w:ascii="Times New Roman" w:hAnsi="Times New Roman"/>
          <w:sz w:val="26"/>
          <w:szCs w:val="26"/>
        </w:rPr>
        <w:t xml:space="preserve">also </w:t>
      </w:r>
      <w:r w:rsidR="00096A31">
        <w:rPr>
          <w:rFonts w:ascii="Times New Roman" w:hAnsi="Times New Roman"/>
          <w:sz w:val="26"/>
          <w:szCs w:val="26"/>
        </w:rPr>
        <w:t>demonstrates</w:t>
      </w:r>
      <w:r w:rsidR="009048AC">
        <w:rPr>
          <w:rFonts w:ascii="Times New Roman" w:hAnsi="Times New Roman"/>
          <w:sz w:val="26"/>
          <w:szCs w:val="26"/>
        </w:rPr>
        <w:t xml:space="preserve"> that</w:t>
      </w:r>
      <w:r w:rsidR="00096A31">
        <w:rPr>
          <w:rFonts w:ascii="Times New Roman" w:hAnsi="Times New Roman"/>
          <w:sz w:val="26"/>
          <w:szCs w:val="26"/>
        </w:rPr>
        <w:t xml:space="preserve"> the General Assembly </w:t>
      </w:r>
      <w:r w:rsidR="009048AC">
        <w:rPr>
          <w:rFonts w:ascii="Times New Roman" w:hAnsi="Times New Roman"/>
          <w:sz w:val="26"/>
          <w:szCs w:val="26"/>
        </w:rPr>
        <w:t xml:space="preserve">preserved </w:t>
      </w:r>
      <w:r>
        <w:rPr>
          <w:rFonts w:ascii="Times New Roman" w:hAnsi="Times New Roman"/>
          <w:sz w:val="26"/>
          <w:szCs w:val="26"/>
        </w:rPr>
        <w:t xml:space="preserve">our authority </w:t>
      </w:r>
      <w:r w:rsidR="009048AC">
        <w:rPr>
          <w:rFonts w:ascii="Times New Roman" w:hAnsi="Times New Roman"/>
          <w:sz w:val="26"/>
          <w:szCs w:val="26"/>
        </w:rPr>
        <w:t xml:space="preserve">over EGSs </w:t>
      </w:r>
      <w:r>
        <w:rPr>
          <w:rFonts w:ascii="Times New Roman" w:hAnsi="Times New Roman"/>
          <w:sz w:val="26"/>
          <w:szCs w:val="26"/>
        </w:rPr>
        <w:t xml:space="preserve">for the purposes of </w:t>
      </w:r>
      <w:r w:rsidR="003F40EE">
        <w:rPr>
          <w:rFonts w:ascii="Times New Roman" w:hAnsi="Times New Roman"/>
          <w:sz w:val="26"/>
          <w:szCs w:val="26"/>
        </w:rPr>
        <w:t>consumer protections and customer service</w:t>
      </w:r>
      <w:r w:rsidR="00096A31">
        <w:rPr>
          <w:rFonts w:ascii="Times New Roman" w:hAnsi="Times New Roman"/>
          <w:sz w:val="26"/>
          <w:szCs w:val="26"/>
        </w:rPr>
        <w:t xml:space="preserve">.  </w:t>
      </w:r>
      <w:r>
        <w:rPr>
          <w:rFonts w:ascii="Times New Roman" w:hAnsi="Times New Roman"/>
          <w:sz w:val="26"/>
          <w:szCs w:val="26"/>
        </w:rPr>
        <w:t>U</w:t>
      </w:r>
      <w:r w:rsidR="00096A31" w:rsidRPr="00096A31">
        <w:rPr>
          <w:rFonts w:ascii="Times New Roman" w:hAnsi="Times New Roman"/>
          <w:sz w:val="26"/>
          <w:szCs w:val="26"/>
        </w:rPr>
        <w:t>nder certain circumstances</w:t>
      </w:r>
      <w:r>
        <w:rPr>
          <w:rFonts w:ascii="Times New Roman" w:hAnsi="Times New Roman"/>
          <w:sz w:val="26"/>
          <w:szCs w:val="26"/>
        </w:rPr>
        <w:t>,</w:t>
      </w:r>
      <w:r w:rsidR="00096A31">
        <w:rPr>
          <w:rFonts w:ascii="Times New Roman" w:hAnsi="Times New Roman"/>
          <w:sz w:val="26"/>
          <w:szCs w:val="26"/>
        </w:rPr>
        <w:t xml:space="preserve"> </w:t>
      </w:r>
      <w:r w:rsidR="00096A31" w:rsidRPr="00096A31">
        <w:rPr>
          <w:rFonts w:ascii="Times New Roman" w:hAnsi="Times New Roman"/>
          <w:sz w:val="26"/>
          <w:szCs w:val="26"/>
        </w:rPr>
        <w:t xml:space="preserve">unbridled competition may have to </w:t>
      </w:r>
      <w:r w:rsidR="00C16191">
        <w:rPr>
          <w:rFonts w:ascii="Times New Roman" w:hAnsi="Times New Roman"/>
          <w:sz w:val="26"/>
          <w:szCs w:val="26"/>
        </w:rPr>
        <w:t xml:space="preserve">bend </w:t>
      </w:r>
      <w:r w:rsidR="00096A31" w:rsidRPr="00096A31">
        <w:rPr>
          <w:rFonts w:ascii="Times New Roman" w:hAnsi="Times New Roman"/>
          <w:sz w:val="26"/>
          <w:szCs w:val="26"/>
        </w:rPr>
        <w:t>to other important concerns</w:t>
      </w:r>
      <w:r w:rsidR="00C16191">
        <w:rPr>
          <w:rFonts w:ascii="Times New Roman" w:hAnsi="Times New Roman"/>
          <w:sz w:val="26"/>
          <w:szCs w:val="26"/>
        </w:rPr>
        <w:t xml:space="preserve">.  In this case, our finding that Respond’s agent engaged in </w:t>
      </w:r>
      <w:r w:rsidR="00C16191" w:rsidRPr="00C16191">
        <w:rPr>
          <w:rFonts w:ascii="Times New Roman" w:hAnsi="Times New Roman"/>
          <w:sz w:val="26"/>
          <w:szCs w:val="26"/>
        </w:rPr>
        <w:t>deceptive marketing</w:t>
      </w:r>
      <w:r w:rsidR="003F40EE">
        <w:rPr>
          <w:rFonts w:ascii="Times New Roman" w:hAnsi="Times New Roman"/>
          <w:sz w:val="26"/>
          <w:szCs w:val="26"/>
        </w:rPr>
        <w:t xml:space="preserve"> </w:t>
      </w:r>
      <w:r>
        <w:rPr>
          <w:rFonts w:ascii="Times New Roman" w:hAnsi="Times New Roman"/>
          <w:sz w:val="26"/>
          <w:szCs w:val="26"/>
        </w:rPr>
        <w:t xml:space="preserve">compels </w:t>
      </w:r>
      <w:r w:rsidR="003F40EE">
        <w:rPr>
          <w:rFonts w:ascii="Times New Roman" w:hAnsi="Times New Roman"/>
          <w:sz w:val="26"/>
          <w:szCs w:val="26"/>
        </w:rPr>
        <w:t xml:space="preserve">the </w:t>
      </w:r>
      <w:r w:rsidR="00C16191">
        <w:rPr>
          <w:rFonts w:ascii="Times New Roman" w:hAnsi="Times New Roman"/>
          <w:sz w:val="26"/>
          <w:szCs w:val="26"/>
        </w:rPr>
        <w:t xml:space="preserve">unbridled competition Respond seeks </w:t>
      </w:r>
      <w:r>
        <w:rPr>
          <w:rFonts w:ascii="Times New Roman" w:hAnsi="Times New Roman"/>
          <w:sz w:val="26"/>
          <w:szCs w:val="26"/>
        </w:rPr>
        <w:t>to</w:t>
      </w:r>
      <w:r w:rsidR="00C16191">
        <w:rPr>
          <w:rFonts w:ascii="Times New Roman" w:hAnsi="Times New Roman"/>
          <w:sz w:val="26"/>
          <w:szCs w:val="26"/>
        </w:rPr>
        <w:t xml:space="preserve"> give way to the important concern that EGSs and their agents provide adequate and accurate customer information </w:t>
      </w:r>
      <w:r>
        <w:rPr>
          <w:rFonts w:ascii="Times New Roman" w:hAnsi="Times New Roman"/>
          <w:sz w:val="26"/>
          <w:szCs w:val="26"/>
        </w:rPr>
        <w:t xml:space="preserve">so </w:t>
      </w:r>
      <w:r w:rsidR="00C16191">
        <w:rPr>
          <w:rFonts w:ascii="Times New Roman" w:hAnsi="Times New Roman"/>
          <w:sz w:val="26"/>
          <w:szCs w:val="26"/>
        </w:rPr>
        <w:t xml:space="preserve">customers </w:t>
      </w:r>
      <w:r>
        <w:rPr>
          <w:rFonts w:ascii="Times New Roman" w:hAnsi="Times New Roman"/>
          <w:sz w:val="26"/>
          <w:szCs w:val="26"/>
        </w:rPr>
        <w:t>may</w:t>
      </w:r>
      <w:r w:rsidR="00C16191">
        <w:rPr>
          <w:rFonts w:ascii="Times New Roman" w:hAnsi="Times New Roman"/>
          <w:sz w:val="26"/>
          <w:szCs w:val="26"/>
        </w:rPr>
        <w:t xml:space="preserve"> make informed choices.  </w:t>
      </w:r>
      <w:r w:rsidR="003F40EE">
        <w:rPr>
          <w:rFonts w:ascii="Times New Roman" w:hAnsi="Times New Roman"/>
          <w:sz w:val="26"/>
          <w:szCs w:val="26"/>
        </w:rPr>
        <w:t>T</w:t>
      </w:r>
      <w:r w:rsidR="00C16191">
        <w:rPr>
          <w:rFonts w:ascii="Times New Roman" w:hAnsi="Times New Roman"/>
          <w:sz w:val="26"/>
          <w:szCs w:val="26"/>
        </w:rPr>
        <w:t xml:space="preserve">he ALJ determined, and we agree, </w:t>
      </w:r>
      <w:r w:rsidR="003F40EE">
        <w:rPr>
          <w:rFonts w:ascii="Times New Roman" w:hAnsi="Times New Roman"/>
          <w:sz w:val="26"/>
          <w:szCs w:val="26"/>
        </w:rPr>
        <w:t xml:space="preserve">that </w:t>
      </w:r>
      <w:r w:rsidR="00C16191">
        <w:rPr>
          <w:rFonts w:ascii="Times New Roman" w:hAnsi="Times New Roman"/>
          <w:sz w:val="26"/>
          <w:szCs w:val="26"/>
        </w:rPr>
        <w:t xml:space="preserve">it is an inadequate consumer protection </w:t>
      </w:r>
      <w:r w:rsidR="003F40EE">
        <w:rPr>
          <w:rFonts w:ascii="Times New Roman" w:hAnsi="Times New Roman"/>
          <w:sz w:val="26"/>
          <w:szCs w:val="26"/>
        </w:rPr>
        <w:t xml:space="preserve">contrary to </w:t>
      </w:r>
      <w:r w:rsidR="00C16191">
        <w:rPr>
          <w:rFonts w:ascii="Times New Roman" w:hAnsi="Times New Roman"/>
          <w:sz w:val="26"/>
          <w:szCs w:val="26"/>
        </w:rPr>
        <w:t>the public interest to limit our remedies to the imposition of a civil penalty or an action against an EGS’ license</w:t>
      </w:r>
      <w:r w:rsidR="00087ECE">
        <w:rPr>
          <w:rFonts w:ascii="Times New Roman" w:hAnsi="Times New Roman"/>
          <w:sz w:val="26"/>
          <w:szCs w:val="26"/>
        </w:rPr>
        <w:t>, s</w:t>
      </w:r>
      <w:r w:rsidR="00180491">
        <w:rPr>
          <w:rFonts w:ascii="Times New Roman" w:hAnsi="Times New Roman"/>
          <w:sz w:val="26"/>
          <w:szCs w:val="26"/>
        </w:rPr>
        <w:t xml:space="preserve">uch remedies not </w:t>
      </w:r>
      <w:r w:rsidR="00087ECE">
        <w:rPr>
          <w:rFonts w:ascii="Times New Roman" w:hAnsi="Times New Roman"/>
          <w:sz w:val="26"/>
          <w:szCs w:val="26"/>
        </w:rPr>
        <w:t xml:space="preserve">being </w:t>
      </w:r>
      <w:r w:rsidR="00180491">
        <w:rPr>
          <w:rFonts w:ascii="Times New Roman" w:hAnsi="Times New Roman"/>
          <w:sz w:val="26"/>
          <w:szCs w:val="26"/>
        </w:rPr>
        <w:t>reasonable alternatives to protect the consuming public</w:t>
      </w:r>
      <w:r>
        <w:rPr>
          <w:rFonts w:ascii="Times New Roman" w:hAnsi="Times New Roman"/>
          <w:sz w:val="26"/>
          <w:szCs w:val="26"/>
        </w:rPr>
        <w:t xml:space="preserve"> from unwarranted overcharges</w:t>
      </w:r>
      <w:r w:rsidR="00180491">
        <w:rPr>
          <w:rFonts w:ascii="Times New Roman" w:hAnsi="Times New Roman"/>
          <w:sz w:val="26"/>
          <w:szCs w:val="26"/>
        </w:rPr>
        <w:t>.</w:t>
      </w:r>
    </w:p>
    <w:p w:rsidR="003F40EE" w:rsidRDefault="003F40EE" w:rsidP="005B0469">
      <w:pPr>
        <w:ind w:firstLine="1440"/>
        <w:rPr>
          <w:rFonts w:ascii="Times New Roman" w:hAnsi="Times New Roman"/>
          <w:sz w:val="26"/>
          <w:szCs w:val="26"/>
        </w:rPr>
      </w:pPr>
    </w:p>
    <w:p w:rsidR="00180491" w:rsidRDefault="00390237" w:rsidP="005B0469">
      <w:pPr>
        <w:ind w:firstLine="1440"/>
        <w:rPr>
          <w:rFonts w:ascii="Times New Roman" w:hAnsi="Times New Roman"/>
          <w:sz w:val="26"/>
          <w:szCs w:val="26"/>
        </w:rPr>
      </w:pPr>
      <w:r>
        <w:rPr>
          <w:rFonts w:ascii="Times New Roman" w:hAnsi="Times New Roman"/>
          <w:sz w:val="26"/>
          <w:szCs w:val="26"/>
        </w:rPr>
        <w:t>We have previously found that “</w:t>
      </w:r>
      <w:r w:rsidRPr="00390237">
        <w:rPr>
          <w:rFonts w:ascii="Times New Roman" w:hAnsi="Times New Roman"/>
          <w:sz w:val="26"/>
          <w:szCs w:val="26"/>
        </w:rPr>
        <w:t>having the authority to order EGS billing adjustments, including refunds, under the appropriate circumstances, helps ensure that EGSs comply with the Commission’s Regulations and bill customers in accordance with their disclosure statement - a fundamental consumer protection under the Electric Competition Act.</w:t>
      </w:r>
      <w:r>
        <w:rPr>
          <w:rFonts w:ascii="Times New Roman" w:hAnsi="Times New Roman"/>
          <w:sz w:val="26"/>
          <w:szCs w:val="26"/>
        </w:rPr>
        <w:t>”</w:t>
      </w:r>
      <w:r w:rsidRPr="00390237">
        <w:rPr>
          <w:rFonts w:ascii="Times New Roman" w:hAnsi="Times New Roman"/>
          <w:sz w:val="26"/>
          <w:szCs w:val="26"/>
        </w:rPr>
        <w:t xml:space="preserve"> </w:t>
      </w:r>
      <w:r>
        <w:rPr>
          <w:rFonts w:ascii="Times New Roman" w:hAnsi="Times New Roman"/>
          <w:sz w:val="26"/>
          <w:szCs w:val="26"/>
        </w:rPr>
        <w:t xml:space="preserve"> </w:t>
      </w:r>
      <w:r>
        <w:rPr>
          <w:rFonts w:ascii="Times New Roman" w:hAnsi="Times New Roman"/>
          <w:i/>
          <w:sz w:val="26"/>
          <w:szCs w:val="26"/>
        </w:rPr>
        <w:t xml:space="preserve">IDT Material </w:t>
      </w:r>
      <w:r w:rsidRPr="00390237">
        <w:rPr>
          <w:rFonts w:ascii="Times New Roman" w:hAnsi="Times New Roman"/>
          <w:i/>
          <w:sz w:val="26"/>
          <w:szCs w:val="26"/>
        </w:rPr>
        <w:t>Question</w:t>
      </w:r>
      <w:r>
        <w:rPr>
          <w:rFonts w:ascii="Times New Roman" w:hAnsi="Times New Roman"/>
          <w:sz w:val="26"/>
          <w:szCs w:val="26"/>
        </w:rPr>
        <w:t xml:space="preserve"> at 18, citing 66 Pa. C.S. § 2802(14); </w:t>
      </w:r>
      <w:r>
        <w:rPr>
          <w:rFonts w:ascii="Times New Roman" w:hAnsi="Times New Roman"/>
          <w:i/>
          <w:sz w:val="26"/>
          <w:szCs w:val="26"/>
        </w:rPr>
        <w:t xml:space="preserve">see also </w:t>
      </w:r>
      <w:r>
        <w:rPr>
          <w:rFonts w:ascii="Times New Roman" w:hAnsi="Times New Roman"/>
          <w:sz w:val="26"/>
          <w:szCs w:val="26"/>
        </w:rPr>
        <w:t>66 Pa. C.S. § 2807(d</w:t>
      </w:r>
      <w:proofErr w:type="gramStart"/>
      <w:r>
        <w:rPr>
          <w:rFonts w:ascii="Times New Roman" w:hAnsi="Times New Roman"/>
          <w:sz w:val="26"/>
          <w:szCs w:val="26"/>
        </w:rPr>
        <w:t>)(</w:t>
      </w:r>
      <w:proofErr w:type="gramEnd"/>
      <w:r>
        <w:rPr>
          <w:rFonts w:ascii="Times New Roman" w:hAnsi="Times New Roman"/>
          <w:sz w:val="26"/>
          <w:szCs w:val="26"/>
        </w:rPr>
        <w:t>2).  Th</w:t>
      </w:r>
      <w:r w:rsidR="003F40EE">
        <w:rPr>
          <w:rFonts w:ascii="Times New Roman" w:hAnsi="Times New Roman"/>
          <w:sz w:val="26"/>
          <w:szCs w:val="26"/>
        </w:rPr>
        <w:t xml:space="preserve">is </w:t>
      </w:r>
      <w:r>
        <w:rPr>
          <w:rFonts w:ascii="Times New Roman" w:hAnsi="Times New Roman"/>
          <w:sz w:val="26"/>
          <w:szCs w:val="26"/>
        </w:rPr>
        <w:t xml:space="preserve">fundamental consumer protection also includes </w:t>
      </w:r>
      <w:r w:rsidR="003F40EE">
        <w:rPr>
          <w:rFonts w:ascii="Times New Roman" w:hAnsi="Times New Roman"/>
          <w:sz w:val="26"/>
          <w:szCs w:val="26"/>
        </w:rPr>
        <w:t xml:space="preserve">EGSs’ </w:t>
      </w:r>
      <w:r>
        <w:rPr>
          <w:rFonts w:ascii="Times New Roman" w:hAnsi="Times New Roman"/>
          <w:sz w:val="26"/>
          <w:szCs w:val="26"/>
        </w:rPr>
        <w:t>billing customers in accordance with the</w:t>
      </w:r>
      <w:r w:rsidR="003F40EE">
        <w:rPr>
          <w:rFonts w:ascii="Times New Roman" w:hAnsi="Times New Roman"/>
          <w:sz w:val="26"/>
          <w:szCs w:val="26"/>
        </w:rPr>
        <w:t>ir</w:t>
      </w:r>
      <w:r>
        <w:rPr>
          <w:rFonts w:ascii="Times New Roman" w:hAnsi="Times New Roman"/>
          <w:sz w:val="26"/>
          <w:szCs w:val="26"/>
        </w:rPr>
        <w:t xml:space="preserve"> marketing.  </w:t>
      </w:r>
      <w:r w:rsidR="001C07EA">
        <w:rPr>
          <w:rFonts w:ascii="Times New Roman" w:hAnsi="Times New Roman"/>
          <w:sz w:val="26"/>
          <w:szCs w:val="26"/>
        </w:rPr>
        <w:t>O</w:t>
      </w:r>
      <w:r w:rsidR="001C07EA" w:rsidRPr="001C07EA">
        <w:rPr>
          <w:rFonts w:ascii="Times New Roman" w:hAnsi="Times New Roman"/>
          <w:sz w:val="26"/>
          <w:szCs w:val="26"/>
        </w:rPr>
        <w:t xml:space="preserve">ur ability to protect individual consumers from deceptive practices is unreasonably restricted </w:t>
      </w:r>
      <w:r w:rsidR="001C07EA">
        <w:rPr>
          <w:rFonts w:ascii="Times New Roman" w:hAnsi="Times New Roman"/>
          <w:sz w:val="26"/>
          <w:szCs w:val="26"/>
        </w:rPr>
        <w:t>without</w:t>
      </w:r>
      <w:r w:rsidR="003F40EE">
        <w:rPr>
          <w:rFonts w:ascii="Times New Roman" w:hAnsi="Times New Roman"/>
          <w:sz w:val="26"/>
          <w:szCs w:val="26"/>
        </w:rPr>
        <w:t xml:space="preserve"> the </w:t>
      </w:r>
      <w:r>
        <w:rPr>
          <w:rFonts w:ascii="Times New Roman" w:hAnsi="Times New Roman"/>
          <w:sz w:val="26"/>
          <w:szCs w:val="26"/>
        </w:rPr>
        <w:t xml:space="preserve">ability </w:t>
      </w:r>
      <w:r w:rsidR="003F40EE">
        <w:rPr>
          <w:rFonts w:ascii="Times New Roman" w:hAnsi="Times New Roman"/>
          <w:sz w:val="26"/>
          <w:szCs w:val="26"/>
        </w:rPr>
        <w:t xml:space="preserve">to right </w:t>
      </w:r>
      <w:r w:rsidR="00087ECE">
        <w:rPr>
          <w:rFonts w:ascii="Times New Roman" w:hAnsi="Times New Roman"/>
          <w:sz w:val="26"/>
          <w:szCs w:val="26"/>
        </w:rPr>
        <w:t>the</w:t>
      </w:r>
      <w:r w:rsidR="003F40EE">
        <w:rPr>
          <w:rFonts w:ascii="Times New Roman" w:hAnsi="Times New Roman"/>
          <w:sz w:val="26"/>
          <w:szCs w:val="26"/>
        </w:rPr>
        <w:t xml:space="preserve"> financial wrong i</w:t>
      </w:r>
      <w:r w:rsidR="001C07EA">
        <w:rPr>
          <w:rFonts w:ascii="Times New Roman" w:hAnsi="Times New Roman"/>
          <w:sz w:val="26"/>
          <w:szCs w:val="26"/>
        </w:rPr>
        <w:t>nflicted</w:t>
      </w:r>
      <w:r w:rsidR="003F40EE">
        <w:rPr>
          <w:rFonts w:ascii="Times New Roman" w:hAnsi="Times New Roman"/>
          <w:sz w:val="26"/>
          <w:szCs w:val="26"/>
        </w:rPr>
        <w:t xml:space="preserve"> on a consumer</w:t>
      </w:r>
      <w:r w:rsidR="00087ECE">
        <w:rPr>
          <w:rFonts w:ascii="Times New Roman" w:hAnsi="Times New Roman"/>
          <w:sz w:val="26"/>
          <w:szCs w:val="26"/>
        </w:rPr>
        <w:t xml:space="preserve"> through deceptive marketing</w:t>
      </w:r>
      <w:r w:rsidR="003F40EE">
        <w:rPr>
          <w:rFonts w:ascii="Times New Roman" w:hAnsi="Times New Roman"/>
          <w:sz w:val="26"/>
          <w:szCs w:val="26"/>
        </w:rPr>
        <w:t>.  T</w:t>
      </w:r>
      <w:r w:rsidR="00C16191">
        <w:rPr>
          <w:rFonts w:ascii="Times New Roman" w:hAnsi="Times New Roman"/>
          <w:sz w:val="26"/>
          <w:szCs w:val="26"/>
        </w:rPr>
        <w:t>he effect on shopping can be stultifying</w:t>
      </w:r>
      <w:r w:rsidR="00087ECE">
        <w:rPr>
          <w:rFonts w:ascii="Times New Roman" w:hAnsi="Times New Roman"/>
          <w:sz w:val="26"/>
          <w:szCs w:val="26"/>
        </w:rPr>
        <w:t>.  A</w:t>
      </w:r>
      <w:r w:rsidR="001C07EA">
        <w:rPr>
          <w:rFonts w:ascii="Times New Roman" w:hAnsi="Times New Roman"/>
          <w:sz w:val="26"/>
          <w:szCs w:val="26"/>
        </w:rPr>
        <w:t xml:space="preserve">s </w:t>
      </w:r>
      <w:r w:rsidR="00C16191">
        <w:rPr>
          <w:rFonts w:ascii="Times New Roman" w:hAnsi="Times New Roman"/>
          <w:sz w:val="26"/>
          <w:szCs w:val="26"/>
        </w:rPr>
        <w:t xml:space="preserve">Respond </w:t>
      </w:r>
      <w:r w:rsidR="001C07EA">
        <w:rPr>
          <w:rFonts w:ascii="Times New Roman" w:hAnsi="Times New Roman"/>
          <w:sz w:val="26"/>
          <w:szCs w:val="26"/>
        </w:rPr>
        <w:t>acknowledged</w:t>
      </w:r>
      <w:r w:rsidR="00C16191">
        <w:rPr>
          <w:rFonts w:ascii="Times New Roman" w:hAnsi="Times New Roman"/>
          <w:sz w:val="26"/>
          <w:szCs w:val="26"/>
        </w:rPr>
        <w:t xml:space="preserve">, agents’ misleading statements can adversely affect the competitive market.  </w:t>
      </w:r>
      <w:r w:rsidR="003F40EE">
        <w:rPr>
          <w:rFonts w:ascii="Times New Roman" w:hAnsi="Times New Roman"/>
          <w:sz w:val="26"/>
          <w:szCs w:val="26"/>
        </w:rPr>
        <w:t xml:space="preserve">Under authority </w:t>
      </w:r>
      <w:r w:rsidR="001C07EA">
        <w:rPr>
          <w:rFonts w:ascii="Times New Roman" w:hAnsi="Times New Roman"/>
          <w:sz w:val="26"/>
          <w:szCs w:val="26"/>
        </w:rPr>
        <w:t>of</w:t>
      </w:r>
      <w:r w:rsidR="003F40EE">
        <w:rPr>
          <w:rFonts w:ascii="Times New Roman" w:hAnsi="Times New Roman"/>
          <w:sz w:val="26"/>
          <w:szCs w:val="26"/>
        </w:rPr>
        <w:t xml:space="preserve"> Sections 501, 2802, 2807, 2809, and 3309</w:t>
      </w:r>
      <w:r w:rsidR="003F40EE">
        <w:rPr>
          <w:rStyle w:val="FootnoteReference"/>
          <w:sz w:val="26"/>
          <w:szCs w:val="26"/>
        </w:rPr>
        <w:footnoteReference w:id="12"/>
      </w:r>
      <w:r w:rsidR="003F40EE">
        <w:rPr>
          <w:rFonts w:ascii="Times New Roman" w:hAnsi="Times New Roman"/>
          <w:sz w:val="26"/>
          <w:szCs w:val="26"/>
        </w:rPr>
        <w:t xml:space="preserve"> of the Code, </w:t>
      </w:r>
      <w:r w:rsidR="001C07EA">
        <w:rPr>
          <w:rFonts w:ascii="Times New Roman" w:hAnsi="Times New Roman"/>
          <w:sz w:val="26"/>
          <w:szCs w:val="26"/>
        </w:rPr>
        <w:t xml:space="preserve">our jurisdiction over EGSs includes the authority </w:t>
      </w:r>
      <w:r w:rsidR="003F40EE">
        <w:rPr>
          <w:rFonts w:ascii="Times New Roman" w:hAnsi="Times New Roman"/>
          <w:sz w:val="26"/>
          <w:szCs w:val="26"/>
        </w:rPr>
        <w:t xml:space="preserve">to order a refund </w:t>
      </w:r>
      <w:r w:rsidR="001C07EA">
        <w:rPr>
          <w:rFonts w:ascii="Times New Roman" w:hAnsi="Times New Roman"/>
          <w:sz w:val="26"/>
          <w:szCs w:val="26"/>
        </w:rPr>
        <w:t xml:space="preserve">under appropriate circumstances, including in this case </w:t>
      </w:r>
      <w:r w:rsidR="003F40EE">
        <w:rPr>
          <w:rFonts w:ascii="Times New Roman" w:hAnsi="Times New Roman"/>
          <w:sz w:val="26"/>
          <w:szCs w:val="26"/>
        </w:rPr>
        <w:t>to Mr. Herp.</w:t>
      </w:r>
    </w:p>
    <w:p w:rsidR="00180491" w:rsidRDefault="00180491" w:rsidP="005B0469">
      <w:pPr>
        <w:ind w:firstLine="1440"/>
        <w:rPr>
          <w:rFonts w:ascii="Times New Roman" w:hAnsi="Times New Roman"/>
          <w:sz w:val="26"/>
          <w:szCs w:val="26"/>
        </w:rPr>
      </w:pPr>
    </w:p>
    <w:p w:rsidR="005B0469" w:rsidRPr="005B0469" w:rsidRDefault="00432EF2" w:rsidP="005B0469">
      <w:pPr>
        <w:ind w:firstLine="1440"/>
        <w:rPr>
          <w:rFonts w:ascii="Times New Roman" w:hAnsi="Times New Roman"/>
          <w:sz w:val="26"/>
          <w:szCs w:val="26"/>
        </w:rPr>
      </w:pPr>
      <w:r>
        <w:rPr>
          <w:rFonts w:ascii="Times New Roman" w:hAnsi="Times New Roman"/>
          <w:sz w:val="26"/>
          <w:szCs w:val="26"/>
        </w:rPr>
        <w:t>W</w:t>
      </w:r>
      <w:r w:rsidR="005B0469" w:rsidRPr="005B0469">
        <w:rPr>
          <w:rFonts w:ascii="Times New Roman" w:hAnsi="Times New Roman"/>
          <w:sz w:val="26"/>
          <w:szCs w:val="26"/>
        </w:rPr>
        <w:t xml:space="preserve">e </w:t>
      </w:r>
      <w:r>
        <w:rPr>
          <w:rFonts w:ascii="Times New Roman" w:hAnsi="Times New Roman"/>
          <w:sz w:val="26"/>
          <w:szCs w:val="26"/>
        </w:rPr>
        <w:t xml:space="preserve">also </w:t>
      </w:r>
      <w:r w:rsidR="005B0469" w:rsidRPr="005B0469">
        <w:rPr>
          <w:rFonts w:ascii="Times New Roman" w:hAnsi="Times New Roman"/>
          <w:sz w:val="26"/>
          <w:szCs w:val="26"/>
        </w:rPr>
        <w:t xml:space="preserve">note the fact that in </w:t>
      </w:r>
      <w:r w:rsidR="005B0469" w:rsidRPr="005B0469">
        <w:rPr>
          <w:rFonts w:ascii="Times New Roman" w:hAnsi="Times New Roman"/>
          <w:i/>
          <w:sz w:val="26"/>
          <w:szCs w:val="26"/>
        </w:rPr>
        <w:t>PECO Default Service Plan</w:t>
      </w:r>
      <w:r w:rsidR="005B0469" w:rsidRPr="005B0469">
        <w:rPr>
          <w:rFonts w:ascii="Times New Roman" w:hAnsi="Times New Roman"/>
          <w:sz w:val="26"/>
          <w:szCs w:val="26"/>
        </w:rPr>
        <w:t xml:space="preserve">, our determination focused on an issue that involved our exercise of authority over the EGSs’ </w:t>
      </w:r>
      <w:r w:rsidR="005B0469" w:rsidRPr="00087ECE">
        <w:rPr>
          <w:rFonts w:ascii="Times New Roman" w:hAnsi="Times New Roman"/>
          <w:i/>
          <w:sz w:val="26"/>
          <w:szCs w:val="26"/>
        </w:rPr>
        <w:t>rates</w:t>
      </w:r>
      <w:r w:rsidR="005B0469" w:rsidRPr="005B0469">
        <w:rPr>
          <w:rFonts w:ascii="Times New Roman" w:hAnsi="Times New Roman"/>
          <w:sz w:val="26"/>
          <w:szCs w:val="26"/>
        </w:rPr>
        <w:t xml:space="preserve"> and our determination that EGSs are not public utilities for purposes of our rate regulation authority, including capping EGS rates.  At issue here is not Respond’s rate or our regulatory powers over rates and ratemaking under Chapter 13 of the Code, but rather Respond’s </w:t>
      </w:r>
      <w:r w:rsidR="005B0469" w:rsidRPr="00087ECE">
        <w:rPr>
          <w:rFonts w:ascii="Times New Roman" w:hAnsi="Times New Roman"/>
          <w:i/>
          <w:sz w:val="26"/>
          <w:szCs w:val="26"/>
        </w:rPr>
        <w:t>service</w:t>
      </w:r>
      <w:r w:rsidR="005B0469" w:rsidRPr="005B0469">
        <w:rPr>
          <w:rFonts w:ascii="Times New Roman" w:hAnsi="Times New Roman"/>
          <w:sz w:val="26"/>
          <w:szCs w:val="26"/>
        </w:rPr>
        <w:t>, specifically the sales and marketing activities of its agents</w:t>
      </w:r>
      <w:r w:rsidR="00AF0A17">
        <w:rPr>
          <w:rFonts w:ascii="Times New Roman" w:hAnsi="Times New Roman"/>
          <w:sz w:val="26"/>
          <w:szCs w:val="26"/>
        </w:rPr>
        <w:t>.</w:t>
      </w:r>
      <w:r w:rsidR="005B0469" w:rsidRPr="005B0469">
        <w:rPr>
          <w:rFonts w:ascii="Times New Roman" w:hAnsi="Times New Roman"/>
          <w:sz w:val="26"/>
          <w:szCs w:val="26"/>
        </w:rPr>
        <w:t xml:space="preserve">  These are activities </w:t>
      </w:r>
      <w:r w:rsidR="005B0469" w:rsidRPr="005B0469">
        <w:rPr>
          <w:rFonts w:ascii="Times New Roman" w:hAnsi="Times New Roman"/>
          <w:i/>
          <w:sz w:val="26"/>
          <w:szCs w:val="26"/>
        </w:rPr>
        <w:t>expressly, not impliedly</w:t>
      </w:r>
      <w:r w:rsidR="005B0469" w:rsidRPr="005B0469">
        <w:rPr>
          <w:rFonts w:ascii="Times New Roman" w:hAnsi="Times New Roman"/>
          <w:sz w:val="26"/>
          <w:szCs w:val="26"/>
        </w:rPr>
        <w:t>, within our jurisdiction</w:t>
      </w:r>
      <w:r w:rsidR="001C07EA">
        <w:rPr>
          <w:rFonts w:ascii="Times New Roman" w:hAnsi="Times New Roman"/>
          <w:sz w:val="26"/>
          <w:szCs w:val="26"/>
        </w:rPr>
        <w:t xml:space="preserve"> </w:t>
      </w:r>
      <w:r w:rsidR="005B0469" w:rsidRPr="005B0469">
        <w:rPr>
          <w:rFonts w:ascii="Times New Roman" w:hAnsi="Times New Roman"/>
          <w:sz w:val="26"/>
          <w:szCs w:val="26"/>
        </w:rPr>
        <w:t>under Sections 2802(14), 2807(d</w:t>
      </w:r>
      <w:proofErr w:type="gramStart"/>
      <w:r w:rsidR="005B0469" w:rsidRPr="005B0469">
        <w:rPr>
          <w:rFonts w:ascii="Times New Roman" w:hAnsi="Times New Roman"/>
          <w:sz w:val="26"/>
          <w:szCs w:val="26"/>
        </w:rPr>
        <w:t>)(</w:t>
      </w:r>
      <w:proofErr w:type="gramEnd"/>
      <w:r w:rsidR="005B0469" w:rsidRPr="005B0469">
        <w:rPr>
          <w:rFonts w:ascii="Times New Roman" w:hAnsi="Times New Roman"/>
          <w:sz w:val="26"/>
          <w:szCs w:val="26"/>
        </w:rPr>
        <w:t>2), and 2809(e) and (f)</w:t>
      </w:r>
      <w:r w:rsidR="005B0469">
        <w:rPr>
          <w:rFonts w:ascii="Times New Roman" w:hAnsi="Times New Roman"/>
          <w:sz w:val="26"/>
          <w:szCs w:val="26"/>
        </w:rPr>
        <w:t xml:space="preserve"> of the Competition Act</w:t>
      </w:r>
      <w:r w:rsidR="005B0469" w:rsidRPr="005B0469">
        <w:rPr>
          <w:rFonts w:ascii="Times New Roman" w:hAnsi="Times New Roman"/>
          <w:sz w:val="26"/>
          <w:szCs w:val="26"/>
        </w:rPr>
        <w:t xml:space="preserve">, and that we have expressly regulated in Chapters 54 and 111 of </w:t>
      </w:r>
      <w:r w:rsidR="00087ECE">
        <w:rPr>
          <w:rFonts w:ascii="Times New Roman" w:hAnsi="Times New Roman"/>
          <w:sz w:val="26"/>
          <w:szCs w:val="26"/>
        </w:rPr>
        <w:t>ou</w:t>
      </w:r>
      <w:r w:rsidR="005B0469" w:rsidRPr="005B0469">
        <w:rPr>
          <w:rFonts w:ascii="Times New Roman" w:hAnsi="Times New Roman"/>
          <w:sz w:val="26"/>
          <w:szCs w:val="26"/>
        </w:rPr>
        <w:t>r Regulations.</w:t>
      </w:r>
    </w:p>
    <w:p w:rsidR="005B0469" w:rsidRDefault="005B0469" w:rsidP="002F2404">
      <w:pPr>
        <w:ind w:firstLine="1440"/>
        <w:rPr>
          <w:rFonts w:ascii="Times New Roman" w:hAnsi="Times New Roman"/>
          <w:sz w:val="26"/>
          <w:szCs w:val="26"/>
        </w:rPr>
      </w:pPr>
    </w:p>
    <w:p w:rsidR="00E66735" w:rsidRDefault="001C07EA" w:rsidP="002F2404">
      <w:pPr>
        <w:ind w:firstLine="1440"/>
        <w:rPr>
          <w:rFonts w:ascii="Times New Roman" w:hAnsi="Times New Roman"/>
          <w:sz w:val="26"/>
          <w:szCs w:val="26"/>
        </w:rPr>
      </w:pPr>
      <w:r>
        <w:rPr>
          <w:rFonts w:ascii="Times New Roman" w:hAnsi="Times New Roman"/>
          <w:sz w:val="26"/>
          <w:szCs w:val="26"/>
        </w:rPr>
        <w:lastRenderedPageBreak/>
        <w:t xml:space="preserve">We also agree with the ALJ’s finding irrelevant </w:t>
      </w:r>
      <w:r w:rsidR="00E66735" w:rsidRPr="00E66735">
        <w:rPr>
          <w:rFonts w:ascii="Times New Roman" w:hAnsi="Times New Roman"/>
          <w:sz w:val="26"/>
          <w:szCs w:val="26"/>
        </w:rPr>
        <w:t>Respond</w:t>
      </w:r>
      <w:r>
        <w:rPr>
          <w:rFonts w:ascii="Times New Roman" w:hAnsi="Times New Roman"/>
          <w:sz w:val="26"/>
          <w:szCs w:val="26"/>
        </w:rPr>
        <w:t xml:space="preserve">’s argument </w:t>
      </w:r>
      <w:r w:rsidR="00E66735" w:rsidRPr="00E66735">
        <w:rPr>
          <w:rFonts w:ascii="Times New Roman" w:hAnsi="Times New Roman"/>
          <w:sz w:val="26"/>
          <w:szCs w:val="26"/>
        </w:rPr>
        <w:t xml:space="preserve">that </w:t>
      </w:r>
      <w:r>
        <w:rPr>
          <w:rFonts w:ascii="Times New Roman" w:hAnsi="Times New Roman"/>
          <w:sz w:val="26"/>
          <w:szCs w:val="26"/>
        </w:rPr>
        <w:t xml:space="preserve">because </w:t>
      </w:r>
      <w:r w:rsidR="00E66735">
        <w:rPr>
          <w:rFonts w:ascii="Times New Roman" w:hAnsi="Times New Roman"/>
          <w:sz w:val="26"/>
          <w:szCs w:val="26"/>
        </w:rPr>
        <w:t>Mr.</w:t>
      </w:r>
      <w:r>
        <w:rPr>
          <w:rFonts w:ascii="Times New Roman" w:hAnsi="Times New Roman"/>
          <w:sz w:val="26"/>
          <w:szCs w:val="26"/>
        </w:rPr>
        <w:t> </w:t>
      </w:r>
      <w:r w:rsidR="00E66735">
        <w:rPr>
          <w:rFonts w:ascii="Times New Roman" w:hAnsi="Times New Roman"/>
          <w:sz w:val="26"/>
          <w:szCs w:val="26"/>
        </w:rPr>
        <w:t xml:space="preserve">Herp </w:t>
      </w:r>
      <w:r w:rsidR="00AA0AD5" w:rsidRPr="00AA0AD5">
        <w:rPr>
          <w:rFonts w:ascii="Times New Roman" w:hAnsi="Times New Roman"/>
          <w:sz w:val="26"/>
          <w:szCs w:val="26"/>
        </w:rPr>
        <w:t xml:space="preserve">switched from one EGS to another </w:t>
      </w:r>
      <w:r>
        <w:rPr>
          <w:rFonts w:ascii="Times New Roman" w:hAnsi="Times New Roman"/>
          <w:sz w:val="26"/>
          <w:szCs w:val="26"/>
        </w:rPr>
        <w:t xml:space="preserve">he has not proven his entitlement to a refund. </w:t>
      </w:r>
      <w:r w:rsidR="00E66735" w:rsidRPr="00E66735">
        <w:rPr>
          <w:rFonts w:ascii="Times New Roman" w:hAnsi="Times New Roman"/>
          <w:sz w:val="26"/>
          <w:szCs w:val="26"/>
        </w:rPr>
        <w:t xml:space="preserve"> </w:t>
      </w:r>
      <w:proofErr w:type="gramStart"/>
      <w:r w:rsidR="00E66735" w:rsidRPr="00E66735">
        <w:rPr>
          <w:rFonts w:ascii="Times New Roman" w:hAnsi="Times New Roman"/>
          <w:sz w:val="26"/>
          <w:szCs w:val="26"/>
        </w:rPr>
        <w:t>I.D. at 36.</w:t>
      </w:r>
      <w:proofErr w:type="gramEnd"/>
      <w:r w:rsidR="00E66735" w:rsidRPr="00E66735">
        <w:rPr>
          <w:rFonts w:ascii="Times New Roman" w:hAnsi="Times New Roman"/>
          <w:sz w:val="26"/>
          <w:szCs w:val="26"/>
        </w:rPr>
        <w:t xml:space="preserve">  Mr. Herp was not promised a rate lower than the rate he had with his existing EGS; he was promised a rate with Respond that would </w:t>
      </w:r>
      <w:r w:rsidR="00AE66F5">
        <w:rPr>
          <w:rFonts w:ascii="Times New Roman" w:hAnsi="Times New Roman"/>
          <w:sz w:val="26"/>
          <w:szCs w:val="26"/>
        </w:rPr>
        <w:t>n</w:t>
      </w:r>
      <w:r w:rsidR="00E66735" w:rsidRPr="00E66735">
        <w:rPr>
          <w:rFonts w:ascii="Times New Roman" w:hAnsi="Times New Roman"/>
          <w:sz w:val="26"/>
          <w:szCs w:val="26"/>
        </w:rPr>
        <w:t xml:space="preserve">ot exceed </w:t>
      </w:r>
      <w:r w:rsidR="00AE66F5">
        <w:rPr>
          <w:rFonts w:ascii="Times New Roman" w:hAnsi="Times New Roman"/>
          <w:sz w:val="26"/>
          <w:szCs w:val="26"/>
        </w:rPr>
        <w:t>the PTC of his EDC</w:t>
      </w:r>
      <w:r w:rsidR="00E66735" w:rsidRPr="00E66735">
        <w:rPr>
          <w:rFonts w:ascii="Times New Roman" w:hAnsi="Times New Roman"/>
          <w:sz w:val="26"/>
          <w:szCs w:val="26"/>
        </w:rPr>
        <w:t xml:space="preserve">.  </w:t>
      </w:r>
      <w:r>
        <w:rPr>
          <w:rFonts w:ascii="Times New Roman" w:hAnsi="Times New Roman"/>
          <w:sz w:val="26"/>
          <w:szCs w:val="26"/>
        </w:rPr>
        <w:t xml:space="preserve">The fact that he switched from one </w:t>
      </w:r>
      <w:r w:rsidR="00E66735" w:rsidRPr="00E66735">
        <w:rPr>
          <w:rFonts w:ascii="Times New Roman" w:hAnsi="Times New Roman"/>
          <w:sz w:val="26"/>
          <w:szCs w:val="26"/>
        </w:rPr>
        <w:t>EGS</w:t>
      </w:r>
      <w:r>
        <w:rPr>
          <w:rFonts w:ascii="Times New Roman" w:hAnsi="Times New Roman"/>
          <w:sz w:val="26"/>
          <w:szCs w:val="26"/>
        </w:rPr>
        <w:t xml:space="preserve"> to another </w:t>
      </w:r>
      <w:r w:rsidR="00AE66F5">
        <w:rPr>
          <w:rFonts w:ascii="Times New Roman" w:hAnsi="Times New Roman"/>
          <w:sz w:val="26"/>
          <w:szCs w:val="26"/>
        </w:rPr>
        <w:t xml:space="preserve">has no bearing on the misrepresentation of promised savings made to him by </w:t>
      </w:r>
      <w:r w:rsidR="00E66735" w:rsidRPr="00E66735">
        <w:rPr>
          <w:rFonts w:ascii="Times New Roman" w:hAnsi="Times New Roman"/>
          <w:sz w:val="26"/>
          <w:szCs w:val="26"/>
        </w:rPr>
        <w:t>Respond</w:t>
      </w:r>
      <w:r w:rsidR="00AE66F5">
        <w:rPr>
          <w:rFonts w:ascii="Times New Roman" w:hAnsi="Times New Roman"/>
          <w:sz w:val="26"/>
          <w:szCs w:val="26"/>
        </w:rPr>
        <w:t>’s agent</w:t>
      </w:r>
      <w:r w:rsidR="00087ECE">
        <w:rPr>
          <w:rFonts w:ascii="Times New Roman" w:hAnsi="Times New Roman"/>
          <w:sz w:val="26"/>
          <w:szCs w:val="26"/>
        </w:rPr>
        <w:t xml:space="preserve"> by comparison to West Penn’s PTC</w:t>
      </w:r>
      <w:r w:rsidR="00AE66F5">
        <w:rPr>
          <w:rFonts w:ascii="Times New Roman" w:hAnsi="Times New Roman"/>
          <w:sz w:val="26"/>
          <w:szCs w:val="26"/>
        </w:rPr>
        <w:t>.  Equally irrelevant is Respond’s conjecture that had he stayed with the other EGS, Mr. Herp’s rates likely would have increased as well.  The rate he was offered by Respond had nothing to do with the rate he was then paying</w:t>
      </w:r>
      <w:r w:rsidR="00AE3D2C">
        <w:rPr>
          <w:rFonts w:ascii="Times New Roman" w:hAnsi="Times New Roman"/>
          <w:sz w:val="26"/>
          <w:szCs w:val="26"/>
        </w:rPr>
        <w:t>.  R</w:t>
      </w:r>
      <w:r w:rsidR="00AE66F5">
        <w:rPr>
          <w:rFonts w:ascii="Times New Roman" w:hAnsi="Times New Roman"/>
          <w:sz w:val="26"/>
          <w:szCs w:val="26"/>
        </w:rPr>
        <w:t xml:space="preserve">ather, it was </w:t>
      </w:r>
      <w:r w:rsidR="00AE3D2C">
        <w:rPr>
          <w:rFonts w:ascii="Times New Roman" w:hAnsi="Times New Roman"/>
          <w:sz w:val="26"/>
          <w:szCs w:val="26"/>
        </w:rPr>
        <w:t xml:space="preserve">marketed </w:t>
      </w:r>
      <w:r w:rsidR="00AE66F5">
        <w:rPr>
          <w:rFonts w:ascii="Times New Roman" w:hAnsi="Times New Roman"/>
          <w:sz w:val="26"/>
          <w:szCs w:val="26"/>
        </w:rPr>
        <w:t xml:space="preserve">by Respond’s agent as a variable rate capped at West Penn’s PTC.  Were we to hold </w:t>
      </w:r>
      <w:r w:rsidR="00AE3D2C">
        <w:rPr>
          <w:rFonts w:ascii="Times New Roman" w:hAnsi="Times New Roman"/>
          <w:sz w:val="26"/>
          <w:szCs w:val="26"/>
        </w:rPr>
        <w:t>that Mr. Herp was not entitled to consumer protections simply because he was already a shopping customer, particularly given Respond’s agent’s marketing of Respond’s rate as compared to West Penn’s, w</w:t>
      </w:r>
      <w:r w:rsidR="00AE66F5">
        <w:rPr>
          <w:rFonts w:ascii="Times New Roman" w:hAnsi="Times New Roman"/>
          <w:sz w:val="26"/>
          <w:szCs w:val="26"/>
        </w:rPr>
        <w:t xml:space="preserve">e would </w:t>
      </w:r>
      <w:r w:rsidR="00AE3D2C">
        <w:rPr>
          <w:rFonts w:ascii="Times New Roman" w:hAnsi="Times New Roman"/>
          <w:sz w:val="26"/>
          <w:szCs w:val="26"/>
        </w:rPr>
        <w:t xml:space="preserve">create an unreasonable distinction between shopping and non-shopping </w:t>
      </w:r>
      <w:r w:rsidR="00AE66F5">
        <w:rPr>
          <w:rFonts w:ascii="Times New Roman" w:hAnsi="Times New Roman"/>
          <w:sz w:val="26"/>
          <w:szCs w:val="26"/>
        </w:rPr>
        <w:t>customer</w:t>
      </w:r>
      <w:r w:rsidR="00AE3D2C">
        <w:rPr>
          <w:rFonts w:ascii="Times New Roman" w:hAnsi="Times New Roman"/>
          <w:sz w:val="26"/>
          <w:szCs w:val="26"/>
        </w:rPr>
        <w:t xml:space="preserve">s, denying the former </w:t>
      </w:r>
      <w:r w:rsidR="00AE66F5">
        <w:rPr>
          <w:rFonts w:ascii="Times New Roman" w:hAnsi="Times New Roman"/>
          <w:sz w:val="26"/>
          <w:szCs w:val="26"/>
        </w:rPr>
        <w:t xml:space="preserve">all the protections from deceptive marketing our Regulations are intended to provide.  That result makes no sense and would unreasonably discriminate between those customers already shopping and those shopping for the first time. Our consumer protections </w:t>
      </w:r>
      <w:r w:rsidR="00AE3D2C">
        <w:rPr>
          <w:rFonts w:ascii="Times New Roman" w:hAnsi="Times New Roman"/>
          <w:sz w:val="26"/>
          <w:szCs w:val="26"/>
        </w:rPr>
        <w:t>are not “once and done” in effect</w:t>
      </w:r>
      <w:r w:rsidR="00AE66F5">
        <w:rPr>
          <w:rFonts w:ascii="Times New Roman" w:hAnsi="Times New Roman"/>
          <w:sz w:val="26"/>
          <w:szCs w:val="26"/>
        </w:rPr>
        <w:t>.</w:t>
      </w:r>
    </w:p>
    <w:p w:rsidR="00E66735" w:rsidRDefault="00E66735" w:rsidP="002F2404">
      <w:pPr>
        <w:ind w:firstLine="1440"/>
        <w:rPr>
          <w:rFonts w:ascii="Times New Roman" w:hAnsi="Times New Roman"/>
          <w:sz w:val="26"/>
          <w:szCs w:val="26"/>
        </w:rPr>
      </w:pPr>
    </w:p>
    <w:p w:rsidR="00FE144A" w:rsidRPr="004E5C2B" w:rsidRDefault="00BA7AD5" w:rsidP="00B54A65">
      <w:pPr>
        <w:ind w:firstLine="1440"/>
        <w:rPr>
          <w:rFonts w:ascii="Times New Roman" w:hAnsi="Times New Roman"/>
          <w:sz w:val="26"/>
          <w:szCs w:val="26"/>
        </w:rPr>
      </w:pPr>
      <w:r w:rsidRPr="004E5C2B">
        <w:rPr>
          <w:rFonts w:ascii="Times New Roman" w:hAnsi="Times New Roman"/>
          <w:sz w:val="26"/>
          <w:szCs w:val="26"/>
        </w:rPr>
        <w:t xml:space="preserve">Accordingly, we </w:t>
      </w:r>
      <w:r w:rsidR="000B2D0C" w:rsidRPr="004E5C2B">
        <w:rPr>
          <w:rFonts w:ascii="Times New Roman" w:hAnsi="Times New Roman"/>
          <w:sz w:val="26"/>
          <w:szCs w:val="26"/>
        </w:rPr>
        <w:t>deny</w:t>
      </w:r>
      <w:r w:rsidR="00936C5F" w:rsidRPr="004E5C2B">
        <w:rPr>
          <w:rFonts w:ascii="Times New Roman" w:hAnsi="Times New Roman"/>
          <w:sz w:val="26"/>
          <w:szCs w:val="26"/>
        </w:rPr>
        <w:t xml:space="preserve"> </w:t>
      </w:r>
      <w:r w:rsidRPr="004E5C2B">
        <w:rPr>
          <w:rFonts w:ascii="Times New Roman" w:hAnsi="Times New Roman"/>
          <w:sz w:val="26"/>
          <w:szCs w:val="26"/>
        </w:rPr>
        <w:t>Respo</w:t>
      </w:r>
      <w:r w:rsidR="00922D5C" w:rsidRPr="004E5C2B">
        <w:rPr>
          <w:rFonts w:ascii="Times New Roman" w:hAnsi="Times New Roman"/>
          <w:sz w:val="26"/>
          <w:szCs w:val="26"/>
        </w:rPr>
        <w:t>nd</w:t>
      </w:r>
      <w:r w:rsidR="000B2D0C" w:rsidRPr="004E5C2B">
        <w:rPr>
          <w:rFonts w:ascii="Times New Roman" w:hAnsi="Times New Roman"/>
          <w:sz w:val="26"/>
          <w:szCs w:val="26"/>
        </w:rPr>
        <w:t>’s</w:t>
      </w:r>
      <w:r w:rsidR="00922D5C" w:rsidRPr="004E5C2B">
        <w:rPr>
          <w:rFonts w:ascii="Times New Roman" w:hAnsi="Times New Roman"/>
          <w:sz w:val="26"/>
          <w:szCs w:val="26"/>
        </w:rPr>
        <w:t xml:space="preserve"> </w:t>
      </w:r>
      <w:r w:rsidR="000B2D0C" w:rsidRPr="004E5C2B">
        <w:rPr>
          <w:rFonts w:ascii="Times New Roman" w:hAnsi="Times New Roman"/>
          <w:sz w:val="26"/>
          <w:szCs w:val="26"/>
        </w:rPr>
        <w:t xml:space="preserve">Exception </w:t>
      </w:r>
      <w:r w:rsidR="00AE3D2C">
        <w:rPr>
          <w:rFonts w:ascii="Times New Roman" w:hAnsi="Times New Roman"/>
          <w:sz w:val="26"/>
          <w:szCs w:val="26"/>
        </w:rPr>
        <w:t>No. 3</w:t>
      </w:r>
      <w:r w:rsidR="00922D5C" w:rsidRPr="004E5C2B">
        <w:rPr>
          <w:rFonts w:ascii="Times New Roman" w:hAnsi="Times New Roman"/>
          <w:sz w:val="26"/>
          <w:szCs w:val="26"/>
        </w:rPr>
        <w:t xml:space="preserve"> and </w:t>
      </w:r>
      <w:r w:rsidR="000B2D0C" w:rsidRPr="004E5C2B">
        <w:rPr>
          <w:rFonts w:ascii="Times New Roman" w:hAnsi="Times New Roman"/>
          <w:sz w:val="26"/>
          <w:szCs w:val="26"/>
        </w:rPr>
        <w:t xml:space="preserve">adopt, as modified with respect to </w:t>
      </w:r>
      <w:r w:rsidR="00180491">
        <w:rPr>
          <w:rFonts w:ascii="Times New Roman" w:hAnsi="Times New Roman"/>
          <w:sz w:val="26"/>
          <w:szCs w:val="26"/>
        </w:rPr>
        <w:t xml:space="preserve">rejection of </w:t>
      </w:r>
      <w:r w:rsidR="000B2D0C" w:rsidRPr="004E5C2B">
        <w:rPr>
          <w:rFonts w:ascii="Times New Roman" w:hAnsi="Times New Roman"/>
          <w:sz w:val="26"/>
          <w:szCs w:val="26"/>
        </w:rPr>
        <w:t xml:space="preserve">the ALJ’s reliance on Section 1312 of the Code, </w:t>
      </w:r>
      <w:r w:rsidR="00922D5C" w:rsidRPr="004E5C2B">
        <w:rPr>
          <w:rFonts w:ascii="Times New Roman" w:hAnsi="Times New Roman"/>
          <w:sz w:val="26"/>
          <w:szCs w:val="26"/>
        </w:rPr>
        <w:t>th</w:t>
      </w:r>
      <w:r w:rsidR="00946BAF">
        <w:rPr>
          <w:rFonts w:ascii="Times New Roman" w:hAnsi="Times New Roman"/>
          <w:sz w:val="26"/>
          <w:szCs w:val="26"/>
        </w:rPr>
        <w:t>e</w:t>
      </w:r>
      <w:r w:rsidR="00922D5C" w:rsidRPr="004E5C2B">
        <w:rPr>
          <w:rFonts w:ascii="Times New Roman" w:hAnsi="Times New Roman"/>
          <w:sz w:val="26"/>
          <w:szCs w:val="26"/>
        </w:rPr>
        <w:t xml:space="preserve"> ALJ’s </w:t>
      </w:r>
      <w:r w:rsidR="00946BAF">
        <w:rPr>
          <w:rFonts w:ascii="Times New Roman" w:hAnsi="Times New Roman"/>
          <w:sz w:val="26"/>
          <w:szCs w:val="26"/>
        </w:rPr>
        <w:t xml:space="preserve">direction that </w:t>
      </w:r>
      <w:r w:rsidR="00936C5F" w:rsidRPr="004E5C2B">
        <w:rPr>
          <w:rFonts w:ascii="Times New Roman" w:hAnsi="Times New Roman"/>
          <w:sz w:val="26"/>
          <w:szCs w:val="26"/>
        </w:rPr>
        <w:t xml:space="preserve">Respond </w:t>
      </w:r>
      <w:r w:rsidRPr="004E5C2B">
        <w:rPr>
          <w:rFonts w:ascii="Times New Roman" w:hAnsi="Times New Roman"/>
          <w:sz w:val="26"/>
          <w:szCs w:val="26"/>
        </w:rPr>
        <w:t>provide a refund to the Complainant.</w:t>
      </w:r>
      <w:r w:rsidR="00A20D40">
        <w:rPr>
          <w:rFonts w:ascii="Times New Roman" w:hAnsi="Times New Roman"/>
          <w:sz w:val="26"/>
          <w:szCs w:val="26"/>
        </w:rPr>
        <w:t xml:space="preserve">  We note, however, that the record indicates that Mr. Herp has not paid </w:t>
      </w:r>
      <w:r w:rsidR="00A97AD4">
        <w:rPr>
          <w:rFonts w:ascii="Times New Roman" w:hAnsi="Times New Roman"/>
          <w:sz w:val="26"/>
          <w:szCs w:val="26"/>
        </w:rPr>
        <w:t>his</w:t>
      </w:r>
      <w:r w:rsidR="00A20D40">
        <w:rPr>
          <w:rFonts w:ascii="Times New Roman" w:hAnsi="Times New Roman"/>
          <w:sz w:val="26"/>
          <w:szCs w:val="26"/>
        </w:rPr>
        <w:t xml:space="preserve"> disputed bills</w:t>
      </w:r>
      <w:r w:rsidR="00A97AD4">
        <w:rPr>
          <w:rFonts w:ascii="Times New Roman" w:hAnsi="Times New Roman"/>
          <w:sz w:val="26"/>
          <w:szCs w:val="26"/>
        </w:rPr>
        <w:t xml:space="preserve"> with Respond</w:t>
      </w:r>
      <w:r w:rsidR="00A20D40">
        <w:rPr>
          <w:rFonts w:ascii="Times New Roman" w:hAnsi="Times New Roman"/>
          <w:sz w:val="26"/>
          <w:szCs w:val="26"/>
        </w:rPr>
        <w:t xml:space="preserve">.  </w:t>
      </w:r>
      <w:r w:rsidR="00A97AD4">
        <w:rPr>
          <w:rFonts w:ascii="Times New Roman" w:hAnsi="Times New Roman"/>
          <w:sz w:val="26"/>
          <w:szCs w:val="26"/>
        </w:rPr>
        <w:t xml:space="preserve">Tr. at 36-37.  In the event </w:t>
      </w:r>
      <w:r w:rsidR="00A20D40">
        <w:rPr>
          <w:rFonts w:ascii="Times New Roman" w:hAnsi="Times New Roman"/>
          <w:sz w:val="26"/>
          <w:szCs w:val="26"/>
        </w:rPr>
        <w:t xml:space="preserve">those bills remain unpaid, in lieu of a refund, we direct </w:t>
      </w:r>
      <w:proofErr w:type="gramStart"/>
      <w:r w:rsidR="00A20D40">
        <w:rPr>
          <w:rFonts w:ascii="Times New Roman" w:hAnsi="Times New Roman"/>
          <w:sz w:val="26"/>
          <w:szCs w:val="26"/>
        </w:rPr>
        <w:t>Respond</w:t>
      </w:r>
      <w:proofErr w:type="gramEnd"/>
      <w:r w:rsidR="00A20D40">
        <w:rPr>
          <w:rFonts w:ascii="Times New Roman" w:hAnsi="Times New Roman"/>
          <w:sz w:val="26"/>
          <w:szCs w:val="26"/>
        </w:rPr>
        <w:t xml:space="preserve"> to rebill Mr. Herp for the months November 2013 through March 2014 at the EGS’ applicable rate capped </w:t>
      </w:r>
      <w:r w:rsidR="00AE3D2C">
        <w:rPr>
          <w:rFonts w:ascii="Times New Roman" w:hAnsi="Times New Roman"/>
          <w:sz w:val="26"/>
          <w:szCs w:val="26"/>
        </w:rPr>
        <w:t>at</w:t>
      </w:r>
      <w:r w:rsidR="00A20D40">
        <w:rPr>
          <w:rFonts w:ascii="Times New Roman" w:hAnsi="Times New Roman"/>
          <w:sz w:val="26"/>
          <w:szCs w:val="26"/>
        </w:rPr>
        <w:t xml:space="preserve"> the then-effective West Penn PTC.</w:t>
      </w:r>
    </w:p>
    <w:p w:rsidR="000E73AC" w:rsidRPr="004E5C2B" w:rsidRDefault="000E73AC" w:rsidP="00DE68FB">
      <w:pPr>
        <w:pStyle w:val="BodyFirst1SS"/>
        <w:spacing w:line="360" w:lineRule="auto"/>
        <w:jc w:val="left"/>
        <w:rPr>
          <w:sz w:val="26"/>
          <w:szCs w:val="26"/>
        </w:rPr>
      </w:pPr>
    </w:p>
    <w:p w:rsidR="005901AD" w:rsidRPr="008518FD" w:rsidRDefault="000E73AC" w:rsidP="00F531DC">
      <w:pPr>
        <w:pStyle w:val="BodyFirst1SS"/>
        <w:keepNext/>
        <w:keepLines/>
        <w:spacing w:line="360" w:lineRule="auto"/>
        <w:ind w:firstLine="0"/>
        <w:jc w:val="left"/>
        <w:rPr>
          <w:sz w:val="26"/>
          <w:szCs w:val="26"/>
        </w:rPr>
      </w:pPr>
      <w:r w:rsidRPr="004E5C2B">
        <w:rPr>
          <w:b/>
          <w:sz w:val="26"/>
          <w:szCs w:val="26"/>
        </w:rPr>
        <w:lastRenderedPageBreak/>
        <w:tab/>
      </w:r>
      <w:r w:rsidR="00185A7C" w:rsidRPr="004E5C2B">
        <w:rPr>
          <w:b/>
          <w:sz w:val="26"/>
          <w:szCs w:val="26"/>
        </w:rPr>
        <w:t>4.</w:t>
      </w:r>
      <w:r w:rsidR="00185A7C" w:rsidRPr="004E5C2B">
        <w:rPr>
          <w:b/>
          <w:sz w:val="26"/>
          <w:szCs w:val="26"/>
        </w:rPr>
        <w:tab/>
        <w:t>Respond’s Exception No. 4</w:t>
      </w:r>
      <w:r w:rsidRPr="004E5C2B">
        <w:rPr>
          <w:b/>
          <w:sz w:val="26"/>
          <w:szCs w:val="26"/>
        </w:rPr>
        <w:t xml:space="preserve"> –</w:t>
      </w:r>
      <w:r w:rsidR="00245F43">
        <w:rPr>
          <w:b/>
          <w:sz w:val="26"/>
          <w:szCs w:val="26"/>
        </w:rPr>
        <w:t xml:space="preserve"> </w:t>
      </w:r>
      <w:r w:rsidRPr="004E5C2B">
        <w:rPr>
          <w:b/>
          <w:sz w:val="26"/>
          <w:szCs w:val="26"/>
        </w:rPr>
        <w:t>Violations</w:t>
      </w:r>
    </w:p>
    <w:p w:rsidR="005901AD" w:rsidRPr="008518FD" w:rsidRDefault="005901AD" w:rsidP="00F531DC">
      <w:pPr>
        <w:pStyle w:val="ListParagraph"/>
        <w:keepNext/>
        <w:keepLines/>
        <w:ind w:left="1080"/>
        <w:rPr>
          <w:rFonts w:ascii="Times New Roman" w:hAnsi="Times New Roman"/>
          <w:sz w:val="26"/>
          <w:szCs w:val="26"/>
        </w:rPr>
      </w:pPr>
    </w:p>
    <w:p w:rsidR="005901AD" w:rsidRPr="008518FD" w:rsidRDefault="00185A7C" w:rsidP="00F531DC">
      <w:pPr>
        <w:keepNext/>
        <w:keepLines/>
        <w:ind w:left="720" w:firstLine="720"/>
        <w:rPr>
          <w:rFonts w:ascii="Times New Roman" w:hAnsi="Times New Roman"/>
          <w:sz w:val="26"/>
          <w:szCs w:val="26"/>
        </w:rPr>
      </w:pPr>
      <w:r w:rsidRPr="004E5C2B">
        <w:rPr>
          <w:rFonts w:ascii="Times New Roman" w:hAnsi="Times New Roman"/>
          <w:b/>
          <w:sz w:val="26"/>
          <w:szCs w:val="26"/>
        </w:rPr>
        <w:t>a.</w:t>
      </w:r>
      <w:r w:rsidRPr="004E5C2B">
        <w:rPr>
          <w:rFonts w:ascii="Times New Roman" w:hAnsi="Times New Roman"/>
          <w:b/>
          <w:sz w:val="26"/>
          <w:szCs w:val="26"/>
        </w:rPr>
        <w:tab/>
      </w:r>
      <w:r w:rsidR="005901AD" w:rsidRPr="004E5C2B">
        <w:rPr>
          <w:rFonts w:ascii="Times New Roman" w:hAnsi="Times New Roman"/>
          <w:b/>
          <w:sz w:val="26"/>
          <w:szCs w:val="26"/>
        </w:rPr>
        <w:t xml:space="preserve">ALJ’s </w:t>
      </w:r>
      <w:r w:rsidR="009A445B">
        <w:rPr>
          <w:rFonts w:ascii="Times New Roman" w:hAnsi="Times New Roman"/>
          <w:b/>
          <w:sz w:val="26"/>
          <w:szCs w:val="26"/>
        </w:rPr>
        <w:t>Initial Decision</w:t>
      </w:r>
    </w:p>
    <w:p w:rsidR="008C1C00" w:rsidRPr="008518FD" w:rsidRDefault="008C1C00" w:rsidP="00F531DC">
      <w:pPr>
        <w:pStyle w:val="ListParagraph"/>
        <w:keepNext/>
        <w:keepLines/>
        <w:rPr>
          <w:rFonts w:ascii="Times New Roman" w:hAnsi="Times New Roman"/>
          <w:sz w:val="26"/>
          <w:szCs w:val="26"/>
        </w:rPr>
      </w:pPr>
    </w:p>
    <w:p w:rsidR="0030345F" w:rsidRDefault="00946BAF" w:rsidP="000011C3">
      <w:pPr>
        <w:ind w:firstLine="1440"/>
        <w:rPr>
          <w:rFonts w:ascii="Times New Roman" w:hAnsi="Times New Roman"/>
          <w:sz w:val="26"/>
          <w:szCs w:val="26"/>
        </w:rPr>
      </w:pPr>
      <w:r>
        <w:rPr>
          <w:rFonts w:ascii="Times New Roman" w:hAnsi="Times New Roman"/>
          <w:sz w:val="26"/>
          <w:szCs w:val="26"/>
        </w:rPr>
        <w:t>Ba</w:t>
      </w:r>
      <w:r w:rsidR="00BE7B30">
        <w:rPr>
          <w:rFonts w:ascii="Times New Roman" w:hAnsi="Times New Roman"/>
          <w:sz w:val="26"/>
          <w:szCs w:val="26"/>
        </w:rPr>
        <w:t>sed up</w:t>
      </w:r>
      <w:r w:rsidR="00D7419C">
        <w:rPr>
          <w:rFonts w:ascii="Times New Roman" w:hAnsi="Times New Roman"/>
          <w:sz w:val="26"/>
          <w:szCs w:val="26"/>
        </w:rPr>
        <w:t xml:space="preserve">on her </w:t>
      </w:r>
      <w:r w:rsidR="00A97AD4">
        <w:rPr>
          <w:rFonts w:ascii="Times New Roman" w:hAnsi="Times New Roman"/>
          <w:sz w:val="26"/>
          <w:szCs w:val="26"/>
        </w:rPr>
        <w:t>finding</w:t>
      </w:r>
      <w:r w:rsidR="00D7419C">
        <w:rPr>
          <w:rFonts w:ascii="Times New Roman" w:hAnsi="Times New Roman"/>
          <w:sz w:val="26"/>
          <w:szCs w:val="26"/>
        </w:rPr>
        <w:t xml:space="preserve"> that Respond’s agent used an unapproved disclosure statement that contained misleading and poorly written language, the </w:t>
      </w:r>
      <w:r w:rsidR="00BE7B30">
        <w:rPr>
          <w:rFonts w:ascii="Times New Roman" w:hAnsi="Times New Roman"/>
          <w:sz w:val="26"/>
          <w:szCs w:val="26"/>
        </w:rPr>
        <w:t xml:space="preserve">ALJ </w:t>
      </w:r>
      <w:r w:rsidR="008C1C00" w:rsidRPr="00920008">
        <w:rPr>
          <w:rFonts w:ascii="Times New Roman" w:hAnsi="Times New Roman"/>
          <w:sz w:val="26"/>
          <w:szCs w:val="26"/>
        </w:rPr>
        <w:t xml:space="preserve">concluded that Respond violated </w:t>
      </w:r>
      <w:r w:rsidR="00D7419C">
        <w:rPr>
          <w:rFonts w:ascii="Times New Roman" w:hAnsi="Times New Roman"/>
          <w:sz w:val="26"/>
          <w:szCs w:val="26"/>
        </w:rPr>
        <w:t xml:space="preserve">the Commission’s </w:t>
      </w:r>
      <w:r w:rsidR="00D7419C">
        <w:rPr>
          <w:rFonts w:ascii="Times New Roman" w:hAnsi="Times New Roman"/>
          <w:i/>
          <w:sz w:val="26"/>
          <w:szCs w:val="26"/>
        </w:rPr>
        <w:t xml:space="preserve">License </w:t>
      </w:r>
      <w:r w:rsidR="00D7419C" w:rsidRPr="00D7419C">
        <w:rPr>
          <w:rFonts w:ascii="Times New Roman" w:hAnsi="Times New Roman"/>
          <w:i/>
          <w:sz w:val="26"/>
          <w:szCs w:val="26"/>
        </w:rPr>
        <w:t>Order</w:t>
      </w:r>
      <w:r w:rsidR="00D7419C" w:rsidRPr="00D7419C">
        <w:rPr>
          <w:rFonts w:ascii="Times New Roman" w:hAnsi="Times New Roman"/>
          <w:sz w:val="26"/>
          <w:szCs w:val="26"/>
        </w:rPr>
        <w:t>.</w:t>
      </w:r>
      <w:r w:rsidR="00D7419C">
        <w:rPr>
          <w:rFonts w:ascii="Times New Roman" w:hAnsi="Times New Roman"/>
          <w:sz w:val="26"/>
          <w:szCs w:val="26"/>
        </w:rPr>
        <w:t xml:space="preserve">  </w:t>
      </w:r>
      <w:proofErr w:type="gramStart"/>
      <w:r w:rsidR="00D7419C">
        <w:rPr>
          <w:rFonts w:ascii="Times New Roman" w:hAnsi="Times New Roman"/>
          <w:sz w:val="26"/>
          <w:szCs w:val="26"/>
        </w:rPr>
        <w:t>I.D. at 24.</w:t>
      </w:r>
      <w:proofErr w:type="gramEnd"/>
      <w:r w:rsidR="00D7419C">
        <w:rPr>
          <w:rFonts w:ascii="Times New Roman" w:hAnsi="Times New Roman"/>
          <w:sz w:val="26"/>
          <w:szCs w:val="26"/>
        </w:rPr>
        <w:t xml:space="preserve">  </w:t>
      </w:r>
      <w:r>
        <w:rPr>
          <w:rFonts w:ascii="Times New Roman" w:hAnsi="Times New Roman"/>
          <w:sz w:val="26"/>
          <w:szCs w:val="26"/>
        </w:rPr>
        <w:t xml:space="preserve">Comparing </w:t>
      </w:r>
      <w:r w:rsidR="0030345F">
        <w:rPr>
          <w:rFonts w:ascii="Times New Roman" w:hAnsi="Times New Roman"/>
          <w:sz w:val="26"/>
          <w:szCs w:val="26"/>
        </w:rPr>
        <w:t>the Affiliate Disclosure Statement provided to Mr.</w:t>
      </w:r>
      <w:r>
        <w:rPr>
          <w:rFonts w:ascii="Times New Roman" w:hAnsi="Times New Roman"/>
          <w:sz w:val="26"/>
          <w:szCs w:val="26"/>
        </w:rPr>
        <w:t> </w:t>
      </w:r>
      <w:r w:rsidR="0030345F">
        <w:rPr>
          <w:rFonts w:ascii="Times New Roman" w:hAnsi="Times New Roman"/>
          <w:sz w:val="26"/>
          <w:szCs w:val="26"/>
        </w:rPr>
        <w:t xml:space="preserve">Herp and the Draft Disclosure Statement attached to Respond’s initial license application, the ALJ concluded that Respond </w:t>
      </w:r>
      <w:r>
        <w:rPr>
          <w:rFonts w:ascii="Times New Roman" w:hAnsi="Times New Roman"/>
          <w:sz w:val="26"/>
          <w:szCs w:val="26"/>
        </w:rPr>
        <w:t xml:space="preserve">also </w:t>
      </w:r>
      <w:r w:rsidR="0030345F">
        <w:rPr>
          <w:rFonts w:ascii="Times New Roman" w:hAnsi="Times New Roman"/>
          <w:sz w:val="26"/>
          <w:szCs w:val="26"/>
        </w:rPr>
        <w:t>violated Section 54.5(c</w:t>
      </w:r>
      <w:proofErr w:type="gramStart"/>
      <w:r w:rsidR="0030345F">
        <w:rPr>
          <w:rFonts w:ascii="Times New Roman" w:hAnsi="Times New Roman"/>
          <w:sz w:val="26"/>
          <w:szCs w:val="26"/>
        </w:rPr>
        <w:t>)(</w:t>
      </w:r>
      <w:proofErr w:type="gramEnd"/>
      <w:r w:rsidR="0030345F">
        <w:rPr>
          <w:rFonts w:ascii="Times New Roman" w:hAnsi="Times New Roman"/>
          <w:sz w:val="26"/>
          <w:szCs w:val="26"/>
        </w:rPr>
        <w:t xml:space="preserve">10), requiring an explanation of penalties, fees, or exceptions in differing font size.  </w:t>
      </w:r>
      <w:proofErr w:type="gramStart"/>
      <w:r w:rsidR="0030345F">
        <w:rPr>
          <w:rFonts w:ascii="Times New Roman" w:hAnsi="Times New Roman"/>
          <w:i/>
          <w:sz w:val="26"/>
          <w:szCs w:val="26"/>
        </w:rPr>
        <w:t>Id.</w:t>
      </w:r>
      <w:r w:rsidR="0030345F">
        <w:rPr>
          <w:rFonts w:ascii="Times New Roman" w:hAnsi="Times New Roman"/>
          <w:sz w:val="26"/>
          <w:szCs w:val="26"/>
        </w:rPr>
        <w:t xml:space="preserve"> at 37.</w:t>
      </w:r>
      <w:proofErr w:type="gramEnd"/>
    </w:p>
    <w:p w:rsidR="0030345F" w:rsidRDefault="0030345F" w:rsidP="000011C3">
      <w:pPr>
        <w:ind w:firstLine="1440"/>
        <w:rPr>
          <w:rFonts w:ascii="Times New Roman" w:hAnsi="Times New Roman"/>
          <w:sz w:val="26"/>
          <w:szCs w:val="26"/>
        </w:rPr>
      </w:pPr>
    </w:p>
    <w:p w:rsidR="00920008" w:rsidRDefault="0030345F" w:rsidP="000011C3">
      <w:pPr>
        <w:ind w:firstLine="1440"/>
        <w:rPr>
          <w:rFonts w:ascii="Times New Roman" w:hAnsi="Times New Roman"/>
          <w:sz w:val="26"/>
          <w:szCs w:val="26"/>
        </w:rPr>
      </w:pPr>
      <w:r w:rsidRPr="0030345F">
        <w:rPr>
          <w:rFonts w:ascii="Times New Roman" w:hAnsi="Times New Roman"/>
          <w:sz w:val="26"/>
          <w:szCs w:val="26"/>
        </w:rPr>
        <w:t>The ALJ also found that while the Complainant had entered into a variable rate contract, the terms and conditions of the contract were not clear</w:t>
      </w:r>
      <w:r w:rsidR="00946BAF">
        <w:rPr>
          <w:rFonts w:ascii="Times New Roman" w:hAnsi="Times New Roman"/>
          <w:sz w:val="26"/>
          <w:szCs w:val="26"/>
        </w:rPr>
        <w:t xml:space="preserve"> and that M</w:t>
      </w:r>
      <w:r w:rsidRPr="0030345F">
        <w:rPr>
          <w:rFonts w:ascii="Times New Roman" w:hAnsi="Times New Roman"/>
          <w:sz w:val="26"/>
          <w:szCs w:val="26"/>
        </w:rPr>
        <w:t xml:space="preserve">r. Herp’s </w:t>
      </w:r>
      <w:r w:rsidR="00946BAF">
        <w:rPr>
          <w:rFonts w:ascii="Times New Roman" w:hAnsi="Times New Roman"/>
          <w:sz w:val="26"/>
          <w:szCs w:val="26"/>
        </w:rPr>
        <w:t>evidence</w:t>
      </w:r>
      <w:r w:rsidR="003E6A20">
        <w:rPr>
          <w:rFonts w:ascii="Times New Roman" w:hAnsi="Times New Roman"/>
          <w:sz w:val="26"/>
          <w:szCs w:val="26"/>
        </w:rPr>
        <w:t>, which Respond insufficiently refuted,</w:t>
      </w:r>
      <w:r w:rsidR="00946BAF">
        <w:rPr>
          <w:rFonts w:ascii="Times New Roman" w:hAnsi="Times New Roman"/>
          <w:sz w:val="26"/>
          <w:szCs w:val="26"/>
        </w:rPr>
        <w:t xml:space="preserve"> </w:t>
      </w:r>
      <w:r w:rsidRPr="0030345F">
        <w:rPr>
          <w:rFonts w:ascii="Times New Roman" w:hAnsi="Times New Roman"/>
          <w:sz w:val="26"/>
          <w:szCs w:val="26"/>
        </w:rPr>
        <w:t xml:space="preserve">supported a finding </w:t>
      </w:r>
      <w:r w:rsidR="003E6A20">
        <w:rPr>
          <w:rFonts w:ascii="Times New Roman" w:hAnsi="Times New Roman"/>
          <w:sz w:val="26"/>
          <w:szCs w:val="26"/>
        </w:rPr>
        <w:t xml:space="preserve">that </w:t>
      </w:r>
      <w:r w:rsidRPr="0030345F">
        <w:rPr>
          <w:rFonts w:ascii="Times New Roman" w:hAnsi="Times New Roman"/>
          <w:sz w:val="26"/>
          <w:szCs w:val="26"/>
        </w:rPr>
        <w:t xml:space="preserve">Respond’s agent promised monthly savings in comparison to West Penn’s PTC in conflict with the disclosure statement and service agreement.  </w:t>
      </w:r>
      <w:proofErr w:type="gramStart"/>
      <w:r w:rsidRPr="0030345F">
        <w:rPr>
          <w:rFonts w:ascii="Times New Roman" w:hAnsi="Times New Roman"/>
          <w:i/>
          <w:sz w:val="26"/>
          <w:szCs w:val="26"/>
        </w:rPr>
        <w:t>Id.</w:t>
      </w:r>
      <w:r w:rsidRPr="0030345F">
        <w:rPr>
          <w:rFonts w:ascii="Times New Roman" w:hAnsi="Times New Roman"/>
          <w:sz w:val="26"/>
          <w:szCs w:val="26"/>
        </w:rPr>
        <w:t xml:space="preserve"> at 32.</w:t>
      </w:r>
      <w:proofErr w:type="gramEnd"/>
      <w:r w:rsidRPr="0030345F">
        <w:rPr>
          <w:rFonts w:ascii="Times New Roman" w:hAnsi="Times New Roman"/>
          <w:sz w:val="26"/>
          <w:szCs w:val="26"/>
        </w:rPr>
        <w:t xml:space="preserve">  The ALJ found that because Respond’s billed prices did not reflect its marketed prices and the prices agreed to in the disclosure statement, Respond violated Section 54.4(a).  </w:t>
      </w:r>
      <w:proofErr w:type="gramStart"/>
      <w:r w:rsidRPr="0030345F">
        <w:rPr>
          <w:rFonts w:ascii="Times New Roman" w:hAnsi="Times New Roman"/>
          <w:i/>
          <w:sz w:val="26"/>
          <w:szCs w:val="26"/>
        </w:rPr>
        <w:t xml:space="preserve">Id. </w:t>
      </w:r>
      <w:r w:rsidRPr="0030345F">
        <w:rPr>
          <w:rFonts w:ascii="Times New Roman" w:hAnsi="Times New Roman"/>
          <w:sz w:val="26"/>
          <w:szCs w:val="26"/>
        </w:rPr>
        <w:t>at 33.</w:t>
      </w:r>
      <w:proofErr w:type="gramEnd"/>
      <w:r w:rsidRPr="0030345F">
        <w:rPr>
          <w:rFonts w:ascii="Times New Roman" w:hAnsi="Times New Roman"/>
          <w:sz w:val="26"/>
          <w:szCs w:val="26"/>
        </w:rPr>
        <w:t xml:space="preserve">  </w:t>
      </w:r>
      <w:r>
        <w:rPr>
          <w:rFonts w:ascii="Times New Roman" w:hAnsi="Times New Roman"/>
          <w:sz w:val="26"/>
          <w:szCs w:val="26"/>
        </w:rPr>
        <w:t xml:space="preserve">The ALJ also </w:t>
      </w:r>
      <w:r w:rsidR="00A97AD4">
        <w:rPr>
          <w:rFonts w:ascii="Times New Roman" w:hAnsi="Times New Roman"/>
          <w:sz w:val="26"/>
          <w:szCs w:val="26"/>
        </w:rPr>
        <w:t>f</w:t>
      </w:r>
      <w:r w:rsidR="005212FB" w:rsidRPr="00920008">
        <w:rPr>
          <w:rFonts w:ascii="Times New Roman" w:hAnsi="Times New Roman"/>
          <w:sz w:val="26"/>
          <w:szCs w:val="26"/>
        </w:rPr>
        <w:t xml:space="preserve">ound the evidence supported a finding that Respond violated </w:t>
      </w:r>
      <w:r w:rsidR="00E31BC9">
        <w:rPr>
          <w:rFonts w:ascii="Times New Roman" w:hAnsi="Times New Roman"/>
          <w:sz w:val="26"/>
          <w:szCs w:val="26"/>
        </w:rPr>
        <w:t>Section </w:t>
      </w:r>
      <w:r w:rsidR="005212FB" w:rsidRPr="00920008">
        <w:rPr>
          <w:rFonts w:ascii="Times New Roman" w:hAnsi="Times New Roman"/>
          <w:sz w:val="26"/>
          <w:szCs w:val="26"/>
        </w:rPr>
        <w:t xml:space="preserve">54.7(a) because the prices </w:t>
      </w:r>
      <w:r>
        <w:rPr>
          <w:rFonts w:ascii="Times New Roman" w:hAnsi="Times New Roman"/>
          <w:sz w:val="26"/>
          <w:szCs w:val="26"/>
        </w:rPr>
        <w:t xml:space="preserve">Respond’s agent </w:t>
      </w:r>
      <w:r w:rsidR="003E6A20">
        <w:rPr>
          <w:rFonts w:ascii="Times New Roman" w:hAnsi="Times New Roman"/>
          <w:sz w:val="26"/>
          <w:szCs w:val="26"/>
        </w:rPr>
        <w:t>markete</w:t>
      </w:r>
      <w:r w:rsidR="005212FB" w:rsidRPr="00920008">
        <w:rPr>
          <w:rFonts w:ascii="Times New Roman" w:hAnsi="Times New Roman"/>
          <w:sz w:val="26"/>
          <w:szCs w:val="26"/>
        </w:rPr>
        <w:t xml:space="preserve">d </w:t>
      </w:r>
      <w:r>
        <w:rPr>
          <w:rFonts w:ascii="Times New Roman" w:hAnsi="Times New Roman"/>
          <w:sz w:val="26"/>
          <w:szCs w:val="26"/>
        </w:rPr>
        <w:t xml:space="preserve">to the Complainant </w:t>
      </w:r>
      <w:r w:rsidR="005212FB" w:rsidRPr="00920008">
        <w:rPr>
          <w:rFonts w:ascii="Times New Roman" w:hAnsi="Times New Roman"/>
          <w:sz w:val="26"/>
          <w:szCs w:val="26"/>
        </w:rPr>
        <w:t xml:space="preserve">did not reflect the actual prices </w:t>
      </w:r>
      <w:r w:rsidR="00E31BC9">
        <w:rPr>
          <w:rFonts w:ascii="Times New Roman" w:hAnsi="Times New Roman"/>
          <w:sz w:val="26"/>
          <w:szCs w:val="26"/>
        </w:rPr>
        <w:t xml:space="preserve">he was billed for the months </w:t>
      </w:r>
      <w:r w:rsidR="005212FB" w:rsidRPr="00920008">
        <w:rPr>
          <w:rFonts w:ascii="Times New Roman" w:hAnsi="Times New Roman"/>
          <w:sz w:val="26"/>
          <w:szCs w:val="26"/>
        </w:rPr>
        <w:t>November 2013 through March</w:t>
      </w:r>
      <w:r w:rsidR="00E31BC9">
        <w:rPr>
          <w:rFonts w:ascii="Times New Roman" w:hAnsi="Times New Roman"/>
          <w:sz w:val="26"/>
          <w:szCs w:val="26"/>
        </w:rPr>
        <w:t xml:space="preserve"> 2014.  </w:t>
      </w:r>
      <w:proofErr w:type="gramStart"/>
      <w:r w:rsidR="00E31BC9">
        <w:rPr>
          <w:rFonts w:ascii="Times New Roman" w:hAnsi="Times New Roman"/>
          <w:i/>
          <w:sz w:val="26"/>
          <w:szCs w:val="26"/>
        </w:rPr>
        <w:t>Id.</w:t>
      </w:r>
      <w:r w:rsidR="00E31BC9">
        <w:rPr>
          <w:rFonts w:ascii="Times New Roman" w:hAnsi="Times New Roman"/>
          <w:sz w:val="26"/>
          <w:szCs w:val="26"/>
        </w:rPr>
        <w:t xml:space="preserve"> at 37.</w:t>
      </w:r>
      <w:proofErr w:type="gramEnd"/>
      <w:r w:rsidR="00E31BC9">
        <w:rPr>
          <w:rFonts w:ascii="Times New Roman" w:hAnsi="Times New Roman"/>
          <w:sz w:val="26"/>
          <w:szCs w:val="26"/>
        </w:rPr>
        <w:t xml:space="preserve">  </w:t>
      </w:r>
      <w:r w:rsidR="005212FB" w:rsidRPr="00920008">
        <w:rPr>
          <w:rFonts w:ascii="Times New Roman" w:hAnsi="Times New Roman"/>
          <w:sz w:val="26"/>
          <w:szCs w:val="26"/>
        </w:rPr>
        <w:t xml:space="preserve">The ALJ further found that the Complainant had sustained his burden of proving that Respond did not comply with the Public Utility Code and Commission Regulations and </w:t>
      </w:r>
      <w:r w:rsidR="00185A7C">
        <w:rPr>
          <w:rFonts w:ascii="Times New Roman" w:hAnsi="Times New Roman"/>
          <w:sz w:val="26"/>
          <w:szCs w:val="26"/>
        </w:rPr>
        <w:t>O</w:t>
      </w:r>
      <w:r w:rsidR="005212FB" w:rsidRPr="00920008">
        <w:rPr>
          <w:rFonts w:ascii="Times New Roman" w:hAnsi="Times New Roman"/>
          <w:sz w:val="26"/>
          <w:szCs w:val="26"/>
        </w:rPr>
        <w:t>rders in violation of 52 Pa.</w:t>
      </w:r>
      <w:r w:rsidR="00F531DC">
        <w:rPr>
          <w:rFonts w:ascii="Times New Roman" w:hAnsi="Times New Roman"/>
          <w:sz w:val="26"/>
          <w:szCs w:val="26"/>
        </w:rPr>
        <w:t xml:space="preserve"> </w:t>
      </w:r>
      <w:r w:rsidR="005212FB" w:rsidRPr="00920008">
        <w:rPr>
          <w:rFonts w:ascii="Times New Roman" w:hAnsi="Times New Roman"/>
          <w:sz w:val="26"/>
          <w:szCs w:val="26"/>
        </w:rPr>
        <w:t>Code §</w:t>
      </w:r>
      <w:r w:rsidR="0065135C">
        <w:rPr>
          <w:rFonts w:ascii="Times New Roman" w:hAnsi="Times New Roman"/>
          <w:sz w:val="26"/>
          <w:szCs w:val="26"/>
        </w:rPr>
        <w:t> </w:t>
      </w:r>
      <w:r w:rsidR="005212FB" w:rsidRPr="00920008">
        <w:rPr>
          <w:rFonts w:ascii="Times New Roman" w:hAnsi="Times New Roman"/>
          <w:sz w:val="26"/>
          <w:szCs w:val="26"/>
        </w:rPr>
        <w:t>54.42(a)</w:t>
      </w:r>
      <w:r w:rsidR="00A97AD4">
        <w:rPr>
          <w:rFonts w:ascii="Times New Roman" w:hAnsi="Times New Roman"/>
          <w:sz w:val="26"/>
          <w:szCs w:val="26"/>
        </w:rPr>
        <w:t>, which requires EGSs to comply with our Statutes, Regulations, and Orders</w:t>
      </w:r>
      <w:r w:rsidR="005212FB" w:rsidRPr="00920008">
        <w:rPr>
          <w:rFonts w:ascii="Times New Roman" w:hAnsi="Times New Roman"/>
          <w:sz w:val="26"/>
          <w:szCs w:val="26"/>
        </w:rPr>
        <w:t xml:space="preserve">.  </w:t>
      </w:r>
      <w:proofErr w:type="gramStart"/>
      <w:r w:rsidR="00E31BC9">
        <w:rPr>
          <w:rFonts w:ascii="Times New Roman" w:hAnsi="Times New Roman"/>
          <w:i/>
          <w:sz w:val="26"/>
          <w:szCs w:val="26"/>
        </w:rPr>
        <w:t>Id</w:t>
      </w:r>
      <w:r w:rsidR="005212FB" w:rsidRPr="00920008">
        <w:rPr>
          <w:rFonts w:ascii="Times New Roman" w:hAnsi="Times New Roman"/>
          <w:sz w:val="26"/>
          <w:szCs w:val="26"/>
        </w:rPr>
        <w:t>. at 38.</w:t>
      </w:r>
      <w:proofErr w:type="gramEnd"/>
    </w:p>
    <w:p w:rsidR="00E31BC9" w:rsidRDefault="00E31BC9" w:rsidP="000011C3">
      <w:pPr>
        <w:ind w:firstLine="1440"/>
        <w:rPr>
          <w:rFonts w:ascii="Times New Roman" w:hAnsi="Times New Roman"/>
          <w:sz w:val="26"/>
          <w:szCs w:val="26"/>
        </w:rPr>
      </w:pPr>
    </w:p>
    <w:p w:rsidR="00E31BC9" w:rsidRDefault="00E31BC9" w:rsidP="000011C3">
      <w:pPr>
        <w:ind w:firstLine="1440"/>
        <w:rPr>
          <w:rFonts w:ascii="Times New Roman" w:hAnsi="Times New Roman"/>
          <w:sz w:val="26"/>
          <w:szCs w:val="26"/>
        </w:rPr>
      </w:pPr>
      <w:r>
        <w:rPr>
          <w:rFonts w:ascii="Times New Roman" w:hAnsi="Times New Roman"/>
          <w:sz w:val="26"/>
          <w:szCs w:val="26"/>
        </w:rPr>
        <w:t>Further, the ALJ found that Respond violated Sections 54.43(1)(f) and (g), requiring EGSs to use accurate information, plain language, and common terms</w:t>
      </w:r>
      <w:r w:rsidR="00A97AD4">
        <w:rPr>
          <w:rFonts w:ascii="Times New Roman" w:hAnsi="Times New Roman"/>
          <w:sz w:val="26"/>
          <w:szCs w:val="26"/>
        </w:rPr>
        <w:t>,</w:t>
      </w:r>
      <w:r>
        <w:rPr>
          <w:rFonts w:ascii="Times New Roman" w:hAnsi="Times New Roman"/>
          <w:sz w:val="26"/>
          <w:szCs w:val="26"/>
        </w:rPr>
        <w:t xml:space="preserve"> and </w:t>
      </w:r>
      <w:r>
        <w:rPr>
          <w:rFonts w:ascii="Times New Roman" w:hAnsi="Times New Roman"/>
          <w:sz w:val="26"/>
          <w:szCs w:val="26"/>
        </w:rPr>
        <w:lastRenderedPageBreak/>
        <w:t xml:space="preserve">holding an EGS responsible for the fraudulent, deceptive, or unlawful marketing or billing by itself and its agents.  As the ALJ stated, while “[t]here is no doubt that the Commission is a strong proponent of competition . . . and the ability of consumers to shop[,] the Commissioners have also emphasized the importance of fair and honest sales and marketing practices in safeguarding consumers and preserving the integrity of the electric generation market.”  </w:t>
      </w:r>
      <w:r>
        <w:rPr>
          <w:rFonts w:ascii="Times New Roman" w:hAnsi="Times New Roman"/>
          <w:i/>
          <w:sz w:val="26"/>
          <w:szCs w:val="26"/>
        </w:rPr>
        <w:t>Id.</w:t>
      </w:r>
      <w:r>
        <w:rPr>
          <w:rFonts w:ascii="Times New Roman" w:hAnsi="Times New Roman"/>
          <w:sz w:val="26"/>
          <w:szCs w:val="26"/>
        </w:rPr>
        <w:t xml:space="preserve"> (citations omitted).</w:t>
      </w:r>
    </w:p>
    <w:p w:rsidR="00313BAA" w:rsidRPr="00E31BC9" w:rsidRDefault="00313BAA" w:rsidP="000011C3">
      <w:pPr>
        <w:ind w:firstLine="1440"/>
        <w:rPr>
          <w:rFonts w:ascii="Times New Roman" w:hAnsi="Times New Roman"/>
          <w:sz w:val="26"/>
          <w:szCs w:val="26"/>
        </w:rPr>
      </w:pPr>
    </w:p>
    <w:p w:rsidR="005100D5" w:rsidRPr="00313BAA" w:rsidRDefault="00313BAA" w:rsidP="00313BAA">
      <w:pPr>
        <w:ind w:firstLine="1440"/>
        <w:rPr>
          <w:rFonts w:ascii="Times New Roman" w:hAnsi="Times New Roman"/>
          <w:sz w:val="26"/>
          <w:szCs w:val="26"/>
        </w:rPr>
      </w:pPr>
      <w:r>
        <w:rPr>
          <w:rFonts w:ascii="Times New Roman" w:hAnsi="Times New Roman"/>
          <w:sz w:val="26"/>
          <w:szCs w:val="26"/>
        </w:rPr>
        <w:t>Finally</w:t>
      </w:r>
      <w:r w:rsidR="001077CD">
        <w:rPr>
          <w:rFonts w:ascii="Times New Roman" w:hAnsi="Times New Roman"/>
          <w:sz w:val="26"/>
          <w:szCs w:val="26"/>
        </w:rPr>
        <w:t xml:space="preserve"> </w:t>
      </w:r>
      <w:r w:rsidR="00920008" w:rsidRPr="001077CD">
        <w:rPr>
          <w:rFonts w:ascii="Times New Roman" w:hAnsi="Times New Roman"/>
          <w:sz w:val="26"/>
          <w:szCs w:val="26"/>
        </w:rPr>
        <w:t xml:space="preserve">the ALJ </w:t>
      </w:r>
      <w:r w:rsidR="005100D5" w:rsidRPr="001077CD">
        <w:rPr>
          <w:rFonts w:ascii="Times New Roman" w:hAnsi="Times New Roman"/>
          <w:sz w:val="26"/>
          <w:szCs w:val="26"/>
        </w:rPr>
        <w:t xml:space="preserve">found that Respond violated various sections of </w:t>
      </w:r>
      <w:r>
        <w:rPr>
          <w:rFonts w:ascii="Times New Roman" w:hAnsi="Times New Roman"/>
          <w:sz w:val="26"/>
          <w:szCs w:val="26"/>
        </w:rPr>
        <w:t>Chapter</w:t>
      </w:r>
      <w:r w:rsidR="00A97AD4">
        <w:rPr>
          <w:rFonts w:ascii="Times New Roman" w:hAnsi="Times New Roman"/>
          <w:sz w:val="26"/>
          <w:szCs w:val="26"/>
        </w:rPr>
        <w:t> </w:t>
      </w:r>
      <w:r>
        <w:rPr>
          <w:rFonts w:ascii="Times New Roman" w:hAnsi="Times New Roman"/>
          <w:sz w:val="26"/>
          <w:szCs w:val="26"/>
        </w:rPr>
        <w:t>111 of our Regulations</w:t>
      </w:r>
      <w:r w:rsidR="00A97AD4">
        <w:rPr>
          <w:rFonts w:ascii="Times New Roman" w:hAnsi="Times New Roman"/>
          <w:sz w:val="26"/>
          <w:szCs w:val="26"/>
        </w:rPr>
        <w:t xml:space="preserve">, </w:t>
      </w:r>
      <w:r w:rsidR="00A97AD4" w:rsidRPr="00A97AD4">
        <w:rPr>
          <w:rFonts w:ascii="Times New Roman" w:hAnsi="Times New Roman"/>
          <w:sz w:val="26"/>
          <w:szCs w:val="26"/>
        </w:rPr>
        <w:t>52 Pa. Code §§ 111.1-111.14</w:t>
      </w:r>
      <w:r w:rsidR="00A97AD4">
        <w:rPr>
          <w:rFonts w:ascii="Times New Roman" w:hAnsi="Times New Roman"/>
          <w:sz w:val="26"/>
          <w:szCs w:val="26"/>
        </w:rPr>
        <w:t>,</w:t>
      </w:r>
      <w:r>
        <w:rPr>
          <w:rFonts w:ascii="Times New Roman" w:hAnsi="Times New Roman"/>
          <w:sz w:val="26"/>
          <w:szCs w:val="26"/>
        </w:rPr>
        <w:t xml:space="preserve"> addressing marketing and sales to the residential market</w:t>
      </w:r>
      <w:r w:rsidR="003E6A20">
        <w:rPr>
          <w:rFonts w:ascii="Times New Roman" w:hAnsi="Times New Roman"/>
          <w:sz w:val="26"/>
          <w:szCs w:val="26"/>
        </w:rPr>
        <w:t>, including Section 111.12(d)(2) and (4), which provides that an EGS may not make false or misleading representations, including misrepresenting rates or savings offered, and that information must be accurate and timely</w:t>
      </w:r>
      <w:r>
        <w:rPr>
          <w:rFonts w:ascii="Times New Roman" w:hAnsi="Times New Roman"/>
          <w:sz w:val="26"/>
          <w:szCs w:val="26"/>
        </w:rPr>
        <w:t xml:space="preserve">.  </w:t>
      </w:r>
      <w:r>
        <w:rPr>
          <w:rFonts w:ascii="Times New Roman" w:hAnsi="Times New Roman"/>
          <w:i/>
          <w:sz w:val="26"/>
          <w:szCs w:val="26"/>
        </w:rPr>
        <w:t xml:space="preserve">Id. </w:t>
      </w:r>
      <w:r>
        <w:rPr>
          <w:rFonts w:ascii="Times New Roman" w:hAnsi="Times New Roman"/>
          <w:sz w:val="26"/>
          <w:szCs w:val="26"/>
        </w:rPr>
        <w:t>at 42-43.</w:t>
      </w:r>
    </w:p>
    <w:p w:rsidR="005100D5" w:rsidRPr="001077CD" w:rsidRDefault="005100D5" w:rsidP="005100D5">
      <w:pPr>
        <w:rPr>
          <w:rFonts w:ascii="Times New Roman" w:hAnsi="Times New Roman"/>
          <w:bCs/>
          <w:sz w:val="26"/>
          <w:szCs w:val="26"/>
        </w:rPr>
      </w:pPr>
    </w:p>
    <w:p w:rsidR="005901AD" w:rsidRPr="00A97AD4" w:rsidRDefault="004176C8" w:rsidP="00F531DC">
      <w:pPr>
        <w:keepNext/>
        <w:keepLines/>
        <w:ind w:left="720" w:firstLine="720"/>
        <w:rPr>
          <w:sz w:val="26"/>
          <w:szCs w:val="26"/>
        </w:rPr>
      </w:pPr>
      <w:r>
        <w:rPr>
          <w:rFonts w:ascii="Times New Roman" w:hAnsi="Times New Roman"/>
          <w:b/>
          <w:sz w:val="26"/>
          <w:szCs w:val="26"/>
        </w:rPr>
        <w:t>b.</w:t>
      </w:r>
      <w:r>
        <w:rPr>
          <w:rFonts w:ascii="Times New Roman" w:hAnsi="Times New Roman"/>
          <w:b/>
          <w:sz w:val="26"/>
          <w:szCs w:val="26"/>
        </w:rPr>
        <w:tab/>
        <w:t xml:space="preserve">Respond’s </w:t>
      </w:r>
      <w:r w:rsidR="005901AD" w:rsidRPr="004176C8">
        <w:rPr>
          <w:rFonts w:ascii="Times New Roman" w:hAnsi="Times New Roman"/>
          <w:b/>
          <w:sz w:val="26"/>
          <w:szCs w:val="26"/>
        </w:rPr>
        <w:t>Exception</w:t>
      </w:r>
    </w:p>
    <w:p w:rsidR="000E73AC" w:rsidRPr="00A97AD4" w:rsidRDefault="000E73AC" w:rsidP="00F531DC">
      <w:pPr>
        <w:pStyle w:val="BodyFirst1SS"/>
        <w:keepNext/>
        <w:keepLines/>
        <w:spacing w:line="360" w:lineRule="auto"/>
        <w:ind w:firstLine="0"/>
        <w:jc w:val="left"/>
        <w:rPr>
          <w:sz w:val="26"/>
          <w:szCs w:val="26"/>
        </w:rPr>
      </w:pPr>
    </w:p>
    <w:p w:rsidR="007223A5" w:rsidRDefault="000E73AC" w:rsidP="00A97AD4">
      <w:pPr>
        <w:pStyle w:val="Heading2"/>
        <w:keepNext w:val="0"/>
        <w:keepLines w:val="0"/>
        <w:spacing w:before="0"/>
        <w:rPr>
          <w:rFonts w:ascii="Times New Roman" w:hAnsi="Times New Roman" w:cs="Times New Roman"/>
          <w:b w:val="0"/>
          <w:color w:val="auto"/>
        </w:rPr>
      </w:pPr>
      <w:r w:rsidRPr="00DE68FB">
        <w:rPr>
          <w:rFonts w:ascii="Times New Roman" w:hAnsi="Times New Roman" w:cs="Times New Roman"/>
        </w:rPr>
        <w:tab/>
      </w:r>
      <w:r w:rsidRPr="00DE68FB">
        <w:rPr>
          <w:rFonts w:ascii="Times New Roman" w:hAnsi="Times New Roman" w:cs="Times New Roman"/>
        </w:rPr>
        <w:tab/>
      </w:r>
      <w:r w:rsidR="008765CE" w:rsidRPr="007223A5">
        <w:rPr>
          <w:rFonts w:ascii="Times New Roman" w:hAnsi="Times New Roman" w:cs="Times New Roman"/>
          <w:b w:val="0"/>
          <w:color w:val="auto"/>
        </w:rPr>
        <w:t xml:space="preserve">In its Exception No. 4, Respond </w:t>
      </w:r>
      <w:r w:rsidR="008C42A5">
        <w:rPr>
          <w:rFonts w:ascii="Times New Roman" w:hAnsi="Times New Roman" w:cs="Times New Roman"/>
          <w:b w:val="0"/>
          <w:color w:val="auto"/>
        </w:rPr>
        <w:t>contends</w:t>
      </w:r>
      <w:r w:rsidR="008765CE" w:rsidRPr="007223A5">
        <w:rPr>
          <w:rFonts w:ascii="Times New Roman" w:hAnsi="Times New Roman" w:cs="Times New Roman"/>
          <w:b w:val="0"/>
          <w:color w:val="auto"/>
        </w:rPr>
        <w:t xml:space="preserve"> that t</w:t>
      </w:r>
      <w:r w:rsidR="00290852" w:rsidRPr="007223A5">
        <w:rPr>
          <w:rFonts w:ascii="Times New Roman" w:hAnsi="Times New Roman" w:cs="Times New Roman"/>
          <w:b w:val="0"/>
          <w:color w:val="auto"/>
        </w:rPr>
        <w:t xml:space="preserve">he </w:t>
      </w:r>
      <w:r w:rsidR="008765CE" w:rsidRPr="007223A5">
        <w:rPr>
          <w:rFonts w:ascii="Times New Roman" w:hAnsi="Times New Roman" w:cs="Times New Roman"/>
          <w:b w:val="0"/>
          <w:color w:val="auto"/>
        </w:rPr>
        <w:t xml:space="preserve">ALJ </w:t>
      </w:r>
      <w:r w:rsidR="007223A5" w:rsidRPr="007223A5">
        <w:rPr>
          <w:rFonts w:ascii="Times New Roman" w:hAnsi="Times New Roman" w:cs="Times New Roman"/>
          <w:b w:val="0"/>
          <w:color w:val="auto"/>
        </w:rPr>
        <w:t>inappropriately found</w:t>
      </w:r>
      <w:r w:rsidR="00290852" w:rsidRPr="007223A5">
        <w:rPr>
          <w:rFonts w:ascii="Times New Roman" w:hAnsi="Times New Roman" w:cs="Times New Roman"/>
          <w:b w:val="0"/>
          <w:color w:val="auto"/>
        </w:rPr>
        <w:t xml:space="preserve"> </w:t>
      </w:r>
      <w:r w:rsidR="008C42A5">
        <w:rPr>
          <w:rFonts w:ascii="Times New Roman" w:hAnsi="Times New Roman" w:cs="Times New Roman"/>
          <w:b w:val="0"/>
          <w:color w:val="auto"/>
        </w:rPr>
        <w:t xml:space="preserve">that </w:t>
      </w:r>
      <w:r w:rsidR="00290852" w:rsidRPr="007223A5">
        <w:rPr>
          <w:rFonts w:ascii="Times New Roman" w:hAnsi="Times New Roman" w:cs="Times New Roman"/>
          <w:b w:val="0"/>
          <w:color w:val="auto"/>
        </w:rPr>
        <w:t xml:space="preserve">the same conduct violated multiple </w:t>
      </w:r>
      <w:r w:rsidR="00BD1412">
        <w:rPr>
          <w:rFonts w:ascii="Times New Roman" w:hAnsi="Times New Roman" w:cs="Times New Roman"/>
          <w:b w:val="0"/>
          <w:color w:val="auto"/>
        </w:rPr>
        <w:t>R</w:t>
      </w:r>
      <w:r w:rsidR="00290852" w:rsidRPr="007223A5">
        <w:rPr>
          <w:rFonts w:ascii="Times New Roman" w:hAnsi="Times New Roman" w:cs="Times New Roman"/>
          <w:b w:val="0"/>
          <w:color w:val="auto"/>
        </w:rPr>
        <w:t>egulations</w:t>
      </w:r>
      <w:r w:rsidR="008C42A5">
        <w:rPr>
          <w:rFonts w:ascii="Times New Roman" w:hAnsi="Times New Roman" w:cs="Times New Roman"/>
          <w:b w:val="0"/>
          <w:color w:val="auto"/>
        </w:rPr>
        <w:t xml:space="preserve"> </w:t>
      </w:r>
      <w:r w:rsidR="006801D6">
        <w:rPr>
          <w:rFonts w:ascii="Times New Roman" w:hAnsi="Times New Roman" w:cs="Times New Roman"/>
          <w:b w:val="0"/>
          <w:color w:val="auto"/>
        </w:rPr>
        <w:t xml:space="preserve">and found </w:t>
      </w:r>
      <w:r w:rsidR="00E517BE">
        <w:rPr>
          <w:rFonts w:ascii="Times New Roman" w:hAnsi="Times New Roman" w:cs="Times New Roman"/>
          <w:b w:val="0"/>
          <w:color w:val="auto"/>
        </w:rPr>
        <w:t xml:space="preserve">violations of </w:t>
      </w:r>
      <w:r w:rsidR="008C42A5">
        <w:rPr>
          <w:rFonts w:ascii="Times New Roman" w:hAnsi="Times New Roman" w:cs="Times New Roman"/>
          <w:b w:val="0"/>
          <w:color w:val="auto"/>
        </w:rPr>
        <w:t>p</w:t>
      </w:r>
      <w:r w:rsidR="00290852" w:rsidRPr="007223A5">
        <w:rPr>
          <w:rFonts w:ascii="Times New Roman" w:hAnsi="Times New Roman" w:cs="Times New Roman"/>
          <w:b w:val="0"/>
          <w:color w:val="auto"/>
        </w:rPr>
        <w:t xml:space="preserve">rovisions </w:t>
      </w:r>
      <w:r w:rsidR="008C42A5">
        <w:rPr>
          <w:rFonts w:ascii="Times New Roman" w:hAnsi="Times New Roman" w:cs="Times New Roman"/>
          <w:b w:val="0"/>
          <w:color w:val="auto"/>
        </w:rPr>
        <w:t xml:space="preserve">Respond contends </w:t>
      </w:r>
      <w:r w:rsidR="00290852" w:rsidRPr="007223A5">
        <w:rPr>
          <w:rFonts w:ascii="Times New Roman" w:hAnsi="Times New Roman" w:cs="Times New Roman"/>
          <w:b w:val="0"/>
          <w:color w:val="auto"/>
        </w:rPr>
        <w:t xml:space="preserve">do not establish </w:t>
      </w:r>
      <w:r w:rsidR="00E517BE">
        <w:rPr>
          <w:rFonts w:ascii="Times New Roman" w:hAnsi="Times New Roman" w:cs="Times New Roman"/>
          <w:b w:val="0"/>
          <w:color w:val="auto"/>
        </w:rPr>
        <w:t xml:space="preserve">substantive </w:t>
      </w:r>
      <w:r w:rsidR="00290852" w:rsidRPr="007223A5">
        <w:rPr>
          <w:rFonts w:ascii="Times New Roman" w:hAnsi="Times New Roman" w:cs="Times New Roman"/>
          <w:b w:val="0"/>
          <w:color w:val="auto"/>
        </w:rPr>
        <w:t xml:space="preserve">standards.  </w:t>
      </w:r>
      <w:r w:rsidR="007223A5" w:rsidRPr="007223A5">
        <w:rPr>
          <w:rFonts w:ascii="Times New Roman" w:hAnsi="Times New Roman" w:cs="Times New Roman"/>
          <w:b w:val="0"/>
          <w:color w:val="auto"/>
        </w:rPr>
        <w:t xml:space="preserve">Respond </w:t>
      </w:r>
      <w:r w:rsidR="008C42A5">
        <w:rPr>
          <w:rFonts w:ascii="Times New Roman" w:hAnsi="Times New Roman" w:cs="Times New Roman"/>
          <w:b w:val="0"/>
          <w:color w:val="auto"/>
        </w:rPr>
        <w:t xml:space="preserve">also claims that while the </w:t>
      </w:r>
      <w:r w:rsidR="007223A5">
        <w:rPr>
          <w:rFonts w:ascii="Times New Roman" w:hAnsi="Times New Roman" w:cs="Times New Roman"/>
          <w:b w:val="0"/>
          <w:color w:val="auto"/>
        </w:rPr>
        <w:t xml:space="preserve">ALJ recommended a penalty of $1,000 per violation for a total </w:t>
      </w:r>
      <w:r w:rsidR="00E517BE">
        <w:rPr>
          <w:rFonts w:ascii="Times New Roman" w:hAnsi="Times New Roman" w:cs="Times New Roman"/>
          <w:b w:val="0"/>
          <w:color w:val="auto"/>
        </w:rPr>
        <w:t xml:space="preserve">recommended </w:t>
      </w:r>
      <w:r w:rsidR="007223A5">
        <w:rPr>
          <w:rFonts w:ascii="Times New Roman" w:hAnsi="Times New Roman" w:cs="Times New Roman"/>
          <w:b w:val="0"/>
          <w:color w:val="auto"/>
        </w:rPr>
        <w:t>penalty of $10,000</w:t>
      </w:r>
      <w:r w:rsidR="00490D36">
        <w:rPr>
          <w:rFonts w:ascii="Times New Roman" w:hAnsi="Times New Roman" w:cs="Times New Roman"/>
          <w:b w:val="0"/>
          <w:color w:val="auto"/>
        </w:rPr>
        <w:t>,</w:t>
      </w:r>
      <w:r w:rsidR="007223A5">
        <w:rPr>
          <w:rFonts w:ascii="Times New Roman" w:hAnsi="Times New Roman" w:cs="Times New Roman"/>
          <w:b w:val="0"/>
          <w:color w:val="auto"/>
        </w:rPr>
        <w:t xml:space="preserve"> it is </w:t>
      </w:r>
      <w:r w:rsidR="008C42A5">
        <w:rPr>
          <w:rFonts w:ascii="Times New Roman" w:hAnsi="Times New Roman" w:cs="Times New Roman"/>
          <w:b w:val="0"/>
          <w:color w:val="auto"/>
        </w:rPr>
        <w:t>un</w:t>
      </w:r>
      <w:r w:rsidR="007223A5">
        <w:rPr>
          <w:rFonts w:ascii="Times New Roman" w:hAnsi="Times New Roman" w:cs="Times New Roman"/>
          <w:b w:val="0"/>
          <w:color w:val="auto"/>
        </w:rPr>
        <w:t xml:space="preserve">clear how the ALJ </w:t>
      </w:r>
      <w:r w:rsidR="00A97AD4">
        <w:rPr>
          <w:rFonts w:ascii="Times New Roman" w:hAnsi="Times New Roman" w:cs="Times New Roman"/>
          <w:b w:val="0"/>
          <w:color w:val="auto"/>
        </w:rPr>
        <w:t xml:space="preserve">calculated </w:t>
      </w:r>
      <w:r w:rsidR="007223A5">
        <w:rPr>
          <w:rFonts w:ascii="Times New Roman" w:hAnsi="Times New Roman" w:cs="Times New Roman"/>
          <w:b w:val="0"/>
          <w:color w:val="auto"/>
        </w:rPr>
        <w:t>ten violations.  Respond Exc. at 32.</w:t>
      </w:r>
    </w:p>
    <w:p w:rsidR="008C42A5" w:rsidRPr="008C42A5" w:rsidRDefault="008C42A5" w:rsidP="008C42A5"/>
    <w:p w:rsidR="00005FCB" w:rsidRDefault="008C42A5" w:rsidP="00005FCB">
      <w:pPr>
        <w:pStyle w:val="BodyFirst1SS"/>
        <w:spacing w:line="360" w:lineRule="auto"/>
        <w:ind w:firstLine="1440"/>
        <w:jc w:val="left"/>
        <w:rPr>
          <w:sz w:val="26"/>
          <w:szCs w:val="26"/>
        </w:rPr>
      </w:pPr>
      <w:r>
        <w:rPr>
          <w:sz w:val="26"/>
          <w:szCs w:val="26"/>
        </w:rPr>
        <w:t>With respect to the ALJ’s finding</w:t>
      </w:r>
      <w:r w:rsidR="00054D13">
        <w:rPr>
          <w:sz w:val="26"/>
          <w:szCs w:val="26"/>
        </w:rPr>
        <w:t xml:space="preserve">s </w:t>
      </w:r>
      <w:r w:rsidR="00A97AD4">
        <w:rPr>
          <w:sz w:val="26"/>
          <w:szCs w:val="26"/>
        </w:rPr>
        <w:t xml:space="preserve">regarding </w:t>
      </w:r>
      <w:r w:rsidR="00054D13">
        <w:rPr>
          <w:sz w:val="26"/>
          <w:szCs w:val="26"/>
        </w:rPr>
        <w:t xml:space="preserve">the disclosure statement provided to Mr. Herp, </w:t>
      </w:r>
      <w:r w:rsidR="00005FCB">
        <w:rPr>
          <w:sz w:val="26"/>
          <w:szCs w:val="26"/>
        </w:rPr>
        <w:t xml:space="preserve">Respond asserts that </w:t>
      </w:r>
      <w:r w:rsidR="00290852" w:rsidRPr="00DE68FB">
        <w:rPr>
          <w:sz w:val="26"/>
          <w:szCs w:val="26"/>
        </w:rPr>
        <w:t>the relevant language of the Affiliates Disclosure Statement was approved by the Commissi</w:t>
      </w:r>
      <w:r w:rsidR="00005FCB">
        <w:rPr>
          <w:sz w:val="26"/>
          <w:szCs w:val="26"/>
        </w:rPr>
        <w:t xml:space="preserve">on, </w:t>
      </w:r>
      <w:r w:rsidR="00290852" w:rsidRPr="00DE68FB">
        <w:rPr>
          <w:sz w:val="26"/>
          <w:szCs w:val="26"/>
        </w:rPr>
        <w:t>an EGS is permitted to change a disclosure statement witho</w:t>
      </w:r>
      <w:r w:rsidR="00005FCB">
        <w:rPr>
          <w:sz w:val="26"/>
          <w:szCs w:val="26"/>
        </w:rPr>
        <w:t xml:space="preserve">ut </w:t>
      </w:r>
      <w:r w:rsidR="00E517BE">
        <w:rPr>
          <w:sz w:val="26"/>
          <w:szCs w:val="26"/>
        </w:rPr>
        <w:t xml:space="preserve">additional </w:t>
      </w:r>
      <w:r w:rsidR="00005FCB">
        <w:rPr>
          <w:sz w:val="26"/>
          <w:szCs w:val="26"/>
        </w:rPr>
        <w:t>Commission approval</w:t>
      </w:r>
      <w:r w:rsidR="00054D13">
        <w:rPr>
          <w:sz w:val="26"/>
          <w:szCs w:val="26"/>
        </w:rPr>
        <w:t>,</w:t>
      </w:r>
      <w:r w:rsidR="00005FCB">
        <w:rPr>
          <w:sz w:val="26"/>
          <w:szCs w:val="26"/>
        </w:rPr>
        <w:t xml:space="preserve"> </w:t>
      </w:r>
      <w:r w:rsidR="00290852" w:rsidRPr="00DE68FB">
        <w:rPr>
          <w:sz w:val="26"/>
          <w:szCs w:val="26"/>
        </w:rPr>
        <w:t xml:space="preserve">and </w:t>
      </w:r>
      <w:r w:rsidR="005D179D">
        <w:rPr>
          <w:sz w:val="26"/>
          <w:szCs w:val="26"/>
        </w:rPr>
        <w:t xml:space="preserve">its </w:t>
      </w:r>
      <w:r w:rsidR="00005FCB">
        <w:rPr>
          <w:sz w:val="26"/>
          <w:szCs w:val="26"/>
        </w:rPr>
        <w:t>A</w:t>
      </w:r>
      <w:r w:rsidR="00290852" w:rsidRPr="00DE68FB">
        <w:rPr>
          <w:sz w:val="26"/>
          <w:szCs w:val="26"/>
        </w:rPr>
        <w:t xml:space="preserve">ffiliates Disclosure Statement fully complied with the Commission’s </w:t>
      </w:r>
      <w:r w:rsidR="005D179D">
        <w:rPr>
          <w:sz w:val="26"/>
          <w:szCs w:val="26"/>
        </w:rPr>
        <w:t xml:space="preserve">then-effective </w:t>
      </w:r>
      <w:r w:rsidR="00054D13">
        <w:rPr>
          <w:sz w:val="26"/>
          <w:szCs w:val="26"/>
        </w:rPr>
        <w:t>R</w:t>
      </w:r>
      <w:r w:rsidR="00290852" w:rsidRPr="00DE68FB">
        <w:rPr>
          <w:sz w:val="26"/>
          <w:szCs w:val="26"/>
        </w:rPr>
        <w:t>egulations</w:t>
      </w:r>
      <w:r w:rsidR="005D7034">
        <w:rPr>
          <w:sz w:val="26"/>
          <w:szCs w:val="26"/>
        </w:rPr>
        <w:t xml:space="preserve"> with respect to matters at issue here</w:t>
      </w:r>
      <w:r w:rsidR="00290852" w:rsidRPr="00DE68FB">
        <w:rPr>
          <w:sz w:val="26"/>
          <w:szCs w:val="26"/>
        </w:rPr>
        <w:t xml:space="preserve">.  </w:t>
      </w:r>
      <w:proofErr w:type="gramStart"/>
      <w:r w:rsidR="00EB4DB6">
        <w:rPr>
          <w:i/>
          <w:sz w:val="26"/>
          <w:szCs w:val="26"/>
        </w:rPr>
        <w:t>Id</w:t>
      </w:r>
      <w:r w:rsidR="00005FCB">
        <w:rPr>
          <w:sz w:val="26"/>
          <w:szCs w:val="26"/>
        </w:rPr>
        <w:t>. at</w:t>
      </w:r>
      <w:r w:rsidR="005D7034">
        <w:rPr>
          <w:sz w:val="26"/>
          <w:szCs w:val="26"/>
        </w:rPr>
        <w:t> </w:t>
      </w:r>
      <w:r w:rsidR="00005FCB">
        <w:rPr>
          <w:sz w:val="26"/>
          <w:szCs w:val="26"/>
        </w:rPr>
        <w:t>33</w:t>
      </w:r>
      <w:r w:rsidR="005D7034">
        <w:rPr>
          <w:sz w:val="26"/>
          <w:szCs w:val="26"/>
        </w:rPr>
        <w:noBreakHyphen/>
      </w:r>
      <w:r w:rsidR="00054D13">
        <w:rPr>
          <w:sz w:val="26"/>
          <w:szCs w:val="26"/>
        </w:rPr>
        <w:t>34</w:t>
      </w:r>
      <w:r w:rsidR="00005FCB">
        <w:rPr>
          <w:sz w:val="26"/>
          <w:szCs w:val="26"/>
        </w:rPr>
        <w:t>.</w:t>
      </w:r>
      <w:proofErr w:type="gramEnd"/>
    </w:p>
    <w:p w:rsidR="00005FCB" w:rsidRPr="00DE68FB" w:rsidRDefault="00005FCB" w:rsidP="00005FCB">
      <w:pPr>
        <w:pStyle w:val="BodyFirst1SS"/>
        <w:spacing w:line="360" w:lineRule="auto"/>
        <w:ind w:firstLine="1440"/>
        <w:jc w:val="left"/>
        <w:rPr>
          <w:sz w:val="26"/>
          <w:szCs w:val="26"/>
        </w:rPr>
      </w:pPr>
    </w:p>
    <w:p w:rsidR="00290852" w:rsidRDefault="00054D13" w:rsidP="00054D13">
      <w:pPr>
        <w:pStyle w:val="BodyFirst1SS"/>
        <w:spacing w:line="360" w:lineRule="auto"/>
        <w:ind w:firstLine="1440"/>
        <w:jc w:val="left"/>
        <w:rPr>
          <w:sz w:val="26"/>
          <w:szCs w:val="26"/>
        </w:rPr>
      </w:pPr>
      <w:r>
        <w:rPr>
          <w:sz w:val="26"/>
          <w:szCs w:val="26"/>
        </w:rPr>
        <w:lastRenderedPageBreak/>
        <w:t xml:space="preserve">Respond also addresses </w:t>
      </w:r>
      <w:r w:rsidR="00117D18">
        <w:rPr>
          <w:sz w:val="26"/>
          <w:szCs w:val="26"/>
        </w:rPr>
        <w:t>t</w:t>
      </w:r>
      <w:r w:rsidR="00290852" w:rsidRPr="00DE68FB">
        <w:rPr>
          <w:sz w:val="26"/>
          <w:szCs w:val="26"/>
        </w:rPr>
        <w:t>he ALJ</w:t>
      </w:r>
      <w:r w:rsidR="00117D18">
        <w:rPr>
          <w:sz w:val="26"/>
          <w:szCs w:val="26"/>
        </w:rPr>
        <w:t xml:space="preserve">’s finding of </w:t>
      </w:r>
      <w:r w:rsidR="00290852" w:rsidRPr="00DE68FB">
        <w:rPr>
          <w:sz w:val="26"/>
          <w:szCs w:val="26"/>
        </w:rPr>
        <w:t xml:space="preserve">a violation of </w:t>
      </w:r>
      <w:r>
        <w:rPr>
          <w:sz w:val="26"/>
          <w:szCs w:val="26"/>
        </w:rPr>
        <w:t xml:space="preserve">those sections of our Regulations addressing its agent’s marketing.  </w:t>
      </w:r>
      <w:r w:rsidRPr="00054D13">
        <w:rPr>
          <w:sz w:val="26"/>
          <w:szCs w:val="26"/>
        </w:rPr>
        <w:t>Respond contends that the ALJ’s finding of a violation of Section 54.4(a)</w:t>
      </w:r>
      <w:r>
        <w:rPr>
          <w:sz w:val="26"/>
          <w:szCs w:val="26"/>
        </w:rPr>
        <w:t>, requiring that billed prices match prices that are advertised and disclosed,</w:t>
      </w:r>
      <w:r w:rsidRPr="00054D13">
        <w:rPr>
          <w:sz w:val="26"/>
          <w:szCs w:val="26"/>
        </w:rPr>
        <w:t xml:space="preserve"> is inappropriate because this provision addresses billing formats and is intended to ensure that EGSs bill customers consistent with marketing and disclosure statements.  Respond contends</w:t>
      </w:r>
      <w:r w:rsidR="005D179D">
        <w:rPr>
          <w:sz w:val="26"/>
          <w:szCs w:val="26"/>
        </w:rPr>
        <w:t xml:space="preserve"> </w:t>
      </w:r>
      <w:r w:rsidRPr="00054D13">
        <w:rPr>
          <w:sz w:val="26"/>
          <w:szCs w:val="26"/>
        </w:rPr>
        <w:t xml:space="preserve">this case is about alleged misleading promises regarding savings, not proper billing, thus </w:t>
      </w:r>
      <w:r w:rsidR="005D179D">
        <w:rPr>
          <w:sz w:val="26"/>
          <w:szCs w:val="26"/>
        </w:rPr>
        <w:t xml:space="preserve">if </w:t>
      </w:r>
      <w:r w:rsidRPr="00054D13">
        <w:rPr>
          <w:sz w:val="26"/>
          <w:szCs w:val="26"/>
        </w:rPr>
        <w:t xml:space="preserve">misleading marketing occurred, the provision Respond violated is in Chapter 111 not </w:t>
      </w:r>
      <w:r w:rsidR="005D442E">
        <w:rPr>
          <w:sz w:val="26"/>
          <w:szCs w:val="26"/>
        </w:rPr>
        <w:t>Section 54.4(a)</w:t>
      </w:r>
      <w:r w:rsidRPr="00054D13">
        <w:rPr>
          <w:sz w:val="26"/>
          <w:szCs w:val="26"/>
        </w:rPr>
        <w:t xml:space="preserve">.  </w:t>
      </w:r>
      <w:r w:rsidR="00EB4DB6">
        <w:rPr>
          <w:i/>
          <w:sz w:val="26"/>
          <w:szCs w:val="26"/>
        </w:rPr>
        <w:t>Id</w:t>
      </w:r>
      <w:r w:rsidRPr="00054D13">
        <w:rPr>
          <w:sz w:val="26"/>
          <w:szCs w:val="26"/>
        </w:rPr>
        <w:t>. at 32-33.</w:t>
      </w:r>
      <w:r>
        <w:rPr>
          <w:sz w:val="26"/>
          <w:szCs w:val="26"/>
        </w:rPr>
        <w:t xml:space="preserve">  Respond similarly asserts that </w:t>
      </w:r>
      <w:r w:rsidR="00290852" w:rsidRPr="00DE68FB">
        <w:rPr>
          <w:sz w:val="26"/>
          <w:szCs w:val="26"/>
        </w:rPr>
        <w:t>Section 54.7(a)</w:t>
      </w:r>
      <w:r>
        <w:rPr>
          <w:sz w:val="26"/>
          <w:szCs w:val="26"/>
        </w:rPr>
        <w:t xml:space="preserve">, requiring that advertised prices match prices that are billed and disclosed, </w:t>
      </w:r>
      <w:r w:rsidR="00290852" w:rsidRPr="00DE68FB">
        <w:rPr>
          <w:sz w:val="26"/>
          <w:szCs w:val="26"/>
        </w:rPr>
        <w:t xml:space="preserve">does not concern alleged misleading statements about savings, </w:t>
      </w:r>
      <w:r w:rsidR="00087ACD">
        <w:rPr>
          <w:sz w:val="26"/>
          <w:szCs w:val="26"/>
        </w:rPr>
        <w:t>because “[</w:t>
      </w:r>
      <w:r w:rsidR="00117D18">
        <w:rPr>
          <w:sz w:val="26"/>
          <w:szCs w:val="26"/>
        </w:rPr>
        <w:t>i</w:t>
      </w:r>
      <w:r w:rsidR="00087ACD">
        <w:rPr>
          <w:sz w:val="26"/>
          <w:szCs w:val="26"/>
        </w:rPr>
        <w:t>]</w:t>
      </w:r>
      <w:r w:rsidR="00290852" w:rsidRPr="00DE68FB">
        <w:rPr>
          <w:sz w:val="26"/>
          <w:szCs w:val="26"/>
        </w:rPr>
        <w:t>t deals with advertising materials</w:t>
      </w:r>
      <w:r w:rsidR="00087ACD">
        <w:rPr>
          <w:sz w:val="26"/>
          <w:szCs w:val="26"/>
        </w:rPr>
        <w:t xml:space="preserve">” and statements </w:t>
      </w:r>
      <w:r w:rsidR="005D442E">
        <w:rPr>
          <w:sz w:val="26"/>
          <w:szCs w:val="26"/>
        </w:rPr>
        <w:t>of “</w:t>
      </w:r>
      <w:r w:rsidR="00087ACD">
        <w:rPr>
          <w:sz w:val="26"/>
          <w:szCs w:val="26"/>
        </w:rPr>
        <w:t xml:space="preserve">a single agent . . . do not equate to advertising materials.”  </w:t>
      </w:r>
      <w:proofErr w:type="gramStart"/>
      <w:r w:rsidR="00087ACD">
        <w:rPr>
          <w:i/>
          <w:sz w:val="26"/>
          <w:szCs w:val="26"/>
        </w:rPr>
        <w:t>Id.</w:t>
      </w:r>
      <w:r w:rsidR="00087ACD">
        <w:rPr>
          <w:sz w:val="26"/>
          <w:szCs w:val="26"/>
        </w:rPr>
        <w:t xml:space="preserve"> at</w:t>
      </w:r>
      <w:r w:rsidR="005D442E">
        <w:rPr>
          <w:sz w:val="26"/>
          <w:szCs w:val="26"/>
        </w:rPr>
        <w:t> </w:t>
      </w:r>
      <w:r w:rsidR="00087ACD">
        <w:rPr>
          <w:sz w:val="26"/>
          <w:szCs w:val="26"/>
        </w:rPr>
        <w:t>34.</w:t>
      </w:r>
      <w:proofErr w:type="gramEnd"/>
    </w:p>
    <w:p w:rsidR="003712AB" w:rsidRPr="00DE68FB" w:rsidRDefault="003712AB" w:rsidP="003712AB">
      <w:pPr>
        <w:pStyle w:val="BodyFirst1SS"/>
        <w:spacing w:line="360" w:lineRule="auto"/>
        <w:ind w:firstLine="1440"/>
        <w:jc w:val="left"/>
        <w:rPr>
          <w:sz w:val="26"/>
          <w:szCs w:val="26"/>
        </w:rPr>
      </w:pPr>
    </w:p>
    <w:p w:rsidR="00290852" w:rsidRDefault="00E308B6" w:rsidP="003712AB">
      <w:pPr>
        <w:pStyle w:val="BodyFirst1SS"/>
        <w:spacing w:line="360" w:lineRule="auto"/>
        <w:ind w:firstLine="1440"/>
        <w:jc w:val="left"/>
        <w:rPr>
          <w:sz w:val="26"/>
          <w:szCs w:val="26"/>
        </w:rPr>
      </w:pPr>
      <w:r>
        <w:rPr>
          <w:sz w:val="26"/>
          <w:szCs w:val="26"/>
        </w:rPr>
        <w:t>A</w:t>
      </w:r>
      <w:r w:rsidR="0085696D">
        <w:rPr>
          <w:sz w:val="26"/>
          <w:szCs w:val="26"/>
        </w:rPr>
        <w:t>ddress</w:t>
      </w:r>
      <w:r>
        <w:rPr>
          <w:sz w:val="26"/>
          <w:szCs w:val="26"/>
        </w:rPr>
        <w:t>ing</w:t>
      </w:r>
      <w:r w:rsidR="00E87035">
        <w:rPr>
          <w:sz w:val="26"/>
          <w:szCs w:val="26"/>
        </w:rPr>
        <w:t xml:space="preserve"> t</w:t>
      </w:r>
      <w:r w:rsidR="00290852" w:rsidRPr="00DE68FB">
        <w:rPr>
          <w:sz w:val="26"/>
          <w:szCs w:val="26"/>
        </w:rPr>
        <w:t>he ALJ</w:t>
      </w:r>
      <w:r w:rsidR="00E87035">
        <w:rPr>
          <w:sz w:val="26"/>
          <w:szCs w:val="26"/>
        </w:rPr>
        <w:t>’s</w:t>
      </w:r>
      <w:r w:rsidR="00290852" w:rsidRPr="00DE68FB">
        <w:rPr>
          <w:sz w:val="26"/>
          <w:szCs w:val="26"/>
        </w:rPr>
        <w:t xml:space="preserve"> </w:t>
      </w:r>
      <w:r w:rsidR="00E87035">
        <w:rPr>
          <w:sz w:val="26"/>
          <w:szCs w:val="26"/>
        </w:rPr>
        <w:t>conclu</w:t>
      </w:r>
      <w:r w:rsidR="00290852" w:rsidRPr="00DE68FB">
        <w:rPr>
          <w:sz w:val="26"/>
          <w:szCs w:val="26"/>
        </w:rPr>
        <w:t>s</w:t>
      </w:r>
      <w:r w:rsidR="00E87035">
        <w:rPr>
          <w:sz w:val="26"/>
          <w:szCs w:val="26"/>
        </w:rPr>
        <w:t>ion</w:t>
      </w:r>
      <w:r w:rsidR="00290852" w:rsidRPr="00DE68FB">
        <w:rPr>
          <w:sz w:val="26"/>
          <w:szCs w:val="26"/>
        </w:rPr>
        <w:t xml:space="preserve"> that </w:t>
      </w:r>
      <w:r w:rsidR="00E87035">
        <w:rPr>
          <w:sz w:val="26"/>
          <w:szCs w:val="26"/>
        </w:rPr>
        <w:t xml:space="preserve">the Company </w:t>
      </w:r>
      <w:r w:rsidR="00290852" w:rsidRPr="00DE68FB">
        <w:rPr>
          <w:sz w:val="26"/>
          <w:szCs w:val="26"/>
        </w:rPr>
        <w:t>violated Section 54.42(a)</w:t>
      </w:r>
      <w:r w:rsidR="0085696D">
        <w:rPr>
          <w:sz w:val="26"/>
          <w:szCs w:val="26"/>
        </w:rPr>
        <w:t xml:space="preserve">, </w:t>
      </w:r>
      <w:r>
        <w:rPr>
          <w:sz w:val="26"/>
          <w:szCs w:val="26"/>
        </w:rPr>
        <w:t xml:space="preserve">Respond </w:t>
      </w:r>
      <w:r w:rsidR="0085696D">
        <w:rPr>
          <w:sz w:val="26"/>
          <w:szCs w:val="26"/>
        </w:rPr>
        <w:t>contend</w:t>
      </w:r>
      <w:r>
        <w:rPr>
          <w:sz w:val="26"/>
          <w:szCs w:val="26"/>
        </w:rPr>
        <w:t>s</w:t>
      </w:r>
      <w:r w:rsidR="0085696D">
        <w:rPr>
          <w:sz w:val="26"/>
          <w:szCs w:val="26"/>
        </w:rPr>
        <w:t xml:space="preserve"> </w:t>
      </w:r>
      <w:r w:rsidR="00E87035">
        <w:rPr>
          <w:sz w:val="26"/>
          <w:szCs w:val="26"/>
        </w:rPr>
        <w:t xml:space="preserve">that provision </w:t>
      </w:r>
      <w:r w:rsidR="00290852" w:rsidRPr="00DE68FB">
        <w:rPr>
          <w:sz w:val="26"/>
          <w:szCs w:val="26"/>
        </w:rPr>
        <w:t>does not i</w:t>
      </w:r>
      <w:r w:rsidR="00EC70FE">
        <w:rPr>
          <w:sz w:val="26"/>
          <w:szCs w:val="26"/>
        </w:rPr>
        <w:t>mpose any particular standards a</w:t>
      </w:r>
      <w:r w:rsidR="00290852" w:rsidRPr="00DE68FB">
        <w:rPr>
          <w:sz w:val="26"/>
          <w:szCs w:val="26"/>
        </w:rPr>
        <w:t xml:space="preserve">n EGS can be found to have violated.  </w:t>
      </w:r>
      <w:r>
        <w:rPr>
          <w:sz w:val="26"/>
          <w:szCs w:val="26"/>
        </w:rPr>
        <w:t>Rather</w:t>
      </w:r>
      <w:r w:rsidR="00E87035">
        <w:rPr>
          <w:sz w:val="26"/>
          <w:szCs w:val="26"/>
        </w:rPr>
        <w:t xml:space="preserve">, </w:t>
      </w:r>
      <w:r w:rsidR="0085696D">
        <w:rPr>
          <w:sz w:val="26"/>
          <w:szCs w:val="26"/>
        </w:rPr>
        <w:t xml:space="preserve">the purpose of </w:t>
      </w:r>
      <w:r>
        <w:rPr>
          <w:sz w:val="26"/>
          <w:szCs w:val="26"/>
        </w:rPr>
        <w:t>that s</w:t>
      </w:r>
      <w:r w:rsidR="00290852" w:rsidRPr="00DE68FB">
        <w:rPr>
          <w:sz w:val="26"/>
          <w:szCs w:val="26"/>
        </w:rPr>
        <w:t xml:space="preserve">ection </w:t>
      </w:r>
      <w:r w:rsidR="0085696D">
        <w:rPr>
          <w:sz w:val="26"/>
          <w:szCs w:val="26"/>
        </w:rPr>
        <w:t xml:space="preserve">is to notify </w:t>
      </w:r>
      <w:r w:rsidR="00290852" w:rsidRPr="00DE68FB">
        <w:rPr>
          <w:sz w:val="26"/>
          <w:szCs w:val="26"/>
        </w:rPr>
        <w:t xml:space="preserve">EGSs that </w:t>
      </w:r>
      <w:r w:rsidR="0085696D">
        <w:rPr>
          <w:sz w:val="26"/>
          <w:szCs w:val="26"/>
        </w:rPr>
        <w:t xml:space="preserve">failure to </w:t>
      </w:r>
      <w:r w:rsidR="00290852" w:rsidRPr="00DE68FB">
        <w:rPr>
          <w:sz w:val="26"/>
          <w:szCs w:val="26"/>
        </w:rPr>
        <w:t xml:space="preserve">comply with the Code, </w:t>
      </w:r>
      <w:r w:rsidR="00BD1412">
        <w:rPr>
          <w:sz w:val="26"/>
          <w:szCs w:val="26"/>
        </w:rPr>
        <w:t>R</w:t>
      </w:r>
      <w:r w:rsidR="00290852" w:rsidRPr="00DE68FB">
        <w:rPr>
          <w:sz w:val="26"/>
          <w:szCs w:val="26"/>
        </w:rPr>
        <w:t xml:space="preserve">egulations and Commission </w:t>
      </w:r>
      <w:r w:rsidR="00BD1412">
        <w:rPr>
          <w:sz w:val="26"/>
          <w:szCs w:val="26"/>
        </w:rPr>
        <w:t>O</w:t>
      </w:r>
      <w:r w:rsidR="00290852" w:rsidRPr="00DE68FB">
        <w:rPr>
          <w:sz w:val="26"/>
          <w:szCs w:val="26"/>
        </w:rPr>
        <w:t>rders</w:t>
      </w:r>
      <w:r w:rsidR="0085696D">
        <w:rPr>
          <w:sz w:val="26"/>
          <w:szCs w:val="26"/>
        </w:rPr>
        <w:t xml:space="preserve"> could </w:t>
      </w:r>
      <w:r w:rsidR="00290852" w:rsidRPr="00DE68FB">
        <w:rPr>
          <w:sz w:val="26"/>
          <w:szCs w:val="26"/>
        </w:rPr>
        <w:t xml:space="preserve">subject </w:t>
      </w:r>
      <w:r w:rsidR="0085696D">
        <w:rPr>
          <w:sz w:val="26"/>
          <w:szCs w:val="26"/>
        </w:rPr>
        <w:t xml:space="preserve">them to </w:t>
      </w:r>
      <w:r w:rsidR="00290852" w:rsidRPr="00DE68FB">
        <w:rPr>
          <w:sz w:val="26"/>
          <w:szCs w:val="26"/>
        </w:rPr>
        <w:t xml:space="preserve">civil penalties and/or </w:t>
      </w:r>
      <w:r w:rsidR="0085696D">
        <w:rPr>
          <w:sz w:val="26"/>
          <w:szCs w:val="26"/>
        </w:rPr>
        <w:t xml:space="preserve">license </w:t>
      </w:r>
      <w:r w:rsidR="00290852" w:rsidRPr="00DE68FB">
        <w:rPr>
          <w:sz w:val="26"/>
          <w:szCs w:val="26"/>
        </w:rPr>
        <w:t>suspension or revocation.</w:t>
      </w:r>
      <w:r w:rsidR="00E87035">
        <w:rPr>
          <w:sz w:val="26"/>
          <w:szCs w:val="26"/>
        </w:rPr>
        <w:t xml:space="preserve">  </w:t>
      </w:r>
      <w:r w:rsidR="00EB4DB6">
        <w:rPr>
          <w:i/>
          <w:sz w:val="26"/>
          <w:szCs w:val="26"/>
        </w:rPr>
        <w:t>Id.</w:t>
      </w:r>
      <w:r w:rsidR="00E87035">
        <w:rPr>
          <w:sz w:val="26"/>
          <w:szCs w:val="26"/>
        </w:rPr>
        <w:t xml:space="preserve"> at 34-35.</w:t>
      </w:r>
    </w:p>
    <w:p w:rsidR="003712AB" w:rsidRPr="00DE68FB" w:rsidRDefault="003712AB" w:rsidP="003712AB">
      <w:pPr>
        <w:pStyle w:val="BodyFirst1SS"/>
        <w:spacing w:line="360" w:lineRule="auto"/>
        <w:ind w:firstLine="1440"/>
        <w:jc w:val="left"/>
        <w:rPr>
          <w:sz w:val="26"/>
          <w:szCs w:val="26"/>
        </w:rPr>
      </w:pPr>
    </w:p>
    <w:p w:rsidR="00290852" w:rsidRDefault="00BC74A5" w:rsidP="00BC74A5">
      <w:pPr>
        <w:pStyle w:val="BodyFirst1SS"/>
        <w:spacing w:line="360" w:lineRule="auto"/>
        <w:ind w:firstLine="1440"/>
        <w:jc w:val="left"/>
        <w:rPr>
          <w:sz w:val="26"/>
          <w:szCs w:val="26"/>
        </w:rPr>
      </w:pPr>
      <w:r>
        <w:rPr>
          <w:sz w:val="26"/>
          <w:szCs w:val="26"/>
        </w:rPr>
        <w:t>In response to the ALJ</w:t>
      </w:r>
      <w:r w:rsidR="00A41BEA">
        <w:rPr>
          <w:sz w:val="26"/>
          <w:szCs w:val="26"/>
        </w:rPr>
        <w:t>’s</w:t>
      </w:r>
      <w:r>
        <w:rPr>
          <w:sz w:val="26"/>
          <w:szCs w:val="26"/>
        </w:rPr>
        <w:t xml:space="preserve"> finding that Respond </w:t>
      </w:r>
      <w:r w:rsidR="00290852" w:rsidRPr="00DE68FB">
        <w:rPr>
          <w:sz w:val="26"/>
          <w:szCs w:val="26"/>
        </w:rPr>
        <w:t>violated Section</w:t>
      </w:r>
      <w:r w:rsidR="00EC70FE">
        <w:rPr>
          <w:sz w:val="26"/>
          <w:szCs w:val="26"/>
        </w:rPr>
        <w:t>s</w:t>
      </w:r>
      <w:r w:rsidR="00290852" w:rsidRPr="00DE68FB">
        <w:rPr>
          <w:sz w:val="26"/>
          <w:szCs w:val="26"/>
        </w:rPr>
        <w:t xml:space="preserve"> 54.43(1</w:t>
      </w:r>
      <w:proofErr w:type="gramStart"/>
      <w:r w:rsidR="00290852" w:rsidRPr="00DE68FB">
        <w:rPr>
          <w:sz w:val="26"/>
          <w:szCs w:val="26"/>
        </w:rPr>
        <w:t>)(</w:t>
      </w:r>
      <w:proofErr w:type="gramEnd"/>
      <w:r w:rsidR="00290852" w:rsidRPr="00DE68FB">
        <w:rPr>
          <w:sz w:val="26"/>
          <w:szCs w:val="26"/>
        </w:rPr>
        <w:t xml:space="preserve">f) and (g), </w:t>
      </w:r>
      <w:r>
        <w:rPr>
          <w:sz w:val="26"/>
          <w:szCs w:val="26"/>
        </w:rPr>
        <w:t>Respond states that</w:t>
      </w:r>
      <w:r w:rsidR="00290852" w:rsidRPr="00DE68FB">
        <w:rPr>
          <w:sz w:val="26"/>
          <w:szCs w:val="26"/>
        </w:rPr>
        <w:t xml:space="preserve"> Section 54.43(1)(f) provides that an EGS is responsible for fraudulent</w:t>
      </w:r>
      <w:r w:rsidR="00A41BEA">
        <w:rPr>
          <w:sz w:val="26"/>
          <w:szCs w:val="26"/>
        </w:rPr>
        <w:t>,</w:t>
      </w:r>
      <w:r w:rsidR="00290852" w:rsidRPr="00DE68FB">
        <w:rPr>
          <w:sz w:val="26"/>
          <w:szCs w:val="26"/>
        </w:rPr>
        <w:t xml:space="preserve"> deceptive</w:t>
      </w:r>
      <w:r w:rsidR="00A41BEA">
        <w:rPr>
          <w:sz w:val="26"/>
          <w:szCs w:val="26"/>
        </w:rPr>
        <w:t>,</w:t>
      </w:r>
      <w:r w:rsidR="00290852" w:rsidRPr="00DE68FB">
        <w:rPr>
          <w:sz w:val="26"/>
          <w:szCs w:val="26"/>
        </w:rPr>
        <w:t xml:space="preserve"> or other unlawful marketing performed by </w:t>
      </w:r>
      <w:r w:rsidR="00A41BEA">
        <w:rPr>
          <w:sz w:val="26"/>
          <w:szCs w:val="26"/>
        </w:rPr>
        <w:t>it</w:t>
      </w:r>
      <w:r w:rsidR="00EC70FE">
        <w:rPr>
          <w:sz w:val="26"/>
          <w:szCs w:val="26"/>
        </w:rPr>
        <w:t xml:space="preserve"> or its </w:t>
      </w:r>
      <w:r w:rsidR="0080059F">
        <w:rPr>
          <w:sz w:val="26"/>
          <w:szCs w:val="26"/>
        </w:rPr>
        <w:t xml:space="preserve">representatives.  </w:t>
      </w:r>
      <w:r w:rsidR="00E308B6">
        <w:rPr>
          <w:sz w:val="26"/>
          <w:szCs w:val="26"/>
        </w:rPr>
        <w:t>W</w:t>
      </w:r>
      <w:r w:rsidR="005D442E">
        <w:rPr>
          <w:sz w:val="26"/>
          <w:szCs w:val="26"/>
        </w:rPr>
        <w:t xml:space="preserve">hile </w:t>
      </w:r>
      <w:r>
        <w:rPr>
          <w:sz w:val="26"/>
          <w:szCs w:val="26"/>
        </w:rPr>
        <w:t xml:space="preserve">it </w:t>
      </w:r>
      <w:r w:rsidR="00290852" w:rsidRPr="00DE68FB">
        <w:rPr>
          <w:sz w:val="26"/>
          <w:szCs w:val="26"/>
        </w:rPr>
        <w:t>does not dispute responsib</w:t>
      </w:r>
      <w:r w:rsidR="005D442E">
        <w:rPr>
          <w:sz w:val="26"/>
          <w:szCs w:val="26"/>
        </w:rPr>
        <w:t>ility</w:t>
      </w:r>
      <w:r w:rsidR="00290852" w:rsidRPr="00DE68FB">
        <w:rPr>
          <w:sz w:val="26"/>
          <w:szCs w:val="26"/>
        </w:rPr>
        <w:t xml:space="preserve"> for acts of its agents, </w:t>
      </w:r>
      <w:r w:rsidR="00E308B6">
        <w:rPr>
          <w:sz w:val="26"/>
          <w:szCs w:val="26"/>
        </w:rPr>
        <w:t xml:space="preserve">Respond asserts that </w:t>
      </w:r>
      <w:r w:rsidR="00290852" w:rsidRPr="00DE68FB">
        <w:rPr>
          <w:sz w:val="26"/>
          <w:szCs w:val="26"/>
        </w:rPr>
        <w:t xml:space="preserve">this provision merely establishes </w:t>
      </w:r>
      <w:r w:rsidR="00E308B6">
        <w:rPr>
          <w:sz w:val="26"/>
          <w:szCs w:val="26"/>
        </w:rPr>
        <w:t xml:space="preserve">that </w:t>
      </w:r>
      <w:r w:rsidR="00290852" w:rsidRPr="00DE68FB">
        <w:rPr>
          <w:sz w:val="26"/>
          <w:szCs w:val="26"/>
        </w:rPr>
        <w:t>responsibility and does not set a standard an EGS can be found to have violated.</w:t>
      </w:r>
      <w:r>
        <w:rPr>
          <w:sz w:val="26"/>
          <w:szCs w:val="26"/>
        </w:rPr>
        <w:t xml:space="preserve">  </w:t>
      </w:r>
      <w:r w:rsidR="00EC70FE">
        <w:rPr>
          <w:sz w:val="26"/>
          <w:szCs w:val="26"/>
        </w:rPr>
        <w:t>Respond similarly contends that Section 54</w:t>
      </w:r>
      <w:r w:rsidR="00290852" w:rsidRPr="00DE68FB">
        <w:rPr>
          <w:sz w:val="26"/>
          <w:szCs w:val="26"/>
        </w:rPr>
        <w:t>.43(1</w:t>
      </w:r>
      <w:proofErr w:type="gramStart"/>
      <w:r w:rsidR="00290852" w:rsidRPr="00DE68FB">
        <w:rPr>
          <w:sz w:val="26"/>
          <w:szCs w:val="26"/>
        </w:rPr>
        <w:t>)(</w:t>
      </w:r>
      <w:proofErr w:type="gramEnd"/>
      <w:r w:rsidR="00290852" w:rsidRPr="00DE68FB">
        <w:rPr>
          <w:sz w:val="26"/>
          <w:szCs w:val="26"/>
        </w:rPr>
        <w:t xml:space="preserve">g) </w:t>
      </w:r>
      <w:r w:rsidR="00E308B6">
        <w:rPr>
          <w:sz w:val="26"/>
          <w:szCs w:val="26"/>
        </w:rPr>
        <w:t>s</w:t>
      </w:r>
      <w:r w:rsidR="00290852" w:rsidRPr="00DE68FB">
        <w:rPr>
          <w:sz w:val="26"/>
          <w:szCs w:val="26"/>
        </w:rPr>
        <w:t>imply requir</w:t>
      </w:r>
      <w:r w:rsidR="00E308B6">
        <w:rPr>
          <w:sz w:val="26"/>
          <w:szCs w:val="26"/>
        </w:rPr>
        <w:t>es</w:t>
      </w:r>
      <w:r w:rsidR="00290852" w:rsidRPr="00DE68FB">
        <w:rPr>
          <w:sz w:val="26"/>
          <w:szCs w:val="26"/>
        </w:rPr>
        <w:t xml:space="preserve"> compliance with relevant Commission directives</w:t>
      </w:r>
      <w:r w:rsidR="00EC70FE">
        <w:rPr>
          <w:sz w:val="26"/>
          <w:szCs w:val="26"/>
        </w:rPr>
        <w:t xml:space="preserve"> </w:t>
      </w:r>
      <w:r w:rsidR="00E308B6">
        <w:rPr>
          <w:sz w:val="26"/>
          <w:szCs w:val="26"/>
        </w:rPr>
        <w:t xml:space="preserve">and is </w:t>
      </w:r>
      <w:r w:rsidR="00EC70FE">
        <w:rPr>
          <w:sz w:val="26"/>
          <w:szCs w:val="26"/>
        </w:rPr>
        <w:t>not a substantive provision an EGS can be found to have violated.</w:t>
      </w:r>
      <w:r w:rsidR="00290852" w:rsidRPr="00DE68FB">
        <w:rPr>
          <w:sz w:val="26"/>
          <w:szCs w:val="26"/>
        </w:rPr>
        <w:t xml:space="preserve"> </w:t>
      </w:r>
      <w:r>
        <w:rPr>
          <w:sz w:val="26"/>
          <w:szCs w:val="26"/>
        </w:rPr>
        <w:t xml:space="preserve"> Respond </w:t>
      </w:r>
      <w:r w:rsidR="00E308B6">
        <w:rPr>
          <w:sz w:val="26"/>
          <w:szCs w:val="26"/>
        </w:rPr>
        <w:t>asserts</w:t>
      </w:r>
      <w:r>
        <w:rPr>
          <w:sz w:val="26"/>
          <w:szCs w:val="26"/>
        </w:rPr>
        <w:t xml:space="preserve"> that f</w:t>
      </w:r>
      <w:r w:rsidR="00290852" w:rsidRPr="00DE68FB">
        <w:rPr>
          <w:sz w:val="26"/>
          <w:szCs w:val="26"/>
        </w:rPr>
        <w:t xml:space="preserve">ocusing on the particular </w:t>
      </w:r>
      <w:r w:rsidR="005D442E">
        <w:rPr>
          <w:sz w:val="26"/>
          <w:szCs w:val="26"/>
        </w:rPr>
        <w:t>R</w:t>
      </w:r>
      <w:r w:rsidR="00290852" w:rsidRPr="00DE68FB">
        <w:rPr>
          <w:sz w:val="26"/>
          <w:szCs w:val="26"/>
        </w:rPr>
        <w:t xml:space="preserve">egulations an EGS has violated and imposing a civil penalty or other </w:t>
      </w:r>
      <w:r w:rsidR="00290852" w:rsidRPr="00DE68FB">
        <w:rPr>
          <w:sz w:val="26"/>
          <w:szCs w:val="26"/>
        </w:rPr>
        <w:lastRenderedPageBreak/>
        <w:t xml:space="preserve">appropriate remedy, including </w:t>
      </w:r>
      <w:r w:rsidR="00E308B6">
        <w:rPr>
          <w:sz w:val="26"/>
          <w:szCs w:val="26"/>
        </w:rPr>
        <w:t xml:space="preserve">future </w:t>
      </w:r>
      <w:r w:rsidR="00290852" w:rsidRPr="00DE68FB">
        <w:rPr>
          <w:sz w:val="26"/>
          <w:szCs w:val="26"/>
        </w:rPr>
        <w:t>compliance, is mo</w:t>
      </w:r>
      <w:r w:rsidR="00E308B6">
        <w:rPr>
          <w:sz w:val="26"/>
          <w:szCs w:val="26"/>
        </w:rPr>
        <w:t>re</w:t>
      </w:r>
      <w:r w:rsidR="00290852" w:rsidRPr="00DE68FB">
        <w:rPr>
          <w:sz w:val="26"/>
          <w:szCs w:val="26"/>
        </w:rPr>
        <w:t xml:space="preserve"> effective </w:t>
      </w:r>
      <w:r w:rsidR="00E308B6">
        <w:rPr>
          <w:sz w:val="26"/>
          <w:szCs w:val="26"/>
        </w:rPr>
        <w:t>at a</w:t>
      </w:r>
      <w:r w:rsidR="00290852" w:rsidRPr="00DE68FB">
        <w:rPr>
          <w:sz w:val="26"/>
          <w:szCs w:val="26"/>
        </w:rPr>
        <w:t>chiev</w:t>
      </w:r>
      <w:r w:rsidR="00E308B6">
        <w:rPr>
          <w:sz w:val="26"/>
          <w:szCs w:val="26"/>
        </w:rPr>
        <w:t>ing</w:t>
      </w:r>
      <w:r w:rsidR="00290852" w:rsidRPr="00DE68FB">
        <w:rPr>
          <w:sz w:val="26"/>
          <w:szCs w:val="26"/>
        </w:rPr>
        <w:t xml:space="preserve"> compliance</w:t>
      </w:r>
      <w:r w:rsidR="00EC70FE">
        <w:rPr>
          <w:sz w:val="26"/>
          <w:szCs w:val="26"/>
        </w:rPr>
        <w:t xml:space="preserve"> than the circular logic employed by the ALJ</w:t>
      </w:r>
      <w:r w:rsidR="00290852" w:rsidRPr="00DE68FB">
        <w:rPr>
          <w:sz w:val="26"/>
          <w:szCs w:val="26"/>
        </w:rPr>
        <w:t xml:space="preserve">.  </w:t>
      </w:r>
      <w:r w:rsidR="00EC70FE">
        <w:rPr>
          <w:i/>
          <w:sz w:val="26"/>
          <w:szCs w:val="26"/>
        </w:rPr>
        <w:t>Id</w:t>
      </w:r>
      <w:r>
        <w:rPr>
          <w:sz w:val="26"/>
          <w:szCs w:val="26"/>
        </w:rPr>
        <w:t>. at 35</w:t>
      </w:r>
      <w:r w:rsidR="00EC70FE">
        <w:rPr>
          <w:sz w:val="26"/>
          <w:szCs w:val="26"/>
        </w:rPr>
        <w:t>-36</w:t>
      </w:r>
      <w:r>
        <w:rPr>
          <w:sz w:val="26"/>
          <w:szCs w:val="26"/>
        </w:rPr>
        <w:t>.</w:t>
      </w:r>
    </w:p>
    <w:p w:rsidR="00BC74A5" w:rsidRPr="00DE68FB" w:rsidRDefault="00BC74A5" w:rsidP="00BC74A5">
      <w:pPr>
        <w:pStyle w:val="BodyFirst1SS"/>
        <w:spacing w:line="360" w:lineRule="auto"/>
        <w:ind w:firstLine="1440"/>
        <w:jc w:val="left"/>
        <w:rPr>
          <w:sz w:val="26"/>
          <w:szCs w:val="26"/>
        </w:rPr>
      </w:pPr>
    </w:p>
    <w:p w:rsidR="00290852" w:rsidRDefault="00B55803" w:rsidP="00333F47">
      <w:pPr>
        <w:pStyle w:val="BodyFirst1SS"/>
        <w:spacing w:line="360" w:lineRule="auto"/>
        <w:ind w:firstLine="1440"/>
        <w:jc w:val="left"/>
        <w:rPr>
          <w:sz w:val="26"/>
          <w:szCs w:val="26"/>
        </w:rPr>
      </w:pPr>
      <w:r>
        <w:rPr>
          <w:sz w:val="26"/>
          <w:szCs w:val="26"/>
        </w:rPr>
        <w:t xml:space="preserve">Next, Respond </w:t>
      </w:r>
      <w:r w:rsidR="00A41BEA">
        <w:rPr>
          <w:sz w:val="26"/>
          <w:szCs w:val="26"/>
        </w:rPr>
        <w:t>addresses</w:t>
      </w:r>
      <w:r>
        <w:rPr>
          <w:sz w:val="26"/>
          <w:szCs w:val="26"/>
        </w:rPr>
        <w:t xml:space="preserve"> t</w:t>
      </w:r>
      <w:r w:rsidR="00290852" w:rsidRPr="00DE68FB">
        <w:rPr>
          <w:sz w:val="26"/>
          <w:szCs w:val="26"/>
        </w:rPr>
        <w:t>he ALJ</w:t>
      </w:r>
      <w:r w:rsidR="00EC70FE">
        <w:rPr>
          <w:sz w:val="26"/>
          <w:szCs w:val="26"/>
        </w:rPr>
        <w:t xml:space="preserve">’s finding of </w:t>
      </w:r>
      <w:r w:rsidR="00290852" w:rsidRPr="00DE68FB">
        <w:rPr>
          <w:sz w:val="26"/>
          <w:szCs w:val="26"/>
        </w:rPr>
        <w:t>several violations of Chapter</w:t>
      </w:r>
      <w:r w:rsidR="008518FD">
        <w:rPr>
          <w:sz w:val="26"/>
          <w:szCs w:val="26"/>
        </w:rPr>
        <w:t> </w:t>
      </w:r>
      <w:r w:rsidR="00290852" w:rsidRPr="00DE68FB">
        <w:rPr>
          <w:sz w:val="26"/>
          <w:szCs w:val="26"/>
        </w:rPr>
        <w:t>111</w:t>
      </w:r>
      <w:r w:rsidR="00EC70FE">
        <w:rPr>
          <w:sz w:val="26"/>
          <w:szCs w:val="26"/>
        </w:rPr>
        <w:t>.  Respond contends that S</w:t>
      </w:r>
      <w:r w:rsidR="00290852" w:rsidRPr="00DE68FB">
        <w:rPr>
          <w:sz w:val="26"/>
          <w:szCs w:val="26"/>
        </w:rPr>
        <w:t xml:space="preserve">ection 111.3 only establishes an EGS’s responsibility for the actions of </w:t>
      </w:r>
      <w:r>
        <w:rPr>
          <w:sz w:val="26"/>
          <w:szCs w:val="26"/>
        </w:rPr>
        <w:t>its agents</w:t>
      </w:r>
      <w:r w:rsidR="00EC70FE">
        <w:rPr>
          <w:sz w:val="26"/>
          <w:szCs w:val="26"/>
        </w:rPr>
        <w:t xml:space="preserve"> and does not </w:t>
      </w:r>
      <w:r w:rsidR="005D442E">
        <w:rPr>
          <w:sz w:val="26"/>
          <w:szCs w:val="26"/>
        </w:rPr>
        <w:t xml:space="preserve">set forth </w:t>
      </w:r>
      <w:r w:rsidR="00EC70FE">
        <w:rPr>
          <w:sz w:val="26"/>
          <w:szCs w:val="26"/>
        </w:rPr>
        <w:t xml:space="preserve">a </w:t>
      </w:r>
      <w:r w:rsidR="005D442E">
        <w:rPr>
          <w:sz w:val="26"/>
          <w:szCs w:val="26"/>
        </w:rPr>
        <w:t xml:space="preserve">substantive </w:t>
      </w:r>
      <w:r w:rsidR="00290852" w:rsidRPr="00DE68FB">
        <w:rPr>
          <w:sz w:val="26"/>
          <w:szCs w:val="26"/>
        </w:rPr>
        <w:t xml:space="preserve">standard an EGS can be found to have violated. </w:t>
      </w:r>
      <w:r w:rsidR="00EC70FE">
        <w:rPr>
          <w:sz w:val="26"/>
          <w:szCs w:val="26"/>
        </w:rPr>
        <w:t xml:space="preserve"> </w:t>
      </w:r>
      <w:r w:rsidR="00290852" w:rsidRPr="00DE68FB">
        <w:rPr>
          <w:sz w:val="26"/>
          <w:szCs w:val="26"/>
        </w:rPr>
        <w:t>A</w:t>
      </w:r>
      <w:r w:rsidR="00EC70FE">
        <w:rPr>
          <w:sz w:val="26"/>
          <w:szCs w:val="26"/>
        </w:rPr>
        <w:t xml:space="preserve">ddressing </w:t>
      </w:r>
      <w:r w:rsidR="00290852" w:rsidRPr="00DE68FB">
        <w:rPr>
          <w:sz w:val="26"/>
          <w:szCs w:val="26"/>
        </w:rPr>
        <w:t>Section 111.7(a</w:t>
      </w:r>
      <w:proofErr w:type="gramStart"/>
      <w:r w:rsidR="00290852" w:rsidRPr="00DE68FB">
        <w:rPr>
          <w:sz w:val="26"/>
          <w:szCs w:val="26"/>
        </w:rPr>
        <w:t>)(</w:t>
      </w:r>
      <w:proofErr w:type="gramEnd"/>
      <w:r w:rsidR="00290852" w:rsidRPr="00DE68FB">
        <w:rPr>
          <w:sz w:val="26"/>
          <w:szCs w:val="26"/>
        </w:rPr>
        <w:t>1)(i), requir</w:t>
      </w:r>
      <w:r w:rsidR="00EC70FE">
        <w:rPr>
          <w:sz w:val="26"/>
          <w:szCs w:val="26"/>
        </w:rPr>
        <w:t xml:space="preserve">ing </w:t>
      </w:r>
      <w:r w:rsidR="00290852" w:rsidRPr="00DE68FB">
        <w:rPr>
          <w:sz w:val="26"/>
          <w:szCs w:val="26"/>
        </w:rPr>
        <w:t>an EGS</w:t>
      </w:r>
      <w:r w:rsidR="00EC70FE">
        <w:rPr>
          <w:sz w:val="26"/>
          <w:szCs w:val="26"/>
        </w:rPr>
        <w:t>’</w:t>
      </w:r>
      <w:r w:rsidR="00290852" w:rsidRPr="00DE68FB">
        <w:rPr>
          <w:sz w:val="26"/>
          <w:szCs w:val="26"/>
        </w:rPr>
        <w:t xml:space="preserve"> document to </w:t>
      </w:r>
      <w:r w:rsidR="00EC70FE">
        <w:rPr>
          <w:sz w:val="26"/>
          <w:szCs w:val="26"/>
        </w:rPr>
        <w:t xml:space="preserve">identify </w:t>
      </w:r>
      <w:r w:rsidR="00290852" w:rsidRPr="00DE68FB">
        <w:rPr>
          <w:sz w:val="26"/>
          <w:szCs w:val="26"/>
        </w:rPr>
        <w:t xml:space="preserve">the agent who completed the transaction and </w:t>
      </w:r>
      <w:r w:rsidR="00EC70FE">
        <w:rPr>
          <w:sz w:val="26"/>
          <w:szCs w:val="26"/>
        </w:rPr>
        <w:t xml:space="preserve">whether </w:t>
      </w:r>
      <w:r w:rsidR="00290852" w:rsidRPr="00DE68FB">
        <w:rPr>
          <w:sz w:val="26"/>
          <w:szCs w:val="26"/>
        </w:rPr>
        <w:t xml:space="preserve">the transaction </w:t>
      </w:r>
      <w:r w:rsidR="00EC70FE">
        <w:rPr>
          <w:sz w:val="26"/>
          <w:szCs w:val="26"/>
        </w:rPr>
        <w:t xml:space="preserve">involved </w:t>
      </w:r>
      <w:r w:rsidR="00290852" w:rsidRPr="00DE68FB">
        <w:rPr>
          <w:sz w:val="26"/>
          <w:szCs w:val="26"/>
        </w:rPr>
        <w:t>a door-to-door call</w:t>
      </w:r>
      <w:r w:rsidR="00EC70FE">
        <w:rPr>
          <w:sz w:val="26"/>
          <w:szCs w:val="26"/>
        </w:rPr>
        <w:t xml:space="preserve">, </w:t>
      </w:r>
      <w:r w:rsidR="00EC70FE" w:rsidRPr="00EC70FE">
        <w:rPr>
          <w:sz w:val="26"/>
          <w:szCs w:val="26"/>
        </w:rPr>
        <w:t xml:space="preserve">Respond </w:t>
      </w:r>
      <w:r w:rsidR="00333F47">
        <w:rPr>
          <w:sz w:val="26"/>
          <w:szCs w:val="26"/>
        </w:rPr>
        <w:t xml:space="preserve">avers that </w:t>
      </w:r>
      <w:r w:rsidR="00EC70FE">
        <w:rPr>
          <w:sz w:val="26"/>
          <w:szCs w:val="26"/>
        </w:rPr>
        <w:t xml:space="preserve">this matter </w:t>
      </w:r>
      <w:r w:rsidR="00290852" w:rsidRPr="00DE68FB">
        <w:rPr>
          <w:sz w:val="26"/>
          <w:szCs w:val="26"/>
        </w:rPr>
        <w:t>was never addressed at the hearing or in any pleading</w:t>
      </w:r>
      <w:r w:rsidR="00A41BEA">
        <w:rPr>
          <w:sz w:val="26"/>
          <w:szCs w:val="26"/>
        </w:rPr>
        <w:t xml:space="preserve"> and </w:t>
      </w:r>
      <w:r w:rsidR="00290852" w:rsidRPr="00DE68FB">
        <w:rPr>
          <w:sz w:val="26"/>
          <w:szCs w:val="26"/>
        </w:rPr>
        <w:t>that this provision is not intended for the protection of the consumer, but rather for the Commission staff when enro</w:t>
      </w:r>
      <w:r w:rsidR="00333F47">
        <w:rPr>
          <w:sz w:val="26"/>
          <w:szCs w:val="26"/>
        </w:rPr>
        <w:t>llments need to be investigated and that n</w:t>
      </w:r>
      <w:r w:rsidR="00290852" w:rsidRPr="00DE68FB">
        <w:rPr>
          <w:sz w:val="26"/>
          <w:szCs w:val="26"/>
        </w:rPr>
        <w:t xml:space="preserve">o violation of this provision is warranted.  </w:t>
      </w:r>
      <w:r w:rsidR="005D442E">
        <w:rPr>
          <w:i/>
          <w:sz w:val="26"/>
          <w:szCs w:val="26"/>
        </w:rPr>
        <w:t>Id.</w:t>
      </w:r>
      <w:r w:rsidR="00333F47">
        <w:rPr>
          <w:sz w:val="26"/>
          <w:szCs w:val="26"/>
        </w:rPr>
        <w:t xml:space="preserve"> at 36</w:t>
      </w:r>
    </w:p>
    <w:p w:rsidR="00333F47" w:rsidRPr="00DE68FB" w:rsidRDefault="00333F47" w:rsidP="00333F47">
      <w:pPr>
        <w:pStyle w:val="BodyFirst1SS"/>
        <w:spacing w:line="360" w:lineRule="auto"/>
        <w:ind w:firstLine="1440"/>
        <w:jc w:val="left"/>
        <w:rPr>
          <w:sz w:val="26"/>
          <w:szCs w:val="26"/>
        </w:rPr>
      </w:pPr>
    </w:p>
    <w:p w:rsidR="00290852" w:rsidRDefault="005B279A" w:rsidP="00CC12C8">
      <w:pPr>
        <w:pStyle w:val="BodyFirst1SS"/>
        <w:spacing w:line="360" w:lineRule="auto"/>
        <w:ind w:firstLine="1440"/>
        <w:jc w:val="left"/>
        <w:rPr>
          <w:sz w:val="26"/>
          <w:szCs w:val="26"/>
        </w:rPr>
      </w:pPr>
      <w:r>
        <w:rPr>
          <w:sz w:val="26"/>
          <w:szCs w:val="26"/>
        </w:rPr>
        <w:t xml:space="preserve">Respond </w:t>
      </w:r>
      <w:r w:rsidR="00A41BEA">
        <w:rPr>
          <w:sz w:val="26"/>
          <w:szCs w:val="26"/>
        </w:rPr>
        <w:t xml:space="preserve">disputes any violation of </w:t>
      </w:r>
      <w:r w:rsidR="00290852" w:rsidRPr="00DE68FB">
        <w:rPr>
          <w:sz w:val="26"/>
          <w:szCs w:val="26"/>
        </w:rPr>
        <w:t>Section 111.12(d</w:t>
      </w:r>
      <w:proofErr w:type="gramStart"/>
      <w:r w:rsidR="00290852" w:rsidRPr="00DE68FB">
        <w:rPr>
          <w:sz w:val="26"/>
          <w:szCs w:val="26"/>
        </w:rPr>
        <w:t>)(</w:t>
      </w:r>
      <w:proofErr w:type="gramEnd"/>
      <w:r w:rsidR="00290852" w:rsidRPr="00DE68FB">
        <w:rPr>
          <w:sz w:val="26"/>
          <w:szCs w:val="26"/>
        </w:rPr>
        <w:t>2)</w:t>
      </w:r>
      <w:r w:rsidR="00A41BEA">
        <w:rPr>
          <w:sz w:val="26"/>
          <w:szCs w:val="26"/>
        </w:rPr>
        <w:t>,</w:t>
      </w:r>
      <w:r w:rsidR="00290852" w:rsidRPr="00DE68FB">
        <w:rPr>
          <w:sz w:val="26"/>
          <w:szCs w:val="26"/>
        </w:rPr>
        <w:t xml:space="preserve"> prohibit</w:t>
      </w:r>
      <w:r w:rsidR="00A41BEA">
        <w:rPr>
          <w:sz w:val="26"/>
          <w:szCs w:val="26"/>
        </w:rPr>
        <w:t>ing</w:t>
      </w:r>
      <w:r w:rsidR="00290852" w:rsidRPr="00DE68FB">
        <w:rPr>
          <w:sz w:val="26"/>
          <w:szCs w:val="26"/>
        </w:rPr>
        <w:t xml:space="preserve"> an EGS from making false or misleading representations</w:t>
      </w:r>
      <w:r w:rsidR="00A41BEA">
        <w:rPr>
          <w:sz w:val="26"/>
          <w:szCs w:val="26"/>
        </w:rPr>
        <w:t xml:space="preserve"> of rates or savings, because </w:t>
      </w:r>
      <w:r w:rsidR="00290852" w:rsidRPr="00DE68FB">
        <w:rPr>
          <w:sz w:val="26"/>
          <w:szCs w:val="26"/>
        </w:rPr>
        <w:t xml:space="preserve">the only evidence </w:t>
      </w:r>
      <w:r w:rsidR="00A41BEA">
        <w:rPr>
          <w:sz w:val="26"/>
          <w:szCs w:val="26"/>
        </w:rPr>
        <w:t xml:space="preserve">supporting misrepresentation </w:t>
      </w:r>
      <w:r w:rsidR="00290852" w:rsidRPr="00DE68FB">
        <w:rPr>
          <w:sz w:val="26"/>
          <w:szCs w:val="26"/>
        </w:rPr>
        <w:t xml:space="preserve">is </w:t>
      </w:r>
      <w:r w:rsidR="00A41BEA">
        <w:rPr>
          <w:sz w:val="26"/>
          <w:szCs w:val="26"/>
        </w:rPr>
        <w:t xml:space="preserve">uncorroborated </w:t>
      </w:r>
      <w:r w:rsidR="00290852" w:rsidRPr="00DE68FB">
        <w:rPr>
          <w:sz w:val="26"/>
          <w:szCs w:val="26"/>
        </w:rPr>
        <w:t xml:space="preserve">hearsay.  However, </w:t>
      </w:r>
      <w:r>
        <w:rPr>
          <w:sz w:val="26"/>
          <w:szCs w:val="26"/>
        </w:rPr>
        <w:t xml:space="preserve">Respond maintains that </w:t>
      </w:r>
      <w:r w:rsidR="00290852" w:rsidRPr="00DE68FB">
        <w:rPr>
          <w:sz w:val="26"/>
          <w:szCs w:val="26"/>
        </w:rPr>
        <w:t xml:space="preserve">if the Commission is persuaded that </w:t>
      </w:r>
      <w:r>
        <w:rPr>
          <w:sz w:val="26"/>
          <w:szCs w:val="26"/>
        </w:rPr>
        <w:t>the Company</w:t>
      </w:r>
      <w:r w:rsidR="00290852" w:rsidRPr="00DE68FB">
        <w:rPr>
          <w:sz w:val="26"/>
          <w:szCs w:val="26"/>
        </w:rPr>
        <w:t xml:space="preserve">’s sales agent made false or misleading representations about savings, </w:t>
      </w:r>
      <w:r w:rsidR="00A41BEA">
        <w:rPr>
          <w:sz w:val="26"/>
          <w:szCs w:val="26"/>
        </w:rPr>
        <w:t xml:space="preserve">it is </w:t>
      </w:r>
      <w:r w:rsidR="00290852" w:rsidRPr="00DE68FB">
        <w:rPr>
          <w:sz w:val="26"/>
          <w:szCs w:val="26"/>
        </w:rPr>
        <w:t xml:space="preserve">this provision of </w:t>
      </w:r>
      <w:r w:rsidR="00A41BEA">
        <w:rPr>
          <w:sz w:val="26"/>
          <w:szCs w:val="26"/>
        </w:rPr>
        <w:t>our R</w:t>
      </w:r>
      <w:r>
        <w:rPr>
          <w:sz w:val="26"/>
          <w:szCs w:val="26"/>
        </w:rPr>
        <w:t>egulations that Respond</w:t>
      </w:r>
      <w:r w:rsidR="00290852" w:rsidRPr="00DE68FB">
        <w:rPr>
          <w:sz w:val="26"/>
          <w:szCs w:val="26"/>
        </w:rPr>
        <w:t xml:space="preserve"> should be found to have violated.  </w:t>
      </w:r>
      <w:r>
        <w:rPr>
          <w:sz w:val="26"/>
          <w:szCs w:val="26"/>
        </w:rPr>
        <w:t xml:space="preserve">Respond </w:t>
      </w:r>
      <w:r w:rsidR="00A41BEA">
        <w:rPr>
          <w:sz w:val="26"/>
          <w:szCs w:val="26"/>
        </w:rPr>
        <w:t>asserts</w:t>
      </w:r>
      <w:r>
        <w:rPr>
          <w:sz w:val="26"/>
          <w:szCs w:val="26"/>
        </w:rPr>
        <w:t xml:space="preserve"> that</w:t>
      </w:r>
      <w:r w:rsidR="00290852" w:rsidRPr="00DE68FB">
        <w:rPr>
          <w:sz w:val="26"/>
          <w:szCs w:val="26"/>
        </w:rPr>
        <w:t xml:space="preserve"> </w:t>
      </w:r>
      <w:r w:rsidR="00A41BEA">
        <w:rPr>
          <w:sz w:val="26"/>
          <w:szCs w:val="26"/>
        </w:rPr>
        <w:t xml:space="preserve">Section 111.12(d)(4) </w:t>
      </w:r>
      <w:r w:rsidR="00290852" w:rsidRPr="00DE68FB">
        <w:rPr>
          <w:sz w:val="26"/>
          <w:szCs w:val="26"/>
        </w:rPr>
        <w:t xml:space="preserve">mirrors the disclosure statement language in Chapter 54, </w:t>
      </w:r>
      <w:r w:rsidR="00A41BEA">
        <w:rPr>
          <w:sz w:val="26"/>
          <w:szCs w:val="26"/>
        </w:rPr>
        <w:t xml:space="preserve">and that if </w:t>
      </w:r>
      <w:r w:rsidR="00290852" w:rsidRPr="00DE68FB">
        <w:rPr>
          <w:sz w:val="26"/>
          <w:szCs w:val="26"/>
        </w:rPr>
        <w:t>the Commission de</w:t>
      </w:r>
      <w:r w:rsidR="00A41BEA">
        <w:rPr>
          <w:sz w:val="26"/>
          <w:szCs w:val="26"/>
        </w:rPr>
        <w:t xml:space="preserve">termines that </w:t>
      </w:r>
      <w:r w:rsidR="00290852" w:rsidRPr="00DE68FB">
        <w:rPr>
          <w:sz w:val="26"/>
          <w:szCs w:val="26"/>
        </w:rPr>
        <w:t>the Affiliates Disclosure Agreement does not comply with th</w:t>
      </w:r>
      <w:r w:rsidR="00A41BEA">
        <w:rPr>
          <w:sz w:val="26"/>
          <w:szCs w:val="26"/>
        </w:rPr>
        <w:t>at R</w:t>
      </w:r>
      <w:r w:rsidR="00290852" w:rsidRPr="00DE68FB">
        <w:rPr>
          <w:sz w:val="26"/>
          <w:szCs w:val="26"/>
        </w:rPr>
        <w:t xml:space="preserve">egulation, finding a violation of Section 111.12(d)(4) </w:t>
      </w:r>
      <w:r w:rsidR="00A41BEA">
        <w:rPr>
          <w:sz w:val="26"/>
          <w:szCs w:val="26"/>
        </w:rPr>
        <w:t xml:space="preserve">as well </w:t>
      </w:r>
      <w:r w:rsidR="00290852" w:rsidRPr="00DE68FB">
        <w:rPr>
          <w:sz w:val="26"/>
          <w:szCs w:val="26"/>
        </w:rPr>
        <w:t xml:space="preserve">would </w:t>
      </w:r>
      <w:r w:rsidR="00A41BEA">
        <w:rPr>
          <w:sz w:val="26"/>
          <w:szCs w:val="26"/>
        </w:rPr>
        <w:t>“</w:t>
      </w:r>
      <w:r w:rsidR="00290852" w:rsidRPr="00DE68FB">
        <w:rPr>
          <w:sz w:val="26"/>
          <w:szCs w:val="26"/>
        </w:rPr>
        <w:t>serve no purpose.</w:t>
      </w:r>
      <w:r w:rsidR="00A41BEA">
        <w:rPr>
          <w:sz w:val="26"/>
          <w:szCs w:val="26"/>
        </w:rPr>
        <w:t>”</w:t>
      </w:r>
      <w:r>
        <w:rPr>
          <w:sz w:val="26"/>
          <w:szCs w:val="26"/>
        </w:rPr>
        <w:t xml:space="preserve">  </w:t>
      </w:r>
      <w:proofErr w:type="gramStart"/>
      <w:r w:rsidR="00A41BEA" w:rsidRPr="00A41BEA">
        <w:rPr>
          <w:i/>
          <w:sz w:val="26"/>
          <w:szCs w:val="26"/>
        </w:rPr>
        <w:t>Id</w:t>
      </w:r>
      <w:r w:rsidR="00A41BEA">
        <w:rPr>
          <w:sz w:val="26"/>
          <w:szCs w:val="26"/>
        </w:rPr>
        <w:t xml:space="preserve">. </w:t>
      </w:r>
      <w:r>
        <w:rPr>
          <w:sz w:val="26"/>
          <w:szCs w:val="26"/>
        </w:rPr>
        <w:t>at 37.</w:t>
      </w:r>
      <w:proofErr w:type="gramEnd"/>
    </w:p>
    <w:p w:rsidR="008E62D9" w:rsidRDefault="008E62D9" w:rsidP="00CC12C8">
      <w:pPr>
        <w:pStyle w:val="BodyFirst1SS"/>
        <w:spacing w:line="360" w:lineRule="auto"/>
        <w:ind w:firstLine="1440"/>
        <w:jc w:val="left"/>
        <w:rPr>
          <w:sz w:val="26"/>
          <w:szCs w:val="26"/>
        </w:rPr>
      </w:pPr>
    </w:p>
    <w:p w:rsidR="008E62D9" w:rsidRPr="008E62D9" w:rsidRDefault="008E62D9" w:rsidP="00CC12C8">
      <w:pPr>
        <w:pStyle w:val="BodyFirst1SS"/>
        <w:spacing w:line="360" w:lineRule="auto"/>
        <w:ind w:firstLine="1440"/>
        <w:jc w:val="left"/>
        <w:rPr>
          <w:i/>
          <w:sz w:val="26"/>
          <w:szCs w:val="26"/>
        </w:rPr>
      </w:pPr>
      <w:r>
        <w:rPr>
          <w:sz w:val="26"/>
          <w:szCs w:val="26"/>
        </w:rPr>
        <w:t>Finally, Respond contests the ALJ’s finding of a violation of Section 111.9(b) by failing to comply with Chapters 54 and 56 billing practices because there was no prior conclusion regarding a violation of Chapter 56</w:t>
      </w:r>
      <w:r w:rsidR="00E308B6">
        <w:rPr>
          <w:sz w:val="26"/>
          <w:szCs w:val="26"/>
        </w:rPr>
        <w:t>,</w:t>
      </w:r>
      <w:r>
        <w:rPr>
          <w:sz w:val="26"/>
          <w:szCs w:val="26"/>
        </w:rPr>
        <w:t xml:space="preserve"> and Section 111.9(b) sets forth no substantive standard an EGS can be found to have violated.  </w:t>
      </w:r>
      <w:r>
        <w:rPr>
          <w:i/>
          <w:sz w:val="26"/>
          <w:szCs w:val="26"/>
        </w:rPr>
        <w:t>Id.</w:t>
      </w:r>
    </w:p>
    <w:p w:rsidR="0080059F" w:rsidRDefault="0080059F" w:rsidP="00CC12C8">
      <w:pPr>
        <w:pStyle w:val="BodyFirst1SS"/>
        <w:spacing w:line="360" w:lineRule="auto"/>
        <w:ind w:firstLine="1440"/>
        <w:jc w:val="left"/>
        <w:rPr>
          <w:sz w:val="26"/>
          <w:szCs w:val="26"/>
        </w:rPr>
      </w:pPr>
    </w:p>
    <w:p w:rsidR="0080059F" w:rsidRPr="000112FE" w:rsidRDefault="004176C8" w:rsidP="00F531DC">
      <w:pPr>
        <w:pStyle w:val="BodyFirst1SS"/>
        <w:keepNext/>
        <w:keepLines/>
        <w:spacing w:line="360" w:lineRule="auto"/>
        <w:ind w:left="720"/>
        <w:jc w:val="left"/>
        <w:rPr>
          <w:sz w:val="26"/>
          <w:szCs w:val="26"/>
        </w:rPr>
      </w:pPr>
      <w:r>
        <w:rPr>
          <w:b/>
          <w:sz w:val="26"/>
          <w:szCs w:val="26"/>
        </w:rPr>
        <w:lastRenderedPageBreak/>
        <w:t>c.</w:t>
      </w:r>
      <w:r>
        <w:rPr>
          <w:b/>
          <w:sz w:val="26"/>
          <w:szCs w:val="26"/>
        </w:rPr>
        <w:tab/>
        <w:t xml:space="preserve">The </w:t>
      </w:r>
      <w:r w:rsidR="0080059F" w:rsidRPr="00E075E7">
        <w:rPr>
          <w:b/>
          <w:sz w:val="26"/>
          <w:szCs w:val="26"/>
        </w:rPr>
        <w:t>OCA</w:t>
      </w:r>
      <w:r>
        <w:rPr>
          <w:b/>
          <w:sz w:val="26"/>
          <w:szCs w:val="26"/>
        </w:rPr>
        <w:t>’s</w:t>
      </w:r>
      <w:r w:rsidR="0080059F" w:rsidRPr="00E075E7">
        <w:rPr>
          <w:b/>
          <w:sz w:val="26"/>
          <w:szCs w:val="26"/>
        </w:rPr>
        <w:t xml:space="preserve"> Repl</w:t>
      </w:r>
      <w:r>
        <w:rPr>
          <w:b/>
          <w:sz w:val="26"/>
          <w:szCs w:val="26"/>
        </w:rPr>
        <w:t>y</w:t>
      </w:r>
    </w:p>
    <w:p w:rsidR="0080059F" w:rsidRPr="000112FE" w:rsidRDefault="0080059F" w:rsidP="00F531DC">
      <w:pPr>
        <w:pStyle w:val="BodyFirst1SS"/>
        <w:keepNext/>
        <w:keepLines/>
        <w:spacing w:line="360" w:lineRule="auto"/>
        <w:jc w:val="left"/>
        <w:rPr>
          <w:sz w:val="26"/>
          <w:szCs w:val="26"/>
        </w:rPr>
      </w:pPr>
    </w:p>
    <w:p w:rsidR="00BD46D7" w:rsidRDefault="00E308B6" w:rsidP="0080059F">
      <w:pPr>
        <w:pStyle w:val="BodyFirst1SS"/>
        <w:spacing w:line="360" w:lineRule="auto"/>
        <w:ind w:firstLine="1440"/>
        <w:jc w:val="left"/>
        <w:rPr>
          <w:sz w:val="26"/>
          <w:szCs w:val="26"/>
        </w:rPr>
      </w:pPr>
      <w:r>
        <w:rPr>
          <w:sz w:val="26"/>
          <w:szCs w:val="26"/>
        </w:rPr>
        <w:t>T</w:t>
      </w:r>
      <w:r w:rsidR="003D669F">
        <w:rPr>
          <w:sz w:val="26"/>
          <w:szCs w:val="26"/>
        </w:rPr>
        <w:t xml:space="preserve">he OCA avers that the ALJ appropriately found that Respond’s conduct violated multiple </w:t>
      </w:r>
      <w:r w:rsidR="004176C8">
        <w:rPr>
          <w:sz w:val="26"/>
          <w:szCs w:val="26"/>
        </w:rPr>
        <w:t>R</w:t>
      </w:r>
      <w:r w:rsidR="003D669F">
        <w:rPr>
          <w:sz w:val="26"/>
          <w:szCs w:val="26"/>
        </w:rPr>
        <w:t xml:space="preserve">egulations.  </w:t>
      </w:r>
      <w:r w:rsidR="003E6860">
        <w:rPr>
          <w:sz w:val="26"/>
          <w:szCs w:val="26"/>
        </w:rPr>
        <w:t xml:space="preserve">With respect to the EGS’ billed price, the OCA supports the ALJ’s finding of a violation of Section 54.4(a), characterizing the purpose of </w:t>
      </w:r>
      <w:r w:rsidR="000112FE">
        <w:rPr>
          <w:sz w:val="26"/>
          <w:szCs w:val="26"/>
        </w:rPr>
        <w:t>that section</w:t>
      </w:r>
      <w:r w:rsidR="003E6860">
        <w:rPr>
          <w:sz w:val="26"/>
          <w:szCs w:val="26"/>
        </w:rPr>
        <w:t xml:space="preserve"> as ensuring that EGSs bill customers consistent with their solicitations</w:t>
      </w:r>
      <w:r>
        <w:rPr>
          <w:sz w:val="26"/>
          <w:szCs w:val="26"/>
        </w:rPr>
        <w:t xml:space="preserve">.  The OCA </w:t>
      </w:r>
      <w:r w:rsidR="003E6860">
        <w:rPr>
          <w:sz w:val="26"/>
          <w:szCs w:val="26"/>
        </w:rPr>
        <w:t xml:space="preserve">similarly supports finding a violation of Section 54.7(a) because the advertised price did not reflect the billed price.  </w:t>
      </w:r>
      <w:r w:rsidR="00BD46D7">
        <w:rPr>
          <w:sz w:val="26"/>
          <w:szCs w:val="26"/>
        </w:rPr>
        <w:t>OCA R. Exc. at 19</w:t>
      </w:r>
      <w:r w:rsidR="003E6860">
        <w:rPr>
          <w:sz w:val="26"/>
          <w:szCs w:val="26"/>
        </w:rPr>
        <w:t>-20</w:t>
      </w:r>
      <w:r w:rsidR="00BD46D7">
        <w:rPr>
          <w:sz w:val="26"/>
          <w:szCs w:val="26"/>
        </w:rPr>
        <w:t>.</w:t>
      </w:r>
    </w:p>
    <w:p w:rsidR="00BD46D7" w:rsidRDefault="00BD46D7" w:rsidP="0080059F">
      <w:pPr>
        <w:pStyle w:val="BodyFirst1SS"/>
        <w:spacing w:line="360" w:lineRule="auto"/>
        <w:ind w:firstLine="1440"/>
        <w:jc w:val="left"/>
        <w:rPr>
          <w:sz w:val="26"/>
          <w:szCs w:val="26"/>
        </w:rPr>
      </w:pPr>
    </w:p>
    <w:p w:rsidR="004176C8" w:rsidRDefault="009C5746" w:rsidP="003E6860">
      <w:pPr>
        <w:pStyle w:val="BodyFirst1SS"/>
        <w:spacing w:line="360" w:lineRule="auto"/>
        <w:ind w:firstLine="1440"/>
        <w:jc w:val="left"/>
        <w:rPr>
          <w:sz w:val="26"/>
          <w:szCs w:val="26"/>
        </w:rPr>
      </w:pPr>
      <w:r>
        <w:rPr>
          <w:sz w:val="26"/>
          <w:szCs w:val="26"/>
        </w:rPr>
        <w:t xml:space="preserve">Regarding the ALJ’s conclusion that Respond’s disclosure statement language violates </w:t>
      </w:r>
      <w:r w:rsidR="003E6860">
        <w:rPr>
          <w:sz w:val="26"/>
          <w:szCs w:val="26"/>
        </w:rPr>
        <w:t xml:space="preserve">Section </w:t>
      </w:r>
      <w:r>
        <w:rPr>
          <w:sz w:val="26"/>
          <w:szCs w:val="26"/>
        </w:rPr>
        <w:t>54.5(c)</w:t>
      </w:r>
      <w:r w:rsidR="003E6860">
        <w:rPr>
          <w:sz w:val="26"/>
          <w:szCs w:val="26"/>
        </w:rPr>
        <w:t>(</w:t>
      </w:r>
      <w:r>
        <w:rPr>
          <w:sz w:val="26"/>
          <w:szCs w:val="26"/>
        </w:rPr>
        <w:t>10</w:t>
      </w:r>
      <w:r w:rsidR="003E6860">
        <w:rPr>
          <w:sz w:val="26"/>
          <w:szCs w:val="26"/>
        </w:rPr>
        <w:t>)</w:t>
      </w:r>
      <w:r>
        <w:rPr>
          <w:sz w:val="26"/>
          <w:szCs w:val="26"/>
        </w:rPr>
        <w:t xml:space="preserve">, the OCA </w:t>
      </w:r>
      <w:r w:rsidR="003E6860">
        <w:rPr>
          <w:sz w:val="26"/>
          <w:szCs w:val="26"/>
        </w:rPr>
        <w:t xml:space="preserve">supports the ALJ’s conclusion that </w:t>
      </w:r>
      <w:r>
        <w:rPr>
          <w:sz w:val="26"/>
          <w:szCs w:val="26"/>
        </w:rPr>
        <w:t xml:space="preserve">the Affiliates Disclosure Statement </w:t>
      </w:r>
      <w:r w:rsidR="003E6860">
        <w:rPr>
          <w:sz w:val="26"/>
          <w:szCs w:val="26"/>
        </w:rPr>
        <w:t xml:space="preserve">provided </w:t>
      </w:r>
      <w:r>
        <w:rPr>
          <w:sz w:val="26"/>
          <w:szCs w:val="26"/>
        </w:rPr>
        <w:t xml:space="preserve">to Mr. Herp differs significantly from the Draft Disclosure </w:t>
      </w:r>
      <w:r w:rsidR="003E6860">
        <w:rPr>
          <w:sz w:val="26"/>
          <w:szCs w:val="26"/>
        </w:rPr>
        <w:t xml:space="preserve">Statement attached to Respond’s license application </w:t>
      </w:r>
      <w:r>
        <w:rPr>
          <w:sz w:val="26"/>
          <w:szCs w:val="26"/>
        </w:rPr>
        <w:t>filed with the Commission</w:t>
      </w:r>
      <w:r w:rsidR="003E6860">
        <w:rPr>
          <w:sz w:val="26"/>
          <w:szCs w:val="26"/>
        </w:rPr>
        <w:t xml:space="preserve"> and does not comport with the required font size</w:t>
      </w:r>
      <w:r>
        <w:rPr>
          <w:sz w:val="26"/>
          <w:szCs w:val="26"/>
        </w:rPr>
        <w:t>.</w:t>
      </w:r>
      <w:r w:rsidR="003E6860">
        <w:rPr>
          <w:sz w:val="26"/>
          <w:szCs w:val="26"/>
        </w:rPr>
        <w:t xml:space="preserve">  </w:t>
      </w:r>
      <w:r w:rsidR="003E6860">
        <w:rPr>
          <w:i/>
          <w:sz w:val="26"/>
          <w:szCs w:val="26"/>
        </w:rPr>
        <w:t>Id.</w:t>
      </w:r>
    </w:p>
    <w:p w:rsidR="003E6860" w:rsidRDefault="003E6860" w:rsidP="008763D9">
      <w:pPr>
        <w:pStyle w:val="BodyFirst1SS"/>
        <w:spacing w:line="360" w:lineRule="auto"/>
        <w:ind w:right="1440" w:firstLine="0"/>
        <w:jc w:val="left"/>
        <w:rPr>
          <w:sz w:val="26"/>
          <w:szCs w:val="26"/>
        </w:rPr>
      </w:pPr>
    </w:p>
    <w:p w:rsidR="00BD1638" w:rsidRPr="008763D9" w:rsidRDefault="000112FE" w:rsidP="008763D9">
      <w:pPr>
        <w:pStyle w:val="BodyFirst1SS"/>
        <w:spacing w:line="360" w:lineRule="auto"/>
        <w:ind w:firstLine="1440"/>
        <w:jc w:val="left"/>
        <w:rPr>
          <w:sz w:val="26"/>
          <w:szCs w:val="26"/>
        </w:rPr>
      </w:pPr>
      <w:r>
        <w:rPr>
          <w:sz w:val="26"/>
          <w:szCs w:val="26"/>
        </w:rPr>
        <w:t xml:space="preserve">With respect to </w:t>
      </w:r>
      <w:r w:rsidR="0057407D">
        <w:rPr>
          <w:sz w:val="26"/>
          <w:szCs w:val="26"/>
        </w:rPr>
        <w:t xml:space="preserve">the ALJ’s finding </w:t>
      </w:r>
      <w:r w:rsidR="003E6860">
        <w:rPr>
          <w:sz w:val="26"/>
          <w:szCs w:val="26"/>
        </w:rPr>
        <w:t xml:space="preserve">a violation of Section 54.42(a), the OCA </w:t>
      </w:r>
      <w:r w:rsidR="00A20D40">
        <w:rPr>
          <w:sz w:val="26"/>
          <w:szCs w:val="26"/>
        </w:rPr>
        <w:t xml:space="preserve">submits that Respond’s argument is flawed and that the ALJ’s conclusion should be adopted.  </w:t>
      </w:r>
      <w:proofErr w:type="gramStart"/>
      <w:r w:rsidR="0057407D">
        <w:rPr>
          <w:sz w:val="26"/>
          <w:szCs w:val="26"/>
        </w:rPr>
        <w:t>OCA R. Exc. at 20.</w:t>
      </w:r>
      <w:proofErr w:type="gramEnd"/>
      <w:r w:rsidR="00A20D40">
        <w:rPr>
          <w:sz w:val="26"/>
          <w:szCs w:val="26"/>
        </w:rPr>
        <w:t xml:space="preserve">  The OCA also supports the ALJ’s finding a violation of Sections 54.42(1</w:t>
      </w:r>
      <w:proofErr w:type="gramStart"/>
      <w:r w:rsidR="00A20D40">
        <w:rPr>
          <w:sz w:val="26"/>
          <w:szCs w:val="26"/>
        </w:rPr>
        <w:t>)(</w:t>
      </w:r>
      <w:proofErr w:type="gramEnd"/>
      <w:r w:rsidR="00A20D40">
        <w:rPr>
          <w:sz w:val="26"/>
          <w:szCs w:val="26"/>
        </w:rPr>
        <w:t xml:space="preserve">f) and (g), contending that the ALJ correctly characterized those sections as a code of conduct with which EGSs are required to comply.  </w:t>
      </w:r>
      <w:r w:rsidR="00A20D40">
        <w:rPr>
          <w:i/>
          <w:sz w:val="26"/>
          <w:szCs w:val="26"/>
        </w:rPr>
        <w:t>Id.</w:t>
      </w:r>
      <w:r w:rsidR="00A20D40">
        <w:rPr>
          <w:sz w:val="26"/>
          <w:szCs w:val="26"/>
        </w:rPr>
        <w:t xml:space="preserve"> at 20-21.  Finally, the OCA contends that in finding that Respond’s agent made false and misleading representations to Mr. Herp, the ALJ correctly </w:t>
      </w:r>
      <w:r>
        <w:rPr>
          <w:sz w:val="26"/>
          <w:szCs w:val="26"/>
        </w:rPr>
        <w:t>concluded</w:t>
      </w:r>
      <w:r w:rsidR="00A20D40">
        <w:rPr>
          <w:sz w:val="26"/>
          <w:szCs w:val="26"/>
        </w:rPr>
        <w:t xml:space="preserve"> that Respond violated </w:t>
      </w:r>
      <w:r w:rsidR="00BD1638">
        <w:rPr>
          <w:sz w:val="26"/>
          <w:szCs w:val="26"/>
        </w:rPr>
        <w:t xml:space="preserve">several </w:t>
      </w:r>
      <w:r w:rsidR="00A20D40">
        <w:rPr>
          <w:sz w:val="26"/>
          <w:szCs w:val="26"/>
        </w:rPr>
        <w:t xml:space="preserve">sections of </w:t>
      </w:r>
      <w:r w:rsidR="00BD1638">
        <w:rPr>
          <w:sz w:val="26"/>
          <w:szCs w:val="26"/>
        </w:rPr>
        <w:t xml:space="preserve">Chapter 111 </w:t>
      </w:r>
      <w:r w:rsidR="00A20D40">
        <w:rPr>
          <w:sz w:val="26"/>
          <w:szCs w:val="26"/>
        </w:rPr>
        <w:t>consumer protection</w:t>
      </w:r>
      <w:r w:rsidR="00E517BE">
        <w:rPr>
          <w:sz w:val="26"/>
          <w:szCs w:val="26"/>
        </w:rPr>
        <w:t xml:space="preserve"> Re</w:t>
      </w:r>
      <w:r w:rsidR="00BD1638">
        <w:rPr>
          <w:sz w:val="26"/>
          <w:szCs w:val="26"/>
        </w:rPr>
        <w:t xml:space="preserve">gulations.  </w:t>
      </w:r>
      <w:r w:rsidR="00A20D40">
        <w:rPr>
          <w:i/>
          <w:sz w:val="26"/>
          <w:szCs w:val="26"/>
        </w:rPr>
        <w:t>Id.</w:t>
      </w:r>
      <w:r w:rsidR="00BD1638">
        <w:rPr>
          <w:sz w:val="26"/>
          <w:szCs w:val="26"/>
        </w:rPr>
        <w:t xml:space="preserve"> at 2</w:t>
      </w:r>
      <w:r w:rsidR="00A20D40">
        <w:rPr>
          <w:sz w:val="26"/>
          <w:szCs w:val="26"/>
        </w:rPr>
        <w:t>1</w:t>
      </w:r>
      <w:r w:rsidR="00BD1638">
        <w:rPr>
          <w:sz w:val="26"/>
          <w:szCs w:val="26"/>
        </w:rPr>
        <w:t>-23.</w:t>
      </w:r>
    </w:p>
    <w:p w:rsidR="0080059F" w:rsidRDefault="0080059F" w:rsidP="0080059F">
      <w:pPr>
        <w:pStyle w:val="BodyFirst1SS"/>
        <w:spacing w:line="360" w:lineRule="auto"/>
        <w:jc w:val="left"/>
        <w:rPr>
          <w:b/>
          <w:sz w:val="26"/>
          <w:szCs w:val="26"/>
        </w:rPr>
      </w:pPr>
    </w:p>
    <w:p w:rsidR="0080059F" w:rsidRPr="0022192A" w:rsidRDefault="004176C8" w:rsidP="0022192A">
      <w:pPr>
        <w:pStyle w:val="BodyFirst1SS"/>
        <w:keepNext/>
        <w:spacing w:line="360" w:lineRule="auto"/>
        <w:ind w:left="720"/>
        <w:jc w:val="left"/>
        <w:rPr>
          <w:sz w:val="26"/>
          <w:szCs w:val="26"/>
        </w:rPr>
      </w:pPr>
      <w:r>
        <w:rPr>
          <w:b/>
          <w:sz w:val="26"/>
          <w:szCs w:val="26"/>
        </w:rPr>
        <w:t>d.</w:t>
      </w:r>
      <w:r>
        <w:rPr>
          <w:b/>
          <w:sz w:val="26"/>
          <w:szCs w:val="26"/>
        </w:rPr>
        <w:tab/>
      </w:r>
      <w:r w:rsidR="0080059F">
        <w:rPr>
          <w:b/>
          <w:sz w:val="26"/>
          <w:szCs w:val="26"/>
        </w:rPr>
        <w:t>Disposition</w:t>
      </w:r>
    </w:p>
    <w:p w:rsidR="001079DC" w:rsidRPr="0022192A" w:rsidRDefault="001079DC" w:rsidP="0022192A">
      <w:pPr>
        <w:pStyle w:val="BodyFirst1SS"/>
        <w:keepNext/>
        <w:spacing w:line="360" w:lineRule="auto"/>
        <w:ind w:left="1440" w:firstLine="0"/>
        <w:jc w:val="left"/>
        <w:rPr>
          <w:sz w:val="26"/>
          <w:szCs w:val="26"/>
        </w:rPr>
      </w:pPr>
    </w:p>
    <w:p w:rsidR="002D4DD2" w:rsidRDefault="000112FE" w:rsidP="001079DC">
      <w:pPr>
        <w:ind w:firstLine="1440"/>
        <w:rPr>
          <w:rFonts w:ascii="Times New Roman" w:hAnsi="Times New Roman"/>
          <w:bCs/>
          <w:sz w:val="26"/>
          <w:szCs w:val="26"/>
        </w:rPr>
      </w:pPr>
      <w:r>
        <w:rPr>
          <w:rFonts w:ascii="Times New Roman" w:hAnsi="Times New Roman"/>
          <w:bCs/>
          <w:sz w:val="26"/>
          <w:szCs w:val="26"/>
        </w:rPr>
        <w:t xml:space="preserve">We grant in part, and deny in part, Respond’s Exception No. 4.  </w:t>
      </w:r>
      <w:r w:rsidR="007E55C9">
        <w:rPr>
          <w:rFonts w:ascii="Times New Roman" w:hAnsi="Times New Roman"/>
          <w:bCs/>
          <w:sz w:val="26"/>
          <w:szCs w:val="26"/>
        </w:rPr>
        <w:t xml:space="preserve">Consistent with </w:t>
      </w:r>
      <w:r w:rsidR="00EB4DB6">
        <w:rPr>
          <w:rFonts w:ascii="Times New Roman" w:hAnsi="Times New Roman"/>
          <w:bCs/>
          <w:sz w:val="26"/>
          <w:szCs w:val="26"/>
        </w:rPr>
        <w:t>our disposition of Respond’s Exception No. 1, we grant</w:t>
      </w:r>
      <w:r>
        <w:rPr>
          <w:rFonts w:ascii="Times New Roman" w:hAnsi="Times New Roman"/>
          <w:bCs/>
          <w:sz w:val="26"/>
          <w:szCs w:val="26"/>
        </w:rPr>
        <w:t xml:space="preserve"> that part of </w:t>
      </w:r>
      <w:r w:rsidR="00EB4DB6">
        <w:rPr>
          <w:rFonts w:ascii="Times New Roman" w:hAnsi="Times New Roman"/>
          <w:bCs/>
          <w:sz w:val="26"/>
          <w:szCs w:val="26"/>
        </w:rPr>
        <w:t xml:space="preserve">Respond’s Exception </w:t>
      </w:r>
      <w:r w:rsidR="001D462E">
        <w:rPr>
          <w:rFonts w:ascii="Times New Roman" w:hAnsi="Times New Roman"/>
          <w:bCs/>
          <w:sz w:val="26"/>
          <w:szCs w:val="26"/>
        </w:rPr>
        <w:t xml:space="preserve">No. 4 </w:t>
      </w:r>
      <w:r>
        <w:rPr>
          <w:rFonts w:ascii="Times New Roman" w:hAnsi="Times New Roman"/>
          <w:bCs/>
          <w:sz w:val="26"/>
          <w:szCs w:val="26"/>
        </w:rPr>
        <w:t>addressing violations related to the disclosure statement.  Thus, we r</w:t>
      </w:r>
      <w:r w:rsidR="007E55C9">
        <w:rPr>
          <w:rFonts w:ascii="Times New Roman" w:hAnsi="Times New Roman"/>
          <w:bCs/>
          <w:sz w:val="26"/>
          <w:szCs w:val="26"/>
        </w:rPr>
        <w:t xml:space="preserve">eject </w:t>
      </w:r>
      <w:r w:rsidR="00EB4DB6">
        <w:rPr>
          <w:rFonts w:ascii="Times New Roman" w:hAnsi="Times New Roman"/>
          <w:bCs/>
          <w:sz w:val="26"/>
          <w:szCs w:val="26"/>
        </w:rPr>
        <w:lastRenderedPageBreak/>
        <w:t xml:space="preserve">the ALJ’s finding </w:t>
      </w:r>
      <w:r w:rsidR="007E55C9">
        <w:rPr>
          <w:rFonts w:ascii="Times New Roman" w:hAnsi="Times New Roman"/>
          <w:bCs/>
          <w:sz w:val="26"/>
          <w:szCs w:val="26"/>
        </w:rPr>
        <w:t xml:space="preserve">of violations of </w:t>
      </w:r>
      <w:r w:rsidR="00EB4DB6">
        <w:rPr>
          <w:rFonts w:ascii="Times New Roman" w:hAnsi="Times New Roman"/>
          <w:bCs/>
          <w:sz w:val="26"/>
          <w:szCs w:val="26"/>
        </w:rPr>
        <w:t xml:space="preserve">our </w:t>
      </w:r>
      <w:r w:rsidR="00EB4DB6">
        <w:rPr>
          <w:rFonts w:ascii="Times New Roman" w:hAnsi="Times New Roman"/>
          <w:bCs/>
          <w:i/>
          <w:sz w:val="26"/>
          <w:szCs w:val="26"/>
        </w:rPr>
        <w:t xml:space="preserve">License Order </w:t>
      </w:r>
      <w:r w:rsidR="00EB4DB6">
        <w:rPr>
          <w:rFonts w:ascii="Times New Roman" w:hAnsi="Times New Roman"/>
          <w:bCs/>
          <w:sz w:val="26"/>
          <w:szCs w:val="26"/>
        </w:rPr>
        <w:t>and Section 54.5(c</w:t>
      </w:r>
      <w:proofErr w:type="gramStart"/>
      <w:r w:rsidR="00EB4DB6">
        <w:rPr>
          <w:rFonts w:ascii="Times New Roman" w:hAnsi="Times New Roman"/>
          <w:bCs/>
          <w:sz w:val="26"/>
          <w:szCs w:val="26"/>
        </w:rPr>
        <w:t>)(</w:t>
      </w:r>
      <w:proofErr w:type="gramEnd"/>
      <w:r w:rsidR="00EB4DB6">
        <w:rPr>
          <w:rFonts w:ascii="Times New Roman" w:hAnsi="Times New Roman"/>
          <w:bCs/>
          <w:sz w:val="26"/>
          <w:szCs w:val="26"/>
        </w:rPr>
        <w:t xml:space="preserve">10) of our Regulations.  </w:t>
      </w:r>
      <w:r>
        <w:rPr>
          <w:rFonts w:ascii="Times New Roman" w:hAnsi="Times New Roman"/>
          <w:bCs/>
          <w:sz w:val="26"/>
          <w:szCs w:val="26"/>
        </w:rPr>
        <w:t xml:space="preserve">Consistent with our analysis of Respond’s Exception No. 1, however, </w:t>
      </w:r>
      <w:r w:rsidR="007E55C9">
        <w:rPr>
          <w:rFonts w:ascii="Times New Roman" w:hAnsi="Times New Roman"/>
          <w:bCs/>
          <w:sz w:val="26"/>
          <w:szCs w:val="26"/>
        </w:rPr>
        <w:t xml:space="preserve">we </w:t>
      </w:r>
      <w:r>
        <w:rPr>
          <w:rFonts w:ascii="Times New Roman" w:hAnsi="Times New Roman"/>
          <w:bCs/>
          <w:sz w:val="26"/>
          <w:szCs w:val="26"/>
        </w:rPr>
        <w:t xml:space="preserve">grant this part of Respond’s Exception No. 4 </w:t>
      </w:r>
      <w:r w:rsidR="007E55C9">
        <w:rPr>
          <w:rFonts w:ascii="Times New Roman" w:hAnsi="Times New Roman"/>
          <w:bCs/>
          <w:sz w:val="26"/>
          <w:szCs w:val="26"/>
        </w:rPr>
        <w:t>on the basis of th</w:t>
      </w:r>
      <w:r w:rsidR="005B724B">
        <w:rPr>
          <w:rFonts w:ascii="Times New Roman" w:hAnsi="Times New Roman"/>
          <w:bCs/>
          <w:sz w:val="26"/>
          <w:szCs w:val="26"/>
        </w:rPr>
        <w:t>is</w:t>
      </w:r>
      <w:r w:rsidR="007E55C9">
        <w:rPr>
          <w:rFonts w:ascii="Times New Roman" w:hAnsi="Times New Roman"/>
          <w:bCs/>
          <w:sz w:val="26"/>
          <w:szCs w:val="26"/>
        </w:rPr>
        <w:t xml:space="preserve"> evidentiary record and without endorsement of the disclosure statement </w:t>
      </w:r>
      <w:r w:rsidR="005B724B">
        <w:rPr>
          <w:rFonts w:ascii="Times New Roman" w:hAnsi="Times New Roman"/>
          <w:bCs/>
          <w:sz w:val="26"/>
          <w:szCs w:val="26"/>
        </w:rPr>
        <w:t>given</w:t>
      </w:r>
      <w:r w:rsidR="007E55C9">
        <w:rPr>
          <w:rFonts w:ascii="Times New Roman" w:hAnsi="Times New Roman"/>
          <w:bCs/>
          <w:sz w:val="26"/>
          <w:szCs w:val="26"/>
        </w:rPr>
        <w:t xml:space="preserve"> </w:t>
      </w:r>
      <w:r w:rsidR="005B724B">
        <w:rPr>
          <w:rFonts w:ascii="Times New Roman" w:hAnsi="Times New Roman"/>
          <w:bCs/>
          <w:sz w:val="26"/>
          <w:szCs w:val="26"/>
        </w:rPr>
        <w:t xml:space="preserve">to </w:t>
      </w:r>
      <w:r w:rsidR="007E55C9">
        <w:rPr>
          <w:rFonts w:ascii="Times New Roman" w:hAnsi="Times New Roman"/>
          <w:bCs/>
          <w:sz w:val="26"/>
          <w:szCs w:val="26"/>
        </w:rPr>
        <w:t>Mr. Herp.</w:t>
      </w:r>
    </w:p>
    <w:p w:rsidR="002D4DD2" w:rsidRDefault="002D4DD2" w:rsidP="001079DC">
      <w:pPr>
        <w:ind w:firstLine="1440"/>
        <w:rPr>
          <w:rFonts w:ascii="Times New Roman" w:hAnsi="Times New Roman"/>
          <w:bCs/>
          <w:sz w:val="26"/>
          <w:szCs w:val="26"/>
        </w:rPr>
      </w:pPr>
    </w:p>
    <w:p w:rsidR="00EB4DB6" w:rsidRDefault="00EB4DB6" w:rsidP="001079DC">
      <w:pPr>
        <w:ind w:firstLine="1440"/>
        <w:rPr>
          <w:rFonts w:ascii="Times New Roman" w:hAnsi="Times New Roman"/>
          <w:bCs/>
          <w:sz w:val="26"/>
          <w:szCs w:val="26"/>
        </w:rPr>
      </w:pPr>
      <w:r w:rsidRPr="007E55C9">
        <w:rPr>
          <w:rFonts w:ascii="Times New Roman" w:hAnsi="Times New Roman"/>
          <w:bCs/>
          <w:sz w:val="26"/>
          <w:szCs w:val="26"/>
        </w:rPr>
        <w:t>W</w:t>
      </w:r>
      <w:r>
        <w:rPr>
          <w:rFonts w:ascii="Times New Roman" w:hAnsi="Times New Roman"/>
          <w:bCs/>
          <w:sz w:val="26"/>
          <w:szCs w:val="26"/>
        </w:rPr>
        <w:t xml:space="preserve">e also agree with </w:t>
      </w:r>
      <w:proofErr w:type="gramStart"/>
      <w:r>
        <w:rPr>
          <w:rFonts w:ascii="Times New Roman" w:hAnsi="Times New Roman"/>
          <w:bCs/>
          <w:sz w:val="26"/>
          <w:szCs w:val="26"/>
        </w:rPr>
        <w:t>Respond</w:t>
      </w:r>
      <w:proofErr w:type="gramEnd"/>
      <w:r>
        <w:rPr>
          <w:rFonts w:ascii="Times New Roman" w:hAnsi="Times New Roman"/>
          <w:bCs/>
          <w:sz w:val="26"/>
          <w:szCs w:val="26"/>
        </w:rPr>
        <w:t xml:space="preserve"> that </w:t>
      </w:r>
      <w:r w:rsidR="001D462E">
        <w:rPr>
          <w:rFonts w:ascii="Times New Roman" w:hAnsi="Times New Roman"/>
          <w:bCs/>
          <w:sz w:val="26"/>
          <w:szCs w:val="26"/>
        </w:rPr>
        <w:t>w</w:t>
      </w:r>
      <w:r w:rsidR="001D462E" w:rsidRPr="001D462E">
        <w:rPr>
          <w:rFonts w:ascii="Times New Roman" w:hAnsi="Times New Roman"/>
          <w:bCs/>
          <w:sz w:val="26"/>
          <w:szCs w:val="26"/>
        </w:rPr>
        <w:t>hile Section 54.42(a</w:t>
      </w:r>
      <w:r w:rsidR="001D462E">
        <w:rPr>
          <w:rFonts w:ascii="Times New Roman" w:hAnsi="Times New Roman"/>
          <w:bCs/>
          <w:sz w:val="26"/>
          <w:szCs w:val="26"/>
        </w:rPr>
        <w:t>)</w:t>
      </w:r>
      <w:r w:rsidR="001D462E" w:rsidRPr="001D462E">
        <w:rPr>
          <w:rFonts w:ascii="Times New Roman" w:hAnsi="Times New Roman"/>
          <w:bCs/>
          <w:sz w:val="26"/>
          <w:szCs w:val="26"/>
        </w:rPr>
        <w:t xml:space="preserve"> requires Respond to comply with our Statutes, Regulations, and Orders, </w:t>
      </w:r>
      <w:r>
        <w:rPr>
          <w:rFonts w:ascii="Times New Roman" w:hAnsi="Times New Roman"/>
          <w:bCs/>
          <w:sz w:val="26"/>
          <w:szCs w:val="26"/>
        </w:rPr>
        <w:t>that section sets forth provisions</w:t>
      </w:r>
      <w:r w:rsidR="001D462E">
        <w:rPr>
          <w:rFonts w:ascii="Times New Roman" w:hAnsi="Times New Roman"/>
          <w:bCs/>
          <w:sz w:val="26"/>
          <w:szCs w:val="26"/>
        </w:rPr>
        <w:t xml:space="preserve"> that,</w:t>
      </w:r>
      <w:r>
        <w:rPr>
          <w:rFonts w:ascii="Times New Roman" w:hAnsi="Times New Roman"/>
          <w:bCs/>
          <w:sz w:val="26"/>
          <w:szCs w:val="26"/>
        </w:rPr>
        <w:t xml:space="preserve"> if violated, provide grounds for license suspension or revocation</w:t>
      </w:r>
      <w:r w:rsidR="001D462E">
        <w:rPr>
          <w:rFonts w:ascii="Times New Roman" w:hAnsi="Times New Roman"/>
          <w:bCs/>
          <w:sz w:val="26"/>
          <w:szCs w:val="26"/>
        </w:rPr>
        <w:t xml:space="preserve">.  In finding that Respond’s agent engaged in deceptive advertising with Mr. Herp, we rely on those </w:t>
      </w:r>
      <w:r w:rsidR="007E55C9">
        <w:rPr>
          <w:rFonts w:ascii="Times New Roman" w:hAnsi="Times New Roman"/>
          <w:bCs/>
          <w:sz w:val="26"/>
          <w:szCs w:val="26"/>
        </w:rPr>
        <w:t xml:space="preserve">substantive Regulations </w:t>
      </w:r>
      <w:r w:rsidR="001D462E">
        <w:rPr>
          <w:rFonts w:ascii="Times New Roman" w:hAnsi="Times New Roman"/>
          <w:bCs/>
          <w:sz w:val="26"/>
          <w:szCs w:val="26"/>
        </w:rPr>
        <w:t xml:space="preserve">that </w:t>
      </w:r>
      <w:r w:rsidR="007E55C9">
        <w:rPr>
          <w:rFonts w:ascii="Times New Roman" w:hAnsi="Times New Roman"/>
          <w:bCs/>
          <w:sz w:val="26"/>
          <w:szCs w:val="26"/>
        </w:rPr>
        <w:t xml:space="preserve">address the </w:t>
      </w:r>
      <w:r w:rsidR="001D462E">
        <w:rPr>
          <w:rFonts w:ascii="Times New Roman" w:hAnsi="Times New Roman"/>
          <w:bCs/>
          <w:sz w:val="26"/>
          <w:szCs w:val="26"/>
        </w:rPr>
        <w:t xml:space="preserve">specific </w:t>
      </w:r>
      <w:r w:rsidR="007E55C9">
        <w:rPr>
          <w:rFonts w:ascii="Times New Roman" w:hAnsi="Times New Roman"/>
          <w:bCs/>
          <w:sz w:val="26"/>
          <w:szCs w:val="26"/>
        </w:rPr>
        <w:t>action</w:t>
      </w:r>
      <w:r>
        <w:rPr>
          <w:rFonts w:ascii="Times New Roman" w:hAnsi="Times New Roman"/>
          <w:bCs/>
          <w:sz w:val="26"/>
          <w:szCs w:val="26"/>
        </w:rPr>
        <w:t xml:space="preserve">.  </w:t>
      </w:r>
      <w:r w:rsidR="002D4DD2" w:rsidRPr="002D4DD2">
        <w:rPr>
          <w:rFonts w:ascii="Times New Roman" w:hAnsi="Times New Roman"/>
          <w:bCs/>
          <w:sz w:val="26"/>
          <w:szCs w:val="26"/>
        </w:rPr>
        <w:t xml:space="preserve">Therefore, we </w:t>
      </w:r>
      <w:r w:rsidR="002D4DD2">
        <w:rPr>
          <w:rFonts w:ascii="Times New Roman" w:hAnsi="Times New Roman"/>
          <w:bCs/>
          <w:sz w:val="26"/>
          <w:szCs w:val="26"/>
        </w:rPr>
        <w:t xml:space="preserve">grant, in part, Respond’s Exception No. 4 and </w:t>
      </w:r>
      <w:r w:rsidR="002D4DD2" w:rsidRPr="002D4DD2">
        <w:rPr>
          <w:rFonts w:ascii="Times New Roman" w:hAnsi="Times New Roman"/>
          <w:bCs/>
          <w:sz w:val="26"/>
          <w:szCs w:val="26"/>
        </w:rPr>
        <w:t>reject that portion of the ALJ’s Initial Decision that found a violation of 52 Pa. Code § 54.42(a).</w:t>
      </w:r>
    </w:p>
    <w:p w:rsidR="00EB4DB6" w:rsidRDefault="00EB4DB6" w:rsidP="001079DC">
      <w:pPr>
        <w:ind w:firstLine="1440"/>
        <w:rPr>
          <w:rFonts w:ascii="Times New Roman" w:hAnsi="Times New Roman"/>
          <w:bCs/>
          <w:sz w:val="26"/>
          <w:szCs w:val="26"/>
        </w:rPr>
      </w:pPr>
    </w:p>
    <w:p w:rsidR="002F7596" w:rsidRDefault="002D4DD2" w:rsidP="00EB4DB6">
      <w:pPr>
        <w:ind w:firstLine="1440"/>
        <w:rPr>
          <w:rFonts w:ascii="Times New Roman" w:hAnsi="Times New Roman"/>
          <w:bCs/>
          <w:sz w:val="26"/>
          <w:szCs w:val="26"/>
        </w:rPr>
      </w:pPr>
      <w:r>
        <w:rPr>
          <w:rFonts w:ascii="Times New Roman" w:hAnsi="Times New Roman"/>
          <w:bCs/>
          <w:sz w:val="26"/>
          <w:szCs w:val="26"/>
        </w:rPr>
        <w:t xml:space="preserve">With respect to the ALJ’s findings of violations of Sections 54.4(a) and 54.7(a), we agree with the ALJ </w:t>
      </w:r>
      <w:r w:rsidR="005B724B">
        <w:rPr>
          <w:rFonts w:ascii="Times New Roman" w:hAnsi="Times New Roman"/>
          <w:bCs/>
          <w:sz w:val="26"/>
          <w:szCs w:val="26"/>
        </w:rPr>
        <w:t xml:space="preserve">and the OCA </w:t>
      </w:r>
      <w:r>
        <w:rPr>
          <w:rFonts w:ascii="Times New Roman" w:hAnsi="Times New Roman"/>
          <w:bCs/>
          <w:sz w:val="26"/>
          <w:szCs w:val="26"/>
        </w:rPr>
        <w:t xml:space="preserve">and </w:t>
      </w:r>
      <w:r w:rsidR="001D462E">
        <w:rPr>
          <w:rFonts w:ascii="Times New Roman" w:hAnsi="Times New Roman"/>
          <w:bCs/>
          <w:sz w:val="26"/>
          <w:szCs w:val="26"/>
        </w:rPr>
        <w:t>find</w:t>
      </w:r>
      <w:r w:rsidR="00222960">
        <w:rPr>
          <w:rFonts w:ascii="Times New Roman" w:hAnsi="Times New Roman"/>
          <w:bCs/>
          <w:sz w:val="26"/>
          <w:szCs w:val="26"/>
        </w:rPr>
        <w:t xml:space="preserve"> </w:t>
      </w:r>
      <w:r w:rsidR="001D462E">
        <w:rPr>
          <w:rFonts w:ascii="Times New Roman" w:hAnsi="Times New Roman"/>
          <w:bCs/>
          <w:sz w:val="26"/>
          <w:szCs w:val="26"/>
        </w:rPr>
        <w:t>that in billing Mr.</w:t>
      </w:r>
      <w:r>
        <w:rPr>
          <w:rFonts w:ascii="Times New Roman" w:hAnsi="Times New Roman"/>
          <w:bCs/>
          <w:sz w:val="26"/>
          <w:szCs w:val="26"/>
        </w:rPr>
        <w:t> </w:t>
      </w:r>
      <w:r w:rsidR="001D462E">
        <w:rPr>
          <w:rFonts w:ascii="Times New Roman" w:hAnsi="Times New Roman"/>
          <w:bCs/>
          <w:sz w:val="26"/>
          <w:szCs w:val="26"/>
        </w:rPr>
        <w:t xml:space="preserve">Herp a rate that did not match what was marketed by its agent, Respond violated Sections 54.4(a) and 54.7(a) of our Regulations.  These </w:t>
      </w:r>
      <w:r w:rsidR="005B724B">
        <w:rPr>
          <w:rFonts w:ascii="Times New Roman" w:hAnsi="Times New Roman"/>
          <w:bCs/>
          <w:sz w:val="26"/>
          <w:szCs w:val="26"/>
        </w:rPr>
        <w:t xml:space="preserve">provisions </w:t>
      </w:r>
      <w:r w:rsidR="001D462E">
        <w:rPr>
          <w:rFonts w:ascii="Times New Roman" w:hAnsi="Times New Roman"/>
          <w:bCs/>
          <w:sz w:val="26"/>
          <w:szCs w:val="26"/>
        </w:rPr>
        <w:t>are companion consumer protection</w:t>
      </w:r>
      <w:r w:rsidR="00222960">
        <w:rPr>
          <w:rFonts w:ascii="Times New Roman" w:hAnsi="Times New Roman"/>
          <w:bCs/>
          <w:sz w:val="26"/>
          <w:szCs w:val="26"/>
        </w:rPr>
        <w:t>s</w:t>
      </w:r>
      <w:r w:rsidR="001D462E">
        <w:rPr>
          <w:rFonts w:ascii="Times New Roman" w:hAnsi="Times New Roman"/>
          <w:bCs/>
          <w:sz w:val="26"/>
          <w:szCs w:val="26"/>
        </w:rPr>
        <w:t xml:space="preserve"> that</w:t>
      </w:r>
      <w:r w:rsidR="00222960">
        <w:rPr>
          <w:rFonts w:ascii="Times New Roman" w:hAnsi="Times New Roman"/>
          <w:bCs/>
          <w:sz w:val="26"/>
          <w:szCs w:val="26"/>
        </w:rPr>
        <w:t>,</w:t>
      </w:r>
      <w:r w:rsidR="001D462E">
        <w:rPr>
          <w:rFonts w:ascii="Times New Roman" w:hAnsi="Times New Roman"/>
          <w:bCs/>
          <w:sz w:val="26"/>
          <w:szCs w:val="26"/>
        </w:rPr>
        <w:t xml:space="preserve"> </w:t>
      </w:r>
      <w:r w:rsidR="0077183C">
        <w:rPr>
          <w:rFonts w:ascii="Times New Roman" w:hAnsi="Times New Roman"/>
          <w:bCs/>
          <w:sz w:val="26"/>
          <w:szCs w:val="26"/>
        </w:rPr>
        <w:t xml:space="preserve">together with </w:t>
      </w:r>
      <w:r w:rsidR="00222960">
        <w:rPr>
          <w:rFonts w:ascii="Times New Roman" w:hAnsi="Times New Roman"/>
          <w:bCs/>
          <w:sz w:val="26"/>
          <w:szCs w:val="26"/>
        </w:rPr>
        <w:t>Section 54.5(a)</w:t>
      </w:r>
      <w:r w:rsidR="005B724B">
        <w:rPr>
          <w:rFonts w:ascii="Times New Roman" w:hAnsi="Times New Roman"/>
          <w:bCs/>
          <w:sz w:val="26"/>
          <w:szCs w:val="26"/>
        </w:rPr>
        <w:t>,</w:t>
      </w:r>
      <w:r w:rsidR="00222960">
        <w:rPr>
          <w:rFonts w:ascii="Times New Roman" w:hAnsi="Times New Roman"/>
          <w:bCs/>
          <w:sz w:val="26"/>
          <w:szCs w:val="26"/>
        </w:rPr>
        <w:t xml:space="preserve"> </w:t>
      </w:r>
      <w:r w:rsidR="0077183C">
        <w:rPr>
          <w:rFonts w:ascii="Times New Roman" w:hAnsi="Times New Roman"/>
          <w:bCs/>
          <w:sz w:val="26"/>
          <w:szCs w:val="26"/>
        </w:rPr>
        <w:t>where applicable</w:t>
      </w:r>
      <w:r w:rsidR="00222960">
        <w:rPr>
          <w:rFonts w:ascii="Times New Roman" w:hAnsi="Times New Roman"/>
          <w:bCs/>
          <w:sz w:val="26"/>
          <w:szCs w:val="26"/>
        </w:rPr>
        <w:t xml:space="preserve">, </w:t>
      </w:r>
      <w:r w:rsidR="005B724B">
        <w:rPr>
          <w:rFonts w:ascii="Times New Roman" w:hAnsi="Times New Roman"/>
          <w:bCs/>
          <w:sz w:val="26"/>
          <w:szCs w:val="26"/>
        </w:rPr>
        <w:t>mandate</w:t>
      </w:r>
      <w:r w:rsidR="001D462E">
        <w:rPr>
          <w:rFonts w:ascii="Times New Roman" w:hAnsi="Times New Roman"/>
          <w:bCs/>
          <w:sz w:val="26"/>
          <w:szCs w:val="26"/>
        </w:rPr>
        <w:t xml:space="preserve"> consistency </w:t>
      </w:r>
      <w:r w:rsidR="00222960">
        <w:rPr>
          <w:rFonts w:ascii="Times New Roman" w:hAnsi="Times New Roman"/>
          <w:bCs/>
          <w:sz w:val="26"/>
          <w:szCs w:val="26"/>
        </w:rPr>
        <w:t xml:space="preserve">among the prices the </w:t>
      </w:r>
      <w:r w:rsidR="001D462E">
        <w:rPr>
          <w:rFonts w:ascii="Times New Roman" w:hAnsi="Times New Roman"/>
          <w:bCs/>
          <w:sz w:val="26"/>
          <w:szCs w:val="26"/>
        </w:rPr>
        <w:t>EGS market</w:t>
      </w:r>
      <w:r w:rsidR="00222960">
        <w:rPr>
          <w:rFonts w:ascii="Times New Roman" w:hAnsi="Times New Roman"/>
          <w:bCs/>
          <w:sz w:val="26"/>
          <w:szCs w:val="26"/>
        </w:rPr>
        <w:t>s, discloses,</w:t>
      </w:r>
      <w:r w:rsidR="001D462E">
        <w:rPr>
          <w:rFonts w:ascii="Times New Roman" w:hAnsi="Times New Roman"/>
          <w:bCs/>
          <w:sz w:val="26"/>
          <w:szCs w:val="26"/>
        </w:rPr>
        <w:t xml:space="preserve"> and bill</w:t>
      </w:r>
      <w:r w:rsidR="00222960">
        <w:rPr>
          <w:rFonts w:ascii="Times New Roman" w:hAnsi="Times New Roman"/>
          <w:bCs/>
          <w:sz w:val="26"/>
          <w:szCs w:val="26"/>
        </w:rPr>
        <w:t xml:space="preserve">s.  </w:t>
      </w:r>
      <w:r w:rsidR="005B724B">
        <w:rPr>
          <w:rFonts w:ascii="Times New Roman" w:hAnsi="Times New Roman"/>
          <w:bCs/>
          <w:sz w:val="26"/>
          <w:szCs w:val="26"/>
        </w:rPr>
        <w:t>Each of t</w:t>
      </w:r>
      <w:r w:rsidR="00222960">
        <w:rPr>
          <w:rFonts w:ascii="Times New Roman" w:hAnsi="Times New Roman"/>
          <w:bCs/>
          <w:sz w:val="26"/>
          <w:szCs w:val="26"/>
        </w:rPr>
        <w:t xml:space="preserve">hese regulatory standards </w:t>
      </w:r>
      <w:r w:rsidR="005B724B">
        <w:rPr>
          <w:rFonts w:ascii="Times New Roman" w:hAnsi="Times New Roman"/>
          <w:bCs/>
          <w:sz w:val="26"/>
          <w:szCs w:val="26"/>
        </w:rPr>
        <w:t xml:space="preserve">is necessary, and together they </w:t>
      </w:r>
      <w:r w:rsidR="0077183C">
        <w:rPr>
          <w:rFonts w:ascii="Times New Roman" w:hAnsi="Times New Roman"/>
          <w:bCs/>
          <w:sz w:val="26"/>
          <w:szCs w:val="26"/>
        </w:rPr>
        <w:t xml:space="preserve">work in tandem </w:t>
      </w:r>
      <w:r w:rsidR="00222960">
        <w:rPr>
          <w:rFonts w:ascii="Times New Roman" w:hAnsi="Times New Roman"/>
          <w:bCs/>
          <w:sz w:val="26"/>
          <w:szCs w:val="26"/>
        </w:rPr>
        <w:t xml:space="preserve">to ensure that the </w:t>
      </w:r>
      <w:r w:rsidR="005B724B">
        <w:rPr>
          <w:rFonts w:ascii="Times New Roman" w:hAnsi="Times New Roman"/>
          <w:bCs/>
          <w:sz w:val="26"/>
          <w:szCs w:val="26"/>
        </w:rPr>
        <w:t xml:space="preserve">terms of the </w:t>
      </w:r>
      <w:r w:rsidR="00222960">
        <w:rPr>
          <w:rFonts w:ascii="Times New Roman" w:hAnsi="Times New Roman"/>
          <w:bCs/>
          <w:sz w:val="26"/>
          <w:szCs w:val="26"/>
        </w:rPr>
        <w:t>sale agreed to by the EGS and the customer</w:t>
      </w:r>
      <w:r w:rsidR="005B724B">
        <w:rPr>
          <w:rFonts w:ascii="Times New Roman" w:hAnsi="Times New Roman"/>
          <w:bCs/>
          <w:sz w:val="26"/>
          <w:szCs w:val="26"/>
        </w:rPr>
        <w:t>, including conditions related to pricing, are</w:t>
      </w:r>
      <w:r w:rsidR="00222960">
        <w:rPr>
          <w:rFonts w:ascii="Times New Roman" w:hAnsi="Times New Roman"/>
          <w:bCs/>
          <w:sz w:val="26"/>
          <w:szCs w:val="26"/>
        </w:rPr>
        <w:t xml:space="preserve"> </w:t>
      </w:r>
      <w:r w:rsidR="0077183C">
        <w:rPr>
          <w:rFonts w:ascii="Times New Roman" w:hAnsi="Times New Roman"/>
          <w:bCs/>
          <w:sz w:val="26"/>
          <w:szCs w:val="26"/>
        </w:rPr>
        <w:t xml:space="preserve">clear and </w:t>
      </w:r>
      <w:r w:rsidR="005B724B">
        <w:rPr>
          <w:rFonts w:ascii="Times New Roman" w:hAnsi="Times New Roman"/>
          <w:bCs/>
          <w:sz w:val="26"/>
          <w:szCs w:val="26"/>
        </w:rPr>
        <w:t>unequivocal</w:t>
      </w:r>
      <w:r w:rsidR="00222960">
        <w:rPr>
          <w:rFonts w:ascii="Times New Roman" w:hAnsi="Times New Roman"/>
          <w:bCs/>
          <w:sz w:val="26"/>
          <w:szCs w:val="26"/>
        </w:rPr>
        <w:t xml:space="preserve">.  </w:t>
      </w:r>
      <w:r w:rsidRPr="002D4DD2">
        <w:rPr>
          <w:rFonts w:ascii="Times New Roman" w:hAnsi="Times New Roman"/>
          <w:bCs/>
          <w:sz w:val="26"/>
          <w:szCs w:val="26"/>
        </w:rPr>
        <w:t xml:space="preserve">Therefore, we </w:t>
      </w:r>
      <w:r>
        <w:rPr>
          <w:rFonts w:ascii="Times New Roman" w:hAnsi="Times New Roman"/>
          <w:bCs/>
          <w:sz w:val="26"/>
          <w:szCs w:val="26"/>
        </w:rPr>
        <w:t>deny</w:t>
      </w:r>
      <w:r w:rsidRPr="002D4DD2">
        <w:rPr>
          <w:rFonts w:ascii="Times New Roman" w:hAnsi="Times New Roman"/>
          <w:bCs/>
          <w:sz w:val="26"/>
          <w:szCs w:val="26"/>
        </w:rPr>
        <w:t xml:space="preserve">, in part, Respond’s Exception No. 4 and </w:t>
      </w:r>
      <w:r>
        <w:rPr>
          <w:rFonts w:ascii="Times New Roman" w:hAnsi="Times New Roman"/>
          <w:bCs/>
          <w:sz w:val="26"/>
          <w:szCs w:val="26"/>
        </w:rPr>
        <w:t xml:space="preserve">adopt </w:t>
      </w:r>
      <w:r w:rsidRPr="002D4DD2">
        <w:rPr>
          <w:rFonts w:ascii="Times New Roman" w:hAnsi="Times New Roman"/>
          <w:bCs/>
          <w:sz w:val="26"/>
          <w:szCs w:val="26"/>
        </w:rPr>
        <w:t>that portion of the ALJ’s Initial Decision that found a violation of 52 Pa. Code §</w:t>
      </w:r>
      <w:r w:rsidR="00B6763A" w:rsidRPr="00B6763A">
        <w:rPr>
          <w:rFonts w:ascii="Times New Roman" w:hAnsi="Times New Roman"/>
          <w:bCs/>
          <w:sz w:val="26"/>
          <w:szCs w:val="26"/>
        </w:rPr>
        <w:t>§</w:t>
      </w:r>
      <w:r w:rsidRPr="002D4DD2">
        <w:rPr>
          <w:rFonts w:ascii="Times New Roman" w:hAnsi="Times New Roman"/>
          <w:bCs/>
          <w:sz w:val="26"/>
          <w:szCs w:val="26"/>
        </w:rPr>
        <w:t xml:space="preserve"> 54.4(a)</w:t>
      </w:r>
      <w:r w:rsidR="00B6763A">
        <w:rPr>
          <w:rFonts w:ascii="Times New Roman" w:hAnsi="Times New Roman"/>
          <w:bCs/>
          <w:sz w:val="26"/>
          <w:szCs w:val="26"/>
        </w:rPr>
        <w:t xml:space="preserve"> and 54.7(a)</w:t>
      </w:r>
      <w:r w:rsidRPr="002D4DD2">
        <w:rPr>
          <w:rFonts w:ascii="Times New Roman" w:hAnsi="Times New Roman"/>
          <w:bCs/>
          <w:sz w:val="26"/>
          <w:szCs w:val="26"/>
        </w:rPr>
        <w:t>.</w:t>
      </w:r>
    </w:p>
    <w:p w:rsidR="002F7596" w:rsidRDefault="002F7596" w:rsidP="00EB4DB6">
      <w:pPr>
        <w:ind w:firstLine="1440"/>
        <w:rPr>
          <w:rFonts w:ascii="Times New Roman" w:hAnsi="Times New Roman"/>
          <w:bCs/>
          <w:sz w:val="26"/>
          <w:szCs w:val="26"/>
        </w:rPr>
      </w:pPr>
    </w:p>
    <w:p w:rsidR="000100BA" w:rsidRDefault="00B6763A" w:rsidP="000100BA">
      <w:pPr>
        <w:ind w:firstLine="1440"/>
        <w:rPr>
          <w:sz w:val="26"/>
          <w:szCs w:val="26"/>
        </w:rPr>
      </w:pPr>
      <w:r>
        <w:rPr>
          <w:rFonts w:ascii="Times New Roman" w:hAnsi="Times New Roman"/>
          <w:bCs/>
          <w:sz w:val="26"/>
          <w:szCs w:val="26"/>
        </w:rPr>
        <w:t xml:space="preserve">On this point, </w:t>
      </w:r>
      <w:r w:rsidR="00222960">
        <w:rPr>
          <w:rFonts w:ascii="Times New Roman" w:hAnsi="Times New Roman"/>
          <w:bCs/>
          <w:sz w:val="26"/>
          <w:szCs w:val="26"/>
        </w:rPr>
        <w:t xml:space="preserve">we also </w:t>
      </w:r>
      <w:r w:rsidR="0077183C">
        <w:rPr>
          <w:rFonts w:ascii="Times New Roman" w:hAnsi="Times New Roman"/>
          <w:bCs/>
          <w:sz w:val="26"/>
          <w:szCs w:val="26"/>
        </w:rPr>
        <w:t xml:space="preserve">address </w:t>
      </w:r>
      <w:r w:rsidR="00222960">
        <w:rPr>
          <w:rFonts w:ascii="Times New Roman" w:hAnsi="Times New Roman"/>
          <w:bCs/>
          <w:sz w:val="26"/>
          <w:szCs w:val="26"/>
        </w:rPr>
        <w:t xml:space="preserve">Respond’s </w:t>
      </w:r>
      <w:r w:rsidR="0077183C">
        <w:rPr>
          <w:rFonts w:ascii="Times New Roman" w:hAnsi="Times New Roman"/>
          <w:bCs/>
          <w:sz w:val="26"/>
          <w:szCs w:val="26"/>
        </w:rPr>
        <w:t>position</w:t>
      </w:r>
      <w:r w:rsidR="00222960">
        <w:rPr>
          <w:rFonts w:ascii="Times New Roman" w:hAnsi="Times New Roman"/>
          <w:bCs/>
          <w:sz w:val="26"/>
          <w:szCs w:val="26"/>
        </w:rPr>
        <w:t xml:space="preserve"> that Section 54.7(a) </w:t>
      </w:r>
      <w:r w:rsidR="0077183C">
        <w:rPr>
          <w:rFonts w:ascii="Times New Roman" w:hAnsi="Times New Roman"/>
          <w:bCs/>
          <w:sz w:val="26"/>
          <w:szCs w:val="26"/>
        </w:rPr>
        <w:t>“deals with advertising materials</w:t>
      </w:r>
      <w:r w:rsidR="005B724B">
        <w:rPr>
          <w:rFonts w:ascii="Times New Roman" w:hAnsi="Times New Roman"/>
          <w:bCs/>
          <w:sz w:val="26"/>
          <w:szCs w:val="26"/>
        </w:rPr>
        <w:t xml:space="preserve"> [and that s</w:t>
      </w:r>
      <w:proofErr w:type="gramStart"/>
      <w:r w:rsidR="005B724B">
        <w:rPr>
          <w:rFonts w:ascii="Times New Roman" w:hAnsi="Times New Roman"/>
          <w:bCs/>
          <w:sz w:val="26"/>
          <w:szCs w:val="26"/>
        </w:rPr>
        <w:t>]</w:t>
      </w:r>
      <w:r w:rsidR="0077183C">
        <w:rPr>
          <w:rFonts w:ascii="Times New Roman" w:hAnsi="Times New Roman"/>
          <w:bCs/>
          <w:sz w:val="26"/>
          <w:szCs w:val="26"/>
        </w:rPr>
        <w:t>tatement</w:t>
      </w:r>
      <w:r w:rsidR="002F7596">
        <w:rPr>
          <w:rFonts w:ascii="Times New Roman" w:hAnsi="Times New Roman"/>
          <w:bCs/>
          <w:sz w:val="26"/>
          <w:szCs w:val="26"/>
        </w:rPr>
        <w:t>s</w:t>
      </w:r>
      <w:proofErr w:type="gramEnd"/>
      <w:r w:rsidR="0077183C">
        <w:rPr>
          <w:rFonts w:ascii="Times New Roman" w:hAnsi="Times New Roman"/>
          <w:bCs/>
          <w:sz w:val="26"/>
          <w:szCs w:val="26"/>
        </w:rPr>
        <w:t xml:space="preserve"> made by a single agent </w:t>
      </w:r>
      <w:r w:rsidR="002F7596">
        <w:rPr>
          <w:rFonts w:ascii="Times New Roman" w:hAnsi="Times New Roman"/>
          <w:bCs/>
          <w:sz w:val="26"/>
          <w:szCs w:val="26"/>
        </w:rPr>
        <w:t>of Respond Power do not equate to advertising materials.”</w:t>
      </w:r>
      <w:r w:rsidR="0077183C">
        <w:rPr>
          <w:rFonts w:ascii="Times New Roman" w:hAnsi="Times New Roman"/>
          <w:bCs/>
          <w:sz w:val="26"/>
          <w:szCs w:val="26"/>
        </w:rPr>
        <w:t xml:space="preserve">  Respond Exc. at 34.  </w:t>
      </w:r>
      <w:r w:rsidR="0077183C" w:rsidRPr="0077183C">
        <w:rPr>
          <w:rFonts w:ascii="Times New Roman" w:hAnsi="Times New Roman"/>
          <w:bCs/>
          <w:sz w:val="26"/>
          <w:szCs w:val="26"/>
        </w:rPr>
        <w:t>Section 54.7 in its entirety addresses marketing and sales activities</w:t>
      </w:r>
      <w:r w:rsidR="0077183C">
        <w:rPr>
          <w:rFonts w:ascii="Times New Roman" w:hAnsi="Times New Roman"/>
          <w:bCs/>
          <w:sz w:val="26"/>
          <w:szCs w:val="26"/>
        </w:rPr>
        <w:t>, with Section 54.7(a) requiring, as stated, consistency between marketed and billed prices and Section 54.7</w:t>
      </w:r>
      <w:r w:rsidR="0077183C" w:rsidRPr="002F7596">
        <w:rPr>
          <w:rFonts w:ascii="Times New Roman" w:hAnsi="Times New Roman"/>
          <w:bCs/>
          <w:sz w:val="26"/>
          <w:szCs w:val="26"/>
        </w:rPr>
        <w:t>(b)</w:t>
      </w:r>
      <w:r w:rsidR="0077183C">
        <w:rPr>
          <w:rFonts w:ascii="Times New Roman" w:hAnsi="Times New Roman"/>
          <w:bCs/>
          <w:sz w:val="26"/>
          <w:szCs w:val="26"/>
        </w:rPr>
        <w:t xml:space="preserve"> addressing </w:t>
      </w:r>
      <w:r w:rsidR="0077183C">
        <w:rPr>
          <w:rFonts w:ascii="Times New Roman" w:hAnsi="Times New Roman"/>
          <w:bCs/>
          <w:sz w:val="26"/>
          <w:szCs w:val="26"/>
        </w:rPr>
        <w:lastRenderedPageBreak/>
        <w:t>“marketing materials.”  The ALJ’s citation to Section 54.7(a) was correct</w:t>
      </w:r>
      <w:r>
        <w:rPr>
          <w:rFonts w:ascii="Times New Roman" w:hAnsi="Times New Roman"/>
          <w:bCs/>
          <w:sz w:val="26"/>
          <w:szCs w:val="26"/>
        </w:rPr>
        <w:t xml:space="preserve">.  We are concerned, however, with </w:t>
      </w:r>
      <w:r w:rsidR="00AD7E3B">
        <w:rPr>
          <w:rFonts w:ascii="Times New Roman" w:hAnsi="Times New Roman"/>
          <w:bCs/>
          <w:sz w:val="26"/>
          <w:szCs w:val="26"/>
        </w:rPr>
        <w:t xml:space="preserve">Respond’s </w:t>
      </w:r>
      <w:r>
        <w:rPr>
          <w:rFonts w:ascii="Times New Roman" w:hAnsi="Times New Roman"/>
          <w:bCs/>
          <w:sz w:val="26"/>
          <w:szCs w:val="26"/>
        </w:rPr>
        <w:t>position</w:t>
      </w:r>
      <w:r w:rsidR="00AD7E3B">
        <w:rPr>
          <w:rFonts w:ascii="Times New Roman" w:hAnsi="Times New Roman"/>
          <w:bCs/>
          <w:sz w:val="26"/>
          <w:szCs w:val="26"/>
        </w:rPr>
        <w:t xml:space="preserve"> that a statement by a single marketer is not tantamount to advertising materials</w:t>
      </w:r>
      <w:r w:rsidR="0077183C">
        <w:rPr>
          <w:rFonts w:ascii="Times New Roman" w:hAnsi="Times New Roman"/>
          <w:bCs/>
          <w:sz w:val="26"/>
          <w:szCs w:val="26"/>
        </w:rPr>
        <w:t xml:space="preserve">.  </w:t>
      </w:r>
      <w:r w:rsidR="002F7596">
        <w:rPr>
          <w:rFonts w:ascii="Times New Roman" w:hAnsi="Times New Roman"/>
          <w:bCs/>
          <w:sz w:val="26"/>
          <w:szCs w:val="26"/>
        </w:rPr>
        <w:t>“Marketing materials” as used in Section 54.7(b) is not a defined term and appears, through its references to showin</w:t>
      </w:r>
      <w:r w:rsidR="00437AC9">
        <w:rPr>
          <w:rFonts w:ascii="Times New Roman" w:hAnsi="Times New Roman"/>
          <w:bCs/>
          <w:sz w:val="26"/>
          <w:szCs w:val="26"/>
        </w:rPr>
        <w:t>g information in a table, to apply to written material.  “</w:t>
      </w:r>
      <w:r w:rsidR="00AD7E3B">
        <w:rPr>
          <w:rFonts w:ascii="Times New Roman" w:hAnsi="Times New Roman"/>
          <w:bCs/>
          <w:sz w:val="26"/>
          <w:szCs w:val="26"/>
        </w:rPr>
        <w:t>C</w:t>
      </w:r>
      <w:r w:rsidR="002F7596">
        <w:rPr>
          <w:rFonts w:ascii="Times New Roman" w:hAnsi="Times New Roman"/>
          <w:bCs/>
          <w:sz w:val="26"/>
          <w:szCs w:val="26"/>
        </w:rPr>
        <w:t>ustomer information</w:t>
      </w:r>
      <w:r w:rsidR="00AD7E3B">
        <w:rPr>
          <w:rFonts w:ascii="Times New Roman" w:hAnsi="Times New Roman"/>
          <w:bCs/>
          <w:sz w:val="26"/>
          <w:szCs w:val="26"/>
        </w:rPr>
        <w:t>,</w:t>
      </w:r>
      <w:r w:rsidR="002F7596">
        <w:rPr>
          <w:rFonts w:ascii="Times New Roman" w:hAnsi="Times New Roman"/>
          <w:bCs/>
          <w:sz w:val="26"/>
          <w:szCs w:val="26"/>
        </w:rPr>
        <w:t xml:space="preserve">” </w:t>
      </w:r>
      <w:r w:rsidR="00AD7E3B">
        <w:rPr>
          <w:rFonts w:ascii="Times New Roman" w:hAnsi="Times New Roman"/>
          <w:bCs/>
          <w:sz w:val="26"/>
          <w:szCs w:val="26"/>
        </w:rPr>
        <w:t xml:space="preserve">however, </w:t>
      </w:r>
      <w:r w:rsidR="002F7596">
        <w:rPr>
          <w:rFonts w:ascii="Times New Roman" w:hAnsi="Times New Roman"/>
          <w:bCs/>
          <w:sz w:val="26"/>
          <w:szCs w:val="26"/>
        </w:rPr>
        <w:t xml:space="preserve">is defined and includes written, oral, or electronic communications used </w:t>
      </w:r>
      <w:r w:rsidR="00437AC9">
        <w:rPr>
          <w:rFonts w:ascii="Times New Roman" w:hAnsi="Times New Roman"/>
          <w:bCs/>
          <w:sz w:val="26"/>
          <w:szCs w:val="26"/>
        </w:rPr>
        <w:t xml:space="preserve">to </w:t>
      </w:r>
      <w:r w:rsidR="002F7596">
        <w:rPr>
          <w:rFonts w:ascii="Times New Roman" w:hAnsi="Times New Roman"/>
          <w:bCs/>
          <w:sz w:val="26"/>
          <w:szCs w:val="26"/>
        </w:rPr>
        <w:t xml:space="preserve">convey prices and terms of service to consumers.  </w:t>
      </w:r>
      <w:r w:rsidR="002F7596">
        <w:rPr>
          <w:rFonts w:ascii="Times New Roman" w:hAnsi="Times New Roman"/>
          <w:bCs/>
          <w:i/>
          <w:sz w:val="26"/>
          <w:szCs w:val="26"/>
        </w:rPr>
        <w:t xml:space="preserve">See </w:t>
      </w:r>
      <w:r w:rsidR="002F7596">
        <w:rPr>
          <w:rFonts w:ascii="Times New Roman" w:hAnsi="Times New Roman"/>
          <w:bCs/>
          <w:sz w:val="26"/>
          <w:szCs w:val="26"/>
        </w:rPr>
        <w:t xml:space="preserve">52 Pa. Code § 54.2.  </w:t>
      </w:r>
      <w:r w:rsidR="00437AC9">
        <w:rPr>
          <w:rFonts w:ascii="Times New Roman" w:hAnsi="Times New Roman"/>
          <w:bCs/>
          <w:sz w:val="26"/>
          <w:szCs w:val="26"/>
        </w:rPr>
        <w:t xml:space="preserve">Thus, while </w:t>
      </w:r>
      <w:r w:rsidR="002F7596">
        <w:rPr>
          <w:rFonts w:ascii="Times New Roman" w:hAnsi="Times New Roman"/>
          <w:bCs/>
          <w:sz w:val="26"/>
          <w:szCs w:val="26"/>
        </w:rPr>
        <w:t>Section 54.7(b) is not at issue</w:t>
      </w:r>
      <w:r w:rsidR="000100BA">
        <w:rPr>
          <w:rFonts w:ascii="Times New Roman" w:hAnsi="Times New Roman"/>
          <w:bCs/>
          <w:sz w:val="26"/>
          <w:szCs w:val="26"/>
        </w:rPr>
        <w:t xml:space="preserve"> here</w:t>
      </w:r>
      <w:r w:rsidR="002F7596">
        <w:rPr>
          <w:rFonts w:ascii="Times New Roman" w:hAnsi="Times New Roman"/>
          <w:bCs/>
          <w:sz w:val="26"/>
          <w:szCs w:val="26"/>
        </w:rPr>
        <w:t xml:space="preserve">, </w:t>
      </w:r>
      <w:r w:rsidR="00AD7E3B">
        <w:rPr>
          <w:rFonts w:ascii="Times New Roman" w:hAnsi="Times New Roman"/>
          <w:bCs/>
          <w:sz w:val="26"/>
          <w:szCs w:val="26"/>
        </w:rPr>
        <w:t>w</w:t>
      </w:r>
      <w:r w:rsidR="00AD7E3B" w:rsidRPr="00AD7E3B">
        <w:rPr>
          <w:rFonts w:ascii="Times New Roman" w:hAnsi="Times New Roman"/>
          <w:bCs/>
          <w:sz w:val="26"/>
          <w:szCs w:val="26"/>
        </w:rPr>
        <w:t xml:space="preserve">e caution Respond and all market stakeholders that </w:t>
      </w:r>
      <w:r w:rsidR="002F7596" w:rsidRPr="00437AC9">
        <w:rPr>
          <w:rFonts w:ascii="Times New Roman" w:hAnsi="Times New Roman"/>
          <w:bCs/>
          <w:i/>
          <w:sz w:val="26"/>
          <w:szCs w:val="26"/>
        </w:rPr>
        <w:t>all</w:t>
      </w:r>
      <w:r w:rsidR="002F7596">
        <w:rPr>
          <w:rFonts w:ascii="Times New Roman" w:hAnsi="Times New Roman"/>
          <w:bCs/>
          <w:sz w:val="26"/>
          <w:szCs w:val="26"/>
        </w:rPr>
        <w:t xml:space="preserve"> customer communications are important, </w:t>
      </w:r>
      <w:r w:rsidR="00437AC9">
        <w:rPr>
          <w:rFonts w:ascii="Times New Roman" w:hAnsi="Times New Roman"/>
          <w:bCs/>
          <w:sz w:val="26"/>
          <w:szCs w:val="26"/>
        </w:rPr>
        <w:t xml:space="preserve">whether oral or written, </w:t>
      </w:r>
      <w:r w:rsidR="002F7596">
        <w:rPr>
          <w:rFonts w:ascii="Times New Roman" w:hAnsi="Times New Roman"/>
          <w:bCs/>
          <w:sz w:val="26"/>
          <w:szCs w:val="26"/>
        </w:rPr>
        <w:t xml:space="preserve">and an oral statement made by a single agent can violate our Regulations.  </w:t>
      </w:r>
      <w:r w:rsidR="00437AC9">
        <w:rPr>
          <w:rFonts w:ascii="Times New Roman" w:hAnsi="Times New Roman"/>
          <w:bCs/>
          <w:i/>
          <w:sz w:val="26"/>
          <w:szCs w:val="26"/>
        </w:rPr>
        <w:t xml:space="preserve">See </w:t>
      </w:r>
      <w:r w:rsidR="00437AC9" w:rsidRPr="00437AC9">
        <w:rPr>
          <w:rFonts w:ascii="Times New Roman" w:hAnsi="Times New Roman"/>
          <w:bCs/>
          <w:i/>
          <w:sz w:val="26"/>
          <w:szCs w:val="26"/>
        </w:rPr>
        <w:t>Kiback</w:t>
      </w:r>
      <w:r w:rsidR="00437AC9">
        <w:rPr>
          <w:rFonts w:ascii="Times New Roman" w:hAnsi="Times New Roman"/>
          <w:bCs/>
          <w:sz w:val="26"/>
          <w:szCs w:val="26"/>
        </w:rPr>
        <w:t xml:space="preserve"> at </w:t>
      </w:r>
      <w:r w:rsidR="000100BA">
        <w:rPr>
          <w:rFonts w:ascii="Times New Roman" w:hAnsi="Times New Roman"/>
          <w:bCs/>
          <w:sz w:val="26"/>
          <w:szCs w:val="26"/>
        </w:rPr>
        <w:t xml:space="preserve">31, citation omitted, relying on </w:t>
      </w:r>
      <w:r w:rsidR="000100BA" w:rsidRPr="000100BA">
        <w:rPr>
          <w:rFonts w:ascii="Times New Roman" w:hAnsi="Times New Roman"/>
          <w:bCs/>
          <w:i/>
          <w:sz w:val="26"/>
          <w:szCs w:val="26"/>
        </w:rPr>
        <w:t>Yaglidereliler Corporation v. Blue Pilot Energy, LLC,</w:t>
      </w:r>
      <w:r w:rsidR="000100BA" w:rsidRPr="000100BA">
        <w:rPr>
          <w:rFonts w:ascii="Times New Roman" w:hAnsi="Times New Roman"/>
          <w:bCs/>
          <w:sz w:val="26"/>
          <w:szCs w:val="26"/>
        </w:rPr>
        <w:t xml:space="preserve"> </w:t>
      </w:r>
      <w:proofErr w:type="gramStart"/>
      <w:r w:rsidR="000100BA" w:rsidRPr="000100BA">
        <w:rPr>
          <w:rFonts w:ascii="Times New Roman" w:hAnsi="Times New Roman"/>
          <w:bCs/>
          <w:sz w:val="26"/>
          <w:szCs w:val="26"/>
        </w:rPr>
        <w:t>Docket</w:t>
      </w:r>
      <w:proofErr w:type="gramEnd"/>
      <w:r w:rsidR="000100BA" w:rsidRPr="000100BA">
        <w:rPr>
          <w:rFonts w:ascii="Times New Roman" w:hAnsi="Times New Roman"/>
          <w:bCs/>
          <w:sz w:val="26"/>
          <w:szCs w:val="26"/>
        </w:rPr>
        <w:t xml:space="preserve"> No. C-2014-2413732 (Order entered January 16, 2015)</w:t>
      </w:r>
      <w:r w:rsidR="000100BA">
        <w:rPr>
          <w:rFonts w:ascii="Times New Roman" w:hAnsi="Times New Roman"/>
          <w:bCs/>
          <w:sz w:val="26"/>
          <w:szCs w:val="26"/>
        </w:rPr>
        <w:t xml:space="preserve"> (“[O]</w:t>
      </w:r>
      <w:r w:rsidR="000100BA" w:rsidRPr="00961FE6">
        <w:rPr>
          <w:sz w:val="26"/>
          <w:szCs w:val="26"/>
        </w:rPr>
        <w:t xml:space="preserve">ral representations made to a consumer during the time of the sale are important.  </w:t>
      </w:r>
      <w:r w:rsidR="000100BA">
        <w:rPr>
          <w:sz w:val="26"/>
          <w:szCs w:val="26"/>
        </w:rPr>
        <w:t>While the third party verification and disclosure statement are two important aspects of the EGS’ sales process, equally important is the EGS’ marketing that precedes consummation of the sale.”)</w:t>
      </w:r>
    </w:p>
    <w:p w:rsidR="00AD7E3B" w:rsidRDefault="00AD7E3B" w:rsidP="000100BA">
      <w:pPr>
        <w:ind w:firstLine="1440"/>
        <w:rPr>
          <w:sz w:val="26"/>
          <w:szCs w:val="26"/>
        </w:rPr>
      </w:pPr>
    </w:p>
    <w:p w:rsidR="00B6763A" w:rsidRDefault="00B6763A" w:rsidP="00B6763A">
      <w:pPr>
        <w:ind w:firstLine="1440"/>
        <w:rPr>
          <w:b/>
          <w:sz w:val="26"/>
          <w:szCs w:val="26"/>
        </w:rPr>
      </w:pPr>
      <w:r>
        <w:rPr>
          <w:sz w:val="26"/>
          <w:szCs w:val="26"/>
        </w:rPr>
        <w:t>W</w:t>
      </w:r>
      <w:r w:rsidR="002D4DD2">
        <w:rPr>
          <w:sz w:val="26"/>
          <w:szCs w:val="26"/>
        </w:rPr>
        <w:t>e also agree with the ALJ</w:t>
      </w:r>
      <w:r>
        <w:rPr>
          <w:sz w:val="26"/>
          <w:szCs w:val="26"/>
        </w:rPr>
        <w:t xml:space="preserve">’s finding a violation of Section </w:t>
      </w:r>
      <w:r w:rsidR="002D4DD2">
        <w:rPr>
          <w:sz w:val="26"/>
          <w:szCs w:val="26"/>
        </w:rPr>
        <w:t>54.43(1</w:t>
      </w:r>
      <w:proofErr w:type="gramStart"/>
      <w:r w:rsidR="002D4DD2">
        <w:rPr>
          <w:sz w:val="26"/>
          <w:szCs w:val="26"/>
        </w:rPr>
        <w:t>)(</w:t>
      </w:r>
      <w:proofErr w:type="gramEnd"/>
      <w:r w:rsidR="002D4DD2">
        <w:rPr>
          <w:sz w:val="26"/>
          <w:szCs w:val="26"/>
        </w:rPr>
        <w:t>f)</w:t>
      </w:r>
      <w:r>
        <w:rPr>
          <w:sz w:val="26"/>
          <w:szCs w:val="26"/>
        </w:rPr>
        <w:t xml:space="preserve"> of our Regulations.  Citing the code of conduct set forth in Section 54.43, the ALJ noted the importance we have placed on “fair and honest sales and marketing practices in safeguarding consumers and preserving the integrity of the electric generation market”</w:t>
      </w:r>
      <w:r w:rsidR="0055459F">
        <w:rPr>
          <w:sz w:val="26"/>
          <w:szCs w:val="26"/>
        </w:rPr>
        <w:t xml:space="preserve"> and found, </w:t>
      </w:r>
      <w:r w:rsidR="0055459F">
        <w:rPr>
          <w:i/>
          <w:sz w:val="26"/>
          <w:szCs w:val="26"/>
        </w:rPr>
        <w:t>inter alia</w:t>
      </w:r>
      <w:r w:rsidR="0055459F">
        <w:rPr>
          <w:sz w:val="26"/>
          <w:szCs w:val="26"/>
        </w:rPr>
        <w:t>, that Respond’s deceptive marketing violated this section.</w:t>
      </w:r>
      <w:r>
        <w:rPr>
          <w:sz w:val="26"/>
          <w:szCs w:val="26"/>
        </w:rPr>
        <w:t xml:space="preserve">  </w:t>
      </w:r>
      <w:proofErr w:type="gramStart"/>
      <w:r>
        <w:rPr>
          <w:sz w:val="26"/>
          <w:szCs w:val="26"/>
        </w:rPr>
        <w:t>I.D. at</w:t>
      </w:r>
      <w:r w:rsidR="0055459F">
        <w:rPr>
          <w:sz w:val="26"/>
          <w:szCs w:val="26"/>
        </w:rPr>
        <w:t> </w:t>
      </w:r>
      <w:r>
        <w:rPr>
          <w:sz w:val="26"/>
          <w:szCs w:val="26"/>
        </w:rPr>
        <w:t>38.</w:t>
      </w:r>
      <w:proofErr w:type="gramEnd"/>
      <w:r>
        <w:rPr>
          <w:sz w:val="26"/>
          <w:szCs w:val="26"/>
        </w:rPr>
        <w:t xml:space="preserve">  </w:t>
      </w:r>
      <w:r>
        <w:rPr>
          <w:rFonts w:ascii="Times New Roman" w:hAnsi="Times New Roman"/>
          <w:bCs/>
          <w:sz w:val="26"/>
          <w:szCs w:val="26"/>
        </w:rPr>
        <w:t xml:space="preserve">We agree with the ALJ </w:t>
      </w:r>
      <w:r w:rsidR="005B724B">
        <w:rPr>
          <w:rFonts w:ascii="Times New Roman" w:hAnsi="Times New Roman"/>
          <w:bCs/>
          <w:sz w:val="26"/>
          <w:szCs w:val="26"/>
        </w:rPr>
        <w:t xml:space="preserve">and the OCA </w:t>
      </w:r>
      <w:r>
        <w:rPr>
          <w:rFonts w:ascii="Times New Roman" w:hAnsi="Times New Roman"/>
          <w:bCs/>
          <w:sz w:val="26"/>
          <w:szCs w:val="26"/>
        </w:rPr>
        <w:t>that the deceptive and misleading actions of Respond</w:t>
      </w:r>
      <w:r w:rsidR="005B724B">
        <w:rPr>
          <w:rFonts w:ascii="Times New Roman" w:hAnsi="Times New Roman"/>
          <w:bCs/>
          <w:sz w:val="26"/>
          <w:szCs w:val="26"/>
        </w:rPr>
        <w:t>’s</w:t>
      </w:r>
      <w:r>
        <w:rPr>
          <w:rFonts w:ascii="Times New Roman" w:hAnsi="Times New Roman"/>
          <w:bCs/>
          <w:sz w:val="26"/>
          <w:szCs w:val="26"/>
        </w:rPr>
        <w:t xml:space="preserve"> sales agent directed to Mr. Herp </w:t>
      </w:r>
      <w:r w:rsidR="005B724B">
        <w:rPr>
          <w:rFonts w:ascii="Times New Roman" w:hAnsi="Times New Roman"/>
          <w:bCs/>
          <w:sz w:val="26"/>
          <w:szCs w:val="26"/>
        </w:rPr>
        <w:t>v</w:t>
      </w:r>
      <w:r>
        <w:rPr>
          <w:rFonts w:ascii="Times New Roman" w:hAnsi="Times New Roman"/>
          <w:bCs/>
          <w:sz w:val="26"/>
          <w:szCs w:val="26"/>
        </w:rPr>
        <w:t>iolat</w:t>
      </w:r>
      <w:r w:rsidR="005B724B">
        <w:rPr>
          <w:rFonts w:ascii="Times New Roman" w:hAnsi="Times New Roman"/>
          <w:bCs/>
          <w:sz w:val="26"/>
          <w:szCs w:val="26"/>
        </w:rPr>
        <w:t>ed</w:t>
      </w:r>
      <w:r>
        <w:rPr>
          <w:rFonts w:ascii="Times New Roman" w:hAnsi="Times New Roman"/>
          <w:bCs/>
          <w:sz w:val="26"/>
          <w:szCs w:val="26"/>
        </w:rPr>
        <w:t xml:space="preserve"> 52 Pa. Code §</w:t>
      </w:r>
      <w:r w:rsidR="0055459F">
        <w:rPr>
          <w:rFonts w:ascii="Times New Roman" w:hAnsi="Times New Roman"/>
          <w:bCs/>
          <w:sz w:val="26"/>
          <w:szCs w:val="26"/>
        </w:rPr>
        <w:t> </w:t>
      </w:r>
      <w:r>
        <w:rPr>
          <w:rFonts w:ascii="Times New Roman" w:hAnsi="Times New Roman"/>
          <w:bCs/>
          <w:sz w:val="26"/>
          <w:szCs w:val="26"/>
        </w:rPr>
        <w:t>54.43(1)(f).  The ALJ also concluded that Respond violated 52 Pa. Code § 54.43(1</w:t>
      </w:r>
      <w:proofErr w:type="gramStart"/>
      <w:r>
        <w:rPr>
          <w:rFonts w:ascii="Times New Roman" w:hAnsi="Times New Roman"/>
          <w:bCs/>
          <w:sz w:val="26"/>
          <w:szCs w:val="26"/>
        </w:rPr>
        <w:t>)(</w:t>
      </w:r>
      <w:proofErr w:type="gramEnd"/>
      <w:r>
        <w:rPr>
          <w:rFonts w:ascii="Times New Roman" w:hAnsi="Times New Roman"/>
          <w:bCs/>
          <w:sz w:val="26"/>
          <w:szCs w:val="26"/>
        </w:rPr>
        <w:t xml:space="preserve">g) by not complying with the Commission’s </w:t>
      </w:r>
      <w:r>
        <w:rPr>
          <w:rFonts w:ascii="Times New Roman" w:hAnsi="Times New Roman"/>
          <w:bCs/>
          <w:i/>
          <w:sz w:val="26"/>
          <w:szCs w:val="26"/>
        </w:rPr>
        <w:t xml:space="preserve">Licensing Order.  </w:t>
      </w:r>
      <w:proofErr w:type="gramStart"/>
      <w:r w:rsidR="0055459F">
        <w:rPr>
          <w:rFonts w:ascii="Times New Roman" w:hAnsi="Times New Roman"/>
          <w:bCs/>
          <w:sz w:val="26"/>
          <w:szCs w:val="26"/>
        </w:rPr>
        <w:t xml:space="preserve">I.D. at 51, </w:t>
      </w:r>
      <w:r>
        <w:rPr>
          <w:rFonts w:ascii="Times New Roman" w:hAnsi="Times New Roman"/>
          <w:bCs/>
          <w:sz w:val="26"/>
          <w:szCs w:val="26"/>
        </w:rPr>
        <w:t>COL No. 9.</w:t>
      </w:r>
      <w:proofErr w:type="gramEnd"/>
      <w:r>
        <w:rPr>
          <w:rFonts w:ascii="Times New Roman" w:hAnsi="Times New Roman"/>
          <w:bCs/>
          <w:sz w:val="26"/>
          <w:szCs w:val="26"/>
        </w:rPr>
        <w:t xml:space="preserve">  On </w:t>
      </w:r>
      <w:r w:rsidR="0055459F">
        <w:rPr>
          <w:rFonts w:ascii="Times New Roman" w:hAnsi="Times New Roman"/>
          <w:bCs/>
          <w:sz w:val="26"/>
          <w:szCs w:val="26"/>
        </w:rPr>
        <w:t xml:space="preserve">the basis of our disposition of Respond’s Exception No. 1, we decline to adopt this portion of the ALJ’s Initial Decision. </w:t>
      </w:r>
      <w:r>
        <w:rPr>
          <w:sz w:val="26"/>
          <w:szCs w:val="26"/>
        </w:rPr>
        <w:t xml:space="preserve">Therefore, we </w:t>
      </w:r>
      <w:r w:rsidR="0055459F">
        <w:rPr>
          <w:sz w:val="26"/>
          <w:szCs w:val="26"/>
        </w:rPr>
        <w:t xml:space="preserve">grant in part, and deny in part, Respond’s Exception No. 4 and </w:t>
      </w:r>
      <w:r>
        <w:rPr>
          <w:sz w:val="26"/>
          <w:szCs w:val="26"/>
        </w:rPr>
        <w:t xml:space="preserve">adopt that portion of the ALJ’s Initial Decision that found a violation of 52 </w:t>
      </w:r>
      <w:r>
        <w:rPr>
          <w:sz w:val="26"/>
          <w:szCs w:val="26"/>
        </w:rPr>
        <w:lastRenderedPageBreak/>
        <w:t xml:space="preserve">Pa. Code </w:t>
      </w:r>
      <w:r>
        <w:rPr>
          <w:rFonts w:ascii="Times New Roman" w:hAnsi="Times New Roman"/>
          <w:sz w:val="26"/>
          <w:szCs w:val="26"/>
        </w:rPr>
        <w:t>§</w:t>
      </w:r>
      <w:r>
        <w:rPr>
          <w:sz w:val="26"/>
          <w:szCs w:val="26"/>
        </w:rPr>
        <w:t xml:space="preserve"> 54.43(1)(f) </w:t>
      </w:r>
      <w:r w:rsidR="0055459F">
        <w:rPr>
          <w:sz w:val="26"/>
          <w:szCs w:val="26"/>
        </w:rPr>
        <w:t>but</w:t>
      </w:r>
      <w:r>
        <w:rPr>
          <w:sz w:val="26"/>
          <w:szCs w:val="26"/>
        </w:rPr>
        <w:t xml:space="preserve"> </w:t>
      </w:r>
      <w:r>
        <w:rPr>
          <w:rFonts w:ascii="Times New Roman" w:hAnsi="Times New Roman"/>
          <w:bCs/>
          <w:sz w:val="26"/>
          <w:szCs w:val="26"/>
        </w:rPr>
        <w:t>reject that portion of the ALJ’s Initial Decision that found a violation of 52 Pa. Code § 54.43(1)(g).</w:t>
      </w:r>
    </w:p>
    <w:p w:rsidR="00B6763A" w:rsidRDefault="00B6763A" w:rsidP="00B53CB7">
      <w:pPr>
        <w:ind w:firstLine="1440"/>
        <w:rPr>
          <w:rFonts w:ascii="Times New Roman" w:hAnsi="Times New Roman"/>
          <w:bCs/>
          <w:sz w:val="26"/>
          <w:szCs w:val="26"/>
        </w:rPr>
      </w:pPr>
    </w:p>
    <w:p w:rsidR="0055459F" w:rsidRDefault="00C901DF" w:rsidP="00B53CB7">
      <w:pPr>
        <w:ind w:firstLine="1440"/>
        <w:rPr>
          <w:rFonts w:ascii="Times New Roman" w:hAnsi="Times New Roman"/>
          <w:bCs/>
          <w:sz w:val="26"/>
          <w:szCs w:val="26"/>
        </w:rPr>
      </w:pPr>
      <w:r>
        <w:rPr>
          <w:rFonts w:ascii="Times New Roman" w:hAnsi="Times New Roman"/>
          <w:bCs/>
          <w:sz w:val="26"/>
          <w:szCs w:val="26"/>
        </w:rPr>
        <w:t xml:space="preserve">Finally, with respect to the ALJ’s </w:t>
      </w:r>
      <w:r w:rsidR="00B53CB7">
        <w:rPr>
          <w:rFonts w:ascii="Times New Roman" w:hAnsi="Times New Roman"/>
          <w:bCs/>
          <w:sz w:val="26"/>
          <w:szCs w:val="26"/>
        </w:rPr>
        <w:t xml:space="preserve">finding </w:t>
      </w:r>
      <w:r>
        <w:rPr>
          <w:rFonts w:ascii="Times New Roman" w:hAnsi="Times New Roman"/>
          <w:bCs/>
          <w:sz w:val="26"/>
          <w:szCs w:val="26"/>
        </w:rPr>
        <w:t xml:space="preserve">violations of Chapter 111 of our Regulations, we grant </w:t>
      </w:r>
      <w:r w:rsidR="0055459F">
        <w:rPr>
          <w:rFonts w:ascii="Times New Roman" w:hAnsi="Times New Roman"/>
          <w:bCs/>
          <w:sz w:val="26"/>
          <w:szCs w:val="26"/>
        </w:rPr>
        <w:t xml:space="preserve">in part </w:t>
      </w:r>
      <w:r>
        <w:rPr>
          <w:rFonts w:ascii="Times New Roman" w:hAnsi="Times New Roman"/>
          <w:bCs/>
          <w:sz w:val="26"/>
          <w:szCs w:val="26"/>
        </w:rPr>
        <w:t xml:space="preserve">Respond’s Exception </w:t>
      </w:r>
      <w:r w:rsidR="0055459F">
        <w:rPr>
          <w:rFonts w:ascii="Times New Roman" w:hAnsi="Times New Roman"/>
          <w:bCs/>
          <w:sz w:val="26"/>
          <w:szCs w:val="26"/>
        </w:rPr>
        <w:t xml:space="preserve">No. 4 </w:t>
      </w:r>
      <w:r>
        <w:rPr>
          <w:rFonts w:ascii="Times New Roman" w:hAnsi="Times New Roman"/>
          <w:bCs/>
          <w:sz w:val="26"/>
          <w:szCs w:val="26"/>
        </w:rPr>
        <w:t xml:space="preserve">and </w:t>
      </w:r>
      <w:r w:rsidR="0055459F">
        <w:rPr>
          <w:rFonts w:ascii="Times New Roman" w:hAnsi="Times New Roman"/>
          <w:bCs/>
          <w:sz w:val="26"/>
          <w:szCs w:val="26"/>
        </w:rPr>
        <w:t xml:space="preserve">that part of </w:t>
      </w:r>
      <w:r>
        <w:rPr>
          <w:rFonts w:ascii="Times New Roman" w:hAnsi="Times New Roman"/>
          <w:bCs/>
          <w:sz w:val="26"/>
          <w:szCs w:val="26"/>
        </w:rPr>
        <w:t xml:space="preserve">the ALJ’s </w:t>
      </w:r>
      <w:r w:rsidR="0055459F">
        <w:rPr>
          <w:rFonts w:ascii="Times New Roman" w:hAnsi="Times New Roman"/>
          <w:bCs/>
          <w:sz w:val="26"/>
          <w:szCs w:val="26"/>
        </w:rPr>
        <w:t>Initial Decision that found numerous violations of Chapter 111</w:t>
      </w:r>
      <w:r>
        <w:rPr>
          <w:rFonts w:ascii="Times New Roman" w:hAnsi="Times New Roman"/>
          <w:bCs/>
          <w:sz w:val="26"/>
          <w:szCs w:val="26"/>
        </w:rPr>
        <w:t xml:space="preserve">.  We do so, however, not because we agree with Respond’s </w:t>
      </w:r>
      <w:r w:rsidR="00C25AD7">
        <w:rPr>
          <w:rFonts w:ascii="Times New Roman" w:hAnsi="Times New Roman"/>
          <w:bCs/>
          <w:sz w:val="26"/>
          <w:szCs w:val="26"/>
        </w:rPr>
        <w:t xml:space="preserve">arguments that the record does not support such findings.  Indeed, as Respond conceded, if we were persuaded that Respond’s agent made false or misleading representations about savings, as we </w:t>
      </w:r>
      <w:r w:rsidR="00B53CB7">
        <w:rPr>
          <w:rFonts w:ascii="Times New Roman" w:hAnsi="Times New Roman"/>
          <w:bCs/>
          <w:sz w:val="26"/>
          <w:szCs w:val="26"/>
        </w:rPr>
        <w:t>are</w:t>
      </w:r>
      <w:r w:rsidR="00C25AD7">
        <w:rPr>
          <w:rFonts w:ascii="Times New Roman" w:hAnsi="Times New Roman"/>
          <w:bCs/>
          <w:sz w:val="26"/>
          <w:szCs w:val="26"/>
        </w:rPr>
        <w:t xml:space="preserve">, it would be appropriate to find a violation under Section 111.12(d).  Respond Exc. at 37.  </w:t>
      </w:r>
      <w:r w:rsidR="005B724B">
        <w:rPr>
          <w:rFonts w:ascii="Times New Roman" w:hAnsi="Times New Roman"/>
          <w:bCs/>
          <w:sz w:val="26"/>
          <w:szCs w:val="26"/>
        </w:rPr>
        <w:t>However, although not argued by Respond, by its own terms Chapter 111 has limited applicability to the residential market</w:t>
      </w:r>
      <w:r w:rsidR="00EA456F">
        <w:rPr>
          <w:rFonts w:ascii="Times New Roman" w:hAnsi="Times New Roman"/>
          <w:bCs/>
          <w:sz w:val="26"/>
          <w:szCs w:val="26"/>
        </w:rPr>
        <w:t>.  T</w:t>
      </w:r>
      <w:r w:rsidR="005B724B">
        <w:rPr>
          <w:rFonts w:ascii="Times New Roman" w:hAnsi="Times New Roman"/>
          <w:bCs/>
          <w:sz w:val="26"/>
          <w:szCs w:val="26"/>
        </w:rPr>
        <w:t xml:space="preserve">herefore we do not </w:t>
      </w:r>
      <w:r w:rsidR="00EA456F">
        <w:rPr>
          <w:rFonts w:ascii="Times New Roman" w:hAnsi="Times New Roman"/>
          <w:bCs/>
          <w:sz w:val="26"/>
          <w:szCs w:val="26"/>
        </w:rPr>
        <w:t>adopt the ALJ’s finding of</w:t>
      </w:r>
      <w:r w:rsidR="005B724B">
        <w:rPr>
          <w:rFonts w:ascii="Times New Roman" w:hAnsi="Times New Roman"/>
          <w:bCs/>
          <w:sz w:val="26"/>
          <w:szCs w:val="26"/>
        </w:rPr>
        <w:t xml:space="preserve"> a violation of Section 111.12(d) or any other provision of that chapter</w:t>
      </w:r>
      <w:r w:rsidR="00EA456F">
        <w:rPr>
          <w:rFonts w:ascii="Times New Roman" w:hAnsi="Times New Roman"/>
          <w:bCs/>
          <w:sz w:val="26"/>
          <w:szCs w:val="26"/>
        </w:rPr>
        <w:t>, although we do find a violation of a similar provision in our Chapter 54 Regulations</w:t>
      </w:r>
      <w:r w:rsidR="005B724B">
        <w:rPr>
          <w:rFonts w:ascii="Times New Roman" w:hAnsi="Times New Roman"/>
          <w:bCs/>
          <w:sz w:val="26"/>
          <w:szCs w:val="26"/>
        </w:rPr>
        <w:t>.</w:t>
      </w:r>
    </w:p>
    <w:p w:rsidR="0055459F" w:rsidRDefault="0055459F" w:rsidP="00B53CB7">
      <w:pPr>
        <w:ind w:firstLine="1440"/>
        <w:rPr>
          <w:rFonts w:ascii="Times New Roman" w:hAnsi="Times New Roman"/>
          <w:bCs/>
          <w:sz w:val="26"/>
          <w:szCs w:val="26"/>
        </w:rPr>
      </w:pPr>
    </w:p>
    <w:p w:rsidR="00EA456F" w:rsidRDefault="00C25AD7" w:rsidP="00B53CB7">
      <w:pPr>
        <w:ind w:firstLine="1440"/>
        <w:rPr>
          <w:rFonts w:ascii="Times New Roman" w:hAnsi="Times New Roman"/>
          <w:bCs/>
          <w:sz w:val="26"/>
          <w:szCs w:val="26"/>
          <w:lang w:bidi="en-US"/>
        </w:rPr>
      </w:pPr>
      <w:r>
        <w:rPr>
          <w:rFonts w:ascii="Times New Roman" w:hAnsi="Times New Roman"/>
          <w:bCs/>
          <w:sz w:val="26"/>
          <w:szCs w:val="26"/>
        </w:rPr>
        <w:t xml:space="preserve">The </w:t>
      </w:r>
      <w:r w:rsidR="00EB4DB6" w:rsidRPr="00EB4DB6">
        <w:rPr>
          <w:rFonts w:ascii="Times New Roman" w:hAnsi="Times New Roman"/>
          <w:bCs/>
          <w:sz w:val="26"/>
          <w:szCs w:val="26"/>
        </w:rPr>
        <w:t>ALJ conclu</w:t>
      </w:r>
      <w:r>
        <w:rPr>
          <w:rFonts w:ascii="Times New Roman" w:hAnsi="Times New Roman"/>
          <w:bCs/>
          <w:sz w:val="26"/>
          <w:szCs w:val="26"/>
        </w:rPr>
        <w:t>ded</w:t>
      </w:r>
      <w:r w:rsidR="0055459F">
        <w:rPr>
          <w:rFonts w:ascii="Times New Roman" w:hAnsi="Times New Roman"/>
          <w:bCs/>
          <w:sz w:val="26"/>
          <w:szCs w:val="26"/>
        </w:rPr>
        <w:t xml:space="preserve">, </w:t>
      </w:r>
      <w:r w:rsidR="0055459F">
        <w:rPr>
          <w:rFonts w:ascii="Times New Roman" w:hAnsi="Times New Roman"/>
          <w:bCs/>
          <w:i/>
          <w:sz w:val="26"/>
          <w:szCs w:val="26"/>
        </w:rPr>
        <w:t>inter alia</w:t>
      </w:r>
      <w:r w:rsidR="0055459F">
        <w:rPr>
          <w:rFonts w:ascii="Times New Roman" w:hAnsi="Times New Roman"/>
          <w:bCs/>
          <w:sz w:val="26"/>
          <w:szCs w:val="26"/>
        </w:rPr>
        <w:t>,</w:t>
      </w:r>
      <w:r w:rsidR="00EB4DB6" w:rsidRPr="00EB4DB6">
        <w:rPr>
          <w:rFonts w:ascii="Times New Roman" w:hAnsi="Times New Roman"/>
          <w:bCs/>
          <w:sz w:val="26"/>
          <w:szCs w:val="26"/>
        </w:rPr>
        <w:t xml:space="preserve"> that Respond violated the consumer protection</w:t>
      </w:r>
      <w:r>
        <w:rPr>
          <w:rFonts w:ascii="Times New Roman" w:hAnsi="Times New Roman"/>
          <w:bCs/>
          <w:sz w:val="26"/>
          <w:szCs w:val="26"/>
        </w:rPr>
        <w:t>s</w:t>
      </w:r>
      <w:r w:rsidR="00EB4DB6" w:rsidRPr="00EB4DB6">
        <w:rPr>
          <w:rFonts w:ascii="Times New Roman" w:hAnsi="Times New Roman"/>
          <w:bCs/>
          <w:sz w:val="26"/>
          <w:szCs w:val="26"/>
        </w:rPr>
        <w:t xml:space="preserve"> at Section 111.12(d)(2) and (4)</w:t>
      </w:r>
      <w:r>
        <w:rPr>
          <w:rFonts w:ascii="Times New Roman" w:hAnsi="Times New Roman"/>
          <w:bCs/>
          <w:sz w:val="26"/>
          <w:szCs w:val="26"/>
        </w:rPr>
        <w:t>,</w:t>
      </w:r>
      <w:r w:rsidR="00EB4DB6" w:rsidRPr="00EB4DB6">
        <w:rPr>
          <w:rFonts w:ascii="Times New Roman" w:hAnsi="Times New Roman"/>
          <w:bCs/>
          <w:sz w:val="26"/>
          <w:szCs w:val="26"/>
        </w:rPr>
        <w:t xml:space="preserve"> which provide that an EGS may not make false or misleading representations, including misrepresenting rates or savings offered, and that information must be accurate and timely.  I.D. at 42-43.  </w:t>
      </w:r>
      <w:r w:rsidR="000533FD" w:rsidRPr="000533FD">
        <w:rPr>
          <w:rFonts w:ascii="Times New Roman" w:hAnsi="Times New Roman"/>
          <w:bCs/>
          <w:sz w:val="26"/>
          <w:szCs w:val="26"/>
          <w:lang w:bidi="en-US"/>
        </w:rPr>
        <w:t xml:space="preserve">We </w:t>
      </w:r>
      <w:r w:rsidR="000533FD">
        <w:rPr>
          <w:rFonts w:ascii="Times New Roman" w:hAnsi="Times New Roman"/>
          <w:bCs/>
          <w:sz w:val="26"/>
          <w:szCs w:val="26"/>
          <w:lang w:bidi="en-US"/>
        </w:rPr>
        <w:t>agree</w:t>
      </w:r>
      <w:r w:rsidR="000533FD" w:rsidRPr="000533FD">
        <w:rPr>
          <w:rFonts w:ascii="Times New Roman" w:hAnsi="Times New Roman"/>
          <w:bCs/>
          <w:sz w:val="26"/>
          <w:szCs w:val="26"/>
          <w:lang w:bidi="en-US"/>
        </w:rPr>
        <w:t xml:space="preserve"> that the violation committed by Respond results from the deceptive sales and marketing of Respond</w:t>
      </w:r>
      <w:r w:rsidR="00B53CB7">
        <w:rPr>
          <w:rFonts w:ascii="Times New Roman" w:hAnsi="Times New Roman"/>
          <w:bCs/>
          <w:sz w:val="26"/>
          <w:szCs w:val="26"/>
          <w:lang w:bidi="en-US"/>
        </w:rPr>
        <w:t>’s</w:t>
      </w:r>
      <w:r w:rsidR="000533FD" w:rsidRPr="000533FD">
        <w:rPr>
          <w:rFonts w:ascii="Times New Roman" w:hAnsi="Times New Roman"/>
          <w:bCs/>
          <w:sz w:val="26"/>
          <w:szCs w:val="26"/>
          <w:lang w:bidi="en-US"/>
        </w:rPr>
        <w:t xml:space="preserve"> agent </w:t>
      </w:r>
      <w:r w:rsidR="000533FD">
        <w:rPr>
          <w:rFonts w:ascii="Times New Roman" w:hAnsi="Times New Roman"/>
          <w:bCs/>
          <w:sz w:val="26"/>
          <w:szCs w:val="26"/>
          <w:lang w:bidi="en-US"/>
        </w:rPr>
        <w:t>who</w:t>
      </w:r>
      <w:r w:rsidR="000533FD" w:rsidRPr="000533FD">
        <w:rPr>
          <w:rFonts w:ascii="Times New Roman" w:hAnsi="Times New Roman"/>
          <w:bCs/>
          <w:sz w:val="26"/>
          <w:szCs w:val="26"/>
          <w:lang w:bidi="en-US"/>
        </w:rPr>
        <w:t xml:space="preserve"> solicited Mr. Herp at his home during a door-to-door marketing campaign.  </w:t>
      </w:r>
      <w:r w:rsidR="000533FD">
        <w:rPr>
          <w:rFonts w:ascii="Times New Roman" w:hAnsi="Times New Roman"/>
          <w:bCs/>
          <w:sz w:val="26"/>
          <w:szCs w:val="26"/>
          <w:lang w:bidi="en-US"/>
        </w:rPr>
        <w:t xml:space="preserve">As </w:t>
      </w:r>
      <w:r w:rsidR="00EA456F">
        <w:rPr>
          <w:rFonts w:ascii="Times New Roman" w:hAnsi="Times New Roman"/>
          <w:bCs/>
          <w:sz w:val="26"/>
          <w:szCs w:val="26"/>
          <w:lang w:bidi="en-US"/>
        </w:rPr>
        <w:t xml:space="preserve">noted, </w:t>
      </w:r>
      <w:r w:rsidR="00EA456F">
        <w:rPr>
          <w:rFonts w:ascii="Times New Roman" w:hAnsi="Times New Roman"/>
          <w:bCs/>
          <w:i/>
          <w:sz w:val="26"/>
          <w:szCs w:val="26"/>
          <w:lang w:bidi="en-US"/>
        </w:rPr>
        <w:t>supra,</w:t>
      </w:r>
      <w:r w:rsidR="00EA456F">
        <w:rPr>
          <w:rFonts w:ascii="Times New Roman" w:hAnsi="Times New Roman"/>
          <w:bCs/>
          <w:sz w:val="26"/>
          <w:szCs w:val="26"/>
          <w:lang w:bidi="en-US"/>
        </w:rPr>
        <w:t xml:space="preserve"> however, although Respond billed Mr. Herp as a residential customer, </w:t>
      </w:r>
      <w:r w:rsidR="000533FD" w:rsidRPr="000533FD">
        <w:rPr>
          <w:rFonts w:ascii="Times New Roman" w:hAnsi="Times New Roman"/>
          <w:bCs/>
          <w:sz w:val="26"/>
          <w:szCs w:val="26"/>
          <w:lang w:bidi="en-US"/>
        </w:rPr>
        <w:t xml:space="preserve">the account </w:t>
      </w:r>
      <w:r w:rsidR="000533FD">
        <w:rPr>
          <w:rFonts w:ascii="Times New Roman" w:hAnsi="Times New Roman"/>
          <w:bCs/>
          <w:sz w:val="26"/>
          <w:szCs w:val="26"/>
          <w:lang w:bidi="en-US"/>
        </w:rPr>
        <w:t>in dispute</w:t>
      </w:r>
      <w:r w:rsidR="000533FD" w:rsidRPr="000533FD">
        <w:rPr>
          <w:rFonts w:ascii="Times New Roman" w:hAnsi="Times New Roman"/>
          <w:bCs/>
          <w:sz w:val="26"/>
          <w:szCs w:val="26"/>
          <w:lang w:bidi="en-US"/>
        </w:rPr>
        <w:t xml:space="preserve"> in this proceeding is in fact </w:t>
      </w:r>
      <w:r w:rsidR="0055459F">
        <w:rPr>
          <w:rFonts w:ascii="Times New Roman" w:hAnsi="Times New Roman"/>
          <w:bCs/>
          <w:sz w:val="26"/>
          <w:szCs w:val="26"/>
          <w:lang w:bidi="en-US"/>
        </w:rPr>
        <w:t xml:space="preserve">a </w:t>
      </w:r>
      <w:r w:rsidR="000533FD" w:rsidRPr="000533FD">
        <w:rPr>
          <w:rFonts w:ascii="Times New Roman" w:hAnsi="Times New Roman"/>
          <w:bCs/>
          <w:sz w:val="26"/>
          <w:szCs w:val="26"/>
          <w:lang w:bidi="en-US"/>
        </w:rPr>
        <w:t xml:space="preserve">commercial </w:t>
      </w:r>
      <w:r w:rsidR="0055459F">
        <w:rPr>
          <w:rFonts w:ascii="Times New Roman" w:hAnsi="Times New Roman"/>
          <w:bCs/>
          <w:sz w:val="26"/>
          <w:szCs w:val="26"/>
          <w:lang w:bidi="en-US"/>
        </w:rPr>
        <w:t>apartment of Mr. Herp’s, and not his residential dwelling</w:t>
      </w:r>
      <w:r w:rsidR="00EA456F">
        <w:rPr>
          <w:rFonts w:ascii="Times New Roman" w:hAnsi="Times New Roman"/>
          <w:bCs/>
          <w:sz w:val="26"/>
          <w:szCs w:val="26"/>
          <w:lang w:bidi="en-US"/>
        </w:rPr>
        <w:t>.</w:t>
      </w:r>
    </w:p>
    <w:p w:rsidR="00EA456F" w:rsidRDefault="00EA456F" w:rsidP="00B53CB7">
      <w:pPr>
        <w:ind w:firstLine="1440"/>
        <w:rPr>
          <w:rFonts w:ascii="Times New Roman" w:hAnsi="Times New Roman"/>
          <w:bCs/>
          <w:sz w:val="26"/>
          <w:szCs w:val="26"/>
          <w:lang w:bidi="en-US"/>
        </w:rPr>
      </w:pPr>
    </w:p>
    <w:p w:rsidR="00B53CB7" w:rsidRPr="00B53CB7" w:rsidRDefault="00C25AD7" w:rsidP="00B53CB7">
      <w:pPr>
        <w:ind w:firstLine="1440"/>
        <w:rPr>
          <w:rFonts w:ascii="Times New Roman" w:hAnsi="Times New Roman"/>
          <w:bCs/>
          <w:sz w:val="26"/>
          <w:szCs w:val="26"/>
        </w:rPr>
      </w:pPr>
      <w:r>
        <w:rPr>
          <w:rFonts w:ascii="Times New Roman" w:hAnsi="Times New Roman"/>
          <w:bCs/>
          <w:sz w:val="26"/>
          <w:szCs w:val="26"/>
        </w:rPr>
        <w:t>Chapter 111 of our Regulations</w:t>
      </w:r>
      <w:r w:rsidR="00B53CB7">
        <w:rPr>
          <w:rFonts w:ascii="Times New Roman" w:hAnsi="Times New Roman"/>
          <w:bCs/>
          <w:sz w:val="26"/>
          <w:szCs w:val="26"/>
        </w:rPr>
        <w:t xml:space="preserve"> </w:t>
      </w:r>
      <w:r w:rsidR="00B53CB7" w:rsidRPr="00B53CB7">
        <w:rPr>
          <w:rFonts w:ascii="Times New Roman" w:hAnsi="Times New Roman"/>
          <w:bCs/>
          <w:sz w:val="26"/>
          <w:szCs w:val="26"/>
        </w:rPr>
        <w:t>governs marketing and sales practices for the retail residential energy market</w:t>
      </w:r>
      <w:r w:rsidR="00B53CB7">
        <w:rPr>
          <w:rFonts w:ascii="Times New Roman" w:hAnsi="Times New Roman"/>
          <w:bCs/>
          <w:sz w:val="26"/>
          <w:szCs w:val="26"/>
        </w:rPr>
        <w:t>.  In adopting Chapter 111, we declined to render it applicable to small business customers</w:t>
      </w:r>
      <w:r w:rsidR="0055459F">
        <w:rPr>
          <w:rFonts w:ascii="Times New Roman" w:hAnsi="Times New Roman"/>
          <w:bCs/>
          <w:sz w:val="26"/>
          <w:szCs w:val="26"/>
        </w:rPr>
        <w:t xml:space="preserve"> </w:t>
      </w:r>
      <w:r w:rsidR="005C4812">
        <w:rPr>
          <w:rFonts w:ascii="Times New Roman" w:hAnsi="Times New Roman"/>
          <w:bCs/>
          <w:sz w:val="26"/>
          <w:szCs w:val="26"/>
        </w:rPr>
        <w:t xml:space="preserve">for many reasons, </w:t>
      </w:r>
      <w:r w:rsidR="0055459F">
        <w:rPr>
          <w:rFonts w:ascii="Times New Roman" w:hAnsi="Times New Roman"/>
          <w:bCs/>
          <w:sz w:val="26"/>
          <w:szCs w:val="26"/>
        </w:rPr>
        <w:t xml:space="preserve">even though we acknowledged that in </w:t>
      </w:r>
      <w:r w:rsidR="005C4812">
        <w:rPr>
          <w:rFonts w:ascii="Times New Roman" w:hAnsi="Times New Roman"/>
          <w:bCs/>
          <w:sz w:val="26"/>
          <w:szCs w:val="26"/>
        </w:rPr>
        <w:t xml:space="preserve">some instances there might be concerns that were common to both residential and </w:t>
      </w:r>
      <w:r w:rsidR="005C4812">
        <w:rPr>
          <w:rFonts w:ascii="Times New Roman" w:hAnsi="Times New Roman"/>
          <w:bCs/>
          <w:sz w:val="26"/>
          <w:szCs w:val="26"/>
        </w:rPr>
        <w:lastRenderedPageBreak/>
        <w:t>commercial customers</w:t>
      </w:r>
      <w:r w:rsidR="00B53CB7">
        <w:rPr>
          <w:rFonts w:ascii="Times New Roman" w:hAnsi="Times New Roman"/>
          <w:bCs/>
          <w:sz w:val="26"/>
          <w:szCs w:val="26"/>
        </w:rPr>
        <w:t xml:space="preserve">.  </w:t>
      </w:r>
      <w:r w:rsidR="00EA456F">
        <w:rPr>
          <w:rFonts w:ascii="Times New Roman" w:hAnsi="Times New Roman"/>
          <w:bCs/>
          <w:sz w:val="26"/>
          <w:szCs w:val="26"/>
        </w:rPr>
        <w:t>In</w:t>
      </w:r>
      <w:r w:rsidR="00B53CB7" w:rsidRPr="00B53CB7">
        <w:rPr>
          <w:rFonts w:ascii="Times New Roman" w:hAnsi="Times New Roman"/>
          <w:bCs/>
          <w:sz w:val="26"/>
          <w:szCs w:val="26"/>
        </w:rPr>
        <w:t xml:space="preserve"> </w:t>
      </w:r>
      <w:r w:rsidR="005C4812">
        <w:rPr>
          <w:rFonts w:ascii="Times New Roman" w:hAnsi="Times New Roman"/>
          <w:bCs/>
          <w:sz w:val="26"/>
          <w:szCs w:val="26"/>
        </w:rPr>
        <w:t>declin</w:t>
      </w:r>
      <w:r w:rsidR="00EA456F">
        <w:rPr>
          <w:rFonts w:ascii="Times New Roman" w:hAnsi="Times New Roman"/>
          <w:bCs/>
          <w:sz w:val="26"/>
          <w:szCs w:val="26"/>
        </w:rPr>
        <w:t>ing</w:t>
      </w:r>
      <w:r w:rsidR="005C4812">
        <w:rPr>
          <w:rFonts w:ascii="Times New Roman" w:hAnsi="Times New Roman"/>
          <w:bCs/>
          <w:sz w:val="26"/>
          <w:szCs w:val="26"/>
        </w:rPr>
        <w:t xml:space="preserve"> to apply </w:t>
      </w:r>
      <w:r w:rsidR="00B53CB7" w:rsidRPr="00B53CB7">
        <w:rPr>
          <w:rFonts w:ascii="Times New Roman" w:hAnsi="Times New Roman"/>
          <w:bCs/>
          <w:sz w:val="26"/>
          <w:szCs w:val="26"/>
        </w:rPr>
        <w:t xml:space="preserve">Chapter 111 to </w:t>
      </w:r>
      <w:r w:rsidR="005C4812">
        <w:rPr>
          <w:rFonts w:ascii="Times New Roman" w:hAnsi="Times New Roman"/>
          <w:bCs/>
          <w:sz w:val="26"/>
          <w:szCs w:val="26"/>
        </w:rPr>
        <w:t xml:space="preserve">commercial accounts, we </w:t>
      </w:r>
      <w:r w:rsidR="00EA456F">
        <w:rPr>
          <w:rFonts w:ascii="Times New Roman" w:hAnsi="Times New Roman"/>
          <w:bCs/>
          <w:sz w:val="26"/>
          <w:szCs w:val="26"/>
        </w:rPr>
        <w:t xml:space="preserve">nonetheless were careful to emphasize the </w:t>
      </w:r>
      <w:r w:rsidR="005C4812">
        <w:rPr>
          <w:rFonts w:ascii="Times New Roman" w:hAnsi="Times New Roman"/>
          <w:bCs/>
          <w:sz w:val="26"/>
          <w:szCs w:val="26"/>
        </w:rPr>
        <w:t xml:space="preserve">fundamental </w:t>
      </w:r>
      <w:r w:rsidR="00EA456F">
        <w:rPr>
          <w:rFonts w:ascii="Times New Roman" w:hAnsi="Times New Roman"/>
          <w:bCs/>
          <w:sz w:val="26"/>
          <w:szCs w:val="26"/>
        </w:rPr>
        <w:t xml:space="preserve">premise </w:t>
      </w:r>
      <w:r w:rsidR="005C4812">
        <w:rPr>
          <w:rFonts w:ascii="Times New Roman" w:hAnsi="Times New Roman"/>
          <w:bCs/>
          <w:sz w:val="26"/>
          <w:szCs w:val="26"/>
        </w:rPr>
        <w:t xml:space="preserve">that commercial customers </w:t>
      </w:r>
      <w:r w:rsidR="00EA456F">
        <w:rPr>
          <w:rFonts w:ascii="Times New Roman" w:hAnsi="Times New Roman"/>
          <w:bCs/>
          <w:sz w:val="26"/>
          <w:szCs w:val="26"/>
        </w:rPr>
        <w:t xml:space="preserve">continued to enjoy </w:t>
      </w:r>
      <w:r w:rsidR="005C4812">
        <w:rPr>
          <w:rFonts w:ascii="Times New Roman" w:hAnsi="Times New Roman"/>
          <w:bCs/>
          <w:sz w:val="26"/>
          <w:szCs w:val="26"/>
        </w:rPr>
        <w:t>protect</w:t>
      </w:r>
      <w:r w:rsidR="00EA456F">
        <w:rPr>
          <w:rFonts w:ascii="Times New Roman" w:hAnsi="Times New Roman"/>
          <w:bCs/>
          <w:sz w:val="26"/>
          <w:szCs w:val="26"/>
        </w:rPr>
        <w:t>ion</w:t>
      </w:r>
      <w:r w:rsidR="005C4812">
        <w:rPr>
          <w:rFonts w:ascii="Times New Roman" w:hAnsi="Times New Roman"/>
          <w:bCs/>
          <w:sz w:val="26"/>
          <w:szCs w:val="26"/>
        </w:rPr>
        <w:t xml:space="preserve"> from deceptive</w:t>
      </w:r>
      <w:r w:rsidR="00B53CB7" w:rsidRPr="00B53CB7">
        <w:rPr>
          <w:rFonts w:ascii="Times New Roman" w:hAnsi="Times New Roman"/>
          <w:bCs/>
          <w:sz w:val="26"/>
          <w:szCs w:val="26"/>
        </w:rPr>
        <w:t xml:space="preserve"> </w:t>
      </w:r>
      <w:r w:rsidR="005C4812">
        <w:rPr>
          <w:rFonts w:ascii="Times New Roman" w:hAnsi="Times New Roman"/>
          <w:bCs/>
          <w:sz w:val="26"/>
          <w:szCs w:val="26"/>
        </w:rPr>
        <w:t xml:space="preserve">activity, </w:t>
      </w:r>
      <w:r w:rsidR="00B53CB7">
        <w:rPr>
          <w:rFonts w:ascii="Times New Roman" w:hAnsi="Times New Roman"/>
          <w:bCs/>
          <w:sz w:val="26"/>
          <w:szCs w:val="26"/>
        </w:rPr>
        <w:t>stating as follows:</w:t>
      </w:r>
    </w:p>
    <w:p w:rsidR="00B53CB7" w:rsidRPr="00B53CB7" w:rsidRDefault="00B53CB7" w:rsidP="00B53CB7">
      <w:pPr>
        <w:ind w:firstLine="1440"/>
        <w:rPr>
          <w:rFonts w:ascii="Times New Roman" w:hAnsi="Times New Roman"/>
          <w:bCs/>
          <w:sz w:val="26"/>
          <w:szCs w:val="26"/>
        </w:rPr>
      </w:pPr>
    </w:p>
    <w:p w:rsidR="00B53CB7" w:rsidRPr="00B53CB7" w:rsidRDefault="00B53CB7" w:rsidP="004A703C">
      <w:pPr>
        <w:spacing w:line="240" w:lineRule="auto"/>
        <w:ind w:left="1440" w:right="1440" w:firstLine="720"/>
        <w:rPr>
          <w:rFonts w:ascii="Times New Roman" w:hAnsi="Times New Roman"/>
          <w:bCs/>
          <w:sz w:val="26"/>
          <w:szCs w:val="26"/>
        </w:rPr>
      </w:pPr>
      <w:r w:rsidRPr="00B53CB7">
        <w:rPr>
          <w:rFonts w:ascii="Times New Roman" w:hAnsi="Times New Roman"/>
          <w:bCs/>
          <w:sz w:val="26"/>
          <w:szCs w:val="26"/>
        </w:rPr>
        <w:t>While we decline to expand the scope of these guidelines to include small business customers at this time, this is not to say that we would not reconsider this decision should the need be demonstrated. Accordingly, small business customers that experience problems with supplier marketing are encouraged to bring such incidents to our attention either by filing a formal or informal complaint. Small business customers may also report such incidents in conjunction with our monitoring of the door-to-door marketing issue, or in the anticipated rulemaking that will promulgate many of these guidelines as regulations. Reporting such incidents will help the Commission evaluate this issue, and may support a future expansion of the scope of the guidelines to include small business customers.</w:t>
      </w:r>
    </w:p>
    <w:p w:rsidR="00B53CB7" w:rsidRPr="00B53CB7" w:rsidRDefault="00B53CB7" w:rsidP="004A703C">
      <w:pPr>
        <w:spacing w:line="240" w:lineRule="auto"/>
        <w:ind w:left="1440" w:right="1440"/>
        <w:rPr>
          <w:rFonts w:ascii="Times New Roman" w:hAnsi="Times New Roman"/>
          <w:bCs/>
          <w:sz w:val="26"/>
          <w:szCs w:val="26"/>
        </w:rPr>
      </w:pPr>
    </w:p>
    <w:p w:rsidR="00B53CB7" w:rsidRDefault="00B53CB7" w:rsidP="004A703C">
      <w:pPr>
        <w:spacing w:line="240" w:lineRule="auto"/>
        <w:ind w:left="1440" w:right="1440" w:firstLine="720"/>
        <w:rPr>
          <w:rFonts w:ascii="Times New Roman" w:hAnsi="Times New Roman"/>
          <w:bCs/>
          <w:sz w:val="26"/>
          <w:szCs w:val="26"/>
        </w:rPr>
      </w:pPr>
      <w:r w:rsidRPr="00B53CB7">
        <w:rPr>
          <w:rFonts w:ascii="Times New Roman" w:hAnsi="Times New Roman"/>
          <w:bCs/>
          <w:sz w:val="26"/>
          <w:szCs w:val="26"/>
        </w:rPr>
        <w:t>In the meantime, we will point out that there is some measure of protection for small business customers under current regulations. For example, the same disclosure (contract) regulations that apply to residential customers at 52 Pa. Code § 54.5 also apply to small business customers with less than 25 kW peak load. This includes the three-day right to rescind a contract, and they get the same contract renewal notices that residential consumers receive. Moreover, the regulations at 52 Pa. Code §§ 54.6 – 54.9 all apply to small businesses. This includes:</w:t>
      </w:r>
    </w:p>
    <w:p w:rsidR="004A703C" w:rsidRPr="00B53CB7" w:rsidRDefault="004A703C" w:rsidP="004A703C">
      <w:pPr>
        <w:spacing w:line="240" w:lineRule="auto"/>
        <w:ind w:left="1440" w:right="1440" w:firstLine="720"/>
        <w:rPr>
          <w:rFonts w:ascii="Times New Roman" w:hAnsi="Times New Roman"/>
          <w:bCs/>
          <w:sz w:val="26"/>
          <w:szCs w:val="26"/>
        </w:rPr>
      </w:pPr>
    </w:p>
    <w:p w:rsidR="00B53CB7" w:rsidRDefault="00B53CB7" w:rsidP="004A703C">
      <w:pPr>
        <w:numPr>
          <w:ilvl w:val="0"/>
          <w:numId w:val="19"/>
        </w:numPr>
        <w:spacing w:line="240" w:lineRule="auto"/>
        <w:ind w:left="2160" w:right="1440" w:firstLine="0"/>
        <w:rPr>
          <w:rFonts w:ascii="Times New Roman" w:hAnsi="Times New Roman"/>
          <w:bCs/>
          <w:sz w:val="26"/>
          <w:szCs w:val="26"/>
        </w:rPr>
      </w:pPr>
      <w:r w:rsidRPr="00B53CB7">
        <w:rPr>
          <w:rFonts w:ascii="Times New Roman" w:hAnsi="Times New Roman"/>
          <w:bCs/>
          <w:sz w:val="26"/>
          <w:szCs w:val="26"/>
        </w:rPr>
        <w:t>Marketing rules regulating claims of environmental benefits or attributes of generation sources (52 Pa. Code § 54.6).</w:t>
      </w:r>
    </w:p>
    <w:p w:rsidR="004A703C" w:rsidRPr="00B53CB7" w:rsidRDefault="004A703C" w:rsidP="004A703C">
      <w:pPr>
        <w:spacing w:line="240" w:lineRule="auto"/>
        <w:ind w:left="2160" w:right="1440"/>
        <w:rPr>
          <w:rFonts w:ascii="Times New Roman" w:hAnsi="Times New Roman"/>
          <w:bCs/>
          <w:sz w:val="26"/>
          <w:szCs w:val="26"/>
        </w:rPr>
      </w:pPr>
    </w:p>
    <w:p w:rsidR="00B53CB7" w:rsidRDefault="00B53CB7" w:rsidP="004A703C">
      <w:pPr>
        <w:numPr>
          <w:ilvl w:val="0"/>
          <w:numId w:val="19"/>
        </w:numPr>
        <w:spacing w:line="240" w:lineRule="auto"/>
        <w:ind w:left="2160" w:right="1440" w:firstLine="0"/>
        <w:rPr>
          <w:rFonts w:ascii="Times New Roman" w:hAnsi="Times New Roman"/>
          <w:bCs/>
          <w:sz w:val="26"/>
          <w:szCs w:val="26"/>
        </w:rPr>
      </w:pPr>
      <w:r w:rsidRPr="00B53CB7">
        <w:rPr>
          <w:rFonts w:ascii="Times New Roman" w:hAnsi="Times New Roman"/>
          <w:bCs/>
          <w:sz w:val="26"/>
          <w:szCs w:val="26"/>
        </w:rPr>
        <w:t xml:space="preserve">Advertised prices must reflect disclosure prices and billed prices, and marketing materials must include information on prices and billed amounts for various usage levels (52 Pa. Code § 54.7). </w:t>
      </w:r>
    </w:p>
    <w:p w:rsidR="004A703C" w:rsidRPr="00B53CB7" w:rsidRDefault="004A703C" w:rsidP="004A703C">
      <w:pPr>
        <w:spacing w:line="240" w:lineRule="auto"/>
        <w:ind w:left="2160" w:right="1440"/>
        <w:rPr>
          <w:rFonts w:ascii="Times New Roman" w:hAnsi="Times New Roman"/>
          <w:bCs/>
          <w:sz w:val="26"/>
          <w:szCs w:val="26"/>
        </w:rPr>
      </w:pPr>
    </w:p>
    <w:p w:rsidR="00B53CB7" w:rsidRPr="00B53CB7" w:rsidRDefault="00B53CB7" w:rsidP="004A703C">
      <w:pPr>
        <w:numPr>
          <w:ilvl w:val="0"/>
          <w:numId w:val="19"/>
        </w:numPr>
        <w:spacing w:line="240" w:lineRule="auto"/>
        <w:ind w:left="2160" w:right="1440" w:firstLine="0"/>
        <w:rPr>
          <w:rFonts w:ascii="Times New Roman" w:hAnsi="Times New Roman"/>
          <w:bCs/>
          <w:sz w:val="26"/>
          <w:szCs w:val="26"/>
        </w:rPr>
      </w:pPr>
      <w:r w:rsidRPr="00B53CB7">
        <w:rPr>
          <w:rFonts w:ascii="Times New Roman" w:hAnsi="Times New Roman"/>
          <w:bCs/>
          <w:sz w:val="26"/>
          <w:szCs w:val="26"/>
        </w:rPr>
        <w:t xml:space="preserve">Small business customers have the right to restrict the release of their historical billing data and </w:t>
      </w:r>
      <w:r w:rsidRPr="00B53CB7">
        <w:rPr>
          <w:rFonts w:ascii="Times New Roman" w:hAnsi="Times New Roman"/>
          <w:bCs/>
          <w:sz w:val="26"/>
          <w:szCs w:val="26"/>
        </w:rPr>
        <w:lastRenderedPageBreak/>
        <w:t xml:space="preserve">telephone numbers to the same extent as a residential customer (52 Pa. Code § 54.8). </w:t>
      </w:r>
    </w:p>
    <w:p w:rsidR="00B53CB7" w:rsidRPr="00B53CB7" w:rsidRDefault="00B53CB7" w:rsidP="004A703C">
      <w:pPr>
        <w:spacing w:line="240" w:lineRule="auto"/>
        <w:ind w:left="1440" w:right="1440"/>
        <w:rPr>
          <w:rFonts w:ascii="Times New Roman" w:hAnsi="Times New Roman"/>
          <w:bCs/>
          <w:sz w:val="26"/>
          <w:szCs w:val="26"/>
        </w:rPr>
      </w:pPr>
    </w:p>
    <w:p w:rsidR="00B53CB7" w:rsidRDefault="00B53CB7" w:rsidP="0022192A">
      <w:pPr>
        <w:spacing w:line="240" w:lineRule="auto"/>
        <w:ind w:left="1440" w:right="1440" w:firstLine="720"/>
        <w:rPr>
          <w:rFonts w:ascii="Times New Roman" w:hAnsi="Times New Roman"/>
          <w:bCs/>
          <w:sz w:val="26"/>
          <w:szCs w:val="26"/>
        </w:rPr>
      </w:pPr>
      <w:r w:rsidRPr="00B53CB7">
        <w:rPr>
          <w:rFonts w:ascii="Times New Roman" w:hAnsi="Times New Roman"/>
          <w:bCs/>
          <w:sz w:val="26"/>
          <w:szCs w:val="26"/>
        </w:rPr>
        <w:t>Additionally, small business customers are protected by prohibitions against misrepresentation and fraud the same as any other customer. Having said all of this, we believe that these guidelines set forth sound business practices that could generally apply to all customers. We hope suppliers will be mindful of these sound practices when dealing with all of their customers, and will keep in mind their responsibility to interact with all of their customers and potential customers in good faith and with fair dealing.</w:t>
      </w:r>
    </w:p>
    <w:p w:rsidR="0022192A" w:rsidRPr="00B53CB7" w:rsidRDefault="0022192A" w:rsidP="0022192A">
      <w:pPr>
        <w:spacing w:line="240" w:lineRule="auto"/>
        <w:ind w:left="1440" w:right="1440" w:firstLine="720"/>
        <w:rPr>
          <w:rFonts w:ascii="Times New Roman" w:hAnsi="Times New Roman"/>
          <w:bCs/>
          <w:sz w:val="26"/>
          <w:szCs w:val="26"/>
        </w:rPr>
      </w:pPr>
    </w:p>
    <w:p w:rsidR="00B53CB7" w:rsidRPr="00B53CB7" w:rsidRDefault="00B53CB7" w:rsidP="0022192A">
      <w:pPr>
        <w:spacing w:line="240" w:lineRule="auto"/>
        <w:ind w:firstLine="1440"/>
        <w:rPr>
          <w:rFonts w:ascii="Times New Roman" w:hAnsi="Times New Roman"/>
          <w:bCs/>
          <w:sz w:val="26"/>
          <w:szCs w:val="26"/>
        </w:rPr>
      </w:pPr>
    </w:p>
    <w:p w:rsidR="00B53CB7" w:rsidRDefault="00B53CB7" w:rsidP="00B53CB7">
      <w:pPr>
        <w:rPr>
          <w:rFonts w:ascii="Times New Roman" w:hAnsi="Times New Roman"/>
          <w:bCs/>
          <w:sz w:val="26"/>
          <w:szCs w:val="26"/>
        </w:rPr>
      </w:pPr>
      <w:r w:rsidRPr="00B53CB7">
        <w:rPr>
          <w:rFonts w:ascii="Times New Roman" w:hAnsi="Times New Roman"/>
          <w:bCs/>
          <w:i/>
          <w:sz w:val="26"/>
          <w:szCs w:val="26"/>
        </w:rPr>
        <w:t xml:space="preserve">2010 Interim Guidelines </w:t>
      </w:r>
      <w:r w:rsidRPr="00B53CB7">
        <w:rPr>
          <w:rFonts w:ascii="Times New Roman" w:hAnsi="Times New Roman"/>
          <w:bCs/>
          <w:sz w:val="26"/>
          <w:szCs w:val="26"/>
        </w:rPr>
        <w:t>at 1</w:t>
      </w:r>
      <w:r w:rsidR="004A703C">
        <w:rPr>
          <w:rFonts w:ascii="Times New Roman" w:hAnsi="Times New Roman"/>
          <w:bCs/>
          <w:sz w:val="26"/>
          <w:szCs w:val="26"/>
        </w:rPr>
        <w:t>2</w:t>
      </w:r>
      <w:r w:rsidRPr="00B53CB7">
        <w:rPr>
          <w:rFonts w:ascii="Times New Roman" w:hAnsi="Times New Roman"/>
          <w:bCs/>
          <w:sz w:val="26"/>
          <w:szCs w:val="26"/>
        </w:rPr>
        <w:t>-13</w:t>
      </w:r>
      <w:r>
        <w:rPr>
          <w:rFonts w:ascii="Times New Roman" w:hAnsi="Times New Roman"/>
          <w:bCs/>
          <w:sz w:val="26"/>
          <w:szCs w:val="26"/>
        </w:rPr>
        <w:t>.</w:t>
      </w:r>
    </w:p>
    <w:p w:rsidR="00B53CB7" w:rsidRDefault="00B53CB7" w:rsidP="00EB4DB6">
      <w:pPr>
        <w:ind w:firstLine="1440"/>
        <w:rPr>
          <w:rFonts w:ascii="Times New Roman" w:hAnsi="Times New Roman"/>
          <w:bCs/>
          <w:sz w:val="26"/>
          <w:szCs w:val="26"/>
        </w:rPr>
      </w:pPr>
    </w:p>
    <w:p w:rsidR="00EB4DB6" w:rsidRPr="00EB4DB6" w:rsidRDefault="00EA456F" w:rsidP="00EB4DB6">
      <w:pPr>
        <w:ind w:firstLine="1440"/>
        <w:rPr>
          <w:rFonts w:ascii="Times New Roman" w:hAnsi="Times New Roman"/>
          <w:bCs/>
          <w:sz w:val="26"/>
          <w:szCs w:val="26"/>
        </w:rPr>
      </w:pPr>
      <w:r>
        <w:rPr>
          <w:rFonts w:ascii="Times New Roman" w:hAnsi="Times New Roman"/>
          <w:bCs/>
          <w:sz w:val="26"/>
          <w:szCs w:val="26"/>
        </w:rPr>
        <w:t>W</w:t>
      </w:r>
      <w:r w:rsidR="00EB4DB6" w:rsidRPr="00EB4DB6">
        <w:rPr>
          <w:rFonts w:ascii="Times New Roman" w:hAnsi="Times New Roman"/>
          <w:bCs/>
          <w:sz w:val="26"/>
          <w:szCs w:val="26"/>
        </w:rPr>
        <w:t xml:space="preserve">hile we </w:t>
      </w:r>
      <w:r>
        <w:rPr>
          <w:rFonts w:ascii="Times New Roman" w:hAnsi="Times New Roman"/>
          <w:bCs/>
          <w:sz w:val="26"/>
          <w:szCs w:val="26"/>
        </w:rPr>
        <w:t xml:space="preserve">do not </w:t>
      </w:r>
      <w:r w:rsidR="00EB4DB6" w:rsidRPr="00EB4DB6">
        <w:rPr>
          <w:rFonts w:ascii="Times New Roman" w:hAnsi="Times New Roman"/>
          <w:bCs/>
          <w:sz w:val="26"/>
          <w:szCs w:val="26"/>
        </w:rPr>
        <w:t xml:space="preserve">adopt the ALJ’s </w:t>
      </w:r>
      <w:r>
        <w:rPr>
          <w:rFonts w:ascii="Times New Roman" w:hAnsi="Times New Roman"/>
          <w:bCs/>
          <w:sz w:val="26"/>
          <w:szCs w:val="26"/>
        </w:rPr>
        <w:t xml:space="preserve">conclusions that Respond’s agent’s actions violated </w:t>
      </w:r>
      <w:r w:rsidR="00EB4DB6" w:rsidRPr="00EB4DB6">
        <w:rPr>
          <w:rFonts w:ascii="Times New Roman" w:hAnsi="Times New Roman"/>
          <w:bCs/>
          <w:sz w:val="26"/>
          <w:szCs w:val="26"/>
        </w:rPr>
        <w:t>Chapter</w:t>
      </w:r>
      <w:r w:rsidR="005C4812">
        <w:rPr>
          <w:rFonts w:ascii="Times New Roman" w:hAnsi="Times New Roman"/>
          <w:bCs/>
          <w:sz w:val="26"/>
          <w:szCs w:val="26"/>
        </w:rPr>
        <w:t> </w:t>
      </w:r>
      <w:r w:rsidR="00EB4DB6" w:rsidRPr="00EB4DB6">
        <w:rPr>
          <w:rFonts w:ascii="Times New Roman" w:hAnsi="Times New Roman"/>
          <w:bCs/>
          <w:sz w:val="26"/>
          <w:szCs w:val="26"/>
        </w:rPr>
        <w:t>111</w:t>
      </w:r>
      <w:r w:rsidR="005C4812">
        <w:rPr>
          <w:rFonts w:ascii="Times New Roman" w:hAnsi="Times New Roman"/>
          <w:bCs/>
          <w:sz w:val="26"/>
          <w:szCs w:val="26"/>
        </w:rPr>
        <w:t xml:space="preserve"> </w:t>
      </w:r>
      <w:r>
        <w:rPr>
          <w:rFonts w:ascii="Times New Roman" w:hAnsi="Times New Roman"/>
          <w:bCs/>
          <w:sz w:val="26"/>
          <w:szCs w:val="26"/>
        </w:rPr>
        <w:t>because</w:t>
      </w:r>
      <w:r w:rsidR="005C4812">
        <w:rPr>
          <w:rFonts w:ascii="Times New Roman" w:hAnsi="Times New Roman"/>
          <w:bCs/>
          <w:sz w:val="26"/>
          <w:szCs w:val="26"/>
        </w:rPr>
        <w:t xml:space="preserve"> that chapter does not apply to the account at issue here</w:t>
      </w:r>
      <w:r w:rsidR="00EB4DB6" w:rsidRPr="00EB4DB6">
        <w:rPr>
          <w:rFonts w:ascii="Times New Roman" w:hAnsi="Times New Roman"/>
          <w:bCs/>
          <w:sz w:val="26"/>
          <w:szCs w:val="26"/>
        </w:rPr>
        <w:t xml:space="preserve">, </w:t>
      </w:r>
      <w:r w:rsidR="007A3003">
        <w:rPr>
          <w:rFonts w:ascii="Times New Roman" w:hAnsi="Times New Roman"/>
          <w:bCs/>
          <w:sz w:val="26"/>
          <w:szCs w:val="26"/>
        </w:rPr>
        <w:t xml:space="preserve">we </w:t>
      </w:r>
      <w:r w:rsidR="005C4812">
        <w:rPr>
          <w:rFonts w:ascii="Times New Roman" w:hAnsi="Times New Roman"/>
          <w:bCs/>
          <w:sz w:val="26"/>
          <w:szCs w:val="26"/>
        </w:rPr>
        <w:t xml:space="preserve">do </w:t>
      </w:r>
      <w:r w:rsidR="007A3003">
        <w:rPr>
          <w:rFonts w:ascii="Times New Roman" w:hAnsi="Times New Roman"/>
          <w:bCs/>
          <w:sz w:val="26"/>
          <w:szCs w:val="26"/>
        </w:rPr>
        <w:t xml:space="preserve">find a </w:t>
      </w:r>
      <w:r w:rsidR="00EB4DB6" w:rsidRPr="00EB4DB6">
        <w:rPr>
          <w:rFonts w:ascii="Times New Roman" w:hAnsi="Times New Roman"/>
          <w:bCs/>
          <w:sz w:val="26"/>
          <w:szCs w:val="26"/>
        </w:rPr>
        <w:t>violation of Section 54.122(3) of our Regulations.  Similar to Section</w:t>
      </w:r>
      <w:r>
        <w:rPr>
          <w:rFonts w:ascii="Times New Roman" w:hAnsi="Times New Roman"/>
          <w:bCs/>
          <w:sz w:val="26"/>
          <w:szCs w:val="26"/>
        </w:rPr>
        <w:t> </w:t>
      </w:r>
      <w:r w:rsidR="00EB4DB6" w:rsidRPr="00EB4DB6">
        <w:rPr>
          <w:rFonts w:ascii="Times New Roman" w:hAnsi="Times New Roman"/>
          <w:bCs/>
          <w:sz w:val="26"/>
          <w:szCs w:val="26"/>
        </w:rPr>
        <w:t xml:space="preserve">111.12, Section 54.122(3) provides that an “electric generation supplier may not engage in false or deceptive advertising to customers with respect to the retail supply of electricity in this Commonwealth.”  </w:t>
      </w:r>
      <w:proofErr w:type="gramStart"/>
      <w:r w:rsidR="00EB4DB6" w:rsidRPr="00EB4DB6">
        <w:rPr>
          <w:rFonts w:ascii="Times New Roman" w:hAnsi="Times New Roman"/>
          <w:bCs/>
          <w:sz w:val="26"/>
          <w:szCs w:val="26"/>
        </w:rPr>
        <w:t>52 Pa. Code §</w:t>
      </w:r>
      <w:r>
        <w:rPr>
          <w:rFonts w:ascii="Times New Roman" w:hAnsi="Times New Roman"/>
          <w:bCs/>
          <w:sz w:val="26"/>
          <w:szCs w:val="26"/>
        </w:rPr>
        <w:t> </w:t>
      </w:r>
      <w:r w:rsidR="00EB4DB6" w:rsidRPr="00EB4DB6">
        <w:rPr>
          <w:rFonts w:ascii="Times New Roman" w:hAnsi="Times New Roman"/>
          <w:bCs/>
          <w:sz w:val="26"/>
          <w:szCs w:val="26"/>
        </w:rPr>
        <w:t>54.122(3).</w:t>
      </w:r>
      <w:proofErr w:type="gramEnd"/>
      <w:r w:rsidR="00EB4DB6" w:rsidRPr="00EB4DB6">
        <w:rPr>
          <w:rFonts w:ascii="Times New Roman" w:hAnsi="Times New Roman"/>
          <w:bCs/>
          <w:sz w:val="26"/>
          <w:szCs w:val="26"/>
        </w:rPr>
        <w:t xml:space="preserve">  </w:t>
      </w:r>
      <w:r w:rsidR="007A3003">
        <w:rPr>
          <w:rFonts w:ascii="Times New Roman" w:hAnsi="Times New Roman"/>
          <w:bCs/>
          <w:sz w:val="26"/>
          <w:szCs w:val="26"/>
        </w:rPr>
        <w:t xml:space="preserve">Accordingly, we find that </w:t>
      </w:r>
      <w:r w:rsidR="00C75B81">
        <w:rPr>
          <w:rFonts w:ascii="Times New Roman" w:hAnsi="Times New Roman"/>
          <w:bCs/>
          <w:sz w:val="26"/>
          <w:szCs w:val="26"/>
        </w:rPr>
        <w:t xml:space="preserve">in lieu of Section 111.12, </w:t>
      </w:r>
      <w:r w:rsidR="007A3003">
        <w:rPr>
          <w:rFonts w:ascii="Times New Roman" w:hAnsi="Times New Roman"/>
          <w:bCs/>
          <w:sz w:val="26"/>
          <w:szCs w:val="26"/>
        </w:rPr>
        <w:t>Respond’s agent violate</w:t>
      </w:r>
      <w:r>
        <w:rPr>
          <w:rFonts w:ascii="Times New Roman" w:hAnsi="Times New Roman"/>
          <w:bCs/>
          <w:sz w:val="26"/>
          <w:szCs w:val="26"/>
        </w:rPr>
        <w:t>d</w:t>
      </w:r>
      <w:r w:rsidR="007A3003">
        <w:rPr>
          <w:rFonts w:ascii="Times New Roman" w:hAnsi="Times New Roman"/>
          <w:bCs/>
          <w:sz w:val="26"/>
          <w:szCs w:val="26"/>
        </w:rPr>
        <w:t xml:space="preserve"> </w:t>
      </w:r>
      <w:r w:rsidR="00C75B81">
        <w:rPr>
          <w:rFonts w:ascii="Times New Roman" w:hAnsi="Times New Roman"/>
          <w:bCs/>
          <w:sz w:val="26"/>
          <w:szCs w:val="26"/>
        </w:rPr>
        <w:t>S</w:t>
      </w:r>
      <w:r w:rsidR="00EB4DB6" w:rsidRPr="00EB4DB6">
        <w:rPr>
          <w:rFonts w:ascii="Times New Roman" w:hAnsi="Times New Roman"/>
          <w:bCs/>
          <w:sz w:val="26"/>
          <w:szCs w:val="26"/>
        </w:rPr>
        <w:t xml:space="preserve">ection </w:t>
      </w:r>
      <w:r w:rsidR="00C75B81">
        <w:rPr>
          <w:rFonts w:ascii="Times New Roman" w:hAnsi="Times New Roman"/>
          <w:bCs/>
          <w:sz w:val="26"/>
          <w:szCs w:val="26"/>
        </w:rPr>
        <w:t xml:space="preserve">54.122(3) </w:t>
      </w:r>
      <w:r w:rsidR="00EB4DB6" w:rsidRPr="00EB4DB6">
        <w:rPr>
          <w:rFonts w:ascii="Times New Roman" w:hAnsi="Times New Roman"/>
          <w:bCs/>
          <w:sz w:val="26"/>
          <w:szCs w:val="26"/>
        </w:rPr>
        <w:t xml:space="preserve">of </w:t>
      </w:r>
      <w:r w:rsidR="007A3003">
        <w:rPr>
          <w:rFonts w:ascii="Times New Roman" w:hAnsi="Times New Roman"/>
          <w:bCs/>
          <w:sz w:val="26"/>
          <w:szCs w:val="26"/>
        </w:rPr>
        <w:t>our Regulations</w:t>
      </w:r>
      <w:r w:rsidR="004A703C">
        <w:rPr>
          <w:rFonts w:ascii="Times New Roman" w:hAnsi="Times New Roman"/>
          <w:bCs/>
          <w:sz w:val="26"/>
          <w:szCs w:val="26"/>
        </w:rPr>
        <w:t>.</w:t>
      </w:r>
    </w:p>
    <w:p w:rsidR="00E517BE" w:rsidRDefault="00E517BE" w:rsidP="001079DC">
      <w:pPr>
        <w:ind w:firstLine="1440"/>
        <w:rPr>
          <w:rFonts w:ascii="Times New Roman" w:hAnsi="Times New Roman"/>
          <w:bCs/>
          <w:sz w:val="26"/>
          <w:szCs w:val="26"/>
        </w:rPr>
      </w:pPr>
    </w:p>
    <w:p w:rsidR="009058C4" w:rsidRDefault="005C4812" w:rsidP="009058C4">
      <w:pPr>
        <w:ind w:firstLine="1440"/>
        <w:rPr>
          <w:rFonts w:ascii="Times New Roman" w:hAnsi="Times New Roman"/>
          <w:bCs/>
          <w:sz w:val="26"/>
          <w:szCs w:val="26"/>
        </w:rPr>
      </w:pPr>
      <w:r>
        <w:rPr>
          <w:rFonts w:ascii="Times New Roman" w:hAnsi="Times New Roman"/>
          <w:bCs/>
          <w:sz w:val="26"/>
          <w:szCs w:val="26"/>
        </w:rPr>
        <w:t xml:space="preserve">As both Respond and the OCA noted in relying on our decision in </w:t>
      </w:r>
      <w:r w:rsidRPr="005C4812">
        <w:rPr>
          <w:rFonts w:ascii="Times New Roman" w:hAnsi="Times New Roman"/>
          <w:bCs/>
          <w:i/>
          <w:sz w:val="26"/>
          <w:szCs w:val="26"/>
        </w:rPr>
        <w:t>Towne</w:t>
      </w:r>
      <w:r>
        <w:rPr>
          <w:rFonts w:ascii="Times New Roman" w:hAnsi="Times New Roman"/>
          <w:bCs/>
          <w:sz w:val="26"/>
          <w:szCs w:val="26"/>
        </w:rPr>
        <w:t xml:space="preserve">, we have </w:t>
      </w:r>
      <w:r w:rsidR="00ED586C">
        <w:rPr>
          <w:rFonts w:ascii="Times New Roman" w:hAnsi="Times New Roman"/>
          <w:bCs/>
          <w:sz w:val="26"/>
          <w:szCs w:val="26"/>
        </w:rPr>
        <w:t xml:space="preserve">previously </w:t>
      </w:r>
      <w:r w:rsidR="001079DC" w:rsidRPr="00E556FF">
        <w:rPr>
          <w:rFonts w:ascii="Times New Roman" w:hAnsi="Times New Roman"/>
          <w:bCs/>
          <w:sz w:val="26"/>
          <w:szCs w:val="26"/>
        </w:rPr>
        <w:t xml:space="preserve">stated that “consumers do bear some responsibility to make choices that are appropriate for their individual circumstances.”  </w:t>
      </w:r>
      <w:proofErr w:type="gramStart"/>
      <w:r w:rsidR="001079DC" w:rsidRPr="00E556FF">
        <w:rPr>
          <w:rFonts w:ascii="Times New Roman" w:hAnsi="Times New Roman"/>
          <w:bCs/>
          <w:i/>
          <w:sz w:val="26"/>
          <w:szCs w:val="26"/>
        </w:rPr>
        <w:t xml:space="preserve">Towne </w:t>
      </w:r>
      <w:r w:rsidR="001079DC" w:rsidRPr="00E556FF">
        <w:rPr>
          <w:rFonts w:ascii="Times New Roman" w:hAnsi="Times New Roman"/>
          <w:bCs/>
          <w:sz w:val="26"/>
          <w:szCs w:val="26"/>
        </w:rPr>
        <w:t>at 22</w:t>
      </w:r>
      <w:r w:rsidR="001079DC" w:rsidRPr="00E556FF">
        <w:rPr>
          <w:rFonts w:ascii="Times New Roman" w:hAnsi="Times New Roman"/>
          <w:bCs/>
          <w:i/>
          <w:sz w:val="26"/>
          <w:szCs w:val="26"/>
        </w:rPr>
        <w:t>.</w:t>
      </w:r>
      <w:proofErr w:type="gramEnd"/>
      <w:r w:rsidR="001079DC" w:rsidRPr="00E556FF">
        <w:rPr>
          <w:rFonts w:ascii="Times New Roman" w:hAnsi="Times New Roman"/>
          <w:bCs/>
          <w:sz w:val="26"/>
          <w:szCs w:val="26"/>
        </w:rPr>
        <w:t xml:space="preserve">  </w:t>
      </w:r>
      <w:r w:rsidR="00ED586C">
        <w:rPr>
          <w:rFonts w:ascii="Times New Roman" w:hAnsi="Times New Roman"/>
          <w:bCs/>
          <w:sz w:val="26"/>
          <w:szCs w:val="26"/>
        </w:rPr>
        <w:t xml:space="preserve">However, </w:t>
      </w:r>
      <w:r>
        <w:rPr>
          <w:rFonts w:ascii="Times New Roman" w:hAnsi="Times New Roman"/>
          <w:bCs/>
          <w:sz w:val="26"/>
          <w:szCs w:val="26"/>
        </w:rPr>
        <w:t xml:space="preserve">as we also made clear most recently in </w:t>
      </w:r>
      <w:r>
        <w:rPr>
          <w:rFonts w:ascii="Times New Roman" w:hAnsi="Times New Roman"/>
          <w:bCs/>
          <w:i/>
          <w:sz w:val="26"/>
          <w:szCs w:val="26"/>
        </w:rPr>
        <w:t>Kiback</w:t>
      </w:r>
      <w:r w:rsidRPr="005C4812">
        <w:rPr>
          <w:rFonts w:ascii="Times New Roman" w:hAnsi="Times New Roman"/>
          <w:bCs/>
          <w:sz w:val="26"/>
          <w:szCs w:val="26"/>
        </w:rPr>
        <w:t>,</w:t>
      </w:r>
      <w:r>
        <w:rPr>
          <w:rFonts w:ascii="Times New Roman" w:hAnsi="Times New Roman"/>
          <w:bCs/>
          <w:i/>
          <w:sz w:val="26"/>
          <w:szCs w:val="26"/>
        </w:rPr>
        <w:t xml:space="preserve"> </w:t>
      </w:r>
      <w:r w:rsidR="007140CA">
        <w:rPr>
          <w:rFonts w:ascii="Times New Roman" w:hAnsi="Times New Roman"/>
          <w:bCs/>
          <w:sz w:val="26"/>
          <w:szCs w:val="26"/>
        </w:rPr>
        <w:t xml:space="preserve">written disclosures </w:t>
      </w:r>
      <w:r w:rsidR="001079DC" w:rsidRPr="00E556FF">
        <w:rPr>
          <w:rFonts w:ascii="Times New Roman" w:hAnsi="Times New Roman"/>
          <w:bCs/>
          <w:sz w:val="26"/>
          <w:szCs w:val="26"/>
        </w:rPr>
        <w:t>d</w:t>
      </w:r>
      <w:r w:rsidR="00ED586C">
        <w:rPr>
          <w:rFonts w:ascii="Times New Roman" w:hAnsi="Times New Roman"/>
          <w:bCs/>
          <w:sz w:val="26"/>
          <w:szCs w:val="26"/>
        </w:rPr>
        <w:t xml:space="preserve">o not </w:t>
      </w:r>
      <w:r>
        <w:rPr>
          <w:rFonts w:ascii="Times New Roman" w:hAnsi="Times New Roman"/>
          <w:bCs/>
          <w:sz w:val="26"/>
          <w:szCs w:val="26"/>
        </w:rPr>
        <w:t xml:space="preserve">relieve </w:t>
      </w:r>
      <w:r w:rsidR="007140CA">
        <w:rPr>
          <w:rFonts w:ascii="Times New Roman" w:hAnsi="Times New Roman"/>
          <w:bCs/>
          <w:sz w:val="26"/>
          <w:szCs w:val="26"/>
        </w:rPr>
        <w:t>EGSs</w:t>
      </w:r>
      <w:r w:rsidR="00ED586C">
        <w:rPr>
          <w:rFonts w:ascii="Times New Roman" w:hAnsi="Times New Roman"/>
          <w:bCs/>
          <w:sz w:val="26"/>
          <w:szCs w:val="26"/>
        </w:rPr>
        <w:t xml:space="preserve"> </w:t>
      </w:r>
      <w:r w:rsidR="001079DC" w:rsidRPr="00E556FF">
        <w:rPr>
          <w:rFonts w:ascii="Times New Roman" w:hAnsi="Times New Roman"/>
          <w:bCs/>
          <w:sz w:val="26"/>
          <w:szCs w:val="26"/>
        </w:rPr>
        <w:t xml:space="preserve">of responsibility for </w:t>
      </w:r>
      <w:r w:rsidR="007140CA">
        <w:rPr>
          <w:rFonts w:ascii="Times New Roman" w:hAnsi="Times New Roman"/>
          <w:bCs/>
          <w:sz w:val="26"/>
          <w:szCs w:val="26"/>
        </w:rPr>
        <w:t xml:space="preserve">oral </w:t>
      </w:r>
      <w:r w:rsidR="001079DC" w:rsidRPr="00E556FF">
        <w:rPr>
          <w:rFonts w:ascii="Times New Roman" w:hAnsi="Times New Roman"/>
          <w:bCs/>
          <w:sz w:val="26"/>
          <w:szCs w:val="26"/>
        </w:rPr>
        <w:t xml:space="preserve">misrepresentations by </w:t>
      </w:r>
      <w:r w:rsidR="007140CA">
        <w:rPr>
          <w:rFonts w:ascii="Times New Roman" w:hAnsi="Times New Roman"/>
          <w:bCs/>
          <w:sz w:val="26"/>
          <w:szCs w:val="26"/>
        </w:rPr>
        <w:t xml:space="preserve">their </w:t>
      </w:r>
      <w:r w:rsidR="001079DC" w:rsidRPr="00E556FF">
        <w:rPr>
          <w:rFonts w:ascii="Times New Roman" w:hAnsi="Times New Roman"/>
          <w:bCs/>
          <w:sz w:val="26"/>
          <w:szCs w:val="26"/>
        </w:rPr>
        <w:t>sales agent</w:t>
      </w:r>
      <w:r w:rsidR="007140CA">
        <w:rPr>
          <w:rFonts w:ascii="Times New Roman" w:hAnsi="Times New Roman"/>
          <w:bCs/>
          <w:sz w:val="26"/>
          <w:szCs w:val="26"/>
        </w:rPr>
        <w:t>s</w:t>
      </w:r>
      <w:r w:rsidR="001079DC" w:rsidRPr="00E556FF">
        <w:rPr>
          <w:rFonts w:ascii="Times New Roman" w:hAnsi="Times New Roman"/>
          <w:bCs/>
          <w:sz w:val="26"/>
          <w:szCs w:val="26"/>
        </w:rPr>
        <w:t xml:space="preserve">.  </w:t>
      </w:r>
      <w:r w:rsidR="00EA456F">
        <w:rPr>
          <w:rFonts w:ascii="Times New Roman" w:hAnsi="Times New Roman"/>
          <w:bCs/>
          <w:sz w:val="26"/>
          <w:szCs w:val="26"/>
        </w:rPr>
        <w:t>W</w:t>
      </w:r>
      <w:r>
        <w:rPr>
          <w:rFonts w:ascii="Times New Roman" w:hAnsi="Times New Roman"/>
          <w:bCs/>
          <w:sz w:val="26"/>
          <w:szCs w:val="26"/>
        </w:rPr>
        <w:t xml:space="preserve">e concluded </w:t>
      </w:r>
      <w:r w:rsidR="007140CA">
        <w:rPr>
          <w:rFonts w:ascii="Times New Roman" w:hAnsi="Times New Roman"/>
          <w:bCs/>
          <w:sz w:val="26"/>
          <w:szCs w:val="26"/>
        </w:rPr>
        <w:t xml:space="preserve">in </w:t>
      </w:r>
      <w:r w:rsidR="007140CA" w:rsidRPr="007140CA">
        <w:rPr>
          <w:rFonts w:ascii="Times New Roman" w:hAnsi="Times New Roman"/>
          <w:bCs/>
          <w:i/>
          <w:sz w:val="26"/>
          <w:szCs w:val="26"/>
        </w:rPr>
        <w:t>Towne</w:t>
      </w:r>
      <w:r w:rsidR="00EA456F">
        <w:rPr>
          <w:rFonts w:ascii="Times New Roman" w:hAnsi="Times New Roman"/>
          <w:bCs/>
          <w:sz w:val="26"/>
          <w:szCs w:val="26"/>
        </w:rPr>
        <w:t xml:space="preserve"> that</w:t>
      </w:r>
      <w:r w:rsidR="007140CA">
        <w:rPr>
          <w:rFonts w:ascii="Times New Roman" w:hAnsi="Times New Roman"/>
          <w:bCs/>
          <w:sz w:val="26"/>
          <w:szCs w:val="26"/>
        </w:rPr>
        <w:t xml:space="preserve"> </w:t>
      </w:r>
      <w:r>
        <w:rPr>
          <w:rFonts w:ascii="Times New Roman" w:hAnsi="Times New Roman"/>
          <w:bCs/>
          <w:sz w:val="26"/>
          <w:szCs w:val="26"/>
        </w:rPr>
        <w:t xml:space="preserve">in order for </w:t>
      </w:r>
      <w:r w:rsidR="001079DC" w:rsidRPr="00E556FF">
        <w:rPr>
          <w:rFonts w:ascii="Times New Roman" w:hAnsi="Times New Roman"/>
          <w:bCs/>
          <w:sz w:val="26"/>
          <w:szCs w:val="26"/>
        </w:rPr>
        <w:t xml:space="preserve">Pennsylvania’s </w:t>
      </w:r>
      <w:r>
        <w:rPr>
          <w:rFonts w:ascii="Times New Roman" w:hAnsi="Times New Roman"/>
          <w:bCs/>
          <w:sz w:val="26"/>
          <w:szCs w:val="26"/>
        </w:rPr>
        <w:t xml:space="preserve">competitive </w:t>
      </w:r>
      <w:r w:rsidR="001079DC" w:rsidRPr="00E556FF">
        <w:rPr>
          <w:rFonts w:ascii="Times New Roman" w:hAnsi="Times New Roman"/>
          <w:bCs/>
          <w:sz w:val="26"/>
          <w:szCs w:val="26"/>
        </w:rPr>
        <w:t>retail electric market to succeed</w:t>
      </w:r>
      <w:r>
        <w:rPr>
          <w:rFonts w:ascii="Times New Roman" w:hAnsi="Times New Roman"/>
          <w:bCs/>
          <w:sz w:val="26"/>
          <w:szCs w:val="26"/>
        </w:rPr>
        <w:t xml:space="preserve">, we must continue to send clear and unequivocal messages to EGSs that </w:t>
      </w:r>
      <w:r w:rsidR="009058C4">
        <w:rPr>
          <w:rFonts w:ascii="Times New Roman" w:hAnsi="Times New Roman"/>
          <w:bCs/>
          <w:sz w:val="26"/>
          <w:szCs w:val="26"/>
        </w:rPr>
        <w:t>egregious and deceptive behavior will not be accepted</w:t>
      </w:r>
      <w:r w:rsidR="007140CA">
        <w:rPr>
          <w:rFonts w:ascii="Times New Roman" w:hAnsi="Times New Roman"/>
          <w:bCs/>
          <w:sz w:val="26"/>
          <w:szCs w:val="26"/>
        </w:rPr>
        <w:t xml:space="preserve">.  </w:t>
      </w:r>
      <w:r w:rsidR="007140CA">
        <w:rPr>
          <w:rFonts w:ascii="Times New Roman" w:hAnsi="Times New Roman"/>
          <w:bCs/>
          <w:i/>
          <w:sz w:val="26"/>
          <w:szCs w:val="26"/>
        </w:rPr>
        <w:t>Id.</w:t>
      </w:r>
      <w:r w:rsidR="009058C4">
        <w:rPr>
          <w:rFonts w:ascii="Times New Roman" w:hAnsi="Times New Roman"/>
          <w:bCs/>
          <w:sz w:val="26"/>
          <w:szCs w:val="26"/>
        </w:rPr>
        <w:t xml:space="preserve"> </w:t>
      </w:r>
      <w:r w:rsidR="007140CA">
        <w:rPr>
          <w:rFonts w:ascii="Times New Roman" w:hAnsi="Times New Roman"/>
          <w:bCs/>
          <w:sz w:val="26"/>
          <w:szCs w:val="26"/>
        </w:rPr>
        <w:t xml:space="preserve"> </w:t>
      </w:r>
      <w:r w:rsidR="00321C58">
        <w:rPr>
          <w:rFonts w:ascii="Times New Roman" w:hAnsi="Times New Roman"/>
          <w:bCs/>
          <w:sz w:val="26"/>
          <w:szCs w:val="26"/>
        </w:rPr>
        <w:t xml:space="preserve">We also </w:t>
      </w:r>
      <w:r w:rsidR="007140CA">
        <w:rPr>
          <w:rFonts w:ascii="Times New Roman" w:hAnsi="Times New Roman"/>
          <w:bCs/>
          <w:sz w:val="26"/>
          <w:szCs w:val="26"/>
        </w:rPr>
        <w:t xml:space="preserve">made clear in </w:t>
      </w:r>
      <w:r w:rsidR="007140CA" w:rsidRPr="007140CA">
        <w:rPr>
          <w:rFonts w:ascii="Times New Roman" w:hAnsi="Times New Roman"/>
          <w:bCs/>
          <w:i/>
          <w:sz w:val="26"/>
          <w:szCs w:val="26"/>
        </w:rPr>
        <w:t>Kiback</w:t>
      </w:r>
      <w:r w:rsidR="00321C58">
        <w:rPr>
          <w:rFonts w:ascii="Times New Roman" w:hAnsi="Times New Roman"/>
          <w:bCs/>
          <w:sz w:val="26"/>
          <w:szCs w:val="26"/>
        </w:rPr>
        <w:t xml:space="preserve"> that</w:t>
      </w:r>
      <w:r w:rsidR="007140CA">
        <w:rPr>
          <w:rFonts w:ascii="Times New Roman" w:hAnsi="Times New Roman"/>
          <w:bCs/>
          <w:sz w:val="26"/>
          <w:szCs w:val="26"/>
        </w:rPr>
        <w:t xml:space="preserve"> “[t]</w:t>
      </w:r>
      <w:r w:rsidR="009058C4">
        <w:rPr>
          <w:rFonts w:ascii="Times New Roman" w:hAnsi="Times New Roman"/>
          <w:bCs/>
          <w:sz w:val="26"/>
          <w:szCs w:val="26"/>
        </w:rPr>
        <w:t xml:space="preserve">he fairness and integrity of a successful </w:t>
      </w:r>
      <w:r w:rsidR="009A445B">
        <w:rPr>
          <w:rFonts w:ascii="Times New Roman" w:hAnsi="Times New Roman"/>
          <w:bCs/>
          <w:sz w:val="26"/>
          <w:szCs w:val="26"/>
        </w:rPr>
        <w:t xml:space="preserve">competitive </w:t>
      </w:r>
      <w:r w:rsidR="009058C4">
        <w:rPr>
          <w:rFonts w:ascii="Times New Roman" w:hAnsi="Times New Roman"/>
          <w:bCs/>
          <w:sz w:val="26"/>
          <w:szCs w:val="26"/>
        </w:rPr>
        <w:t>market is depends on a well-informed</w:t>
      </w:r>
      <w:r w:rsidR="007140CA">
        <w:rPr>
          <w:rFonts w:ascii="Times New Roman" w:hAnsi="Times New Roman"/>
          <w:bCs/>
          <w:sz w:val="26"/>
          <w:szCs w:val="26"/>
        </w:rPr>
        <w:t xml:space="preserve"> consuming </w:t>
      </w:r>
      <w:r w:rsidR="007140CA">
        <w:rPr>
          <w:rFonts w:ascii="Times New Roman" w:hAnsi="Times New Roman"/>
          <w:bCs/>
          <w:sz w:val="26"/>
          <w:szCs w:val="26"/>
        </w:rPr>
        <w:lastRenderedPageBreak/>
        <w:t>public</w:t>
      </w:r>
      <w:r w:rsidR="009058C4">
        <w:rPr>
          <w:rFonts w:ascii="Times New Roman" w:hAnsi="Times New Roman"/>
          <w:bCs/>
          <w:sz w:val="26"/>
          <w:szCs w:val="26"/>
        </w:rPr>
        <w:t>.</w:t>
      </w:r>
      <w:r w:rsidR="007140CA">
        <w:rPr>
          <w:rFonts w:ascii="Times New Roman" w:hAnsi="Times New Roman"/>
          <w:bCs/>
          <w:sz w:val="26"/>
          <w:szCs w:val="26"/>
        </w:rPr>
        <w:t>”</w:t>
      </w:r>
      <w:r w:rsidR="009058C4">
        <w:rPr>
          <w:rFonts w:ascii="Times New Roman" w:hAnsi="Times New Roman"/>
          <w:bCs/>
          <w:sz w:val="26"/>
          <w:szCs w:val="26"/>
        </w:rPr>
        <w:t xml:space="preserve">  </w:t>
      </w:r>
      <w:proofErr w:type="gramStart"/>
      <w:r>
        <w:rPr>
          <w:rFonts w:ascii="Times New Roman" w:hAnsi="Times New Roman"/>
          <w:bCs/>
          <w:i/>
          <w:sz w:val="26"/>
          <w:szCs w:val="26"/>
        </w:rPr>
        <w:t xml:space="preserve">Kiback </w:t>
      </w:r>
      <w:r>
        <w:rPr>
          <w:rFonts w:ascii="Times New Roman" w:hAnsi="Times New Roman"/>
          <w:bCs/>
          <w:sz w:val="26"/>
          <w:szCs w:val="26"/>
        </w:rPr>
        <w:t xml:space="preserve">at </w:t>
      </w:r>
      <w:r w:rsidR="009058C4">
        <w:rPr>
          <w:rFonts w:ascii="Times New Roman" w:hAnsi="Times New Roman"/>
          <w:bCs/>
          <w:sz w:val="26"/>
          <w:szCs w:val="26"/>
        </w:rPr>
        <w:t>34.</w:t>
      </w:r>
      <w:proofErr w:type="gramEnd"/>
      <w:r w:rsidR="009058C4">
        <w:rPr>
          <w:rFonts w:ascii="Times New Roman" w:hAnsi="Times New Roman"/>
          <w:bCs/>
          <w:sz w:val="26"/>
          <w:szCs w:val="26"/>
        </w:rPr>
        <w:t xml:space="preserve">  In this case, we agree with the ALJ that </w:t>
      </w:r>
      <w:r w:rsidR="0090344B">
        <w:rPr>
          <w:rFonts w:ascii="Times New Roman" w:hAnsi="Times New Roman"/>
          <w:bCs/>
          <w:sz w:val="26"/>
          <w:szCs w:val="26"/>
        </w:rPr>
        <w:t>Respond</w:t>
      </w:r>
      <w:r w:rsidR="001079DC" w:rsidRPr="00E556FF">
        <w:rPr>
          <w:rFonts w:ascii="Times New Roman" w:hAnsi="Times New Roman"/>
          <w:bCs/>
          <w:sz w:val="26"/>
          <w:szCs w:val="26"/>
        </w:rPr>
        <w:t>’s sales and marketing statements</w:t>
      </w:r>
      <w:r w:rsidR="009058C4">
        <w:rPr>
          <w:rFonts w:ascii="Times New Roman" w:hAnsi="Times New Roman"/>
          <w:bCs/>
          <w:sz w:val="26"/>
          <w:szCs w:val="26"/>
        </w:rPr>
        <w:t xml:space="preserve"> wrongly led </w:t>
      </w:r>
      <w:r w:rsidR="001079DC" w:rsidRPr="00E556FF">
        <w:rPr>
          <w:rFonts w:ascii="Times New Roman" w:hAnsi="Times New Roman"/>
          <w:bCs/>
          <w:sz w:val="26"/>
          <w:szCs w:val="26"/>
        </w:rPr>
        <w:t xml:space="preserve">Mr. Herp </w:t>
      </w:r>
      <w:r w:rsidR="009058C4">
        <w:rPr>
          <w:rFonts w:ascii="Times New Roman" w:hAnsi="Times New Roman"/>
          <w:bCs/>
          <w:sz w:val="26"/>
          <w:szCs w:val="26"/>
        </w:rPr>
        <w:t>t</w:t>
      </w:r>
      <w:r w:rsidR="0090344B">
        <w:rPr>
          <w:rFonts w:ascii="Times New Roman" w:hAnsi="Times New Roman"/>
          <w:bCs/>
          <w:sz w:val="26"/>
          <w:szCs w:val="26"/>
        </w:rPr>
        <w:t xml:space="preserve">o switch to Respond </w:t>
      </w:r>
      <w:r w:rsidR="001079DC" w:rsidRPr="00E556FF">
        <w:rPr>
          <w:rFonts w:ascii="Times New Roman" w:hAnsi="Times New Roman"/>
          <w:bCs/>
          <w:sz w:val="26"/>
          <w:szCs w:val="26"/>
        </w:rPr>
        <w:t xml:space="preserve">based on expectations </w:t>
      </w:r>
      <w:r w:rsidR="00321C58">
        <w:rPr>
          <w:rFonts w:ascii="Times New Roman" w:hAnsi="Times New Roman"/>
          <w:bCs/>
          <w:sz w:val="26"/>
          <w:szCs w:val="26"/>
        </w:rPr>
        <w:t xml:space="preserve">he would receive </w:t>
      </w:r>
      <w:r w:rsidR="001079DC" w:rsidRPr="00E556FF">
        <w:rPr>
          <w:rFonts w:ascii="Times New Roman" w:hAnsi="Times New Roman"/>
          <w:bCs/>
          <w:sz w:val="26"/>
          <w:szCs w:val="26"/>
        </w:rPr>
        <w:t xml:space="preserve">a variable rate that would </w:t>
      </w:r>
      <w:r w:rsidR="00321C58">
        <w:rPr>
          <w:rFonts w:ascii="Times New Roman" w:hAnsi="Times New Roman"/>
          <w:bCs/>
          <w:sz w:val="26"/>
          <w:szCs w:val="26"/>
        </w:rPr>
        <w:t>be capped at</w:t>
      </w:r>
      <w:r w:rsidR="001079DC" w:rsidRPr="00E556FF">
        <w:rPr>
          <w:rFonts w:ascii="Times New Roman" w:hAnsi="Times New Roman"/>
          <w:bCs/>
          <w:sz w:val="26"/>
          <w:szCs w:val="26"/>
        </w:rPr>
        <w:t xml:space="preserve"> West Penn’s </w:t>
      </w:r>
      <w:r w:rsidR="00321C58">
        <w:rPr>
          <w:rFonts w:ascii="Times New Roman" w:hAnsi="Times New Roman"/>
          <w:bCs/>
          <w:sz w:val="26"/>
          <w:szCs w:val="26"/>
        </w:rPr>
        <w:t>PTC</w:t>
      </w:r>
      <w:r w:rsidR="009058C4">
        <w:rPr>
          <w:rFonts w:ascii="Times New Roman" w:hAnsi="Times New Roman"/>
          <w:bCs/>
          <w:sz w:val="26"/>
          <w:szCs w:val="26"/>
        </w:rPr>
        <w:t xml:space="preserve">, and then Respond failed to bill Mr. Herp </w:t>
      </w:r>
      <w:r w:rsidR="00321C58">
        <w:rPr>
          <w:rFonts w:ascii="Times New Roman" w:hAnsi="Times New Roman"/>
          <w:bCs/>
          <w:sz w:val="26"/>
          <w:szCs w:val="26"/>
        </w:rPr>
        <w:t>accordingly</w:t>
      </w:r>
      <w:r w:rsidR="009058C4">
        <w:rPr>
          <w:rFonts w:ascii="Times New Roman" w:hAnsi="Times New Roman"/>
          <w:bCs/>
          <w:sz w:val="26"/>
          <w:szCs w:val="26"/>
        </w:rPr>
        <w:t xml:space="preserve">, </w:t>
      </w:r>
      <w:r w:rsidR="00321C58">
        <w:rPr>
          <w:rFonts w:ascii="Times New Roman" w:hAnsi="Times New Roman"/>
          <w:bCs/>
          <w:sz w:val="26"/>
          <w:szCs w:val="26"/>
        </w:rPr>
        <w:t>v</w:t>
      </w:r>
      <w:r w:rsidR="009058C4">
        <w:rPr>
          <w:rFonts w:ascii="Times New Roman" w:hAnsi="Times New Roman"/>
          <w:bCs/>
          <w:sz w:val="26"/>
          <w:szCs w:val="26"/>
        </w:rPr>
        <w:t>iolatin</w:t>
      </w:r>
      <w:r w:rsidR="00321C58">
        <w:rPr>
          <w:rFonts w:ascii="Times New Roman" w:hAnsi="Times New Roman"/>
          <w:bCs/>
          <w:sz w:val="26"/>
          <w:szCs w:val="26"/>
        </w:rPr>
        <w:t>g</w:t>
      </w:r>
      <w:r w:rsidR="009058C4">
        <w:rPr>
          <w:rFonts w:ascii="Times New Roman" w:hAnsi="Times New Roman"/>
          <w:bCs/>
          <w:sz w:val="26"/>
          <w:szCs w:val="26"/>
        </w:rPr>
        <w:t xml:space="preserve"> our Regulations</w:t>
      </w:r>
      <w:r w:rsidR="001079DC" w:rsidRPr="00E556FF">
        <w:rPr>
          <w:rFonts w:ascii="Times New Roman" w:hAnsi="Times New Roman"/>
          <w:bCs/>
          <w:sz w:val="26"/>
          <w:szCs w:val="26"/>
        </w:rPr>
        <w:t>.</w:t>
      </w:r>
    </w:p>
    <w:p w:rsidR="009058C4" w:rsidRDefault="009058C4" w:rsidP="009058C4">
      <w:pPr>
        <w:ind w:firstLine="1440"/>
        <w:rPr>
          <w:rFonts w:ascii="Times New Roman" w:hAnsi="Times New Roman"/>
          <w:bCs/>
          <w:sz w:val="26"/>
          <w:szCs w:val="26"/>
        </w:rPr>
      </w:pPr>
    </w:p>
    <w:p w:rsidR="001079DC" w:rsidRPr="0022192A" w:rsidRDefault="00321C58" w:rsidP="009058C4">
      <w:pPr>
        <w:ind w:firstLine="1440"/>
        <w:rPr>
          <w:sz w:val="26"/>
          <w:szCs w:val="26"/>
        </w:rPr>
      </w:pPr>
      <w:r>
        <w:rPr>
          <w:rFonts w:ascii="Times New Roman" w:hAnsi="Times New Roman"/>
          <w:bCs/>
          <w:sz w:val="26"/>
          <w:szCs w:val="26"/>
        </w:rPr>
        <w:t>For all these reasons</w:t>
      </w:r>
      <w:r w:rsidR="009058C4">
        <w:rPr>
          <w:rFonts w:ascii="Times New Roman" w:hAnsi="Times New Roman"/>
          <w:bCs/>
          <w:sz w:val="26"/>
          <w:szCs w:val="26"/>
        </w:rPr>
        <w:t>, we grant, in part, and deny, in part, Respond’s Exception No.</w:t>
      </w:r>
      <w:r w:rsidR="007140CA">
        <w:rPr>
          <w:rFonts w:ascii="Times New Roman" w:hAnsi="Times New Roman"/>
          <w:bCs/>
          <w:sz w:val="26"/>
          <w:szCs w:val="26"/>
        </w:rPr>
        <w:t> </w:t>
      </w:r>
      <w:r w:rsidR="009058C4">
        <w:rPr>
          <w:rFonts w:ascii="Times New Roman" w:hAnsi="Times New Roman"/>
          <w:bCs/>
          <w:sz w:val="26"/>
          <w:szCs w:val="26"/>
        </w:rPr>
        <w:t xml:space="preserve">4, </w:t>
      </w:r>
      <w:r w:rsidR="007140CA">
        <w:rPr>
          <w:rFonts w:ascii="Times New Roman" w:hAnsi="Times New Roman"/>
          <w:bCs/>
          <w:sz w:val="26"/>
          <w:szCs w:val="26"/>
        </w:rPr>
        <w:t xml:space="preserve">by </w:t>
      </w:r>
      <w:r w:rsidR="009058C4">
        <w:rPr>
          <w:rFonts w:ascii="Times New Roman" w:hAnsi="Times New Roman"/>
          <w:bCs/>
          <w:sz w:val="26"/>
          <w:szCs w:val="26"/>
        </w:rPr>
        <w:t>adopt</w:t>
      </w:r>
      <w:r w:rsidR="007140CA">
        <w:rPr>
          <w:rFonts w:ascii="Times New Roman" w:hAnsi="Times New Roman"/>
          <w:bCs/>
          <w:sz w:val="26"/>
          <w:szCs w:val="26"/>
        </w:rPr>
        <w:t>ing</w:t>
      </w:r>
      <w:r w:rsidR="009058C4">
        <w:rPr>
          <w:rFonts w:ascii="Times New Roman" w:hAnsi="Times New Roman"/>
          <w:bCs/>
          <w:sz w:val="26"/>
          <w:szCs w:val="26"/>
        </w:rPr>
        <w:t xml:space="preserve"> those portions of the ALJ’s Initial Decision that found violations of Section</w:t>
      </w:r>
      <w:r w:rsidR="007140CA">
        <w:rPr>
          <w:rFonts w:ascii="Times New Roman" w:hAnsi="Times New Roman"/>
          <w:bCs/>
          <w:sz w:val="26"/>
          <w:szCs w:val="26"/>
        </w:rPr>
        <w:t>s</w:t>
      </w:r>
      <w:r w:rsidR="009058C4">
        <w:rPr>
          <w:rFonts w:ascii="Times New Roman" w:hAnsi="Times New Roman"/>
          <w:bCs/>
          <w:sz w:val="26"/>
          <w:szCs w:val="26"/>
        </w:rPr>
        <w:t xml:space="preserve"> 54.4(a), 54.7(a), and 54.43(1)(f) of our Regulations, 52 Pa. Code §§ 54.4(a), 54.7(a), and 54.43(1)(f), and also find</w:t>
      </w:r>
      <w:r w:rsidR="007140CA">
        <w:rPr>
          <w:rFonts w:ascii="Times New Roman" w:hAnsi="Times New Roman"/>
          <w:bCs/>
          <w:sz w:val="26"/>
          <w:szCs w:val="26"/>
        </w:rPr>
        <w:t>ing</w:t>
      </w:r>
      <w:r w:rsidR="009058C4">
        <w:rPr>
          <w:rFonts w:ascii="Times New Roman" w:hAnsi="Times New Roman"/>
          <w:bCs/>
          <w:sz w:val="26"/>
          <w:szCs w:val="26"/>
        </w:rPr>
        <w:t xml:space="preserve"> </w:t>
      </w:r>
      <w:r w:rsidR="009058C4">
        <w:rPr>
          <w:rFonts w:ascii="Times New Roman" w:hAnsi="Times New Roman"/>
          <w:bCs/>
          <w:i/>
          <w:sz w:val="26"/>
          <w:szCs w:val="26"/>
        </w:rPr>
        <w:t>sua sponte</w:t>
      </w:r>
      <w:r w:rsidR="009058C4">
        <w:rPr>
          <w:rFonts w:ascii="Times New Roman" w:hAnsi="Times New Roman"/>
          <w:bCs/>
          <w:sz w:val="26"/>
          <w:szCs w:val="26"/>
        </w:rPr>
        <w:t xml:space="preserve"> a violation of Section 54.122(3) of our Regulations</w:t>
      </w:r>
      <w:r w:rsidR="007140CA">
        <w:rPr>
          <w:rFonts w:ascii="Times New Roman" w:hAnsi="Times New Roman"/>
          <w:bCs/>
          <w:sz w:val="26"/>
          <w:szCs w:val="26"/>
        </w:rPr>
        <w:t>, 52 Pa. Code § 54.122(3), and rejecting the ALJ’s finding violations of Sections 54.5(c)(10), 54.42, 54.43(1)(g), and various Sections of Chapter 111</w:t>
      </w:r>
      <w:r w:rsidR="008A78DD">
        <w:rPr>
          <w:rFonts w:ascii="Times New Roman" w:hAnsi="Times New Roman"/>
          <w:bCs/>
          <w:sz w:val="26"/>
          <w:szCs w:val="26"/>
        </w:rPr>
        <w:t xml:space="preserve"> or our Regulations, 52 Pa. Code §§ 54.5(c)(10), 54.42, 54.43(1)(g), and Chapter 111</w:t>
      </w:r>
      <w:r w:rsidR="007140CA">
        <w:rPr>
          <w:rFonts w:ascii="Times New Roman" w:hAnsi="Times New Roman"/>
          <w:bCs/>
          <w:sz w:val="26"/>
          <w:szCs w:val="26"/>
        </w:rPr>
        <w:t>.</w:t>
      </w:r>
    </w:p>
    <w:p w:rsidR="001079DC" w:rsidRPr="0022192A" w:rsidRDefault="001079DC" w:rsidP="001079DC">
      <w:pPr>
        <w:pStyle w:val="BodyFirst1SS"/>
        <w:spacing w:line="360" w:lineRule="auto"/>
        <w:ind w:left="1440" w:firstLine="0"/>
        <w:jc w:val="left"/>
        <w:rPr>
          <w:sz w:val="26"/>
          <w:szCs w:val="26"/>
        </w:rPr>
      </w:pPr>
    </w:p>
    <w:p w:rsidR="006645CA" w:rsidRPr="005E33C2" w:rsidRDefault="006645CA" w:rsidP="00F531DC">
      <w:pPr>
        <w:pStyle w:val="BodyFirst1SS"/>
        <w:keepNext/>
        <w:keepLines/>
        <w:spacing w:line="360" w:lineRule="auto"/>
        <w:ind w:firstLine="0"/>
        <w:jc w:val="left"/>
        <w:rPr>
          <w:sz w:val="26"/>
          <w:szCs w:val="26"/>
        </w:rPr>
      </w:pPr>
      <w:r w:rsidRPr="00DE68FB">
        <w:rPr>
          <w:b/>
          <w:sz w:val="26"/>
          <w:szCs w:val="26"/>
        </w:rPr>
        <w:tab/>
      </w:r>
      <w:r w:rsidR="001946EE">
        <w:rPr>
          <w:b/>
          <w:sz w:val="26"/>
          <w:szCs w:val="26"/>
        </w:rPr>
        <w:t>5.</w:t>
      </w:r>
      <w:r w:rsidR="001946EE">
        <w:rPr>
          <w:b/>
          <w:sz w:val="26"/>
          <w:szCs w:val="26"/>
        </w:rPr>
        <w:tab/>
      </w:r>
      <w:r w:rsidR="0048543A">
        <w:rPr>
          <w:b/>
          <w:sz w:val="26"/>
          <w:szCs w:val="26"/>
        </w:rPr>
        <w:t>Respond Exception No. 5</w:t>
      </w:r>
      <w:r w:rsidRPr="00DE68FB">
        <w:rPr>
          <w:b/>
          <w:sz w:val="26"/>
          <w:szCs w:val="26"/>
        </w:rPr>
        <w:t xml:space="preserve"> – Relevant Penalty Factors</w:t>
      </w:r>
    </w:p>
    <w:p w:rsidR="00064DA6" w:rsidRPr="005E33C2" w:rsidRDefault="00064DA6" w:rsidP="00F531DC">
      <w:pPr>
        <w:pStyle w:val="BodyFirst1SS"/>
        <w:keepNext/>
        <w:keepLines/>
        <w:spacing w:line="360" w:lineRule="auto"/>
        <w:ind w:firstLine="0"/>
        <w:jc w:val="left"/>
        <w:rPr>
          <w:sz w:val="26"/>
          <w:szCs w:val="26"/>
        </w:rPr>
      </w:pPr>
    </w:p>
    <w:p w:rsidR="00064DA6" w:rsidRPr="005E33C2" w:rsidRDefault="001946EE" w:rsidP="00F531DC">
      <w:pPr>
        <w:keepNext/>
        <w:keepLines/>
        <w:ind w:left="720" w:firstLine="720"/>
        <w:rPr>
          <w:rFonts w:ascii="Times New Roman" w:hAnsi="Times New Roman"/>
          <w:sz w:val="26"/>
          <w:szCs w:val="26"/>
        </w:rPr>
      </w:pPr>
      <w:r>
        <w:rPr>
          <w:rFonts w:ascii="Times New Roman" w:hAnsi="Times New Roman"/>
          <w:b/>
          <w:sz w:val="26"/>
          <w:szCs w:val="26"/>
        </w:rPr>
        <w:t>a.</w:t>
      </w:r>
      <w:r>
        <w:rPr>
          <w:rFonts w:ascii="Times New Roman" w:hAnsi="Times New Roman"/>
          <w:b/>
          <w:sz w:val="26"/>
          <w:szCs w:val="26"/>
        </w:rPr>
        <w:tab/>
      </w:r>
      <w:r w:rsidR="00064DA6" w:rsidRPr="0048543A">
        <w:rPr>
          <w:rFonts w:ascii="Times New Roman" w:hAnsi="Times New Roman"/>
          <w:b/>
          <w:sz w:val="26"/>
          <w:szCs w:val="26"/>
        </w:rPr>
        <w:t xml:space="preserve">ALJ’s </w:t>
      </w:r>
      <w:r w:rsidR="009A445B">
        <w:rPr>
          <w:rFonts w:ascii="Times New Roman" w:hAnsi="Times New Roman"/>
          <w:b/>
          <w:sz w:val="26"/>
          <w:szCs w:val="26"/>
        </w:rPr>
        <w:t>Initial Decision</w:t>
      </w:r>
    </w:p>
    <w:p w:rsidR="00064DA6" w:rsidRPr="00E02309" w:rsidRDefault="00064DA6" w:rsidP="00F531DC">
      <w:pPr>
        <w:keepNext/>
        <w:keepLines/>
        <w:rPr>
          <w:rFonts w:ascii="Times New Roman" w:hAnsi="Times New Roman"/>
          <w:sz w:val="26"/>
          <w:szCs w:val="26"/>
        </w:rPr>
      </w:pPr>
    </w:p>
    <w:p w:rsidR="0002464A" w:rsidRDefault="00B07B91" w:rsidP="008F3CDE">
      <w:pPr>
        <w:ind w:firstLine="1440"/>
        <w:rPr>
          <w:rFonts w:ascii="Times New Roman" w:hAnsi="Times New Roman"/>
          <w:sz w:val="26"/>
          <w:szCs w:val="26"/>
        </w:rPr>
      </w:pPr>
      <w:r>
        <w:rPr>
          <w:rFonts w:ascii="Times New Roman" w:hAnsi="Times New Roman"/>
          <w:snapToGrid w:val="0"/>
          <w:sz w:val="26"/>
          <w:szCs w:val="26"/>
        </w:rPr>
        <w:t xml:space="preserve">The ALJ agreed with </w:t>
      </w:r>
      <w:r w:rsidRPr="00B07B91">
        <w:rPr>
          <w:rFonts w:ascii="Times New Roman" w:hAnsi="Times New Roman"/>
          <w:snapToGrid w:val="0"/>
          <w:sz w:val="26"/>
          <w:szCs w:val="26"/>
        </w:rPr>
        <w:t xml:space="preserve">the Complainant and the OCA that a civil penalty </w:t>
      </w:r>
      <w:r>
        <w:rPr>
          <w:rFonts w:ascii="Times New Roman" w:hAnsi="Times New Roman"/>
          <w:snapToGrid w:val="0"/>
          <w:sz w:val="26"/>
          <w:szCs w:val="26"/>
        </w:rPr>
        <w:t>was</w:t>
      </w:r>
      <w:r w:rsidRPr="00B07B91">
        <w:rPr>
          <w:rFonts w:ascii="Times New Roman" w:hAnsi="Times New Roman"/>
          <w:snapToGrid w:val="0"/>
          <w:sz w:val="26"/>
          <w:szCs w:val="26"/>
        </w:rPr>
        <w:t xml:space="preserve"> appropriate.  </w:t>
      </w:r>
      <w:r w:rsidR="008F3CDE">
        <w:rPr>
          <w:rFonts w:ascii="Times New Roman" w:hAnsi="Times New Roman"/>
          <w:snapToGrid w:val="0"/>
          <w:sz w:val="26"/>
          <w:szCs w:val="26"/>
        </w:rPr>
        <w:t xml:space="preserve">Under authority of </w:t>
      </w:r>
      <w:r w:rsidR="00064DA6" w:rsidRPr="00466E85">
        <w:rPr>
          <w:rFonts w:ascii="Times New Roman" w:hAnsi="Times New Roman"/>
          <w:snapToGrid w:val="0"/>
          <w:sz w:val="26"/>
          <w:szCs w:val="26"/>
        </w:rPr>
        <w:t>Sec</w:t>
      </w:r>
      <w:r w:rsidR="00466E85">
        <w:rPr>
          <w:rFonts w:ascii="Times New Roman" w:hAnsi="Times New Roman"/>
          <w:snapToGrid w:val="0"/>
          <w:sz w:val="26"/>
          <w:szCs w:val="26"/>
        </w:rPr>
        <w:t xml:space="preserve">tion 3301 of the </w:t>
      </w:r>
      <w:r w:rsidR="00064DA6" w:rsidRPr="00466E85">
        <w:rPr>
          <w:rFonts w:ascii="Times New Roman" w:hAnsi="Times New Roman"/>
          <w:snapToGrid w:val="0"/>
          <w:sz w:val="26"/>
          <w:szCs w:val="26"/>
        </w:rPr>
        <w:t>Code</w:t>
      </w:r>
      <w:r w:rsidR="008F3CDE">
        <w:rPr>
          <w:rFonts w:ascii="Times New Roman" w:hAnsi="Times New Roman"/>
          <w:snapToGrid w:val="0"/>
          <w:sz w:val="26"/>
          <w:szCs w:val="26"/>
        </w:rPr>
        <w:t xml:space="preserve">, 66 Pa. C.S. § 3301, the ALJ determined that a </w:t>
      </w:r>
      <w:r w:rsidR="00BD3A1F">
        <w:rPr>
          <w:rFonts w:ascii="Times New Roman" w:hAnsi="Times New Roman"/>
          <w:snapToGrid w:val="0"/>
          <w:sz w:val="26"/>
          <w:szCs w:val="26"/>
        </w:rPr>
        <w:t xml:space="preserve">$10,000 </w:t>
      </w:r>
      <w:r w:rsidR="008F3CDE">
        <w:rPr>
          <w:rFonts w:ascii="Times New Roman" w:hAnsi="Times New Roman"/>
          <w:snapToGrid w:val="0"/>
          <w:sz w:val="26"/>
          <w:szCs w:val="26"/>
        </w:rPr>
        <w:t xml:space="preserve">penalty was </w:t>
      </w:r>
      <w:r w:rsidR="00BD3A1F">
        <w:rPr>
          <w:rFonts w:ascii="Times New Roman" w:hAnsi="Times New Roman"/>
          <w:snapToGrid w:val="0"/>
          <w:sz w:val="26"/>
          <w:szCs w:val="26"/>
        </w:rPr>
        <w:t xml:space="preserve">warranted and was </w:t>
      </w:r>
      <w:r w:rsidR="008F3CDE">
        <w:rPr>
          <w:rFonts w:ascii="Times New Roman" w:hAnsi="Times New Roman"/>
          <w:snapToGrid w:val="0"/>
          <w:sz w:val="26"/>
          <w:szCs w:val="26"/>
        </w:rPr>
        <w:t xml:space="preserve">sufficient to put the competitive market providers on notice of the importance of compliance with our Regulations.  The ALJ determined the amount of civil penalty after considering our policy statement </w:t>
      </w:r>
      <w:r w:rsidR="00BD6C09">
        <w:rPr>
          <w:rFonts w:ascii="Times New Roman" w:hAnsi="Times New Roman"/>
          <w:snapToGrid w:val="0"/>
          <w:sz w:val="26"/>
          <w:szCs w:val="26"/>
        </w:rPr>
        <w:t>in</w:t>
      </w:r>
      <w:r w:rsidR="008F3CDE">
        <w:rPr>
          <w:rFonts w:ascii="Times New Roman" w:hAnsi="Times New Roman"/>
          <w:snapToGrid w:val="0"/>
          <w:sz w:val="26"/>
          <w:szCs w:val="26"/>
        </w:rPr>
        <w:t xml:space="preserve"> </w:t>
      </w:r>
      <w:r w:rsidR="00E02309">
        <w:rPr>
          <w:rFonts w:ascii="Times New Roman" w:hAnsi="Times New Roman"/>
          <w:snapToGrid w:val="0"/>
          <w:sz w:val="26"/>
          <w:szCs w:val="26"/>
        </w:rPr>
        <w:t>Section 69.120</w:t>
      </w:r>
      <w:r w:rsidR="00BD6C09">
        <w:rPr>
          <w:rFonts w:ascii="Times New Roman" w:hAnsi="Times New Roman"/>
          <w:snapToGrid w:val="0"/>
          <w:sz w:val="26"/>
          <w:szCs w:val="26"/>
        </w:rPr>
        <w:t>1</w:t>
      </w:r>
      <w:r w:rsidR="00E02309">
        <w:rPr>
          <w:rFonts w:ascii="Times New Roman" w:hAnsi="Times New Roman"/>
          <w:snapToGrid w:val="0"/>
          <w:sz w:val="26"/>
          <w:szCs w:val="26"/>
        </w:rPr>
        <w:t xml:space="preserve"> of our Regulations, </w:t>
      </w:r>
      <w:r w:rsidR="008F3CDE">
        <w:rPr>
          <w:rFonts w:ascii="Times New Roman" w:hAnsi="Times New Roman"/>
          <w:snapToGrid w:val="0"/>
          <w:sz w:val="26"/>
          <w:szCs w:val="26"/>
        </w:rPr>
        <w:t>52 Pa. Code § 69.1201</w:t>
      </w:r>
      <w:r w:rsidR="00BD6C09">
        <w:rPr>
          <w:rFonts w:ascii="Times New Roman" w:hAnsi="Times New Roman"/>
          <w:snapToGrid w:val="0"/>
          <w:sz w:val="26"/>
          <w:szCs w:val="26"/>
        </w:rPr>
        <w:t xml:space="preserve">.  Specific </w:t>
      </w:r>
      <w:r w:rsidR="00E02309">
        <w:rPr>
          <w:rFonts w:ascii="Times New Roman" w:hAnsi="Times New Roman"/>
          <w:snapToGrid w:val="0"/>
          <w:sz w:val="26"/>
          <w:szCs w:val="26"/>
        </w:rPr>
        <w:t>factors</w:t>
      </w:r>
      <w:r w:rsidR="008F3CDE">
        <w:rPr>
          <w:rFonts w:ascii="Times New Roman" w:hAnsi="Times New Roman"/>
          <w:snapToGrid w:val="0"/>
          <w:sz w:val="26"/>
          <w:szCs w:val="26"/>
        </w:rPr>
        <w:t xml:space="preserve"> </w:t>
      </w:r>
      <w:r w:rsidR="00BD6C09" w:rsidRPr="00BD6C09">
        <w:rPr>
          <w:rFonts w:ascii="Times New Roman" w:hAnsi="Times New Roman"/>
          <w:snapToGrid w:val="0"/>
          <w:sz w:val="26"/>
          <w:szCs w:val="26"/>
        </w:rPr>
        <w:t xml:space="preserve">enumerated </w:t>
      </w:r>
      <w:r w:rsidR="00BD6C09">
        <w:rPr>
          <w:rFonts w:ascii="Times New Roman" w:hAnsi="Times New Roman"/>
          <w:snapToGrid w:val="0"/>
          <w:sz w:val="26"/>
          <w:szCs w:val="26"/>
        </w:rPr>
        <w:t xml:space="preserve">for consideration there </w:t>
      </w:r>
      <w:r w:rsidR="008F3CDE">
        <w:rPr>
          <w:rFonts w:ascii="Times New Roman" w:hAnsi="Times New Roman"/>
          <w:snapToGrid w:val="0"/>
          <w:sz w:val="26"/>
          <w:szCs w:val="26"/>
        </w:rPr>
        <w:t>include the willfulness and seriousness of the conduct; the resulting consequences; whether the conduct was intentional or negligent; efforts made by the regulated entity to address and prevent the conduct in the future; the number of customers affected and the duration; the regulated entity’s compliance history</w:t>
      </w:r>
      <w:r w:rsidR="00BD6C09">
        <w:rPr>
          <w:rFonts w:ascii="Times New Roman" w:hAnsi="Times New Roman"/>
          <w:snapToGrid w:val="0"/>
          <w:sz w:val="26"/>
          <w:szCs w:val="26"/>
        </w:rPr>
        <w:t>,</w:t>
      </w:r>
      <w:r w:rsidR="008F3CDE">
        <w:rPr>
          <w:rFonts w:ascii="Times New Roman" w:hAnsi="Times New Roman"/>
          <w:snapToGrid w:val="0"/>
          <w:sz w:val="26"/>
          <w:szCs w:val="26"/>
        </w:rPr>
        <w:t xml:space="preserve"> cooperation with any Commission investigation; the level of fine necessary to deter </w:t>
      </w:r>
      <w:r w:rsidR="008F3CDE">
        <w:rPr>
          <w:rFonts w:ascii="Times New Roman" w:hAnsi="Times New Roman"/>
          <w:snapToGrid w:val="0"/>
          <w:sz w:val="26"/>
          <w:szCs w:val="26"/>
        </w:rPr>
        <w:lastRenderedPageBreak/>
        <w:t xml:space="preserve">future violations; past Commission decisions in similar situations; and any other </w:t>
      </w:r>
      <w:r w:rsidR="00064DA6" w:rsidRPr="00466E85">
        <w:rPr>
          <w:rFonts w:ascii="Times New Roman" w:hAnsi="Times New Roman"/>
          <w:sz w:val="26"/>
          <w:szCs w:val="26"/>
        </w:rPr>
        <w:t>relevant factors.</w:t>
      </w:r>
      <w:r w:rsidR="00BD6C09">
        <w:rPr>
          <w:rFonts w:ascii="Times New Roman" w:hAnsi="Times New Roman"/>
          <w:sz w:val="26"/>
          <w:szCs w:val="26"/>
        </w:rPr>
        <w:t xml:space="preserve">  </w:t>
      </w:r>
      <w:proofErr w:type="gramStart"/>
      <w:r w:rsidR="00BD6C09">
        <w:rPr>
          <w:rFonts w:ascii="Times New Roman" w:hAnsi="Times New Roman"/>
          <w:sz w:val="26"/>
          <w:szCs w:val="26"/>
        </w:rPr>
        <w:t>52 Pa. Code § 69.1201(c).</w:t>
      </w:r>
      <w:proofErr w:type="gramEnd"/>
    </w:p>
    <w:p w:rsidR="0002464A" w:rsidRDefault="0002464A" w:rsidP="0002464A">
      <w:pPr>
        <w:spacing w:line="240" w:lineRule="auto"/>
        <w:ind w:right="1440"/>
        <w:rPr>
          <w:rFonts w:ascii="Times New Roman" w:hAnsi="Times New Roman"/>
          <w:sz w:val="26"/>
          <w:szCs w:val="26"/>
        </w:rPr>
      </w:pPr>
    </w:p>
    <w:p w:rsidR="00064DA6" w:rsidRDefault="00BD3A1F" w:rsidP="0002464A">
      <w:pPr>
        <w:ind w:firstLine="1440"/>
        <w:rPr>
          <w:rFonts w:ascii="Times New Roman" w:hAnsi="Times New Roman"/>
          <w:sz w:val="26"/>
          <w:szCs w:val="26"/>
        </w:rPr>
      </w:pPr>
      <w:r>
        <w:rPr>
          <w:rFonts w:ascii="Times New Roman" w:hAnsi="Times New Roman"/>
          <w:sz w:val="26"/>
          <w:szCs w:val="26"/>
        </w:rPr>
        <w:t xml:space="preserve">Comparing Respond’s marketing campaign to that </w:t>
      </w:r>
      <w:r w:rsidR="00E02309">
        <w:rPr>
          <w:rFonts w:ascii="Times New Roman" w:hAnsi="Times New Roman"/>
          <w:sz w:val="26"/>
          <w:szCs w:val="26"/>
        </w:rPr>
        <w:t>of the EGS in</w:t>
      </w:r>
      <w:r>
        <w:rPr>
          <w:rFonts w:ascii="Times New Roman" w:hAnsi="Times New Roman"/>
          <w:sz w:val="26"/>
          <w:szCs w:val="26"/>
        </w:rPr>
        <w:t xml:space="preserve"> </w:t>
      </w:r>
      <w:r w:rsidRPr="00BD3A1F">
        <w:rPr>
          <w:rFonts w:ascii="Times New Roman" w:hAnsi="Times New Roman"/>
          <w:i/>
          <w:sz w:val="26"/>
          <w:szCs w:val="26"/>
        </w:rPr>
        <w:t>Towne</w:t>
      </w:r>
      <w:r>
        <w:rPr>
          <w:rFonts w:ascii="Times New Roman" w:hAnsi="Times New Roman"/>
          <w:sz w:val="26"/>
          <w:szCs w:val="26"/>
        </w:rPr>
        <w:t xml:space="preserve">, the ALJ found the nature and consequences of Respond’s actions to be serious because they negatively impacted not only the Complainant and other individual customers, but also other market stakeholders and the success of the competitive market as a whole.  This, the ALJ concluded, merited </w:t>
      </w:r>
      <w:r w:rsidRPr="00BD3A1F">
        <w:rPr>
          <w:rFonts w:ascii="Times New Roman" w:hAnsi="Times New Roman"/>
          <w:sz w:val="26"/>
          <w:szCs w:val="26"/>
        </w:rPr>
        <w:t>a higher penalty</w:t>
      </w:r>
      <w:r w:rsidR="00064DA6" w:rsidRPr="00B85B7C">
        <w:rPr>
          <w:rFonts w:ascii="Times New Roman" w:hAnsi="Times New Roman"/>
          <w:sz w:val="26"/>
          <w:szCs w:val="26"/>
        </w:rPr>
        <w:t xml:space="preserve">.  </w:t>
      </w:r>
      <w:r w:rsidR="00B85B7C">
        <w:rPr>
          <w:rFonts w:ascii="Times New Roman" w:hAnsi="Times New Roman"/>
          <w:sz w:val="26"/>
          <w:szCs w:val="26"/>
        </w:rPr>
        <w:t>I.D. at 4</w:t>
      </w:r>
      <w:r>
        <w:rPr>
          <w:rFonts w:ascii="Times New Roman" w:hAnsi="Times New Roman"/>
          <w:sz w:val="26"/>
          <w:szCs w:val="26"/>
        </w:rPr>
        <w:t>5</w:t>
      </w:r>
      <w:r w:rsidR="00B85B7C">
        <w:rPr>
          <w:rFonts w:ascii="Times New Roman" w:hAnsi="Times New Roman"/>
          <w:sz w:val="26"/>
          <w:szCs w:val="26"/>
        </w:rPr>
        <w:t>-47.</w:t>
      </w:r>
    </w:p>
    <w:p w:rsidR="00B85B7C" w:rsidRPr="00E02309" w:rsidRDefault="00B85B7C" w:rsidP="00064DA6">
      <w:pPr>
        <w:ind w:firstLine="1440"/>
        <w:rPr>
          <w:rFonts w:ascii="Times New Roman" w:hAnsi="Times New Roman"/>
          <w:sz w:val="26"/>
          <w:szCs w:val="26"/>
        </w:rPr>
      </w:pPr>
    </w:p>
    <w:p w:rsidR="00204F60" w:rsidRDefault="00BD3A1F" w:rsidP="00064DA6">
      <w:pPr>
        <w:ind w:firstLine="1440"/>
        <w:rPr>
          <w:rFonts w:ascii="Times New Roman" w:hAnsi="Times New Roman"/>
          <w:sz w:val="26"/>
          <w:szCs w:val="26"/>
        </w:rPr>
      </w:pPr>
      <w:r>
        <w:rPr>
          <w:rFonts w:ascii="Times New Roman" w:hAnsi="Times New Roman"/>
          <w:sz w:val="26"/>
          <w:szCs w:val="26"/>
        </w:rPr>
        <w:t>T</w:t>
      </w:r>
      <w:r w:rsidR="00563D90" w:rsidRPr="00563D90">
        <w:rPr>
          <w:rFonts w:ascii="Times New Roman" w:hAnsi="Times New Roman"/>
          <w:sz w:val="26"/>
          <w:szCs w:val="26"/>
        </w:rPr>
        <w:t xml:space="preserve">he ALJ </w:t>
      </w:r>
      <w:r>
        <w:rPr>
          <w:rFonts w:ascii="Times New Roman" w:hAnsi="Times New Roman"/>
          <w:sz w:val="26"/>
          <w:szCs w:val="26"/>
        </w:rPr>
        <w:t xml:space="preserve">next </w:t>
      </w:r>
      <w:r w:rsidR="00563D90" w:rsidRPr="00563D90">
        <w:rPr>
          <w:rFonts w:ascii="Times New Roman" w:hAnsi="Times New Roman"/>
          <w:sz w:val="26"/>
          <w:szCs w:val="26"/>
        </w:rPr>
        <w:t xml:space="preserve">found </w:t>
      </w:r>
      <w:r>
        <w:rPr>
          <w:rFonts w:ascii="Times New Roman" w:hAnsi="Times New Roman"/>
          <w:sz w:val="26"/>
          <w:szCs w:val="26"/>
        </w:rPr>
        <w:t xml:space="preserve">Respond’s </w:t>
      </w:r>
      <w:r w:rsidR="00064DA6" w:rsidRPr="00563D90">
        <w:rPr>
          <w:rFonts w:ascii="Times New Roman" w:hAnsi="Times New Roman"/>
          <w:sz w:val="26"/>
          <w:szCs w:val="26"/>
        </w:rPr>
        <w:t xml:space="preserve">conduct </w:t>
      </w:r>
      <w:r>
        <w:rPr>
          <w:rFonts w:ascii="Times New Roman" w:hAnsi="Times New Roman"/>
          <w:sz w:val="26"/>
          <w:szCs w:val="26"/>
        </w:rPr>
        <w:t xml:space="preserve">to be </w:t>
      </w:r>
      <w:r w:rsidR="00064DA6" w:rsidRPr="00563D90">
        <w:rPr>
          <w:rFonts w:ascii="Times New Roman" w:hAnsi="Times New Roman"/>
          <w:sz w:val="26"/>
          <w:szCs w:val="26"/>
        </w:rPr>
        <w:t>at least negligent</w:t>
      </w:r>
      <w:r w:rsidR="00204F60">
        <w:rPr>
          <w:rFonts w:ascii="Times New Roman" w:hAnsi="Times New Roman"/>
          <w:sz w:val="26"/>
          <w:szCs w:val="26"/>
        </w:rPr>
        <w:t xml:space="preserve">.  As the ALJ concluded, </w:t>
      </w:r>
      <w:r>
        <w:rPr>
          <w:rFonts w:ascii="Times New Roman" w:hAnsi="Times New Roman"/>
          <w:sz w:val="26"/>
          <w:szCs w:val="26"/>
        </w:rPr>
        <w:t xml:space="preserve">the Company’s </w:t>
      </w:r>
      <w:r w:rsidR="00064DA6" w:rsidRPr="00563D90">
        <w:rPr>
          <w:rFonts w:ascii="Times New Roman" w:hAnsi="Times New Roman"/>
          <w:sz w:val="26"/>
          <w:szCs w:val="26"/>
        </w:rPr>
        <w:t>control over its field agent was minimal</w:t>
      </w:r>
      <w:r w:rsidR="00204F60">
        <w:rPr>
          <w:rFonts w:ascii="Times New Roman" w:hAnsi="Times New Roman"/>
          <w:sz w:val="26"/>
          <w:szCs w:val="26"/>
        </w:rPr>
        <w:t xml:space="preserve">, </w:t>
      </w:r>
      <w:r w:rsidR="00563D90">
        <w:rPr>
          <w:rFonts w:ascii="Times New Roman" w:hAnsi="Times New Roman"/>
          <w:sz w:val="26"/>
          <w:szCs w:val="26"/>
        </w:rPr>
        <w:t>the</w:t>
      </w:r>
      <w:r>
        <w:rPr>
          <w:rFonts w:ascii="Times New Roman" w:hAnsi="Times New Roman"/>
          <w:sz w:val="26"/>
          <w:szCs w:val="26"/>
        </w:rPr>
        <w:t xml:space="preserve">re was </w:t>
      </w:r>
      <w:r w:rsidR="00064DA6" w:rsidRPr="00563D90">
        <w:rPr>
          <w:rFonts w:ascii="Times New Roman" w:hAnsi="Times New Roman"/>
          <w:sz w:val="26"/>
          <w:szCs w:val="26"/>
        </w:rPr>
        <w:t xml:space="preserve">no evidence that </w:t>
      </w:r>
      <w:r w:rsidR="00563D90">
        <w:rPr>
          <w:rFonts w:ascii="Times New Roman" w:hAnsi="Times New Roman"/>
          <w:sz w:val="26"/>
          <w:szCs w:val="26"/>
        </w:rPr>
        <w:t>it</w:t>
      </w:r>
      <w:r w:rsidR="00064DA6" w:rsidRPr="00563D90">
        <w:rPr>
          <w:rFonts w:ascii="Times New Roman" w:hAnsi="Times New Roman"/>
          <w:sz w:val="26"/>
          <w:szCs w:val="26"/>
        </w:rPr>
        <w:t xml:space="preserve"> monitored individual field agents for </w:t>
      </w:r>
      <w:r w:rsidR="00204F60">
        <w:rPr>
          <w:rFonts w:ascii="Times New Roman" w:hAnsi="Times New Roman"/>
          <w:sz w:val="26"/>
          <w:szCs w:val="26"/>
        </w:rPr>
        <w:t xml:space="preserve">regulatory </w:t>
      </w:r>
      <w:r w:rsidR="00064DA6" w:rsidRPr="00563D90">
        <w:rPr>
          <w:rFonts w:ascii="Times New Roman" w:hAnsi="Times New Roman"/>
          <w:sz w:val="26"/>
          <w:szCs w:val="26"/>
        </w:rPr>
        <w:t>compliance</w:t>
      </w:r>
      <w:r w:rsidR="00204F60">
        <w:rPr>
          <w:rFonts w:ascii="Times New Roman" w:hAnsi="Times New Roman"/>
          <w:sz w:val="26"/>
          <w:szCs w:val="26"/>
        </w:rPr>
        <w:t xml:space="preserve">, and the arguments posited by Respond in the proceeding led the ALJ to conclude that the Company assigned no relevance to its agent’s oral misstatements in the sale.  </w:t>
      </w:r>
      <w:r w:rsidR="00563D90">
        <w:rPr>
          <w:rFonts w:ascii="Times New Roman" w:hAnsi="Times New Roman"/>
          <w:sz w:val="26"/>
          <w:szCs w:val="26"/>
        </w:rPr>
        <w:t>Th</w:t>
      </w:r>
      <w:r w:rsidR="00204F60">
        <w:rPr>
          <w:rFonts w:ascii="Times New Roman" w:hAnsi="Times New Roman"/>
          <w:sz w:val="26"/>
          <w:szCs w:val="26"/>
        </w:rPr>
        <w:t>is, th</w:t>
      </w:r>
      <w:r w:rsidR="00563D90">
        <w:rPr>
          <w:rFonts w:ascii="Times New Roman" w:hAnsi="Times New Roman"/>
          <w:sz w:val="26"/>
          <w:szCs w:val="26"/>
        </w:rPr>
        <w:t>e ALJ concluded</w:t>
      </w:r>
      <w:r w:rsidR="00204F60">
        <w:rPr>
          <w:rFonts w:ascii="Times New Roman" w:hAnsi="Times New Roman"/>
          <w:sz w:val="26"/>
          <w:szCs w:val="26"/>
        </w:rPr>
        <w:t xml:space="preserve">, </w:t>
      </w:r>
      <w:r>
        <w:rPr>
          <w:rFonts w:ascii="Times New Roman" w:hAnsi="Times New Roman"/>
          <w:sz w:val="26"/>
          <w:szCs w:val="26"/>
        </w:rPr>
        <w:t xml:space="preserve">also </w:t>
      </w:r>
      <w:r w:rsidR="00064DA6" w:rsidRPr="00563D90">
        <w:rPr>
          <w:rFonts w:ascii="Times New Roman" w:hAnsi="Times New Roman"/>
          <w:sz w:val="26"/>
          <w:szCs w:val="26"/>
        </w:rPr>
        <w:t>merit</w:t>
      </w:r>
      <w:r>
        <w:rPr>
          <w:rFonts w:ascii="Times New Roman" w:hAnsi="Times New Roman"/>
          <w:sz w:val="26"/>
          <w:szCs w:val="26"/>
        </w:rPr>
        <w:t>ed</w:t>
      </w:r>
      <w:r w:rsidR="00064DA6" w:rsidRPr="00563D90">
        <w:rPr>
          <w:rFonts w:ascii="Times New Roman" w:hAnsi="Times New Roman"/>
          <w:sz w:val="26"/>
          <w:szCs w:val="26"/>
        </w:rPr>
        <w:t xml:space="preserve"> a higher penalty.</w:t>
      </w:r>
      <w:r w:rsidR="00563D90">
        <w:rPr>
          <w:rFonts w:ascii="Times New Roman" w:hAnsi="Times New Roman"/>
          <w:sz w:val="26"/>
          <w:szCs w:val="26"/>
        </w:rPr>
        <w:t xml:space="preserve">  </w:t>
      </w:r>
      <w:r w:rsidR="00204F60">
        <w:rPr>
          <w:rFonts w:ascii="Times New Roman" w:hAnsi="Times New Roman"/>
          <w:sz w:val="26"/>
          <w:szCs w:val="26"/>
        </w:rPr>
        <w:t xml:space="preserve">The ALJ similarly found that because Respond provided essentially no evidence to suggest it conducted an internal investigation or modified its internal practices to preclude similar conduct in the future, again displaying disregard for our marketing Regulations, that this, too, merited a higher penalty.  </w:t>
      </w:r>
      <w:r w:rsidR="00204F60" w:rsidRPr="00204F60">
        <w:rPr>
          <w:rFonts w:ascii="Times New Roman" w:hAnsi="Times New Roman"/>
          <w:i/>
          <w:sz w:val="26"/>
          <w:szCs w:val="26"/>
        </w:rPr>
        <w:t>Id</w:t>
      </w:r>
      <w:r w:rsidR="00204F60" w:rsidRPr="00204F60">
        <w:rPr>
          <w:rFonts w:ascii="Times New Roman" w:hAnsi="Times New Roman"/>
          <w:sz w:val="26"/>
          <w:szCs w:val="26"/>
        </w:rPr>
        <w:t>. at 4</w:t>
      </w:r>
      <w:r w:rsidR="00204F60">
        <w:rPr>
          <w:rFonts w:ascii="Times New Roman" w:hAnsi="Times New Roman"/>
          <w:sz w:val="26"/>
          <w:szCs w:val="26"/>
        </w:rPr>
        <w:t>7-48</w:t>
      </w:r>
      <w:r w:rsidR="00204F60" w:rsidRPr="00204F60">
        <w:rPr>
          <w:rFonts w:ascii="Times New Roman" w:hAnsi="Times New Roman"/>
          <w:sz w:val="26"/>
          <w:szCs w:val="26"/>
        </w:rPr>
        <w:t>.</w:t>
      </w:r>
    </w:p>
    <w:p w:rsidR="00204F60" w:rsidRDefault="00204F60" w:rsidP="00064DA6">
      <w:pPr>
        <w:ind w:firstLine="1440"/>
        <w:rPr>
          <w:rFonts w:ascii="Times New Roman" w:hAnsi="Times New Roman"/>
          <w:sz w:val="26"/>
          <w:szCs w:val="26"/>
        </w:rPr>
      </w:pPr>
    </w:p>
    <w:p w:rsidR="00064DA6" w:rsidRPr="00AD05F8" w:rsidRDefault="00204F60" w:rsidP="00064DA6">
      <w:pPr>
        <w:ind w:firstLine="1440"/>
        <w:rPr>
          <w:rFonts w:ascii="Times New Roman" w:hAnsi="Times New Roman"/>
          <w:sz w:val="26"/>
          <w:szCs w:val="26"/>
        </w:rPr>
      </w:pPr>
      <w:r>
        <w:rPr>
          <w:rFonts w:ascii="Times New Roman" w:hAnsi="Times New Roman"/>
          <w:sz w:val="26"/>
          <w:szCs w:val="26"/>
        </w:rPr>
        <w:t xml:space="preserve">With respect to </w:t>
      </w:r>
      <w:r w:rsidR="00064DA6" w:rsidRPr="00AD05F8">
        <w:rPr>
          <w:rFonts w:ascii="Times New Roman" w:hAnsi="Times New Roman"/>
          <w:sz w:val="26"/>
          <w:szCs w:val="26"/>
        </w:rPr>
        <w:t>the number of customers affected and the duration of the violation</w:t>
      </w:r>
      <w:r>
        <w:rPr>
          <w:rFonts w:ascii="Times New Roman" w:hAnsi="Times New Roman"/>
          <w:sz w:val="26"/>
          <w:szCs w:val="26"/>
        </w:rPr>
        <w:t xml:space="preserve">, the ALJ found </w:t>
      </w:r>
      <w:r w:rsidR="00064DA6" w:rsidRPr="00AD05F8">
        <w:rPr>
          <w:rFonts w:ascii="Times New Roman" w:hAnsi="Times New Roman"/>
          <w:sz w:val="26"/>
          <w:szCs w:val="26"/>
        </w:rPr>
        <w:t xml:space="preserve">there is only evidence concerning the experience of one customer, possibly two including Mr. Hackett. </w:t>
      </w:r>
      <w:r w:rsidR="00AD05F8" w:rsidRPr="00AD05F8">
        <w:rPr>
          <w:rFonts w:ascii="Times New Roman" w:hAnsi="Times New Roman"/>
          <w:sz w:val="26"/>
          <w:szCs w:val="26"/>
        </w:rPr>
        <w:t xml:space="preserve"> </w:t>
      </w:r>
      <w:proofErr w:type="gramStart"/>
      <w:r w:rsidR="00E02309">
        <w:rPr>
          <w:rFonts w:ascii="Times New Roman" w:hAnsi="Times New Roman"/>
          <w:i/>
          <w:sz w:val="26"/>
          <w:szCs w:val="26"/>
        </w:rPr>
        <w:t>Id.</w:t>
      </w:r>
      <w:r w:rsidR="00AD05F8" w:rsidRPr="00AD05F8">
        <w:rPr>
          <w:rFonts w:ascii="Times New Roman" w:hAnsi="Times New Roman"/>
          <w:sz w:val="26"/>
          <w:szCs w:val="26"/>
        </w:rPr>
        <w:t xml:space="preserve"> at 48.</w:t>
      </w:r>
      <w:proofErr w:type="gramEnd"/>
    </w:p>
    <w:p w:rsidR="00064DA6" w:rsidRPr="00E02309" w:rsidRDefault="00064DA6" w:rsidP="00064DA6">
      <w:pPr>
        <w:ind w:firstLine="1440"/>
        <w:rPr>
          <w:rFonts w:ascii="Times New Roman" w:hAnsi="Times New Roman"/>
          <w:sz w:val="26"/>
          <w:szCs w:val="26"/>
        </w:rPr>
      </w:pPr>
    </w:p>
    <w:p w:rsidR="00064DA6" w:rsidRPr="00D9646B" w:rsidRDefault="00E02309" w:rsidP="00064DA6">
      <w:pPr>
        <w:ind w:firstLine="1440"/>
        <w:rPr>
          <w:rFonts w:ascii="Times New Roman" w:hAnsi="Times New Roman"/>
          <w:sz w:val="26"/>
          <w:szCs w:val="26"/>
        </w:rPr>
      </w:pPr>
      <w:r>
        <w:rPr>
          <w:rFonts w:ascii="Times New Roman" w:hAnsi="Times New Roman"/>
          <w:sz w:val="26"/>
          <w:szCs w:val="26"/>
        </w:rPr>
        <w:t xml:space="preserve">The ALJ found </w:t>
      </w:r>
      <w:r w:rsidR="00D9646B" w:rsidRPr="00D9646B">
        <w:rPr>
          <w:rFonts w:ascii="Times New Roman" w:hAnsi="Times New Roman"/>
          <w:sz w:val="26"/>
          <w:szCs w:val="26"/>
        </w:rPr>
        <w:t>d</w:t>
      </w:r>
      <w:r w:rsidR="00064DA6" w:rsidRPr="00D9646B">
        <w:rPr>
          <w:rFonts w:ascii="Times New Roman" w:hAnsi="Times New Roman"/>
          <w:sz w:val="26"/>
          <w:szCs w:val="26"/>
        </w:rPr>
        <w:t xml:space="preserve">eterrence </w:t>
      </w:r>
      <w:r>
        <w:rPr>
          <w:rFonts w:ascii="Times New Roman" w:hAnsi="Times New Roman"/>
          <w:sz w:val="26"/>
          <w:szCs w:val="26"/>
        </w:rPr>
        <w:t xml:space="preserve">to be </w:t>
      </w:r>
      <w:r w:rsidR="00064DA6" w:rsidRPr="00D9646B">
        <w:rPr>
          <w:rFonts w:ascii="Times New Roman" w:hAnsi="Times New Roman"/>
          <w:sz w:val="26"/>
          <w:szCs w:val="26"/>
        </w:rPr>
        <w:t>perhaps the most important factor for consideration in assessing this penalty.</w:t>
      </w:r>
      <w:r w:rsidR="00D9646B" w:rsidRPr="00D9646B">
        <w:rPr>
          <w:rFonts w:ascii="Times New Roman" w:hAnsi="Times New Roman"/>
          <w:sz w:val="26"/>
          <w:szCs w:val="26"/>
        </w:rPr>
        <w:t xml:space="preserve"> </w:t>
      </w:r>
      <w:r w:rsidR="00064DA6" w:rsidRPr="00D9646B">
        <w:rPr>
          <w:rFonts w:ascii="Times New Roman" w:hAnsi="Times New Roman"/>
          <w:sz w:val="26"/>
          <w:szCs w:val="26"/>
        </w:rPr>
        <w:t xml:space="preserve"> </w:t>
      </w:r>
      <w:r>
        <w:rPr>
          <w:rFonts w:ascii="Times New Roman" w:hAnsi="Times New Roman"/>
          <w:sz w:val="26"/>
          <w:szCs w:val="26"/>
        </w:rPr>
        <w:t xml:space="preserve">Again noting her conclusion that </w:t>
      </w:r>
      <w:r w:rsidR="00064DA6" w:rsidRPr="00D9646B">
        <w:rPr>
          <w:rFonts w:ascii="Times New Roman" w:hAnsi="Times New Roman"/>
          <w:sz w:val="26"/>
          <w:szCs w:val="26"/>
        </w:rPr>
        <w:t xml:space="preserve">Respond </w:t>
      </w:r>
      <w:r>
        <w:rPr>
          <w:rFonts w:ascii="Times New Roman" w:hAnsi="Times New Roman"/>
          <w:sz w:val="26"/>
          <w:szCs w:val="26"/>
        </w:rPr>
        <w:t xml:space="preserve">failed to take seriously its </w:t>
      </w:r>
      <w:r w:rsidR="00064DA6" w:rsidRPr="00D9646B">
        <w:rPr>
          <w:rFonts w:ascii="Times New Roman" w:hAnsi="Times New Roman"/>
          <w:sz w:val="26"/>
          <w:szCs w:val="26"/>
        </w:rPr>
        <w:t xml:space="preserve">obligation to comply with the Commission’s </w:t>
      </w:r>
      <w:r w:rsidR="005E6066">
        <w:rPr>
          <w:rFonts w:ascii="Times New Roman" w:hAnsi="Times New Roman"/>
          <w:sz w:val="26"/>
          <w:szCs w:val="26"/>
        </w:rPr>
        <w:t>R</w:t>
      </w:r>
      <w:r w:rsidR="00064DA6" w:rsidRPr="00D9646B">
        <w:rPr>
          <w:rFonts w:ascii="Times New Roman" w:hAnsi="Times New Roman"/>
          <w:sz w:val="26"/>
          <w:szCs w:val="26"/>
        </w:rPr>
        <w:t xml:space="preserve">egulations and </w:t>
      </w:r>
      <w:r>
        <w:rPr>
          <w:rFonts w:ascii="Times New Roman" w:hAnsi="Times New Roman"/>
          <w:sz w:val="26"/>
          <w:szCs w:val="26"/>
        </w:rPr>
        <w:t xml:space="preserve">our </w:t>
      </w:r>
      <w:r w:rsidR="00064DA6" w:rsidRPr="00D9646B">
        <w:rPr>
          <w:rFonts w:ascii="Times New Roman" w:hAnsi="Times New Roman"/>
          <w:sz w:val="26"/>
          <w:szCs w:val="26"/>
        </w:rPr>
        <w:t xml:space="preserve">codes of conduct </w:t>
      </w:r>
      <w:r>
        <w:rPr>
          <w:rFonts w:ascii="Times New Roman" w:hAnsi="Times New Roman"/>
          <w:sz w:val="26"/>
          <w:szCs w:val="26"/>
        </w:rPr>
        <w:t xml:space="preserve">applicable to the actions of </w:t>
      </w:r>
      <w:r w:rsidR="00064DA6" w:rsidRPr="00D9646B">
        <w:rPr>
          <w:rFonts w:ascii="Times New Roman" w:hAnsi="Times New Roman"/>
          <w:sz w:val="26"/>
          <w:szCs w:val="26"/>
        </w:rPr>
        <w:t>its independent agents</w:t>
      </w:r>
      <w:r>
        <w:rPr>
          <w:rFonts w:ascii="Times New Roman" w:hAnsi="Times New Roman"/>
          <w:sz w:val="26"/>
          <w:szCs w:val="26"/>
        </w:rPr>
        <w:t xml:space="preserve">, the ALJ concluded that </w:t>
      </w:r>
      <w:r w:rsidR="00064DA6" w:rsidRPr="00D9646B">
        <w:rPr>
          <w:rFonts w:ascii="Times New Roman" w:hAnsi="Times New Roman"/>
          <w:sz w:val="26"/>
          <w:szCs w:val="26"/>
        </w:rPr>
        <w:t xml:space="preserve">a civil penalty of $1,000 per violation </w:t>
      </w:r>
      <w:r>
        <w:rPr>
          <w:rFonts w:ascii="Times New Roman" w:hAnsi="Times New Roman"/>
          <w:sz w:val="26"/>
          <w:szCs w:val="26"/>
        </w:rPr>
        <w:t>was</w:t>
      </w:r>
      <w:r w:rsidR="00064DA6" w:rsidRPr="00D9646B">
        <w:rPr>
          <w:rFonts w:ascii="Times New Roman" w:hAnsi="Times New Roman"/>
          <w:sz w:val="26"/>
          <w:szCs w:val="26"/>
        </w:rPr>
        <w:t xml:space="preserve"> necessary </w:t>
      </w:r>
      <w:r>
        <w:rPr>
          <w:rFonts w:ascii="Times New Roman" w:hAnsi="Times New Roman"/>
          <w:sz w:val="26"/>
          <w:szCs w:val="26"/>
        </w:rPr>
        <w:t xml:space="preserve">to remind Respond and all </w:t>
      </w:r>
      <w:r>
        <w:rPr>
          <w:rFonts w:ascii="Times New Roman" w:hAnsi="Times New Roman"/>
          <w:sz w:val="26"/>
          <w:szCs w:val="26"/>
        </w:rPr>
        <w:lastRenderedPageBreak/>
        <w:t xml:space="preserve">suppliers of the importance of agent training and compliance when conducting business in Pennsylvania.  </w:t>
      </w:r>
      <w:proofErr w:type="gramStart"/>
      <w:r>
        <w:rPr>
          <w:rFonts w:ascii="Times New Roman" w:hAnsi="Times New Roman"/>
          <w:i/>
          <w:sz w:val="26"/>
          <w:szCs w:val="26"/>
        </w:rPr>
        <w:t>Id</w:t>
      </w:r>
      <w:r w:rsidR="00E83D40">
        <w:rPr>
          <w:rFonts w:ascii="Times New Roman" w:hAnsi="Times New Roman"/>
          <w:sz w:val="26"/>
          <w:szCs w:val="26"/>
        </w:rPr>
        <w:t>. at 48.</w:t>
      </w:r>
      <w:proofErr w:type="gramEnd"/>
    </w:p>
    <w:p w:rsidR="00064DA6" w:rsidRDefault="00064DA6" w:rsidP="00064DA6">
      <w:pPr>
        <w:ind w:firstLine="1440"/>
      </w:pPr>
    </w:p>
    <w:p w:rsidR="00F96795" w:rsidRPr="00F96795" w:rsidRDefault="00E02309" w:rsidP="00F96795">
      <w:pPr>
        <w:ind w:firstLine="1440"/>
        <w:rPr>
          <w:rFonts w:ascii="Times New Roman" w:hAnsi="Times New Roman"/>
          <w:sz w:val="26"/>
          <w:szCs w:val="26"/>
        </w:rPr>
      </w:pPr>
      <w:r>
        <w:rPr>
          <w:rFonts w:ascii="Times New Roman" w:hAnsi="Times New Roman"/>
          <w:sz w:val="26"/>
          <w:szCs w:val="26"/>
        </w:rPr>
        <w:t xml:space="preserve">Finding </w:t>
      </w:r>
      <w:r w:rsidR="00E83D40" w:rsidRPr="00E83D40">
        <w:rPr>
          <w:rFonts w:ascii="Times New Roman" w:hAnsi="Times New Roman"/>
          <w:sz w:val="26"/>
          <w:szCs w:val="26"/>
        </w:rPr>
        <w:t>t</w:t>
      </w:r>
      <w:r w:rsidR="00064DA6" w:rsidRPr="00E83D40">
        <w:rPr>
          <w:rFonts w:ascii="Times New Roman" w:hAnsi="Times New Roman"/>
          <w:sz w:val="26"/>
          <w:szCs w:val="26"/>
        </w:rPr>
        <w:t xml:space="preserve">he remaining factors not </w:t>
      </w:r>
      <w:r>
        <w:rPr>
          <w:rFonts w:ascii="Times New Roman" w:hAnsi="Times New Roman"/>
          <w:sz w:val="26"/>
          <w:szCs w:val="26"/>
        </w:rPr>
        <w:t xml:space="preserve">applicable, </w:t>
      </w:r>
      <w:r w:rsidR="000575B7">
        <w:rPr>
          <w:rFonts w:ascii="Times New Roman" w:hAnsi="Times New Roman"/>
          <w:sz w:val="26"/>
          <w:szCs w:val="26"/>
        </w:rPr>
        <w:t xml:space="preserve">the ALJ concluded that </w:t>
      </w:r>
      <w:r w:rsidR="00064DA6" w:rsidRPr="00E83D40">
        <w:rPr>
          <w:rFonts w:ascii="Times New Roman" w:hAnsi="Times New Roman"/>
          <w:sz w:val="26"/>
          <w:szCs w:val="26"/>
        </w:rPr>
        <w:t xml:space="preserve">a civil penalty in the amount of $10,000 </w:t>
      </w:r>
      <w:r>
        <w:rPr>
          <w:rFonts w:ascii="Times New Roman" w:hAnsi="Times New Roman"/>
          <w:sz w:val="26"/>
          <w:szCs w:val="26"/>
        </w:rPr>
        <w:t>was</w:t>
      </w:r>
      <w:r w:rsidR="00064DA6" w:rsidRPr="00E83D40">
        <w:rPr>
          <w:rFonts w:ascii="Times New Roman" w:hAnsi="Times New Roman"/>
          <w:sz w:val="26"/>
          <w:szCs w:val="26"/>
        </w:rPr>
        <w:t xml:space="preserve"> appropriate.  </w:t>
      </w:r>
      <w:r w:rsidR="00E2466E">
        <w:rPr>
          <w:rFonts w:ascii="Times New Roman" w:hAnsi="Times New Roman"/>
          <w:sz w:val="26"/>
          <w:szCs w:val="26"/>
        </w:rPr>
        <w:t xml:space="preserve">The ALJ </w:t>
      </w:r>
      <w:r w:rsidR="00BD6C09">
        <w:rPr>
          <w:rFonts w:ascii="Times New Roman" w:hAnsi="Times New Roman"/>
          <w:sz w:val="26"/>
          <w:szCs w:val="26"/>
        </w:rPr>
        <w:t xml:space="preserve">noted that </w:t>
      </w:r>
      <w:r>
        <w:rPr>
          <w:rFonts w:ascii="Times New Roman" w:hAnsi="Times New Roman"/>
          <w:sz w:val="26"/>
          <w:szCs w:val="26"/>
        </w:rPr>
        <w:t xml:space="preserve">as one of the first </w:t>
      </w:r>
      <w:r w:rsidR="00BD6C09">
        <w:rPr>
          <w:rFonts w:ascii="Times New Roman" w:hAnsi="Times New Roman"/>
          <w:sz w:val="26"/>
          <w:szCs w:val="26"/>
        </w:rPr>
        <w:t xml:space="preserve">cases of this nature </w:t>
      </w:r>
      <w:r>
        <w:rPr>
          <w:rFonts w:ascii="Times New Roman" w:hAnsi="Times New Roman"/>
          <w:sz w:val="26"/>
          <w:szCs w:val="26"/>
        </w:rPr>
        <w:t xml:space="preserve">to be fully litigated, </w:t>
      </w:r>
      <w:r w:rsidR="00BD6C09">
        <w:rPr>
          <w:rFonts w:ascii="Times New Roman" w:hAnsi="Times New Roman"/>
          <w:sz w:val="26"/>
          <w:szCs w:val="26"/>
        </w:rPr>
        <w:t>t</w:t>
      </w:r>
      <w:r w:rsidR="00BD6C09" w:rsidRPr="00BD6C09">
        <w:rPr>
          <w:rFonts w:ascii="Times New Roman" w:hAnsi="Times New Roman"/>
          <w:sz w:val="26"/>
          <w:szCs w:val="26"/>
        </w:rPr>
        <w:t xml:space="preserve">he facts </w:t>
      </w:r>
      <w:r>
        <w:rPr>
          <w:rFonts w:ascii="Times New Roman" w:hAnsi="Times New Roman"/>
          <w:sz w:val="26"/>
          <w:szCs w:val="26"/>
        </w:rPr>
        <w:t xml:space="preserve">did not </w:t>
      </w:r>
      <w:r w:rsidR="00F96795" w:rsidRPr="00F96795">
        <w:rPr>
          <w:rFonts w:ascii="Times New Roman" w:hAnsi="Times New Roman"/>
          <w:sz w:val="26"/>
          <w:szCs w:val="26"/>
        </w:rPr>
        <w:t>merit</w:t>
      </w:r>
      <w:r>
        <w:rPr>
          <w:rFonts w:ascii="Times New Roman" w:hAnsi="Times New Roman"/>
          <w:sz w:val="26"/>
          <w:szCs w:val="26"/>
        </w:rPr>
        <w:t xml:space="preserve"> the suspension or revocation of Respond’s license</w:t>
      </w:r>
      <w:r w:rsidR="00F96795" w:rsidRPr="00F96795">
        <w:rPr>
          <w:rFonts w:ascii="Times New Roman" w:hAnsi="Times New Roman"/>
          <w:sz w:val="26"/>
          <w:szCs w:val="26"/>
        </w:rPr>
        <w:t xml:space="preserve"> at this point</w:t>
      </w:r>
      <w:r>
        <w:rPr>
          <w:rFonts w:ascii="Times New Roman" w:hAnsi="Times New Roman"/>
          <w:sz w:val="26"/>
          <w:szCs w:val="26"/>
        </w:rPr>
        <w:t>, but put R</w:t>
      </w:r>
      <w:r w:rsidR="00F96795" w:rsidRPr="00F96795">
        <w:rPr>
          <w:rFonts w:ascii="Times New Roman" w:hAnsi="Times New Roman"/>
          <w:sz w:val="26"/>
          <w:szCs w:val="26"/>
        </w:rPr>
        <w:t xml:space="preserve">espond </w:t>
      </w:r>
      <w:r>
        <w:rPr>
          <w:rFonts w:ascii="Times New Roman" w:hAnsi="Times New Roman"/>
          <w:sz w:val="26"/>
          <w:szCs w:val="26"/>
        </w:rPr>
        <w:t xml:space="preserve">on notice that </w:t>
      </w:r>
      <w:r w:rsidR="00F96795" w:rsidRPr="00F96795">
        <w:rPr>
          <w:rFonts w:ascii="Times New Roman" w:hAnsi="Times New Roman"/>
          <w:sz w:val="26"/>
          <w:szCs w:val="26"/>
        </w:rPr>
        <w:t>the Commission may reconsider the status of its license to participate in Pennsylvania’s retail electricity market</w:t>
      </w:r>
      <w:r w:rsidR="00CB06C7">
        <w:rPr>
          <w:rFonts w:ascii="Times New Roman" w:hAnsi="Times New Roman"/>
          <w:sz w:val="26"/>
          <w:szCs w:val="26"/>
        </w:rPr>
        <w:t xml:space="preserve"> if future violations </w:t>
      </w:r>
      <w:r w:rsidR="0072096A">
        <w:rPr>
          <w:rFonts w:ascii="Times New Roman" w:hAnsi="Times New Roman"/>
          <w:sz w:val="26"/>
          <w:szCs w:val="26"/>
        </w:rPr>
        <w:t>were</w:t>
      </w:r>
      <w:r w:rsidR="00CB06C7">
        <w:rPr>
          <w:rFonts w:ascii="Times New Roman" w:hAnsi="Times New Roman"/>
          <w:sz w:val="26"/>
          <w:szCs w:val="26"/>
        </w:rPr>
        <w:t xml:space="preserve"> established</w:t>
      </w:r>
      <w:r w:rsidR="00F96795" w:rsidRPr="00F96795">
        <w:rPr>
          <w:rFonts w:ascii="Times New Roman" w:hAnsi="Times New Roman"/>
          <w:sz w:val="26"/>
          <w:szCs w:val="26"/>
        </w:rPr>
        <w:t>.</w:t>
      </w:r>
      <w:r w:rsidR="00E2466E">
        <w:rPr>
          <w:rFonts w:ascii="Times New Roman" w:hAnsi="Times New Roman"/>
          <w:sz w:val="26"/>
          <w:szCs w:val="26"/>
        </w:rPr>
        <w:t xml:space="preserve">  </w:t>
      </w:r>
      <w:r w:rsidR="00CB06C7">
        <w:rPr>
          <w:rFonts w:ascii="Times New Roman" w:hAnsi="Times New Roman"/>
          <w:i/>
          <w:sz w:val="26"/>
          <w:szCs w:val="26"/>
        </w:rPr>
        <w:t>Id.</w:t>
      </w:r>
      <w:r w:rsidR="00E2466E">
        <w:rPr>
          <w:rFonts w:ascii="Times New Roman" w:hAnsi="Times New Roman"/>
          <w:sz w:val="26"/>
          <w:szCs w:val="26"/>
        </w:rPr>
        <w:t xml:space="preserve"> at 49-50.</w:t>
      </w:r>
    </w:p>
    <w:p w:rsidR="00F96795" w:rsidRPr="00F96795" w:rsidRDefault="00F96795" w:rsidP="00F96795">
      <w:pPr>
        <w:ind w:firstLine="1440"/>
        <w:rPr>
          <w:rFonts w:ascii="Times New Roman" w:hAnsi="Times New Roman"/>
          <w:sz w:val="26"/>
          <w:szCs w:val="26"/>
        </w:rPr>
      </w:pPr>
    </w:p>
    <w:p w:rsidR="00F966F1" w:rsidRDefault="00CB06C7" w:rsidP="00F96795">
      <w:pPr>
        <w:ind w:firstLine="1440"/>
        <w:rPr>
          <w:rFonts w:ascii="Times New Roman" w:hAnsi="Times New Roman"/>
          <w:sz w:val="26"/>
          <w:szCs w:val="26"/>
        </w:rPr>
      </w:pPr>
      <w:r>
        <w:rPr>
          <w:rFonts w:ascii="Times New Roman" w:hAnsi="Times New Roman"/>
          <w:sz w:val="26"/>
          <w:szCs w:val="26"/>
        </w:rPr>
        <w:t xml:space="preserve">Finally </w:t>
      </w:r>
      <w:r w:rsidR="00E2466E">
        <w:rPr>
          <w:rFonts w:ascii="Times New Roman" w:hAnsi="Times New Roman"/>
          <w:sz w:val="26"/>
          <w:szCs w:val="26"/>
        </w:rPr>
        <w:t>, the ALJ</w:t>
      </w:r>
      <w:r w:rsidR="00F96795" w:rsidRPr="00F96795">
        <w:rPr>
          <w:rFonts w:ascii="Times New Roman" w:hAnsi="Times New Roman"/>
          <w:sz w:val="26"/>
          <w:szCs w:val="26"/>
        </w:rPr>
        <w:t xml:space="preserve"> recommend</w:t>
      </w:r>
      <w:r w:rsidR="00E2466E">
        <w:rPr>
          <w:rFonts w:ascii="Times New Roman" w:hAnsi="Times New Roman"/>
          <w:sz w:val="26"/>
          <w:szCs w:val="26"/>
        </w:rPr>
        <w:t>ed that</w:t>
      </w:r>
      <w:r w:rsidR="00F96795" w:rsidRPr="00F96795">
        <w:rPr>
          <w:rFonts w:ascii="Times New Roman" w:hAnsi="Times New Roman"/>
          <w:sz w:val="26"/>
          <w:szCs w:val="26"/>
        </w:rPr>
        <w:t xml:space="preserve"> the Commission consider placing </w:t>
      </w:r>
      <w:r w:rsidR="00E2466E">
        <w:rPr>
          <w:rFonts w:ascii="Times New Roman" w:hAnsi="Times New Roman"/>
          <w:sz w:val="26"/>
          <w:szCs w:val="26"/>
        </w:rPr>
        <w:t>conditions upon Respond</w:t>
      </w:r>
      <w:r w:rsidR="00F96795" w:rsidRPr="00F96795">
        <w:rPr>
          <w:rFonts w:ascii="Times New Roman" w:hAnsi="Times New Roman"/>
          <w:sz w:val="26"/>
          <w:szCs w:val="26"/>
        </w:rPr>
        <w:t xml:space="preserve">’s license similar to those </w:t>
      </w:r>
      <w:r>
        <w:rPr>
          <w:rFonts w:ascii="Times New Roman" w:hAnsi="Times New Roman"/>
          <w:sz w:val="26"/>
          <w:szCs w:val="26"/>
        </w:rPr>
        <w:t>imposed</w:t>
      </w:r>
      <w:r w:rsidR="00F96795" w:rsidRPr="00F96795">
        <w:rPr>
          <w:rFonts w:ascii="Times New Roman" w:hAnsi="Times New Roman"/>
          <w:sz w:val="26"/>
          <w:szCs w:val="26"/>
        </w:rPr>
        <w:t xml:space="preserve"> in </w:t>
      </w:r>
      <w:r w:rsidR="00F96795" w:rsidRPr="00F96795">
        <w:rPr>
          <w:rFonts w:ascii="Times New Roman" w:hAnsi="Times New Roman"/>
          <w:i/>
          <w:sz w:val="26"/>
          <w:szCs w:val="26"/>
        </w:rPr>
        <w:t>Towne</w:t>
      </w:r>
      <w:r>
        <w:rPr>
          <w:rFonts w:ascii="Times New Roman" w:hAnsi="Times New Roman"/>
          <w:sz w:val="26"/>
          <w:szCs w:val="26"/>
        </w:rPr>
        <w:t>, for</w:t>
      </w:r>
      <w:r w:rsidR="00E2466E">
        <w:rPr>
          <w:rFonts w:ascii="Times New Roman" w:hAnsi="Times New Roman"/>
          <w:sz w:val="26"/>
          <w:szCs w:val="26"/>
        </w:rPr>
        <w:t xml:space="preserve"> example</w:t>
      </w:r>
      <w:r>
        <w:rPr>
          <w:rFonts w:ascii="Times New Roman" w:hAnsi="Times New Roman"/>
          <w:sz w:val="26"/>
          <w:szCs w:val="26"/>
        </w:rPr>
        <w:t xml:space="preserve"> to ensure Respond’s d</w:t>
      </w:r>
      <w:r w:rsidR="00F96795" w:rsidRPr="00F96795">
        <w:rPr>
          <w:rFonts w:ascii="Times New Roman" w:hAnsi="Times New Roman"/>
          <w:sz w:val="26"/>
          <w:szCs w:val="26"/>
        </w:rPr>
        <w:t xml:space="preserve">isclosure </w:t>
      </w:r>
      <w:r>
        <w:rPr>
          <w:rFonts w:ascii="Times New Roman" w:hAnsi="Times New Roman"/>
          <w:sz w:val="26"/>
          <w:szCs w:val="26"/>
        </w:rPr>
        <w:t>s</w:t>
      </w:r>
      <w:r w:rsidR="00F96795" w:rsidRPr="00F96795">
        <w:rPr>
          <w:rFonts w:ascii="Times New Roman" w:hAnsi="Times New Roman"/>
          <w:sz w:val="26"/>
          <w:szCs w:val="26"/>
        </w:rPr>
        <w:t>tatement compl</w:t>
      </w:r>
      <w:r>
        <w:rPr>
          <w:rFonts w:ascii="Times New Roman" w:hAnsi="Times New Roman"/>
          <w:sz w:val="26"/>
          <w:szCs w:val="26"/>
        </w:rPr>
        <w:t>ies</w:t>
      </w:r>
      <w:r w:rsidR="00F96795" w:rsidRPr="00F96795">
        <w:rPr>
          <w:rFonts w:ascii="Times New Roman" w:hAnsi="Times New Roman"/>
          <w:sz w:val="26"/>
          <w:szCs w:val="26"/>
        </w:rPr>
        <w:t xml:space="preserve"> with current </w:t>
      </w:r>
      <w:r w:rsidR="005E6066">
        <w:rPr>
          <w:rFonts w:ascii="Times New Roman" w:hAnsi="Times New Roman"/>
          <w:sz w:val="26"/>
          <w:szCs w:val="26"/>
        </w:rPr>
        <w:t>R</w:t>
      </w:r>
      <w:r w:rsidR="005E6066" w:rsidRPr="00F96795">
        <w:rPr>
          <w:rFonts w:ascii="Times New Roman" w:hAnsi="Times New Roman"/>
          <w:sz w:val="26"/>
          <w:szCs w:val="26"/>
        </w:rPr>
        <w:t>egulations</w:t>
      </w:r>
      <w:r>
        <w:rPr>
          <w:rFonts w:ascii="Times New Roman" w:hAnsi="Times New Roman"/>
          <w:sz w:val="26"/>
          <w:szCs w:val="26"/>
        </w:rPr>
        <w:t xml:space="preserve">, and that </w:t>
      </w:r>
      <w:r w:rsidR="00F96795" w:rsidRPr="00F96795">
        <w:rPr>
          <w:rFonts w:ascii="Times New Roman" w:hAnsi="Times New Roman"/>
          <w:sz w:val="26"/>
          <w:szCs w:val="26"/>
        </w:rPr>
        <w:t xml:space="preserve">Commission’s Office of Competitive Oversight </w:t>
      </w:r>
      <w:r w:rsidR="00322EA8">
        <w:rPr>
          <w:rFonts w:ascii="Times New Roman" w:hAnsi="Times New Roman"/>
          <w:sz w:val="26"/>
          <w:szCs w:val="26"/>
        </w:rPr>
        <w:t xml:space="preserve">(OCMO) </w:t>
      </w:r>
      <w:r w:rsidR="00F96795" w:rsidRPr="00F96795">
        <w:rPr>
          <w:rFonts w:ascii="Times New Roman" w:hAnsi="Times New Roman"/>
          <w:sz w:val="26"/>
          <w:szCs w:val="26"/>
        </w:rPr>
        <w:t>and Bureau of Investigation and Enfor</w:t>
      </w:r>
      <w:r w:rsidR="00E2466E">
        <w:rPr>
          <w:rFonts w:ascii="Times New Roman" w:hAnsi="Times New Roman"/>
          <w:sz w:val="26"/>
          <w:szCs w:val="26"/>
        </w:rPr>
        <w:t xml:space="preserve">cement </w:t>
      </w:r>
      <w:r w:rsidR="00322EA8">
        <w:rPr>
          <w:rFonts w:ascii="Times New Roman" w:hAnsi="Times New Roman"/>
          <w:sz w:val="26"/>
          <w:szCs w:val="26"/>
        </w:rPr>
        <w:t xml:space="preserve">(I&amp;E) </w:t>
      </w:r>
      <w:r w:rsidR="00E2466E">
        <w:rPr>
          <w:rFonts w:ascii="Times New Roman" w:hAnsi="Times New Roman"/>
          <w:sz w:val="26"/>
          <w:szCs w:val="26"/>
        </w:rPr>
        <w:t>investigate Respond</w:t>
      </w:r>
      <w:r w:rsidR="00F96795" w:rsidRPr="00F96795">
        <w:rPr>
          <w:rFonts w:ascii="Times New Roman" w:hAnsi="Times New Roman"/>
          <w:sz w:val="26"/>
          <w:szCs w:val="26"/>
        </w:rPr>
        <w:t xml:space="preserve">’s verification records, training manuals, marketing materials, and the audit and discipline history of door-to-door agents, to determine compliance </w:t>
      </w:r>
      <w:r>
        <w:rPr>
          <w:rFonts w:ascii="Times New Roman" w:hAnsi="Times New Roman"/>
          <w:sz w:val="26"/>
          <w:szCs w:val="26"/>
        </w:rPr>
        <w:t xml:space="preserve">with </w:t>
      </w:r>
      <w:r w:rsidR="00F96795" w:rsidRPr="00F96795">
        <w:rPr>
          <w:rFonts w:ascii="Times New Roman" w:hAnsi="Times New Roman"/>
          <w:sz w:val="26"/>
          <w:szCs w:val="26"/>
        </w:rPr>
        <w:t xml:space="preserve">Commission </w:t>
      </w:r>
      <w:r w:rsidR="005E6066">
        <w:rPr>
          <w:rFonts w:ascii="Times New Roman" w:hAnsi="Times New Roman"/>
          <w:sz w:val="26"/>
          <w:szCs w:val="26"/>
        </w:rPr>
        <w:t>R</w:t>
      </w:r>
      <w:r w:rsidR="00F96795" w:rsidRPr="00F96795">
        <w:rPr>
          <w:rFonts w:ascii="Times New Roman" w:hAnsi="Times New Roman"/>
          <w:sz w:val="26"/>
          <w:szCs w:val="26"/>
        </w:rPr>
        <w:t>egulations.</w:t>
      </w:r>
      <w:r w:rsidR="00E2466E">
        <w:rPr>
          <w:rFonts w:ascii="Times New Roman" w:hAnsi="Times New Roman"/>
          <w:sz w:val="26"/>
          <w:szCs w:val="26"/>
        </w:rPr>
        <w:t xml:space="preserve">  </w:t>
      </w:r>
      <w:proofErr w:type="gramStart"/>
      <w:r>
        <w:rPr>
          <w:rFonts w:ascii="Times New Roman" w:hAnsi="Times New Roman"/>
          <w:i/>
          <w:sz w:val="26"/>
          <w:szCs w:val="26"/>
        </w:rPr>
        <w:t>Id</w:t>
      </w:r>
      <w:r w:rsidR="00E2466E">
        <w:rPr>
          <w:rFonts w:ascii="Times New Roman" w:hAnsi="Times New Roman"/>
          <w:sz w:val="26"/>
          <w:szCs w:val="26"/>
        </w:rPr>
        <w:t>. at 50.</w:t>
      </w:r>
      <w:proofErr w:type="gramEnd"/>
    </w:p>
    <w:p w:rsidR="00F966F1" w:rsidRDefault="00F966F1" w:rsidP="00F96795">
      <w:pPr>
        <w:ind w:firstLine="1440"/>
        <w:rPr>
          <w:rFonts w:ascii="Times New Roman" w:hAnsi="Times New Roman"/>
          <w:sz w:val="26"/>
          <w:szCs w:val="26"/>
        </w:rPr>
      </w:pPr>
    </w:p>
    <w:p w:rsidR="00F96795" w:rsidRPr="0072096A" w:rsidRDefault="001946EE" w:rsidP="00F531DC">
      <w:pPr>
        <w:keepNext/>
        <w:keepLines/>
        <w:ind w:left="720" w:firstLine="720"/>
        <w:rPr>
          <w:rFonts w:ascii="Times New Roman" w:hAnsi="Times New Roman"/>
          <w:sz w:val="26"/>
          <w:szCs w:val="26"/>
        </w:rPr>
      </w:pPr>
      <w:r>
        <w:rPr>
          <w:rFonts w:ascii="Times New Roman" w:hAnsi="Times New Roman"/>
          <w:b/>
          <w:sz w:val="26"/>
          <w:szCs w:val="26"/>
        </w:rPr>
        <w:t>b.</w:t>
      </w:r>
      <w:r>
        <w:rPr>
          <w:rFonts w:ascii="Times New Roman" w:hAnsi="Times New Roman"/>
          <w:b/>
          <w:sz w:val="26"/>
          <w:szCs w:val="26"/>
        </w:rPr>
        <w:tab/>
        <w:t xml:space="preserve">Respond’s </w:t>
      </w:r>
      <w:r w:rsidR="00F966F1" w:rsidRPr="001946EE">
        <w:rPr>
          <w:rFonts w:ascii="Times New Roman" w:hAnsi="Times New Roman"/>
          <w:b/>
          <w:sz w:val="26"/>
          <w:szCs w:val="26"/>
        </w:rPr>
        <w:t>Exception</w:t>
      </w:r>
    </w:p>
    <w:p w:rsidR="00F966F1" w:rsidRPr="0072096A" w:rsidRDefault="00F966F1" w:rsidP="00F531DC">
      <w:pPr>
        <w:keepNext/>
        <w:keepLines/>
        <w:ind w:firstLine="1440"/>
        <w:rPr>
          <w:rFonts w:ascii="Times New Roman" w:hAnsi="Times New Roman"/>
          <w:sz w:val="26"/>
          <w:szCs w:val="26"/>
        </w:rPr>
      </w:pPr>
    </w:p>
    <w:p w:rsidR="006645CA" w:rsidRPr="00F966F1" w:rsidRDefault="006645CA" w:rsidP="00F966F1">
      <w:pPr>
        <w:ind w:firstLine="1440"/>
        <w:rPr>
          <w:rFonts w:ascii="Times New Roman" w:hAnsi="Times New Roman"/>
          <w:sz w:val="26"/>
          <w:szCs w:val="26"/>
        </w:rPr>
      </w:pPr>
      <w:r w:rsidRPr="00F966F1">
        <w:rPr>
          <w:rFonts w:ascii="Times New Roman" w:hAnsi="Times New Roman"/>
          <w:sz w:val="26"/>
          <w:szCs w:val="26"/>
        </w:rPr>
        <w:t xml:space="preserve">In its Exception No. 5 Respond </w:t>
      </w:r>
      <w:r w:rsidR="0072096A">
        <w:rPr>
          <w:rFonts w:ascii="Times New Roman" w:hAnsi="Times New Roman"/>
          <w:sz w:val="26"/>
          <w:szCs w:val="26"/>
        </w:rPr>
        <w:t xml:space="preserve">argues </w:t>
      </w:r>
      <w:r w:rsidRPr="00F966F1">
        <w:rPr>
          <w:rFonts w:ascii="Times New Roman" w:hAnsi="Times New Roman"/>
          <w:sz w:val="26"/>
          <w:szCs w:val="26"/>
        </w:rPr>
        <w:t xml:space="preserve">that </w:t>
      </w:r>
      <w:r w:rsidR="0072096A" w:rsidRPr="0072096A">
        <w:rPr>
          <w:rFonts w:ascii="Times New Roman" w:hAnsi="Times New Roman"/>
          <w:sz w:val="26"/>
          <w:szCs w:val="26"/>
        </w:rPr>
        <w:t>in determining that each violation warranted a $1,000 penalty</w:t>
      </w:r>
      <w:r w:rsidR="0072096A">
        <w:rPr>
          <w:rFonts w:ascii="Times New Roman" w:hAnsi="Times New Roman"/>
          <w:sz w:val="26"/>
          <w:szCs w:val="26"/>
        </w:rPr>
        <w:t>,</w:t>
      </w:r>
      <w:r w:rsidR="0072096A" w:rsidRPr="0072096A">
        <w:rPr>
          <w:rFonts w:ascii="Times New Roman" w:hAnsi="Times New Roman"/>
          <w:sz w:val="26"/>
          <w:szCs w:val="26"/>
        </w:rPr>
        <w:t xml:space="preserve"> </w:t>
      </w:r>
      <w:r w:rsidRPr="00F966F1">
        <w:rPr>
          <w:rFonts w:ascii="Times New Roman" w:hAnsi="Times New Roman"/>
          <w:sz w:val="26"/>
          <w:szCs w:val="26"/>
        </w:rPr>
        <w:t xml:space="preserve">the ALJ failed to apply the relevant factors </w:t>
      </w:r>
      <w:r w:rsidR="0072096A">
        <w:rPr>
          <w:rFonts w:ascii="Times New Roman" w:hAnsi="Times New Roman"/>
          <w:sz w:val="26"/>
          <w:szCs w:val="26"/>
        </w:rPr>
        <w:t>under our policy statement appropriately.  Characterizing the ALJ’s finding</w:t>
      </w:r>
      <w:r w:rsidR="00322C51">
        <w:rPr>
          <w:rFonts w:ascii="Times New Roman" w:hAnsi="Times New Roman"/>
          <w:sz w:val="26"/>
          <w:szCs w:val="26"/>
        </w:rPr>
        <w:t>s</w:t>
      </w:r>
      <w:r w:rsidR="0072096A">
        <w:rPr>
          <w:rFonts w:ascii="Times New Roman" w:hAnsi="Times New Roman"/>
          <w:sz w:val="26"/>
          <w:szCs w:val="26"/>
        </w:rPr>
        <w:t xml:space="preserve"> </w:t>
      </w:r>
      <w:r w:rsidR="00322C51">
        <w:rPr>
          <w:rFonts w:ascii="Times New Roman" w:hAnsi="Times New Roman"/>
          <w:sz w:val="26"/>
          <w:szCs w:val="26"/>
        </w:rPr>
        <w:t xml:space="preserve">as based on one instance of a misleading </w:t>
      </w:r>
      <w:proofErr w:type="gramStart"/>
      <w:r w:rsidR="00322C51">
        <w:rPr>
          <w:rFonts w:ascii="Times New Roman" w:hAnsi="Times New Roman"/>
          <w:sz w:val="26"/>
          <w:szCs w:val="26"/>
        </w:rPr>
        <w:t>representation,</w:t>
      </w:r>
      <w:proofErr w:type="gramEnd"/>
      <w:r w:rsidR="00322C51">
        <w:rPr>
          <w:rFonts w:ascii="Times New Roman" w:hAnsi="Times New Roman"/>
          <w:sz w:val="26"/>
          <w:szCs w:val="26"/>
        </w:rPr>
        <w:t xml:space="preserve"> </w:t>
      </w:r>
      <w:r w:rsidR="0072096A">
        <w:rPr>
          <w:rFonts w:ascii="Times New Roman" w:hAnsi="Times New Roman"/>
          <w:sz w:val="26"/>
          <w:szCs w:val="26"/>
        </w:rPr>
        <w:t>Respond challenge</w:t>
      </w:r>
      <w:r w:rsidR="00322C51">
        <w:rPr>
          <w:rFonts w:ascii="Times New Roman" w:hAnsi="Times New Roman"/>
          <w:sz w:val="26"/>
          <w:szCs w:val="26"/>
        </w:rPr>
        <w:t>s</w:t>
      </w:r>
      <w:r w:rsidR="0072096A">
        <w:rPr>
          <w:rFonts w:ascii="Times New Roman" w:hAnsi="Times New Roman"/>
          <w:sz w:val="26"/>
          <w:szCs w:val="26"/>
        </w:rPr>
        <w:t xml:space="preserve"> the ALJ’s application of our Section 69.1201 criteria to each separate violation </w:t>
      </w:r>
      <w:r w:rsidR="00322C51">
        <w:rPr>
          <w:rFonts w:ascii="Times New Roman" w:hAnsi="Times New Roman"/>
          <w:sz w:val="26"/>
          <w:szCs w:val="26"/>
        </w:rPr>
        <w:t xml:space="preserve">of a Regulation </w:t>
      </w:r>
      <w:r w:rsidR="0072096A">
        <w:rPr>
          <w:rFonts w:ascii="Times New Roman" w:hAnsi="Times New Roman"/>
          <w:sz w:val="26"/>
          <w:szCs w:val="26"/>
        </w:rPr>
        <w:t xml:space="preserve">and her assignment of a separate $1,000 penalty to each.  </w:t>
      </w:r>
      <w:r w:rsidR="000D6B65" w:rsidRPr="00F966F1">
        <w:rPr>
          <w:rFonts w:ascii="Times New Roman" w:hAnsi="Times New Roman"/>
          <w:sz w:val="26"/>
          <w:szCs w:val="26"/>
        </w:rPr>
        <w:t xml:space="preserve">Respond Exc. at 38. </w:t>
      </w:r>
    </w:p>
    <w:p w:rsidR="000D6B65" w:rsidRPr="000D6B65" w:rsidRDefault="000D6B65" w:rsidP="000D6B65"/>
    <w:p w:rsidR="009A4A26" w:rsidRDefault="00322C51" w:rsidP="005B10E2">
      <w:pPr>
        <w:pStyle w:val="BodyFirst1SS"/>
        <w:spacing w:line="360" w:lineRule="auto"/>
        <w:ind w:firstLine="1440"/>
        <w:jc w:val="left"/>
        <w:rPr>
          <w:sz w:val="26"/>
          <w:szCs w:val="26"/>
        </w:rPr>
      </w:pPr>
      <w:r>
        <w:rPr>
          <w:sz w:val="26"/>
          <w:szCs w:val="26"/>
        </w:rPr>
        <w:t xml:space="preserve">Respond argues that </w:t>
      </w:r>
      <w:r w:rsidR="00322EA8">
        <w:rPr>
          <w:sz w:val="26"/>
          <w:szCs w:val="26"/>
        </w:rPr>
        <w:t xml:space="preserve">imposing </w:t>
      </w:r>
      <w:r w:rsidR="006645CA" w:rsidRPr="00DE68FB">
        <w:rPr>
          <w:sz w:val="26"/>
          <w:szCs w:val="26"/>
        </w:rPr>
        <w:t>a $10,000 civil penalty for essentially one violation far exceed</w:t>
      </w:r>
      <w:r>
        <w:rPr>
          <w:sz w:val="26"/>
          <w:szCs w:val="26"/>
        </w:rPr>
        <w:t>s</w:t>
      </w:r>
      <w:r w:rsidR="006645CA" w:rsidRPr="00DE68FB">
        <w:rPr>
          <w:sz w:val="26"/>
          <w:szCs w:val="26"/>
        </w:rPr>
        <w:t xml:space="preserve"> the Commission’s </w:t>
      </w:r>
      <w:r w:rsidR="005B10E2">
        <w:rPr>
          <w:sz w:val="26"/>
          <w:szCs w:val="26"/>
        </w:rPr>
        <w:t xml:space="preserve">authority.  </w:t>
      </w:r>
      <w:r w:rsidR="00322EA8">
        <w:rPr>
          <w:sz w:val="26"/>
          <w:szCs w:val="26"/>
        </w:rPr>
        <w:t xml:space="preserve">Although </w:t>
      </w:r>
      <w:r>
        <w:rPr>
          <w:sz w:val="26"/>
          <w:szCs w:val="26"/>
        </w:rPr>
        <w:t xml:space="preserve">agreeing that </w:t>
      </w:r>
      <w:r w:rsidR="006645CA" w:rsidRPr="00DE68FB">
        <w:rPr>
          <w:sz w:val="26"/>
          <w:szCs w:val="26"/>
        </w:rPr>
        <w:t xml:space="preserve">misleading </w:t>
      </w:r>
      <w:r w:rsidR="006645CA" w:rsidRPr="00DE68FB">
        <w:rPr>
          <w:sz w:val="26"/>
          <w:szCs w:val="26"/>
        </w:rPr>
        <w:lastRenderedPageBreak/>
        <w:t>statements of promised savings is a serious matter that</w:t>
      </w:r>
      <w:r>
        <w:rPr>
          <w:sz w:val="26"/>
          <w:szCs w:val="26"/>
        </w:rPr>
        <w:t xml:space="preserve"> can </w:t>
      </w:r>
      <w:r w:rsidR="006645CA" w:rsidRPr="00DE68FB">
        <w:rPr>
          <w:sz w:val="26"/>
          <w:szCs w:val="26"/>
        </w:rPr>
        <w:t>adversely affect the compet</w:t>
      </w:r>
      <w:r w:rsidR="005B10E2">
        <w:rPr>
          <w:sz w:val="26"/>
          <w:szCs w:val="26"/>
        </w:rPr>
        <w:t xml:space="preserve">itive market, </w:t>
      </w:r>
      <w:r w:rsidR="00322EA8">
        <w:rPr>
          <w:sz w:val="26"/>
          <w:szCs w:val="26"/>
        </w:rPr>
        <w:t xml:space="preserve">Respond </w:t>
      </w:r>
      <w:r>
        <w:rPr>
          <w:sz w:val="26"/>
          <w:szCs w:val="26"/>
        </w:rPr>
        <w:t xml:space="preserve">characterizes this violation, if true, as “at most, a rogue agent who departed from the training script that was provided to him” and not a “willful company-wide campaign” of deception.  </w:t>
      </w:r>
      <w:proofErr w:type="gramStart"/>
      <w:r>
        <w:rPr>
          <w:i/>
          <w:sz w:val="26"/>
          <w:szCs w:val="26"/>
        </w:rPr>
        <w:t xml:space="preserve">Id. </w:t>
      </w:r>
      <w:r>
        <w:rPr>
          <w:sz w:val="26"/>
          <w:szCs w:val="26"/>
        </w:rPr>
        <w:t>at 39.</w:t>
      </w:r>
      <w:proofErr w:type="gramEnd"/>
      <w:r>
        <w:rPr>
          <w:sz w:val="26"/>
          <w:szCs w:val="26"/>
        </w:rPr>
        <w:t xml:space="preserve">  </w:t>
      </w:r>
      <w:r w:rsidR="006645CA" w:rsidRPr="00DE68FB">
        <w:rPr>
          <w:sz w:val="26"/>
          <w:szCs w:val="26"/>
        </w:rPr>
        <w:t xml:space="preserve">Rather than </w:t>
      </w:r>
      <w:r w:rsidR="00322EA8">
        <w:rPr>
          <w:sz w:val="26"/>
          <w:szCs w:val="26"/>
        </w:rPr>
        <w:t>“</w:t>
      </w:r>
      <w:r w:rsidR="006645CA" w:rsidRPr="00DE68FB">
        <w:rPr>
          <w:sz w:val="26"/>
          <w:szCs w:val="26"/>
        </w:rPr>
        <w:t>stacking</w:t>
      </w:r>
      <w:r w:rsidR="00322EA8">
        <w:rPr>
          <w:sz w:val="26"/>
          <w:szCs w:val="26"/>
        </w:rPr>
        <w:t>”</w:t>
      </w:r>
      <w:r w:rsidR="006645CA" w:rsidRPr="00DE68FB">
        <w:rPr>
          <w:sz w:val="26"/>
          <w:szCs w:val="26"/>
        </w:rPr>
        <w:t xml:space="preserve"> violations or imposing a $10,000 civil penalty for one finding of improper conduct, </w:t>
      </w:r>
      <w:r w:rsidR="005B10E2">
        <w:rPr>
          <w:sz w:val="26"/>
          <w:szCs w:val="26"/>
        </w:rPr>
        <w:t xml:space="preserve">Respond </w:t>
      </w:r>
      <w:r w:rsidR="00322EA8">
        <w:rPr>
          <w:sz w:val="26"/>
          <w:szCs w:val="26"/>
        </w:rPr>
        <w:t xml:space="preserve">contends that </w:t>
      </w:r>
      <w:r w:rsidR="006645CA" w:rsidRPr="00DE68FB">
        <w:rPr>
          <w:sz w:val="26"/>
          <w:szCs w:val="26"/>
        </w:rPr>
        <w:t>the Commission would be better served by ensuring th</w:t>
      </w:r>
      <w:r w:rsidR="005B10E2">
        <w:rPr>
          <w:sz w:val="26"/>
          <w:szCs w:val="26"/>
        </w:rPr>
        <w:t xml:space="preserve">at Respond </w:t>
      </w:r>
      <w:r w:rsidR="006645CA" w:rsidRPr="00DE68FB">
        <w:rPr>
          <w:sz w:val="26"/>
          <w:szCs w:val="26"/>
        </w:rPr>
        <w:t xml:space="preserve">has the necessary protocols in place to ensure compliance with </w:t>
      </w:r>
      <w:r w:rsidR="005B10E2">
        <w:rPr>
          <w:sz w:val="26"/>
          <w:szCs w:val="26"/>
        </w:rPr>
        <w:t xml:space="preserve">the </w:t>
      </w:r>
      <w:r w:rsidR="005E6066">
        <w:rPr>
          <w:sz w:val="26"/>
          <w:szCs w:val="26"/>
        </w:rPr>
        <w:t>R</w:t>
      </w:r>
      <w:r w:rsidR="005B10E2">
        <w:rPr>
          <w:sz w:val="26"/>
          <w:szCs w:val="26"/>
        </w:rPr>
        <w:t>egulations</w:t>
      </w:r>
      <w:r w:rsidR="00322EA8">
        <w:rPr>
          <w:sz w:val="26"/>
          <w:szCs w:val="26"/>
        </w:rPr>
        <w:t xml:space="preserve"> going forward, and </w:t>
      </w:r>
      <w:r w:rsidR="006645CA" w:rsidRPr="00DE68FB">
        <w:rPr>
          <w:sz w:val="26"/>
          <w:szCs w:val="26"/>
        </w:rPr>
        <w:t>welcomes the opport</w:t>
      </w:r>
      <w:r w:rsidR="005B10E2">
        <w:rPr>
          <w:sz w:val="26"/>
          <w:szCs w:val="26"/>
        </w:rPr>
        <w:t>unity to work with BCS and OCMO</w:t>
      </w:r>
      <w:r w:rsidR="00322EA8">
        <w:rPr>
          <w:sz w:val="26"/>
          <w:szCs w:val="26"/>
        </w:rPr>
        <w:t>,</w:t>
      </w:r>
      <w:r w:rsidR="005B10E2">
        <w:rPr>
          <w:sz w:val="26"/>
          <w:szCs w:val="26"/>
        </w:rPr>
        <w:t xml:space="preserve"> but </w:t>
      </w:r>
      <w:r w:rsidR="00D04A4E">
        <w:rPr>
          <w:sz w:val="26"/>
          <w:szCs w:val="26"/>
        </w:rPr>
        <w:t xml:space="preserve">contends </w:t>
      </w:r>
      <w:r w:rsidR="005B10E2">
        <w:rPr>
          <w:sz w:val="26"/>
          <w:szCs w:val="26"/>
        </w:rPr>
        <w:t xml:space="preserve">that </w:t>
      </w:r>
      <w:r w:rsidR="006645CA" w:rsidRPr="00DE68FB">
        <w:rPr>
          <w:sz w:val="26"/>
          <w:szCs w:val="26"/>
        </w:rPr>
        <w:t>no further referral to I&amp;E is warranted</w:t>
      </w:r>
      <w:r w:rsidR="00D04A4E">
        <w:rPr>
          <w:sz w:val="26"/>
          <w:szCs w:val="26"/>
        </w:rPr>
        <w:t xml:space="preserve"> because of </w:t>
      </w:r>
      <w:r w:rsidR="00D04A4E" w:rsidRPr="00D04A4E">
        <w:rPr>
          <w:sz w:val="26"/>
          <w:szCs w:val="26"/>
        </w:rPr>
        <w:t>a pending complaint filed by I&amp;E,</w:t>
      </w:r>
      <w:r w:rsidR="006645CA" w:rsidRPr="00DE68FB">
        <w:rPr>
          <w:sz w:val="26"/>
          <w:szCs w:val="26"/>
        </w:rPr>
        <w:t>.</w:t>
      </w:r>
      <w:r w:rsidR="005B10E2">
        <w:rPr>
          <w:sz w:val="26"/>
          <w:szCs w:val="26"/>
        </w:rPr>
        <w:t xml:space="preserve">  </w:t>
      </w:r>
      <w:proofErr w:type="gramStart"/>
      <w:r w:rsidR="00322EA8">
        <w:rPr>
          <w:i/>
          <w:sz w:val="26"/>
          <w:szCs w:val="26"/>
        </w:rPr>
        <w:t>Id</w:t>
      </w:r>
      <w:r w:rsidR="005B10E2">
        <w:rPr>
          <w:sz w:val="26"/>
          <w:szCs w:val="26"/>
        </w:rPr>
        <w:t>. at 39.</w:t>
      </w:r>
      <w:proofErr w:type="gramEnd"/>
    </w:p>
    <w:p w:rsidR="00F966F1" w:rsidRDefault="00F966F1" w:rsidP="005B10E2">
      <w:pPr>
        <w:pStyle w:val="BodyFirst1SS"/>
        <w:spacing w:line="360" w:lineRule="auto"/>
        <w:ind w:firstLine="1440"/>
        <w:jc w:val="left"/>
        <w:rPr>
          <w:sz w:val="26"/>
          <w:szCs w:val="26"/>
        </w:rPr>
      </w:pPr>
    </w:p>
    <w:p w:rsidR="00F966F1" w:rsidRPr="00F966F1" w:rsidRDefault="001946EE" w:rsidP="00F531DC">
      <w:pPr>
        <w:pStyle w:val="BodyFirst1SS"/>
        <w:keepNext/>
        <w:keepLines/>
        <w:spacing w:line="360" w:lineRule="auto"/>
        <w:ind w:left="720"/>
        <w:jc w:val="left"/>
        <w:rPr>
          <w:b/>
          <w:sz w:val="26"/>
          <w:szCs w:val="26"/>
        </w:rPr>
      </w:pPr>
      <w:r>
        <w:rPr>
          <w:b/>
          <w:sz w:val="26"/>
          <w:szCs w:val="26"/>
        </w:rPr>
        <w:t>c.</w:t>
      </w:r>
      <w:r>
        <w:rPr>
          <w:b/>
          <w:sz w:val="26"/>
          <w:szCs w:val="26"/>
        </w:rPr>
        <w:tab/>
        <w:t xml:space="preserve">The </w:t>
      </w:r>
      <w:r w:rsidR="00F966F1">
        <w:rPr>
          <w:b/>
          <w:sz w:val="26"/>
          <w:szCs w:val="26"/>
        </w:rPr>
        <w:t>OCA’s Repl</w:t>
      </w:r>
      <w:r>
        <w:rPr>
          <w:b/>
          <w:sz w:val="26"/>
          <w:szCs w:val="26"/>
        </w:rPr>
        <w:t>y</w:t>
      </w:r>
    </w:p>
    <w:p w:rsidR="009A4A26" w:rsidRDefault="009A4A26" w:rsidP="00F531DC">
      <w:pPr>
        <w:pStyle w:val="BodyFirst1SS"/>
        <w:keepNext/>
        <w:keepLines/>
        <w:spacing w:line="360" w:lineRule="auto"/>
        <w:ind w:firstLine="1440"/>
        <w:jc w:val="left"/>
        <w:rPr>
          <w:sz w:val="26"/>
          <w:szCs w:val="26"/>
        </w:rPr>
      </w:pPr>
    </w:p>
    <w:p w:rsidR="006645CA" w:rsidRDefault="00DB02DA" w:rsidP="005B10E2">
      <w:pPr>
        <w:pStyle w:val="BodyFirst1SS"/>
        <w:spacing w:line="360" w:lineRule="auto"/>
        <w:ind w:firstLine="1440"/>
        <w:jc w:val="left"/>
        <w:rPr>
          <w:sz w:val="26"/>
          <w:szCs w:val="26"/>
        </w:rPr>
      </w:pPr>
      <w:r>
        <w:rPr>
          <w:sz w:val="26"/>
          <w:szCs w:val="26"/>
        </w:rPr>
        <w:t>T</w:t>
      </w:r>
      <w:r w:rsidR="009A4A26">
        <w:rPr>
          <w:sz w:val="26"/>
          <w:szCs w:val="26"/>
        </w:rPr>
        <w:t xml:space="preserve">he OCA </w:t>
      </w:r>
      <w:r>
        <w:rPr>
          <w:sz w:val="26"/>
          <w:szCs w:val="26"/>
        </w:rPr>
        <w:t xml:space="preserve">contends that the </w:t>
      </w:r>
      <w:r w:rsidR="009A4A26">
        <w:rPr>
          <w:sz w:val="26"/>
          <w:szCs w:val="26"/>
        </w:rPr>
        <w:t xml:space="preserve">ALJ </w:t>
      </w:r>
      <w:r>
        <w:rPr>
          <w:sz w:val="26"/>
          <w:szCs w:val="26"/>
        </w:rPr>
        <w:t>properly considered the evidence by finding Respond’s agent misrepresented sales information to Mr. Herp</w:t>
      </w:r>
      <w:r w:rsidR="00D04A4E">
        <w:rPr>
          <w:sz w:val="26"/>
          <w:szCs w:val="26"/>
        </w:rPr>
        <w:t xml:space="preserve">.  The OCA also </w:t>
      </w:r>
      <w:r>
        <w:rPr>
          <w:sz w:val="26"/>
          <w:szCs w:val="26"/>
        </w:rPr>
        <w:t>reject</w:t>
      </w:r>
      <w:r w:rsidR="00D04A4E">
        <w:rPr>
          <w:sz w:val="26"/>
          <w:szCs w:val="26"/>
        </w:rPr>
        <w:t>s</w:t>
      </w:r>
      <w:r>
        <w:rPr>
          <w:sz w:val="26"/>
          <w:szCs w:val="26"/>
        </w:rPr>
        <w:t xml:space="preserve"> Respond’s defense of its disclosure statement.  Based upon the </w:t>
      </w:r>
      <w:r w:rsidR="00D04A4E">
        <w:rPr>
          <w:sz w:val="26"/>
          <w:szCs w:val="26"/>
        </w:rPr>
        <w:t xml:space="preserve">ALJ’s </w:t>
      </w:r>
      <w:r>
        <w:rPr>
          <w:sz w:val="26"/>
          <w:szCs w:val="26"/>
        </w:rPr>
        <w:t xml:space="preserve">findings and </w:t>
      </w:r>
      <w:r w:rsidR="00D04A4E">
        <w:rPr>
          <w:sz w:val="26"/>
          <w:szCs w:val="26"/>
        </w:rPr>
        <w:t xml:space="preserve">in </w:t>
      </w:r>
      <w:r>
        <w:rPr>
          <w:sz w:val="26"/>
          <w:szCs w:val="26"/>
        </w:rPr>
        <w:t>consideration of our Section 69.1201</w:t>
      </w:r>
      <w:r w:rsidR="00CE58F9">
        <w:rPr>
          <w:sz w:val="26"/>
          <w:szCs w:val="26"/>
        </w:rPr>
        <w:t>(c)</w:t>
      </w:r>
      <w:r>
        <w:rPr>
          <w:sz w:val="26"/>
          <w:szCs w:val="26"/>
        </w:rPr>
        <w:t xml:space="preserve"> criteria, which </w:t>
      </w:r>
      <w:r w:rsidR="00CE58F9">
        <w:rPr>
          <w:sz w:val="26"/>
          <w:szCs w:val="26"/>
        </w:rPr>
        <w:t xml:space="preserve">the OCA asserts </w:t>
      </w:r>
      <w:r w:rsidR="00D04A4E">
        <w:rPr>
          <w:sz w:val="26"/>
          <w:szCs w:val="26"/>
        </w:rPr>
        <w:t xml:space="preserve">should be </w:t>
      </w:r>
      <w:r w:rsidR="00CE58F9">
        <w:rPr>
          <w:sz w:val="26"/>
          <w:szCs w:val="26"/>
        </w:rPr>
        <w:t xml:space="preserve">more </w:t>
      </w:r>
      <w:r w:rsidR="00CE58F9" w:rsidRPr="00CE58F9">
        <w:rPr>
          <w:sz w:val="26"/>
          <w:szCs w:val="26"/>
        </w:rPr>
        <w:t xml:space="preserve">strictly applied in a litigated proceeding </w:t>
      </w:r>
      <w:r w:rsidR="00CE58F9">
        <w:rPr>
          <w:sz w:val="26"/>
          <w:szCs w:val="26"/>
        </w:rPr>
        <w:t>pursuant to Section 69.1201(b)</w:t>
      </w:r>
      <w:proofErr w:type="gramStart"/>
      <w:r>
        <w:rPr>
          <w:sz w:val="26"/>
          <w:szCs w:val="26"/>
        </w:rPr>
        <w:t>,</w:t>
      </w:r>
      <w:proofErr w:type="gramEnd"/>
      <w:r>
        <w:rPr>
          <w:sz w:val="26"/>
          <w:szCs w:val="26"/>
        </w:rPr>
        <w:t xml:space="preserve"> the OCA concludes that the ALJ properly imposed a $10,000 penalty.  </w:t>
      </w:r>
      <w:r w:rsidR="009F3517">
        <w:rPr>
          <w:sz w:val="26"/>
          <w:szCs w:val="26"/>
        </w:rPr>
        <w:t>OCA R. Exc. at 23-24.</w:t>
      </w:r>
    </w:p>
    <w:p w:rsidR="00F966F1" w:rsidRDefault="00F966F1" w:rsidP="005B10E2">
      <w:pPr>
        <w:pStyle w:val="BodyFirst1SS"/>
        <w:spacing w:line="360" w:lineRule="auto"/>
        <w:ind w:firstLine="1440"/>
        <w:jc w:val="left"/>
        <w:rPr>
          <w:sz w:val="26"/>
          <w:szCs w:val="26"/>
        </w:rPr>
      </w:pPr>
    </w:p>
    <w:p w:rsidR="00F966F1" w:rsidRPr="009049B8" w:rsidRDefault="001946EE" w:rsidP="00F531DC">
      <w:pPr>
        <w:pStyle w:val="BodyFirst1SS"/>
        <w:keepNext/>
        <w:keepLines/>
        <w:spacing w:line="360" w:lineRule="auto"/>
        <w:ind w:left="720"/>
        <w:jc w:val="left"/>
        <w:rPr>
          <w:sz w:val="26"/>
          <w:szCs w:val="26"/>
        </w:rPr>
      </w:pPr>
      <w:r>
        <w:rPr>
          <w:b/>
          <w:sz w:val="26"/>
          <w:szCs w:val="26"/>
        </w:rPr>
        <w:t>d.</w:t>
      </w:r>
      <w:r>
        <w:rPr>
          <w:b/>
          <w:sz w:val="26"/>
          <w:szCs w:val="26"/>
        </w:rPr>
        <w:tab/>
      </w:r>
      <w:r w:rsidR="00F966F1">
        <w:rPr>
          <w:b/>
          <w:sz w:val="26"/>
          <w:szCs w:val="26"/>
        </w:rPr>
        <w:t>Disposition</w:t>
      </w:r>
    </w:p>
    <w:p w:rsidR="0038138D" w:rsidRPr="009049B8" w:rsidRDefault="0038138D" w:rsidP="00F531DC">
      <w:pPr>
        <w:pStyle w:val="BodyFirst1SS"/>
        <w:keepNext/>
        <w:keepLines/>
        <w:spacing w:line="360" w:lineRule="auto"/>
        <w:ind w:left="1080" w:firstLine="0"/>
        <w:jc w:val="left"/>
        <w:rPr>
          <w:sz w:val="26"/>
          <w:szCs w:val="26"/>
        </w:rPr>
      </w:pPr>
    </w:p>
    <w:p w:rsidR="00D57218" w:rsidRDefault="009049B8" w:rsidP="00C5531A">
      <w:pPr>
        <w:pStyle w:val="BodyFirst1SS"/>
        <w:spacing w:line="360" w:lineRule="auto"/>
        <w:ind w:firstLine="1440"/>
        <w:jc w:val="left"/>
        <w:rPr>
          <w:sz w:val="26"/>
          <w:szCs w:val="26"/>
        </w:rPr>
      </w:pPr>
      <w:r>
        <w:rPr>
          <w:sz w:val="26"/>
          <w:szCs w:val="26"/>
        </w:rPr>
        <w:t>Consistent with</w:t>
      </w:r>
      <w:r w:rsidR="0038138D" w:rsidRPr="0038138D">
        <w:rPr>
          <w:sz w:val="26"/>
          <w:szCs w:val="26"/>
        </w:rPr>
        <w:t xml:space="preserve"> our r</w:t>
      </w:r>
      <w:r w:rsidR="002C7433">
        <w:rPr>
          <w:sz w:val="26"/>
          <w:szCs w:val="26"/>
        </w:rPr>
        <w:t>esolution of Respond’s Exception Nos. 1 and 4, w</w:t>
      </w:r>
      <w:r w:rsidR="0038138D">
        <w:rPr>
          <w:sz w:val="26"/>
          <w:szCs w:val="26"/>
        </w:rPr>
        <w:t xml:space="preserve">e </w:t>
      </w:r>
      <w:r w:rsidR="002C7433">
        <w:rPr>
          <w:sz w:val="26"/>
          <w:szCs w:val="26"/>
        </w:rPr>
        <w:t>modify the</w:t>
      </w:r>
      <w:r w:rsidR="0038138D">
        <w:rPr>
          <w:sz w:val="26"/>
          <w:szCs w:val="26"/>
        </w:rPr>
        <w:t xml:space="preserve"> ALJ’s </w:t>
      </w:r>
      <w:r w:rsidR="002C7433">
        <w:rPr>
          <w:sz w:val="26"/>
          <w:szCs w:val="26"/>
        </w:rPr>
        <w:t>calculat</w:t>
      </w:r>
      <w:r w:rsidR="0038138D">
        <w:rPr>
          <w:sz w:val="26"/>
          <w:szCs w:val="26"/>
        </w:rPr>
        <w:t>ion of a $10,000 civil penalty</w:t>
      </w:r>
      <w:r w:rsidR="009D348D">
        <w:rPr>
          <w:sz w:val="26"/>
          <w:szCs w:val="26"/>
        </w:rPr>
        <w:t xml:space="preserve">.  </w:t>
      </w:r>
      <w:r w:rsidR="00D57218">
        <w:rPr>
          <w:sz w:val="26"/>
          <w:szCs w:val="26"/>
        </w:rPr>
        <w:t>Based upon our review of the evidence, the ALJ’s Initial Decision, and the parties’ Exceptions and Replies, we have found that the mis</w:t>
      </w:r>
      <w:r w:rsidR="002C7433" w:rsidRPr="002C7433">
        <w:rPr>
          <w:sz w:val="26"/>
          <w:szCs w:val="26"/>
        </w:rPr>
        <w:t xml:space="preserve">representation of promised savings </w:t>
      </w:r>
      <w:r w:rsidR="00D57218">
        <w:rPr>
          <w:sz w:val="26"/>
          <w:szCs w:val="26"/>
        </w:rPr>
        <w:t xml:space="preserve">made </w:t>
      </w:r>
      <w:r w:rsidR="002C7433" w:rsidRPr="002C7433">
        <w:rPr>
          <w:sz w:val="26"/>
          <w:szCs w:val="26"/>
        </w:rPr>
        <w:t xml:space="preserve">by Respond’s sales agent during an in-person sales pitch to </w:t>
      </w:r>
      <w:r w:rsidR="00D57218">
        <w:rPr>
          <w:sz w:val="26"/>
          <w:szCs w:val="26"/>
        </w:rPr>
        <w:t>Mr. Herp and Respond’s failure to bill Mr. Herp in accordance with its agent’s marketing violated Sections 54.4(a), 54.7(a), 54.43(1</w:t>
      </w:r>
      <w:proofErr w:type="gramStart"/>
      <w:r w:rsidR="00D57218">
        <w:rPr>
          <w:sz w:val="26"/>
          <w:szCs w:val="26"/>
        </w:rPr>
        <w:t>)(</w:t>
      </w:r>
      <w:proofErr w:type="gramEnd"/>
      <w:r w:rsidR="00D57218">
        <w:rPr>
          <w:sz w:val="26"/>
          <w:szCs w:val="26"/>
        </w:rPr>
        <w:t xml:space="preserve">f), and 54.122(3) or our Regulations.  </w:t>
      </w:r>
      <w:r w:rsidR="00042B6E">
        <w:rPr>
          <w:sz w:val="26"/>
          <w:szCs w:val="26"/>
        </w:rPr>
        <w:t>Adopting the ALJ’s logic and analysis and applying it to our disposition regarding violations, we reduce the penalty to $4,000.</w:t>
      </w:r>
    </w:p>
    <w:p w:rsidR="00D57218" w:rsidRDefault="00D57218" w:rsidP="00C5531A">
      <w:pPr>
        <w:pStyle w:val="BodyFirst1SS"/>
        <w:spacing w:line="360" w:lineRule="auto"/>
        <w:ind w:firstLine="1440"/>
        <w:jc w:val="left"/>
        <w:rPr>
          <w:sz w:val="26"/>
          <w:szCs w:val="26"/>
        </w:rPr>
      </w:pPr>
    </w:p>
    <w:p w:rsidR="00C771A1" w:rsidRDefault="00042B6E" w:rsidP="00C5531A">
      <w:pPr>
        <w:pStyle w:val="BodyFirst1SS"/>
        <w:spacing w:line="360" w:lineRule="auto"/>
        <w:ind w:firstLine="1440"/>
        <w:jc w:val="left"/>
        <w:rPr>
          <w:sz w:val="26"/>
          <w:szCs w:val="26"/>
        </w:rPr>
      </w:pPr>
      <w:r w:rsidRPr="00042B6E">
        <w:rPr>
          <w:sz w:val="26"/>
          <w:szCs w:val="26"/>
        </w:rPr>
        <w:t>Notwithstanding Respond’s agreement that</w:t>
      </w:r>
      <w:r w:rsidR="00112A03">
        <w:rPr>
          <w:sz w:val="26"/>
          <w:szCs w:val="26"/>
        </w:rPr>
        <w:t>,</w:t>
      </w:r>
      <w:r w:rsidRPr="00042B6E">
        <w:rPr>
          <w:sz w:val="26"/>
          <w:szCs w:val="26"/>
        </w:rPr>
        <w:t xml:space="preserve"> if true, the conduct of its agent is serious</w:t>
      </w:r>
      <w:r>
        <w:rPr>
          <w:sz w:val="26"/>
          <w:szCs w:val="26"/>
        </w:rPr>
        <w:t>,</w:t>
      </w:r>
      <w:r w:rsidRPr="00042B6E">
        <w:rPr>
          <w:sz w:val="26"/>
          <w:szCs w:val="26"/>
        </w:rPr>
        <w:t xml:space="preserve"> </w:t>
      </w:r>
      <w:r>
        <w:rPr>
          <w:sz w:val="26"/>
          <w:szCs w:val="26"/>
        </w:rPr>
        <w:t>t</w:t>
      </w:r>
      <w:r w:rsidR="00D57218">
        <w:rPr>
          <w:sz w:val="26"/>
          <w:szCs w:val="26"/>
        </w:rPr>
        <w:t>he gravamen of Respond’s exception on this issue is that the ALJ “stacked” violations for what was essentially one finding of improper conduct</w:t>
      </w:r>
      <w:r>
        <w:rPr>
          <w:sz w:val="26"/>
          <w:szCs w:val="26"/>
        </w:rPr>
        <w:t xml:space="preserve"> by a “rogue agent</w:t>
      </w:r>
      <w:r w:rsidR="00C771A1">
        <w:rPr>
          <w:sz w:val="26"/>
          <w:szCs w:val="26"/>
        </w:rPr>
        <w:t>,</w:t>
      </w:r>
      <w:r>
        <w:rPr>
          <w:sz w:val="26"/>
          <w:szCs w:val="26"/>
        </w:rPr>
        <w:t>”</w:t>
      </w:r>
      <w:r w:rsidR="00D57218">
        <w:rPr>
          <w:sz w:val="26"/>
          <w:szCs w:val="26"/>
        </w:rPr>
        <w:t xml:space="preserve"> </w:t>
      </w:r>
      <w:r w:rsidR="00C771A1">
        <w:rPr>
          <w:sz w:val="26"/>
          <w:szCs w:val="26"/>
        </w:rPr>
        <w:t>and then conducted a “collective” assessment of our Section 69.1201(c) criteria on the basis of the overall nature of the violations rather than assessing the criteria individually for each of the ten violations the ALJ found.</w:t>
      </w:r>
    </w:p>
    <w:p w:rsidR="00C771A1" w:rsidRDefault="00C771A1" w:rsidP="00C5531A">
      <w:pPr>
        <w:pStyle w:val="BodyFirst1SS"/>
        <w:spacing w:line="360" w:lineRule="auto"/>
        <w:ind w:firstLine="1440"/>
        <w:jc w:val="left"/>
        <w:rPr>
          <w:sz w:val="26"/>
          <w:szCs w:val="26"/>
        </w:rPr>
      </w:pPr>
    </w:p>
    <w:p w:rsidR="00042B6E" w:rsidRPr="00042B6E" w:rsidRDefault="003A64BC" w:rsidP="00C5531A">
      <w:pPr>
        <w:pStyle w:val="BodyFirst1SS"/>
        <w:spacing w:line="360" w:lineRule="auto"/>
        <w:ind w:firstLine="1440"/>
        <w:jc w:val="left"/>
        <w:rPr>
          <w:sz w:val="26"/>
          <w:szCs w:val="26"/>
        </w:rPr>
      </w:pPr>
      <w:r>
        <w:rPr>
          <w:sz w:val="26"/>
          <w:szCs w:val="26"/>
        </w:rPr>
        <w:t>F</w:t>
      </w:r>
      <w:r w:rsidR="00C771A1">
        <w:rPr>
          <w:sz w:val="26"/>
          <w:szCs w:val="26"/>
        </w:rPr>
        <w:t xml:space="preserve">irst </w:t>
      </w:r>
      <w:r>
        <w:rPr>
          <w:sz w:val="26"/>
          <w:szCs w:val="26"/>
        </w:rPr>
        <w:t xml:space="preserve">we </w:t>
      </w:r>
      <w:r w:rsidR="00C771A1">
        <w:rPr>
          <w:sz w:val="26"/>
          <w:szCs w:val="26"/>
        </w:rPr>
        <w:t>r</w:t>
      </w:r>
      <w:r w:rsidR="00042B6E">
        <w:rPr>
          <w:sz w:val="26"/>
          <w:szCs w:val="26"/>
        </w:rPr>
        <w:t xml:space="preserve">eject Respond’s </w:t>
      </w:r>
      <w:r w:rsidR="00C771A1">
        <w:rPr>
          <w:sz w:val="26"/>
          <w:szCs w:val="26"/>
        </w:rPr>
        <w:t xml:space="preserve">“stacking” argument </w:t>
      </w:r>
      <w:r w:rsidR="00042B6E">
        <w:rPr>
          <w:sz w:val="26"/>
          <w:szCs w:val="26"/>
        </w:rPr>
        <w:t xml:space="preserve">that </w:t>
      </w:r>
      <w:r w:rsidR="00C771A1">
        <w:rPr>
          <w:sz w:val="26"/>
          <w:szCs w:val="26"/>
        </w:rPr>
        <w:t xml:space="preserve">our finding of violations from </w:t>
      </w:r>
      <w:r w:rsidR="00042B6E">
        <w:rPr>
          <w:sz w:val="26"/>
          <w:szCs w:val="26"/>
        </w:rPr>
        <w:t xml:space="preserve">unlawful behavior </w:t>
      </w:r>
      <w:r w:rsidR="00C771A1">
        <w:rPr>
          <w:sz w:val="26"/>
          <w:szCs w:val="26"/>
        </w:rPr>
        <w:t xml:space="preserve">must be limited to </w:t>
      </w:r>
      <w:r>
        <w:rPr>
          <w:sz w:val="26"/>
          <w:szCs w:val="26"/>
        </w:rPr>
        <w:t xml:space="preserve">finding </w:t>
      </w:r>
      <w:r w:rsidR="00C771A1">
        <w:rPr>
          <w:sz w:val="26"/>
          <w:szCs w:val="26"/>
        </w:rPr>
        <w:t xml:space="preserve">the transgression of </w:t>
      </w:r>
      <w:r w:rsidR="00042B6E">
        <w:rPr>
          <w:sz w:val="26"/>
          <w:szCs w:val="26"/>
        </w:rPr>
        <w:t xml:space="preserve">one Regulation </w:t>
      </w:r>
      <w:r w:rsidR="00C771A1">
        <w:rPr>
          <w:sz w:val="26"/>
          <w:szCs w:val="26"/>
        </w:rPr>
        <w:t>even whe</w:t>
      </w:r>
      <w:r w:rsidR="00042B6E">
        <w:rPr>
          <w:sz w:val="26"/>
          <w:szCs w:val="26"/>
        </w:rPr>
        <w:t xml:space="preserve">n </w:t>
      </w:r>
      <w:r w:rsidR="00C771A1">
        <w:rPr>
          <w:sz w:val="26"/>
          <w:szCs w:val="26"/>
        </w:rPr>
        <w:t xml:space="preserve">we find that </w:t>
      </w:r>
      <w:r w:rsidR="00042B6E">
        <w:rPr>
          <w:sz w:val="26"/>
          <w:szCs w:val="26"/>
        </w:rPr>
        <w:t xml:space="preserve">the totality of the consequences from </w:t>
      </w:r>
      <w:r w:rsidR="00C771A1">
        <w:rPr>
          <w:sz w:val="26"/>
          <w:szCs w:val="26"/>
        </w:rPr>
        <w:t xml:space="preserve">or circumstances of </w:t>
      </w:r>
      <w:r w:rsidR="00042B6E">
        <w:rPr>
          <w:sz w:val="26"/>
          <w:szCs w:val="26"/>
        </w:rPr>
        <w:t>the behavior transcends multiple</w:t>
      </w:r>
      <w:r w:rsidR="00C771A1">
        <w:rPr>
          <w:sz w:val="26"/>
          <w:szCs w:val="26"/>
        </w:rPr>
        <w:t xml:space="preserve"> Regulations</w:t>
      </w:r>
      <w:r w:rsidR="00042B6E">
        <w:rPr>
          <w:sz w:val="26"/>
          <w:szCs w:val="26"/>
        </w:rPr>
        <w:t xml:space="preserve">.  </w:t>
      </w:r>
      <w:r w:rsidR="00C771A1">
        <w:rPr>
          <w:sz w:val="26"/>
          <w:szCs w:val="26"/>
        </w:rPr>
        <w:t>Respond offers no support for this interpretation, and we find none.  Indeed, i</w:t>
      </w:r>
      <w:r w:rsidR="00042B6E">
        <w:rPr>
          <w:sz w:val="26"/>
          <w:szCs w:val="26"/>
        </w:rPr>
        <w:t xml:space="preserve">n </w:t>
      </w:r>
      <w:r w:rsidR="00042B6E">
        <w:rPr>
          <w:i/>
          <w:sz w:val="26"/>
          <w:szCs w:val="26"/>
        </w:rPr>
        <w:t>Kiback</w:t>
      </w:r>
      <w:r w:rsidR="00042B6E">
        <w:rPr>
          <w:sz w:val="26"/>
          <w:szCs w:val="26"/>
        </w:rPr>
        <w:t xml:space="preserve">, </w:t>
      </w:r>
      <w:r w:rsidR="008B66D2">
        <w:rPr>
          <w:sz w:val="26"/>
          <w:szCs w:val="26"/>
        </w:rPr>
        <w:t xml:space="preserve">we </w:t>
      </w:r>
      <w:r w:rsidR="00042B6E">
        <w:rPr>
          <w:sz w:val="26"/>
          <w:szCs w:val="26"/>
        </w:rPr>
        <w:t>reject</w:t>
      </w:r>
      <w:r w:rsidR="00112A03">
        <w:rPr>
          <w:sz w:val="26"/>
          <w:szCs w:val="26"/>
        </w:rPr>
        <w:t>ed</w:t>
      </w:r>
      <w:r w:rsidR="00042B6E">
        <w:rPr>
          <w:sz w:val="26"/>
          <w:szCs w:val="26"/>
        </w:rPr>
        <w:t xml:space="preserve"> a similar argument </w:t>
      </w:r>
      <w:r w:rsidR="008B66D2">
        <w:rPr>
          <w:sz w:val="26"/>
          <w:szCs w:val="26"/>
        </w:rPr>
        <w:t xml:space="preserve">that findings of violations </w:t>
      </w:r>
      <w:r w:rsidR="008B66D2" w:rsidRPr="008B66D2">
        <w:rPr>
          <w:sz w:val="26"/>
          <w:szCs w:val="26"/>
        </w:rPr>
        <w:t>“must be mutually exclusive</w:t>
      </w:r>
      <w:r w:rsidR="008B66D2">
        <w:rPr>
          <w:sz w:val="26"/>
          <w:szCs w:val="26"/>
        </w:rPr>
        <w:t xml:space="preserve">” </w:t>
      </w:r>
      <w:r w:rsidR="00112A03">
        <w:rPr>
          <w:sz w:val="26"/>
          <w:szCs w:val="26"/>
        </w:rPr>
        <w:t>such</w:t>
      </w:r>
      <w:r w:rsidR="008B66D2">
        <w:rPr>
          <w:sz w:val="26"/>
          <w:szCs w:val="26"/>
        </w:rPr>
        <w:t xml:space="preserve"> that, in that case, a finding that an EGS</w:t>
      </w:r>
      <w:r w:rsidR="008B66D2" w:rsidRPr="008B66D2">
        <w:rPr>
          <w:sz w:val="26"/>
          <w:szCs w:val="26"/>
        </w:rPr>
        <w:t xml:space="preserve"> agent marketed </w:t>
      </w:r>
      <w:r w:rsidR="008B66D2">
        <w:rPr>
          <w:sz w:val="26"/>
          <w:szCs w:val="26"/>
        </w:rPr>
        <w:t>a</w:t>
      </w:r>
      <w:r w:rsidR="008B66D2" w:rsidRPr="008B66D2">
        <w:rPr>
          <w:sz w:val="26"/>
          <w:szCs w:val="26"/>
        </w:rPr>
        <w:t xml:space="preserve"> price incorrectly </w:t>
      </w:r>
      <w:r w:rsidR="008B66D2">
        <w:rPr>
          <w:sz w:val="26"/>
          <w:szCs w:val="26"/>
        </w:rPr>
        <w:t xml:space="preserve">could not also support a finding that the EGS </w:t>
      </w:r>
      <w:r w:rsidR="008B66D2" w:rsidRPr="008B66D2">
        <w:rPr>
          <w:sz w:val="26"/>
          <w:szCs w:val="26"/>
        </w:rPr>
        <w:t>did not bill the customer properly</w:t>
      </w:r>
      <w:r w:rsidR="008B66D2">
        <w:rPr>
          <w:sz w:val="26"/>
          <w:szCs w:val="26"/>
        </w:rPr>
        <w:t xml:space="preserve">.  </w:t>
      </w:r>
      <w:proofErr w:type="gramStart"/>
      <w:r w:rsidR="00C771A1">
        <w:rPr>
          <w:i/>
          <w:sz w:val="26"/>
          <w:szCs w:val="26"/>
        </w:rPr>
        <w:t xml:space="preserve">Kiback </w:t>
      </w:r>
      <w:r w:rsidR="00C771A1">
        <w:rPr>
          <w:sz w:val="26"/>
          <w:szCs w:val="26"/>
        </w:rPr>
        <w:t>at 17.</w:t>
      </w:r>
      <w:proofErr w:type="gramEnd"/>
      <w:r w:rsidR="00C771A1">
        <w:rPr>
          <w:sz w:val="26"/>
          <w:szCs w:val="26"/>
        </w:rPr>
        <w:t xml:space="preserve">  </w:t>
      </w:r>
      <w:r w:rsidR="008B66D2" w:rsidRPr="008B66D2">
        <w:rPr>
          <w:sz w:val="26"/>
          <w:szCs w:val="26"/>
        </w:rPr>
        <w:t xml:space="preserve">As we </w:t>
      </w:r>
      <w:r w:rsidR="008B66D2">
        <w:rPr>
          <w:sz w:val="26"/>
          <w:szCs w:val="26"/>
        </w:rPr>
        <w:t>found there</w:t>
      </w:r>
      <w:r w:rsidR="008B66D2" w:rsidRPr="008B66D2">
        <w:rPr>
          <w:sz w:val="26"/>
          <w:szCs w:val="26"/>
        </w:rPr>
        <w:t xml:space="preserve">, </w:t>
      </w:r>
      <w:r w:rsidRPr="003A64BC">
        <w:rPr>
          <w:sz w:val="26"/>
          <w:szCs w:val="26"/>
        </w:rPr>
        <w:t xml:space="preserve">“a violation of our marketing regulatory standards is separate and distinct from a finding of a violation of our billing Regulations” </w:t>
      </w:r>
      <w:r>
        <w:rPr>
          <w:sz w:val="26"/>
          <w:szCs w:val="26"/>
        </w:rPr>
        <w:t xml:space="preserve">and </w:t>
      </w:r>
      <w:r w:rsidR="008B66D2">
        <w:rPr>
          <w:sz w:val="26"/>
          <w:szCs w:val="26"/>
        </w:rPr>
        <w:t xml:space="preserve">a finding of one violation does not work to the exclusion of others even if based upon the same set of circumstances.  </w:t>
      </w:r>
      <w:proofErr w:type="gramStart"/>
      <w:r w:rsidRPr="003A64BC">
        <w:rPr>
          <w:i/>
          <w:sz w:val="26"/>
          <w:szCs w:val="26"/>
        </w:rPr>
        <w:t>Id</w:t>
      </w:r>
      <w:r w:rsidR="00FF6F0B">
        <w:rPr>
          <w:i/>
          <w:sz w:val="26"/>
          <w:szCs w:val="26"/>
        </w:rPr>
        <w:t>.</w:t>
      </w:r>
      <w:r w:rsidRPr="003A64BC">
        <w:rPr>
          <w:i/>
          <w:sz w:val="26"/>
          <w:szCs w:val="26"/>
        </w:rPr>
        <w:t xml:space="preserve"> </w:t>
      </w:r>
      <w:r w:rsidRPr="003A64BC">
        <w:rPr>
          <w:sz w:val="26"/>
          <w:szCs w:val="26"/>
        </w:rPr>
        <w:t>at 34.</w:t>
      </w:r>
      <w:proofErr w:type="gramEnd"/>
    </w:p>
    <w:p w:rsidR="00042B6E" w:rsidRDefault="00042B6E" w:rsidP="00C5531A">
      <w:pPr>
        <w:pStyle w:val="BodyFirst1SS"/>
        <w:spacing w:line="360" w:lineRule="auto"/>
        <w:ind w:firstLine="1440"/>
        <w:jc w:val="left"/>
        <w:rPr>
          <w:sz w:val="26"/>
          <w:szCs w:val="26"/>
        </w:rPr>
      </w:pPr>
    </w:p>
    <w:p w:rsidR="006645CA" w:rsidRDefault="00042B6E" w:rsidP="00C5531A">
      <w:pPr>
        <w:pStyle w:val="BodyFirst1SS"/>
        <w:spacing w:line="360" w:lineRule="auto"/>
        <w:ind w:firstLine="1440"/>
        <w:jc w:val="left"/>
        <w:rPr>
          <w:sz w:val="26"/>
          <w:szCs w:val="26"/>
        </w:rPr>
      </w:pPr>
      <w:r>
        <w:rPr>
          <w:sz w:val="26"/>
          <w:szCs w:val="26"/>
        </w:rPr>
        <w:t xml:space="preserve">We also agree with the ALJ’s analysis </w:t>
      </w:r>
      <w:r w:rsidR="00DB3CBB">
        <w:rPr>
          <w:sz w:val="26"/>
          <w:szCs w:val="26"/>
        </w:rPr>
        <w:t xml:space="preserve">and application </w:t>
      </w:r>
      <w:r>
        <w:rPr>
          <w:sz w:val="26"/>
          <w:szCs w:val="26"/>
        </w:rPr>
        <w:t>of our Section</w:t>
      </w:r>
      <w:r w:rsidR="00DB3CBB">
        <w:rPr>
          <w:sz w:val="26"/>
          <w:szCs w:val="26"/>
        </w:rPr>
        <w:t> </w:t>
      </w:r>
      <w:r>
        <w:rPr>
          <w:sz w:val="26"/>
          <w:szCs w:val="26"/>
        </w:rPr>
        <w:t>69.1201(c) factors</w:t>
      </w:r>
      <w:r w:rsidR="00DB3CBB">
        <w:rPr>
          <w:sz w:val="26"/>
          <w:szCs w:val="26"/>
        </w:rPr>
        <w:t xml:space="preserve">.  Respond’s exception on this point is </w:t>
      </w:r>
      <w:r w:rsidR="003A64BC">
        <w:rPr>
          <w:sz w:val="26"/>
          <w:szCs w:val="26"/>
        </w:rPr>
        <w:t>mooted</w:t>
      </w:r>
      <w:r w:rsidR="00DB3CBB">
        <w:rPr>
          <w:sz w:val="26"/>
          <w:szCs w:val="26"/>
        </w:rPr>
        <w:t xml:space="preserve"> in part by our </w:t>
      </w:r>
      <w:r w:rsidR="003A64BC">
        <w:rPr>
          <w:sz w:val="26"/>
          <w:szCs w:val="26"/>
        </w:rPr>
        <w:t xml:space="preserve">disposition of </w:t>
      </w:r>
      <w:r w:rsidR="00DB3CBB">
        <w:rPr>
          <w:sz w:val="26"/>
          <w:szCs w:val="26"/>
        </w:rPr>
        <w:t xml:space="preserve">its Exception Nos. 1 and 4, which removes from consideration issues related to </w:t>
      </w:r>
      <w:proofErr w:type="gramStart"/>
      <w:r w:rsidR="00DB3CBB">
        <w:rPr>
          <w:sz w:val="26"/>
          <w:szCs w:val="26"/>
        </w:rPr>
        <w:t>Respond’s</w:t>
      </w:r>
      <w:proofErr w:type="gramEnd"/>
      <w:r w:rsidR="00DB3CBB">
        <w:rPr>
          <w:sz w:val="26"/>
          <w:szCs w:val="26"/>
        </w:rPr>
        <w:t xml:space="preserve"> disclosure statement.  With respect to the remaining violations, however, we agree with </w:t>
      </w:r>
      <w:r w:rsidR="00600905">
        <w:rPr>
          <w:sz w:val="26"/>
          <w:szCs w:val="26"/>
        </w:rPr>
        <w:t xml:space="preserve">and adopt </w:t>
      </w:r>
      <w:r w:rsidR="00DB3CBB">
        <w:rPr>
          <w:sz w:val="26"/>
          <w:szCs w:val="26"/>
        </w:rPr>
        <w:t>the ALJ’s assessment</w:t>
      </w:r>
      <w:r w:rsidR="00600905">
        <w:rPr>
          <w:sz w:val="26"/>
          <w:szCs w:val="26"/>
        </w:rPr>
        <w:t xml:space="preserve">.  We find </w:t>
      </w:r>
      <w:r>
        <w:rPr>
          <w:sz w:val="26"/>
          <w:szCs w:val="26"/>
        </w:rPr>
        <w:t xml:space="preserve">most </w:t>
      </w:r>
      <w:r w:rsidR="00600905">
        <w:rPr>
          <w:sz w:val="26"/>
          <w:szCs w:val="26"/>
        </w:rPr>
        <w:t xml:space="preserve">compelling the ALJ’s </w:t>
      </w:r>
      <w:r>
        <w:rPr>
          <w:sz w:val="26"/>
          <w:szCs w:val="26"/>
        </w:rPr>
        <w:t xml:space="preserve">conclusions that the </w:t>
      </w:r>
      <w:r w:rsidR="00DB3CBB">
        <w:rPr>
          <w:sz w:val="26"/>
          <w:szCs w:val="26"/>
        </w:rPr>
        <w:t xml:space="preserve">conduct </w:t>
      </w:r>
      <w:r w:rsidR="003A64BC">
        <w:rPr>
          <w:sz w:val="26"/>
          <w:szCs w:val="26"/>
        </w:rPr>
        <w:t xml:space="preserve">placed </w:t>
      </w:r>
      <w:r w:rsidR="00DB3CBB">
        <w:rPr>
          <w:sz w:val="26"/>
          <w:szCs w:val="26"/>
        </w:rPr>
        <w:t xml:space="preserve">at issue in Mr. Herp’s Complaint </w:t>
      </w:r>
      <w:r>
        <w:rPr>
          <w:sz w:val="26"/>
          <w:szCs w:val="26"/>
        </w:rPr>
        <w:t xml:space="preserve">was serious in nature and yet </w:t>
      </w:r>
      <w:proofErr w:type="gramStart"/>
      <w:r>
        <w:rPr>
          <w:sz w:val="26"/>
          <w:szCs w:val="26"/>
        </w:rPr>
        <w:t>was</w:t>
      </w:r>
      <w:proofErr w:type="gramEnd"/>
      <w:r>
        <w:rPr>
          <w:sz w:val="26"/>
          <w:szCs w:val="26"/>
        </w:rPr>
        <w:t xml:space="preserve"> handled at best dismissively by Respond, which failed to conduct even an investigation into the matter.  </w:t>
      </w:r>
      <w:r w:rsidR="00600905">
        <w:rPr>
          <w:sz w:val="26"/>
          <w:szCs w:val="26"/>
        </w:rPr>
        <w:t xml:space="preserve">I.D. at 47-48.  Although our findings here are limited to the Complaint filed by Mr. Herp, the evidence demonstrated that the conduct at </w:t>
      </w:r>
      <w:r w:rsidR="00600905">
        <w:rPr>
          <w:sz w:val="26"/>
          <w:szCs w:val="26"/>
        </w:rPr>
        <w:lastRenderedPageBreak/>
        <w:t xml:space="preserve">issue was not isolated and its </w:t>
      </w:r>
      <w:r w:rsidR="00015331">
        <w:rPr>
          <w:sz w:val="26"/>
          <w:szCs w:val="26"/>
        </w:rPr>
        <w:t>impact persisted for several months</w:t>
      </w:r>
      <w:r w:rsidR="00600905">
        <w:rPr>
          <w:sz w:val="26"/>
          <w:szCs w:val="26"/>
        </w:rPr>
        <w:t>, warranting a serious penalty</w:t>
      </w:r>
      <w:r w:rsidR="00015331">
        <w:rPr>
          <w:sz w:val="26"/>
          <w:szCs w:val="26"/>
        </w:rPr>
        <w:t>.</w:t>
      </w:r>
    </w:p>
    <w:p w:rsidR="00B67010" w:rsidRDefault="00B67010" w:rsidP="00C5531A">
      <w:pPr>
        <w:pStyle w:val="BodyFirst1SS"/>
        <w:spacing w:line="360" w:lineRule="auto"/>
        <w:ind w:firstLine="1440"/>
        <w:jc w:val="left"/>
        <w:rPr>
          <w:sz w:val="26"/>
          <w:szCs w:val="26"/>
        </w:rPr>
      </w:pPr>
    </w:p>
    <w:p w:rsidR="00B67010" w:rsidRPr="00C5531A" w:rsidRDefault="00B67010" w:rsidP="00C5531A">
      <w:pPr>
        <w:pStyle w:val="BodyFirst1SS"/>
        <w:spacing w:line="360" w:lineRule="auto"/>
        <w:ind w:firstLine="1440"/>
        <w:jc w:val="left"/>
        <w:rPr>
          <w:sz w:val="26"/>
          <w:szCs w:val="26"/>
        </w:rPr>
      </w:pPr>
      <w:r>
        <w:rPr>
          <w:sz w:val="26"/>
          <w:szCs w:val="26"/>
        </w:rPr>
        <w:t xml:space="preserve">Therefore, we </w:t>
      </w:r>
      <w:r w:rsidR="003C612A">
        <w:rPr>
          <w:sz w:val="26"/>
          <w:szCs w:val="26"/>
        </w:rPr>
        <w:t>grant, in part, the Exception</w:t>
      </w:r>
      <w:r>
        <w:rPr>
          <w:sz w:val="26"/>
          <w:szCs w:val="26"/>
        </w:rPr>
        <w:t xml:space="preserve"> of Respond on this issue and modify that portion of the ALJ’s decision </w:t>
      </w:r>
      <w:r w:rsidR="000B70B9">
        <w:rPr>
          <w:sz w:val="26"/>
          <w:szCs w:val="26"/>
        </w:rPr>
        <w:t xml:space="preserve">that </w:t>
      </w:r>
      <w:r>
        <w:rPr>
          <w:sz w:val="26"/>
          <w:szCs w:val="26"/>
        </w:rPr>
        <w:t xml:space="preserve">determined that a civil penalty </w:t>
      </w:r>
      <w:r w:rsidR="00600905">
        <w:rPr>
          <w:sz w:val="26"/>
          <w:szCs w:val="26"/>
        </w:rPr>
        <w:t>by reducing th</w:t>
      </w:r>
      <w:r w:rsidR="00BF188A">
        <w:rPr>
          <w:sz w:val="26"/>
          <w:szCs w:val="26"/>
        </w:rPr>
        <w:t>e</w:t>
      </w:r>
      <w:r w:rsidR="00600905">
        <w:rPr>
          <w:sz w:val="26"/>
          <w:szCs w:val="26"/>
        </w:rPr>
        <w:t xml:space="preserve"> penalty to $4,000, or $1,000 for each violation found herein</w:t>
      </w:r>
      <w:r>
        <w:rPr>
          <w:sz w:val="26"/>
          <w:szCs w:val="26"/>
        </w:rPr>
        <w:t>.</w:t>
      </w:r>
    </w:p>
    <w:p w:rsidR="006645CA" w:rsidRPr="0022192A" w:rsidRDefault="006645CA" w:rsidP="00DE68FB">
      <w:pPr>
        <w:pStyle w:val="BodyFirst1SS"/>
        <w:spacing w:line="360" w:lineRule="auto"/>
        <w:ind w:firstLine="0"/>
        <w:jc w:val="left"/>
        <w:rPr>
          <w:sz w:val="26"/>
          <w:szCs w:val="26"/>
        </w:rPr>
      </w:pPr>
    </w:p>
    <w:p w:rsidR="000769C7" w:rsidRPr="0022192A" w:rsidRDefault="000769C7" w:rsidP="00746798">
      <w:pPr>
        <w:pStyle w:val="ListParagraph"/>
        <w:ind w:left="1440" w:right="1440"/>
        <w:jc w:val="center"/>
        <w:rPr>
          <w:rFonts w:ascii="Times New Roman" w:hAnsi="Times New Roman"/>
          <w:sz w:val="26"/>
          <w:szCs w:val="26"/>
        </w:rPr>
      </w:pPr>
      <w:r w:rsidRPr="00DE68FB">
        <w:rPr>
          <w:rFonts w:ascii="Times New Roman" w:hAnsi="Times New Roman"/>
          <w:b/>
          <w:sz w:val="26"/>
          <w:szCs w:val="26"/>
        </w:rPr>
        <w:t>III.</w:t>
      </w:r>
      <w:r w:rsidRPr="00DE68FB">
        <w:rPr>
          <w:rFonts w:ascii="Times New Roman" w:hAnsi="Times New Roman"/>
          <w:b/>
          <w:sz w:val="26"/>
          <w:szCs w:val="26"/>
        </w:rPr>
        <w:tab/>
        <w:t>Conclusion</w:t>
      </w:r>
    </w:p>
    <w:p w:rsidR="000769C7" w:rsidRPr="0022192A" w:rsidRDefault="000769C7" w:rsidP="00DE68FB">
      <w:pPr>
        <w:pStyle w:val="BodyText2"/>
        <w:spacing w:after="0" w:line="360" w:lineRule="auto"/>
        <w:rPr>
          <w:rFonts w:ascii="Times New Roman" w:hAnsi="Times New Roman"/>
          <w:sz w:val="26"/>
          <w:szCs w:val="26"/>
        </w:rPr>
      </w:pPr>
    </w:p>
    <w:p w:rsidR="000769C7" w:rsidRPr="00DE68FB" w:rsidRDefault="000769C7" w:rsidP="00DE68FB">
      <w:pPr>
        <w:pStyle w:val="BodyText2"/>
        <w:spacing w:after="0" w:line="360" w:lineRule="auto"/>
        <w:rPr>
          <w:rFonts w:ascii="Times New Roman" w:hAnsi="Times New Roman"/>
          <w:b/>
          <w:sz w:val="26"/>
          <w:szCs w:val="26"/>
        </w:rPr>
      </w:pPr>
      <w:r w:rsidRPr="00DE68FB">
        <w:rPr>
          <w:rFonts w:ascii="Times New Roman" w:hAnsi="Times New Roman"/>
          <w:b/>
          <w:sz w:val="26"/>
          <w:szCs w:val="26"/>
        </w:rPr>
        <w:tab/>
      </w:r>
      <w:r w:rsidRPr="00DE68FB">
        <w:rPr>
          <w:rFonts w:ascii="Times New Roman" w:hAnsi="Times New Roman"/>
          <w:b/>
          <w:sz w:val="26"/>
          <w:szCs w:val="26"/>
        </w:rPr>
        <w:tab/>
      </w:r>
      <w:r w:rsidRPr="00DE68FB">
        <w:rPr>
          <w:rFonts w:ascii="Times New Roman" w:hAnsi="Times New Roman"/>
          <w:sz w:val="26"/>
          <w:szCs w:val="26"/>
        </w:rPr>
        <w:t>Based on our review of the record and the applicable law, we grant</w:t>
      </w:r>
      <w:r w:rsidR="00581D1B">
        <w:rPr>
          <w:rFonts w:ascii="Times New Roman" w:hAnsi="Times New Roman"/>
          <w:sz w:val="26"/>
          <w:szCs w:val="26"/>
        </w:rPr>
        <w:t xml:space="preserve"> the Exceptions, in part, of Respond</w:t>
      </w:r>
      <w:r w:rsidRPr="00DE68FB">
        <w:rPr>
          <w:rFonts w:ascii="Times New Roman" w:hAnsi="Times New Roman"/>
          <w:sz w:val="26"/>
          <w:szCs w:val="26"/>
        </w:rPr>
        <w:t xml:space="preserve">, </w:t>
      </w:r>
      <w:r w:rsidR="005B7C27">
        <w:rPr>
          <w:rFonts w:ascii="Times New Roman" w:hAnsi="Times New Roman"/>
          <w:sz w:val="26"/>
          <w:szCs w:val="26"/>
        </w:rPr>
        <w:t>sustain the Complaint</w:t>
      </w:r>
      <w:r w:rsidR="000B70B9">
        <w:rPr>
          <w:rFonts w:ascii="Times New Roman" w:hAnsi="Times New Roman"/>
          <w:sz w:val="26"/>
          <w:szCs w:val="26"/>
        </w:rPr>
        <w:t>, in part,</w:t>
      </w:r>
      <w:r w:rsidR="005B7C27">
        <w:rPr>
          <w:rFonts w:ascii="Times New Roman" w:hAnsi="Times New Roman"/>
          <w:sz w:val="26"/>
          <w:szCs w:val="26"/>
        </w:rPr>
        <w:t xml:space="preserve"> and modify</w:t>
      </w:r>
      <w:r w:rsidR="00581D1B">
        <w:rPr>
          <w:rFonts w:ascii="Times New Roman" w:hAnsi="Times New Roman"/>
          <w:sz w:val="26"/>
          <w:szCs w:val="26"/>
        </w:rPr>
        <w:t xml:space="preserve"> the ALJ’s Initial</w:t>
      </w:r>
      <w:r w:rsidRPr="00DE68FB">
        <w:rPr>
          <w:rFonts w:ascii="Times New Roman" w:hAnsi="Times New Roman"/>
          <w:sz w:val="26"/>
          <w:szCs w:val="26"/>
        </w:rPr>
        <w:t xml:space="preserve"> Decision consistent with this Opinion and </w:t>
      </w:r>
      <w:r w:rsidR="00B67010">
        <w:rPr>
          <w:rFonts w:ascii="Times New Roman" w:hAnsi="Times New Roman"/>
          <w:sz w:val="26"/>
          <w:szCs w:val="26"/>
        </w:rPr>
        <w:t>Order</w:t>
      </w:r>
      <w:r w:rsidRPr="00DE68FB">
        <w:rPr>
          <w:rFonts w:ascii="Times New Roman" w:hAnsi="Times New Roman"/>
          <w:sz w:val="26"/>
          <w:szCs w:val="26"/>
        </w:rPr>
        <w:t xml:space="preserve">; </w:t>
      </w:r>
      <w:r w:rsidRPr="00DE68FB">
        <w:rPr>
          <w:rFonts w:ascii="Times New Roman" w:hAnsi="Times New Roman"/>
          <w:b/>
          <w:sz w:val="26"/>
          <w:szCs w:val="26"/>
        </w:rPr>
        <w:t>THEREFORE,</w:t>
      </w:r>
    </w:p>
    <w:p w:rsidR="000769C7" w:rsidRPr="00DE68FB" w:rsidRDefault="000769C7" w:rsidP="00DE68FB">
      <w:pPr>
        <w:pStyle w:val="BodyText2"/>
        <w:spacing w:after="0" w:line="360" w:lineRule="auto"/>
        <w:rPr>
          <w:rFonts w:ascii="Times New Roman" w:hAnsi="Times New Roman"/>
          <w:b/>
          <w:sz w:val="26"/>
          <w:szCs w:val="26"/>
        </w:rPr>
      </w:pPr>
    </w:p>
    <w:p w:rsidR="000769C7" w:rsidRPr="00DE68FB" w:rsidRDefault="000769C7" w:rsidP="00DE68FB">
      <w:pPr>
        <w:pStyle w:val="BodyText2"/>
        <w:keepNext/>
        <w:keepLines/>
        <w:spacing w:after="0" w:line="360" w:lineRule="auto"/>
        <w:rPr>
          <w:rFonts w:ascii="Times New Roman" w:hAnsi="Times New Roman"/>
          <w:b/>
          <w:sz w:val="26"/>
          <w:szCs w:val="26"/>
        </w:rPr>
      </w:pPr>
      <w:r w:rsidRPr="00DE68FB">
        <w:rPr>
          <w:rFonts w:ascii="Times New Roman" w:hAnsi="Times New Roman"/>
          <w:b/>
          <w:sz w:val="26"/>
          <w:szCs w:val="26"/>
        </w:rPr>
        <w:tab/>
      </w:r>
      <w:r w:rsidRPr="00DE68FB">
        <w:rPr>
          <w:rFonts w:ascii="Times New Roman" w:hAnsi="Times New Roman"/>
          <w:b/>
          <w:sz w:val="26"/>
          <w:szCs w:val="26"/>
        </w:rPr>
        <w:tab/>
        <w:t>IT IS ORDERED:</w:t>
      </w:r>
    </w:p>
    <w:p w:rsidR="000769C7" w:rsidRPr="00DE68FB" w:rsidRDefault="000769C7" w:rsidP="00DE68FB">
      <w:pPr>
        <w:pStyle w:val="BodyText2"/>
        <w:keepNext/>
        <w:keepLines/>
        <w:spacing w:after="0" w:line="360" w:lineRule="auto"/>
        <w:rPr>
          <w:rFonts w:ascii="Times New Roman" w:hAnsi="Times New Roman"/>
          <w:b/>
          <w:sz w:val="26"/>
          <w:szCs w:val="26"/>
        </w:rPr>
      </w:pPr>
    </w:p>
    <w:p w:rsidR="000769C7" w:rsidRPr="00DE68FB" w:rsidRDefault="000769C7" w:rsidP="00DE68FB">
      <w:pPr>
        <w:pStyle w:val="BodyText2"/>
        <w:spacing w:after="0" w:line="360" w:lineRule="auto"/>
        <w:rPr>
          <w:rFonts w:ascii="Times New Roman" w:hAnsi="Times New Roman"/>
          <w:sz w:val="26"/>
          <w:szCs w:val="26"/>
        </w:rPr>
      </w:pPr>
      <w:r w:rsidRPr="00DE68FB">
        <w:rPr>
          <w:rFonts w:ascii="Times New Roman" w:hAnsi="Times New Roman"/>
          <w:b/>
          <w:sz w:val="26"/>
          <w:szCs w:val="26"/>
        </w:rPr>
        <w:tab/>
      </w:r>
      <w:r w:rsidRPr="00DE68FB">
        <w:rPr>
          <w:rFonts w:ascii="Times New Roman" w:hAnsi="Times New Roman"/>
          <w:b/>
          <w:sz w:val="26"/>
          <w:szCs w:val="26"/>
        </w:rPr>
        <w:tab/>
      </w:r>
      <w:r w:rsidRPr="00DE68FB">
        <w:rPr>
          <w:rFonts w:ascii="Times New Roman" w:hAnsi="Times New Roman"/>
          <w:sz w:val="26"/>
          <w:szCs w:val="26"/>
        </w:rPr>
        <w:t>1.</w:t>
      </w:r>
      <w:r w:rsidRPr="00DE68FB">
        <w:rPr>
          <w:rFonts w:ascii="Times New Roman" w:hAnsi="Times New Roman"/>
          <w:sz w:val="26"/>
          <w:szCs w:val="26"/>
        </w:rPr>
        <w:tab/>
        <w:t>That the Exceptions of Re</w:t>
      </w:r>
      <w:r w:rsidR="005B7C27">
        <w:rPr>
          <w:rFonts w:ascii="Times New Roman" w:hAnsi="Times New Roman"/>
          <w:sz w:val="26"/>
          <w:szCs w:val="26"/>
        </w:rPr>
        <w:t>spond Power LLC are granted</w:t>
      </w:r>
      <w:r w:rsidRPr="00DE68FB">
        <w:rPr>
          <w:rFonts w:ascii="Times New Roman" w:hAnsi="Times New Roman"/>
          <w:sz w:val="26"/>
          <w:szCs w:val="26"/>
        </w:rPr>
        <w:t xml:space="preserve">, </w:t>
      </w:r>
      <w:r w:rsidR="005B7C27">
        <w:rPr>
          <w:rFonts w:ascii="Times New Roman" w:hAnsi="Times New Roman"/>
          <w:sz w:val="26"/>
          <w:szCs w:val="26"/>
        </w:rPr>
        <w:t>in part</w:t>
      </w:r>
      <w:r w:rsidR="001E5D06">
        <w:rPr>
          <w:rFonts w:ascii="Times New Roman" w:hAnsi="Times New Roman"/>
          <w:sz w:val="26"/>
          <w:szCs w:val="26"/>
        </w:rPr>
        <w:t>, and denied, in part</w:t>
      </w:r>
      <w:r w:rsidRPr="00DE68FB">
        <w:rPr>
          <w:rFonts w:ascii="Times New Roman" w:hAnsi="Times New Roman"/>
          <w:sz w:val="26"/>
          <w:szCs w:val="26"/>
        </w:rPr>
        <w:t>.</w:t>
      </w:r>
    </w:p>
    <w:p w:rsidR="000769C7" w:rsidRPr="00DE68FB" w:rsidRDefault="000769C7" w:rsidP="00DE68FB">
      <w:pPr>
        <w:pStyle w:val="BodyText2"/>
        <w:spacing w:after="0" w:line="360" w:lineRule="auto"/>
        <w:rPr>
          <w:rFonts w:ascii="Times New Roman" w:hAnsi="Times New Roman"/>
          <w:sz w:val="26"/>
          <w:szCs w:val="26"/>
        </w:rPr>
      </w:pPr>
    </w:p>
    <w:p w:rsidR="000769C7" w:rsidRDefault="000769C7" w:rsidP="00DE68FB">
      <w:pPr>
        <w:pStyle w:val="BodyText2"/>
        <w:spacing w:after="0" w:line="360" w:lineRule="auto"/>
        <w:rPr>
          <w:rFonts w:ascii="Times New Roman" w:hAnsi="Times New Roman"/>
          <w:sz w:val="26"/>
          <w:szCs w:val="26"/>
        </w:rPr>
      </w:pPr>
      <w:r w:rsidRPr="00DE68FB">
        <w:rPr>
          <w:rFonts w:ascii="Times New Roman" w:hAnsi="Times New Roman"/>
          <w:sz w:val="26"/>
          <w:szCs w:val="26"/>
        </w:rPr>
        <w:tab/>
      </w:r>
      <w:r w:rsidRPr="00DE68FB">
        <w:rPr>
          <w:rFonts w:ascii="Times New Roman" w:hAnsi="Times New Roman"/>
          <w:sz w:val="26"/>
          <w:szCs w:val="26"/>
        </w:rPr>
        <w:tab/>
        <w:t>2.</w:t>
      </w:r>
      <w:r w:rsidRPr="00DE68FB">
        <w:rPr>
          <w:rFonts w:ascii="Times New Roman" w:hAnsi="Times New Roman"/>
          <w:sz w:val="26"/>
          <w:szCs w:val="26"/>
        </w:rPr>
        <w:tab/>
        <w:t xml:space="preserve">That the Initial Decision of Administrative Law Judge Elizabeth H. Barnes </w:t>
      </w:r>
      <w:r w:rsidR="005B7C27">
        <w:rPr>
          <w:rFonts w:ascii="Times New Roman" w:hAnsi="Times New Roman"/>
          <w:sz w:val="26"/>
          <w:szCs w:val="26"/>
        </w:rPr>
        <w:t xml:space="preserve">issued on December 19, 2014, </w:t>
      </w:r>
      <w:r w:rsidRPr="00DE68FB">
        <w:rPr>
          <w:rFonts w:ascii="Times New Roman" w:hAnsi="Times New Roman"/>
          <w:sz w:val="26"/>
          <w:szCs w:val="26"/>
        </w:rPr>
        <w:t xml:space="preserve">is </w:t>
      </w:r>
      <w:r w:rsidR="001E5D06">
        <w:rPr>
          <w:rFonts w:ascii="Times New Roman" w:hAnsi="Times New Roman"/>
          <w:sz w:val="26"/>
          <w:szCs w:val="26"/>
        </w:rPr>
        <w:t xml:space="preserve">adopted as </w:t>
      </w:r>
      <w:r w:rsidR="005B7C27">
        <w:rPr>
          <w:rFonts w:ascii="Times New Roman" w:hAnsi="Times New Roman"/>
          <w:sz w:val="26"/>
          <w:szCs w:val="26"/>
        </w:rPr>
        <w:t>modified.</w:t>
      </w:r>
    </w:p>
    <w:p w:rsidR="00B67010" w:rsidRDefault="00B67010" w:rsidP="00DE68FB">
      <w:pPr>
        <w:pStyle w:val="BodyText2"/>
        <w:spacing w:after="0" w:line="360" w:lineRule="auto"/>
        <w:rPr>
          <w:rFonts w:ascii="Times New Roman" w:hAnsi="Times New Roman"/>
          <w:sz w:val="26"/>
          <w:szCs w:val="26"/>
        </w:rPr>
      </w:pPr>
    </w:p>
    <w:p w:rsidR="005B7C27" w:rsidRDefault="005B7C27" w:rsidP="00DE68FB">
      <w:pPr>
        <w:pStyle w:val="BodyText2"/>
        <w:spacing w:after="0"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3.</w:t>
      </w:r>
      <w:r>
        <w:rPr>
          <w:rFonts w:ascii="Times New Roman" w:hAnsi="Times New Roman"/>
          <w:sz w:val="26"/>
          <w:szCs w:val="26"/>
        </w:rPr>
        <w:tab/>
        <w:t xml:space="preserve">That the Formal Complaint filed by Justin L. Herp against Respond </w:t>
      </w:r>
      <w:r w:rsidR="001E5D06">
        <w:rPr>
          <w:rFonts w:ascii="Times New Roman" w:hAnsi="Times New Roman"/>
          <w:sz w:val="26"/>
          <w:szCs w:val="26"/>
        </w:rPr>
        <w:t>P</w:t>
      </w:r>
      <w:r>
        <w:rPr>
          <w:rFonts w:ascii="Times New Roman" w:hAnsi="Times New Roman"/>
          <w:sz w:val="26"/>
          <w:szCs w:val="26"/>
        </w:rPr>
        <w:t>ower LLC on March 18, 2014, at Docket No. C-2014-2413756 is sustained</w:t>
      </w:r>
      <w:r w:rsidR="000B70B9">
        <w:rPr>
          <w:rFonts w:ascii="Times New Roman" w:hAnsi="Times New Roman"/>
          <w:sz w:val="26"/>
          <w:szCs w:val="26"/>
        </w:rPr>
        <w:t>, in part</w:t>
      </w:r>
      <w:r>
        <w:rPr>
          <w:rFonts w:ascii="Times New Roman" w:hAnsi="Times New Roman"/>
          <w:sz w:val="26"/>
          <w:szCs w:val="26"/>
        </w:rPr>
        <w:t>.</w:t>
      </w:r>
    </w:p>
    <w:p w:rsidR="005B7C27" w:rsidRDefault="005B7C27" w:rsidP="00DE68FB">
      <w:pPr>
        <w:pStyle w:val="BodyText2"/>
        <w:spacing w:after="0" w:line="360" w:lineRule="auto"/>
        <w:rPr>
          <w:rFonts w:ascii="Times New Roman" w:hAnsi="Times New Roman"/>
          <w:sz w:val="26"/>
          <w:szCs w:val="26"/>
        </w:rPr>
      </w:pPr>
    </w:p>
    <w:p w:rsidR="005B7C27" w:rsidRDefault="005B7C27" w:rsidP="005B7C27">
      <w:pPr>
        <w:tabs>
          <w:tab w:val="left" w:pos="1440"/>
        </w:tabs>
        <w:ind w:firstLine="720"/>
        <w:rPr>
          <w:sz w:val="26"/>
          <w:szCs w:val="26"/>
        </w:rPr>
      </w:pPr>
      <w:r>
        <w:rPr>
          <w:rFonts w:ascii="Times New Roman" w:hAnsi="Times New Roman"/>
          <w:sz w:val="26"/>
          <w:szCs w:val="26"/>
        </w:rPr>
        <w:tab/>
      </w:r>
      <w:r>
        <w:rPr>
          <w:sz w:val="26"/>
          <w:szCs w:val="26"/>
        </w:rPr>
        <w:t>4.</w:t>
      </w:r>
      <w:r>
        <w:rPr>
          <w:sz w:val="26"/>
          <w:szCs w:val="26"/>
        </w:rPr>
        <w:tab/>
        <w:t xml:space="preserve">That Respond Power LLC </w:t>
      </w:r>
      <w:r w:rsidR="00950096">
        <w:rPr>
          <w:sz w:val="26"/>
          <w:szCs w:val="26"/>
        </w:rPr>
        <w:t>shall p</w:t>
      </w:r>
      <w:r w:rsidR="00B67010">
        <w:rPr>
          <w:sz w:val="26"/>
          <w:szCs w:val="26"/>
        </w:rPr>
        <w:t xml:space="preserve">rovide a </w:t>
      </w:r>
      <w:r w:rsidRPr="007714B1">
        <w:rPr>
          <w:sz w:val="26"/>
          <w:szCs w:val="26"/>
        </w:rPr>
        <w:t>refund</w:t>
      </w:r>
      <w:r w:rsidR="000B70B9">
        <w:rPr>
          <w:sz w:val="26"/>
          <w:szCs w:val="26"/>
        </w:rPr>
        <w:t xml:space="preserve">, or in the event the account remains unpaid for the period in dispute, </w:t>
      </w:r>
      <w:r w:rsidR="00950096">
        <w:rPr>
          <w:sz w:val="26"/>
          <w:szCs w:val="26"/>
        </w:rPr>
        <w:t xml:space="preserve">shall </w:t>
      </w:r>
      <w:r w:rsidR="000B70B9">
        <w:rPr>
          <w:sz w:val="26"/>
          <w:szCs w:val="26"/>
        </w:rPr>
        <w:t>issue a rebill</w:t>
      </w:r>
      <w:r w:rsidRPr="007714B1">
        <w:rPr>
          <w:sz w:val="26"/>
          <w:szCs w:val="26"/>
        </w:rPr>
        <w:t xml:space="preserve"> to </w:t>
      </w:r>
      <w:r w:rsidR="000B70B9">
        <w:rPr>
          <w:sz w:val="26"/>
          <w:szCs w:val="26"/>
        </w:rPr>
        <w:t>the Complainant Justin L. Herp</w:t>
      </w:r>
      <w:r w:rsidR="00950096">
        <w:rPr>
          <w:sz w:val="26"/>
          <w:szCs w:val="26"/>
        </w:rPr>
        <w:t xml:space="preserve">, within sixty (60) days from the date of entry of this Order, in the amount of the difference between what Mr. Herp was billed for the months of November 2013 through and including March 2014 and what he should have been </w:t>
      </w:r>
      <w:r w:rsidR="00950096">
        <w:rPr>
          <w:sz w:val="26"/>
          <w:szCs w:val="26"/>
        </w:rPr>
        <w:lastRenderedPageBreak/>
        <w:t xml:space="preserve">billed </w:t>
      </w:r>
      <w:r w:rsidR="00F1552B">
        <w:rPr>
          <w:sz w:val="26"/>
          <w:szCs w:val="26"/>
        </w:rPr>
        <w:t>had</w:t>
      </w:r>
      <w:r w:rsidR="00950096">
        <w:rPr>
          <w:sz w:val="26"/>
          <w:szCs w:val="26"/>
        </w:rPr>
        <w:t xml:space="preserve"> his rate been capped at the then-effective Price-to-Compare of his electric distribution company West Penn Power Company</w:t>
      </w:r>
      <w:r w:rsidR="00B67010">
        <w:rPr>
          <w:sz w:val="26"/>
          <w:szCs w:val="26"/>
        </w:rPr>
        <w:t>.</w:t>
      </w:r>
    </w:p>
    <w:p w:rsidR="005B7C27" w:rsidRDefault="005B7C27" w:rsidP="005B7C27">
      <w:pPr>
        <w:tabs>
          <w:tab w:val="left" w:pos="1440"/>
        </w:tabs>
        <w:ind w:firstLine="720"/>
        <w:rPr>
          <w:sz w:val="26"/>
          <w:szCs w:val="26"/>
        </w:rPr>
      </w:pPr>
    </w:p>
    <w:p w:rsidR="005B7C27" w:rsidRDefault="005B7C27" w:rsidP="005B7C27">
      <w:pPr>
        <w:pStyle w:val="PlainText"/>
        <w:tabs>
          <w:tab w:val="left" w:pos="1440"/>
        </w:tabs>
        <w:spacing w:line="360" w:lineRule="auto"/>
        <w:ind w:firstLine="720"/>
        <w:rPr>
          <w:rFonts w:ascii="Times New Roman" w:hAnsi="Times New Roman" w:cs="Times New Roman"/>
          <w:sz w:val="26"/>
          <w:szCs w:val="26"/>
        </w:rPr>
      </w:pPr>
      <w:r>
        <w:rPr>
          <w:rFonts w:ascii="Times New Roman" w:hAnsi="Times New Roman" w:cs="Times New Roman"/>
          <w:sz w:val="26"/>
          <w:szCs w:val="26"/>
        </w:rPr>
        <w:tab/>
        <w:t>5</w:t>
      </w:r>
      <w:r w:rsidRPr="004240E7">
        <w:rPr>
          <w:rFonts w:ascii="Times New Roman" w:hAnsi="Times New Roman" w:cs="Times New Roman"/>
          <w:sz w:val="26"/>
          <w:szCs w:val="26"/>
        </w:rPr>
        <w:t>.</w:t>
      </w:r>
      <w:r w:rsidRPr="004240E7">
        <w:rPr>
          <w:rFonts w:ascii="Times New Roman" w:hAnsi="Times New Roman" w:cs="Times New Roman"/>
          <w:sz w:val="26"/>
          <w:szCs w:val="26"/>
        </w:rPr>
        <w:tab/>
        <w:t>That</w:t>
      </w:r>
      <w:r>
        <w:rPr>
          <w:rFonts w:ascii="Times New Roman" w:hAnsi="Times New Roman" w:cs="Times New Roman"/>
          <w:sz w:val="26"/>
          <w:szCs w:val="26"/>
        </w:rPr>
        <w:t>, in accordance with Section 3301 of the Public Utility Code, 66</w:t>
      </w:r>
      <w:r w:rsidR="00F531DC">
        <w:rPr>
          <w:rFonts w:ascii="Times New Roman" w:hAnsi="Times New Roman" w:cs="Times New Roman"/>
          <w:sz w:val="26"/>
          <w:szCs w:val="26"/>
        </w:rPr>
        <w:t> </w:t>
      </w:r>
      <w:r>
        <w:rPr>
          <w:rFonts w:ascii="Times New Roman" w:hAnsi="Times New Roman" w:cs="Times New Roman"/>
          <w:sz w:val="26"/>
          <w:szCs w:val="26"/>
        </w:rPr>
        <w:t xml:space="preserve">Pa. C.S. § 3301, within thirty (30) days of </w:t>
      </w:r>
      <w:r w:rsidR="00F531DC">
        <w:rPr>
          <w:rFonts w:ascii="Times New Roman" w:hAnsi="Times New Roman" w:cs="Times New Roman"/>
          <w:sz w:val="26"/>
          <w:szCs w:val="26"/>
        </w:rPr>
        <w:t xml:space="preserve">the date of entry </w:t>
      </w:r>
      <w:r>
        <w:rPr>
          <w:rFonts w:ascii="Times New Roman" w:hAnsi="Times New Roman" w:cs="Times New Roman"/>
          <w:sz w:val="26"/>
          <w:szCs w:val="26"/>
        </w:rPr>
        <w:t>of this Opinion and Order,</w:t>
      </w:r>
      <w:r w:rsidRPr="004240E7">
        <w:rPr>
          <w:rFonts w:ascii="Times New Roman" w:hAnsi="Times New Roman" w:cs="Times New Roman"/>
          <w:sz w:val="26"/>
          <w:szCs w:val="26"/>
        </w:rPr>
        <w:t xml:space="preserve"> </w:t>
      </w:r>
      <w:r w:rsidR="000F2C81">
        <w:rPr>
          <w:rFonts w:ascii="Times New Roman" w:hAnsi="Times New Roman" w:cs="Times New Roman"/>
          <w:sz w:val="26"/>
          <w:szCs w:val="26"/>
        </w:rPr>
        <w:t>Respond Power LLC</w:t>
      </w:r>
      <w:r>
        <w:rPr>
          <w:rFonts w:ascii="Times New Roman" w:hAnsi="Times New Roman" w:cs="Times New Roman"/>
          <w:sz w:val="26"/>
          <w:szCs w:val="26"/>
        </w:rPr>
        <w:t xml:space="preserve"> </w:t>
      </w:r>
      <w:r w:rsidRPr="004240E7">
        <w:rPr>
          <w:rFonts w:ascii="Times New Roman" w:hAnsi="Times New Roman" w:cs="Times New Roman"/>
          <w:sz w:val="26"/>
          <w:szCs w:val="26"/>
        </w:rPr>
        <w:t xml:space="preserve">shall pay a </w:t>
      </w:r>
      <w:r>
        <w:rPr>
          <w:rFonts w:ascii="Times New Roman" w:hAnsi="Times New Roman" w:cs="Times New Roman"/>
          <w:sz w:val="26"/>
          <w:szCs w:val="26"/>
        </w:rPr>
        <w:t>ci</w:t>
      </w:r>
      <w:r w:rsidR="00B67010">
        <w:rPr>
          <w:rFonts w:ascii="Times New Roman" w:hAnsi="Times New Roman" w:cs="Times New Roman"/>
          <w:sz w:val="26"/>
          <w:szCs w:val="26"/>
        </w:rPr>
        <w:t>vil penalty in the amount of Four Thousand Dollars ($4</w:t>
      </w:r>
      <w:r>
        <w:rPr>
          <w:rFonts w:ascii="Times New Roman" w:hAnsi="Times New Roman" w:cs="Times New Roman"/>
          <w:sz w:val="26"/>
          <w:szCs w:val="26"/>
        </w:rPr>
        <w:t>,0</w:t>
      </w:r>
      <w:r w:rsidRPr="004240E7">
        <w:rPr>
          <w:rFonts w:ascii="Times New Roman" w:hAnsi="Times New Roman" w:cs="Times New Roman"/>
          <w:sz w:val="26"/>
          <w:szCs w:val="26"/>
        </w:rPr>
        <w:t>00</w:t>
      </w:r>
      <w:r>
        <w:rPr>
          <w:rFonts w:ascii="Times New Roman" w:hAnsi="Times New Roman" w:cs="Times New Roman"/>
          <w:sz w:val="26"/>
          <w:szCs w:val="26"/>
        </w:rPr>
        <w:t>.00</w:t>
      </w:r>
      <w:r w:rsidRPr="004240E7">
        <w:rPr>
          <w:rFonts w:ascii="Times New Roman" w:hAnsi="Times New Roman" w:cs="Times New Roman"/>
          <w:sz w:val="26"/>
          <w:szCs w:val="26"/>
        </w:rPr>
        <w:t>)</w:t>
      </w:r>
      <w:r w:rsidR="00950096">
        <w:rPr>
          <w:rFonts w:ascii="Times New Roman" w:hAnsi="Times New Roman" w:cs="Times New Roman"/>
          <w:sz w:val="26"/>
          <w:szCs w:val="26"/>
        </w:rPr>
        <w:t xml:space="preserve">.  </w:t>
      </w:r>
      <w:r>
        <w:rPr>
          <w:rFonts w:ascii="Times New Roman" w:hAnsi="Times New Roman" w:cs="Times New Roman"/>
          <w:sz w:val="26"/>
          <w:szCs w:val="26"/>
        </w:rPr>
        <w:t>C</w:t>
      </w:r>
      <w:r w:rsidRPr="004240E7">
        <w:rPr>
          <w:rFonts w:ascii="Times New Roman" w:hAnsi="Times New Roman" w:cs="Times New Roman"/>
          <w:sz w:val="26"/>
          <w:szCs w:val="26"/>
        </w:rPr>
        <w:t>ertified check or money order</w:t>
      </w:r>
      <w:r>
        <w:rPr>
          <w:rFonts w:ascii="Times New Roman" w:hAnsi="Times New Roman" w:cs="Times New Roman"/>
          <w:sz w:val="26"/>
          <w:szCs w:val="26"/>
        </w:rPr>
        <w:t xml:space="preserve"> in that amount shall be made payable to “Commonwealth of Pennsylvania” </w:t>
      </w:r>
      <w:r w:rsidRPr="004240E7">
        <w:rPr>
          <w:rFonts w:ascii="Times New Roman" w:hAnsi="Times New Roman" w:cs="Times New Roman"/>
          <w:sz w:val="26"/>
          <w:szCs w:val="26"/>
        </w:rPr>
        <w:t xml:space="preserve">and </w:t>
      </w:r>
      <w:r>
        <w:rPr>
          <w:rFonts w:ascii="Times New Roman" w:hAnsi="Times New Roman" w:cs="Times New Roman"/>
          <w:sz w:val="26"/>
          <w:szCs w:val="26"/>
        </w:rPr>
        <w:t>sent addressed as follow</w:t>
      </w:r>
      <w:r w:rsidRPr="002D20AC">
        <w:rPr>
          <w:rFonts w:ascii="Times New Roman" w:hAnsi="Times New Roman" w:cs="Times New Roman"/>
          <w:sz w:val="26"/>
          <w:szCs w:val="26"/>
        </w:rPr>
        <w:t>s:</w:t>
      </w:r>
    </w:p>
    <w:p w:rsidR="005B7C27" w:rsidRPr="002D20AC" w:rsidRDefault="005B7C27" w:rsidP="005B7C27">
      <w:pPr>
        <w:pStyle w:val="PlainText"/>
        <w:tabs>
          <w:tab w:val="left" w:pos="1440"/>
        </w:tabs>
        <w:spacing w:line="360" w:lineRule="auto"/>
        <w:ind w:firstLine="720"/>
        <w:rPr>
          <w:rFonts w:ascii="Times New Roman" w:hAnsi="Times New Roman" w:cs="Times New Roman"/>
          <w:sz w:val="26"/>
          <w:szCs w:val="26"/>
        </w:rPr>
      </w:pPr>
    </w:p>
    <w:p w:rsidR="005B7C27" w:rsidRPr="002D20AC" w:rsidRDefault="005B7C27" w:rsidP="00AF4119">
      <w:pPr>
        <w:suppressAutoHyphens/>
        <w:spacing w:line="240" w:lineRule="auto"/>
        <w:rPr>
          <w:sz w:val="26"/>
          <w:szCs w:val="26"/>
        </w:rPr>
      </w:pPr>
      <w:r w:rsidRPr="002D20AC">
        <w:rPr>
          <w:sz w:val="26"/>
          <w:szCs w:val="26"/>
        </w:rPr>
        <w:tab/>
      </w:r>
      <w:r w:rsidRPr="002D20AC">
        <w:rPr>
          <w:sz w:val="26"/>
          <w:szCs w:val="26"/>
        </w:rPr>
        <w:tab/>
      </w:r>
      <w:r w:rsidRPr="002D20AC">
        <w:rPr>
          <w:sz w:val="26"/>
          <w:szCs w:val="26"/>
        </w:rPr>
        <w:tab/>
      </w:r>
      <w:r w:rsidRPr="002D20AC">
        <w:rPr>
          <w:sz w:val="26"/>
          <w:szCs w:val="26"/>
        </w:rPr>
        <w:tab/>
        <w:t>Secretary</w:t>
      </w:r>
    </w:p>
    <w:p w:rsidR="005B7C27" w:rsidRPr="002D20AC" w:rsidRDefault="005B7C27" w:rsidP="00AF4119">
      <w:pPr>
        <w:suppressAutoHyphens/>
        <w:spacing w:line="240" w:lineRule="auto"/>
        <w:rPr>
          <w:sz w:val="26"/>
          <w:szCs w:val="26"/>
        </w:rPr>
      </w:pPr>
      <w:r w:rsidRPr="002D20AC">
        <w:rPr>
          <w:sz w:val="26"/>
          <w:szCs w:val="26"/>
        </w:rPr>
        <w:tab/>
      </w:r>
      <w:r w:rsidRPr="002D20AC">
        <w:rPr>
          <w:sz w:val="26"/>
          <w:szCs w:val="26"/>
        </w:rPr>
        <w:tab/>
      </w:r>
      <w:r w:rsidRPr="002D20AC">
        <w:rPr>
          <w:sz w:val="26"/>
          <w:szCs w:val="26"/>
        </w:rPr>
        <w:tab/>
      </w:r>
      <w:r w:rsidRPr="002D20AC">
        <w:rPr>
          <w:sz w:val="26"/>
          <w:szCs w:val="26"/>
        </w:rPr>
        <w:tab/>
        <w:t>Pennsylvania Public Utility Commission</w:t>
      </w:r>
    </w:p>
    <w:p w:rsidR="005B7C27" w:rsidRPr="002D20AC" w:rsidRDefault="005B7C27" w:rsidP="00AF4119">
      <w:pPr>
        <w:suppressAutoHyphens/>
        <w:spacing w:line="240" w:lineRule="auto"/>
        <w:rPr>
          <w:sz w:val="26"/>
          <w:szCs w:val="26"/>
        </w:rPr>
      </w:pPr>
      <w:r w:rsidRPr="002D20AC">
        <w:rPr>
          <w:sz w:val="26"/>
          <w:szCs w:val="26"/>
        </w:rPr>
        <w:tab/>
      </w:r>
      <w:r w:rsidRPr="002D20AC">
        <w:rPr>
          <w:sz w:val="26"/>
          <w:szCs w:val="26"/>
        </w:rPr>
        <w:tab/>
      </w:r>
      <w:r w:rsidRPr="002D20AC">
        <w:rPr>
          <w:sz w:val="26"/>
          <w:szCs w:val="26"/>
        </w:rPr>
        <w:tab/>
      </w:r>
      <w:r w:rsidRPr="002D20AC">
        <w:rPr>
          <w:sz w:val="26"/>
          <w:szCs w:val="26"/>
        </w:rPr>
        <w:tab/>
        <w:t>P.O. Box 3265</w:t>
      </w:r>
    </w:p>
    <w:p w:rsidR="005B7C27" w:rsidRDefault="005B7C27" w:rsidP="00AF4119">
      <w:pPr>
        <w:suppressAutoHyphens/>
        <w:spacing w:line="240" w:lineRule="auto"/>
        <w:rPr>
          <w:sz w:val="26"/>
          <w:szCs w:val="26"/>
        </w:rPr>
      </w:pPr>
      <w:r w:rsidRPr="002D20AC">
        <w:rPr>
          <w:sz w:val="26"/>
          <w:szCs w:val="26"/>
        </w:rPr>
        <w:tab/>
      </w:r>
      <w:r w:rsidRPr="002D20AC">
        <w:rPr>
          <w:sz w:val="26"/>
          <w:szCs w:val="26"/>
        </w:rPr>
        <w:tab/>
      </w:r>
      <w:r w:rsidRPr="002D20AC">
        <w:rPr>
          <w:sz w:val="26"/>
          <w:szCs w:val="26"/>
        </w:rPr>
        <w:tab/>
      </w:r>
      <w:r w:rsidRPr="002D20AC">
        <w:rPr>
          <w:sz w:val="26"/>
          <w:szCs w:val="26"/>
        </w:rPr>
        <w:tab/>
        <w:t>Harrisburg, PA  17105-3265</w:t>
      </w:r>
    </w:p>
    <w:p w:rsidR="005B7C27" w:rsidRPr="002D20AC" w:rsidRDefault="005B7C27" w:rsidP="005B7C27">
      <w:pPr>
        <w:suppressAutoHyphens/>
        <w:rPr>
          <w:sz w:val="26"/>
          <w:szCs w:val="26"/>
        </w:rPr>
      </w:pPr>
    </w:p>
    <w:p w:rsidR="005B7C27" w:rsidRPr="002D20AC" w:rsidRDefault="005B7C27" w:rsidP="005B7C27">
      <w:pPr>
        <w:pStyle w:val="PlainText"/>
        <w:spacing w:line="360" w:lineRule="auto"/>
        <w:rPr>
          <w:rFonts w:ascii="Times New Roman" w:hAnsi="Times New Roman" w:cs="Times New Roman"/>
          <w:sz w:val="26"/>
          <w:szCs w:val="26"/>
        </w:rPr>
      </w:pPr>
      <w:r w:rsidRPr="004240E7">
        <w:rPr>
          <w:sz w:val="26"/>
          <w:szCs w:val="26"/>
        </w:rPr>
        <w:tab/>
      </w:r>
      <w:r w:rsidRPr="004240E7">
        <w:rPr>
          <w:sz w:val="26"/>
          <w:szCs w:val="26"/>
        </w:rPr>
        <w:tab/>
      </w:r>
      <w:r w:rsidR="00C124DA">
        <w:rPr>
          <w:rFonts w:ascii="Times New Roman" w:hAnsi="Times New Roman" w:cs="Times New Roman"/>
          <w:sz w:val="26"/>
          <w:szCs w:val="26"/>
        </w:rPr>
        <w:t>6.</w:t>
      </w:r>
      <w:r w:rsidR="00C124DA">
        <w:rPr>
          <w:rFonts w:ascii="Times New Roman" w:hAnsi="Times New Roman" w:cs="Times New Roman"/>
          <w:sz w:val="26"/>
          <w:szCs w:val="26"/>
        </w:rPr>
        <w:tab/>
        <w:t>That Respond Power LLC</w:t>
      </w:r>
      <w:r w:rsidRPr="002D20AC">
        <w:rPr>
          <w:rFonts w:ascii="Times New Roman" w:hAnsi="Times New Roman" w:cs="Times New Roman"/>
          <w:sz w:val="26"/>
          <w:szCs w:val="26"/>
        </w:rPr>
        <w:t xml:space="preserve"> </w:t>
      </w:r>
      <w:r w:rsidR="00C124DA">
        <w:rPr>
          <w:rFonts w:ascii="Times New Roman" w:hAnsi="Times New Roman" w:cs="Times New Roman"/>
          <w:sz w:val="26"/>
          <w:szCs w:val="26"/>
        </w:rPr>
        <w:t xml:space="preserve">shall </w:t>
      </w:r>
      <w:r w:rsidRPr="002D20AC">
        <w:rPr>
          <w:rFonts w:ascii="Times New Roman" w:hAnsi="Times New Roman" w:cs="Times New Roman"/>
          <w:sz w:val="26"/>
          <w:szCs w:val="26"/>
        </w:rPr>
        <w:t>cease and desist from further violations of the Public Utility Commission’s Regulations.</w:t>
      </w:r>
    </w:p>
    <w:p w:rsidR="005B7C27" w:rsidRPr="002D20AC" w:rsidRDefault="005B7C27" w:rsidP="005B7C27">
      <w:pPr>
        <w:suppressAutoHyphens/>
        <w:rPr>
          <w:szCs w:val="26"/>
        </w:rPr>
      </w:pPr>
      <w:r w:rsidRPr="002D20AC">
        <w:rPr>
          <w:szCs w:val="26"/>
        </w:rPr>
        <w:tab/>
      </w:r>
    </w:p>
    <w:p w:rsidR="005B7C27" w:rsidRPr="002D20AC" w:rsidRDefault="005B7C27" w:rsidP="005B7C27">
      <w:pPr>
        <w:suppressAutoHyphens/>
        <w:ind w:firstLine="1440"/>
        <w:rPr>
          <w:sz w:val="26"/>
          <w:szCs w:val="26"/>
        </w:rPr>
      </w:pPr>
      <w:r w:rsidRPr="002D20AC">
        <w:rPr>
          <w:sz w:val="26"/>
          <w:szCs w:val="26"/>
        </w:rPr>
        <w:t>7.</w:t>
      </w:r>
      <w:r w:rsidRPr="002D20AC">
        <w:rPr>
          <w:sz w:val="26"/>
          <w:szCs w:val="26"/>
        </w:rPr>
        <w:tab/>
        <w:t>That a copy of this Opinion and Order be served upon the Financial and Assessment Chief, Of</w:t>
      </w:r>
      <w:r w:rsidR="00C124DA">
        <w:rPr>
          <w:sz w:val="26"/>
          <w:szCs w:val="26"/>
        </w:rPr>
        <w:t>fice of Administrative Services, the Office of Competitive Market Oversight</w:t>
      </w:r>
      <w:r w:rsidR="00950096">
        <w:rPr>
          <w:sz w:val="26"/>
          <w:szCs w:val="26"/>
        </w:rPr>
        <w:t>,</w:t>
      </w:r>
      <w:r w:rsidR="00C124DA">
        <w:rPr>
          <w:sz w:val="26"/>
          <w:szCs w:val="26"/>
        </w:rPr>
        <w:t xml:space="preserve"> and the Bureau of Consumer Services.</w:t>
      </w:r>
    </w:p>
    <w:p w:rsidR="005B7C27" w:rsidRPr="002D20AC" w:rsidRDefault="005B7C27" w:rsidP="005B7C27">
      <w:pPr>
        <w:suppressAutoHyphens/>
        <w:ind w:firstLine="1440"/>
        <w:rPr>
          <w:sz w:val="26"/>
          <w:szCs w:val="26"/>
        </w:rPr>
      </w:pPr>
    </w:p>
    <w:p w:rsidR="005B7C27" w:rsidRDefault="005B7C27" w:rsidP="00521D8D">
      <w:pPr>
        <w:keepNext/>
        <w:keepLines/>
        <w:ind w:firstLine="1440"/>
        <w:rPr>
          <w:sz w:val="26"/>
          <w:szCs w:val="26"/>
        </w:rPr>
      </w:pPr>
      <w:r w:rsidRPr="002D20AC">
        <w:rPr>
          <w:sz w:val="26"/>
          <w:szCs w:val="26"/>
        </w:rPr>
        <w:lastRenderedPageBreak/>
        <w:t>8.</w:t>
      </w:r>
      <w:r w:rsidRPr="002D20AC">
        <w:rPr>
          <w:sz w:val="26"/>
          <w:szCs w:val="26"/>
        </w:rPr>
        <w:tab/>
        <w:t>That the proce</w:t>
      </w:r>
      <w:r w:rsidR="00C124DA">
        <w:rPr>
          <w:sz w:val="26"/>
          <w:szCs w:val="26"/>
        </w:rPr>
        <w:t>eding docketed at C-2014-2413756</w:t>
      </w:r>
      <w:r w:rsidRPr="002D20AC">
        <w:rPr>
          <w:sz w:val="26"/>
          <w:szCs w:val="26"/>
        </w:rPr>
        <w:t xml:space="preserve"> be marked closed upon payment of the penalty described in Ordering</w:t>
      </w:r>
      <w:r>
        <w:rPr>
          <w:sz w:val="26"/>
          <w:szCs w:val="26"/>
        </w:rPr>
        <w:t xml:space="preserve"> Paragraph No. 5</w:t>
      </w:r>
      <w:r w:rsidRPr="002D20AC">
        <w:rPr>
          <w:sz w:val="26"/>
          <w:szCs w:val="26"/>
        </w:rPr>
        <w:t>.</w:t>
      </w:r>
    </w:p>
    <w:p w:rsidR="00B67010" w:rsidRPr="002D20AC" w:rsidRDefault="006B625F" w:rsidP="00521D8D">
      <w:pPr>
        <w:keepNext/>
        <w:keepLines/>
        <w:ind w:firstLine="1440"/>
        <w:rPr>
          <w:sz w:val="26"/>
          <w:szCs w:val="26"/>
        </w:rPr>
      </w:pPr>
      <w:bookmarkStart w:id="1" w:name="_GoBack"/>
      <w:r>
        <w:rPr>
          <w:noProof/>
        </w:rPr>
        <w:drawing>
          <wp:anchor distT="0" distB="0" distL="114300" distR="114300" simplePos="0" relativeHeight="251659264" behindDoc="1" locked="0" layoutInCell="1" allowOverlap="1" wp14:anchorId="25F312C6" wp14:editId="79240FD7">
            <wp:simplePos x="0" y="0"/>
            <wp:positionH relativeFrom="column">
              <wp:posOffset>3030220</wp:posOffset>
            </wp:positionH>
            <wp:positionV relativeFrom="paragraph">
              <wp:posOffset>248920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0769C7" w:rsidRPr="0022192A" w:rsidRDefault="005B7C27" w:rsidP="00521D8D">
      <w:pPr>
        <w:keepNext/>
        <w:keepLines/>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b/>
          <w:sz w:val="26"/>
          <w:szCs w:val="26"/>
        </w:rPr>
        <w:t>BY THE COMMISSION,</w:t>
      </w:r>
    </w:p>
    <w:p w:rsidR="00AF4119" w:rsidRPr="0022192A" w:rsidRDefault="00AF4119" w:rsidP="00521D8D">
      <w:pPr>
        <w:keepNext/>
        <w:keepLines/>
        <w:rPr>
          <w:sz w:val="26"/>
          <w:szCs w:val="26"/>
        </w:rPr>
      </w:pPr>
    </w:p>
    <w:p w:rsidR="000769C7" w:rsidRPr="0022192A" w:rsidRDefault="000769C7" w:rsidP="00521D8D">
      <w:pPr>
        <w:keepNext/>
        <w:keepLines/>
        <w:widowControl w:val="0"/>
        <w:tabs>
          <w:tab w:val="left" w:pos="-720"/>
        </w:tabs>
        <w:suppressAutoHyphens/>
        <w:rPr>
          <w:rFonts w:ascii="Times New Roman" w:hAnsi="Times New Roman"/>
          <w:spacing w:val="-3"/>
          <w:sz w:val="26"/>
          <w:szCs w:val="26"/>
        </w:rPr>
      </w:pPr>
    </w:p>
    <w:p w:rsidR="000769C7" w:rsidRPr="00DE68FB" w:rsidRDefault="000769C7" w:rsidP="00521D8D">
      <w:pPr>
        <w:keepNext/>
        <w:keepLines/>
        <w:widowControl w:val="0"/>
        <w:tabs>
          <w:tab w:val="left" w:pos="-720"/>
        </w:tabs>
        <w:suppressAutoHyphens/>
        <w:spacing w:line="240" w:lineRule="auto"/>
        <w:rPr>
          <w:rFonts w:ascii="Times New Roman" w:hAnsi="Times New Roman"/>
          <w:spacing w:val="-3"/>
          <w:sz w:val="26"/>
          <w:szCs w:val="26"/>
        </w:rPr>
      </w:pPr>
      <w:r w:rsidRPr="00DE68FB">
        <w:rPr>
          <w:rFonts w:ascii="Times New Roman" w:hAnsi="Times New Roman"/>
          <w:spacing w:val="-3"/>
          <w:sz w:val="26"/>
          <w:szCs w:val="26"/>
        </w:rPr>
        <w:tab/>
      </w:r>
      <w:r w:rsidRPr="00DE68FB">
        <w:rPr>
          <w:rFonts w:ascii="Times New Roman" w:hAnsi="Times New Roman"/>
          <w:spacing w:val="-3"/>
          <w:sz w:val="26"/>
          <w:szCs w:val="26"/>
        </w:rPr>
        <w:tab/>
      </w:r>
      <w:r w:rsidRPr="00DE68FB">
        <w:rPr>
          <w:rFonts w:ascii="Times New Roman" w:hAnsi="Times New Roman"/>
          <w:spacing w:val="-3"/>
          <w:sz w:val="26"/>
          <w:szCs w:val="26"/>
        </w:rPr>
        <w:tab/>
      </w:r>
      <w:r w:rsidRPr="00DE68FB">
        <w:rPr>
          <w:rFonts w:ascii="Times New Roman" w:hAnsi="Times New Roman"/>
          <w:spacing w:val="-3"/>
          <w:sz w:val="26"/>
          <w:szCs w:val="26"/>
        </w:rPr>
        <w:tab/>
      </w:r>
      <w:r w:rsidRPr="00DE68FB">
        <w:rPr>
          <w:rFonts w:ascii="Times New Roman" w:hAnsi="Times New Roman"/>
          <w:spacing w:val="-3"/>
          <w:sz w:val="26"/>
          <w:szCs w:val="26"/>
        </w:rPr>
        <w:tab/>
      </w:r>
      <w:r w:rsidRPr="00DE68FB">
        <w:rPr>
          <w:rFonts w:ascii="Times New Roman" w:hAnsi="Times New Roman"/>
          <w:spacing w:val="-3"/>
          <w:sz w:val="26"/>
          <w:szCs w:val="26"/>
        </w:rPr>
        <w:tab/>
      </w:r>
      <w:r w:rsidRPr="00DE68FB">
        <w:rPr>
          <w:rFonts w:ascii="Times New Roman" w:hAnsi="Times New Roman"/>
          <w:spacing w:val="-3"/>
          <w:sz w:val="26"/>
          <w:szCs w:val="26"/>
        </w:rPr>
        <w:tab/>
        <w:t>Rosemary Chiavetta</w:t>
      </w:r>
    </w:p>
    <w:p w:rsidR="000769C7" w:rsidRDefault="000769C7" w:rsidP="00521D8D">
      <w:pPr>
        <w:keepNext/>
        <w:keepLines/>
        <w:widowControl w:val="0"/>
        <w:tabs>
          <w:tab w:val="left" w:pos="-720"/>
        </w:tabs>
        <w:suppressAutoHyphens/>
        <w:spacing w:line="240" w:lineRule="auto"/>
        <w:rPr>
          <w:rFonts w:ascii="Times New Roman" w:hAnsi="Times New Roman"/>
          <w:spacing w:val="-3"/>
          <w:sz w:val="26"/>
          <w:szCs w:val="26"/>
        </w:rPr>
      </w:pPr>
      <w:r w:rsidRPr="00DE68FB">
        <w:rPr>
          <w:rFonts w:ascii="Times New Roman" w:hAnsi="Times New Roman"/>
          <w:spacing w:val="-3"/>
          <w:sz w:val="26"/>
          <w:szCs w:val="26"/>
        </w:rPr>
        <w:tab/>
      </w:r>
      <w:r w:rsidRPr="00DE68FB">
        <w:rPr>
          <w:rFonts w:ascii="Times New Roman" w:hAnsi="Times New Roman"/>
          <w:spacing w:val="-3"/>
          <w:sz w:val="26"/>
          <w:szCs w:val="26"/>
        </w:rPr>
        <w:tab/>
      </w:r>
      <w:r w:rsidRPr="00DE68FB">
        <w:rPr>
          <w:rFonts w:ascii="Times New Roman" w:hAnsi="Times New Roman"/>
          <w:spacing w:val="-3"/>
          <w:sz w:val="26"/>
          <w:szCs w:val="26"/>
        </w:rPr>
        <w:tab/>
      </w:r>
      <w:r w:rsidRPr="00DE68FB">
        <w:rPr>
          <w:rFonts w:ascii="Times New Roman" w:hAnsi="Times New Roman"/>
          <w:spacing w:val="-3"/>
          <w:sz w:val="26"/>
          <w:szCs w:val="26"/>
        </w:rPr>
        <w:tab/>
      </w:r>
      <w:r w:rsidRPr="00DE68FB">
        <w:rPr>
          <w:rFonts w:ascii="Times New Roman" w:hAnsi="Times New Roman"/>
          <w:spacing w:val="-3"/>
          <w:sz w:val="26"/>
          <w:szCs w:val="26"/>
        </w:rPr>
        <w:tab/>
      </w:r>
      <w:r w:rsidRPr="00DE68FB">
        <w:rPr>
          <w:rFonts w:ascii="Times New Roman" w:hAnsi="Times New Roman"/>
          <w:spacing w:val="-3"/>
          <w:sz w:val="26"/>
          <w:szCs w:val="26"/>
        </w:rPr>
        <w:tab/>
      </w:r>
      <w:r w:rsidRPr="00DE68FB">
        <w:rPr>
          <w:rFonts w:ascii="Times New Roman" w:hAnsi="Times New Roman"/>
          <w:spacing w:val="-3"/>
          <w:sz w:val="26"/>
          <w:szCs w:val="26"/>
        </w:rPr>
        <w:tab/>
        <w:t>Secretary</w:t>
      </w:r>
    </w:p>
    <w:p w:rsidR="00AF4119" w:rsidRPr="00DE68FB" w:rsidRDefault="00AF4119" w:rsidP="00521D8D">
      <w:pPr>
        <w:keepNext/>
        <w:keepLines/>
        <w:widowControl w:val="0"/>
        <w:tabs>
          <w:tab w:val="left" w:pos="-720"/>
        </w:tabs>
        <w:suppressAutoHyphens/>
        <w:rPr>
          <w:rFonts w:ascii="Times New Roman" w:hAnsi="Times New Roman"/>
          <w:spacing w:val="-3"/>
          <w:sz w:val="26"/>
          <w:szCs w:val="26"/>
        </w:rPr>
      </w:pPr>
    </w:p>
    <w:p w:rsidR="000769C7" w:rsidRPr="00DE68FB" w:rsidRDefault="000769C7" w:rsidP="00521D8D">
      <w:pPr>
        <w:pStyle w:val="BodyText3"/>
        <w:keepNext/>
        <w:keepLines/>
        <w:widowControl w:val="0"/>
        <w:tabs>
          <w:tab w:val="left" w:pos="-720"/>
        </w:tabs>
        <w:suppressAutoHyphens/>
        <w:rPr>
          <w:rFonts w:ascii="Times New Roman" w:hAnsi="Times New Roman"/>
          <w:spacing w:val="-3"/>
          <w:sz w:val="26"/>
          <w:szCs w:val="26"/>
        </w:rPr>
      </w:pPr>
      <w:r w:rsidRPr="00DE68FB">
        <w:rPr>
          <w:rFonts w:ascii="Times New Roman" w:hAnsi="Times New Roman"/>
          <w:spacing w:val="-3"/>
          <w:sz w:val="26"/>
          <w:szCs w:val="26"/>
        </w:rPr>
        <w:t>(SEAL)</w:t>
      </w:r>
    </w:p>
    <w:p w:rsidR="000769C7" w:rsidRPr="00DE68FB" w:rsidRDefault="004300A2" w:rsidP="00521D8D">
      <w:pPr>
        <w:keepNext/>
        <w:keepLines/>
        <w:widowControl w:val="0"/>
        <w:tabs>
          <w:tab w:val="left" w:pos="-720"/>
        </w:tabs>
        <w:suppressAutoHyphens/>
        <w:rPr>
          <w:rFonts w:ascii="Times New Roman" w:hAnsi="Times New Roman"/>
          <w:spacing w:val="-3"/>
          <w:sz w:val="26"/>
          <w:szCs w:val="26"/>
        </w:rPr>
      </w:pPr>
      <w:r>
        <w:rPr>
          <w:rFonts w:ascii="Times New Roman" w:hAnsi="Times New Roman"/>
          <w:spacing w:val="-3"/>
          <w:sz w:val="26"/>
          <w:szCs w:val="26"/>
        </w:rPr>
        <w:t xml:space="preserve">ORDER ADOPTED: </w:t>
      </w:r>
      <w:r w:rsidR="00564EDF">
        <w:rPr>
          <w:rFonts w:ascii="Times New Roman" w:hAnsi="Times New Roman"/>
          <w:spacing w:val="-3"/>
          <w:sz w:val="26"/>
          <w:szCs w:val="26"/>
        </w:rPr>
        <w:t xml:space="preserve"> </w:t>
      </w:r>
      <w:r w:rsidR="00521D8D">
        <w:rPr>
          <w:rFonts w:ascii="Times New Roman" w:hAnsi="Times New Roman"/>
          <w:spacing w:val="-3"/>
          <w:sz w:val="26"/>
          <w:szCs w:val="26"/>
        </w:rPr>
        <w:t>January 28, 2016</w:t>
      </w:r>
    </w:p>
    <w:p w:rsidR="000769C7" w:rsidRPr="00DE68FB" w:rsidRDefault="000769C7" w:rsidP="00521D8D">
      <w:pPr>
        <w:keepNext/>
        <w:keepLines/>
        <w:widowControl w:val="0"/>
        <w:tabs>
          <w:tab w:val="left" w:pos="-720"/>
        </w:tabs>
        <w:suppressAutoHyphens/>
        <w:rPr>
          <w:rFonts w:ascii="Times New Roman" w:hAnsi="Times New Roman"/>
          <w:spacing w:val="-3"/>
          <w:sz w:val="26"/>
          <w:szCs w:val="26"/>
        </w:rPr>
      </w:pPr>
      <w:r w:rsidRPr="00DE68FB">
        <w:rPr>
          <w:rFonts w:ascii="Times New Roman" w:hAnsi="Times New Roman"/>
          <w:spacing w:val="-3"/>
          <w:sz w:val="26"/>
          <w:szCs w:val="26"/>
        </w:rPr>
        <w:t xml:space="preserve">ORDER ENTERED:  </w:t>
      </w:r>
      <w:r w:rsidR="006B625F">
        <w:rPr>
          <w:rFonts w:ascii="Times New Roman" w:hAnsi="Times New Roman"/>
          <w:spacing w:val="-3"/>
          <w:sz w:val="26"/>
          <w:szCs w:val="26"/>
        </w:rPr>
        <w:t xml:space="preserve"> January 28, 2016</w:t>
      </w:r>
    </w:p>
    <w:p w:rsidR="00070194" w:rsidRPr="00DE68FB" w:rsidRDefault="00070194" w:rsidP="00521D8D">
      <w:pPr>
        <w:keepNext/>
        <w:keepLines/>
        <w:rPr>
          <w:rFonts w:ascii="Times New Roman" w:hAnsi="Times New Roman"/>
          <w:sz w:val="26"/>
          <w:szCs w:val="26"/>
        </w:rPr>
      </w:pPr>
    </w:p>
    <w:sectPr w:rsidR="00070194" w:rsidRPr="00DE68FB" w:rsidSect="000E3F4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046" w:rsidRDefault="00517046" w:rsidP="00DC7C52">
      <w:pPr>
        <w:spacing w:line="240" w:lineRule="auto"/>
      </w:pPr>
      <w:r>
        <w:separator/>
      </w:r>
    </w:p>
  </w:endnote>
  <w:endnote w:type="continuationSeparator" w:id="0">
    <w:p w:rsidR="00517046" w:rsidRDefault="00517046" w:rsidP="00DC7C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DFE" w:rsidRDefault="001A6D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361100"/>
      <w:docPartObj>
        <w:docPartGallery w:val="Page Numbers (Bottom of Page)"/>
        <w:docPartUnique/>
      </w:docPartObj>
    </w:sdtPr>
    <w:sdtEndPr>
      <w:rPr>
        <w:noProof/>
      </w:rPr>
    </w:sdtEndPr>
    <w:sdtContent>
      <w:p w:rsidR="000E3F4F" w:rsidRDefault="000E3F4F">
        <w:pPr>
          <w:pStyle w:val="Footer"/>
          <w:jc w:val="center"/>
        </w:pPr>
        <w:r>
          <w:fldChar w:fldCharType="begin"/>
        </w:r>
        <w:r>
          <w:instrText xml:space="preserve"> PAGE   \* MERGEFORMAT </w:instrText>
        </w:r>
        <w:r>
          <w:fldChar w:fldCharType="separate"/>
        </w:r>
        <w:r w:rsidR="006B625F">
          <w:rPr>
            <w:noProof/>
          </w:rPr>
          <w:t>65</w:t>
        </w:r>
        <w:r>
          <w:rPr>
            <w:noProof/>
          </w:rPr>
          <w:fldChar w:fldCharType="end"/>
        </w:r>
      </w:p>
    </w:sdtContent>
  </w:sdt>
  <w:p w:rsidR="00EA456F" w:rsidRDefault="00EA45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DFE" w:rsidRDefault="001A6D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046" w:rsidRDefault="00517046" w:rsidP="00DC7C52">
      <w:pPr>
        <w:spacing w:line="240" w:lineRule="auto"/>
      </w:pPr>
      <w:r>
        <w:separator/>
      </w:r>
    </w:p>
  </w:footnote>
  <w:footnote w:type="continuationSeparator" w:id="0">
    <w:p w:rsidR="00517046" w:rsidRDefault="00517046" w:rsidP="00DC7C52">
      <w:pPr>
        <w:spacing w:line="240" w:lineRule="auto"/>
      </w:pPr>
      <w:r>
        <w:continuationSeparator/>
      </w:r>
    </w:p>
  </w:footnote>
  <w:footnote w:id="1">
    <w:p w:rsidR="00EA456F" w:rsidRDefault="00EA456F" w:rsidP="00521D8D">
      <w:pPr>
        <w:pStyle w:val="FootnoteText"/>
      </w:pPr>
      <w:r>
        <w:rPr>
          <w:rStyle w:val="FootnoteReference"/>
        </w:rPr>
        <w:footnoteRef/>
      </w:r>
      <w:r>
        <w:t xml:space="preserve"> </w:t>
      </w:r>
      <w:r>
        <w:tab/>
        <w:t xml:space="preserve">The business account served is an apartment that the Complainant owns.  </w:t>
      </w:r>
      <w:proofErr w:type="gramStart"/>
      <w:r>
        <w:t>Tr. at 32.</w:t>
      </w:r>
      <w:proofErr w:type="gramEnd"/>
    </w:p>
  </w:footnote>
  <w:footnote w:id="2">
    <w:p w:rsidR="00EA456F" w:rsidRDefault="00EA456F" w:rsidP="00521D8D">
      <w:pPr>
        <w:pStyle w:val="FootnoteText"/>
      </w:pPr>
      <w:r>
        <w:rPr>
          <w:rStyle w:val="FootnoteReference"/>
        </w:rPr>
        <w:footnoteRef/>
      </w:r>
      <w:r>
        <w:t xml:space="preserve"> </w:t>
      </w:r>
      <w:r>
        <w:tab/>
        <w:t xml:space="preserve">In its Reply Brief, the OCA refers to the Complainant’s filing of a separate Main Brief.  </w:t>
      </w:r>
      <w:proofErr w:type="gramStart"/>
      <w:r>
        <w:t>OCA R.B. at 1.</w:t>
      </w:r>
      <w:proofErr w:type="gramEnd"/>
      <w:r>
        <w:t xml:space="preserve">  A search of the Commission’s record, however, revealed no Complainant briefs.  For purposes of this discussion, therefore, we rely on the evidence presented by the Complainant in the proceeding and the arguments of the OCA presented in briefs as representative of the positions of the Complainant, who appeared </w:t>
      </w:r>
      <w:r>
        <w:rPr>
          <w:i/>
        </w:rPr>
        <w:t>pro se</w:t>
      </w:r>
      <w:r>
        <w:t>.</w:t>
      </w:r>
    </w:p>
  </w:footnote>
  <w:footnote w:id="3">
    <w:p w:rsidR="00EA456F" w:rsidRPr="00AA21B4" w:rsidRDefault="00EA456F" w:rsidP="00521D8D">
      <w:pPr>
        <w:pStyle w:val="FootnoteText"/>
      </w:pPr>
      <w:r w:rsidRPr="00AA21B4">
        <w:rPr>
          <w:rStyle w:val="FootnoteReference"/>
        </w:rPr>
        <w:footnoteRef/>
      </w:r>
      <w:r w:rsidRPr="00AA21B4">
        <w:tab/>
      </w:r>
      <w:r>
        <w:t xml:space="preserve">We note that </w:t>
      </w:r>
      <w:r w:rsidRPr="00F70891">
        <w:t>Sections 54.2 and 54.3 of our Regulations apply to all customers</w:t>
      </w:r>
      <w:r>
        <w:t xml:space="preserve"> while</w:t>
      </w:r>
      <w:r w:rsidRPr="00F70891">
        <w:t xml:space="preserve"> Sections 54.4-54.9 apply to both residential and small business customers.  </w:t>
      </w:r>
      <w:r>
        <w:t xml:space="preserve">As discussed, </w:t>
      </w:r>
      <w:r>
        <w:rPr>
          <w:i/>
        </w:rPr>
        <w:t>infra,</w:t>
      </w:r>
      <w:r>
        <w:t xml:space="preserve"> </w:t>
      </w:r>
      <w:r w:rsidRPr="00F70891">
        <w:t>Chapter 111 applies only to residential customers.</w:t>
      </w:r>
    </w:p>
  </w:footnote>
  <w:footnote w:id="4">
    <w:p w:rsidR="00EA456F" w:rsidRDefault="00EA456F" w:rsidP="00521D8D">
      <w:pPr>
        <w:pStyle w:val="FootnoteText"/>
      </w:pPr>
      <w:r>
        <w:rPr>
          <w:rStyle w:val="FootnoteReference"/>
        </w:rPr>
        <w:footnoteRef/>
      </w:r>
      <w:r w:rsidR="00521D8D">
        <w:tab/>
      </w:r>
      <w:r>
        <w:t xml:space="preserve">The ALJ cited to the Motion of Vice Chairman Coleman in </w:t>
      </w:r>
      <w:r w:rsidRPr="001C5F60">
        <w:rPr>
          <w:i/>
        </w:rPr>
        <w:t xml:space="preserve">Nadav v Respond Power LLC, </w:t>
      </w:r>
      <w:r>
        <w:t>Docket No. C-2014-2429159 (Order entered December 19, 2014) (</w:t>
      </w:r>
      <w:r>
        <w:rPr>
          <w:i/>
        </w:rPr>
        <w:t>Nadav</w:t>
      </w:r>
      <w:r>
        <w:t xml:space="preserve">), which was adopted at Public Meeting on </w:t>
      </w:r>
      <w:r w:rsidRPr="001C5F60">
        <w:t>November 13, 2014.</w:t>
      </w:r>
    </w:p>
  </w:footnote>
  <w:footnote w:id="5">
    <w:p w:rsidR="00EA456F" w:rsidRPr="003F1B81" w:rsidRDefault="00EA456F" w:rsidP="00521D8D">
      <w:pPr>
        <w:pStyle w:val="FootnoteText"/>
      </w:pPr>
      <w:r>
        <w:rPr>
          <w:rStyle w:val="FootnoteReference"/>
        </w:rPr>
        <w:footnoteRef/>
      </w:r>
      <w:r w:rsidR="00521D8D">
        <w:tab/>
      </w:r>
      <w:r>
        <w:t xml:space="preserve">In compliance with the ALJ’s May 9, 2014 Prehearing Order requiring parties to provide the ALJ and each other proposed exhibits pre-marked for identification purposes, Respond submitted and twice identified as “Respondent Exhibit No. 2 – Disclosure Statement,” the document discussed on the record as the “Affiliates Disclosure Agreement” provided to Mr. Herp. </w:t>
      </w:r>
      <w:r>
        <w:rPr>
          <w:i/>
        </w:rPr>
        <w:t xml:space="preserve">See </w:t>
      </w:r>
      <w:r>
        <w:t>Respond letters to the ALJ, copied to the parties, dated June 25, and July 25, 2014.</w:t>
      </w:r>
    </w:p>
  </w:footnote>
  <w:footnote w:id="6">
    <w:p w:rsidR="00EA456F" w:rsidRDefault="00EA456F" w:rsidP="00521D8D">
      <w:pPr>
        <w:pStyle w:val="FootnoteText"/>
      </w:pPr>
      <w:r>
        <w:rPr>
          <w:rStyle w:val="FootnoteReference"/>
        </w:rPr>
        <w:footnoteRef/>
      </w:r>
      <w:r>
        <w:t xml:space="preserve"> </w:t>
      </w:r>
      <w:r>
        <w:tab/>
        <w:t>Pa. R.E. 607 provides that any party may attack a witness’ credibility by any evidence relevant to the issue unless otherwise provided by statute or the rules of evidence.</w:t>
      </w:r>
    </w:p>
  </w:footnote>
  <w:footnote w:id="7">
    <w:p w:rsidR="00EA456F" w:rsidRDefault="00EA456F" w:rsidP="00521D8D">
      <w:pPr>
        <w:pStyle w:val="FootnoteText"/>
      </w:pPr>
      <w:r>
        <w:rPr>
          <w:rStyle w:val="FootnoteReference"/>
        </w:rPr>
        <w:footnoteRef/>
      </w:r>
      <w:r>
        <w:t xml:space="preserve"> </w:t>
      </w:r>
      <w:r>
        <w:tab/>
      </w:r>
      <w:r w:rsidRPr="00FB7A70">
        <w:t>Pennsylvania Rule of Evidence 803(25) provides that a statement of an opposing party, offered against the opposing party, and made by the party in an individual or representative capacity</w:t>
      </w:r>
      <w:r>
        <w:t>,</w:t>
      </w:r>
      <w:r w:rsidRPr="00FB7A70">
        <w:t xml:space="preserve"> may be considered as an exception to the hearsay rule.</w:t>
      </w:r>
      <w:r>
        <w:t xml:space="preserve">  Moreover, the EGSs’ responsibility for the actions of their agents, including independent contractors, is an obligation codified in our </w:t>
      </w:r>
      <w:r w:rsidRPr="00A9077C">
        <w:rPr>
          <w:lang w:bidi="en-US"/>
        </w:rPr>
        <w:t xml:space="preserve">Regulations.  </w:t>
      </w:r>
      <w:r>
        <w:rPr>
          <w:i/>
          <w:lang w:bidi="en-US"/>
        </w:rPr>
        <w:t xml:space="preserve">See </w:t>
      </w:r>
      <w:r w:rsidRPr="00A9077C">
        <w:rPr>
          <w:lang w:bidi="en-US"/>
        </w:rPr>
        <w:t>52 Pa. Code §§</w:t>
      </w:r>
      <w:r>
        <w:rPr>
          <w:lang w:bidi="en-US"/>
        </w:rPr>
        <w:t> </w:t>
      </w:r>
      <w:r w:rsidRPr="00A9077C">
        <w:rPr>
          <w:lang w:bidi="en-US"/>
        </w:rPr>
        <w:t>54.43(f), 111.2.</w:t>
      </w:r>
    </w:p>
  </w:footnote>
  <w:footnote w:id="8">
    <w:p w:rsidR="00EA456F" w:rsidRDefault="00EA456F" w:rsidP="00521D8D">
      <w:pPr>
        <w:pStyle w:val="FootnoteText"/>
      </w:pPr>
      <w:r>
        <w:rPr>
          <w:rStyle w:val="FootnoteReference"/>
        </w:rPr>
        <w:footnoteRef/>
      </w:r>
      <w:r>
        <w:t xml:space="preserve"> </w:t>
      </w:r>
      <w:r>
        <w:tab/>
      </w:r>
      <w:r>
        <w:rPr>
          <w:i/>
        </w:rPr>
        <w:t>See</w:t>
      </w:r>
      <w:r>
        <w:t xml:space="preserve"> </w:t>
      </w:r>
      <w:r>
        <w:rPr>
          <w:i/>
        </w:rPr>
        <w:t>Application of JET Sedan Services, LLC</w:t>
      </w:r>
      <w:r>
        <w:t xml:space="preserve">, </w:t>
      </w:r>
      <w:proofErr w:type="gramStart"/>
      <w:r>
        <w:t>2010</w:t>
      </w:r>
      <w:proofErr w:type="gramEnd"/>
      <w:r>
        <w:t xml:space="preserve"> WL 3378286 (Pa.P.U.C.) (ALJ’s assessment of the overall credibility of a witness will not be disturbed when supported by the record), citing </w:t>
      </w:r>
      <w:r>
        <w:rPr>
          <w:i/>
        </w:rPr>
        <w:t>Danovitz v. Portnoy</w:t>
      </w:r>
      <w:r>
        <w:t xml:space="preserve">, 399 Pa. 599, 161 A.2d 146 (1960); </w:t>
      </w:r>
      <w:r>
        <w:rPr>
          <w:i/>
        </w:rPr>
        <w:t>Application of Harrisburg City Cab, Inc.</w:t>
      </w:r>
      <w:r>
        <w:t>, Docket No. A-00122208 (Order entered March 1, 2007) (Commission is ultimate factfinder and arbiter of witness credibility), citing 66 Pa. C.S. §§ 335(a), 703(e).</w:t>
      </w:r>
    </w:p>
  </w:footnote>
  <w:footnote w:id="9">
    <w:p w:rsidR="00EA456F" w:rsidRPr="000646A8" w:rsidRDefault="00EA456F" w:rsidP="00521D8D">
      <w:pPr>
        <w:pStyle w:val="FootnoteText"/>
      </w:pPr>
      <w:r>
        <w:rPr>
          <w:rStyle w:val="FootnoteReference"/>
        </w:rPr>
        <w:footnoteRef/>
      </w:r>
      <w:r>
        <w:t xml:space="preserve"> </w:t>
      </w:r>
      <w:r>
        <w:tab/>
      </w:r>
      <w:proofErr w:type="gramStart"/>
      <w:r>
        <w:rPr>
          <w:i/>
        </w:rPr>
        <w:t>See, e.g.,</w:t>
      </w:r>
      <w:r w:rsidRPr="00AB3001">
        <w:rPr>
          <w:i/>
        </w:rPr>
        <w:t xml:space="preserve"> Pa. PUC v. IDT Energy, Inc</w:t>
      </w:r>
      <w:r w:rsidRPr="00AB3001">
        <w:t>., Docket No.</w:t>
      </w:r>
      <w:proofErr w:type="gramEnd"/>
      <w:r w:rsidRPr="00AB3001">
        <w:t xml:space="preserve"> M-2013-2314312 (Order entered October 17, 2013) at 5 (“IDT Compliance Managers reviewed recording</w:t>
      </w:r>
      <w:r>
        <w:t>s</w:t>
      </w:r>
      <w:r w:rsidRPr="00AB3001">
        <w:t xml:space="preserve"> of the consumer contacts, when </w:t>
      </w:r>
      <w:proofErr w:type="gramStart"/>
      <w:r w:rsidRPr="00AB3001">
        <w:t>available[</w:t>
      </w:r>
      <w:proofErr w:type="gramEnd"/>
      <w:r w:rsidRPr="00AB3001">
        <w:t>.]”)</w:t>
      </w:r>
      <w:r>
        <w:t>;</w:t>
      </w:r>
      <w:r w:rsidRPr="00E262F8">
        <w:rPr>
          <w:i/>
        </w:rPr>
        <w:t xml:space="preserve"> MacLuckie v. Palmco Energy PA, LLC</w:t>
      </w:r>
      <w:r w:rsidRPr="00E262F8">
        <w:t>, Docket No. C-2014-2402558 (Initial Decision dated April 30, 2015</w:t>
      </w:r>
      <w:r>
        <w:t>) (the evidence produced by the EGS included both the transcript of the subject sales call and the testimony of the agent involved).</w:t>
      </w:r>
      <w:r w:rsidRPr="00591953">
        <w:t xml:space="preserve">  </w:t>
      </w:r>
      <w:r>
        <w:t xml:space="preserve">Our Regulations also require EGSs not only to train their agents for whose fraudulent activity they are responsible, but also to </w:t>
      </w:r>
      <w:r w:rsidRPr="000646A8">
        <w:t xml:space="preserve">monitor telephonic </w:t>
      </w:r>
      <w:r>
        <w:t xml:space="preserve">and door-to-door </w:t>
      </w:r>
      <w:r w:rsidRPr="000646A8">
        <w:t xml:space="preserve">marketing </w:t>
      </w:r>
      <w:r w:rsidRPr="00E85D60">
        <w:t>for</w:t>
      </w:r>
      <w:r>
        <w:rPr>
          <w:i/>
        </w:rPr>
        <w:t xml:space="preserve"> </w:t>
      </w:r>
      <w:r w:rsidRPr="00E85D60">
        <w:t>compliance</w:t>
      </w:r>
      <w:r>
        <w:t xml:space="preserve">.  </w:t>
      </w:r>
      <w:proofErr w:type="gramStart"/>
      <w:r>
        <w:t>52 Pa. Code § 111.5.</w:t>
      </w:r>
      <w:proofErr w:type="gramEnd"/>
    </w:p>
  </w:footnote>
  <w:footnote w:id="10">
    <w:p w:rsidR="00EA456F" w:rsidRDefault="00EA456F" w:rsidP="00521D8D">
      <w:pPr>
        <w:pStyle w:val="FootnoteText"/>
      </w:pPr>
      <w:r>
        <w:rPr>
          <w:rStyle w:val="FootnoteReference"/>
        </w:rPr>
        <w:footnoteRef/>
      </w:r>
      <w:r>
        <w:t xml:space="preserve"> </w:t>
      </w:r>
      <w:r w:rsidR="00521D8D">
        <w:tab/>
      </w:r>
      <w:r>
        <w:t xml:space="preserve">Although citing </w:t>
      </w:r>
      <w:r w:rsidRPr="0027507C">
        <w:t xml:space="preserve">Section 2801(12), </w:t>
      </w:r>
      <w:r>
        <w:t>the language quoted is from Section 2012(14) of the Competition Act, the citation we believe the ALJ intended.</w:t>
      </w:r>
    </w:p>
  </w:footnote>
  <w:footnote w:id="11">
    <w:p w:rsidR="00EA456F" w:rsidRDefault="00EA456F" w:rsidP="00521D8D">
      <w:pPr>
        <w:pStyle w:val="FootnoteText"/>
      </w:pPr>
      <w:r>
        <w:rPr>
          <w:rStyle w:val="FootnoteReference"/>
        </w:rPr>
        <w:footnoteRef/>
      </w:r>
      <w:r>
        <w:t xml:space="preserve"> </w:t>
      </w:r>
      <w:r>
        <w:tab/>
        <w:t>On August 12, 2015, we filed a Petition for Allowance of Appeal of this decision seeking review of the Court’s remand of another issue in the proceeding.  On August 28, 2015, the Coalition for Affordable Utility Services and Energy Efficiency in Pennsylvania (CAUSE-PA) filed a Cross Petition for Allowance of Appeal seeking review of the Court’s determination that substantial evidence supported our decision not to impose a ceiling on EGS CAP rates.  Neither we nor CAUSE-PA appealed the Court’s legal conclusion that we have authority under the Code to impose price restrictions on EGSs, in that case with respect to their universal service programs.</w:t>
      </w:r>
    </w:p>
  </w:footnote>
  <w:footnote w:id="12">
    <w:p w:rsidR="00EA456F" w:rsidRPr="009C5402" w:rsidRDefault="00EA456F" w:rsidP="00521D8D">
      <w:pPr>
        <w:pStyle w:val="FootnoteText"/>
      </w:pPr>
      <w:r>
        <w:rPr>
          <w:rStyle w:val="FootnoteReference"/>
        </w:rPr>
        <w:footnoteRef/>
      </w:r>
      <w:r>
        <w:t xml:space="preserve"> </w:t>
      </w:r>
      <w:r w:rsidR="00F531DC">
        <w:tab/>
      </w:r>
      <w:r>
        <w:t>Like Section 501, Section 3309,</w:t>
      </w:r>
      <w:r w:rsidRPr="001C07EA">
        <w:rPr>
          <w:rFonts w:ascii="CG Times" w:hAnsi="CG Times"/>
          <w:sz w:val="24"/>
          <w:szCs w:val="20"/>
        </w:rPr>
        <w:t xml:space="preserve"> </w:t>
      </w:r>
      <w:r w:rsidRPr="001C07EA">
        <w:t>authorizing us to hold a corporation liable to the person injured by its unlawful act under the Code</w:t>
      </w:r>
      <w:r>
        <w:t xml:space="preserve">, applies to “corporations” and not just public utilities.  </w:t>
      </w:r>
      <w:r>
        <w:rPr>
          <w:i/>
        </w:rPr>
        <w:t>See IDT Material Question</w:t>
      </w:r>
      <w:r>
        <w:t xml:space="preserve"> at 16, 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DFE" w:rsidRDefault="001A6D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DFE" w:rsidRDefault="001A6D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DFE" w:rsidRDefault="001A6D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8C40A8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1C3412"/>
    <w:multiLevelType w:val="hybridMultilevel"/>
    <w:tmpl w:val="B086A08A"/>
    <w:lvl w:ilvl="0" w:tplc="BAC25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1E2F78"/>
    <w:multiLevelType w:val="hybridMultilevel"/>
    <w:tmpl w:val="A77251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492F54"/>
    <w:multiLevelType w:val="hybridMultilevel"/>
    <w:tmpl w:val="EE3052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820A2"/>
    <w:multiLevelType w:val="hybridMultilevel"/>
    <w:tmpl w:val="17AC8820"/>
    <w:lvl w:ilvl="0" w:tplc="9F3C690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E12683"/>
    <w:multiLevelType w:val="hybridMultilevel"/>
    <w:tmpl w:val="6B04EB92"/>
    <w:lvl w:ilvl="0" w:tplc="04090001">
      <w:start w:val="1"/>
      <w:numFmt w:val="bullet"/>
      <w:lvlText w:val=""/>
      <w:lvlJc w:val="left"/>
      <w:pPr>
        <w:ind w:left="1605" w:hanging="360"/>
      </w:pPr>
      <w:rPr>
        <w:rFonts w:ascii="Symbol" w:hAnsi="Symbol" w:hint="default"/>
      </w:rPr>
    </w:lvl>
    <w:lvl w:ilvl="1" w:tplc="04090003">
      <w:start w:val="1"/>
      <w:numFmt w:val="bullet"/>
      <w:lvlText w:val="o"/>
      <w:lvlJc w:val="left"/>
      <w:pPr>
        <w:ind w:left="2325" w:hanging="360"/>
      </w:pPr>
      <w:rPr>
        <w:rFonts w:ascii="Courier New" w:hAnsi="Courier New" w:cs="Courier New"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Courier New"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Courier New" w:hint="default"/>
      </w:rPr>
    </w:lvl>
    <w:lvl w:ilvl="8" w:tplc="04090005">
      <w:start w:val="1"/>
      <w:numFmt w:val="bullet"/>
      <w:lvlText w:val=""/>
      <w:lvlJc w:val="left"/>
      <w:pPr>
        <w:ind w:left="7365" w:hanging="360"/>
      </w:pPr>
      <w:rPr>
        <w:rFonts w:ascii="Wingdings" w:hAnsi="Wingdings" w:hint="default"/>
      </w:rPr>
    </w:lvl>
  </w:abstractNum>
  <w:abstractNum w:abstractNumId="6">
    <w:nsid w:val="1CDD0E35"/>
    <w:multiLevelType w:val="hybridMultilevel"/>
    <w:tmpl w:val="EFDC744A"/>
    <w:lvl w:ilvl="0" w:tplc="772AEF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E3F18A9"/>
    <w:multiLevelType w:val="hybridMultilevel"/>
    <w:tmpl w:val="6C3CCF1E"/>
    <w:lvl w:ilvl="0" w:tplc="42D8E5E4">
      <w:start w:val="1"/>
      <w:numFmt w:val="upperRoman"/>
      <w:pStyle w:val="Heading1"/>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81315A"/>
    <w:multiLevelType w:val="hybridMultilevel"/>
    <w:tmpl w:val="B086A08A"/>
    <w:lvl w:ilvl="0" w:tplc="BAC25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9930C7"/>
    <w:multiLevelType w:val="hybridMultilevel"/>
    <w:tmpl w:val="BFF6D628"/>
    <w:lvl w:ilvl="0" w:tplc="27100784">
      <w:start w:val="1"/>
      <w:numFmt w:val="decimal"/>
      <w:lvlText w:val="%1."/>
      <w:lvlJc w:val="left"/>
      <w:pPr>
        <w:ind w:left="1080" w:hanging="360"/>
      </w:pPr>
      <w:rPr>
        <w:rFonts w:ascii="CG Times" w:hAnsi="CG Time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F3F225A"/>
    <w:multiLevelType w:val="hybridMultilevel"/>
    <w:tmpl w:val="A9AEEEA2"/>
    <w:lvl w:ilvl="0" w:tplc="5718AD44">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4856C3B"/>
    <w:multiLevelType w:val="hybridMultilevel"/>
    <w:tmpl w:val="63843078"/>
    <w:lvl w:ilvl="0" w:tplc="2C18E0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B8B54AE"/>
    <w:multiLevelType w:val="multilevel"/>
    <w:tmpl w:val="EDDC955A"/>
    <w:name w:val="Bullet"/>
    <w:lvl w:ilvl="0">
      <w:start w:val="1"/>
      <w:numFmt w:val="bullet"/>
      <w:pStyle w:val="Bullet1"/>
      <w:lvlText w:val="·"/>
      <w:lvlJc w:val="left"/>
      <w:pPr>
        <w:tabs>
          <w:tab w:val="num" w:pos="1440"/>
        </w:tabs>
        <w:ind w:left="1440" w:hanging="720"/>
      </w:pPr>
      <w:rPr>
        <w:rFonts w:ascii="Symbol" w:hAnsi="Symbol" w:hint="default"/>
        <w:b w:val="0"/>
        <w:i w:val="0"/>
        <w:caps w:val="0"/>
        <w:u w:val="none"/>
      </w:rPr>
    </w:lvl>
    <w:lvl w:ilvl="1">
      <w:start w:val="1"/>
      <w:numFmt w:val="bullet"/>
      <w:lvlRestart w:val="0"/>
      <w:pStyle w:val="Bullet2"/>
      <w:lvlText w:val="o"/>
      <w:lvlJc w:val="left"/>
      <w:pPr>
        <w:tabs>
          <w:tab w:val="num" w:pos="2160"/>
        </w:tabs>
        <w:ind w:left="2160" w:hanging="720"/>
      </w:pPr>
      <w:rPr>
        <w:rFonts w:ascii="Courier New" w:hAnsi="Courier New" w:hint="default"/>
        <w:b w:val="0"/>
        <w:i w:val="0"/>
        <w:caps w:val="0"/>
        <w:sz w:val="24"/>
        <w:u w:val="none"/>
      </w:rPr>
    </w:lvl>
    <w:lvl w:ilvl="2">
      <w:start w:val="1"/>
      <w:numFmt w:val="bullet"/>
      <w:lvlRestart w:val="0"/>
      <w:pStyle w:val="Bullet3"/>
      <w:lvlText w:val=""/>
      <w:lvlJc w:val="left"/>
      <w:pPr>
        <w:tabs>
          <w:tab w:val="num" w:pos="2880"/>
        </w:tabs>
        <w:ind w:left="2880" w:hanging="720"/>
      </w:pPr>
      <w:rPr>
        <w:rFonts w:ascii="Symbol" w:hAnsi="Symbol" w:hint="default"/>
        <w:b w:val="0"/>
        <w:i w:val="0"/>
        <w:caps w:val="0"/>
        <w:color w:val="auto"/>
        <w:u w:val="none"/>
      </w:rPr>
    </w:lvl>
    <w:lvl w:ilvl="3">
      <w:start w:val="1"/>
      <w:numFmt w:val="bullet"/>
      <w:lvlRestart w:val="0"/>
      <w:pStyle w:val="Bullet4"/>
      <w:lvlText w:val="o"/>
      <w:lvlJc w:val="left"/>
      <w:pPr>
        <w:tabs>
          <w:tab w:val="num" w:pos="3600"/>
        </w:tabs>
        <w:ind w:left="3600" w:hanging="720"/>
      </w:pPr>
      <w:rPr>
        <w:rFonts w:ascii="Courier New" w:hAnsi="Courier New" w:hint="default"/>
        <w:b w:val="0"/>
        <w:i w:val="0"/>
        <w:caps w:val="0"/>
        <w:u w:val="none"/>
      </w:rPr>
    </w:lvl>
    <w:lvl w:ilvl="4">
      <w:start w:val="1"/>
      <w:numFmt w:val="bullet"/>
      <w:pStyle w:val="Bullet5"/>
      <w:lvlText w:val="·"/>
      <w:lvlJc w:val="left"/>
      <w:pPr>
        <w:tabs>
          <w:tab w:val="num" w:pos="4320"/>
        </w:tabs>
        <w:ind w:left="4320" w:hanging="720"/>
      </w:pPr>
      <w:rPr>
        <w:rFonts w:ascii="Symbol" w:hAnsi="Symbol" w:hint="default"/>
        <w:b w:val="0"/>
        <w:i w:val="0"/>
        <w:caps w:val="0"/>
        <w:u w:val="none"/>
      </w:rPr>
    </w:lvl>
    <w:lvl w:ilvl="5">
      <w:start w:val="1"/>
      <w:numFmt w:val="none"/>
      <w:lvlRestart w:val="0"/>
      <w:suff w:val="nothing"/>
      <w:lvlText w:val=""/>
      <w:lvlJc w:val="left"/>
      <w:pPr>
        <w:ind w:left="0" w:firstLine="0"/>
      </w:pPr>
      <w:rPr>
        <w:rFonts w:hint="default"/>
        <w:b w:val="0"/>
        <w:i w:val="0"/>
        <w:caps w:val="0"/>
        <w:u w:val="none"/>
      </w:rPr>
    </w:lvl>
    <w:lvl w:ilvl="6">
      <w:start w:val="1"/>
      <w:numFmt w:val="none"/>
      <w:lvlRestart w:val="0"/>
      <w:suff w:val="nothing"/>
      <w:lvlText w:val=""/>
      <w:lvlJc w:val="left"/>
      <w:pPr>
        <w:ind w:left="0" w:firstLine="0"/>
      </w:pPr>
      <w:rPr>
        <w:rFonts w:hint="default"/>
        <w:b w:val="0"/>
        <w:i w:val="0"/>
        <w:caps w:val="0"/>
        <w:u w:val="none"/>
      </w:rPr>
    </w:lvl>
    <w:lvl w:ilvl="7">
      <w:start w:val="1"/>
      <w:numFmt w:val="none"/>
      <w:lvlRestart w:val="0"/>
      <w:suff w:val="nothing"/>
      <w:lvlText w:val=""/>
      <w:lvlJc w:val="left"/>
      <w:pPr>
        <w:ind w:left="0" w:firstLine="0"/>
      </w:pPr>
      <w:rPr>
        <w:rFonts w:hint="default"/>
        <w:b w:val="0"/>
        <w:i w:val="0"/>
        <w:caps w:val="0"/>
        <w:u w:val="none"/>
      </w:rPr>
    </w:lvl>
    <w:lvl w:ilvl="8">
      <w:start w:val="1"/>
      <w:numFmt w:val="none"/>
      <w:lvlRestart w:val="0"/>
      <w:suff w:val="nothing"/>
      <w:lvlText w:val=""/>
      <w:lvlJc w:val="left"/>
      <w:pPr>
        <w:ind w:left="0" w:firstLine="0"/>
      </w:pPr>
      <w:rPr>
        <w:rFonts w:hint="default"/>
        <w:b w:val="0"/>
        <w:i w:val="0"/>
        <w:caps w:val="0"/>
        <w:u w:val="none"/>
      </w:rPr>
    </w:lvl>
  </w:abstractNum>
  <w:abstractNum w:abstractNumId="13">
    <w:nsid w:val="56FA77DF"/>
    <w:multiLevelType w:val="hybridMultilevel"/>
    <w:tmpl w:val="8188BEA2"/>
    <w:lvl w:ilvl="0" w:tplc="C9ECE74A">
      <w:start w:val="1"/>
      <w:numFmt w:val="decimal"/>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D42EAF"/>
    <w:multiLevelType w:val="hybridMultilevel"/>
    <w:tmpl w:val="E966A026"/>
    <w:lvl w:ilvl="0" w:tplc="DB3871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0215DD"/>
    <w:multiLevelType w:val="hybridMultilevel"/>
    <w:tmpl w:val="1BF4CD8E"/>
    <w:lvl w:ilvl="0" w:tplc="AA087B8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551814"/>
    <w:multiLevelType w:val="hybridMultilevel"/>
    <w:tmpl w:val="B086A08A"/>
    <w:lvl w:ilvl="0" w:tplc="BAC25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9F61A9C"/>
    <w:multiLevelType w:val="hybridMultilevel"/>
    <w:tmpl w:val="B086A08A"/>
    <w:lvl w:ilvl="0" w:tplc="BAC25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EB36E7C"/>
    <w:multiLevelType w:val="hybridMultilevel"/>
    <w:tmpl w:val="B086A08A"/>
    <w:lvl w:ilvl="0" w:tplc="BAC25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6"/>
  </w:num>
  <w:num w:numId="3">
    <w:abstractNumId w:val="3"/>
  </w:num>
  <w:num w:numId="4">
    <w:abstractNumId w:val="2"/>
  </w:num>
  <w:num w:numId="5">
    <w:abstractNumId w:val="12"/>
  </w:num>
  <w:num w:numId="6">
    <w:abstractNumId w:val="4"/>
  </w:num>
  <w:num w:numId="7">
    <w:abstractNumId w:val="8"/>
  </w:num>
  <w:num w:numId="8">
    <w:abstractNumId w:val="14"/>
  </w:num>
  <w:num w:numId="9">
    <w:abstractNumId w:val="11"/>
  </w:num>
  <w:num w:numId="10">
    <w:abstractNumId w:val="19"/>
  </w:num>
  <w:num w:numId="11">
    <w:abstractNumId w:val="17"/>
  </w:num>
  <w:num w:numId="12">
    <w:abstractNumId w:val="1"/>
  </w:num>
  <w:num w:numId="13">
    <w:abstractNumId w:val="13"/>
  </w:num>
  <w:num w:numId="14">
    <w:abstractNumId w:val="15"/>
  </w:num>
  <w:num w:numId="15">
    <w:abstractNumId w:val="6"/>
  </w:num>
  <w:num w:numId="16">
    <w:abstractNumId w:val="10"/>
  </w:num>
  <w:num w:numId="17">
    <w:abstractNumId w:val="18"/>
  </w:num>
  <w:num w:numId="18">
    <w:abstractNumId w:val="9"/>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E29"/>
    <w:rsid w:val="000011C3"/>
    <w:rsid w:val="00001603"/>
    <w:rsid w:val="00001ED3"/>
    <w:rsid w:val="00005FCB"/>
    <w:rsid w:val="000100BA"/>
    <w:rsid w:val="000112FE"/>
    <w:rsid w:val="0001250D"/>
    <w:rsid w:val="00015331"/>
    <w:rsid w:val="00016043"/>
    <w:rsid w:val="000172B0"/>
    <w:rsid w:val="00017C08"/>
    <w:rsid w:val="00021EE8"/>
    <w:rsid w:val="00022470"/>
    <w:rsid w:val="00022CEA"/>
    <w:rsid w:val="00023E1C"/>
    <w:rsid w:val="0002464A"/>
    <w:rsid w:val="00024713"/>
    <w:rsid w:val="000263C8"/>
    <w:rsid w:val="000307E0"/>
    <w:rsid w:val="00041B33"/>
    <w:rsid w:val="00042684"/>
    <w:rsid w:val="00042B6E"/>
    <w:rsid w:val="0004310C"/>
    <w:rsid w:val="0004353B"/>
    <w:rsid w:val="000448BF"/>
    <w:rsid w:val="00047AB3"/>
    <w:rsid w:val="000533FD"/>
    <w:rsid w:val="00054D13"/>
    <w:rsid w:val="000575B7"/>
    <w:rsid w:val="000579FE"/>
    <w:rsid w:val="00060052"/>
    <w:rsid w:val="00060A32"/>
    <w:rsid w:val="00062B18"/>
    <w:rsid w:val="000646A8"/>
    <w:rsid w:val="00064DA6"/>
    <w:rsid w:val="00066F1F"/>
    <w:rsid w:val="00070194"/>
    <w:rsid w:val="0007626F"/>
    <w:rsid w:val="000769C7"/>
    <w:rsid w:val="000810B2"/>
    <w:rsid w:val="00081567"/>
    <w:rsid w:val="00082A7C"/>
    <w:rsid w:val="00086711"/>
    <w:rsid w:val="00087ACD"/>
    <w:rsid w:val="00087B04"/>
    <w:rsid w:val="00087ECE"/>
    <w:rsid w:val="00090AA4"/>
    <w:rsid w:val="00093D80"/>
    <w:rsid w:val="00094938"/>
    <w:rsid w:val="00096A31"/>
    <w:rsid w:val="00096AF1"/>
    <w:rsid w:val="000B2D0C"/>
    <w:rsid w:val="000B3EF0"/>
    <w:rsid w:val="000B6DAB"/>
    <w:rsid w:val="000B70B9"/>
    <w:rsid w:val="000C0244"/>
    <w:rsid w:val="000C0AFE"/>
    <w:rsid w:val="000C2A78"/>
    <w:rsid w:val="000C7658"/>
    <w:rsid w:val="000C77F5"/>
    <w:rsid w:val="000D13A5"/>
    <w:rsid w:val="000D18BB"/>
    <w:rsid w:val="000D3F89"/>
    <w:rsid w:val="000D6B65"/>
    <w:rsid w:val="000D716B"/>
    <w:rsid w:val="000E280B"/>
    <w:rsid w:val="000E3F4F"/>
    <w:rsid w:val="000E6C3B"/>
    <w:rsid w:val="000E73AC"/>
    <w:rsid w:val="000F2C81"/>
    <w:rsid w:val="000F59C5"/>
    <w:rsid w:val="00100D85"/>
    <w:rsid w:val="001029C7"/>
    <w:rsid w:val="00105EDA"/>
    <w:rsid w:val="001074BA"/>
    <w:rsid w:val="001077CD"/>
    <w:rsid w:val="001079DC"/>
    <w:rsid w:val="001119EE"/>
    <w:rsid w:val="001128A0"/>
    <w:rsid w:val="00112A03"/>
    <w:rsid w:val="00117D18"/>
    <w:rsid w:val="001247F8"/>
    <w:rsid w:val="00132797"/>
    <w:rsid w:val="0013452C"/>
    <w:rsid w:val="0013533D"/>
    <w:rsid w:val="0014132D"/>
    <w:rsid w:val="00141EF7"/>
    <w:rsid w:val="00147DE6"/>
    <w:rsid w:val="00152281"/>
    <w:rsid w:val="001528F2"/>
    <w:rsid w:val="00162490"/>
    <w:rsid w:val="00162E29"/>
    <w:rsid w:val="001642A8"/>
    <w:rsid w:val="00172038"/>
    <w:rsid w:val="00174F6A"/>
    <w:rsid w:val="001759F0"/>
    <w:rsid w:val="00176547"/>
    <w:rsid w:val="0017700E"/>
    <w:rsid w:val="00177971"/>
    <w:rsid w:val="00180491"/>
    <w:rsid w:val="001838E9"/>
    <w:rsid w:val="00185A7C"/>
    <w:rsid w:val="001946EE"/>
    <w:rsid w:val="001A1361"/>
    <w:rsid w:val="001A6DFE"/>
    <w:rsid w:val="001B1A2C"/>
    <w:rsid w:val="001B34A6"/>
    <w:rsid w:val="001B37B9"/>
    <w:rsid w:val="001C07EA"/>
    <w:rsid w:val="001C1436"/>
    <w:rsid w:val="001C2B5F"/>
    <w:rsid w:val="001C56E7"/>
    <w:rsid w:val="001C5F60"/>
    <w:rsid w:val="001D203E"/>
    <w:rsid w:val="001D462E"/>
    <w:rsid w:val="001D49A3"/>
    <w:rsid w:val="001E183B"/>
    <w:rsid w:val="001E2F18"/>
    <w:rsid w:val="001E5D06"/>
    <w:rsid w:val="001F0603"/>
    <w:rsid w:val="001F2C04"/>
    <w:rsid w:val="00204F60"/>
    <w:rsid w:val="002061DF"/>
    <w:rsid w:val="002065A1"/>
    <w:rsid w:val="00206E56"/>
    <w:rsid w:val="00211E3D"/>
    <w:rsid w:val="00212930"/>
    <w:rsid w:val="002161AF"/>
    <w:rsid w:val="0022192A"/>
    <w:rsid w:val="00222960"/>
    <w:rsid w:val="00227683"/>
    <w:rsid w:val="002322F4"/>
    <w:rsid w:val="002339E6"/>
    <w:rsid w:val="00233B35"/>
    <w:rsid w:val="00233EE0"/>
    <w:rsid w:val="00241D49"/>
    <w:rsid w:val="002438BC"/>
    <w:rsid w:val="0024445C"/>
    <w:rsid w:val="00245F43"/>
    <w:rsid w:val="00251752"/>
    <w:rsid w:val="0025278C"/>
    <w:rsid w:val="00257709"/>
    <w:rsid w:val="00263E23"/>
    <w:rsid w:val="002715C8"/>
    <w:rsid w:val="0027507C"/>
    <w:rsid w:val="002761ED"/>
    <w:rsid w:val="002876D8"/>
    <w:rsid w:val="00290852"/>
    <w:rsid w:val="002A13AE"/>
    <w:rsid w:val="002A41CF"/>
    <w:rsid w:val="002A4491"/>
    <w:rsid w:val="002A7BB9"/>
    <w:rsid w:val="002C0F75"/>
    <w:rsid w:val="002C4740"/>
    <w:rsid w:val="002C5729"/>
    <w:rsid w:val="002C58E1"/>
    <w:rsid w:val="002C62FF"/>
    <w:rsid w:val="002C7433"/>
    <w:rsid w:val="002D1CCA"/>
    <w:rsid w:val="002D2623"/>
    <w:rsid w:val="002D2874"/>
    <w:rsid w:val="002D4DD2"/>
    <w:rsid w:val="002E0F6D"/>
    <w:rsid w:val="002F1A57"/>
    <w:rsid w:val="002F1DE0"/>
    <w:rsid w:val="002F2404"/>
    <w:rsid w:val="002F2803"/>
    <w:rsid w:val="002F56A8"/>
    <w:rsid w:val="002F6A0E"/>
    <w:rsid w:val="002F7596"/>
    <w:rsid w:val="0030345F"/>
    <w:rsid w:val="00310985"/>
    <w:rsid w:val="00312BE4"/>
    <w:rsid w:val="003135CA"/>
    <w:rsid w:val="00313BAA"/>
    <w:rsid w:val="00317D78"/>
    <w:rsid w:val="00320928"/>
    <w:rsid w:val="00321BB9"/>
    <w:rsid w:val="00321C58"/>
    <w:rsid w:val="00322C51"/>
    <w:rsid w:val="00322EA8"/>
    <w:rsid w:val="0032425C"/>
    <w:rsid w:val="00331D45"/>
    <w:rsid w:val="0033229E"/>
    <w:rsid w:val="00333F47"/>
    <w:rsid w:val="0033608A"/>
    <w:rsid w:val="00337172"/>
    <w:rsid w:val="00345470"/>
    <w:rsid w:val="003474BD"/>
    <w:rsid w:val="00350F4B"/>
    <w:rsid w:val="003522EE"/>
    <w:rsid w:val="003532E2"/>
    <w:rsid w:val="003564B9"/>
    <w:rsid w:val="0036551A"/>
    <w:rsid w:val="00366B21"/>
    <w:rsid w:val="00366DF7"/>
    <w:rsid w:val="0036781B"/>
    <w:rsid w:val="00367E7F"/>
    <w:rsid w:val="003712AB"/>
    <w:rsid w:val="003743D6"/>
    <w:rsid w:val="003772D1"/>
    <w:rsid w:val="003777BE"/>
    <w:rsid w:val="00377CCB"/>
    <w:rsid w:val="0038138D"/>
    <w:rsid w:val="00384ECC"/>
    <w:rsid w:val="00386783"/>
    <w:rsid w:val="00387EBE"/>
    <w:rsid w:val="00390237"/>
    <w:rsid w:val="00391E8D"/>
    <w:rsid w:val="0039531F"/>
    <w:rsid w:val="0039580A"/>
    <w:rsid w:val="003A326D"/>
    <w:rsid w:val="003A438A"/>
    <w:rsid w:val="003A51C8"/>
    <w:rsid w:val="003A64BC"/>
    <w:rsid w:val="003B19C5"/>
    <w:rsid w:val="003B1DD1"/>
    <w:rsid w:val="003B2E30"/>
    <w:rsid w:val="003B4F31"/>
    <w:rsid w:val="003C1EAF"/>
    <w:rsid w:val="003C612A"/>
    <w:rsid w:val="003C7C72"/>
    <w:rsid w:val="003D0D4C"/>
    <w:rsid w:val="003D0F54"/>
    <w:rsid w:val="003D184D"/>
    <w:rsid w:val="003D1DEF"/>
    <w:rsid w:val="003D2E70"/>
    <w:rsid w:val="003D5C4C"/>
    <w:rsid w:val="003D669F"/>
    <w:rsid w:val="003D747C"/>
    <w:rsid w:val="003E2022"/>
    <w:rsid w:val="003E3852"/>
    <w:rsid w:val="003E6860"/>
    <w:rsid w:val="003E6A20"/>
    <w:rsid w:val="003F127D"/>
    <w:rsid w:val="003F1B81"/>
    <w:rsid w:val="003F3B4B"/>
    <w:rsid w:val="003F40EE"/>
    <w:rsid w:val="003F4D47"/>
    <w:rsid w:val="00407965"/>
    <w:rsid w:val="00411169"/>
    <w:rsid w:val="00415AA6"/>
    <w:rsid w:val="004176C8"/>
    <w:rsid w:val="00421162"/>
    <w:rsid w:val="004300A2"/>
    <w:rsid w:val="00432EF2"/>
    <w:rsid w:val="00434C3A"/>
    <w:rsid w:val="00435010"/>
    <w:rsid w:val="0043752B"/>
    <w:rsid w:val="00437AC9"/>
    <w:rsid w:val="00441321"/>
    <w:rsid w:val="0044431D"/>
    <w:rsid w:val="004445C2"/>
    <w:rsid w:val="004471B7"/>
    <w:rsid w:val="004575BD"/>
    <w:rsid w:val="00457CF4"/>
    <w:rsid w:val="00465864"/>
    <w:rsid w:val="00466E85"/>
    <w:rsid w:val="0047389A"/>
    <w:rsid w:val="00480631"/>
    <w:rsid w:val="004808CA"/>
    <w:rsid w:val="0048108E"/>
    <w:rsid w:val="004813DD"/>
    <w:rsid w:val="00483E4B"/>
    <w:rsid w:val="0048543A"/>
    <w:rsid w:val="00485927"/>
    <w:rsid w:val="004879A7"/>
    <w:rsid w:val="004909CB"/>
    <w:rsid w:val="00490D36"/>
    <w:rsid w:val="00495532"/>
    <w:rsid w:val="004A1E0A"/>
    <w:rsid w:val="004A3DC0"/>
    <w:rsid w:val="004A703C"/>
    <w:rsid w:val="004A730E"/>
    <w:rsid w:val="004B51D3"/>
    <w:rsid w:val="004B78B5"/>
    <w:rsid w:val="004B7EF9"/>
    <w:rsid w:val="004C53AD"/>
    <w:rsid w:val="004C7ED9"/>
    <w:rsid w:val="004D1069"/>
    <w:rsid w:val="004D25AF"/>
    <w:rsid w:val="004D417D"/>
    <w:rsid w:val="004D7173"/>
    <w:rsid w:val="004E1991"/>
    <w:rsid w:val="004E1E6C"/>
    <w:rsid w:val="004E2192"/>
    <w:rsid w:val="004E4001"/>
    <w:rsid w:val="004E5C2B"/>
    <w:rsid w:val="004E6785"/>
    <w:rsid w:val="004E7A7B"/>
    <w:rsid w:val="004F5D47"/>
    <w:rsid w:val="0050168B"/>
    <w:rsid w:val="00501BC7"/>
    <w:rsid w:val="005100D5"/>
    <w:rsid w:val="005123FA"/>
    <w:rsid w:val="00513C4F"/>
    <w:rsid w:val="00517046"/>
    <w:rsid w:val="005212FB"/>
    <w:rsid w:val="00521D8D"/>
    <w:rsid w:val="005222A8"/>
    <w:rsid w:val="005250FE"/>
    <w:rsid w:val="005303BC"/>
    <w:rsid w:val="005360E3"/>
    <w:rsid w:val="0053769A"/>
    <w:rsid w:val="00551EEC"/>
    <w:rsid w:val="0055459F"/>
    <w:rsid w:val="00556BAD"/>
    <w:rsid w:val="00561569"/>
    <w:rsid w:val="00562CE8"/>
    <w:rsid w:val="00563CC3"/>
    <w:rsid w:val="00563D90"/>
    <w:rsid w:val="005649D6"/>
    <w:rsid w:val="00564EDF"/>
    <w:rsid w:val="00565114"/>
    <w:rsid w:val="00565F3F"/>
    <w:rsid w:val="005662DB"/>
    <w:rsid w:val="005667CD"/>
    <w:rsid w:val="00572A92"/>
    <w:rsid w:val="0057407D"/>
    <w:rsid w:val="00574802"/>
    <w:rsid w:val="00576785"/>
    <w:rsid w:val="00580F09"/>
    <w:rsid w:val="00581D1B"/>
    <w:rsid w:val="00582B17"/>
    <w:rsid w:val="005879CC"/>
    <w:rsid w:val="005901AD"/>
    <w:rsid w:val="00592B2F"/>
    <w:rsid w:val="00594C7E"/>
    <w:rsid w:val="005A626F"/>
    <w:rsid w:val="005B0469"/>
    <w:rsid w:val="005B10E2"/>
    <w:rsid w:val="005B1E89"/>
    <w:rsid w:val="005B244A"/>
    <w:rsid w:val="005B279A"/>
    <w:rsid w:val="005B724B"/>
    <w:rsid w:val="005B7C27"/>
    <w:rsid w:val="005C0375"/>
    <w:rsid w:val="005C11E1"/>
    <w:rsid w:val="005C2391"/>
    <w:rsid w:val="005C4812"/>
    <w:rsid w:val="005C52C9"/>
    <w:rsid w:val="005D05EA"/>
    <w:rsid w:val="005D15A3"/>
    <w:rsid w:val="005D179D"/>
    <w:rsid w:val="005D442E"/>
    <w:rsid w:val="005D7034"/>
    <w:rsid w:val="005E33C2"/>
    <w:rsid w:val="005E6066"/>
    <w:rsid w:val="005F00CB"/>
    <w:rsid w:val="005F1742"/>
    <w:rsid w:val="00600905"/>
    <w:rsid w:val="00601163"/>
    <w:rsid w:val="00602293"/>
    <w:rsid w:val="00604715"/>
    <w:rsid w:val="00607516"/>
    <w:rsid w:val="006114E9"/>
    <w:rsid w:val="00611840"/>
    <w:rsid w:val="006138CC"/>
    <w:rsid w:val="00620A15"/>
    <w:rsid w:val="00621FFC"/>
    <w:rsid w:val="00622EAB"/>
    <w:rsid w:val="006244E4"/>
    <w:rsid w:val="00624565"/>
    <w:rsid w:val="00624A87"/>
    <w:rsid w:val="00632E9F"/>
    <w:rsid w:val="00633E5D"/>
    <w:rsid w:val="00635CB6"/>
    <w:rsid w:val="0063715D"/>
    <w:rsid w:val="00637592"/>
    <w:rsid w:val="006408E1"/>
    <w:rsid w:val="00645532"/>
    <w:rsid w:val="00645E2B"/>
    <w:rsid w:val="00647D3E"/>
    <w:rsid w:val="006504A3"/>
    <w:rsid w:val="0065135C"/>
    <w:rsid w:val="00654FA8"/>
    <w:rsid w:val="006564EB"/>
    <w:rsid w:val="00657DFD"/>
    <w:rsid w:val="00660E04"/>
    <w:rsid w:val="00662061"/>
    <w:rsid w:val="006645CA"/>
    <w:rsid w:val="00667A09"/>
    <w:rsid w:val="00667CFF"/>
    <w:rsid w:val="006738F6"/>
    <w:rsid w:val="00675831"/>
    <w:rsid w:val="006801D6"/>
    <w:rsid w:val="00680951"/>
    <w:rsid w:val="00681A36"/>
    <w:rsid w:val="00694285"/>
    <w:rsid w:val="00694592"/>
    <w:rsid w:val="00695C65"/>
    <w:rsid w:val="00696F2F"/>
    <w:rsid w:val="006A266B"/>
    <w:rsid w:val="006A3398"/>
    <w:rsid w:val="006A5A33"/>
    <w:rsid w:val="006B625F"/>
    <w:rsid w:val="006B667D"/>
    <w:rsid w:val="006C23AC"/>
    <w:rsid w:val="006C28A3"/>
    <w:rsid w:val="006C77FF"/>
    <w:rsid w:val="006D2B30"/>
    <w:rsid w:val="006D561F"/>
    <w:rsid w:val="006D7097"/>
    <w:rsid w:val="006E0B49"/>
    <w:rsid w:val="006E0EFB"/>
    <w:rsid w:val="006E5B48"/>
    <w:rsid w:val="006E77DF"/>
    <w:rsid w:val="006F0CCF"/>
    <w:rsid w:val="006F61DE"/>
    <w:rsid w:val="00700860"/>
    <w:rsid w:val="0070087F"/>
    <w:rsid w:val="0070173E"/>
    <w:rsid w:val="00706578"/>
    <w:rsid w:val="00712A87"/>
    <w:rsid w:val="00713A1A"/>
    <w:rsid w:val="007140CA"/>
    <w:rsid w:val="0072096A"/>
    <w:rsid w:val="007223A5"/>
    <w:rsid w:val="0072455C"/>
    <w:rsid w:val="00725E00"/>
    <w:rsid w:val="00732557"/>
    <w:rsid w:val="00740D4D"/>
    <w:rsid w:val="00746798"/>
    <w:rsid w:val="00746AE1"/>
    <w:rsid w:val="00746C57"/>
    <w:rsid w:val="007478FD"/>
    <w:rsid w:val="007510CB"/>
    <w:rsid w:val="007532BB"/>
    <w:rsid w:val="0075370F"/>
    <w:rsid w:val="00757FD1"/>
    <w:rsid w:val="00762726"/>
    <w:rsid w:val="00763C97"/>
    <w:rsid w:val="00770877"/>
    <w:rsid w:val="007712AA"/>
    <w:rsid w:val="0077183C"/>
    <w:rsid w:val="00780594"/>
    <w:rsid w:val="00781B0C"/>
    <w:rsid w:val="00782ED2"/>
    <w:rsid w:val="00787F35"/>
    <w:rsid w:val="00791720"/>
    <w:rsid w:val="0079185D"/>
    <w:rsid w:val="0079407D"/>
    <w:rsid w:val="007940A0"/>
    <w:rsid w:val="0079661D"/>
    <w:rsid w:val="007A3003"/>
    <w:rsid w:val="007A4A4F"/>
    <w:rsid w:val="007A4AC3"/>
    <w:rsid w:val="007A7867"/>
    <w:rsid w:val="007B0256"/>
    <w:rsid w:val="007B6895"/>
    <w:rsid w:val="007B6ABE"/>
    <w:rsid w:val="007B6B87"/>
    <w:rsid w:val="007B6FB7"/>
    <w:rsid w:val="007C4F76"/>
    <w:rsid w:val="007D2FA2"/>
    <w:rsid w:val="007E2CEE"/>
    <w:rsid w:val="007E55C9"/>
    <w:rsid w:val="007E7055"/>
    <w:rsid w:val="007F278B"/>
    <w:rsid w:val="007F2ABC"/>
    <w:rsid w:val="007F4893"/>
    <w:rsid w:val="0080059F"/>
    <w:rsid w:val="00805030"/>
    <w:rsid w:val="0081665B"/>
    <w:rsid w:val="00816ABF"/>
    <w:rsid w:val="00816DE7"/>
    <w:rsid w:val="00817305"/>
    <w:rsid w:val="00820D5A"/>
    <w:rsid w:val="00822373"/>
    <w:rsid w:val="00825C80"/>
    <w:rsid w:val="00826208"/>
    <w:rsid w:val="00826AEA"/>
    <w:rsid w:val="00837344"/>
    <w:rsid w:val="00837BB9"/>
    <w:rsid w:val="008407EC"/>
    <w:rsid w:val="00846794"/>
    <w:rsid w:val="008518FD"/>
    <w:rsid w:val="008537F2"/>
    <w:rsid w:val="0085696D"/>
    <w:rsid w:val="00860F7C"/>
    <w:rsid w:val="0086455E"/>
    <w:rsid w:val="008654C0"/>
    <w:rsid w:val="008656CD"/>
    <w:rsid w:val="008702DA"/>
    <w:rsid w:val="00870E1E"/>
    <w:rsid w:val="0087300D"/>
    <w:rsid w:val="0087539F"/>
    <w:rsid w:val="008763D9"/>
    <w:rsid w:val="008765CE"/>
    <w:rsid w:val="00881212"/>
    <w:rsid w:val="00893940"/>
    <w:rsid w:val="00893EA6"/>
    <w:rsid w:val="008979C9"/>
    <w:rsid w:val="008A1B30"/>
    <w:rsid w:val="008A78DD"/>
    <w:rsid w:val="008A7B1D"/>
    <w:rsid w:val="008B2140"/>
    <w:rsid w:val="008B27CB"/>
    <w:rsid w:val="008B3294"/>
    <w:rsid w:val="008B4859"/>
    <w:rsid w:val="008B66D2"/>
    <w:rsid w:val="008B78D5"/>
    <w:rsid w:val="008C1C00"/>
    <w:rsid w:val="008C3CEB"/>
    <w:rsid w:val="008C42A5"/>
    <w:rsid w:val="008D1784"/>
    <w:rsid w:val="008D42C4"/>
    <w:rsid w:val="008D6489"/>
    <w:rsid w:val="008E3274"/>
    <w:rsid w:val="008E511A"/>
    <w:rsid w:val="008E62D9"/>
    <w:rsid w:val="008F08FF"/>
    <w:rsid w:val="008F0F96"/>
    <w:rsid w:val="008F3CDE"/>
    <w:rsid w:val="008F4F07"/>
    <w:rsid w:val="0090344B"/>
    <w:rsid w:val="009048AC"/>
    <w:rsid w:val="009049B8"/>
    <w:rsid w:val="009058C4"/>
    <w:rsid w:val="00907526"/>
    <w:rsid w:val="00913275"/>
    <w:rsid w:val="00915CB0"/>
    <w:rsid w:val="00920008"/>
    <w:rsid w:val="009214EB"/>
    <w:rsid w:val="00922D5C"/>
    <w:rsid w:val="00923782"/>
    <w:rsid w:val="00927E29"/>
    <w:rsid w:val="009322D6"/>
    <w:rsid w:val="00935B93"/>
    <w:rsid w:val="00936897"/>
    <w:rsid w:val="00936C5F"/>
    <w:rsid w:val="00943549"/>
    <w:rsid w:val="00946BAF"/>
    <w:rsid w:val="00947E6F"/>
    <w:rsid w:val="00950096"/>
    <w:rsid w:val="00951E34"/>
    <w:rsid w:val="009526F1"/>
    <w:rsid w:val="00952BA7"/>
    <w:rsid w:val="0096061E"/>
    <w:rsid w:val="00961210"/>
    <w:rsid w:val="009617ED"/>
    <w:rsid w:val="0096213B"/>
    <w:rsid w:val="00962A84"/>
    <w:rsid w:val="00970DC5"/>
    <w:rsid w:val="009716DE"/>
    <w:rsid w:val="009725CC"/>
    <w:rsid w:val="00974F62"/>
    <w:rsid w:val="00976D1B"/>
    <w:rsid w:val="00977B4F"/>
    <w:rsid w:val="00980E41"/>
    <w:rsid w:val="00982B4D"/>
    <w:rsid w:val="00982CB4"/>
    <w:rsid w:val="00982E55"/>
    <w:rsid w:val="0098457A"/>
    <w:rsid w:val="00987CFC"/>
    <w:rsid w:val="009939AE"/>
    <w:rsid w:val="00995746"/>
    <w:rsid w:val="0099746B"/>
    <w:rsid w:val="00997A89"/>
    <w:rsid w:val="009A1F71"/>
    <w:rsid w:val="009A28F3"/>
    <w:rsid w:val="009A445B"/>
    <w:rsid w:val="009A4A26"/>
    <w:rsid w:val="009B158F"/>
    <w:rsid w:val="009B3A5C"/>
    <w:rsid w:val="009B6B5F"/>
    <w:rsid w:val="009C3B96"/>
    <w:rsid w:val="009C5402"/>
    <w:rsid w:val="009C5746"/>
    <w:rsid w:val="009D1540"/>
    <w:rsid w:val="009D17FE"/>
    <w:rsid w:val="009D348D"/>
    <w:rsid w:val="009D562F"/>
    <w:rsid w:val="009D72A7"/>
    <w:rsid w:val="009E180E"/>
    <w:rsid w:val="009E407E"/>
    <w:rsid w:val="009F2D3F"/>
    <w:rsid w:val="009F3517"/>
    <w:rsid w:val="009F3C82"/>
    <w:rsid w:val="009F7484"/>
    <w:rsid w:val="00A01ED7"/>
    <w:rsid w:val="00A02BFB"/>
    <w:rsid w:val="00A03C52"/>
    <w:rsid w:val="00A07CC2"/>
    <w:rsid w:val="00A10C6A"/>
    <w:rsid w:val="00A20BA3"/>
    <w:rsid w:val="00A20D40"/>
    <w:rsid w:val="00A24BA3"/>
    <w:rsid w:val="00A3302A"/>
    <w:rsid w:val="00A3584B"/>
    <w:rsid w:val="00A41BEA"/>
    <w:rsid w:val="00A426A7"/>
    <w:rsid w:val="00A44511"/>
    <w:rsid w:val="00A45852"/>
    <w:rsid w:val="00A54BC4"/>
    <w:rsid w:val="00A5552D"/>
    <w:rsid w:val="00A570C6"/>
    <w:rsid w:val="00A66456"/>
    <w:rsid w:val="00A709D1"/>
    <w:rsid w:val="00A7156C"/>
    <w:rsid w:val="00A7171F"/>
    <w:rsid w:val="00A83F3B"/>
    <w:rsid w:val="00A84AB5"/>
    <w:rsid w:val="00A86550"/>
    <w:rsid w:val="00A9077C"/>
    <w:rsid w:val="00A909C8"/>
    <w:rsid w:val="00A93BDF"/>
    <w:rsid w:val="00A94A02"/>
    <w:rsid w:val="00A94A2A"/>
    <w:rsid w:val="00A94F45"/>
    <w:rsid w:val="00A97AD4"/>
    <w:rsid w:val="00AA0AD5"/>
    <w:rsid w:val="00AA21B4"/>
    <w:rsid w:val="00AA5C7A"/>
    <w:rsid w:val="00AB0D85"/>
    <w:rsid w:val="00AB1CCC"/>
    <w:rsid w:val="00AB3270"/>
    <w:rsid w:val="00AB5CEB"/>
    <w:rsid w:val="00AB6F48"/>
    <w:rsid w:val="00AC0A45"/>
    <w:rsid w:val="00AC1056"/>
    <w:rsid w:val="00AC502B"/>
    <w:rsid w:val="00AD05F8"/>
    <w:rsid w:val="00AD2142"/>
    <w:rsid w:val="00AD3910"/>
    <w:rsid w:val="00AD424F"/>
    <w:rsid w:val="00AD44CC"/>
    <w:rsid w:val="00AD482C"/>
    <w:rsid w:val="00AD7E3B"/>
    <w:rsid w:val="00AE08BB"/>
    <w:rsid w:val="00AE0AFA"/>
    <w:rsid w:val="00AE1570"/>
    <w:rsid w:val="00AE2510"/>
    <w:rsid w:val="00AE35CE"/>
    <w:rsid w:val="00AE3D2C"/>
    <w:rsid w:val="00AE66F5"/>
    <w:rsid w:val="00AF0A17"/>
    <w:rsid w:val="00AF3397"/>
    <w:rsid w:val="00AF3C70"/>
    <w:rsid w:val="00AF4119"/>
    <w:rsid w:val="00B00E32"/>
    <w:rsid w:val="00B05300"/>
    <w:rsid w:val="00B0584B"/>
    <w:rsid w:val="00B0707B"/>
    <w:rsid w:val="00B074D1"/>
    <w:rsid w:val="00B07B91"/>
    <w:rsid w:val="00B119CD"/>
    <w:rsid w:val="00B14349"/>
    <w:rsid w:val="00B1706F"/>
    <w:rsid w:val="00B179F8"/>
    <w:rsid w:val="00B22D1C"/>
    <w:rsid w:val="00B23BE6"/>
    <w:rsid w:val="00B2400F"/>
    <w:rsid w:val="00B41CE9"/>
    <w:rsid w:val="00B43A6E"/>
    <w:rsid w:val="00B513AC"/>
    <w:rsid w:val="00B53CB7"/>
    <w:rsid w:val="00B54A65"/>
    <w:rsid w:val="00B55803"/>
    <w:rsid w:val="00B56528"/>
    <w:rsid w:val="00B60462"/>
    <w:rsid w:val="00B608C7"/>
    <w:rsid w:val="00B67010"/>
    <w:rsid w:val="00B67540"/>
    <w:rsid w:val="00B6763A"/>
    <w:rsid w:val="00B7319B"/>
    <w:rsid w:val="00B80145"/>
    <w:rsid w:val="00B8234A"/>
    <w:rsid w:val="00B8332B"/>
    <w:rsid w:val="00B85B7C"/>
    <w:rsid w:val="00B878F4"/>
    <w:rsid w:val="00B90B72"/>
    <w:rsid w:val="00B93DD5"/>
    <w:rsid w:val="00BA0B5E"/>
    <w:rsid w:val="00BA395C"/>
    <w:rsid w:val="00BA3FA2"/>
    <w:rsid w:val="00BA4222"/>
    <w:rsid w:val="00BA4E43"/>
    <w:rsid w:val="00BA6AAE"/>
    <w:rsid w:val="00BA7AD5"/>
    <w:rsid w:val="00BB018F"/>
    <w:rsid w:val="00BB25F3"/>
    <w:rsid w:val="00BB773A"/>
    <w:rsid w:val="00BC241D"/>
    <w:rsid w:val="00BC2CBC"/>
    <w:rsid w:val="00BC3BE2"/>
    <w:rsid w:val="00BC6A41"/>
    <w:rsid w:val="00BC71B1"/>
    <w:rsid w:val="00BC74A5"/>
    <w:rsid w:val="00BD1383"/>
    <w:rsid w:val="00BD1412"/>
    <w:rsid w:val="00BD1638"/>
    <w:rsid w:val="00BD3A1F"/>
    <w:rsid w:val="00BD3F07"/>
    <w:rsid w:val="00BD46D7"/>
    <w:rsid w:val="00BD6C09"/>
    <w:rsid w:val="00BE045E"/>
    <w:rsid w:val="00BE3C3C"/>
    <w:rsid w:val="00BE7B30"/>
    <w:rsid w:val="00BF188A"/>
    <w:rsid w:val="00BF2493"/>
    <w:rsid w:val="00BF7F76"/>
    <w:rsid w:val="00C036AB"/>
    <w:rsid w:val="00C03BA8"/>
    <w:rsid w:val="00C04EB4"/>
    <w:rsid w:val="00C06252"/>
    <w:rsid w:val="00C063F5"/>
    <w:rsid w:val="00C12356"/>
    <w:rsid w:val="00C124DA"/>
    <w:rsid w:val="00C133EA"/>
    <w:rsid w:val="00C16191"/>
    <w:rsid w:val="00C219C4"/>
    <w:rsid w:val="00C24BCD"/>
    <w:rsid w:val="00C25AD7"/>
    <w:rsid w:val="00C26068"/>
    <w:rsid w:val="00C34069"/>
    <w:rsid w:val="00C349E7"/>
    <w:rsid w:val="00C35FA8"/>
    <w:rsid w:val="00C35FB0"/>
    <w:rsid w:val="00C372D1"/>
    <w:rsid w:val="00C40D5B"/>
    <w:rsid w:val="00C47FA2"/>
    <w:rsid w:val="00C50CF0"/>
    <w:rsid w:val="00C53327"/>
    <w:rsid w:val="00C53361"/>
    <w:rsid w:val="00C55238"/>
    <w:rsid w:val="00C5531A"/>
    <w:rsid w:val="00C574E2"/>
    <w:rsid w:val="00C61652"/>
    <w:rsid w:val="00C6235F"/>
    <w:rsid w:val="00C66F33"/>
    <w:rsid w:val="00C71C1F"/>
    <w:rsid w:val="00C755D9"/>
    <w:rsid w:val="00C7593A"/>
    <w:rsid w:val="00C75B81"/>
    <w:rsid w:val="00C771A1"/>
    <w:rsid w:val="00C77202"/>
    <w:rsid w:val="00C8119D"/>
    <w:rsid w:val="00C85874"/>
    <w:rsid w:val="00C87BDA"/>
    <w:rsid w:val="00C901DF"/>
    <w:rsid w:val="00C91CBC"/>
    <w:rsid w:val="00C92118"/>
    <w:rsid w:val="00C9418A"/>
    <w:rsid w:val="00CA0CE0"/>
    <w:rsid w:val="00CA66DB"/>
    <w:rsid w:val="00CA7B3D"/>
    <w:rsid w:val="00CB06C7"/>
    <w:rsid w:val="00CB15C9"/>
    <w:rsid w:val="00CB3FEE"/>
    <w:rsid w:val="00CC12C8"/>
    <w:rsid w:val="00CC4200"/>
    <w:rsid w:val="00CC6427"/>
    <w:rsid w:val="00CE58F9"/>
    <w:rsid w:val="00CE7F42"/>
    <w:rsid w:val="00CF0E05"/>
    <w:rsid w:val="00CF1F8A"/>
    <w:rsid w:val="00CF4425"/>
    <w:rsid w:val="00CF4ED7"/>
    <w:rsid w:val="00CF58CD"/>
    <w:rsid w:val="00D01EE0"/>
    <w:rsid w:val="00D04A4E"/>
    <w:rsid w:val="00D06904"/>
    <w:rsid w:val="00D111CF"/>
    <w:rsid w:val="00D1140C"/>
    <w:rsid w:val="00D148ED"/>
    <w:rsid w:val="00D15018"/>
    <w:rsid w:val="00D167C6"/>
    <w:rsid w:val="00D21C66"/>
    <w:rsid w:val="00D26FAB"/>
    <w:rsid w:val="00D3064A"/>
    <w:rsid w:val="00D3066B"/>
    <w:rsid w:val="00D34FD4"/>
    <w:rsid w:val="00D3641C"/>
    <w:rsid w:val="00D4360F"/>
    <w:rsid w:val="00D43F74"/>
    <w:rsid w:val="00D44E3D"/>
    <w:rsid w:val="00D45CD6"/>
    <w:rsid w:val="00D45FA2"/>
    <w:rsid w:val="00D46458"/>
    <w:rsid w:val="00D51629"/>
    <w:rsid w:val="00D51A27"/>
    <w:rsid w:val="00D55C68"/>
    <w:rsid w:val="00D56975"/>
    <w:rsid w:val="00D57218"/>
    <w:rsid w:val="00D67AD7"/>
    <w:rsid w:val="00D7419C"/>
    <w:rsid w:val="00D92172"/>
    <w:rsid w:val="00D92E84"/>
    <w:rsid w:val="00D92F10"/>
    <w:rsid w:val="00D9646B"/>
    <w:rsid w:val="00DA1E5E"/>
    <w:rsid w:val="00DA4BFC"/>
    <w:rsid w:val="00DB02DA"/>
    <w:rsid w:val="00DB0A08"/>
    <w:rsid w:val="00DB0DAD"/>
    <w:rsid w:val="00DB3CBB"/>
    <w:rsid w:val="00DC336E"/>
    <w:rsid w:val="00DC37AF"/>
    <w:rsid w:val="00DC3D3C"/>
    <w:rsid w:val="00DC3F93"/>
    <w:rsid w:val="00DC4F7E"/>
    <w:rsid w:val="00DC622B"/>
    <w:rsid w:val="00DC7C52"/>
    <w:rsid w:val="00DD1BC0"/>
    <w:rsid w:val="00DD32E2"/>
    <w:rsid w:val="00DD347A"/>
    <w:rsid w:val="00DD40E1"/>
    <w:rsid w:val="00DD60BE"/>
    <w:rsid w:val="00DD7BC7"/>
    <w:rsid w:val="00DE294C"/>
    <w:rsid w:val="00DE3E9D"/>
    <w:rsid w:val="00DE48E4"/>
    <w:rsid w:val="00DE68FB"/>
    <w:rsid w:val="00DF24B2"/>
    <w:rsid w:val="00DF325A"/>
    <w:rsid w:val="00DF5EFC"/>
    <w:rsid w:val="00E002DE"/>
    <w:rsid w:val="00E02309"/>
    <w:rsid w:val="00E02415"/>
    <w:rsid w:val="00E02A4C"/>
    <w:rsid w:val="00E06349"/>
    <w:rsid w:val="00E075E7"/>
    <w:rsid w:val="00E07B90"/>
    <w:rsid w:val="00E10DF8"/>
    <w:rsid w:val="00E10EC6"/>
    <w:rsid w:val="00E143CA"/>
    <w:rsid w:val="00E2457C"/>
    <w:rsid w:val="00E2466E"/>
    <w:rsid w:val="00E262F8"/>
    <w:rsid w:val="00E26B82"/>
    <w:rsid w:val="00E27466"/>
    <w:rsid w:val="00E308B6"/>
    <w:rsid w:val="00E30E1E"/>
    <w:rsid w:val="00E31BC9"/>
    <w:rsid w:val="00E3286A"/>
    <w:rsid w:val="00E413CF"/>
    <w:rsid w:val="00E41B9D"/>
    <w:rsid w:val="00E45FBA"/>
    <w:rsid w:val="00E50A59"/>
    <w:rsid w:val="00E517BE"/>
    <w:rsid w:val="00E526D9"/>
    <w:rsid w:val="00E540A0"/>
    <w:rsid w:val="00E5450C"/>
    <w:rsid w:val="00E556FF"/>
    <w:rsid w:val="00E57EFA"/>
    <w:rsid w:val="00E600C5"/>
    <w:rsid w:val="00E6177A"/>
    <w:rsid w:val="00E633A6"/>
    <w:rsid w:val="00E64E97"/>
    <w:rsid w:val="00E66735"/>
    <w:rsid w:val="00E70174"/>
    <w:rsid w:val="00E71738"/>
    <w:rsid w:val="00E72288"/>
    <w:rsid w:val="00E73BE9"/>
    <w:rsid w:val="00E74A19"/>
    <w:rsid w:val="00E754D2"/>
    <w:rsid w:val="00E75B06"/>
    <w:rsid w:val="00E769A0"/>
    <w:rsid w:val="00E82688"/>
    <w:rsid w:val="00E83D40"/>
    <w:rsid w:val="00E8622B"/>
    <w:rsid w:val="00E87035"/>
    <w:rsid w:val="00E9027C"/>
    <w:rsid w:val="00E904E8"/>
    <w:rsid w:val="00E927C2"/>
    <w:rsid w:val="00EA456F"/>
    <w:rsid w:val="00EA6F0D"/>
    <w:rsid w:val="00EB3C53"/>
    <w:rsid w:val="00EB3CDA"/>
    <w:rsid w:val="00EB4DB6"/>
    <w:rsid w:val="00EB745B"/>
    <w:rsid w:val="00EC1C6B"/>
    <w:rsid w:val="00EC70FE"/>
    <w:rsid w:val="00ED073E"/>
    <w:rsid w:val="00ED150F"/>
    <w:rsid w:val="00ED3239"/>
    <w:rsid w:val="00ED515F"/>
    <w:rsid w:val="00ED586C"/>
    <w:rsid w:val="00ED612F"/>
    <w:rsid w:val="00ED6FE6"/>
    <w:rsid w:val="00EE05AB"/>
    <w:rsid w:val="00EE2ED4"/>
    <w:rsid w:val="00EE51CF"/>
    <w:rsid w:val="00EE5D25"/>
    <w:rsid w:val="00EF061E"/>
    <w:rsid w:val="00EF49BC"/>
    <w:rsid w:val="00EF4A77"/>
    <w:rsid w:val="00EF4CDB"/>
    <w:rsid w:val="00EF7C00"/>
    <w:rsid w:val="00F04C95"/>
    <w:rsid w:val="00F05FDB"/>
    <w:rsid w:val="00F10B86"/>
    <w:rsid w:val="00F13095"/>
    <w:rsid w:val="00F1552B"/>
    <w:rsid w:val="00F42599"/>
    <w:rsid w:val="00F43093"/>
    <w:rsid w:val="00F50D58"/>
    <w:rsid w:val="00F50DD2"/>
    <w:rsid w:val="00F531DC"/>
    <w:rsid w:val="00F53A68"/>
    <w:rsid w:val="00F6104A"/>
    <w:rsid w:val="00F70891"/>
    <w:rsid w:val="00F70EBC"/>
    <w:rsid w:val="00F75C87"/>
    <w:rsid w:val="00F76076"/>
    <w:rsid w:val="00F80925"/>
    <w:rsid w:val="00F874E6"/>
    <w:rsid w:val="00F922D6"/>
    <w:rsid w:val="00F966F1"/>
    <w:rsid w:val="00F96795"/>
    <w:rsid w:val="00FA2F60"/>
    <w:rsid w:val="00FA35C4"/>
    <w:rsid w:val="00FA442B"/>
    <w:rsid w:val="00FA583C"/>
    <w:rsid w:val="00FB0011"/>
    <w:rsid w:val="00FB1746"/>
    <w:rsid w:val="00FB3E1B"/>
    <w:rsid w:val="00FB418E"/>
    <w:rsid w:val="00FB7A70"/>
    <w:rsid w:val="00FB7C6E"/>
    <w:rsid w:val="00FC19B5"/>
    <w:rsid w:val="00FC3793"/>
    <w:rsid w:val="00FD2FA0"/>
    <w:rsid w:val="00FD58FF"/>
    <w:rsid w:val="00FD7802"/>
    <w:rsid w:val="00FE144A"/>
    <w:rsid w:val="00FE7EE7"/>
    <w:rsid w:val="00FF6F0B"/>
    <w:rsid w:val="00FF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E29"/>
    <w:pPr>
      <w:spacing w:after="0" w:line="360" w:lineRule="auto"/>
    </w:pPr>
    <w:rPr>
      <w:rFonts w:ascii="CG Times" w:eastAsia="Times New Roman" w:hAnsi="CG Times" w:cs="Times New Roman"/>
      <w:sz w:val="24"/>
      <w:szCs w:val="20"/>
    </w:rPr>
  </w:style>
  <w:style w:type="paragraph" w:styleId="Heading1">
    <w:name w:val="heading 1"/>
    <w:basedOn w:val="ListParagraph"/>
    <w:next w:val="Normal"/>
    <w:link w:val="Heading1Char"/>
    <w:uiPriority w:val="9"/>
    <w:qFormat/>
    <w:rsid w:val="00162E29"/>
    <w:pPr>
      <w:numPr>
        <w:numId w:val="1"/>
      </w:numPr>
      <w:ind w:left="0" w:firstLine="0"/>
      <w:contextualSpacing w:val="0"/>
      <w:jc w:val="center"/>
      <w:outlineLvl w:val="0"/>
    </w:pPr>
    <w:rPr>
      <w:rFonts w:ascii="Times New Roman" w:hAnsi="Times New Roman"/>
      <w:b/>
      <w:sz w:val="26"/>
      <w:szCs w:val="26"/>
    </w:rPr>
  </w:style>
  <w:style w:type="paragraph" w:styleId="Heading2">
    <w:name w:val="heading 2"/>
    <w:basedOn w:val="Normal"/>
    <w:next w:val="Normal"/>
    <w:link w:val="Heading2Char"/>
    <w:uiPriority w:val="9"/>
    <w:unhideWhenUsed/>
    <w:qFormat/>
    <w:rsid w:val="00F6104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E29"/>
    <w:rPr>
      <w:rFonts w:ascii="Times New Roman" w:eastAsia="Times New Roman" w:hAnsi="Times New Roman" w:cs="Times New Roman"/>
      <w:b/>
      <w:sz w:val="26"/>
      <w:szCs w:val="26"/>
    </w:rPr>
  </w:style>
  <w:style w:type="paragraph" w:styleId="Subtitle">
    <w:name w:val="Subtitle"/>
    <w:basedOn w:val="Normal"/>
    <w:link w:val="SubtitleChar"/>
    <w:qFormat/>
    <w:rsid w:val="00162E29"/>
    <w:pPr>
      <w:spacing w:line="240" w:lineRule="auto"/>
      <w:jc w:val="center"/>
    </w:pPr>
    <w:rPr>
      <w:b/>
    </w:rPr>
  </w:style>
  <w:style w:type="character" w:customStyle="1" w:styleId="SubtitleChar">
    <w:name w:val="Subtitle Char"/>
    <w:basedOn w:val="DefaultParagraphFont"/>
    <w:link w:val="Subtitle"/>
    <w:rsid w:val="00162E29"/>
    <w:rPr>
      <w:rFonts w:ascii="CG Times" w:eastAsia="Times New Roman" w:hAnsi="CG Times" w:cs="Times New Roman"/>
      <w:b/>
      <w:sz w:val="24"/>
      <w:szCs w:val="20"/>
    </w:rPr>
  </w:style>
  <w:style w:type="paragraph" w:styleId="BodyTextIndent">
    <w:name w:val="Body Text Indent"/>
    <w:basedOn w:val="Normal"/>
    <w:link w:val="BodyTextIndentChar"/>
    <w:uiPriority w:val="99"/>
    <w:semiHidden/>
    <w:unhideWhenUsed/>
    <w:rsid w:val="00162E29"/>
    <w:pPr>
      <w:spacing w:after="120"/>
      <w:ind w:left="360"/>
    </w:pPr>
  </w:style>
  <w:style w:type="character" w:customStyle="1" w:styleId="BodyTextIndentChar">
    <w:name w:val="Body Text Indent Char"/>
    <w:basedOn w:val="DefaultParagraphFont"/>
    <w:link w:val="BodyTextIndent"/>
    <w:uiPriority w:val="99"/>
    <w:semiHidden/>
    <w:rsid w:val="00162E29"/>
    <w:rPr>
      <w:rFonts w:ascii="CG Times" w:eastAsia="Times New Roman" w:hAnsi="CG Times" w:cs="Times New Roman"/>
      <w:sz w:val="24"/>
      <w:szCs w:val="20"/>
    </w:rPr>
  </w:style>
  <w:style w:type="paragraph" w:styleId="ListParagraph">
    <w:name w:val="List Paragraph"/>
    <w:basedOn w:val="Normal"/>
    <w:uiPriority w:val="34"/>
    <w:qFormat/>
    <w:rsid w:val="00162E29"/>
    <w:pPr>
      <w:ind w:left="720"/>
      <w:contextualSpacing/>
    </w:pPr>
  </w:style>
  <w:style w:type="paragraph" w:customStyle="1" w:styleId="BodyFirst1SS">
    <w:name w:val="Body First 1 SS"/>
    <w:basedOn w:val="Normal"/>
    <w:uiPriority w:val="10"/>
    <w:qFormat/>
    <w:rsid w:val="009716DE"/>
    <w:pPr>
      <w:spacing w:line="480" w:lineRule="auto"/>
      <w:ind w:firstLine="720"/>
      <w:jc w:val="both"/>
    </w:pPr>
    <w:rPr>
      <w:rFonts w:ascii="Times New Roman" w:hAnsi="Times New Roman"/>
      <w:szCs w:val="24"/>
    </w:rPr>
  </w:style>
  <w:style w:type="paragraph" w:styleId="BodyText2">
    <w:name w:val="Body Text 2"/>
    <w:basedOn w:val="Normal"/>
    <w:link w:val="BodyText2Char"/>
    <w:uiPriority w:val="99"/>
    <w:unhideWhenUsed/>
    <w:rsid w:val="000769C7"/>
    <w:pPr>
      <w:spacing w:after="120" w:line="480" w:lineRule="auto"/>
    </w:pPr>
  </w:style>
  <w:style w:type="character" w:customStyle="1" w:styleId="BodyText2Char">
    <w:name w:val="Body Text 2 Char"/>
    <w:basedOn w:val="DefaultParagraphFont"/>
    <w:link w:val="BodyText2"/>
    <w:uiPriority w:val="99"/>
    <w:rsid w:val="000769C7"/>
    <w:rPr>
      <w:rFonts w:ascii="CG Times" w:eastAsia="Times New Roman" w:hAnsi="CG Times" w:cs="Times New Roman"/>
      <w:sz w:val="24"/>
      <w:szCs w:val="20"/>
    </w:rPr>
  </w:style>
  <w:style w:type="paragraph" w:styleId="BodyText3">
    <w:name w:val="Body Text 3"/>
    <w:basedOn w:val="Normal"/>
    <w:link w:val="BodyText3Char"/>
    <w:uiPriority w:val="99"/>
    <w:semiHidden/>
    <w:unhideWhenUsed/>
    <w:rsid w:val="000769C7"/>
    <w:pPr>
      <w:spacing w:after="120"/>
    </w:pPr>
    <w:rPr>
      <w:sz w:val="16"/>
      <w:szCs w:val="16"/>
    </w:rPr>
  </w:style>
  <w:style w:type="character" w:customStyle="1" w:styleId="BodyText3Char">
    <w:name w:val="Body Text 3 Char"/>
    <w:basedOn w:val="DefaultParagraphFont"/>
    <w:link w:val="BodyText3"/>
    <w:uiPriority w:val="99"/>
    <w:semiHidden/>
    <w:rsid w:val="000769C7"/>
    <w:rPr>
      <w:rFonts w:ascii="CG Times" w:eastAsia="Times New Roman" w:hAnsi="CG Times" w:cs="Times New Roman"/>
      <w:sz w:val="16"/>
      <w:szCs w:val="16"/>
    </w:rPr>
  </w:style>
  <w:style w:type="character" w:styleId="Hyperlink">
    <w:name w:val="Hyperlink"/>
    <w:basedOn w:val="DefaultParagraphFont"/>
    <w:rsid w:val="00DC3F93"/>
    <w:rPr>
      <w:color w:val="0000FF"/>
      <w:u w:val="single"/>
    </w:rPr>
  </w:style>
  <w:style w:type="character" w:customStyle="1" w:styleId="term1">
    <w:name w:val="term1"/>
    <w:basedOn w:val="DefaultParagraphFont"/>
    <w:rsid w:val="00DC3F93"/>
    <w:rPr>
      <w:b/>
      <w:bCs/>
    </w:rPr>
  </w:style>
  <w:style w:type="character" w:styleId="FootnoteReference">
    <w:name w:val="footnote reference"/>
    <w:aliases w:val="o,fr"/>
    <w:basedOn w:val="DefaultParagraphFont"/>
    <w:unhideWhenUsed/>
    <w:rsid w:val="00DC7C52"/>
    <w:rPr>
      <w:rFonts w:ascii="Times New Roman" w:hAnsi="Times New Roman"/>
      <w:vertAlign w:val="superscript"/>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autoRedefine/>
    <w:unhideWhenUsed/>
    <w:qFormat/>
    <w:rsid w:val="00521D8D"/>
    <w:pPr>
      <w:keepNext/>
      <w:keepLines/>
      <w:spacing w:line="240" w:lineRule="auto"/>
      <w:ind w:firstLine="720"/>
    </w:pPr>
    <w:rPr>
      <w:rFonts w:ascii="Times New Roman" w:hAnsi="Times New Roman"/>
      <w:sz w:val="26"/>
      <w:szCs w:val="26"/>
    </w:rPr>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21D8D"/>
    <w:rPr>
      <w:rFonts w:ascii="Times New Roman" w:eastAsia="Times New Roman" w:hAnsi="Times New Roman" w:cs="Times New Roman"/>
      <w:sz w:val="26"/>
      <w:szCs w:val="26"/>
    </w:rPr>
  </w:style>
  <w:style w:type="character" w:customStyle="1" w:styleId="Heading2Char">
    <w:name w:val="Heading 2 Char"/>
    <w:basedOn w:val="DefaultParagraphFont"/>
    <w:link w:val="Heading2"/>
    <w:uiPriority w:val="9"/>
    <w:rsid w:val="00F6104A"/>
    <w:rPr>
      <w:rFonts w:asciiTheme="majorHAnsi" w:eastAsiaTheme="majorEastAsia" w:hAnsiTheme="majorHAnsi" w:cstheme="majorBidi"/>
      <w:b/>
      <w:bCs/>
      <w:color w:val="4F81BD" w:themeColor="accent1"/>
      <w:sz w:val="26"/>
      <w:szCs w:val="26"/>
    </w:rPr>
  </w:style>
  <w:style w:type="paragraph" w:customStyle="1" w:styleId="Bullet1">
    <w:name w:val="Bullet 1"/>
    <w:basedOn w:val="Normal"/>
    <w:link w:val="Bullet1Char"/>
    <w:uiPriority w:val="17"/>
    <w:qFormat/>
    <w:rsid w:val="006645CA"/>
    <w:pPr>
      <w:numPr>
        <w:numId w:val="5"/>
      </w:numPr>
      <w:spacing w:after="240" w:line="240" w:lineRule="auto"/>
      <w:jc w:val="both"/>
      <w:outlineLvl w:val="0"/>
    </w:pPr>
    <w:rPr>
      <w:rFonts w:ascii="Times New Roman" w:hAnsi="Times New Roman" w:cstheme="minorBidi"/>
    </w:rPr>
  </w:style>
  <w:style w:type="character" w:customStyle="1" w:styleId="Bullet1Char">
    <w:name w:val="Bullet 1 Char"/>
    <w:link w:val="Bullet1"/>
    <w:uiPriority w:val="17"/>
    <w:rsid w:val="006645CA"/>
    <w:rPr>
      <w:rFonts w:ascii="Times New Roman" w:eastAsia="Times New Roman" w:hAnsi="Times New Roman"/>
      <w:sz w:val="24"/>
      <w:szCs w:val="20"/>
    </w:rPr>
  </w:style>
  <w:style w:type="paragraph" w:customStyle="1" w:styleId="Bullet2">
    <w:name w:val="Bullet 2"/>
    <w:basedOn w:val="Bullet1"/>
    <w:uiPriority w:val="17"/>
    <w:qFormat/>
    <w:rsid w:val="006645CA"/>
    <w:pPr>
      <w:numPr>
        <w:ilvl w:val="1"/>
      </w:numPr>
      <w:tabs>
        <w:tab w:val="clear" w:pos="2160"/>
        <w:tab w:val="num" w:pos="360"/>
      </w:tabs>
      <w:outlineLvl w:val="1"/>
    </w:pPr>
  </w:style>
  <w:style w:type="paragraph" w:customStyle="1" w:styleId="Bullet3">
    <w:name w:val="Bullet 3"/>
    <w:basedOn w:val="Bullet2"/>
    <w:uiPriority w:val="17"/>
    <w:qFormat/>
    <w:rsid w:val="006645CA"/>
    <w:pPr>
      <w:numPr>
        <w:ilvl w:val="2"/>
      </w:numPr>
      <w:tabs>
        <w:tab w:val="clear" w:pos="2880"/>
        <w:tab w:val="num" w:pos="360"/>
      </w:tabs>
      <w:outlineLvl w:val="2"/>
    </w:pPr>
  </w:style>
  <w:style w:type="paragraph" w:customStyle="1" w:styleId="Bullet4">
    <w:name w:val="Bullet 4"/>
    <w:basedOn w:val="Bullet3"/>
    <w:uiPriority w:val="17"/>
    <w:semiHidden/>
    <w:rsid w:val="006645CA"/>
    <w:pPr>
      <w:numPr>
        <w:ilvl w:val="3"/>
      </w:numPr>
      <w:tabs>
        <w:tab w:val="clear" w:pos="3600"/>
        <w:tab w:val="num" w:pos="360"/>
      </w:tabs>
      <w:outlineLvl w:val="3"/>
    </w:pPr>
  </w:style>
  <w:style w:type="paragraph" w:customStyle="1" w:styleId="Bullet5">
    <w:name w:val="Bullet 5"/>
    <w:basedOn w:val="Bullet4"/>
    <w:uiPriority w:val="17"/>
    <w:semiHidden/>
    <w:rsid w:val="006645CA"/>
    <w:pPr>
      <w:numPr>
        <w:ilvl w:val="4"/>
      </w:numPr>
      <w:tabs>
        <w:tab w:val="clear" w:pos="4320"/>
        <w:tab w:val="num" w:pos="360"/>
      </w:tabs>
      <w:outlineLvl w:val="4"/>
    </w:pPr>
  </w:style>
  <w:style w:type="character" w:styleId="Emphasis">
    <w:name w:val="Emphasis"/>
    <w:basedOn w:val="DefaultParagraphFont"/>
    <w:qFormat/>
    <w:rsid w:val="00177971"/>
    <w:rPr>
      <w:i/>
      <w:iCs/>
    </w:rPr>
  </w:style>
  <w:style w:type="paragraph" w:styleId="Header">
    <w:name w:val="header"/>
    <w:basedOn w:val="Normal"/>
    <w:link w:val="HeaderChar"/>
    <w:uiPriority w:val="99"/>
    <w:unhideWhenUsed/>
    <w:rsid w:val="001528F2"/>
    <w:pPr>
      <w:tabs>
        <w:tab w:val="center" w:pos="4680"/>
        <w:tab w:val="right" w:pos="9360"/>
      </w:tabs>
      <w:spacing w:line="240" w:lineRule="auto"/>
    </w:pPr>
  </w:style>
  <w:style w:type="character" w:customStyle="1" w:styleId="HeaderChar">
    <w:name w:val="Header Char"/>
    <w:basedOn w:val="DefaultParagraphFont"/>
    <w:link w:val="Header"/>
    <w:uiPriority w:val="99"/>
    <w:rsid w:val="001528F2"/>
    <w:rPr>
      <w:rFonts w:ascii="CG Times" w:eastAsia="Times New Roman" w:hAnsi="CG Times" w:cs="Times New Roman"/>
      <w:sz w:val="24"/>
      <w:szCs w:val="20"/>
    </w:rPr>
  </w:style>
  <w:style w:type="paragraph" w:styleId="Footer">
    <w:name w:val="footer"/>
    <w:basedOn w:val="Normal"/>
    <w:link w:val="FooterChar"/>
    <w:uiPriority w:val="99"/>
    <w:unhideWhenUsed/>
    <w:rsid w:val="001528F2"/>
    <w:pPr>
      <w:tabs>
        <w:tab w:val="center" w:pos="4680"/>
        <w:tab w:val="right" w:pos="9360"/>
      </w:tabs>
      <w:spacing w:line="240" w:lineRule="auto"/>
    </w:pPr>
  </w:style>
  <w:style w:type="character" w:customStyle="1" w:styleId="FooterChar">
    <w:name w:val="Footer Char"/>
    <w:basedOn w:val="DefaultParagraphFont"/>
    <w:link w:val="Footer"/>
    <w:uiPriority w:val="99"/>
    <w:rsid w:val="001528F2"/>
    <w:rPr>
      <w:rFonts w:ascii="CG Times" w:eastAsia="Times New Roman" w:hAnsi="CG Times" w:cs="Times New Roman"/>
      <w:sz w:val="24"/>
      <w:szCs w:val="20"/>
    </w:rPr>
  </w:style>
  <w:style w:type="paragraph" w:styleId="BalloonText">
    <w:name w:val="Balloon Text"/>
    <w:basedOn w:val="Normal"/>
    <w:link w:val="BalloonTextChar"/>
    <w:uiPriority w:val="99"/>
    <w:semiHidden/>
    <w:unhideWhenUsed/>
    <w:rsid w:val="00624A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A87"/>
    <w:rPr>
      <w:rFonts w:ascii="Tahoma" w:eastAsia="Times New Roman" w:hAnsi="Tahoma" w:cs="Tahoma"/>
      <w:sz w:val="16"/>
      <w:szCs w:val="16"/>
    </w:rPr>
  </w:style>
  <w:style w:type="paragraph" w:styleId="PlainText">
    <w:name w:val="Plain Text"/>
    <w:basedOn w:val="Normal"/>
    <w:link w:val="PlainTextChar"/>
    <w:uiPriority w:val="99"/>
    <w:unhideWhenUsed/>
    <w:rsid w:val="005B7C27"/>
    <w:pPr>
      <w:spacing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B7C27"/>
    <w:rPr>
      <w:rFonts w:ascii="Calibri" w:hAnsi="Calibri"/>
      <w:szCs w:val="21"/>
    </w:rPr>
  </w:style>
  <w:style w:type="character" w:styleId="CommentReference">
    <w:name w:val="annotation reference"/>
    <w:basedOn w:val="DefaultParagraphFont"/>
    <w:uiPriority w:val="99"/>
    <w:semiHidden/>
    <w:unhideWhenUsed/>
    <w:rsid w:val="007F2ABC"/>
    <w:rPr>
      <w:sz w:val="16"/>
      <w:szCs w:val="16"/>
    </w:rPr>
  </w:style>
  <w:style w:type="paragraph" w:styleId="CommentText">
    <w:name w:val="annotation text"/>
    <w:basedOn w:val="Normal"/>
    <w:link w:val="CommentTextChar"/>
    <w:uiPriority w:val="99"/>
    <w:semiHidden/>
    <w:unhideWhenUsed/>
    <w:rsid w:val="007F2ABC"/>
    <w:pPr>
      <w:spacing w:line="240" w:lineRule="auto"/>
    </w:pPr>
    <w:rPr>
      <w:sz w:val="20"/>
    </w:rPr>
  </w:style>
  <w:style w:type="character" w:customStyle="1" w:styleId="CommentTextChar">
    <w:name w:val="Comment Text Char"/>
    <w:basedOn w:val="DefaultParagraphFont"/>
    <w:link w:val="CommentText"/>
    <w:uiPriority w:val="99"/>
    <w:semiHidden/>
    <w:rsid w:val="007F2ABC"/>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7F2ABC"/>
    <w:rPr>
      <w:b/>
      <w:bCs/>
    </w:rPr>
  </w:style>
  <w:style w:type="character" w:customStyle="1" w:styleId="CommentSubjectChar">
    <w:name w:val="Comment Subject Char"/>
    <w:basedOn w:val="CommentTextChar"/>
    <w:link w:val="CommentSubject"/>
    <w:uiPriority w:val="99"/>
    <w:semiHidden/>
    <w:rsid w:val="007F2ABC"/>
    <w:rPr>
      <w:rFonts w:ascii="CG Times" w:eastAsia="Times New Roman" w:hAnsi="CG Times" w:cs="Times New Roman"/>
      <w:b/>
      <w:bCs/>
      <w:sz w:val="20"/>
      <w:szCs w:val="20"/>
    </w:rPr>
  </w:style>
  <w:style w:type="paragraph" w:styleId="ListBullet">
    <w:name w:val="List Bullet"/>
    <w:basedOn w:val="Normal"/>
    <w:uiPriority w:val="99"/>
    <w:unhideWhenUsed/>
    <w:rsid w:val="00600905"/>
    <w:pPr>
      <w:numPr>
        <w:numId w:val="20"/>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E29"/>
    <w:pPr>
      <w:spacing w:after="0" w:line="360" w:lineRule="auto"/>
    </w:pPr>
    <w:rPr>
      <w:rFonts w:ascii="CG Times" w:eastAsia="Times New Roman" w:hAnsi="CG Times" w:cs="Times New Roman"/>
      <w:sz w:val="24"/>
      <w:szCs w:val="20"/>
    </w:rPr>
  </w:style>
  <w:style w:type="paragraph" w:styleId="Heading1">
    <w:name w:val="heading 1"/>
    <w:basedOn w:val="ListParagraph"/>
    <w:next w:val="Normal"/>
    <w:link w:val="Heading1Char"/>
    <w:uiPriority w:val="9"/>
    <w:qFormat/>
    <w:rsid w:val="00162E29"/>
    <w:pPr>
      <w:numPr>
        <w:numId w:val="1"/>
      </w:numPr>
      <w:ind w:left="0" w:firstLine="0"/>
      <w:contextualSpacing w:val="0"/>
      <w:jc w:val="center"/>
      <w:outlineLvl w:val="0"/>
    </w:pPr>
    <w:rPr>
      <w:rFonts w:ascii="Times New Roman" w:hAnsi="Times New Roman"/>
      <w:b/>
      <w:sz w:val="26"/>
      <w:szCs w:val="26"/>
    </w:rPr>
  </w:style>
  <w:style w:type="paragraph" w:styleId="Heading2">
    <w:name w:val="heading 2"/>
    <w:basedOn w:val="Normal"/>
    <w:next w:val="Normal"/>
    <w:link w:val="Heading2Char"/>
    <w:uiPriority w:val="9"/>
    <w:unhideWhenUsed/>
    <w:qFormat/>
    <w:rsid w:val="00F6104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E29"/>
    <w:rPr>
      <w:rFonts w:ascii="Times New Roman" w:eastAsia="Times New Roman" w:hAnsi="Times New Roman" w:cs="Times New Roman"/>
      <w:b/>
      <w:sz w:val="26"/>
      <w:szCs w:val="26"/>
    </w:rPr>
  </w:style>
  <w:style w:type="paragraph" w:styleId="Subtitle">
    <w:name w:val="Subtitle"/>
    <w:basedOn w:val="Normal"/>
    <w:link w:val="SubtitleChar"/>
    <w:qFormat/>
    <w:rsid w:val="00162E29"/>
    <w:pPr>
      <w:spacing w:line="240" w:lineRule="auto"/>
      <w:jc w:val="center"/>
    </w:pPr>
    <w:rPr>
      <w:b/>
    </w:rPr>
  </w:style>
  <w:style w:type="character" w:customStyle="1" w:styleId="SubtitleChar">
    <w:name w:val="Subtitle Char"/>
    <w:basedOn w:val="DefaultParagraphFont"/>
    <w:link w:val="Subtitle"/>
    <w:rsid w:val="00162E29"/>
    <w:rPr>
      <w:rFonts w:ascii="CG Times" w:eastAsia="Times New Roman" w:hAnsi="CG Times" w:cs="Times New Roman"/>
      <w:b/>
      <w:sz w:val="24"/>
      <w:szCs w:val="20"/>
    </w:rPr>
  </w:style>
  <w:style w:type="paragraph" w:styleId="BodyTextIndent">
    <w:name w:val="Body Text Indent"/>
    <w:basedOn w:val="Normal"/>
    <w:link w:val="BodyTextIndentChar"/>
    <w:uiPriority w:val="99"/>
    <w:semiHidden/>
    <w:unhideWhenUsed/>
    <w:rsid w:val="00162E29"/>
    <w:pPr>
      <w:spacing w:after="120"/>
      <w:ind w:left="360"/>
    </w:pPr>
  </w:style>
  <w:style w:type="character" w:customStyle="1" w:styleId="BodyTextIndentChar">
    <w:name w:val="Body Text Indent Char"/>
    <w:basedOn w:val="DefaultParagraphFont"/>
    <w:link w:val="BodyTextIndent"/>
    <w:uiPriority w:val="99"/>
    <w:semiHidden/>
    <w:rsid w:val="00162E29"/>
    <w:rPr>
      <w:rFonts w:ascii="CG Times" w:eastAsia="Times New Roman" w:hAnsi="CG Times" w:cs="Times New Roman"/>
      <w:sz w:val="24"/>
      <w:szCs w:val="20"/>
    </w:rPr>
  </w:style>
  <w:style w:type="paragraph" w:styleId="ListParagraph">
    <w:name w:val="List Paragraph"/>
    <w:basedOn w:val="Normal"/>
    <w:uiPriority w:val="34"/>
    <w:qFormat/>
    <w:rsid w:val="00162E29"/>
    <w:pPr>
      <w:ind w:left="720"/>
      <w:contextualSpacing/>
    </w:pPr>
  </w:style>
  <w:style w:type="paragraph" w:customStyle="1" w:styleId="BodyFirst1SS">
    <w:name w:val="Body First 1 SS"/>
    <w:basedOn w:val="Normal"/>
    <w:uiPriority w:val="10"/>
    <w:qFormat/>
    <w:rsid w:val="009716DE"/>
    <w:pPr>
      <w:spacing w:line="480" w:lineRule="auto"/>
      <w:ind w:firstLine="720"/>
      <w:jc w:val="both"/>
    </w:pPr>
    <w:rPr>
      <w:rFonts w:ascii="Times New Roman" w:hAnsi="Times New Roman"/>
      <w:szCs w:val="24"/>
    </w:rPr>
  </w:style>
  <w:style w:type="paragraph" w:styleId="BodyText2">
    <w:name w:val="Body Text 2"/>
    <w:basedOn w:val="Normal"/>
    <w:link w:val="BodyText2Char"/>
    <w:uiPriority w:val="99"/>
    <w:unhideWhenUsed/>
    <w:rsid w:val="000769C7"/>
    <w:pPr>
      <w:spacing w:after="120" w:line="480" w:lineRule="auto"/>
    </w:pPr>
  </w:style>
  <w:style w:type="character" w:customStyle="1" w:styleId="BodyText2Char">
    <w:name w:val="Body Text 2 Char"/>
    <w:basedOn w:val="DefaultParagraphFont"/>
    <w:link w:val="BodyText2"/>
    <w:uiPriority w:val="99"/>
    <w:rsid w:val="000769C7"/>
    <w:rPr>
      <w:rFonts w:ascii="CG Times" w:eastAsia="Times New Roman" w:hAnsi="CG Times" w:cs="Times New Roman"/>
      <w:sz w:val="24"/>
      <w:szCs w:val="20"/>
    </w:rPr>
  </w:style>
  <w:style w:type="paragraph" w:styleId="BodyText3">
    <w:name w:val="Body Text 3"/>
    <w:basedOn w:val="Normal"/>
    <w:link w:val="BodyText3Char"/>
    <w:uiPriority w:val="99"/>
    <w:semiHidden/>
    <w:unhideWhenUsed/>
    <w:rsid w:val="000769C7"/>
    <w:pPr>
      <w:spacing w:after="120"/>
    </w:pPr>
    <w:rPr>
      <w:sz w:val="16"/>
      <w:szCs w:val="16"/>
    </w:rPr>
  </w:style>
  <w:style w:type="character" w:customStyle="1" w:styleId="BodyText3Char">
    <w:name w:val="Body Text 3 Char"/>
    <w:basedOn w:val="DefaultParagraphFont"/>
    <w:link w:val="BodyText3"/>
    <w:uiPriority w:val="99"/>
    <w:semiHidden/>
    <w:rsid w:val="000769C7"/>
    <w:rPr>
      <w:rFonts w:ascii="CG Times" w:eastAsia="Times New Roman" w:hAnsi="CG Times" w:cs="Times New Roman"/>
      <w:sz w:val="16"/>
      <w:szCs w:val="16"/>
    </w:rPr>
  </w:style>
  <w:style w:type="character" w:styleId="Hyperlink">
    <w:name w:val="Hyperlink"/>
    <w:basedOn w:val="DefaultParagraphFont"/>
    <w:rsid w:val="00DC3F93"/>
    <w:rPr>
      <w:color w:val="0000FF"/>
      <w:u w:val="single"/>
    </w:rPr>
  </w:style>
  <w:style w:type="character" w:customStyle="1" w:styleId="term1">
    <w:name w:val="term1"/>
    <w:basedOn w:val="DefaultParagraphFont"/>
    <w:rsid w:val="00DC3F93"/>
    <w:rPr>
      <w:b/>
      <w:bCs/>
    </w:rPr>
  </w:style>
  <w:style w:type="character" w:styleId="FootnoteReference">
    <w:name w:val="footnote reference"/>
    <w:aliases w:val="o,fr"/>
    <w:basedOn w:val="DefaultParagraphFont"/>
    <w:unhideWhenUsed/>
    <w:rsid w:val="00DC7C52"/>
    <w:rPr>
      <w:rFonts w:ascii="Times New Roman" w:hAnsi="Times New Roman"/>
      <w:vertAlign w:val="superscript"/>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autoRedefine/>
    <w:unhideWhenUsed/>
    <w:qFormat/>
    <w:rsid w:val="00521D8D"/>
    <w:pPr>
      <w:keepNext/>
      <w:keepLines/>
      <w:spacing w:line="240" w:lineRule="auto"/>
      <w:ind w:firstLine="720"/>
    </w:pPr>
    <w:rPr>
      <w:rFonts w:ascii="Times New Roman" w:hAnsi="Times New Roman"/>
      <w:sz w:val="26"/>
      <w:szCs w:val="26"/>
    </w:rPr>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21D8D"/>
    <w:rPr>
      <w:rFonts w:ascii="Times New Roman" w:eastAsia="Times New Roman" w:hAnsi="Times New Roman" w:cs="Times New Roman"/>
      <w:sz w:val="26"/>
      <w:szCs w:val="26"/>
    </w:rPr>
  </w:style>
  <w:style w:type="character" w:customStyle="1" w:styleId="Heading2Char">
    <w:name w:val="Heading 2 Char"/>
    <w:basedOn w:val="DefaultParagraphFont"/>
    <w:link w:val="Heading2"/>
    <w:uiPriority w:val="9"/>
    <w:rsid w:val="00F6104A"/>
    <w:rPr>
      <w:rFonts w:asciiTheme="majorHAnsi" w:eastAsiaTheme="majorEastAsia" w:hAnsiTheme="majorHAnsi" w:cstheme="majorBidi"/>
      <w:b/>
      <w:bCs/>
      <w:color w:val="4F81BD" w:themeColor="accent1"/>
      <w:sz w:val="26"/>
      <w:szCs w:val="26"/>
    </w:rPr>
  </w:style>
  <w:style w:type="paragraph" w:customStyle="1" w:styleId="Bullet1">
    <w:name w:val="Bullet 1"/>
    <w:basedOn w:val="Normal"/>
    <w:link w:val="Bullet1Char"/>
    <w:uiPriority w:val="17"/>
    <w:qFormat/>
    <w:rsid w:val="006645CA"/>
    <w:pPr>
      <w:numPr>
        <w:numId w:val="5"/>
      </w:numPr>
      <w:spacing w:after="240" w:line="240" w:lineRule="auto"/>
      <w:jc w:val="both"/>
      <w:outlineLvl w:val="0"/>
    </w:pPr>
    <w:rPr>
      <w:rFonts w:ascii="Times New Roman" w:hAnsi="Times New Roman" w:cstheme="minorBidi"/>
    </w:rPr>
  </w:style>
  <w:style w:type="character" w:customStyle="1" w:styleId="Bullet1Char">
    <w:name w:val="Bullet 1 Char"/>
    <w:link w:val="Bullet1"/>
    <w:uiPriority w:val="17"/>
    <w:rsid w:val="006645CA"/>
    <w:rPr>
      <w:rFonts w:ascii="Times New Roman" w:eastAsia="Times New Roman" w:hAnsi="Times New Roman"/>
      <w:sz w:val="24"/>
      <w:szCs w:val="20"/>
    </w:rPr>
  </w:style>
  <w:style w:type="paragraph" w:customStyle="1" w:styleId="Bullet2">
    <w:name w:val="Bullet 2"/>
    <w:basedOn w:val="Bullet1"/>
    <w:uiPriority w:val="17"/>
    <w:qFormat/>
    <w:rsid w:val="006645CA"/>
    <w:pPr>
      <w:numPr>
        <w:ilvl w:val="1"/>
      </w:numPr>
      <w:tabs>
        <w:tab w:val="clear" w:pos="2160"/>
        <w:tab w:val="num" w:pos="360"/>
      </w:tabs>
      <w:outlineLvl w:val="1"/>
    </w:pPr>
  </w:style>
  <w:style w:type="paragraph" w:customStyle="1" w:styleId="Bullet3">
    <w:name w:val="Bullet 3"/>
    <w:basedOn w:val="Bullet2"/>
    <w:uiPriority w:val="17"/>
    <w:qFormat/>
    <w:rsid w:val="006645CA"/>
    <w:pPr>
      <w:numPr>
        <w:ilvl w:val="2"/>
      </w:numPr>
      <w:tabs>
        <w:tab w:val="clear" w:pos="2880"/>
        <w:tab w:val="num" w:pos="360"/>
      </w:tabs>
      <w:outlineLvl w:val="2"/>
    </w:pPr>
  </w:style>
  <w:style w:type="paragraph" w:customStyle="1" w:styleId="Bullet4">
    <w:name w:val="Bullet 4"/>
    <w:basedOn w:val="Bullet3"/>
    <w:uiPriority w:val="17"/>
    <w:semiHidden/>
    <w:rsid w:val="006645CA"/>
    <w:pPr>
      <w:numPr>
        <w:ilvl w:val="3"/>
      </w:numPr>
      <w:tabs>
        <w:tab w:val="clear" w:pos="3600"/>
        <w:tab w:val="num" w:pos="360"/>
      </w:tabs>
      <w:outlineLvl w:val="3"/>
    </w:pPr>
  </w:style>
  <w:style w:type="paragraph" w:customStyle="1" w:styleId="Bullet5">
    <w:name w:val="Bullet 5"/>
    <w:basedOn w:val="Bullet4"/>
    <w:uiPriority w:val="17"/>
    <w:semiHidden/>
    <w:rsid w:val="006645CA"/>
    <w:pPr>
      <w:numPr>
        <w:ilvl w:val="4"/>
      </w:numPr>
      <w:tabs>
        <w:tab w:val="clear" w:pos="4320"/>
        <w:tab w:val="num" w:pos="360"/>
      </w:tabs>
      <w:outlineLvl w:val="4"/>
    </w:pPr>
  </w:style>
  <w:style w:type="character" w:styleId="Emphasis">
    <w:name w:val="Emphasis"/>
    <w:basedOn w:val="DefaultParagraphFont"/>
    <w:qFormat/>
    <w:rsid w:val="00177971"/>
    <w:rPr>
      <w:i/>
      <w:iCs/>
    </w:rPr>
  </w:style>
  <w:style w:type="paragraph" w:styleId="Header">
    <w:name w:val="header"/>
    <w:basedOn w:val="Normal"/>
    <w:link w:val="HeaderChar"/>
    <w:uiPriority w:val="99"/>
    <w:unhideWhenUsed/>
    <w:rsid w:val="001528F2"/>
    <w:pPr>
      <w:tabs>
        <w:tab w:val="center" w:pos="4680"/>
        <w:tab w:val="right" w:pos="9360"/>
      </w:tabs>
      <w:spacing w:line="240" w:lineRule="auto"/>
    </w:pPr>
  </w:style>
  <w:style w:type="character" w:customStyle="1" w:styleId="HeaderChar">
    <w:name w:val="Header Char"/>
    <w:basedOn w:val="DefaultParagraphFont"/>
    <w:link w:val="Header"/>
    <w:uiPriority w:val="99"/>
    <w:rsid w:val="001528F2"/>
    <w:rPr>
      <w:rFonts w:ascii="CG Times" w:eastAsia="Times New Roman" w:hAnsi="CG Times" w:cs="Times New Roman"/>
      <w:sz w:val="24"/>
      <w:szCs w:val="20"/>
    </w:rPr>
  </w:style>
  <w:style w:type="paragraph" w:styleId="Footer">
    <w:name w:val="footer"/>
    <w:basedOn w:val="Normal"/>
    <w:link w:val="FooterChar"/>
    <w:uiPriority w:val="99"/>
    <w:unhideWhenUsed/>
    <w:rsid w:val="001528F2"/>
    <w:pPr>
      <w:tabs>
        <w:tab w:val="center" w:pos="4680"/>
        <w:tab w:val="right" w:pos="9360"/>
      </w:tabs>
      <w:spacing w:line="240" w:lineRule="auto"/>
    </w:pPr>
  </w:style>
  <w:style w:type="character" w:customStyle="1" w:styleId="FooterChar">
    <w:name w:val="Footer Char"/>
    <w:basedOn w:val="DefaultParagraphFont"/>
    <w:link w:val="Footer"/>
    <w:uiPriority w:val="99"/>
    <w:rsid w:val="001528F2"/>
    <w:rPr>
      <w:rFonts w:ascii="CG Times" w:eastAsia="Times New Roman" w:hAnsi="CG Times" w:cs="Times New Roman"/>
      <w:sz w:val="24"/>
      <w:szCs w:val="20"/>
    </w:rPr>
  </w:style>
  <w:style w:type="paragraph" w:styleId="BalloonText">
    <w:name w:val="Balloon Text"/>
    <w:basedOn w:val="Normal"/>
    <w:link w:val="BalloonTextChar"/>
    <w:uiPriority w:val="99"/>
    <w:semiHidden/>
    <w:unhideWhenUsed/>
    <w:rsid w:val="00624A8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A87"/>
    <w:rPr>
      <w:rFonts w:ascii="Tahoma" w:eastAsia="Times New Roman" w:hAnsi="Tahoma" w:cs="Tahoma"/>
      <w:sz w:val="16"/>
      <w:szCs w:val="16"/>
    </w:rPr>
  </w:style>
  <w:style w:type="paragraph" w:styleId="PlainText">
    <w:name w:val="Plain Text"/>
    <w:basedOn w:val="Normal"/>
    <w:link w:val="PlainTextChar"/>
    <w:uiPriority w:val="99"/>
    <w:unhideWhenUsed/>
    <w:rsid w:val="005B7C27"/>
    <w:pPr>
      <w:spacing w:line="240" w:lineRule="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B7C27"/>
    <w:rPr>
      <w:rFonts w:ascii="Calibri" w:hAnsi="Calibri"/>
      <w:szCs w:val="21"/>
    </w:rPr>
  </w:style>
  <w:style w:type="character" w:styleId="CommentReference">
    <w:name w:val="annotation reference"/>
    <w:basedOn w:val="DefaultParagraphFont"/>
    <w:uiPriority w:val="99"/>
    <w:semiHidden/>
    <w:unhideWhenUsed/>
    <w:rsid w:val="007F2ABC"/>
    <w:rPr>
      <w:sz w:val="16"/>
      <w:szCs w:val="16"/>
    </w:rPr>
  </w:style>
  <w:style w:type="paragraph" w:styleId="CommentText">
    <w:name w:val="annotation text"/>
    <w:basedOn w:val="Normal"/>
    <w:link w:val="CommentTextChar"/>
    <w:uiPriority w:val="99"/>
    <w:semiHidden/>
    <w:unhideWhenUsed/>
    <w:rsid w:val="007F2ABC"/>
    <w:pPr>
      <w:spacing w:line="240" w:lineRule="auto"/>
    </w:pPr>
    <w:rPr>
      <w:sz w:val="20"/>
    </w:rPr>
  </w:style>
  <w:style w:type="character" w:customStyle="1" w:styleId="CommentTextChar">
    <w:name w:val="Comment Text Char"/>
    <w:basedOn w:val="DefaultParagraphFont"/>
    <w:link w:val="CommentText"/>
    <w:uiPriority w:val="99"/>
    <w:semiHidden/>
    <w:rsid w:val="007F2ABC"/>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7F2ABC"/>
    <w:rPr>
      <w:b/>
      <w:bCs/>
    </w:rPr>
  </w:style>
  <w:style w:type="character" w:customStyle="1" w:styleId="CommentSubjectChar">
    <w:name w:val="Comment Subject Char"/>
    <w:basedOn w:val="CommentTextChar"/>
    <w:link w:val="CommentSubject"/>
    <w:uiPriority w:val="99"/>
    <w:semiHidden/>
    <w:rsid w:val="007F2ABC"/>
    <w:rPr>
      <w:rFonts w:ascii="CG Times" w:eastAsia="Times New Roman" w:hAnsi="CG Times" w:cs="Times New Roman"/>
      <w:b/>
      <w:bCs/>
      <w:sz w:val="20"/>
      <w:szCs w:val="20"/>
    </w:rPr>
  </w:style>
  <w:style w:type="paragraph" w:styleId="ListBullet">
    <w:name w:val="List Bullet"/>
    <w:basedOn w:val="Normal"/>
    <w:uiPriority w:val="99"/>
    <w:unhideWhenUsed/>
    <w:rsid w:val="00600905"/>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810150">
      <w:bodyDiv w:val="1"/>
      <w:marLeft w:val="0"/>
      <w:marRight w:val="0"/>
      <w:marTop w:val="0"/>
      <w:marBottom w:val="0"/>
      <w:divBdr>
        <w:top w:val="none" w:sz="0" w:space="0" w:color="auto"/>
        <w:left w:val="none" w:sz="0" w:space="0" w:color="auto"/>
        <w:bottom w:val="none" w:sz="0" w:space="0" w:color="auto"/>
        <w:right w:val="none" w:sz="0" w:space="0" w:color="auto"/>
      </w:divBdr>
    </w:div>
    <w:div w:id="163328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6F656-6FD0-4E0F-BE76-822B6E2AE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18531</Words>
  <Characters>105631</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2016-01-21T15:56:00Z</dcterms:created>
  <dcterms:modified xsi:type="dcterms:W3CDTF">2016-01-28T13:18:00Z</dcterms:modified>
</cp:coreProperties>
</file>