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70" w:rsidRPr="002C61BD" w:rsidRDefault="007E0B70" w:rsidP="007E0B70">
      <w:pPr>
        <w:pStyle w:val="Heading8"/>
        <w:ind w:left="270"/>
        <w:jc w:val="center"/>
        <w:rPr>
          <w:rFonts w:ascii="Arial" w:hAnsi="Arial" w:cs="Arial"/>
          <w:sz w:val="32"/>
          <w:szCs w:val="32"/>
        </w:rPr>
      </w:pPr>
    </w:p>
    <w:p w:rsidR="00C26FE9" w:rsidRPr="002C61BD" w:rsidRDefault="00C26FE9" w:rsidP="007E0B70">
      <w:pPr>
        <w:pStyle w:val="Title"/>
        <w:rPr>
          <w:rFonts w:ascii="Arial" w:hAnsi="Arial" w:cs="Arial"/>
          <w:sz w:val="36"/>
          <w:szCs w:val="36"/>
          <w:u w:val="none"/>
        </w:rPr>
      </w:pPr>
    </w:p>
    <w:p w:rsidR="00C26FE9" w:rsidRPr="002C61BD" w:rsidRDefault="00C26FE9"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DF71F5" w:rsidRPr="002C61BD" w:rsidRDefault="00DF71F5" w:rsidP="007E0B70">
      <w:pPr>
        <w:pStyle w:val="Title"/>
        <w:rPr>
          <w:rFonts w:ascii="Arial" w:hAnsi="Arial" w:cs="Arial"/>
          <w:sz w:val="36"/>
          <w:szCs w:val="36"/>
          <w:u w:val="none"/>
        </w:rPr>
      </w:pPr>
    </w:p>
    <w:p w:rsidR="00C26FE9" w:rsidRPr="002C61BD" w:rsidRDefault="00C26FE9" w:rsidP="007E0B70">
      <w:pPr>
        <w:pStyle w:val="Title"/>
        <w:rPr>
          <w:rFonts w:ascii="Arial" w:hAnsi="Arial" w:cs="Arial"/>
          <w:sz w:val="36"/>
          <w:szCs w:val="36"/>
          <w:u w:val="none"/>
        </w:rPr>
      </w:pPr>
    </w:p>
    <w:p w:rsidR="00AB0E93" w:rsidRDefault="00AB0E93" w:rsidP="00015B05">
      <w:pPr>
        <w:pStyle w:val="Heading1"/>
        <w:rPr>
          <w:rFonts w:ascii="Arial" w:hAnsi="Arial" w:cs="Arial"/>
          <w:sz w:val="36"/>
          <w:szCs w:val="36"/>
          <w:u w:val="none"/>
        </w:rPr>
      </w:pPr>
    </w:p>
    <w:p w:rsidR="00AB0E93" w:rsidRDefault="00AB0E93" w:rsidP="00015B05">
      <w:pPr>
        <w:pStyle w:val="Heading1"/>
        <w:rPr>
          <w:rFonts w:ascii="Arial" w:hAnsi="Arial" w:cs="Arial"/>
          <w:sz w:val="36"/>
          <w:szCs w:val="36"/>
          <w:u w:val="none"/>
        </w:rPr>
      </w:pPr>
    </w:p>
    <w:p w:rsidR="00015B05" w:rsidRDefault="00015B05" w:rsidP="00015B05">
      <w:pPr>
        <w:pStyle w:val="Heading1"/>
        <w:rPr>
          <w:rFonts w:ascii="Arial" w:hAnsi="Arial" w:cs="Arial"/>
          <w:sz w:val="36"/>
          <w:szCs w:val="36"/>
          <w:u w:val="none"/>
        </w:rPr>
      </w:pPr>
      <w:r w:rsidRPr="00015B05">
        <w:rPr>
          <w:rFonts w:ascii="Arial" w:hAnsi="Arial" w:cs="Arial"/>
          <w:sz w:val="36"/>
          <w:szCs w:val="36"/>
          <w:u w:val="none"/>
        </w:rPr>
        <w:t>PECO ENERGY COMPANY</w:t>
      </w:r>
    </w:p>
    <w:p w:rsidR="00B0533C" w:rsidRPr="00B0533C" w:rsidRDefault="00B0533C" w:rsidP="00B0533C"/>
    <w:p w:rsidR="007E0B70" w:rsidRPr="002C61BD" w:rsidRDefault="007E0B70" w:rsidP="007E0B70">
      <w:pPr>
        <w:pStyle w:val="Heading8"/>
        <w:jc w:val="center"/>
        <w:rPr>
          <w:rFonts w:ascii="Arial" w:hAnsi="Arial" w:cs="Arial"/>
          <w:sz w:val="24"/>
          <w:szCs w:val="24"/>
        </w:rPr>
      </w:pPr>
    </w:p>
    <w:p w:rsidR="007E0B70" w:rsidRPr="002C61BD" w:rsidRDefault="007E0B70" w:rsidP="007E0B70">
      <w:pPr>
        <w:pStyle w:val="BodyText2"/>
        <w:rPr>
          <w:rFonts w:ascii="Arial" w:hAnsi="Arial" w:cs="Arial"/>
          <w:sz w:val="24"/>
          <w:szCs w:val="24"/>
        </w:rPr>
      </w:pPr>
    </w:p>
    <w:p w:rsidR="007E0B70" w:rsidRPr="002C61BD" w:rsidRDefault="007E0B70" w:rsidP="007E0B70">
      <w:pPr>
        <w:pStyle w:val="BodyText2"/>
        <w:rPr>
          <w:rFonts w:ascii="Arial" w:hAnsi="Arial" w:cs="Arial"/>
          <w:sz w:val="24"/>
          <w:szCs w:val="24"/>
        </w:rPr>
      </w:pPr>
    </w:p>
    <w:p w:rsidR="007E0B70" w:rsidRPr="002C61BD" w:rsidRDefault="007E0B70" w:rsidP="007E0B70">
      <w:pPr>
        <w:pStyle w:val="BodyText2"/>
        <w:rPr>
          <w:rFonts w:ascii="Arial" w:hAnsi="Arial" w:cs="Arial"/>
          <w:sz w:val="24"/>
          <w:szCs w:val="24"/>
        </w:rPr>
      </w:pPr>
    </w:p>
    <w:p w:rsidR="007E0B70" w:rsidRPr="002C61BD" w:rsidRDefault="007E0B70" w:rsidP="007E0B70">
      <w:pPr>
        <w:pStyle w:val="BodyText2"/>
        <w:rPr>
          <w:rFonts w:ascii="Arial" w:hAnsi="Arial" w:cs="Arial"/>
          <w:sz w:val="24"/>
          <w:szCs w:val="24"/>
        </w:rPr>
      </w:pPr>
    </w:p>
    <w:p w:rsidR="007E0B70" w:rsidRPr="002C61BD" w:rsidRDefault="007E0B70" w:rsidP="007E0B70">
      <w:pPr>
        <w:pStyle w:val="BodyText2"/>
        <w:rPr>
          <w:rFonts w:ascii="Arial" w:hAnsi="Arial" w:cs="Arial"/>
          <w:sz w:val="24"/>
          <w:szCs w:val="24"/>
        </w:rPr>
      </w:pPr>
    </w:p>
    <w:p w:rsidR="007E0B70" w:rsidRPr="002C61BD" w:rsidRDefault="007E0B70" w:rsidP="007E0B70">
      <w:pPr>
        <w:pStyle w:val="BodyText2"/>
        <w:tabs>
          <w:tab w:val="clear" w:pos="4680"/>
        </w:tabs>
        <w:rPr>
          <w:rFonts w:ascii="Arial" w:hAnsi="Arial" w:cs="Arial"/>
          <w:sz w:val="24"/>
          <w:szCs w:val="24"/>
        </w:rPr>
      </w:pPr>
    </w:p>
    <w:p w:rsidR="00C428B6" w:rsidRPr="002C61BD" w:rsidRDefault="00C428B6" w:rsidP="007E0B70">
      <w:pPr>
        <w:pStyle w:val="BodyText2"/>
        <w:tabs>
          <w:tab w:val="clear" w:pos="4680"/>
        </w:tabs>
        <w:rPr>
          <w:rFonts w:ascii="Arial" w:hAnsi="Arial" w:cs="Arial"/>
          <w:sz w:val="28"/>
          <w:szCs w:val="24"/>
        </w:rPr>
      </w:pPr>
    </w:p>
    <w:p w:rsidR="00AB0E93" w:rsidRDefault="007E0B70" w:rsidP="007E0B70">
      <w:pPr>
        <w:suppressAutoHyphens/>
        <w:jc w:val="center"/>
        <w:rPr>
          <w:rFonts w:ascii="Arial" w:hAnsi="Arial" w:cs="Arial"/>
          <w:b/>
          <w:sz w:val="28"/>
          <w:szCs w:val="28"/>
        </w:rPr>
      </w:pPr>
      <w:r w:rsidRPr="00F51E91">
        <w:rPr>
          <w:rFonts w:ascii="Arial" w:hAnsi="Arial" w:cs="Arial"/>
          <w:b/>
          <w:sz w:val="28"/>
          <w:szCs w:val="28"/>
        </w:rPr>
        <w:t>A REPORT ON</w:t>
      </w:r>
      <w:r w:rsidR="007E0A17" w:rsidRPr="00F51E91">
        <w:rPr>
          <w:rFonts w:ascii="Arial" w:hAnsi="Arial" w:cs="Arial"/>
          <w:b/>
          <w:sz w:val="28"/>
          <w:szCs w:val="28"/>
        </w:rPr>
        <w:t xml:space="preserve"> THE </w:t>
      </w:r>
      <w:r w:rsidR="00AB0E93">
        <w:rPr>
          <w:rFonts w:ascii="Arial" w:hAnsi="Arial" w:cs="Arial"/>
          <w:b/>
          <w:sz w:val="28"/>
          <w:szCs w:val="28"/>
        </w:rPr>
        <w:t xml:space="preserve">STATEMENTS OF </w:t>
      </w:r>
    </w:p>
    <w:p w:rsidR="00AB0E93" w:rsidRDefault="00AB0E93" w:rsidP="007E0B70">
      <w:pPr>
        <w:suppressAutoHyphens/>
        <w:jc w:val="center"/>
        <w:rPr>
          <w:rFonts w:ascii="Arial" w:hAnsi="Arial" w:cs="Arial"/>
          <w:b/>
          <w:sz w:val="28"/>
          <w:szCs w:val="28"/>
        </w:rPr>
      </w:pPr>
    </w:p>
    <w:p w:rsidR="007E0B70" w:rsidRPr="00546BB7" w:rsidRDefault="00FF03EC" w:rsidP="007E0B70">
      <w:pPr>
        <w:suppressAutoHyphens/>
        <w:jc w:val="center"/>
        <w:rPr>
          <w:rFonts w:ascii="Arial" w:hAnsi="Arial" w:cs="Arial"/>
          <w:b/>
          <w:sz w:val="28"/>
          <w:szCs w:val="28"/>
        </w:rPr>
      </w:pPr>
      <w:r>
        <w:rPr>
          <w:rFonts w:ascii="Arial" w:hAnsi="Arial" w:cs="Arial"/>
          <w:b/>
          <w:sz w:val="28"/>
          <w:szCs w:val="28"/>
        </w:rPr>
        <w:t>SMART METER COST RECOVERY SURCHARGE</w:t>
      </w:r>
    </w:p>
    <w:p w:rsidR="007E0B70" w:rsidRPr="00F51E91" w:rsidRDefault="007E0B70" w:rsidP="007E0B70">
      <w:pPr>
        <w:suppressAutoHyphens/>
        <w:jc w:val="center"/>
        <w:rPr>
          <w:rFonts w:ascii="Arial" w:hAnsi="Arial" w:cs="Arial"/>
          <w:sz w:val="28"/>
          <w:szCs w:val="28"/>
        </w:rPr>
      </w:pPr>
    </w:p>
    <w:p w:rsidR="00546BB7" w:rsidRDefault="007E0B70" w:rsidP="00D74869">
      <w:pPr>
        <w:suppressAutoHyphens/>
        <w:spacing w:line="480" w:lineRule="auto"/>
        <w:jc w:val="center"/>
        <w:rPr>
          <w:rFonts w:ascii="Arial" w:hAnsi="Arial" w:cs="Arial"/>
          <w:b/>
          <w:sz w:val="28"/>
          <w:szCs w:val="28"/>
        </w:rPr>
      </w:pPr>
      <w:r w:rsidRPr="00F51E91">
        <w:rPr>
          <w:rFonts w:ascii="Arial" w:hAnsi="Arial" w:cs="Arial"/>
          <w:b/>
          <w:sz w:val="28"/>
          <w:szCs w:val="28"/>
        </w:rPr>
        <w:t xml:space="preserve">FOR THE </w:t>
      </w:r>
      <w:r w:rsidR="008D5451" w:rsidRPr="00F51E91">
        <w:rPr>
          <w:rFonts w:ascii="Arial" w:hAnsi="Arial" w:cs="Arial"/>
          <w:b/>
          <w:sz w:val="28"/>
          <w:szCs w:val="28"/>
        </w:rPr>
        <w:t>TWELVE</w:t>
      </w:r>
      <w:r w:rsidR="007E0A17" w:rsidRPr="00F51E91">
        <w:rPr>
          <w:rFonts w:ascii="Arial" w:hAnsi="Arial" w:cs="Arial"/>
          <w:b/>
          <w:sz w:val="28"/>
          <w:szCs w:val="28"/>
        </w:rPr>
        <w:t xml:space="preserve"> MONTH</w:t>
      </w:r>
      <w:r w:rsidR="00AB24D8" w:rsidRPr="00F51E91">
        <w:rPr>
          <w:rFonts w:ascii="Arial" w:hAnsi="Arial" w:cs="Arial"/>
          <w:b/>
          <w:sz w:val="28"/>
          <w:szCs w:val="28"/>
        </w:rPr>
        <w:t xml:space="preserve"> PERIOD</w:t>
      </w:r>
      <w:r w:rsidR="008D5451" w:rsidRPr="00F51E91">
        <w:rPr>
          <w:rFonts w:ascii="Arial" w:hAnsi="Arial" w:cs="Arial"/>
          <w:b/>
          <w:sz w:val="28"/>
          <w:szCs w:val="28"/>
        </w:rPr>
        <w:t>S</w:t>
      </w:r>
      <w:r w:rsidR="007E0A17" w:rsidRPr="00F51E91">
        <w:rPr>
          <w:rFonts w:ascii="Arial" w:hAnsi="Arial" w:cs="Arial"/>
          <w:b/>
          <w:sz w:val="28"/>
          <w:szCs w:val="28"/>
        </w:rPr>
        <w:t xml:space="preserve"> ENDED </w:t>
      </w:r>
    </w:p>
    <w:p w:rsidR="00994429" w:rsidRDefault="00FF03EC" w:rsidP="00546BB7">
      <w:pPr>
        <w:suppressAutoHyphens/>
        <w:spacing w:line="480" w:lineRule="auto"/>
        <w:jc w:val="center"/>
        <w:rPr>
          <w:rFonts w:ascii="Arial" w:hAnsi="Arial" w:cs="Arial"/>
          <w:b/>
          <w:sz w:val="28"/>
          <w:szCs w:val="28"/>
        </w:rPr>
      </w:pPr>
      <w:r>
        <w:rPr>
          <w:rFonts w:ascii="Arial" w:hAnsi="Arial" w:cs="Arial"/>
          <w:b/>
          <w:sz w:val="28"/>
          <w:szCs w:val="28"/>
        </w:rPr>
        <w:t>JUNE</w:t>
      </w:r>
      <w:r w:rsidR="004D2644" w:rsidRPr="00F51E91">
        <w:rPr>
          <w:rFonts w:ascii="Arial" w:hAnsi="Arial" w:cs="Arial"/>
          <w:b/>
          <w:sz w:val="28"/>
          <w:szCs w:val="28"/>
        </w:rPr>
        <w:t xml:space="preserve"> 3</w:t>
      </w:r>
      <w:r>
        <w:rPr>
          <w:rFonts w:ascii="Arial" w:hAnsi="Arial" w:cs="Arial"/>
          <w:b/>
          <w:sz w:val="28"/>
          <w:szCs w:val="28"/>
        </w:rPr>
        <w:t>0</w:t>
      </w:r>
      <w:r w:rsidR="007E0A17" w:rsidRPr="00F51E91">
        <w:rPr>
          <w:rFonts w:ascii="Arial" w:hAnsi="Arial" w:cs="Arial"/>
          <w:b/>
          <w:sz w:val="28"/>
          <w:szCs w:val="28"/>
        </w:rPr>
        <w:t>, 201</w:t>
      </w:r>
      <w:r>
        <w:rPr>
          <w:rFonts w:ascii="Arial" w:hAnsi="Arial" w:cs="Arial"/>
          <w:b/>
          <w:sz w:val="28"/>
          <w:szCs w:val="28"/>
        </w:rPr>
        <w:t>3</w:t>
      </w:r>
      <w:r w:rsidR="008D5451" w:rsidRPr="00F51E91">
        <w:rPr>
          <w:rFonts w:ascii="Arial" w:hAnsi="Arial" w:cs="Arial"/>
          <w:b/>
          <w:sz w:val="28"/>
          <w:szCs w:val="28"/>
        </w:rPr>
        <w:t xml:space="preserve">, </w:t>
      </w:r>
      <w:r w:rsidR="00994429">
        <w:rPr>
          <w:rFonts w:ascii="Arial" w:hAnsi="Arial" w:cs="Arial"/>
          <w:b/>
          <w:sz w:val="28"/>
          <w:szCs w:val="28"/>
        </w:rPr>
        <w:t xml:space="preserve">JUNE 30, </w:t>
      </w:r>
      <w:r w:rsidR="008D5451" w:rsidRPr="00F51E91">
        <w:rPr>
          <w:rFonts w:ascii="Arial" w:hAnsi="Arial" w:cs="Arial"/>
          <w:b/>
          <w:sz w:val="28"/>
          <w:szCs w:val="28"/>
        </w:rPr>
        <w:t>201</w:t>
      </w:r>
      <w:r>
        <w:rPr>
          <w:rFonts w:ascii="Arial" w:hAnsi="Arial" w:cs="Arial"/>
          <w:b/>
          <w:sz w:val="28"/>
          <w:szCs w:val="28"/>
        </w:rPr>
        <w:t>2</w:t>
      </w:r>
      <w:r w:rsidR="008D5451" w:rsidRPr="00F51E91">
        <w:rPr>
          <w:rFonts w:ascii="Arial" w:hAnsi="Arial" w:cs="Arial"/>
          <w:b/>
          <w:sz w:val="28"/>
          <w:szCs w:val="28"/>
        </w:rPr>
        <w:t>,</w:t>
      </w:r>
      <w:r w:rsidR="00B0533C">
        <w:rPr>
          <w:rFonts w:ascii="Arial" w:hAnsi="Arial" w:cs="Arial"/>
          <w:b/>
          <w:sz w:val="28"/>
          <w:szCs w:val="28"/>
        </w:rPr>
        <w:t xml:space="preserve"> </w:t>
      </w:r>
    </w:p>
    <w:p w:rsidR="00075206" w:rsidRDefault="008D5451" w:rsidP="00994429">
      <w:pPr>
        <w:suppressAutoHyphens/>
        <w:spacing w:line="480" w:lineRule="auto"/>
        <w:jc w:val="center"/>
        <w:rPr>
          <w:rFonts w:ascii="Arial" w:hAnsi="Arial" w:cs="Arial"/>
          <w:b/>
          <w:sz w:val="28"/>
          <w:szCs w:val="28"/>
        </w:rPr>
      </w:pPr>
      <w:r w:rsidRPr="00F51E91">
        <w:rPr>
          <w:rFonts w:ascii="Arial" w:hAnsi="Arial" w:cs="Arial"/>
          <w:b/>
          <w:sz w:val="28"/>
          <w:szCs w:val="28"/>
        </w:rPr>
        <w:t xml:space="preserve">AND </w:t>
      </w:r>
      <w:r w:rsidR="00994429">
        <w:rPr>
          <w:rFonts w:ascii="Arial" w:hAnsi="Arial" w:cs="Arial"/>
          <w:b/>
          <w:sz w:val="28"/>
          <w:szCs w:val="28"/>
        </w:rPr>
        <w:t xml:space="preserve">JUNE 30, </w:t>
      </w:r>
      <w:r w:rsidRPr="00F51E91">
        <w:rPr>
          <w:rFonts w:ascii="Arial" w:hAnsi="Arial" w:cs="Arial"/>
          <w:b/>
          <w:sz w:val="28"/>
          <w:szCs w:val="28"/>
        </w:rPr>
        <w:t>2011</w:t>
      </w:r>
    </w:p>
    <w:p w:rsidR="00075206" w:rsidRPr="002C61BD" w:rsidRDefault="00075206" w:rsidP="007E0B70">
      <w:pPr>
        <w:tabs>
          <w:tab w:val="center" w:pos="4680"/>
        </w:tabs>
        <w:suppressAutoHyphens/>
        <w:jc w:val="center"/>
        <w:rPr>
          <w:rFonts w:ascii="Arial" w:hAnsi="Arial" w:cs="Arial"/>
          <w:b/>
          <w:sz w:val="28"/>
          <w:szCs w:val="28"/>
        </w:rPr>
      </w:pPr>
    </w:p>
    <w:p w:rsidR="00C26FE9" w:rsidRPr="002C61BD" w:rsidRDefault="00C26FE9" w:rsidP="007E0B70">
      <w:pPr>
        <w:tabs>
          <w:tab w:val="center" w:pos="4680"/>
        </w:tabs>
        <w:suppressAutoHyphens/>
        <w:jc w:val="center"/>
        <w:rPr>
          <w:rFonts w:ascii="Arial" w:hAnsi="Arial" w:cs="Arial"/>
          <w:b/>
          <w:sz w:val="28"/>
          <w:szCs w:val="28"/>
        </w:rPr>
      </w:pPr>
    </w:p>
    <w:p w:rsidR="00C26FE9" w:rsidRPr="002C61BD" w:rsidRDefault="00C26FE9" w:rsidP="007E0B70">
      <w:pPr>
        <w:tabs>
          <w:tab w:val="center" w:pos="4680"/>
        </w:tabs>
        <w:suppressAutoHyphens/>
        <w:jc w:val="center"/>
        <w:rPr>
          <w:rFonts w:ascii="Arial" w:hAnsi="Arial" w:cs="Arial"/>
          <w:b/>
          <w:sz w:val="28"/>
          <w:szCs w:val="28"/>
        </w:rPr>
      </w:pPr>
    </w:p>
    <w:p w:rsidR="007E0B70" w:rsidRPr="002C61BD" w:rsidRDefault="007E0B70" w:rsidP="007E0B70">
      <w:pPr>
        <w:tabs>
          <w:tab w:val="center" w:pos="4680"/>
        </w:tabs>
        <w:suppressAutoHyphens/>
        <w:jc w:val="center"/>
        <w:rPr>
          <w:rFonts w:ascii="Arial" w:hAnsi="Arial" w:cs="Arial"/>
          <w:b/>
          <w:sz w:val="28"/>
          <w:szCs w:val="28"/>
        </w:rPr>
      </w:pPr>
    </w:p>
    <w:p w:rsidR="007E0B70" w:rsidRDefault="007E0B70" w:rsidP="007E0B70">
      <w:pPr>
        <w:tabs>
          <w:tab w:val="center" w:pos="4680"/>
        </w:tabs>
        <w:suppressAutoHyphens/>
        <w:jc w:val="center"/>
        <w:rPr>
          <w:rFonts w:ascii="Arial" w:hAnsi="Arial" w:cs="Arial"/>
          <w:b/>
          <w:sz w:val="28"/>
          <w:szCs w:val="28"/>
        </w:rPr>
      </w:pPr>
    </w:p>
    <w:p w:rsidR="00C428B6" w:rsidRPr="002C61BD" w:rsidRDefault="00C428B6" w:rsidP="007E0B70">
      <w:pPr>
        <w:tabs>
          <w:tab w:val="center" w:pos="4680"/>
        </w:tabs>
        <w:suppressAutoHyphens/>
        <w:jc w:val="center"/>
        <w:rPr>
          <w:rFonts w:ascii="Arial" w:hAnsi="Arial" w:cs="Arial"/>
          <w:b/>
          <w:sz w:val="28"/>
          <w:szCs w:val="28"/>
        </w:rPr>
      </w:pPr>
    </w:p>
    <w:p w:rsidR="007E0B70" w:rsidRPr="002C61BD" w:rsidRDefault="007E0B70" w:rsidP="007E0B70">
      <w:pPr>
        <w:tabs>
          <w:tab w:val="center" w:pos="4680"/>
        </w:tabs>
        <w:suppressAutoHyphens/>
        <w:jc w:val="center"/>
        <w:outlineLvl w:val="0"/>
        <w:rPr>
          <w:rFonts w:ascii="Arial" w:hAnsi="Arial" w:cs="Arial"/>
          <w:b/>
          <w:sz w:val="28"/>
          <w:szCs w:val="28"/>
        </w:rPr>
      </w:pPr>
      <w:r w:rsidRPr="002C61BD">
        <w:rPr>
          <w:rFonts w:ascii="Arial" w:hAnsi="Arial" w:cs="Arial"/>
          <w:b/>
          <w:sz w:val="28"/>
          <w:szCs w:val="28"/>
        </w:rPr>
        <w:t>Prepared By The</w:t>
      </w:r>
    </w:p>
    <w:p w:rsidR="007E0B70" w:rsidRPr="002C61BD" w:rsidRDefault="007E0B70" w:rsidP="007E0B70">
      <w:pPr>
        <w:tabs>
          <w:tab w:val="center" w:pos="4680"/>
        </w:tabs>
        <w:suppressAutoHyphens/>
        <w:jc w:val="center"/>
        <w:outlineLvl w:val="0"/>
        <w:rPr>
          <w:rFonts w:ascii="Arial" w:hAnsi="Arial" w:cs="Arial"/>
          <w:b/>
          <w:sz w:val="28"/>
          <w:szCs w:val="28"/>
        </w:rPr>
      </w:pPr>
      <w:r w:rsidRPr="002C61BD">
        <w:rPr>
          <w:rFonts w:ascii="Arial" w:hAnsi="Arial" w:cs="Arial"/>
          <w:b/>
          <w:sz w:val="28"/>
          <w:szCs w:val="28"/>
        </w:rPr>
        <w:t>Pennsylvania Public Utility Commission</w:t>
      </w:r>
    </w:p>
    <w:p w:rsidR="007E0B70" w:rsidRPr="002C61BD" w:rsidRDefault="007E0B70" w:rsidP="007E0B70">
      <w:pPr>
        <w:tabs>
          <w:tab w:val="center" w:pos="4680"/>
        </w:tabs>
        <w:suppressAutoHyphens/>
        <w:rPr>
          <w:rFonts w:ascii="Arial" w:hAnsi="Arial" w:cs="Arial"/>
          <w:b/>
          <w:sz w:val="28"/>
          <w:szCs w:val="28"/>
        </w:rPr>
      </w:pPr>
      <w:r w:rsidRPr="002C61BD">
        <w:rPr>
          <w:rFonts w:ascii="Arial" w:hAnsi="Arial" w:cs="Arial"/>
          <w:b/>
          <w:sz w:val="28"/>
          <w:szCs w:val="28"/>
        </w:rPr>
        <w:tab/>
        <w:t>Bureau Of Audits</w:t>
      </w:r>
    </w:p>
    <w:p w:rsidR="007E0B70" w:rsidRDefault="007E0B70" w:rsidP="007E0B70">
      <w:pPr>
        <w:tabs>
          <w:tab w:val="center" w:pos="4680"/>
        </w:tabs>
        <w:suppressAutoHyphens/>
        <w:rPr>
          <w:rFonts w:ascii="Arial" w:hAnsi="Arial" w:cs="Arial"/>
          <w:b/>
          <w:sz w:val="28"/>
          <w:szCs w:val="28"/>
        </w:rPr>
      </w:pPr>
      <w:r w:rsidRPr="002C61BD">
        <w:rPr>
          <w:rFonts w:ascii="Arial" w:hAnsi="Arial" w:cs="Arial"/>
          <w:b/>
          <w:sz w:val="28"/>
          <w:szCs w:val="28"/>
        </w:rPr>
        <w:tab/>
      </w:r>
      <w:r w:rsidR="00771E67" w:rsidRPr="002C61BD">
        <w:rPr>
          <w:rFonts w:ascii="Arial" w:hAnsi="Arial" w:cs="Arial"/>
          <w:b/>
          <w:sz w:val="28"/>
          <w:szCs w:val="28"/>
        </w:rPr>
        <w:t>Report Date:</w:t>
      </w:r>
      <w:r w:rsidR="0057178A">
        <w:rPr>
          <w:rFonts w:ascii="Arial" w:hAnsi="Arial" w:cs="Arial"/>
          <w:b/>
          <w:sz w:val="28"/>
          <w:szCs w:val="28"/>
        </w:rPr>
        <w:t xml:space="preserve">  January </w:t>
      </w:r>
      <w:r w:rsidR="001D3F70">
        <w:rPr>
          <w:rFonts w:ascii="Arial" w:hAnsi="Arial" w:cs="Arial"/>
          <w:b/>
          <w:sz w:val="28"/>
          <w:szCs w:val="28"/>
        </w:rPr>
        <w:t>6</w:t>
      </w:r>
      <w:r w:rsidR="0057178A">
        <w:rPr>
          <w:rFonts w:ascii="Arial" w:hAnsi="Arial" w:cs="Arial"/>
          <w:b/>
          <w:sz w:val="28"/>
          <w:szCs w:val="28"/>
        </w:rPr>
        <w:t>, 2016</w:t>
      </w:r>
      <w:r w:rsidRPr="002C61BD">
        <w:rPr>
          <w:rFonts w:ascii="Arial" w:hAnsi="Arial" w:cs="Arial"/>
          <w:b/>
          <w:sz w:val="28"/>
          <w:szCs w:val="28"/>
        </w:rPr>
        <w:t xml:space="preserve"> </w:t>
      </w:r>
    </w:p>
    <w:p w:rsidR="00B92D69" w:rsidRPr="002C61BD" w:rsidRDefault="00B92D69" w:rsidP="007E0B70">
      <w:pPr>
        <w:tabs>
          <w:tab w:val="center" w:pos="4680"/>
        </w:tabs>
        <w:suppressAutoHyphens/>
        <w:rPr>
          <w:rFonts w:ascii="Arial" w:hAnsi="Arial" w:cs="Arial"/>
          <w:b/>
          <w:sz w:val="28"/>
          <w:szCs w:val="28"/>
        </w:rPr>
      </w:pPr>
    </w:p>
    <w:p w:rsidR="00CB7699" w:rsidRPr="002C61BD" w:rsidRDefault="007E0B70" w:rsidP="007E0B70">
      <w:pPr>
        <w:tabs>
          <w:tab w:val="center" w:pos="4680"/>
        </w:tabs>
        <w:suppressAutoHyphens/>
        <w:rPr>
          <w:rFonts w:ascii="Arial" w:hAnsi="Arial" w:cs="Arial"/>
          <w:b/>
          <w:sz w:val="28"/>
          <w:szCs w:val="28"/>
        </w:rPr>
        <w:sectPr w:rsidR="00CB7699" w:rsidRPr="002C61BD" w:rsidSect="0099113D">
          <w:headerReference w:type="even" r:id="rId9"/>
          <w:headerReference w:type="default" r:id="rId10"/>
          <w:footerReference w:type="default" r:id="rId11"/>
          <w:headerReference w:type="first" r:id="rId12"/>
          <w:footerReference w:type="first" r:id="rId13"/>
          <w:endnotePr>
            <w:numFmt w:val="decimal"/>
          </w:endnotePr>
          <w:pgSz w:w="12240" w:h="15840" w:code="1"/>
          <w:pgMar w:top="432" w:right="1440" w:bottom="1440" w:left="1440" w:header="720" w:footer="720" w:gutter="0"/>
          <w:pgNumType w:start="3"/>
          <w:cols w:space="720"/>
          <w:noEndnote/>
          <w:docGrid w:linePitch="326"/>
        </w:sectPr>
      </w:pPr>
      <w:r w:rsidRPr="002C61BD">
        <w:rPr>
          <w:rFonts w:ascii="Arial" w:hAnsi="Arial" w:cs="Arial"/>
          <w:b/>
          <w:sz w:val="28"/>
          <w:szCs w:val="28"/>
        </w:rPr>
        <w:tab/>
        <w:t>Docket</w:t>
      </w:r>
      <w:r w:rsidR="00507506">
        <w:rPr>
          <w:rFonts w:ascii="Arial" w:hAnsi="Arial" w:cs="Arial"/>
          <w:b/>
          <w:sz w:val="28"/>
          <w:szCs w:val="28"/>
        </w:rPr>
        <w:t xml:space="preserve"> No.</w:t>
      </w:r>
      <w:r w:rsidRPr="002C61BD">
        <w:rPr>
          <w:rFonts w:ascii="Arial" w:hAnsi="Arial" w:cs="Arial"/>
          <w:b/>
          <w:sz w:val="28"/>
          <w:szCs w:val="28"/>
        </w:rPr>
        <w:t xml:space="preserve"> D-201</w:t>
      </w:r>
      <w:r w:rsidR="00015B05">
        <w:rPr>
          <w:rFonts w:ascii="Arial" w:hAnsi="Arial" w:cs="Arial"/>
          <w:b/>
          <w:sz w:val="28"/>
          <w:szCs w:val="28"/>
        </w:rPr>
        <w:t>4</w:t>
      </w:r>
      <w:r w:rsidR="00C54169" w:rsidRPr="002C61BD">
        <w:rPr>
          <w:rFonts w:ascii="Arial" w:hAnsi="Arial" w:cs="Arial"/>
          <w:b/>
          <w:sz w:val="28"/>
          <w:szCs w:val="28"/>
        </w:rPr>
        <w:t>-</w:t>
      </w:r>
      <w:r w:rsidR="00015B05" w:rsidRPr="00015B05">
        <w:rPr>
          <w:rFonts w:ascii="Calibri" w:hAnsi="Calibri"/>
          <w:sz w:val="27"/>
          <w:szCs w:val="27"/>
        </w:rPr>
        <w:t xml:space="preserve"> </w:t>
      </w:r>
      <w:r w:rsidR="00015B05" w:rsidRPr="00ED63B5">
        <w:rPr>
          <w:rFonts w:ascii="Arial" w:hAnsi="Arial" w:cs="Arial"/>
          <w:b/>
          <w:sz w:val="28"/>
          <w:szCs w:val="28"/>
        </w:rPr>
        <w:t>24</w:t>
      </w:r>
      <w:r w:rsidR="008B6638" w:rsidRPr="00ED63B5">
        <w:rPr>
          <w:rFonts w:ascii="Arial" w:hAnsi="Arial" w:cs="Arial"/>
          <w:b/>
          <w:sz w:val="28"/>
          <w:szCs w:val="28"/>
        </w:rPr>
        <w:t>40522</w:t>
      </w:r>
      <w:r w:rsidRPr="00ED63B5">
        <w:rPr>
          <w:rFonts w:ascii="Arial" w:hAnsi="Arial" w:cs="Arial"/>
          <w:b/>
          <w:sz w:val="28"/>
          <w:szCs w:val="28"/>
        </w:rPr>
        <w:t xml:space="preserve"> </w:t>
      </w:r>
    </w:p>
    <w:p w:rsidR="004B3A72" w:rsidRPr="002C61BD" w:rsidRDefault="004B3A72" w:rsidP="004B3A72">
      <w:pPr>
        <w:overflowPunct/>
        <w:autoSpaceDE/>
        <w:autoSpaceDN/>
        <w:adjustRightInd/>
        <w:jc w:val="center"/>
        <w:textAlignment w:val="auto"/>
        <w:rPr>
          <w:rFonts w:ascii="Arial" w:hAnsi="Arial" w:cs="Arial"/>
          <w:b/>
          <w:sz w:val="26"/>
          <w:szCs w:val="24"/>
        </w:rPr>
      </w:pPr>
      <w:r>
        <w:rPr>
          <w:rFonts w:ascii="Arial" w:hAnsi="Arial" w:cs="Arial"/>
          <w:b/>
          <w:sz w:val="26"/>
          <w:szCs w:val="24"/>
        </w:rPr>
        <w:lastRenderedPageBreak/>
        <w:t>PECO ENERGY COMPANY</w:t>
      </w:r>
    </w:p>
    <w:p w:rsidR="004B3A72" w:rsidRPr="002C61BD" w:rsidRDefault="004B3A72" w:rsidP="004B3A72">
      <w:pPr>
        <w:tabs>
          <w:tab w:val="left" w:pos="180"/>
          <w:tab w:val="left" w:pos="270"/>
        </w:tabs>
        <w:suppressAutoHyphens/>
        <w:rPr>
          <w:rFonts w:ascii="Arial" w:hAnsi="Arial" w:cs="Arial"/>
          <w:szCs w:val="24"/>
        </w:rPr>
      </w:pPr>
    </w:p>
    <w:p w:rsidR="004B3A72" w:rsidRPr="004A75C3" w:rsidRDefault="004B3A72" w:rsidP="004B3A72">
      <w:pPr>
        <w:jc w:val="center"/>
        <w:rPr>
          <w:rFonts w:ascii="Arial" w:hAnsi="Arial" w:cs="Arial"/>
          <w:b/>
          <w:sz w:val="26"/>
          <w:szCs w:val="26"/>
        </w:rPr>
      </w:pPr>
      <w:r w:rsidRPr="004A75C3">
        <w:rPr>
          <w:rFonts w:ascii="Arial" w:hAnsi="Arial" w:cs="Arial"/>
          <w:b/>
          <w:sz w:val="26"/>
          <w:szCs w:val="26"/>
        </w:rPr>
        <w:t>Table of Contents</w:t>
      </w:r>
    </w:p>
    <w:p w:rsidR="004B3A72" w:rsidRPr="002C61BD" w:rsidRDefault="004B3A72" w:rsidP="004B3A72">
      <w:pPr>
        <w:tabs>
          <w:tab w:val="left" w:pos="-720"/>
          <w:tab w:val="left" w:pos="180"/>
          <w:tab w:val="left" w:pos="270"/>
        </w:tabs>
        <w:suppressAutoHyphens/>
        <w:ind w:right="-90"/>
        <w:rPr>
          <w:rFonts w:ascii="Arial" w:hAnsi="Arial" w:cs="Arial"/>
          <w:b/>
          <w:szCs w:val="24"/>
          <w:u w:val="single"/>
        </w:rPr>
      </w:pPr>
    </w:p>
    <w:p w:rsidR="004B3A72" w:rsidRPr="002C61BD" w:rsidRDefault="004B3A72" w:rsidP="004B3A72">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4B3A72" w:rsidRPr="002C61BD" w:rsidTr="006E19F8">
        <w:tc>
          <w:tcPr>
            <w:tcW w:w="8478" w:type="dxa"/>
          </w:tcPr>
          <w:p w:rsidR="004B3A72" w:rsidRPr="002C61BD" w:rsidRDefault="004B3A72" w:rsidP="006E19F8">
            <w:pPr>
              <w:tabs>
                <w:tab w:val="left" w:pos="-720"/>
                <w:tab w:val="left" w:pos="180"/>
                <w:tab w:val="left" w:pos="270"/>
              </w:tabs>
              <w:suppressAutoHyphens/>
              <w:rPr>
                <w:rFonts w:ascii="Arial" w:hAnsi="Arial" w:cs="Arial"/>
                <w:b/>
                <w:szCs w:val="24"/>
                <w:u w:val="single"/>
              </w:rPr>
            </w:pPr>
          </w:p>
        </w:tc>
        <w:tc>
          <w:tcPr>
            <w:tcW w:w="1098" w:type="dxa"/>
          </w:tcPr>
          <w:p w:rsidR="004B3A72" w:rsidRPr="002C61BD" w:rsidRDefault="004B3A72" w:rsidP="006E19F8">
            <w:pPr>
              <w:pStyle w:val="EndnoteText"/>
              <w:tabs>
                <w:tab w:val="left" w:pos="-720"/>
                <w:tab w:val="left" w:pos="180"/>
                <w:tab w:val="left" w:pos="270"/>
              </w:tabs>
              <w:suppressAutoHyphens/>
              <w:jc w:val="center"/>
              <w:rPr>
                <w:rFonts w:ascii="Arial" w:hAnsi="Arial" w:cs="Arial"/>
                <w:b/>
                <w:szCs w:val="24"/>
                <w:u w:val="single"/>
              </w:rPr>
            </w:pPr>
            <w:r w:rsidRPr="002C61BD">
              <w:rPr>
                <w:rFonts w:ascii="Arial" w:hAnsi="Arial" w:cs="Arial"/>
                <w:b/>
                <w:szCs w:val="24"/>
                <w:u w:val="single"/>
              </w:rPr>
              <w:t>Page</w:t>
            </w:r>
          </w:p>
        </w:tc>
      </w:tr>
      <w:tr w:rsidR="004B3A72" w:rsidRPr="002C61BD" w:rsidTr="006E19F8">
        <w:tc>
          <w:tcPr>
            <w:tcW w:w="8478" w:type="dxa"/>
          </w:tcPr>
          <w:p w:rsidR="004B3A72" w:rsidRPr="002C61BD" w:rsidRDefault="004B3A72" w:rsidP="006E19F8">
            <w:pPr>
              <w:tabs>
                <w:tab w:val="left" w:pos="-720"/>
                <w:tab w:val="left" w:pos="180"/>
                <w:tab w:val="left" w:pos="270"/>
              </w:tabs>
              <w:suppressAutoHyphens/>
              <w:rPr>
                <w:rFonts w:ascii="Arial" w:hAnsi="Arial" w:cs="Arial"/>
                <w:b/>
                <w:szCs w:val="24"/>
                <w:u w:val="single"/>
              </w:rPr>
            </w:pPr>
          </w:p>
        </w:tc>
        <w:tc>
          <w:tcPr>
            <w:tcW w:w="1098" w:type="dxa"/>
          </w:tcPr>
          <w:p w:rsidR="004B3A72" w:rsidRPr="002C61BD" w:rsidRDefault="004B3A72" w:rsidP="006E19F8">
            <w:pPr>
              <w:pStyle w:val="EndnoteText"/>
              <w:tabs>
                <w:tab w:val="right" w:pos="562"/>
              </w:tabs>
              <w:suppressAutoHyphens/>
              <w:rPr>
                <w:rFonts w:ascii="Arial" w:hAnsi="Arial" w:cs="Arial"/>
                <w:szCs w:val="24"/>
              </w:rPr>
            </w:pPr>
          </w:p>
        </w:tc>
      </w:tr>
      <w:tr w:rsidR="004B3A72" w:rsidRPr="006D1B53" w:rsidTr="006E19F8">
        <w:tc>
          <w:tcPr>
            <w:tcW w:w="8478" w:type="dxa"/>
          </w:tcPr>
          <w:p w:rsidR="004B3A72" w:rsidRPr="006D1B53" w:rsidRDefault="004B3A72" w:rsidP="006E19F8">
            <w:pPr>
              <w:tabs>
                <w:tab w:val="left" w:pos="-720"/>
                <w:tab w:val="left" w:pos="180"/>
                <w:tab w:val="left" w:pos="270"/>
              </w:tabs>
              <w:suppressAutoHyphens/>
              <w:rPr>
                <w:rFonts w:ascii="Arial" w:hAnsi="Arial" w:cs="Arial"/>
                <w:b/>
                <w:szCs w:val="24"/>
              </w:rPr>
            </w:pPr>
            <w:r w:rsidRPr="006D1B53">
              <w:rPr>
                <w:rFonts w:ascii="Arial" w:hAnsi="Arial" w:cs="Arial"/>
                <w:b/>
                <w:szCs w:val="24"/>
              </w:rPr>
              <w:t xml:space="preserve">FINANCIAL REVIEW </w:t>
            </w:r>
          </w:p>
        </w:tc>
        <w:tc>
          <w:tcPr>
            <w:tcW w:w="1098" w:type="dxa"/>
          </w:tcPr>
          <w:p w:rsidR="004B3A72" w:rsidRPr="006D1B53" w:rsidRDefault="004B3A72" w:rsidP="006E19F8">
            <w:pPr>
              <w:pStyle w:val="EndnoteText"/>
              <w:tabs>
                <w:tab w:val="right" w:pos="562"/>
              </w:tabs>
              <w:suppressAutoHyphens/>
              <w:rPr>
                <w:rFonts w:ascii="Arial" w:hAnsi="Arial" w:cs="Arial"/>
                <w:szCs w:val="24"/>
              </w:rPr>
            </w:pPr>
          </w:p>
        </w:tc>
      </w:tr>
      <w:tr w:rsidR="004B3A72" w:rsidRPr="002C61BD" w:rsidTr="006E19F8">
        <w:tc>
          <w:tcPr>
            <w:tcW w:w="8478" w:type="dxa"/>
          </w:tcPr>
          <w:p w:rsidR="004B3A72" w:rsidRPr="002C61BD" w:rsidRDefault="004B3A72" w:rsidP="006E19F8">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Pr>
          <w:p w:rsidR="004B3A72" w:rsidRPr="002C61BD" w:rsidRDefault="004B3A72" w:rsidP="006E19F8">
            <w:pPr>
              <w:pStyle w:val="EndnoteText"/>
              <w:tabs>
                <w:tab w:val="right" w:pos="562"/>
              </w:tabs>
              <w:suppressAutoHyphens/>
              <w:rPr>
                <w:rFonts w:ascii="Arial" w:hAnsi="Arial" w:cs="Arial"/>
                <w:szCs w:val="24"/>
              </w:rPr>
            </w:pPr>
          </w:p>
        </w:tc>
      </w:tr>
      <w:tr w:rsidR="004B3A72" w:rsidRPr="002C61BD" w:rsidTr="006E19F8">
        <w:tc>
          <w:tcPr>
            <w:tcW w:w="8478" w:type="dxa"/>
          </w:tcPr>
          <w:p w:rsidR="004B3A72" w:rsidRPr="006D1B53" w:rsidRDefault="004B3A72" w:rsidP="006E19F8">
            <w:pPr>
              <w:pStyle w:val="EndnoteText"/>
              <w:tabs>
                <w:tab w:val="left" w:pos="-720"/>
                <w:tab w:val="left" w:pos="360"/>
                <w:tab w:val="left" w:pos="540"/>
                <w:tab w:val="left" w:pos="810"/>
                <w:tab w:val="left" w:pos="9180"/>
              </w:tabs>
              <w:suppressAutoHyphens/>
              <w:rPr>
                <w:rFonts w:ascii="Arial" w:hAnsi="Arial" w:cs="Arial"/>
                <w:szCs w:val="24"/>
              </w:rPr>
            </w:pPr>
            <w:r w:rsidRPr="006D1B53">
              <w:rPr>
                <w:rFonts w:ascii="Arial" w:hAnsi="Arial" w:cs="Arial"/>
                <w:szCs w:val="24"/>
              </w:rPr>
              <w:tab/>
              <w:t>Independent Auditor's Report</w:t>
            </w:r>
          </w:p>
        </w:tc>
        <w:tc>
          <w:tcPr>
            <w:tcW w:w="1098" w:type="dxa"/>
          </w:tcPr>
          <w:p w:rsidR="004B3A72" w:rsidRPr="006D1B53" w:rsidRDefault="004B3A72" w:rsidP="006E19F8">
            <w:pPr>
              <w:pStyle w:val="EndnoteText"/>
              <w:tabs>
                <w:tab w:val="right" w:pos="562"/>
              </w:tabs>
              <w:suppressAutoHyphens/>
              <w:jc w:val="center"/>
              <w:rPr>
                <w:rFonts w:ascii="Arial" w:hAnsi="Arial" w:cs="Arial"/>
                <w:szCs w:val="24"/>
              </w:rPr>
            </w:pPr>
            <w:r w:rsidRPr="006D1B53">
              <w:rPr>
                <w:rFonts w:ascii="Arial" w:hAnsi="Arial" w:cs="Arial"/>
                <w:szCs w:val="24"/>
              </w:rPr>
              <w:t>1</w:t>
            </w:r>
          </w:p>
        </w:tc>
      </w:tr>
      <w:tr w:rsidR="004B3A72" w:rsidRPr="002C61BD" w:rsidTr="006E19F8">
        <w:tc>
          <w:tcPr>
            <w:tcW w:w="8478" w:type="dxa"/>
          </w:tcPr>
          <w:p w:rsidR="004B3A72" w:rsidRPr="006D1B53" w:rsidRDefault="004B3A72" w:rsidP="006E19F8">
            <w:pPr>
              <w:pStyle w:val="EndnoteText"/>
              <w:tabs>
                <w:tab w:val="left" w:pos="9180"/>
              </w:tabs>
              <w:suppressAutoHyphens/>
              <w:ind w:left="360"/>
              <w:rPr>
                <w:rFonts w:ascii="Arial" w:hAnsi="Arial" w:cs="Arial"/>
                <w:szCs w:val="24"/>
              </w:rPr>
            </w:pPr>
          </w:p>
        </w:tc>
        <w:tc>
          <w:tcPr>
            <w:tcW w:w="1098" w:type="dxa"/>
          </w:tcPr>
          <w:p w:rsidR="004B3A72" w:rsidRPr="006D1B53" w:rsidRDefault="004B3A72" w:rsidP="006E19F8">
            <w:pPr>
              <w:tabs>
                <w:tab w:val="right" w:pos="562"/>
              </w:tabs>
              <w:suppressAutoHyphens/>
              <w:rPr>
                <w:rFonts w:ascii="Arial" w:hAnsi="Arial" w:cs="Arial"/>
                <w:szCs w:val="24"/>
              </w:rPr>
            </w:pPr>
          </w:p>
        </w:tc>
      </w:tr>
      <w:tr w:rsidR="004B3A72" w:rsidRPr="002C61BD" w:rsidTr="006E19F8">
        <w:tc>
          <w:tcPr>
            <w:tcW w:w="8478" w:type="dxa"/>
          </w:tcPr>
          <w:p w:rsidR="004B3A72" w:rsidRPr="006D1B53" w:rsidRDefault="004B3A72" w:rsidP="00C84648">
            <w:pPr>
              <w:pStyle w:val="EndnoteText"/>
              <w:tabs>
                <w:tab w:val="left" w:pos="9180"/>
              </w:tabs>
              <w:suppressAutoHyphens/>
              <w:ind w:left="360"/>
              <w:rPr>
                <w:rFonts w:ascii="Arial" w:hAnsi="Arial" w:cs="Arial"/>
                <w:szCs w:val="24"/>
              </w:rPr>
            </w:pPr>
            <w:r w:rsidRPr="006D1B53">
              <w:rPr>
                <w:rFonts w:ascii="Arial" w:hAnsi="Arial" w:cs="Arial"/>
                <w:szCs w:val="24"/>
              </w:rPr>
              <w:t xml:space="preserve">Condensed Statement of </w:t>
            </w:r>
            <w:r>
              <w:rPr>
                <w:rFonts w:ascii="Arial" w:hAnsi="Arial" w:cs="Arial"/>
                <w:szCs w:val="24"/>
              </w:rPr>
              <w:t>Smart Meter Cost Recovery Surcharge</w:t>
            </w:r>
            <w:r w:rsidRPr="006D1B53">
              <w:rPr>
                <w:rFonts w:ascii="Arial" w:hAnsi="Arial" w:cs="Arial"/>
                <w:szCs w:val="24"/>
              </w:rPr>
              <w:t xml:space="preserve"> (</w:t>
            </w:r>
            <w:r>
              <w:rPr>
                <w:rFonts w:ascii="Arial" w:hAnsi="Arial" w:cs="Arial"/>
                <w:szCs w:val="24"/>
              </w:rPr>
              <w:t>SMCRS</w:t>
            </w:r>
            <w:r w:rsidRPr="006D1B53">
              <w:rPr>
                <w:rFonts w:ascii="Arial" w:hAnsi="Arial" w:cs="Arial"/>
                <w:szCs w:val="24"/>
              </w:rPr>
              <w:t xml:space="preserve">) Over/(Under) Collections </w:t>
            </w:r>
            <w:r w:rsidR="00321671">
              <w:rPr>
                <w:rFonts w:ascii="Arial" w:hAnsi="Arial" w:cs="Arial"/>
                <w:szCs w:val="24"/>
              </w:rPr>
              <w:t>(Section 1307(e))</w:t>
            </w:r>
            <w:r w:rsidR="00321671" w:rsidRPr="002C11FB">
              <w:rPr>
                <w:rFonts w:ascii="Arial" w:hAnsi="Arial" w:cs="Arial"/>
                <w:szCs w:val="24"/>
              </w:rPr>
              <w:t xml:space="preserve"> </w:t>
            </w:r>
            <w:r w:rsidR="00321671">
              <w:rPr>
                <w:rFonts w:ascii="Arial" w:hAnsi="Arial" w:cs="Arial"/>
                <w:szCs w:val="24"/>
              </w:rPr>
              <w:t>Fo</w:t>
            </w:r>
            <w:r w:rsidRPr="006D1B53">
              <w:rPr>
                <w:rFonts w:ascii="Arial" w:hAnsi="Arial" w:cs="Arial"/>
                <w:szCs w:val="24"/>
              </w:rPr>
              <w:t xml:space="preserve">r The </w:t>
            </w:r>
            <w:r>
              <w:rPr>
                <w:rFonts w:ascii="Arial" w:hAnsi="Arial" w:cs="Arial"/>
                <w:szCs w:val="24"/>
              </w:rPr>
              <w:t>Twelve</w:t>
            </w:r>
            <w:r w:rsidRPr="006D1B53">
              <w:rPr>
                <w:rFonts w:ascii="Arial" w:hAnsi="Arial" w:cs="Arial"/>
                <w:szCs w:val="24"/>
              </w:rPr>
              <w:t xml:space="preserve"> Month</w:t>
            </w:r>
            <w:r w:rsidR="00C84648">
              <w:rPr>
                <w:rFonts w:ascii="Arial" w:hAnsi="Arial" w:cs="Arial"/>
                <w:szCs w:val="24"/>
              </w:rPr>
              <w:t>s</w:t>
            </w:r>
            <w:r w:rsidRPr="006D1B53">
              <w:rPr>
                <w:rFonts w:ascii="Arial" w:hAnsi="Arial" w:cs="Arial"/>
                <w:szCs w:val="24"/>
              </w:rPr>
              <w:t xml:space="preserve"> Ended </w:t>
            </w:r>
            <w:r>
              <w:rPr>
                <w:rFonts w:ascii="Arial" w:hAnsi="Arial" w:cs="Arial"/>
                <w:szCs w:val="24"/>
              </w:rPr>
              <w:t>June</w:t>
            </w:r>
            <w:r w:rsidRPr="006D1B53">
              <w:rPr>
                <w:rFonts w:ascii="Arial" w:hAnsi="Arial" w:cs="Arial"/>
                <w:szCs w:val="24"/>
              </w:rPr>
              <w:t xml:space="preserve"> 3</w:t>
            </w:r>
            <w:r>
              <w:rPr>
                <w:rFonts w:ascii="Arial" w:hAnsi="Arial" w:cs="Arial"/>
                <w:szCs w:val="24"/>
              </w:rPr>
              <w:t>0</w:t>
            </w:r>
            <w:r w:rsidRPr="006D1B53">
              <w:rPr>
                <w:rFonts w:ascii="Arial" w:hAnsi="Arial" w:cs="Arial"/>
                <w:szCs w:val="24"/>
              </w:rPr>
              <w:t>, 201</w:t>
            </w:r>
            <w:r>
              <w:rPr>
                <w:rFonts w:ascii="Arial" w:hAnsi="Arial" w:cs="Arial"/>
                <w:szCs w:val="24"/>
              </w:rPr>
              <w:t>3</w:t>
            </w:r>
          </w:p>
        </w:tc>
        <w:tc>
          <w:tcPr>
            <w:tcW w:w="1098" w:type="dxa"/>
          </w:tcPr>
          <w:p w:rsidR="004B3A72" w:rsidRPr="006D1B53" w:rsidRDefault="004B3A72" w:rsidP="006E19F8">
            <w:pPr>
              <w:tabs>
                <w:tab w:val="right" w:pos="562"/>
              </w:tabs>
              <w:suppressAutoHyphens/>
              <w:jc w:val="center"/>
              <w:rPr>
                <w:rFonts w:ascii="Arial" w:hAnsi="Arial" w:cs="Arial"/>
                <w:szCs w:val="24"/>
              </w:rPr>
            </w:pPr>
          </w:p>
          <w:p w:rsidR="004B3A72" w:rsidRPr="006D1B53" w:rsidRDefault="004B3A72" w:rsidP="006E19F8">
            <w:pPr>
              <w:tabs>
                <w:tab w:val="right" w:pos="562"/>
              </w:tabs>
              <w:suppressAutoHyphens/>
              <w:jc w:val="center"/>
              <w:rPr>
                <w:rFonts w:ascii="Arial" w:hAnsi="Arial" w:cs="Arial"/>
                <w:szCs w:val="24"/>
              </w:rPr>
            </w:pPr>
          </w:p>
          <w:p w:rsidR="004B3A72" w:rsidRPr="006D1B53" w:rsidRDefault="00CB7C63" w:rsidP="006E19F8">
            <w:pPr>
              <w:tabs>
                <w:tab w:val="right" w:pos="562"/>
              </w:tabs>
              <w:suppressAutoHyphens/>
              <w:jc w:val="center"/>
              <w:rPr>
                <w:rFonts w:ascii="Arial" w:hAnsi="Arial" w:cs="Arial"/>
                <w:szCs w:val="24"/>
              </w:rPr>
            </w:pPr>
            <w:r>
              <w:rPr>
                <w:rFonts w:ascii="Arial" w:hAnsi="Arial" w:cs="Arial"/>
                <w:szCs w:val="24"/>
              </w:rPr>
              <w:t>3</w:t>
            </w:r>
          </w:p>
        </w:tc>
      </w:tr>
      <w:tr w:rsidR="004B3A72" w:rsidRPr="002C61BD" w:rsidTr="006E19F8">
        <w:tc>
          <w:tcPr>
            <w:tcW w:w="8478" w:type="dxa"/>
          </w:tcPr>
          <w:p w:rsidR="004B3A72" w:rsidRPr="006D1B53" w:rsidRDefault="004B3A72" w:rsidP="006E19F8">
            <w:pPr>
              <w:pStyle w:val="EndnoteText"/>
              <w:tabs>
                <w:tab w:val="left" w:pos="9180"/>
              </w:tabs>
              <w:suppressAutoHyphens/>
              <w:ind w:left="360"/>
              <w:rPr>
                <w:rFonts w:ascii="Arial" w:hAnsi="Arial" w:cs="Arial"/>
                <w:szCs w:val="24"/>
              </w:rPr>
            </w:pPr>
          </w:p>
        </w:tc>
        <w:tc>
          <w:tcPr>
            <w:tcW w:w="1098" w:type="dxa"/>
          </w:tcPr>
          <w:p w:rsidR="004B3A72" w:rsidRPr="006D1B53" w:rsidRDefault="004B3A72" w:rsidP="006E19F8">
            <w:pPr>
              <w:tabs>
                <w:tab w:val="right" w:pos="562"/>
              </w:tabs>
              <w:suppressAutoHyphens/>
              <w:jc w:val="center"/>
              <w:rPr>
                <w:rFonts w:ascii="Arial" w:hAnsi="Arial" w:cs="Arial"/>
                <w:szCs w:val="24"/>
              </w:rPr>
            </w:pPr>
          </w:p>
        </w:tc>
      </w:tr>
      <w:tr w:rsidR="004B3A72" w:rsidRPr="002C61BD" w:rsidTr="006E19F8">
        <w:tc>
          <w:tcPr>
            <w:tcW w:w="8478" w:type="dxa"/>
          </w:tcPr>
          <w:p w:rsidR="004B3A72" w:rsidRPr="006D1B53" w:rsidRDefault="004B3A72" w:rsidP="00C6292F">
            <w:pPr>
              <w:pStyle w:val="EndnoteText"/>
              <w:tabs>
                <w:tab w:val="left" w:pos="9180"/>
              </w:tabs>
              <w:suppressAutoHyphens/>
              <w:ind w:left="360"/>
              <w:rPr>
                <w:rFonts w:ascii="Arial" w:hAnsi="Arial" w:cs="Arial"/>
                <w:szCs w:val="24"/>
              </w:rPr>
            </w:pPr>
            <w:r w:rsidRPr="006D1B53">
              <w:rPr>
                <w:rFonts w:ascii="Arial" w:hAnsi="Arial" w:cs="Arial"/>
                <w:szCs w:val="24"/>
              </w:rPr>
              <w:t xml:space="preserve">Condensed Statement of </w:t>
            </w:r>
            <w:r>
              <w:rPr>
                <w:rFonts w:ascii="Arial" w:hAnsi="Arial" w:cs="Arial"/>
                <w:szCs w:val="24"/>
              </w:rPr>
              <w:t>Smart Meter Cost Recovery Surcharge</w:t>
            </w:r>
            <w:r w:rsidRPr="006D1B53">
              <w:rPr>
                <w:rFonts w:ascii="Arial" w:hAnsi="Arial" w:cs="Arial"/>
                <w:szCs w:val="24"/>
              </w:rPr>
              <w:t xml:space="preserve"> (</w:t>
            </w:r>
            <w:r>
              <w:rPr>
                <w:rFonts w:ascii="Arial" w:hAnsi="Arial" w:cs="Arial"/>
                <w:szCs w:val="24"/>
              </w:rPr>
              <w:t>SMCRS</w:t>
            </w:r>
            <w:r w:rsidRPr="006D1B53">
              <w:rPr>
                <w:rFonts w:ascii="Arial" w:hAnsi="Arial" w:cs="Arial"/>
                <w:szCs w:val="24"/>
              </w:rPr>
              <w:t xml:space="preserve">) Over/(Under) Collections </w:t>
            </w:r>
            <w:r w:rsidR="00C6292F">
              <w:rPr>
                <w:rFonts w:ascii="Arial" w:hAnsi="Arial" w:cs="Arial"/>
                <w:szCs w:val="24"/>
              </w:rPr>
              <w:t>(Section 1307(e))</w:t>
            </w:r>
            <w:r w:rsidR="00C6292F" w:rsidRPr="002C11FB">
              <w:rPr>
                <w:rFonts w:ascii="Arial" w:hAnsi="Arial" w:cs="Arial"/>
                <w:szCs w:val="24"/>
              </w:rPr>
              <w:t xml:space="preserve"> </w:t>
            </w:r>
            <w:r w:rsidRPr="006D1B53">
              <w:rPr>
                <w:rFonts w:ascii="Arial" w:hAnsi="Arial" w:cs="Arial"/>
                <w:szCs w:val="24"/>
              </w:rPr>
              <w:t xml:space="preserve">For The </w:t>
            </w:r>
            <w:r>
              <w:rPr>
                <w:rFonts w:ascii="Arial" w:hAnsi="Arial" w:cs="Arial"/>
                <w:szCs w:val="24"/>
              </w:rPr>
              <w:t>Twelve</w:t>
            </w:r>
            <w:r w:rsidRPr="006D1B53">
              <w:rPr>
                <w:rFonts w:ascii="Arial" w:hAnsi="Arial" w:cs="Arial"/>
                <w:szCs w:val="24"/>
              </w:rPr>
              <w:t xml:space="preserve"> Month</w:t>
            </w:r>
            <w:r w:rsidR="00C6292F">
              <w:rPr>
                <w:rFonts w:ascii="Arial" w:hAnsi="Arial" w:cs="Arial"/>
                <w:szCs w:val="24"/>
              </w:rPr>
              <w:t>s</w:t>
            </w:r>
            <w:r w:rsidRPr="006D1B53">
              <w:rPr>
                <w:rFonts w:ascii="Arial" w:hAnsi="Arial" w:cs="Arial"/>
                <w:szCs w:val="24"/>
              </w:rPr>
              <w:t xml:space="preserve"> Ended </w:t>
            </w:r>
            <w:r>
              <w:rPr>
                <w:rFonts w:ascii="Arial" w:hAnsi="Arial" w:cs="Arial"/>
                <w:szCs w:val="24"/>
              </w:rPr>
              <w:t>June</w:t>
            </w:r>
            <w:r w:rsidRPr="006D1B53">
              <w:rPr>
                <w:rFonts w:ascii="Arial" w:hAnsi="Arial" w:cs="Arial"/>
                <w:szCs w:val="24"/>
              </w:rPr>
              <w:t xml:space="preserve"> 3</w:t>
            </w:r>
            <w:r>
              <w:rPr>
                <w:rFonts w:ascii="Arial" w:hAnsi="Arial" w:cs="Arial"/>
                <w:szCs w:val="24"/>
              </w:rPr>
              <w:t>0</w:t>
            </w:r>
            <w:r w:rsidRPr="006D1B53">
              <w:rPr>
                <w:rFonts w:ascii="Arial" w:hAnsi="Arial" w:cs="Arial"/>
                <w:szCs w:val="24"/>
              </w:rPr>
              <w:t>, 201</w:t>
            </w:r>
            <w:r>
              <w:rPr>
                <w:rFonts w:ascii="Arial" w:hAnsi="Arial" w:cs="Arial"/>
                <w:szCs w:val="24"/>
              </w:rPr>
              <w:t>2</w:t>
            </w:r>
          </w:p>
        </w:tc>
        <w:tc>
          <w:tcPr>
            <w:tcW w:w="1098" w:type="dxa"/>
          </w:tcPr>
          <w:p w:rsidR="004B3A72" w:rsidRPr="006D1B53" w:rsidRDefault="004B3A72" w:rsidP="006E19F8">
            <w:pPr>
              <w:tabs>
                <w:tab w:val="right" w:pos="562"/>
              </w:tabs>
              <w:suppressAutoHyphens/>
              <w:jc w:val="center"/>
              <w:rPr>
                <w:rFonts w:ascii="Arial" w:hAnsi="Arial" w:cs="Arial"/>
                <w:szCs w:val="24"/>
              </w:rPr>
            </w:pPr>
          </w:p>
          <w:p w:rsidR="004B3A72" w:rsidRPr="006D1B53" w:rsidRDefault="004B3A72" w:rsidP="006E19F8">
            <w:pPr>
              <w:tabs>
                <w:tab w:val="right" w:pos="562"/>
              </w:tabs>
              <w:suppressAutoHyphens/>
              <w:jc w:val="center"/>
              <w:rPr>
                <w:rFonts w:ascii="Arial" w:hAnsi="Arial" w:cs="Arial"/>
                <w:szCs w:val="24"/>
              </w:rPr>
            </w:pPr>
          </w:p>
          <w:p w:rsidR="004B3A72" w:rsidRPr="006D1B53" w:rsidRDefault="00CB7C63" w:rsidP="006E19F8">
            <w:pPr>
              <w:tabs>
                <w:tab w:val="right" w:pos="562"/>
              </w:tabs>
              <w:suppressAutoHyphens/>
              <w:jc w:val="center"/>
              <w:rPr>
                <w:rFonts w:ascii="Arial" w:hAnsi="Arial" w:cs="Arial"/>
                <w:szCs w:val="24"/>
              </w:rPr>
            </w:pPr>
            <w:r>
              <w:rPr>
                <w:rFonts w:ascii="Arial" w:hAnsi="Arial" w:cs="Arial"/>
                <w:szCs w:val="24"/>
              </w:rPr>
              <w:t>4</w:t>
            </w:r>
          </w:p>
        </w:tc>
      </w:tr>
      <w:tr w:rsidR="004B3A72" w:rsidRPr="002C61BD" w:rsidTr="006E19F8">
        <w:tc>
          <w:tcPr>
            <w:tcW w:w="8478" w:type="dxa"/>
          </w:tcPr>
          <w:p w:rsidR="004B3A72" w:rsidRPr="006D1B53" w:rsidRDefault="004B3A72" w:rsidP="006E19F8">
            <w:pPr>
              <w:pStyle w:val="EndnoteText"/>
              <w:tabs>
                <w:tab w:val="left" w:pos="9180"/>
              </w:tabs>
              <w:suppressAutoHyphens/>
              <w:ind w:left="360"/>
              <w:rPr>
                <w:rFonts w:ascii="Arial" w:hAnsi="Arial" w:cs="Arial"/>
                <w:szCs w:val="24"/>
              </w:rPr>
            </w:pPr>
          </w:p>
        </w:tc>
        <w:tc>
          <w:tcPr>
            <w:tcW w:w="1098" w:type="dxa"/>
          </w:tcPr>
          <w:p w:rsidR="004B3A72" w:rsidRPr="006D1B53" w:rsidRDefault="004B3A72" w:rsidP="006E19F8">
            <w:pPr>
              <w:tabs>
                <w:tab w:val="right" w:pos="562"/>
              </w:tabs>
              <w:suppressAutoHyphens/>
              <w:jc w:val="center"/>
              <w:rPr>
                <w:rFonts w:ascii="Arial" w:hAnsi="Arial" w:cs="Arial"/>
                <w:szCs w:val="24"/>
              </w:rPr>
            </w:pPr>
          </w:p>
        </w:tc>
      </w:tr>
      <w:tr w:rsidR="004B3A72" w:rsidRPr="002C61BD" w:rsidTr="006E19F8">
        <w:tc>
          <w:tcPr>
            <w:tcW w:w="8478" w:type="dxa"/>
          </w:tcPr>
          <w:p w:rsidR="004B3A72" w:rsidRPr="006D1B53" w:rsidRDefault="004B3A72" w:rsidP="0009091A">
            <w:pPr>
              <w:pStyle w:val="EndnoteText"/>
              <w:tabs>
                <w:tab w:val="left" w:pos="9180"/>
              </w:tabs>
              <w:suppressAutoHyphens/>
              <w:ind w:left="360"/>
              <w:rPr>
                <w:rFonts w:ascii="Arial" w:hAnsi="Arial" w:cs="Arial"/>
                <w:szCs w:val="24"/>
              </w:rPr>
            </w:pPr>
            <w:r w:rsidRPr="006D1B53">
              <w:rPr>
                <w:rFonts w:ascii="Arial" w:hAnsi="Arial" w:cs="Arial"/>
                <w:szCs w:val="24"/>
              </w:rPr>
              <w:t xml:space="preserve">Condensed Statement of </w:t>
            </w:r>
            <w:r>
              <w:rPr>
                <w:rFonts w:ascii="Arial" w:hAnsi="Arial" w:cs="Arial"/>
                <w:szCs w:val="24"/>
              </w:rPr>
              <w:t xml:space="preserve">Smart Meter Cost Recovery Surcharge </w:t>
            </w:r>
            <w:r w:rsidRPr="006D1B53">
              <w:rPr>
                <w:rFonts w:ascii="Arial" w:hAnsi="Arial" w:cs="Arial"/>
                <w:szCs w:val="24"/>
              </w:rPr>
              <w:t>(</w:t>
            </w:r>
            <w:r>
              <w:rPr>
                <w:rFonts w:ascii="Arial" w:hAnsi="Arial" w:cs="Arial"/>
                <w:szCs w:val="24"/>
              </w:rPr>
              <w:t>SMCRS</w:t>
            </w:r>
            <w:r w:rsidRPr="006D1B53">
              <w:rPr>
                <w:rFonts w:ascii="Arial" w:hAnsi="Arial" w:cs="Arial"/>
                <w:szCs w:val="24"/>
              </w:rPr>
              <w:t xml:space="preserve">) Over/(Under) Collections </w:t>
            </w:r>
            <w:r w:rsidR="0009091A">
              <w:rPr>
                <w:rFonts w:ascii="Arial" w:hAnsi="Arial" w:cs="Arial"/>
                <w:szCs w:val="24"/>
              </w:rPr>
              <w:t>(Section 1307(e))</w:t>
            </w:r>
            <w:r w:rsidR="0009091A" w:rsidRPr="002C11FB">
              <w:rPr>
                <w:rFonts w:ascii="Arial" w:hAnsi="Arial" w:cs="Arial"/>
                <w:szCs w:val="24"/>
              </w:rPr>
              <w:t xml:space="preserve"> </w:t>
            </w:r>
            <w:r w:rsidRPr="006D1B53">
              <w:rPr>
                <w:rFonts w:ascii="Arial" w:hAnsi="Arial" w:cs="Arial"/>
                <w:szCs w:val="24"/>
              </w:rPr>
              <w:t xml:space="preserve">For The </w:t>
            </w:r>
            <w:r w:rsidR="00B0533C">
              <w:rPr>
                <w:rFonts w:ascii="Arial" w:hAnsi="Arial" w:cs="Arial"/>
                <w:szCs w:val="24"/>
              </w:rPr>
              <w:t>Twelve</w:t>
            </w:r>
            <w:r w:rsidRPr="006D1B53">
              <w:rPr>
                <w:rFonts w:ascii="Arial" w:hAnsi="Arial" w:cs="Arial"/>
                <w:szCs w:val="24"/>
              </w:rPr>
              <w:t xml:space="preserve"> Month</w:t>
            </w:r>
            <w:r w:rsidR="0009091A">
              <w:rPr>
                <w:rFonts w:ascii="Arial" w:hAnsi="Arial" w:cs="Arial"/>
                <w:szCs w:val="24"/>
              </w:rPr>
              <w:t>s</w:t>
            </w:r>
            <w:r w:rsidRPr="006D1B53">
              <w:rPr>
                <w:rFonts w:ascii="Arial" w:hAnsi="Arial" w:cs="Arial"/>
                <w:szCs w:val="24"/>
              </w:rPr>
              <w:t xml:space="preserve"> Ended </w:t>
            </w:r>
            <w:r>
              <w:rPr>
                <w:rFonts w:ascii="Arial" w:hAnsi="Arial" w:cs="Arial"/>
                <w:szCs w:val="24"/>
              </w:rPr>
              <w:t>June</w:t>
            </w:r>
            <w:r w:rsidRPr="006D1B53">
              <w:rPr>
                <w:rFonts w:ascii="Arial" w:hAnsi="Arial" w:cs="Arial"/>
                <w:szCs w:val="24"/>
              </w:rPr>
              <w:t xml:space="preserve"> 3</w:t>
            </w:r>
            <w:r>
              <w:rPr>
                <w:rFonts w:ascii="Arial" w:hAnsi="Arial" w:cs="Arial"/>
                <w:szCs w:val="24"/>
              </w:rPr>
              <w:t>0</w:t>
            </w:r>
            <w:r w:rsidRPr="006D1B53">
              <w:rPr>
                <w:rFonts w:ascii="Arial" w:hAnsi="Arial" w:cs="Arial"/>
                <w:szCs w:val="24"/>
              </w:rPr>
              <w:t>, 201</w:t>
            </w:r>
            <w:r>
              <w:rPr>
                <w:rFonts w:ascii="Arial" w:hAnsi="Arial" w:cs="Arial"/>
                <w:szCs w:val="24"/>
              </w:rPr>
              <w:t>1</w:t>
            </w:r>
          </w:p>
        </w:tc>
        <w:tc>
          <w:tcPr>
            <w:tcW w:w="1098" w:type="dxa"/>
          </w:tcPr>
          <w:p w:rsidR="004B3A72" w:rsidRPr="006D1B53" w:rsidRDefault="004B3A72" w:rsidP="006E19F8">
            <w:pPr>
              <w:tabs>
                <w:tab w:val="right" w:pos="562"/>
              </w:tabs>
              <w:suppressAutoHyphens/>
              <w:jc w:val="center"/>
              <w:rPr>
                <w:rFonts w:ascii="Arial" w:hAnsi="Arial" w:cs="Arial"/>
                <w:szCs w:val="24"/>
              </w:rPr>
            </w:pPr>
          </w:p>
          <w:p w:rsidR="004B3A72" w:rsidRPr="006D1B53" w:rsidRDefault="004B3A72" w:rsidP="006E19F8">
            <w:pPr>
              <w:tabs>
                <w:tab w:val="right" w:pos="562"/>
              </w:tabs>
              <w:suppressAutoHyphens/>
              <w:jc w:val="center"/>
              <w:rPr>
                <w:rFonts w:ascii="Arial" w:hAnsi="Arial" w:cs="Arial"/>
                <w:szCs w:val="24"/>
              </w:rPr>
            </w:pPr>
          </w:p>
          <w:p w:rsidR="004B3A72" w:rsidRPr="006D1B53" w:rsidRDefault="00CB7C63" w:rsidP="006E19F8">
            <w:pPr>
              <w:tabs>
                <w:tab w:val="right" w:pos="562"/>
              </w:tabs>
              <w:suppressAutoHyphens/>
              <w:jc w:val="center"/>
              <w:rPr>
                <w:rFonts w:ascii="Arial" w:hAnsi="Arial" w:cs="Arial"/>
                <w:szCs w:val="24"/>
              </w:rPr>
            </w:pPr>
            <w:r>
              <w:rPr>
                <w:rFonts w:ascii="Arial" w:hAnsi="Arial" w:cs="Arial"/>
                <w:szCs w:val="24"/>
              </w:rPr>
              <w:t>5</w:t>
            </w:r>
          </w:p>
          <w:p w:rsidR="004B3A72" w:rsidRPr="006D1B53" w:rsidRDefault="004B3A72" w:rsidP="006E19F8">
            <w:pPr>
              <w:tabs>
                <w:tab w:val="right" w:pos="562"/>
              </w:tabs>
              <w:suppressAutoHyphens/>
              <w:jc w:val="center"/>
              <w:rPr>
                <w:rFonts w:ascii="Arial" w:hAnsi="Arial" w:cs="Arial"/>
                <w:szCs w:val="24"/>
              </w:rPr>
            </w:pPr>
          </w:p>
        </w:tc>
      </w:tr>
      <w:tr w:rsidR="004B3A72" w:rsidRPr="002C61BD" w:rsidTr="006E19F8">
        <w:tc>
          <w:tcPr>
            <w:tcW w:w="8478" w:type="dxa"/>
          </w:tcPr>
          <w:p w:rsidR="004B3A72" w:rsidRPr="006D1B53" w:rsidRDefault="004B3A72" w:rsidP="006E19F8">
            <w:pPr>
              <w:tabs>
                <w:tab w:val="left" w:pos="390"/>
                <w:tab w:val="left" w:pos="9180"/>
              </w:tabs>
              <w:suppressAutoHyphens/>
              <w:ind w:left="360"/>
              <w:rPr>
                <w:rFonts w:ascii="Arial" w:hAnsi="Arial" w:cs="Arial"/>
                <w:szCs w:val="24"/>
              </w:rPr>
            </w:pPr>
            <w:r w:rsidRPr="006D1B53">
              <w:rPr>
                <w:rFonts w:ascii="Arial" w:hAnsi="Arial" w:cs="Arial"/>
                <w:szCs w:val="24"/>
              </w:rPr>
              <w:t>Notes To The Financial Statement</w:t>
            </w:r>
            <w:r w:rsidR="00A46665">
              <w:rPr>
                <w:rFonts w:ascii="Arial" w:hAnsi="Arial" w:cs="Arial"/>
                <w:szCs w:val="24"/>
              </w:rPr>
              <w:t>s</w:t>
            </w:r>
            <w:bookmarkStart w:id="0" w:name="_GoBack"/>
            <w:bookmarkEnd w:id="0"/>
          </w:p>
        </w:tc>
        <w:tc>
          <w:tcPr>
            <w:tcW w:w="1098" w:type="dxa"/>
          </w:tcPr>
          <w:p w:rsidR="004B3A72" w:rsidRPr="006D1B53" w:rsidRDefault="00CB7C63" w:rsidP="006E19F8">
            <w:pPr>
              <w:tabs>
                <w:tab w:val="right" w:pos="562"/>
              </w:tabs>
              <w:suppressAutoHyphens/>
              <w:jc w:val="center"/>
              <w:rPr>
                <w:rFonts w:ascii="Arial" w:hAnsi="Arial" w:cs="Arial"/>
                <w:szCs w:val="24"/>
              </w:rPr>
            </w:pPr>
            <w:r>
              <w:rPr>
                <w:rFonts w:ascii="Arial" w:hAnsi="Arial" w:cs="Arial"/>
                <w:szCs w:val="24"/>
              </w:rPr>
              <w:t>6</w:t>
            </w:r>
          </w:p>
        </w:tc>
      </w:tr>
      <w:tr w:rsidR="004B3A72" w:rsidRPr="002C61BD" w:rsidTr="006E19F8">
        <w:tc>
          <w:tcPr>
            <w:tcW w:w="8478" w:type="dxa"/>
          </w:tcPr>
          <w:p w:rsidR="004B3A72" w:rsidRPr="006D1B53" w:rsidRDefault="004B3A72" w:rsidP="006E19F8">
            <w:pPr>
              <w:pStyle w:val="EndnoteText"/>
              <w:tabs>
                <w:tab w:val="left" w:pos="9180"/>
              </w:tabs>
              <w:suppressAutoHyphens/>
              <w:ind w:left="360"/>
              <w:rPr>
                <w:rFonts w:ascii="Arial" w:hAnsi="Arial" w:cs="Arial"/>
                <w:szCs w:val="24"/>
              </w:rPr>
            </w:pPr>
          </w:p>
        </w:tc>
        <w:tc>
          <w:tcPr>
            <w:tcW w:w="1098" w:type="dxa"/>
          </w:tcPr>
          <w:p w:rsidR="004B3A72" w:rsidRPr="006D1B53" w:rsidRDefault="004B3A72" w:rsidP="006E19F8">
            <w:pPr>
              <w:tabs>
                <w:tab w:val="right" w:pos="562"/>
              </w:tabs>
              <w:suppressAutoHyphens/>
              <w:rPr>
                <w:rFonts w:ascii="Arial" w:hAnsi="Arial" w:cs="Arial"/>
                <w:szCs w:val="24"/>
              </w:rPr>
            </w:pPr>
          </w:p>
        </w:tc>
      </w:tr>
      <w:tr w:rsidR="004B3A72" w:rsidRPr="006D1B53" w:rsidTr="006E19F8">
        <w:tc>
          <w:tcPr>
            <w:tcW w:w="8478" w:type="dxa"/>
          </w:tcPr>
          <w:p w:rsidR="004B3A72" w:rsidRPr="006D1B53" w:rsidRDefault="004B3A72" w:rsidP="006E19F8">
            <w:pPr>
              <w:tabs>
                <w:tab w:val="left" w:pos="-2880"/>
                <w:tab w:val="left" w:pos="-720"/>
                <w:tab w:val="left" w:pos="1440"/>
                <w:tab w:val="left" w:pos="9180"/>
              </w:tabs>
              <w:suppressAutoHyphens/>
              <w:rPr>
                <w:rFonts w:ascii="Arial" w:hAnsi="Arial" w:cs="Arial"/>
                <w:szCs w:val="24"/>
              </w:rPr>
            </w:pPr>
            <w:r w:rsidRPr="006D1B53">
              <w:rPr>
                <w:rFonts w:ascii="Arial" w:hAnsi="Arial" w:cs="Arial"/>
                <w:b/>
                <w:szCs w:val="24"/>
              </w:rPr>
              <w:t>BACKGROUND AND OPERATIONAL REVIEW</w:t>
            </w:r>
          </w:p>
        </w:tc>
        <w:tc>
          <w:tcPr>
            <w:tcW w:w="1098" w:type="dxa"/>
          </w:tcPr>
          <w:p w:rsidR="004B3A72" w:rsidRPr="006D1B53" w:rsidRDefault="004B3A72" w:rsidP="006E19F8">
            <w:pPr>
              <w:tabs>
                <w:tab w:val="right" w:pos="562"/>
              </w:tabs>
              <w:suppressAutoHyphens/>
              <w:jc w:val="center"/>
              <w:rPr>
                <w:rFonts w:ascii="Arial" w:hAnsi="Arial" w:cs="Arial"/>
                <w:szCs w:val="24"/>
              </w:rPr>
            </w:pPr>
          </w:p>
        </w:tc>
      </w:tr>
      <w:tr w:rsidR="004B3A72" w:rsidRPr="002C61BD" w:rsidTr="006E19F8">
        <w:tc>
          <w:tcPr>
            <w:tcW w:w="8478" w:type="dxa"/>
          </w:tcPr>
          <w:p w:rsidR="004B3A72" w:rsidRPr="002C61BD" w:rsidRDefault="004B3A72" w:rsidP="006E19F8">
            <w:pPr>
              <w:tabs>
                <w:tab w:val="left" w:pos="-720"/>
                <w:tab w:val="left" w:pos="360"/>
                <w:tab w:val="left" w:pos="1440"/>
                <w:tab w:val="left" w:pos="9180"/>
              </w:tabs>
              <w:suppressAutoHyphens/>
              <w:rPr>
                <w:rFonts w:ascii="Arial" w:hAnsi="Arial" w:cs="Arial"/>
                <w:b/>
                <w:szCs w:val="24"/>
                <w:u w:val="single"/>
              </w:rPr>
            </w:pPr>
          </w:p>
        </w:tc>
        <w:tc>
          <w:tcPr>
            <w:tcW w:w="1098" w:type="dxa"/>
          </w:tcPr>
          <w:p w:rsidR="004B3A72" w:rsidRPr="002C61BD" w:rsidRDefault="004B3A72" w:rsidP="006E19F8">
            <w:pPr>
              <w:tabs>
                <w:tab w:val="right" w:pos="562"/>
              </w:tabs>
              <w:suppressAutoHyphens/>
              <w:rPr>
                <w:rFonts w:ascii="Arial" w:hAnsi="Arial" w:cs="Arial"/>
                <w:szCs w:val="24"/>
              </w:rPr>
            </w:pPr>
          </w:p>
        </w:tc>
      </w:tr>
      <w:tr w:rsidR="004B3A72" w:rsidRPr="002C61BD" w:rsidTr="006E19F8">
        <w:trPr>
          <w:trHeight w:val="306"/>
        </w:trPr>
        <w:tc>
          <w:tcPr>
            <w:tcW w:w="8478" w:type="dxa"/>
          </w:tcPr>
          <w:p w:rsidR="004B3A72" w:rsidRPr="002C61BD" w:rsidRDefault="004B3A72" w:rsidP="006E19F8">
            <w:pPr>
              <w:tabs>
                <w:tab w:val="left" w:pos="-720"/>
                <w:tab w:val="left" w:pos="360"/>
                <w:tab w:val="left" w:pos="1440"/>
                <w:tab w:val="left" w:pos="9180"/>
              </w:tabs>
              <w:suppressAutoHyphens/>
              <w:rPr>
                <w:rFonts w:ascii="Arial" w:hAnsi="Arial" w:cs="Arial"/>
                <w:szCs w:val="24"/>
              </w:rPr>
            </w:pPr>
            <w:r w:rsidRPr="002C61BD">
              <w:rPr>
                <w:rFonts w:ascii="Arial" w:hAnsi="Arial" w:cs="Arial"/>
                <w:szCs w:val="24"/>
              </w:rPr>
              <w:t xml:space="preserve">     Background</w:t>
            </w:r>
          </w:p>
        </w:tc>
        <w:tc>
          <w:tcPr>
            <w:tcW w:w="1098" w:type="dxa"/>
          </w:tcPr>
          <w:p w:rsidR="004B3A72" w:rsidRPr="002C61BD" w:rsidRDefault="00443FE8" w:rsidP="00443FE8">
            <w:pPr>
              <w:tabs>
                <w:tab w:val="right" w:pos="562"/>
              </w:tabs>
              <w:suppressAutoHyphens/>
              <w:jc w:val="center"/>
              <w:rPr>
                <w:rFonts w:ascii="Arial" w:hAnsi="Arial" w:cs="Arial"/>
                <w:szCs w:val="24"/>
              </w:rPr>
            </w:pPr>
            <w:r>
              <w:rPr>
                <w:rFonts w:ascii="Arial" w:hAnsi="Arial" w:cs="Arial"/>
                <w:szCs w:val="24"/>
              </w:rPr>
              <w:t>8</w:t>
            </w:r>
          </w:p>
        </w:tc>
      </w:tr>
      <w:tr w:rsidR="004B3A72" w:rsidRPr="002C61BD" w:rsidTr="006E19F8">
        <w:trPr>
          <w:trHeight w:val="261"/>
        </w:trPr>
        <w:tc>
          <w:tcPr>
            <w:tcW w:w="8478" w:type="dxa"/>
          </w:tcPr>
          <w:p w:rsidR="004B3A72" w:rsidRPr="002C61BD" w:rsidRDefault="004B3A72" w:rsidP="006E19F8">
            <w:pPr>
              <w:tabs>
                <w:tab w:val="left" w:pos="-720"/>
                <w:tab w:val="left" w:pos="360"/>
                <w:tab w:val="left" w:pos="1440"/>
                <w:tab w:val="left" w:pos="9180"/>
              </w:tabs>
              <w:suppressAutoHyphens/>
              <w:rPr>
                <w:rFonts w:ascii="Arial" w:hAnsi="Arial" w:cs="Arial"/>
                <w:szCs w:val="24"/>
              </w:rPr>
            </w:pPr>
          </w:p>
        </w:tc>
        <w:tc>
          <w:tcPr>
            <w:tcW w:w="1098" w:type="dxa"/>
          </w:tcPr>
          <w:p w:rsidR="004B3A72" w:rsidRPr="002C61BD" w:rsidRDefault="004B3A72" w:rsidP="006E19F8">
            <w:pPr>
              <w:tabs>
                <w:tab w:val="right" w:pos="562"/>
              </w:tabs>
              <w:suppressAutoHyphens/>
              <w:jc w:val="center"/>
              <w:rPr>
                <w:rFonts w:ascii="Arial" w:hAnsi="Arial" w:cs="Arial"/>
                <w:szCs w:val="24"/>
              </w:rPr>
            </w:pPr>
          </w:p>
        </w:tc>
      </w:tr>
      <w:tr w:rsidR="00E267CA" w:rsidRPr="002C61BD" w:rsidTr="006E19F8">
        <w:tc>
          <w:tcPr>
            <w:tcW w:w="8478" w:type="dxa"/>
          </w:tcPr>
          <w:p w:rsidR="00E267CA" w:rsidRPr="00D739B9" w:rsidRDefault="00E267CA" w:rsidP="00847BC4">
            <w:pPr>
              <w:tabs>
                <w:tab w:val="left" w:pos="-2880"/>
                <w:tab w:val="left" w:pos="-720"/>
                <w:tab w:val="left" w:pos="1440"/>
                <w:tab w:val="left" w:pos="9180"/>
              </w:tabs>
              <w:suppressAutoHyphens/>
              <w:rPr>
                <w:rFonts w:ascii="Arial" w:hAnsi="Arial" w:cs="Arial"/>
                <w:b/>
                <w:szCs w:val="24"/>
              </w:rPr>
            </w:pPr>
            <w:r>
              <w:rPr>
                <w:rFonts w:ascii="Arial" w:hAnsi="Arial" w:cs="Arial"/>
                <w:b/>
                <w:szCs w:val="24"/>
              </w:rPr>
              <w:t>ACKNOWLEDGEMENTS</w:t>
            </w:r>
          </w:p>
        </w:tc>
        <w:tc>
          <w:tcPr>
            <w:tcW w:w="1098" w:type="dxa"/>
          </w:tcPr>
          <w:p w:rsidR="00E267CA" w:rsidRPr="002C61BD" w:rsidRDefault="00443FE8" w:rsidP="006E19F8">
            <w:pPr>
              <w:tabs>
                <w:tab w:val="right" w:pos="562"/>
              </w:tabs>
              <w:suppressAutoHyphens/>
              <w:jc w:val="center"/>
              <w:rPr>
                <w:rFonts w:ascii="Arial" w:hAnsi="Arial" w:cs="Arial"/>
                <w:szCs w:val="24"/>
              </w:rPr>
            </w:pPr>
            <w:r>
              <w:rPr>
                <w:rFonts w:ascii="Arial" w:hAnsi="Arial" w:cs="Arial"/>
                <w:szCs w:val="24"/>
              </w:rPr>
              <w:t>9</w:t>
            </w:r>
          </w:p>
        </w:tc>
      </w:tr>
      <w:tr w:rsidR="00E267CA" w:rsidRPr="002C61BD" w:rsidTr="006E19F8">
        <w:tc>
          <w:tcPr>
            <w:tcW w:w="8478" w:type="dxa"/>
          </w:tcPr>
          <w:p w:rsidR="00E267CA" w:rsidRPr="000E3C25" w:rsidRDefault="00E267CA" w:rsidP="006E19F8">
            <w:pPr>
              <w:tabs>
                <w:tab w:val="left" w:pos="-720"/>
                <w:tab w:val="left" w:pos="360"/>
                <w:tab w:val="left" w:pos="1440"/>
                <w:tab w:val="left" w:pos="9180"/>
              </w:tabs>
              <w:suppressAutoHyphens/>
              <w:ind w:left="360"/>
              <w:rPr>
                <w:rFonts w:ascii="Arial" w:hAnsi="Arial" w:cs="Arial"/>
                <w:b/>
                <w:szCs w:val="24"/>
                <w:highlight w:val="yellow"/>
                <w:u w:val="single"/>
              </w:rPr>
            </w:pPr>
          </w:p>
        </w:tc>
        <w:tc>
          <w:tcPr>
            <w:tcW w:w="1098" w:type="dxa"/>
          </w:tcPr>
          <w:p w:rsidR="00E267CA" w:rsidRPr="002C61BD" w:rsidRDefault="00E267CA" w:rsidP="006E19F8">
            <w:pPr>
              <w:tabs>
                <w:tab w:val="right" w:pos="562"/>
              </w:tabs>
              <w:suppressAutoHyphens/>
              <w:jc w:val="center"/>
              <w:rPr>
                <w:rFonts w:ascii="Arial" w:hAnsi="Arial" w:cs="Arial"/>
                <w:szCs w:val="24"/>
              </w:rPr>
            </w:pPr>
          </w:p>
        </w:tc>
      </w:tr>
      <w:tr w:rsidR="00E267CA" w:rsidRPr="006D1B53" w:rsidTr="006E19F8">
        <w:tc>
          <w:tcPr>
            <w:tcW w:w="8478" w:type="dxa"/>
          </w:tcPr>
          <w:p w:rsidR="00E267CA" w:rsidRPr="000E3C25" w:rsidRDefault="00E267CA" w:rsidP="006E19F8">
            <w:pPr>
              <w:tabs>
                <w:tab w:val="left" w:pos="-720"/>
                <w:tab w:val="left" w:pos="360"/>
                <w:tab w:val="left" w:pos="1440"/>
                <w:tab w:val="left" w:pos="9180"/>
              </w:tabs>
              <w:suppressAutoHyphens/>
              <w:rPr>
                <w:rFonts w:ascii="Arial" w:hAnsi="Arial" w:cs="Arial"/>
                <w:b/>
                <w:szCs w:val="24"/>
                <w:highlight w:val="yellow"/>
              </w:rPr>
            </w:pPr>
          </w:p>
        </w:tc>
        <w:tc>
          <w:tcPr>
            <w:tcW w:w="1098" w:type="dxa"/>
          </w:tcPr>
          <w:p w:rsidR="00E267CA" w:rsidRPr="006D1B53" w:rsidRDefault="00E267CA" w:rsidP="006E19F8">
            <w:pPr>
              <w:tabs>
                <w:tab w:val="right" w:pos="562"/>
              </w:tabs>
              <w:suppressAutoHyphens/>
              <w:jc w:val="center"/>
              <w:rPr>
                <w:rFonts w:ascii="Arial" w:hAnsi="Arial" w:cs="Arial"/>
                <w:szCs w:val="24"/>
              </w:rPr>
            </w:pPr>
          </w:p>
        </w:tc>
      </w:tr>
      <w:tr w:rsidR="00E267CA" w:rsidRPr="002C61BD" w:rsidTr="006E19F8">
        <w:trPr>
          <w:trHeight w:val="74"/>
        </w:trPr>
        <w:tc>
          <w:tcPr>
            <w:tcW w:w="8478" w:type="dxa"/>
          </w:tcPr>
          <w:p w:rsidR="00E267CA" w:rsidRPr="00D739B9" w:rsidRDefault="00E267CA" w:rsidP="006E19F8">
            <w:pPr>
              <w:tabs>
                <w:tab w:val="left" w:pos="-2880"/>
                <w:tab w:val="left" w:pos="-720"/>
                <w:tab w:val="left" w:pos="1440"/>
                <w:tab w:val="left" w:pos="9180"/>
              </w:tabs>
              <w:suppressAutoHyphens/>
              <w:rPr>
                <w:rFonts w:ascii="Arial" w:hAnsi="Arial" w:cs="Arial"/>
                <w:b/>
                <w:szCs w:val="24"/>
              </w:rPr>
            </w:pPr>
          </w:p>
        </w:tc>
        <w:tc>
          <w:tcPr>
            <w:tcW w:w="1098" w:type="dxa"/>
          </w:tcPr>
          <w:p w:rsidR="00E267CA" w:rsidRPr="002C61BD" w:rsidRDefault="00E267CA" w:rsidP="006E19F8">
            <w:pPr>
              <w:tabs>
                <w:tab w:val="right" w:pos="562"/>
              </w:tabs>
              <w:suppressAutoHyphens/>
              <w:jc w:val="center"/>
              <w:rPr>
                <w:rFonts w:ascii="Arial" w:hAnsi="Arial" w:cs="Arial"/>
                <w:szCs w:val="24"/>
              </w:rPr>
            </w:pPr>
          </w:p>
        </w:tc>
      </w:tr>
      <w:tr w:rsidR="00E267CA" w:rsidRPr="00D739B9" w:rsidTr="006E19F8">
        <w:tc>
          <w:tcPr>
            <w:tcW w:w="8478" w:type="dxa"/>
          </w:tcPr>
          <w:p w:rsidR="00E267CA" w:rsidRPr="00D739B9" w:rsidRDefault="00E267CA" w:rsidP="006E19F8">
            <w:pPr>
              <w:tabs>
                <w:tab w:val="left" w:pos="-2880"/>
                <w:tab w:val="left" w:pos="-720"/>
                <w:tab w:val="left" w:pos="1440"/>
                <w:tab w:val="left" w:pos="9180"/>
              </w:tabs>
              <w:suppressAutoHyphens/>
              <w:rPr>
                <w:rFonts w:ascii="Arial" w:hAnsi="Arial" w:cs="Arial"/>
                <w:b/>
                <w:szCs w:val="24"/>
              </w:rPr>
            </w:pPr>
          </w:p>
        </w:tc>
        <w:tc>
          <w:tcPr>
            <w:tcW w:w="1098" w:type="dxa"/>
          </w:tcPr>
          <w:p w:rsidR="00E267CA" w:rsidRPr="00D739B9" w:rsidRDefault="00E267CA" w:rsidP="006E19F8">
            <w:pPr>
              <w:tabs>
                <w:tab w:val="left" w:pos="-2880"/>
                <w:tab w:val="left" w:pos="-720"/>
                <w:tab w:val="left" w:pos="1440"/>
                <w:tab w:val="left" w:pos="9180"/>
              </w:tabs>
              <w:suppressAutoHyphens/>
              <w:rPr>
                <w:rFonts w:ascii="Arial" w:hAnsi="Arial" w:cs="Arial"/>
                <w:b/>
                <w:szCs w:val="24"/>
              </w:rPr>
            </w:pPr>
          </w:p>
        </w:tc>
      </w:tr>
      <w:tr w:rsidR="00E267CA" w:rsidRPr="002C61BD" w:rsidTr="006E19F8">
        <w:tc>
          <w:tcPr>
            <w:tcW w:w="8478" w:type="dxa"/>
          </w:tcPr>
          <w:p w:rsidR="00E267CA" w:rsidRPr="002C61BD" w:rsidRDefault="00E267CA" w:rsidP="006E19F8">
            <w:pPr>
              <w:pStyle w:val="EndnoteText"/>
              <w:tabs>
                <w:tab w:val="left" w:pos="9180"/>
              </w:tabs>
              <w:suppressAutoHyphens/>
              <w:ind w:left="360"/>
              <w:rPr>
                <w:rFonts w:ascii="Arial" w:hAnsi="Arial" w:cs="Arial"/>
                <w:szCs w:val="24"/>
              </w:rPr>
            </w:pPr>
          </w:p>
        </w:tc>
        <w:tc>
          <w:tcPr>
            <w:tcW w:w="1098" w:type="dxa"/>
          </w:tcPr>
          <w:p w:rsidR="00E267CA" w:rsidRPr="002C61BD" w:rsidRDefault="00E267CA" w:rsidP="006E19F8">
            <w:pPr>
              <w:tabs>
                <w:tab w:val="right" w:pos="562"/>
              </w:tabs>
              <w:suppressAutoHyphens/>
              <w:jc w:val="center"/>
              <w:rPr>
                <w:rFonts w:ascii="Arial" w:hAnsi="Arial" w:cs="Arial"/>
                <w:szCs w:val="24"/>
              </w:rPr>
            </w:pPr>
          </w:p>
        </w:tc>
      </w:tr>
      <w:tr w:rsidR="00E267CA" w:rsidRPr="002C61BD" w:rsidTr="006E19F8">
        <w:tc>
          <w:tcPr>
            <w:tcW w:w="8478" w:type="dxa"/>
          </w:tcPr>
          <w:p w:rsidR="00E267CA" w:rsidRPr="002C61BD" w:rsidRDefault="00E267CA" w:rsidP="006E19F8">
            <w:pPr>
              <w:pStyle w:val="EndnoteText"/>
              <w:tabs>
                <w:tab w:val="left" w:pos="9180"/>
              </w:tabs>
              <w:suppressAutoHyphens/>
              <w:ind w:left="360"/>
              <w:rPr>
                <w:rFonts w:ascii="Arial" w:hAnsi="Arial" w:cs="Arial"/>
                <w:szCs w:val="24"/>
              </w:rPr>
            </w:pPr>
          </w:p>
        </w:tc>
        <w:tc>
          <w:tcPr>
            <w:tcW w:w="1098" w:type="dxa"/>
          </w:tcPr>
          <w:p w:rsidR="00E267CA" w:rsidRPr="002C61BD" w:rsidRDefault="00E267CA" w:rsidP="006E19F8">
            <w:pPr>
              <w:tabs>
                <w:tab w:val="right" w:pos="562"/>
              </w:tabs>
              <w:suppressAutoHyphens/>
              <w:rPr>
                <w:rFonts w:ascii="Arial" w:hAnsi="Arial" w:cs="Arial"/>
                <w:szCs w:val="24"/>
              </w:rPr>
            </w:pPr>
          </w:p>
        </w:tc>
      </w:tr>
      <w:tr w:rsidR="00E267CA" w:rsidRPr="002C61BD" w:rsidTr="006E19F8">
        <w:tc>
          <w:tcPr>
            <w:tcW w:w="8478" w:type="dxa"/>
          </w:tcPr>
          <w:p w:rsidR="00E267CA" w:rsidRPr="002C61BD" w:rsidRDefault="00E267CA" w:rsidP="006E19F8">
            <w:pPr>
              <w:pStyle w:val="EndnoteText"/>
              <w:tabs>
                <w:tab w:val="left" w:pos="9180"/>
              </w:tabs>
              <w:suppressAutoHyphens/>
              <w:ind w:left="360"/>
              <w:rPr>
                <w:rFonts w:ascii="Arial" w:hAnsi="Arial" w:cs="Arial"/>
                <w:szCs w:val="24"/>
              </w:rPr>
            </w:pPr>
          </w:p>
        </w:tc>
        <w:tc>
          <w:tcPr>
            <w:tcW w:w="1098" w:type="dxa"/>
          </w:tcPr>
          <w:p w:rsidR="00E267CA" w:rsidRPr="002C61BD" w:rsidRDefault="00E267CA" w:rsidP="006E19F8">
            <w:pPr>
              <w:tabs>
                <w:tab w:val="right" w:pos="562"/>
              </w:tabs>
              <w:suppressAutoHyphens/>
              <w:jc w:val="center"/>
              <w:rPr>
                <w:rFonts w:ascii="Arial" w:hAnsi="Arial" w:cs="Arial"/>
                <w:szCs w:val="24"/>
              </w:rPr>
            </w:pPr>
          </w:p>
        </w:tc>
      </w:tr>
      <w:tr w:rsidR="00E267CA" w:rsidRPr="002C61BD" w:rsidTr="006E19F8">
        <w:tc>
          <w:tcPr>
            <w:tcW w:w="8478" w:type="dxa"/>
          </w:tcPr>
          <w:p w:rsidR="00E267CA" w:rsidRPr="002C61BD" w:rsidRDefault="00E267CA" w:rsidP="006E19F8">
            <w:pPr>
              <w:pStyle w:val="EndnoteText"/>
              <w:tabs>
                <w:tab w:val="left" w:pos="9180"/>
              </w:tabs>
              <w:suppressAutoHyphens/>
              <w:ind w:left="360"/>
              <w:rPr>
                <w:rFonts w:ascii="Arial" w:hAnsi="Arial" w:cs="Arial"/>
                <w:szCs w:val="24"/>
              </w:rPr>
            </w:pPr>
          </w:p>
        </w:tc>
        <w:tc>
          <w:tcPr>
            <w:tcW w:w="1098" w:type="dxa"/>
          </w:tcPr>
          <w:p w:rsidR="00E267CA" w:rsidRPr="002C61BD" w:rsidRDefault="00E267CA" w:rsidP="006E19F8">
            <w:pPr>
              <w:tabs>
                <w:tab w:val="right" w:pos="562"/>
              </w:tabs>
              <w:suppressAutoHyphens/>
              <w:rPr>
                <w:rFonts w:ascii="Arial" w:hAnsi="Arial" w:cs="Arial"/>
                <w:szCs w:val="24"/>
              </w:rPr>
            </w:pPr>
          </w:p>
        </w:tc>
      </w:tr>
      <w:tr w:rsidR="00E267CA" w:rsidRPr="002C61BD" w:rsidTr="006E19F8">
        <w:trPr>
          <w:trHeight w:val="252"/>
        </w:trPr>
        <w:tc>
          <w:tcPr>
            <w:tcW w:w="8478" w:type="dxa"/>
          </w:tcPr>
          <w:p w:rsidR="00E267CA" w:rsidRPr="002C61BD" w:rsidRDefault="00E267CA" w:rsidP="006E19F8">
            <w:pPr>
              <w:tabs>
                <w:tab w:val="left" w:pos="390"/>
                <w:tab w:val="left" w:pos="9180"/>
              </w:tabs>
              <w:suppressAutoHyphens/>
              <w:ind w:left="360"/>
              <w:rPr>
                <w:rFonts w:ascii="Arial" w:hAnsi="Arial" w:cs="Arial"/>
                <w:szCs w:val="24"/>
              </w:rPr>
            </w:pPr>
          </w:p>
        </w:tc>
        <w:tc>
          <w:tcPr>
            <w:tcW w:w="1098" w:type="dxa"/>
          </w:tcPr>
          <w:p w:rsidR="00E267CA" w:rsidRPr="002C61BD" w:rsidRDefault="00E267CA" w:rsidP="006E19F8">
            <w:pPr>
              <w:tabs>
                <w:tab w:val="right" w:pos="562"/>
              </w:tabs>
              <w:suppressAutoHyphens/>
              <w:jc w:val="center"/>
              <w:rPr>
                <w:rFonts w:ascii="Arial" w:hAnsi="Arial" w:cs="Arial"/>
                <w:szCs w:val="24"/>
              </w:rPr>
            </w:pPr>
          </w:p>
        </w:tc>
      </w:tr>
      <w:tr w:rsidR="00E267CA" w:rsidRPr="002C61BD" w:rsidTr="006E19F8">
        <w:tc>
          <w:tcPr>
            <w:tcW w:w="8478" w:type="dxa"/>
          </w:tcPr>
          <w:p w:rsidR="00E267CA" w:rsidRPr="002C61BD" w:rsidRDefault="00E267CA" w:rsidP="006E19F8">
            <w:pPr>
              <w:tabs>
                <w:tab w:val="left" w:pos="-2880"/>
                <w:tab w:val="left" w:pos="-720"/>
                <w:tab w:val="left" w:pos="1440"/>
                <w:tab w:val="left" w:pos="9180"/>
              </w:tabs>
              <w:suppressAutoHyphens/>
              <w:rPr>
                <w:rFonts w:ascii="Arial" w:hAnsi="Arial" w:cs="Arial"/>
                <w:szCs w:val="24"/>
              </w:rPr>
            </w:pPr>
          </w:p>
        </w:tc>
        <w:tc>
          <w:tcPr>
            <w:tcW w:w="1098" w:type="dxa"/>
          </w:tcPr>
          <w:p w:rsidR="00E267CA" w:rsidRPr="002C61BD" w:rsidRDefault="00E267CA" w:rsidP="006E19F8">
            <w:pPr>
              <w:tabs>
                <w:tab w:val="right" w:pos="562"/>
              </w:tabs>
              <w:suppressAutoHyphens/>
              <w:jc w:val="center"/>
              <w:rPr>
                <w:rFonts w:ascii="Arial" w:hAnsi="Arial" w:cs="Arial"/>
                <w:szCs w:val="24"/>
              </w:rPr>
            </w:pPr>
          </w:p>
        </w:tc>
      </w:tr>
    </w:tbl>
    <w:p w:rsidR="00DF7BE0" w:rsidRPr="00DF7BE0" w:rsidRDefault="00DF7BE0" w:rsidP="00DF7BE0"/>
    <w:p w:rsidR="007B11B6" w:rsidRDefault="007B11B6" w:rsidP="00343C2B"/>
    <w:p w:rsidR="007B11B6" w:rsidRDefault="007B11B6" w:rsidP="00343C2B"/>
    <w:p w:rsidR="007B11B6" w:rsidRDefault="007B11B6" w:rsidP="00343C2B"/>
    <w:p w:rsidR="007B11B6" w:rsidRDefault="007B11B6" w:rsidP="00343C2B"/>
    <w:p w:rsidR="007B11B6" w:rsidRPr="00343C2B" w:rsidRDefault="007B11B6" w:rsidP="00343C2B"/>
    <w:p w:rsidR="007E0B70" w:rsidRDefault="007E0B70" w:rsidP="007E0B70">
      <w:pPr>
        <w:pStyle w:val="Heading4"/>
        <w:tabs>
          <w:tab w:val="clear" w:pos="4680"/>
        </w:tabs>
        <w:rPr>
          <w:rFonts w:ascii="Arial" w:hAnsi="Arial" w:cs="Arial"/>
          <w:sz w:val="36"/>
          <w:szCs w:val="24"/>
          <w:u w:val="none"/>
        </w:rPr>
      </w:pPr>
    </w:p>
    <w:p w:rsidR="007B0F67" w:rsidRDefault="007B0F67" w:rsidP="00343C2B"/>
    <w:p w:rsidR="007B0F67" w:rsidRPr="00343C2B" w:rsidRDefault="007B0F67" w:rsidP="00343C2B">
      <w:pPr>
        <w:rPr>
          <w:rFonts w:ascii="Arial" w:hAnsi="Arial" w:cs="Arial"/>
        </w:rPr>
      </w:pPr>
    </w:p>
    <w:p w:rsidR="007E0B70" w:rsidRPr="002C61BD" w:rsidRDefault="007E0B70" w:rsidP="007E0B70">
      <w:pPr>
        <w:pStyle w:val="Heading4"/>
        <w:tabs>
          <w:tab w:val="clear" w:pos="4680"/>
        </w:tabs>
        <w:rPr>
          <w:rFonts w:ascii="Arial" w:hAnsi="Arial" w:cs="Arial"/>
          <w:sz w:val="36"/>
          <w:szCs w:val="24"/>
          <w:u w:val="none"/>
        </w:rPr>
      </w:pPr>
    </w:p>
    <w:p w:rsidR="007E0B70" w:rsidRPr="002C61BD" w:rsidRDefault="007E0B70" w:rsidP="007E0B70">
      <w:pPr>
        <w:pStyle w:val="Heading4"/>
        <w:tabs>
          <w:tab w:val="clear" w:pos="4680"/>
        </w:tabs>
        <w:rPr>
          <w:rFonts w:ascii="Arial" w:hAnsi="Arial" w:cs="Arial"/>
          <w:sz w:val="36"/>
          <w:szCs w:val="24"/>
          <w:u w:val="none"/>
        </w:rPr>
      </w:pPr>
    </w:p>
    <w:p w:rsidR="007E0B70" w:rsidRDefault="007E0B70" w:rsidP="007E0B70">
      <w:pPr>
        <w:pStyle w:val="Heading4"/>
        <w:tabs>
          <w:tab w:val="clear" w:pos="4680"/>
        </w:tabs>
        <w:rPr>
          <w:rFonts w:ascii="Arial" w:hAnsi="Arial" w:cs="Arial"/>
          <w:sz w:val="36"/>
          <w:szCs w:val="24"/>
          <w:u w:val="none"/>
        </w:rPr>
      </w:pPr>
    </w:p>
    <w:p w:rsidR="000D0A79" w:rsidRPr="000D0A79" w:rsidRDefault="000D0A79" w:rsidP="000D0A79"/>
    <w:p w:rsidR="007E0B70" w:rsidRPr="002C61BD" w:rsidRDefault="007E0B70" w:rsidP="007E0B70">
      <w:pPr>
        <w:pStyle w:val="Heading4"/>
        <w:tabs>
          <w:tab w:val="clear" w:pos="4680"/>
        </w:tabs>
        <w:rPr>
          <w:rFonts w:ascii="Arial" w:hAnsi="Arial" w:cs="Arial"/>
          <w:sz w:val="36"/>
          <w:szCs w:val="24"/>
          <w:u w:val="none"/>
        </w:rPr>
      </w:pPr>
    </w:p>
    <w:p w:rsidR="004B3A72" w:rsidRDefault="004B3A72" w:rsidP="007E0B70">
      <w:pPr>
        <w:pStyle w:val="Heading4"/>
        <w:tabs>
          <w:tab w:val="clear" w:pos="4680"/>
        </w:tabs>
        <w:rPr>
          <w:rFonts w:ascii="Arial" w:hAnsi="Arial" w:cs="Arial"/>
          <w:sz w:val="36"/>
          <w:szCs w:val="24"/>
          <w:u w:val="none"/>
        </w:rPr>
      </w:pPr>
    </w:p>
    <w:p w:rsidR="004B3A72" w:rsidRDefault="004B3A72" w:rsidP="007E0B70">
      <w:pPr>
        <w:pStyle w:val="Heading4"/>
        <w:tabs>
          <w:tab w:val="clear" w:pos="4680"/>
        </w:tabs>
        <w:rPr>
          <w:rFonts w:ascii="Arial" w:hAnsi="Arial" w:cs="Arial"/>
          <w:sz w:val="36"/>
          <w:szCs w:val="24"/>
          <w:u w:val="none"/>
        </w:rPr>
      </w:pPr>
    </w:p>
    <w:p w:rsidR="004B3A72" w:rsidRDefault="004B3A72" w:rsidP="007E0B70">
      <w:pPr>
        <w:pStyle w:val="Heading4"/>
        <w:tabs>
          <w:tab w:val="clear" w:pos="4680"/>
        </w:tabs>
        <w:rPr>
          <w:rFonts w:ascii="Arial" w:hAnsi="Arial" w:cs="Arial"/>
          <w:sz w:val="36"/>
          <w:szCs w:val="24"/>
          <w:u w:val="none"/>
        </w:rPr>
      </w:pPr>
    </w:p>
    <w:p w:rsidR="004B3A72" w:rsidRDefault="004B3A72" w:rsidP="007E0B70">
      <w:pPr>
        <w:pStyle w:val="Heading4"/>
        <w:tabs>
          <w:tab w:val="clear" w:pos="4680"/>
        </w:tabs>
        <w:rPr>
          <w:rFonts w:ascii="Arial" w:hAnsi="Arial" w:cs="Arial"/>
          <w:sz w:val="36"/>
          <w:szCs w:val="24"/>
          <w:u w:val="none"/>
        </w:rPr>
      </w:pPr>
    </w:p>
    <w:p w:rsidR="004B3A72" w:rsidRDefault="004B3A72" w:rsidP="007E0B70">
      <w:pPr>
        <w:pStyle w:val="Heading4"/>
        <w:tabs>
          <w:tab w:val="clear" w:pos="4680"/>
        </w:tabs>
        <w:rPr>
          <w:rFonts w:ascii="Arial" w:hAnsi="Arial" w:cs="Arial"/>
          <w:sz w:val="36"/>
          <w:szCs w:val="24"/>
          <w:u w:val="none"/>
        </w:rPr>
      </w:pPr>
    </w:p>
    <w:p w:rsidR="004B3A72" w:rsidRDefault="004B3A72" w:rsidP="007E0B70">
      <w:pPr>
        <w:pStyle w:val="Heading4"/>
        <w:tabs>
          <w:tab w:val="clear" w:pos="4680"/>
        </w:tabs>
        <w:rPr>
          <w:rFonts w:ascii="Arial" w:hAnsi="Arial" w:cs="Arial"/>
          <w:sz w:val="36"/>
          <w:szCs w:val="24"/>
          <w:u w:val="none"/>
        </w:rPr>
      </w:pPr>
    </w:p>
    <w:p w:rsidR="004B3A72" w:rsidRDefault="004B3A72" w:rsidP="007E0B70">
      <w:pPr>
        <w:pStyle w:val="Heading4"/>
        <w:tabs>
          <w:tab w:val="clear" w:pos="4680"/>
        </w:tabs>
        <w:rPr>
          <w:rFonts w:ascii="Arial" w:hAnsi="Arial" w:cs="Arial"/>
          <w:sz w:val="36"/>
          <w:szCs w:val="24"/>
          <w:u w:val="none"/>
        </w:rPr>
      </w:pPr>
    </w:p>
    <w:p w:rsidR="007E0B70" w:rsidRPr="002C61BD" w:rsidRDefault="007E0B70" w:rsidP="007E0B70">
      <w:pPr>
        <w:pStyle w:val="Heading4"/>
        <w:tabs>
          <w:tab w:val="clear" w:pos="4680"/>
        </w:tabs>
        <w:rPr>
          <w:rFonts w:ascii="Arial" w:hAnsi="Arial" w:cs="Arial"/>
          <w:sz w:val="36"/>
          <w:szCs w:val="24"/>
          <w:u w:val="none"/>
        </w:rPr>
      </w:pPr>
      <w:r w:rsidRPr="002C61BD">
        <w:rPr>
          <w:rFonts w:ascii="Arial" w:hAnsi="Arial" w:cs="Arial"/>
          <w:sz w:val="36"/>
          <w:szCs w:val="24"/>
          <w:u w:val="none"/>
        </w:rPr>
        <w:t>FINANCIAL REVIEW</w:t>
      </w:r>
    </w:p>
    <w:p w:rsidR="007E0B70" w:rsidRPr="002C61BD" w:rsidRDefault="007E0B70" w:rsidP="007E0B70">
      <w:pPr>
        <w:overflowPunct/>
        <w:autoSpaceDE/>
        <w:autoSpaceDN/>
        <w:adjustRightInd/>
        <w:textAlignment w:val="auto"/>
        <w:rPr>
          <w:rFonts w:ascii="Arial" w:hAnsi="Arial" w:cs="Arial"/>
          <w:szCs w:val="24"/>
        </w:rPr>
        <w:sectPr w:rsidR="007E0B70" w:rsidRPr="002C61BD" w:rsidSect="00DF71F5">
          <w:endnotePr>
            <w:numFmt w:val="decimal"/>
          </w:endnotePr>
          <w:pgSz w:w="12240" w:h="15840" w:code="1"/>
          <w:pgMar w:top="1440" w:right="1440" w:bottom="1440" w:left="1440" w:header="720" w:footer="720" w:gutter="0"/>
          <w:pgNumType w:start="3"/>
          <w:cols w:space="720"/>
          <w:noEndnote/>
          <w:docGrid w:linePitch="326"/>
        </w:sectPr>
      </w:pPr>
    </w:p>
    <w:tbl>
      <w:tblPr>
        <w:tblpPr w:leftFromText="180" w:rightFromText="180" w:horzAnchor="margin" w:tblpXSpec="center" w:tblpY="-380"/>
        <w:tblW w:w="10890" w:type="dxa"/>
        <w:tblLayout w:type="fixed"/>
        <w:tblLook w:val="0000" w:firstRow="0" w:lastRow="0" w:firstColumn="0" w:lastColumn="0" w:noHBand="0" w:noVBand="0"/>
      </w:tblPr>
      <w:tblGrid>
        <w:gridCol w:w="1363"/>
        <w:gridCol w:w="8075"/>
        <w:gridCol w:w="1452"/>
      </w:tblGrid>
      <w:tr w:rsidR="00DF71F5" w:rsidRPr="002C61BD" w:rsidTr="00DF71F5">
        <w:trPr>
          <w:trHeight w:val="990"/>
        </w:trPr>
        <w:tc>
          <w:tcPr>
            <w:tcW w:w="1363" w:type="dxa"/>
          </w:tcPr>
          <w:p w:rsidR="00DF71F5" w:rsidRPr="002C61BD" w:rsidRDefault="00DF71F5" w:rsidP="00DF71F5">
            <w:pPr>
              <w:rPr>
                <w:rFonts w:ascii="Arial" w:hAnsi="Arial" w:cs="Arial"/>
                <w:szCs w:val="24"/>
              </w:rPr>
            </w:pPr>
            <w:r w:rsidRPr="002C61BD">
              <w:rPr>
                <w:rFonts w:ascii="Arial" w:hAnsi="Arial" w:cs="Arial"/>
                <w:noProof/>
                <w:spacing w:val="-2"/>
                <w:szCs w:val="24"/>
              </w:rPr>
              <w:lastRenderedPageBreak/>
              <w:drawing>
                <wp:inline distT="0" distB="0" distL="0" distR="0" wp14:anchorId="6499709A" wp14:editId="6D81BD54">
                  <wp:extent cx="723265" cy="723265"/>
                  <wp:effectExtent l="19050" t="0" r="63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4" cstate="print"/>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8075" w:type="dxa"/>
          </w:tcPr>
          <w:p w:rsidR="00DF71F5" w:rsidRPr="002C61BD" w:rsidRDefault="00DF71F5" w:rsidP="00DF71F5">
            <w:pPr>
              <w:suppressAutoHyphens/>
              <w:spacing w:line="204" w:lineRule="auto"/>
              <w:jc w:val="center"/>
              <w:rPr>
                <w:rFonts w:ascii="Arial" w:hAnsi="Arial" w:cs="Arial"/>
                <w:color w:val="000080"/>
                <w:spacing w:val="-3"/>
                <w:szCs w:val="24"/>
              </w:rPr>
            </w:pPr>
          </w:p>
          <w:p w:rsidR="00DF71F5" w:rsidRPr="002C61BD" w:rsidRDefault="00DF71F5" w:rsidP="00DF71F5">
            <w:pPr>
              <w:suppressAutoHyphens/>
              <w:spacing w:line="204" w:lineRule="auto"/>
              <w:jc w:val="center"/>
              <w:rPr>
                <w:rFonts w:ascii="Arial" w:hAnsi="Arial" w:cs="Arial"/>
                <w:color w:val="000080"/>
                <w:spacing w:val="-3"/>
                <w:szCs w:val="24"/>
              </w:rPr>
            </w:pPr>
            <w:r w:rsidRPr="002C61BD">
              <w:rPr>
                <w:rFonts w:ascii="Arial" w:hAnsi="Arial" w:cs="Arial"/>
                <w:color w:val="000080"/>
                <w:spacing w:val="-3"/>
                <w:szCs w:val="24"/>
              </w:rPr>
              <w:t>COMMONWEALTH OF PENNSYLVANIA</w:t>
            </w:r>
          </w:p>
          <w:p w:rsidR="00DF71F5" w:rsidRPr="002C61BD" w:rsidRDefault="00DF71F5" w:rsidP="00DF71F5">
            <w:pPr>
              <w:suppressAutoHyphens/>
              <w:spacing w:line="204" w:lineRule="auto"/>
              <w:jc w:val="center"/>
              <w:rPr>
                <w:rFonts w:ascii="Arial" w:hAnsi="Arial" w:cs="Arial"/>
                <w:color w:val="000080"/>
                <w:spacing w:val="-3"/>
                <w:szCs w:val="24"/>
              </w:rPr>
            </w:pPr>
            <w:r w:rsidRPr="002C61BD">
              <w:rPr>
                <w:rFonts w:ascii="Arial" w:hAnsi="Arial" w:cs="Arial"/>
                <w:color w:val="000080"/>
                <w:spacing w:val="-3"/>
                <w:szCs w:val="24"/>
              </w:rPr>
              <w:t>PENNSYLVANIA PUBLIC UTILITY COMMISSION</w:t>
            </w:r>
          </w:p>
          <w:p w:rsidR="00DF71F5" w:rsidRPr="002C61BD" w:rsidRDefault="00DF71F5" w:rsidP="00DF71F5">
            <w:pPr>
              <w:jc w:val="center"/>
              <w:rPr>
                <w:rFonts w:ascii="Arial" w:hAnsi="Arial" w:cs="Arial"/>
                <w:szCs w:val="24"/>
              </w:rPr>
            </w:pPr>
            <w:r w:rsidRPr="002C61BD">
              <w:rPr>
                <w:rFonts w:ascii="Arial" w:hAnsi="Arial" w:cs="Arial"/>
                <w:color w:val="000080"/>
                <w:spacing w:val="-3"/>
                <w:szCs w:val="24"/>
              </w:rPr>
              <w:t>P.O. BOX 3265, HARRISBURG, PA 17105-3265</w:t>
            </w:r>
          </w:p>
        </w:tc>
        <w:tc>
          <w:tcPr>
            <w:tcW w:w="1452" w:type="dxa"/>
          </w:tcPr>
          <w:p w:rsidR="00DF71F5" w:rsidRPr="002C61BD" w:rsidRDefault="00DF71F5" w:rsidP="00DF71F5">
            <w:pPr>
              <w:rPr>
                <w:rFonts w:ascii="Arial" w:hAnsi="Arial" w:cs="Arial"/>
                <w:sz w:val="18"/>
                <w:szCs w:val="24"/>
              </w:rPr>
            </w:pPr>
          </w:p>
          <w:p w:rsidR="00DF71F5" w:rsidRPr="002C61BD" w:rsidRDefault="00DF71F5" w:rsidP="00DF71F5">
            <w:pPr>
              <w:rPr>
                <w:rFonts w:ascii="Arial" w:hAnsi="Arial" w:cs="Arial"/>
                <w:sz w:val="12"/>
                <w:szCs w:val="24"/>
              </w:rPr>
            </w:pPr>
          </w:p>
          <w:p w:rsidR="00DF71F5" w:rsidRPr="002C61BD" w:rsidRDefault="00DF71F5" w:rsidP="00DF71F5">
            <w:pPr>
              <w:rPr>
                <w:rFonts w:ascii="Arial" w:hAnsi="Arial" w:cs="Arial"/>
                <w:sz w:val="12"/>
                <w:szCs w:val="24"/>
              </w:rPr>
            </w:pPr>
          </w:p>
          <w:p w:rsidR="00DF71F5" w:rsidRPr="002C61BD" w:rsidRDefault="00DF71F5" w:rsidP="00DF71F5">
            <w:pPr>
              <w:rPr>
                <w:rFonts w:ascii="Arial" w:hAnsi="Arial" w:cs="Arial"/>
                <w:sz w:val="12"/>
                <w:szCs w:val="24"/>
              </w:rPr>
            </w:pPr>
          </w:p>
          <w:p w:rsidR="00DF71F5" w:rsidRPr="002C61BD" w:rsidRDefault="00DF71F5" w:rsidP="00DF71F5">
            <w:pPr>
              <w:rPr>
                <w:rFonts w:ascii="Arial" w:hAnsi="Arial" w:cs="Arial"/>
                <w:sz w:val="12"/>
                <w:szCs w:val="24"/>
              </w:rPr>
            </w:pPr>
          </w:p>
          <w:p w:rsidR="00DF71F5" w:rsidRPr="002C61BD" w:rsidRDefault="00DF71F5" w:rsidP="00DF71F5">
            <w:pPr>
              <w:rPr>
                <w:rFonts w:ascii="Arial" w:hAnsi="Arial" w:cs="Arial"/>
                <w:szCs w:val="24"/>
              </w:rPr>
            </w:pPr>
            <w:r w:rsidRPr="002C61BD">
              <w:rPr>
                <w:rFonts w:ascii="Arial" w:hAnsi="Arial" w:cs="Arial"/>
                <w:sz w:val="12"/>
                <w:szCs w:val="24"/>
              </w:rPr>
              <w:t>IN REPLY PLEASE REFER TO OUR FILE</w:t>
            </w:r>
          </w:p>
        </w:tc>
      </w:tr>
    </w:tbl>
    <w:p w:rsidR="00F16976" w:rsidRDefault="00F16976" w:rsidP="004F00DD">
      <w:pPr>
        <w:tabs>
          <w:tab w:val="center" w:pos="4680"/>
          <w:tab w:val="left" w:pos="8820"/>
        </w:tabs>
        <w:overflowPunct/>
        <w:autoSpaceDE/>
        <w:autoSpaceDN/>
        <w:adjustRightInd/>
        <w:jc w:val="center"/>
        <w:textAlignment w:val="auto"/>
        <w:outlineLvl w:val="0"/>
        <w:rPr>
          <w:rFonts w:ascii="Arial" w:hAnsi="Arial" w:cs="Arial"/>
          <w:b/>
          <w:sz w:val="28"/>
          <w:szCs w:val="28"/>
          <w:highlight w:val="yellow"/>
        </w:rPr>
      </w:pPr>
    </w:p>
    <w:p w:rsidR="004F00DD" w:rsidRPr="00F16976" w:rsidRDefault="004F00DD" w:rsidP="004F00DD">
      <w:pPr>
        <w:tabs>
          <w:tab w:val="center" w:pos="4680"/>
          <w:tab w:val="left" w:pos="8820"/>
        </w:tabs>
        <w:overflowPunct/>
        <w:autoSpaceDE/>
        <w:autoSpaceDN/>
        <w:adjustRightInd/>
        <w:jc w:val="center"/>
        <w:textAlignment w:val="auto"/>
        <w:outlineLvl w:val="0"/>
        <w:rPr>
          <w:rFonts w:ascii="Arial" w:hAnsi="Arial" w:cs="Arial"/>
          <w:b/>
          <w:sz w:val="26"/>
          <w:szCs w:val="26"/>
        </w:rPr>
      </w:pPr>
      <w:r w:rsidRPr="00F16976">
        <w:rPr>
          <w:rFonts w:ascii="Arial" w:hAnsi="Arial" w:cs="Arial"/>
          <w:b/>
          <w:sz w:val="26"/>
          <w:szCs w:val="26"/>
        </w:rPr>
        <w:t>INDEPENDENT AUDITOR'S REPORT</w:t>
      </w:r>
    </w:p>
    <w:p w:rsidR="004F00DD" w:rsidRPr="004F00DD" w:rsidRDefault="004F00DD" w:rsidP="004F00DD">
      <w:pPr>
        <w:tabs>
          <w:tab w:val="left" w:pos="-720"/>
          <w:tab w:val="left" w:pos="8820"/>
        </w:tabs>
        <w:overflowPunct/>
        <w:autoSpaceDE/>
        <w:autoSpaceDN/>
        <w:adjustRightInd/>
        <w:textAlignment w:val="auto"/>
        <w:rPr>
          <w:rFonts w:ascii="Arial" w:hAnsi="Arial" w:cs="Arial"/>
          <w:sz w:val="26"/>
          <w:szCs w:val="26"/>
        </w:rPr>
      </w:pPr>
    </w:p>
    <w:p w:rsidR="004F00DD" w:rsidRPr="004F00DD" w:rsidRDefault="004F00DD" w:rsidP="004F00DD">
      <w:pPr>
        <w:tabs>
          <w:tab w:val="center" w:pos="4680"/>
          <w:tab w:val="left" w:pos="8820"/>
        </w:tabs>
        <w:overflowPunct/>
        <w:autoSpaceDE/>
        <w:autoSpaceDN/>
        <w:adjustRightInd/>
        <w:jc w:val="center"/>
        <w:textAlignment w:val="auto"/>
        <w:outlineLvl w:val="0"/>
        <w:rPr>
          <w:rFonts w:ascii="Arial" w:hAnsi="Arial" w:cs="Arial"/>
          <w:sz w:val="26"/>
          <w:szCs w:val="26"/>
        </w:rPr>
      </w:pPr>
      <w:r w:rsidRPr="004F00DD">
        <w:rPr>
          <w:rFonts w:ascii="Arial" w:hAnsi="Arial" w:cs="Arial"/>
          <w:b/>
          <w:sz w:val="26"/>
          <w:szCs w:val="26"/>
        </w:rPr>
        <w:t>To The Pennsylvania Public Utility Commission</w:t>
      </w:r>
    </w:p>
    <w:p w:rsidR="004F00DD" w:rsidRPr="004F00DD" w:rsidRDefault="004F00DD" w:rsidP="004F00DD">
      <w:pPr>
        <w:tabs>
          <w:tab w:val="left" w:pos="-720"/>
          <w:tab w:val="left" w:pos="8820"/>
        </w:tabs>
        <w:overflowPunct/>
        <w:autoSpaceDE/>
        <w:autoSpaceDN/>
        <w:adjustRightInd/>
        <w:textAlignment w:val="auto"/>
        <w:rPr>
          <w:rFonts w:ascii="Arial" w:hAnsi="Arial" w:cs="Arial"/>
          <w:sz w:val="26"/>
          <w:szCs w:val="26"/>
        </w:rPr>
      </w:pPr>
    </w:p>
    <w:p w:rsidR="004F00DD" w:rsidRPr="004F00DD" w:rsidRDefault="004F00DD" w:rsidP="004F00DD">
      <w:pPr>
        <w:overflowPunct/>
        <w:autoSpaceDE/>
        <w:autoSpaceDN/>
        <w:adjustRightInd/>
        <w:textAlignment w:val="auto"/>
        <w:rPr>
          <w:rFonts w:ascii="Arial" w:hAnsi="Arial" w:cs="Arial"/>
          <w:b/>
          <w:bCs/>
          <w:szCs w:val="24"/>
        </w:rPr>
      </w:pPr>
      <w:r w:rsidRPr="004F00DD">
        <w:rPr>
          <w:rFonts w:ascii="Arial" w:hAnsi="Arial" w:cs="Arial"/>
          <w:b/>
          <w:bCs/>
          <w:szCs w:val="24"/>
        </w:rPr>
        <w:t>Report on the Financial Statements</w:t>
      </w:r>
    </w:p>
    <w:p w:rsidR="004F00DD" w:rsidRPr="004F00DD" w:rsidRDefault="004F00DD" w:rsidP="004F00DD">
      <w:pPr>
        <w:overflowPunct/>
        <w:autoSpaceDE/>
        <w:autoSpaceDN/>
        <w:adjustRightInd/>
        <w:textAlignment w:val="auto"/>
        <w:rPr>
          <w:rFonts w:ascii="Arial" w:hAnsi="Arial" w:cs="Arial"/>
          <w:b/>
          <w:bCs/>
          <w:szCs w:val="24"/>
        </w:rPr>
      </w:pPr>
    </w:p>
    <w:p w:rsidR="004F00DD" w:rsidRPr="004F00DD" w:rsidRDefault="004F00DD" w:rsidP="004F00DD">
      <w:pPr>
        <w:tabs>
          <w:tab w:val="left" w:pos="720"/>
        </w:tabs>
        <w:overflowPunct/>
        <w:autoSpaceDE/>
        <w:autoSpaceDN/>
        <w:adjustRightInd/>
        <w:textAlignment w:val="auto"/>
        <w:rPr>
          <w:rFonts w:ascii="Arial" w:hAnsi="Arial" w:cs="Arial"/>
          <w:szCs w:val="24"/>
        </w:rPr>
      </w:pPr>
      <w:r w:rsidRPr="004F00DD">
        <w:rPr>
          <w:rFonts w:ascii="CG Times" w:hAnsi="CG Times"/>
          <w:szCs w:val="24"/>
        </w:rPr>
        <w:tab/>
      </w:r>
      <w:r w:rsidRPr="00F16976">
        <w:rPr>
          <w:rFonts w:ascii="Arial" w:hAnsi="Arial" w:cs="Arial"/>
          <w:szCs w:val="24"/>
        </w:rPr>
        <w:t xml:space="preserve">We have audited </w:t>
      </w:r>
      <w:r w:rsidR="00CA571D" w:rsidRPr="00F16976">
        <w:rPr>
          <w:rFonts w:ascii="Arial" w:hAnsi="Arial" w:cs="Arial"/>
          <w:szCs w:val="24"/>
        </w:rPr>
        <w:t>PECO Energy</w:t>
      </w:r>
      <w:r w:rsidR="00F16976" w:rsidRPr="00F16976">
        <w:rPr>
          <w:rFonts w:ascii="Arial" w:hAnsi="Arial" w:cs="Arial"/>
          <w:szCs w:val="24"/>
        </w:rPr>
        <w:t xml:space="preserve"> Company’s</w:t>
      </w:r>
      <w:r w:rsidRPr="00F16976">
        <w:rPr>
          <w:rFonts w:ascii="Arial" w:hAnsi="Arial" w:cs="Arial"/>
          <w:szCs w:val="24"/>
        </w:rPr>
        <w:t xml:space="preserve"> Statements of </w:t>
      </w:r>
      <w:r w:rsidR="000D60DC">
        <w:rPr>
          <w:rFonts w:ascii="Arial" w:hAnsi="Arial" w:cs="Arial"/>
          <w:szCs w:val="24"/>
        </w:rPr>
        <w:t>Smart Meter</w:t>
      </w:r>
      <w:r w:rsidR="00B21BF1">
        <w:rPr>
          <w:rFonts w:ascii="Arial" w:hAnsi="Arial" w:cs="Arial"/>
          <w:szCs w:val="24"/>
        </w:rPr>
        <w:t xml:space="preserve"> </w:t>
      </w:r>
      <w:r w:rsidR="00CA571D" w:rsidRPr="00F16976">
        <w:rPr>
          <w:rFonts w:ascii="Arial" w:hAnsi="Arial" w:cs="Arial"/>
          <w:szCs w:val="24"/>
        </w:rPr>
        <w:t>Co</w:t>
      </w:r>
      <w:r w:rsidR="00B21BF1">
        <w:rPr>
          <w:rFonts w:ascii="Arial" w:hAnsi="Arial" w:cs="Arial"/>
          <w:szCs w:val="24"/>
        </w:rPr>
        <w:t>st Recovery</w:t>
      </w:r>
      <w:r w:rsidR="00CA571D" w:rsidRPr="00F16976">
        <w:rPr>
          <w:rFonts w:ascii="Arial" w:hAnsi="Arial" w:cs="Arial"/>
          <w:szCs w:val="24"/>
        </w:rPr>
        <w:t xml:space="preserve"> </w:t>
      </w:r>
      <w:r w:rsidR="00B21BF1">
        <w:rPr>
          <w:rFonts w:ascii="Arial" w:hAnsi="Arial" w:cs="Arial"/>
          <w:szCs w:val="24"/>
        </w:rPr>
        <w:t>Surc</w:t>
      </w:r>
      <w:r w:rsidR="00CA571D" w:rsidRPr="00F16976">
        <w:rPr>
          <w:rFonts w:ascii="Arial" w:hAnsi="Arial" w:cs="Arial"/>
          <w:szCs w:val="24"/>
        </w:rPr>
        <w:t>harge</w:t>
      </w:r>
      <w:r w:rsidRPr="00F16976">
        <w:rPr>
          <w:rFonts w:ascii="Arial" w:hAnsi="Arial" w:cs="Arial"/>
          <w:szCs w:val="24"/>
        </w:rPr>
        <w:t xml:space="preserve"> Over/Under Collections (Section 1307(</w:t>
      </w:r>
      <w:r w:rsidR="00CA571D" w:rsidRPr="00F16976">
        <w:rPr>
          <w:rFonts w:ascii="Arial" w:hAnsi="Arial" w:cs="Arial"/>
          <w:szCs w:val="24"/>
        </w:rPr>
        <w:t>e</w:t>
      </w:r>
      <w:r w:rsidRPr="00F16976">
        <w:rPr>
          <w:rFonts w:ascii="Arial" w:hAnsi="Arial" w:cs="Arial"/>
          <w:szCs w:val="24"/>
        </w:rPr>
        <w:t xml:space="preserve">)) for the </w:t>
      </w:r>
      <w:r w:rsidR="00F16976" w:rsidRPr="00F16976">
        <w:rPr>
          <w:rFonts w:ascii="Arial" w:hAnsi="Arial" w:cs="Arial"/>
          <w:szCs w:val="24"/>
        </w:rPr>
        <w:t xml:space="preserve">twelve month periods ended </w:t>
      </w:r>
      <w:r w:rsidR="000D60DC">
        <w:rPr>
          <w:rFonts w:ascii="Arial" w:hAnsi="Arial" w:cs="Arial"/>
          <w:szCs w:val="24"/>
        </w:rPr>
        <w:t>June</w:t>
      </w:r>
      <w:r w:rsidR="00F16976" w:rsidRPr="00F16976">
        <w:rPr>
          <w:rFonts w:ascii="Arial" w:hAnsi="Arial" w:cs="Arial"/>
          <w:szCs w:val="24"/>
        </w:rPr>
        <w:t xml:space="preserve"> 3</w:t>
      </w:r>
      <w:r w:rsidR="000D60DC">
        <w:rPr>
          <w:rFonts w:ascii="Arial" w:hAnsi="Arial" w:cs="Arial"/>
          <w:szCs w:val="24"/>
        </w:rPr>
        <w:t>0</w:t>
      </w:r>
      <w:r w:rsidR="00F16976" w:rsidRPr="00F16976">
        <w:rPr>
          <w:rFonts w:ascii="Arial" w:hAnsi="Arial" w:cs="Arial"/>
          <w:szCs w:val="24"/>
        </w:rPr>
        <w:t>, 201</w:t>
      </w:r>
      <w:r w:rsidR="000D60DC">
        <w:rPr>
          <w:rFonts w:ascii="Arial" w:hAnsi="Arial" w:cs="Arial"/>
          <w:szCs w:val="24"/>
        </w:rPr>
        <w:t>3</w:t>
      </w:r>
      <w:r w:rsidR="00F16976" w:rsidRPr="00F16976">
        <w:rPr>
          <w:rFonts w:ascii="Arial" w:hAnsi="Arial" w:cs="Arial"/>
          <w:szCs w:val="24"/>
        </w:rPr>
        <w:t xml:space="preserve">, </w:t>
      </w:r>
      <w:r w:rsidR="000D60DC">
        <w:rPr>
          <w:rFonts w:ascii="Arial" w:hAnsi="Arial" w:cs="Arial"/>
          <w:szCs w:val="24"/>
        </w:rPr>
        <w:t>June</w:t>
      </w:r>
      <w:r w:rsidR="00F16976" w:rsidRPr="00F16976">
        <w:rPr>
          <w:rFonts w:ascii="Arial" w:hAnsi="Arial" w:cs="Arial"/>
          <w:szCs w:val="24"/>
        </w:rPr>
        <w:t xml:space="preserve"> 3</w:t>
      </w:r>
      <w:r w:rsidR="000D60DC">
        <w:rPr>
          <w:rFonts w:ascii="Arial" w:hAnsi="Arial" w:cs="Arial"/>
          <w:szCs w:val="24"/>
        </w:rPr>
        <w:t>0</w:t>
      </w:r>
      <w:r w:rsidR="00F16976" w:rsidRPr="00F16976">
        <w:rPr>
          <w:rFonts w:ascii="Arial" w:hAnsi="Arial" w:cs="Arial"/>
          <w:szCs w:val="24"/>
        </w:rPr>
        <w:t>, 201</w:t>
      </w:r>
      <w:r w:rsidR="000D60DC">
        <w:rPr>
          <w:rFonts w:ascii="Arial" w:hAnsi="Arial" w:cs="Arial"/>
          <w:szCs w:val="24"/>
        </w:rPr>
        <w:t>2</w:t>
      </w:r>
      <w:r w:rsidR="00F16976" w:rsidRPr="00F16976">
        <w:rPr>
          <w:rFonts w:ascii="Arial" w:hAnsi="Arial" w:cs="Arial"/>
          <w:szCs w:val="24"/>
        </w:rPr>
        <w:t xml:space="preserve">, and </w:t>
      </w:r>
      <w:r w:rsidR="000D60DC">
        <w:rPr>
          <w:rFonts w:ascii="Arial" w:hAnsi="Arial" w:cs="Arial"/>
          <w:szCs w:val="24"/>
        </w:rPr>
        <w:t>June</w:t>
      </w:r>
      <w:r w:rsidRPr="00F16976">
        <w:rPr>
          <w:rFonts w:ascii="Arial" w:hAnsi="Arial" w:cs="Arial"/>
          <w:szCs w:val="24"/>
        </w:rPr>
        <w:t xml:space="preserve"> 3</w:t>
      </w:r>
      <w:r w:rsidR="000D60DC">
        <w:rPr>
          <w:rFonts w:ascii="Arial" w:hAnsi="Arial" w:cs="Arial"/>
          <w:szCs w:val="24"/>
        </w:rPr>
        <w:t>0</w:t>
      </w:r>
      <w:r w:rsidRPr="00F16976">
        <w:rPr>
          <w:rFonts w:ascii="Arial" w:hAnsi="Arial" w:cs="Arial"/>
          <w:szCs w:val="24"/>
        </w:rPr>
        <w:t>, 201</w:t>
      </w:r>
      <w:r w:rsidR="00F16976" w:rsidRPr="00F16976">
        <w:rPr>
          <w:rFonts w:ascii="Arial" w:hAnsi="Arial" w:cs="Arial"/>
          <w:szCs w:val="24"/>
        </w:rPr>
        <w:t>1</w:t>
      </w:r>
      <w:r w:rsidR="00CA571D" w:rsidRPr="00F16976">
        <w:rPr>
          <w:rFonts w:ascii="Arial" w:hAnsi="Arial" w:cs="Arial"/>
          <w:szCs w:val="24"/>
        </w:rPr>
        <w:t>.</w:t>
      </w:r>
    </w:p>
    <w:p w:rsidR="004F00DD" w:rsidRPr="004F00DD" w:rsidRDefault="004F00DD" w:rsidP="004F00DD">
      <w:pPr>
        <w:overflowPunct/>
        <w:autoSpaceDE/>
        <w:autoSpaceDN/>
        <w:adjustRightInd/>
        <w:textAlignment w:val="auto"/>
        <w:rPr>
          <w:rFonts w:ascii="Arial" w:hAnsi="Arial" w:cs="Arial"/>
          <w:i/>
          <w:szCs w:val="24"/>
        </w:rPr>
      </w:pPr>
    </w:p>
    <w:p w:rsidR="004F00DD" w:rsidRPr="004F00DD" w:rsidRDefault="004F00DD" w:rsidP="004F00DD">
      <w:pPr>
        <w:overflowPunct/>
        <w:autoSpaceDE/>
        <w:autoSpaceDN/>
        <w:adjustRightInd/>
        <w:textAlignment w:val="auto"/>
        <w:rPr>
          <w:rFonts w:ascii="Arial" w:hAnsi="Arial" w:cs="Arial"/>
          <w:szCs w:val="24"/>
        </w:rPr>
      </w:pPr>
      <w:r w:rsidRPr="004F00DD">
        <w:rPr>
          <w:rFonts w:ascii="Arial" w:hAnsi="Arial" w:cs="Arial"/>
          <w:b/>
          <w:bCs/>
          <w:iCs/>
          <w:szCs w:val="24"/>
        </w:rPr>
        <w:t>Management’s Responsibility for the Financial Statements</w:t>
      </w:r>
    </w:p>
    <w:p w:rsidR="004F00DD" w:rsidRPr="004F00DD" w:rsidRDefault="004F00DD" w:rsidP="004F00DD">
      <w:pPr>
        <w:overflowPunct/>
        <w:autoSpaceDE/>
        <w:autoSpaceDN/>
        <w:adjustRightInd/>
        <w:textAlignment w:val="auto"/>
        <w:rPr>
          <w:rFonts w:ascii="Arial" w:hAnsi="Arial" w:cs="Arial"/>
          <w:i/>
          <w:szCs w:val="24"/>
        </w:rPr>
      </w:pPr>
    </w:p>
    <w:p w:rsidR="004F00DD" w:rsidRPr="004F00DD" w:rsidRDefault="004F00DD" w:rsidP="004F00DD">
      <w:pPr>
        <w:overflowPunct/>
        <w:autoSpaceDE/>
        <w:autoSpaceDN/>
        <w:adjustRightInd/>
        <w:ind w:firstLine="720"/>
        <w:textAlignment w:val="auto"/>
        <w:rPr>
          <w:rFonts w:ascii="Arial" w:hAnsi="Arial" w:cs="Arial"/>
          <w:szCs w:val="24"/>
        </w:rPr>
      </w:pPr>
      <w:r w:rsidRPr="004F00DD">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4F00DD" w:rsidRPr="004F00DD" w:rsidRDefault="004F00DD" w:rsidP="004F00DD">
      <w:pPr>
        <w:overflowPunct/>
        <w:autoSpaceDE/>
        <w:autoSpaceDN/>
        <w:adjustRightInd/>
        <w:textAlignment w:val="auto"/>
        <w:rPr>
          <w:rFonts w:ascii="Arial" w:hAnsi="Arial" w:cs="Arial"/>
          <w:i/>
          <w:szCs w:val="24"/>
        </w:rPr>
      </w:pPr>
    </w:p>
    <w:p w:rsidR="004F00DD" w:rsidRPr="004F00DD" w:rsidRDefault="004F00DD" w:rsidP="004F00DD">
      <w:pPr>
        <w:overflowPunct/>
        <w:autoSpaceDE/>
        <w:autoSpaceDN/>
        <w:adjustRightInd/>
        <w:textAlignment w:val="auto"/>
        <w:rPr>
          <w:rFonts w:ascii="Arial" w:hAnsi="Arial" w:cs="Arial"/>
          <w:b/>
          <w:bCs/>
          <w:iCs/>
          <w:szCs w:val="24"/>
        </w:rPr>
      </w:pPr>
      <w:r w:rsidRPr="004F00DD">
        <w:rPr>
          <w:rFonts w:ascii="Arial" w:hAnsi="Arial" w:cs="Arial"/>
          <w:b/>
          <w:bCs/>
          <w:iCs/>
          <w:szCs w:val="24"/>
        </w:rPr>
        <w:t>Auditor’s Responsibility</w:t>
      </w:r>
    </w:p>
    <w:p w:rsidR="004F00DD" w:rsidRPr="004F00DD" w:rsidRDefault="004F00DD" w:rsidP="004F00DD">
      <w:pPr>
        <w:overflowPunct/>
        <w:autoSpaceDE/>
        <w:autoSpaceDN/>
        <w:adjustRightInd/>
        <w:textAlignment w:val="auto"/>
        <w:rPr>
          <w:rFonts w:ascii="Arial" w:hAnsi="Arial" w:cs="Arial"/>
          <w:szCs w:val="24"/>
        </w:rPr>
      </w:pPr>
    </w:p>
    <w:p w:rsidR="00F625A7" w:rsidRPr="00982C30" w:rsidRDefault="00F625A7" w:rsidP="00F625A7">
      <w:pPr>
        <w:ind w:firstLine="720"/>
        <w:rPr>
          <w:rFonts w:ascii="Arial" w:hAnsi="Arial" w:cs="Arial"/>
          <w:szCs w:val="24"/>
        </w:rPr>
      </w:pPr>
      <w:r w:rsidRPr="00982C30">
        <w:rPr>
          <w:rFonts w:ascii="Arial" w:hAnsi="Arial" w:cs="Arial"/>
          <w:szCs w:val="24"/>
        </w:rPr>
        <w:t>Our responsibility is to express an opinion on these statements based on our audit.  We conducted our audit in accordance with auditing standards generally accepted in the United States of America.  Those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 and accordingly, no such opinion is expressed.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DF71F5" w:rsidRDefault="00DF71F5" w:rsidP="004F00DD">
      <w:pPr>
        <w:overflowPunct/>
        <w:autoSpaceDE/>
        <w:autoSpaceDN/>
        <w:adjustRightInd/>
        <w:textAlignment w:val="auto"/>
        <w:rPr>
          <w:rFonts w:ascii="Arial" w:hAnsi="Arial" w:cs="Arial"/>
          <w:b/>
          <w:bCs/>
          <w:iCs/>
          <w:szCs w:val="24"/>
        </w:rPr>
      </w:pPr>
    </w:p>
    <w:p w:rsidR="002911C0" w:rsidRDefault="002911C0" w:rsidP="004F00DD">
      <w:pPr>
        <w:overflowPunct/>
        <w:autoSpaceDE/>
        <w:autoSpaceDN/>
        <w:adjustRightInd/>
        <w:textAlignment w:val="auto"/>
        <w:rPr>
          <w:rFonts w:ascii="Arial" w:hAnsi="Arial" w:cs="Arial"/>
          <w:b/>
          <w:bCs/>
          <w:iCs/>
          <w:szCs w:val="24"/>
        </w:rPr>
      </w:pPr>
    </w:p>
    <w:p w:rsidR="002911C0" w:rsidRDefault="002911C0" w:rsidP="004F00DD">
      <w:pPr>
        <w:overflowPunct/>
        <w:autoSpaceDE/>
        <w:autoSpaceDN/>
        <w:adjustRightInd/>
        <w:textAlignment w:val="auto"/>
        <w:rPr>
          <w:rFonts w:ascii="Arial" w:hAnsi="Arial" w:cs="Arial"/>
          <w:b/>
          <w:bCs/>
          <w:iCs/>
          <w:szCs w:val="24"/>
        </w:rPr>
        <w:sectPr w:rsidR="002911C0" w:rsidSect="00443FE8">
          <w:headerReference w:type="even" r:id="rId15"/>
          <w:headerReference w:type="default" r:id="rId16"/>
          <w:footerReference w:type="default" r:id="rId17"/>
          <w:headerReference w:type="first" r:id="rId18"/>
          <w:endnotePr>
            <w:numFmt w:val="decimal"/>
          </w:endnotePr>
          <w:pgSz w:w="12240" w:h="15840" w:code="1"/>
          <w:pgMar w:top="1440" w:right="1440" w:bottom="1440" w:left="1440" w:header="0" w:footer="720" w:gutter="0"/>
          <w:pgNumType w:fmt="numberInDash" w:start="1"/>
          <w:cols w:space="720"/>
          <w:noEndnote/>
          <w:docGrid w:linePitch="326"/>
        </w:sectPr>
      </w:pPr>
    </w:p>
    <w:p w:rsidR="004F00DD" w:rsidRPr="004F00DD" w:rsidRDefault="004F00DD" w:rsidP="004F00DD">
      <w:pPr>
        <w:overflowPunct/>
        <w:autoSpaceDE/>
        <w:autoSpaceDN/>
        <w:adjustRightInd/>
        <w:textAlignment w:val="auto"/>
        <w:rPr>
          <w:rFonts w:ascii="Arial" w:hAnsi="Arial" w:cs="Arial"/>
          <w:szCs w:val="24"/>
        </w:rPr>
      </w:pPr>
      <w:r w:rsidRPr="004F00DD">
        <w:rPr>
          <w:rFonts w:ascii="Arial" w:hAnsi="Arial" w:cs="Arial"/>
          <w:b/>
          <w:bCs/>
          <w:iCs/>
          <w:szCs w:val="24"/>
        </w:rPr>
        <w:lastRenderedPageBreak/>
        <w:t>Opinion</w:t>
      </w:r>
    </w:p>
    <w:p w:rsidR="004F00DD" w:rsidRPr="004F00DD" w:rsidRDefault="004F00DD" w:rsidP="004F00DD">
      <w:pPr>
        <w:overflowPunct/>
        <w:autoSpaceDE/>
        <w:autoSpaceDN/>
        <w:adjustRightInd/>
        <w:textAlignment w:val="auto"/>
        <w:rPr>
          <w:rFonts w:ascii="Arial" w:hAnsi="Arial" w:cs="Arial"/>
          <w:szCs w:val="24"/>
        </w:rPr>
      </w:pPr>
    </w:p>
    <w:p w:rsidR="004F00DD" w:rsidRPr="004F00DD" w:rsidRDefault="002911C0" w:rsidP="00CA571D">
      <w:pPr>
        <w:tabs>
          <w:tab w:val="left" w:pos="720"/>
        </w:tabs>
        <w:overflowPunct/>
        <w:autoSpaceDE/>
        <w:autoSpaceDN/>
        <w:adjustRightInd/>
        <w:textAlignment w:val="auto"/>
        <w:rPr>
          <w:rFonts w:ascii="Arial" w:hAnsi="Arial" w:cs="Arial"/>
          <w:szCs w:val="24"/>
        </w:rPr>
      </w:pPr>
      <w:r>
        <w:rPr>
          <w:rFonts w:ascii="Arial" w:hAnsi="Arial" w:cs="Arial"/>
          <w:szCs w:val="24"/>
        </w:rPr>
        <w:tab/>
      </w:r>
      <w:r w:rsidR="004F00DD" w:rsidRPr="004F00DD">
        <w:rPr>
          <w:rFonts w:ascii="Arial" w:hAnsi="Arial" w:cs="Arial"/>
          <w:szCs w:val="24"/>
        </w:rPr>
        <w:t xml:space="preserve">In our opinion, the information set forth in the accompanying </w:t>
      </w:r>
      <w:r w:rsidR="001F338D">
        <w:rPr>
          <w:rFonts w:ascii="Arial" w:hAnsi="Arial" w:cs="Arial"/>
          <w:szCs w:val="24"/>
        </w:rPr>
        <w:t>C</w:t>
      </w:r>
      <w:r w:rsidR="004F00DD" w:rsidRPr="004F00DD">
        <w:rPr>
          <w:rFonts w:ascii="Arial" w:hAnsi="Arial" w:cs="Arial"/>
          <w:szCs w:val="24"/>
        </w:rPr>
        <w:t xml:space="preserve">ondensed Statements of </w:t>
      </w:r>
      <w:r w:rsidR="00234411">
        <w:rPr>
          <w:rFonts w:ascii="Arial" w:hAnsi="Arial" w:cs="Arial"/>
          <w:szCs w:val="24"/>
        </w:rPr>
        <w:t>Smart Meter Cost Recovery Surcharge</w:t>
      </w:r>
      <w:r w:rsidR="00CA571D" w:rsidRPr="004F00DD">
        <w:rPr>
          <w:rFonts w:ascii="Arial" w:hAnsi="Arial" w:cs="Arial"/>
          <w:szCs w:val="24"/>
        </w:rPr>
        <w:t xml:space="preserve"> </w:t>
      </w:r>
      <w:r w:rsidR="004F00DD" w:rsidRPr="004F00DD">
        <w:rPr>
          <w:rFonts w:ascii="Arial" w:hAnsi="Arial" w:cs="Arial"/>
          <w:szCs w:val="24"/>
        </w:rPr>
        <w:t xml:space="preserve">Over/Under Collections </w:t>
      </w:r>
      <w:r w:rsidR="00077634" w:rsidRPr="00F16976">
        <w:rPr>
          <w:rFonts w:ascii="Arial" w:hAnsi="Arial" w:cs="Arial"/>
          <w:szCs w:val="24"/>
        </w:rPr>
        <w:t xml:space="preserve">(Section 1307(e)) </w:t>
      </w:r>
      <w:r w:rsidR="004F00DD" w:rsidRPr="004F00DD">
        <w:rPr>
          <w:rFonts w:ascii="Arial" w:hAnsi="Arial" w:cs="Arial"/>
          <w:szCs w:val="24"/>
        </w:rPr>
        <w:t xml:space="preserve">for the </w:t>
      </w:r>
      <w:r w:rsidR="00B94ACC" w:rsidRPr="00F16976">
        <w:rPr>
          <w:rFonts w:ascii="Arial" w:hAnsi="Arial" w:cs="Arial"/>
          <w:szCs w:val="24"/>
        </w:rPr>
        <w:t xml:space="preserve">twelve month periods ended </w:t>
      </w:r>
      <w:r w:rsidR="00234411">
        <w:rPr>
          <w:rFonts w:ascii="Arial" w:hAnsi="Arial" w:cs="Arial"/>
          <w:szCs w:val="24"/>
        </w:rPr>
        <w:t>June</w:t>
      </w:r>
      <w:r w:rsidR="00B94ACC" w:rsidRPr="00F16976">
        <w:rPr>
          <w:rFonts w:ascii="Arial" w:hAnsi="Arial" w:cs="Arial"/>
          <w:szCs w:val="24"/>
        </w:rPr>
        <w:t xml:space="preserve"> 3</w:t>
      </w:r>
      <w:r w:rsidR="00234411">
        <w:rPr>
          <w:rFonts w:ascii="Arial" w:hAnsi="Arial" w:cs="Arial"/>
          <w:szCs w:val="24"/>
        </w:rPr>
        <w:t>0</w:t>
      </w:r>
      <w:r w:rsidR="00B94ACC" w:rsidRPr="00F16976">
        <w:rPr>
          <w:rFonts w:ascii="Arial" w:hAnsi="Arial" w:cs="Arial"/>
          <w:szCs w:val="24"/>
        </w:rPr>
        <w:t>, 201</w:t>
      </w:r>
      <w:r w:rsidR="00234411">
        <w:rPr>
          <w:rFonts w:ascii="Arial" w:hAnsi="Arial" w:cs="Arial"/>
          <w:szCs w:val="24"/>
        </w:rPr>
        <w:t>3</w:t>
      </w:r>
      <w:r w:rsidR="00B94ACC" w:rsidRPr="00F16976">
        <w:rPr>
          <w:rFonts w:ascii="Arial" w:hAnsi="Arial" w:cs="Arial"/>
          <w:szCs w:val="24"/>
        </w:rPr>
        <w:t xml:space="preserve">, </w:t>
      </w:r>
      <w:r w:rsidR="00234411">
        <w:rPr>
          <w:rFonts w:ascii="Arial" w:hAnsi="Arial" w:cs="Arial"/>
          <w:szCs w:val="24"/>
        </w:rPr>
        <w:t>June</w:t>
      </w:r>
      <w:r w:rsidR="00B94ACC" w:rsidRPr="00F16976">
        <w:rPr>
          <w:rFonts w:ascii="Arial" w:hAnsi="Arial" w:cs="Arial"/>
          <w:szCs w:val="24"/>
        </w:rPr>
        <w:t xml:space="preserve"> 3</w:t>
      </w:r>
      <w:r w:rsidR="00234411">
        <w:rPr>
          <w:rFonts w:ascii="Arial" w:hAnsi="Arial" w:cs="Arial"/>
          <w:szCs w:val="24"/>
        </w:rPr>
        <w:t>0</w:t>
      </w:r>
      <w:r w:rsidR="00B94ACC" w:rsidRPr="00F16976">
        <w:rPr>
          <w:rFonts w:ascii="Arial" w:hAnsi="Arial" w:cs="Arial"/>
          <w:szCs w:val="24"/>
        </w:rPr>
        <w:t>, 201</w:t>
      </w:r>
      <w:r w:rsidR="00234411">
        <w:rPr>
          <w:rFonts w:ascii="Arial" w:hAnsi="Arial" w:cs="Arial"/>
          <w:szCs w:val="24"/>
        </w:rPr>
        <w:t>2</w:t>
      </w:r>
      <w:r w:rsidR="00B94ACC" w:rsidRPr="00F16976">
        <w:rPr>
          <w:rFonts w:ascii="Arial" w:hAnsi="Arial" w:cs="Arial"/>
          <w:szCs w:val="24"/>
        </w:rPr>
        <w:t xml:space="preserve">, and </w:t>
      </w:r>
      <w:r w:rsidR="00234411">
        <w:rPr>
          <w:rFonts w:ascii="Arial" w:hAnsi="Arial" w:cs="Arial"/>
          <w:szCs w:val="24"/>
        </w:rPr>
        <w:t>June</w:t>
      </w:r>
      <w:r w:rsidR="00B94ACC" w:rsidRPr="00F16976">
        <w:rPr>
          <w:rFonts w:ascii="Arial" w:hAnsi="Arial" w:cs="Arial"/>
          <w:szCs w:val="24"/>
        </w:rPr>
        <w:t xml:space="preserve"> 3</w:t>
      </w:r>
      <w:r w:rsidR="00234411">
        <w:rPr>
          <w:rFonts w:ascii="Arial" w:hAnsi="Arial" w:cs="Arial"/>
          <w:szCs w:val="24"/>
        </w:rPr>
        <w:t>0</w:t>
      </w:r>
      <w:r w:rsidR="00B94ACC" w:rsidRPr="00F16976">
        <w:rPr>
          <w:rFonts w:ascii="Arial" w:hAnsi="Arial" w:cs="Arial"/>
          <w:szCs w:val="24"/>
        </w:rPr>
        <w:t>, 2011</w:t>
      </w:r>
      <w:r w:rsidR="00917D1B">
        <w:rPr>
          <w:rFonts w:ascii="Arial" w:hAnsi="Arial" w:cs="Arial"/>
          <w:szCs w:val="24"/>
        </w:rPr>
        <w:t xml:space="preserve"> </w:t>
      </w:r>
      <w:r w:rsidR="004F00DD" w:rsidRPr="004F00DD">
        <w:rPr>
          <w:rFonts w:ascii="Arial" w:hAnsi="Arial" w:cs="Arial"/>
          <w:szCs w:val="24"/>
        </w:rPr>
        <w:t xml:space="preserve">of </w:t>
      </w:r>
      <w:r w:rsidR="00CA571D" w:rsidRPr="00B94ACC">
        <w:rPr>
          <w:rFonts w:ascii="Arial" w:hAnsi="Arial" w:cs="Arial"/>
          <w:szCs w:val="24"/>
        </w:rPr>
        <w:t>PECO Energy</w:t>
      </w:r>
      <w:r w:rsidR="00B94ACC">
        <w:rPr>
          <w:rFonts w:ascii="Arial" w:hAnsi="Arial" w:cs="Arial"/>
          <w:szCs w:val="24"/>
        </w:rPr>
        <w:t xml:space="preserve"> Company</w:t>
      </w:r>
      <w:r w:rsidR="004F00DD" w:rsidRPr="004F00DD">
        <w:rPr>
          <w:rFonts w:ascii="Arial" w:hAnsi="Arial" w:cs="Arial"/>
          <w:szCs w:val="24"/>
        </w:rPr>
        <w:t xml:space="preserve"> present fairly, in all material respects, in relation to the audited financial statements from which </w:t>
      </w:r>
      <w:r w:rsidR="0059676C">
        <w:rPr>
          <w:rFonts w:ascii="Arial" w:hAnsi="Arial" w:cs="Arial"/>
          <w:szCs w:val="24"/>
        </w:rPr>
        <w:t>they were</w:t>
      </w:r>
      <w:r w:rsidR="004F00DD" w:rsidRPr="004F00DD">
        <w:rPr>
          <w:rFonts w:ascii="Arial" w:hAnsi="Arial" w:cs="Arial"/>
          <w:szCs w:val="24"/>
        </w:rPr>
        <w:t xml:space="preserve"> derived.</w:t>
      </w:r>
    </w:p>
    <w:p w:rsidR="004F00DD" w:rsidRPr="004F00DD" w:rsidRDefault="004F00DD" w:rsidP="004F00DD">
      <w:pPr>
        <w:overflowPunct/>
        <w:autoSpaceDE/>
        <w:autoSpaceDN/>
        <w:adjustRightInd/>
        <w:textAlignment w:val="auto"/>
        <w:rPr>
          <w:rFonts w:ascii="Times New Roman" w:hAnsi="Times New Roman"/>
          <w:szCs w:val="24"/>
        </w:rPr>
      </w:pPr>
    </w:p>
    <w:p w:rsidR="004F00DD" w:rsidRPr="004F00DD" w:rsidRDefault="004F00DD" w:rsidP="004F00DD">
      <w:pPr>
        <w:overflowPunct/>
        <w:autoSpaceDE/>
        <w:autoSpaceDN/>
        <w:adjustRightInd/>
        <w:textAlignment w:val="auto"/>
        <w:rPr>
          <w:rFonts w:ascii="Arial" w:hAnsi="Arial" w:cs="Arial"/>
          <w:szCs w:val="24"/>
        </w:rPr>
      </w:pPr>
    </w:p>
    <w:p w:rsidR="004F00DD" w:rsidRPr="004F00DD" w:rsidRDefault="004F00DD" w:rsidP="004F00DD">
      <w:pPr>
        <w:overflowPunct/>
        <w:autoSpaceDE/>
        <w:autoSpaceDN/>
        <w:adjustRightInd/>
        <w:textAlignment w:val="auto"/>
        <w:rPr>
          <w:rFonts w:ascii="Arial" w:hAnsi="Arial" w:cs="Arial"/>
          <w:szCs w:val="24"/>
        </w:rPr>
      </w:pPr>
      <w:r w:rsidRPr="004F00DD">
        <w:rPr>
          <w:rFonts w:ascii="Arial" w:hAnsi="Arial" w:cs="Arial"/>
          <w:b/>
          <w:bCs/>
          <w:szCs w:val="24"/>
        </w:rPr>
        <w:t>Report on Other Legal and Regulatory Requirements</w:t>
      </w:r>
    </w:p>
    <w:p w:rsidR="004F00DD" w:rsidRPr="004F00DD" w:rsidRDefault="004F00DD" w:rsidP="004F00DD">
      <w:pPr>
        <w:overflowPunct/>
        <w:autoSpaceDE/>
        <w:autoSpaceDN/>
        <w:adjustRightInd/>
        <w:textAlignment w:val="auto"/>
        <w:rPr>
          <w:rFonts w:ascii="Arial" w:hAnsi="Arial" w:cs="Arial"/>
          <w:szCs w:val="24"/>
        </w:rPr>
      </w:pPr>
    </w:p>
    <w:p w:rsidR="004F00DD" w:rsidRPr="004F00DD" w:rsidRDefault="004F00DD" w:rsidP="004F00DD">
      <w:pPr>
        <w:overflowPunct/>
        <w:autoSpaceDE/>
        <w:autoSpaceDN/>
        <w:adjustRightInd/>
        <w:textAlignment w:val="auto"/>
        <w:rPr>
          <w:rFonts w:ascii="Arial" w:hAnsi="Arial" w:cs="Arial"/>
          <w:szCs w:val="24"/>
        </w:rPr>
      </w:pPr>
      <w:r w:rsidRPr="004F00DD">
        <w:rPr>
          <w:rFonts w:ascii="Arial" w:hAnsi="Arial" w:cs="Arial"/>
          <w:szCs w:val="24"/>
        </w:rPr>
        <w:tab/>
        <w:t xml:space="preserve">The accompanying statements were prepared for the purpose of complying with the rules and regulations of the Pennsylvania Public Utility Commission and are not intended to be a complete presentation of the </w:t>
      </w:r>
      <w:r w:rsidR="00AD1F2F">
        <w:rPr>
          <w:rFonts w:ascii="Arial" w:hAnsi="Arial" w:cs="Arial"/>
          <w:szCs w:val="24"/>
        </w:rPr>
        <w:t>PECO</w:t>
      </w:r>
      <w:r w:rsidR="005D673A">
        <w:rPr>
          <w:rFonts w:ascii="Arial" w:hAnsi="Arial" w:cs="Arial"/>
          <w:szCs w:val="24"/>
        </w:rPr>
        <w:t xml:space="preserve"> Energy Company’s</w:t>
      </w:r>
      <w:r w:rsidRPr="004F00DD">
        <w:rPr>
          <w:rFonts w:ascii="Arial" w:hAnsi="Arial" w:cs="Arial"/>
          <w:szCs w:val="24"/>
        </w:rPr>
        <w:t xml:space="preserve"> revenues and expenses.</w:t>
      </w:r>
    </w:p>
    <w:p w:rsidR="004F00DD" w:rsidRPr="004F00DD" w:rsidRDefault="004F00DD" w:rsidP="004F00DD">
      <w:pPr>
        <w:overflowPunct/>
        <w:autoSpaceDE/>
        <w:autoSpaceDN/>
        <w:adjustRightInd/>
        <w:textAlignment w:val="auto"/>
        <w:rPr>
          <w:rFonts w:ascii="Arial" w:hAnsi="Arial" w:cs="Arial"/>
          <w:szCs w:val="24"/>
        </w:rPr>
      </w:pPr>
    </w:p>
    <w:p w:rsidR="004F00DD" w:rsidRPr="004F00DD" w:rsidRDefault="004F00DD" w:rsidP="004F00DD">
      <w:pPr>
        <w:overflowPunct/>
        <w:autoSpaceDE/>
        <w:autoSpaceDN/>
        <w:adjustRightInd/>
        <w:textAlignment w:val="auto"/>
        <w:rPr>
          <w:rFonts w:ascii="Arial" w:hAnsi="Arial" w:cs="Arial"/>
          <w:szCs w:val="24"/>
        </w:rPr>
      </w:pPr>
    </w:p>
    <w:p w:rsidR="004F00DD" w:rsidRPr="004F00DD" w:rsidRDefault="004F00DD" w:rsidP="004F00DD">
      <w:pPr>
        <w:overflowPunct/>
        <w:autoSpaceDE/>
        <w:autoSpaceDN/>
        <w:adjustRightInd/>
        <w:textAlignment w:val="auto"/>
        <w:rPr>
          <w:rFonts w:ascii="Arial" w:hAnsi="Arial" w:cs="Arial"/>
          <w:szCs w:val="24"/>
        </w:rPr>
      </w:pPr>
    </w:p>
    <w:p w:rsidR="007D2BBC" w:rsidRDefault="004F00DD" w:rsidP="004F00DD">
      <w:pPr>
        <w:tabs>
          <w:tab w:val="left" w:pos="5400"/>
        </w:tabs>
        <w:overflowPunct/>
        <w:autoSpaceDE/>
        <w:autoSpaceDN/>
        <w:adjustRightInd/>
        <w:textAlignment w:val="auto"/>
        <w:rPr>
          <w:rFonts w:ascii="CG Times" w:hAnsi="CG Times"/>
          <w:szCs w:val="24"/>
        </w:rPr>
      </w:pPr>
      <w:r w:rsidRPr="004F00DD">
        <w:rPr>
          <w:rFonts w:ascii="CG Times" w:hAnsi="CG Times"/>
          <w:szCs w:val="24"/>
        </w:rPr>
        <w:tab/>
      </w:r>
    </w:p>
    <w:p w:rsidR="00574271" w:rsidRDefault="007D2BBC" w:rsidP="004F00DD">
      <w:pPr>
        <w:tabs>
          <w:tab w:val="left" w:pos="5400"/>
        </w:tabs>
        <w:overflowPunct/>
        <w:autoSpaceDE/>
        <w:autoSpaceDN/>
        <w:adjustRightInd/>
        <w:textAlignment w:val="auto"/>
        <w:rPr>
          <w:rFonts w:ascii="CG Times" w:hAnsi="CG Times"/>
          <w:szCs w:val="24"/>
        </w:rPr>
      </w:pPr>
      <w:r>
        <w:rPr>
          <w:rFonts w:ascii="CG Times" w:hAnsi="CG Times"/>
          <w:szCs w:val="24"/>
        </w:rPr>
        <w:tab/>
      </w:r>
    </w:p>
    <w:p w:rsidR="00574271" w:rsidRDefault="00574271" w:rsidP="004F00DD">
      <w:pPr>
        <w:tabs>
          <w:tab w:val="left" w:pos="5400"/>
        </w:tabs>
        <w:overflowPunct/>
        <w:autoSpaceDE/>
        <w:autoSpaceDN/>
        <w:adjustRightInd/>
        <w:textAlignment w:val="auto"/>
        <w:rPr>
          <w:rFonts w:ascii="CG Times" w:hAnsi="CG Times"/>
          <w:szCs w:val="24"/>
        </w:rPr>
      </w:pPr>
    </w:p>
    <w:p w:rsidR="004F00DD" w:rsidRPr="004F00DD" w:rsidRDefault="00574271" w:rsidP="004F00DD">
      <w:pPr>
        <w:tabs>
          <w:tab w:val="left" w:pos="5400"/>
        </w:tabs>
        <w:overflowPunct/>
        <w:autoSpaceDE/>
        <w:autoSpaceDN/>
        <w:adjustRightInd/>
        <w:textAlignment w:val="auto"/>
        <w:rPr>
          <w:rFonts w:ascii="Arial" w:hAnsi="Arial" w:cs="Arial"/>
          <w:szCs w:val="24"/>
        </w:rPr>
      </w:pPr>
      <w:r>
        <w:rPr>
          <w:rFonts w:ascii="CG Times" w:hAnsi="CG Times"/>
          <w:szCs w:val="24"/>
        </w:rPr>
        <w:tab/>
      </w:r>
      <w:r w:rsidR="004F00DD" w:rsidRPr="004F00DD">
        <w:rPr>
          <w:rFonts w:ascii="Arial" w:hAnsi="Arial" w:cs="Arial"/>
          <w:szCs w:val="24"/>
        </w:rPr>
        <w:t>Dennis P. Hosler, CPA</w:t>
      </w:r>
    </w:p>
    <w:p w:rsidR="004F00DD" w:rsidRPr="004F00DD" w:rsidRDefault="004F00DD" w:rsidP="004F00DD">
      <w:pPr>
        <w:tabs>
          <w:tab w:val="left" w:pos="5400"/>
        </w:tabs>
        <w:overflowPunct/>
        <w:autoSpaceDE/>
        <w:autoSpaceDN/>
        <w:adjustRightInd/>
        <w:textAlignment w:val="auto"/>
        <w:rPr>
          <w:rFonts w:ascii="Arial" w:hAnsi="Arial" w:cs="Arial"/>
          <w:szCs w:val="24"/>
        </w:rPr>
      </w:pPr>
      <w:r w:rsidRPr="004F00DD">
        <w:rPr>
          <w:rFonts w:ascii="Arial" w:hAnsi="Arial" w:cs="Arial"/>
          <w:szCs w:val="24"/>
        </w:rPr>
        <w:tab/>
        <w:t>Director</w:t>
      </w:r>
    </w:p>
    <w:p w:rsidR="004F00DD" w:rsidRPr="004F00DD" w:rsidRDefault="004F00DD" w:rsidP="004F00DD">
      <w:pPr>
        <w:tabs>
          <w:tab w:val="left" w:pos="5400"/>
        </w:tabs>
        <w:overflowPunct/>
        <w:autoSpaceDE/>
        <w:autoSpaceDN/>
        <w:adjustRightInd/>
        <w:textAlignment w:val="auto"/>
        <w:rPr>
          <w:rFonts w:ascii="Arial" w:hAnsi="Arial" w:cs="Arial"/>
          <w:szCs w:val="24"/>
        </w:rPr>
      </w:pPr>
      <w:r w:rsidRPr="004F00DD">
        <w:rPr>
          <w:rFonts w:ascii="Arial" w:hAnsi="Arial" w:cs="Arial"/>
          <w:szCs w:val="24"/>
        </w:rPr>
        <w:tab/>
        <w:t>Bureau of Audits</w:t>
      </w:r>
    </w:p>
    <w:p w:rsidR="004F00DD" w:rsidRPr="004F00DD" w:rsidRDefault="004F00DD" w:rsidP="004F00DD">
      <w:pPr>
        <w:tabs>
          <w:tab w:val="left" w:pos="5400"/>
        </w:tabs>
        <w:overflowPunct/>
        <w:autoSpaceDE/>
        <w:autoSpaceDN/>
        <w:adjustRightInd/>
        <w:textAlignment w:val="auto"/>
        <w:rPr>
          <w:rFonts w:ascii="Arial" w:hAnsi="Arial" w:cs="Arial"/>
          <w:szCs w:val="24"/>
        </w:rPr>
      </w:pPr>
      <w:r w:rsidRPr="004F00DD">
        <w:rPr>
          <w:rFonts w:ascii="Arial" w:hAnsi="Arial" w:cs="Arial"/>
          <w:szCs w:val="24"/>
        </w:rPr>
        <w:tab/>
        <w:t>Harrisburg, PA</w:t>
      </w:r>
    </w:p>
    <w:p w:rsidR="00DF71F5" w:rsidRDefault="004F00DD" w:rsidP="004F00DD">
      <w:pPr>
        <w:tabs>
          <w:tab w:val="left" w:pos="5400"/>
        </w:tabs>
        <w:overflowPunct/>
        <w:autoSpaceDE/>
        <w:autoSpaceDN/>
        <w:adjustRightInd/>
        <w:textAlignment w:val="auto"/>
        <w:rPr>
          <w:rFonts w:ascii="Arial" w:hAnsi="Arial" w:cs="Arial"/>
          <w:szCs w:val="24"/>
        </w:rPr>
      </w:pPr>
      <w:r w:rsidRPr="004F00DD">
        <w:rPr>
          <w:rFonts w:ascii="Arial" w:hAnsi="Arial" w:cs="Arial"/>
          <w:szCs w:val="24"/>
        </w:rPr>
        <w:tab/>
      </w:r>
      <w:r w:rsidR="006E100A">
        <w:rPr>
          <w:rFonts w:ascii="Arial" w:hAnsi="Arial" w:cs="Arial"/>
          <w:szCs w:val="24"/>
        </w:rPr>
        <w:t>January 6, 2016</w:t>
      </w:r>
    </w:p>
    <w:p w:rsidR="00DF71F5" w:rsidRDefault="00DF71F5">
      <w:pPr>
        <w:overflowPunct/>
        <w:autoSpaceDE/>
        <w:autoSpaceDN/>
        <w:adjustRightInd/>
        <w:spacing w:after="200" w:line="276" w:lineRule="auto"/>
        <w:textAlignment w:val="auto"/>
        <w:rPr>
          <w:rFonts w:ascii="Arial" w:hAnsi="Arial" w:cs="Arial"/>
          <w:szCs w:val="24"/>
        </w:rPr>
      </w:pPr>
      <w:r>
        <w:rPr>
          <w:rFonts w:ascii="Arial" w:hAnsi="Arial" w:cs="Arial"/>
          <w:szCs w:val="24"/>
        </w:rPr>
        <w:br w:type="page"/>
      </w:r>
    </w:p>
    <w:tbl>
      <w:tblPr>
        <w:tblpPr w:leftFromText="180" w:rightFromText="180" w:vertAnchor="text" w:horzAnchor="margin" w:tblpXSpec="center" w:tblpY="-99"/>
        <w:tblW w:w="8730" w:type="dxa"/>
        <w:tblLook w:val="0000" w:firstRow="0" w:lastRow="0" w:firstColumn="0" w:lastColumn="0" w:noHBand="0" w:noVBand="0"/>
      </w:tblPr>
      <w:tblGrid>
        <w:gridCol w:w="8730"/>
      </w:tblGrid>
      <w:tr w:rsidR="00DF71F5" w:rsidRPr="002C61BD" w:rsidTr="00DF71F5">
        <w:trPr>
          <w:trHeight w:val="277"/>
        </w:trPr>
        <w:tc>
          <w:tcPr>
            <w:tcW w:w="8730" w:type="dxa"/>
            <w:tcBorders>
              <w:top w:val="nil"/>
              <w:left w:val="nil"/>
              <w:bottom w:val="nil"/>
              <w:right w:val="nil"/>
            </w:tcBorders>
            <w:shd w:val="clear" w:color="auto" w:fill="auto"/>
            <w:noWrap/>
            <w:vAlign w:val="bottom"/>
          </w:tcPr>
          <w:p w:rsidR="00DF71F5" w:rsidRPr="001D0DB6" w:rsidRDefault="00DF71F5" w:rsidP="00DF71F5">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lastRenderedPageBreak/>
              <w:t>PECO ENERGY COMPANY</w:t>
            </w:r>
          </w:p>
        </w:tc>
      </w:tr>
      <w:tr w:rsidR="00DF71F5" w:rsidRPr="002C61BD" w:rsidTr="00DF71F5">
        <w:trPr>
          <w:trHeight w:val="277"/>
        </w:trPr>
        <w:tc>
          <w:tcPr>
            <w:tcW w:w="8730" w:type="dxa"/>
            <w:tcBorders>
              <w:top w:val="nil"/>
              <w:left w:val="nil"/>
              <w:bottom w:val="nil"/>
              <w:right w:val="nil"/>
            </w:tcBorders>
            <w:shd w:val="clear" w:color="auto" w:fill="auto"/>
            <w:noWrap/>
            <w:vAlign w:val="bottom"/>
          </w:tcPr>
          <w:p w:rsidR="00DF71F5" w:rsidRPr="001D0DB6" w:rsidRDefault="00DF71F5" w:rsidP="00DF71F5">
            <w:pPr>
              <w:overflowPunct/>
              <w:autoSpaceDE/>
              <w:autoSpaceDN/>
              <w:adjustRightInd/>
              <w:jc w:val="center"/>
              <w:textAlignment w:val="auto"/>
              <w:rPr>
                <w:rFonts w:ascii="Arial" w:hAnsi="Arial" w:cs="Arial"/>
                <w:b/>
                <w:sz w:val="26"/>
                <w:szCs w:val="26"/>
              </w:rPr>
            </w:pPr>
          </w:p>
          <w:p w:rsidR="00DF71F5" w:rsidRDefault="00DF71F5" w:rsidP="00DF71F5">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Condensed (Note 1)</w:t>
            </w:r>
            <w:r>
              <w:rPr>
                <w:rFonts w:ascii="Arial" w:hAnsi="Arial" w:cs="Arial"/>
                <w:b/>
                <w:sz w:val="26"/>
                <w:szCs w:val="26"/>
              </w:rPr>
              <w:t xml:space="preserve"> </w:t>
            </w:r>
          </w:p>
          <w:p w:rsidR="000C6E81" w:rsidRDefault="00DF71F5" w:rsidP="00DF71F5">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 xml:space="preserve">Statement Of </w:t>
            </w:r>
            <w:r>
              <w:rPr>
                <w:rFonts w:ascii="Arial" w:hAnsi="Arial" w:cs="Arial"/>
                <w:b/>
                <w:sz w:val="26"/>
                <w:szCs w:val="26"/>
              </w:rPr>
              <w:t>Smart Meter Cost Recovery</w:t>
            </w:r>
            <w:r w:rsidRPr="001D0DB6">
              <w:rPr>
                <w:rFonts w:ascii="Arial" w:hAnsi="Arial" w:cs="Arial"/>
                <w:b/>
                <w:sz w:val="26"/>
                <w:szCs w:val="26"/>
              </w:rPr>
              <w:t xml:space="preserve"> (</w:t>
            </w:r>
            <w:r>
              <w:rPr>
                <w:rFonts w:ascii="Arial" w:hAnsi="Arial" w:cs="Arial"/>
                <w:b/>
                <w:sz w:val="26"/>
                <w:szCs w:val="26"/>
              </w:rPr>
              <w:t>SMCRS</w:t>
            </w:r>
            <w:r w:rsidRPr="001D0DB6">
              <w:rPr>
                <w:rFonts w:ascii="Arial" w:hAnsi="Arial" w:cs="Arial"/>
                <w:b/>
                <w:sz w:val="26"/>
                <w:szCs w:val="26"/>
              </w:rPr>
              <w:t xml:space="preserve">) </w:t>
            </w:r>
          </w:p>
          <w:p w:rsidR="00DF71F5" w:rsidRPr="001D0DB6" w:rsidRDefault="00DF71F5" w:rsidP="000C6E81">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 xml:space="preserve">Over/(Under) Collections </w:t>
            </w:r>
            <w:r w:rsidR="00B94C19">
              <w:rPr>
                <w:rFonts w:ascii="Arial" w:hAnsi="Arial" w:cs="Arial"/>
                <w:b/>
                <w:sz w:val="26"/>
                <w:szCs w:val="26"/>
              </w:rPr>
              <w:t>(</w:t>
            </w:r>
            <w:r w:rsidR="000C6E81">
              <w:rPr>
                <w:rFonts w:ascii="Arial" w:hAnsi="Arial" w:cs="Arial"/>
                <w:b/>
                <w:sz w:val="26"/>
                <w:szCs w:val="26"/>
              </w:rPr>
              <w:t>Section 1307(e)</w:t>
            </w:r>
            <w:r w:rsidR="00B94C19">
              <w:rPr>
                <w:rFonts w:ascii="Arial" w:hAnsi="Arial" w:cs="Arial"/>
                <w:b/>
                <w:sz w:val="26"/>
                <w:szCs w:val="26"/>
              </w:rPr>
              <w:t>)</w:t>
            </w:r>
            <w:r w:rsidRPr="001D0DB6">
              <w:rPr>
                <w:rFonts w:ascii="Arial" w:hAnsi="Arial" w:cs="Arial"/>
                <w:b/>
                <w:sz w:val="26"/>
                <w:szCs w:val="26"/>
              </w:rPr>
              <w:t xml:space="preserve"> </w:t>
            </w:r>
          </w:p>
        </w:tc>
      </w:tr>
      <w:tr w:rsidR="00DF71F5" w:rsidRPr="002C61BD" w:rsidTr="00DF71F5">
        <w:trPr>
          <w:trHeight w:val="288"/>
        </w:trPr>
        <w:tc>
          <w:tcPr>
            <w:tcW w:w="8730" w:type="dxa"/>
            <w:tcBorders>
              <w:top w:val="nil"/>
              <w:left w:val="nil"/>
              <w:bottom w:val="nil"/>
              <w:right w:val="nil"/>
            </w:tcBorders>
            <w:shd w:val="clear" w:color="auto" w:fill="auto"/>
            <w:noWrap/>
            <w:vAlign w:val="bottom"/>
          </w:tcPr>
          <w:p w:rsidR="00DF71F5" w:rsidRDefault="00DF71F5" w:rsidP="00DF71F5">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For The Twelve Month</w:t>
            </w:r>
            <w:r w:rsidR="00B410B9">
              <w:rPr>
                <w:rFonts w:ascii="Arial" w:hAnsi="Arial" w:cs="Arial"/>
                <w:b/>
                <w:sz w:val="26"/>
                <w:szCs w:val="26"/>
              </w:rPr>
              <w:t>s</w:t>
            </w:r>
            <w:r w:rsidRPr="001D0DB6">
              <w:rPr>
                <w:rFonts w:ascii="Arial" w:hAnsi="Arial" w:cs="Arial"/>
                <w:b/>
                <w:sz w:val="26"/>
                <w:szCs w:val="26"/>
              </w:rPr>
              <w:t xml:space="preserve"> Ended </w:t>
            </w:r>
            <w:r>
              <w:rPr>
                <w:rFonts w:ascii="Arial" w:hAnsi="Arial" w:cs="Arial"/>
                <w:b/>
                <w:sz w:val="26"/>
                <w:szCs w:val="26"/>
              </w:rPr>
              <w:t>June</w:t>
            </w:r>
            <w:r w:rsidRPr="001D0DB6">
              <w:rPr>
                <w:rFonts w:ascii="Arial" w:hAnsi="Arial" w:cs="Arial"/>
                <w:b/>
                <w:sz w:val="26"/>
                <w:szCs w:val="26"/>
              </w:rPr>
              <w:t xml:space="preserve"> 3</w:t>
            </w:r>
            <w:r>
              <w:rPr>
                <w:rFonts w:ascii="Arial" w:hAnsi="Arial" w:cs="Arial"/>
                <w:b/>
                <w:sz w:val="26"/>
                <w:szCs w:val="26"/>
              </w:rPr>
              <w:t>0</w:t>
            </w:r>
            <w:r w:rsidRPr="001D0DB6">
              <w:rPr>
                <w:rFonts w:ascii="Arial" w:hAnsi="Arial" w:cs="Arial"/>
                <w:b/>
                <w:sz w:val="26"/>
                <w:szCs w:val="26"/>
              </w:rPr>
              <w:t>, 201</w:t>
            </w:r>
            <w:r>
              <w:rPr>
                <w:rFonts w:ascii="Arial" w:hAnsi="Arial" w:cs="Arial"/>
                <w:b/>
                <w:sz w:val="26"/>
                <w:szCs w:val="26"/>
              </w:rPr>
              <w:t>3*</w:t>
            </w:r>
          </w:p>
          <w:p w:rsidR="00750E57" w:rsidRPr="001D0DB6" w:rsidRDefault="00750E57" w:rsidP="00DF71F5">
            <w:pPr>
              <w:overflowPunct/>
              <w:autoSpaceDE/>
              <w:autoSpaceDN/>
              <w:adjustRightInd/>
              <w:jc w:val="center"/>
              <w:textAlignment w:val="auto"/>
              <w:rPr>
                <w:rFonts w:ascii="Arial" w:hAnsi="Arial" w:cs="Arial"/>
                <w:b/>
                <w:sz w:val="26"/>
                <w:szCs w:val="26"/>
              </w:rPr>
            </w:pPr>
          </w:p>
        </w:tc>
      </w:tr>
    </w:tbl>
    <w:tbl>
      <w:tblPr>
        <w:tblW w:w="8693" w:type="dxa"/>
        <w:jc w:val="center"/>
        <w:tblLayout w:type="fixed"/>
        <w:tblLook w:val="0000" w:firstRow="0" w:lastRow="0" w:firstColumn="0" w:lastColumn="0" w:noHBand="0" w:noVBand="0"/>
      </w:tblPr>
      <w:tblGrid>
        <w:gridCol w:w="2138"/>
        <w:gridCol w:w="2455"/>
        <w:gridCol w:w="2412"/>
        <w:gridCol w:w="1688"/>
      </w:tblGrid>
      <w:tr w:rsidR="004F21DE" w:rsidRPr="00895078" w:rsidTr="005E266C">
        <w:trPr>
          <w:jc w:val="center"/>
        </w:trPr>
        <w:tc>
          <w:tcPr>
            <w:tcW w:w="2138" w:type="dxa"/>
            <w:tcBorders>
              <w:top w:val="nil"/>
              <w:left w:val="nil"/>
              <w:right w:val="nil"/>
            </w:tcBorders>
            <w:shd w:val="clear" w:color="auto" w:fill="auto"/>
            <w:noWrap/>
            <w:vAlign w:val="bottom"/>
          </w:tcPr>
          <w:p w:rsidR="004F21DE" w:rsidRDefault="004F21DE" w:rsidP="00EE5E76">
            <w:pPr>
              <w:rPr>
                <w:rFonts w:ascii="Arial" w:hAnsi="Arial" w:cs="Arial"/>
                <w:szCs w:val="24"/>
              </w:rPr>
            </w:pPr>
          </w:p>
          <w:p w:rsidR="004F21DE" w:rsidRDefault="004F21DE" w:rsidP="00EE5E76">
            <w:pPr>
              <w:rPr>
                <w:rFonts w:ascii="Arial" w:hAnsi="Arial" w:cs="Arial"/>
                <w:szCs w:val="24"/>
              </w:rPr>
            </w:pPr>
          </w:p>
          <w:p w:rsidR="004F21DE" w:rsidRPr="00B410B9" w:rsidRDefault="00F43233" w:rsidP="00B410B9">
            <w:pPr>
              <w:rPr>
                <w:rFonts w:ascii="Arial" w:hAnsi="Arial" w:cs="Arial"/>
                <w:szCs w:val="24"/>
                <w:u w:val="single"/>
              </w:rPr>
            </w:pPr>
            <w:r w:rsidRPr="00B410B9">
              <w:rPr>
                <w:rFonts w:ascii="Arial" w:hAnsi="Arial" w:cs="Arial"/>
                <w:b/>
                <w:szCs w:val="24"/>
                <w:u w:val="single"/>
              </w:rPr>
              <w:t>Rate</w:t>
            </w:r>
            <w:r w:rsidR="004F21DE" w:rsidRPr="00B410B9">
              <w:rPr>
                <w:rFonts w:ascii="Arial" w:hAnsi="Arial" w:cs="Arial"/>
                <w:b/>
                <w:szCs w:val="24"/>
                <w:u w:val="single"/>
              </w:rPr>
              <w:t xml:space="preserve"> Class</w:t>
            </w:r>
          </w:p>
        </w:tc>
        <w:tc>
          <w:tcPr>
            <w:tcW w:w="2455" w:type="dxa"/>
            <w:tcBorders>
              <w:top w:val="nil"/>
              <w:left w:val="nil"/>
              <w:right w:val="nil"/>
            </w:tcBorders>
            <w:shd w:val="clear" w:color="auto" w:fill="auto"/>
            <w:noWrap/>
            <w:vAlign w:val="bottom"/>
          </w:tcPr>
          <w:p w:rsidR="007B7252" w:rsidRDefault="00D95FAD" w:rsidP="00B410B9">
            <w:pPr>
              <w:jc w:val="center"/>
              <w:rPr>
                <w:rFonts w:ascii="Arial" w:hAnsi="Arial" w:cs="Arial"/>
                <w:b/>
                <w:szCs w:val="24"/>
              </w:rPr>
            </w:pPr>
            <w:r>
              <w:rPr>
                <w:rFonts w:ascii="Arial" w:hAnsi="Arial" w:cs="Arial"/>
                <w:b/>
                <w:szCs w:val="24"/>
              </w:rPr>
              <w:t>SMCRS</w:t>
            </w:r>
            <w:r w:rsidR="004F21DE" w:rsidRPr="004F21DE">
              <w:rPr>
                <w:rFonts w:ascii="Arial" w:hAnsi="Arial" w:cs="Arial"/>
                <w:b/>
                <w:szCs w:val="24"/>
              </w:rPr>
              <w:t xml:space="preserve"> </w:t>
            </w:r>
          </w:p>
          <w:p w:rsidR="004F21DE" w:rsidRPr="007B7252" w:rsidRDefault="004F21DE" w:rsidP="00B410B9">
            <w:pPr>
              <w:jc w:val="center"/>
              <w:rPr>
                <w:rFonts w:ascii="Arial" w:hAnsi="Arial" w:cs="Arial"/>
                <w:szCs w:val="24"/>
                <w:u w:val="single"/>
              </w:rPr>
            </w:pPr>
            <w:r w:rsidRPr="007B7252">
              <w:rPr>
                <w:rFonts w:ascii="Arial" w:hAnsi="Arial" w:cs="Arial"/>
                <w:b/>
                <w:szCs w:val="24"/>
                <w:u w:val="single"/>
              </w:rPr>
              <w:t xml:space="preserve">Revenues </w:t>
            </w:r>
          </w:p>
        </w:tc>
        <w:tc>
          <w:tcPr>
            <w:tcW w:w="2412" w:type="dxa"/>
            <w:tcBorders>
              <w:top w:val="nil"/>
              <w:left w:val="nil"/>
              <w:right w:val="nil"/>
            </w:tcBorders>
            <w:vAlign w:val="bottom"/>
          </w:tcPr>
          <w:p w:rsidR="009A7025" w:rsidRDefault="00D95FAD" w:rsidP="007F5C8C">
            <w:pPr>
              <w:ind w:firstLine="6"/>
              <w:jc w:val="center"/>
              <w:rPr>
                <w:rFonts w:ascii="Arial" w:hAnsi="Arial" w:cs="Arial"/>
                <w:b/>
                <w:szCs w:val="24"/>
              </w:rPr>
            </w:pPr>
            <w:r>
              <w:rPr>
                <w:rFonts w:ascii="Arial" w:hAnsi="Arial" w:cs="Arial"/>
                <w:b/>
                <w:szCs w:val="24"/>
              </w:rPr>
              <w:t xml:space="preserve">SMCRS </w:t>
            </w:r>
          </w:p>
          <w:p w:rsidR="008E0379" w:rsidRDefault="00D95FAD" w:rsidP="00B410B9">
            <w:pPr>
              <w:ind w:firstLine="6"/>
              <w:jc w:val="center"/>
              <w:rPr>
                <w:rFonts w:ascii="Arial" w:hAnsi="Arial" w:cs="Arial"/>
                <w:b/>
                <w:szCs w:val="24"/>
              </w:rPr>
            </w:pPr>
            <w:r>
              <w:rPr>
                <w:rFonts w:ascii="Arial" w:hAnsi="Arial" w:cs="Arial"/>
                <w:b/>
                <w:szCs w:val="24"/>
              </w:rPr>
              <w:t>Costs</w:t>
            </w:r>
            <w:r w:rsidR="009A7025">
              <w:rPr>
                <w:rFonts w:ascii="Arial" w:hAnsi="Arial" w:cs="Arial"/>
                <w:b/>
                <w:szCs w:val="24"/>
              </w:rPr>
              <w:t xml:space="preserve"> </w:t>
            </w:r>
            <w:r>
              <w:rPr>
                <w:rFonts w:ascii="Arial" w:hAnsi="Arial" w:cs="Arial"/>
                <w:b/>
                <w:szCs w:val="24"/>
              </w:rPr>
              <w:t xml:space="preserve">(Net of </w:t>
            </w:r>
          </w:p>
          <w:p w:rsidR="004F21DE" w:rsidRPr="00895078" w:rsidRDefault="00D95FAD" w:rsidP="00B410B9">
            <w:pPr>
              <w:ind w:firstLine="6"/>
              <w:jc w:val="center"/>
              <w:rPr>
                <w:rFonts w:ascii="Arial" w:hAnsi="Arial" w:cs="Arial"/>
                <w:szCs w:val="24"/>
              </w:rPr>
            </w:pPr>
            <w:r w:rsidRPr="008E0379">
              <w:rPr>
                <w:rFonts w:ascii="Arial" w:hAnsi="Arial" w:cs="Arial"/>
                <w:b/>
                <w:szCs w:val="24"/>
                <w:u w:val="single"/>
              </w:rPr>
              <w:t xml:space="preserve">Stimulus </w:t>
            </w:r>
            <w:r w:rsidRPr="00CF3B3B">
              <w:rPr>
                <w:rFonts w:ascii="Arial" w:hAnsi="Arial" w:cs="Arial"/>
                <w:b/>
                <w:szCs w:val="24"/>
                <w:u w:val="single"/>
              </w:rPr>
              <w:t>Funding)</w:t>
            </w:r>
          </w:p>
        </w:tc>
        <w:tc>
          <w:tcPr>
            <w:tcW w:w="1688" w:type="dxa"/>
            <w:tcBorders>
              <w:top w:val="nil"/>
              <w:left w:val="nil"/>
              <w:right w:val="nil"/>
            </w:tcBorders>
            <w:vAlign w:val="bottom"/>
          </w:tcPr>
          <w:p w:rsidR="004F21DE" w:rsidRPr="00895078" w:rsidRDefault="004F21DE" w:rsidP="009D0E10">
            <w:pPr>
              <w:jc w:val="center"/>
              <w:rPr>
                <w:rFonts w:ascii="Arial" w:hAnsi="Arial" w:cs="Arial"/>
                <w:szCs w:val="24"/>
              </w:rPr>
            </w:pPr>
          </w:p>
          <w:p w:rsidR="004F21DE" w:rsidRPr="00895078" w:rsidRDefault="004F21DE" w:rsidP="00B410B9">
            <w:pPr>
              <w:jc w:val="center"/>
              <w:rPr>
                <w:rFonts w:ascii="Arial" w:hAnsi="Arial" w:cs="Arial"/>
                <w:szCs w:val="24"/>
              </w:rPr>
            </w:pPr>
            <w:r w:rsidRPr="006B67BF">
              <w:rPr>
                <w:rFonts w:ascii="Arial" w:hAnsi="Arial" w:cs="Arial"/>
                <w:b/>
                <w:szCs w:val="24"/>
              </w:rPr>
              <w:t xml:space="preserve">Over/(Under) </w:t>
            </w:r>
            <w:r w:rsidRPr="00CF3B3B">
              <w:rPr>
                <w:rFonts w:ascii="Arial" w:hAnsi="Arial" w:cs="Arial"/>
                <w:b/>
                <w:szCs w:val="24"/>
                <w:u w:val="single"/>
              </w:rPr>
              <w:t>Collections</w:t>
            </w:r>
          </w:p>
        </w:tc>
      </w:tr>
      <w:tr w:rsidR="00B410B9" w:rsidRPr="002C61BD" w:rsidTr="005E266C">
        <w:trPr>
          <w:trHeight w:val="255"/>
          <w:jc w:val="center"/>
        </w:trPr>
        <w:tc>
          <w:tcPr>
            <w:tcW w:w="2138" w:type="dxa"/>
            <w:tcBorders>
              <w:left w:val="nil"/>
              <w:bottom w:val="nil"/>
              <w:right w:val="nil"/>
            </w:tcBorders>
            <w:shd w:val="clear" w:color="auto" w:fill="auto"/>
            <w:noWrap/>
            <w:vAlign w:val="bottom"/>
          </w:tcPr>
          <w:p w:rsidR="00B410B9" w:rsidRPr="002C61BD" w:rsidRDefault="00B410B9" w:rsidP="009D0E10">
            <w:pPr>
              <w:jc w:val="center"/>
              <w:rPr>
                <w:rFonts w:ascii="Arial" w:hAnsi="Arial" w:cs="Arial"/>
                <w:szCs w:val="24"/>
              </w:rPr>
            </w:pPr>
          </w:p>
        </w:tc>
        <w:tc>
          <w:tcPr>
            <w:tcW w:w="2455" w:type="dxa"/>
            <w:tcBorders>
              <w:left w:val="nil"/>
              <w:bottom w:val="nil"/>
              <w:right w:val="nil"/>
            </w:tcBorders>
            <w:shd w:val="clear" w:color="auto" w:fill="auto"/>
            <w:noWrap/>
            <w:vAlign w:val="bottom"/>
          </w:tcPr>
          <w:p w:rsidR="00B410B9" w:rsidRPr="002C61BD" w:rsidRDefault="00B410B9" w:rsidP="004F21DE">
            <w:pPr>
              <w:jc w:val="center"/>
              <w:rPr>
                <w:rFonts w:ascii="Arial" w:hAnsi="Arial" w:cs="Arial"/>
                <w:szCs w:val="24"/>
              </w:rPr>
            </w:pPr>
            <w:r>
              <w:rPr>
                <w:rFonts w:ascii="Arial" w:hAnsi="Arial" w:cs="Arial"/>
                <w:szCs w:val="24"/>
              </w:rPr>
              <w:t>(1)</w:t>
            </w:r>
          </w:p>
        </w:tc>
        <w:tc>
          <w:tcPr>
            <w:tcW w:w="2412" w:type="dxa"/>
            <w:tcBorders>
              <w:left w:val="nil"/>
              <w:bottom w:val="nil"/>
              <w:right w:val="nil"/>
            </w:tcBorders>
            <w:vAlign w:val="bottom"/>
          </w:tcPr>
          <w:p w:rsidR="00B410B9" w:rsidRPr="002C61BD" w:rsidRDefault="00B410B9" w:rsidP="004F21DE">
            <w:pPr>
              <w:jc w:val="center"/>
              <w:rPr>
                <w:rFonts w:ascii="Arial" w:hAnsi="Arial" w:cs="Arial"/>
                <w:szCs w:val="24"/>
              </w:rPr>
            </w:pPr>
            <w:r>
              <w:rPr>
                <w:rFonts w:ascii="Arial" w:hAnsi="Arial" w:cs="Arial"/>
                <w:szCs w:val="24"/>
              </w:rPr>
              <w:t>(2)</w:t>
            </w:r>
          </w:p>
        </w:tc>
        <w:tc>
          <w:tcPr>
            <w:tcW w:w="1688" w:type="dxa"/>
            <w:tcBorders>
              <w:left w:val="nil"/>
              <w:bottom w:val="nil"/>
              <w:right w:val="nil"/>
            </w:tcBorders>
            <w:vAlign w:val="bottom"/>
          </w:tcPr>
          <w:p w:rsidR="00B410B9" w:rsidRDefault="00B410B9">
            <w:pPr>
              <w:jc w:val="center"/>
              <w:rPr>
                <w:rFonts w:ascii="Arial" w:hAnsi="Arial" w:cs="Arial"/>
                <w:szCs w:val="24"/>
              </w:rPr>
            </w:pPr>
            <w:r>
              <w:rPr>
                <w:rFonts w:ascii="Arial" w:hAnsi="Arial" w:cs="Arial"/>
                <w:szCs w:val="24"/>
              </w:rPr>
              <w:t>(3)=(1)-(2)</w:t>
            </w:r>
          </w:p>
        </w:tc>
      </w:tr>
      <w:tr w:rsidR="004F21DE" w:rsidRPr="002C61BD" w:rsidTr="005E266C">
        <w:trPr>
          <w:trHeight w:val="255"/>
          <w:jc w:val="center"/>
        </w:trPr>
        <w:tc>
          <w:tcPr>
            <w:tcW w:w="2138" w:type="dxa"/>
            <w:tcBorders>
              <w:left w:val="nil"/>
              <w:bottom w:val="nil"/>
              <w:right w:val="nil"/>
            </w:tcBorders>
            <w:shd w:val="clear" w:color="auto" w:fill="auto"/>
            <w:noWrap/>
            <w:vAlign w:val="bottom"/>
          </w:tcPr>
          <w:p w:rsidR="004F21DE" w:rsidRPr="002C61BD" w:rsidRDefault="004F21DE" w:rsidP="009D0E10">
            <w:pPr>
              <w:jc w:val="center"/>
              <w:rPr>
                <w:rFonts w:ascii="Arial" w:hAnsi="Arial" w:cs="Arial"/>
                <w:szCs w:val="24"/>
              </w:rPr>
            </w:pPr>
          </w:p>
        </w:tc>
        <w:tc>
          <w:tcPr>
            <w:tcW w:w="2455" w:type="dxa"/>
            <w:tcBorders>
              <w:left w:val="nil"/>
              <w:bottom w:val="nil"/>
              <w:right w:val="nil"/>
            </w:tcBorders>
            <w:shd w:val="clear" w:color="auto" w:fill="auto"/>
            <w:noWrap/>
            <w:vAlign w:val="bottom"/>
          </w:tcPr>
          <w:p w:rsidR="004F21DE" w:rsidRPr="002C61BD" w:rsidRDefault="004F21DE" w:rsidP="004F21DE">
            <w:pPr>
              <w:jc w:val="center"/>
              <w:rPr>
                <w:rFonts w:ascii="Arial" w:hAnsi="Arial" w:cs="Arial"/>
                <w:szCs w:val="24"/>
              </w:rPr>
            </w:pPr>
            <w:r w:rsidRPr="002C61BD">
              <w:rPr>
                <w:rFonts w:ascii="Arial" w:hAnsi="Arial" w:cs="Arial"/>
                <w:szCs w:val="24"/>
              </w:rPr>
              <w:t xml:space="preserve">(Note </w:t>
            </w:r>
            <w:r>
              <w:rPr>
                <w:rFonts w:ascii="Arial" w:hAnsi="Arial" w:cs="Arial"/>
                <w:szCs w:val="24"/>
              </w:rPr>
              <w:t>2</w:t>
            </w:r>
            <w:r w:rsidRPr="002C61BD">
              <w:rPr>
                <w:rFonts w:ascii="Arial" w:hAnsi="Arial" w:cs="Arial"/>
                <w:szCs w:val="24"/>
              </w:rPr>
              <w:t>)</w:t>
            </w:r>
          </w:p>
        </w:tc>
        <w:tc>
          <w:tcPr>
            <w:tcW w:w="2412" w:type="dxa"/>
            <w:tcBorders>
              <w:left w:val="nil"/>
              <w:bottom w:val="nil"/>
              <w:right w:val="nil"/>
            </w:tcBorders>
            <w:vAlign w:val="bottom"/>
          </w:tcPr>
          <w:p w:rsidR="004F21DE" w:rsidRPr="002C61BD" w:rsidRDefault="004F21DE" w:rsidP="004F21DE">
            <w:pPr>
              <w:jc w:val="center"/>
              <w:rPr>
                <w:rFonts w:ascii="Arial" w:hAnsi="Arial" w:cs="Arial"/>
                <w:szCs w:val="24"/>
              </w:rPr>
            </w:pPr>
            <w:r w:rsidRPr="002C61BD">
              <w:rPr>
                <w:rFonts w:ascii="Arial" w:hAnsi="Arial" w:cs="Arial"/>
                <w:szCs w:val="24"/>
              </w:rPr>
              <w:t xml:space="preserve">(Note </w:t>
            </w:r>
            <w:r>
              <w:rPr>
                <w:rFonts w:ascii="Arial" w:hAnsi="Arial" w:cs="Arial"/>
                <w:szCs w:val="24"/>
              </w:rPr>
              <w:t>3</w:t>
            </w:r>
            <w:r w:rsidRPr="002C61BD">
              <w:rPr>
                <w:rFonts w:ascii="Arial" w:hAnsi="Arial" w:cs="Arial"/>
                <w:szCs w:val="24"/>
              </w:rPr>
              <w:t>)</w:t>
            </w:r>
          </w:p>
        </w:tc>
        <w:tc>
          <w:tcPr>
            <w:tcW w:w="1688" w:type="dxa"/>
            <w:tcBorders>
              <w:left w:val="nil"/>
              <w:bottom w:val="nil"/>
              <w:right w:val="nil"/>
            </w:tcBorders>
            <w:vAlign w:val="bottom"/>
          </w:tcPr>
          <w:p w:rsidR="004F21DE" w:rsidRPr="002C61BD" w:rsidRDefault="004F21DE">
            <w:pPr>
              <w:jc w:val="center"/>
              <w:rPr>
                <w:rFonts w:ascii="Arial" w:hAnsi="Arial" w:cs="Arial"/>
                <w:szCs w:val="24"/>
              </w:rPr>
            </w:pPr>
            <w:r>
              <w:rPr>
                <w:rFonts w:ascii="Arial" w:hAnsi="Arial" w:cs="Arial"/>
                <w:szCs w:val="24"/>
              </w:rPr>
              <w:t>(</w:t>
            </w:r>
            <w:r w:rsidRPr="002C61BD">
              <w:rPr>
                <w:rFonts w:ascii="Arial" w:hAnsi="Arial" w:cs="Arial"/>
                <w:szCs w:val="24"/>
              </w:rPr>
              <w:t xml:space="preserve">Note </w:t>
            </w:r>
            <w:r>
              <w:rPr>
                <w:rFonts w:ascii="Arial" w:hAnsi="Arial" w:cs="Arial"/>
                <w:szCs w:val="24"/>
              </w:rPr>
              <w:t>4)</w:t>
            </w:r>
          </w:p>
        </w:tc>
      </w:tr>
      <w:tr w:rsidR="004F21DE" w:rsidRPr="002C61BD" w:rsidTr="005E266C">
        <w:trPr>
          <w:trHeight w:val="144"/>
          <w:jc w:val="center"/>
        </w:trPr>
        <w:tc>
          <w:tcPr>
            <w:tcW w:w="2138" w:type="dxa"/>
            <w:tcBorders>
              <w:top w:val="nil"/>
              <w:left w:val="nil"/>
              <w:bottom w:val="nil"/>
              <w:right w:val="nil"/>
            </w:tcBorders>
            <w:shd w:val="clear" w:color="auto" w:fill="auto"/>
            <w:noWrap/>
            <w:vAlign w:val="bottom"/>
          </w:tcPr>
          <w:p w:rsidR="004F21DE" w:rsidRPr="002C61BD" w:rsidRDefault="004F21DE" w:rsidP="009D0E10">
            <w:pPr>
              <w:rPr>
                <w:rFonts w:ascii="Arial" w:hAnsi="Arial" w:cs="Arial"/>
                <w:szCs w:val="24"/>
              </w:rPr>
            </w:pPr>
          </w:p>
        </w:tc>
        <w:tc>
          <w:tcPr>
            <w:tcW w:w="2455" w:type="dxa"/>
            <w:tcBorders>
              <w:top w:val="nil"/>
              <w:left w:val="nil"/>
              <w:bottom w:val="nil"/>
              <w:right w:val="nil"/>
            </w:tcBorders>
            <w:shd w:val="clear" w:color="auto" w:fill="auto"/>
            <w:noWrap/>
            <w:vAlign w:val="bottom"/>
          </w:tcPr>
          <w:p w:rsidR="004F21DE" w:rsidRPr="002C61BD" w:rsidRDefault="004F21DE" w:rsidP="001A778A">
            <w:pPr>
              <w:jc w:val="center"/>
              <w:rPr>
                <w:rFonts w:ascii="Arial" w:hAnsi="Arial" w:cs="Arial"/>
                <w:szCs w:val="24"/>
              </w:rPr>
            </w:pPr>
          </w:p>
        </w:tc>
        <w:tc>
          <w:tcPr>
            <w:tcW w:w="2412" w:type="dxa"/>
            <w:tcBorders>
              <w:top w:val="nil"/>
              <w:left w:val="nil"/>
              <w:bottom w:val="nil"/>
              <w:right w:val="nil"/>
            </w:tcBorders>
            <w:vAlign w:val="bottom"/>
          </w:tcPr>
          <w:p w:rsidR="004F21DE" w:rsidRPr="002C61BD" w:rsidRDefault="004F21DE" w:rsidP="001A778A">
            <w:pPr>
              <w:jc w:val="center"/>
              <w:rPr>
                <w:rFonts w:ascii="Arial" w:hAnsi="Arial" w:cs="Arial"/>
                <w:szCs w:val="24"/>
              </w:rPr>
            </w:pPr>
          </w:p>
        </w:tc>
        <w:tc>
          <w:tcPr>
            <w:tcW w:w="1688" w:type="dxa"/>
            <w:tcBorders>
              <w:top w:val="nil"/>
              <w:left w:val="nil"/>
              <w:bottom w:val="nil"/>
              <w:right w:val="nil"/>
            </w:tcBorders>
          </w:tcPr>
          <w:p w:rsidR="004F21DE" w:rsidRPr="002C61BD" w:rsidRDefault="004F21DE" w:rsidP="00DF7BE0">
            <w:pPr>
              <w:jc w:val="center"/>
              <w:rPr>
                <w:rFonts w:ascii="Arial" w:hAnsi="Arial" w:cs="Arial"/>
                <w:szCs w:val="24"/>
              </w:rPr>
            </w:pPr>
          </w:p>
        </w:tc>
      </w:tr>
      <w:tr w:rsidR="004F21DE" w:rsidRPr="002C61BD" w:rsidTr="005E266C">
        <w:trPr>
          <w:trHeight w:val="288"/>
          <w:jc w:val="center"/>
        </w:trPr>
        <w:tc>
          <w:tcPr>
            <w:tcW w:w="2138" w:type="dxa"/>
            <w:tcBorders>
              <w:top w:val="nil"/>
              <w:left w:val="nil"/>
              <w:bottom w:val="nil"/>
              <w:right w:val="nil"/>
            </w:tcBorders>
            <w:shd w:val="clear" w:color="auto" w:fill="auto"/>
            <w:noWrap/>
            <w:vAlign w:val="bottom"/>
          </w:tcPr>
          <w:p w:rsidR="004F21DE" w:rsidRPr="00BB35D7" w:rsidRDefault="00F43233" w:rsidP="002538E4">
            <w:pPr>
              <w:rPr>
                <w:rFonts w:ascii="Arial" w:hAnsi="Arial" w:cs="Arial"/>
                <w:szCs w:val="24"/>
              </w:rPr>
            </w:pPr>
            <w:r>
              <w:rPr>
                <w:rFonts w:ascii="Arial" w:hAnsi="Arial" w:cs="Arial"/>
                <w:szCs w:val="24"/>
              </w:rPr>
              <w:t>R</w:t>
            </w:r>
            <w:r w:rsidR="002538E4">
              <w:rPr>
                <w:rFonts w:ascii="Arial" w:hAnsi="Arial" w:cs="Arial"/>
                <w:szCs w:val="24"/>
              </w:rPr>
              <w:t>esidential</w:t>
            </w:r>
          </w:p>
        </w:tc>
        <w:tc>
          <w:tcPr>
            <w:tcW w:w="2455" w:type="dxa"/>
            <w:tcBorders>
              <w:top w:val="nil"/>
              <w:left w:val="nil"/>
              <w:bottom w:val="nil"/>
              <w:right w:val="nil"/>
            </w:tcBorders>
            <w:shd w:val="clear" w:color="auto" w:fill="auto"/>
            <w:noWrap/>
            <w:vAlign w:val="bottom"/>
          </w:tcPr>
          <w:p w:rsidR="004F21DE" w:rsidRPr="00BB35D7" w:rsidRDefault="00BB35D7" w:rsidP="00BA719E">
            <w:pPr>
              <w:rPr>
                <w:rFonts w:ascii="Arial" w:hAnsi="Arial" w:cs="Arial"/>
                <w:szCs w:val="24"/>
              </w:rPr>
            </w:pPr>
            <w:r w:rsidRPr="00BB35D7">
              <w:rPr>
                <w:rFonts w:ascii="Arial" w:hAnsi="Arial" w:cs="Arial"/>
                <w:szCs w:val="24"/>
              </w:rPr>
              <w:t xml:space="preserve">     </w:t>
            </w:r>
            <w:r w:rsidR="004F21DE" w:rsidRPr="00BB35D7">
              <w:rPr>
                <w:rFonts w:ascii="Arial" w:hAnsi="Arial" w:cs="Arial"/>
                <w:szCs w:val="24"/>
              </w:rPr>
              <w:t>$</w:t>
            </w:r>
            <w:r w:rsidRPr="00BB35D7">
              <w:rPr>
                <w:rFonts w:ascii="Arial" w:hAnsi="Arial" w:cs="Arial"/>
                <w:szCs w:val="24"/>
              </w:rPr>
              <w:t xml:space="preserve"> </w:t>
            </w:r>
            <w:r w:rsidR="00BA719E">
              <w:rPr>
                <w:rFonts w:ascii="Arial" w:hAnsi="Arial" w:cs="Arial"/>
                <w:szCs w:val="24"/>
              </w:rPr>
              <w:t xml:space="preserve">  42</w:t>
            </w:r>
            <w:r w:rsidR="004F21DE" w:rsidRPr="00BB35D7">
              <w:rPr>
                <w:rFonts w:ascii="Arial" w:hAnsi="Arial" w:cs="Arial"/>
                <w:szCs w:val="24"/>
              </w:rPr>
              <w:t>,</w:t>
            </w:r>
            <w:r w:rsidR="00BA719E">
              <w:rPr>
                <w:rFonts w:ascii="Arial" w:hAnsi="Arial" w:cs="Arial"/>
                <w:szCs w:val="24"/>
              </w:rPr>
              <w:t>448</w:t>
            </w:r>
            <w:r w:rsidR="004F21DE" w:rsidRPr="00BB35D7">
              <w:rPr>
                <w:rFonts w:ascii="Arial" w:hAnsi="Arial" w:cs="Arial"/>
                <w:szCs w:val="24"/>
              </w:rPr>
              <w:t>,1</w:t>
            </w:r>
            <w:r w:rsidR="00BA719E">
              <w:rPr>
                <w:rFonts w:ascii="Arial" w:hAnsi="Arial" w:cs="Arial"/>
                <w:szCs w:val="24"/>
              </w:rPr>
              <w:t>15</w:t>
            </w:r>
          </w:p>
        </w:tc>
        <w:tc>
          <w:tcPr>
            <w:tcW w:w="2412" w:type="dxa"/>
            <w:tcBorders>
              <w:top w:val="nil"/>
              <w:left w:val="nil"/>
              <w:bottom w:val="nil"/>
              <w:right w:val="nil"/>
            </w:tcBorders>
            <w:vAlign w:val="bottom"/>
          </w:tcPr>
          <w:p w:rsidR="004F21DE" w:rsidRPr="00BB35D7" w:rsidRDefault="004F21DE" w:rsidP="00BA719E">
            <w:pPr>
              <w:jc w:val="center"/>
              <w:rPr>
                <w:rFonts w:ascii="Arial" w:hAnsi="Arial" w:cs="Arial"/>
                <w:szCs w:val="24"/>
              </w:rPr>
            </w:pPr>
            <w:r w:rsidRPr="00BB35D7">
              <w:rPr>
                <w:rFonts w:ascii="Arial" w:hAnsi="Arial" w:cs="Arial"/>
                <w:szCs w:val="24"/>
              </w:rPr>
              <w:t>$</w:t>
            </w:r>
            <w:r w:rsidR="00BB35D7" w:rsidRPr="00BB35D7">
              <w:rPr>
                <w:rFonts w:ascii="Arial" w:hAnsi="Arial" w:cs="Arial"/>
                <w:szCs w:val="24"/>
              </w:rPr>
              <w:t xml:space="preserve"> </w:t>
            </w:r>
            <w:r w:rsidR="00BA719E">
              <w:rPr>
                <w:rFonts w:ascii="Arial" w:hAnsi="Arial" w:cs="Arial"/>
                <w:szCs w:val="24"/>
              </w:rPr>
              <w:t xml:space="preserve"> </w:t>
            </w:r>
            <w:r w:rsidRPr="00BB35D7">
              <w:rPr>
                <w:rFonts w:ascii="Arial" w:hAnsi="Arial" w:cs="Arial"/>
                <w:szCs w:val="24"/>
              </w:rPr>
              <w:t>3</w:t>
            </w:r>
            <w:r w:rsidR="00BA719E">
              <w:rPr>
                <w:rFonts w:ascii="Arial" w:hAnsi="Arial" w:cs="Arial"/>
                <w:szCs w:val="24"/>
              </w:rPr>
              <w:t>5</w:t>
            </w:r>
            <w:r w:rsidRPr="00BB35D7">
              <w:rPr>
                <w:rFonts w:ascii="Arial" w:hAnsi="Arial" w:cs="Arial"/>
                <w:szCs w:val="24"/>
              </w:rPr>
              <w:t>,</w:t>
            </w:r>
            <w:r w:rsidR="00BA719E">
              <w:rPr>
                <w:rFonts w:ascii="Arial" w:hAnsi="Arial" w:cs="Arial"/>
                <w:szCs w:val="24"/>
              </w:rPr>
              <w:t>698</w:t>
            </w:r>
            <w:r w:rsidRPr="00BB35D7">
              <w:rPr>
                <w:rFonts w:ascii="Arial" w:hAnsi="Arial" w:cs="Arial"/>
                <w:szCs w:val="24"/>
              </w:rPr>
              <w:t>,</w:t>
            </w:r>
            <w:r w:rsidR="00BA719E">
              <w:rPr>
                <w:rFonts w:ascii="Arial" w:hAnsi="Arial" w:cs="Arial"/>
                <w:szCs w:val="24"/>
              </w:rPr>
              <w:t>612</w:t>
            </w:r>
          </w:p>
        </w:tc>
        <w:tc>
          <w:tcPr>
            <w:tcW w:w="1688" w:type="dxa"/>
            <w:tcBorders>
              <w:top w:val="nil"/>
              <w:left w:val="nil"/>
              <w:bottom w:val="nil"/>
              <w:right w:val="nil"/>
            </w:tcBorders>
            <w:vAlign w:val="bottom"/>
          </w:tcPr>
          <w:p w:rsidR="004F21DE" w:rsidRPr="002C61BD" w:rsidRDefault="00BB35D7" w:rsidP="00336287">
            <w:pPr>
              <w:jc w:val="center"/>
              <w:rPr>
                <w:rFonts w:ascii="Arial" w:hAnsi="Arial" w:cs="Arial"/>
                <w:szCs w:val="24"/>
              </w:rPr>
            </w:pPr>
            <w:r w:rsidRPr="00BB35D7">
              <w:rPr>
                <w:rFonts w:ascii="Arial" w:hAnsi="Arial" w:cs="Arial"/>
                <w:szCs w:val="24"/>
              </w:rPr>
              <w:t>$</w:t>
            </w:r>
            <w:r w:rsidR="00336287">
              <w:rPr>
                <w:rFonts w:ascii="Arial" w:hAnsi="Arial" w:cs="Arial"/>
                <w:szCs w:val="24"/>
              </w:rPr>
              <w:t xml:space="preserve"> 6,749</w:t>
            </w:r>
            <w:r w:rsidR="004F21DE" w:rsidRPr="00BB35D7">
              <w:rPr>
                <w:rFonts w:ascii="Arial" w:hAnsi="Arial" w:cs="Arial"/>
                <w:szCs w:val="24"/>
              </w:rPr>
              <w:t>,</w:t>
            </w:r>
            <w:r w:rsidR="00336287">
              <w:rPr>
                <w:rFonts w:ascii="Arial" w:hAnsi="Arial" w:cs="Arial"/>
                <w:szCs w:val="24"/>
              </w:rPr>
              <w:t xml:space="preserve">503 </w:t>
            </w:r>
          </w:p>
        </w:tc>
      </w:tr>
      <w:tr w:rsidR="004F21DE" w:rsidRPr="002C61BD" w:rsidTr="005E266C">
        <w:trPr>
          <w:trHeight w:val="288"/>
          <w:jc w:val="center"/>
        </w:trPr>
        <w:tc>
          <w:tcPr>
            <w:tcW w:w="2138" w:type="dxa"/>
            <w:tcBorders>
              <w:top w:val="nil"/>
              <w:left w:val="nil"/>
              <w:bottom w:val="nil"/>
              <w:right w:val="nil"/>
            </w:tcBorders>
            <w:shd w:val="clear" w:color="auto" w:fill="auto"/>
            <w:noWrap/>
            <w:vAlign w:val="bottom"/>
          </w:tcPr>
          <w:p w:rsidR="004F21DE" w:rsidRPr="002C61BD" w:rsidRDefault="004F21DE" w:rsidP="004F21DE">
            <w:pPr>
              <w:rPr>
                <w:rFonts w:ascii="Arial" w:hAnsi="Arial" w:cs="Arial"/>
                <w:szCs w:val="24"/>
              </w:rPr>
            </w:pPr>
          </w:p>
        </w:tc>
        <w:tc>
          <w:tcPr>
            <w:tcW w:w="2455" w:type="dxa"/>
            <w:tcBorders>
              <w:top w:val="nil"/>
              <w:left w:val="nil"/>
              <w:bottom w:val="nil"/>
              <w:right w:val="nil"/>
            </w:tcBorders>
            <w:shd w:val="clear" w:color="auto" w:fill="auto"/>
            <w:noWrap/>
            <w:vAlign w:val="bottom"/>
          </w:tcPr>
          <w:p w:rsidR="004F21DE" w:rsidRDefault="004F21DE" w:rsidP="001A778A">
            <w:pPr>
              <w:jc w:val="center"/>
              <w:rPr>
                <w:rFonts w:ascii="Arial" w:hAnsi="Arial" w:cs="Arial"/>
                <w:szCs w:val="24"/>
              </w:rPr>
            </w:pPr>
          </w:p>
        </w:tc>
        <w:tc>
          <w:tcPr>
            <w:tcW w:w="2412" w:type="dxa"/>
            <w:tcBorders>
              <w:top w:val="nil"/>
              <w:left w:val="nil"/>
              <w:bottom w:val="nil"/>
              <w:right w:val="nil"/>
            </w:tcBorders>
            <w:vAlign w:val="bottom"/>
          </w:tcPr>
          <w:p w:rsidR="004F21DE" w:rsidRDefault="004F21DE" w:rsidP="001A778A">
            <w:pPr>
              <w:jc w:val="center"/>
              <w:rPr>
                <w:rFonts w:ascii="Arial" w:hAnsi="Arial" w:cs="Arial"/>
                <w:szCs w:val="24"/>
              </w:rPr>
            </w:pPr>
          </w:p>
        </w:tc>
        <w:tc>
          <w:tcPr>
            <w:tcW w:w="1688" w:type="dxa"/>
            <w:tcBorders>
              <w:top w:val="nil"/>
              <w:left w:val="nil"/>
              <w:bottom w:val="nil"/>
              <w:right w:val="nil"/>
            </w:tcBorders>
            <w:vAlign w:val="bottom"/>
          </w:tcPr>
          <w:p w:rsidR="004F21DE" w:rsidRDefault="004F21DE" w:rsidP="006B67BF">
            <w:pPr>
              <w:jc w:val="center"/>
              <w:rPr>
                <w:rFonts w:ascii="Arial" w:hAnsi="Arial" w:cs="Arial"/>
                <w:szCs w:val="24"/>
              </w:rPr>
            </w:pPr>
          </w:p>
        </w:tc>
      </w:tr>
      <w:tr w:rsidR="004F21DE" w:rsidRPr="002C61BD" w:rsidTr="005E266C">
        <w:trPr>
          <w:trHeight w:val="288"/>
          <w:jc w:val="center"/>
        </w:trPr>
        <w:tc>
          <w:tcPr>
            <w:tcW w:w="2138" w:type="dxa"/>
            <w:tcBorders>
              <w:top w:val="nil"/>
              <w:left w:val="nil"/>
              <w:bottom w:val="nil"/>
              <w:right w:val="nil"/>
            </w:tcBorders>
            <w:shd w:val="clear" w:color="auto" w:fill="auto"/>
            <w:noWrap/>
            <w:vAlign w:val="bottom"/>
          </w:tcPr>
          <w:p w:rsidR="004F21DE" w:rsidRPr="002C61BD" w:rsidRDefault="002538E4" w:rsidP="009D0E10">
            <w:pPr>
              <w:rPr>
                <w:rFonts w:ascii="Arial" w:hAnsi="Arial" w:cs="Arial"/>
                <w:szCs w:val="24"/>
              </w:rPr>
            </w:pPr>
            <w:r>
              <w:rPr>
                <w:rFonts w:ascii="Arial" w:hAnsi="Arial" w:cs="Arial"/>
                <w:szCs w:val="24"/>
              </w:rPr>
              <w:t>Small C &amp; I</w:t>
            </w:r>
          </w:p>
        </w:tc>
        <w:tc>
          <w:tcPr>
            <w:tcW w:w="2455" w:type="dxa"/>
            <w:tcBorders>
              <w:top w:val="nil"/>
              <w:left w:val="nil"/>
              <w:bottom w:val="nil"/>
              <w:right w:val="nil"/>
            </w:tcBorders>
            <w:shd w:val="clear" w:color="auto" w:fill="auto"/>
            <w:noWrap/>
            <w:vAlign w:val="bottom"/>
          </w:tcPr>
          <w:p w:rsidR="004F21DE" w:rsidRPr="002C61BD" w:rsidRDefault="004F21DE" w:rsidP="00BA719E">
            <w:pPr>
              <w:jc w:val="center"/>
              <w:rPr>
                <w:rFonts w:ascii="Arial" w:hAnsi="Arial" w:cs="Arial"/>
                <w:szCs w:val="24"/>
              </w:rPr>
            </w:pPr>
            <w:r>
              <w:rPr>
                <w:rFonts w:ascii="Arial" w:hAnsi="Arial" w:cs="Arial"/>
                <w:szCs w:val="24"/>
              </w:rPr>
              <w:t xml:space="preserve">    </w:t>
            </w:r>
            <w:r w:rsidR="00BB35D7">
              <w:rPr>
                <w:rFonts w:ascii="Arial" w:hAnsi="Arial" w:cs="Arial"/>
                <w:szCs w:val="24"/>
              </w:rPr>
              <w:t xml:space="preserve"> </w:t>
            </w:r>
            <w:r w:rsidR="00BA719E">
              <w:rPr>
                <w:rFonts w:ascii="Arial" w:hAnsi="Arial" w:cs="Arial"/>
                <w:szCs w:val="24"/>
              </w:rPr>
              <w:t xml:space="preserve"> 4</w:t>
            </w:r>
            <w:r>
              <w:rPr>
                <w:rFonts w:ascii="Arial" w:hAnsi="Arial" w:cs="Arial"/>
                <w:szCs w:val="24"/>
              </w:rPr>
              <w:t>,</w:t>
            </w:r>
            <w:r w:rsidR="00BA719E">
              <w:rPr>
                <w:rFonts w:ascii="Arial" w:hAnsi="Arial" w:cs="Arial"/>
                <w:szCs w:val="24"/>
              </w:rPr>
              <w:t>299</w:t>
            </w:r>
            <w:r>
              <w:rPr>
                <w:rFonts w:ascii="Arial" w:hAnsi="Arial" w:cs="Arial"/>
                <w:szCs w:val="24"/>
              </w:rPr>
              <w:t>,</w:t>
            </w:r>
            <w:r w:rsidR="00BA719E">
              <w:rPr>
                <w:rFonts w:ascii="Arial" w:hAnsi="Arial" w:cs="Arial"/>
                <w:szCs w:val="24"/>
              </w:rPr>
              <w:t>277</w:t>
            </w:r>
          </w:p>
        </w:tc>
        <w:tc>
          <w:tcPr>
            <w:tcW w:w="2412" w:type="dxa"/>
            <w:tcBorders>
              <w:top w:val="nil"/>
              <w:left w:val="nil"/>
              <w:bottom w:val="nil"/>
              <w:right w:val="nil"/>
            </w:tcBorders>
            <w:vAlign w:val="bottom"/>
          </w:tcPr>
          <w:p w:rsidR="004F21DE" w:rsidRPr="002C61BD" w:rsidRDefault="00BB35D7" w:rsidP="00BA719E">
            <w:pPr>
              <w:ind w:right="-253"/>
              <w:jc w:val="center"/>
              <w:rPr>
                <w:rFonts w:ascii="Arial" w:hAnsi="Arial" w:cs="Arial"/>
                <w:szCs w:val="24"/>
              </w:rPr>
            </w:pPr>
            <w:r>
              <w:rPr>
                <w:rFonts w:ascii="Arial" w:hAnsi="Arial" w:cs="Arial"/>
                <w:szCs w:val="24"/>
              </w:rPr>
              <w:t xml:space="preserve"> </w:t>
            </w:r>
            <w:r w:rsidR="00BA719E">
              <w:rPr>
                <w:rFonts w:ascii="Arial" w:hAnsi="Arial" w:cs="Arial"/>
                <w:szCs w:val="24"/>
              </w:rPr>
              <w:t xml:space="preserve"> </w:t>
            </w:r>
            <w:r w:rsidR="004F21DE">
              <w:rPr>
                <w:rFonts w:ascii="Arial" w:hAnsi="Arial" w:cs="Arial"/>
                <w:szCs w:val="24"/>
              </w:rPr>
              <w:t>3,4</w:t>
            </w:r>
            <w:r w:rsidR="00BA719E">
              <w:rPr>
                <w:rFonts w:ascii="Arial" w:hAnsi="Arial" w:cs="Arial"/>
                <w:szCs w:val="24"/>
              </w:rPr>
              <w:t>28</w:t>
            </w:r>
            <w:r w:rsidR="004F21DE">
              <w:rPr>
                <w:rFonts w:ascii="Arial" w:hAnsi="Arial" w:cs="Arial"/>
                <w:szCs w:val="24"/>
              </w:rPr>
              <w:t>,</w:t>
            </w:r>
            <w:r w:rsidR="00BA719E">
              <w:rPr>
                <w:rFonts w:ascii="Arial" w:hAnsi="Arial" w:cs="Arial"/>
                <w:szCs w:val="24"/>
              </w:rPr>
              <w:t>518</w:t>
            </w:r>
          </w:p>
        </w:tc>
        <w:tc>
          <w:tcPr>
            <w:tcW w:w="1688" w:type="dxa"/>
            <w:tcBorders>
              <w:top w:val="nil"/>
              <w:left w:val="nil"/>
              <w:bottom w:val="nil"/>
              <w:right w:val="nil"/>
            </w:tcBorders>
            <w:vAlign w:val="bottom"/>
          </w:tcPr>
          <w:p w:rsidR="004F21DE" w:rsidRPr="002C61BD" w:rsidRDefault="004F21DE" w:rsidP="00336287">
            <w:pPr>
              <w:ind w:right="-113"/>
              <w:jc w:val="center"/>
              <w:rPr>
                <w:rFonts w:ascii="Arial" w:hAnsi="Arial" w:cs="Arial"/>
                <w:szCs w:val="24"/>
              </w:rPr>
            </w:pPr>
            <w:r>
              <w:rPr>
                <w:rFonts w:ascii="Arial" w:hAnsi="Arial" w:cs="Arial"/>
                <w:szCs w:val="24"/>
              </w:rPr>
              <w:t xml:space="preserve">   </w:t>
            </w:r>
            <w:r w:rsidR="00336287">
              <w:rPr>
                <w:rFonts w:ascii="Arial" w:hAnsi="Arial" w:cs="Arial"/>
                <w:szCs w:val="24"/>
              </w:rPr>
              <w:t>870</w:t>
            </w:r>
            <w:r>
              <w:rPr>
                <w:rFonts w:ascii="Arial" w:hAnsi="Arial" w:cs="Arial"/>
                <w:szCs w:val="24"/>
              </w:rPr>
              <w:t>,</w:t>
            </w:r>
            <w:r w:rsidR="00336287">
              <w:rPr>
                <w:rFonts w:ascii="Arial" w:hAnsi="Arial" w:cs="Arial"/>
                <w:szCs w:val="24"/>
              </w:rPr>
              <w:t>759</w:t>
            </w:r>
          </w:p>
        </w:tc>
      </w:tr>
      <w:tr w:rsidR="004F21DE" w:rsidRPr="002C61BD" w:rsidTr="005E266C">
        <w:trPr>
          <w:trHeight w:val="288"/>
          <w:jc w:val="center"/>
        </w:trPr>
        <w:tc>
          <w:tcPr>
            <w:tcW w:w="2138" w:type="dxa"/>
            <w:tcBorders>
              <w:top w:val="nil"/>
              <w:left w:val="nil"/>
              <w:bottom w:val="nil"/>
              <w:right w:val="nil"/>
            </w:tcBorders>
            <w:shd w:val="clear" w:color="auto" w:fill="auto"/>
            <w:noWrap/>
            <w:vAlign w:val="bottom"/>
          </w:tcPr>
          <w:p w:rsidR="004F21DE" w:rsidRPr="002C61BD" w:rsidRDefault="004F21DE" w:rsidP="009D0E10">
            <w:pPr>
              <w:rPr>
                <w:rFonts w:ascii="Arial" w:hAnsi="Arial" w:cs="Arial"/>
                <w:szCs w:val="24"/>
              </w:rPr>
            </w:pPr>
          </w:p>
        </w:tc>
        <w:tc>
          <w:tcPr>
            <w:tcW w:w="2455" w:type="dxa"/>
            <w:tcBorders>
              <w:top w:val="nil"/>
              <w:left w:val="nil"/>
              <w:bottom w:val="nil"/>
              <w:right w:val="nil"/>
            </w:tcBorders>
            <w:shd w:val="clear" w:color="auto" w:fill="auto"/>
            <w:noWrap/>
            <w:vAlign w:val="bottom"/>
          </w:tcPr>
          <w:p w:rsidR="004F21DE" w:rsidRPr="002C61BD" w:rsidRDefault="004F21DE" w:rsidP="001A778A">
            <w:pPr>
              <w:jc w:val="center"/>
              <w:rPr>
                <w:rFonts w:ascii="Arial" w:hAnsi="Arial" w:cs="Arial"/>
                <w:szCs w:val="24"/>
              </w:rPr>
            </w:pPr>
          </w:p>
        </w:tc>
        <w:tc>
          <w:tcPr>
            <w:tcW w:w="2412" w:type="dxa"/>
            <w:tcBorders>
              <w:top w:val="nil"/>
              <w:left w:val="nil"/>
              <w:bottom w:val="nil"/>
              <w:right w:val="nil"/>
            </w:tcBorders>
            <w:vAlign w:val="bottom"/>
          </w:tcPr>
          <w:p w:rsidR="004F21DE" w:rsidRPr="002C61BD" w:rsidRDefault="004F21DE" w:rsidP="001A778A">
            <w:pPr>
              <w:jc w:val="center"/>
              <w:rPr>
                <w:rFonts w:ascii="Arial" w:hAnsi="Arial" w:cs="Arial"/>
                <w:szCs w:val="24"/>
              </w:rPr>
            </w:pPr>
          </w:p>
        </w:tc>
        <w:tc>
          <w:tcPr>
            <w:tcW w:w="1688" w:type="dxa"/>
            <w:tcBorders>
              <w:top w:val="nil"/>
              <w:left w:val="nil"/>
              <w:bottom w:val="nil"/>
              <w:right w:val="nil"/>
            </w:tcBorders>
            <w:vAlign w:val="bottom"/>
          </w:tcPr>
          <w:p w:rsidR="004F21DE" w:rsidRPr="002C61BD" w:rsidRDefault="004F21DE" w:rsidP="00DF7BE0">
            <w:pPr>
              <w:jc w:val="center"/>
              <w:rPr>
                <w:rFonts w:ascii="Arial" w:hAnsi="Arial" w:cs="Arial"/>
                <w:szCs w:val="24"/>
              </w:rPr>
            </w:pPr>
          </w:p>
        </w:tc>
      </w:tr>
      <w:tr w:rsidR="004F21DE" w:rsidRPr="002C61BD" w:rsidTr="005E266C">
        <w:trPr>
          <w:trHeight w:val="288"/>
          <w:jc w:val="center"/>
        </w:trPr>
        <w:tc>
          <w:tcPr>
            <w:tcW w:w="2138" w:type="dxa"/>
            <w:tcBorders>
              <w:top w:val="nil"/>
              <w:left w:val="nil"/>
              <w:bottom w:val="nil"/>
              <w:right w:val="nil"/>
            </w:tcBorders>
            <w:shd w:val="clear" w:color="auto" w:fill="auto"/>
            <w:noWrap/>
            <w:vAlign w:val="bottom"/>
          </w:tcPr>
          <w:p w:rsidR="004F21DE" w:rsidRPr="002C61BD" w:rsidRDefault="002538E4" w:rsidP="00184643">
            <w:pPr>
              <w:rPr>
                <w:rFonts w:ascii="Arial" w:hAnsi="Arial" w:cs="Arial"/>
                <w:szCs w:val="24"/>
              </w:rPr>
            </w:pPr>
            <w:r>
              <w:rPr>
                <w:rFonts w:ascii="Arial" w:hAnsi="Arial" w:cs="Arial"/>
                <w:szCs w:val="24"/>
              </w:rPr>
              <w:t>Large C &amp; I</w:t>
            </w:r>
          </w:p>
        </w:tc>
        <w:tc>
          <w:tcPr>
            <w:tcW w:w="2455" w:type="dxa"/>
            <w:tcBorders>
              <w:top w:val="nil"/>
              <w:left w:val="nil"/>
              <w:bottom w:val="nil"/>
              <w:right w:val="nil"/>
            </w:tcBorders>
            <w:shd w:val="clear" w:color="auto" w:fill="auto"/>
            <w:noWrap/>
            <w:vAlign w:val="bottom"/>
          </w:tcPr>
          <w:p w:rsidR="004F21DE" w:rsidRPr="002C61BD" w:rsidRDefault="004F21DE" w:rsidP="00184643">
            <w:pPr>
              <w:jc w:val="center"/>
              <w:rPr>
                <w:rFonts w:ascii="Arial" w:hAnsi="Arial" w:cs="Arial"/>
                <w:szCs w:val="24"/>
              </w:rPr>
            </w:pPr>
            <w:r w:rsidRPr="00BB35D7">
              <w:rPr>
                <w:rFonts w:ascii="Arial" w:hAnsi="Arial" w:cs="Arial"/>
                <w:szCs w:val="24"/>
                <w:u w:val="single"/>
              </w:rPr>
              <w:t xml:space="preserve">      </w:t>
            </w:r>
            <w:r w:rsidR="00BB35D7">
              <w:rPr>
                <w:rFonts w:ascii="Arial" w:hAnsi="Arial" w:cs="Arial"/>
                <w:szCs w:val="24"/>
                <w:u w:val="single"/>
              </w:rPr>
              <w:t xml:space="preserve"> </w:t>
            </w:r>
            <w:r w:rsidR="00BA719E">
              <w:rPr>
                <w:rFonts w:ascii="Arial" w:hAnsi="Arial" w:cs="Arial"/>
                <w:szCs w:val="24"/>
                <w:u w:val="single"/>
              </w:rPr>
              <w:t xml:space="preserve">   90</w:t>
            </w:r>
            <w:r w:rsidRPr="00BB35D7">
              <w:rPr>
                <w:rFonts w:ascii="Arial" w:hAnsi="Arial" w:cs="Arial"/>
                <w:szCs w:val="24"/>
                <w:u w:val="single"/>
              </w:rPr>
              <w:t>,</w:t>
            </w:r>
            <w:r w:rsidR="00BA719E">
              <w:rPr>
                <w:rFonts w:ascii="Arial" w:hAnsi="Arial" w:cs="Arial"/>
                <w:szCs w:val="24"/>
                <w:u w:val="single"/>
              </w:rPr>
              <w:t>917</w:t>
            </w:r>
          </w:p>
        </w:tc>
        <w:tc>
          <w:tcPr>
            <w:tcW w:w="2412" w:type="dxa"/>
            <w:tcBorders>
              <w:top w:val="nil"/>
              <w:left w:val="nil"/>
              <w:bottom w:val="nil"/>
              <w:right w:val="nil"/>
            </w:tcBorders>
            <w:vAlign w:val="bottom"/>
          </w:tcPr>
          <w:p w:rsidR="004F21DE" w:rsidRPr="002C61BD" w:rsidRDefault="00364172" w:rsidP="00364172">
            <w:pPr>
              <w:ind w:right="30"/>
              <w:jc w:val="center"/>
              <w:rPr>
                <w:rFonts w:ascii="Arial" w:hAnsi="Arial" w:cs="Arial"/>
                <w:szCs w:val="24"/>
              </w:rPr>
            </w:pPr>
            <w:r>
              <w:rPr>
                <w:rFonts w:ascii="Arial" w:hAnsi="Arial" w:cs="Arial"/>
                <w:szCs w:val="24"/>
                <w:u w:val="single"/>
              </w:rPr>
              <w:t xml:space="preserve"> </w:t>
            </w:r>
            <w:r w:rsidR="004F21DE" w:rsidRPr="00BB35D7">
              <w:rPr>
                <w:rFonts w:ascii="Arial" w:hAnsi="Arial" w:cs="Arial"/>
                <w:szCs w:val="24"/>
                <w:u w:val="single"/>
              </w:rPr>
              <w:t xml:space="preserve">    </w:t>
            </w:r>
            <w:r w:rsidR="00BB35D7">
              <w:rPr>
                <w:rFonts w:ascii="Arial" w:hAnsi="Arial" w:cs="Arial"/>
                <w:szCs w:val="24"/>
                <w:u w:val="single"/>
              </w:rPr>
              <w:t xml:space="preserve"> </w:t>
            </w:r>
            <w:r w:rsidR="00BA719E">
              <w:rPr>
                <w:rFonts w:ascii="Arial" w:hAnsi="Arial" w:cs="Arial"/>
                <w:szCs w:val="24"/>
                <w:u w:val="single"/>
              </w:rPr>
              <w:t xml:space="preserve">  104</w:t>
            </w:r>
            <w:r w:rsidR="004F21DE" w:rsidRPr="00BB35D7">
              <w:rPr>
                <w:rFonts w:ascii="Arial" w:hAnsi="Arial" w:cs="Arial"/>
                <w:szCs w:val="24"/>
                <w:u w:val="single"/>
              </w:rPr>
              <w:t>,</w:t>
            </w:r>
            <w:r w:rsidR="00BA719E">
              <w:rPr>
                <w:rFonts w:ascii="Arial" w:hAnsi="Arial" w:cs="Arial"/>
                <w:szCs w:val="24"/>
                <w:u w:val="single"/>
              </w:rPr>
              <w:t>781</w:t>
            </w:r>
          </w:p>
        </w:tc>
        <w:tc>
          <w:tcPr>
            <w:tcW w:w="1688" w:type="dxa"/>
            <w:tcBorders>
              <w:top w:val="nil"/>
              <w:left w:val="nil"/>
              <w:bottom w:val="nil"/>
              <w:right w:val="nil"/>
            </w:tcBorders>
            <w:vAlign w:val="bottom"/>
          </w:tcPr>
          <w:p w:rsidR="004F21DE" w:rsidRPr="002C61BD" w:rsidRDefault="004F21DE" w:rsidP="00184643">
            <w:pPr>
              <w:jc w:val="center"/>
              <w:rPr>
                <w:rFonts w:ascii="Arial" w:hAnsi="Arial" w:cs="Arial"/>
                <w:szCs w:val="24"/>
              </w:rPr>
            </w:pPr>
            <w:r w:rsidRPr="008A0E22">
              <w:rPr>
                <w:rFonts w:ascii="Arial" w:hAnsi="Arial" w:cs="Arial"/>
                <w:szCs w:val="24"/>
                <w:u w:val="single"/>
              </w:rPr>
              <w:t xml:space="preserve"> </w:t>
            </w:r>
            <w:r w:rsidR="001D0DB6">
              <w:rPr>
                <w:rFonts w:ascii="Arial" w:hAnsi="Arial" w:cs="Arial"/>
                <w:szCs w:val="24"/>
                <w:u w:val="single"/>
              </w:rPr>
              <w:t xml:space="preserve">     </w:t>
            </w:r>
            <w:r w:rsidR="00336287">
              <w:rPr>
                <w:rFonts w:ascii="Arial" w:hAnsi="Arial" w:cs="Arial"/>
                <w:szCs w:val="24"/>
                <w:u w:val="single"/>
              </w:rPr>
              <w:t>(</w:t>
            </w:r>
            <w:r w:rsidRPr="00BB35D7">
              <w:rPr>
                <w:rFonts w:ascii="Arial" w:hAnsi="Arial" w:cs="Arial"/>
                <w:szCs w:val="24"/>
                <w:u w:val="single"/>
              </w:rPr>
              <w:t>13,</w:t>
            </w:r>
            <w:r w:rsidR="00336287">
              <w:rPr>
                <w:rFonts w:ascii="Arial" w:hAnsi="Arial" w:cs="Arial"/>
                <w:szCs w:val="24"/>
                <w:u w:val="single"/>
              </w:rPr>
              <w:t>864)</w:t>
            </w:r>
          </w:p>
        </w:tc>
      </w:tr>
      <w:tr w:rsidR="00184643" w:rsidRPr="002C61BD" w:rsidTr="005E266C">
        <w:trPr>
          <w:trHeight w:val="288"/>
          <w:jc w:val="center"/>
        </w:trPr>
        <w:tc>
          <w:tcPr>
            <w:tcW w:w="2138" w:type="dxa"/>
            <w:tcBorders>
              <w:top w:val="nil"/>
              <w:left w:val="nil"/>
              <w:bottom w:val="nil"/>
              <w:right w:val="nil"/>
            </w:tcBorders>
            <w:shd w:val="clear" w:color="auto" w:fill="auto"/>
            <w:noWrap/>
            <w:vAlign w:val="bottom"/>
          </w:tcPr>
          <w:p w:rsidR="00184643" w:rsidRDefault="00184643" w:rsidP="009D0E10">
            <w:pPr>
              <w:rPr>
                <w:rFonts w:ascii="Arial" w:hAnsi="Arial" w:cs="Arial"/>
                <w:szCs w:val="24"/>
              </w:rPr>
            </w:pPr>
          </w:p>
        </w:tc>
        <w:tc>
          <w:tcPr>
            <w:tcW w:w="2455" w:type="dxa"/>
            <w:tcBorders>
              <w:top w:val="nil"/>
              <w:left w:val="nil"/>
              <w:bottom w:val="nil"/>
              <w:right w:val="nil"/>
            </w:tcBorders>
            <w:shd w:val="clear" w:color="auto" w:fill="auto"/>
            <w:noWrap/>
            <w:vAlign w:val="bottom"/>
          </w:tcPr>
          <w:p w:rsidR="00184643" w:rsidRPr="00BB35D7" w:rsidRDefault="00184643" w:rsidP="00BA719E">
            <w:pPr>
              <w:jc w:val="center"/>
              <w:rPr>
                <w:rFonts w:ascii="Arial" w:hAnsi="Arial" w:cs="Arial"/>
                <w:szCs w:val="24"/>
                <w:u w:val="double"/>
              </w:rPr>
            </w:pPr>
          </w:p>
        </w:tc>
        <w:tc>
          <w:tcPr>
            <w:tcW w:w="2412" w:type="dxa"/>
            <w:tcBorders>
              <w:top w:val="nil"/>
              <w:left w:val="nil"/>
              <w:bottom w:val="nil"/>
              <w:right w:val="nil"/>
            </w:tcBorders>
            <w:vAlign w:val="bottom"/>
          </w:tcPr>
          <w:p w:rsidR="00184643" w:rsidRPr="00BB35D7" w:rsidRDefault="00184643" w:rsidP="00BA719E">
            <w:pPr>
              <w:jc w:val="center"/>
              <w:rPr>
                <w:rFonts w:ascii="Arial" w:hAnsi="Arial" w:cs="Arial"/>
                <w:szCs w:val="24"/>
                <w:u w:val="double"/>
              </w:rPr>
            </w:pPr>
          </w:p>
        </w:tc>
        <w:tc>
          <w:tcPr>
            <w:tcW w:w="1688" w:type="dxa"/>
            <w:tcBorders>
              <w:top w:val="nil"/>
              <w:left w:val="nil"/>
              <w:bottom w:val="nil"/>
              <w:right w:val="nil"/>
            </w:tcBorders>
            <w:vAlign w:val="bottom"/>
          </w:tcPr>
          <w:p w:rsidR="00184643" w:rsidRDefault="00184643" w:rsidP="00336287">
            <w:pPr>
              <w:jc w:val="center"/>
              <w:rPr>
                <w:rFonts w:ascii="Arial" w:hAnsi="Arial" w:cs="Arial"/>
                <w:szCs w:val="24"/>
                <w:u w:val="double"/>
              </w:rPr>
            </w:pPr>
          </w:p>
        </w:tc>
      </w:tr>
      <w:tr w:rsidR="004F21DE" w:rsidRPr="002C61BD" w:rsidTr="005E266C">
        <w:trPr>
          <w:trHeight w:val="288"/>
          <w:jc w:val="center"/>
        </w:trPr>
        <w:tc>
          <w:tcPr>
            <w:tcW w:w="2138" w:type="dxa"/>
            <w:tcBorders>
              <w:top w:val="nil"/>
              <w:left w:val="nil"/>
              <w:bottom w:val="nil"/>
              <w:right w:val="nil"/>
            </w:tcBorders>
            <w:shd w:val="clear" w:color="auto" w:fill="auto"/>
            <w:noWrap/>
            <w:vAlign w:val="bottom"/>
          </w:tcPr>
          <w:p w:rsidR="004F21DE" w:rsidRPr="002C61BD" w:rsidRDefault="002A40DA" w:rsidP="009D0E10">
            <w:pPr>
              <w:rPr>
                <w:rFonts w:ascii="Arial" w:hAnsi="Arial" w:cs="Arial"/>
                <w:szCs w:val="24"/>
              </w:rPr>
            </w:pPr>
            <w:r>
              <w:rPr>
                <w:rFonts w:ascii="Arial" w:hAnsi="Arial" w:cs="Arial"/>
                <w:szCs w:val="24"/>
              </w:rPr>
              <w:t xml:space="preserve">     </w:t>
            </w:r>
            <w:r w:rsidR="004F21DE" w:rsidRPr="002C61BD">
              <w:rPr>
                <w:rFonts w:ascii="Arial" w:hAnsi="Arial" w:cs="Arial"/>
                <w:szCs w:val="24"/>
              </w:rPr>
              <w:t>Totals</w:t>
            </w:r>
          </w:p>
        </w:tc>
        <w:tc>
          <w:tcPr>
            <w:tcW w:w="2455" w:type="dxa"/>
            <w:tcBorders>
              <w:top w:val="nil"/>
              <w:left w:val="nil"/>
              <w:bottom w:val="nil"/>
              <w:right w:val="nil"/>
            </w:tcBorders>
            <w:shd w:val="clear" w:color="auto" w:fill="auto"/>
            <w:noWrap/>
            <w:vAlign w:val="bottom"/>
          </w:tcPr>
          <w:p w:rsidR="004F21DE" w:rsidRPr="00BB35D7" w:rsidRDefault="004F21DE" w:rsidP="00BA719E">
            <w:pPr>
              <w:jc w:val="center"/>
              <w:rPr>
                <w:rFonts w:ascii="Arial" w:hAnsi="Arial" w:cs="Arial"/>
                <w:szCs w:val="24"/>
                <w:u w:val="double"/>
              </w:rPr>
            </w:pPr>
            <w:r w:rsidRPr="00BB35D7">
              <w:rPr>
                <w:rFonts w:ascii="Arial" w:hAnsi="Arial" w:cs="Arial"/>
                <w:szCs w:val="24"/>
                <w:u w:val="double"/>
              </w:rPr>
              <w:t xml:space="preserve">$ </w:t>
            </w:r>
            <w:r w:rsidR="00BA719E">
              <w:rPr>
                <w:rFonts w:ascii="Arial" w:hAnsi="Arial" w:cs="Arial"/>
                <w:szCs w:val="24"/>
                <w:u w:val="double"/>
              </w:rPr>
              <w:t xml:space="preserve"> 46</w:t>
            </w:r>
            <w:r w:rsidRPr="00BB35D7">
              <w:rPr>
                <w:rFonts w:ascii="Arial" w:hAnsi="Arial" w:cs="Arial"/>
                <w:szCs w:val="24"/>
                <w:u w:val="double"/>
              </w:rPr>
              <w:t>,</w:t>
            </w:r>
            <w:r w:rsidR="00BA719E">
              <w:rPr>
                <w:rFonts w:ascii="Arial" w:hAnsi="Arial" w:cs="Arial"/>
                <w:szCs w:val="24"/>
                <w:u w:val="double"/>
              </w:rPr>
              <w:t>838</w:t>
            </w:r>
            <w:r w:rsidRPr="00BB35D7">
              <w:rPr>
                <w:rFonts w:ascii="Arial" w:hAnsi="Arial" w:cs="Arial"/>
                <w:szCs w:val="24"/>
                <w:u w:val="double"/>
              </w:rPr>
              <w:t>,</w:t>
            </w:r>
            <w:r w:rsidR="00BA719E">
              <w:rPr>
                <w:rFonts w:ascii="Arial" w:hAnsi="Arial" w:cs="Arial"/>
                <w:szCs w:val="24"/>
                <w:u w:val="double"/>
              </w:rPr>
              <w:t>309</w:t>
            </w:r>
          </w:p>
        </w:tc>
        <w:tc>
          <w:tcPr>
            <w:tcW w:w="2412" w:type="dxa"/>
            <w:tcBorders>
              <w:top w:val="nil"/>
              <w:left w:val="nil"/>
              <w:bottom w:val="nil"/>
              <w:right w:val="nil"/>
            </w:tcBorders>
            <w:vAlign w:val="bottom"/>
          </w:tcPr>
          <w:p w:rsidR="004F21DE" w:rsidRPr="00BB35D7" w:rsidRDefault="004F21DE" w:rsidP="00BA719E">
            <w:pPr>
              <w:jc w:val="center"/>
              <w:rPr>
                <w:rFonts w:ascii="Arial" w:hAnsi="Arial" w:cs="Arial"/>
                <w:szCs w:val="24"/>
                <w:u w:val="double"/>
              </w:rPr>
            </w:pPr>
            <w:r w:rsidRPr="00BB35D7">
              <w:rPr>
                <w:rFonts w:ascii="Arial" w:hAnsi="Arial" w:cs="Arial"/>
                <w:szCs w:val="24"/>
                <w:u w:val="double"/>
              </w:rPr>
              <w:t xml:space="preserve">$ </w:t>
            </w:r>
            <w:r w:rsidR="00BA719E">
              <w:rPr>
                <w:rFonts w:ascii="Arial" w:hAnsi="Arial" w:cs="Arial"/>
                <w:szCs w:val="24"/>
                <w:u w:val="double"/>
              </w:rPr>
              <w:t xml:space="preserve"> 39</w:t>
            </w:r>
            <w:r w:rsidRPr="00BB35D7">
              <w:rPr>
                <w:rFonts w:ascii="Arial" w:hAnsi="Arial" w:cs="Arial"/>
                <w:szCs w:val="24"/>
                <w:u w:val="double"/>
              </w:rPr>
              <w:t>,</w:t>
            </w:r>
            <w:r w:rsidR="00BA719E">
              <w:rPr>
                <w:rFonts w:ascii="Arial" w:hAnsi="Arial" w:cs="Arial"/>
                <w:szCs w:val="24"/>
                <w:u w:val="double"/>
              </w:rPr>
              <w:t>231</w:t>
            </w:r>
            <w:r w:rsidRPr="00BB35D7">
              <w:rPr>
                <w:rFonts w:ascii="Arial" w:hAnsi="Arial" w:cs="Arial"/>
                <w:szCs w:val="24"/>
                <w:u w:val="double"/>
              </w:rPr>
              <w:t>,</w:t>
            </w:r>
            <w:r w:rsidR="00BA719E">
              <w:rPr>
                <w:rFonts w:ascii="Arial" w:hAnsi="Arial" w:cs="Arial"/>
                <w:szCs w:val="24"/>
                <w:u w:val="double"/>
              </w:rPr>
              <w:t>911</w:t>
            </w:r>
          </w:p>
        </w:tc>
        <w:tc>
          <w:tcPr>
            <w:tcW w:w="1688" w:type="dxa"/>
            <w:tcBorders>
              <w:top w:val="nil"/>
              <w:left w:val="nil"/>
              <w:bottom w:val="nil"/>
              <w:right w:val="nil"/>
            </w:tcBorders>
            <w:vAlign w:val="bottom"/>
          </w:tcPr>
          <w:p w:rsidR="004F21DE" w:rsidRPr="00BB35D7" w:rsidRDefault="00BB35D7" w:rsidP="00336287">
            <w:pPr>
              <w:jc w:val="center"/>
              <w:rPr>
                <w:rFonts w:ascii="Arial" w:hAnsi="Arial" w:cs="Arial"/>
                <w:szCs w:val="24"/>
                <w:u w:val="double"/>
              </w:rPr>
            </w:pPr>
            <w:r>
              <w:rPr>
                <w:rFonts w:ascii="Arial" w:hAnsi="Arial" w:cs="Arial"/>
                <w:szCs w:val="24"/>
                <w:u w:val="double"/>
              </w:rPr>
              <w:t xml:space="preserve">$ </w:t>
            </w:r>
            <w:r w:rsidR="00336287">
              <w:rPr>
                <w:rFonts w:ascii="Arial" w:hAnsi="Arial" w:cs="Arial"/>
                <w:szCs w:val="24"/>
                <w:u w:val="double"/>
              </w:rPr>
              <w:t>7,606</w:t>
            </w:r>
            <w:r w:rsidR="004F21DE" w:rsidRPr="00BB35D7">
              <w:rPr>
                <w:rFonts w:ascii="Arial" w:hAnsi="Arial" w:cs="Arial"/>
                <w:szCs w:val="24"/>
                <w:u w:val="double"/>
              </w:rPr>
              <w:t>,</w:t>
            </w:r>
            <w:r w:rsidR="00336287">
              <w:rPr>
                <w:rFonts w:ascii="Arial" w:hAnsi="Arial" w:cs="Arial"/>
                <w:szCs w:val="24"/>
                <w:u w:val="double"/>
              </w:rPr>
              <w:t>398</w:t>
            </w:r>
          </w:p>
        </w:tc>
      </w:tr>
      <w:tr w:rsidR="004F21DE" w:rsidRPr="002C61BD" w:rsidTr="005E266C">
        <w:trPr>
          <w:trHeight w:val="288"/>
          <w:jc w:val="center"/>
        </w:trPr>
        <w:tc>
          <w:tcPr>
            <w:tcW w:w="2138" w:type="dxa"/>
            <w:tcBorders>
              <w:top w:val="nil"/>
              <w:left w:val="nil"/>
              <w:bottom w:val="nil"/>
              <w:right w:val="nil"/>
            </w:tcBorders>
            <w:shd w:val="clear" w:color="auto" w:fill="auto"/>
            <w:vAlign w:val="bottom"/>
          </w:tcPr>
          <w:p w:rsidR="004F21DE" w:rsidRPr="002C61BD" w:rsidRDefault="004F21DE" w:rsidP="009D0E10">
            <w:pPr>
              <w:rPr>
                <w:rFonts w:ascii="Arial" w:hAnsi="Arial" w:cs="Arial"/>
                <w:szCs w:val="24"/>
              </w:rPr>
            </w:pPr>
          </w:p>
        </w:tc>
        <w:tc>
          <w:tcPr>
            <w:tcW w:w="2455" w:type="dxa"/>
            <w:tcBorders>
              <w:left w:val="nil"/>
              <w:right w:val="nil"/>
            </w:tcBorders>
            <w:shd w:val="clear" w:color="auto" w:fill="auto"/>
            <w:noWrap/>
            <w:vAlign w:val="bottom"/>
          </w:tcPr>
          <w:p w:rsidR="004F21DE" w:rsidRPr="00DF7BE0" w:rsidRDefault="004F21DE" w:rsidP="00DF7BE0">
            <w:pPr>
              <w:jc w:val="center"/>
              <w:rPr>
                <w:rFonts w:ascii="Arial" w:hAnsi="Arial" w:cs="Arial"/>
                <w:szCs w:val="24"/>
                <w:u w:val="double"/>
              </w:rPr>
            </w:pPr>
          </w:p>
        </w:tc>
        <w:tc>
          <w:tcPr>
            <w:tcW w:w="2412" w:type="dxa"/>
            <w:tcBorders>
              <w:left w:val="nil"/>
              <w:right w:val="nil"/>
            </w:tcBorders>
          </w:tcPr>
          <w:p w:rsidR="004F21DE" w:rsidRPr="004714C1" w:rsidRDefault="004F21DE" w:rsidP="00DF7BE0">
            <w:pPr>
              <w:jc w:val="center"/>
              <w:rPr>
                <w:rFonts w:ascii="Arial" w:hAnsi="Arial" w:cs="Arial"/>
                <w:szCs w:val="24"/>
                <w:highlight w:val="yellow"/>
                <w:u w:val="double"/>
              </w:rPr>
            </w:pPr>
          </w:p>
        </w:tc>
        <w:tc>
          <w:tcPr>
            <w:tcW w:w="1688" w:type="dxa"/>
            <w:tcBorders>
              <w:left w:val="nil"/>
              <w:right w:val="nil"/>
            </w:tcBorders>
            <w:vAlign w:val="bottom"/>
          </w:tcPr>
          <w:p w:rsidR="004F21DE" w:rsidRPr="004714C1" w:rsidRDefault="004F21DE" w:rsidP="00DF7BE0">
            <w:pPr>
              <w:jc w:val="center"/>
              <w:rPr>
                <w:rFonts w:ascii="Arial" w:hAnsi="Arial" w:cs="Arial"/>
                <w:szCs w:val="24"/>
                <w:highlight w:val="yellow"/>
                <w:u w:val="double"/>
              </w:rPr>
            </w:pPr>
          </w:p>
        </w:tc>
      </w:tr>
    </w:tbl>
    <w:p w:rsidR="006034E3" w:rsidRPr="002C61BD" w:rsidRDefault="006034E3" w:rsidP="00BB35D7">
      <w:pPr>
        <w:tabs>
          <w:tab w:val="center" w:pos="4680"/>
        </w:tabs>
        <w:suppressAutoHyphens/>
        <w:rPr>
          <w:rFonts w:ascii="Arial" w:hAnsi="Arial" w:cs="Arial"/>
          <w:sz w:val="22"/>
          <w:szCs w:val="22"/>
        </w:rPr>
      </w:pPr>
    </w:p>
    <w:p w:rsidR="006034E3" w:rsidRPr="002C61BD" w:rsidRDefault="006034E3" w:rsidP="006034E3">
      <w:pPr>
        <w:tabs>
          <w:tab w:val="center" w:pos="4680"/>
        </w:tabs>
        <w:suppressAutoHyphens/>
        <w:rPr>
          <w:rFonts w:ascii="Arial" w:hAnsi="Arial" w:cs="Arial"/>
          <w:szCs w:val="24"/>
        </w:rPr>
      </w:pPr>
    </w:p>
    <w:p w:rsidR="002A5207" w:rsidRDefault="002A5207" w:rsidP="00184643">
      <w:pPr>
        <w:tabs>
          <w:tab w:val="center" w:pos="4680"/>
        </w:tabs>
        <w:suppressAutoHyphens/>
        <w:ind w:firstLine="450"/>
        <w:rPr>
          <w:rFonts w:ascii="Arial" w:hAnsi="Arial" w:cs="Arial"/>
          <w:szCs w:val="24"/>
        </w:rPr>
      </w:pPr>
      <w:r w:rsidRPr="002C61BD">
        <w:rPr>
          <w:rFonts w:ascii="Arial" w:hAnsi="Arial" w:cs="Arial"/>
          <w:szCs w:val="24"/>
        </w:rPr>
        <w:t xml:space="preserve">* </w:t>
      </w:r>
      <w:r w:rsidR="00184643">
        <w:rPr>
          <w:rFonts w:ascii="Arial" w:hAnsi="Arial" w:cs="Arial"/>
          <w:szCs w:val="24"/>
        </w:rPr>
        <w:t xml:space="preserve">- </w:t>
      </w:r>
      <w:r w:rsidR="00776A05">
        <w:rPr>
          <w:rFonts w:ascii="Arial" w:hAnsi="Arial" w:cs="Arial"/>
          <w:szCs w:val="24"/>
        </w:rPr>
        <w:t>A</w:t>
      </w:r>
      <w:r w:rsidRPr="002C61BD">
        <w:rPr>
          <w:rFonts w:ascii="Arial" w:hAnsi="Arial" w:cs="Arial"/>
          <w:szCs w:val="24"/>
        </w:rPr>
        <w:t xml:space="preserve">s </w:t>
      </w:r>
      <w:r w:rsidR="002A097E">
        <w:rPr>
          <w:rFonts w:ascii="Arial" w:hAnsi="Arial" w:cs="Arial"/>
          <w:szCs w:val="24"/>
        </w:rPr>
        <w:t>reported to</w:t>
      </w:r>
      <w:r w:rsidR="00776A05">
        <w:rPr>
          <w:rFonts w:ascii="Arial" w:hAnsi="Arial" w:cs="Arial"/>
          <w:szCs w:val="24"/>
        </w:rPr>
        <w:t xml:space="preserve"> the Commission </w:t>
      </w:r>
      <w:r w:rsidRPr="002C61BD">
        <w:rPr>
          <w:rFonts w:ascii="Arial" w:hAnsi="Arial" w:cs="Arial"/>
          <w:szCs w:val="24"/>
        </w:rPr>
        <w:t xml:space="preserve">at Docket No. </w:t>
      </w:r>
      <w:proofErr w:type="gramStart"/>
      <w:r w:rsidRPr="00B212BE">
        <w:rPr>
          <w:rFonts w:ascii="Arial" w:hAnsi="Arial" w:cs="Arial"/>
          <w:szCs w:val="24"/>
        </w:rPr>
        <w:t>M-20</w:t>
      </w:r>
      <w:r w:rsidR="00230C5F" w:rsidRPr="00B212BE">
        <w:rPr>
          <w:rFonts w:ascii="Arial" w:hAnsi="Arial" w:cs="Arial"/>
          <w:szCs w:val="24"/>
        </w:rPr>
        <w:t>13</w:t>
      </w:r>
      <w:r w:rsidRPr="00B212BE">
        <w:rPr>
          <w:rFonts w:ascii="Arial" w:hAnsi="Arial" w:cs="Arial"/>
          <w:szCs w:val="24"/>
        </w:rPr>
        <w:t>-</w:t>
      </w:r>
      <w:r w:rsidR="00DE100D" w:rsidRPr="00B212BE">
        <w:rPr>
          <w:rFonts w:ascii="Arial" w:hAnsi="Arial" w:cs="Arial"/>
          <w:szCs w:val="24"/>
        </w:rPr>
        <w:t>2</w:t>
      </w:r>
      <w:r w:rsidR="00230C5F" w:rsidRPr="00B212BE">
        <w:rPr>
          <w:rFonts w:ascii="Arial" w:hAnsi="Arial" w:cs="Arial"/>
          <w:szCs w:val="24"/>
        </w:rPr>
        <w:t>378089</w:t>
      </w:r>
      <w:r w:rsidR="003D0F37" w:rsidRPr="00230C5F">
        <w:rPr>
          <w:rFonts w:ascii="Arial" w:hAnsi="Arial" w:cs="Arial"/>
          <w:szCs w:val="24"/>
        </w:rPr>
        <w:t>.</w:t>
      </w:r>
      <w:proofErr w:type="gramEnd"/>
    </w:p>
    <w:p w:rsidR="00CB7699" w:rsidRPr="002C61BD" w:rsidRDefault="00CB7699" w:rsidP="00184643">
      <w:pPr>
        <w:tabs>
          <w:tab w:val="center" w:pos="4680"/>
        </w:tabs>
        <w:suppressAutoHyphens/>
        <w:ind w:firstLine="450"/>
        <w:rPr>
          <w:rFonts w:ascii="Arial" w:hAnsi="Arial" w:cs="Arial"/>
          <w:szCs w:val="24"/>
        </w:rPr>
      </w:pPr>
    </w:p>
    <w:p w:rsidR="00012316" w:rsidRPr="002C61BD" w:rsidRDefault="00012316" w:rsidP="00184643">
      <w:pPr>
        <w:tabs>
          <w:tab w:val="center" w:pos="4680"/>
        </w:tabs>
        <w:suppressAutoHyphens/>
        <w:ind w:firstLine="450"/>
        <w:rPr>
          <w:rFonts w:ascii="Arial" w:hAnsi="Arial" w:cs="Arial"/>
          <w:szCs w:val="24"/>
        </w:rPr>
      </w:pPr>
      <w:r w:rsidRPr="002C61BD">
        <w:rPr>
          <w:rFonts w:ascii="Arial" w:hAnsi="Arial" w:cs="Arial"/>
          <w:szCs w:val="24"/>
        </w:rPr>
        <w:t>Notes to the Financial Statement</w:t>
      </w:r>
      <w:r w:rsidR="003B004A">
        <w:rPr>
          <w:rFonts w:ascii="Arial" w:hAnsi="Arial" w:cs="Arial"/>
          <w:szCs w:val="24"/>
        </w:rPr>
        <w:t>s</w:t>
      </w:r>
      <w:r w:rsidRPr="002C61BD">
        <w:rPr>
          <w:rFonts w:ascii="Arial" w:hAnsi="Arial" w:cs="Arial"/>
          <w:szCs w:val="24"/>
        </w:rPr>
        <w:t xml:space="preserve"> are an integral part of this report.</w:t>
      </w:r>
    </w:p>
    <w:p w:rsidR="00CB7699" w:rsidRDefault="00CB7699" w:rsidP="00184643">
      <w:pPr>
        <w:tabs>
          <w:tab w:val="center" w:pos="4680"/>
        </w:tabs>
        <w:suppressAutoHyphens/>
        <w:ind w:firstLine="450"/>
        <w:rPr>
          <w:rFonts w:ascii="Arial" w:hAnsi="Arial" w:cs="Arial"/>
          <w:szCs w:val="24"/>
        </w:rPr>
      </w:pPr>
    </w:p>
    <w:p w:rsidR="00DF71F5" w:rsidRDefault="00DF71F5">
      <w:pPr>
        <w:overflowPunct/>
        <w:autoSpaceDE/>
        <w:autoSpaceDN/>
        <w:adjustRightInd/>
        <w:spacing w:after="200" w:line="276" w:lineRule="auto"/>
        <w:textAlignment w:val="auto"/>
        <w:rPr>
          <w:rFonts w:ascii="Arial" w:hAnsi="Arial" w:cs="Arial"/>
          <w:szCs w:val="24"/>
        </w:rPr>
      </w:pPr>
      <w:r>
        <w:rPr>
          <w:rFonts w:ascii="Arial" w:hAnsi="Arial" w:cs="Arial"/>
          <w:szCs w:val="24"/>
        </w:rPr>
        <w:br w:type="page"/>
      </w:r>
    </w:p>
    <w:tbl>
      <w:tblPr>
        <w:tblW w:w="8730" w:type="dxa"/>
        <w:jc w:val="center"/>
        <w:tblInd w:w="-202" w:type="dxa"/>
        <w:tblLook w:val="0000" w:firstRow="0" w:lastRow="0" w:firstColumn="0" w:lastColumn="0" w:noHBand="0" w:noVBand="0"/>
      </w:tblPr>
      <w:tblGrid>
        <w:gridCol w:w="8730"/>
      </w:tblGrid>
      <w:tr w:rsidR="003819CF" w:rsidRPr="002C61BD" w:rsidTr="001551F7">
        <w:trPr>
          <w:trHeight w:val="277"/>
          <w:jc w:val="center"/>
        </w:trPr>
        <w:tc>
          <w:tcPr>
            <w:tcW w:w="8730" w:type="dxa"/>
            <w:tcBorders>
              <w:top w:val="nil"/>
              <w:left w:val="nil"/>
              <w:bottom w:val="nil"/>
              <w:right w:val="nil"/>
            </w:tcBorders>
            <w:shd w:val="clear" w:color="auto" w:fill="auto"/>
            <w:noWrap/>
            <w:vAlign w:val="bottom"/>
          </w:tcPr>
          <w:p w:rsidR="003819CF" w:rsidRPr="001D0DB6" w:rsidRDefault="00CE7FE7" w:rsidP="001551F7">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lastRenderedPageBreak/>
              <w:t>PECO ENERGY COMPANY</w:t>
            </w:r>
          </w:p>
        </w:tc>
      </w:tr>
      <w:tr w:rsidR="00233FB3" w:rsidRPr="001D0DB6" w:rsidTr="00233FB3">
        <w:trPr>
          <w:trHeight w:val="277"/>
          <w:jc w:val="center"/>
        </w:trPr>
        <w:tc>
          <w:tcPr>
            <w:tcW w:w="8730" w:type="dxa"/>
            <w:tcBorders>
              <w:top w:val="nil"/>
              <w:left w:val="nil"/>
              <w:bottom w:val="nil"/>
              <w:right w:val="nil"/>
            </w:tcBorders>
            <w:shd w:val="clear" w:color="auto" w:fill="auto"/>
            <w:noWrap/>
            <w:vAlign w:val="bottom"/>
          </w:tcPr>
          <w:p w:rsidR="00233FB3" w:rsidRPr="001D0DB6" w:rsidRDefault="00233FB3" w:rsidP="00233FB3">
            <w:pPr>
              <w:overflowPunct/>
              <w:autoSpaceDE/>
              <w:autoSpaceDN/>
              <w:adjustRightInd/>
              <w:jc w:val="center"/>
              <w:textAlignment w:val="auto"/>
              <w:rPr>
                <w:rFonts w:ascii="Arial" w:hAnsi="Arial" w:cs="Arial"/>
                <w:b/>
                <w:sz w:val="26"/>
                <w:szCs w:val="26"/>
              </w:rPr>
            </w:pPr>
          </w:p>
          <w:p w:rsidR="001D0DB6" w:rsidRDefault="00233FB3" w:rsidP="00233FB3">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Condensed (Note 1)</w:t>
            </w:r>
            <w:r w:rsidR="001D0DB6">
              <w:rPr>
                <w:rFonts w:ascii="Arial" w:hAnsi="Arial" w:cs="Arial"/>
                <w:b/>
                <w:sz w:val="26"/>
                <w:szCs w:val="26"/>
              </w:rPr>
              <w:t xml:space="preserve"> </w:t>
            </w:r>
          </w:p>
          <w:p w:rsidR="009C7826" w:rsidRDefault="00D95FAD" w:rsidP="001D0DB6">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 xml:space="preserve">Statement Of </w:t>
            </w:r>
            <w:r>
              <w:rPr>
                <w:rFonts w:ascii="Arial" w:hAnsi="Arial" w:cs="Arial"/>
                <w:b/>
                <w:sz w:val="26"/>
                <w:szCs w:val="26"/>
              </w:rPr>
              <w:t>Smart Meter Cost Recovery</w:t>
            </w:r>
            <w:r w:rsidRPr="001D0DB6">
              <w:rPr>
                <w:rFonts w:ascii="Arial" w:hAnsi="Arial" w:cs="Arial"/>
                <w:b/>
                <w:sz w:val="26"/>
                <w:szCs w:val="26"/>
              </w:rPr>
              <w:t xml:space="preserve"> (</w:t>
            </w:r>
            <w:r>
              <w:rPr>
                <w:rFonts w:ascii="Arial" w:hAnsi="Arial" w:cs="Arial"/>
                <w:b/>
                <w:sz w:val="26"/>
                <w:szCs w:val="26"/>
              </w:rPr>
              <w:t>SMCRS</w:t>
            </w:r>
            <w:r w:rsidRPr="001D0DB6">
              <w:rPr>
                <w:rFonts w:ascii="Arial" w:hAnsi="Arial" w:cs="Arial"/>
                <w:b/>
                <w:sz w:val="26"/>
                <w:szCs w:val="26"/>
              </w:rPr>
              <w:t xml:space="preserve">) </w:t>
            </w:r>
          </w:p>
          <w:p w:rsidR="00233FB3" w:rsidRPr="001D0DB6" w:rsidRDefault="00D95FAD" w:rsidP="009C7826">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Over/(Under) Collections</w:t>
            </w:r>
            <w:r w:rsidR="009C7826">
              <w:rPr>
                <w:rFonts w:ascii="Arial" w:hAnsi="Arial" w:cs="Arial"/>
                <w:b/>
                <w:sz w:val="26"/>
                <w:szCs w:val="26"/>
              </w:rPr>
              <w:t xml:space="preserve"> (Section 1307(e))</w:t>
            </w:r>
            <w:r w:rsidR="009C7826" w:rsidRPr="001D0DB6">
              <w:rPr>
                <w:rFonts w:ascii="Arial" w:hAnsi="Arial" w:cs="Arial"/>
                <w:b/>
                <w:sz w:val="26"/>
                <w:szCs w:val="26"/>
              </w:rPr>
              <w:t xml:space="preserve"> </w:t>
            </w:r>
            <w:r w:rsidRPr="001D0DB6">
              <w:rPr>
                <w:rFonts w:ascii="Arial" w:hAnsi="Arial" w:cs="Arial"/>
                <w:b/>
                <w:sz w:val="26"/>
                <w:szCs w:val="26"/>
              </w:rPr>
              <w:t xml:space="preserve"> </w:t>
            </w:r>
            <w:r w:rsidR="00233FB3" w:rsidRPr="001D0DB6">
              <w:rPr>
                <w:rFonts w:ascii="Arial" w:hAnsi="Arial" w:cs="Arial"/>
                <w:b/>
                <w:sz w:val="26"/>
                <w:szCs w:val="26"/>
              </w:rPr>
              <w:t xml:space="preserve"> </w:t>
            </w:r>
          </w:p>
        </w:tc>
      </w:tr>
      <w:tr w:rsidR="00233FB3" w:rsidRPr="001D0DB6" w:rsidTr="00233FB3">
        <w:trPr>
          <w:trHeight w:val="277"/>
          <w:jc w:val="center"/>
        </w:trPr>
        <w:tc>
          <w:tcPr>
            <w:tcW w:w="8730" w:type="dxa"/>
            <w:tcBorders>
              <w:top w:val="nil"/>
              <w:left w:val="nil"/>
              <w:bottom w:val="nil"/>
              <w:right w:val="nil"/>
            </w:tcBorders>
            <w:shd w:val="clear" w:color="auto" w:fill="auto"/>
            <w:noWrap/>
            <w:vAlign w:val="bottom"/>
          </w:tcPr>
          <w:p w:rsidR="00233FB3" w:rsidRPr="001D0DB6" w:rsidRDefault="00233FB3" w:rsidP="009C7826">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 xml:space="preserve">For The </w:t>
            </w:r>
            <w:r w:rsidR="00D26ACA" w:rsidRPr="001D0DB6">
              <w:rPr>
                <w:rFonts w:ascii="Arial" w:hAnsi="Arial" w:cs="Arial"/>
                <w:b/>
                <w:sz w:val="26"/>
                <w:szCs w:val="26"/>
              </w:rPr>
              <w:t>Twelve</w:t>
            </w:r>
            <w:r w:rsidRPr="001D0DB6">
              <w:rPr>
                <w:rFonts w:ascii="Arial" w:hAnsi="Arial" w:cs="Arial"/>
                <w:b/>
                <w:sz w:val="26"/>
                <w:szCs w:val="26"/>
              </w:rPr>
              <w:t xml:space="preserve"> Month</w:t>
            </w:r>
            <w:r w:rsidR="009C7826">
              <w:rPr>
                <w:rFonts w:ascii="Arial" w:hAnsi="Arial" w:cs="Arial"/>
                <w:b/>
                <w:sz w:val="26"/>
                <w:szCs w:val="26"/>
              </w:rPr>
              <w:t>s</w:t>
            </w:r>
            <w:r w:rsidRPr="001D0DB6">
              <w:rPr>
                <w:rFonts w:ascii="Arial" w:hAnsi="Arial" w:cs="Arial"/>
                <w:b/>
                <w:sz w:val="26"/>
                <w:szCs w:val="26"/>
              </w:rPr>
              <w:t xml:space="preserve"> Ended </w:t>
            </w:r>
            <w:r w:rsidR="00DB3D40">
              <w:rPr>
                <w:rFonts w:ascii="Arial" w:hAnsi="Arial" w:cs="Arial"/>
                <w:b/>
                <w:sz w:val="26"/>
                <w:szCs w:val="26"/>
              </w:rPr>
              <w:t>June</w:t>
            </w:r>
            <w:r w:rsidRPr="001D0DB6">
              <w:rPr>
                <w:rFonts w:ascii="Arial" w:hAnsi="Arial" w:cs="Arial"/>
                <w:b/>
                <w:sz w:val="26"/>
                <w:szCs w:val="26"/>
              </w:rPr>
              <w:t xml:space="preserve"> 3</w:t>
            </w:r>
            <w:r w:rsidR="00DB3D40">
              <w:rPr>
                <w:rFonts w:ascii="Arial" w:hAnsi="Arial" w:cs="Arial"/>
                <w:b/>
                <w:sz w:val="26"/>
                <w:szCs w:val="26"/>
              </w:rPr>
              <w:t>0</w:t>
            </w:r>
            <w:r w:rsidRPr="001D0DB6">
              <w:rPr>
                <w:rFonts w:ascii="Arial" w:hAnsi="Arial" w:cs="Arial"/>
                <w:b/>
                <w:sz w:val="26"/>
                <w:szCs w:val="26"/>
              </w:rPr>
              <w:t>, 201</w:t>
            </w:r>
            <w:r w:rsidR="00D95FAD">
              <w:rPr>
                <w:rFonts w:ascii="Arial" w:hAnsi="Arial" w:cs="Arial"/>
                <w:b/>
                <w:sz w:val="26"/>
                <w:szCs w:val="26"/>
              </w:rPr>
              <w:t>2</w:t>
            </w:r>
            <w:r w:rsidR="00546BB7">
              <w:rPr>
                <w:rFonts w:ascii="Arial" w:hAnsi="Arial" w:cs="Arial"/>
                <w:b/>
                <w:sz w:val="26"/>
                <w:szCs w:val="26"/>
              </w:rPr>
              <w:t>*</w:t>
            </w:r>
          </w:p>
        </w:tc>
      </w:tr>
    </w:tbl>
    <w:p w:rsidR="00233FB3" w:rsidRPr="002C61BD" w:rsidRDefault="00233FB3" w:rsidP="00233FB3">
      <w:pPr>
        <w:rPr>
          <w:rFonts w:ascii="Arial" w:hAnsi="Arial" w:cs="Arial"/>
          <w:sz w:val="16"/>
          <w:szCs w:val="16"/>
        </w:rPr>
      </w:pPr>
    </w:p>
    <w:p w:rsidR="00233FB3" w:rsidRPr="002C61BD" w:rsidRDefault="00233FB3" w:rsidP="00233FB3">
      <w:pPr>
        <w:jc w:val="center"/>
        <w:rPr>
          <w:rFonts w:ascii="Arial" w:hAnsi="Arial" w:cs="Arial"/>
          <w:sz w:val="16"/>
          <w:szCs w:val="16"/>
        </w:rPr>
      </w:pPr>
    </w:p>
    <w:tbl>
      <w:tblPr>
        <w:tblW w:w="8866" w:type="dxa"/>
        <w:jc w:val="center"/>
        <w:tblLayout w:type="fixed"/>
        <w:tblLook w:val="0000" w:firstRow="0" w:lastRow="0" w:firstColumn="0" w:lastColumn="0" w:noHBand="0" w:noVBand="0"/>
      </w:tblPr>
      <w:tblGrid>
        <w:gridCol w:w="2268"/>
        <w:gridCol w:w="2498"/>
        <w:gridCol w:w="2412"/>
        <w:gridCol w:w="1688"/>
      </w:tblGrid>
      <w:tr w:rsidR="005E266C" w:rsidRPr="00895078" w:rsidTr="005E266C">
        <w:trPr>
          <w:jc w:val="center"/>
        </w:trPr>
        <w:tc>
          <w:tcPr>
            <w:tcW w:w="2268" w:type="dxa"/>
            <w:tcBorders>
              <w:top w:val="nil"/>
              <w:left w:val="nil"/>
              <w:right w:val="nil"/>
            </w:tcBorders>
            <w:shd w:val="clear" w:color="auto" w:fill="auto"/>
            <w:noWrap/>
            <w:vAlign w:val="bottom"/>
          </w:tcPr>
          <w:p w:rsidR="005E266C" w:rsidRDefault="005E266C" w:rsidP="00233FB3">
            <w:pPr>
              <w:rPr>
                <w:rFonts w:ascii="Arial" w:hAnsi="Arial" w:cs="Arial"/>
                <w:szCs w:val="24"/>
              </w:rPr>
            </w:pPr>
          </w:p>
          <w:p w:rsidR="005E266C" w:rsidRDefault="005E266C" w:rsidP="00233FB3">
            <w:pPr>
              <w:rPr>
                <w:rFonts w:ascii="Arial" w:hAnsi="Arial" w:cs="Arial"/>
                <w:szCs w:val="24"/>
              </w:rPr>
            </w:pPr>
          </w:p>
          <w:p w:rsidR="005E266C" w:rsidRPr="0086351A" w:rsidRDefault="002B7DD4" w:rsidP="0086351A">
            <w:pPr>
              <w:rPr>
                <w:rFonts w:ascii="Arial" w:hAnsi="Arial" w:cs="Arial"/>
                <w:szCs w:val="24"/>
                <w:u w:val="single"/>
              </w:rPr>
            </w:pPr>
            <w:r w:rsidRPr="0086351A">
              <w:rPr>
                <w:rFonts w:ascii="Arial" w:hAnsi="Arial" w:cs="Arial"/>
                <w:b/>
                <w:szCs w:val="24"/>
                <w:u w:val="single"/>
              </w:rPr>
              <w:t>Rate</w:t>
            </w:r>
            <w:r w:rsidR="005E266C" w:rsidRPr="0086351A">
              <w:rPr>
                <w:rFonts w:ascii="Arial" w:hAnsi="Arial" w:cs="Arial"/>
                <w:b/>
                <w:szCs w:val="24"/>
                <w:u w:val="single"/>
              </w:rPr>
              <w:t xml:space="preserve"> Class</w:t>
            </w:r>
          </w:p>
        </w:tc>
        <w:tc>
          <w:tcPr>
            <w:tcW w:w="2498" w:type="dxa"/>
            <w:tcBorders>
              <w:top w:val="nil"/>
              <w:left w:val="nil"/>
              <w:right w:val="nil"/>
            </w:tcBorders>
            <w:shd w:val="clear" w:color="auto" w:fill="auto"/>
            <w:noWrap/>
            <w:vAlign w:val="bottom"/>
          </w:tcPr>
          <w:p w:rsidR="0086351A" w:rsidRDefault="00BA719E" w:rsidP="0086351A">
            <w:pPr>
              <w:jc w:val="center"/>
              <w:rPr>
                <w:rFonts w:ascii="Arial" w:hAnsi="Arial" w:cs="Arial"/>
                <w:b/>
                <w:szCs w:val="24"/>
              </w:rPr>
            </w:pPr>
            <w:r>
              <w:rPr>
                <w:rFonts w:ascii="Arial" w:hAnsi="Arial" w:cs="Arial"/>
                <w:b/>
                <w:szCs w:val="24"/>
              </w:rPr>
              <w:t>SMCRS</w:t>
            </w:r>
            <w:r w:rsidRPr="004F21DE">
              <w:rPr>
                <w:rFonts w:ascii="Arial" w:hAnsi="Arial" w:cs="Arial"/>
                <w:b/>
                <w:szCs w:val="24"/>
              </w:rPr>
              <w:t xml:space="preserve"> </w:t>
            </w:r>
          </w:p>
          <w:p w:rsidR="005E266C" w:rsidRPr="0086351A" w:rsidRDefault="00BA719E" w:rsidP="0086351A">
            <w:pPr>
              <w:jc w:val="center"/>
              <w:rPr>
                <w:rFonts w:ascii="Arial" w:hAnsi="Arial" w:cs="Arial"/>
                <w:szCs w:val="24"/>
                <w:u w:val="single"/>
              </w:rPr>
            </w:pPr>
            <w:r w:rsidRPr="0086351A">
              <w:rPr>
                <w:rFonts w:ascii="Arial" w:hAnsi="Arial" w:cs="Arial"/>
                <w:b/>
                <w:szCs w:val="24"/>
                <w:u w:val="single"/>
              </w:rPr>
              <w:t xml:space="preserve">Revenues </w:t>
            </w:r>
            <w:r w:rsidR="005E266C" w:rsidRPr="0086351A">
              <w:rPr>
                <w:rFonts w:ascii="Arial" w:hAnsi="Arial" w:cs="Arial"/>
                <w:szCs w:val="24"/>
                <w:u w:val="single"/>
              </w:rPr>
              <w:t xml:space="preserve"> </w:t>
            </w:r>
          </w:p>
        </w:tc>
        <w:tc>
          <w:tcPr>
            <w:tcW w:w="2412" w:type="dxa"/>
            <w:tcBorders>
              <w:top w:val="nil"/>
              <w:left w:val="nil"/>
              <w:right w:val="nil"/>
            </w:tcBorders>
            <w:vAlign w:val="bottom"/>
          </w:tcPr>
          <w:p w:rsidR="009A7025" w:rsidRDefault="00BA719E" w:rsidP="00BA719E">
            <w:pPr>
              <w:ind w:firstLine="6"/>
              <w:jc w:val="center"/>
              <w:rPr>
                <w:rFonts w:ascii="Arial" w:hAnsi="Arial" w:cs="Arial"/>
                <w:b/>
                <w:szCs w:val="24"/>
              </w:rPr>
            </w:pPr>
            <w:r>
              <w:rPr>
                <w:rFonts w:ascii="Arial" w:hAnsi="Arial" w:cs="Arial"/>
                <w:b/>
                <w:szCs w:val="24"/>
              </w:rPr>
              <w:t xml:space="preserve">SMCRS </w:t>
            </w:r>
          </w:p>
          <w:p w:rsidR="008E0379" w:rsidRDefault="009A7025" w:rsidP="009A7025">
            <w:pPr>
              <w:ind w:firstLine="6"/>
              <w:jc w:val="center"/>
              <w:rPr>
                <w:rFonts w:ascii="Arial" w:hAnsi="Arial" w:cs="Arial"/>
                <w:b/>
                <w:szCs w:val="24"/>
              </w:rPr>
            </w:pPr>
            <w:r>
              <w:rPr>
                <w:rFonts w:ascii="Arial" w:hAnsi="Arial" w:cs="Arial"/>
                <w:b/>
                <w:szCs w:val="24"/>
              </w:rPr>
              <w:t>Co</w:t>
            </w:r>
            <w:r w:rsidR="00BA719E">
              <w:rPr>
                <w:rFonts w:ascii="Arial" w:hAnsi="Arial" w:cs="Arial"/>
                <w:b/>
                <w:szCs w:val="24"/>
              </w:rPr>
              <w:t>sts</w:t>
            </w:r>
            <w:r w:rsidR="00BA719E" w:rsidRPr="004F21DE">
              <w:rPr>
                <w:rFonts w:ascii="Arial" w:hAnsi="Arial" w:cs="Arial"/>
                <w:b/>
                <w:szCs w:val="24"/>
              </w:rPr>
              <w:t xml:space="preserve"> </w:t>
            </w:r>
            <w:r w:rsidR="00BA719E">
              <w:rPr>
                <w:rFonts w:ascii="Arial" w:hAnsi="Arial" w:cs="Arial"/>
                <w:b/>
                <w:szCs w:val="24"/>
              </w:rPr>
              <w:t xml:space="preserve">(Net of </w:t>
            </w:r>
          </w:p>
          <w:p w:rsidR="005E266C" w:rsidRPr="00E83205" w:rsidRDefault="00BA719E" w:rsidP="0086351A">
            <w:pPr>
              <w:jc w:val="center"/>
              <w:rPr>
                <w:rFonts w:ascii="Arial" w:hAnsi="Arial" w:cs="Arial"/>
                <w:szCs w:val="24"/>
              </w:rPr>
            </w:pPr>
            <w:r w:rsidRPr="008E0379">
              <w:rPr>
                <w:rFonts w:ascii="Arial" w:hAnsi="Arial" w:cs="Arial"/>
                <w:b/>
                <w:szCs w:val="24"/>
                <w:u w:val="single"/>
              </w:rPr>
              <w:t xml:space="preserve">Stimulus </w:t>
            </w:r>
            <w:r w:rsidRPr="0086351A">
              <w:rPr>
                <w:rFonts w:ascii="Arial" w:hAnsi="Arial" w:cs="Arial"/>
                <w:b/>
                <w:szCs w:val="24"/>
                <w:u w:val="single"/>
              </w:rPr>
              <w:t>Funding)</w:t>
            </w:r>
          </w:p>
        </w:tc>
        <w:tc>
          <w:tcPr>
            <w:tcW w:w="1688" w:type="dxa"/>
            <w:tcBorders>
              <w:top w:val="nil"/>
              <w:left w:val="nil"/>
              <w:right w:val="nil"/>
            </w:tcBorders>
            <w:vAlign w:val="bottom"/>
          </w:tcPr>
          <w:p w:rsidR="005E266C" w:rsidRPr="00895078" w:rsidRDefault="005E266C" w:rsidP="00233FB3">
            <w:pPr>
              <w:jc w:val="center"/>
              <w:rPr>
                <w:rFonts w:ascii="Arial" w:hAnsi="Arial" w:cs="Arial"/>
                <w:szCs w:val="24"/>
              </w:rPr>
            </w:pPr>
          </w:p>
          <w:p w:rsidR="005E266C" w:rsidRPr="00895078" w:rsidRDefault="005E266C" w:rsidP="0086351A">
            <w:pPr>
              <w:jc w:val="center"/>
              <w:rPr>
                <w:rFonts w:ascii="Arial" w:hAnsi="Arial" w:cs="Arial"/>
                <w:szCs w:val="24"/>
              </w:rPr>
            </w:pPr>
            <w:r w:rsidRPr="006B67BF">
              <w:rPr>
                <w:rFonts w:ascii="Arial" w:hAnsi="Arial" w:cs="Arial"/>
                <w:b/>
                <w:szCs w:val="24"/>
              </w:rPr>
              <w:t xml:space="preserve">Over/(Under) </w:t>
            </w:r>
            <w:r w:rsidRPr="0086351A">
              <w:rPr>
                <w:rFonts w:ascii="Arial" w:hAnsi="Arial" w:cs="Arial"/>
                <w:b/>
                <w:szCs w:val="24"/>
                <w:u w:val="single"/>
              </w:rPr>
              <w:t>Collections</w:t>
            </w:r>
          </w:p>
        </w:tc>
      </w:tr>
      <w:tr w:rsidR="0086351A" w:rsidRPr="002C61BD" w:rsidTr="005E266C">
        <w:trPr>
          <w:trHeight w:val="255"/>
          <w:jc w:val="center"/>
        </w:trPr>
        <w:tc>
          <w:tcPr>
            <w:tcW w:w="2268" w:type="dxa"/>
            <w:tcBorders>
              <w:left w:val="nil"/>
              <w:bottom w:val="nil"/>
              <w:right w:val="nil"/>
            </w:tcBorders>
            <w:shd w:val="clear" w:color="auto" w:fill="auto"/>
            <w:noWrap/>
            <w:vAlign w:val="bottom"/>
          </w:tcPr>
          <w:p w:rsidR="0086351A" w:rsidRPr="002C61BD" w:rsidRDefault="0086351A" w:rsidP="00233FB3">
            <w:pPr>
              <w:jc w:val="center"/>
              <w:rPr>
                <w:rFonts w:ascii="Arial" w:hAnsi="Arial" w:cs="Arial"/>
                <w:szCs w:val="24"/>
              </w:rPr>
            </w:pPr>
          </w:p>
        </w:tc>
        <w:tc>
          <w:tcPr>
            <w:tcW w:w="2498" w:type="dxa"/>
            <w:tcBorders>
              <w:left w:val="nil"/>
              <w:bottom w:val="nil"/>
              <w:right w:val="nil"/>
            </w:tcBorders>
            <w:shd w:val="clear" w:color="auto" w:fill="auto"/>
            <w:noWrap/>
            <w:vAlign w:val="bottom"/>
          </w:tcPr>
          <w:p w:rsidR="0086351A" w:rsidRPr="002C61BD" w:rsidRDefault="0086351A" w:rsidP="00875EEA">
            <w:pPr>
              <w:jc w:val="center"/>
              <w:rPr>
                <w:rFonts w:ascii="Arial" w:hAnsi="Arial" w:cs="Arial"/>
                <w:szCs w:val="24"/>
              </w:rPr>
            </w:pPr>
            <w:r w:rsidRPr="00E83205">
              <w:rPr>
                <w:rFonts w:ascii="Arial" w:hAnsi="Arial" w:cs="Arial"/>
                <w:szCs w:val="24"/>
              </w:rPr>
              <w:t>(</w:t>
            </w:r>
            <w:r>
              <w:rPr>
                <w:rFonts w:ascii="Arial" w:hAnsi="Arial" w:cs="Arial"/>
                <w:szCs w:val="24"/>
              </w:rPr>
              <w:t>1</w:t>
            </w:r>
            <w:r w:rsidRPr="00E83205">
              <w:rPr>
                <w:rFonts w:ascii="Arial" w:hAnsi="Arial" w:cs="Arial"/>
                <w:szCs w:val="24"/>
              </w:rPr>
              <w:t>)</w:t>
            </w:r>
          </w:p>
        </w:tc>
        <w:tc>
          <w:tcPr>
            <w:tcW w:w="2412" w:type="dxa"/>
            <w:tcBorders>
              <w:left w:val="nil"/>
              <w:bottom w:val="nil"/>
              <w:right w:val="nil"/>
            </w:tcBorders>
            <w:vAlign w:val="bottom"/>
          </w:tcPr>
          <w:p w:rsidR="0086351A" w:rsidRPr="002C61BD" w:rsidRDefault="0086351A" w:rsidP="00875EEA">
            <w:pPr>
              <w:jc w:val="center"/>
              <w:rPr>
                <w:rFonts w:ascii="Arial" w:hAnsi="Arial" w:cs="Arial"/>
                <w:szCs w:val="24"/>
              </w:rPr>
            </w:pPr>
            <w:r w:rsidRPr="00E83205">
              <w:rPr>
                <w:rFonts w:ascii="Arial" w:hAnsi="Arial" w:cs="Arial"/>
                <w:szCs w:val="24"/>
              </w:rPr>
              <w:t>(</w:t>
            </w:r>
            <w:r>
              <w:rPr>
                <w:rFonts w:ascii="Arial" w:hAnsi="Arial" w:cs="Arial"/>
                <w:szCs w:val="24"/>
              </w:rPr>
              <w:t>2</w:t>
            </w:r>
            <w:r w:rsidRPr="00E83205">
              <w:rPr>
                <w:rFonts w:ascii="Arial" w:hAnsi="Arial" w:cs="Arial"/>
                <w:szCs w:val="24"/>
              </w:rPr>
              <w:t>)</w:t>
            </w:r>
          </w:p>
        </w:tc>
        <w:tc>
          <w:tcPr>
            <w:tcW w:w="1688" w:type="dxa"/>
            <w:tcBorders>
              <w:left w:val="nil"/>
              <w:bottom w:val="nil"/>
              <w:right w:val="nil"/>
            </w:tcBorders>
            <w:vAlign w:val="bottom"/>
          </w:tcPr>
          <w:p w:rsidR="0086351A" w:rsidRDefault="0086351A" w:rsidP="00233FB3">
            <w:pPr>
              <w:jc w:val="center"/>
              <w:rPr>
                <w:rFonts w:ascii="Arial" w:hAnsi="Arial" w:cs="Arial"/>
                <w:szCs w:val="24"/>
              </w:rPr>
            </w:pPr>
            <w:r>
              <w:rPr>
                <w:rFonts w:ascii="Arial" w:hAnsi="Arial" w:cs="Arial"/>
                <w:szCs w:val="24"/>
              </w:rPr>
              <w:t>(3)=(1)-(2)</w:t>
            </w:r>
          </w:p>
        </w:tc>
      </w:tr>
      <w:tr w:rsidR="005E266C" w:rsidRPr="002C61BD" w:rsidTr="005E266C">
        <w:trPr>
          <w:trHeight w:val="255"/>
          <w:jc w:val="center"/>
        </w:trPr>
        <w:tc>
          <w:tcPr>
            <w:tcW w:w="2268" w:type="dxa"/>
            <w:tcBorders>
              <w:left w:val="nil"/>
              <w:bottom w:val="nil"/>
              <w:right w:val="nil"/>
            </w:tcBorders>
            <w:shd w:val="clear" w:color="auto" w:fill="auto"/>
            <w:noWrap/>
            <w:vAlign w:val="bottom"/>
          </w:tcPr>
          <w:p w:rsidR="005E266C" w:rsidRPr="002C61BD" w:rsidRDefault="005E266C" w:rsidP="00233FB3">
            <w:pPr>
              <w:jc w:val="center"/>
              <w:rPr>
                <w:rFonts w:ascii="Arial" w:hAnsi="Arial" w:cs="Arial"/>
                <w:szCs w:val="24"/>
              </w:rPr>
            </w:pPr>
          </w:p>
        </w:tc>
        <w:tc>
          <w:tcPr>
            <w:tcW w:w="2498" w:type="dxa"/>
            <w:tcBorders>
              <w:left w:val="nil"/>
              <w:bottom w:val="nil"/>
              <w:right w:val="nil"/>
            </w:tcBorders>
            <w:shd w:val="clear" w:color="auto" w:fill="auto"/>
            <w:noWrap/>
            <w:vAlign w:val="bottom"/>
          </w:tcPr>
          <w:p w:rsidR="005E266C" w:rsidRPr="002C61BD" w:rsidRDefault="005E266C" w:rsidP="00875EEA">
            <w:pPr>
              <w:jc w:val="center"/>
              <w:rPr>
                <w:rFonts w:ascii="Arial" w:hAnsi="Arial" w:cs="Arial"/>
                <w:szCs w:val="24"/>
              </w:rPr>
            </w:pPr>
            <w:r w:rsidRPr="002C61BD">
              <w:rPr>
                <w:rFonts w:ascii="Arial" w:hAnsi="Arial" w:cs="Arial"/>
                <w:szCs w:val="24"/>
              </w:rPr>
              <w:t xml:space="preserve">(Note </w:t>
            </w:r>
            <w:r w:rsidR="00875EEA">
              <w:rPr>
                <w:rFonts w:ascii="Arial" w:hAnsi="Arial" w:cs="Arial"/>
                <w:szCs w:val="24"/>
              </w:rPr>
              <w:t>2</w:t>
            </w:r>
            <w:r w:rsidRPr="002C61BD">
              <w:rPr>
                <w:rFonts w:ascii="Arial" w:hAnsi="Arial" w:cs="Arial"/>
                <w:szCs w:val="24"/>
              </w:rPr>
              <w:t>)</w:t>
            </w:r>
          </w:p>
        </w:tc>
        <w:tc>
          <w:tcPr>
            <w:tcW w:w="2412" w:type="dxa"/>
            <w:tcBorders>
              <w:left w:val="nil"/>
              <w:bottom w:val="nil"/>
              <w:right w:val="nil"/>
            </w:tcBorders>
            <w:vAlign w:val="bottom"/>
          </w:tcPr>
          <w:p w:rsidR="005E266C" w:rsidRPr="002C61BD" w:rsidRDefault="005E266C" w:rsidP="00875EEA">
            <w:pPr>
              <w:jc w:val="center"/>
              <w:rPr>
                <w:rFonts w:ascii="Arial" w:hAnsi="Arial" w:cs="Arial"/>
                <w:szCs w:val="24"/>
              </w:rPr>
            </w:pPr>
            <w:r w:rsidRPr="002C61BD">
              <w:rPr>
                <w:rFonts w:ascii="Arial" w:hAnsi="Arial" w:cs="Arial"/>
                <w:szCs w:val="24"/>
              </w:rPr>
              <w:t xml:space="preserve">(Note </w:t>
            </w:r>
            <w:r w:rsidR="00875EEA">
              <w:rPr>
                <w:rFonts w:ascii="Arial" w:hAnsi="Arial" w:cs="Arial"/>
                <w:szCs w:val="24"/>
              </w:rPr>
              <w:t>3</w:t>
            </w:r>
            <w:r w:rsidRPr="002C61BD">
              <w:rPr>
                <w:rFonts w:ascii="Arial" w:hAnsi="Arial" w:cs="Arial"/>
                <w:szCs w:val="24"/>
              </w:rPr>
              <w:t>)</w:t>
            </w:r>
          </w:p>
        </w:tc>
        <w:tc>
          <w:tcPr>
            <w:tcW w:w="1688" w:type="dxa"/>
            <w:tcBorders>
              <w:left w:val="nil"/>
              <w:bottom w:val="nil"/>
              <w:right w:val="nil"/>
            </w:tcBorders>
            <w:vAlign w:val="bottom"/>
          </w:tcPr>
          <w:p w:rsidR="005E266C" w:rsidRPr="002C61BD" w:rsidRDefault="005E266C" w:rsidP="00233FB3">
            <w:pPr>
              <w:jc w:val="center"/>
              <w:rPr>
                <w:rFonts w:ascii="Arial" w:hAnsi="Arial" w:cs="Arial"/>
                <w:szCs w:val="24"/>
              </w:rPr>
            </w:pPr>
            <w:r>
              <w:rPr>
                <w:rFonts w:ascii="Arial" w:hAnsi="Arial" w:cs="Arial"/>
                <w:szCs w:val="24"/>
              </w:rPr>
              <w:t>(</w:t>
            </w:r>
            <w:r w:rsidRPr="002C61BD">
              <w:rPr>
                <w:rFonts w:ascii="Arial" w:hAnsi="Arial" w:cs="Arial"/>
                <w:szCs w:val="24"/>
              </w:rPr>
              <w:t xml:space="preserve">Note </w:t>
            </w:r>
            <w:r>
              <w:rPr>
                <w:rFonts w:ascii="Arial" w:hAnsi="Arial" w:cs="Arial"/>
                <w:szCs w:val="24"/>
              </w:rPr>
              <w:t>4)</w:t>
            </w:r>
          </w:p>
        </w:tc>
      </w:tr>
      <w:tr w:rsidR="005E266C" w:rsidRPr="002C61BD" w:rsidTr="005E266C">
        <w:trPr>
          <w:trHeight w:val="144"/>
          <w:jc w:val="center"/>
        </w:trPr>
        <w:tc>
          <w:tcPr>
            <w:tcW w:w="2268" w:type="dxa"/>
            <w:tcBorders>
              <w:top w:val="nil"/>
              <w:left w:val="nil"/>
              <w:bottom w:val="nil"/>
              <w:right w:val="nil"/>
            </w:tcBorders>
            <w:shd w:val="clear" w:color="auto" w:fill="auto"/>
            <w:noWrap/>
            <w:vAlign w:val="bottom"/>
          </w:tcPr>
          <w:p w:rsidR="005E266C" w:rsidRPr="002C61BD" w:rsidRDefault="005E266C" w:rsidP="00233FB3">
            <w:pPr>
              <w:rPr>
                <w:rFonts w:ascii="Arial" w:hAnsi="Arial" w:cs="Arial"/>
                <w:szCs w:val="24"/>
              </w:rPr>
            </w:pPr>
          </w:p>
        </w:tc>
        <w:tc>
          <w:tcPr>
            <w:tcW w:w="2498" w:type="dxa"/>
            <w:tcBorders>
              <w:top w:val="nil"/>
              <w:left w:val="nil"/>
              <w:bottom w:val="nil"/>
              <w:right w:val="nil"/>
            </w:tcBorders>
            <w:shd w:val="clear" w:color="auto" w:fill="auto"/>
            <w:noWrap/>
            <w:vAlign w:val="bottom"/>
          </w:tcPr>
          <w:p w:rsidR="005E266C" w:rsidRPr="002C61BD" w:rsidRDefault="005E266C" w:rsidP="001A778A">
            <w:pPr>
              <w:jc w:val="center"/>
              <w:rPr>
                <w:rFonts w:ascii="Arial" w:hAnsi="Arial" w:cs="Arial"/>
                <w:szCs w:val="24"/>
              </w:rPr>
            </w:pPr>
          </w:p>
        </w:tc>
        <w:tc>
          <w:tcPr>
            <w:tcW w:w="2412" w:type="dxa"/>
            <w:tcBorders>
              <w:top w:val="nil"/>
              <w:left w:val="nil"/>
              <w:bottom w:val="nil"/>
              <w:right w:val="nil"/>
            </w:tcBorders>
            <w:vAlign w:val="bottom"/>
          </w:tcPr>
          <w:p w:rsidR="005E266C" w:rsidRPr="002C61BD" w:rsidRDefault="005E266C" w:rsidP="001A778A">
            <w:pPr>
              <w:jc w:val="center"/>
              <w:rPr>
                <w:rFonts w:ascii="Arial" w:hAnsi="Arial" w:cs="Arial"/>
                <w:szCs w:val="24"/>
              </w:rPr>
            </w:pPr>
          </w:p>
        </w:tc>
        <w:tc>
          <w:tcPr>
            <w:tcW w:w="1688" w:type="dxa"/>
            <w:tcBorders>
              <w:top w:val="nil"/>
              <w:left w:val="nil"/>
              <w:bottom w:val="nil"/>
              <w:right w:val="nil"/>
            </w:tcBorders>
          </w:tcPr>
          <w:p w:rsidR="005E266C" w:rsidRPr="002C61BD" w:rsidRDefault="005E266C" w:rsidP="00233FB3">
            <w:pPr>
              <w:jc w:val="center"/>
              <w:rPr>
                <w:rFonts w:ascii="Arial" w:hAnsi="Arial" w:cs="Arial"/>
                <w:szCs w:val="24"/>
              </w:rPr>
            </w:pPr>
          </w:p>
        </w:tc>
      </w:tr>
      <w:tr w:rsidR="005E266C" w:rsidRPr="002C61BD" w:rsidTr="005E266C">
        <w:trPr>
          <w:trHeight w:val="288"/>
          <w:jc w:val="center"/>
        </w:trPr>
        <w:tc>
          <w:tcPr>
            <w:tcW w:w="2268" w:type="dxa"/>
            <w:tcBorders>
              <w:top w:val="nil"/>
              <w:left w:val="nil"/>
              <w:bottom w:val="nil"/>
              <w:right w:val="nil"/>
            </w:tcBorders>
            <w:shd w:val="clear" w:color="auto" w:fill="auto"/>
            <w:noWrap/>
            <w:vAlign w:val="bottom"/>
          </w:tcPr>
          <w:p w:rsidR="00AD327E" w:rsidRPr="00CF788E" w:rsidRDefault="00BA719E" w:rsidP="00753AAB">
            <w:pPr>
              <w:rPr>
                <w:rFonts w:ascii="Arial" w:hAnsi="Arial" w:cs="Arial"/>
                <w:szCs w:val="24"/>
              </w:rPr>
            </w:pPr>
            <w:r>
              <w:rPr>
                <w:rFonts w:ascii="Arial" w:hAnsi="Arial" w:cs="Arial"/>
                <w:szCs w:val="24"/>
              </w:rPr>
              <w:t>R</w:t>
            </w:r>
            <w:r w:rsidR="002538E4">
              <w:rPr>
                <w:rFonts w:ascii="Arial" w:hAnsi="Arial" w:cs="Arial"/>
                <w:szCs w:val="24"/>
              </w:rPr>
              <w:t>esidential</w:t>
            </w:r>
          </w:p>
        </w:tc>
        <w:tc>
          <w:tcPr>
            <w:tcW w:w="2498" w:type="dxa"/>
            <w:tcBorders>
              <w:top w:val="nil"/>
              <w:left w:val="nil"/>
              <w:bottom w:val="nil"/>
              <w:right w:val="nil"/>
            </w:tcBorders>
            <w:shd w:val="clear" w:color="auto" w:fill="auto"/>
            <w:noWrap/>
            <w:vAlign w:val="bottom"/>
          </w:tcPr>
          <w:p w:rsidR="00AD327E" w:rsidRPr="00CF788E" w:rsidRDefault="005E266C" w:rsidP="00753AAB">
            <w:pPr>
              <w:jc w:val="center"/>
              <w:rPr>
                <w:rFonts w:ascii="Arial" w:hAnsi="Arial" w:cs="Arial"/>
                <w:szCs w:val="24"/>
              </w:rPr>
            </w:pPr>
            <w:r w:rsidRPr="00CF788E">
              <w:rPr>
                <w:rFonts w:ascii="Arial" w:hAnsi="Arial" w:cs="Arial"/>
                <w:szCs w:val="24"/>
              </w:rPr>
              <w:t>$</w:t>
            </w:r>
            <w:r w:rsidR="00CF788E" w:rsidRPr="00CF788E">
              <w:rPr>
                <w:rFonts w:ascii="Arial" w:hAnsi="Arial" w:cs="Arial"/>
                <w:szCs w:val="24"/>
              </w:rPr>
              <w:t xml:space="preserve"> </w:t>
            </w:r>
            <w:r w:rsidR="00D33E20">
              <w:rPr>
                <w:rFonts w:ascii="Arial" w:hAnsi="Arial" w:cs="Arial"/>
                <w:szCs w:val="24"/>
              </w:rPr>
              <w:t xml:space="preserve"> 23</w:t>
            </w:r>
            <w:r w:rsidRPr="00CF788E">
              <w:rPr>
                <w:rFonts w:ascii="Arial" w:hAnsi="Arial" w:cs="Arial"/>
                <w:szCs w:val="24"/>
              </w:rPr>
              <w:t>,38</w:t>
            </w:r>
            <w:r w:rsidR="00D33E20">
              <w:rPr>
                <w:rFonts w:ascii="Arial" w:hAnsi="Arial" w:cs="Arial"/>
                <w:szCs w:val="24"/>
              </w:rPr>
              <w:t>5</w:t>
            </w:r>
            <w:r w:rsidRPr="00CF788E">
              <w:rPr>
                <w:rFonts w:ascii="Arial" w:hAnsi="Arial" w:cs="Arial"/>
                <w:szCs w:val="24"/>
              </w:rPr>
              <w:t>,</w:t>
            </w:r>
            <w:r w:rsidR="00D33E20">
              <w:rPr>
                <w:rFonts w:ascii="Arial" w:hAnsi="Arial" w:cs="Arial"/>
                <w:szCs w:val="24"/>
              </w:rPr>
              <w:t>67</w:t>
            </w:r>
            <w:r w:rsidRPr="00CF788E">
              <w:rPr>
                <w:rFonts w:ascii="Arial" w:hAnsi="Arial" w:cs="Arial"/>
                <w:szCs w:val="24"/>
              </w:rPr>
              <w:t>1</w:t>
            </w:r>
          </w:p>
        </w:tc>
        <w:tc>
          <w:tcPr>
            <w:tcW w:w="2412" w:type="dxa"/>
            <w:tcBorders>
              <w:top w:val="nil"/>
              <w:left w:val="nil"/>
              <w:bottom w:val="nil"/>
              <w:right w:val="nil"/>
            </w:tcBorders>
            <w:vAlign w:val="bottom"/>
          </w:tcPr>
          <w:p w:rsidR="00AD327E" w:rsidRPr="00CF788E" w:rsidRDefault="005E266C" w:rsidP="00753AAB">
            <w:pPr>
              <w:jc w:val="center"/>
              <w:rPr>
                <w:rFonts w:ascii="Arial" w:hAnsi="Arial" w:cs="Arial"/>
                <w:szCs w:val="24"/>
              </w:rPr>
            </w:pPr>
            <w:r w:rsidRPr="00CF788E">
              <w:rPr>
                <w:rFonts w:ascii="Arial" w:hAnsi="Arial" w:cs="Arial"/>
                <w:szCs w:val="24"/>
              </w:rPr>
              <w:t>$</w:t>
            </w:r>
            <w:r w:rsidR="00CF788E" w:rsidRPr="00CF788E">
              <w:rPr>
                <w:rFonts w:ascii="Arial" w:hAnsi="Arial" w:cs="Arial"/>
                <w:szCs w:val="24"/>
              </w:rPr>
              <w:t xml:space="preserve"> </w:t>
            </w:r>
            <w:r w:rsidR="005C3D45">
              <w:rPr>
                <w:rFonts w:ascii="Arial" w:hAnsi="Arial" w:cs="Arial"/>
                <w:szCs w:val="24"/>
              </w:rPr>
              <w:t xml:space="preserve"> </w:t>
            </w:r>
            <w:r w:rsidRPr="00CF788E">
              <w:rPr>
                <w:rFonts w:ascii="Arial" w:hAnsi="Arial" w:cs="Arial"/>
                <w:szCs w:val="24"/>
              </w:rPr>
              <w:t>1</w:t>
            </w:r>
            <w:r w:rsidR="005C3D45">
              <w:rPr>
                <w:rFonts w:ascii="Arial" w:hAnsi="Arial" w:cs="Arial"/>
                <w:szCs w:val="24"/>
              </w:rPr>
              <w:t>6</w:t>
            </w:r>
            <w:r w:rsidRPr="00CF788E">
              <w:rPr>
                <w:rFonts w:ascii="Arial" w:hAnsi="Arial" w:cs="Arial"/>
                <w:szCs w:val="24"/>
              </w:rPr>
              <w:t>,</w:t>
            </w:r>
            <w:r w:rsidR="005C3D45">
              <w:rPr>
                <w:rFonts w:ascii="Arial" w:hAnsi="Arial" w:cs="Arial"/>
                <w:szCs w:val="24"/>
              </w:rPr>
              <w:t>090</w:t>
            </w:r>
            <w:r w:rsidRPr="00CF788E">
              <w:rPr>
                <w:rFonts w:ascii="Arial" w:hAnsi="Arial" w:cs="Arial"/>
                <w:szCs w:val="24"/>
              </w:rPr>
              <w:t>,</w:t>
            </w:r>
            <w:r w:rsidR="005C3D45">
              <w:rPr>
                <w:rFonts w:ascii="Arial" w:hAnsi="Arial" w:cs="Arial"/>
                <w:szCs w:val="24"/>
              </w:rPr>
              <w:t>1</w:t>
            </w:r>
            <w:r w:rsidRPr="00CF788E">
              <w:rPr>
                <w:rFonts w:ascii="Arial" w:hAnsi="Arial" w:cs="Arial"/>
                <w:szCs w:val="24"/>
              </w:rPr>
              <w:t>9</w:t>
            </w:r>
            <w:r w:rsidR="005C3D45">
              <w:rPr>
                <w:rFonts w:ascii="Arial" w:hAnsi="Arial" w:cs="Arial"/>
                <w:szCs w:val="24"/>
              </w:rPr>
              <w:t>2</w:t>
            </w:r>
          </w:p>
        </w:tc>
        <w:tc>
          <w:tcPr>
            <w:tcW w:w="1688" w:type="dxa"/>
            <w:tcBorders>
              <w:top w:val="nil"/>
              <w:left w:val="nil"/>
              <w:bottom w:val="nil"/>
              <w:right w:val="nil"/>
            </w:tcBorders>
            <w:vAlign w:val="bottom"/>
          </w:tcPr>
          <w:p w:rsidR="00AD327E" w:rsidRPr="002C61BD" w:rsidRDefault="00CF788E" w:rsidP="00753AAB">
            <w:pPr>
              <w:ind w:right="-175"/>
              <w:rPr>
                <w:rFonts w:ascii="Arial" w:hAnsi="Arial" w:cs="Arial"/>
                <w:szCs w:val="24"/>
              </w:rPr>
            </w:pPr>
            <w:r w:rsidRPr="00CF788E">
              <w:rPr>
                <w:rFonts w:ascii="Arial" w:hAnsi="Arial" w:cs="Arial"/>
                <w:szCs w:val="24"/>
              </w:rPr>
              <w:t xml:space="preserve"> $ </w:t>
            </w:r>
            <w:r w:rsidR="004D1C1F">
              <w:rPr>
                <w:rFonts w:ascii="Arial" w:hAnsi="Arial" w:cs="Arial"/>
                <w:szCs w:val="24"/>
              </w:rPr>
              <w:t xml:space="preserve"> 7</w:t>
            </w:r>
            <w:r w:rsidR="005E266C" w:rsidRPr="00CF788E">
              <w:rPr>
                <w:rFonts w:ascii="Arial" w:hAnsi="Arial" w:cs="Arial"/>
                <w:szCs w:val="24"/>
              </w:rPr>
              <w:t>,</w:t>
            </w:r>
            <w:r w:rsidR="004D1C1F">
              <w:rPr>
                <w:rFonts w:ascii="Arial" w:hAnsi="Arial" w:cs="Arial"/>
                <w:szCs w:val="24"/>
              </w:rPr>
              <w:t>295</w:t>
            </w:r>
            <w:r w:rsidR="005E266C" w:rsidRPr="00CF788E">
              <w:rPr>
                <w:rFonts w:ascii="Arial" w:hAnsi="Arial" w:cs="Arial"/>
                <w:szCs w:val="24"/>
              </w:rPr>
              <w:t>,</w:t>
            </w:r>
            <w:r w:rsidR="004D1C1F">
              <w:rPr>
                <w:rFonts w:ascii="Arial" w:hAnsi="Arial" w:cs="Arial"/>
                <w:szCs w:val="24"/>
              </w:rPr>
              <w:t>479</w:t>
            </w:r>
          </w:p>
        </w:tc>
      </w:tr>
      <w:tr w:rsidR="00753AAB" w:rsidRPr="002C61BD" w:rsidTr="005E266C">
        <w:trPr>
          <w:trHeight w:val="288"/>
          <w:jc w:val="center"/>
        </w:trPr>
        <w:tc>
          <w:tcPr>
            <w:tcW w:w="2268" w:type="dxa"/>
            <w:tcBorders>
              <w:top w:val="nil"/>
              <w:left w:val="nil"/>
              <w:bottom w:val="nil"/>
              <w:right w:val="nil"/>
            </w:tcBorders>
            <w:shd w:val="clear" w:color="auto" w:fill="auto"/>
            <w:noWrap/>
            <w:vAlign w:val="bottom"/>
          </w:tcPr>
          <w:p w:rsidR="00753AAB" w:rsidRDefault="00753AAB" w:rsidP="00C401A7">
            <w:pPr>
              <w:rPr>
                <w:rFonts w:ascii="Arial" w:hAnsi="Arial" w:cs="Arial"/>
                <w:szCs w:val="24"/>
              </w:rPr>
            </w:pPr>
          </w:p>
        </w:tc>
        <w:tc>
          <w:tcPr>
            <w:tcW w:w="2498" w:type="dxa"/>
            <w:tcBorders>
              <w:top w:val="nil"/>
              <w:left w:val="nil"/>
              <w:bottom w:val="nil"/>
              <w:right w:val="nil"/>
            </w:tcBorders>
            <w:shd w:val="clear" w:color="auto" w:fill="auto"/>
            <w:noWrap/>
            <w:vAlign w:val="bottom"/>
          </w:tcPr>
          <w:p w:rsidR="00753AAB" w:rsidRDefault="00753AAB" w:rsidP="00D33E20">
            <w:pPr>
              <w:jc w:val="center"/>
              <w:rPr>
                <w:rFonts w:ascii="Arial" w:hAnsi="Arial" w:cs="Arial"/>
                <w:szCs w:val="24"/>
              </w:rPr>
            </w:pPr>
          </w:p>
        </w:tc>
        <w:tc>
          <w:tcPr>
            <w:tcW w:w="2412" w:type="dxa"/>
            <w:tcBorders>
              <w:top w:val="nil"/>
              <w:left w:val="nil"/>
              <w:bottom w:val="nil"/>
              <w:right w:val="nil"/>
            </w:tcBorders>
            <w:vAlign w:val="bottom"/>
          </w:tcPr>
          <w:p w:rsidR="00753AAB" w:rsidRDefault="00753AAB" w:rsidP="005C3D45">
            <w:pPr>
              <w:ind w:right="-253"/>
              <w:jc w:val="center"/>
              <w:rPr>
                <w:rFonts w:ascii="Arial" w:hAnsi="Arial" w:cs="Arial"/>
                <w:szCs w:val="24"/>
              </w:rPr>
            </w:pPr>
          </w:p>
        </w:tc>
        <w:tc>
          <w:tcPr>
            <w:tcW w:w="1688" w:type="dxa"/>
            <w:tcBorders>
              <w:top w:val="nil"/>
              <w:left w:val="nil"/>
              <w:bottom w:val="nil"/>
              <w:right w:val="nil"/>
            </w:tcBorders>
            <w:vAlign w:val="bottom"/>
          </w:tcPr>
          <w:p w:rsidR="00753AAB" w:rsidRDefault="00753AAB" w:rsidP="004D1C1F">
            <w:pPr>
              <w:ind w:right="-113"/>
              <w:jc w:val="center"/>
              <w:rPr>
                <w:rFonts w:ascii="Arial" w:hAnsi="Arial" w:cs="Arial"/>
                <w:szCs w:val="24"/>
              </w:rPr>
            </w:pPr>
          </w:p>
        </w:tc>
      </w:tr>
      <w:tr w:rsidR="005E266C" w:rsidRPr="002C61BD" w:rsidTr="005E266C">
        <w:trPr>
          <w:trHeight w:val="288"/>
          <w:jc w:val="center"/>
        </w:trPr>
        <w:tc>
          <w:tcPr>
            <w:tcW w:w="2268" w:type="dxa"/>
            <w:tcBorders>
              <w:top w:val="nil"/>
              <w:left w:val="nil"/>
              <w:bottom w:val="nil"/>
              <w:right w:val="nil"/>
            </w:tcBorders>
            <w:shd w:val="clear" w:color="auto" w:fill="auto"/>
            <w:noWrap/>
            <w:vAlign w:val="bottom"/>
          </w:tcPr>
          <w:p w:rsidR="005E266C" w:rsidRPr="002C61BD" w:rsidRDefault="002538E4" w:rsidP="00C401A7">
            <w:pPr>
              <w:rPr>
                <w:rFonts w:ascii="Arial" w:hAnsi="Arial" w:cs="Arial"/>
                <w:szCs w:val="24"/>
              </w:rPr>
            </w:pPr>
            <w:r>
              <w:rPr>
                <w:rFonts w:ascii="Arial" w:hAnsi="Arial" w:cs="Arial"/>
                <w:szCs w:val="24"/>
              </w:rPr>
              <w:t>Small C &amp; I</w:t>
            </w:r>
          </w:p>
        </w:tc>
        <w:tc>
          <w:tcPr>
            <w:tcW w:w="2498" w:type="dxa"/>
            <w:tcBorders>
              <w:top w:val="nil"/>
              <w:left w:val="nil"/>
              <w:bottom w:val="nil"/>
              <w:right w:val="nil"/>
            </w:tcBorders>
            <w:shd w:val="clear" w:color="auto" w:fill="auto"/>
            <w:noWrap/>
            <w:vAlign w:val="bottom"/>
          </w:tcPr>
          <w:p w:rsidR="005E266C" w:rsidRPr="002C61BD" w:rsidRDefault="005E266C" w:rsidP="00D33E20">
            <w:pPr>
              <w:jc w:val="center"/>
              <w:rPr>
                <w:rFonts w:ascii="Arial" w:hAnsi="Arial" w:cs="Arial"/>
                <w:szCs w:val="24"/>
              </w:rPr>
            </w:pPr>
            <w:r>
              <w:rPr>
                <w:rFonts w:ascii="Arial" w:hAnsi="Arial" w:cs="Arial"/>
                <w:szCs w:val="24"/>
              </w:rPr>
              <w:t xml:space="preserve">    </w:t>
            </w:r>
            <w:r w:rsidR="00D33E20">
              <w:rPr>
                <w:rFonts w:ascii="Arial" w:hAnsi="Arial" w:cs="Arial"/>
                <w:szCs w:val="24"/>
              </w:rPr>
              <w:t xml:space="preserve"> 2</w:t>
            </w:r>
            <w:r>
              <w:rPr>
                <w:rFonts w:ascii="Arial" w:hAnsi="Arial" w:cs="Arial"/>
                <w:szCs w:val="24"/>
              </w:rPr>
              <w:t>,</w:t>
            </w:r>
            <w:r w:rsidR="00D33E20">
              <w:rPr>
                <w:rFonts w:ascii="Arial" w:hAnsi="Arial" w:cs="Arial"/>
                <w:szCs w:val="24"/>
              </w:rPr>
              <w:t>625</w:t>
            </w:r>
            <w:r>
              <w:rPr>
                <w:rFonts w:ascii="Arial" w:hAnsi="Arial" w:cs="Arial"/>
                <w:szCs w:val="24"/>
              </w:rPr>
              <w:t>,</w:t>
            </w:r>
            <w:r w:rsidR="00D33E20">
              <w:rPr>
                <w:rFonts w:ascii="Arial" w:hAnsi="Arial" w:cs="Arial"/>
                <w:szCs w:val="24"/>
              </w:rPr>
              <w:t>066</w:t>
            </w:r>
          </w:p>
        </w:tc>
        <w:tc>
          <w:tcPr>
            <w:tcW w:w="2412" w:type="dxa"/>
            <w:tcBorders>
              <w:top w:val="nil"/>
              <w:left w:val="nil"/>
              <w:bottom w:val="nil"/>
              <w:right w:val="nil"/>
            </w:tcBorders>
            <w:vAlign w:val="bottom"/>
          </w:tcPr>
          <w:p w:rsidR="005E266C" w:rsidRPr="002C61BD" w:rsidRDefault="00AD327E" w:rsidP="005C3D45">
            <w:pPr>
              <w:ind w:right="-253"/>
              <w:jc w:val="center"/>
              <w:rPr>
                <w:rFonts w:ascii="Arial" w:hAnsi="Arial" w:cs="Arial"/>
                <w:szCs w:val="24"/>
              </w:rPr>
            </w:pPr>
            <w:r>
              <w:rPr>
                <w:rFonts w:ascii="Arial" w:hAnsi="Arial" w:cs="Arial"/>
                <w:szCs w:val="24"/>
              </w:rPr>
              <w:t xml:space="preserve"> </w:t>
            </w:r>
            <w:r w:rsidR="005C3D45">
              <w:rPr>
                <w:rFonts w:ascii="Arial" w:hAnsi="Arial" w:cs="Arial"/>
                <w:szCs w:val="24"/>
              </w:rPr>
              <w:t xml:space="preserve"> 1</w:t>
            </w:r>
            <w:r w:rsidR="005E266C">
              <w:rPr>
                <w:rFonts w:ascii="Arial" w:hAnsi="Arial" w:cs="Arial"/>
                <w:szCs w:val="24"/>
              </w:rPr>
              <w:t>,</w:t>
            </w:r>
            <w:r w:rsidR="005C3D45">
              <w:rPr>
                <w:rFonts w:ascii="Arial" w:hAnsi="Arial" w:cs="Arial"/>
                <w:szCs w:val="24"/>
              </w:rPr>
              <w:t>70</w:t>
            </w:r>
            <w:r w:rsidR="005E266C">
              <w:rPr>
                <w:rFonts w:ascii="Arial" w:hAnsi="Arial" w:cs="Arial"/>
                <w:szCs w:val="24"/>
              </w:rPr>
              <w:t>2,</w:t>
            </w:r>
            <w:r w:rsidR="005C3D45">
              <w:rPr>
                <w:rFonts w:ascii="Arial" w:hAnsi="Arial" w:cs="Arial"/>
                <w:szCs w:val="24"/>
              </w:rPr>
              <w:t>5</w:t>
            </w:r>
            <w:r w:rsidR="005E266C">
              <w:rPr>
                <w:rFonts w:ascii="Arial" w:hAnsi="Arial" w:cs="Arial"/>
                <w:szCs w:val="24"/>
              </w:rPr>
              <w:t>3</w:t>
            </w:r>
            <w:r w:rsidR="005C3D45">
              <w:rPr>
                <w:rFonts w:ascii="Arial" w:hAnsi="Arial" w:cs="Arial"/>
                <w:szCs w:val="24"/>
              </w:rPr>
              <w:t>8</w:t>
            </w:r>
          </w:p>
        </w:tc>
        <w:tc>
          <w:tcPr>
            <w:tcW w:w="1688" w:type="dxa"/>
            <w:tcBorders>
              <w:top w:val="nil"/>
              <w:left w:val="nil"/>
              <w:bottom w:val="nil"/>
              <w:right w:val="nil"/>
            </w:tcBorders>
            <w:vAlign w:val="bottom"/>
          </w:tcPr>
          <w:p w:rsidR="005E266C" w:rsidRPr="002C61BD" w:rsidRDefault="005E266C" w:rsidP="004D1C1F">
            <w:pPr>
              <w:ind w:right="-113"/>
              <w:jc w:val="center"/>
              <w:rPr>
                <w:rFonts w:ascii="Arial" w:hAnsi="Arial" w:cs="Arial"/>
                <w:szCs w:val="24"/>
              </w:rPr>
            </w:pPr>
            <w:r>
              <w:rPr>
                <w:rFonts w:ascii="Arial" w:hAnsi="Arial" w:cs="Arial"/>
                <w:szCs w:val="24"/>
              </w:rPr>
              <w:t xml:space="preserve"> </w:t>
            </w:r>
            <w:r w:rsidR="00AD327E">
              <w:rPr>
                <w:rFonts w:ascii="Arial" w:hAnsi="Arial" w:cs="Arial"/>
                <w:szCs w:val="24"/>
              </w:rPr>
              <w:t xml:space="preserve"> </w:t>
            </w:r>
            <w:r w:rsidR="00CF788E">
              <w:rPr>
                <w:rFonts w:ascii="Arial" w:hAnsi="Arial" w:cs="Arial"/>
                <w:szCs w:val="24"/>
              </w:rPr>
              <w:t xml:space="preserve"> </w:t>
            </w:r>
            <w:r w:rsidR="004D1C1F">
              <w:rPr>
                <w:rFonts w:ascii="Arial" w:hAnsi="Arial" w:cs="Arial"/>
                <w:szCs w:val="24"/>
              </w:rPr>
              <w:t xml:space="preserve">  </w:t>
            </w:r>
            <w:r>
              <w:rPr>
                <w:rFonts w:ascii="Arial" w:hAnsi="Arial" w:cs="Arial"/>
                <w:szCs w:val="24"/>
              </w:rPr>
              <w:t>9</w:t>
            </w:r>
            <w:r w:rsidR="004D1C1F">
              <w:rPr>
                <w:rFonts w:ascii="Arial" w:hAnsi="Arial" w:cs="Arial"/>
                <w:szCs w:val="24"/>
              </w:rPr>
              <w:t>22</w:t>
            </w:r>
            <w:r>
              <w:rPr>
                <w:rFonts w:ascii="Arial" w:hAnsi="Arial" w:cs="Arial"/>
                <w:szCs w:val="24"/>
              </w:rPr>
              <w:t>,</w:t>
            </w:r>
            <w:r w:rsidR="004D1C1F">
              <w:rPr>
                <w:rFonts w:ascii="Arial" w:hAnsi="Arial" w:cs="Arial"/>
                <w:szCs w:val="24"/>
              </w:rPr>
              <w:t>528</w:t>
            </w:r>
          </w:p>
        </w:tc>
      </w:tr>
      <w:tr w:rsidR="00CF788E" w:rsidRPr="002C61BD" w:rsidTr="005E266C">
        <w:trPr>
          <w:trHeight w:val="288"/>
          <w:jc w:val="center"/>
        </w:trPr>
        <w:tc>
          <w:tcPr>
            <w:tcW w:w="2268" w:type="dxa"/>
            <w:tcBorders>
              <w:top w:val="nil"/>
              <w:left w:val="nil"/>
              <w:bottom w:val="nil"/>
              <w:right w:val="nil"/>
            </w:tcBorders>
            <w:shd w:val="clear" w:color="auto" w:fill="auto"/>
            <w:noWrap/>
            <w:vAlign w:val="bottom"/>
          </w:tcPr>
          <w:p w:rsidR="00CF788E" w:rsidRPr="002C61BD" w:rsidRDefault="00CF788E" w:rsidP="00233FB3">
            <w:pPr>
              <w:rPr>
                <w:rFonts w:ascii="Arial" w:hAnsi="Arial" w:cs="Arial"/>
                <w:szCs w:val="24"/>
              </w:rPr>
            </w:pPr>
          </w:p>
        </w:tc>
        <w:tc>
          <w:tcPr>
            <w:tcW w:w="2498" w:type="dxa"/>
            <w:tcBorders>
              <w:top w:val="nil"/>
              <w:left w:val="nil"/>
              <w:bottom w:val="nil"/>
              <w:right w:val="nil"/>
            </w:tcBorders>
            <w:shd w:val="clear" w:color="auto" w:fill="auto"/>
            <w:noWrap/>
            <w:vAlign w:val="bottom"/>
          </w:tcPr>
          <w:p w:rsidR="00CF788E" w:rsidRDefault="00CF788E" w:rsidP="001A778A">
            <w:pPr>
              <w:jc w:val="center"/>
              <w:rPr>
                <w:rFonts w:ascii="Arial" w:hAnsi="Arial" w:cs="Arial"/>
                <w:szCs w:val="24"/>
              </w:rPr>
            </w:pPr>
          </w:p>
        </w:tc>
        <w:tc>
          <w:tcPr>
            <w:tcW w:w="2412" w:type="dxa"/>
            <w:tcBorders>
              <w:top w:val="nil"/>
              <w:left w:val="nil"/>
              <w:bottom w:val="nil"/>
              <w:right w:val="nil"/>
            </w:tcBorders>
            <w:vAlign w:val="bottom"/>
          </w:tcPr>
          <w:p w:rsidR="00CF788E" w:rsidRDefault="00CF788E" w:rsidP="001A778A">
            <w:pPr>
              <w:jc w:val="center"/>
              <w:rPr>
                <w:rFonts w:ascii="Arial" w:hAnsi="Arial" w:cs="Arial"/>
                <w:szCs w:val="24"/>
              </w:rPr>
            </w:pPr>
          </w:p>
        </w:tc>
        <w:tc>
          <w:tcPr>
            <w:tcW w:w="1688" w:type="dxa"/>
            <w:tcBorders>
              <w:top w:val="nil"/>
              <w:left w:val="nil"/>
              <w:bottom w:val="nil"/>
              <w:right w:val="nil"/>
            </w:tcBorders>
            <w:vAlign w:val="bottom"/>
          </w:tcPr>
          <w:p w:rsidR="00CF788E" w:rsidRDefault="00CF788E" w:rsidP="00233FB3">
            <w:pPr>
              <w:jc w:val="center"/>
              <w:rPr>
                <w:rFonts w:ascii="Arial" w:hAnsi="Arial" w:cs="Arial"/>
                <w:szCs w:val="24"/>
              </w:rPr>
            </w:pPr>
          </w:p>
        </w:tc>
      </w:tr>
      <w:tr w:rsidR="00CF788E" w:rsidRPr="002C61BD" w:rsidTr="005E266C">
        <w:trPr>
          <w:trHeight w:val="288"/>
          <w:jc w:val="center"/>
        </w:trPr>
        <w:tc>
          <w:tcPr>
            <w:tcW w:w="2268" w:type="dxa"/>
            <w:tcBorders>
              <w:top w:val="nil"/>
              <w:left w:val="nil"/>
              <w:bottom w:val="nil"/>
              <w:right w:val="nil"/>
            </w:tcBorders>
            <w:shd w:val="clear" w:color="auto" w:fill="auto"/>
            <w:noWrap/>
            <w:vAlign w:val="bottom"/>
          </w:tcPr>
          <w:p w:rsidR="00CF788E" w:rsidRPr="002C61BD" w:rsidRDefault="002538E4" w:rsidP="00CF788E">
            <w:pPr>
              <w:rPr>
                <w:rFonts w:ascii="Arial" w:hAnsi="Arial" w:cs="Arial"/>
                <w:szCs w:val="24"/>
              </w:rPr>
            </w:pPr>
            <w:r>
              <w:rPr>
                <w:rFonts w:ascii="Arial" w:hAnsi="Arial" w:cs="Arial"/>
                <w:szCs w:val="24"/>
              </w:rPr>
              <w:t>Large C &amp; I</w:t>
            </w:r>
          </w:p>
        </w:tc>
        <w:tc>
          <w:tcPr>
            <w:tcW w:w="2498" w:type="dxa"/>
            <w:tcBorders>
              <w:top w:val="nil"/>
              <w:left w:val="nil"/>
              <w:bottom w:val="nil"/>
              <w:right w:val="nil"/>
            </w:tcBorders>
            <w:shd w:val="clear" w:color="auto" w:fill="auto"/>
            <w:noWrap/>
            <w:vAlign w:val="bottom"/>
          </w:tcPr>
          <w:p w:rsidR="00CF788E" w:rsidRPr="00BB5A87" w:rsidRDefault="0030013D" w:rsidP="0030013D">
            <w:pPr>
              <w:ind w:right="45"/>
              <w:jc w:val="center"/>
              <w:rPr>
                <w:rFonts w:ascii="Arial" w:hAnsi="Arial" w:cs="Arial"/>
                <w:szCs w:val="24"/>
                <w:u w:val="single"/>
              </w:rPr>
            </w:pPr>
            <w:r>
              <w:rPr>
                <w:rFonts w:ascii="Arial" w:hAnsi="Arial" w:cs="Arial"/>
                <w:szCs w:val="24"/>
                <w:u w:val="single"/>
              </w:rPr>
              <w:t xml:space="preserve"> </w:t>
            </w:r>
            <w:r w:rsidR="00CF788E" w:rsidRPr="00BB5A87">
              <w:rPr>
                <w:rFonts w:ascii="Arial" w:hAnsi="Arial" w:cs="Arial"/>
                <w:szCs w:val="24"/>
                <w:u w:val="single"/>
              </w:rPr>
              <w:t xml:space="preserve">      </w:t>
            </w:r>
            <w:r w:rsidR="00D33E20">
              <w:rPr>
                <w:rFonts w:ascii="Arial" w:hAnsi="Arial" w:cs="Arial"/>
                <w:szCs w:val="24"/>
                <w:u w:val="single"/>
              </w:rPr>
              <w:t xml:space="preserve">   5</w:t>
            </w:r>
            <w:r w:rsidR="00CF788E" w:rsidRPr="00BB5A87">
              <w:rPr>
                <w:rFonts w:ascii="Arial" w:hAnsi="Arial" w:cs="Arial"/>
                <w:szCs w:val="24"/>
                <w:u w:val="single"/>
              </w:rPr>
              <w:t>5,</w:t>
            </w:r>
            <w:r w:rsidR="00D33E20">
              <w:rPr>
                <w:rFonts w:ascii="Arial" w:hAnsi="Arial" w:cs="Arial"/>
                <w:szCs w:val="24"/>
                <w:u w:val="single"/>
              </w:rPr>
              <w:t>411</w:t>
            </w:r>
          </w:p>
        </w:tc>
        <w:tc>
          <w:tcPr>
            <w:tcW w:w="2412" w:type="dxa"/>
            <w:tcBorders>
              <w:top w:val="nil"/>
              <w:left w:val="nil"/>
              <w:bottom w:val="nil"/>
              <w:right w:val="nil"/>
            </w:tcBorders>
            <w:vAlign w:val="bottom"/>
          </w:tcPr>
          <w:p w:rsidR="00CF788E" w:rsidRPr="00BB5A87" w:rsidRDefault="002537E2" w:rsidP="002537E2">
            <w:pPr>
              <w:ind w:right="27"/>
              <w:jc w:val="center"/>
              <w:rPr>
                <w:rFonts w:ascii="Arial" w:hAnsi="Arial" w:cs="Arial"/>
                <w:szCs w:val="24"/>
                <w:u w:val="single"/>
              </w:rPr>
            </w:pPr>
            <w:r>
              <w:rPr>
                <w:rFonts w:ascii="Arial" w:hAnsi="Arial" w:cs="Arial"/>
                <w:szCs w:val="24"/>
                <w:u w:val="single"/>
              </w:rPr>
              <w:t xml:space="preserve"> </w:t>
            </w:r>
            <w:r w:rsidR="00CF788E" w:rsidRPr="00BB5A87">
              <w:rPr>
                <w:rFonts w:ascii="Arial" w:hAnsi="Arial" w:cs="Arial"/>
                <w:szCs w:val="24"/>
                <w:u w:val="single"/>
              </w:rPr>
              <w:t xml:space="preserve">   </w:t>
            </w:r>
            <w:r w:rsidR="00CF788E">
              <w:rPr>
                <w:rFonts w:ascii="Arial" w:hAnsi="Arial" w:cs="Arial"/>
                <w:szCs w:val="24"/>
                <w:u w:val="single"/>
              </w:rPr>
              <w:t xml:space="preserve">   </w:t>
            </w:r>
            <w:r w:rsidR="005C3D45">
              <w:rPr>
                <w:rFonts w:ascii="Arial" w:hAnsi="Arial" w:cs="Arial"/>
                <w:szCs w:val="24"/>
                <w:u w:val="single"/>
              </w:rPr>
              <w:t xml:space="preserve">   48</w:t>
            </w:r>
            <w:r w:rsidR="00CF788E" w:rsidRPr="00BB5A87">
              <w:rPr>
                <w:rFonts w:ascii="Arial" w:hAnsi="Arial" w:cs="Arial"/>
                <w:szCs w:val="24"/>
                <w:u w:val="single"/>
              </w:rPr>
              <w:t>,</w:t>
            </w:r>
            <w:r w:rsidR="005C3D45">
              <w:rPr>
                <w:rFonts w:ascii="Arial" w:hAnsi="Arial" w:cs="Arial"/>
                <w:szCs w:val="24"/>
                <w:u w:val="single"/>
              </w:rPr>
              <w:t>685</w:t>
            </w:r>
          </w:p>
        </w:tc>
        <w:tc>
          <w:tcPr>
            <w:tcW w:w="1688" w:type="dxa"/>
            <w:tcBorders>
              <w:top w:val="nil"/>
              <w:left w:val="nil"/>
              <w:bottom w:val="nil"/>
              <w:right w:val="nil"/>
            </w:tcBorders>
            <w:vAlign w:val="bottom"/>
          </w:tcPr>
          <w:p w:rsidR="00CF788E" w:rsidRPr="00BB5A87" w:rsidRDefault="00CF788E" w:rsidP="00A90108">
            <w:pPr>
              <w:ind w:right="-383"/>
              <w:rPr>
                <w:rFonts w:ascii="Arial" w:hAnsi="Arial" w:cs="Arial"/>
                <w:szCs w:val="24"/>
                <w:u w:val="single"/>
              </w:rPr>
            </w:pPr>
            <w:r w:rsidRPr="00CF788E">
              <w:rPr>
                <w:rFonts w:ascii="Arial" w:hAnsi="Arial" w:cs="Arial"/>
                <w:szCs w:val="24"/>
              </w:rPr>
              <w:t xml:space="preserve"> </w:t>
            </w:r>
            <w:r>
              <w:rPr>
                <w:rFonts w:ascii="Arial" w:hAnsi="Arial" w:cs="Arial"/>
                <w:szCs w:val="24"/>
                <w:u w:val="single"/>
              </w:rPr>
              <w:t xml:space="preserve">     </w:t>
            </w:r>
            <w:r w:rsidR="004D1C1F">
              <w:rPr>
                <w:rFonts w:ascii="Arial" w:hAnsi="Arial" w:cs="Arial"/>
                <w:szCs w:val="24"/>
                <w:u w:val="single"/>
              </w:rPr>
              <w:t xml:space="preserve">  </w:t>
            </w:r>
            <w:r w:rsidR="00DE789F">
              <w:rPr>
                <w:rFonts w:ascii="Arial" w:hAnsi="Arial" w:cs="Arial"/>
                <w:szCs w:val="24"/>
                <w:u w:val="single"/>
              </w:rPr>
              <w:t xml:space="preserve"> </w:t>
            </w:r>
            <w:r w:rsidR="004D1C1F">
              <w:rPr>
                <w:rFonts w:ascii="Arial" w:hAnsi="Arial" w:cs="Arial"/>
                <w:szCs w:val="24"/>
                <w:u w:val="single"/>
              </w:rPr>
              <w:t xml:space="preserve">   6</w:t>
            </w:r>
            <w:r w:rsidRPr="00BB5A87">
              <w:rPr>
                <w:rFonts w:ascii="Arial" w:hAnsi="Arial" w:cs="Arial"/>
                <w:szCs w:val="24"/>
                <w:u w:val="single"/>
              </w:rPr>
              <w:t>,</w:t>
            </w:r>
            <w:r w:rsidR="004D1C1F">
              <w:rPr>
                <w:rFonts w:ascii="Arial" w:hAnsi="Arial" w:cs="Arial"/>
                <w:szCs w:val="24"/>
                <w:u w:val="single"/>
              </w:rPr>
              <w:t>72</w:t>
            </w:r>
            <w:r w:rsidR="00A90108">
              <w:rPr>
                <w:rFonts w:ascii="Arial" w:hAnsi="Arial" w:cs="Arial"/>
                <w:szCs w:val="24"/>
                <w:u w:val="single"/>
              </w:rPr>
              <w:t>7</w:t>
            </w:r>
          </w:p>
        </w:tc>
      </w:tr>
      <w:tr w:rsidR="00CF788E" w:rsidRPr="002C61BD" w:rsidTr="005E266C">
        <w:trPr>
          <w:trHeight w:val="288"/>
          <w:jc w:val="center"/>
        </w:trPr>
        <w:tc>
          <w:tcPr>
            <w:tcW w:w="2268" w:type="dxa"/>
            <w:tcBorders>
              <w:top w:val="nil"/>
              <w:left w:val="nil"/>
              <w:bottom w:val="nil"/>
              <w:right w:val="nil"/>
            </w:tcBorders>
            <w:shd w:val="clear" w:color="auto" w:fill="auto"/>
            <w:noWrap/>
            <w:vAlign w:val="bottom"/>
          </w:tcPr>
          <w:p w:rsidR="00CF788E" w:rsidRPr="002C61BD" w:rsidRDefault="00CF788E" w:rsidP="00233FB3">
            <w:pPr>
              <w:rPr>
                <w:rFonts w:ascii="Arial" w:hAnsi="Arial" w:cs="Arial"/>
                <w:szCs w:val="24"/>
              </w:rPr>
            </w:pPr>
          </w:p>
        </w:tc>
        <w:tc>
          <w:tcPr>
            <w:tcW w:w="2498" w:type="dxa"/>
            <w:tcBorders>
              <w:top w:val="nil"/>
              <w:left w:val="nil"/>
              <w:bottom w:val="nil"/>
              <w:right w:val="nil"/>
            </w:tcBorders>
            <w:shd w:val="clear" w:color="auto" w:fill="auto"/>
            <w:noWrap/>
            <w:vAlign w:val="bottom"/>
          </w:tcPr>
          <w:p w:rsidR="00CF788E" w:rsidRPr="002C61BD" w:rsidRDefault="00CF788E" w:rsidP="00CF788E">
            <w:pPr>
              <w:jc w:val="center"/>
              <w:rPr>
                <w:rFonts w:ascii="Arial" w:hAnsi="Arial" w:cs="Arial"/>
                <w:szCs w:val="24"/>
              </w:rPr>
            </w:pPr>
          </w:p>
        </w:tc>
        <w:tc>
          <w:tcPr>
            <w:tcW w:w="2412" w:type="dxa"/>
            <w:tcBorders>
              <w:top w:val="nil"/>
              <w:left w:val="nil"/>
              <w:bottom w:val="nil"/>
              <w:right w:val="nil"/>
            </w:tcBorders>
            <w:vAlign w:val="bottom"/>
          </w:tcPr>
          <w:p w:rsidR="00CF788E" w:rsidRPr="002C61BD" w:rsidRDefault="00CF788E" w:rsidP="00CF788E">
            <w:pPr>
              <w:ind w:right="-73"/>
              <w:jc w:val="center"/>
              <w:rPr>
                <w:rFonts w:ascii="Arial" w:hAnsi="Arial" w:cs="Arial"/>
                <w:szCs w:val="24"/>
              </w:rPr>
            </w:pPr>
          </w:p>
        </w:tc>
        <w:tc>
          <w:tcPr>
            <w:tcW w:w="1688" w:type="dxa"/>
            <w:tcBorders>
              <w:top w:val="nil"/>
              <w:left w:val="nil"/>
              <w:bottom w:val="nil"/>
              <w:right w:val="nil"/>
            </w:tcBorders>
            <w:vAlign w:val="bottom"/>
          </w:tcPr>
          <w:p w:rsidR="00CF788E" w:rsidRPr="002C61BD" w:rsidRDefault="00CF788E" w:rsidP="00CF788E">
            <w:pPr>
              <w:ind w:right="-383"/>
              <w:jc w:val="center"/>
              <w:rPr>
                <w:rFonts w:ascii="Arial" w:hAnsi="Arial" w:cs="Arial"/>
                <w:szCs w:val="24"/>
              </w:rPr>
            </w:pPr>
          </w:p>
        </w:tc>
      </w:tr>
      <w:tr w:rsidR="00CF788E" w:rsidRPr="002C61BD" w:rsidTr="005E266C">
        <w:trPr>
          <w:trHeight w:val="288"/>
          <w:jc w:val="center"/>
        </w:trPr>
        <w:tc>
          <w:tcPr>
            <w:tcW w:w="2268" w:type="dxa"/>
            <w:tcBorders>
              <w:top w:val="nil"/>
              <w:left w:val="nil"/>
              <w:bottom w:val="nil"/>
              <w:right w:val="nil"/>
            </w:tcBorders>
            <w:shd w:val="clear" w:color="auto" w:fill="auto"/>
            <w:noWrap/>
            <w:vAlign w:val="bottom"/>
          </w:tcPr>
          <w:p w:rsidR="00CF788E" w:rsidRPr="002C61BD" w:rsidRDefault="002A40DA" w:rsidP="00233FB3">
            <w:pPr>
              <w:rPr>
                <w:rFonts w:ascii="Arial" w:hAnsi="Arial" w:cs="Arial"/>
                <w:szCs w:val="24"/>
              </w:rPr>
            </w:pPr>
            <w:r>
              <w:rPr>
                <w:rFonts w:ascii="Arial" w:hAnsi="Arial" w:cs="Arial"/>
                <w:szCs w:val="24"/>
              </w:rPr>
              <w:t xml:space="preserve">     </w:t>
            </w:r>
            <w:r w:rsidR="00CF788E" w:rsidRPr="002C61BD">
              <w:rPr>
                <w:rFonts w:ascii="Arial" w:hAnsi="Arial" w:cs="Arial"/>
                <w:szCs w:val="24"/>
              </w:rPr>
              <w:t>Totals</w:t>
            </w:r>
          </w:p>
        </w:tc>
        <w:tc>
          <w:tcPr>
            <w:tcW w:w="2498" w:type="dxa"/>
            <w:tcBorders>
              <w:top w:val="nil"/>
              <w:left w:val="nil"/>
              <w:bottom w:val="nil"/>
              <w:right w:val="nil"/>
            </w:tcBorders>
            <w:shd w:val="clear" w:color="auto" w:fill="auto"/>
            <w:noWrap/>
            <w:vAlign w:val="bottom"/>
          </w:tcPr>
          <w:p w:rsidR="00CF788E" w:rsidRPr="00BB5A87" w:rsidRDefault="00CF788E" w:rsidP="00D33E20">
            <w:pPr>
              <w:jc w:val="center"/>
              <w:rPr>
                <w:rFonts w:ascii="Arial" w:hAnsi="Arial" w:cs="Arial"/>
                <w:szCs w:val="24"/>
                <w:u w:val="double"/>
              </w:rPr>
            </w:pPr>
            <w:r w:rsidRPr="00BB5A87">
              <w:rPr>
                <w:rFonts w:ascii="Arial" w:hAnsi="Arial" w:cs="Arial"/>
                <w:szCs w:val="24"/>
                <w:u w:val="double"/>
              </w:rPr>
              <w:t xml:space="preserve">$ </w:t>
            </w:r>
            <w:r w:rsidR="00D33E20">
              <w:rPr>
                <w:rFonts w:ascii="Arial" w:hAnsi="Arial" w:cs="Arial"/>
                <w:szCs w:val="24"/>
                <w:u w:val="double"/>
              </w:rPr>
              <w:t xml:space="preserve"> 26</w:t>
            </w:r>
            <w:r w:rsidRPr="00BB5A87">
              <w:rPr>
                <w:rFonts w:ascii="Arial" w:hAnsi="Arial" w:cs="Arial"/>
                <w:szCs w:val="24"/>
                <w:u w:val="double"/>
              </w:rPr>
              <w:t>,</w:t>
            </w:r>
            <w:r w:rsidR="00D33E20">
              <w:rPr>
                <w:rFonts w:ascii="Arial" w:hAnsi="Arial" w:cs="Arial"/>
                <w:szCs w:val="24"/>
                <w:u w:val="double"/>
              </w:rPr>
              <w:t>066</w:t>
            </w:r>
            <w:r w:rsidRPr="00BB5A87">
              <w:rPr>
                <w:rFonts w:ascii="Arial" w:hAnsi="Arial" w:cs="Arial"/>
                <w:szCs w:val="24"/>
                <w:u w:val="double"/>
              </w:rPr>
              <w:t>,</w:t>
            </w:r>
            <w:r w:rsidR="00D33E20">
              <w:rPr>
                <w:rFonts w:ascii="Arial" w:hAnsi="Arial" w:cs="Arial"/>
                <w:szCs w:val="24"/>
                <w:u w:val="double"/>
              </w:rPr>
              <w:t>148</w:t>
            </w:r>
          </w:p>
        </w:tc>
        <w:tc>
          <w:tcPr>
            <w:tcW w:w="2412" w:type="dxa"/>
            <w:tcBorders>
              <w:top w:val="nil"/>
              <w:left w:val="nil"/>
              <w:bottom w:val="nil"/>
              <w:right w:val="nil"/>
            </w:tcBorders>
            <w:vAlign w:val="bottom"/>
          </w:tcPr>
          <w:p w:rsidR="00CF788E" w:rsidRPr="00BB5A87" w:rsidRDefault="00CF788E" w:rsidP="005C3D45">
            <w:pPr>
              <w:jc w:val="center"/>
              <w:rPr>
                <w:rFonts w:ascii="Arial" w:hAnsi="Arial" w:cs="Arial"/>
                <w:szCs w:val="24"/>
                <w:u w:val="double"/>
              </w:rPr>
            </w:pPr>
            <w:r w:rsidRPr="00BB5A87">
              <w:rPr>
                <w:rFonts w:ascii="Arial" w:hAnsi="Arial" w:cs="Arial"/>
                <w:szCs w:val="24"/>
                <w:u w:val="double"/>
              </w:rPr>
              <w:t xml:space="preserve">$ </w:t>
            </w:r>
            <w:r w:rsidR="005C3D45">
              <w:rPr>
                <w:rFonts w:ascii="Arial" w:hAnsi="Arial" w:cs="Arial"/>
                <w:szCs w:val="24"/>
                <w:u w:val="double"/>
              </w:rPr>
              <w:t xml:space="preserve"> 17</w:t>
            </w:r>
            <w:r w:rsidRPr="00BB5A87">
              <w:rPr>
                <w:rFonts w:ascii="Arial" w:hAnsi="Arial" w:cs="Arial"/>
                <w:szCs w:val="24"/>
                <w:u w:val="double"/>
              </w:rPr>
              <w:t>,</w:t>
            </w:r>
            <w:r w:rsidR="005C3D45">
              <w:rPr>
                <w:rFonts w:ascii="Arial" w:hAnsi="Arial" w:cs="Arial"/>
                <w:szCs w:val="24"/>
                <w:u w:val="double"/>
              </w:rPr>
              <w:t>841</w:t>
            </w:r>
            <w:r w:rsidRPr="00BB5A87">
              <w:rPr>
                <w:rFonts w:ascii="Arial" w:hAnsi="Arial" w:cs="Arial"/>
                <w:szCs w:val="24"/>
                <w:u w:val="double"/>
              </w:rPr>
              <w:t>,</w:t>
            </w:r>
            <w:r w:rsidR="005C3D45">
              <w:rPr>
                <w:rFonts w:ascii="Arial" w:hAnsi="Arial" w:cs="Arial"/>
                <w:szCs w:val="24"/>
                <w:u w:val="double"/>
              </w:rPr>
              <w:t>415</w:t>
            </w:r>
          </w:p>
        </w:tc>
        <w:tc>
          <w:tcPr>
            <w:tcW w:w="1688" w:type="dxa"/>
            <w:tcBorders>
              <w:top w:val="nil"/>
              <w:left w:val="nil"/>
              <w:bottom w:val="nil"/>
              <w:right w:val="nil"/>
            </w:tcBorders>
            <w:vAlign w:val="bottom"/>
          </w:tcPr>
          <w:p w:rsidR="00CF788E" w:rsidRPr="00BB5A87" w:rsidRDefault="00CF788E" w:rsidP="00A90108">
            <w:pPr>
              <w:ind w:right="-85"/>
              <w:rPr>
                <w:rFonts w:ascii="Arial" w:hAnsi="Arial" w:cs="Arial"/>
                <w:szCs w:val="24"/>
                <w:u w:val="double"/>
              </w:rPr>
            </w:pPr>
            <w:r w:rsidRPr="00AD327E">
              <w:rPr>
                <w:rFonts w:ascii="Arial" w:hAnsi="Arial" w:cs="Arial"/>
                <w:szCs w:val="24"/>
              </w:rPr>
              <w:t xml:space="preserve"> </w:t>
            </w:r>
            <w:r w:rsidRPr="00BB5A87">
              <w:rPr>
                <w:rFonts w:ascii="Arial" w:hAnsi="Arial" w:cs="Arial"/>
                <w:szCs w:val="24"/>
                <w:u w:val="double"/>
              </w:rPr>
              <w:t xml:space="preserve">$ </w:t>
            </w:r>
            <w:r w:rsidR="004D1C1F">
              <w:rPr>
                <w:rFonts w:ascii="Arial" w:hAnsi="Arial" w:cs="Arial"/>
                <w:szCs w:val="24"/>
                <w:u w:val="double"/>
              </w:rPr>
              <w:t xml:space="preserve"> </w:t>
            </w:r>
            <w:r w:rsidRPr="00BB5A87">
              <w:rPr>
                <w:rFonts w:ascii="Arial" w:hAnsi="Arial" w:cs="Arial"/>
                <w:szCs w:val="24"/>
                <w:u w:val="double"/>
              </w:rPr>
              <w:t>8,</w:t>
            </w:r>
            <w:r w:rsidR="004D1C1F">
              <w:rPr>
                <w:rFonts w:ascii="Arial" w:hAnsi="Arial" w:cs="Arial"/>
                <w:szCs w:val="24"/>
                <w:u w:val="double"/>
              </w:rPr>
              <w:t>224</w:t>
            </w:r>
            <w:r w:rsidRPr="00BB5A87">
              <w:rPr>
                <w:rFonts w:ascii="Arial" w:hAnsi="Arial" w:cs="Arial"/>
                <w:szCs w:val="24"/>
                <w:u w:val="double"/>
              </w:rPr>
              <w:t>,</w:t>
            </w:r>
            <w:r w:rsidR="004D1C1F">
              <w:rPr>
                <w:rFonts w:ascii="Arial" w:hAnsi="Arial" w:cs="Arial"/>
                <w:szCs w:val="24"/>
                <w:u w:val="double"/>
              </w:rPr>
              <w:t>73</w:t>
            </w:r>
            <w:r w:rsidR="00A90108">
              <w:rPr>
                <w:rFonts w:ascii="Arial" w:hAnsi="Arial" w:cs="Arial"/>
                <w:szCs w:val="24"/>
                <w:u w:val="double"/>
              </w:rPr>
              <w:t>4</w:t>
            </w:r>
          </w:p>
        </w:tc>
      </w:tr>
      <w:tr w:rsidR="00CF788E" w:rsidRPr="002C61BD" w:rsidTr="005E266C">
        <w:trPr>
          <w:trHeight w:val="288"/>
          <w:jc w:val="center"/>
        </w:trPr>
        <w:tc>
          <w:tcPr>
            <w:tcW w:w="2268" w:type="dxa"/>
            <w:tcBorders>
              <w:top w:val="nil"/>
              <w:left w:val="nil"/>
              <w:bottom w:val="nil"/>
              <w:right w:val="nil"/>
            </w:tcBorders>
            <w:shd w:val="clear" w:color="auto" w:fill="auto"/>
            <w:vAlign w:val="bottom"/>
          </w:tcPr>
          <w:p w:rsidR="00CF788E" w:rsidRPr="002C61BD" w:rsidRDefault="00CF788E" w:rsidP="00233FB3">
            <w:pPr>
              <w:rPr>
                <w:rFonts w:ascii="Arial" w:hAnsi="Arial" w:cs="Arial"/>
                <w:szCs w:val="24"/>
              </w:rPr>
            </w:pPr>
          </w:p>
        </w:tc>
        <w:tc>
          <w:tcPr>
            <w:tcW w:w="2498" w:type="dxa"/>
            <w:tcBorders>
              <w:left w:val="nil"/>
              <w:right w:val="nil"/>
            </w:tcBorders>
            <w:shd w:val="clear" w:color="auto" w:fill="auto"/>
            <w:noWrap/>
            <w:vAlign w:val="bottom"/>
          </w:tcPr>
          <w:p w:rsidR="00CF788E" w:rsidRPr="00DF7BE0" w:rsidRDefault="00CF788E" w:rsidP="00233FB3">
            <w:pPr>
              <w:jc w:val="center"/>
              <w:rPr>
                <w:rFonts w:ascii="Arial" w:hAnsi="Arial" w:cs="Arial"/>
                <w:szCs w:val="24"/>
                <w:u w:val="double"/>
              </w:rPr>
            </w:pPr>
          </w:p>
        </w:tc>
        <w:tc>
          <w:tcPr>
            <w:tcW w:w="2412" w:type="dxa"/>
            <w:tcBorders>
              <w:left w:val="nil"/>
              <w:right w:val="nil"/>
            </w:tcBorders>
          </w:tcPr>
          <w:p w:rsidR="00CF788E" w:rsidRPr="004714C1" w:rsidRDefault="00CF788E" w:rsidP="00233FB3">
            <w:pPr>
              <w:jc w:val="center"/>
              <w:rPr>
                <w:rFonts w:ascii="Arial" w:hAnsi="Arial" w:cs="Arial"/>
                <w:szCs w:val="24"/>
                <w:highlight w:val="yellow"/>
                <w:u w:val="double"/>
              </w:rPr>
            </w:pPr>
          </w:p>
        </w:tc>
        <w:tc>
          <w:tcPr>
            <w:tcW w:w="1688" w:type="dxa"/>
            <w:tcBorders>
              <w:left w:val="nil"/>
              <w:right w:val="nil"/>
            </w:tcBorders>
            <w:vAlign w:val="bottom"/>
          </w:tcPr>
          <w:p w:rsidR="00CF788E" w:rsidRPr="004714C1" w:rsidRDefault="00CF788E" w:rsidP="00233FB3">
            <w:pPr>
              <w:jc w:val="center"/>
              <w:rPr>
                <w:rFonts w:ascii="Arial" w:hAnsi="Arial" w:cs="Arial"/>
                <w:szCs w:val="24"/>
                <w:highlight w:val="yellow"/>
                <w:u w:val="double"/>
              </w:rPr>
            </w:pPr>
          </w:p>
        </w:tc>
      </w:tr>
    </w:tbl>
    <w:p w:rsidR="00750E57" w:rsidRDefault="00750E57" w:rsidP="00DE100D">
      <w:pPr>
        <w:tabs>
          <w:tab w:val="center" w:pos="4680"/>
        </w:tabs>
        <w:suppressAutoHyphens/>
        <w:rPr>
          <w:rFonts w:ascii="Arial" w:hAnsi="Arial" w:cs="Arial"/>
          <w:szCs w:val="24"/>
        </w:rPr>
      </w:pPr>
    </w:p>
    <w:p w:rsidR="00DE100D" w:rsidRDefault="00DE100D" w:rsidP="00DE100D">
      <w:pPr>
        <w:tabs>
          <w:tab w:val="center" w:pos="4680"/>
        </w:tabs>
        <w:suppressAutoHyphens/>
        <w:rPr>
          <w:rFonts w:ascii="Arial" w:hAnsi="Arial" w:cs="Arial"/>
          <w:szCs w:val="24"/>
        </w:rPr>
      </w:pPr>
    </w:p>
    <w:p w:rsidR="00DE100D" w:rsidRDefault="00DE100D" w:rsidP="00CE376B">
      <w:pPr>
        <w:tabs>
          <w:tab w:val="center" w:pos="4680"/>
        </w:tabs>
        <w:suppressAutoHyphens/>
        <w:ind w:firstLine="360"/>
        <w:rPr>
          <w:rFonts w:ascii="Arial" w:hAnsi="Arial" w:cs="Arial"/>
          <w:szCs w:val="24"/>
        </w:rPr>
      </w:pPr>
      <w:r w:rsidRPr="002C61BD">
        <w:rPr>
          <w:rFonts w:ascii="Arial" w:hAnsi="Arial" w:cs="Arial"/>
          <w:szCs w:val="24"/>
        </w:rPr>
        <w:t xml:space="preserve">* </w:t>
      </w:r>
      <w:r w:rsidR="00CE376B">
        <w:rPr>
          <w:rFonts w:ascii="Arial" w:hAnsi="Arial" w:cs="Arial"/>
          <w:szCs w:val="24"/>
        </w:rPr>
        <w:t xml:space="preserve">- </w:t>
      </w:r>
      <w:r>
        <w:rPr>
          <w:rFonts w:ascii="Arial" w:hAnsi="Arial" w:cs="Arial"/>
          <w:szCs w:val="24"/>
        </w:rPr>
        <w:t>A</w:t>
      </w:r>
      <w:r w:rsidRPr="002C61BD">
        <w:rPr>
          <w:rFonts w:ascii="Arial" w:hAnsi="Arial" w:cs="Arial"/>
          <w:szCs w:val="24"/>
        </w:rPr>
        <w:t xml:space="preserve">s </w:t>
      </w:r>
      <w:r>
        <w:rPr>
          <w:rFonts w:ascii="Arial" w:hAnsi="Arial" w:cs="Arial"/>
          <w:szCs w:val="24"/>
        </w:rPr>
        <w:t xml:space="preserve">reported to the Commission </w:t>
      </w:r>
      <w:r w:rsidRPr="002C61BD">
        <w:rPr>
          <w:rFonts w:ascii="Arial" w:hAnsi="Arial" w:cs="Arial"/>
          <w:szCs w:val="24"/>
        </w:rPr>
        <w:t xml:space="preserve">at Docket No. </w:t>
      </w:r>
      <w:proofErr w:type="gramStart"/>
      <w:r w:rsidRPr="00DE789F">
        <w:rPr>
          <w:rFonts w:ascii="Arial" w:hAnsi="Arial" w:cs="Arial"/>
          <w:szCs w:val="24"/>
        </w:rPr>
        <w:t>M-201</w:t>
      </w:r>
      <w:r w:rsidR="004D1C1F" w:rsidRPr="00DE789F">
        <w:rPr>
          <w:rFonts w:ascii="Arial" w:hAnsi="Arial" w:cs="Arial"/>
          <w:szCs w:val="24"/>
        </w:rPr>
        <w:t>2</w:t>
      </w:r>
      <w:r w:rsidRPr="00DE789F">
        <w:rPr>
          <w:rFonts w:ascii="Arial" w:hAnsi="Arial" w:cs="Arial"/>
          <w:szCs w:val="24"/>
        </w:rPr>
        <w:t>-23</w:t>
      </w:r>
      <w:r w:rsidR="004D1C1F" w:rsidRPr="00DE789F">
        <w:rPr>
          <w:rFonts w:ascii="Arial" w:hAnsi="Arial" w:cs="Arial"/>
          <w:szCs w:val="24"/>
        </w:rPr>
        <w:t>1</w:t>
      </w:r>
      <w:r w:rsidRPr="00DE789F">
        <w:rPr>
          <w:rFonts w:ascii="Arial" w:hAnsi="Arial" w:cs="Arial"/>
          <w:szCs w:val="24"/>
        </w:rPr>
        <w:t>7</w:t>
      </w:r>
      <w:r w:rsidR="004D1C1F" w:rsidRPr="00DE789F">
        <w:rPr>
          <w:rFonts w:ascii="Arial" w:hAnsi="Arial" w:cs="Arial"/>
          <w:szCs w:val="24"/>
        </w:rPr>
        <w:t>818</w:t>
      </w:r>
      <w:r>
        <w:rPr>
          <w:rFonts w:ascii="Arial" w:hAnsi="Arial" w:cs="Arial"/>
          <w:szCs w:val="24"/>
        </w:rPr>
        <w:t>.</w:t>
      </w:r>
      <w:proofErr w:type="gramEnd"/>
    </w:p>
    <w:p w:rsidR="00DE100D" w:rsidRDefault="00DE100D" w:rsidP="00CE376B">
      <w:pPr>
        <w:tabs>
          <w:tab w:val="center" w:pos="4680"/>
        </w:tabs>
        <w:suppressAutoHyphens/>
        <w:ind w:firstLine="360"/>
        <w:rPr>
          <w:rFonts w:ascii="Arial" w:hAnsi="Arial" w:cs="Arial"/>
          <w:szCs w:val="24"/>
        </w:rPr>
      </w:pPr>
    </w:p>
    <w:p w:rsidR="00CE376B" w:rsidRDefault="00DE100D" w:rsidP="00CE376B">
      <w:pPr>
        <w:tabs>
          <w:tab w:val="center" w:pos="4680"/>
        </w:tabs>
        <w:suppressAutoHyphens/>
        <w:ind w:firstLine="360"/>
        <w:rPr>
          <w:rFonts w:ascii="Arial" w:hAnsi="Arial" w:cs="Arial"/>
          <w:szCs w:val="24"/>
        </w:rPr>
      </w:pPr>
      <w:r w:rsidRPr="002C61BD">
        <w:rPr>
          <w:rFonts w:ascii="Arial" w:hAnsi="Arial" w:cs="Arial"/>
          <w:szCs w:val="24"/>
        </w:rPr>
        <w:t>Notes to the Financial Statemen</w:t>
      </w:r>
      <w:r w:rsidR="002F7396">
        <w:rPr>
          <w:rFonts w:ascii="Arial" w:hAnsi="Arial" w:cs="Arial"/>
          <w:szCs w:val="24"/>
        </w:rPr>
        <w:t>ts</w:t>
      </w:r>
      <w:r w:rsidRPr="002C61BD">
        <w:rPr>
          <w:rFonts w:ascii="Arial" w:hAnsi="Arial" w:cs="Arial"/>
          <w:szCs w:val="24"/>
        </w:rPr>
        <w:t xml:space="preserve"> are an integral part of this report.</w:t>
      </w:r>
    </w:p>
    <w:p w:rsidR="00CE376B" w:rsidRDefault="00CE376B" w:rsidP="00CE376B">
      <w:pPr>
        <w:tabs>
          <w:tab w:val="center" w:pos="4680"/>
        </w:tabs>
        <w:suppressAutoHyphens/>
        <w:ind w:firstLine="360"/>
        <w:rPr>
          <w:rFonts w:ascii="Arial" w:hAnsi="Arial" w:cs="Arial"/>
          <w:szCs w:val="24"/>
        </w:rPr>
      </w:pPr>
    </w:p>
    <w:p w:rsidR="00CE376B" w:rsidRDefault="00CE376B" w:rsidP="00CE376B">
      <w:pPr>
        <w:tabs>
          <w:tab w:val="center" w:pos="4680"/>
        </w:tabs>
        <w:suppressAutoHyphens/>
        <w:ind w:firstLine="360"/>
        <w:rPr>
          <w:rFonts w:ascii="Arial" w:hAnsi="Arial" w:cs="Arial"/>
          <w:szCs w:val="24"/>
        </w:rPr>
      </w:pPr>
      <w:r>
        <w:rPr>
          <w:rFonts w:ascii="Arial" w:hAnsi="Arial" w:cs="Arial"/>
          <w:szCs w:val="24"/>
        </w:rPr>
        <w:t>Arithmetic differences are due to rounding.</w:t>
      </w:r>
    </w:p>
    <w:p w:rsidR="00CE376B" w:rsidRDefault="00CE376B" w:rsidP="00CE376B">
      <w:pPr>
        <w:tabs>
          <w:tab w:val="center" w:pos="4680"/>
        </w:tabs>
        <w:suppressAutoHyphens/>
        <w:ind w:firstLine="360"/>
        <w:rPr>
          <w:rFonts w:ascii="Arial" w:hAnsi="Arial" w:cs="Arial"/>
          <w:szCs w:val="24"/>
        </w:rPr>
      </w:pPr>
    </w:p>
    <w:p w:rsidR="00CE376B" w:rsidRDefault="00CE376B" w:rsidP="00CE376B">
      <w:r>
        <w:br w:type="page"/>
      </w:r>
    </w:p>
    <w:p w:rsidR="007E0B70" w:rsidRPr="001D0DB6" w:rsidRDefault="00CE7FE7" w:rsidP="00CE7FE7">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lastRenderedPageBreak/>
        <w:t>PECO ENERGY COMPANY</w:t>
      </w:r>
    </w:p>
    <w:tbl>
      <w:tblPr>
        <w:tblW w:w="8730" w:type="dxa"/>
        <w:jc w:val="center"/>
        <w:tblInd w:w="-202" w:type="dxa"/>
        <w:tblLook w:val="0000" w:firstRow="0" w:lastRow="0" w:firstColumn="0" w:lastColumn="0" w:noHBand="0" w:noVBand="0"/>
      </w:tblPr>
      <w:tblGrid>
        <w:gridCol w:w="8730"/>
      </w:tblGrid>
      <w:tr w:rsidR="00233FB3" w:rsidRPr="002C61BD" w:rsidTr="00233FB3">
        <w:trPr>
          <w:trHeight w:val="277"/>
          <w:jc w:val="center"/>
        </w:trPr>
        <w:tc>
          <w:tcPr>
            <w:tcW w:w="8730" w:type="dxa"/>
            <w:tcBorders>
              <w:top w:val="nil"/>
              <w:left w:val="nil"/>
              <w:bottom w:val="nil"/>
              <w:right w:val="nil"/>
            </w:tcBorders>
            <w:shd w:val="clear" w:color="auto" w:fill="auto"/>
            <w:noWrap/>
            <w:vAlign w:val="bottom"/>
          </w:tcPr>
          <w:p w:rsidR="00233FB3" w:rsidRPr="001D0DB6" w:rsidRDefault="00233FB3" w:rsidP="00233FB3">
            <w:pPr>
              <w:overflowPunct/>
              <w:autoSpaceDE/>
              <w:autoSpaceDN/>
              <w:adjustRightInd/>
              <w:jc w:val="center"/>
              <w:textAlignment w:val="auto"/>
              <w:rPr>
                <w:rFonts w:ascii="Arial" w:hAnsi="Arial" w:cs="Arial"/>
                <w:b/>
                <w:sz w:val="26"/>
                <w:szCs w:val="26"/>
              </w:rPr>
            </w:pPr>
          </w:p>
          <w:p w:rsidR="00233FB3" w:rsidRPr="001D0DB6" w:rsidRDefault="00233FB3" w:rsidP="00233FB3">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Condensed (Note 1)</w:t>
            </w:r>
          </w:p>
          <w:p w:rsidR="00E1740C" w:rsidRDefault="002B7DD4" w:rsidP="00E1740C">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 xml:space="preserve">Statement Of </w:t>
            </w:r>
            <w:r>
              <w:rPr>
                <w:rFonts w:ascii="Arial" w:hAnsi="Arial" w:cs="Arial"/>
                <w:b/>
                <w:sz w:val="26"/>
                <w:szCs w:val="26"/>
              </w:rPr>
              <w:t>Smart Meter Cost Recovery</w:t>
            </w:r>
            <w:r w:rsidRPr="001D0DB6">
              <w:rPr>
                <w:rFonts w:ascii="Arial" w:hAnsi="Arial" w:cs="Arial"/>
                <w:b/>
                <w:sz w:val="26"/>
                <w:szCs w:val="26"/>
              </w:rPr>
              <w:t xml:space="preserve"> (</w:t>
            </w:r>
            <w:r>
              <w:rPr>
                <w:rFonts w:ascii="Arial" w:hAnsi="Arial" w:cs="Arial"/>
                <w:b/>
                <w:sz w:val="26"/>
                <w:szCs w:val="26"/>
              </w:rPr>
              <w:t>SMCRS</w:t>
            </w:r>
            <w:r w:rsidRPr="001D0DB6">
              <w:rPr>
                <w:rFonts w:ascii="Arial" w:hAnsi="Arial" w:cs="Arial"/>
                <w:b/>
                <w:sz w:val="26"/>
                <w:szCs w:val="26"/>
              </w:rPr>
              <w:t xml:space="preserve">) </w:t>
            </w:r>
          </w:p>
          <w:p w:rsidR="00233FB3" w:rsidRPr="001D0DB6" w:rsidRDefault="002B7DD4" w:rsidP="00E1740C">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 xml:space="preserve">Over/(Under) Collections </w:t>
            </w:r>
            <w:r w:rsidR="00E1740C">
              <w:rPr>
                <w:rFonts w:ascii="Arial" w:hAnsi="Arial" w:cs="Arial"/>
                <w:b/>
                <w:sz w:val="26"/>
                <w:szCs w:val="26"/>
              </w:rPr>
              <w:t>(Section 1307(e))</w:t>
            </w:r>
            <w:r w:rsidR="00E1740C" w:rsidRPr="001D0DB6">
              <w:rPr>
                <w:rFonts w:ascii="Arial" w:hAnsi="Arial" w:cs="Arial"/>
                <w:b/>
                <w:sz w:val="26"/>
                <w:szCs w:val="26"/>
              </w:rPr>
              <w:t xml:space="preserve">   </w:t>
            </w:r>
          </w:p>
        </w:tc>
      </w:tr>
      <w:tr w:rsidR="00233FB3" w:rsidRPr="002C61BD" w:rsidTr="00233FB3">
        <w:trPr>
          <w:trHeight w:val="277"/>
          <w:jc w:val="center"/>
        </w:trPr>
        <w:tc>
          <w:tcPr>
            <w:tcW w:w="8730" w:type="dxa"/>
            <w:tcBorders>
              <w:top w:val="nil"/>
              <w:left w:val="nil"/>
              <w:bottom w:val="nil"/>
              <w:right w:val="nil"/>
            </w:tcBorders>
            <w:shd w:val="clear" w:color="auto" w:fill="auto"/>
            <w:noWrap/>
            <w:vAlign w:val="bottom"/>
          </w:tcPr>
          <w:p w:rsidR="00233FB3" w:rsidRPr="001D0DB6" w:rsidRDefault="00233FB3" w:rsidP="00621557">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 xml:space="preserve">For The </w:t>
            </w:r>
            <w:r w:rsidR="00D26ACA" w:rsidRPr="001D0DB6">
              <w:rPr>
                <w:rFonts w:ascii="Arial" w:hAnsi="Arial" w:cs="Arial"/>
                <w:b/>
                <w:sz w:val="26"/>
                <w:szCs w:val="26"/>
              </w:rPr>
              <w:t>Twelve</w:t>
            </w:r>
            <w:r w:rsidRPr="001D0DB6">
              <w:rPr>
                <w:rFonts w:ascii="Arial" w:hAnsi="Arial" w:cs="Arial"/>
                <w:b/>
                <w:sz w:val="26"/>
                <w:szCs w:val="26"/>
              </w:rPr>
              <w:t xml:space="preserve"> Month</w:t>
            </w:r>
            <w:r w:rsidR="00E035AE" w:rsidRPr="001D0DB6">
              <w:rPr>
                <w:rFonts w:ascii="Arial" w:hAnsi="Arial" w:cs="Arial"/>
                <w:b/>
                <w:sz w:val="26"/>
                <w:szCs w:val="26"/>
              </w:rPr>
              <w:t xml:space="preserve"> Period</w:t>
            </w:r>
            <w:r w:rsidRPr="001D0DB6">
              <w:rPr>
                <w:rFonts w:ascii="Arial" w:hAnsi="Arial" w:cs="Arial"/>
                <w:b/>
                <w:sz w:val="26"/>
                <w:szCs w:val="26"/>
              </w:rPr>
              <w:t xml:space="preserve"> Ended </w:t>
            </w:r>
            <w:r w:rsidR="00621557">
              <w:rPr>
                <w:rFonts w:ascii="Arial" w:hAnsi="Arial" w:cs="Arial"/>
                <w:b/>
                <w:sz w:val="26"/>
                <w:szCs w:val="26"/>
              </w:rPr>
              <w:t>June</w:t>
            </w:r>
            <w:r w:rsidRPr="001D0DB6">
              <w:rPr>
                <w:rFonts w:ascii="Arial" w:hAnsi="Arial" w:cs="Arial"/>
                <w:b/>
                <w:sz w:val="26"/>
                <w:szCs w:val="26"/>
              </w:rPr>
              <w:t xml:space="preserve"> 3</w:t>
            </w:r>
            <w:r w:rsidR="00621557">
              <w:rPr>
                <w:rFonts w:ascii="Arial" w:hAnsi="Arial" w:cs="Arial"/>
                <w:b/>
                <w:sz w:val="26"/>
                <w:szCs w:val="26"/>
              </w:rPr>
              <w:t>0</w:t>
            </w:r>
            <w:r w:rsidRPr="001D0DB6">
              <w:rPr>
                <w:rFonts w:ascii="Arial" w:hAnsi="Arial" w:cs="Arial"/>
                <w:b/>
                <w:sz w:val="26"/>
                <w:szCs w:val="26"/>
              </w:rPr>
              <w:t>, 201</w:t>
            </w:r>
            <w:r w:rsidR="002B7DD4">
              <w:rPr>
                <w:rFonts w:ascii="Arial" w:hAnsi="Arial" w:cs="Arial"/>
                <w:b/>
                <w:sz w:val="26"/>
                <w:szCs w:val="26"/>
              </w:rPr>
              <w:t>1</w:t>
            </w:r>
            <w:r w:rsidR="00546BB7">
              <w:rPr>
                <w:rFonts w:ascii="Arial" w:hAnsi="Arial" w:cs="Arial"/>
                <w:b/>
                <w:sz w:val="26"/>
                <w:szCs w:val="26"/>
              </w:rPr>
              <w:t>*</w:t>
            </w:r>
          </w:p>
        </w:tc>
      </w:tr>
    </w:tbl>
    <w:p w:rsidR="00233FB3" w:rsidRPr="002C61BD" w:rsidRDefault="00233FB3" w:rsidP="00233FB3">
      <w:pPr>
        <w:rPr>
          <w:rFonts w:ascii="Arial" w:hAnsi="Arial" w:cs="Arial"/>
          <w:sz w:val="16"/>
          <w:szCs w:val="16"/>
        </w:rPr>
      </w:pPr>
    </w:p>
    <w:p w:rsidR="00233FB3" w:rsidRPr="002C61BD" w:rsidRDefault="00233FB3" w:rsidP="00233FB3">
      <w:pPr>
        <w:jc w:val="center"/>
        <w:rPr>
          <w:rFonts w:ascii="Arial" w:hAnsi="Arial" w:cs="Arial"/>
          <w:sz w:val="16"/>
          <w:szCs w:val="16"/>
        </w:rPr>
      </w:pPr>
    </w:p>
    <w:tbl>
      <w:tblPr>
        <w:tblW w:w="8888" w:type="dxa"/>
        <w:jc w:val="center"/>
        <w:tblLayout w:type="fixed"/>
        <w:tblLook w:val="0000" w:firstRow="0" w:lastRow="0" w:firstColumn="0" w:lastColumn="0" w:noHBand="0" w:noVBand="0"/>
      </w:tblPr>
      <w:tblGrid>
        <w:gridCol w:w="2268"/>
        <w:gridCol w:w="2408"/>
        <w:gridCol w:w="2412"/>
        <w:gridCol w:w="1800"/>
      </w:tblGrid>
      <w:tr w:rsidR="001A778A" w:rsidRPr="00895078" w:rsidTr="00EF53B4">
        <w:trPr>
          <w:jc w:val="center"/>
        </w:trPr>
        <w:tc>
          <w:tcPr>
            <w:tcW w:w="2268" w:type="dxa"/>
            <w:tcBorders>
              <w:top w:val="nil"/>
              <w:left w:val="nil"/>
              <w:right w:val="nil"/>
            </w:tcBorders>
            <w:shd w:val="clear" w:color="auto" w:fill="auto"/>
            <w:noWrap/>
            <w:vAlign w:val="bottom"/>
          </w:tcPr>
          <w:p w:rsidR="001A778A" w:rsidRDefault="001A778A" w:rsidP="00233FB3">
            <w:pPr>
              <w:rPr>
                <w:rFonts w:ascii="Arial" w:hAnsi="Arial" w:cs="Arial"/>
                <w:szCs w:val="24"/>
              </w:rPr>
            </w:pPr>
          </w:p>
          <w:p w:rsidR="001A778A" w:rsidRDefault="001A778A" w:rsidP="00233FB3">
            <w:pPr>
              <w:rPr>
                <w:rFonts w:ascii="Arial" w:hAnsi="Arial" w:cs="Arial"/>
                <w:szCs w:val="24"/>
              </w:rPr>
            </w:pPr>
          </w:p>
          <w:p w:rsidR="001A778A" w:rsidRPr="00B84751" w:rsidRDefault="002B7DD4" w:rsidP="00B84751">
            <w:pPr>
              <w:rPr>
                <w:rFonts w:ascii="Arial" w:hAnsi="Arial" w:cs="Arial"/>
                <w:szCs w:val="24"/>
                <w:u w:val="single"/>
              </w:rPr>
            </w:pPr>
            <w:r w:rsidRPr="00B84751">
              <w:rPr>
                <w:rFonts w:ascii="Arial" w:hAnsi="Arial" w:cs="Arial"/>
                <w:b/>
                <w:szCs w:val="24"/>
                <w:u w:val="single"/>
              </w:rPr>
              <w:t>Rate</w:t>
            </w:r>
            <w:r w:rsidR="001A778A" w:rsidRPr="00B84751">
              <w:rPr>
                <w:rFonts w:ascii="Arial" w:hAnsi="Arial" w:cs="Arial"/>
                <w:b/>
                <w:szCs w:val="24"/>
                <w:u w:val="single"/>
              </w:rPr>
              <w:t xml:space="preserve"> Class</w:t>
            </w:r>
          </w:p>
        </w:tc>
        <w:tc>
          <w:tcPr>
            <w:tcW w:w="2408" w:type="dxa"/>
            <w:tcBorders>
              <w:top w:val="nil"/>
              <w:left w:val="nil"/>
              <w:right w:val="nil"/>
            </w:tcBorders>
            <w:shd w:val="clear" w:color="auto" w:fill="auto"/>
            <w:noWrap/>
            <w:vAlign w:val="bottom"/>
          </w:tcPr>
          <w:p w:rsidR="00B84751" w:rsidRDefault="002B7DD4" w:rsidP="00B84751">
            <w:pPr>
              <w:jc w:val="center"/>
              <w:rPr>
                <w:rFonts w:ascii="Arial" w:hAnsi="Arial" w:cs="Arial"/>
                <w:b/>
                <w:szCs w:val="24"/>
              </w:rPr>
            </w:pPr>
            <w:r>
              <w:rPr>
                <w:rFonts w:ascii="Arial" w:hAnsi="Arial" w:cs="Arial"/>
                <w:b/>
                <w:szCs w:val="24"/>
              </w:rPr>
              <w:t>SMCRS</w:t>
            </w:r>
            <w:r w:rsidRPr="004F21DE">
              <w:rPr>
                <w:rFonts w:ascii="Arial" w:hAnsi="Arial" w:cs="Arial"/>
                <w:b/>
                <w:szCs w:val="24"/>
              </w:rPr>
              <w:t xml:space="preserve"> </w:t>
            </w:r>
          </w:p>
          <w:p w:rsidR="001A778A" w:rsidRPr="00B84751" w:rsidRDefault="002B7DD4" w:rsidP="00B84751">
            <w:pPr>
              <w:jc w:val="center"/>
              <w:rPr>
                <w:rFonts w:ascii="Arial" w:hAnsi="Arial" w:cs="Arial"/>
                <w:szCs w:val="24"/>
                <w:u w:val="single"/>
              </w:rPr>
            </w:pPr>
            <w:r w:rsidRPr="00B84751">
              <w:rPr>
                <w:rFonts w:ascii="Arial" w:hAnsi="Arial" w:cs="Arial"/>
                <w:b/>
                <w:szCs w:val="24"/>
                <w:u w:val="single"/>
              </w:rPr>
              <w:t>Revenues</w:t>
            </w:r>
          </w:p>
        </w:tc>
        <w:tc>
          <w:tcPr>
            <w:tcW w:w="2412" w:type="dxa"/>
            <w:tcBorders>
              <w:top w:val="nil"/>
              <w:left w:val="nil"/>
              <w:right w:val="nil"/>
            </w:tcBorders>
            <w:vAlign w:val="bottom"/>
          </w:tcPr>
          <w:p w:rsidR="00B84751" w:rsidRDefault="002B7DD4" w:rsidP="002B7DD4">
            <w:pPr>
              <w:ind w:firstLine="6"/>
              <w:jc w:val="center"/>
              <w:rPr>
                <w:rFonts w:ascii="Arial" w:hAnsi="Arial" w:cs="Arial"/>
                <w:b/>
                <w:szCs w:val="24"/>
              </w:rPr>
            </w:pPr>
            <w:r>
              <w:rPr>
                <w:rFonts w:ascii="Arial" w:hAnsi="Arial" w:cs="Arial"/>
                <w:b/>
                <w:szCs w:val="24"/>
              </w:rPr>
              <w:t xml:space="preserve">SMCRS </w:t>
            </w:r>
          </w:p>
          <w:p w:rsidR="00B84751" w:rsidRDefault="002B7DD4" w:rsidP="00B84751">
            <w:pPr>
              <w:ind w:firstLine="6"/>
              <w:jc w:val="center"/>
              <w:rPr>
                <w:rFonts w:ascii="Arial" w:hAnsi="Arial" w:cs="Arial"/>
                <w:b/>
                <w:szCs w:val="24"/>
              </w:rPr>
            </w:pPr>
            <w:r>
              <w:rPr>
                <w:rFonts w:ascii="Arial" w:hAnsi="Arial" w:cs="Arial"/>
                <w:b/>
                <w:szCs w:val="24"/>
              </w:rPr>
              <w:t>Costs</w:t>
            </w:r>
            <w:r w:rsidR="00B84751">
              <w:rPr>
                <w:rFonts w:ascii="Arial" w:hAnsi="Arial" w:cs="Arial"/>
                <w:b/>
                <w:szCs w:val="24"/>
              </w:rPr>
              <w:t xml:space="preserve"> </w:t>
            </w:r>
            <w:r>
              <w:rPr>
                <w:rFonts w:ascii="Arial" w:hAnsi="Arial" w:cs="Arial"/>
                <w:b/>
                <w:szCs w:val="24"/>
              </w:rPr>
              <w:t xml:space="preserve">(Net of </w:t>
            </w:r>
          </w:p>
          <w:p w:rsidR="001A778A" w:rsidRPr="00B84751" w:rsidRDefault="002B7DD4" w:rsidP="00B84751">
            <w:pPr>
              <w:jc w:val="center"/>
              <w:rPr>
                <w:rFonts w:ascii="Arial" w:hAnsi="Arial" w:cs="Arial"/>
                <w:szCs w:val="24"/>
                <w:u w:val="single"/>
              </w:rPr>
            </w:pPr>
            <w:r w:rsidRPr="00B84751">
              <w:rPr>
                <w:rFonts w:ascii="Arial" w:hAnsi="Arial" w:cs="Arial"/>
                <w:b/>
                <w:szCs w:val="24"/>
                <w:u w:val="single"/>
              </w:rPr>
              <w:t>Stimulus Funding)</w:t>
            </w:r>
          </w:p>
        </w:tc>
        <w:tc>
          <w:tcPr>
            <w:tcW w:w="1800" w:type="dxa"/>
            <w:tcBorders>
              <w:top w:val="nil"/>
              <w:left w:val="nil"/>
              <w:right w:val="nil"/>
            </w:tcBorders>
            <w:vAlign w:val="bottom"/>
          </w:tcPr>
          <w:p w:rsidR="001A778A" w:rsidRPr="00895078" w:rsidRDefault="001A778A" w:rsidP="00233FB3">
            <w:pPr>
              <w:jc w:val="center"/>
              <w:rPr>
                <w:rFonts w:ascii="Arial" w:hAnsi="Arial" w:cs="Arial"/>
                <w:szCs w:val="24"/>
              </w:rPr>
            </w:pPr>
          </w:p>
          <w:p w:rsidR="001A778A" w:rsidRPr="00895078" w:rsidRDefault="001A778A" w:rsidP="00B84751">
            <w:pPr>
              <w:jc w:val="center"/>
              <w:rPr>
                <w:rFonts w:ascii="Arial" w:hAnsi="Arial" w:cs="Arial"/>
                <w:szCs w:val="24"/>
              </w:rPr>
            </w:pPr>
            <w:r w:rsidRPr="006B67BF">
              <w:rPr>
                <w:rFonts w:ascii="Arial" w:hAnsi="Arial" w:cs="Arial"/>
                <w:b/>
                <w:szCs w:val="24"/>
              </w:rPr>
              <w:t xml:space="preserve">Over/(Under) </w:t>
            </w:r>
            <w:r w:rsidRPr="00B84751">
              <w:rPr>
                <w:rFonts w:ascii="Arial" w:hAnsi="Arial" w:cs="Arial"/>
                <w:b/>
                <w:szCs w:val="24"/>
                <w:u w:val="single"/>
              </w:rPr>
              <w:t>Collections</w:t>
            </w:r>
          </w:p>
        </w:tc>
      </w:tr>
      <w:tr w:rsidR="000D0DC4" w:rsidRPr="002C61BD" w:rsidTr="00EF53B4">
        <w:trPr>
          <w:trHeight w:val="255"/>
          <w:jc w:val="center"/>
        </w:trPr>
        <w:tc>
          <w:tcPr>
            <w:tcW w:w="2268" w:type="dxa"/>
            <w:tcBorders>
              <w:left w:val="nil"/>
              <w:bottom w:val="nil"/>
              <w:right w:val="nil"/>
            </w:tcBorders>
            <w:shd w:val="clear" w:color="auto" w:fill="auto"/>
            <w:noWrap/>
            <w:vAlign w:val="bottom"/>
          </w:tcPr>
          <w:p w:rsidR="000D0DC4" w:rsidRPr="002C61BD" w:rsidRDefault="000D0DC4" w:rsidP="00233FB3">
            <w:pPr>
              <w:jc w:val="center"/>
              <w:rPr>
                <w:rFonts w:ascii="Arial" w:hAnsi="Arial" w:cs="Arial"/>
                <w:szCs w:val="24"/>
              </w:rPr>
            </w:pPr>
          </w:p>
        </w:tc>
        <w:tc>
          <w:tcPr>
            <w:tcW w:w="2408" w:type="dxa"/>
            <w:tcBorders>
              <w:left w:val="nil"/>
              <w:bottom w:val="nil"/>
              <w:right w:val="nil"/>
            </w:tcBorders>
            <w:shd w:val="clear" w:color="auto" w:fill="auto"/>
            <w:noWrap/>
            <w:vAlign w:val="bottom"/>
          </w:tcPr>
          <w:p w:rsidR="000D0DC4" w:rsidRPr="002C61BD" w:rsidRDefault="000D0DC4" w:rsidP="007F5C8C">
            <w:pPr>
              <w:jc w:val="center"/>
              <w:rPr>
                <w:rFonts w:ascii="Arial" w:hAnsi="Arial" w:cs="Arial"/>
                <w:szCs w:val="24"/>
              </w:rPr>
            </w:pPr>
            <w:r w:rsidRPr="001A778A">
              <w:rPr>
                <w:rFonts w:ascii="Arial" w:hAnsi="Arial" w:cs="Arial"/>
                <w:szCs w:val="24"/>
              </w:rPr>
              <w:t>(</w:t>
            </w:r>
            <w:r>
              <w:rPr>
                <w:rFonts w:ascii="Arial" w:hAnsi="Arial" w:cs="Arial"/>
                <w:szCs w:val="24"/>
              </w:rPr>
              <w:t>1</w:t>
            </w:r>
            <w:r w:rsidRPr="001A778A">
              <w:rPr>
                <w:rFonts w:ascii="Arial" w:hAnsi="Arial" w:cs="Arial"/>
                <w:szCs w:val="24"/>
              </w:rPr>
              <w:t>)</w:t>
            </w:r>
          </w:p>
        </w:tc>
        <w:tc>
          <w:tcPr>
            <w:tcW w:w="2412" w:type="dxa"/>
            <w:tcBorders>
              <w:left w:val="nil"/>
              <w:bottom w:val="nil"/>
              <w:right w:val="nil"/>
            </w:tcBorders>
            <w:vAlign w:val="bottom"/>
          </w:tcPr>
          <w:p w:rsidR="000D0DC4" w:rsidRPr="002C61BD" w:rsidRDefault="000D0DC4" w:rsidP="001A778A">
            <w:pPr>
              <w:jc w:val="center"/>
              <w:rPr>
                <w:rFonts w:ascii="Arial" w:hAnsi="Arial" w:cs="Arial"/>
                <w:szCs w:val="24"/>
              </w:rPr>
            </w:pPr>
            <w:r w:rsidRPr="001A778A">
              <w:rPr>
                <w:rFonts w:ascii="Arial" w:hAnsi="Arial" w:cs="Arial"/>
                <w:szCs w:val="24"/>
              </w:rPr>
              <w:t>(</w:t>
            </w:r>
            <w:r>
              <w:rPr>
                <w:rFonts w:ascii="Arial" w:hAnsi="Arial" w:cs="Arial"/>
                <w:szCs w:val="24"/>
              </w:rPr>
              <w:t>2</w:t>
            </w:r>
            <w:r w:rsidRPr="001A778A">
              <w:rPr>
                <w:rFonts w:ascii="Arial" w:hAnsi="Arial" w:cs="Arial"/>
                <w:szCs w:val="24"/>
              </w:rPr>
              <w:t>)</w:t>
            </w:r>
          </w:p>
        </w:tc>
        <w:tc>
          <w:tcPr>
            <w:tcW w:w="1800" w:type="dxa"/>
            <w:tcBorders>
              <w:left w:val="nil"/>
              <w:bottom w:val="nil"/>
              <w:right w:val="nil"/>
            </w:tcBorders>
            <w:vAlign w:val="bottom"/>
          </w:tcPr>
          <w:p w:rsidR="000D0DC4" w:rsidRDefault="000D0DC4" w:rsidP="00233FB3">
            <w:pPr>
              <w:jc w:val="center"/>
              <w:rPr>
                <w:rFonts w:ascii="Arial" w:hAnsi="Arial" w:cs="Arial"/>
                <w:szCs w:val="24"/>
              </w:rPr>
            </w:pPr>
            <w:r>
              <w:rPr>
                <w:rFonts w:ascii="Arial" w:hAnsi="Arial" w:cs="Arial"/>
                <w:szCs w:val="24"/>
              </w:rPr>
              <w:t>(3)=(1)-(2)</w:t>
            </w:r>
          </w:p>
        </w:tc>
      </w:tr>
      <w:tr w:rsidR="001A778A" w:rsidRPr="002C61BD" w:rsidTr="00EF53B4">
        <w:trPr>
          <w:trHeight w:val="255"/>
          <w:jc w:val="center"/>
        </w:trPr>
        <w:tc>
          <w:tcPr>
            <w:tcW w:w="2268" w:type="dxa"/>
            <w:tcBorders>
              <w:left w:val="nil"/>
              <w:bottom w:val="nil"/>
              <w:right w:val="nil"/>
            </w:tcBorders>
            <w:shd w:val="clear" w:color="auto" w:fill="auto"/>
            <w:noWrap/>
            <w:vAlign w:val="bottom"/>
          </w:tcPr>
          <w:p w:rsidR="001A778A" w:rsidRPr="002C61BD" w:rsidRDefault="001A778A" w:rsidP="00233FB3">
            <w:pPr>
              <w:jc w:val="center"/>
              <w:rPr>
                <w:rFonts w:ascii="Arial" w:hAnsi="Arial" w:cs="Arial"/>
                <w:szCs w:val="24"/>
              </w:rPr>
            </w:pPr>
          </w:p>
        </w:tc>
        <w:tc>
          <w:tcPr>
            <w:tcW w:w="2408" w:type="dxa"/>
            <w:tcBorders>
              <w:left w:val="nil"/>
              <w:bottom w:val="nil"/>
              <w:right w:val="nil"/>
            </w:tcBorders>
            <w:shd w:val="clear" w:color="auto" w:fill="auto"/>
            <w:noWrap/>
            <w:vAlign w:val="bottom"/>
          </w:tcPr>
          <w:p w:rsidR="001A778A" w:rsidRPr="002C61BD" w:rsidRDefault="001A778A" w:rsidP="007F5C8C">
            <w:pPr>
              <w:jc w:val="center"/>
              <w:rPr>
                <w:rFonts w:ascii="Arial" w:hAnsi="Arial" w:cs="Arial"/>
                <w:szCs w:val="24"/>
              </w:rPr>
            </w:pPr>
            <w:r w:rsidRPr="002C61BD">
              <w:rPr>
                <w:rFonts w:ascii="Arial" w:hAnsi="Arial" w:cs="Arial"/>
                <w:szCs w:val="24"/>
              </w:rPr>
              <w:t xml:space="preserve">(Note </w:t>
            </w:r>
            <w:r>
              <w:rPr>
                <w:rFonts w:ascii="Arial" w:hAnsi="Arial" w:cs="Arial"/>
                <w:szCs w:val="24"/>
              </w:rPr>
              <w:t>2</w:t>
            </w:r>
            <w:r w:rsidRPr="002C61BD">
              <w:rPr>
                <w:rFonts w:ascii="Arial" w:hAnsi="Arial" w:cs="Arial"/>
                <w:szCs w:val="24"/>
              </w:rPr>
              <w:t>)</w:t>
            </w:r>
          </w:p>
        </w:tc>
        <w:tc>
          <w:tcPr>
            <w:tcW w:w="2412" w:type="dxa"/>
            <w:tcBorders>
              <w:left w:val="nil"/>
              <w:bottom w:val="nil"/>
              <w:right w:val="nil"/>
            </w:tcBorders>
            <w:vAlign w:val="bottom"/>
          </w:tcPr>
          <w:p w:rsidR="001A778A" w:rsidRPr="002C61BD" w:rsidRDefault="001A778A" w:rsidP="001A778A">
            <w:pPr>
              <w:jc w:val="center"/>
              <w:rPr>
                <w:rFonts w:ascii="Arial" w:hAnsi="Arial" w:cs="Arial"/>
                <w:szCs w:val="24"/>
              </w:rPr>
            </w:pPr>
            <w:r w:rsidRPr="002C61BD">
              <w:rPr>
                <w:rFonts w:ascii="Arial" w:hAnsi="Arial" w:cs="Arial"/>
                <w:szCs w:val="24"/>
              </w:rPr>
              <w:t xml:space="preserve">(Note </w:t>
            </w:r>
            <w:r>
              <w:rPr>
                <w:rFonts w:ascii="Arial" w:hAnsi="Arial" w:cs="Arial"/>
                <w:szCs w:val="24"/>
              </w:rPr>
              <w:t>3</w:t>
            </w:r>
            <w:r w:rsidRPr="002C61BD">
              <w:rPr>
                <w:rFonts w:ascii="Arial" w:hAnsi="Arial" w:cs="Arial"/>
                <w:szCs w:val="24"/>
              </w:rPr>
              <w:t>)</w:t>
            </w:r>
          </w:p>
        </w:tc>
        <w:tc>
          <w:tcPr>
            <w:tcW w:w="1800" w:type="dxa"/>
            <w:tcBorders>
              <w:left w:val="nil"/>
              <w:bottom w:val="nil"/>
              <w:right w:val="nil"/>
            </w:tcBorders>
            <w:vAlign w:val="bottom"/>
          </w:tcPr>
          <w:p w:rsidR="001A778A" w:rsidRPr="002C61BD" w:rsidRDefault="001A778A" w:rsidP="00233FB3">
            <w:pPr>
              <w:jc w:val="center"/>
              <w:rPr>
                <w:rFonts w:ascii="Arial" w:hAnsi="Arial" w:cs="Arial"/>
                <w:szCs w:val="24"/>
              </w:rPr>
            </w:pPr>
            <w:r>
              <w:rPr>
                <w:rFonts w:ascii="Arial" w:hAnsi="Arial" w:cs="Arial"/>
                <w:szCs w:val="24"/>
              </w:rPr>
              <w:t>(</w:t>
            </w:r>
            <w:r w:rsidRPr="002C61BD">
              <w:rPr>
                <w:rFonts w:ascii="Arial" w:hAnsi="Arial" w:cs="Arial"/>
                <w:szCs w:val="24"/>
              </w:rPr>
              <w:t xml:space="preserve">Note </w:t>
            </w:r>
            <w:r>
              <w:rPr>
                <w:rFonts w:ascii="Arial" w:hAnsi="Arial" w:cs="Arial"/>
                <w:szCs w:val="24"/>
              </w:rPr>
              <w:t>4)</w:t>
            </w:r>
          </w:p>
        </w:tc>
      </w:tr>
      <w:tr w:rsidR="001A778A" w:rsidRPr="002C61BD" w:rsidTr="00EF53B4">
        <w:trPr>
          <w:trHeight w:val="144"/>
          <w:jc w:val="center"/>
        </w:trPr>
        <w:tc>
          <w:tcPr>
            <w:tcW w:w="2268" w:type="dxa"/>
            <w:tcBorders>
              <w:top w:val="nil"/>
              <w:left w:val="nil"/>
              <w:bottom w:val="nil"/>
              <w:right w:val="nil"/>
            </w:tcBorders>
            <w:shd w:val="clear" w:color="auto" w:fill="auto"/>
            <w:noWrap/>
            <w:vAlign w:val="bottom"/>
          </w:tcPr>
          <w:p w:rsidR="001A778A" w:rsidRPr="002C61BD" w:rsidRDefault="001A778A" w:rsidP="00233FB3">
            <w:pPr>
              <w:rPr>
                <w:rFonts w:ascii="Arial" w:hAnsi="Arial" w:cs="Arial"/>
                <w:szCs w:val="24"/>
              </w:rPr>
            </w:pPr>
          </w:p>
        </w:tc>
        <w:tc>
          <w:tcPr>
            <w:tcW w:w="2408" w:type="dxa"/>
            <w:tcBorders>
              <w:top w:val="nil"/>
              <w:left w:val="nil"/>
              <w:bottom w:val="nil"/>
              <w:right w:val="nil"/>
            </w:tcBorders>
            <w:shd w:val="clear" w:color="auto" w:fill="auto"/>
            <w:noWrap/>
            <w:vAlign w:val="bottom"/>
          </w:tcPr>
          <w:p w:rsidR="001A778A" w:rsidRPr="002C61BD" w:rsidRDefault="001A778A" w:rsidP="001A778A">
            <w:pPr>
              <w:jc w:val="center"/>
              <w:rPr>
                <w:rFonts w:ascii="Arial" w:hAnsi="Arial" w:cs="Arial"/>
                <w:szCs w:val="24"/>
              </w:rPr>
            </w:pPr>
          </w:p>
        </w:tc>
        <w:tc>
          <w:tcPr>
            <w:tcW w:w="2412" w:type="dxa"/>
            <w:tcBorders>
              <w:top w:val="nil"/>
              <w:left w:val="nil"/>
              <w:bottom w:val="nil"/>
              <w:right w:val="nil"/>
            </w:tcBorders>
            <w:vAlign w:val="bottom"/>
          </w:tcPr>
          <w:p w:rsidR="001A778A" w:rsidRPr="002C61BD" w:rsidRDefault="001A778A" w:rsidP="001A778A">
            <w:pPr>
              <w:jc w:val="center"/>
              <w:rPr>
                <w:rFonts w:ascii="Arial" w:hAnsi="Arial" w:cs="Arial"/>
                <w:szCs w:val="24"/>
              </w:rPr>
            </w:pPr>
          </w:p>
        </w:tc>
        <w:tc>
          <w:tcPr>
            <w:tcW w:w="1800" w:type="dxa"/>
            <w:tcBorders>
              <w:top w:val="nil"/>
              <w:left w:val="nil"/>
              <w:bottom w:val="nil"/>
              <w:right w:val="nil"/>
            </w:tcBorders>
          </w:tcPr>
          <w:p w:rsidR="001A778A" w:rsidRPr="002C61BD" w:rsidRDefault="001A778A" w:rsidP="001B739A">
            <w:pPr>
              <w:jc w:val="center"/>
              <w:rPr>
                <w:rFonts w:ascii="Arial" w:hAnsi="Arial" w:cs="Arial"/>
                <w:szCs w:val="24"/>
              </w:rPr>
            </w:pPr>
          </w:p>
        </w:tc>
      </w:tr>
      <w:tr w:rsidR="001A778A" w:rsidRPr="002C61BD" w:rsidTr="00EF53B4">
        <w:trPr>
          <w:trHeight w:val="288"/>
          <w:jc w:val="center"/>
        </w:trPr>
        <w:tc>
          <w:tcPr>
            <w:tcW w:w="2268" w:type="dxa"/>
            <w:tcBorders>
              <w:top w:val="nil"/>
              <w:left w:val="nil"/>
              <w:bottom w:val="nil"/>
              <w:right w:val="nil"/>
            </w:tcBorders>
            <w:shd w:val="clear" w:color="auto" w:fill="auto"/>
            <w:noWrap/>
            <w:vAlign w:val="bottom"/>
          </w:tcPr>
          <w:p w:rsidR="001A778A" w:rsidRPr="002C61BD" w:rsidRDefault="002B7DD4" w:rsidP="002538E4">
            <w:pPr>
              <w:rPr>
                <w:rFonts w:ascii="Arial" w:hAnsi="Arial" w:cs="Arial"/>
                <w:szCs w:val="24"/>
              </w:rPr>
            </w:pPr>
            <w:r>
              <w:rPr>
                <w:rFonts w:ascii="Arial" w:hAnsi="Arial" w:cs="Arial"/>
                <w:szCs w:val="24"/>
              </w:rPr>
              <w:t>R</w:t>
            </w:r>
            <w:r w:rsidR="002538E4">
              <w:rPr>
                <w:rFonts w:ascii="Arial" w:hAnsi="Arial" w:cs="Arial"/>
                <w:szCs w:val="24"/>
              </w:rPr>
              <w:t>esidential</w:t>
            </w:r>
          </w:p>
        </w:tc>
        <w:tc>
          <w:tcPr>
            <w:tcW w:w="2408" w:type="dxa"/>
            <w:tcBorders>
              <w:top w:val="nil"/>
              <w:left w:val="nil"/>
              <w:bottom w:val="nil"/>
              <w:right w:val="nil"/>
            </w:tcBorders>
            <w:shd w:val="clear" w:color="auto" w:fill="auto"/>
            <w:noWrap/>
            <w:vAlign w:val="bottom"/>
          </w:tcPr>
          <w:p w:rsidR="001A778A" w:rsidRPr="002C61BD" w:rsidRDefault="007F5C8C" w:rsidP="002B7DD4">
            <w:pPr>
              <w:jc w:val="center"/>
              <w:rPr>
                <w:rFonts w:ascii="Arial" w:hAnsi="Arial" w:cs="Arial"/>
                <w:szCs w:val="24"/>
              </w:rPr>
            </w:pPr>
            <w:r>
              <w:rPr>
                <w:rFonts w:ascii="Arial" w:hAnsi="Arial" w:cs="Arial"/>
                <w:szCs w:val="24"/>
              </w:rPr>
              <w:t xml:space="preserve">$  </w:t>
            </w:r>
            <w:r w:rsidR="002B7DD4">
              <w:rPr>
                <w:rFonts w:ascii="Arial" w:hAnsi="Arial" w:cs="Arial"/>
                <w:szCs w:val="24"/>
              </w:rPr>
              <w:t xml:space="preserve"> 5</w:t>
            </w:r>
            <w:r w:rsidR="001A778A">
              <w:rPr>
                <w:rFonts w:ascii="Arial" w:hAnsi="Arial" w:cs="Arial"/>
                <w:szCs w:val="24"/>
              </w:rPr>
              <w:t>,</w:t>
            </w:r>
            <w:r w:rsidR="002B7DD4">
              <w:rPr>
                <w:rFonts w:ascii="Arial" w:hAnsi="Arial" w:cs="Arial"/>
                <w:szCs w:val="24"/>
              </w:rPr>
              <w:t>530</w:t>
            </w:r>
            <w:r w:rsidR="001A778A">
              <w:rPr>
                <w:rFonts w:ascii="Arial" w:hAnsi="Arial" w:cs="Arial"/>
                <w:szCs w:val="24"/>
              </w:rPr>
              <w:t>,</w:t>
            </w:r>
            <w:r w:rsidR="002B7DD4">
              <w:rPr>
                <w:rFonts w:ascii="Arial" w:hAnsi="Arial" w:cs="Arial"/>
                <w:szCs w:val="24"/>
              </w:rPr>
              <w:t>330</w:t>
            </w:r>
          </w:p>
        </w:tc>
        <w:tc>
          <w:tcPr>
            <w:tcW w:w="2412" w:type="dxa"/>
            <w:tcBorders>
              <w:top w:val="nil"/>
              <w:left w:val="nil"/>
              <w:bottom w:val="nil"/>
              <w:right w:val="nil"/>
            </w:tcBorders>
            <w:vAlign w:val="bottom"/>
          </w:tcPr>
          <w:p w:rsidR="001A778A" w:rsidRPr="002C61BD" w:rsidRDefault="001A778A" w:rsidP="002B7DD4">
            <w:pPr>
              <w:jc w:val="center"/>
              <w:rPr>
                <w:rFonts w:ascii="Arial" w:hAnsi="Arial" w:cs="Arial"/>
                <w:szCs w:val="24"/>
              </w:rPr>
            </w:pPr>
            <w:r>
              <w:rPr>
                <w:rFonts w:ascii="Arial" w:hAnsi="Arial" w:cs="Arial"/>
                <w:szCs w:val="24"/>
              </w:rPr>
              <w:t xml:space="preserve">$  </w:t>
            </w:r>
            <w:r w:rsidR="002B7DD4">
              <w:rPr>
                <w:rFonts w:ascii="Arial" w:hAnsi="Arial" w:cs="Arial"/>
                <w:szCs w:val="24"/>
              </w:rPr>
              <w:t xml:space="preserve"> </w:t>
            </w:r>
            <w:r>
              <w:rPr>
                <w:rFonts w:ascii="Arial" w:hAnsi="Arial" w:cs="Arial"/>
                <w:szCs w:val="24"/>
              </w:rPr>
              <w:t>7,</w:t>
            </w:r>
            <w:r w:rsidR="002B7DD4">
              <w:rPr>
                <w:rFonts w:ascii="Arial" w:hAnsi="Arial" w:cs="Arial"/>
                <w:szCs w:val="24"/>
              </w:rPr>
              <w:t>614</w:t>
            </w:r>
            <w:r>
              <w:rPr>
                <w:rFonts w:ascii="Arial" w:hAnsi="Arial" w:cs="Arial"/>
                <w:szCs w:val="24"/>
              </w:rPr>
              <w:t>,</w:t>
            </w:r>
            <w:r w:rsidR="002B7DD4">
              <w:rPr>
                <w:rFonts w:ascii="Arial" w:hAnsi="Arial" w:cs="Arial"/>
                <w:szCs w:val="24"/>
              </w:rPr>
              <w:t>325</w:t>
            </w:r>
          </w:p>
        </w:tc>
        <w:tc>
          <w:tcPr>
            <w:tcW w:w="1800" w:type="dxa"/>
            <w:tcBorders>
              <w:top w:val="nil"/>
              <w:left w:val="nil"/>
              <w:bottom w:val="nil"/>
              <w:right w:val="nil"/>
            </w:tcBorders>
            <w:vAlign w:val="bottom"/>
          </w:tcPr>
          <w:p w:rsidR="001A778A" w:rsidRPr="002C61BD" w:rsidRDefault="00EF53B4" w:rsidP="002B7DD4">
            <w:pPr>
              <w:jc w:val="center"/>
              <w:rPr>
                <w:rFonts w:ascii="Arial" w:hAnsi="Arial" w:cs="Arial"/>
                <w:szCs w:val="24"/>
              </w:rPr>
            </w:pPr>
            <w:r>
              <w:rPr>
                <w:rFonts w:ascii="Arial" w:hAnsi="Arial" w:cs="Arial"/>
                <w:szCs w:val="24"/>
              </w:rPr>
              <w:t xml:space="preserve"> $</w:t>
            </w:r>
            <w:r w:rsidR="001A778A">
              <w:rPr>
                <w:rFonts w:ascii="Arial" w:hAnsi="Arial" w:cs="Arial"/>
                <w:szCs w:val="24"/>
              </w:rPr>
              <w:t xml:space="preserve"> </w:t>
            </w:r>
            <w:r w:rsidR="002B7DD4">
              <w:rPr>
                <w:rFonts w:ascii="Arial" w:hAnsi="Arial" w:cs="Arial"/>
                <w:szCs w:val="24"/>
              </w:rPr>
              <w:t xml:space="preserve"> (2</w:t>
            </w:r>
            <w:r w:rsidR="001A778A">
              <w:rPr>
                <w:rFonts w:ascii="Arial" w:hAnsi="Arial" w:cs="Arial"/>
                <w:szCs w:val="24"/>
              </w:rPr>
              <w:t>,</w:t>
            </w:r>
            <w:r w:rsidR="002B7DD4">
              <w:rPr>
                <w:rFonts w:ascii="Arial" w:hAnsi="Arial" w:cs="Arial"/>
                <w:szCs w:val="24"/>
              </w:rPr>
              <w:t>083</w:t>
            </w:r>
            <w:r w:rsidR="001A778A">
              <w:rPr>
                <w:rFonts w:ascii="Arial" w:hAnsi="Arial" w:cs="Arial"/>
                <w:szCs w:val="24"/>
              </w:rPr>
              <w:t>,</w:t>
            </w:r>
            <w:r w:rsidR="002B7DD4">
              <w:rPr>
                <w:rFonts w:ascii="Arial" w:hAnsi="Arial" w:cs="Arial"/>
                <w:szCs w:val="24"/>
              </w:rPr>
              <w:t>995)</w:t>
            </w:r>
          </w:p>
        </w:tc>
      </w:tr>
      <w:tr w:rsidR="001A778A" w:rsidRPr="002C61BD" w:rsidTr="00EF53B4">
        <w:trPr>
          <w:trHeight w:val="288"/>
          <w:jc w:val="center"/>
        </w:trPr>
        <w:tc>
          <w:tcPr>
            <w:tcW w:w="2268" w:type="dxa"/>
            <w:tcBorders>
              <w:top w:val="nil"/>
              <w:left w:val="nil"/>
              <w:bottom w:val="nil"/>
              <w:right w:val="nil"/>
            </w:tcBorders>
            <w:shd w:val="clear" w:color="auto" w:fill="auto"/>
            <w:noWrap/>
            <w:vAlign w:val="bottom"/>
          </w:tcPr>
          <w:p w:rsidR="001A778A" w:rsidRPr="002C61BD" w:rsidRDefault="001A778A" w:rsidP="00233FB3">
            <w:pPr>
              <w:rPr>
                <w:rFonts w:ascii="Arial" w:hAnsi="Arial" w:cs="Arial"/>
                <w:szCs w:val="24"/>
              </w:rPr>
            </w:pPr>
          </w:p>
        </w:tc>
        <w:tc>
          <w:tcPr>
            <w:tcW w:w="2408" w:type="dxa"/>
            <w:tcBorders>
              <w:top w:val="nil"/>
              <w:left w:val="nil"/>
              <w:bottom w:val="nil"/>
              <w:right w:val="nil"/>
            </w:tcBorders>
            <w:shd w:val="clear" w:color="auto" w:fill="auto"/>
            <w:noWrap/>
            <w:vAlign w:val="bottom"/>
          </w:tcPr>
          <w:p w:rsidR="001A778A" w:rsidRDefault="001A778A" w:rsidP="001A778A">
            <w:pPr>
              <w:jc w:val="center"/>
              <w:rPr>
                <w:rFonts w:ascii="Arial" w:hAnsi="Arial" w:cs="Arial"/>
                <w:szCs w:val="24"/>
              </w:rPr>
            </w:pPr>
          </w:p>
        </w:tc>
        <w:tc>
          <w:tcPr>
            <w:tcW w:w="2412" w:type="dxa"/>
            <w:tcBorders>
              <w:top w:val="nil"/>
              <w:left w:val="nil"/>
              <w:bottom w:val="nil"/>
              <w:right w:val="nil"/>
            </w:tcBorders>
            <w:vAlign w:val="bottom"/>
          </w:tcPr>
          <w:p w:rsidR="001A778A" w:rsidRDefault="001A778A" w:rsidP="001A778A">
            <w:pPr>
              <w:jc w:val="center"/>
              <w:rPr>
                <w:rFonts w:ascii="Arial" w:hAnsi="Arial" w:cs="Arial"/>
                <w:szCs w:val="24"/>
              </w:rPr>
            </w:pPr>
          </w:p>
        </w:tc>
        <w:tc>
          <w:tcPr>
            <w:tcW w:w="1800" w:type="dxa"/>
            <w:tcBorders>
              <w:top w:val="nil"/>
              <w:left w:val="nil"/>
              <w:bottom w:val="nil"/>
              <w:right w:val="nil"/>
            </w:tcBorders>
            <w:vAlign w:val="bottom"/>
          </w:tcPr>
          <w:p w:rsidR="001A778A" w:rsidRDefault="001A778A" w:rsidP="001A778A">
            <w:pPr>
              <w:jc w:val="center"/>
              <w:rPr>
                <w:rFonts w:ascii="Arial" w:hAnsi="Arial" w:cs="Arial"/>
                <w:szCs w:val="24"/>
              </w:rPr>
            </w:pPr>
          </w:p>
        </w:tc>
      </w:tr>
      <w:tr w:rsidR="001A778A" w:rsidRPr="002C61BD" w:rsidTr="00EF53B4">
        <w:trPr>
          <w:trHeight w:val="288"/>
          <w:jc w:val="center"/>
        </w:trPr>
        <w:tc>
          <w:tcPr>
            <w:tcW w:w="2268" w:type="dxa"/>
            <w:tcBorders>
              <w:top w:val="nil"/>
              <w:left w:val="nil"/>
              <w:bottom w:val="nil"/>
              <w:right w:val="nil"/>
            </w:tcBorders>
            <w:shd w:val="clear" w:color="auto" w:fill="auto"/>
            <w:noWrap/>
            <w:vAlign w:val="bottom"/>
          </w:tcPr>
          <w:p w:rsidR="001A778A" w:rsidRPr="002C61BD" w:rsidRDefault="002538E4" w:rsidP="00233FB3">
            <w:pPr>
              <w:rPr>
                <w:rFonts w:ascii="Arial" w:hAnsi="Arial" w:cs="Arial"/>
                <w:szCs w:val="24"/>
              </w:rPr>
            </w:pPr>
            <w:r>
              <w:rPr>
                <w:rFonts w:ascii="Arial" w:hAnsi="Arial" w:cs="Arial"/>
                <w:szCs w:val="24"/>
              </w:rPr>
              <w:t>Small C &amp; I</w:t>
            </w:r>
          </w:p>
        </w:tc>
        <w:tc>
          <w:tcPr>
            <w:tcW w:w="2408" w:type="dxa"/>
            <w:tcBorders>
              <w:top w:val="nil"/>
              <w:left w:val="nil"/>
              <w:bottom w:val="nil"/>
              <w:right w:val="nil"/>
            </w:tcBorders>
            <w:shd w:val="clear" w:color="auto" w:fill="auto"/>
            <w:noWrap/>
            <w:vAlign w:val="bottom"/>
          </w:tcPr>
          <w:p w:rsidR="001A778A" w:rsidRPr="002C61BD" w:rsidRDefault="001A778A" w:rsidP="002B7DD4">
            <w:pPr>
              <w:jc w:val="center"/>
              <w:rPr>
                <w:rFonts w:ascii="Arial" w:hAnsi="Arial" w:cs="Arial"/>
                <w:szCs w:val="24"/>
              </w:rPr>
            </w:pPr>
            <w:r>
              <w:rPr>
                <w:rFonts w:ascii="Arial" w:hAnsi="Arial" w:cs="Arial"/>
                <w:szCs w:val="24"/>
              </w:rPr>
              <w:t xml:space="preserve">    </w:t>
            </w:r>
            <w:r w:rsidR="002B7DD4">
              <w:rPr>
                <w:rFonts w:ascii="Arial" w:hAnsi="Arial" w:cs="Arial"/>
                <w:szCs w:val="24"/>
              </w:rPr>
              <w:t xml:space="preserve">   </w:t>
            </w:r>
            <w:r>
              <w:rPr>
                <w:rFonts w:ascii="Arial" w:hAnsi="Arial" w:cs="Arial"/>
                <w:szCs w:val="24"/>
              </w:rPr>
              <w:t>6</w:t>
            </w:r>
            <w:r w:rsidR="002B7DD4">
              <w:rPr>
                <w:rFonts w:ascii="Arial" w:hAnsi="Arial" w:cs="Arial"/>
                <w:szCs w:val="24"/>
              </w:rPr>
              <w:t>09</w:t>
            </w:r>
            <w:r>
              <w:rPr>
                <w:rFonts w:ascii="Arial" w:hAnsi="Arial" w:cs="Arial"/>
                <w:szCs w:val="24"/>
              </w:rPr>
              <w:t>,8</w:t>
            </w:r>
            <w:r w:rsidR="002B7DD4">
              <w:rPr>
                <w:rFonts w:ascii="Arial" w:hAnsi="Arial" w:cs="Arial"/>
                <w:szCs w:val="24"/>
              </w:rPr>
              <w:t>14</w:t>
            </w:r>
          </w:p>
        </w:tc>
        <w:tc>
          <w:tcPr>
            <w:tcW w:w="2412" w:type="dxa"/>
            <w:tcBorders>
              <w:top w:val="nil"/>
              <w:left w:val="nil"/>
              <w:bottom w:val="nil"/>
              <w:right w:val="nil"/>
            </w:tcBorders>
            <w:vAlign w:val="bottom"/>
          </w:tcPr>
          <w:p w:rsidR="001A778A" w:rsidRPr="002C61BD" w:rsidRDefault="000A131E" w:rsidP="002B7DD4">
            <w:pPr>
              <w:ind w:right="-253"/>
              <w:jc w:val="center"/>
              <w:rPr>
                <w:rFonts w:ascii="Arial" w:hAnsi="Arial" w:cs="Arial"/>
                <w:szCs w:val="24"/>
              </w:rPr>
            </w:pPr>
            <w:r>
              <w:rPr>
                <w:rFonts w:ascii="Arial" w:hAnsi="Arial" w:cs="Arial"/>
                <w:szCs w:val="24"/>
              </w:rPr>
              <w:t xml:space="preserve"> </w:t>
            </w:r>
            <w:r w:rsidR="002B7DD4">
              <w:rPr>
                <w:rFonts w:ascii="Arial" w:hAnsi="Arial" w:cs="Arial"/>
                <w:szCs w:val="24"/>
              </w:rPr>
              <w:t xml:space="preserve">   798</w:t>
            </w:r>
            <w:r w:rsidR="001A778A">
              <w:rPr>
                <w:rFonts w:ascii="Arial" w:hAnsi="Arial" w:cs="Arial"/>
                <w:szCs w:val="24"/>
              </w:rPr>
              <w:t>,3</w:t>
            </w:r>
            <w:r w:rsidR="002B7DD4">
              <w:rPr>
                <w:rFonts w:ascii="Arial" w:hAnsi="Arial" w:cs="Arial"/>
                <w:szCs w:val="24"/>
              </w:rPr>
              <w:t>42</w:t>
            </w:r>
          </w:p>
        </w:tc>
        <w:tc>
          <w:tcPr>
            <w:tcW w:w="1800" w:type="dxa"/>
            <w:tcBorders>
              <w:top w:val="nil"/>
              <w:left w:val="nil"/>
              <w:bottom w:val="nil"/>
              <w:right w:val="nil"/>
            </w:tcBorders>
            <w:vAlign w:val="bottom"/>
          </w:tcPr>
          <w:p w:rsidR="001A778A" w:rsidRPr="002C61BD" w:rsidRDefault="001A778A" w:rsidP="00621557">
            <w:pPr>
              <w:ind w:right="-113"/>
              <w:jc w:val="center"/>
              <w:rPr>
                <w:rFonts w:ascii="Arial" w:hAnsi="Arial" w:cs="Arial"/>
                <w:szCs w:val="24"/>
              </w:rPr>
            </w:pPr>
            <w:r>
              <w:rPr>
                <w:rFonts w:ascii="Arial" w:hAnsi="Arial" w:cs="Arial"/>
                <w:szCs w:val="24"/>
              </w:rPr>
              <w:t xml:space="preserve">   </w:t>
            </w:r>
            <w:r w:rsidR="00621557">
              <w:rPr>
                <w:rFonts w:ascii="Arial" w:hAnsi="Arial" w:cs="Arial"/>
                <w:szCs w:val="24"/>
              </w:rPr>
              <w:t xml:space="preserve">   (188,528)</w:t>
            </w:r>
          </w:p>
        </w:tc>
      </w:tr>
      <w:tr w:rsidR="001A778A" w:rsidRPr="002C61BD" w:rsidTr="00EF53B4">
        <w:trPr>
          <w:trHeight w:val="288"/>
          <w:jc w:val="center"/>
        </w:trPr>
        <w:tc>
          <w:tcPr>
            <w:tcW w:w="2268" w:type="dxa"/>
            <w:tcBorders>
              <w:top w:val="nil"/>
              <w:left w:val="nil"/>
              <w:bottom w:val="nil"/>
              <w:right w:val="nil"/>
            </w:tcBorders>
            <w:shd w:val="clear" w:color="auto" w:fill="auto"/>
            <w:noWrap/>
            <w:vAlign w:val="bottom"/>
          </w:tcPr>
          <w:p w:rsidR="001A778A" w:rsidRPr="002C61BD" w:rsidRDefault="001A778A" w:rsidP="00233FB3">
            <w:pPr>
              <w:rPr>
                <w:rFonts w:ascii="Arial" w:hAnsi="Arial" w:cs="Arial"/>
                <w:szCs w:val="24"/>
              </w:rPr>
            </w:pPr>
          </w:p>
        </w:tc>
        <w:tc>
          <w:tcPr>
            <w:tcW w:w="2408" w:type="dxa"/>
            <w:tcBorders>
              <w:top w:val="nil"/>
              <w:left w:val="nil"/>
              <w:bottom w:val="nil"/>
              <w:right w:val="nil"/>
            </w:tcBorders>
            <w:shd w:val="clear" w:color="auto" w:fill="auto"/>
            <w:noWrap/>
            <w:vAlign w:val="bottom"/>
          </w:tcPr>
          <w:p w:rsidR="001A778A" w:rsidRPr="002C61BD" w:rsidRDefault="001A778A" w:rsidP="001A778A">
            <w:pPr>
              <w:jc w:val="center"/>
              <w:rPr>
                <w:rFonts w:ascii="Arial" w:hAnsi="Arial" w:cs="Arial"/>
                <w:szCs w:val="24"/>
              </w:rPr>
            </w:pPr>
          </w:p>
        </w:tc>
        <w:tc>
          <w:tcPr>
            <w:tcW w:w="2412" w:type="dxa"/>
            <w:tcBorders>
              <w:top w:val="nil"/>
              <w:left w:val="nil"/>
              <w:bottom w:val="nil"/>
              <w:right w:val="nil"/>
            </w:tcBorders>
            <w:vAlign w:val="bottom"/>
          </w:tcPr>
          <w:p w:rsidR="001A778A" w:rsidRPr="002C61BD" w:rsidRDefault="001A778A" w:rsidP="001A778A">
            <w:pPr>
              <w:jc w:val="center"/>
              <w:rPr>
                <w:rFonts w:ascii="Arial" w:hAnsi="Arial" w:cs="Arial"/>
                <w:szCs w:val="24"/>
              </w:rPr>
            </w:pPr>
          </w:p>
        </w:tc>
        <w:tc>
          <w:tcPr>
            <w:tcW w:w="1800" w:type="dxa"/>
            <w:tcBorders>
              <w:top w:val="nil"/>
              <w:left w:val="nil"/>
              <w:bottom w:val="nil"/>
              <w:right w:val="nil"/>
            </w:tcBorders>
            <w:vAlign w:val="bottom"/>
          </w:tcPr>
          <w:p w:rsidR="001A778A" w:rsidRPr="002C61BD" w:rsidRDefault="001A778A" w:rsidP="00233FB3">
            <w:pPr>
              <w:jc w:val="center"/>
              <w:rPr>
                <w:rFonts w:ascii="Arial" w:hAnsi="Arial" w:cs="Arial"/>
                <w:szCs w:val="24"/>
              </w:rPr>
            </w:pPr>
          </w:p>
        </w:tc>
      </w:tr>
      <w:tr w:rsidR="001A778A" w:rsidRPr="002C61BD" w:rsidTr="00EF53B4">
        <w:trPr>
          <w:trHeight w:val="288"/>
          <w:jc w:val="center"/>
        </w:trPr>
        <w:tc>
          <w:tcPr>
            <w:tcW w:w="2268" w:type="dxa"/>
            <w:tcBorders>
              <w:top w:val="nil"/>
              <w:left w:val="nil"/>
              <w:bottom w:val="nil"/>
              <w:right w:val="nil"/>
            </w:tcBorders>
            <w:shd w:val="clear" w:color="auto" w:fill="auto"/>
            <w:noWrap/>
            <w:vAlign w:val="bottom"/>
          </w:tcPr>
          <w:p w:rsidR="001A778A" w:rsidRDefault="002538E4" w:rsidP="00233FB3">
            <w:pPr>
              <w:rPr>
                <w:rFonts w:ascii="Arial" w:hAnsi="Arial" w:cs="Arial"/>
                <w:szCs w:val="24"/>
              </w:rPr>
            </w:pPr>
            <w:r>
              <w:rPr>
                <w:rFonts w:ascii="Arial" w:hAnsi="Arial" w:cs="Arial"/>
                <w:szCs w:val="24"/>
              </w:rPr>
              <w:t>Large C &amp; I</w:t>
            </w:r>
          </w:p>
          <w:p w:rsidR="001A778A" w:rsidRPr="002C61BD" w:rsidRDefault="001A778A" w:rsidP="00233FB3">
            <w:pPr>
              <w:rPr>
                <w:rFonts w:ascii="Arial" w:hAnsi="Arial" w:cs="Arial"/>
                <w:szCs w:val="24"/>
              </w:rPr>
            </w:pPr>
          </w:p>
        </w:tc>
        <w:tc>
          <w:tcPr>
            <w:tcW w:w="2408" w:type="dxa"/>
            <w:tcBorders>
              <w:top w:val="nil"/>
              <w:left w:val="nil"/>
              <w:bottom w:val="nil"/>
              <w:right w:val="nil"/>
            </w:tcBorders>
            <w:shd w:val="clear" w:color="auto" w:fill="auto"/>
            <w:noWrap/>
            <w:vAlign w:val="bottom"/>
          </w:tcPr>
          <w:p w:rsidR="001A778A" w:rsidRPr="001B739A" w:rsidRDefault="001A778A" w:rsidP="001A778A">
            <w:pPr>
              <w:jc w:val="center"/>
              <w:rPr>
                <w:rFonts w:ascii="Arial" w:hAnsi="Arial" w:cs="Arial"/>
                <w:szCs w:val="24"/>
                <w:u w:val="single"/>
              </w:rPr>
            </w:pPr>
            <w:r w:rsidRPr="001B739A">
              <w:rPr>
                <w:rFonts w:ascii="Arial" w:hAnsi="Arial" w:cs="Arial"/>
                <w:szCs w:val="24"/>
                <w:u w:val="single"/>
              </w:rPr>
              <w:t xml:space="preserve">      </w:t>
            </w:r>
            <w:r w:rsidR="002B7DD4">
              <w:rPr>
                <w:rFonts w:ascii="Arial" w:hAnsi="Arial" w:cs="Arial"/>
                <w:szCs w:val="24"/>
                <w:u w:val="single"/>
              </w:rPr>
              <w:t xml:space="preserve">   </w:t>
            </w:r>
            <w:r w:rsidRPr="001B739A">
              <w:rPr>
                <w:rFonts w:ascii="Arial" w:hAnsi="Arial" w:cs="Arial"/>
                <w:szCs w:val="24"/>
                <w:u w:val="single"/>
              </w:rPr>
              <w:t>1</w:t>
            </w:r>
            <w:r w:rsidR="002B7DD4">
              <w:rPr>
                <w:rFonts w:ascii="Arial" w:hAnsi="Arial" w:cs="Arial"/>
                <w:szCs w:val="24"/>
                <w:u w:val="single"/>
              </w:rPr>
              <w:t>3</w:t>
            </w:r>
            <w:r w:rsidRPr="001B739A">
              <w:rPr>
                <w:rFonts w:ascii="Arial" w:hAnsi="Arial" w:cs="Arial"/>
                <w:szCs w:val="24"/>
                <w:u w:val="single"/>
              </w:rPr>
              <w:t>,</w:t>
            </w:r>
            <w:r w:rsidR="002B7DD4">
              <w:rPr>
                <w:rFonts w:ascii="Arial" w:hAnsi="Arial" w:cs="Arial"/>
                <w:szCs w:val="24"/>
                <w:u w:val="single"/>
              </w:rPr>
              <w:t>264</w:t>
            </w:r>
          </w:p>
          <w:p w:rsidR="001A778A" w:rsidRPr="002C61BD" w:rsidRDefault="001A778A" w:rsidP="001A778A">
            <w:pPr>
              <w:jc w:val="center"/>
              <w:rPr>
                <w:rFonts w:ascii="Arial" w:hAnsi="Arial" w:cs="Arial"/>
                <w:szCs w:val="24"/>
              </w:rPr>
            </w:pPr>
          </w:p>
        </w:tc>
        <w:tc>
          <w:tcPr>
            <w:tcW w:w="2412" w:type="dxa"/>
            <w:tcBorders>
              <w:top w:val="nil"/>
              <w:left w:val="nil"/>
              <w:bottom w:val="nil"/>
              <w:right w:val="nil"/>
            </w:tcBorders>
            <w:vAlign w:val="bottom"/>
          </w:tcPr>
          <w:p w:rsidR="001A778A" w:rsidRPr="001B739A" w:rsidRDefault="001B739A" w:rsidP="001B739A">
            <w:pPr>
              <w:ind w:right="-73"/>
              <w:jc w:val="center"/>
              <w:rPr>
                <w:rFonts w:ascii="Arial" w:hAnsi="Arial" w:cs="Arial"/>
                <w:szCs w:val="24"/>
                <w:u w:val="single"/>
              </w:rPr>
            </w:pPr>
            <w:r>
              <w:rPr>
                <w:rFonts w:ascii="Arial" w:hAnsi="Arial" w:cs="Arial"/>
                <w:szCs w:val="24"/>
                <w:u w:val="single"/>
              </w:rPr>
              <w:t xml:space="preserve"> </w:t>
            </w:r>
            <w:r w:rsidR="001A778A" w:rsidRPr="001B739A">
              <w:rPr>
                <w:rFonts w:ascii="Arial" w:hAnsi="Arial" w:cs="Arial"/>
                <w:szCs w:val="24"/>
                <w:u w:val="single"/>
              </w:rPr>
              <w:t xml:space="preserve">     </w:t>
            </w:r>
            <w:r w:rsidR="002B7DD4">
              <w:rPr>
                <w:rFonts w:ascii="Arial" w:hAnsi="Arial" w:cs="Arial"/>
                <w:szCs w:val="24"/>
                <w:u w:val="single"/>
              </w:rPr>
              <w:t xml:space="preserve">   16</w:t>
            </w:r>
            <w:r w:rsidR="001A778A" w:rsidRPr="001B739A">
              <w:rPr>
                <w:rFonts w:ascii="Arial" w:hAnsi="Arial" w:cs="Arial"/>
                <w:szCs w:val="24"/>
                <w:u w:val="single"/>
              </w:rPr>
              <w:t>,</w:t>
            </w:r>
            <w:r w:rsidR="002B7DD4">
              <w:rPr>
                <w:rFonts w:ascii="Arial" w:hAnsi="Arial" w:cs="Arial"/>
                <w:szCs w:val="24"/>
                <w:u w:val="single"/>
              </w:rPr>
              <w:t>854</w:t>
            </w:r>
          </w:p>
          <w:p w:rsidR="001A778A" w:rsidRPr="002C61BD" w:rsidRDefault="001A778A" w:rsidP="001A778A">
            <w:pPr>
              <w:ind w:right="-73"/>
              <w:jc w:val="center"/>
              <w:rPr>
                <w:rFonts w:ascii="Arial" w:hAnsi="Arial" w:cs="Arial"/>
                <w:szCs w:val="24"/>
              </w:rPr>
            </w:pPr>
          </w:p>
        </w:tc>
        <w:tc>
          <w:tcPr>
            <w:tcW w:w="1800" w:type="dxa"/>
            <w:tcBorders>
              <w:top w:val="nil"/>
              <w:left w:val="nil"/>
              <w:bottom w:val="nil"/>
              <w:right w:val="nil"/>
            </w:tcBorders>
            <w:vAlign w:val="bottom"/>
          </w:tcPr>
          <w:p w:rsidR="001A778A" w:rsidRPr="001B739A" w:rsidRDefault="001A778A" w:rsidP="00CA0112">
            <w:pPr>
              <w:jc w:val="center"/>
              <w:rPr>
                <w:rFonts w:ascii="Arial" w:hAnsi="Arial" w:cs="Arial"/>
                <w:szCs w:val="24"/>
                <w:u w:val="single"/>
              </w:rPr>
            </w:pPr>
            <w:r w:rsidRPr="001B739A">
              <w:rPr>
                <w:rFonts w:ascii="Arial" w:hAnsi="Arial" w:cs="Arial"/>
                <w:szCs w:val="24"/>
              </w:rPr>
              <w:t xml:space="preserve"> </w:t>
            </w:r>
            <w:r w:rsidRPr="00D30289">
              <w:rPr>
                <w:rFonts w:ascii="Arial" w:hAnsi="Arial" w:cs="Arial"/>
                <w:szCs w:val="24"/>
                <w:u w:val="single"/>
              </w:rPr>
              <w:t xml:space="preserve"> </w:t>
            </w:r>
            <w:r w:rsidRPr="001B739A">
              <w:rPr>
                <w:rFonts w:ascii="Arial" w:hAnsi="Arial" w:cs="Arial"/>
                <w:szCs w:val="24"/>
                <w:u w:val="single"/>
              </w:rPr>
              <w:t xml:space="preserve">       </w:t>
            </w:r>
            <w:r w:rsidR="002B7DD4">
              <w:rPr>
                <w:rFonts w:ascii="Arial" w:hAnsi="Arial" w:cs="Arial"/>
                <w:szCs w:val="24"/>
                <w:u w:val="single"/>
              </w:rPr>
              <w:t xml:space="preserve">  (3</w:t>
            </w:r>
            <w:r w:rsidRPr="001B739A">
              <w:rPr>
                <w:rFonts w:ascii="Arial" w:hAnsi="Arial" w:cs="Arial"/>
                <w:szCs w:val="24"/>
                <w:u w:val="single"/>
              </w:rPr>
              <w:t>,</w:t>
            </w:r>
            <w:r w:rsidR="002B7DD4">
              <w:rPr>
                <w:rFonts w:ascii="Arial" w:hAnsi="Arial" w:cs="Arial"/>
                <w:szCs w:val="24"/>
                <w:u w:val="single"/>
              </w:rPr>
              <w:t>59</w:t>
            </w:r>
            <w:r w:rsidR="00621557">
              <w:rPr>
                <w:rFonts w:ascii="Arial" w:hAnsi="Arial" w:cs="Arial"/>
                <w:szCs w:val="24"/>
                <w:u w:val="single"/>
              </w:rPr>
              <w:t>1</w:t>
            </w:r>
            <w:r w:rsidR="002B7DD4">
              <w:rPr>
                <w:rFonts w:ascii="Arial" w:hAnsi="Arial" w:cs="Arial"/>
                <w:szCs w:val="24"/>
                <w:u w:val="single"/>
              </w:rPr>
              <w:t>)</w:t>
            </w:r>
          </w:p>
          <w:p w:rsidR="001A778A" w:rsidRPr="002C61BD" w:rsidRDefault="001A778A" w:rsidP="00CA0112">
            <w:pPr>
              <w:jc w:val="center"/>
              <w:rPr>
                <w:rFonts w:ascii="Arial" w:hAnsi="Arial" w:cs="Arial"/>
                <w:szCs w:val="24"/>
              </w:rPr>
            </w:pPr>
          </w:p>
        </w:tc>
      </w:tr>
      <w:tr w:rsidR="001A778A" w:rsidRPr="002C61BD" w:rsidTr="00EF53B4">
        <w:trPr>
          <w:trHeight w:val="288"/>
          <w:jc w:val="center"/>
        </w:trPr>
        <w:tc>
          <w:tcPr>
            <w:tcW w:w="2268" w:type="dxa"/>
            <w:tcBorders>
              <w:top w:val="nil"/>
              <w:left w:val="nil"/>
              <w:bottom w:val="nil"/>
              <w:right w:val="nil"/>
            </w:tcBorders>
            <w:shd w:val="clear" w:color="auto" w:fill="auto"/>
            <w:noWrap/>
            <w:vAlign w:val="bottom"/>
          </w:tcPr>
          <w:p w:rsidR="001A778A" w:rsidRPr="002C61BD" w:rsidRDefault="002A40DA" w:rsidP="00233FB3">
            <w:pPr>
              <w:rPr>
                <w:rFonts w:ascii="Arial" w:hAnsi="Arial" w:cs="Arial"/>
                <w:szCs w:val="24"/>
              </w:rPr>
            </w:pPr>
            <w:r>
              <w:rPr>
                <w:rFonts w:ascii="Arial" w:hAnsi="Arial" w:cs="Arial"/>
                <w:szCs w:val="24"/>
              </w:rPr>
              <w:t xml:space="preserve">     </w:t>
            </w:r>
            <w:r w:rsidR="001A778A" w:rsidRPr="002C61BD">
              <w:rPr>
                <w:rFonts w:ascii="Arial" w:hAnsi="Arial" w:cs="Arial"/>
                <w:szCs w:val="24"/>
              </w:rPr>
              <w:t>Totals</w:t>
            </w:r>
          </w:p>
        </w:tc>
        <w:tc>
          <w:tcPr>
            <w:tcW w:w="2408" w:type="dxa"/>
            <w:tcBorders>
              <w:top w:val="nil"/>
              <w:left w:val="nil"/>
              <w:bottom w:val="nil"/>
              <w:right w:val="nil"/>
            </w:tcBorders>
            <w:shd w:val="clear" w:color="auto" w:fill="auto"/>
            <w:noWrap/>
            <w:vAlign w:val="bottom"/>
          </w:tcPr>
          <w:p w:rsidR="001A778A" w:rsidRPr="001B739A" w:rsidRDefault="001A778A" w:rsidP="00C76D58">
            <w:pPr>
              <w:jc w:val="center"/>
              <w:rPr>
                <w:rFonts w:ascii="Arial" w:hAnsi="Arial" w:cs="Arial"/>
                <w:szCs w:val="24"/>
                <w:u w:val="double"/>
              </w:rPr>
            </w:pPr>
            <w:r w:rsidRPr="001B739A">
              <w:rPr>
                <w:rFonts w:ascii="Arial" w:hAnsi="Arial" w:cs="Arial"/>
                <w:szCs w:val="24"/>
                <w:u w:val="double"/>
              </w:rPr>
              <w:t xml:space="preserve">$ </w:t>
            </w:r>
            <w:r w:rsidR="002B7DD4">
              <w:rPr>
                <w:rFonts w:ascii="Arial" w:hAnsi="Arial" w:cs="Arial"/>
                <w:szCs w:val="24"/>
                <w:u w:val="double"/>
              </w:rPr>
              <w:t xml:space="preserve">  6</w:t>
            </w:r>
            <w:r w:rsidRPr="001B739A">
              <w:rPr>
                <w:rFonts w:ascii="Arial" w:hAnsi="Arial" w:cs="Arial"/>
                <w:szCs w:val="24"/>
                <w:u w:val="double"/>
              </w:rPr>
              <w:t>,1</w:t>
            </w:r>
            <w:r w:rsidR="002B7DD4">
              <w:rPr>
                <w:rFonts w:ascii="Arial" w:hAnsi="Arial" w:cs="Arial"/>
                <w:szCs w:val="24"/>
                <w:u w:val="double"/>
              </w:rPr>
              <w:t>53</w:t>
            </w:r>
            <w:r w:rsidRPr="001B739A">
              <w:rPr>
                <w:rFonts w:ascii="Arial" w:hAnsi="Arial" w:cs="Arial"/>
                <w:szCs w:val="24"/>
                <w:u w:val="double"/>
              </w:rPr>
              <w:t>,</w:t>
            </w:r>
            <w:r w:rsidR="002B7DD4">
              <w:rPr>
                <w:rFonts w:ascii="Arial" w:hAnsi="Arial" w:cs="Arial"/>
                <w:szCs w:val="24"/>
                <w:u w:val="double"/>
              </w:rPr>
              <w:t>40</w:t>
            </w:r>
            <w:r w:rsidR="00C76D58">
              <w:rPr>
                <w:rFonts w:ascii="Arial" w:hAnsi="Arial" w:cs="Arial"/>
                <w:szCs w:val="24"/>
                <w:u w:val="double"/>
              </w:rPr>
              <w:t>7</w:t>
            </w:r>
          </w:p>
        </w:tc>
        <w:tc>
          <w:tcPr>
            <w:tcW w:w="2412" w:type="dxa"/>
            <w:tcBorders>
              <w:top w:val="nil"/>
              <w:left w:val="nil"/>
              <w:bottom w:val="nil"/>
              <w:right w:val="nil"/>
            </w:tcBorders>
            <w:vAlign w:val="bottom"/>
          </w:tcPr>
          <w:p w:rsidR="001A778A" w:rsidRPr="001B739A" w:rsidRDefault="001A778A" w:rsidP="002B7DD4">
            <w:pPr>
              <w:jc w:val="center"/>
              <w:rPr>
                <w:rFonts w:ascii="Arial" w:hAnsi="Arial" w:cs="Arial"/>
                <w:szCs w:val="24"/>
                <w:u w:val="double"/>
              </w:rPr>
            </w:pPr>
            <w:r w:rsidRPr="001B739A">
              <w:rPr>
                <w:rFonts w:ascii="Arial" w:hAnsi="Arial" w:cs="Arial"/>
                <w:szCs w:val="24"/>
                <w:u w:val="double"/>
              </w:rPr>
              <w:t>$</w:t>
            </w:r>
            <w:r w:rsidR="002B7DD4">
              <w:rPr>
                <w:rFonts w:ascii="Arial" w:hAnsi="Arial" w:cs="Arial"/>
                <w:szCs w:val="24"/>
                <w:u w:val="double"/>
              </w:rPr>
              <w:t xml:space="preserve">  8</w:t>
            </w:r>
            <w:r w:rsidRPr="001B739A">
              <w:rPr>
                <w:rFonts w:ascii="Arial" w:hAnsi="Arial" w:cs="Arial"/>
                <w:szCs w:val="24"/>
                <w:u w:val="double"/>
              </w:rPr>
              <w:t>,</w:t>
            </w:r>
            <w:r w:rsidR="002B7DD4">
              <w:rPr>
                <w:rFonts w:ascii="Arial" w:hAnsi="Arial" w:cs="Arial"/>
                <w:szCs w:val="24"/>
                <w:u w:val="double"/>
              </w:rPr>
              <w:t>429</w:t>
            </w:r>
            <w:r w:rsidRPr="001B739A">
              <w:rPr>
                <w:rFonts w:ascii="Arial" w:hAnsi="Arial" w:cs="Arial"/>
                <w:szCs w:val="24"/>
                <w:u w:val="double"/>
              </w:rPr>
              <w:t>,</w:t>
            </w:r>
            <w:r w:rsidR="002B7DD4">
              <w:rPr>
                <w:rFonts w:ascii="Arial" w:hAnsi="Arial" w:cs="Arial"/>
                <w:szCs w:val="24"/>
                <w:u w:val="double"/>
              </w:rPr>
              <w:t>521</w:t>
            </w:r>
          </w:p>
        </w:tc>
        <w:tc>
          <w:tcPr>
            <w:tcW w:w="1800" w:type="dxa"/>
            <w:tcBorders>
              <w:top w:val="nil"/>
              <w:left w:val="nil"/>
              <w:bottom w:val="nil"/>
              <w:right w:val="nil"/>
            </w:tcBorders>
            <w:vAlign w:val="bottom"/>
          </w:tcPr>
          <w:p w:rsidR="001A778A" w:rsidRPr="001B739A" w:rsidRDefault="001A778A" w:rsidP="00C76D58">
            <w:pPr>
              <w:ind w:right="-113"/>
              <w:jc w:val="center"/>
              <w:rPr>
                <w:rFonts w:ascii="Arial" w:hAnsi="Arial" w:cs="Arial"/>
                <w:szCs w:val="24"/>
                <w:u w:val="double"/>
              </w:rPr>
            </w:pPr>
            <w:r w:rsidRPr="001B739A">
              <w:rPr>
                <w:rFonts w:ascii="Arial" w:hAnsi="Arial" w:cs="Arial"/>
                <w:szCs w:val="24"/>
                <w:u w:val="double"/>
              </w:rPr>
              <w:t xml:space="preserve">$ </w:t>
            </w:r>
            <w:r w:rsidR="002B7DD4">
              <w:rPr>
                <w:rFonts w:ascii="Arial" w:hAnsi="Arial" w:cs="Arial"/>
                <w:szCs w:val="24"/>
                <w:u w:val="double"/>
              </w:rPr>
              <w:t xml:space="preserve"> (2</w:t>
            </w:r>
            <w:r w:rsidRPr="001B739A">
              <w:rPr>
                <w:rFonts w:ascii="Arial" w:hAnsi="Arial" w:cs="Arial"/>
                <w:szCs w:val="24"/>
                <w:u w:val="double"/>
              </w:rPr>
              <w:t>,</w:t>
            </w:r>
            <w:r w:rsidR="002B7DD4">
              <w:rPr>
                <w:rFonts w:ascii="Arial" w:hAnsi="Arial" w:cs="Arial"/>
                <w:szCs w:val="24"/>
                <w:u w:val="double"/>
              </w:rPr>
              <w:t>276</w:t>
            </w:r>
            <w:r w:rsidRPr="001B739A">
              <w:rPr>
                <w:rFonts w:ascii="Arial" w:hAnsi="Arial" w:cs="Arial"/>
                <w:szCs w:val="24"/>
                <w:u w:val="double"/>
              </w:rPr>
              <w:t>,</w:t>
            </w:r>
            <w:r w:rsidR="002B7DD4">
              <w:rPr>
                <w:rFonts w:ascii="Arial" w:hAnsi="Arial" w:cs="Arial"/>
                <w:szCs w:val="24"/>
                <w:u w:val="double"/>
              </w:rPr>
              <w:t>11</w:t>
            </w:r>
            <w:r w:rsidR="00C76D58">
              <w:rPr>
                <w:rFonts w:ascii="Arial" w:hAnsi="Arial" w:cs="Arial"/>
                <w:szCs w:val="24"/>
                <w:u w:val="double"/>
              </w:rPr>
              <w:t>4</w:t>
            </w:r>
            <w:r w:rsidR="002B7DD4">
              <w:rPr>
                <w:rFonts w:ascii="Arial" w:hAnsi="Arial" w:cs="Arial"/>
                <w:szCs w:val="24"/>
                <w:u w:val="double"/>
              </w:rPr>
              <w:t>)</w:t>
            </w:r>
          </w:p>
        </w:tc>
      </w:tr>
      <w:tr w:rsidR="001A778A" w:rsidRPr="002C61BD" w:rsidTr="00EF53B4">
        <w:trPr>
          <w:trHeight w:val="288"/>
          <w:jc w:val="center"/>
        </w:trPr>
        <w:tc>
          <w:tcPr>
            <w:tcW w:w="2268" w:type="dxa"/>
            <w:tcBorders>
              <w:top w:val="nil"/>
              <w:left w:val="nil"/>
              <w:bottom w:val="nil"/>
              <w:right w:val="nil"/>
            </w:tcBorders>
            <w:shd w:val="clear" w:color="auto" w:fill="auto"/>
            <w:vAlign w:val="bottom"/>
          </w:tcPr>
          <w:p w:rsidR="001A778A" w:rsidRPr="002C61BD" w:rsidRDefault="001A778A" w:rsidP="00233FB3">
            <w:pPr>
              <w:rPr>
                <w:rFonts w:ascii="Arial" w:hAnsi="Arial" w:cs="Arial"/>
                <w:szCs w:val="24"/>
              </w:rPr>
            </w:pPr>
          </w:p>
        </w:tc>
        <w:tc>
          <w:tcPr>
            <w:tcW w:w="2408" w:type="dxa"/>
            <w:tcBorders>
              <w:left w:val="nil"/>
              <w:right w:val="nil"/>
            </w:tcBorders>
            <w:shd w:val="clear" w:color="auto" w:fill="auto"/>
            <w:noWrap/>
            <w:vAlign w:val="bottom"/>
          </w:tcPr>
          <w:p w:rsidR="001A778A" w:rsidRPr="00DF7BE0" w:rsidRDefault="001A778A" w:rsidP="00233FB3">
            <w:pPr>
              <w:jc w:val="center"/>
              <w:rPr>
                <w:rFonts w:ascii="Arial" w:hAnsi="Arial" w:cs="Arial"/>
                <w:szCs w:val="24"/>
                <w:u w:val="double"/>
              </w:rPr>
            </w:pPr>
          </w:p>
        </w:tc>
        <w:tc>
          <w:tcPr>
            <w:tcW w:w="2412" w:type="dxa"/>
            <w:tcBorders>
              <w:left w:val="nil"/>
              <w:right w:val="nil"/>
            </w:tcBorders>
          </w:tcPr>
          <w:p w:rsidR="001A778A" w:rsidRPr="004714C1" w:rsidRDefault="001A778A" w:rsidP="00233FB3">
            <w:pPr>
              <w:jc w:val="center"/>
              <w:rPr>
                <w:rFonts w:ascii="Arial" w:hAnsi="Arial" w:cs="Arial"/>
                <w:szCs w:val="24"/>
                <w:highlight w:val="yellow"/>
                <w:u w:val="double"/>
              </w:rPr>
            </w:pPr>
          </w:p>
        </w:tc>
        <w:tc>
          <w:tcPr>
            <w:tcW w:w="1800" w:type="dxa"/>
            <w:tcBorders>
              <w:left w:val="nil"/>
              <w:right w:val="nil"/>
            </w:tcBorders>
            <w:vAlign w:val="bottom"/>
          </w:tcPr>
          <w:p w:rsidR="001A778A" w:rsidRPr="004714C1" w:rsidRDefault="001A778A" w:rsidP="00233FB3">
            <w:pPr>
              <w:jc w:val="center"/>
              <w:rPr>
                <w:rFonts w:ascii="Arial" w:hAnsi="Arial" w:cs="Arial"/>
                <w:szCs w:val="24"/>
                <w:highlight w:val="yellow"/>
                <w:u w:val="double"/>
              </w:rPr>
            </w:pPr>
          </w:p>
        </w:tc>
      </w:tr>
    </w:tbl>
    <w:p w:rsidR="00DE100D" w:rsidRDefault="00DE100D" w:rsidP="00CE7FE7"/>
    <w:p w:rsidR="00DE100D" w:rsidRDefault="00DE100D" w:rsidP="00CE7FE7"/>
    <w:p w:rsidR="00DE100D" w:rsidRDefault="00DE100D" w:rsidP="00142D96">
      <w:pPr>
        <w:tabs>
          <w:tab w:val="center" w:pos="4680"/>
        </w:tabs>
        <w:suppressAutoHyphens/>
        <w:ind w:firstLine="360"/>
        <w:rPr>
          <w:rFonts w:ascii="Arial" w:hAnsi="Arial" w:cs="Arial"/>
          <w:szCs w:val="24"/>
        </w:rPr>
      </w:pPr>
      <w:r w:rsidRPr="002C61BD">
        <w:rPr>
          <w:rFonts w:ascii="Arial" w:hAnsi="Arial" w:cs="Arial"/>
          <w:szCs w:val="24"/>
        </w:rPr>
        <w:t>*</w:t>
      </w:r>
      <w:r w:rsidR="00CF781B">
        <w:rPr>
          <w:rFonts w:ascii="Arial" w:hAnsi="Arial" w:cs="Arial"/>
          <w:szCs w:val="24"/>
        </w:rPr>
        <w:t xml:space="preserve"> -</w:t>
      </w:r>
      <w:r w:rsidRPr="002C61BD">
        <w:rPr>
          <w:rFonts w:ascii="Arial" w:hAnsi="Arial" w:cs="Arial"/>
          <w:szCs w:val="24"/>
        </w:rPr>
        <w:t xml:space="preserve"> </w:t>
      </w:r>
      <w:r>
        <w:rPr>
          <w:rFonts w:ascii="Arial" w:hAnsi="Arial" w:cs="Arial"/>
          <w:szCs w:val="24"/>
        </w:rPr>
        <w:t>A</w:t>
      </w:r>
      <w:r w:rsidRPr="002C61BD">
        <w:rPr>
          <w:rFonts w:ascii="Arial" w:hAnsi="Arial" w:cs="Arial"/>
          <w:szCs w:val="24"/>
        </w:rPr>
        <w:t xml:space="preserve">s </w:t>
      </w:r>
      <w:r>
        <w:rPr>
          <w:rFonts w:ascii="Arial" w:hAnsi="Arial" w:cs="Arial"/>
          <w:szCs w:val="24"/>
        </w:rPr>
        <w:t xml:space="preserve">reported to the Commission </w:t>
      </w:r>
      <w:r w:rsidRPr="002C61BD">
        <w:rPr>
          <w:rFonts w:ascii="Arial" w:hAnsi="Arial" w:cs="Arial"/>
          <w:szCs w:val="24"/>
        </w:rPr>
        <w:t xml:space="preserve">at Docket No. </w:t>
      </w:r>
      <w:proofErr w:type="gramStart"/>
      <w:r w:rsidRPr="004C7062">
        <w:rPr>
          <w:rFonts w:ascii="Arial" w:hAnsi="Arial" w:cs="Arial"/>
          <w:szCs w:val="24"/>
        </w:rPr>
        <w:t>M-201</w:t>
      </w:r>
      <w:r w:rsidR="002B7DD4" w:rsidRPr="004C7062">
        <w:rPr>
          <w:rFonts w:ascii="Arial" w:hAnsi="Arial" w:cs="Arial"/>
          <w:szCs w:val="24"/>
        </w:rPr>
        <w:t>1</w:t>
      </w:r>
      <w:r w:rsidRPr="004C7062">
        <w:rPr>
          <w:rFonts w:ascii="Arial" w:hAnsi="Arial" w:cs="Arial"/>
          <w:szCs w:val="24"/>
        </w:rPr>
        <w:t>-2</w:t>
      </w:r>
      <w:r w:rsidR="002B7DD4" w:rsidRPr="004C7062">
        <w:rPr>
          <w:rFonts w:ascii="Arial" w:hAnsi="Arial" w:cs="Arial"/>
          <w:szCs w:val="24"/>
        </w:rPr>
        <w:t>255303</w:t>
      </w:r>
      <w:r>
        <w:rPr>
          <w:rFonts w:ascii="Arial" w:hAnsi="Arial" w:cs="Arial"/>
          <w:szCs w:val="24"/>
        </w:rPr>
        <w:t>.</w:t>
      </w:r>
      <w:proofErr w:type="gramEnd"/>
    </w:p>
    <w:p w:rsidR="00DE100D" w:rsidRDefault="00DE100D" w:rsidP="00142D96">
      <w:pPr>
        <w:tabs>
          <w:tab w:val="center" w:pos="4680"/>
        </w:tabs>
        <w:suppressAutoHyphens/>
        <w:ind w:firstLine="360"/>
        <w:rPr>
          <w:rFonts w:ascii="Arial" w:hAnsi="Arial" w:cs="Arial"/>
          <w:szCs w:val="24"/>
        </w:rPr>
      </w:pPr>
    </w:p>
    <w:p w:rsidR="00E26A3A" w:rsidRDefault="00DE100D" w:rsidP="00142D96">
      <w:pPr>
        <w:tabs>
          <w:tab w:val="center" w:pos="4680"/>
        </w:tabs>
        <w:suppressAutoHyphens/>
        <w:ind w:firstLine="360"/>
        <w:rPr>
          <w:rFonts w:ascii="Arial" w:hAnsi="Arial" w:cs="Arial"/>
          <w:szCs w:val="24"/>
        </w:rPr>
      </w:pPr>
      <w:r w:rsidRPr="002C61BD">
        <w:rPr>
          <w:rFonts w:ascii="Arial" w:hAnsi="Arial" w:cs="Arial"/>
          <w:szCs w:val="24"/>
        </w:rPr>
        <w:t>Notes to the Financial Statement</w:t>
      </w:r>
      <w:r w:rsidR="00DF6156">
        <w:rPr>
          <w:rFonts w:ascii="Arial" w:hAnsi="Arial" w:cs="Arial"/>
          <w:szCs w:val="24"/>
        </w:rPr>
        <w:t>s</w:t>
      </w:r>
      <w:r w:rsidRPr="002C61BD">
        <w:rPr>
          <w:rFonts w:ascii="Arial" w:hAnsi="Arial" w:cs="Arial"/>
          <w:szCs w:val="24"/>
        </w:rPr>
        <w:t xml:space="preserve"> are an integral part of this report.</w:t>
      </w:r>
    </w:p>
    <w:p w:rsidR="00621557" w:rsidRDefault="00621557" w:rsidP="00142D96">
      <w:pPr>
        <w:tabs>
          <w:tab w:val="center" w:pos="4680"/>
        </w:tabs>
        <w:suppressAutoHyphens/>
        <w:ind w:firstLine="360"/>
        <w:rPr>
          <w:rFonts w:ascii="Arial" w:hAnsi="Arial" w:cs="Arial"/>
          <w:szCs w:val="24"/>
        </w:rPr>
      </w:pPr>
    </w:p>
    <w:p w:rsidR="00DF71F5" w:rsidRDefault="001E4AB2" w:rsidP="00142D96">
      <w:pPr>
        <w:tabs>
          <w:tab w:val="center" w:pos="4680"/>
        </w:tabs>
        <w:suppressAutoHyphens/>
        <w:ind w:firstLine="360"/>
        <w:rPr>
          <w:rFonts w:ascii="Arial" w:hAnsi="Arial" w:cs="Arial"/>
          <w:szCs w:val="24"/>
        </w:rPr>
      </w:pPr>
      <w:r>
        <w:rPr>
          <w:rFonts w:ascii="Arial" w:hAnsi="Arial" w:cs="Arial"/>
          <w:szCs w:val="24"/>
        </w:rPr>
        <w:t>Arithmetic differences are due to rounding.</w:t>
      </w:r>
    </w:p>
    <w:p w:rsidR="00DF71F5" w:rsidRDefault="00DF71F5">
      <w:pPr>
        <w:overflowPunct/>
        <w:autoSpaceDE/>
        <w:autoSpaceDN/>
        <w:adjustRightInd/>
        <w:spacing w:after="200" w:line="276" w:lineRule="auto"/>
        <w:textAlignment w:val="auto"/>
        <w:rPr>
          <w:rFonts w:ascii="Arial" w:hAnsi="Arial" w:cs="Arial"/>
          <w:szCs w:val="24"/>
        </w:rPr>
      </w:pPr>
      <w:r>
        <w:rPr>
          <w:rFonts w:ascii="Arial" w:hAnsi="Arial" w:cs="Arial"/>
          <w:szCs w:val="24"/>
        </w:rPr>
        <w:br w:type="page"/>
      </w:r>
    </w:p>
    <w:p w:rsidR="00233FB3" w:rsidRPr="001D0DB6" w:rsidRDefault="00233FB3" w:rsidP="005A4B5E">
      <w:pPr>
        <w:pStyle w:val="Heading1"/>
        <w:rPr>
          <w:rFonts w:ascii="Arial" w:hAnsi="Arial" w:cs="Arial"/>
          <w:sz w:val="26"/>
          <w:szCs w:val="26"/>
          <w:u w:val="none"/>
        </w:rPr>
      </w:pPr>
      <w:r w:rsidRPr="001D0DB6">
        <w:rPr>
          <w:rFonts w:ascii="Arial" w:hAnsi="Arial" w:cs="Arial"/>
          <w:sz w:val="26"/>
          <w:szCs w:val="26"/>
          <w:u w:val="none"/>
        </w:rPr>
        <w:lastRenderedPageBreak/>
        <w:t xml:space="preserve">PECO ENERGY COMPANY </w:t>
      </w:r>
    </w:p>
    <w:p w:rsidR="00233FB3" w:rsidRPr="001D0DB6" w:rsidRDefault="00233FB3" w:rsidP="005A4B5E">
      <w:pPr>
        <w:pStyle w:val="Heading1"/>
        <w:rPr>
          <w:rFonts w:ascii="Arial" w:hAnsi="Arial" w:cs="Arial"/>
          <w:sz w:val="26"/>
          <w:szCs w:val="26"/>
          <w:u w:val="none"/>
        </w:rPr>
      </w:pPr>
    </w:p>
    <w:p w:rsidR="004B070E" w:rsidRPr="001D0DB6" w:rsidRDefault="007E0B70" w:rsidP="004B070E">
      <w:pPr>
        <w:pStyle w:val="Heading1"/>
        <w:rPr>
          <w:rFonts w:ascii="Arial" w:hAnsi="Arial" w:cs="Arial"/>
          <w:b w:val="0"/>
          <w:sz w:val="26"/>
          <w:szCs w:val="26"/>
          <w:u w:val="none"/>
        </w:rPr>
      </w:pPr>
      <w:r w:rsidRPr="00553451">
        <w:rPr>
          <w:rFonts w:ascii="Arial" w:hAnsi="Arial" w:cs="Arial"/>
          <w:sz w:val="26"/>
          <w:szCs w:val="26"/>
          <w:u w:val="none"/>
        </w:rPr>
        <w:t>Notes to the Financial Statement</w:t>
      </w:r>
      <w:r w:rsidR="00CA741B">
        <w:rPr>
          <w:rFonts w:ascii="Arial" w:hAnsi="Arial" w:cs="Arial"/>
          <w:sz w:val="26"/>
          <w:szCs w:val="26"/>
          <w:u w:val="none"/>
        </w:rPr>
        <w:t>s</w:t>
      </w:r>
    </w:p>
    <w:p w:rsidR="004B070E" w:rsidRPr="001D0DB6" w:rsidRDefault="004B070E" w:rsidP="004B070E">
      <w:pPr>
        <w:rPr>
          <w:rFonts w:ascii="Arial" w:hAnsi="Arial" w:cs="Arial"/>
          <w:b/>
          <w:sz w:val="26"/>
          <w:szCs w:val="26"/>
          <w:u w:val="single"/>
        </w:rPr>
      </w:pPr>
    </w:p>
    <w:p w:rsidR="004B070E" w:rsidRPr="002C61BD" w:rsidRDefault="004B070E" w:rsidP="004B070E">
      <w:pPr>
        <w:tabs>
          <w:tab w:val="left" w:pos="360"/>
        </w:tabs>
        <w:jc w:val="both"/>
        <w:rPr>
          <w:rFonts w:ascii="Arial" w:hAnsi="Arial" w:cs="Arial"/>
          <w:b/>
          <w:szCs w:val="24"/>
          <w:u w:val="single"/>
        </w:rPr>
      </w:pPr>
    </w:p>
    <w:p w:rsidR="004B070E" w:rsidRPr="00E015CA" w:rsidRDefault="004B070E" w:rsidP="004B070E">
      <w:pPr>
        <w:rPr>
          <w:rFonts w:ascii="Arial" w:hAnsi="Arial" w:cs="Arial"/>
          <w:b/>
          <w:szCs w:val="24"/>
          <w:u w:val="single"/>
        </w:rPr>
      </w:pPr>
      <w:r w:rsidRPr="00E015CA">
        <w:rPr>
          <w:rFonts w:ascii="Arial" w:hAnsi="Arial" w:cs="Arial"/>
          <w:b/>
          <w:szCs w:val="24"/>
          <w:u w:val="single"/>
        </w:rPr>
        <w:t>1 - Condensed Statement</w:t>
      </w:r>
      <w:r w:rsidR="00E015CA">
        <w:rPr>
          <w:rFonts w:ascii="Arial" w:hAnsi="Arial" w:cs="Arial"/>
          <w:b/>
          <w:szCs w:val="24"/>
          <w:u w:val="single"/>
        </w:rPr>
        <w:t>s</w:t>
      </w:r>
    </w:p>
    <w:p w:rsidR="004B070E" w:rsidRPr="002C61BD" w:rsidRDefault="004B070E" w:rsidP="004B070E">
      <w:pPr>
        <w:rPr>
          <w:rFonts w:ascii="Arial" w:hAnsi="Arial" w:cs="Arial"/>
          <w:b/>
          <w:szCs w:val="24"/>
          <w:u w:val="single"/>
        </w:rPr>
      </w:pPr>
    </w:p>
    <w:p w:rsidR="004B070E" w:rsidRPr="002C61BD" w:rsidRDefault="004B070E" w:rsidP="004B070E">
      <w:pPr>
        <w:ind w:left="360"/>
        <w:rPr>
          <w:rFonts w:ascii="Arial" w:hAnsi="Arial" w:cs="Arial"/>
          <w:szCs w:val="24"/>
        </w:rPr>
      </w:pPr>
      <w:r>
        <w:rPr>
          <w:rFonts w:ascii="Arial" w:hAnsi="Arial" w:cs="Arial"/>
          <w:szCs w:val="24"/>
        </w:rPr>
        <w:t>The Statement</w:t>
      </w:r>
      <w:r w:rsidR="00E015CA">
        <w:rPr>
          <w:rFonts w:ascii="Arial" w:hAnsi="Arial" w:cs="Arial"/>
          <w:szCs w:val="24"/>
        </w:rPr>
        <w:t>s</w:t>
      </w:r>
      <w:r>
        <w:rPr>
          <w:rFonts w:ascii="Arial" w:hAnsi="Arial" w:cs="Arial"/>
          <w:szCs w:val="24"/>
        </w:rPr>
        <w:t xml:space="preserve"> of Smart Meter Cost Recovery Surcharge (SMCRS) Over</w:t>
      </w:r>
      <w:proofErr w:type="gramStart"/>
      <w:r>
        <w:rPr>
          <w:rFonts w:ascii="Arial" w:hAnsi="Arial" w:cs="Arial"/>
          <w:szCs w:val="24"/>
        </w:rPr>
        <w:t>/(</w:t>
      </w:r>
      <w:proofErr w:type="gramEnd"/>
      <w:r>
        <w:rPr>
          <w:rFonts w:ascii="Arial" w:hAnsi="Arial" w:cs="Arial"/>
          <w:szCs w:val="24"/>
        </w:rPr>
        <w:t>Under) Collect</w:t>
      </w:r>
      <w:r w:rsidR="00294CA1">
        <w:rPr>
          <w:rFonts w:ascii="Arial" w:hAnsi="Arial" w:cs="Arial"/>
          <w:szCs w:val="24"/>
        </w:rPr>
        <w:t>ions presented in this report are</w:t>
      </w:r>
      <w:r>
        <w:rPr>
          <w:rFonts w:ascii="Arial" w:hAnsi="Arial" w:cs="Arial"/>
          <w:szCs w:val="24"/>
        </w:rPr>
        <w:t xml:space="preserve"> condensed from the officially filed statement</w:t>
      </w:r>
      <w:r w:rsidR="00294CA1">
        <w:rPr>
          <w:rFonts w:ascii="Arial" w:hAnsi="Arial" w:cs="Arial"/>
          <w:szCs w:val="24"/>
        </w:rPr>
        <w:t>s</w:t>
      </w:r>
      <w:r>
        <w:rPr>
          <w:rFonts w:ascii="Arial" w:hAnsi="Arial" w:cs="Arial"/>
          <w:szCs w:val="24"/>
        </w:rPr>
        <w:t xml:space="preserve"> for the purpose of clarity.  The </w:t>
      </w:r>
      <w:r w:rsidR="00294CA1">
        <w:rPr>
          <w:rFonts w:ascii="Arial" w:hAnsi="Arial" w:cs="Arial"/>
          <w:szCs w:val="24"/>
        </w:rPr>
        <w:t>a</w:t>
      </w:r>
      <w:r>
        <w:rPr>
          <w:rFonts w:ascii="Arial" w:hAnsi="Arial" w:cs="Arial"/>
          <w:szCs w:val="24"/>
        </w:rPr>
        <w:t>udit was conducted on PECO Energy Company’s (PECO or Company) officially filed 1307(e) statement</w:t>
      </w:r>
      <w:r w:rsidR="009D5EFE">
        <w:rPr>
          <w:rFonts w:ascii="Arial" w:hAnsi="Arial" w:cs="Arial"/>
          <w:szCs w:val="24"/>
        </w:rPr>
        <w:t>s</w:t>
      </w:r>
      <w:r>
        <w:rPr>
          <w:rFonts w:ascii="Arial" w:hAnsi="Arial" w:cs="Arial"/>
          <w:szCs w:val="24"/>
        </w:rPr>
        <w:t xml:space="preserve"> submitted to the Pennsylvania Public Utility Commission (PUC or Commission) in accordance with section 1307(e)(1) of the Public Utility Code </w:t>
      </w:r>
      <w:r w:rsidR="009D5EFE">
        <w:rPr>
          <w:rFonts w:ascii="Arial" w:hAnsi="Arial" w:cs="Arial"/>
          <w:szCs w:val="24"/>
        </w:rPr>
        <w:t xml:space="preserve">on </w:t>
      </w:r>
      <w:r w:rsidRPr="006E50BF">
        <w:rPr>
          <w:rFonts w:ascii="Arial" w:hAnsi="Arial" w:cs="Arial"/>
          <w:szCs w:val="24"/>
        </w:rPr>
        <w:t xml:space="preserve">August </w:t>
      </w:r>
      <w:r w:rsidRPr="00370578">
        <w:rPr>
          <w:rFonts w:ascii="Arial" w:hAnsi="Arial" w:cs="Arial"/>
          <w:szCs w:val="24"/>
        </w:rPr>
        <w:t>1, 2013</w:t>
      </w:r>
      <w:r w:rsidR="00DB7597">
        <w:rPr>
          <w:rFonts w:ascii="Arial" w:hAnsi="Arial" w:cs="Arial"/>
          <w:szCs w:val="24"/>
        </w:rPr>
        <w:t>,</w:t>
      </w:r>
      <w:r w:rsidRPr="00370578">
        <w:rPr>
          <w:rFonts w:ascii="Arial" w:hAnsi="Arial" w:cs="Arial"/>
          <w:szCs w:val="24"/>
        </w:rPr>
        <w:t xml:space="preserve"> September 12, 2012, and September 16, 2011</w:t>
      </w:r>
      <w:r w:rsidRPr="00C358F2">
        <w:rPr>
          <w:rFonts w:ascii="Arial" w:hAnsi="Arial" w:cs="Arial"/>
          <w:szCs w:val="24"/>
        </w:rPr>
        <w:t xml:space="preserve"> </w:t>
      </w:r>
      <w:r w:rsidR="00DB7597">
        <w:rPr>
          <w:rFonts w:ascii="Arial" w:hAnsi="Arial" w:cs="Arial"/>
          <w:szCs w:val="24"/>
        </w:rPr>
        <w:t xml:space="preserve">and are available at </w:t>
      </w:r>
      <w:r w:rsidR="009D5EFE">
        <w:rPr>
          <w:rFonts w:ascii="Arial" w:hAnsi="Arial" w:cs="Arial"/>
          <w:szCs w:val="24"/>
        </w:rPr>
        <w:t>Docket No</w:t>
      </w:r>
      <w:r w:rsidR="00DB7597">
        <w:rPr>
          <w:rFonts w:ascii="Arial" w:hAnsi="Arial" w:cs="Arial"/>
          <w:szCs w:val="24"/>
        </w:rPr>
        <w:t>s</w:t>
      </w:r>
      <w:r w:rsidR="009D5EFE">
        <w:rPr>
          <w:rFonts w:ascii="Arial" w:hAnsi="Arial" w:cs="Arial"/>
          <w:szCs w:val="24"/>
        </w:rPr>
        <w:t xml:space="preserve">. </w:t>
      </w:r>
      <w:proofErr w:type="gramStart"/>
      <w:r w:rsidR="009D5EFE">
        <w:rPr>
          <w:rFonts w:ascii="Arial" w:hAnsi="Arial" w:cs="Arial"/>
          <w:szCs w:val="24"/>
        </w:rPr>
        <w:t>M-2013-2378089</w:t>
      </w:r>
      <w:r w:rsidR="00DB7597">
        <w:rPr>
          <w:rFonts w:ascii="Arial" w:hAnsi="Arial" w:cs="Arial"/>
          <w:szCs w:val="24"/>
        </w:rPr>
        <w:t xml:space="preserve"> </w:t>
      </w:r>
      <w:r w:rsidR="009D5EFE" w:rsidRPr="00370578">
        <w:rPr>
          <w:rFonts w:ascii="Arial" w:hAnsi="Arial" w:cs="Arial"/>
          <w:szCs w:val="24"/>
        </w:rPr>
        <w:t>M-2012-2317818</w:t>
      </w:r>
      <w:r w:rsidR="00DB7597">
        <w:rPr>
          <w:rFonts w:ascii="Arial" w:hAnsi="Arial" w:cs="Arial"/>
          <w:szCs w:val="24"/>
        </w:rPr>
        <w:t xml:space="preserve"> and </w:t>
      </w:r>
      <w:r w:rsidR="00DB7597" w:rsidRPr="00370578">
        <w:rPr>
          <w:rFonts w:ascii="Arial" w:hAnsi="Arial" w:cs="Arial"/>
          <w:szCs w:val="24"/>
        </w:rPr>
        <w:t>M-2011-2255303</w:t>
      </w:r>
      <w:r w:rsidR="00DB7597">
        <w:rPr>
          <w:rFonts w:ascii="Arial" w:hAnsi="Arial" w:cs="Arial"/>
          <w:szCs w:val="24"/>
        </w:rPr>
        <w:t xml:space="preserve">, respectively, </w:t>
      </w:r>
      <w:r w:rsidR="00DB7597" w:rsidRPr="00C358F2">
        <w:rPr>
          <w:rFonts w:ascii="Arial" w:hAnsi="Arial" w:cs="Arial"/>
          <w:szCs w:val="24"/>
        </w:rPr>
        <w:t xml:space="preserve">via </w:t>
      </w:r>
      <w:hyperlink r:id="rId19" w:history="1">
        <w:r w:rsidR="00DB7597" w:rsidRPr="00117653">
          <w:rPr>
            <w:rStyle w:val="Hyperlink"/>
            <w:rFonts w:ascii="Arial" w:hAnsi="Arial" w:cs="Arial"/>
            <w:szCs w:val="24"/>
          </w:rPr>
          <w:t>http://www.puc.pa.gov</w:t>
        </w:r>
      </w:hyperlink>
      <w:r w:rsidR="00DB7597" w:rsidRPr="00C358F2">
        <w:rPr>
          <w:rFonts w:ascii="Arial" w:hAnsi="Arial" w:cs="Arial"/>
          <w:szCs w:val="24"/>
        </w:rPr>
        <w:t>.</w:t>
      </w:r>
      <w:proofErr w:type="gramEnd"/>
      <w:r w:rsidR="00DB7597">
        <w:rPr>
          <w:rFonts w:ascii="Arial" w:hAnsi="Arial" w:cs="Arial"/>
          <w:szCs w:val="24"/>
        </w:rPr>
        <w:t xml:space="preserve">    </w:t>
      </w:r>
    </w:p>
    <w:p w:rsidR="004B070E" w:rsidRPr="002C61BD" w:rsidRDefault="004B070E" w:rsidP="004B070E">
      <w:pPr>
        <w:tabs>
          <w:tab w:val="left" w:pos="360"/>
        </w:tabs>
        <w:jc w:val="both"/>
        <w:rPr>
          <w:rFonts w:ascii="Arial" w:hAnsi="Arial" w:cs="Arial"/>
          <w:b/>
          <w:szCs w:val="24"/>
          <w:u w:val="single"/>
        </w:rPr>
      </w:pPr>
    </w:p>
    <w:p w:rsidR="004B070E" w:rsidRPr="00E015CA" w:rsidRDefault="004B070E" w:rsidP="004B070E">
      <w:pPr>
        <w:tabs>
          <w:tab w:val="left" w:pos="360"/>
        </w:tabs>
        <w:jc w:val="both"/>
        <w:rPr>
          <w:rFonts w:ascii="Arial" w:hAnsi="Arial" w:cs="Arial"/>
          <w:b/>
          <w:szCs w:val="24"/>
          <w:u w:val="single"/>
        </w:rPr>
      </w:pPr>
      <w:r w:rsidRPr="00E015CA">
        <w:rPr>
          <w:rFonts w:ascii="Arial" w:hAnsi="Arial" w:cs="Arial"/>
          <w:b/>
          <w:szCs w:val="24"/>
          <w:u w:val="single"/>
        </w:rPr>
        <w:t>2 -</w:t>
      </w:r>
      <w:r w:rsidRPr="00E015CA">
        <w:rPr>
          <w:rFonts w:ascii="Arial" w:hAnsi="Arial" w:cs="Arial"/>
          <w:b/>
          <w:szCs w:val="24"/>
          <w:u w:val="single"/>
        </w:rPr>
        <w:tab/>
        <w:t xml:space="preserve">SMCRS Revenues </w:t>
      </w:r>
    </w:p>
    <w:p w:rsidR="004B070E" w:rsidRPr="002C61BD" w:rsidRDefault="004B070E" w:rsidP="004B070E">
      <w:pPr>
        <w:tabs>
          <w:tab w:val="left" w:pos="360"/>
        </w:tabs>
        <w:jc w:val="both"/>
        <w:rPr>
          <w:rFonts w:ascii="Arial" w:hAnsi="Arial" w:cs="Arial"/>
          <w:b/>
          <w:szCs w:val="24"/>
          <w:u w:val="single"/>
        </w:rPr>
      </w:pPr>
    </w:p>
    <w:p w:rsidR="00624FF9" w:rsidRDefault="004B070E" w:rsidP="004B070E">
      <w:pPr>
        <w:tabs>
          <w:tab w:val="left" w:pos="360"/>
        </w:tabs>
        <w:ind w:left="360"/>
        <w:rPr>
          <w:rFonts w:ascii="Arial" w:hAnsi="Arial" w:cs="Arial"/>
          <w:szCs w:val="24"/>
        </w:rPr>
      </w:pPr>
      <w:r>
        <w:rPr>
          <w:rFonts w:ascii="Arial" w:hAnsi="Arial" w:cs="Arial"/>
          <w:szCs w:val="24"/>
        </w:rPr>
        <w:t>SMCRS</w:t>
      </w:r>
      <w:r w:rsidRPr="00D62C56">
        <w:rPr>
          <w:rFonts w:ascii="Arial" w:hAnsi="Arial" w:cs="Arial"/>
          <w:szCs w:val="24"/>
        </w:rPr>
        <w:t xml:space="preserve"> Revenues are </w:t>
      </w:r>
      <w:r w:rsidR="00624FF9" w:rsidRPr="00245FAA">
        <w:rPr>
          <w:rFonts w:ascii="Arial" w:hAnsi="Arial" w:cs="Arial"/>
          <w:szCs w:val="24"/>
        </w:rPr>
        <w:t xml:space="preserve">derived </w:t>
      </w:r>
      <w:r w:rsidR="00624FF9">
        <w:rPr>
          <w:rFonts w:ascii="Arial" w:hAnsi="Arial" w:cs="Arial"/>
          <w:szCs w:val="24"/>
        </w:rPr>
        <w:t xml:space="preserve">by multiplying the sales volumes billed during the month </w:t>
      </w:r>
      <w:r w:rsidR="00624FF9" w:rsidRPr="00982C30">
        <w:rPr>
          <w:rFonts w:ascii="Arial" w:hAnsi="Arial" w:cs="Arial"/>
          <w:szCs w:val="24"/>
        </w:rPr>
        <w:t xml:space="preserve">by the C-Factor </w:t>
      </w:r>
      <w:r w:rsidR="00624FF9">
        <w:rPr>
          <w:rFonts w:ascii="Arial" w:hAnsi="Arial" w:cs="Arial"/>
          <w:szCs w:val="24"/>
        </w:rPr>
        <w:t xml:space="preserve">(i.e., current cost factor) </w:t>
      </w:r>
      <w:r w:rsidR="00624FF9" w:rsidRPr="00982C30">
        <w:rPr>
          <w:rFonts w:ascii="Arial" w:hAnsi="Arial" w:cs="Arial"/>
          <w:szCs w:val="24"/>
        </w:rPr>
        <w:t>of the applicable S</w:t>
      </w:r>
      <w:r w:rsidR="00624FF9">
        <w:rPr>
          <w:rFonts w:ascii="Arial" w:hAnsi="Arial" w:cs="Arial"/>
          <w:szCs w:val="24"/>
        </w:rPr>
        <w:t>MCRS</w:t>
      </w:r>
      <w:r w:rsidR="00624FF9" w:rsidRPr="00982C30">
        <w:rPr>
          <w:rFonts w:ascii="Arial" w:hAnsi="Arial" w:cs="Arial"/>
          <w:szCs w:val="24"/>
        </w:rPr>
        <w:t xml:space="preserve"> rate</w:t>
      </w:r>
      <w:r w:rsidR="00624FF9">
        <w:rPr>
          <w:rFonts w:ascii="Arial" w:hAnsi="Arial" w:cs="Arial"/>
          <w:szCs w:val="24"/>
        </w:rPr>
        <w:t xml:space="preserve"> for the customers billed under the Residential Rate Schedules</w:t>
      </w:r>
      <w:r w:rsidR="00C75C78">
        <w:rPr>
          <w:rFonts w:ascii="Arial" w:hAnsi="Arial" w:cs="Arial"/>
          <w:szCs w:val="24"/>
        </w:rPr>
        <w:t xml:space="preserve">.  </w:t>
      </w:r>
      <w:r w:rsidR="00755D52">
        <w:rPr>
          <w:rFonts w:ascii="Arial" w:hAnsi="Arial" w:cs="Arial"/>
          <w:szCs w:val="24"/>
        </w:rPr>
        <w:t xml:space="preserve">SMCRS Revenues are also derived by applying a per-customer charge to all </w:t>
      </w:r>
      <w:r w:rsidR="009D3C48">
        <w:rPr>
          <w:rFonts w:ascii="Arial" w:hAnsi="Arial" w:cs="Arial"/>
          <w:szCs w:val="24"/>
        </w:rPr>
        <w:t>C</w:t>
      </w:r>
      <w:r w:rsidR="00755D52">
        <w:rPr>
          <w:rFonts w:ascii="Arial" w:hAnsi="Arial" w:cs="Arial"/>
          <w:szCs w:val="24"/>
        </w:rPr>
        <w:t xml:space="preserve">ommercial and </w:t>
      </w:r>
      <w:r w:rsidR="009D3C48">
        <w:rPr>
          <w:rFonts w:ascii="Arial" w:hAnsi="Arial" w:cs="Arial"/>
          <w:szCs w:val="24"/>
        </w:rPr>
        <w:t>I</w:t>
      </w:r>
      <w:r w:rsidR="00755D52">
        <w:rPr>
          <w:rFonts w:ascii="Arial" w:hAnsi="Arial" w:cs="Arial"/>
          <w:szCs w:val="24"/>
        </w:rPr>
        <w:t>ndustrial customers with metered service.</w:t>
      </w:r>
    </w:p>
    <w:p w:rsidR="004B070E" w:rsidRPr="002C61BD" w:rsidRDefault="004B070E" w:rsidP="004B070E">
      <w:pPr>
        <w:tabs>
          <w:tab w:val="left" w:pos="360"/>
        </w:tabs>
        <w:ind w:left="360"/>
        <w:rPr>
          <w:rFonts w:ascii="Arial" w:hAnsi="Arial" w:cs="Arial"/>
          <w:szCs w:val="24"/>
        </w:rPr>
      </w:pPr>
    </w:p>
    <w:p w:rsidR="004B070E" w:rsidRPr="00E015CA" w:rsidRDefault="004B070E" w:rsidP="004B070E">
      <w:pPr>
        <w:pStyle w:val="EndnoteText"/>
        <w:tabs>
          <w:tab w:val="left" w:pos="360"/>
        </w:tabs>
        <w:suppressAutoHyphens/>
        <w:rPr>
          <w:rFonts w:ascii="Arial" w:hAnsi="Arial" w:cs="Arial"/>
          <w:b/>
          <w:szCs w:val="24"/>
          <w:u w:val="single"/>
        </w:rPr>
      </w:pPr>
      <w:r w:rsidRPr="00E015CA">
        <w:rPr>
          <w:rFonts w:ascii="Arial" w:hAnsi="Arial" w:cs="Arial"/>
          <w:b/>
          <w:szCs w:val="24"/>
          <w:u w:val="single"/>
        </w:rPr>
        <w:t>3 -</w:t>
      </w:r>
      <w:r w:rsidRPr="00E015CA">
        <w:rPr>
          <w:rFonts w:ascii="Arial" w:hAnsi="Arial" w:cs="Arial"/>
          <w:b/>
          <w:szCs w:val="24"/>
          <w:u w:val="single"/>
        </w:rPr>
        <w:tab/>
        <w:t>SMCRS Costs</w:t>
      </w:r>
      <w:r w:rsidR="002C1992">
        <w:rPr>
          <w:rFonts w:ascii="Arial" w:hAnsi="Arial" w:cs="Arial"/>
          <w:b/>
          <w:szCs w:val="24"/>
          <w:u w:val="single"/>
        </w:rPr>
        <w:t xml:space="preserve"> (Net of Stimulus Funding)</w:t>
      </w:r>
      <w:r w:rsidRPr="00E015CA">
        <w:rPr>
          <w:rFonts w:ascii="Arial" w:hAnsi="Arial" w:cs="Arial"/>
          <w:b/>
          <w:szCs w:val="24"/>
          <w:u w:val="single"/>
        </w:rPr>
        <w:t xml:space="preserve"> </w:t>
      </w:r>
    </w:p>
    <w:p w:rsidR="004B070E" w:rsidRPr="002C61BD" w:rsidRDefault="004B070E" w:rsidP="004B070E">
      <w:pPr>
        <w:tabs>
          <w:tab w:val="left" w:pos="360"/>
        </w:tabs>
        <w:ind w:left="360"/>
        <w:rPr>
          <w:rFonts w:ascii="Arial" w:hAnsi="Arial" w:cs="Arial"/>
          <w:szCs w:val="24"/>
        </w:rPr>
      </w:pPr>
    </w:p>
    <w:p w:rsidR="00DF71F5" w:rsidRDefault="004B070E" w:rsidP="00750E57">
      <w:pPr>
        <w:tabs>
          <w:tab w:val="left" w:pos="360"/>
        </w:tabs>
        <w:ind w:left="360"/>
        <w:rPr>
          <w:rFonts w:ascii="Arial" w:hAnsi="Arial" w:cs="Arial"/>
          <w:szCs w:val="24"/>
        </w:rPr>
      </w:pPr>
      <w:r w:rsidRPr="0083785B">
        <w:rPr>
          <w:rFonts w:ascii="Arial" w:hAnsi="Arial" w:cs="Arial"/>
          <w:szCs w:val="24"/>
        </w:rPr>
        <w:t xml:space="preserve">SMCRS Costs </w:t>
      </w:r>
      <w:r w:rsidR="00876DFF">
        <w:rPr>
          <w:rFonts w:ascii="Arial" w:hAnsi="Arial" w:cs="Arial"/>
          <w:szCs w:val="24"/>
        </w:rPr>
        <w:t xml:space="preserve">(Net of Stimulus Funding) </w:t>
      </w:r>
      <w:r w:rsidRPr="0083785B">
        <w:rPr>
          <w:rFonts w:ascii="Arial" w:hAnsi="Arial" w:cs="Arial"/>
          <w:szCs w:val="24"/>
        </w:rPr>
        <w:t xml:space="preserve">are the costs incurred by the Company </w:t>
      </w:r>
      <w:r w:rsidR="00E80FC2">
        <w:rPr>
          <w:rFonts w:ascii="Arial" w:hAnsi="Arial" w:cs="Arial"/>
          <w:szCs w:val="24"/>
        </w:rPr>
        <w:t xml:space="preserve">to implement </w:t>
      </w:r>
      <w:r w:rsidRPr="0083785B">
        <w:rPr>
          <w:rFonts w:ascii="Arial" w:hAnsi="Arial" w:cs="Arial"/>
          <w:szCs w:val="24"/>
        </w:rPr>
        <w:t xml:space="preserve">the </w:t>
      </w:r>
      <w:r w:rsidR="00E80FC2">
        <w:rPr>
          <w:rFonts w:ascii="Arial" w:hAnsi="Arial" w:cs="Arial"/>
          <w:szCs w:val="24"/>
        </w:rPr>
        <w:t>c</w:t>
      </w:r>
      <w:r w:rsidRPr="0083785B">
        <w:rPr>
          <w:rFonts w:ascii="Arial" w:hAnsi="Arial" w:cs="Arial"/>
          <w:szCs w:val="24"/>
        </w:rPr>
        <w:t xml:space="preserve">ustomer </w:t>
      </w:r>
      <w:r w:rsidR="00E80FC2">
        <w:rPr>
          <w:rFonts w:ascii="Arial" w:hAnsi="Arial" w:cs="Arial"/>
          <w:szCs w:val="24"/>
        </w:rPr>
        <w:t>c</w:t>
      </w:r>
      <w:r w:rsidRPr="0083785B">
        <w:rPr>
          <w:rFonts w:ascii="Arial" w:hAnsi="Arial" w:cs="Arial"/>
          <w:szCs w:val="24"/>
        </w:rPr>
        <w:t xml:space="preserve">lass specific Smart Meter </w:t>
      </w:r>
      <w:r w:rsidR="00B22700">
        <w:rPr>
          <w:rFonts w:ascii="Arial" w:hAnsi="Arial" w:cs="Arial"/>
          <w:szCs w:val="24"/>
        </w:rPr>
        <w:t>Program</w:t>
      </w:r>
      <w:r w:rsidRPr="0083785B">
        <w:rPr>
          <w:rFonts w:ascii="Arial" w:hAnsi="Arial" w:cs="Arial"/>
          <w:szCs w:val="24"/>
        </w:rPr>
        <w:t xml:space="preserve">, </w:t>
      </w:r>
      <w:r w:rsidR="00F61BC3">
        <w:rPr>
          <w:rFonts w:ascii="Arial" w:hAnsi="Arial" w:cs="Arial"/>
          <w:szCs w:val="24"/>
        </w:rPr>
        <w:t>which i</w:t>
      </w:r>
      <w:r w:rsidRPr="0083785B">
        <w:rPr>
          <w:rFonts w:ascii="Arial" w:hAnsi="Arial" w:cs="Arial"/>
          <w:szCs w:val="24"/>
        </w:rPr>
        <w:t>nclud</w:t>
      </w:r>
      <w:r w:rsidR="00F61BC3">
        <w:rPr>
          <w:rFonts w:ascii="Arial" w:hAnsi="Arial" w:cs="Arial"/>
          <w:szCs w:val="24"/>
        </w:rPr>
        <w:t>es</w:t>
      </w:r>
      <w:r w:rsidRPr="0083785B">
        <w:rPr>
          <w:rFonts w:ascii="Arial" w:hAnsi="Arial" w:cs="Arial"/>
          <w:szCs w:val="24"/>
        </w:rPr>
        <w:t xml:space="preserve"> capital costs, depreciation expense, and other operational and maintenance expenses. </w:t>
      </w:r>
      <w:r w:rsidR="00F61BC3">
        <w:rPr>
          <w:rFonts w:ascii="Arial" w:hAnsi="Arial" w:cs="Arial"/>
          <w:szCs w:val="24"/>
        </w:rPr>
        <w:t xml:space="preserve"> </w:t>
      </w:r>
      <w:r w:rsidRPr="0083785B">
        <w:rPr>
          <w:rFonts w:ascii="Arial" w:hAnsi="Arial" w:cs="Arial"/>
          <w:szCs w:val="24"/>
        </w:rPr>
        <w:t xml:space="preserve">Customer </w:t>
      </w:r>
      <w:r w:rsidR="00E80FC2">
        <w:rPr>
          <w:rFonts w:ascii="Arial" w:hAnsi="Arial" w:cs="Arial"/>
          <w:szCs w:val="24"/>
        </w:rPr>
        <w:t>c</w:t>
      </w:r>
      <w:r w:rsidRPr="0083785B">
        <w:rPr>
          <w:rFonts w:ascii="Arial" w:hAnsi="Arial" w:cs="Arial"/>
          <w:szCs w:val="24"/>
        </w:rPr>
        <w:t>lass costs also includes an allocated portion of an</w:t>
      </w:r>
      <w:r>
        <w:rPr>
          <w:rFonts w:ascii="Arial" w:hAnsi="Arial" w:cs="Arial"/>
          <w:szCs w:val="24"/>
        </w:rPr>
        <w:t>y</w:t>
      </w:r>
      <w:r w:rsidRPr="0083785B">
        <w:rPr>
          <w:rFonts w:ascii="Arial" w:hAnsi="Arial" w:cs="Arial"/>
          <w:szCs w:val="24"/>
        </w:rPr>
        <w:t xml:space="preserve"> indirect costs incurred benefiting all customer classes</w:t>
      </w:r>
      <w:r w:rsidR="00E80FC2">
        <w:rPr>
          <w:rFonts w:ascii="Arial" w:hAnsi="Arial" w:cs="Arial"/>
          <w:szCs w:val="24"/>
        </w:rPr>
        <w:t>.</w:t>
      </w:r>
      <w:r w:rsidRPr="0083785B">
        <w:rPr>
          <w:rFonts w:ascii="Arial" w:hAnsi="Arial" w:cs="Arial"/>
          <w:szCs w:val="24"/>
        </w:rPr>
        <w:t xml:space="preserve"> </w:t>
      </w:r>
      <w:r w:rsidR="00995E8C">
        <w:rPr>
          <w:rFonts w:ascii="Arial" w:hAnsi="Arial" w:cs="Arial"/>
          <w:szCs w:val="24"/>
        </w:rPr>
        <w:t xml:space="preserve"> </w:t>
      </w:r>
      <w:r w:rsidR="00240C17">
        <w:rPr>
          <w:rFonts w:ascii="Arial" w:hAnsi="Arial" w:cs="Arial"/>
          <w:szCs w:val="24"/>
        </w:rPr>
        <w:t>Through a credit, a</w:t>
      </w:r>
      <w:r w:rsidRPr="0083785B">
        <w:rPr>
          <w:rFonts w:ascii="Arial" w:hAnsi="Arial" w:cs="Arial"/>
          <w:szCs w:val="24"/>
        </w:rPr>
        <w:t xml:space="preserve">ny </w:t>
      </w:r>
      <w:r w:rsidR="00240C17" w:rsidRPr="0083785B">
        <w:rPr>
          <w:rFonts w:ascii="Arial" w:hAnsi="Arial" w:cs="Arial"/>
          <w:szCs w:val="24"/>
        </w:rPr>
        <w:t xml:space="preserve">reductions in operating expenses or avoided capital expenditures </w:t>
      </w:r>
      <w:r w:rsidR="00240C17">
        <w:rPr>
          <w:rFonts w:ascii="Arial" w:hAnsi="Arial" w:cs="Arial"/>
          <w:szCs w:val="24"/>
        </w:rPr>
        <w:t>resulting from</w:t>
      </w:r>
      <w:r w:rsidR="00240C17" w:rsidRPr="0083785B">
        <w:rPr>
          <w:rFonts w:ascii="Arial" w:hAnsi="Arial" w:cs="Arial"/>
          <w:szCs w:val="24"/>
        </w:rPr>
        <w:t xml:space="preserve"> the </w:t>
      </w:r>
      <w:r w:rsidR="00E80FC2">
        <w:rPr>
          <w:rFonts w:ascii="Arial" w:hAnsi="Arial" w:cs="Arial"/>
          <w:szCs w:val="24"/>
        </w:rPr>
        <w:t>Smart Meter Program</w:t>
      </w:r>
      <w:r w:rsidR="00240C17">
        <w:rPr>
          <w:rFonts w:ascii="Arial" w:hAnsi="Arial" w:cs="Arial"/>
          <w:szCs w:val="24"/>
        </w:rPr>
        <w:t xml:space="preserve"> reduce</w:t>
      </w:r>
      <w:r>
        <w:rPr>
          <w:rFonts w:ascii="Arial" w:hAnsi="Arial" w:cs="Arial"/>
          <w:szCs w:val="24"/>
        </w:rPr>
        <w:t xml:space="preserve"> the applicable SM</w:t>
      </w:r>
      <w:r w:rsidR="008723EA">
        <w:rPr>
          <w:rFonts w:ascii="Arial" w:hAnsi="Arial" w:cs="Arial"/>
          <w:szCs w:val="24"/>
        </w:rPr>
        <w:t>CRS</w:t>
      </w:r>
      <w:r>
        <w:rPr>
          <w:rFonts w:ascii="Arial" w:hAnsi="Arial" w:cs="Arial"/>
          <w:szCs w:val="24"/>
        </w:rPr>
        <w:t xml:space="preserve"> Costs. </w:t>
      </w:r>
      <w:r w:rsidR="008723EA">
        <w:rPr>
          <w:rFonts w:ascii="Arial" w:hAnsi="Arial" w:cs="Arial"/>
          <w:szCs w:val="24"/>
        </w:rPr>
        <w:t xml:space="preserve"> </w:t>
      </w:r>
      <w:r w:rsidR="005A1DF6">
        <w:rPr>
          <w:rFonts w:ascii="Arial" w:hAnsi="Arial" w:cs="Arial"/>
          <w:szCs w:val="24"/>
        </w:rPr>
        <w:t xml:space="preserve">Stimulus </w:t>
      </w:r>
      <w:proofErr w:type="gramStart"/>
      <w:r w:rsidR="005A1DF6">
        <w:rPr>
          <w:rFonts w:ascii="Arial" w:hAnsi="Arial" w:cs="Arial"/>
          <w:szCs w:val="24"/>
        </w:rPr>
        <w:t>F</w:t>
      </w:r>
      <w:r>
        <w:rPr>
          <w:rFonts w:ascii="Arial" w:hAnsi="Arial" w:cs="Arial"/>
          <w:szCs w:val="24"/>
        </w:rPr>
        <w:t>unding</w:t>
      </w:r>
      <w:proofErr w:type="gramEnd"/>
      <w:r>
        <w:rPr>
          <w:rFonts w:ascii="Arial" w:hAnsi="Arial" w:cs="Arial"/>
          <w:szCs w:val="24"/>
        </w:rPr>
        <w:t xml:space="preserve"> amounts</w:t>
      </w:r>
      <w:r w:rsidR="005A1DF6">
        <w:rPr>
          <w:rFonts w:ascii="Arial" w:hAnsi="Arial" w:cs="Arial"/>
          <w:szCs w:val="24"/>
        </w:rPr>
        <w:t>,</w:t>
      </w:r>
      <w:r>
        <w:rPr>
          <w:rFonts w:ascii="Arial" w:hAnsi="Arial" w:cs="Arial"/>
          <w:szCs w:val="24"/>
        </w:rPr>
        <w:t xml:space="preserve"> provided as a grant from the Department of Energy</w:t>
      </w:r>
      <w:r w:rsidR="005A1DF6">
        <w:rPr>
          <w:rFonts w:ascii="Arial" w:hAnsi="Arial" w:cs="Arial"/>
          <w:szCs w:val="24"/>
        </w:rPr>
        <w:t>,</w:t>
      </w:r>
      <w:r>
        <w:rPr>
          <w:rFonts w:ascii="Arial" w:hAnsi="Arial" w:cs="Arial"/>
          <w:szCs w:val="24"/>
        </w:rPr>
        <w:t xml:space="preserve"> </w:t>
      </w:r>
      <w:r w:rsidR="005A1DF6">
        <w:rPr>
          <w:rFonts w:ascii="Arial" w:hAnsi="Arial" w:cs="Arial"/>
          <w:szCs w:val="24"/>
        </w:rPr>
        <w:t>are</w:t>
      </w:r>
      <w:r>
        <w:rPr>
          <w:rFonts w:ascii="Arial" w:hAnsi="Arial" w:cs="Arial"/>
          <w:szCs w:val="24"/>
        </w:rPr>
        <w:t xml:space="preserve"> also </w:t>
      </w:r>
      <w:r w:rsidRPr="0083785B">
        <w:rPr>
          <w:rFonts w:ascii="Arial" w:hAnsi="Arial" w:cs="Arial"/>
          <w:szCs w:val="24"/>
        </w:rPr>
        <w:t>deducted from</w:t>
      </w:r>
      <w:r>
        <w:rPr>
          <w:rFonts w:ascii="Arial" w:hAnsi="Arial" w:cs="Arial"/>
          <w:szCs w:val="24"/>
        </w:rPr>
        <w:t xml:space="preserve"> the</w:t>
      </w:r>
      <w:r w:rsidRPr="0083785B">
        <w:rPr>
          <w:rFonts w:ascii="Arial" w:hAnsi="Arial" w:cs="Arial"/>
          <w:szCs w:val="24"/>
        </w:rPr>
        <w:t xml:space="preserve"> </w:t>
      </w:r>
      <w:r w:rsidR="005A1DF6">
        <w:rPr>
          <w:rFonts w:ascii="Arial" w:hAnsi="Arial" w:cs="Arial"/>
          <w:szCs w:val="24"/>
        </w:rPr>
        <w:t xml:space="preserve">SMCRS </w:t>
      </w:r>
      <w:r w:rsidRPr="0083785B">
        <w:rPr>
          <w:rFonts w:ascii="Arial" w:hAnsi="Arial" w:cs="Arial"/>
          <w:szCs w:val="24"/>
        </w:rPr>
        <w:t>costs.</w:t>
      </w:r>
      <w:r>
        <w:rPr>
          <w:rFonts w:ascii="Arial" w:hAnsi="Arial" w:cs="Arial"/>
          <w:szCs w:val="24"/>
        </w:rPr>
        <w:t xml:space="preserve"> </w:t>
      </w:r>
      <w:r w:rsidR="005A1DF6">
        <w:rPr>
          <w:rFonts w:ascii="Arial" w:hAnsi="Arial" w:cs="Arial"/>
          <w:szCs w:val="24"/>
        </w:rPr>
        <w:t xml:space="preserve"> </w:t>
      </w:r>
      <w:r w:rsidR="00DF71F5">
        <w:rPr>
          <w:rFonts w:ascii="Arial" w:hAnsi="Arial" w:cs="Arial"/>
          <w:szCs w:val="24"/>
        </w:rPr>
        <w:br w:type="page"/>
      </w:r>
    </w:p>
    <w:p w:rsidR="001720D5" w:rsidRPr="001D0DB6" w:rsidRDefault="001720D5" w:rsidP="001720D5">
      <w:pPr>
        <w:pStyle w:val="Heading1"/>
        <w:rPr>
          <w:rFonts w:ascii="Arial" w:hAnsi="Arial" w:cs="Arial"/>
          <w:sz w:val="26"/>
          <w:szCs w:val="26"/>
          <w:u w:val="none"/>
        </w:rPr>
      </w:pPr>
      <w:r w:rsidRPr="001D0DB6">
        <w:rPr>
          <w:rFonts w:ascii="Arial" w:hAnsi="Arial" w:cs="Arial"/>
          <w:sz w:val="26"/>
          <w:szCs w:val="26"/>
          <w:u w:val="none"/>
        </w:rPr>
        <w:lastRenderedPageBreak/>
        <w:t xml:space="preserve">PECO ENERGY COMPANY </w:t>
      </w:r>
    </w:p>
    <w:p w:rsidR="001720D5" w:rsidRPr="001D0DB6" w:rsidRDefault="001720D5" w:rsidP="001720D5">
      <w:pPr>
        <w:pStyle w:val="Heading1"/>
        <w:rPr>
          <w:rFonts w:ascii="Arial" w:hAnsi="Arial" w:cs="Arial"/>
          <w:sz w:val="26"/>
          <w:szCs w:val="26"/>
          <w:u w:val="none"/>
        </w:rPr>
      </w:pPr>
    </w:p>
    <w:p w:rsidR="001720D5" w:rsidRDefault="001720D5" w:rsidP="001720D5">
      <w:pPr>
        <w:pStyle w:val="Heading1"/>
        <w:rPr>
          <w:rFonts w:ascii="Arial" w:hAnsi="Arial" w:cs="Arial"/>
          <w:sz w:val="26"/>
          <w:szCs w:val="26"/>
          <w:u w:val="none"/>
        </w:rPr>
      </w:pPr>
      <w:r w:rsidRPr="00553451">
        <w:rPr>
          <w:rFonts w:ascii="Arial" w:hAnsi="Arial" w:cs="Arial"/>
          <w:sz w:val="26"/>
          <w:szCs w:val="26"/>
          <w:u w:val="none"/>
        </w:rPr>
        <w:t>Notes to the Financial Statement</w:t>
      </w:r>
      <w:r w:rsidR="006947A5">
        <w:rPr>
          <w:rFonts w:ascii="Arial" w:hAnsi="Arial" w:cs="Arial"/>
          <w:sz w:val="26"/>
          <w:szCs w:val="26"/>
          <w:u w:val="none"/>
        </w:rPr>
        <w:t>s</w:t>
      </w:r>
      <w:r>
        <w:rPr>
          <w:rFonts w:ascii="Arial" w:hAnsi="Arial" w:cs="Arial"/>
          <w:sz w:val="26"/>
          <w:szCs w:val="26"/>
          <w:u w:val="none"/>
        </w:rPr>
        <w:t xml:space="preserve"> (continued)</w:t>
      </w:r>
    </w:p>
    <w:p w:rsidR="001720D5" w:rsidRPr="001720D5" w:rsidRDefault="001720D5" w:rsidP="001720D5"/>
    <w:p w:rsidR="001720D5" w:rsidRDefault="001720D5" w:rsidP="004B070E">
      <w:pPr>
        <w:tabs>
          <w:tab w:val="left" w:pos="360"/>
        </w:tabs>
        <w:jc w:val="both"/>
        <w:rPr>
          <w:rFonts w:ascii="Arial" w:hAnsi="Arial" w:cs="Arial"/>
          <w:b/>
          <w:szCs w:val="24"/>
        </w:rPr>
      </w:pPr>
    </w:p>
    <w:p w:rsidR="004B070E" w:rsidRPr="00E015CA" w:rsidRDefault="004B070E" w:rsidP="004B070E">
      <w:pPr>
        <w:tabs>
          <w:tab w:val="left" w:pos="360"/>
        </w:tabs>
        <w:jc w:val="both"/>
        <w:rPr>
          <w:rFonts w:ascii="Arial" w:hAnsi="Arial" w:cs="Arial"/>
          <w:b/>
          <w:szCs w:val="24"/>
          <w:u w:val="single"/>
        </w:rPr>
      </w:pPr>
      <w:r w:rsidRPr="00E015CA">
        <w:rPr>
          <w:rFonts w:ascii="Arial" w:hAnsi="Arial" w:cs="Arial"/>
          <w:b/>
          <w:szCs w:val="24"/>
          <w:u w:val="single"/>
        </w:rPr>
        <w:t>4 -</w:t>
      </w:r>
      <w:r w:rsidRPr="00E015CA">
        <w:rPr>
          <w:rFonts w:ascii="Arial" w:hAnsi="Arial" w:cs="Arial"/>
          <w:b/>
          <w:szCs w:val="24"/>
          <w:u w:val="single"/>
        </w:rPr>
        <w:tab/>
        <w:t>Over</w:t>
      </w:r>
      <w:proofErr w:type="gramStart"/>
      <w:r w:rsidRPr="00E015CA">
        <w:rPr>
          <w:rFonts w:ascii="Arial" w:hAnsi="Arial" w:cs="Arial"/>
          <w:b/>
          <w:szCs w:val="24"/>
          <w:u w:val="single"/>
        </w:rPr>
        <w:t>/(</w:t>
      </w:r>
      <w:proofErr w:type="gramEnd"/>
      <w:r w:rsidRPr="00E015CA">
        <w:rPr>
          <w:rFonts w:ascii="Arial" w:hAnsi="Arial" w:cs="Arial"/>
          <w:b/>
          <w:szCs w:val="24"/>
          <w:u w:val="single"/>
        </w:rPr>
        <w:t>Under) Collections</w:t>
      </w:r>
    </w:p>
    <w:p w:rsidR="004B070E" w:rsidRPr="002C61BD" w:rsidRDefault="004B070E" w:rsidP="004B070E">
      <w:pPr>
        <w:tabs>
          <w:tab w:val="left" w:pos="360"/>
        </w:tabs>
        <w:jc w:val="both"/>
        <w:rPr>
          <w:rFonts w:ascii="Arial" w:hAnsi="Arial" w:cs="Arial"/>
          <w:b/>
          <w:szCs w:val="24"/>
          <w:u w:val="single"/>
        </w:rPr>
      </w:pPr>
    </w:p>
    <w:p w:rsidR="00624FF9" w:rsidRPr="00B13816" w:rsidRDefault="004B070E" w:rsidP="00624FF9">
      <w:pPr>
        <w:pStyle w:val="EndnoteText"/>
        <w:tabs>
          <w:tab w:val="left" w:pos="-720"/>
        </w:tabs>
        <w:suppressAutoHyphens/>
        <w:ind w:left="360" w:hanging="720"/>
        <w:rPr>
          <w:rFonts w:ascii="Arial" w:hAnsi="Arial" w:cs="Arial"/>
          <w:szCs w:val="24"/>
        </w:rPr>
      </w:pPr>
      <w:r w:rsidRPr="002C61BD">
        <w:rPr>
          <w:rFonts w:ascii="Arial" w:hAnsi="Arial" w:cs="Arial"/>
          <w:szCs w:val="24"/>
        </w:rPr>
        <w:tab/>
      </w:r>
      <w:r w:rsidRPr="00F65EC6">
        <w:rPr>
          <w:rFonts w:ascii="Arial" w:hAnsi="Arial" w:cs="Arial"/>
          <w:szCs w:val="24"/>
        </w:rPr>
        <w:t>Over</w:t>
      </w:r>
      <w:proofErr w:type="gramStart"/>
      <w:r w:rsidRPr="00F65EC6">
        <w:rPr>
          <w:rFonts w:ascii="Arial" w:hAnsi="Arial" w:cs="Arial"/>
          <w:szCs w:val="24"/>
        </w:rPr>
        <w:t>/(</w:t>
      </w:r>
      <w:proofErr w:type="gramEnd"/>
      <w:r w:rsidRPr="00F65EC6">
        <w:rPr>
          <w:rFonts w:ascii="Arial" w:hAnsi="Arial" w:cs="Arial"/>
          <w:szCs w:val="24"/>
        </w:rPr>
        <w:t>Under) Collections are the differences between the SMCRS Revenues and the SMCRS Costs</w:t>
      </w:r>
      <w:r w:rsidR="00E80FC2">
        <w:rPr>
          <w:rFonts w:ascii="Arial" w:hAnsi="Arial" w:cs="Arial"/>
          <w:szCs w:val="24"/>
        </w:rPr>
        <w:t xml:space="preserve"> (Net of Stimulus Funding)</w:t>
      </w:r>
      <w:r w:rsidRPr="00F65EC6">
        <w:rPr>
          <w:rFonts w:ascii="Arial" w:hAnsi="Arial" w:cs="Arial"/>
          <w:szCs w:val="24"/>
        </w:rPr>
        <w:t xml:space="preserve">.  </w:t>
      </w:r>
      <w:r w:rsidR="00624FF9" w:rsidRPr="00B13816">
        <w:rPr>
          <w:rFonts w:ascii="Arial" w:hAnsi="Arial" w:cs="Arial"/>
          <w:szCs w:val="24"/>
        </w:rPr>
        <w:t>The resulting amount</w:t>
      </w:r>
      <w:r w:rsidR="00624FF9">
        <w:rPr>
          <w:rFonts w:ascii="Arial" w:hAnsi="Arial" w:cs="Arial"/>
          <w:szCs w:val="24"/>
        </w:rPr>
        <w:t>s</w:t>
      </w:r>
      <w:r w:rsidR="00624FF9" w:rsidRPr="00B13816">
        <w:rPr>
          <w:rFonts w:ascii="Arial" w:hAnsi="Arial" w:cs="Arial"/>
          <w:szCs w:val="24"/>
        </w:rPr>
        <w:t xml:space="preserve"> represent the portion </w:t>
      </w:r>
      <w:r w:rsidR="00624FF9">
        <w:rPr>
          <w:rFonts w:ascii="Arial" w:hAnsi="Arial" w:cs="Arial"/>
          <w:szCs w:val="24"/>
        </w:rPr>
        <w:t xml:space="preserve">of SMCRS Revenues </w:t>
      </w:r>
      <w:r w:rsidR="00624FF9" w:rsidRPr="00B13816">
        <w:rPr>
          <w:rFonts w:ascii="Arial" w:hAnsi="Arial" w:cs="Arial"/>
          <w:szCs w:val="24"/>
        </w:rPr>
        <w:t>refund</w:t>
      </w:r>
      <w:r w:rsidR="00624FF9">
        <w:rPr>
          <w:rFonts w:ascii="Arial" w:hAnsi="Arial" w:cs="Arial"/>
          <w:szCs w:val="24"/>
        </w:rPr>
        <w:t xml:space="preserve">able to </w:t>
      </w:r>
      <w:r w:rsidR="00624FF9" w:rsidRPr="00B13816">
        <w:rPr>
          <w:rFonts w:ascii="Arial" w:hAnsi="Arial" w:cs="Arial"/>
          <w:szCs w:val="24"/>
        </w:rPr>
        <w:t xml:space="preserve">or </w:t>
      </w:r>
      <w:r w:rsidR="00624FF9">
        <w:rPr>
          <w:rFonts w:ascii="Arial" w:hAnsi="Arial" w:cs="Arial"/>
          <w:szCs w:val="24"/>
        </w:rPr>
        <w:t xml:space="preserve">SMCRS Costs (Net of Stimulus Funding) recoverable </w:t>
      </w:r>
      <w:r w:rsidR="00624FF9" w:rsidRPr="00B13816">
        <w:rPr>
          <w:rFonts w:ascii="Arial" w:hAnsi="Arial" w:cs="Arial"/>
          <w:szCs w:val="24"/>
        </w:rPr>
        <w:t xml:space="preserve">from customers </w:t>
      </w:r>
      <w:r w:rsidR="00624FF9">
        <w:rPr>
          <w:rFonts w:ascii="Arial" w:hAnsi="Arial" w:cs="Arial"/>
          <w:szCs w:val="24"/>
        </w:rPr>
        <w:t xml:space="preserve">through </w:t>
      </w:r>
      <w:r w:rsidR="00624FF9" w:rsidRPr="00B13816">
        <w:rPr>
          <w:rFonts w:ascii="Arial" w:hAnsi="Arial" w:cs="Arial"/>
          <w:szCs w:val="24"/>
        </w:rPr>
        <w:t xml:space="preserve">subsequent </w:t>
      </w:r>
      <w:r w:rsidR="00624FF9">
        <w:rPr>
          <w:rFonts w:ascii="Arial" w:hAnsi="Arial" w:cs="Arial"/>
          <w:szCs w:val="24"/>
        </w:rPr>
        <w:t>SMCRS filings</w:t>
      </w:r>
      <w:r w:rsidR="00624FF9" w:rsidRPr="00B13816">
        <w:rPr>
          <w:rFonts w:ascii="Arial" w:hAnsi="Arial" w:cs="Arial"/>
          <w:szCs w:val="24"/>
        </w:rPr>
        <w:t xml:space="preserve">.  </w:t>
      </w:r>
      <w:r w:rsidR="00624FF9">
        <w:rPr>
          <w:rFonts w:ascii="Arial" w:hAnsi="Arial" w:cs="Arial"/>
          <w:szCs w:val="24"/>
        </w:rPr>
        <w:t>Interest is applied to both over and under collections.  D</w:t>
      </w:r>
      <w:r w:rsidR="00D533CE">
        <w:rPr>
          <w:rFonts w:ascii="Arial" w:hAnsi="Arial" w:cs="Arial"/>
          <w:szCs w:val="24"/>
        </w:rPr>
        <w:t>ifferences arise for three</w:t>
      </w:r>
      <w:r w:rsidR="00624FF9" w:rsidRPr="00B13816">
        <w:rPr>
          <w:rFonts w:ascii="Arial" w:hAnsi="Arial" w:cs="Arial"/>
          <w:szCs w:val="24"/>
        </w:rPr>
        <w:t xml:space="preserve"> primary reasons:</w:t>
      </w:r>
    </w:p>
    <w:p w:rsidR="004B070E" w:rsidRPr="00F65EC6" w:rsidRDefault="004B070E" w:rsidP="004B070E">
      <w:pPr>
        <w:pStyle w:val="EndnoteText"/>
        <w:tabs>
          <w:tab w:val="left" w:pos="-720"/>
        </w:tabs>
        <w:suppressAutoHyphens/>
        <w:ind w:left="360" w:hanging="720"/>
        <w:rPr>
          <w:rFonts w:ascii="Arial" w:hAnsi="Arial" w:cs="Arial"/>
          <w:szCs w:val="24"/>
        </w:rPr>
      </w:pPr>
    </w:p>
    <w:p w:rsidR="004B070E" w:rsidRPr="00F65EC6" w:rsidRDefault="004B070E" w:rsidP="000940DD">
      <w:pPr>
        <w:pStyle w:val="EndnoteText"/>
        <w:numPr>
          <w:ilvl w:val="0"/>
          <w:numId w:val="1"/>
        </w:numPr>
        <w:tabs>
          <w:tab w:val="left" w:pos="-720"/>
          <w:tab w:val="left" w:pos="1080"/>
        </w:tabs>
        <w:suppressAutoHyphens/>
        <w:ind w:left="1080"/>
        <w:textAlignment w:val="auto"/>
        <w:rPr>
          <w:rFonts w:ascii="Arial" w:hAnsi="Arial" w:cs="Arial"/>
          <w:szCs w:val="24"/>
        </w:rPr>
      </w:pPr>
      <w:r w:rsidRPr="00F65EC6">
        <w:rPr>
          <w:rFonts w:ascii="Arial" w:hAnsi="Arial" w:cs="Arial"/>
          <w:szCs w:val="24"/>
        </w:rPr>
        <w:t>Variations between the actual month</w:t>
      </w:r>
      <w:r w:rsidR="00624FF9">
        <w:rPr>
          <w:rFonts w:ascii="Arial" w:hAnsi="Arial" w:cs="Arial"/>
          <w:szCs w:val="24"/>
        </w:rPr>
        <w:t xml:space="preserve">ly volumes </w:t>
      </w:r>
      <w:r w:rsidRPr="00F65EC6">
        <w:rPr>
          <w:rFonts w:ascii="Arial" w:hAnsi="Arial" w:cs="Arial"/>
          <w:szCs w:val="24"/>
        </w:rPr>
        <w:t xml:space="preserve">billed to customers and the estimates used to determine the </w:t>
      </w:r>
      <w:r w:rsidR="00D533CE">
        <w:rPr>
          <w:rFonts w:ascii="Arial" w:hAnsi="Arial" w:cs="Arial"/>
          <w:szCs w:val="24"/>
        </w:rPr>
        <w:t xml:space="preserve">Residential </w:t>
      </w:r>
      <w:r w:rsidRPr="00F65EC6">
        <w:rPr>
          <w:rFonts w:ascii="Arial" w:hAnsi="Arial" w:cs="Arial"/>
          <w:szCs w:val="24"/>
        </w:rPr>
        <w:t>SMCRS rates.</w:t>
      </w:r>
    </w:p>
    <w:p w:rsidR="00FC73E2" w:rsidRPr="00F65EC6" w:rsidRDefault="00FC73E2" w:rsidP="000940DD">
      <w:pPr>
        <w:pStyle w:val="EndnoteText"/>
        <w:tabs>
          <w:tab w:val="left" w:pos="-720"/>
          <w:tab w:val="left" w:pos="1080"/>
        </w:tabs>
        <w:suppressAutoHyphens/>
        <w:ind w:left="1080" w:hanging="360"/>
        <w:rPr>
          <w:rFonts w:ascii="Arial" w:hAnsi="Arial" w:cs="Arial"/>
          <w:szCs w:val="24"/>
        </w:rPr>
      </w:pPr>
    </w:p>
    <w:p w:rsidR="00FC73E2" w:rsidRPr="00F65EC6" w:rsidRDefault="00FC73E2" w:rsidP="000940DD">
      <w:pPr>
        <w:pStyle w:val="EndnoteText"/>
        <w:numPr>
          <w:ilvl w:val="0"/>
          <w:numId w:val="1"/>
        </w:numPr>
        <w:tabs>
          <w:tab w:val="left" w:pos="-720"/>
          <w:tab w:val="left" w:pos="1080"/>
        </w:tabs>
        <w:suppressAutoHyphens/>
        <w:ind w:left="1080"/>
        <w:textAlignment w:val="auto"/>
        <w:rPr>
          <w:rFonts w:ascii="Arial" w:hAnsi="Arial" w:cs="Arial"/>
          <w:szCs w:val="24"/>
        </w:rPr>
      </w:pPr>
      <w:r w:rsidRPr="00F65EC6">
        <w:rPr>
          <w:rFonts w:ascii="Arial" w:hAnsi="Arial" w:cs="Arial"/>
          <w:szCs w:val="24"/>
        </w:rPr>
        <w:t xml:space="preserve">Variations between the actual </w:t>
      </w:r>
      <w:r>
        <w:rPr>
          <w:rFonts w:ascii="Arial" w:hAnsi="Arial" w:cs="Arial"/>
          <w:szCs w:val="24"/>
        </w:rPr>
        <w:t>number of customer</w:t>
      </w:r>
      <w:r w:rsidR="009D3C48">
        <w:rPr>
          <w:rFonts w:ascii="Arial" w:hAnsi="Arial" w:cs="Arial"/>
          <w:szCs w:val="24"/>
        </w:rPr>
        <w:t xml:space="preserve">s with </w:t>
      </w:r>
      <w:r>
        <w:rPr>
          <w:rFonts w:ascii="Arial" w:hAnsi="Arial" w:cs="Arial"/>
          <w:szCs w:val="24"/>
        </w:rPr>
        <w:t>meter</w:t>
      </w:r>
      <w:r w:rsidR="009D3C48">
        <w:rPr>
          <w:rFonts w:ascii="Arial" w:hAnsi="Arial" w:cs="Arial"/>
          <w:szCs w:val="24"/>
        </w:rPr>
        <w:t>ed service</w:t>
      </w:r>
      <w:r>
        <w:rPr>
          <w:rFonts w:ascii="Arial" w:hAnsi="Arial" w:cs="Arial"/>
          <w:szCs w:val="24"/>
        </w:rPr>
        <w:t xml:space="preserve"> and the </w:t>
      </w:r>
      <w:r w:rsidR="009D3C48">
        <w:rPr>
          <w:rFonts w:ascii="Arial" w:hAnsi="Arial" w:cs="Arial"/>
          <w:szCs w:val="24"/>
        </w:rPr>
        <w:t xml:space="preserve">estimates used to </w:t>
      </w:r>
      <w:r w:rsidRPr="00F65EC6">
        <w:rPr>
          <w:rFonts w:ascii="Arial" w:hAnsi="Arial" w:cs="Arial"/>
          <w:szCs w:val="24"/>
        </w:rPr>
        <w:t xml:space="preserve">determine the </w:t>
      </w:r>
      <w:r w:rsidR="009D3C48">
        <w:rPr>
          <w:rFonts w:ascii="Arial" w:hAnsi="Arial" w:cs="Arial"/>
          <w:szCs w:val="24"/>
        </w:rPr>
        <w:t xml:space="preserve">Commercial and Industrial </w:t>
      </w:r>
      <w:r w:rsidRPr="00F65EC6">
        <w:rPr>
          <w:rFonts w:ascii="Arial" w:hAnsi="Arial" w:cs="Arial"/>
          <w:szCs w:val="24"/>
        </w:rPr>
        <w:t>SMCRS rates.</w:t>
      </w:r>
    </w:p>
    <w:p w:rsidR="004B070E" w:rsidRPr="00F65EC6" w:rsidRDefault="004B070E" w:rsidP="000940DD">
      <w:pPr>
        <w:tabs>
          <w:tab w:val="left" w:pos="1080"/>
        </w:tabs>
        <w:ind w:left="1080" w:hanging="360"/>
        <w:rPr>
          <w:rFonts w:ascii="Arial" w:hAnsi="Arial" w:cs="Arial"/>
        </w:rPr>
      </w:pPr>
    </w:p>
    <w:p w:rsidR="00CB7699" w:rsidRPr="00BC486E" w:rsidRDefault="004B070E" w:rsidP="000940DD">
      <w:pPr>
        <w:pStyle w:val="ListParagraph"/>
        <w:numPr>
          <w:ilvl w:val="0"/>
          <w:numId w:val="1"/>
        </w:numPr>
        <w:tabs>
          <w:tab w:val="left" w:pos="1080"/>
        </w:tabs>
        <w:ind w:left="1080"/>
        <w:rPr>
          <w:rFonts w:ascii="Arial" w:hAnsi="Arial" w:cs="Arial"/>
          <w:szCs w:val="24"/>
        </w:rPr>
        <w:sectPr w:rsidR="00CB7699" w:rsidRPr="00BC486E" w:rsidSect="00DF71F5">
          <w:headerReference w:type="even" r:id="rId20"/>
          <w:headerReference w:type="default" r:id="rId21"/>
          <w:headerReference w:type="first" r:id="rId22"/>
          <w:footerReference w:type="first" r:id="rId23"/>
          <w:endnotePr>
            <w:numFmt w:val="decimal"/>
          </w:endnotePr>
          <w:pgSz w:w="12240" w:h="15840" w:code="1"/>
          <w:pgMar w:top="1440" w:right="1440" w:bottom="1440" w:left="1440" w:header="0" w:footer="720" w:gutter="0"/>
          <w:pgNumType w:fmt="numberInDash" w:start="2"/>
          <w:cols w:space="720"/>
          <w:noEndnote/>
          <w:titlePg/>
          <w:docGrid w:linePitch="326"/>
        </w:sectPr>
      </w:pPr>
      <w:r w:rsidRPr="00BC486E">
        <w:rPr>
          <w:rFonts w:ascii="Arial" w:hAnsi="Arial" w:cs="Arial"/>
          <w:szCs w:val="24"/>
        </w:rPr>
        <w:t>Variations between actual S</w:t>
      </w:r>
      <w:r w:rsidR="00BC486E" w:rsidRPr="00BC486E">
        <w:rPr>
          <w:rFonts w:ascii="Arial" w:hAnsi="Arial" w:cs="Arial"/>
          <w:szCs w:val="24"/>
        </w:rPr>
        <w:t>MCRS</w:t>
      </w:r>
      <w:r w:rsidRPr="00BC486E">
        <w:rPr>
          <w:rFonts w:ascii="Arial" w:hAnsi="Arial" w:cs="Arial"/>
          <w:szCs w:val="24"/>
        </w:rPr>
        <w:t xml:space="preserve"> </w:t>
      </w:r>
      <w:r w:rsidR="00BC486E" w:rsidRPr="00BC486E">
        <w:rPr>
          <w:rFonts w:ascii="Arial" w:hAnsi="Arial" w:cs="Arial"/>
          <w:szCs w:val="24"/>
        </w:rPr>
        <w:t>C</w:t>
      </w:r>
      <w:r w:rsidRPr="00BC486E">
        <w:rPr>
          <w:rFonts w:ascii="Arial" w:hAnsi="Arial" w:cs="Arial"/>
          <w:szCs w:val="24"/>
        </w:rPr>
        <w:t xml:space="preserve">osts </w:t>
      </w:r>
      <w:r w:rsidR="00BC486E" w:rsidRPr="00BC486E">
        <w:rPr>
          <w:rFonts w:ascii="Arial" w:hAnsi="Arial" w:cs="Arial"/>
          <w:szCs w:val="24"/>
        </w:rPr>
        <w:t xml:space="preserve">incurred </w:t>
      </w:r>
      <w:r w:rsidRPr="00BC486E">
        <w:rPr>
          <w:rFonts w:ascii="Arial" w:hAnsi="Arial" w:cs="Arial"/>
          <w:szCs w:val="24"/>
        </w:rPr>
        <w:t xml:space="preserve">and </w:t>
      </w:r>
      <w:r w:rsidR="00BC486E" w:rsidRPr="00BC486E">
        <w:rPr>
          <w:rFonts w:ascii="Arial" w:hAnsi="Arial" w:cs="Arial"/>
          <w:szCs w:val="24"/>
        </w:rPr>
        <w:t xml:space="preserve">the estimates used </w:t>
      </w:r>
      <w:r w:rsidR="00BC486E">
        <w:rPr>
          <w:rFonts w:ascii="Arial" w:hAnsi="Arial" w:cs="Arial"/>
          <w:szCs w:val="24"/>
        </w:rPr>
        <w:t>to determine the SMCRS rates.</w:t>
      </w: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0D0A79" w:rsidRDefault="000D0A79" w:rsidP="003E4581">
      <w:pPr>
        <w:pStyle w:val="Heading4"/>
        <w:tabs>
          <w:tab w:val="clear" w:pos="4680"/>
        </w:tabs>
        <w:rPr>
          <w:rFonts w:ascii="Arial" w:hAnsi="Arial" w:cs="Arial"/>
          <w:sz w:val="36"/>
          <w:szCs w:val="36"/>
          <w:u w:val="none"/>
        </w:rPr>
      </w:pPr>
    </w:p>
    <w:p w:rsidR="00100BC4" w:rsidRDefault="00100BC4" w:rsidP="003E4581">
      <w:pPr>
        <w:pStyle w:val="Heading4"/>
        <w:tabs>
          <w:tab w:val="clear" w:pos="4680"/>
        </w:tabs>
        <w:rPr>
          <w:rFonts w:ascii="Arial" w:hAnsi="Arial" w:cs="Arial"/>
          <w:sz w:val="36"/>
          <w:szCs w:val="36"/>
          <w:u w:val="none"/>
        </w:rPr>
      </w:pPr>
    </w:p>
    <w:p w:rsidR="003E4581" w:rsidRPr="008B66EC" w:rsidRDefault="00667FC8" w:rsidP="003E4581">
      <w:pPr>
        <w:pStyle w:val="Heading4"/>
        <w:tabs>
          <w:tab w:val="clear" w:pos="4680"/>
        </w:tabs>
        <w:rPr>
          <w:rFonts w:ascii="Arial" w:hAnsi="Arial" w:cs="Arial"/>
          <w:sz w:val="36"/>
          <w:szCs w:val="36"/>
          <w:u w:val="none"/>
        </w:rPr>
      </w:pPr>
      <w:r w:rsidRPr="007B11B6">
        <w:rPr>
          <w:rFonts w:ascii="Arial" w:hAnsi="Arial" w:cs="Arial"/>
          <w:sz w:val="36"/>
          <w:szCs w:val="36"/>
          <w:u w:val="none"/>
        </w:rPr>
        <w:t>BACKGROUND</w:t>
      </w:r>
    </w:p>
    <w:p w:rsidR="00667FC8" w:rsidRPr="00343C2B" w:rsidRDefault="00667FC8" w:rsidP="00343C2B">
      <w:pPr>
        <w:jc w:val="center"/>
        <w:rPr>
          <w:rFonts w:ascii="Arial" w:hAnsi="Arial" w:cs="Arial"/>
          <w:sz w:val="36"/>
          <w:szCs w:val="36"/>
        </w:rPr>
      </w:pPr>
    </w:p>
    <w:p w:rsidR="00667FC8" w:rsidRPr="00343C2B" w:rsidRDefault="00667FC8" w:rsidP="00343C2B">
      <w:pPr>
        <w:jc w:val="center"/>
        <w:rPr>
          <w:rFonts w:ascii="Arial" w:hAnsi="Arial" w:cs="Arial"/>
          <w:sz w:val="36"/>
          <w:szCs w:val="36"/>
        </w:rPr>
      </w:pPr>
      <w:r w:rsidRPr="00343C2B">
        <w:rPr>
          <w:rFonts w:ascii="Arial" w:hAnsi="Arial" w:cs="Arial"/>
          <w:b/>
          <w:sz w:val="36"/>
          <w:szCs w:val="36"/>
        </w:rPr>
        <w:t>AND</w:t>
      </w:r>
    </w:p>
    <w:p w:rsidR="00667FC8" w:rsidRPr="007B11B6" w:rsidRDefault="00667FC8" w:rsidP="00343C2B">
      <w:pPr>
        <w:jc w:val="center"/>
        <w:rPr>
          <w:rFonts w:ascii="Arial" w:hAnsi="Arial" w:cs="Arial"/>
          <w:sz w:val="36"/>
          <w:szCs w:val="36"/>
        </w:rPr>
      </w:pPr>
    </w:p>
    <w:p w:rsidR="00E532F3" w:rsidRPr="008B66EC" w:rsidRDefault="00E532F3" w:rsidP="00E532F3">
      <w:pPr>
        <w:pStyle w:val="Heading4"/>
        <w:tabs>
          <w:tab w:val="clear" w:pos="4680"/>
        </w:tabs>
        <w:rPr>
          <w:rFonts w:ascii="Arial" w:hAnsi="Arial" w:cs="Arial"/>
          <w:sz w:val="36"/>
          <w:szCs w:val="36"/>
          <w:u w:val="none"/>
        </w:rPr>
      </w:pPr>
      <w:r w:rsidRPr="008B66EC">
        <w:rPr>
          <w:rFonts w:ascii="Arial" w:hAnsi="Arial" w:cs="Arial"/>
          <w:sz w:val="36"/>
          <w:szCs w:val="36"/>
          <w:u w:val="none"/>
        </w:rPr>
        <w:t>OPERATIONAL REVIEW</w:t>
      </w:r>
    </w:p>
    <w:p w:rsidR="00CB7699" w:rsidRPr="00343C2B" w:rsidRDefault="00CB7699" w:rsidP="00CB7699">
      <w:pPr>
        <w:rPr>
          <w:rFonts w:ascii="Arial" w:hAnsi="Arial" w:cs="Arial"/>
          <w:b/>
          <w:sz w:val="36"/>
          <w:szCs w:val="36"/>
        </w:rPr>
      </w:pPr>
    </w:p>
    <w:p w:rsidR="00CB7699" w:rsidRPr="002C61BD" w:rsidRDefault="00CB7699" w:rsidP="00CB7699">
      <w:pPr>
        <w:rPr>
          <w:rFonts w:ascii="Arial" w:hAnsi="Arial" w:cs="Arial"/>
        </w:rPr>
        <w:sectPr w:rsidR="00CB7699" w:rsidRPr="002C61BD" w:rsidSect="004163D6">
          <w:headerReference w:type="even" r:id="rId24"/>
          <w:headerReference w:type="default" r:id="rId25"/>
          <w:headerReference w:type="first" r:id="rId26"/>
          <w:footerReference w:type="first" r:id="rId27"/>
          <w:endnotePr>
            <w:numFmt w:val="decimal"/>
          </w:endnotePr>
          <w:pgSz w:w="12240" w:h="15840" w:code="1"/>
          <w:pgMar w:top="1440" w:right="1440" w:bottom="1152" w:left="1440" w:header="0" w:footer="720" w:gutter="0"/>
          <w:pgNumType w:start="5"/>
          <w:cols w:space="720"/>
          <w:noEndnote/>
          <w:titlePg/>
        </w:sectPr>
      </w:pPr>
    </w:p>
    <w:p w:rsidR="004F00DD" w:rsidRPr="001D0DB6" w:rsidRDefault="004F00DD" w:rsidP="004F00DD">
      <w:pPr>
        <w:keepNext/>
        <w:tabs>
          <w:tab w:val="left" w:pos="360"/>
        </w:tabs>
        <w:overflowPunct/>
        <w:autoSpaceDE/>
        <w:autoSpaceDN/>
        <w:adjustRightInd/>
        <w:jc w:val="center"/>
        <w:textAlignment w:val="auto"/>
        <w:outlineLvl w:val="5"/>
        <w:rPr>
          <w:rFonts w:ascii="Arial" w:hAnsi="Arial" w:cs="Arial"/>
          <w:b/>
          <w:sz w:val="26"/>
          <w:szCs w:val="26"/>
        </w:rPr>
      </w:pPr>
      <w:r w:rsidRPr="001D0DB6">
        <w:rPr>
          <w:rFonts w:ascii="Arial" w:hAnsi="Arial" w:cs="Arial"/>
          <w:b/>
          <w:sz w:val="26"/>
          <w:szCs w:val="26"/>
        </w:rPr>
        <w:lastRenderedPageBreak/>
        <w:t>PECO ENERGY COMPANY</w:t>
      </w:r>
    </w:p>
    <w:p w:rsidR="004F00DD" w:rsidRPr="001D0DB6" w:rsidRDefault="004F00DD" w:rsidP="004F00DD">
      <w:pPr>
        <w:tabs>
          <w:tab w:val="left" w:pos="360"/>
        </w:tabs>
        <w:overflowPunct/>
        <w:autoSpaceDE/>
        <w:autoSpaceDN/>
        <w:adjustRightInd/>
        <w:jc w:val="center"/>
        <w:textAlignment w:val="auto"/>
        <w:rPr>
          <w:rFonts w:ascii="Arial" w:hAnsi="Arial" w:cs="Arial"/>
          <w:b/>
          <w:sz w:val="26"/>
          <w:szCs w:val="26"/>
        </w:rPr>
      </w:pPr>
    </w:p>
    <w:p w:rsidR="00FD47E4" w:rsidRPr="001D0DB6" w:rsidRDefault="004F00DD" w:rsidP="00FD47E4">
      <w:pPr>
        <w:tabs>
          <w:tab w:val="left" w:pos="360"/>
        </w:tabs>
        <w:overflowPunct/>
        <w:autoSpaceDE/>
        <w:autoSpaceDN/>
        <w:adjustRightInd/>
        <w:jc w:val="center"/>
        <w:textAlignment w:val="auto"/>
        <w:rPr>
          <w:rFonts w:ascii="Arial" w:hAnsi="Arial" w:cs="Arial"/>
          <w:sz w:val="26"/>
          <w:szCs w:val="26"/>
        </w:rPr>
      </w:pPr>
      <w:r w:rsidRPr="00100692">
        <w:rPr>
          <w:rFonts w:ascii="Arial" w:hAnsi="Arial" w:cs="Arial"/>
          <w:b/>
          <w:sz w:val="26"/>
          <w:szCs w:val="26"/>
        </w:rPr>
        <w:t>Company Background</w:t>
      </w:r>
    </w:p>
    <w:p w:rsidR="00FD47E4" w:rsidRDefault="00FD47E4" w:rsidP="00FD47E4">
      <w:pPr>
        <w:overflowPunct/>
        <w:autoSpaceDE/>
        <w:autoSpaceDN/>
        <w:adjustRightInd/>
        <w:spacing w:after="200" w:line="276" w:lineRule="auto"/>
        <w:ind w:firstLine="720"/>
        <w:textAlignment w:val="auto"/>
        <w:rPr>
          <w:rFonts w:ascii="Arial" w:hAnsi="Arial" w:cs="Arial"/>
          <w:szCs w:val="24"/>
        </w:rPr>
      </w:pPr>
    </w:p>
    <w:p w:rsidR="006911BB" w:rsidRDefault="006911BB" w:rsidP="006911BB">
      <w:pPr>
        <w:pStyle w:val="NoSpacing"/>
        <w:ind w:firstLine="720"/>
        <w:rPr>
          <w:rFonts w:ascii="Arial" w:hAnsi="Arial" w:cs="Arial"/>
          <w:sz w:val="24"/>
          <w:szCs w:val="24"/>
        </w:rPr>
      </w:pPr>
      <w:r>
        <w:rPr>
          <w:rFonts w:ascii="Arial" w:hAnsi="Arial" w:cs="Arial"/>
          <w:sz w:val="24"/>
          <w:szCs w:val="24"/>
        </w:rPr>
        <w:t>This background section was developed substantially from unaudited data and documentation made available by PECO and is presented solely for informational purposes.</w:t>
      </w:r>
    </w:p>
    <w:p w:rsidR="006911BB" w:rsidRDefault="006911BB" w:rsidP="006911BB">
      <w:pPr>
        <w:ind w:firstLine="720"/>
        <w:rPr>
          <w:rFonts w:ascii="Arial" w:hAnsi="Arial" w:cs="Arial"/>
        </w:rPr>
      </w:pPr>
    </w:p>
    <w:p w:rsidR="006911BB" w:rsidRPr="00C24D82" w:rsidRDefault="006911BB" w:rsidP="006911BB">
      <w:pPr>
        <w:ind w:firstLine="720"/>
        <w:rPr>
          <w:rFonts w:ascii="Times New Roman" w:hAnsi="Times New Roman"/>
          <w:sz w:val="15"/>
          <w:szCs w:val="15"/>
        </w:rPr>
      </w:pPr>
      <w:r>
        <w:rPr>
          <w:rFonts w:ascii="Arial" w:hAnsi="Arial" w:cs="Arial"/>
        </w:rPr>
        <w:t xml:space="preserve">PECO is a company principally engaged in providing transmission and distribution of electric and natural gas services to retail customers in southeastern Pennsylvania.  PECO’s operations as an electric distribution company and natural gas distribution company are subject to regulation by the Commission.  PECO is a wholly owned subsidiary of Exelon Corporation headquartered in Chicago, Illinois.  </w:t>
      </w:r>
      <w:r>
        <w:rPr>
          <w:rFonts w:ascii="Arial" w:hAnsi="Arial" w:cs="Arial"/>
          <w:color w:val="000000"/>
        </w:rPr>
        <w:t xml:space="preserve">According to PECO’s annual reports filed with the PUC, for the years </w:t>
      </w:r>
      <w:r w:rsidRPr="00C24D82">
        <w:rPr>
          <w:rFonts w:ascii="Arial" w:hAnsi="Arial" w:cs="Arial"/>
        </w:rPr>
        <w:t>2013, 2012, and 2011, PECO’s total electric distribution revenues</w:t>
      </w:r>
      <w:r>
        <w:rPr>
          <w:rFonts w:ascii="Arial" w:hAnsi="Arial" w:cs="Arial"/>
        </w:rPr>
        <w:t>,</w:t>
      </w:r>
      <w:r w:rsidRPr="00C24D82">
        <w:rPr>
          <w:rFonts w:ascii="Arial" w:hAnsi="Arial" w:cs="Arial"/>
        </w:rPr>
        <w:t xml:space="preserve"> </w:t>
      </w:r>
      <w:r>
        <w:rPr>
          <w:rFonts w:ascii="Arial" w:hAnsi="Arial" w:cs="Arial"/>
        </w:rPr>
        <w:t xml:space="preserve">including default service sales, </w:t>
      </w:r>
      <w:r w:rsidRPr="00C24D82">
        <w:rPr>
          <w:rFonts w:ascii="Arial" w:hAnsi="Arial" w:cs="Arial"/>
        </w:rPr>
        <w:t>from customers were $2</w:t>
      </w:r>
      <w:r>
        <w:rPr>
          <w:rFonts w:ascii="Arial" w:hAnsi="Arial" w:cs="Arial"/>
        </w:rPr>
        <w:t>.3 billion, $</w:t>
      </w:r>
      <w:r w:rsidRPr="00C24D82">
        <w:rPr>
          <w:rFonts w:ascii="Arial" w:hAnsi="Arial" w:cs="Arial"/>
        </w:rPr>
        <w:t>2</w:t>
      </w:r>
      <w:r>
        <w:rPr>
          <w:rFonts w:ascii="Arial" w:hAnsi="Arial" w:cs="Arial"/>
        </w:rPr>
        <w:t>.</w:t>
      </w:r>
      <w:r w:rsidRPr="00C24D82">
        <w:rPr>
          <w:rFonts w:ascii="Arial" w:hAnsi="Arial" w:cs="Arial"/>
        </w:rPr>
        <w:t>4</w:t>
      </w:r>
      <w:r>
        <w:rPr>
          <w:rFonts w:ascii="Arial" w:hAnsi="Arial" w:cs="Arial"/>
        </w:rPr>
        <w:t xml:space="preserve"> billion, and $2.9 billion respectively.</w:t>
      </w:r>
      <w:r w:rsidRPr="00C24D82">
        <w:rPr>
          <w:rFonts w:ascii="Times New Roman" w:hAnsi="Times New Roman"/>
          <w:sz w:val="15"/>
          <w:szCs w:val="15"/>
        </w:rPr>
        <w:t xml:space="preserve"> </w:t>
      </w:r>
    </w:p>
    <w:p w:rsidR="006911BB" w:rsidRDefault="006911BB" w:rsidP="006911BB">
      <w:pPr>
        <w:rPr>
          <w:rFonts w:ascii="Arial" w:hAnsi="Arial" w:cs="Arial"/>
        </w:rPr>
      </w:pPr>
      <w:r w:rsidRPr="00C24D82">
        <w:rPr>
          <w:rFonts w:ascii="Times New Roman" w:hAnsi="Times New Roman"/>
          <w:sz w:val="15"/>
          <w:szCs w:val="15"/>
        </w:rPr>
        <w:t xml:space="preserve"> </w:t>
      </w:r>
    </w:p>
    <w:p w:rsidR="006911BB" w:rsidRDefault="006911BB" w:rsidP="006911BB">
      <w:pPr>
        <w:rPr>
          <w:rFonts w:ascii="Arial" w:hAnsi="Arial" w:cs="Arial"/>
        </w:rPr>
      </w:pPr>
      <w:r>
        <w:rPr>
          <w:rFonts w:ascii="Arial" w:hAnsi="Arial" w:cs="Arial"/>
        </w:rPr>
        <w:tab/>
      </w:r>
      <w:r w:rsidRPr="000E03E3">
        <w:rPr>
          <w:rFonts w:ascii="Arial" w:hAnsi="Arial" w:cs="Arial"/>
        </w:rPr>
        <w:t xml:space="preserve">PECO provides electric distribution service in an area of approximately 1,900 square miles with a population of approximately </w:t>
      </w:r>
      <w:r w:rsidRPr="000740FE">
        <w:rPr>
          <w:rFonts w:ascii="Arial" w:hAnsi="Arial" w:cs="Arial"/>
        </w:rPr>
        <w:t xml:space="preserve">3.9 </w:t>
      </w:r>
      <w:r w:rsidRPr="000E03E3">
        <w:rPr>
          <w:rFonts w:ascii="Arial" w:hAnsi="Arial" w:cs="Arial"/>
        </w:rPr>
        <w:t xml:space="preserve">million, including </w:t>
      </w:r>
      <w:r w:rsidRPr="000740FE">
        <w:rPr>
          <w:rFonts w:ascii="Arial" w:hAnsi="Arial" w:cs="Arial"/>
        </w:rPr>
        <w:t xml:space="preserve">1.5 </w:t>
      </w:r>
      <w:r w:rsidRPr="000E03E3">
        <w:rPr>
          <w:rFonts w:ascii="Arial" w:hAnsi="Arial" w:cs="Arial"/>
        </w:rPr>
        <w:t xml:space="preserve">million in the city of Philadelphia.  During </w:t>
      </w:r>
      <w:r w:rsidRPr="000740FE">
        <w:rPr>
          <w:rFonts w:ascii="Arial" w:hAnsi="Arial" w:cs="Arial"/>
        </w:rPr>
        <w:t>2013</w:t>
      </w:r>
      <w:r w:rsidRPr="000E03E3">
        <w:rPr>
          <w:rFonts w:ascii="Arial" w:hAnsi="Arial" w:cs="Arial"/>
        </w:rPr>
        <w:t>, PECO delivered electricity to approximately 1,600,000 residential, commercial and industrial customers</w:t>
      </w:r>
    </w:p>
    <w:p w:rsidR="006911BB" w:rsidRDefault="006911BB" w:rsidP="006911BB">
      <w:pPr>
        <w:rPr>
          <w:rFonts w:ascii="Arial" w:hAnsi="Arial" w:cs="Arial"/>
        </w:rPr>
      </w:pPr>
    </w:p>
    <w:p w:rsidR="006911BB" w:rsidRDefault="006911BB" w:rsidP="006911BB">
      <w:pPr>
        <w:rPr>
          <w:rFonts w:ascii="Arial" w:hAnsi="Arial" w:cs="Arial"/>
        </w:rPr>
      </w:pPr>
      <w:r>
        <w:rPr>
          <w:rFonts w:ascii="Arial" w:hAnsi="Arial" w:cs="Arial"/>
        </w:rPr>
        <w:tab/>
      </w:r>
      <w:r w:rsidRPr="00DE4920">
        <w:rPr>
          <w:rFonts w:ascii="Arial" w:hAnsi="Arial" w:cs="Arial"/>
        </w:rPr>
        <w:t xml:space="preserve">PECO owns 1,092 miles of high voltage electric transmission lines within its service territory.  In addition, PECO has a 22.00% ownership of 127 miles of 500 kV lines located in Pennsylvania and a 42.55% ownership </w:t>
      </w:r>
      <w:r>
        <w:rPr>
          <w:rFonts w:ascii="Arial" w:hAnsi="Arial" w:cs="Arial"/>
        </w:rPr>
        <w:t xml:space="preserve">of </w:t>
      </w:r>
      <w:r w:rsidRPr="00DE4920">
        <w:rPr>
          <w:rFonts w:ascii="Arial" w:hAnsi="Arial" w:cs="Arial"/>
        </w:rPr>
        <w:t xml:space="preserve">131 miles of 500 kV lines located in Delaware and New Jersey.  </w:t>
      </w:r>
      <w:r w:rsidRPr="001D5696">
        <w:rPr>
          <w:rFonts w:ascii="Arial" w:hAnsi="Arial" w:cs="Arial"/>
        </w:rPr>
        <w:t xml:space="preserve">PECO’s electric distribution system includes 12,989 circuit miles of overhead lines and </w:t>
      </w:r>
      <w:r w:rsidRPr="000740FE">
        <w:rPr>
          <w:rFonts w:ascii="Arial" w:hAnsi="Arial" w:cs="Arial"/>
        </w:rPr>
        <w:t xml:space="preserve">8,915 </w:t>
      </w:r>
      <w:r w:rsidRPr="001D5696">
        <w:rPr>
          <w:rFonts w:ascii="Arial" w:hAnsi="Arial" w:cs="Arial"/>
        </w:rPr>
        <w:t>circuit miles of underground lines</w:t>
      </w:r>
      <w:r>
        <w:rPr>
          <w:rFonts w:ascii="Arial" w:hAnsi="Arial" w:cs="Arial"/>
        </w:rPr>
        <w:t>.</w:t>
      </w:r>
    </w:p>
    <w:p w:rsidR="006911BB" w:rsidRDefault="006911BB" w:rsidP="00FD47E4">
      <w:pPr>
        <w:ind w:firstLine="720"/>
        <w:rPr>
          <w:rFonts w:ascii="Arial" w:hAnsi="Arial" w:cs="Arial"/>
        </w:rPr>
      </w:pPr>
    </w:p>
    <w:p w:rsidR="00FD47E4" w:rsidRPr="007675DA" w:rsidRDefault="00FD47E4" w:rsidP="00FD47E4">
      <w:pPr>
        <w:suppressAutoHyphens/>
        <w:rPr>
          <w:rFonts w:ascii="Arial" w:hAnsi="Arial"/>
          <w:szCs w:val="26"/>
          <w:highlight w:val="yellow"/>
        </w:rPr>
      </w:pPr>
      <w:r>
        <w:rPr>
          <w:rFonts w:ascii="Arial" w:hAnsi="Arial" w:cs="Arial"/>
          <w:szCs w:val="24"/>
        </w:rPr>
        <w:tab/>
      </w:r>
      <w:r w:rsidRPr="00347DB8">
        <w:rPr>
          <w:rFonts w:ascii="Arial" w:hAnsi="Arial"/>
          <w:szCs w:val="26"/>
        </w:rPr>
        <w:t>On October 15, 2008, Act 129</w:t>
      </w:r>
      <w:r>
        <w:rPr>
          <w:rFonts w:ascii="Arial" w:hAnsi="Arial"/>
          <w:szCs w:val="26"/>
        </w:rPr>
        <w:t xml:space="preserve"> (Act)</w:t>
      </w:r>
      <w:r w:rsidRPr="00347DB8">
        <w:rPr>
          <w:rFonts w:ascii="Arial" w:hAnsi="Arial"/>
          <w:szCs w:val="26"/>
        </w:rPr>
        <w:t xml:space="preserve"> became law and required Electric Distribution Companies</w:t>
      </w:r>
      <w:r>
        <w:rPr>
          <w:rFonts w:ascii="Arial" w:hAnsi="Arial"/>
          <w:szCs w:val="26"/>
        </w:rPr>
        <w:t xml:space="preserve"> (EDC), with at least 100,000 customers,</w:t>
      </w:r>
      <w:r w:rsidRPr="00347DB8">
        <w:rPr>
          <w:rFonts w:ascii="Arial" w:hAnsi="Arial"/>
          <w:szCs w:val="26"/>
        </w:rPr>
        <w:t xml:space="preserve"> to file a Smart Meter Technology Procurement and Installation Plan with the P</w:t>
      </w:r>
      <w:r w:rsidR="005F18C7">
        <w:rPr>
          <w:rFonts w:ascii="Arial" w:hAnsi="Arial"/>
          <w:szCs w:val="26"/>
        </w:rPr>
        <w:t>UC</w:t>
      </w:r>
      <w:r w:rsidRPr="00347DB8">
        <w:rPr>
          <w:rFonts w:ascii="Arial" w:hAnsi="Arial"/>
          <w:szCs w:val="26"/>
        </w:rPr>
        <w:t xml:space="preserve"> by August 14, 2009.</w:t>
      </w:r>
      <w:r>
        <w:rPr>
          <w:rFonts w:ascii="Arial" w:hAnsi="Arial"/>
          <w:szCs w:val="26"/>
        </w:rPr>
        <w:t xml:space="preserve"> The Act also provides that a utility is entitled to full and current recovery of the costs associated with implementation of a Smart Meter system net of any operational savings</w:t>
      </w:r>
      <w:r w:rsidR="00B1163B">
        <w:rPr>
          <w:rFonts w:ascii="Arial" w:hAnsi="Arial"/>
          <w:szCs w:val="26"/>
        </w:rPr>
        <w:t>.</w:t>
      </w:r>
      <w:r w:rsidR="00A9400B">
        <w:rPr>
          <w:rFonts w:ascii="Arial" w:hAnsi="Arial"/>
          <w:szCs w:val="26"/>
        </w:rPr>
        <w:t xml:space="preserve">  </w:t>
      </w:r>
      <w:r w:rsidRPr="00C479FA">
        <w:rPr>
          <w:rFonts w:ascii="Arial" w:hAnsi="Arial"/>
          <w:szCs w:val="26"/>
        </w:rPr>
        <w:t>On October 15, 2009, PECO’s Smart Meter Plan, at Docket No. M</w:t>
      </w:r>
      <w:r w:rsidRPr="00C479FA">
        <w:rPr>
          <w:rFonts w:ascii="Arial" w:hAnsi="Arial"/>
          <w:szCs w:val="26"/>
        </w:rPr>
        <w:noBreakHyphen/>
        <w:t>2009</w:t>
      </w:r>
      <w:r w:rsidRPr="00C479FA">
        <w:rPr>
          <w:rFonts w:ascii="Arial" w:hAnsi="Arial"/>
          <w:szCs w:val="26"/>
        </w:rPr>
        <w:noBreakHyphen/>
      </w:r>
      <w:proofErr w:type="gramStart"/>
      <w:r w:rsidRPr="00C479FA">
        <w:rPr>
          <w:rFonts w:ascii="Arial" w:hAnsi="Arial"/>
          <w:szCs w:val="26"/>
        </w:rPr>
        <w:t>2093215,</w:t>
      </w:r>
      <w:proofErr w:type="gramEnd"/>
      <w:r w:rsidRPr="00C479FA">
        <w:rPr>
          <w:rFonts w:ascii="Arial" w:hAnsi="Arial"/>
          <w:szCs w:val="26"/>
        </w:rPr>
        <w:t xml:space="preserve"> was approved by the Commission.  </w:t>
      </w:r>
      <w:r w:rsidR="00A9400B" w:rsidRPr="00DB2DF3">
        <w:rPr>
          <w:rFonts w:ascii="Arial" w:hAnsi="Arial"/>
          <w:szCs w:val="26"/>
        </w:rPr>
        <w:t>PECO</w:t>
      </w:r>
      <w:r w:rsidR="00A9400B">
        <w:rPr>
          <w:rFonts w:ascii="Arial" w:hAnsi="Arial"/>
          <w:szCs w:val="26"/>
        </w:rPr>
        <w:t>’s SMCRS</w:t>
      </w:r>
      <w:r w:rsidR="00A9400B" w:rsidRPr="00DB2DF3">
        <w:rPr>
          <w:rFonts w:ascii="Arial" w:hAnsi="Arial"/>
          <w:szCs w:val="26"/>
        </w:rPr>
        <w:t xml:space="preserve"> </w:t>
      </w:r>
      <w:r w:rsidR="00A9400B">
        <w:rPr>
          <w:rFonts w:ascii="Arial" w:hAnsi="Arial"/>
          <w:szCs w:val="26"/>
        </w:rPr>
        <w:t>tariff became effective January 1, 2011.</w:t>
      </w:r>
      <w:r w:rsidR="00A9400B" w:rsidRPr="00DB2DF3">
        <w:rPr>
          <w:rFonts w:ascii="Arial" w:hAnsi="Arial"/>
          <w:szCs w:val="26"/>
        </w:rPr>
        <w:t xml:space="preserve"> </w:t>
      </w:r>
      <w:r w:rsidR="00A9400B">
        <w:rPr>
          <w:rFonts w:ascii="Arial" w:hAnsi="Arial"/>
          <w:szCs w:val="26"/>
        </w:rPr>
        <w:t xml:space="preserve"> </w:t>
      </w:r>
      <w:r w:rsidRPr="00FD711E">
        <w:rPr>
          <w:rFonts w:ascii="Arial" w:hAnsi="Arial"/>
          <w:szCs w:val="26"/>
        </w:rPr>
        <w:t xml:space="preserve">The SMCRS is a </w:t>
      </w:r>
      <w:r w:rsidR="00A9400B">
        <w:rPr>
          <w:rFonts w:ascii="Arial" w:hAnsi="Arial"/>
          <w:szCs w:val="26"/>
        </w:rPr>
        <w:t>N</w:t>
      </w:r>
      <w:r w:rsidRPr="00FD711E">
        <w:rPr>
          <w:rFonts w:ascii="Arial" w:hAnsi="Arial"/>
          <w:szCs w:val="26"/>
        </w:rPr>
        <w:t>on-</w:t>
      </w:r>
      <w:proofErr w:type="spellStart"/>
      <w:r w:rsidRPr="00FD711E">
        <w:rPr>
          <w:rFonts w:ascii="Arial" w:hAnsi="Arial"/>
          <w:szCs w:val="26"/>
        </w:rPr>
        <w:t>bypassable</w:t>
      </w:r>
      <w:proofErr w:type="spellEnd"/>
      <w:r w:rsidRPr="00FD711E">
        <w:rPr>
          <w:rFonts w:ascii="Arial" w:hAnsi="Arial"/>
          <w:szCs w:val="26"/>
        </w:rPr>
        <w:t xml:space="preserve"> surcharge applied to all customer bills.  </w:t>
      </w:r>
    </w:p>
    <w:p w:rsidR="00FD47E4" w:rsidRPr="00A06575" w:rsidRDefault="00FD47E4" w:rsidP="00FD47E4">
      <w:pPr>
        <w:rPr>
          <w:rFonts w:ascii="Arial" w:hAnsi="Arial" w:cs="Arial"/>
        </w:rPr>
      </w:pPr>
    </w:p>
    <w:p w:rsidR="00DF71F5" w:rsidRDefault="00DF71F5">
      <w:pPr>
        <w:overflowPunct/>
        <w:autoSpaceDE/>
        <w:autoSpaceDN/>
        <w:adjustRightInd/>
        <w:spacing w:after="200" w:line="276" w:lineRule="auto"/>
        <w:textAlignment w:val="auto"/>
        <w:rPr>
          <w:rFonts w:ascii="Arial" w:hAnsi="Arial" w:cs="Arial"/>
          <w:b/>
          <w:sz w:val="28"/>
          <w:szCs w:val="28"/>
        </w:rPr>
      </w:pPr>
      <w:r>
        <w:rPr>
          <w:rFonts w:ascii="Arial" w:hAnsi="Arial" w:cs="Arial"/>
          <w:sz w:val="28"/>
          <w:szCs w:val="28"/>
        </w:rPr>
        <w:br w:type="page"/>
      </w:r>
    </w:p>
    <w:p w:rsidR="004B51AF" w:rsidRPr="00F00643" w:rsidRDefault="00F00643" w:rsidP="00BF7F33">
      <w:pPr>
        <w:pStyle w:val="Heading1"/>
        <w:rPr>
          <w:rFonts w:ascii="Arial" w:hAnsi="Arial" w:cs="Arial"/>
          <w:sz w:val="28"/>
          <w:szCs w:val="28"/>
          <w:u w:val="none"/>
        </w:rPr>
      </w:pPr>
      <w:r w:rsidRPr="00F00643">
        <w:rPr>
          <w:rFonts w:ascii="Arial" w:hAnsi="Arial" w:cs="Arial"/>
          <w:sz w:val="28"/>
          <w:szCs w:val="28"/>
          <w:u w:val="none"/>
        </w:rPr>
        <w:lastRenderedPageBreak/>
        <w:t>PECO ENERGY COMPANY</w:t>
      </w:r>
    </w:p>
    <w:p w:rsidR="00F00643" w:rsidRPr="00F00643" w:rsidRDefault="00F00643" w:rsidP="00F00643"/>
    <w:p w:rsidR="00BF7F33" w:rsidRPr="00F00643" w:rsidRDefault="00BF7F33" w:rsidP="00BF7F33">
      <w:pPr>
        <w:pStyle w:val="Heading1"/>
        <w:rPr>
          <w:rFonts w:ascii="Arial" w:hAnsi="Arial" w:cs="Arial"/>
          <w:sz w:val="26"/>
          <w:szCs w:val="24"/>
          <w:u w:val="none"/>
        </w:rPr>
      </w:pPr>
      <w:r w:rsidRPr="00F00643">
        <w:rPr>
          <w:rFonts w:ascii="Arial" w:hAnsi="Arial" w:cs="Arial"/>
          <w:sz w:val="26"/>
          <w:szCs w:val="24"/>
          <w:u w:val="none"/>
        </w:rPr>
        <w:t>A</w:t>
      </w:r>
      <w:r w:rsidR="00FF11EB" w:rsidRPr="00F00643">
        <w:rPr>
          <w:rFonts w:ascii="Arial" w:hAnsi="Arial" w:cs="Arial"/>
          <w:sz w:val="26"/>
          <w:szCs w:val="24"/>
          <w:u w:val="none"/>
        </w:rPr>
        <w:t>cknowledgements</w:t>
      </w:r>
    </w:p>
    <w:p w:rsidR="00BF7F33" w:rsidRPr="002C61BD" w:rsidRDefault="00BF7F33" w:rsidP="00BF7F33">
      <w:pPr>
        <w:rPr>
          <w:rFonts w:ascii="Arial" w:hAnsi="Arial" w:cs="Arial"/>
          <w:b/>
          <w:szCs w:val="24"/>
          <w:u w:val="single"/>
        </w:rPr>
      </w:pPr>
    </w:p>
    <w:p w:rsidR="00BF7F33" w:rsidRPr="002C61BD" w:rsidRDefault="00BF7F33" w:rsidP="00BF7F33">
      <w:pPr>
        <w:rPr>
          <w:rFonts w:ascii="Arial" w:hAnsi="Arial" w:cs="Arial"/>
          <w:b/>
          <w:szCs w:val="24"/>
          <w:u w:val="single"/>
        </w:rPr>
      </w:pPr>
    </w:p>
    <w:p w:rsidR="00E26A3A" w:rsidRDefault="00BF7F33" w:rsidP="00E26A3A">
      <w:pPr>
        <w:rPr>
          <w:rFonts w:ascii="Arial" w:hAnsi="Arial" w:cs="Arial"/>
          <w:szCs w:val="24"/>
        </w:rPr>
      </w:pPr>
      <w:r w:rsidRPr="002C61BD">
        <w:rPr>
          <w:rFonts w:ascii="Arial" w:hAnsi="Arial" w:cs="Arial"/>
          <w:szCs w:val="24"/>
        </w:rPr>
        <w:tab/>
        <w:t xml:space="preserve">We wish to express our appreciation to the officers and staff of </w:t>
      </w:r>
      <w:r w:rsidR="00F00643">
        <w:rPr>
          <w:rFonts w:ascii="Arial" w:hAnsi="Arial" w:cs="Arial"/>
          <w:szCs w:val="24"/>
        </w:rPr>
        <w:t>PECO Energy Company</w:t>
      </w:r>
      <w:r w:rsidRPr="002C61BD">
        <w:rPr>
          <w:rFonts w:ascii="Arial" w:hAnsi="Arial" w:cs="Arial"/>
          <w:szCs w:val="24"/>
        </w:rPr>
        <w:t xml:space="preserve"> for the cooperation and assistance given to us during the course of our examination.  The audit was conducted by </w:t>
      </w:r>
      <w:r w:rsidR="00A716F3">
        <w:rPr>
          <w:rFonts w:ascii="Arial" w:hAnsi="Arial" w:cs="Arial"/>
          <w:szCs w:val="24"/>
        </w:rPr>
        <w:t>Gerville J. Brown</w:t>
      </w:r>
      <w:r w:rsidRPr="002C61BD">
        <w:rPr>
          <w:rFonts w:ascii="Arial" w:hAnsi="Arial" w:cs="Arial"/>
          <w:szCs w:val="24"/>
        </w:rPr>
        <w:t xml:space="preserve">. </w:t>
      </w:r>
    </w:p>
    <w:p w:rsidR="00E26A3A" w:rsidRDefault="00E26A3A" w:rsidP="00E26A3A"/>
    <w:p w:rsidR="00BF7F33" w:rsidRPr="002C61BD" w:rsidRDefault="00BF7F33" w:rsidP="00E26A3A">
      <w:pPr>
        <w:rPr>
          <w:rFonts w:ascii="Arial" w:hAnsi="Arial" w:cs="Arial"/>
          <w:szCs w:val="24"/>
        </w:rPr>
      </w:pPr>
    </w:p>
    <w:sectPr w:rsidR="00BF7F33" w:rsidRPr="002C61BD" w:rsidSect="00750E57">
      <w:headerReference w:type="even" r:id="rId28"/>
      <w:headerReference w:type="default" r:id="rId29"/>
      <w:footerReference w:type="default" r:id="rId30"/>
      <w:headerReference w:type="first" r:id="rId31"/>
      <w:endnotePr>
        <w:numFmt w:val="decimal"/>
      </w:endnotePr>
      <w:pgSz w:w="12240" w:h="15840" w:code="1"/>
      <w:pgMar w:top="1440" w:right="1440" w:bottom="1440" w:left="1440" w:header="0" w:footer="720" w:gutter="0"/>
      <w:pgNumType w:fmt="numberInDash" w:start="8"/>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A60" w:rsidRDefault="00D57A60" w:rsidP="005E2A00">
      <w:r>
        <w:separator/>
      </w:r>
    </w:p>
  </w:endnote>
  <w:endnote w:type="continuationSeparator" w:id="0">
    <w:p w:rsidR="00D57A60" w:rsidRDefault="00D57A60" w:rsidP="005E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C" w:rsidRDefault="00D054BC">
    <w:pPr>
      <w:pStyle w:val="Footer"/>
      <w:jc w:val="center"/>
    </w:pPr>
  </w:p>
  <w:p w:rsidR="00D054BC" w:rsidRDefault="00D054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986514"/>
      <w:docPartObj>
        <w:docPartGallery w:val="Page Numbers (Bottom of Page)"/>
        <w:docPartUnique/>
      </w:docPartObj>
    </w:sdtPr>
    <w:sdtEndPr>
      <w:rPr>
        <w:rFonts w:ascii="Arial" w:hAnsi="Arial" w:cs="Arial"/>
        <w:noProof/>
      </w:rPr>
    </w:sdtEndPr>
    <w:sdtContent>
      <w:p w:rsidR="00D054BC" w:rsidRPr="00DF71F5" w:rsidRDefault="00DF71F5" w:rsidP="00DF71F5">
        <w:pPr>
          <w:pStyle w:val="Footer"/>
          <w:jc w:val="center"/>
          <w:rPr>
            <w:rFonts w:ascii="Arial" w:hAnsi="Arial" w:cs="Arial"/>
          </w:rPr>
        </w:pPr>
        <w:r w:rsidRPr="00DF71F5">
          <w:rPr>
            <w:rFonts w:ascii="Arial" w:hAnsi="Arial" w:cs="Arial"/>
          </w:rPr>
          <w:fldChar w:fldCharType="begin"/>
        </w:r>
        <w:r w:rsidRPr="00DF71F5">
          <w:rPr>
            <w:rFonts w:ascii="Arial" w:hAnsi="Arial" w:cs="Arial"/>
          </w:rPr>
          <w:instrText xml:space="preserve"> PAGE   \* MERGEFORMAT </w:instrText>
        </w:r>
        <w:r w:rsidRPr="00DF71F5">
          <w:rPr>
            <w:rFonts w:ascii="Arial" w:hAnsi="Arial" w:cs="Arial"/>
          </w:rPr>
          <w:fldChar w:fldCharType="separate"/>
        </w:r>
        <w:r>
          <w:rPr>
            <w:rFonts w:ascii="Arial" w:hAnsi="Arial" w:cs="Arial"/>
            <w:noProof/>
          </w:rPr>
          <w:t>- 4 -</w:t>
        </w:r>
        <w:r w:rsidRPr="00DF71F5">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980203"/>
      <w:docPartObj>
        <w:docPartGallery w:val="Page Numbers (Bottom of Page)"/>
        <w:docPartUnique/>
      </w:docPartObj>
    </w:sdtPr>
    <w:sdtEndPr>
      <w:rPr>
        <w:rFonts w:ascii="Arial" w:hAnsi="Arial" w:cs="Arial"/>
        <w:noProof/>
      </w:rPr>
    </w:sdtEndPr>
    <w:sdtContent>
      <w:p w:rsidR="00D054BC" w:rsidRPr="00E46475" w:rsidRDefault="00DF71F5" w:rsidP="00DF71F5">
        <w:pPr>
          <w:pStyle w:val="Footer"/>
          <w:jc w:val="center"/>
          <w:rPr>
            <w:rFonts w:ascii="Arial" w:hAnsi="Arial" w:cs="Arial"/>
          </w:rPr>
        </w:pPr>
        <w:r w:rsidRPr="00DF71F5">
          <w:rPr>
            <w:rFonts w:ascii="Arial" w:hAnsi="Arial" w:cs="Arial"/>
          </w:rPr>
          <w:fldChar w:fldCharType="begin"/>
        </w:r>
        <w:r w:rsidRPr="00DF71F5">
          <w:rPr>
            <w:rFonts w:ascii="Arial" w:hAnsi="Arial" w:cs="Arial"/>
          </w:rPr>
          <w:instrText xml:space="preserve"> PAGE   \* MERGEFORMAT </w:instrText>
        </w:r>
        <w:r w:rsidRPr="00DF71F5">
          <w:rPr>
            <w:rFonts w:ascii="Arial" w:hAnsi="Arial" w:cs="Arial"/>
          </w:rPr>
          <w:fldChar w:fldCharType="separate"/>
        </w:r>
        <w:r w:rsidR="00A46665">
          <w:rPr>
            <w:rFonts w:ascii="Arial" w:hAnsi="Arial" w:cs="Arial"/>
            <w:noProof/>
          </w:rPr>
          <w:t>- 7 -</w:t>
        </w:r>
        <w:r w:rsidRPr="00DF71F5">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015350"/>
      <w:docPartObj>
        <w:docPartGallery w:val="Page Numbers (Bottom of Page)"/>
        <w:docPartUnique/>
      </w:docPartObj>
    </w:sdtPr>
    <w:sdtEndPr>
      <w:rPr>
        <w:rFonts w:ascii="Arial" w:hAnsi="Arial" w:cs="Arial"/>
        <w:noProof/>
      </w:rPr>
    </w:sdtEndPr>
    <w:sdtContent>
      <w:p w:rsidR="0057722E" w:rsidRPr="00DF71F5" w:rsidRDefault="00DF71F5" w:rsidP="00DF71F5">
        <w:pPr>
          <w:pStyle w:val="Footer"/>
          <w:jc w:val="center"/>
          <w:rPr>
            <w:rFonts w:ascii="Arial" w:hAnsi="Arial" w:cs="Arial"/>
          </w:rPr>
        </w:pPr>
        <w:r w:rsidRPr="00DF71F5">
          <w:rPr>
            <w:rFonts w:ascii="Arial" w:hAnsi="Arial" w:cs="Arial"/>
          </w:rPr>
          <w:fldChar w:fldCharType="begin"/>
        </w:r>
        <w:r w:rsidRPr="00DF71F5">
          <w:rPr>
            <w:rFonts w:ascii="Arial" w:hAnsi="Arial" w:cs="Arial"/>
          </w:rPr>
          <w:instrText xml:space="preserve"> PAGE   \* MERGEFORMAT </w:instrText>
        </w:r>
        <w:r w:rsidRPr="00DF71F5">
          <w:rPr>
            <w:rFonts w:ascii="Arial" w:hAnsi="Arial" w:cs="Arial"/>
          </w:rPr>
          <w:fldChar w:fldCharType="separate"/>
        </w:r>
        <w:r w:rsidR="00A46665">
          <w:rPr>
            <w:rFonts w:ascii="Arial" w:hAnsi="Arial" w:cs="Arial"/>
            <w:noProof/>
          </w:rPr>
          <w:t>- 2 -</w:t>
        </w:r>
        <w:r w:rsidRPr="00DF71F5">
          <w:rPr>
            <w:rFonts w:ascii="Arial" w:hAnsi="Arial" w:cs="Arial"/>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C" w:rsidRDefault="00D054B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661826"/>
      <w:docPartObj>
        <w:docPartGallery w:val="Page Numbers (Bottom of Page)"/>
        <w:docPartUnique/>
      </w:docPartObj>
    </w:sdtPr>
    <w:sdtEndPr>
      <w:rPr>
        <w:rFonts w:ascii="Arial" w:hAnsi="Arial" w:cs="Arial"/>
        <w:noProof/>
      </w:rPr>
    </w:sdtEndPr>
    <w:sdtContent>
      <w:p w:rsidR="0057722E" w:rsidRPr="00E46475" w:rsidRDefault="00DF71F5" w:rsidP="00DF71F5">
        <w:pPr>
          <w:pStyle w:val="Footer"/>
          <w:jc w:val="center"/>
          <w:rPr>
            <w:rFonts w:ascii="Arial" w:hAnsi="Arial" w:cs="Arial"/>
          </w:rPr>
        </w:pPr>
        <w:r w:rsidRPr="00DF71F5">
          <w:rPr>
            <w:rFonts w:ascii="Arial" w:hAnsi="Arial" w:cs="Arial"/>
          </w:rPr>
          <w:fldChar w:fldCharType="begin"/>
        </w:r>
        <w:r w:rsidRPr="00DF71F5">
          <w:rPr>
            <w:rFonts w:ascii="Arial" w:hAnsi="Arial" w:cs="Arial"/>
          </w:rPr>
          <w:instrText xml:space="preserve"> PAGE   \* MERGEFORMAT </w:instrText>
        </w:r>
        <w:r w:rsidRPr="00DF71F5">
          <w:rPr>
            <w:rFonts w:ascii="Arial" w:hAnsi="Arial" w:cs="Arial"/>
          </w:rPr>
          <w:fldChar w:fldCharType="separate"/>
        </w:r>
        <w:r w:rsidR="00A46665">
          <w:rPr>
            <w:rFonts w:ascii="Arial" w:hAnsi="Arial" w:cs="Arial"/>
            <w:noProof/>
          </w:rPr>
          <w:t>- 9 -</w:t>
        </w:r>
        <w:r w:rsidRPr="00DF71F5">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A60" w:rsidRDefault="00D57A60" w:rsidP="005E2A00">
      <w:r>
        <w:separator/>
      </w:r>
    </w:p>
  </w:footnote>
  <w:footnote w:type="continuationSeparator" w:id="0">
    <w:p w:rsidR="00D57A60" w:rsidRDefault="00D57A60" w:rsidP="005E2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83" w:rsidRDefault="00411C8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C" w:rsidRDefault="00D054B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C" w:rsidRDefault="00D054B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C" w:rsidRDefault="00D054B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83" w:rsidRDefault="00411C8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83" w:rsidRDefault="00411C8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83" w:rsidRDefault="00411C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83" w:rsidRDefault="00411C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83" w:rsidRDefault="00411C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C" w:rsidRDefault="00D054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C" w:rsidRDefault="00D054B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C" w:rsidRDefault="00D054B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83" w:rsidRDefault="00411C8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83" w:rsidRDefault="00411C8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83" w:rsidRDefault="00411C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225C"/>
    <w:multiLevelType w:val="hybridMultilevel"/>
    <w:tmpl w:val="CF58117E"/>
    <w:lvl w:ilvl="0" w:tplc="7D5C8F16">
      <w:numFmt w:val="bullet"/>
      <w:lvlText w:val="-"/>
      <w:lvlJc w:val="left"/>
      <w:pPr>
        <w:ind w:left="1740" w:hanging="13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F7352"/>
    <w:multiLevelType w:val="hybridMultilevel"/>
    <w:tmpl w:val="9E28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FE0D5B"/>
    <w:multiLevelType w:val="hybridMultilevel"/>
    <w:tmpl w:val="71B22EF2"/>
    <w:lvl w:ilvl="0" w:tplc="4368596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70"/>
    <w:rsid w:val="00000B6D"/>
    <w:rsid w:val="00003235"/>
    <w:rsid w:val="0001001D"/>
    <w:rsid w:val="00012316"/>
    <w:rsid w:val="00012C2D"/>
    <w:rsid w:val="00015B05"/>
    <w:rsid w:val="0002575C"/>
    <w:rsid w:val="00026CE1"/>
    <w:rsid w:val="0004387E"/>
    <w:rsid w:val="0004676D"/>
    <w:rsid w:val="00054582"/>
    <w:rsid w:val="00057816"/>
    <w:rsid w:val="00062D0C"/>
    <w:rsid w:val="00064F26"/>
    <w:rsid w:val="00066015"/>
    <w:rsid w:val="000740FE"/>
    <w:rsid w:val="00074389"/>
    <w:rsid w:val="00075206"/>
    <w:rsid w:val="00077634"/>
    <w:rsid w:val="00083564"/>
    <w:rsid w:val="0009091A"/>
    <w:rsid w:val="00092997"/>
    <w:rsid w:val="000940DD"/>
    <w:rsid w:val="000A131E"/>
    <w:rsid w:val="000A20A6"/>
    <w:rsid w:val="000B0C75"/>
    <w:rsid w:val="000B1D11"/>
    <w:rsid w:val="000C43E1"/>
    <w:rsid w:val="000C6E81"/>
    <w:rsid w:val="000D0A79"/>
    <w:rsid w:val="000D0DC4"/>
    <w:rsid w:val="000D60DC"/>
    <w:rsid w:val="000D624F"/>
    <w:rsid w:val="000E03E3"/>
    <w:rsid w:val="000E3C25"/>
    <w:rsid w:val="000E62F7"/>
    <w:rsid w:val="000E68F8"/>
    <w:rsid w:val="000F0FFD"/>
    <w:rsid w:val="000F2030"/>
    <w:rsid w:val="00100692"/>
    <w:rsid w:val="00100BC4"/>
    <w:rsid w:val="00103666"/>
    <w:rsid w:val="00104B0A"/>
    <w:rsid w:val="00105756"/>
    <w:rsid w:val="0010716B"/>
    <w:rsid w:val="00110DBD"/>
    <w:rsid w:val="00126AB2"/>
    <w:rsid w:val="001407BE"/>
    <w:rsid w:val="00142D96"/>
    <w:rsid w:val="00145B13"/>
    <w:rsid w:val="00146496"/>
    <w:rsid w:val="00150CC5"/>
    <w:rsid w:val="00151038"/>
    <w:rsid w:val="0015199A"/>
    <w:rsid w:val="00151C32"/>
    <w:rsid w:val="00152E73"/>
    <w:rsid w:val="001551F7"/>
    <w:rsid w:val="00171CCE"/>
    <w:rsid w:val="001720D5"/>
    <w:rsid w:val="001741FA"/>
    <w:rsid w:val="00174DAB"/>
    <w:rsid w:val="00182192"/>
    <w:rsid w:val="00184643"/>
    <w:rsid w:val="0018591C"/>
    <w:rsid w:val="00191C30"/>
    <w:rsid w:val="00193032"/>
    <w:rsid w:val="001A0A6B"/>
    <w:rsid w:val="001A381E"/>
    <w:rsid w:val="001A778A"/>
    <w:rsid w:val="001B0F02"/>
    <w:rsid w:val="001B5A48"/>
    <w:rsid w:val="001B739A"/>
    <w:rsid w:val="001D0DB6"/>
    <w:rsid w:val="001D2717"/>
    <w:rsid w:val="001D3F70"/>
    <w:rsid w:val="001D55C8"/>
    <w:rsid w:val="001D5696"/>
    <w:rsid w:val="001E16F0"/>
    <w:rsid w:val="001E31CB"/>
    <w:rsid w:val="001E4AB2"/>
    <w:rsid w:val="001E7532"/>
    <w:rsid w:val="001F0A2C"/>
    <w:rsid w:val="001F338D"/>
    <w:rsid w:val="001F54D1"/>
    <w:rsid w:val="00200481"/>
    <w:rsid w:val="0020301A"/>
    <w:rsid w:val="002127E2"/>
    <w:rsid w:val="00227718"/>
    <w:rsid w:val="00230C5F"/>
    <w:rsid w:val="00233FB3"/>
    <w:rsid w:val="00234411"/>
    <w:rsid w:val="00240629"/>
    <w:rsid w:val="00240C17"/>
    <w:rsid w:val="00242993"/>
    <w:rsid w:val="002537E2"/>
    <w:rsid w:val="002538E4"/>
    <w:rsid w:val="00254C2B"/>
    <w:rsid w:val="002653FD"/>
    <w:rsid w:val="00283BE5"/>
    <w:rsid w:val="002911C0"/>
    <w:rsid w:val="00294CA1"/>
    <w:rsid w:val="002A097E"/>
    <w:rsid w:val="002A2010"/>
    <w:rsid w:val="002A40DA"/>
    <w:rsid w:val="002A5207"/>
    <w:rsid w:val="002B7DD4"/>
    <w:rsid w:val="002C1992"/>
    <w:rsid w:val="002C61BD"/>
    <w:rsid w:val="002D3442"/>
    <w:rsid w:val="002D4581"/>
    <w:rsid w:val="002E12B0"/>
    <w:rsid w:val="002E447C"/>
    <w:rsid w:val="002F03DE"/>
    <w:rsid w:val="002F3332"/>
    <w:rsid w:val="002F3DE3"/>
    <w:rsid w:val="002F7396"/>
    <w:rsid w:val="0030013D"/>
    <w:rsid w:val="0030587F"/>
    <w:rsid w:val="00306FB7"/>
    <w:rsid w:val="00307B6E"/>
    <w:rsid w:val="00311F68"/>
    <w:rsid w:val="00312052"/>
    <w:rsid w:val="00314E35"/>
    <w:rsid w:val="00321671"/>
    <w:rsid w:val="003221A3"/>
    <w:rsid w:val="003346C5"/>
    <w:rsid w:val="00334DDB"/>
    <w:rsid w:val="00336287"/>
    <w:rsid w:val="0034172E"/>
    <w:rsid w:val="00343C2B"/>
    <w:rsid w:val="00344301"/>
    <w:rsid w:val="00344CDD"/>
    <w:rsid w:val="0035058C"/>
    <w:rsid w:val="00353288"/>
    <w:rsid w:val="00362058"/>
    <w:rsid w:val="0036254A"/>
    <w:rsid w:val="00364172"/>
    <w:rsid w:val="00364C8F"/>
    <w:rsid w:val="00367032"/>
    <w:rsid w:val="003701D0"/>
    <w:rsid w:val="00370578"/>
    <w:rsid w:val="003819CF"/>
    <w:rsid w:val="00392DF4"/>
    <w:rsid w:val="003944C3"/>
    <w:rsid w:val="003956EE"/>
    <w:rsid w:val="003A628A"/>
    <w:rsid w:val="003B004A"/>
    <w:rsid w:val="003C0D72"/>
    <w:rsid w:val="003C4157"/>
    <w:rsid w:val="003C5607"/>
    <w:rsid w:val="003D0F37"/>
    <w:rsid w:val="003E2B0F"/>
    <w:rsid w:val="003E4581"/>
    <w:rsid w:val="003E703F"/>
    <w:rsid w:val="003F0080"/>
    <w:rsid w:val="00411C83"/>
    <w:rsid w:val="004163D6"/>
    <w:rsid w:val="00417BA1"/>
    <w:rsid w:val="004217BE"/>
    <w:rsid w:val="004224AC"/>
    <w:rsid w:val="00422C5C"/>
    <w:rsid w:val="00423ED4"/>
    <w:rsid w:val="004253EB"/>
    <w:rsid w:val="004340F7"/>
    <w:rsid w:val="00441453"/>
    <w:rsid w:val="004418A1"/>
    <w:rsid w:val="0044214F"/>
    <w:rsid w:val="00443FE8"/>
    <w:rsid w:val="0044516E"/>
    <w:rsid w:val="004501B5"/>
    <w:rsid w:val="004714C1"/>
    <w:rsid w:val="00471F61"/>
    <w:rsid w:val="004771EF"/>
    <w:rsid w:val="00477B56"/>
    <w:rsid w:val="00481887"/>
    <w:rsid w:val="00483652"/>
    <w:rsid w:val="00491053"/>
    <w:rsid w:val="00492A31"/>
    <w:rsid w:val="00496A30"/>
    <w:rsid w:val="004A421C"/>
    <w:rsid w:val="004A75C3"/>
    <w:rsid w:val="004B070E"/>
    <w:rsid w:val="004B3A72"/>
    <w:rsid w:val="004B51AF"/>
    <w:rsid w:val="004B6A58"/>
    <w:rsid w:val="004B73E9"/>
    <w:rsid w:val="004C0D1E"/>
    <w:rsid w:val="004C448E"/>
    <w:rsid w:val="004C7062"/>
    <w:rsid w:val="004C7C79"/>
    <w:rsid w:val="004C7E1B"/>
    <w:rsid w:val="004D04DF"/>
    <w:rsid w:val="004D0639"/>
    <w:rsid w:val="004D1C1F"/>
    <w:rsid w:val="004D2644"/>
    <w:rsid w:val="004D7392"/>
    <w:rsid w:val="004E6772"/>
    <w:rsid w:val="004E792F"/>
    <w:rsid w:val="004E7F40"/>
    <w:rsid w:val="004F00DD"/>
    <w:rsid w:val="004F0E6E"/>
    <w:rsid w:val="004F21DE"/>
    <w:rsid w:val="004F2716"/>
    <w:rsid w:val="004F4F89"/>
    <w:rsid w:val="004F5A51"/>
    <w:rsid w:val="00500A04"/>
    <w:rsid w:val="00502CDA"/>
    <w:rsid w:val="00507506"/>
    <w:rsid w:val="00520D7F"/>
    <w:rsid w:val="0052293D"/>
    <w:rsid w:val="005233E2"/>
    <w:rsid w:val="00526C4A"/>
    <w:rsid w:val="00533ACB"/>
    <w:rsid w:val="0054019C"/>
    <w:rsid w:val="00542877"/>
    <w:rsid w:val="00544C85"/>
    <w:rsid w:val="00545B94"/>
    <w:rsid w:val="00546BB7"/>
    <w:rsid w:val="005476FA"/>
    <w:rsid w:val="00553451"/>
    <w:rsid w:val="0055464A"/>
    <w:rsid w:val="00557CA2"/>
    <w:rsid w:val="005678C1"/>
    <w:rsid w:val="00570935"/>
    <w:rsid w:val="0057178A"/>
    <w:rsid w:val="00573C82"/>
    <w:rsid w:val="00574271"/>
    <w:rsid w:val="005743F8"/>
    <w:rsid w:val="005770F1"/>
    <w:rsid w:val="0057722E"/>
    <w:rsid w:val="0059093A"/>
    <w:rsid w:val="00590DDE"/>
    <w:rsid w:val="00591BEB"/>
    <w:rsid w:val="0059416E"/>
    <w:rsid w:val="0059425F"/>
    <w:rsid w:val="0059676C"/>
    <w:rsid w:val="005A1DF6"/>
    <w:rsid w:val="005A2E27"/>
    <w:rsid w:val="005A4B5E"/>
    <w:rsid w:val="005B56C7"/>
    <w:rsid w:val="005B7853"/>
    <w:rsid w:val="005B7F88"/>
    <w:rsid w:val="005C3D45"/>
    <w:rsid w:val="005C4D25"/>
    <w:rsid w:val="005D0D92"/>
    <w:rsid w:val="005D1D5E"/>
    <w:rsid w:val="005D673A"/>
    <w:rsid w:val="005E266C"/>
    <w:rsid w:val="005E2A00"/>
    <w:rsid w:val="005E2B48"/>
    <w:rsid w:val="005E3330"/>
    <w:rsid w:val="005F18C7"/>
    <w:rsid w:val="005F40A1"/>
    <w:rsid w:val="005F4AF7"/>
    <w:rsid w:val="00600EC2"/>
    <w:rsid w:val="006034E3"/>
    <w:rsid w:val="006038C1"/>
    <w:rsid w:val="00604EF8"/>
    <w:rsid w:val="0060640C"/>
    <w:rsid w:val="00606871"/>
    <w:rsid w:val="00607D58"/>
    <w:rsid w:val="006144E6"/>
    <w:rsid w:val="00621557"/>
    <w:rsid w:val="00621F07"/>
    <w:rsid w:val="006239A3"/>
    <w:rsid w:val="00624FF9"/>
    <w:rsid w:val="00631259"/>
    <w:rsid w:val="00633B53"/>
    <w:rsid w:val="00635ED0"/>
    <w:rsid w:val="00637FB0"/>
    <w:rsid w:val="006423A1"/>
    <w:rsid w:val="00643931"/>
    <w:rsid w:val="006473E3"/>
    <w:rsid w:val="00650BEF"/>
    <w:rsid w:val="00651A2F"/>
    <w:rsid w:val="00651E39"/>
    <w:rsid w:val="00657C6A"/>
    <w:rsid w:val="00667FC8"/>
    <w:rsid w:val="00670CF5"/>
    <w:rsid w:val="00671436"/>
    <w:rsid w:val="006754E9"/>
    <w:rsid w:val="00675CD8"/>
    <w:rsid w:val="00680A3A"/>
    <w:rsid w:val="00686937"/>
    <w:rsid w:val="00687598"/>
    <w:rsid w:val="00690481"/>
    <w:rsid w:val="006911BB"/>
    <w:rsid w:val="00692167"/>
    <w:rsid w:val="006947A5"/>
    <w:rsid w:val="006A0946"/>
    <w:rsid w:val="006B0873"/>
    <w:rsid w:val="006B5BF1"/>
    <w:rsid w:val="006B67BF"/>
    <w:rsid w:val="006B7B5C"/>
    <w:rsid w:val="006C4830"/>
    <w:rsid w:val="006D1B53"/>
    <w:rsid w:val="006D5D5F"/>
    <w:rsid w:val="006E05F6"/>
    <w:rsid w:val="006E100A"/>
    <w:rsid w:val="006E474F"/>
    <w:rsid w:val="006F1A26"/>
    <w:rsid w:val="006F27B0"/>
    <w:rsid w:val="006F4196"/>
    <w:rsid w:val="007008C0"/>
    <w:rsid w:val="00701043"/>
    <w:rsid w:val="0070351C"/>
    <w:rsid w:val="007053BF"/>
    <w:rsid w:val="00710724"/>
    <w:rsid w:val="0071151E"/>
    <w:rsid w:val="00713A90"/>
    <w:rsid w:val="00720F71"/>
    <w:rsid w:val="00721624"/>
    <w:rsid w:val="007309A5"/>
    <w:rsid w:val="00730D4A"/>
    <w:rsid w:val="00731E2C"/>
    <w:rsid w:val="007346A2"/>
    <w:rsid w:val="00737BD5"/>
    <w:rsid w:val="00741806"/>
    <w:rsid w:val="00746FDA"/>
    <w:rsid w:val="00747F9E"/>
    <w:rsid w:val="00750D42"/>
    <w:rsid w:val="00750E57"/>
    <w:rsid w:val="00753AAB"/>
    <w:rsid w:val="00754773"/>
    <w:rsid w:val="00755D52"/>
    <w:rsid w:val="0076175D"/>
    <w:rsid w:val="00765C83"/>
    <w:rsid w:val="007675DA"/>
    <w:rsid w:val="00771E67"/>
    <w:rsid w:val="00776A05"/>
    <w:rsid w:val="00782312"/>
    <w:rsid w:val="007A08A6"/>
    <w:rsid w:val="007A1D3C"/>
    <w:rsid w:val="007A2E01"/>
    <w:rsid w:val="007A56D9"/>
    <w:rsid w:val="007A570F"/>
    <w:rsid w:val="007A68AF"/>
    <w:rsid w:val="007B0F67"/>
    <w:rsid w:val="007B11B6"/>
    <w:rsid w:val="007B39AF"/>
    <w:rsid w:val="007B7252"/>
    <w:rsid w:val="007C3837"/>
    <w:rsid w:val="007D2BBC"/>
    <w:rsid w:val="007D37DF"/>
    <w:rsid w:val="007D4251"/>
    <w:rsid w:val="007E0A17"/>
    <w:rsid w:val="007E0B70"/>
    <w:rsid w:val="007E5138"/>
    <w:rsid w:val="007F2FA1"/>
    <w:rsid w:val="007F5C8C"/>
    <w:rsid w:val="007F62BA"/>
    <w:rsid w:val="0080344A"/>
    <w:rsid w:val="00805C1C"/>
    <w:rsid w:val="00810987"/>
    <w:rsid w:val="00810BD8"/>
    <w:rsid w:val="0081347B"/>
    <w:rsid w:val="00813F70"/>
    <w:rsid w:val="0081455F"/>
    <w:rsid w:val="00815A53"/>
    <w:rsid w:val="00824BF7"/>
    <w:rsid w:val="00825C50"/>
    <w:rsid w:val="008309C1"/>
    <w:rsid w:val="008315DA"/>
    <w:rsid w:val="00832300"/>
    <w:rsid w:val="00833D97"/>
    <w:rsid w:val="008374F3"/>
    <w:rsid w:val="00841C47"/>
    <w:rsid w:val="00841E65"/>
    <w:rsid w:val="00842215"/>
    <w:rsid w:val="00844282"/>
    <w:rsid w:val="0086351A"/>
    <w:rsid w:val="00864E82"/>
    <w:rsid w:val="008723EA"/>
    <w:rsid w:val="0087384C"/>
    <w:rsid w:val="00875EEA"/>
    <w:rsid w:val="00876DFF"/>
    <w:rsid w:val="00886502"/>
    <w:rsid w:val="00895078"/>
    <w:rsid w:val="008A05E1"/>
    <w:rsid w:val="008A0E22"/>
    <w:rsid w:val="008A2A2B"/>
    <w:rsid w:val="008B06D2"/>
    <w:rsid w:val="008B5DDA"/>
    <w:rsid w:val="008B6638"/>
    <w:rsid w:val="008B66EC"/>
    <w:rsid w:val="008B7119"/>
    <w:rsid w:val="008C002E"/>
    <w:rsid w:val="008C14EB"/>
    <w:rsid w:val="008C23B1"/>
    <w:rsid w:val="008C3AC2"/>
    <w:rsid w:val="008C5FE1"/>
    <w:rsid w:val="008D356B"/>
    <w:rsid w:val="008D4518"/>
    <w:rsid w:val="008D5451"/>
    <w:rsid w:val="008E0379"/>
    <w:rsid w:val="008E106B"/>
    <w:rsid w:val="008E1185"/>
    <w:rsid w:val="008E46D6"/>
    <w:rsid w:val="008E6F4D"/>
    <w:rsid w:val="008F694E"/>
    <w:rsid w:val="008F7BE0"/>
    <w:rsid w:val="00906F05"/>
    <w:rsid w:val="00911E78"/>
    <w:rsid w:val="00912C39"/>
    <w:rsid w:val="00917D1B"/>
    <w:rsid w:val="00920C6F"/>
    <w:rsid w:val="009240FB"/>
    <w:rsid w:val="009256DA"/>
    <w:rsid w:val="009350D1"/>
    <w:rsid w:val="009365FD"/>
    <w:rsid w:val="0093716D"/>
    <w:rsid w:val="009372EF"/>
    <w:rsid w:val="00957C23"/>
    <w:rsid w:val="00962174"/>
    <w:rsid w:val="00964E92"/>
    <w:rsid w:val="00965331"/>
    <w:rsid w:val="00965929"/>
    <w:rsid w:val="00965F80"/>
    <w:rsid w:val="00967346"/>
    <w:rsid w:val="0097236F"/>
    <w:rsid w:val="00972C29"/>
    <w:rsid w:val="00975A60"/>
    <w:rsid w:val="00977EA5"/>
    <w:rsid w:val="00980F9F"/>
    <w:rsid w:val="00983221"/>
    <w:rsid w:val="0098381F"/>
    <w:rsid w:val="0099113D"/>
    <w:rsid w:val="00991DAD"/>
    <w:rsid w:val="00992FE4"/>
    <w:rsid w:val="009930DB"/>
    <w:rsid w:val="00993A78"/>
    <w:rsid w:val="00994429"/>
    <w:rsid w:val="00994AC7"/>
    <w:rsid w:val="00995E8C"/>
    <w:rsid w:val="009A01D2"/>
    <w:rsid w:val="009A1178"/>
    <w:rsid w:val="009A7025"/>
    <w:rsid w:val="009A73FB"/>
    <w:rsid w:val="009A741C"/>
    <w:rsid w:val="009B2223"/>
    <w:rsid w:val="009B25F5"/>
    <w:rsid w:val="009B6C6B"/>
    <w:rsid w:val="009C65F8"/>
    <w:rsid w:val="009C7826"/>
    <w:rsid w:val="009C7B2F"/>
    <w:rsid w:val="009D0E10"/>
    <w:rsid w:val="009D1231"/>
    <w:rsid w:val="009D3C48"/>
    <w:rsid w:val="009D5EFE"/>
    <w:rsid w:val="009E2197"/>
    <w:rsid w:val="009E4A32"/>
    <w:rsid w:val="009E69E3"/>
    <w:rsid w:val="009F79F3"/>
    <w:rsid w:val="009F7E82"/>
    <w:rsid w:val="00A002E2"/>
    <w:rsid w:val="00A01366"/>
    <w:rsid w:val="00A05329"/>
    <w:rsid w:val="00A10018"/>
    <w:rsid w:val="00A11560"/>
    <w:rsid w:val="00A269DE"/>
    <w:rsid w:val="00A35984"/>
    <w:rsid w:val="00A4515D"/>
    <w:rsid w:val="00A45384"/>
    <w:rsid w:val="00A46665"/>
    <w:rsid w:val="00A4722A"/>
    <w:rsid w:val="00A60325"/>
    <w:rsid w:val="00A716F3"/>
    <w:rsid w:val="00A819DB"/>
    <w:rsid w:val="00A849B7"/>
    <w:rsid w:val="00A90108"/>
    <w:rsid w:val="00A9400B"/>
    <w:rsid w:val="00A95D4A"/>
    <w:rsid w:val="00A96589"/>
    <w:rsid w:val="00AA1181"/>
    <w:rsid w:val="00AB0E93"/>
    <w:rsid w:val="00AB1910"/>
    <w:rsid w:val="00AB22F3"/>
    <w:rsid w:val="00AB24D8"/>
    <w:rsid w:val="00AB4297"/>
    <w:rsid w:val="00AB63D4"/>
    <w:rsid w:val="00AC4BF6"/>
    <w:rsid w:val="00AD1F2F"/>
    <w:rsid w:val="00AD327E"/>
    <w:rsid w:val="00AD50EE"/>
    <w:rsid w:val="00AF0532"/>
    <w:rsid w:val="00AF1F15"/>
    <w:rsid w:val="00AF39D1"/>
    <w:rsid w:val="00AF6170"/>
    <w:rsid w:val="00B0095F"/>
    <w:rsid w:val="00B013DF"/>
    <w:rsid w:val="00B02C1A"/>
    <w:rsid w:val="00B0533C"/>
    <w:rsid w:val="00B067E3"/>
    <w:rsid w:val="00B1163B"/>
    <w:rsid w:val="00B13816"/>
    <w:rsid w:val="00B16CD0"/>
    <w:rsid w:val="00B212BE"/>
    <w:rsid w:val="00B21BF1"/>
    <w:rsid w:val="00B22700"/>
    <w:rsid w:val="00B232B5"/>
    <w:rsid w:val="00B36A4D"/>
    <w:rsid w:val="00B407C9"/>
    <w:rsid w:val="00B410B9"/>
    <w:rsid w:val="00B469F4"/>
    <w:rsid w:val="00B50507"/>
    <w:rsid w:val="00B66D7E"/>
    <w:rsid w:val="00B84751"/>
    <w:rsid w:val="00B92D69"/>
    <w:rsid w:val="00B94ACC"/>
    <w:rsid w:val="00B94C19"/>
    <w:rsid w:val="00BA719E"/>
    <w:rsid w:val="00BA7FBF"/>
    <w:rsid w:val="00BB0708"/>
    <w:rsid w:val="00BB2F02"/>
    <w:rsid w:val="00BB35D7"/>
    <w:rsid w:val="00BB5A87"/>
    <w:rsid w:val="00BC0157"/>
    <w:rsid w:val="00BC03B2"/>
    <w:rsid w:val="00BC3472"/>
    <w:rsid w:val="00BC486E"/>
    <w:rsid w:val="00BC5639"/>
    <w:rsid w:val="00BC6CAB"/>
    <w:rsid w:val="00BD2031"/>
    <w:rsid w:val="00BD470B"/>
    <w:rsid w:val="00BE24BD"/>
    <w:rsid w:val="00BE5009"/>
    <w:rsid w:val="00BF1805"/>
    <w:rsid w:val="00BF1B64"/>
    <w:rsid w:val="00BF39C4"/>
    <w:rsid w:val="00BF4859"/>
    <w:rsid w:val="00BF7F33"/>
    <w:rsid w:val="00C03B5F"/>
    <w:rsid w:val="00C0738C"/>
    <w:rsid w:val="00C20715"/>
    <w:rsid w:val="00C24D82"/>
    <w:rsid w:val="00C26FE9"/>
    <w:rsid w:val="00C272E8"/>
    <w:rsid w:val="00C30BD6"/>
    <w:rsid w:val="00C316A9"/>
    <w:rsid w:val="00C401A7"/>
    <w:rsid w:val="00C428B6"/>
    <w:rsid w:val="00C42E04"/>
    <w:rsid w:val="00C52A2C"/>
    <w:rsid w:val="00C5320E"/>
    <w:rsid w:val="00C53765"/>
    <w:rsid w:val="00C54169"/>
    <w:rsid w:val="00C6292F"/>
    <w:rsid w:val="00C630F9"/>
    <w:rsid w:val="00C74A61"/>
    <w:rsid w:val="00C75C78"/>
    <w:rsid w:val="00C76D58"/>
    <w:rsid w:val="00C77E1E"/>
    <w:rsid w:val="00C804B0"/>
    <w:rsid w:val="00C84648"/>
    <w:rsid w:val="00C8497B"/>
    <w:rsid w:val="00C850E1"/>
    <w:rsid w:val="00C86E88"/>
    <w:rsid w:val="00C8745C"/>
    <w:rsid w:val="00C94327"/>
    <w:rsid w:val="00CA0112"/>
    <w:rsid w:val="00CA0E39"/>
    <w:rsid w:val="00CA2626"/>
    <w:rsid w:val="00CA571D"/>
    <w:rsid w:val="00CA670B"/>
    <w:rsid w:val="00CA741B"/>
    <w:rsid w:val="00CB617F"/>
    <w:rsid w:val="00CB7699"/>
    <w:rsid w:val="00CB7C63"/>
    <w:rsid w:val="00CE031F"/>
    <w:rsid w:val="00CE311A"/>
    <w:rsid w:val="00CE376B"/>
    <w:rsid w:val="00CE6285"/>
    <w:rsid w:val="00CE7716"/>
    <w:rsid w:val="00CE7951"/>
    <w:rsid w:val="00CE7FE7"/>
    <w:rsid w:val="00CF1577"/>
    <w:rsid w:val="00CF2099"/>
    <w:rsid w:val="00CF3B3B"/>
    <w:rsid w:val="00CF6E5F"/>
    <w:rsid w:val="00CF781B"/>
    <w:rsid w:val="00CF788E"/>
    <w:rsid w:val="00D05077"/>
    <w:rsid w:val="00D05090"/>
    <w:rsid w:val="00D054BC"/>
    <w:rsid w:val="00D10BD0"/>
    <w:rsid w:val="00D16586"/>
    <w:rsid w:val="00D17ABF"/>
    <w:rsid w:val="00D23CA5"/>
    <w:rsid w:val="00D243EA"/>
    <w:rsid w:val="00D26ACA"/>
    <w:rsid w:val="00D30289"/>
    <w:rsid w:val="00D30A48"/>
    <w:rsid w:val="00D33E20"/>
    <w:rsid w:val="00D41F34"/>
    <w:rsid w:val="00D44194"/>
    <w:rsid w:val="00D44786"/>
    <w:rsid w:val="00D44A25"/>
    <w:rsid w:val="00D4755E"/>
    <w:rsid w:val="00D51858"/>
    <w:rsid w:val="00D533CE"/>
    <w:rsid w:val="00D53D77"/>
    <w:rsid w:val="00D542A8"/>
    <w:rsid w:val="00D549A7"/>
    <w:rsid w:val="00D57332"/>
    <w:rsid w:val="00D5735C"/>
    <w:rsid w:val="00D57A60"/>
    <w:rsid w:val="00D629D1"/>
    <w:rsid w:val="00D62C56"/>
    <w:rsid w:val="00D7184E"/>
    <w:rsid w:val="00D72E7B"/>
    <w:rsid w:val="00D739B9"/>
    <w:rsid w:val="00D74869"/>
    <w:rsid w:val="00D85B19"/>
    <w:rsid w:val="00D90F24"/>
    <w:rsid w:val="00D946D0"/>
    <w:rsid w:val="00D95FAD"/>
    <w:rsid w:val="00D96FE1"/>
    <w:rsid w:val="00D97AFD"/>
    <w:rsid w:val="00DA5521"/>
    <w:rsid w:val="00DA634E"/>
    <w:rsid w:val="00DA6445"/>
    <w:rsid w:val="00DA7513"/>
    <w:rsid w:val="00DB2DF3"/>
    <w:rsid w:val="00DB2EBE"/>
    <w:rsid w:val="00DB319D"/>
    <w:rsid w:val="00DB3D40"/>
    <w:rsid w:val="00DB42FB"/>
    <w:rsid w:val="00DB48F0"/>
    <w:rsid w:val="00DB7597"/>
    <w:rsid w:val="00DC2440"/>
    <w:rsid w:val="00DC2F81"/>
    <w:rsid w:val="00DC3CF8"/>
    <w:rsid w:val="00DC5C32"/>
    <w:rsid w:val="00DD0C42"/>
    <w:rsid w:val="00DE0810"/>
    <w:rsid w:val="00DE100D"/>
    <w:rsid w:val="00DE3A51"/>
    <w:rsid w:val="00DE4920"/>
    <w:rsid w:val="00DE789F"/>
    <w:rsid w:val="00DF2D99"/>
    <w:rsid w:val="00DF4C98"/>
    <w:rsid w:val="00DF6156"/>
    <w:rsid w:val="00DF71F5"/>
    <w:rsid w:val="00DF7BE0"/>
    <w:rsid w:val="00E015CA"/>
    <w:rsid w:val="00E01EB3"/>
    <w:rsid w:val="00E02152"/>
    <w:rsid w:val="00E035AE"/>
    <w:rsid w:val="00E16751"/>
    <w:rsid w:val="00E1740C"/>
    <w:rsid w:val="00E17EC0"/>
    <w:rsid w:val="00E20709"/>
    <w:rsid w:val="00E2145A"/>
    <w:rsid w:val="00E2248D"/>
    <w:rsid w:val="00E224DB"/>
    <w:rsid w:val="00E25FAC"/>
    <w:rsid w:val="00E267CA"/>
    <w:rsid w:val="00E26A3A"/>
    <w:rsid w:val="00E27EBA"/>
    <w:rsid w:val="00E36E15"/>
    <w:rsid w:val="00E37D70"/>
    <w:rsid w:val="00E40339"/>
    <w:rsid w:val="00E46475"/>
    <w:rsid w:val="00E51D7F"/>
    <w:rsid w:val="00E532F3"/>
    <w:rsid w:val="00E56159"/>
    <w:rsid w:val="00E6312A"/>
    <w:rsid w:val="00E63E64"/>
    <w:rsid w:val="00E66535"/>
    <w:rsid w:val="00E66B20"/>
    <w:rsid w:val="00E67E81"/>
    <w:rsid w:val="00E80FC2"/>
    <w:rsid w:val="00E83205"/>
    <w:rsid w:val="00E83CEC"/>
    <w:rsid w:val="00E84367"/>
    <w:rsid w:val="00E90333"/>
    <w:rsid w:val="00E95DFA"/>
    <w:rsid w:val="00E96112"/>
    <w:rsid w:val="00EA0C86"/>
    <w:rsid w:val="00EA3B73"/>
    <w:rsid w:val="00EA51BC"/>
    <w:rsid w:val="00EA56DD"/>
    <w:rsid w:val="00EB18F7"/>
    <w:rsid w:val="00EB5774"/>
    <w:rsid w:val="00EB5F3C"/>
    <w:rsid w:val="00EC28DD"/>
    <w:rsid w:val="00ED0732"/>
    <w:rsid w:val="00ED42F8"/>
    <w:rsid w:val="00ED63B5"/>
    <w:rsid w:val="00EE464F"/>
    <w:rsid w:val="00EE5E76"/>
    <w:rsid w:val="00EE6BA7"/>
    <w:rsid w:val="00EF260E"/>
    <w:rsid w:val="00EF53B4"/>
    <w:rsid w:val="00EF7615"/>
    <w:rsid w:val="00EF7773"/>
    <w:rsid w:val="00F00643"/>
    <w:rsid w:val="00F0258F"/>
    <w:rsid w:val="00F04506"/>
    <w:rsid w:val="00F07314"/>
    <w:rsid w:val="00F12A7F"/>
    <w:rsid w:val="00F1464C"/>
    <w:rsid w:val="00F16976"/>
    <w:rsid w:val="00F2273F"/>
    <w:rsid w:val="00F309E9"/>
    <w:rsid w:val="00F33713"/>
    <w:rsid w:val="00F36702"/>
    <w:rsid w:val="00F40355"/>
    <w:rsid w:val="00F4151D"/>
    <w:rsid w:val="00F43233"/>
    <w:rsid w:val="00F44333"/>
    <w:rsid w:val="00F4617C"/>
    <w:rsid w:val="00F46995"/>
    <w:rsid w:val="00F47217"/>
    <w:rsid w:val="00F51952"/>
    <w:rsid w:val="00F51E91"/>
    <w:rsid w:val="00F52420"/>
    <w:rsid w:val="00F61BC3"/>
    <w:rsid w:val="00F625A7"/>
    <w:rsid w:val="00F701A0"/>
    <w:rsid w:val="00F7784F"/>
    <w:rsid w:val="00F8542F"/>
    <w:rsid w:val="00F85B1F"/>
    <w:rsid w:val="00F86E61"/>
    <w:rsid w:val="00F86ED6"/>
    <w:rsid w:val="00F9274E"/>
    <w:rsid w:val="00F9396B"/>
    <w:rsid w:val="00F93F28"/>
    <w:rsid w:val="00FA211E"/>
    <w:rsid w:val="00FA5724"/>
    <w:rsid w:val="00FA5FEB"/>
    <w:rsid w:val="00FA622C"/>
    <w:rsid w:val="00FB045E"/>
    <w:rsid w:val="00FC1ECB"/>
    <w:rsid w:val="00FC73E2"/>
    <w:rsid w:val="00FC742D"/>
    <w:rsid w:val="00FC745C"/>
    <w:rsid w:val="00FD275C"/>
    <w:rsid w:val="00FD4216"/>
    <w:rsid w:val="00FD47E4"/>
    <w:rsid w:val="00FD584D"/>
    <w:rsid w:val="00FE2FE7"/>
    <w:rsid w:val="00FE3536"/>
    <w:rsid w:val="00FF03EC"/>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70"/>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rPr>
  </w:style>
  <w:style w:type="paragraph" w:styleId="Heading1">
    <w:name w:val="heading 1"/>
    <w:basedOn w:val="Normal"/>
    <w:next w:val="Normal"/>
    <w:link w:val="Heading1Char"/>
    <w:qFormat/>
    <w:rsid w:val="007E0B70"/>
    <w:pPr>
      <w:keepNext/>
      <w:tabs>
        <w:tab w:val="center" w:pos="4680"/>
      </w:tabs>
      <w:suppressAutoHyphens/>
      <w:jc w:val="center"/>
      <w:outlineLvl w:val="0"/>
    </w:pPr>
    <w:rPr>
      <w:b/>
      <w:u w:val="single"/>
    </w:rPr>
  </w:style>
  <w:style w:type="paragraph" w:styleId="Heading4">
    <w:name w:val="heading 4"/>
    <w:basedOn w:val="Normal"/>
    <w:next w:val="Normal"/>
    <w:link w:val="Heading4Char"/>
    <w:qFormat/>
    <w:rsid w:val="007E0B70"/>
    <w:pPr>
      <w:keepNext/>
      <w:tabs>
        <w:tab w:val="center" w:pos="4680"/>
      </w:tabs>
      <w:suppressAutoHyphens/>
      <w:jc w:val="center"/>
      <w:outlineLvl w:val="3"/>
    </w:pPr>
    <w:rPr>
      <w:b/>
      <w:sz w:val="32"/>
      <w:u w:val="single"/>
    </w:rPr>
  </w:style>
  <w:style w:type="paragraph" w:styleId="Heading6">
    <w:name w:val="heading 6"/>
    <w:basedOn w:val="Normal"/>
    <w:next w:val="Normal"/>
    <w:link w:val="Heading6Char"/>
    <w:uiPriority w:val="9"/>
    <w:semiHidden/>
    <w:unhideWhenUsed/>
    <w:qFormat/>
    <w:rsid w:val="004F00D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7E0B70"/>
    <w:pPr>
      <w:keepNext/>
      <w:suppressAutoHyphens/>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70"/>
    <w:rPr>
      <w:rFonts w:ascii="Book Antiqua" w:eastAsia="Times New Roman" w:hAnsi="Book Antiqua" w:cs="Times New Roman"/>
      <w:b/>
      <w:sz w:val="24"/>
      <w:szCs w:val="20"/>
      <w:u w:val="single"/>
    </w:rPr>
  </w:style>
  <w:style w:type="character" w:customStyle="1" w:styleId="Heading4Char">
    <w:name w:val="Heading 4 Char"/>
    <w:basedOn w:val="DefaultParagraphFont"/>
    <w:link w:val="Heading4"/>
    <w:rsid w:val="007E0B70"/>
    <w:rPr>
      <w:rFonts w:ascii="Book Antiqua" w:eastAsia="Times New Roman" w:hAnsi="Book Antiqua" w:cs="Times New Roman"/>
      <w:b/>
      <w:sz w:val="32"/>
      <w:szCs w:val="20"/>
      <w:u w:val="single"/>
    </w:rPr>
  </w:style>
  <w:style w:type="character" w:customStyle="1" w:styleId="Heading8Char">
    <w:name w:val="Heading 8 Char"/>
    <w:basedOn w:val="DefaultParagraphFont"/>
    <w:link w:val="Heading8"/>
    <w:rsid w:val="007E0B70"/>
    <w:rPr>
      <w:rFonts w:ascii="Book Antiqua" w:eastAsia="Times New Roman" w:hAnsi="Book Antiqua" w:cs="Times New Roman"/>
      <w:b/>
      <w:sz w:val="36"/>
      <w:szCs w:val="20"/>
    </w:rPr>
  </w:style>
  <w:style w:type="paragraph" w:styleId="BodyText2">
    <w:name w:val="Body Text 2"/>
    <w:basedOn w:val="Normal"/>
    <w:link w:val="BodyText2Char"/>
    <w:rsid w:val="007E0B70"/>
    <w:pPr>
      <w:tabs>
        <w:tab w:val="center" w:pos="4680"/>
      </w:tabs>
      <w:suppressAutoHyphens/>
      <w:jc w:val="center"/>
    </w:pPr>
    <w:rPr>
      <w:b/>
      <w:sz w:val="36"/>
    </w:rPr>
  </w:style>
  <w:style w:type="character" w:customStyle="1" w:styleId="BodyText2Char">
    <w:name w:val="Body Text 2 Char"/>
    <w:basedOn w:val="DefaultParagraphFont"/>
    <w:link w:val="BodyText2"/>
    <w:rsid w:val="007E0B70"/>
    <w:rPr>
      <w:rFonts w:ascii="Book Antiqua" w:eastAsia="Times New Roman" w:hAnsi="Book Antiqua" w:cs="Times New Roman"/>
      <w:b/>
      <w:sz w:val="36"/>
      <w:szCs w:val="20"/>
    </w:rPr>
  </w:style>
  <w:style w:type="paragraph" w:styleId="EndnoteText">
    <w:name w:val="endnote text"/>
    <w:basedOn w:val="Normal"/>
    <w:link w:val="EndnoteTextChar"/>
    <w:semiHidden/>
    <w:rsid w:val="007E0B70"/>
  </w:style>
  <w:style w:type="character" w:customStyle="1" w:styleId="EndnoteTextChar">
    <w:name w:val="Endnote Text Char"/>
    <w:basedOn w:val="DefaultParagraphFont"/>
    <w:link w:val="EndnoteText"/>
    <w:semiHidden/>
    <w:rsid w:val="007E0B70"/>
    <w:rPr>
      <w:rFonts w:ascii="Book Antiqua" w:eastAsia="Times New Roman" w:hAnsi="Book Antiqua" w:cs="Times New Roman"/>
      <w:sz w:val="24"/>
      <w:szCs w:val="20"/>
    </w:rPr>
  </w:style>
  <w:style w:type="paragraph" w:styleId="Footer">
    <w:name w:val="footer"/>
    <w:basedOn w:val="Normal"/>
    <w:link w:val="FooterChar"/>
    <w:uiPriority w:val="99"/>
    <w:rsid w:val="007E0B70"/>
    <w:pPr>
      <w:tabs>
        <w:tab w:val="center" w:pos="4320"/>
        <w:tab w:val="right" w:pos="8640"/>
      </w:tabs>
    </w:pPr>
  </w:style>
  <w:style w:type="character" w:customStyle="1" w:styleId="FooterChar">
    <w:name w:val="Footer Char"/>
    <w:basedOn w:val="DefaultParagraphFont"/>
    <w:link w:val="Footer"/>
    <w:uiPriority w:val="99"/>
    <w:rsid w:val="007E0B70"/>
    <w:rPr>
      <w:rFonts w:ascii="Book Antiqua" w:eastAsia="Times New Roman" w:hAnsi="Book Antiqua" w:cs="Times New Roman"/>
      <w:sz w:val="24"/>
      <w:szCs w:val="20"/>
    </w:rPr>
  </w:style>
  <w:style w:type="paragraph" w:styleId="Header">
    <w:name w:val="header"/>
    <w:basedOn w:val="Normal"/>
    <w:link w:val="HeaderChar"/>
    <w:rsid w:val="007E0B70"/>
    <w:pPr>
      <w:tabs>
        <w:tab w:val="center" w:pos="4320"/>
        <w:tab w:val="right" w:pos="8640"/>
      </w:tabs>
    </w:pPr>
  </w:style>
  <w:style w:type="character" w:customStyle="1" w:styleId="HeaderChar">
    <w:name w:val="Header Char"/>
    <w:basedOn w:val="DefaultParagraphFont"/>
    <w:link w:val="Header"/>
    <w:rsid w:val="007E0B70"/>
    <w:rPr>
      <w:rFonts w:ascii="Book Antiqua" w:eastAsia="Times New Roman" w:hAnsi="Book Antiqua" w:cs="Times New Roman"/>
      <w:sz w:val="24"/>
      <w:szCs w:val="20"/>
    </w:rPr>
  </w:style>
  <w:style w:type="paragraph" w:styleId="Title">
    <w:name w:val="Title"/>
    <w:basedOn w:val="Normal"/>
    <w:link w:val="TitleChar"/>
    <w:qFormat/>
    <w:rsid w:val="007E0B70"/>
    <w:pPr>
      <w:overflowPunct/>
      <w:autoSpaceDE/>
      <w:autoSpaceDN/>
      <w:adjustRightInd/>
      <w:jc w:val="center"/>
      <w:textAlignment w:val="auto"/>
    </w:pPr>
    <w:rPr>
      <w:rFonts w:ascii="Times New Roman" w:hAnsi="Times New Roman"/>
      <w:b/>
      <w:sz w:val="32"/>
      <w:u w:val="single"/>
    </w:rPr>
  </w:style>
  <w:style w:type="character" w:customStyle="1" w:styleId="TitleChar">
    <w:name w:val="Title Char"/>
    <w:basedOn w:val="DefaultParagraphFont"/>
    <w:link w:val="Title"/>
    <w:rsid w:val="007E0B70"/>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7E0B70"/>
    <w:rPr>
      <w:rFonts w:ascii="Tahoma" w:hAnsi="Tahoma" w:cs="Tahoma"/>
      <w:sz w:val="16"/>
      <w:szCs w:val="16"/>
    </w:rPr>
  </w:style>
  <w:style w:type="character" w:customStyle="1" w:styleId="BalloonTextChar">
    <w:name w:val="Balloon Text Char"/>
    <w:basedOn w:val="DefaultParagraphFont"/>
    <w:link w:val="BalloonText"/>
    <w:uiPriority w:val="99"/>
    <w:semiHidden/>
    <w:rsid w:val="007E0B70"/>
    <w:rPr>
      <w:rFonts w:ascii="Tahoma" w:eastAsia="Times New Roman" w:hAnsi="Tahoma" w:cs="Tahoma"/>
      <w:sz w:val="16"/>
      <w:szCs w:val="16"/>
    </w:rPr>
  </w:style>
  <w:style w:type="paragraph" w:styleId="ListParagraph">
    <w:name w:val="List Paragraph"/>
    <w:basedOn w:val="Normal"/>
    <w:uiPriority w:val="34"/>
    <w:qFormat/>
    <w:rsid w:val="007E0B70"/>
    <w:pPr>
      <w:ind w:left="720"/>
      <w:contextualSpacing/>
    </w:pPr>
  </w:style>
  <w:style w:type="character" w:styleId="PageNumber">
    <w:name w:val="page number"/>
    <w:basedOn w:val="DefaultParagraphFont"/>
    <w:rsid w:val="00C26FE9"/>
  </w:style>
  <w:style w:type="character" w:styleId="CommentReference">
    <w:name w:val="annotation reference"/>
    <w:basedOn w:val="DefaultParagraphFont"/>
    <w:uiPriority w:val="99"/>
    <w:unhideWhenUsed/>
    <w:rsid w:val="004F00DD"/>
    <w:rPr>
      <w:sz w:val="16"/>
      <w:szCs w:val="16"/>
    </w:rPr>
  </w:style>
  <w:style w:type="paragraph" w:customStyle="1" w:styleId="CommentText1">
    <w:name w:val="Comment Text1"/>
    <w:basedOn w:val="Normal"/>
    <w:next w:val="CommentText"/>
    <w:link w:val="CommentTextChar"/>
    <w:uiPriority w:val="99"/>
    <w:semiHidden/>
    <w:unhideWhenUsed/>
    <w:rsid w:val="004F00DD"/>
    <w:pPr>
      <w:overflowPunct/>
      <w:autoSpaceDE/>
      <w:autoSpaceDN/>
      <w:adjustRightInd/>
      <w:spacing w:after="200"/>
      <w:textAlignment w:val="auto"/>
    </w:pPr>
    <w:rPr>
      <w:rFonts w:ascii="Times New Roman" w:hAnsi="Times New Roman"/>
      <w:sz w:val="20"/>
    </w:rPr>
  </w:style>
  <w:style w:type="character" w:customStyle="1" w:styleId="CommentTextChar">
    <w:name w:val="Comment Text Char"/>
    <w:basedOn w:val="DefaultParagraphFont"/>
    <w:link w:val="CommentText1"/>
    <w:uiPriority w:val="99"/>
    <w:semiHidden/>
    <w:rsid w:val="004F00DD"/>
    <w:rPr>
      <w:rFonts w:ascii="Times New Roman" w:eastAsia="Times New Roman" w:hAnsi="Times New Roman" w:cs="Times New Roman"/>
      <w:sz w:val="20"/>
      <w:szCs w:val="20"/>
    </w:rPr>
  </w:style>
  <w:style w:type="paragraph" w:styleId="CommentText">
    <w:name w:val="annotation text"/>
    <w:basedOn w:val="Normal"/>
    <w:link w:val="CommentTextChar1"/>
    <w:uiPriority w:val="99"/>
    <w:semiHidden/>
    <w:unhideWhenUsed/>
    <w:rsid w:val="004F00DD"/>
    <w:rPr>
      <w:sz w:val="20"/>
    </w:rPr>
  </w:style>
  <w:style w:type="character" w:customStyle="1" w:styleId="CommentTextChar1">
    <w:name w:val="Comment Text Char1"/>
    <w:basedOn w:val="DefaultParagraphFont"/>
    <w:link w:val="CommentText"/>
    <w:uiPriority w:val="99"/>
    <w:semiHidden/>
    <w:rsid w:val="004F00DD"/>
    <w:rPr>
      <w:rFonts w:ascii="Book Antiqua" w:eastAsia="Times New Roman" w:hAnsi="Book Antiqua" w:cs="Times New Roman"/>
      <w:sz w:val="20"/>
      <w:szCs w:val="20"/>
    </w:rPr>
  </w:style>
  <w:style w:type="character" w:customStyle="1" w:styleId="Heading6Char">
    <w:name w:val="Heading 6 Char"/>
    <w:basedOn w:val="DefaultParagraphFont"/>
    <w:link w:val="Heading6"/>
    <w:uiPriority w:val="9"/>
    <w:semiHidden/>
    <w:rsid w:val="004F00DD"/>
    <w:rPr>
      <w:rFonts w:asciiTheme="majorHAnsi" w:eastAsiaTheme="majorEastAsia" w:hAnsiTheme="majorHAnsi" w:cstheme="majorBidi"/>
      <w:i/>
      <w:iCs/>
      <w:color w:val="243F60" w:themeColor="accent1" w:themeShade="7F"/>
      <w:sz w:val="24"/>
      <w:szCs w:val="20"/>
    </w:rPr>
  </w:style>
  <w:style w:type="character" w:styleId="Strong">
    <w:name w:val="Strong"/>
    <w:basedOn w:val="DefaultParagraphFont"/>
    <w:uiPriority w:val="22"/>
    <w:qFormat/>
    <w:rsid w:val="00FD47E4"/>
    <w:rPr>
      <w:b/>
      <w:bCs/>
    </w:rPr>
  </w:style>
  <w:style w:type="character" w:styleId="Hyperlink">
    <w:name w:val="Hyperlink"/>
    <w:basedOn w:val="DefaultParagraphFont"/>
    <w:uiPriority w:val="99"/>
    <w:unhideWhenUsed/>
    <w:rsid w:val="009D5EFE"/>
    <w:rPr>
      <w:color w:val="0000FF" w:themeColor="hyperlink"/>
      <w:u w:val="single"/>
    </w:rPr>
  </w:style>
  <w:style w:type="paragraph" w:styleId="NoSpacing">
    <w:name w:val="No Spacing"/>
    <w:uiPriority w:val="1"/>
    <w:qFormat/>
    <w:rsid w:val="006911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70"/>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rPr>
  </w:style>
  <w:style w:type="paragraph" w:styleId="Heading1">
    <w:name w:val="heading 1"/>
    <w:basedOn w:val="Normal"/>
    <w:next w:val="Normal"/>
    <w:link w:val="Heading1Char"/>
    <w:qFormat/>
    <w:rsid w:val="007E0B70"/>
    <w:pPr>
      <w:keepNext/>
      <w:tabs>
        <w:tab w:val="center" w:pos="4680"/>
      </w:tabs>
      <w:suppressAutoHyphens/>
      <w:jc w:val="center"/>
      <w:outlineLvl w:val="0"/>
    </w:pPr>
    <w:rPr>
      <w:b/>
      <w:u w:val="single"/>
    </w:rPr>
  </w:style>
  <w:style w:type="paragraph" w:styleId="Heading4">
    <w:name w:val="heading 4"/>
    <w:basedOn w:val="Normal"/>
    <w:next w:val="Normal"/>
    <w:link w:val="Heading4Char"/>
    <w:qFormat/>
    <w:rsid w:val="007E0B70"/>
    <w:pPr>
      <w:keepNext/>
      <w:tabs>
        <w:tab w:val="center" w:pos="4680"/>
      </w:tabs>
      <w:suppressAutoHyphens/>
      <w:jc w:val="center"/>
      <w:outlineLvl w:val="3"/>
    </w:pPr>
    <w:rPr>
      <w:b/>
      <w:sz w:val="32"/>
      <w:u w:val="single"/>
    </w:rPr>
  </w:style>
  <w:style w:type="paragraph" w:styleId="Heading6">
    <w:name w:val="heading 6"/>
    <w:basedOn w:val="Normal"/>
    <w:next w:val="Normal"/>
    <w:link w:val="Heading6Char"/>
    <w:uiPriority w:val="9"/>
    <w:semiHidden/>
    <w:unhideWhenUsed/>
    <w:qFormat/>
    <w:rsid w:val="004F00D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7E0B70"/>
    <w:pPr>
      <w:keepNext/>
      <w:suppressAutoHyphens/>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70"/>
    <w:rPr>
      <w:rFonts w:ascii="Book Antiqua" w:eastAsia="Times New Roman" w:hAnsi="Book Antiqua" w:cs="Times New Roman"/>
      <w:b/>
      <w:sz w:val="24"/>
      <w:szCs w:val="20"/>
      <w:u w:val="single"/>
    </w:rPr>
  </w:style>
  <w:style w:type="character" w:customStyle="1" w:styleId="Heading4Char">
    <w:name w:val="Heading 4 Char"/>
    <w:basedOn w:val="DefaultParagraphFont"/>
    <w:link w:val="Heading4"/>
    <w:rsid w:val="007E0B70"/>
    <w:rPr>
      <w:rFonts w:ascii="Book Antiqua" w:eastAsia="Times New Roman" w:hAnsi="Book Antiqua" w:cs="Times New Roman"/>
      <w:b/>
      <w:sz w:val="32"/>
      <w:szCs w:val="20"/>
      <w:u w:val="single"/>
    </w:rPr>
  </w:style>
  <w:style w:type="character" w:customStyle="1" w:styleId="Heading8Char">
    <w:name w:val="Heading 8 Char"/>
    <w:basedOn w:val="DefaultParagraphFont"/>
    <w:link w:val="Heading8"/>
    <w:rsid w:val="007E0B70"/>
    <w:rPr>
      <w:rFonts w:ascii="Book Antiqua" w:eastAsia="Times New Roman" w:hAnsi="Book Antiqua" w:cs="Times New Roman"/>
      <w:b/>
      <w:sz w:val="36"/>
      <w:szCs w:val="20"/>
    </w:rPr>
  </w:style>
  <w:style w:type="paragraph" w:styleId="BodyText2">
    <w:name w:val="Body Text 2"/>
    <w:basedOn w:val="Normal"/>
    <w:link w:val="BodyText2Char"/>
    <w:rsid w:val="007E0B70"/>
    <w:pPr>
      <w:tabs>
        <w:tab w:val="center" w:pos="4680"/>
      </w:tabs>
      <w:suppressAutoHyphens/>
      <w:jc w:val="center"/>
    </w:pPr>
    <w:rPr>
      <w:b/>
      <w:sz w:val="36"/>
    </w:rPr>
  </w:style>
  <w:style w:type="character" w:customStyle="1" w:styleId="BodyText2Char">
    <w:name w:val="Body Text 2 Char"/>
    <w:basedOn w:val="DefaultParagraphFont"/>
    <w:link w:val="BodyText2"/>
    <w:rsid w:val="007E0B70"/>
    <w:rPr>
      <w:rFonts w:ascii="Book Antiqua" w:eastAsia="Times New Roman" w:hAnsi="Book Antiqua" w:cs="Times New Roman"/>
      <w:b/>
      <w:sz w:val="36"/>
      <w:szCs w:val="20"/>
    </w:rPr>
  </w:style>
  <w:style w:type="paragraph" w:styleId="EndnoteText">
    <w:name w:val="endnote text"/>
    <w:basedOn w:val="Normal"/>
    <w:link w:val="EndnoteTextChar"/>
    <w:semiHidden/>
    <w:rsid w:val="007E0B70"/>
  </w:style>
  <w:style w:type="character" w:customStyle="1" w:styleId="EndnoteTextChar">
    <w:name w:val="Endnote Text Char"/>
    <w:basedOn w:val="DefaultParagraphFont"/>
    <w:link w:val="EndnoteText"/>
    <w:semiHidden/>
    <w:rsid w:val="007E0B70"/>
    <w:rPr>
      <w:rFonts w:ascii="Book Antiqua" w:eastAsia="Times New Roman" w:hAnsi="Book Antiqua" w:cs="Times New Roman"/>
      <w:sz w:val="24"/>
      <w:szCs w:val="20"/>
    </w:rPr>
  </w:style>
  <w:style w:type="paragraph" w:styleId="Footer">
    <w:name w:val="footer"/>
    <w:basedOn w:val="Normal"/>
    <w:link w:val="FooterChar"/>
    <w:uiPriority w:val="99"/>
    <w:rsid w:val="007E0B70"/>
    <w:pPr>
      <w:tabs>
        <w:tab w:val="center" w:pos="4320"/>
        <w:tab w:val="right" w:pos="8640"/>
      </w:tabs>
    </w:pPr>
  </w:style>
  <w:style w:type="character" w:customStyle="1" w:styleId="FooterChar">
    <w:name w:val="Footer Char"/>
    <w:basedOn w:val="DefaultParagraphFont"/>
    <w:link w:val="Footer"/>
    <w:uiPriority w:val="99"/>
    <w:rsid w:val="007E0B70"/>
    <w:rPr>
      <w:rFonts w:ascii="Book Antiqua" w:eastAsia="Times New Roman" w:hAnsi="Book Antiqua" w:cs="Times New Roman"/>
      <w:sz w:val="24"/>
      <w:szCs w:val="20"/>
    </w:rPr>
  </w:style>
  <w:style w:type="paragraph" w:styleId="Header">
    <w:name w:val="header"/>
    <w:basedOn w:val="Normal"/>
    <w:link w:val="HeaderChar"/>
    <w:rsid w:val="007E0B70"/>
    <w:pPr>
      <w:tabs>
        <w:tab w:val="center" w:pos="4320"/>
        <w:tab w:val="right" w:pos="8640"/>
      </w:tabs>
    </w:pPr>
  </w:style>
  <w:style w:type="character" w:customStyle="1" w:styleId="HeaderChar">
    <w:name w:val="Header Char"/>
    <w:basedOn w:val="DefaultParagraphFont"/>
    <w:link w:val="Header"/>
    <w:rsid w:val="007E0B70"/>
    <w:rPr>
      <w:rFonts w:ascii="Book Antiqua" w:eastAsia="Times New Roman" w:hAnsi="Book Antiqua" w:cs="Times New Roman"/>
      <w:sz w:val="24"/>
      <w:szCs w:val="20"/>
    </w:rPr>
  </w:style>
  <w:style w:type="paragraph" w:styleId="Title">
    <w:name w:val="Title"/>
    <w:basedOn w:val="Normal"/>
    <w:link w:val="TitleChar"/>
    <w:qFormat/>
    <w:rsid w:val="007E0B70"/>
    <w:pPr>
      <w:overflowPunct/>
      <w:autoSpaceDE/>
      <w:autoSpaceDN/>
      <w:adjustRightInd/>
      <w:jc w:val="center"/>
      <w:textAlignment w:val="auto"/>
    </w:pPr>
    <w:rPr>
      <w:rFonts w:ascii="Times New Roman" w:hAnsi="Times New Roman"/>
      <w:b/>
      <w:sz w:val="32"/>
      <w:u w:val="single"/>
    </w:rPr>
  </w:style>
  <w:style w:type="character" w:customStyle="1" w:styleId="TitleChar">
    <w:name w:val="Title Char"/>
    <w:basedOn w:val="DefaultParagraphFont"/>
    <w:link w:val="Title"/>
    <w:rsid w:val="007E0B70"/>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7E0B70"/>
    <w:rPr>
      <w:rFonts w:ascii="Tahoma" w:hAnsi="Tahoma" w:cs="Tahoma"/>
      <w:sz w:val="16"/>
      <w:szCs w:val="16"/>
    </w:rPr>
  </w:style>
  <w:style w:type="character" w:customStyle="1" w:styleId="BalloonTextChar">
    <w:name w:val="Balloon Text Char"/>
    <w:basedOn w:val="DefaultParagraphFont"/>
    <w:link w:val="BalloonText"/>
    <w:uiPriority w:val="99"/>
    <w:semiHidden/>
    <w:rsid w:val="007E0B70"/>
    <w:rPr>
      <w:rFonts w:ascii="Tahoma" w:eastAsia="Times New Roman" w:hAnsi="Tahoma" w:cs="Tahoma"/>
      <w:sz w:val="16"/>
      <w:szCs w:val="16"/>
    </w:rPr>
  </w:style>
  <w:style w:type="paragraph" w:styleId="ListParagraph">
    <w:name w:val="List Paragraph"/>
    <w:basedOn w:val="Normal"/>
    <w:uiPriority w:val="34"/>
    <w:qFormat/>
    <w:rsid w:val="007E0B70"/>
    <w:pPr>
      <w:ind w:left="720"/>
      <w:contextualSpacing/>
    </w:pPr>
  </w:style>
  <w:style w:type="character" w:styleId="PageNumber">
    <w:name w:val="page number"/>
    <w:basedOn w:val="DefaultParagraphFont"/>
    <w:rsid w:val="00C26FE9"/>
  </w:style>
  <w:style w:type="character" w:styleId="CommentReference">
    <w:name w:val="annotation reference"/>
    <w:basedOn w:val="DefaultParagraphFont"/>
    <w:uiPriority w:val="99"/>
    <w:unhideWhenUsed/>
    <w:rsid w:val="004F00DD"/>
    <w:rPr>
      <w:sz w:val="16"/>
      <w:szCs w:val="16"/>
    </w:rPr>
  </w:style>
  <w:style w:type="paragraph" w:customStyle="1" w:styleId="CommentText1">
    <w:name w:val="Comment Text1"/>
    <w:basedOn w:val="Normal"/>
    <w:next w:val="CommentText"/>
    <w:link w:val="CommentTextChar"/>
    <w:uiPriority w:val="99"/>
    <w:semiHidden/>
    <w:unhideWhenUsed/>
    <w:rsid w:val="004F00DD"/>
    <w:pPr>
      <w:overflowPunct/>
      <w:autoSpaceDE/>
      <w:autoSpaceDN/>
      <w:adjustRightInd/>
      <w:spacing w:after="200"/>
      <w:textAlignment w:val="auto"/>
    </w:pPr>
    <w:rPr>
      <w:rFonts w:ascii="Times New Roman" w:hAnsi="Times New Roman"/>
      <w:sz w:val="20"/>
    </w:rPr>
  </w:style>
  <w:style w:type="character" w:customStyle="1" w:styleId="CommentTextChar">
    <w:name w:val="Comment Text Char"/>
    <w:basedOn w:val="DefaultParagraphFont"/>
    <w:link w:val="CommentText1"/>
    <w:uiPriority w:val="99"/>
    <w:semiHidden/>
    <w:rsid w:val="004F00DD"/>
    <w:rPr>
      <w:rFonts w:ascii="Times New Roman" w:eastAsia="Times New Roman" w:hAnsi="Times New Roman" w:cs="Times New Roman"/>
      <w:sz w:val="20"/>
      <w:szCs w:val="20"/>
    </w:rPr>
  </w:style>
  <w:style w:type="paragraph" w:styleId="CommentText">
    <w:name w:val="annotation text"/>
    <w:basedOn w:val="Normal"/>
    <w:link w:val="CommentTextChar1"/>
    <w:uiPriority w:val="99"/>
    <w:semiHidden/>
    <w:unhideWhenUsed/>
    <w:rsid w:val="004F00DD"/>
    <w:rPr>
      <w:sz w:val="20"/>
    </w:rPr>
  </w:style>
  <w:style w:type="character" w:customStyle="1" w:styleId="CommentTextChar1">
    <w:name w:val="Comment Text Char1"/>
    <w:basedOn w:val="DefaultParagraphFont"/>
    <w:link w:val="CommentText"/>
    <w:uiPriority w:val="99"/>
    <w:semiHidden/>
    <w:rsid w:val="004F00DD"/>
    <w:rPr>
      <w:rFonts w:ascii="Book Antiqua" w:eastAsia="Times New Roman" w:hAnsi="Book Antiqua" w:cs="Times New Roman"/>
      <w:sz w:val="20"/>
      <w:szCs w:val="20"/>
    </w:rPr>
  </w:style>
  <w:style w:type="character" w:customStyle="1" w:styleId="Heading6Char">
    <w:name w:val="Heading 6 Char"/>
    <w:basedOn w:val="DefaultParagraphFont"/>
    <w:link w:val="Heading6"/>
    <w:uiPriority w:val="9"/>
    <w:semiHidden/>
    <w:rsid w:val="004F00DD"/>
    <w:rPr>
      <w:rFonts w:asciiTheme="majorHAnsi" w:eastAsiaTheme="majorEastAsia" w:hAnsiTheme="majorHAnsi" w:cstheme="majorBidi"/>
      <w:i/>
      <w:iCs/>
      <w:color w:val="243F60" w:themeColor="accent1" w:themeShade="7F"/>
      <w:sz w:val="24"/>
      <w:szCs w:val="20"/>
    </w:rPr>
  </w:style>
  <w:style w:type="character" w:styleId="Strong">
    <w:name w:val="Strong"/>
    <w:basedOn w:val="DefaultParagraphFont"/>
    <w:uiPriority w:val="22"/>
    <w:qFormat/>
    <w:rsid w:val="00FD47E4"/>
    <w:rPr>
      <w:b/>
      <w:bCs/>
    </w:rPr>
  </w:style>
  <w:style w:type="character" w:styleId="Hyperlink">
    <w:name w:val="Hyperlink"/>
    <w:basedOn w:val="DefaultParagraphFont"/>
    <w:uiPriority w:val="99"/>
    <w:unhideWhenUsed/>
    <w:rsid w:val="009D5EFE"/>
    <w:rPr>
      <w:color w:val="0000FF" w:themeColor="hyperlink"/>
      <w:u w:val="single"/>
    </w:rPr>
  </w:style>
  <w:style w:type="paragraph" w:styleId="NoSpacing">
    <w:name w:val="No Spacing"/>
    <w:uiPriority w:val="1"/>
    <w:qFormat/>
    <w:rsid w:val="006911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0218">
      <w:bodyDiv w:val="1"/>
      <w:marLeft w:val="0"/>
      <w:marRight w:val="0"/>
      <w:marTop w:val="0"/>
      <w:marBottom w:val="0"/>
      <w:divBdr>
        <w:top w:val="none" w:sz="0" w:space="0" w:color="auto"/>
        <w:left w:val="none" w:sz="0" w:space="0" w:color="auto"/>
        <w:bottom w:val="none" w:sz="0" w:space="0" w:color="auto"/>
        <w:right w:val="none" w:sz="0" w:space="0" w:color="auto"/>
      </w:divBdr>
    </w:div>
    <w:div w:id="411119781">
      <w:bodyDiv w:val="1"/>
      <w:marLeft w:val="0"/>
      <w:marRight w:val="0"/>
      <w:marTop w:val="0"/>
      <w:marBottom w:val="0"/>
      <w:divBdr>
        <w:top w:val="none" w:sz="0" w:space="0" w:color="auto"/>
        <w:left w:val="none" w:sz="0" w:space="0" w:color="auto"/>
        <w:bottom w:val="none" w:sz="0" w:space="0" w:color="auto"/>
        <w:right w:val="none" w:sz="0" w:space="0" w:color="auto"/>
      </w:divBdr>
    </w:div>
    <w:div w:id="482041392">
      <w:bodyDiv w:val="1"/>
      <w:marLeft w:val="0"/>
      <w:marRight w:val="0"/>
      <w:marTop w:val="0"/>
      <w:marBottom w:val="0"/>
      <w:divBdr>
        <w:top w:val="none" w:sz="0" w:space="0" w:color="auto"/>
        <w:left w:val="none" w:sz="0" w:space="0" w:color="auto"/>
        <w:bottom w:val="none" w:sz="0" w:space="0" w:color="auto"/>
        <w:right w:val="none" w:sz="0" w:space="0" w:color="auto"/>
      </w:divBdr>
    </w:div>
    <w:div w:id="800922763">
      <w:bodyDiv w:val="1"/>
      <w:marLeft w:val="0"/>
      <w:marRight w:val="0"/>
      <w:marTop w:val="0"/>
      <w:marBottom w:val="0"/>
      <w:divBdr>
        <w:top w:val="none" w:sz="0" w:space="0" w:color="auto"/>
        <w:left w:val="none" w:sz="0" w:space="0" w:color="auto"/>
        <w:bottom w:val="none" w:sz="0" w:space="0" w:color="auto"/>
        <w:right w:val="none" w:sz="0" w:space="0" w:color="auto"/>
      </w:divBdr>
    </w:div>
    <w:div w:id="1234504646">
      <w:bodyDiv w:val="1"/>
      <w:marLeft w:val="0"/>
      <w:marRight w:val="0"/>
      <w:marTop w:val="0"/>
      <w:marBottom w:val="0"/>
      <w:divBdr>
        <w:top w:val="none" w:sz="0" w:space="0" w:color="auto"/>
        <w:left w:val="none" w:sz="0" w:space="0" w:color="auto"/>
        <w:bottom w:val="none" w:sz="0" w:space="0" w:color="auto"/>
        <w:right w:val="none" w:sz="0" w:space="0" w:color="auto"/>
      </w:divBdr>
    </w:div>
    <w:div w:id="1312910025">
      <w:bodyDiv w:val="1"/>
      <w:marLeft w:val="0"/>
      <w:marRight w:val="0"/>
      <w:marTop w:val="0"/>
      <w:marBottom w:val="0"/>
      <w:divBdr>
        <w:top w:val="none" w:sz="0" w:space="0" w:color="auto"/>
        <w:left w:val="none" w:sz="0" w:space="0" w:color="auto"/>
        <w:bottom w:val="none" w:sz="0" w:space="0" w:color="auto"/>
        <w:right w:val="none" w:sz="0" w:space="0" w:color="auto"/>
      </w:divBdr>
    </w:div>
    <w:div w:id="1365671654">
      <w:bodyDiv w:val="1"/>
      <w:marLeft w:val="0"/>
      <w:marRight w:val="0"/>
      <w:marTop w:val="0"/>
      <w:marBottom w:val="0"/>
      <w:divBdr>
        <w:top w:val="none" w:sz="0" w:space="0" w:color="auto"/>
        <w:left w:val="none" w:sz="0" w:space="0" w:color="auto"/>
        <w:bottom w:val="none" w:sz="0" w:space="0" w:color="auto"/>
        <w:right w:val="none" w:sz="0" w:space="0" w:color="auto"/>
      </w:divBdr>
    </w:div>
    <w:div w:id="16919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yperlink" Target="http://www.puc.pa.gov" TargetMode="Externa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9.xml"/><Relationship Id="rId27" Type="http://schemas.openxmlformats.org/officeDocument/2006/relationships/footer" Target="footer5.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9941-53CB-4419-B8BF-F42B0FEB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13</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125</cp:revision>
  <cp:lastPrinted>2015-12-16T18:38:00Z</cp:lastPrinted>
  <dcterms:created xsi:type="dcterms:W3CDTF">2015-07-15T16:09:00Z</dcterms:created>
  <dcterms:modified xsi:type="dcterms:W3CDTF">2016-01-07T15:59:00Z</dcterms:modified>
</cp:coreProperties>
</file>