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r>
        <w:rPr>
          <w:b/>
          <w:sz w:val="26"/>
          <w:szCs w:val="26"/>
        </w:rPr>
        <w:t>PENNSYLVANIA</w:t>
      </w:r>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sz w:val="26"/>
          <w:szCs w:val="26"/>
        </w:rPr>
      </w:pPr>
      <w:r>
        <w:rPr>
          <w:b/>
          <w:sz w:val="26"/>
          <w:szCs w:val="26"/>
        </w:rPr>
        <w:t>Harrisburg, PA 17105-3265</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p>
    <w:p w:rsidR="003519A5" w:rsidRDefault="003519A5" w:rsidP="00592753">
      <w:pPr>
        <w:tabs>
          <w:tab w:val="left" w:pos="-720"/>
        </w:tabs>
        <w:suppressAutoHyphens/>
        <w:spacing w:line="240" w:lineRule="auto"/>
        <w:ind w:firstLine="0"/>
        <w:jc w:val="right"/>
        <w:rPr>
          <w:sz w:val="26"/>
          <w:szCs w:val="26"/>
        </w:rPr>
      </w:pPr>
    </w:p>
    <w:p w:rsidR="009078DF" w:rsidRDefault="009078DF" w:rsidP="00592753">
      <w:pPr>
        <w:tabs>
          <w:tab w:val="left" w:pos="-720"/>
        </w:tabs>
        <w:suppressAutoHyphens/>
        <w:spacing w:line="240" w:lineRule="auto"/>
        <w:ind w:firstLine="0"/>
        <w:jc w:val="right"/>
        <w:rPr>
          <w:sz w:val="26"/>
          <w:szCs w:val="26"/>
        </w:rPr>
      </w:pPr>
      <w:r>
        <w:rPr>
          <w:sz w:val="26"/>
          <w:szCs w:val="26"/>
        </w:rPr>
        <w:t xml:space="preserve">Public Meeting held </w:t>
      </w:r>
      <w:r w:rsidR="00207C45">
        <w:rPr>
          <w:sz w:val="26"/>
          <w:szCs w:val="26"/>
        </w:rPr>
        <w:t>January</w:t>
      </w:r>
      <w:r w:rsidR="00F1641B">
        <w:rPr>
          <w:sz w:val="26"/>
          <w:szCs w:val="26"/>
        </w:rPr>
        <w:t xml:space="preserve"> </w:t>
      </w:r>
      <w:r w:rsidR="00207C45">
        <w:rPr>
          <w:sz w:val="26"/>
          <w:szCs w:val="26"/>
        </w:rPr>
        <w:t>28</w:t>
      </w:r>
      <w:r w:rsidR="00E83CC9">
        <w:rPr>
          <w:sz w:val="26"/>
          <w:szCs w:val="26"/>
        </w:rPr>
        <w:t>, 201</w:t>
      </w:r>
      <w:r w:rsidR="00207C45">
        <w:rPr>
          <w:sz w:val="26"/>
          <w:szCs w:val="26"/>
        </w:rPr>
        <w:t>6</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r>
        <w:rPr>
          <w:sz w:val="26"/>
          <w:szCs w:val="26"/>
        </w:rPr>
        <w:t>Commissioners Present:</w:t>
      </w:r>
    </w:p>
    <w:p w:rsidR="009078DF" w:rsidRDefault="009078DF" w:rsidP="00592753">
      <w:pPr>
        <w:tabs>
          <w:tab w:val="left" w:pos="-720"/>
        </w:tabs>
        <w:suppressAutoHyphens/>
        <w:spacing w:line="240" w:lineRule="auto"/>
        <w:ind w:firstLine="0"/>
        <w:rPr>
          <w:sz w:val="26"/>
          <w:szCs w:val="26"/>
        </w:rPr>
      </w:pPr>
    </w:p>
    <w:p w:rsidR="00251BC5" w:rsidRPr="00251BC5" w:rsidRDefault="00CE41A2" w:rsidP="00251BC5">
      <w:pPr>
        <w:tabs>
          <w:tab w:val="left" w:pos="705"/>
        </w:tabs>
        <w:spacing w:line="240" w:lineRule="auto"/>
        <w:ind w:firstLine="720"/>
        <w:rPr>
          <w:sz w:val="26"/>
          <w:szCs w:val="26"/>
        </w:rPr>
      </w:pPr>
      <w:r w:rsidRPr="00251BC5">
        <w:rPr>
          <w:sz w:val="26"/>
          <w:szCs w:val="26"/>
        </w:rPr>
        <w:t>Gladys M. Brown</w:t>
      </w:r>
      <w:r w:rsidR="00251BC5" w:rsidRPr="00251BC5">
        <w:rPr>
          <w:sz w:val="26"/>
          <w:szCs w:val="26"/>
        </w:rPr>
        <w:t>, Chairman</w:t>
      </w:r>
    </w:p>
    <w:p w:rsidR="00251BC5" w:rsidRPr="00251BC5" w:rsidRDefault="00991B39" w:rsidP="00251BC5">
      <w:pPr>
        <w:widowControl w:val="0"/>
        <w:tabs>
          <w:tab w:val="left" w:pos="705"/>
        </w:tabs>
        <w:spacing w:line="240" w:lineRule="auto"/>
        <w:ind w:firstLine="720"/>
        <w:rPr>
          <w:sz w:val="26"/>
          <w:szCs w:val="26"/>
        </w:rPr>
      </w:pPr>
      <w:r>
        <w:rPr>
          <w:sz w:val="26"/>
          <w:szCs w:val="26"/>
        </w:rPr>
        <w:t xml:space="preserve">Andrew G. Place, </w:t>
      </w:r>
      <w:r w:rsidR="00251BC5" w:rsidRPr="00251BC5">
        <w:rPr>
          <w:sz w:val="26"/>
          <w:szCs w:val="26"/>
        </w:rPr>
        <w:t>Vice Chairman</w:t>
      </w:r>
    </w:p>
    <w:p w:rsidR="00251BC5" w:rsidRDefault="00251BC5" w:rsidP="00251BC5">
      <w:pPr>
        <w:widowControl w:val="0"/>
        <w:tabs>
          <w:tab w:val="left" w:pos="705"/>
        </w:tabs>
        <w:spacing w:line="240" w:lineRule="auto"/>
        <w:ind w:firstLine="720"/>
        <w:rPr>
          <w:sz w:val="26"/>
          <w:szCs w:val="26"/>
        </w:rPr>
      </w:pPr>
      <w:r w:rsidRPr="00251BC5">
        <w:rPr>
          <w:sz w:val="26"/>
          <w:szCs w:val="26"/>
        </w:rPr>
        <w:t xml:space="preserve">Pamela A. </w:t>
      </w:r>
      <w:proofErr w:type="spellStart"/>
      <w:r w:rsidRPr="00251BC5">
        <w:rPr>
          <w:sz w:val="26"/>
          <w:szCs w:val="26"/>
        </w:rPr>
        <w:t>Witmer</w:t>
      </w:r>
      <w:proofErr w:type="spellEnd"/>
    </w:p>
    <w:p w:rsidR="00991B39" w:rsidRPr="00251BC5" w:rsidRDefault="00991B39" w:rsidP="00251BC5">
      <w:pPr>
        <w:widowControl w:val="0"/>
        <w:tabs>
          <w:tab w:val="left" w:pos="705"/>
        </w:tabs>
        <w:spacing w:line="240" w:lineRule="auto"/>
        <w:ind w:firstLine="720"/>
        <w:rPr>
          <w:sz w:val="26"/>
          <w:szCs w:val="26"/>
        </w:rPr>
      </w:pPr>
      <w:r w:rsidRPr="00991B39">
        <w:rPr>
          <w:sz w:val="26"/>
          <w:szCs w:val="26"/>
        </w:rPr>
        <w:t>John F. Coleman, Jr.</w:t>
      </w:r>
    </w:p>
    <w:p w:rsidR="00251BC5" w:rsidRDefault="00CE41A2" w:rsidP="00251BC5">
      <w:pPr>
        <w:widowControl w:val="0"/>
        <w:tabs>
          <w:tab w:val="left" w:pos="705"/>
        </w:tabs>
        <w:spacing w:line="240" w:lineRule="auto"/>
        <w:ind w:firstLine="720"/>
        <w:rPr>
          <w:sz w:val="26"/>
          <w:szCs w:val="26"/>
        </w:rPr>
      </w:pPr>
      <w:r w:rsidRPr="00251BC5">
        <w:rPr>
          <w:sz w:val="26"/>
          <w:szCs w:val="26"/>
        </w:rPr>
        <w:t>Robert F. Powelson</w:t>
      </w:r>
    </w:p>
    <w:p w:rsidR="006266C0" w:rsidRDefault="006266C0" w:rsidP="00251BC5">
      <w:pPr>
        <w:widowControl w:val="0"/>
        <w:tabs>
          <w:tab w:val="left" w:pos="705"/>
        </w:tabs>
        <w:spacing w:line="240" w:lineRule="auto"/>
        <w:ind w:firstLine="720"/>
        <w:rPr>
          <w:sz w:val="26"/>
          <w:szCs w:val="26"/>
        </w:rPr>
      </w:pPr>
    </w:p>
    <w:p w:rsidR="006266C0" w:rsidRDefault="006266C0" w:rsidP="00251BC5">
      <w:pPr>
        <w:widowControl w:val="0"/>
        <w:tabs>
          <w:tab w:val="left" w:pos="705"/>
        </w:tabs>
        <w:spacing w:line="240" w:lineRule="auto"/>
        <w:ind w:firstLine="72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6266C0" w:rsidRPr="006266C0" w:rsidTr="002270A5">
        <w:tc>
          <w:tcPr>
            <w:tcW w:w="5238" w:type="dxa"/>
          </w:tcPr>
          <w:p w:rsidR="006266C0" w:rsidRDefault="000D25D5" w:rsidP="000D25D5">
            <w:pPr>
              <w:widowControl w:val="0"/>
              <w:spacing w:line="240" w:lineRule="auto"/>
              <w:ind w:firstLine="0"/>
              <w:rPr>
                <w:rFonts w:ascii="Times New Roman" w:hAnsi="Times New Roman"/>
                <w:sz w:val="26"/>
                <w:szCs w:val="26"/>
              </w:rPr>
            </w:pPr>
            <w:r>
              <w:rPr>
                <w:rFonts w:ascii="Times New Roman" w:hAnsi="Times New Roman"/>
                <w:sz w:val="26"/>
                <w:szCs w:val="26"/>
              </w:rPr>
              <w:t xml:space="preserve">Albert </w:t>
            </w:r>
            <w:proofErr w:type="spellStart"/>
            <w:r>
              <w:rPr>
                <w:rFonts w:ascii="Times New Roman" w:hAnsi="Times New Roman"/>
                <w:sz w:val="26"/>
                <w:szCs w:val="26"/>
              </w:rPr>
              <w:t>Buoncristiano</w:t>
            </w:r>
            <w:proofErr w:type="spellEnd"/>
            <w:r w:rsidR="006266C0" w:rsidRPr="006266C0">
              <w:rPr>
                <w:rFonts w:ascii="Times New Roman" w:hAnsi="Times New Roman"/>
                <w:sz w:val="26"/>
                <w:szCs w:val="26"/>
              </w:rPr>
              <w:tab/>
            </w:r>
          </w:p>
          <w:p w:rsidR="000D25D5" w:rsidRDefault="000D25D5" w:rsidP="000D25D5">
            <w:pPr>
              <w:widowControl w:val="0"/>
              <w:spacing w:line="240" w:lineRule="auto"/>
              <w:ind w:firstLine="0"/>
              <w:rPr>
                <w:rFonts w:ascii="Times New Roman" w:hAnsi="Times New Roman"/>
                <w:sz w:val="26"/>
                <w:szCs w:val="26"/>
              </w:rPr>
            </w:pPr>
          </w:p>
          <w:p w:rsidR="000D25D5" w:rsidRDefault="000D25D5" w:rsidP="000D25D5">
            <w:pPr>
              <w:widowControl w:val="0"/>
              <w:spacing w:line="240" w:lineRule="auto"/>
              <w:rPr>
                <w:rFonts w:ascii="Times New Roman" w:hAnsi="Times New Roman"/>
                <w:sz w:val="26"/>
                <w:szCs w:val="26"/>
              </w:rPr>
            </w:pPr>
            <w:r>
              <w:rPr>
                <w:rFonts w:ascii="Times New Roman" w:hAnsi="Times New Roman"/>
                <w:sz w:val="26"/>
                <w:szCs w:val="26"/>
              </w:rPr>
              <w:t>v.</w:t>
            </w:r>
          </w:p>
          <w:p w:rsidR="000D25D5" w:rsidRDefault="000D25D5" w:rsidP="000D25D5">
            <w:pPr>
              <w:widowControl w:val="0"/>
              <w:spacing w:line="240" w:lineRule="auto"/>
              <w:ind w:firstLine="0"/>
              <w:rPr>
                <w:rFonts w:ascii="Times New Roman" w:hAnsi="Times New Roman"/>
                <w:sz w:val="26"/>
                <w:szCs w:val="26"/>
              </w:rPr>
            </w:pPr>
          </w:p>
          <w:p w:rsidR="000D25D5" w:rsidRPr="006266C0" w:rsidRDefault="000D25D5" w:rsidP="000D25D5">
            <w:pPr>
              <w:widowControl w:val="0"/>
              <w:spacing w:line="240" w:lineRule="auto"/>
              <w:ind w:firstLine="0"/>
              <w:rPr>
                <w:rFonts w:ascii="Times New Roman" w:hAnsi="Times New Roman"/>
                <w:sz w:val="26"/>
                <w:szCs w:val="26"/>
              </w:rPr>
            </w:pPr>
            <w:r>
              <w:rPr>
                <w:rFonts w:ascii="Times New Roman" w:hAnsi="Times New Roman"/>
                <w:sz w:val="26"/>
                <w:szCs w:val="26"/>
              </w:rPr>
              <w:t>Philadelphia Gas Works</w:t>
            </w:r>
          </w:p>
        </w:tc>
        <w:tc>
          <w:tcPr>
            <w:tcW w:w="4320" w:type="dxa"/>
          </w:tcPr>
          <w:p w:rsidR="006266C0" w:rsidRPr="006266C0" w:rsidRDefault="000D25D5" w:rsidP="006266C0">
            <w:pPr>
              <w:widowControl w:val="0"/>
              <w:spacing w:line="240" w:lineRule="auto"/>
              <w:ind w:left="-108" w:firstLine="0"/>
              <w:jc w:val="right"/>
              <w:rPr>
                <w:rFonts w:ascii="Times New Roman" w:hAnsi="Times New Roman"/>
                <w:sz w:val="26"/>
                <w:szCs w:val="26"/>
              </w:rPr>
            </w:pPr>
            <w:r>
              <w:rPr>
                <w:rFonts w:ascii="Times New Roman" w:hAnsi="Times New Roman"/>
                <w:sz w:val="26"/>
                <w:szCs w:val="26"/>
              </w:rPr>
              <w:t>P-2015-2493209</w:t>
            </w:r>
          </w:p>
        </w:tc>
      </w:tr>
    </w:tbl>
    <w:p w:rsidR="0037622C" w:rsidRDefault="0037622C" w:rsidP="0037622C">
      <w:pPr>
        <w:tabs>
          <w:tab w:val="left" w:pos="-720"/>
          <w:tab w:val="right" w:pos="9360"/>
        </w:tabs>
        <w:suppressAutoHyphens/>
        <w:spacing w:line="240" w:lineRule="auto"/>
        <w:ind w:firstLine="0"/>
        <w:rPr>
          <w:sz w:val="26"/>
        </w:rPr>
      </w:pPr>
    </w:p>
    <w:p w:rsidR="0037622C" w:rsidRDefault="0037622C" w:rsidP="00592753">
      <w:pPr>
        <w:tabs>
          <w:tab w:val="center" w:pos="4680"/>
        </w:tabs>
        <w:suppressAutoHyphens/>
        <w:spacing w:line="240" w:lineRule="auto"/>
        <w:ind w:firstLine="0"/>
        <w:jc w:val="center"/>
        <w:rPr>
          <w:b/>
          <w:sz w:val="26"/>
        </w:rPr>
      </w:pPr>
    </w:p>
    <w:p w:rsidR="00D14914" w:rsidRDefault="00D14914" w:rsidP="00592753">
      <w:pPr>
        <w:tabs>
          <w:tab w:val="center" w:pos="4680"/>
        </w:tabs>
        <w:suppressAutoHyphens/>
        <w:spacing w:line="240" w:lineRule="auto"/>
        <w:ind w:firstLine="0"/>
        <w:jc w:val="center"/>
        <w:rPr>
          <w:b/>
          <w:sz w:val="26"/>
        </w:rPr>
      </w:pPr>
    </w:p>
    <w:p w:rsidR="009078DF" w:rsidRDefault="009078DF" w:rsidP="00592753">
      <w:pPr>
        <w:tabs>
          <w:tab w:val="center" w:pos="4680"/>
        </w:tabs>
        <w:suppressAutoHyphens/>
        <w:spacing w:line="240" w:lineRule="auto"/>
        <w:ind w:firstLine="0"/>
        <w:jc w:val="center"/>
        <w:rPr>
          <w:b/>
          <w:sz w:val="26"/>
        </w:rPr>
      </w:pPr>
      <w:r>
        <w:rPr>
          <w:b/>
          <w:sz w:val="26"/>
        </w:rPr>
        <w:t>OPINION AND ORDER</w:t>
      </w:r>
    </w:p>
    <w:p w:rsidR="009078DF" w:rsidRDefault="009078DF" w:rsidP="00592753">
      <w:pPr>
        <w:tabs>
          <w:tab w:val="left" w:pos="-720"/>
        </w:tabs>
        <w:suppressAutoHyphens/>
        <w:ind w:firstLine="0"/>
        <w:rPr>
          <w:b/>
          <w:sz w:val="26"/>
        </w:rPr>
      </w:pPr>
    </w:p>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B970FC" w:rsidRPr="00B948E9" w:rsidRDefault="009078DF" w:rsidP="00B948E9">
      <w:pPr>
        <w:rPr>
          <w:color w:val="000000"/>
          <w:sz w:val="26"/>
          <w:szCs w:val="26"/>
        </w:rPr>
      </w:pPr>
      <w:r>
        <w:rPr>
          <w:sz w:val="26"/>
          <w:szCs w:val="26"/>
        </w:rPr>
        <w:t xml:space="preserve">Before the Pennsylvania Public Utility Commission (Commission) for consideration </w:t>
      </w:r>
      <w:r w:rsidR="00E62493">
        <w:rPr>
          <w:sz w:val="26"/>
          <w:szCs w:val="26"/>
        </w:rPr>
        <w:t xml:space="preserve">and disposition </w:t>
      </w:r>
      <w:r w:rsidR="008912A0">
        <w:rPr>
          <w:sz w:val="26"/>
          <w:szCs w:val="26"/>
        </w:rPr>
        <w:t xml:space="preserve">is the </w:t>
      </w:r>
      <w:r w:rsidR="000D25D5">
        <w:rPr>
          <w:sz w:val="26"/>
          <w:szCs w:val="26"/>
        </w:rPr>
        <w:t>“</w:t>
      </w:r>
      <w:r w:rsidR="008912A0">
        <w:rPr>
          <w:sz w:val="26"/>
          <w:szCs w:val="26"/>
        </w:rPr>
        <w:t xml:space="preserve">Petition for </w:t>
      </w:r>
      <w:r w:rsidR="000D25D5">
        <w:rPr>
          <w:sz w:val="26"/>
          <w:szCs w:val="26"/>
        </w:rPr>
        <w:t xml:space="preserve">Rescission under Pa. Code 5.572(d)” </w:t>
      </w:r>
      <w:r w:rsidR="008912A0">
        <w:rPr>
          <w:sz w:val="26"/>
          <w:szCs w:val="26"/>
        </w:rPr>
        <w:t xml:space="preserve">(Petition) filed by </w:t>
      </w:r>
      <w:r w:rsidR="000D25D5">
        <w:rPr>
          <w:sz w:val="26"/>
          <w:szCs w:val="26"/>
        </w:rPr>
        <w:t xml:space="preserve">Albert </w:t>
      </w:r>
      <w:proofErr w:type="spellStart"/>
      <w:r w:rsidR="000D25D5">
        <w:rPr>
          <w:sz w:val="26"/>
          <w:szCs w:val="26"/>
        </w:rPr>
        <w:t>Buoncristiano</w:t>
      </w:r>
      <w:proofErr w:type="spellEnd"/>
      <w:r w:rsidR="000D25D5">
        <w:rPr>
          <w:sz w:val="26"/>
          <w:szCs w:val="26"/>
        </w:rPr>
        <w:t xml:space="preserve"> </w:t>
      </w:r>
      <w:r w:rsidR="0033553B">
        <w:rPr>
          <w:sz w:val="26"/>
          <w:szCs w:val="26"/>
        </w:rPr>
        <w:t>(</w:t>
      </w:r>
      <w:r w:rsidR="008912A0">
        <w:rPr>
          <w:sz w:val="26"/>
          <w:szCs w:val="26"/>
        </w:rPr>
        <w:t xml:space="preserve">Petitioner or </w:t>
      </w:r>
      <w:r w:rsidR="000D25D5">
        <w:rPr>
          <w:sz w:val="26"/>
          <w:szCs w:val="26"/>
        </w:rPr>
        <w:t xml:space="preserve">Mr. </w:t>
      </w:r>
      <w:proofErr w:type="spellStart"/>
      <w:r w:rsidR="000D25D5">
        <w:rPr>
          <w:sz w:val="26"/>
          <w:szCs w:val="26"/>
        </w:rPr>
        <w:t>Buoncristiano</w:t>
      </w:r>
      <w:proofErr w:type="spellEnd"/>
      <w:r w:rsidR="0033553B">
        <w:rPr>
          <w:sz w:val="26"/>
          <w:szCs w:val="26"/>
        </w:rPr>
        <w:t xml:space="preserve">) on </w:t>
      </w:r>
      <w:r w:rsidR="00E27923">
        <w:rPr>
          <w:sz w:val="26"/>
          <w:szCs w:val="26"/>
        </w:rPr>
        <w:t>July</w:t>
      </w:r>
      <w:r w:rsidR="00207C45">
        <w:rPr>
          <w:sz w:val="26"/>
          <w:szCs w:val="26"/>
        </w:rPr>
        <w:t xml:space="preserve"> 1</w:t>
      </w:r>
      <w:r w:rsidR="00E27923">
        <w:rPr>
          <w:sz w:val="26"/>
          <w:szCs w:val="26"/>
        </w:rPr>
        <w:t>6</w:t>
      </w:r>
      <w:r w:rsidR="0033553B">
        <w:rPr>
          <w:sz w:val="26"/>
          <w:szCs w:val="26"/>
        </w:rPr>
        <w:t>, 2015</w:t>
      </w:r>
      <w:r w:rsidR="00137593">
        <w:rPr>
          <w:sz w:val="26"/>
          <w:szCs w:val="26"/>
        </w:rPr>
        <w:t xml:space="preserve">, </w:t>
      </w:r>
      <w:r w:rsidR="008912A0">
        <w:rPr>
          <w:sz w:val="26"/>
          <w:szCs w:val="26"/>
        </w:rPr>
        <w:t>request</w:t>
      </w:r>
      <w:r w:rsidR="00137593">
        <w:rPr>
          <w:sz w:val="26"/>
          <w:szCs w:val="26"/>
        </w:rPr>
        <w:t xml:space="preserve">ing the Commission to </w:t>
      </w:r>
      <w:r w:rsidR="00E27923">
        <w:rPr>
          <w:sz w:val="26"/>
          <w:szCs w:val="26"/>
        </w:rPr>
        <w:t xml:space="preserve">rescind the Order entered November 5, 2004, </w:t>
      </w:r>
      <w:r w:rsidR="00137593">
        <w:rPr>
          <w:sz w:val="26"/>
          <w:szCs w:val="26"/>
        </w:rPr>
        <w:t xml:space="preserve">at Docket No. </w:t>
      </w:r>
      <w:r w:rsidR="00137593" w:rsidRPr="00137593">
        <w:rPr>
          <w:sz w:val="26"/>
          <w:szCs w:val="26"/>
        </w:rPr>
        <w:t>F-01061153</w:t>
      </w:r>
      <w:r w:rsidR="00E27923">
        <w:rPr>
          <w:sz w:val="26"/>
          <w:szCs w:val="26"/>
        </w:rPr>
        <w:t xml:space="preserve">, and provide him the opportunity to address the issues </w:t>
      </w:r>
      <w:r w:rsidR="00137593">
        <w:rPr>
          <w:sz w:val="26"/>
          <w:szCs w:val="26"/>
        </w:rPr>
        <w:t xml:space="preserve">he </w:t>
      </w:r>
      <w:r w:rsidR="00E27923">
        <w:rPr>
          <w:sz w:val="26"/>
          <w:szCs w:val="26"/>
        </w:rPr>
        <w:t xml:space="preserve">raised in that proceeding.  </w:t>
      </w:r>
      <w:r w:rsidR="007C1FC4">
        <w:rPr>
          <w:sz w:val="26"/>
          <w:szCs w:val="26"/>
        </w:rPr>
        <w:t xml:space="preserve">On </w:t>
      </w:r>
      <w:r w:rsidR="00E27923">
        <w:rPr>
          <w:sz w:val="26"/>
          <w:szCs w:val="26"/>
        </w:rPr>
        <w:t xml:space="preserve">July 27, 2015, </w:t>
      </w:r>
      <w:r w:rsidR="00FC59E1" w:rsidRPr="00FC59E1">
        <w:rPr>
          <w:sz w:val="26"/>
          <w:szCs w:val="26"/>
        </w:rPr>
        <w:t>Philadelphia Gas Works (PGW</w:t>
      </w:r>
      <w:r w:rsidR="00FC59E1">
        <w:rPr>
          <w:sz w:val="26"/>
          <w:szCs w:val="26"/>
        </w:rPr>
        <w:t>)</w:t>
      </w:r>
      <w:r w:rsidR="00E27923">
        <w:rPr>
          <w:sz w:val="26"/>
          <w:szCs w:val="26"/>
        </w:rPr>
        <w:t xml:space="preserve"> filed</w:t>
      </w:r>
      <w:r w:rsidR="00137593">
        <w:rPr>
          <w:sz w:val="26"/>
          <w:szCs w:val="26"/>
        </w:rPr>
        <w:t xml:space="preserve"> an A</w:t>
      </w:r>
      <w:r w:rsidR="00E27923">
        <w:rPr>
          <w:sz w:val="26"/>
          <w:szCs w:val="26"/>
        </w:rPr>
        <w:t>nswer (Answer) to the Petition.</w:t>
      </w:r>
      <w:r w:rsidR="008912A0">
        <w:rPr>
          <w:sz w:val="26"/>
          <w:szCs w:val="26"/>
        </w:rPr>
        <w:t xml:space="preserve">  </w:t>
      </w:r>
      <w:r w:rsidR="000A3294">
        <w:rPr>
          <w:color w:val="000000"/>
          <w:sz w:val="26"/>
          <w:szCs w:val="26"/>
        </w:rPr>
        <w:t>F</w:t>
      </w:r>
      <w:r w:rsidR="00B970FC" w:rsidRPr="009B7A28">
        <w:rPr>
          <w:sz w:val="26"/>
        </w:rPr>
        <w:t xml:space="preserve">or the reasons discussed below, </w:t>
      </w:r>
      <w:r w:rsidR="00B970FC" w:rsidRPr="002D518C">
        <w:rPr>
          <w:sz w:val="26"/>
        </w:rPr>
        <w:t xml:space="preserve">we </w:t>
      </w:r>
      <w:r w:rsidR="008912A0">
        <w:rPr>
          <w:sz w:val="26"/>
        </w:rPr>
        <w:t>deny the Petition.</w:t>
      </w:r>
    </w:p>
    <w:p w:rsidR="00B970FC" w:rsidRDefault="00B970FC" w:rsidP="00B970FC">
      <w:pPr>
        <w:rPr>
          <w:sz w:val="26"/>
        </w:rPr>
      </w:pPr>
    </w:p>
    <w:p w:rsidR="00EB5FEB" w:rsidRPr="003A2799" w:rsidRDefault="009078DF" w:rsidP="00274891">
      <w:pPr>
        <w:spacing w:line="240" w:lineRule="auto"/>
        <w:ind w:firstLine="0"/>
        <w:jc w:val="center"/>
        <w:rPr>
          <w:color w:val="000000"/>
          <w:sz w:val="26"/>
          <w:szCs w:val="26"/>
        </w:rPr>
      </w:pPr>
      <w:r w:rsidRPr="003A2799">
        <w:rPr>
          <w:b/>
          <w:sz w:val="26"/>
          <w:szCs w:val="26"/>
        </w:rPr>
        <w:lastRenderedPageBreak/>
        <w:t>History of the Proceeding</w:t>
      </w:r>
    </w:p>
    <w:p w:rsidR="00EB5FEB" w:rsidRPr="00EB5FEB" w:rsidRDefault="00EB5FEB" w:rsidP="00EB5FEB">
      <w:pPr>
        <w:ind w:firstLine="0"/>
        <w:rPr>
          <w:color w:val="000000"/>
          <w:sz w:val="26"/>
          <w:szCs w:val="26"/>
        </w:rPr>
      </w:pPr>
    </w:p>
    <w:p w:rsidR="007F4EDC" w:rsidRDefault="00E0670B" w:rsidP="006539C1">
      <w:pPr>
        <w:adjustRightInd w:val="0"/>
        <w:ind w:firstLine="0"/>
        <w:rPr>
          <w:color w:val="000000"/>
          <w:sz w:val="26"/>
          <w:szCs w:val="26"/>
        </w:rPr>
      </w:pPr>
      <w:r>
        <w:rPr>
          <w:color w:val="000000"/>
          <w:sz w:val="26"/>
          <w:szCs w:val="26"/>
        </w:rPr>
        <w:tab/>
      </w:r>
      <w:r>
        <w:rPr>
          <w:color w:val="000000"/>
          <w:sz w:val="26"/>
          <w:szCs w:val="26"/>
        </w:rPr>
        <w:tab/>
      </w:r>
      <w:r w:rsidR="000E0D4E">
        <w:rPr>
          <w:color w:val="000000"/>
          <w:sz w:val="26"/>
          <w:szCs w:val="26"/>
        </w:rPr>
        <w:t>This p</w:t>
      </w:r>
      <w:r w:rsidR="00C87F0C">
        <w:rPr>
          <w:color w:val="000000"/>
          <w:sz w:val="26"/>
          <w:szCs w:val="26"/>
        </w:rPr>
        <w:t>roceeding has its genesis in a f</w:t>
      </w:r>
      <w:r w:rsidR="000E0D4E">
        <w:rPr>
          <w:color w:val="000000"/>
          <w:sz w:val="26"/>
          <w:szCs w:val="26"/>
        </w:rPr>
        <w:t xml:space="preserve">ormal </w:t>
      </w:r>
      <w:r w:rsidR="00C87F0C">
        <w:rPr>
          <w:color w:val="000000"/>
          <w:sz w:val="26"/>
          <w:szCs w:val="26"/>
        </w:rPr>
        <w:t>c</w:t>
      </w:r>
      <w:r w:rsidR="000E0D4E">
        <w:rPr>
          <w:color w:val="000000"/>
          <w:sz w:val="26"/>
          <w:szCs w:val="26"/>
        </w:rPr>
        <w:t>omplaint filed by Mr.</w:t>
      </w:r>
      <w:r w:rsidR="00C87F0C">
        <w:rPr>
          <w:color w:val="000000"/>
          <w:sz w:val="26"/>
          <w:szCs w:val="26"/>
        </w:rPr>
        <w:t> </w:t>
      </w:r>
      <w:proofErr w:type="spellStart"/>
      <w:r w:rsidR="000E0D4E">
        <w:rPr>
          <w:color w:val="000000"/>
          <w:sz w:val="26"/>
          <w:szCs w:val="26"/>
        </w:rPr>
        <w:t>Buoncristiano</w:t>
      </w:r>
      <w:proofErr w:type="spellEnd"/>
      <w:r w:rsidR="000E0D4E">
        <w:rPr>
          <w:color w:val="000000"/>
          <w:sz w:val="26"/>
          <w:szCs w:val="26"/>
        </w:rPr>
        <w:t xml:space="preserve"> against </w:t>
      </w:r>
      <w:r w:rsidR="00137593" w:rsidRPr="00137593">
        <w:rPr>
          <w:color w:val="000000"/>
          <w:sz w:val="26"/>
          <w:szCs w:val="26"/>
        </w:rPr>
        <w:t>PGW</w:t>
      </w:r>
      <w:r w:rsidR="00137593">
        <w:rPr>
          <w:color w:val="000000"/>
          <w:sz w:val="26"/>
          <w:szCs w:val="26"/>
        </w:rPr>
        <w:t xml:space="preserve"> </w:t>
      </w:r>
      <w:r w:rsidR="000E0D4E">
        <w:rPr>
          <w:color w:val="000000"/>
          <w:sz w:val="26"/>
          <w:szCs w:val="26"/>
        </w:rPr>
        <w:t>on June</w:t>
      </w:r>
      <w:r w:rsidR="00137593">
        <w:rPr>
          <w:color w:val="000000"/>
          <w:sz w:val="26"/>
          <w:szCs w:val="26"/>
        </w:rPr>
        <w:t> </w:t>
      </w:r>
      <w:r w:rsidR="000E0D4E">
        <w:rPr>
          <w:color w:val="000000"/>
          <w:sz w:val="26"/>
          <w:szCs w:val="26"/>
        </w:rPr>
        <w:t>9, 2003</w:t>
      </w:r>
      <w:r w:rsidR="00545D8B">
        <w:rPr>
          <w:color w:val="000000"/>
          <w:sz w:val="26"/>
          <w:szCs w:val="26"/>
        </w:rPr>
        <w:t xml:space="preserve">, which culminated in our Order in </w:t>
      </w:r>
      <w:proofErr w:type="spellStart"/>
      <w:r w:rsidR="00545D8B" w:rsidRPr="00545D8B">
        <w:rPr>
          <w:i/>
          <w:color w:val="000000"/>
          <w:sz w:val="26"/>
          <w:szCs w:val="26"/>
        </w:rPr>
        <w:t>Buoncristiano</w:t>
      </w:r>
      <w:proofErr w:type="spellEnd"/>
      <w:r w:rsidR="00545D8B" w:rsidRPr="00545D8B">
        <w:rPr>
          <w:i/>
          <w:color w:val="000000"/>
          <w:sz w:val="26"/>
          <w:szCs w:val="26"/>
        </w:rPr>
        <w:t xml:space="preserve"> v. Philadelphia Gas Works</w:t>
      </w:r>
      <w:r w:rsidR="00545D8B" w:rsidRPr="00545D8B">
        <w:rPr>
          <w:color w:val="000000"/>
          <w:sz w:val="26"/>
          <w:szCs w:val="26"/>
        </w:rPr>
        <w:t>, Docket No. F-01061153 (Order entered November 5, 2004) (</w:t>
      </w:r>
      <w:proofErr w:type="spellStart"/>
      <w:r w:rsidR="00545D8B" w:rsidRPr="00545D8B">
        <w:rPr>
          <w:i/>
          <w:color w:val="000000"/>
          <w:sz w:val="26"/>
          <w:szCs w:val="26"/>
        </w:rPr>
        <w:t>Buoncristiano</w:t>
      </w:r>
      <w:proofErr w:type="spellEnd"/>
      <w:r w:rsidR="00545D8B" w:rsidRPr="00545D8B">
        <w:rPr>
          <w:i/>
          <w:color w:val="000000"/>
          <w:sz w:val="26"/>
          <w:szCs w:val="26"/>
        </w:rPr>
        <w:t xml:space="preserve"> v. PGW</w:t>
      </w:r>
      <w:r w:rsidR="00545D8B" w:rsidRPr="00545D8B">
        <w:rPr>
          <w:color w:val="000000"/>
          <w:sz w:val="26"/>
          <w:szCs w:val="26"/>
        </w:rPr>
        <w:t xml:space="preserve">).  </w:t>
      </w:r>
      <w:r w:rsidR="000E0D4E">
        <w:rPr>
          <w:color w:val="000000"/>
          <w:sz w:val="26"/>
          <w:szCs w:val="26"/>
        </w:rPr>
        <w:t xml:space="preserve">That </w:t>
      </w:r>
      <w:r w:rsidR="00C87F0C">
        <w:rPr>
          <w:color w:val="000000"/>
          <w:sz w:val="26"/>
          <w:szCs w:val="26"/>
        </w:rPr>
        <w:t>c</w:t>
      </w:r>
      <w:r w:rsidR="000E0D4E">
        <w:rPr>
          <w:color w:val="000000"/>
          <w:sz w:val="26"/>
          <w:szCs w:val="26"/>
        </w:rPr>
        <w:t xml:space="preserve">omplaint was a timely appeal </w:t>
      </w:r>
      <w:r w:rsidR="0030336E">
        <w:rPr>
          <w:color w:val="000000"/>
          <w:sz w:val="26"/>
          <w:szCs w:val="26"/>
        </w:rPr>
        <w:t>taken by the Petitioner from</w:t>
      </w:r>
      <w:r w:rsidR="000E0D4E">
        <w:rPr>
          <w:color w:val="000000"/>
          <w:sz w:val="26"/>
          <w:szCs w:val="26"/>
        </w:rPr>
        <w:t xml:space="preserve"> a decision by our Bureau of Consumer Services (BCS) denying Mr. </w:t>
      </w:r>
      <w:proofErr w:type="spellStart"/>
      <w:r w:rsidR="000E0D4E">
        <w:rPr>
          <w:color w:val="000000"/>
          <w:sz w:val="26"/>
          <w:szCs w:val="26"/>
        </w:rPr>
        <w:t>Buoncristiano’s</w:t>
      </w:r>
      <w:proofErr w:type="spellEnd"/>
      <w:r w:rsidR="000E0D4E">
        <w:rPr>
          <w:color w:val="000000"/>
          <w:sz w:val="26"/>
          <w:szCs w:val="26"/>
        </w:rPr>
        <w:t xml:space="preserve"> informal compl</w:t>
      </w:r>
      <w:r w:rsidR="00137593">
        <w:rPr>
          <w:color w:val="000000"/>
          <w:sz w:val="26"/>
          <w:szCs w:val="26"/>
        </w:rPr>
        <w:t>a</w:t>
      </w:r>
      <w:r w:rsidR="000E0D4E">
        <w:rPr>
          <w:color w:val="000000"/>
          <w:sz w:val="26"/>
          <w:szCs w:val="26"/>
        </w:rPr>
        <w:t xml:space="preserve">int </w:t>
      </w:r>
      <w:r w:rsidR="00137593">
        <w:rPr>
          <w:color w:val="000000"/>
          <w:sz w:val="26"/>
          <w:szCs w:val="26"/>
        </w:rPr>
        <w:t xml:space="preserve">and </w:t>
      </w:r>
      <w:r w:rsidR="00545D8B">
        <w:rPr>
          <w:color w:val="000000"/>
          <w:sz w:val="26"/>
          <w:szCs w:val="26"/>
        </w:rPr>
        <w:t>direct</w:t>
      </w:r>
      <w:r w:rsidR="00137593">
        <w:rPr>
          <w:color w:val="000000"/>
          <w:sz w:val="26"/>
          <w:szCs w:val="26"/>
        </w:rPr>
        <w:t>ing</w:t>
      </w:r>
      <w:r w:rsidR="00545D8B">
        <w:rPr>
          <w:color w:val="000000"/>
          <w:sz w:val="26"/>
          <w:szCs w:val="26"/>
        </w:rPr>
        <w:t xml:space="preserve"> that Mr. </w:t>
      </w:r>
      <w:proofErr w:type="spellStart"/>
      <w:r w:rsidR="00545D8B">
        <w:rPr>
          <w:color w:val="000000"/>
          <w:sz w:val="26"/>
          <w:szCs w:val="26"/>
        </w:rPr>
        <w:t>Buoncristiano</w:t>
      </w:r>
      <w:proofErr w:type="spellEnd"/>
      <w:r w:rsidR="00545D8B">
        <w:rPr>
          <w:color w:val="000000"/>
          <w:sz w:val="26"/>
          <w:szCs w:val="26"/>
        </w:rPr>
        <w:t xml:space="preserve"> </w:t>
      </w:r>
      <w:r w:rsidR="000E0D4E">
        <w:rPr>
          <w:color w:val="000000"/>
          <w:sz w:val="26"/>
          <w:szCs w:val="26"/>
        </w:rPr>
        <w:t xml:space="preserve">pay </w:t>
      </w:r>
      <w:r w:rsidR="00545D8B">
        <w:rPr>
          <w:color w:val="000000"/>
          <w:sz w:val="26"/>
          <w:szCs w:val="26"/>
        </w:rPr>
        <w:t xml:space="preserve">PGW’s </w:t>
      </w:r>
      <w:r w:rsidR="000E0D4E">
        <w:rPr>
          <w:color w:val="000000"/>
          <w:sz w:val="26"/>
          <w:szCs w:val="26"/>
        </w:rPr>
        <w:t>current bills as due</w:t>
      </w:r>
      <w:r w:rsidR="00D348C5">
        <w:rPr>
          <w:color w:val="000000"/>
          <w:sz w:val="26"/>
          <w:szCs w:val="26"/>
        </w:rPr>
        <w:t>, less late charges,</w:t>
      </w:r>
      <w:r w:rsidR="000E0D4E">
        <w:rPr>
          <w:color w:val="000000"/>
          <w:sz w:val="26"/>
          <w:szCs w:val="26"/>
        </w:rPr>
        <w:t xml:space="preserve"> plus $300.00 per month toward the arrearage.  </w:t>
      </w:r>
      <w:proofErr w:type="spellStart"/>
      <w:r w:rsidR="00545D8B" w:rsidRPr="00545D8B">
        <w:rPr>
          <w:i/>
          <w:color w:val="000000"/>
          <w:sz w:val="26"/>
          <w:szCs w:val="26"/>
        </w:rPr>
        <w:t>Buoncristiano</w:t>
      </w:r>
      <w:proofErr w:type="spellEnd"/>
      <w:r w:rsidR="00545D8B" w:rsidRPr="00545D8B">
        <w:rPr>
          <w:i/>
          <w:color w:val="000000"/>
          <w:sz w:val="26"/>
          <w:szCs w:val="26"/>
        </w:rPr>
        <w:t xml:space="preserve"> v. PGW</w:t>
      </w:r>
      <w:r w:rsidR="00545D8B">
        <w:rPr>
          <w:color w:val="000000"/>
          <w:sz w:val="26"/>
          <w:szCs w:val="26"/>
        </w:rPr>
        <w:t xml:space="preserve"> at 2.</w:t>
      </w:r>
    </w:p>
    <w:p w:rsidR="007F4EDC" w:rsidRDefault="007F4EDC" w:rsidP="006539C1">
      <w:pPr>
        <w:adjustRightInd w:val="0"/>
        <w:ind w:firstLine="0"/>
        <w:rPr>
          <w:color w:val="000000"/>
          <w:sz w:val="26"/>
          <w:szCs w:val="26"/>
        </w:rPr>
      </w:pPr>
    </w:p>
    <w:p w:rsidR="006539C1" w:rsidRDefault="007F4EDC" w:rsidP="007F4EDC">
      <w:pPr>
        <w:adjustRightInd w:val="0"/>
        <w:rPr>
          <w:color w:val="000000"/>
          <w:sz w:val="26"/>
          <w:szCs w:val="26"/>
        </w:rPr>
      </w:pPr>
      <w:r>
        <w:rPr>
          <w:color w:val="000000"/>
          <w:sz w:val="26"/>
          <w:szCs w:val="26"/>
        </w:rPr>
        <w:t xml:space="preserve">The </w:t>
      </w:r>
      <w:r w:rsidRPr="007F4EDC">
        <w:rPr>
          <w:color w:val="000000"/>
          <w:sz w:val="26"/>
          <w:szCs w:val="26"/>
        </w:rPr>
        <w:t>Administrative Law Judge (ALJ)</w:t>
      </w:r>
      <w:r>
        <w:rPr>
          <w:color w:val="000000"/>
          <w:sz w:val="26"/>
          <w:szCs w:val="26"/>
        </w:rPr>
        <w:t xml:space="preserve"> conducted an evidentiary hearing on March 29, 2004, at which PGW presented evidence.  </w:t>
      </w:r>
      <w:r w:rsidR="0030336E">
        <w:rPr>
          <w:color w:val="000000"/>
          <w:sz w:val="26"/>
          <w:szCs w:val="26"/>
        </w:rPr>
        <w:t xml:space="preserve">Although initiated by the Petitioner </w:t>
      </w:r>
      <w:r>
        <w:rPr>
          <w:color w:val="000000"/>
          <w:sz w:val="26"/>
          <w:szCs w:val="26"/>
        </w:rPr>
        <w:t xml:space="preserve">informally </w:t>
      </w:r>
      <w:r w:rsidR="0030336E">
        <w:rPr>
          <w:color w:val="000000"/>
          <w:sz w:val="26"/>
          <w:szCs w:val="26"/>
        </w:rPr>
        <w:t>with BCS and pursued as a</w:t>
      </w:r>
      <w:r>
        <w:rPr>
          <w:color w:val="000000"/>
          <w:sz w:val="26"/>
          <w:szCs w:val="26"/>
        </w:rPr>
        <w:t xml:space="preserve"> formal</w:t>
      </w:r>
      <w:r w:rsidR="0030336E">
        <w:rPr>
          <w:color w:val="000000"/>
          <w:sz w:val="26"/>
          <w:szCs w:val="26"/>
        </w:rPr>
        <w:t xml:space="preserve"> appeal from our BCS decision, the Peti</w:t>
      </w:r>
      <w:r w:rsidR="00C87F0C">
        <w:rPr>
          <w:color w:val="000000"/>
          <w:sz w:val="26"/>
          <w:szCs w:val="26"/>
        </w:rPr>
        <w:t xml:space="preserve">tioner </w:t>
      </w:r>
      <w:r w:rsidR="00F22156">
        <w:rPr>
          <w:color w:val="000000"/>
          <w:sz w:val="26"/>
          <w:szCs w:val="26"/>
        </w:rPr>
        <w:t xml:space="preserve">did not appear at the hearing and </w:t>
      </w:r>
      <w:r w:rsidR="00C87F0C">
        <w:rPr>
          <w:color w:val="000000"/>
          <w:sz w:val="26"/>
          <w:szCs w:val="26"/>
        </w:rPr>
        <w:t>failed to prosecute his c</w:t>
      </w:r>
      <w:r w:rsidR="0030336E">
        <w:rPr>
          <w:color w:val="000000"/>
          <w:sz w:val="26"/>
          <w:szCs w:val="26"/>
        </w:rPr>
        <w:t>omplaint</w:t>
      </w:r>
      <w:r>
        <w:rPr>
          <w:color w:val="000000"/>
          <w:sz w:val="26"/>
          <w:szCs w:val="26"/>
        </w:rPr>
        <w:t>.  By</w:t>
      </w:r>
      <w:r w:rsidR="0030336E">
        <w:rPr>
          <w:color w:val="000000"/>
          <w:sz w:val="26"/>
          <w:szCs w:val="26"/>
        </w:rPr>
        <w:t xml:space="preserve"> Initial Decision </w:t>
      </w:r>
      <w:r>
        <w:rPr>
          <w:color w:val="000000"/>
          <w:sz w:val="26"/>
          <w:szCs w:val="26"/>
        </w:rPr>
        <w:t>issued September 8</w:t>
      </w:r>
      <w:r w:rsidR="0030336E">
        <w:rPr>
          <w:color w:val="000000"/>
          <w:sz w:val="26"/>
          <w:szCs w:val="26"/>
        </w:rPr>
        <w:t xml:space="preserve">, 2004 </w:t>
      </w:r>
      <w:r w:rsidR="0030336E" w:rsidRPr="0030336E">
        <w:rPr>
          <w:color w:val="000000"/>
          <w:sz w:val="26"/>
          <w:szCs w:val="26"/>
        </w:rPr>
        <w:t>(</w:t>
      </w:r>
      <w:r>
        <w:rPr>
          <w:color w:val="000000"/>
          <w:sz w:val="26"/>
          <w:szCs w:val="26"/>
        </w:rPr>
        <w:t>September</w:t>
      </w:r>
      <w:r w:rsidR="0030336E" w:rsidRPr="0030336E">
        <w:rPr>
          <w:color w:val="000000"/>
          <w:sz w:val="26"/>
          <w:szCs w:val="26"/>
        </w:rPr>
        <w:t xml:space="preserve"> 2004 Initial Decision</w:t>
      </w:r>
      <w:r w:rsidR="0030336E">
        <w:rPr>
          <w:color w:val="000000"/>
          <w:sz w:val="26"/>
          <w:szCs w:val="26"/>
        </w:rPr>
        <w:t>)</w:t>
      </w:r>
      <w:r w:rsidR="00D07699">
        <w:rPr>
          <w:color w:val="000000"/>
          <w:sz w:val="26"/>
          <w:szCs w:val="26"/>
        </w:rPr>
        <w:t xml:space="preserve">, the ALJ dismissed the </w:t>
      </w:r>
      <w:r w:rsidR="00C87F0C">
        <w:rPr>
          <w:color w:val="000000"/>
          <w:sz w:val="26"/>
          <w:szCs w:val="26"/>
        </w:rPr>
        <w:t>formal c</w:t>
      </w:r>
      <w:r w:rsidR="00D07699">
        <w:rPr>
          <w:color w:val="000000"/>
          <w:sz w:val="26"/>
          <w:szCs w:val="26"/>
        </w:rPr>
        <w:t>omplaint without prejudice</w:t>
      </w:r>
      <w:r w:rsidR="0030336E">
        <w:rPr>
          <w:color w:val="000000"/>
          <w:sz w:val="26"/>
          <w:szCs w:val="26"/>
        </w:rPr>
        <w:t xml:space="preserve">.  </w:t>
      </w:r>
      <w:r>
        <w:rPr>
          <w:color w:val="000000"/>
          <w:sz w:val="26"/>
          <w:szCs w:val="26"/>
        </w:rPr>
        <w:t xml:space="preserve">PGW filed exceptions to the ALJ’s dismissal without prejudice.  </w:t>
      </w:r>
      <w:r w:rsidR="0030336E">
        <w:rPr>
          <w:color w:val="000000"/>
          <w:sz w:val="26"/>
          <w:szCs w:val="26"/>
        </w:rPr>
        <w:t>Mr.</w:t>
      </w:r>
      <w:r w:rsidR="00D07699">
        <w:rPr>
          <w:color w:val="000000"/>
          <w:sz w:val="26"/>
          <w:szCs w:val="26"/>
        </w:rPr>
        <w:t> </w:t>
      </w:r>
      <w:proofErr w:type="spellStart"/>
      <w:r w:rsidR="0030336E">
        <w:rPr>
          <w:color w:val="000000"/>
          <w:sz w:val="26"/>
          <w:szCs w:val="26"/>
        </w:rPr>
        <w:t>Buoncristiano</w:t>
      </w:r>
      <w:proofErr w:type="spellEnd"/>
      <w:r w:rsidR="0030336E">
        <w:rPr>
          <w:color w:val="000000"/>
          <w:sz w:val="26"/>
          <w:szCs w:val="26"/>
        </w:rPr>
        <w:t xml:space="preserve"> filed no exceptions or replies.  </w:t>
      </w:r>
      <w:r w:rsidR="00545D8B" w:rsidRPr="00545D8B">
        <w:rPr>
          <w:color w:val="000000"/>
          <w:sz w:val="26"/>
          <w:szCs w:val="26"/>
        </w:rPr>
        <w:t xml:space="preserve">In </w:t>
      </w:r>
      <w:proofErr w:type="spellStart"/>
      <w:r w:rsidRPr="007F4EDC">
        <w:rPr>
          <w:i/>
          <w:color w:val="000000"/>
          <w:sz w:val="26"/>
          <w:szCs w:val="26"/>
        </w:rPr>
        <w:t>Buoncristiano</w:t>
      </w:r>
      <w:proofErr w:type="spellEnd"/>
      <w:r w:rsidRPr="007F4EDC">
        <w:rPr>
          <w:i/>
          <w:color w:val="000000"/>
          <w:sz w:val="26"/>
          <w:szCs w:val="26"/>
        </w:rPr>
        <w:t xml:space="preserve"> v. PGW</w:t>
      </w:r>
      <w:r w:rsidR="00545D8B" w:rsidRPr="00545D8B">
        <w:rPr>
          <w:color w:val="000000"/>
          <w:sz w:val="26"/>
          <w:szCs w:val="26"/>
        </w:rPr>
        <w:t xml:space="preserve">, we </w:t>
      </w:r>
      <w:r w:rsidR="00D07699">
        <w:rPr>
          <w:color w:val="000000"/>
          <w:sz w:val="26"/>
          <w:szCs w:val="26"/>
        </w:rPr>
        <w:t xml:space="preserve">granted PGW’s exceptions and </w:t>
      </w:r>
      <w:r w:rsidR="00545D8B" w:rsidRPr="00545D8B">
        <w:rPr>
          <w:color w:val="000000"/>
          <w:sz w:val="26"/>
          <w:szCs w:val="26"/>
        </w:rPr>
        <w:t xml:space="preserve">adopted the </w:t>
      </w:r>
      <w:r w:rsidR="00D07699">
        <w:rPr>
          <w:color w:val="000000"/>
          <w:sz w:val="26"/>
          <w:szCs w:val="26"/>
        </w:rPr>
        <w:t xml:space="preserve">September </w:t>
      </w:r>
      <w:r>
        <w:rPr>
          <w:color w:val="000000"/>
          <w:sz w:val="26"/>
          <w:szCs w:val="26"/>
        </w:rPr>
        <w:t xml:space="preserve">2004 </w:t>
      </w:r>
      <w:r w:rsidR="00545D8B" w:rsidRPr="00545D8B">
        <w:rPr>
          <w:color w:val="000000"/>
          <w:sz w:val="26"/>
          <w:szCs w:val="26"/>
        </w:rPr>
        <w:t>Initial Decision</w:t>
      </w:r>
      <w:r w:rsidR="00D07699">
        <w:rPr>
          <w:color w:val="000000"/>
          <w:sz w:val="26"/>
          <w:szCs w:val="26"/>
        </w:rPr>
        <w:t xml:space="preserve">, modified </w:t>
      </w:r>
      <w:r w:rsidR="00680162">
        <w:rPr>
          <w:color w:val="000000"/>
          <w:sz w:val="26"/>
          <w:szCs w:val="26"/>
        </w:rPr>
        <w:t xml:space="preserve">to dismiss </w:t>
      </w:r>
      <w:r w:rsidR="00C87F0C">
        <w:rPr>
          <w:color w:val="000000"/>
          <w:sz w:val="26"/>
          <w:szCs w:val="26"/>
        </w:rPr>
        <w:t>the c</w:t>
      </w:r>
      <w:r w:rsidR="00D07699">
        <w:rPr>
          <w:color w:val="000000"/>
          <w:sz w:val="26"/>
          <w:szCs w:val="26"/>
        </w:rPr>
        <w:t xml:space="preserve">omplaint </w:t>
      </w:r>
      <w:r w:rsidR="00D348C5">
        <w:rPr>
          <w:color w:val="000000"/>
          <w:sz w:val="26"/>
          <w:szCs w:val="26"/>
        </w:rPr>
        <w:t>with prejudice.</w:t>
      </w:r>
      <w:r w:rsidR="00D348C5" w:rsidRPr="00D348C5">
        <w:rPr>
          <w:color w:val="000000"/>
          <w:sz w:val="26"/>
          <w:szCs w:val="26"/>
          <w:vertAlign w:val="superscript"/>
        </w:rPr>
        <w:footnoteReference w:id="1"/>
      </w:r>
      <w:r w:rsidR="006539C1">
        <w:rPr>
          <w:color w:val="000000"/>
          <w:sz w:val="26"/>
          <w:szCs w:val="26"/>
        </w:rPr>
        <w:t xml:space="preserve">  </w:t>
      </w:r>
    </w:p>
    <w:p w:rsidR="006539C1" w:rsidRDefault="006539C1" w:rsidP="006539C1">
      <w:pPr>
        <w:adjustRightInd w:val="0"/>
        <w:ind w:firstLine="0"/>
        <w:rPr>
          <w:color w:val="000000"/>
          <w:sz w:val="26"/>
          <w:szCs w:val="26"/>
        </w:rPr>
      </w:pPr>
    </w:p>
    <w:p w:rsidR="006539C1" w:rsidRDefault="0030336E" w:rsidP="006539C1">
      <w:pPr>
        <w:adjustRightInd w:val="0"/>
        <w:rPr>
          <w:sz w:val="26"/>
          <w:szCs w:val="26"/>
        </w:rPr>
      </w:pPr>
      <w:r>
        <w:rPr>
          <w:sz w:val="26"/>
          <w:szCs w:val="26"/>
        </w:rPr>
        <w:t xml:space="preserve">No further actions were taken by any party until </w:t>
      </w:r>
      <w:r w:rsidR="007C1FC4">
        <w:rPr>
          <w:sz w:val="26"/>
          <w:szCs w:val="26"/>
        </w:rPr>
        <w:t>July</w:t>
      </w:r>
      <w:r w:rsidR="006539C1">
        <w:rPr>
          <w:sz w:val="26"/>
          <w:szCs w:val="26"/>
        </w:rPr>
        <w:t> </w:t>
      </w:r>
      <w:r w:rsidR="00880C40">
        <w:rPr>
          <w:sz w:val="26"/>
          <w:szCs w:val="26"/>
        </w:rPr>
        <w:t>1</w:t>
      </w:r>
      <w:r w:rsidR="000E0D4E">
        <w:rPr>
          <w:sz w:val="26"/>
          <w:szCs w:val="26"/>
        </w:rPr>
        <w:t>6</w:t>
      </w:r>
      <w:r w:rsidR="00880C40">
        <w:rPr>
          <w:sz w:val="26"/>
          <w:szCs w:val="26"/>
        </w:rPr>
        <w:t>, 201</w:t>
      </w:r>
      <w:r w:rsidR="000E0D4E">
        <w:rPr>
          <w:sz w:val="26"/>
          <w:szCs w:val="26"/>
        </w:rPr>
        <w:t>5</w:t>
      </w:r>
      <w:r w:rsidR="00880C40">
        <w:rPr>
          <w:sz w:val="26"/>
          <w:szCs w:val="26"/>
        </w:rPr>
        <w:t xml:space="preserve">, </w:t>
      </w:r>
      <w:r>
        <w:rPr>
          <w:sz w:val="26"/>
          <w:szCs w:val="26"/>
        </w:rPr>
        <w:t xml:space="preserve">when </w:t>
      </w:r>
      <w:r w:rsidR="000E0D4E">
        <w:rPr>
          <w:sz w:val="26"/>
          <w:szCs w:val="26"/>
        </w:rPr>
        <w:t>Mr.</w:t>
      </w:r>
      <w:r>
        <w:rPr>
          <w:sz w:val="26"/>
          <w:szCs w:val="26"/>
        </w:rPr>
        <w:t> </w:t>
      </w:r>
      <w:proofErr w:type="spellStart"/>
      <w:r w:rsidR="000E0D4E">
        <w:rPr>
          <w:sz w:val="26"/>
          <w:szCs w:val="26"/>
        </w:rPr>
        <w:t>Buoncristiano</w:t>
      </w:r>
      <w:proofErr w:type="spellEnd"/>
      <w:r w:rsidR="000E0D4E">
        <w:rPr>
          <w:sz w:val="26"/>
          <w:szCs w:val="26"/>
        </w:rPr>
        <w:t xml:space="preserve"> filed </w:t>
      </w:r>
      <w:r w:rsidR="00552EA5">
        <w:rPr>
          <w:sz w:val="26"/>
          <w:szCs w:val="26"/>
        </w:rPr>
        <w:t>the</w:t>
      </w:r>
      <w:r w:rsidR="000E0D4E">
        <w:rPr>
          <w:sz w:val="26"/>
          <w:szCs w:val="26"/>
        </w:rPr>
        <w:t xml:space="preserve"> Petition seeking to have us rescind</w:t>
      </w:r>
      <w:r w:rsidR="00D07699">
        <w:rPr>
          <w:sz w:val="26"/>
          <w:szCs w:val="26"/>
        </w:rPr>
        <w:t xml:space="preserve"> our Order in</w:t>
      </w:r>
      <w:r w:rsidR="000E0D4E">
        <w:rPr>
          <w:sz w:val="26"/>
          <w:szCs w:val="26"/>
        </w:rPr>
        <w:t xml:space="preserve"> </w:t>
      </w:r>
      <w:proofErr w:type="spellStart"/>
      <w:r w:rsidR="000E0D4E" w:rsidRPr="000E0D4E">
        <w:rPr>
          <w:i/>
          <w:sz w:val="26"/>
          <w:szCs w:val="26"/>
        </w:rPr>
        <w:t>Buoncristiano</w:t>
      </w:r>
      <w:proofErr w:type="spellEnd"/>
      <w:r w:rsidR="000E0D4E" w:rsidRPr="000E0D4E">
        <w:rPr>
          <w:i/>
          <w:sz w:val="26"/>
          <w:szCs w:val="26"/>
        </w:rPr>
        <w:t xml:space="preserve"> v. PGW</w:t>
      </w:r>
      <w:r w:rsidR="000E0D4E">
        <w:rPr>
          <w:sz w:val="26"/>
          <w:szCs w:val="26"/>
        </w:rPr>
        <w:t>.</w:t>
      </w:r>
      <w:r w:rsidR="006539C1">
        <w:rPr>
          <w:sz w:val="26"/>
          <w:szCs w:val="26"/>
        </w:rPr>
        <w:t xml:space="preserve">  On </w:t>
      </w:r>
      <w:r w:rsidR="006539C1" w:rsidRPr="006539C1">
        <w:rPr>
          <w:sz w:val="26"/>
          <w:szCs w:val="26"/>
        </w:rPr>
        <w:t>July 27, 2015, PGW filed an Answer</w:t>
      </w:r>
      <w:r w:rsidR="006539C1">
        <w:rPr>
          <w:sz w:val="26"/>
          <w:szCs w:val="26"/>
        </w:rPr>
        <w:t xml:space="preserve"> opposing the Petition.</w:t>
      </w:r>
    </w:p>
    <w:p w:rsidR="006539C1" w:rsidRDefault="006539C1" w:rsidP="006539C1">
      <w:pPr>
        <w:adjustRightInd w:val="0"/>
        <w:ind w:firstLine="0"/>
        <w:rPr>
          <w:sz w:val="26"/>
          <w:szCs w:val="26"/>
        </w:rPr>
      </w:pPr>
    </w:p>
    <w:p w:rsidR="00D6672E" w:rsidRPr="003A2799" w:rsidRDefault="00736427" w:rsidP="00680162">
      <w:pPr>
        <w:pStyle w:val="ListParagraph"/>
        <w:keepNext/>
        <w:adjustRightInd w:val="0"/>
        <w:ind w:left="0" w:firstLine="0"/>
        <w:jc w:val="center"/>
        <w:rPr>
          <w:b/>
          <w:sz w:val="26"/>
          <w:szCs w:val="26"/>
        </w:rPr>
      </w:pPr>
      <w:r w:rsidRPr="003A2799">
        <w:rPr>
          <w:b/>
          <w:sz w:val="26"/>
          <w:szCs w:val="26"/>
        </w:rPr>
        <w:lastRenderedPageBreak/>
        <w:t>Discussion</w:t>
      </w:r>
    </w:p>
    <w:p w:rsidR="00F211B8" w:rsidRDefault="00F211B8" w:rsidP="00680162">
      <w:pPr>
        <w:keepNext/>
        <w:ind w:firstLine="0"/>
        <w:jc w:val="center"/>
        <w:rPr>
          <w:b/>
          <w:sz w:val="26"/>
          <w:szCs w:val="26"/>
        </w:rPr>
      </w:pPr>
    </w:p>
    <w:p w:rsidR="007A250A" w:rsidRPr="00C05A25" w:rsidRDefault="007A250A" w:rsidP="00C05A25">
      <w:pPr>
        <w:keepNext/>
        <w:tabs>
          <w:tab w:val="left" w:pos="360"/>
        </w:tabs>
        <w:ind w:firstLine="0"/>
        <w:contextualSpacing/>
        <w:rPr>
          <w:b/>
          <w:sz w:val="26"/>
          <w:szCs w:val="26"/>
        </w:rPr>
      </w:pPr>
      <w:r w:rsidRPr="00C05A25">
        <w:rPr>
          <w:b/>
          <w:sz w:val="26"/>
          <w:szCs w:val="26"/>
        </w:rPr>
        <w:t>Legal Standards</w:t>
      </w:r>
    </w:p>
    <w:p w:rsidR="007A250A" w:rsidRDefault="007A250A" w:rsidP="007A250A">
      <w:pPr>
        <w:ind w:firstLine="0"/>
        <w:jc w:val="both"/>
        <w:rPr>
          <w:sz w:val="26"/>
          <w:szCs w:val="26"/>
        </w:rPr>
      </w:pPr>
    </w:p>
    <w:p w:rsidR="00CB5860" w:rsidRPr="00625B2B" w:rsidRDefault="00CB5860" w:rsidP="00CB5860">
      <w:pPr>
        <w:rPr>
          <w:color w:val="000000"/>
          <w:sz w:val="26"/>
          <w:szCs w:val="26"/>
        </w:rPr>
      </w:pPr>
      <w:r w:rsidRPr="00625B2B">
        <w:rPr>
          <w:sz w:val="26"/>
          <w:szCs w:val="26"/>
        </w:rPr>
        <w:t>We note that any issue or argument that we do not specifically address has been duly considered and will be denied without further discussion.  It is well</w:t>
      </w:r>
      <w:r>
        <w:rPr>
          <w:sz w:val="26"/>
          <w:szCs w:val="26"/>
        </w:rPr>
        <w:noBreakHyphen/>
      </w:r>
      <w:r w:rsidRPr="00625B2B">
        <w:rPr>
          <w:sz w:val="26"/>
          <w:szCs w:val="26"/>
        </w:rPr>
        <w:t xml:space="preserve">settled that we are not required to consider expressly or at length each contention or argument raised by the </w:t>
      </w:r>
      <w:r>
        <w:rPr>
          <w:sz w:val="26"/>
          <w:szCs w:val="26"/>
        </w:rPr>
        <w:t>parties</w:t>
      </w:r>
      <w:r w:rsidRPr="00625B2B">
        <w:rPr>
          <w:sz w:val="26"/>
          <w:szCs w:val="26"/>
        </w:rPr>
        <w:t xml:space="preserve">.  </w:t>
      </w:r>
      <w:hyperlink r:id="rId9" w:history="1">
        <w:r w:rsidRPr="00625B2B">
          <w:rPr>
            <w:i/>
            <w:iCs/>
            <w:color w:val="000000"/>
            <w:sz w:val="26"/>
            <w:szCs w:val="26"/>
          </w:rPr>
          <w:t xml:space="preserve">Consolidated Rail Corporation v. Pa. PUC, </w:t>
        </w:r>
        <w:r w:rsidRPr="00625B2B">
          <w:rPr>
            <w:color w:val="000000"/>
            <w:sz w:val="26"/>
            <w:szCs w:val="26"/>
          </w:rPr>
          <w:t xml:space="preserve">625 A.2d 741 (Pa. </w:t>
        </w:r>
        <w:proofErr w:type="spellStart"/>
        <w:r w:rsidRPr="00625B2B">
          <w:rPr>
            <w:color w:val="000000"/>
            <w:sz w:val="26"/>
            <w:szCs w:val="26"/>
          </w:rPr>
          <w:t>Cmwlth</w:t>
        </w:r>
        <w:proofErr w:type="spellEnd"/>
        <w:r w:rsidRPr="00625B2B">
          <w:rPr>
            <w:color w:val="000000"/>
            <w:sz w:val="26"/>
            <w:szCs w:val="26"/>
          </w:rPr>
          <w:t>. 1993);</w:t>
        </w:r>
      </w:hyperlink>
      <w:r w:rsidRPr="00625B2B">
        <w:rPr>
          <w:color w:val="000000"/>
          <w:sz w:val="26"/>
          <w:szCs w:val="26"/>
        </w:rPr>
        <w:t xml:space="preserve"> </w:t>
      </w:r>
      <w:r w:rsidRPr="00625B2B">
        <w:rPr>
          <w:i/>
          <w:color w:val="000000"/>
          <w:sz w:val="26"/>
          <w:szCs w:val="26"/>
        </w:rPr>
        <w:t xml:space="preserve">also </w:t>
      </w:r>
      <w:r w:rsidRPr="00625B2B">
        <w:rPr>
          <w:i/>
          <w:iCs/>
          <w:color w:val="000000"/>
          <w:sz w:val="26"/>
          <w:szCs w:val="26"/>
        </w:rPr>
        <w:t xml:space="preserve">see, generally, </w:t>
      </w:r>
      <w:hyperlink r:id="rId10" w:history="1">
        <w:r w:rsidRPr="00625B2B">
          <w:rPr>
            <w:i/>
            <w:iCs/>
            <w:color w:val="000000"/>
            <w:sz w:val="26"/>
            <w:szCs w:val="26"/>
          </w:rPr>
          <w:t>University of Pennsylvania v. Pa. PUC</w:t>
        </w:r>
        <w:r w:rsidRPr="00625B2B">
          <w:rPr>
            <w:color w:val="000000"/>
            <w:sz w:val="26"/>
            <w:szCs w:val="26"/>
          </w:rPr>
          <w:t xml:space="preserve">, 485 A.2d 1217 (Pa. </w:t>
        </w:r>
        <w:proofErr w:type="spellStart"/>
        <w:r w:rsidRPr="00625B2B">
          <w:rPr>
            <w:color w:val="000000"/>
            <w:sz w:val="26"/>
            <w:szCs w:val="26"/>
          </w:rPr>
          <w:t>Cmwlth</w:t>
        </w:r>
        <w:proofErr w:type="spellEnd"/>
        <w:r w:rsidRPr="00625B2B">
          <w:rPr>
            <w:color w:val="000000"/>
            <w:sz w:val="26"/>
            <w:szCs w:val="26"/>
          </w:rPr>
          <w:t>. 1984).</w:t>
        </w:r>
      </w:hyperlink>
    </w:p>
    <w:p w:rsidR="00CB5860" w:rsidRPr="00625B2B" w:rsidRDefault="00CB5860" w:rsidP="00CB5860">
      <w:pPr>
        <w:rPr>
          <w:sz w:val="26"/>
          <w:szCs w:val="26"/>
        </w:rPr>
      </w:pPr>
    </w:p>
    <w:p w:rsidR="00CB5860" w:rsidRDefault="00CB5860" w:rsidP="00CB5860">
      <w:pPr>
        <w:rPr>
          <w:sz w:val="26"/>
          <w:szCs w:val="26"/>
        </w:rPr>
      </w:pPr>
      <w:r w:rsidRPr="00625B2B">
        <w:rPr>
          <w:sz w:val="26"/>
          <w:szCs w:val="26"/>
        </w:rPr>
        <w:t>Subsections 703(f) and (g)</w:t>
      </w:r>
      <w:r>
        <w:rPr>
          <w:sz w:val="26"/>
          <w:szCs w:val="26"/>
        </w:rPr>
        <w:t xml:space="preserve"> of the </w:t>
      </w:r>
      <w:r w:rsidR="00DD0F92">
        <w:rPr>
          <w:sz w:val="26"/>
          <w:szCs w:val="26"/>
        </w:rPr>
        <w:t>Public Utility Code (</w:t>
      </w:r>
      <w:r>
        <w:rPr>
          <w:sz w:val="26"/>
          <w:szCs w:val="26"/>
        </w:rPr>
        <w:t>Code</w:t>
      </w:r>
      <w:r w:rsidR="00DD0F92">
        <w:rPr>
          <w:sz w:val="26"/>
          <w:szCs w:val="26"/>
        </w:rPr>
        <w:t>)</w:t>
      </w:r>
      <w:r w:rsidRPr="00625B2B">
        <w:rPr>
          <w:sz w:val="26"/>
          <w:szCs w:val="26"/>
        </w:rPr>
        <w:t xml:space="preserve">, 66 Pa. C.S. §§ 703(f) and (g), relating to </w:t>
      </w:r>
      <w:proofErr w:type="spellStart"/>
      <w:r w:rsidRPr="00625B2B">
        <w:rPr>
          <w:sz w:val="26"/>
          <w:szCs w:val="26"/>
        </w:rPr>
        <w:t>rehearings</w:t>
      </w:r>
      <w:proofErr w:type="spellEnd"/>
      <w:r>
        <w:rPr>
          <w:sz w:val="26"/>
          <w:szCs w:val="26"/>
        </w:rPr>
        <w:t xml:space="preserve"> and</w:t>
      </w:r>
      <w:r w:rsidRPr="00625B2B">
        <w:rPr>
          <w:sz w:val="26"/>
          <w:szCs w:val="26"/>
        </w:rPr>
        <w:t xml:space="preserve"> the rescission and amendment of orders</w:t>
      </w:r>
      <w:r>
        <w:rPr>
          <w:sz w:val="26"/>
          <w:szCs w:val="26"/>
        </w:rPr>
        <w:t>, establish a party’s right to seek relief following the issuance of our final decisions</w:t>
      </w:r>
      <w:r w:rsidR="002A5E97">
        <w:rPr>
          <w:sz w:val="26"/>
          <w:szCs w:val="26"/>
        </w:rPr>
        <w:t>.  Specifically, Section 703(g) sets forth the Commission’s discretion to “rescind or amend any order made by it.”  66 Pa. C.S. § 703(g)</w:t>
      </w:r>
      <w:r w:rsidRPr="00625B2B">
        <w:rPr>
          <w:sz w:val="26"/>
          <w:szCs w:val="26"/>
        </w:rPr>
        <w:t>.  Such requests for relief must be consistent with Section 5.572 of our Regulations, 52 Pa. Code § 5.572, relating to petitions for relief following the issuance of a final decision.</w:t>
      </w:r>
    </w:p>
    <w:p w:rsidR="00CB5860" w:rsidRDefault="00CB5860" w:rsidP="00CB5860">
      <w:pPr>
        <w:rPr>
          <w:sz w:val="26"/>
          <w:szCs w:val="26"/>
        </w:rPr>
      </w:pPr>
    </w:p>
    <w:p w:rsidR="00C0167C" w:rsidRDefault="00CB5860" w:rsidP="00CB5860">
      <w:pPr>
        <w:tabs>
          <w:tab w:val="left" w:pos="1440"/>
        </w:tabs>
        <w:ind w:firstLine="0"/>
        <w:rPr>
          <w:sz w:val="26"/>
        </w:rPr>
      </w:pPr>
      <w:r>
        <w:rPr>
          <w:sz w:val="26"/>
          <w:szCs w:val="26"/>
        </w:rPr>
        <w:tab/>
      </w:r>
      <w:r w:rsidR="00F33ED8">
        <w:rPr>
          <w:sz w:val="26"/>
          <w:szCs w:val="26"/>
        </w:rPr>
        <w:t>A</w:t>
      </w:r>
      <w:r w:rsidRPr="00F32A5D">
        <w:rPr>
          <w:sz w:val="26"/>
          <w:szCs w:val="26"/>
        </w:rPr>
        <w:t xml:space="preserve"> </w:t>
      </w:r>
      <w:r w:rsidRPr="00F32A5D">
        <w:rPr>
          <w:bCs/>
          <w:sz w:val="26"/>
          <w:szCs w:val="26"/>
        </w:rPr>
        <w:t>petition</w:t>
      </w:r>
      <w:r w:rsidRPr="00F32A5D">
        <w:rPr>
          <w:sz w:val="26"/>
          <w:szCs w:val="26"/>
        </w:rPr>
        <w:t xml:space="preserve"> to amend or rescind a final Commission </w:t>
      </w:r>
      <w:r w:rsidR="00CA68EF">
        <w:rPr>
          <w:sz w:val="26"/>
          <w:szCs w:val="26"/>
        </w:rPr>
        <w:t>O</w:t>
      </w:r>
      <w:r w:rsidRPr="00F32A5D">
        <w:rPr>
          <w:sz w:val="26"/>
          <w:szCs w:val="26"/>
        </w:rPr>
        <w:t xml:space="preserve">rder </w:t>
      </w:r>
      <w:r w:rsidR="00C0167C">
        <w:rPr>
          <w:sz w:val="26"/>
          <w:szCs w:val="26"/>
        </w:rPr>
        <w:t xml:space="preserve">is wholly </w:t>
      </w:r>
      <w:r w:rsidR="00F33ED8">
        <w:rPr>
          <w:sz w:val="26"/>
          <w:szCs w:val="26"/>
        </w:rPr>
        <w:t>within th</w:t>
      </w:r>
      <w:r w:rsidR="00C0167C">
        <w:rPr>
          <w:sz w:val="26"/>
          <w:szCs w:val="26"/>
        </w:rPr>
        <w:t>e Commission</w:t>
      </w:r>
      <w:r w:rsidR="00F33ED8">
        <w:rPr>
          <w:sz w:val="26"/>
          <w:szCs w:val="26"/>
        </w:rPr>
        <w:t>’s discretion.  B</w:t>
      </w:r>
      <w:r w:rsidR="00F33ED8" w:rsidRPr="00F33ED8">
        <w:rPr>
          <w:sz w:val="26"/>
          <w:szCs w:val="26"/>
        </w:rPr>
        <w:t xml:space="preserve">ecause such an action results in the disturbance of final </w:t>
      </w:r>
      <w:r w:rsidR="00CA68EF">
        <w:rPr>
          <w:sz w:val="26"/>
          <w:szCs w:val="26"/>
        </w:rPr>
        <w:t>O</w:t>
      </w:r>
      <w:r w:rsidR="00F33ED8" w:rsidRPr="00F33ED8">
        <w:rPr>
          <w:sz w:val="26"/>
          <w:szCs w:val="26"/>
        </w:rPr>
        <w:t>rders</w:t>
      </w:r>
      <w:r w:rsidR="00F33ED8">
        <w:rPr>
          <w:sz w:val="26"/>
          <w:szCs w:val="26"/>
        </w:rPr>
        <w:t xml:space="preserve">, it is </w:t>
      </w:r>
      <w:r w:rsidRPr="00F32A5D">
        <w:rPr>
          <w:sz w:val="26"/>
          <w:szCs w:val="26"/>
        </w:rPr>
        <w:t xml:space="preserve">granted judiciously and </w:t>
      </w:r>
      <w:r w:rsidR="00C0167C" w:rsidRPr="00C0167C">
        <w:rPr>
          <w:sz w:val="26"/>
          <w:szCs w:val="26"/>
        </w:rPr>
        <w:t xml:space="preserve">only </w:t>
      </w:r>
      <w:r w:rsidRPr="00F32A5D">
        <w:rPr>
          <w:sz w:val="26"/>
          <w:szCs w:val="26"/>
        </w:rPr>
        <w:t xml:space="preserve">under appropriate circumstances.  </w:t>
      </w:r>
      <w:r w:rsidRPr="00F32A5D">
        <w:rPr>
          <w:i/>
          <w:iCs/>
          <w:sz w:val="26"/>
          <w:szCs w:val="26"/>
        </w:rPr>
        <w:t>City of Pittsburgh v. Pennsylvania Department of Transportation</w:t>
      </w:r>
      <w:r w:rsidRPr="00F32A5D">
        <w:rPr>
          <w:sz w:val="26"/>
          <w:szCs w:val="26"/>
        </w:rPr>
        <w:t>, 490 Pa. 264, 416 A.2d 461 (1980)</w:t>
      </w:r>
      <w:r w:rsidR="00C0167C">
        <w:rPr>
          <w:sz w:val="26"/>
          <w:szCs w:val="26"/>
        </w:rPr>
        <w:t xml:space="preserve">; </w:t>
      </w:r>
      <w:r w:rsidR="00C0167C">
        <w:rPr>
          <w:i/>
          <w:sz w:val="26"/>
          <w:szCs w:val="26"/>
        </w:rPr>
        <w:t>West Penn Power Co. v. Pa. P.U.C.</w:t>
      </w:r>
      <w:r w:rsidR="00C0167C">
        <w:rPr>
          <w:sz w:val="26"/>
          <w:szCs w:val="26"/>
        </w:rPr>
        <w:t xml:space="preserve">, 659 A.2d 1055 (Pa. </w:t>
      </w:r>
      <w:proofErr w:type="spellStart"/>
      <w:r w:rsidR="00C0167C">
        <w:rPr>
          <w:sz w:val="26"/>
          <w:szCs w:val="26"/>
        </w:rPr>
        <w:t>Cmwlth</w:t>
      </w:r>
      <w:proofErr w:type="spellEnd"/>
      <w:r w:rsidR="00C0167C">
        <w:rPr>
          <w:sz w:val="26"/>
          <w:szCs w:val="26"/>
        </w:rPr>
        <w:t>. 1995) (</w:t>
      </w:r>
      <w:r w:rsidR="00C0167C">
        <w:rPr>
          <w:i/>
          <w:sz w:val="26"/>
          <w:szCs w:val="26"/>
        </w:rPr>
        <w:t>West Penn Power</w:t>
      </w:r>
      <w:r w:rsidR="00C0167C">
        <w:rPr>
          <w:sz w:val="26"/>
          <w:szCs w:val="26"/>
        </w:rPr>
        <w:t>)</w:t>
      </w:r>
      <w:r w:rsidRPr="00F32A5D">
        <w:rPr>
          <w:sz w:val="26"/>
          <w:szCs w:val="26"/>
        </w:rPr>
        <w:t xml:space="preserve">.  </w:t>
      </w:r>
      <w:r w:rsidR="00607A81" w:rsidRPr="00607A81">
        <w:rPr>
          <w:sz w:val="26"/>
          <w:szCs w:val="26"/>
        </w:rPr>
        <w:t xml:space="preserve">While </w:t>
      </w:r>
      <w:r w:rsidR="00494323">
        <w:rPr>
          <w:sz w:val="26"/>
          <w:szCs w:val="26"/>
        </w:rPr>
        <w:t>such a petition</w:t>
      </w:r>
      <w:r w:rsidR="00607A81" w:rsidRPr="00607A81">
        <w:rPr>
          <w:sz w:val="26"/>
          <w:szCs w:val="26"/>
        </w:rPr>
        <w:t xml:space="preserve"> may be filed at any time, </w:t>
      </w:r>
      <w:r w:rsidR="00607A81">
        <w:rPr>
          <w:sz w:val="26"/>
          <w:szCs w:val="26"/>
        </w:rPr>
        <w:t xml:space="preserve">it should be used “only where circumstances warrant special relief. . . .  </w:t>
      </w:r>
      <w:r w:rsidR="002A5E97">
        <w:rPr>
          <w:sz w:val="26"/>
          <w:szCs w:val="26"/>
        </w:rPr>
        <w:t xml:space="preserve">To establish a proper basis for rescission, a petitioner must first establish the existence of newly discovered evidence, a substantial change in circumstances, or an error of fact or law.”  </w:t>
      </w:r>
      <w:proofErr w:type="spellStart"/>
      <w:r w:rsidR="002A5E97">
        <w:rPr>
          <w:i/>
          <w:sz w:val="26"/>
          <w:szCs w:val="26"/>
        </w:rPr>
        <w:t>Feleccia</w:t>
      </w:r>
      <w:proofErr w:type="spellEnd"/>
      <w:r w:rsidR="002A5E97">
        <w:rPr>
          <w:i/>
          <w:sz w:val="26"/>
          <w:szCs w:val="26"/>
        </w:rPr>
        <w:t xml:space="preserve"> v. PPL Electric Utilities Corp.</w:t>
      </w:r>
      <w:r w:rsidR="002A5E97">
        <w:rPr>
          <w:sz w:val="26"/>
          <w:szCs w:val="26"/>
        </w:rPr>
        <w:t>, Docket No. C-20016210 (Order entered March 7, 2003) (</w:t>
      </w:r>
      <w:proofErr w:type="spellStart"/>
      <w:r w:rsidR="002A5E97">
        <w:rPr>
          <w:i/>
          <w:sz w:val="26"/>
          <w:szCs w:val="26"/>
        </w:rPr>
        <w:t>Feleccia</w:t>
      </w:r>
      <w:proofErr w:type="spellEnd"/>
      <w:r w:rsidR="002A5E97">
        <w:rPr>
          <w:sz w:val="26"/>
          <w:szCs w:val="26"/>
        </w:rPr>
        <w:t>)</w:t>
      </w:r>
      <w:r w:rsidR="00F33ED8">
        <w:rPr>
          <w:sz w:val="26"/>
          <w:szCs w:val="26"/>
        </w:rPr>
        <w:t xml:space="preserve"> at 2</w:t>
      </w:r>
      <w:r w:rsidR="002A5E97">
        <w:rPr>
          <w:sz w:val="26"/>
          <w:szCs w:val="26"/>
        </w:rPr>
        <w:t xml:space="preserve">, </w:t>
      </w:r>
      <w:r w:rsidR="002A5E97" w:rsidRPr="00680162">
        <w:rPr>
          <w:sz w:val="26"/>
          <w:szCs w:val="26"/>
        </w:rPr>
        <w:t>citing</w:t>
      </w:r>
      <w:r w:rsidR="002A5E97">
        <w:rPr>
          <w:i/>
          <w:sz w:val="26"/>
          <w:szCs w:val="26"/>
        </w:rPr>
        <w:t xml:space="preserve"> </w:t>
      </w:r>
      <w:proofErr w:type="spellStart"/>
      <w:r w:rsidR="002A5E97" w:rsidRPr="002A5E97">
        <w:rPr>
          <w:i/>
          <w:sz w:val="26"/>
          <w:szCs w:val="26"/>
        </w:rPr>
        <w:lastRenderedPageBreak/>
        <w:t>Duick</w:t>
      </w:r>
      <w:proofErr w:type="spellEnd"/>
      <w:r w:rsidR="002A5E97" w:rsidRPr="002A5E97">
        <w:rPr>
          <w:i/>
          <w:sz w:val="26"/>
          <w:szCs w:val="26"/>
        </w:rPr>
        <w:t xml:space="preserve"> v. Pennsylvania Gas and Water Company</w:t>
      </w:r>
      <w:r w:rsidR="002A5E97" w:rsidRPr="002A5E97">
        <w:rPr>
          <w:sz w:val="26"/>
          <w:szCs w:val="26"/>
        </w:rPr>
        <w:t>, 56 Pa. P.U.C. 553, 559 (Order entered December 17, 1982</w:t>
      </w:r>
      <w:r w:rsidR="002A5E97">
        <w:rPr>
          <w:sz w:val="26"/>
          <w:szCs w:val="26"/>
        </w:rPr>
        <w:t>) (</w:t>
      </w:r>
      <w:proofErr w:type="spellStart"/>
      <w:r w:rsidR="002A5E97" w:rsidRPr="002A5E97">
        <w:rPr>
          <w:i/>
          <w:sz w:val="26"/>
          <w:szCs w:val="26"/>
        </w:rPr>
        <w:t>Duick</w:t>
      </w:r>
      <w:proofErr w:type="spellEnd"/>
      <w:r w:rsidR="002A5E97">
        <w:rPr>
          <w:sz w:val="26"/>
          <w:szCs w:val="26"/>
        </w:rPr>
        <w:t xml:space="preserve">).  </w:t>
      </w:r>
      <w:r w:rsidR="00E45ADA" w:rsidRPr="002A5E97">
        <w:rPr>
          <w:sz w:val="26"/>
        </w:rPr>
        <w:t>Additionally</w:t>
      </w:r>
      <w:r w:rsidR="00E45ADA" w:rsidRPr="00E45ADA">
        <w:rPr>
          <w:sz w:val="26"/>
        </w:rPr>
        <w:t xml:space="preserve">, we recognize that while a petition under Section 703(g) may raise any matter designed to convince us that we should exercise our discretion to amend or rescind a prior order, at the same time “[p]arties </w:t>
      </w:r>
      <w:r>
        <w:rPr>
          <w:sz w:val="26"/>
        </w:rPr>
        <w:t>. . .</w:t>
      </w:r>
      <w:r w:rsidR="00BE7852">
        <w:rPr>
          <w:sz w:val="26"/>
        </w:rPr>
        <w:t>,</w:t>
      </w:r>
      <w:r>
        <w:rPr>
          <w:sz w:val="26"/>
        </w:rPr>
        <w:t xml:space="preserve"> </w:t>
      </w:r>
      <w:r w:rsidR="00E45ADA" w:rsidRPr="00E45ADA">
        <w:rPr>
          <w:sz w:val="26"/>
        </w:rPr>
        <w:t>cannot be permitted by a second motion to review and reconsider, to raise the same questions which were specifically considered and decided against them</w:t>
      </w:r>
      <w:r w:rsidR="00BD6821">
        <w:rPr>
          <w:sz w:val="26"/>
        </w:rPr>
        <w:t>[</w:t>
      </w:r>
      <w:r w:rsidR="00E45ADA" w:rsidRPr="00E45ADA">
        <w:rPr>
          <w:sz w:val="26"/>
        </w:rPr>
        <w:t>.</w:t>
      </w:r>
      <w:r w:rsidR="00BD6821">
        <w:rPr>
          <w:sz w:val="26"/>
        </w:rPr>
        <w:t>]</w:t>
      </w:r>
      <w:r w:rsidR="00E45ADA" w:rsidRPr="00E45ADA">
        <w:rPr>
          <w:sz w:val="26"/>
        </w:rPr>
        <w:t xml:space="preserve">” </w:t>
      </w:r>
      <w:r w:rsidR="008D5299">
        <w:rPr>
          <w:sz w:val="26"/>
        </w:rPr>
        <w:t xml:space="preserve"> </w:t>
      </w:r>
      <w:proofErr w:type="spellStart"/>
      <w:r w:rsidR="00E45ADA" w:rsidRPr="00CB5860">
        <w:rPr>
          <w:i/>
          <w:sz w:val="26"/>
        </w:rPr>
        <w:t>Duick</w:t>
      </w:r>
      <w:proofErr w:type="spellEnd"/>
      <w:r w:rsidR="00E45ADA" w:rsidRPr="00CB5860">
        <w:rPr>
          <w:i/>
          <w:sz w:val="26"/>
        </w:rPr>
        <w:t xml:space="preserve"> </w:t>
      </w:r>
      <w:r w:rsidR="002A5E97">
        <w:rPr>
          <w:sz w:val="26"/>
        </w:rPr>
        <w:t>at 559,</w:t>
      </w:r>
      <w:r w:rsidR="00E45ADA" w:rsidRPr="00E45ADA">
        <w:rPr>
          <w:sz w:val="26"/>
        </w:rPr>
        <w:t xml:space="preserve"> </w:t>
      </w:r>
      <w:r w:rsidR="00E45ADA" w:rsidRPr="00680162">
        <w:rPr>
          <w:sz w:val="26"/>
        </w:rPr>
        <w:t>quoting</w:t>
      </w:r>
      <w:r w:rsidR="00E45ADA" w:rsidRPr="00E45ADA">
        <w:rPr>
          <w:sz w:val="26"/>
        </w:rPr>
        <w:t xml:space="preserve"> </w:t>
      </w:r>
      <w:r w:rsidR="00E45ADA" w:rsidRPr="00CB5860">
        <w:rPr>
          <w:i/>
          <w:sz w:val="26"/>
        </w:rPr>
        <w:t>Pennsylvania Railroad Co. v. Pennsylvania Public Service Commission</w:t>
      </w:r>
      <w:r w:rsidR="00E45ADA" w:rsidRPr="00E45ADA">
        <w:rPr>
          <w:sz w:val="26"/>
        </w:rPr>
        <w:t xml:space="preserve">, 179 A. 850, 854 (Pa. Super. 1935). </w:t>
      </w:r>
      <w:r>
        <w:rPr>
          <w:sz w:val="26"/>
        </w:rPr>
        <w:t xml:space="preserve"> </w:t>
      </w:r>
    </w:p>
    <w:p w:rsidR="00C0167C" w:rsidRDefault="00C0167C" w:rsidP="00CB5860">
      <w:pPr>
        <w:tabs>
          <w:tab w:val="left" w:pos="1440"/>
        </w:tabs>
        <w:ind w:firstLine="0"/>
        <w:rPr>
          <w:sz w:val="26"/>
        </w:rPr>
      </w:pPr>
    </w:p>
    <w:p w:rsidR="00ED2ABC" w:rsidRDefault="00C0167C" w:rsidP="00CB5860">
      <w:pPr>
        <w:tabs>
          <w:tab w:val="left" w:pos="1440"/>
        </w:tabs>
        <w:ind w:firstLine="0"/>
        <w:rPr>
          <w:sz w:val="26"/>
          <w:szCs w:val="26"/>
        </w:rPr>
      </w:pPr>
      <w:r>
        <w:rPr>
          <w:sz w:val="26"/>
        </w:rPr>
        <w:tab/>
        <w:t xml:space="preserve">Upon </w:t>
      </w:r>
      <w:r w:rsidR="00353264">
        <w:rPr>
          <w:sz w:val="26"/>
        </w:rPr>
        <w:t>the filing</w:t>
      </w:r>
      <w:r>
        <w:rPr>
          <w:sz w:val="26"/>
        </w:rPr>
        <w:t xml:space="preserve"> of a petition for rescission, we </w:t>
      </w:r>
      <w:r w:rsidR="00353264">
        <w:rPr>
          <w:sz w:val="26"/>
        </w:rPr>
        <w:t xml:space="preserve">review the petition to </w:t>
      </w:r>
      <w:r>
        <w:rPr>
          <w:sz w:val="26"/>
        </w:rPr>
        <w:t xml:space="preserve">determine whether “under the totality of the circumstances, we should exercise our discretionary authority to rescind.”  </w:t>
      </w:r>
      <w:proofErr w:type="spellStart"/>
      <w:r>
        <w:rPr>
          <w:i/>
          <w:sz w:val="26"/>
        </w:rPr>
        <w:t>Feleccia</w:t>
      </w:r>
      <w:proofErr w:type="spellEnd"/>
      <w:r>
        <w:rPr>
          <w:i/>
          <w:sz w:val="26"/>
        </w:rPr>
        <w:t xml:space="preserve"> </w:t>
      </w:r>
      <w:r w:rsidR="00F33ED8">
        <w:rPr>
          <w:sz w:val="26"/>
        </w:rPr>
        <w:t>at 2</w:t>
      </w:r>
      <w:r>
        <w:rPr>
          <w:sz w:val="26"/>
        </w:rPr>
        <w:t xml:space="preserve">.  </w:t>
      </w:r>
      <w:r w:rsidR="009F3AE9">
        <w:rPr>
          <w:sz w:val="26"/>
        </w:rPr>
        <w:t>As a matter soundly within our discretion, a decision to deny such a petition will only be overturned where a reviewing court finds an abuse of discretion “</w:t>
      </w:r>
      <w:r w:rsidR="009F3AE9" w:rsidRPr="009F3AE9">
        <w:rPr>
          <w:sz w:val="26"/>
        </w:rPr>
        <w:t>where the agency’s decision demonstrates evidence of bad faith, fraud, capricious action or abuse of power</w:t>
      </w:r>
      <w:r w:rsidR="009F3AE9">
        <w:rPr>
          <w:sz w:val="26"/>
        </w:rPr>
        <w:t xml:space="preserve">.”  </w:t>
      </w:r>
      <w:r w:rsidR="009F3AE9">
        <w:rPr>
          <w:i/>
          <w:sz w:val="26"/>
        </w:rPr>
        <w:t xml:space="preserve">West Penn </w:t>
      </w:r>
      <w:r w:rsidR="009F3AE9" w:rsidRPr="009F3AE9">
        <w:rPr>
          <w:i/>
          <w:sz w:val="26"/>
        </w:rPr>
        <w:t>Power</w:t>
      </w:r>
      <w:r w:rsidR="009F3AE9">
        <w:rPr>
          <w:sz w:val="26"/>
        </w:rPr>
        <w:t xml:space="preserve">, 659 A. 2d at </w:t>
      </w:r>
      <w:r w:rsidR="009F3AE9" w:rsidRPr="009F3AE9">
        <w:rPr>
          <w:sz w:val="26"/>
        </w:rPr>
        <w:t>1065</w:t>
      </w:r>
      <w:r w:rsidR="009F3AE9">
        <w:rPr>
          <w:sz w:val="26"/>
        </w:rPr>
        <w:t>.</w:t>
      </w:r>
    </w:p>
    <w:p w:rsidR="00CB5860" w:rsidRDefault="00CB5860" w:rsidP="00ED2ABC">
      <w:pPr>
        <w:ind w:firstLine="0"/>
        <w:rPr>
          <w:b/>
          <w:sz w:val="26"/>
        </w:rPr>
      </w:pPr>
    </w:p>
    <w:p w:rsidR="004275CA" w:rsidRPr="00ED2ABC" w:rsidRDefault="00ED2ABC" w:rsidP="00ED2ABC">
      <w:pPr>
        <w:ind w:firstLine="0"/>
        <w:rPr>
          <w:b/>
          <w:sz w:val="26"/>
        </w:rPr>
      </w:pPr>
      <w:r>
        <w:rPr>
          <w:b/>
          <w:sz w:val="26"/>
        </w:rPr>
        <w:t>Petition</w:t>
      </w:r>
      <w:r w:rsidR="002C0D6C">
        <w:rPr>
          <w:b/>
          <w:sz w:val="26"/>
        </w:rPr>
        <w:t xml:space="preserve"> and</w:t>
      </w:r>
      <w:r w:rsidR="0030336E">
        <w:rPr>
          <w:b/>
          <w:sz w:val="26"/>
        </w:rPr>
        <w:t xml:space="preserve"> Answer</w:t>
      </w:r>
    </w:p>
    <w:p w:rsidR="002F6154" w:rsidRDefault="002F6154" w:rsidP="008D044F">
      <w:pPr>
        <w:ind w:firstLine="0"/>
        <w:rPr>
          <w:sz w:val="26"/>
        </w:rPr>
      </w:pPr>
    </w:p>
    <w:p w:rsidR="0030336E" w:rsidRPr="0030336E" w:rsidRDefault="00AC6ACC" w:rsidP="0030336E">
      <w:pPr>
        <w:ind w:firstLine="0"/>
        <w:rPr>
          <w:sz w:val="26"/>
        </w:rPr>
      </w:pPr>
      <w:r>
        <w:rPr>
          <w:b/>
          <w:sz w:val="26"/>
        </w:rPr>
        <w:tab/>
      </w:r>
      <w:r>
        <w:rPr>
          <w:b/>
          <w:sz w:val="26"/>
        </w:rPr>
        <w:tab/>
      </w:r>
      <w:r w:rsidR="0030336E" w:rsidRPr="0030336E">
        <w:rPr>
          <w:sz w:val="26"/>
        </w:rPr>
        <w:t xml:space="preserve">In his Petition, Mr. </w:t>
      </w:r>
      <w:proofErr w:type="spellStart"/>
      <w:r w:rsidR="0030336E" w:rsidRPr="0030336E">
        <w:rPr>
          <w:sz w:val="26"/>
        </w:rPr>
        <w:t>Buoncristiano</w:t>
      </w:r>
      <w:proofErr w:type="spellEnd"/>
      <w:r w:rsidR="0030336E" w:rsidRPr="0030336E">
        <w:rPr>
          <w:sz w:val="26"/>
        </w:rPr>
        <w:t xml:space="preserve"> avers that he “did not understand the ramifications of keeping in contact with the Commission and subsequently did not become aware of the Initial Decision of [the ALJ] and the Commission’s Opinion and Order until recently, when he sought financing” to sell the service address property and discovered </w:t>
      </w:r>
      <w:r w:rsidR="00494323">
        <w:rPr>
          <w:sz w:val="26"/>
        </w:rPr>
        <w:t>a</w:t>
      </w:r>
      <w:r w:rsidR="0030336E" w:rsidRPr="0030336E">
        <w:rPr>
          <w:sz w:val="26"/>
        </w:rPr>
        <w:t xml:space="preserve"> judgment entered against him by PGW.  Petition at 2.  Mr. </w:t>
      </w:r>
      <w:proofErr w:type="spellStart"/>
      <w:r w:rsidR="0030336E" w:rsidRPr="0030336E">
        <w:rPr>
          <w:sz w:val="26"/>
        </w:rPr>
        <w:t>Buoncristiano</w:t>
      </w:r>
      <w:proofErr w:type="spellEnd"/>
      <w:r w:rsidR="0030336E" w:rsidRPr="0030336E">
        <w:rPr>
          <w:sz w:val="26"/>
        </w:rPr>
        <w:t xml:space="preserve"> avers he had not receive</w:t>
      </w:r>
      <w:r w:rsidR="00CA68EF">
        <w:rPr>
          <w:sz w:val="26"/>
        </w:rPr>
        <w:t>d notice of the hearing on his formal c</w:t>
      </w:r>
      <w:r w:rsidR="0030336E" w:rsidRPr="0030336E">
        <w:rPr>
          <w:sz w:val="26"/>
        </w:rPr>
        <w:t xml:space="preserve">omplaint.  Although at the time he filed the </w:t>
      </w:r>
      <w:r w:rsidR="00CA68EF">
        <w:rPr>
          <w:sz w:val="26"/>
        </w:rPr>
        <w:t>formal c</w:t>
      </w:r>
      <w:r w:rsidR="0030336E" w:rsidRPr="0030336E">
        <w:rPr>
          <w:sz w:val="26"/>
        </w:rPr>
        <w:t xml:space="preserve">omplaint he owned the property at the service address, he avers </w:t>
      </w:r>
      <w:r w:rsidR="0030336E" w:rsidRPr="0030336E">
        <w:rPr>
          <w:sz w:val="26"/>
        </w:rPr>
        <w:lastRenderedPageBreak/>
        <w:t>that he leased the restaurant at that address and at the time of the hearing no longer resided or received his mail there.  The restaurant, he avers, was sold in 2011.</w:t>
      </w:r>
      <w:r w:rsidR="0030336E" w:rsidRPr="0030336E">
        <w:rPr>
          <w:sz w:val="26"/>
          <w:vertAlign w:val="superscript"/>
        </w:rPr>
        <w:footnoteReference w:id="2"/>
      </w:r>
      <w:r w:rsidR="0030336E" w:rsidRPr="0030336E">
        <w:rPr>
          <w:sz w:val="26"/>
        </w:rPr>
        <w:t xml:space="preserve">  </w:t>
      </w:r>
      <w:r w:rsidR="0030336E" w:rsidRPr="0030336E">
        <w:rPr>
          <w:i/>
          <w:sz w:val="26"/>
        </w:rPr>
        <w:t>Id.</w:t>
      </w:r>
      <w:r w:rsidR="0030336E" w:rsidRPr="0030336E">
        <w:rPr>
          <w:sz w:val="26"/>
        </w:rPr>
        <w:t xml:space="preserve"> at 2-3.</w:t>
      </w:r>
    </w:p>
    <w:p w:rsidR="0030336E" w:rsidRPr="0030336E" w:rsidRDefault="0030336E" w:rsidP="0030336E">
      <w:pPr>
        <w:ind w:firstLine="0"/>
        <w:rPr>
          <w:sz w:val="26"/>
        </w:rPr>
      </w:pPr>
    </w:p>
    <w:p w:rsidR="002C0D6C" w:rsidRPr="002C0D6C" w:rsidRDefault="00AA63B1" w:rsidP="0097386E">
      <w:pPr>
        <w:ind w:firstLine="0"/>
        <w:rPr>
          <w:sz w:val="26"/>
        </w:rPr>
      </w:pPr>
      <w:r>
        <w:rPr>
          <w:sz w:val="26"/>
        </w:rPr>
        <w:tab/>
      </w:r>
      <w:r>
        <w:rPr>
          <w:sz w:val="26"/>
        </w:rPr>
        <w:tab/>
      </w:r>
      <w:r w:rsidR="002C0D6C" w:rsidRPr="002C0D6C">
        <w:rPr>
          <w:sz w:val="26"/>
        </w:rPr>
        <w:t xml:space="preserve">Referring to the ALJ’s discussion in the September 2004 Initial Decision, Mr. </w:t>
      </w:r>
      <w:proofErr w:type="spellStart"/>
      <w:r w:rsidR="002C0D6C" w:rsidRPr="002C0D6C">
        <w:rPr>
          <w:sz w:val="26"/>
        </w:rPr>
        <w:t>Buoncristiano</w:t>
      </w:r>
      <w:proofErr w:type="spellEnd"/>
      <w:r w:rsidR="002C0D6C" w:rsidRPr="002C0D6C">
        <w:rPr>
          <w:sz w:val="26"/>
        </w:rPr>
        <w:t xml:space="preserve"> avers that he suffered “a grave injustice . . . that the Commission should not allow to exist” as a result of PGW’s prolonged billing error, which injustice continues to burden him with a “huge bill that was inaccurate.”  </w:t>
      </w:r>
      <w:r w:rsidR="002C0D6C" w:rsidRPr="002C0D6C">
        <w:rPr>
          <w:i/>
          <w:sz w:val="26"/>
        </w:rPr>
        <w:t>Id.</w:t>
      </w:r>
      <w:r w:rsidR="002C0D6C" w:rsidRPr="002C0D6C">
        <w:rPr>
          <w:sz w:val="26"/>
        </w:rPr>
        <w:t xml:space="preserve"> at 5.  Claiming he was only recently able to ascertain the amount of the outstanding bill, he requests an opportunity to explain the circumstances of his bill and the reason for his failure to follow through with his Complaint</w:t>
      </w:r>
      <w:r w:rsidR="00552EA5">
        <w:rPr>
          <w:sz w:val="26"/>
        </w:rPr>
        <w:t>.  He also requests</w:t>
      </w:r>
      <w:r w:rsidR="002C0D6C" w:rsidRPr="002C0D6C">
        <w:rPr>
          <w:sz w:val="26"/>
        </w:rPr>
        <w:t xml:space="preserve"> an opportunity to discuss the bill and a settlement and/or payment plan with PGW, which he avers has refused to discuss a settlement.  </w:t>
      </w:r>
      <w:r w:rsidR="002C0D6C" w:rsidRPr="002C0D6C">
        <w:rPr>
          <w:i/>
          <w:sz w:val="26"/>
        </w:rPr>
        <w:t>Id.</w:t>
      </w:r>
      <w:r w:rsidR="002C0D6C" w:rsidRPr="002C0D6C">
        <w:rPr>
          <w:sz w:val="26"/>
        </w:rPr>
        <w:t xml:space="preserve"> at 4-5.</w:t>
      </w:r>
    </w:p>
    <w:p w:rsidR="002C0D6C" w:rsidRPr="002C0D6C" w:rsidRDefault="002C0D6C" w:rsidP="002C0D6C">
      <w:pPr>
        <w:rPr>
          <w:sz w:val="26"/>
        </w:rPr>
      </w:pPr>
    </w:p>
    <w:p w:rsidR="00680162" w:rsidRDefault="00775B3F" w:rsidP="002C0D6C">
      <w:pPr>
        <w:rPr>
          <w:sz w:val="26"/>
        </w:rPr>
      </w:pPr>
      <w:r>
        <w:rPr>
          <w:sz w:val="26"/>
        </w:rPr>
        <w:t xml:space="preserve">In its Answer, PGW repeatedly asserts that the Petitioner consistently identified 3180 Grant Avenue not only </w:t>
      </w:r>
      <w:r w:rsidR="00680162">
        <w:rPr>
          <w:sz w:val="26"/>
        </w:rPr>
        <w:t xml:space="preserve">as </w:t>
      </w:r>
      <w:r>
        <w:rPr>
          <w:sz w:val="26"/>
        </w:rPr>
        <w:t xml:space="preserve">his service address for gas service but also as his address for service of process </w:t>
      </w:r>
      <w:r w:rsidR="00263708">
        <w:rPr>
          <w:sz w:val="26"/>
        </w:rPr>
        <w:t xml:space="preserve">on matters </w:t>
      </w:r>
      <w:r>
        <w:rPr>
          <w:sz w:val="26"/>
        </w:rPr>
        <w:t xml:space="preserve">before and from this Commission.  </w:t>
      </w:r>
      <w:r w:rsidR="00476E77">
        <w:rPr>
          <w:i/>
          <w:sz w:val="26"/>
        </w:rPr>
        <w:t xml:space="preserve">See, e.g., </w:t>
      </w:r>
      <w:r w:rsidR="00476E77">
        <w:rPr>
          <w:sz w:val="26"/>
        </w:rPr>
        <w:t xml:space="preserve">Answer at 1-4, 6-7.  Moreover, contends PGW, at no time did the Petitioner notify the Commission of a change of address, and in fact, he continues to use that address for service of process today.  </w:t>
      </w:r>
      <w:r w:rsidR="00476E77">
        <w:rPr>
          <w:i/>
          <w:sz w:val="26"/>
        </w:rPr>
        <w:t>Id.</w:t>
      </w:r>
      <w:r w:rsidR="00476E77">
        <w:rPr>
          <w:sz w:val="26"/>
        </w:rPr>
        <w:t xml:space="preserve"> at 3</w:t>
      </w:r>
      <w:r w:rsidR="00263708">
        <w:rPr>
          <w:sz w:val="26"/>
        </w:rPr>
        <w:t>, 6</w:t>
      </w:r>
      <w:r w:rsidR="00476E77">
        <w:rPr>
          <w:sz w:val="26"/>
        </w:rPr>
        <w:t xml:space="preserve">.  </w:t>
      </w:r>
      <w:r w:rsidR="00263708">
        <w:rPr>
          <w:sz w:val="26"/>
        </w:rPr>
        <w:t xml:space="preserve">PGW emphatically denies </w:t>
      </w:r>
      <w:r w:rsidR="00476E77">
        <w:rPr>
          <w:sz w:val="26"/>
        </w:rPr>
        <w:t xml:space="preserve">all suggestions that the Petitioner did not receive notice of the hearing, the September 2004 Initial Decision, PGW’s exceptions to that decision, or the Order in </w:t>
      </w:r>
      <w:proofErr w:type="spellStart"/>
      <w:r w:rsidR="00476E77">
        <w:rPr>
          <w:i/>
          <w:sz w:val="26"/>
        </w:rPr>
        <w:t>Buoncristiano</w:t>
      </w:r>
      <w:proofErr w:type="spellEnd"/>
      <w:r w:rsidR="00476E77">
        <w:rPr>
          <w:i/>
          <w:sz w:val="26"/>
        </w:rPr>
        <w:t xml:space="preserve"> v. </w:t>
      </w:r>
      <w:r w:rsidR="00476E77" w:rsidRPr="00476E77">
        <w:rPr>
          <w:i/>
          <w:sz w:val="26"/>
        </w:rPr>
        <w:t>PGW</w:t>
      </w:r>
      <w:r w:rsidR="00263708">
        <w:rPr>
          <w:sz w:val="26"/>
        </w:rPr>
        <w:t>.  Rather,</w:t>
      </w:r>
      <w:r w:rsidR="00476E77">
        <w:rPr>
          <w:sz w:val="26"/>
        </w:rPr>
        <w:t xml:space="preserve"> </w:t>
      </w:r>
      <w:r w:rsidR="00263708">
        <w:rPr>
          <w:sz w:val="26"/>
        </w:rPr>
        <w:t xml:space="preserve">contends </w:t>
      </w:r>
      <w:r w:rsidR="00476E77">
        <w:rPr>
          <w:sz w:val="26"/>
        </w:rPr>
        <w:t>PGW</w:t>
      </w:r>
      <w:r w:rsidR="00263708">
        <w:rPr>
          <w:sz w:val="26"/>
        </w:rPr>
        <w:t xml:space="preserve">, </w:t>
      </w:r>
      <w:r w:rsidR="00476E77">
        <w:rPr>
          <w:sz w:val="26"/>
        </w:rPr>
        <w:t xml:space="preserve">Mr. </w:t>
      </w:r>
      <w:proofErr w:type="spellStart"/>
      <w:r w:rsidR="00476E77">
        <w:rPr>
          <w:sz w:val="26"/>
        </w:rPr>
        <w:t>Buoncristian</w:t>
      </w:r>
      <w:r w:rsidR="00263708">
        <w:rPr>
          <w:sz w:val="26"/>
        </w:rPr>
        <w:t>o</w:t>
      </w:r>
      <w:r w:rsidR="00476E77">
        <w:rPr>
          <w:sz w:val="26"/>
        </w:rPr>
        <w:t>’s</w:t>
      </w:r>
      <w:proofErr w:type="spellEnd"/>
      <w:r w:rsidR="00476E77">
        <w:rPr>
          <w:sz w:val="26"/>
        </w:rPr>
        <w:t xml:space="preserve"> “concern with this matter now comes about as he has ‘sought financing from the Port Richmond Savings to upgrade 3180 Grant Avenue</w:t>
      </w:r>
      <w:r w:rsidR="00263708">
        <w:rPr>
          <w:sz w:val="26"/>
        </w:rPr>
        <w:t xml:space="preserve">[.]’”  </w:t>
      </w:r>
      <w:r w:rsidR="00263708" w:rsidRPr="00263708">
        <w:rPr>
          <w:i/>
          <w:sz w:val="26"/>
        </w:rPr>
        <w:t xml:space="preserve">Id. </w:t>
      </w:r>
      <w:r w:rsidR="00263708" w:rsidRPr="00263708">
        <w:rPr>
          <w:sz w:val="26"/>
        </w:rPr>
        <w:t xml:space="preserve">at 5, quoting Petition at </w:t>
      </w:r>
      <w:r w:rsidR="00263708">
        <w:rPr>
          <w:sz w:val="26"/>
        </w:rPr>
        <w:t xml:space="preserve">2.  According to PGW, this demonstrates that Mr. </w:t>
      </w:r>
      <w:proofErr w:type="spellStart"/>
      <w:r w:rsidR="00263708">
        <w:rPr>
          <w:sz w:val="26"/>
        </w:rPr>
        <w:t>Buoncristiano’s</w:t>
      </w:r>
      <w:proofErr w:type="spellEnd"/>
      <w:r w:rsidR="00263708">
        <w:rPr>
          <w:sz w:val="26"/>
        </w:rPr>
        <w:t xml:space="preserve"> Petition is simply a collateral attack aimed at avoiding the municipal </w:t>
      </w:r>
      <w:r w:rsidR="00263708">
        <w:rPr>
          <w:sz w:val="26"/>
        </w:rPr>
        <w:lastRenderedPageBreak/>
        <w:t xml:space="preserve">lien PGW filed against the property, a matter over which PGW states the Commission has repeatedly acknowledged it lacks jurisdiction.  </w:t>
      </w:r>
      <w:r w:rsidR="00263708">
        <w:rPr>
          <w:i/>
          <w:sz w:val="26"/>
        </w:rPr>
        <w:t>Id</w:t>
      </w:r>
      <w:r w:rsidR="00263708">
        <w:rPr>
          <w:sz w:val="26"/>
        </w:rPr>
        <w:t>.</w:t>
      </w:r>
      <w:r w:rsidR="00F6666C">
        <w:rPr>
          <w:sz w:val="26"/>
        </w:rPr>
        <w:t xml:space="preserve">  </w:t>
      </w:r>
    </w:p>
    <w:p w:rsidR="00680162" w:rsidRDefault="00680162" w:rsidP="002C0D6C">
      <w:pPr>
        <w:rPr>
          <w:sz w:val="26"/>
        </w:rPr>
      </w:pPr>
    </w:p>
    <w:p w:rsidR="002C0D6C" w:rsidRPr="00F6666C" w:rsidRDefault="005C58F5" w:rsidP="002C0D6C">
      <w:pPr>
        <w:rPr>
          <w:sz w:val="26"/>
        </w:rPr>
      </w:pPr>
      <w:r>
        <w:rPr>
          <w:sz w:val="26"/>
        </w:rPr>
        <w:t>T</w:t>
      </w:r>
      <w:r w:rsidR="00F6666C">
        <w:rPr>
          <w:sz w:val="26"/>
        </w:rPr>
        <w:t xml:space="preserve">he matter originally complained of by Mr. </w:t>
      </w:r>
      <w:proofErr w:type="spellStart"/>
      <w:r w:rsidR="00F6666C">
        <w:rPr>
          <w:sz w:val="26"/>
        </w:rPr>
        <w:t>Buoncristiano</w:t>
      </w:r>
      <w:proofErr w:type="spellEnd"/>
      <w:r w:rsidR="00F6666C">
        <w:rPr>
          <w:sz w:val="26"/>
        </w:rPr>
        <w:t xml:space="preserve"> had been the subject of a BCS informal complaint investigation and </w:t>
      </w:r>
      <w:r>
        <w:rPr>
          <w:sz w:val="26"/>
        </w:rPr>
        <w:t xml:space="preserve">the bill was </w:t>
      </w:r>
      <w:r w:rsidR="00F6666C">
        <w:rPr>
          <w:sz w:val="26"/>
        </w:rPr>
        <w:t>corrected by PGW</w:t>
      </w:r>
      <w:r>
        <w:rPr>
          <w:sz w:val="26"/>
        </w:rPr>
        <w:t xml:space="preserve">.  </w:t>
      </w:r>
      <w:r w:rsidR="00F6666C">
        <w:rPr>
          <w:sz w:val="26"/>
        </w:rPr>
        <w:t>Mr.</w:t>
      </w:r>
      <w:r>
        <w:rPr>
          <w:sz w:val="26"/>
        </w:rPr>
        <w:t> </w:t>
      </w:r>
      <w:proofErr w:type="spellStart"/>
      <w:r w:rsidR="00F6666C">
        <w:rPr>
          <w:sz w:val="26"/>
        </w:rPr>
        <w:t>Buoncristiano</w:t>
      </w:r>
      <w:proofErr w:type="spellEnd"/>
      <w:r w:rsidR="00F6666C">
        <w:rPr>
          <w:sz w:val="26"/>
        </w:rPr>
        <w:t xml:space="preserve"> failed to prosecute his formal </w:t>
      </w:r>
      <w:r w:rsidR="00CA68EF">
        <w:rPr>
          <w:sz w:val="26"/>
        </w:rPr>
        <w:t>c</w:t>
      </w:r>
      <w:r w:rsidR="00F6666C">
        <w:rPr>
          <w:sz w:val="26"/>
        </w:rPr>
        <w:t xml:space="preserve">omplaint appealing that decision and continues </w:t>
      </w:r>
      <w:r w:rsidR="00680162">
        <w:rPr>
          <w:sz w:val="26"/>
        </w:rPr>
        <w:t xml:space="preserve">today </w:t>
      </w:r>
      <w:r w:rsidR="00F6666C">
        <w:rPr>
          <w:sz w:val="26"/>
        </w:rPr>
        <w:t>to use th</w:t>
      </w:r>
      <w:r w:rsidR="00680162">
        <w:rPr>
          <w:sz w:val="26"/>
        </w:rPr>
        <w:t>at</w:t>
      </w:r>
      <w:r w:rsidR="00F6666C">
        <w:rPr>
          <w:sz w:val="26"/>
        </w:rPr>
        <w:t xml:space="preserve"> </w:t>
      </w:r>
      <w:r w:rsidR="0097386E">
        <w:rPr>
          <w:sz w:val="26"/>
        </w:rPr>
        <w:t xml:space="preserve">same </w:t>
      </w:r>
      <w:r w:rsidR="00F6666C">
        <w:rPr>
          <w:sz w:val="26"/>
        </w:rPr>
        <w:t xml:space="preserve">address to which all process </w:t>
      </w:r>
      <w:r w:rsidR="00CA68EF">
        <w:rPr>
          <w:sz w:val="26"/>
        </w:rPr>
        <w:t xml:space="preserve">he denies receiving </w:t>
      </w:r>
      <w:r w:rsidR="00F6666C">
        <w:rPr>
          <w:sz w:val="26"/>
        </w:rPr>
        <w:t>was served</w:t>
      </w:r>
      <w:r>
        <w:rPr>
          <w:sz w:val="26"/>
        </w:rPr>
        <w:t>.</w:t>
      </w:r>
      <w:r w:rsidR="00680162">
        <w:rPr>
          <w:rStyle w:val="FootnoteReference"/>
          <w:sz w:val="26"/>
        </w:rPr>
        <w:footnoteReference w:id="3"/>
      </w:r>
      <w:r w:rsidR="00F6666C">
        <w:rPr>
          <w:sz w:val="26"/>
        </w:rPr>
        <w:t xml:space="preserve"> </w:t>
      </w:r>
      <w:r>
        <w:rPr>
          <w:sz w:val="26"/>
        </w:rPr>
        <w:t xml:space="preserve"> For these reasons, </w:t>
      </w:r>
      <w:r w:rsidR="00F6666C">
        <w:rPr>
          <w:sz w:val="26"/>
        </w:rPr>
        <w:t>PGW concludes that the Petitioner presents no exceptional circumstances t</w:t>
      </w:r>
      <w:r w:rsidR="00CA68EF">
        <w:rPr>
          <w:sz w:val="26"/>
        </w:rPr>
        <w:t>hat</w:t>
      </w:r>
      <w:r w:rsidR="00F6666C">
        <w:rPr>
          <w:sz w:val="26"/>
        </w:rPr>
        <w:t xml:space="preserve"> merit providing him “yet another opportunity to have his ‘day in court’ when he has clearly chosen not to participate.”  </w:t>
      </w:r>
      <w:r w:rsidR="00F6666C">
        <w:rPr>
          <w:i/>
          <w:sz w:val="26"/>
        </w:rPr>
        <w:t xml:space="preserve">Id. </w:t>
      </w:r>
      <w:r w:rsidR="00F6666C">
        <w:rPr>
          <w:sz w:val="26"/>
        </w:rPr>
        <w:t>at 9.</w:t>
      </w:r>
    </w:p>
    <w:p w:rsidR="002C0D6C" w:rsidRDefault="002C0D6C" w:rsidP="00EA2A9A">
      <w:pPr>
        <w:ind w:firstLine="0"/>
        <w:rPr>
          <w:sz w:val="26"/>
        </w:rPr>
      </w:pPr>
    </w:p>
    <w:p w:rsidR="002C0D6C" w:rsidRDefault="002C0D6C" w:rsidP="00EA2A9A">
      <w:pPr>
        <w:ind w:firstLine="0"/>
        <w:rPr>
          <w:sz w:val="26"/>
        </w:rPr>
      </w:pPr>
      <w:r w:rsidRPr="002C0D6C">
        <w:rPr>
          <w:b/>
          <w:sz w:val="26"/>
        </w:rPr>
        <w:t>Disposition</w:t>
      </w:r>
    </w:p>
    <w:p w:rsidR="00EA2A9A" w:rsidRDefault="00EA2A9A" w:rsidP="00EA2A9A">
      <w:pPr>
        <w:ind w:firstLine="0"/>
        <w:rPr>
          <w:sz w:val="26"/>
        </w:rPr>
      </w:pPr>
    </w:p>
    <w:p w:rsidR="00CA68EF" w:rsidRDefault="00361A3B" w:rsidP="00EA2A9A">
      <w:pPr>
        <w:rPr>
          <w:sz w:val="26"/>
        </w:rPr>
      </w:pPr>
      <w:r>
        <w:rPr>
          <w:sz w:val="26"/>
        </w:rPr>
        <w:t xml:space="preserve">In her </w:t>
      </w:r>
      <w:r w:rsidR="002C0D6C">
        <w:rPr>
          <w:sz w:val="26"/>
        </w:rPr>
        <w:t>September</w:t>
      </w:r>
      <w:r>
        <w:rPr>
          <w:sz w:val="26"/>
        </w:rPr>
        <w:t xml:space="preserve"> 2004 Initial Decision, </w:t>
      </w:r>
      <w:r w:rsidR="002C0D6C">
        <w:rPr>
          <w:sz w:val="26"/>
        </w:rPr>
        <w:t>the ALJ was</w:t>
      </w:r>
      <w:r>
        <w:rPr>
          <w:sz w:val="26"/>
        </w:rPr>
        <w:t xml:space="preserve"> highly critical of </w:t>
      </w:r>
      <w:r w:rsidR="002C0D6C">
        <w:rPr>
          <w:sz w:val="26"/>
        </w:rPr>
        <w:t>PGW’s</w:t>
      </w:r>
      <w:r>
        <w:rPr>
          <w:sz w:val="26"/>
        </w:rPr>
        <w:t xml:space="preserve"> billing error</w:t>
      </w:r>
      <w:r w:rsidR="002C0D6C">
        <w:rPr>
          <w:sz w:val="26"/>
        </w:rPr>
        <w:t>,</w:t>
      </w:r>
      <w:r>
        <w:rPr>
          <w:sz w:val="26"/>
        </w:rPr>
        <w:t xml:space="preserve"> to which PGW fully admitted</w:t>
      </w:r>
      <w:r w:rsidR="002C0D6C">
        <w:rPr>
          <w:sz w:val="26"/>
        </w:rPr>
        <w:t xml:space="preserve">.  </w:t>
      </w:r>
      <w:r w:rsidR="00775B3F">
        <w:rPr>
          <w:sz w:val="26"/>
        </w:rPr>
        <w:t>Concluding</w:t>
      </w:r>
      <w:r w:rsidR="0097386E">
        <w:rPr>
          <w:sz w:val="26"/>
        </w:rPr>
        <w:t>, however,</w:t>
      </w:r>
      <w:r w:rsidR="00775B3F">
        <w:rPr>
          <w:sz w:val="26"/>
        </w:rPr>
        <w:t xml:space="preserve"> </w:t>
      </w:r>
      <w:r w:rsidR="002C0D6C">
        <w:rPr>
          <w:sz w:val="26"/>
        </w:rPr>
        <w:t>that Mr.</w:t>
      </w:r>
      <w:r w:rsidR="0024150F">
        <w:rPr>
          <w:sz w:val="26"/>
        </w:rPr>
        <w:t> </w:t>
      </w:r>
      <w:proofErr w:type="spellStart"/>
      <w:r w:rsidR="002C0D6C">
        <w:rPr>
          <w:sz w:val="26"/>
        </w:rPr>
        <w:t>Buoncristiano</w:t>
      </w:r>
      <w:proofErr w:type="spellEnd"/>
      <w:r w:rsidR="000515DC">
        <w:rPr>
          <w:sz w:val="26"/>
        </w:rPr>
        <w:t xml:space="preserve"> failed to prosecute his c</w:t>
      </w:r>
      <w:r w:rsidR="002C0D6C">
        <w:rPr>
          <w:sz w:val="26"/>
        </w:rPr>
        <w:t>omplaint</w:t>
      </w:r>
      <w:r w:rsidR="0024150F">
        <w:rPr>
          <w:sz w:val="26"/>
        </w:rPr>
        <w:t xml:space="preserve"> and apparently ceased being a customer of </w:t>
      </w:r>
      <w:r w:rsidR="00775B3F">
        <w:rPr>
          <w:sz w:val="26"/>
        </w:rPr>
        <w:t xml:space="preserve">record at his identified service address as of July 1, 2003, </w:t>
      </w:r>
      <w:r w:rsidR="0097386E">
        <w:rPr>
          <w:sz w:val="26"/>
        </w:rPr>
        <w:t xml:space="preserve">rendering him no </w:t>
      </w:r>
      <w:r w:rsidR="00775B3F">
        <w:rPr>
          <w:sz w:val="26"/>
        </w:rPr>
        <w:t xml:space="preserve">longer </w:t>
      </w:r>
      <w:r w:rsidR="0024150F">
        <w:rPr>
          <w:sz w:val="26"/>
        </w:rPr>
        <w:t>eligible for a Commission-mandated payment arrangement</w:t>
      </w:r>
      <w:r w:rsidR="002C0D6C">
        <w:rPr>
          <w:sz w:val="26"/>
        </w:rPr>
        <w:t>, t</w:t>
      </w:r>
      <w:r>
        <w:rPr>
          <w:sz w:val="26"/>
        </w:rPr>
        <w:t>he ALJ</w:t>
      </w:r>
      <w:r w:rsidR="0097386E">
        <w:rPr>
          <w:sz w:val="26"/>
        </w:rPr>
        <w:t xml:space="preserve"> expressed</w:t>
      </w:r>
      <w:r>
        <w:rPr>
          <w:sz w:val="26"/>
        </w:rPr>
        <w:t xml:space="preserve"> concern </w:t>
      </w:r>
      <w:r w:rsidR="0097386E">
        <w:rPr>
          <w:sz w:val="26"/>
        </w:rPr>
        <w:t xml:space="preserve">over </w:t>
      </w:r>
      <w:r w:rsidR="00775B3F">
        <w:rPr>
          <w:sz w:val="26"/>
        </w:rPr>
        <w:t xml:space="preserve">Mr. </w:t>
      </w:r>
      <w:proofErr w:type="spellStart"/>
      <w:r w:rsidR="00775B3F">
        <w:rPr>
          <w:sz w:val="26"/>
        </w:rPr>
        <w:t>Buoncristiano’s</w:t>
      </w:r>
      <w:proofErr w:type="spellEnd"/>
      <w:r w:rsidR="00775B3F">
        <w:rPr>
          <w:sz w:val="26"/>
        </w:rPr>
        <w:t xml:space="preserve"> </w:t>
      </w:r>
      <w:r w:rsidR="0097386E">
        <w:rPr>
          <w:sz w:val="26"/>
        </w:rPr>
        <w:t xml:space="preserve">immediate </w:t>
      </w:r>
      <w:r w:rsidR="002C0D6C">
        <w:rPr>
          <w:sz w:val="26"/>
        </w:rPr>
        <w:t>liab</w:t>
      </w:r>
      <w:r w:rsidR="00CA68EF">
        <w:rPr>
          <w:sz w:val="26"/>
        </w:rPr>
        <w:t>i</w:t>
      </w:r>
      <w:r w:rsidR="002C0D6C">
        <w:rPr>
          <w:sz w:val="26"/>
        </w:rPr>
        <w:t>l</w:t>
      </w:r>
      <w:r w:rsidR="00775B3F">
        <w:rPr>
          <w:sz w:val="26"/>
        </w:rPr>
        <w:t>ity</w:t>
      </w:r>
      <w:r w:rsidR="002C0D6C">
        <w:rPr>
          <w:sz w:val="26"/>
        </w:rPr>
        <w:t xml:space="preserve"> for the outstanding balance.</w:t>
      </w:r>
      <w:r>
        <w:rPr>
          <w:sz w:val="26"/>
        </w:rPr>
        <w:t xml:space="preserve">  </w:t>
      </w:r>
      <w:r w:rsidR="00CA68EF">
        <w:rPr>
          <w:sz w:val="26"/>
        </w:rPr>
        <w:t>T</w:t>
      </w:r>
      <w:r>
        <w:rPr>
          <w:sz w:val="26"/>
        </w:rPr>
        <w:t xml:space="preserve">he ALJ </w:t>
      </w:r>
      <w:r w:rsidR="00775B3F">
        <w:rPr>
          <w:sz w:val="26"/>
        </w:rPr>
        <w:t xml:space="preserve">stated </w:t>
      </w:r>
      <w:r w:rsidR="00CA68EF">
        <w:rPr>
          <w:sz w:val="26"/>
        </w:rPr>
        <w:t xml:space="preserve">as follows </w:t>
      </w:r>
      <w:r w:rsidR="00775B3F">
        <w:rPr>
          <w:sz w:val="26"/>
        </w:rPr>
        <w:t>in her September 200</w:t>
      </w:r>
      <w:r w:rsidR="006D1BEE">
        <w:rPr>
          <w:sz w:val="26"/>
        </w:rPr>
        <w:t>4</w:t>
      </w:r>
      <w:r w:rsidR="00775B3F">
        <w:rPr>
          <w:sz w:val="26"/>
        </w:rPr>
        <w:t xml:space="preserve"> Initial Decision</w:t>
      </w:r>
      <w:r w:rsidR="00CA68EF">
        <w:rPr>
          <w:sz w:val="26"/>
        </w:rPr>
        <w:t>:</w:t>
      </w:r>
    </w:p>
    <w:p w:rsidR="00CA68EF" w:rsidRDefault="00CA68EF" w:rsidP="00EA2A9A">
      <w:pPr>
        <w:rPr>
          <w:sz w:val="26"/>
        </w:rPr>
      </w:pPr>
    </w:p>
    <w:p w:rsidR="00CA68EF" w:rsidRDefault="00CA68EF" w:rsidP="00CA68EF">
      <w:pPr>
        <w:spacing w:line="240" w:lineRule="auto"/>
        <w:ind w:left="1440" w:right="1530"/>
        <w:rPr>
          <w:sz w:val="26"/>
        </w:rPr>
      </w:pPr>
      <w:r w:rsidRPr="00CA68EF">
        <w:rPr>
          <w:sz w:val="26"/>
        </w:rPr>
        <w:t xml:space="preserve">I have gone through this historic and legal and factual discussion so as to be able to differentiate this complaint from ability-to-pay complaints, and Commission policies developed with regard to their litigation.  In particular, the ALJ does not deem it advisable to dismiss this case with prejudice, and while </w:t>
      </w:r>
      <w:proofErr w:type="spellStart"/>
      <w:r w:rsidRPr="00CA68EF">
        <w:rPr>
          <w:sz w:val="26"/>
        </w:rPr>
        <w:t>Buoncristiano</w:t>
      </w:r>
      <w:proofErr w:type="spellEnd"/>
      <w:r w:rsidRPr="00CA68EF">
        <w:rPr>
          <w:sz w:val="26"/>
        </w:rPr>
        <w:t xml:space="preserve"> must be liable </w:t>
      </w:r>
      <w:r w:rsidRPr="00CA68EF">
        <w:rPr>
          <w:sz w:val="26"/>
        </w:rPr>
        <w:lastRenderedPageBreak/>
        <w:t>for his final balance, the ALJ opines that some months may be allowed for payment.</w:t>
      </w:r>
    </w:p>
    <w:p w:rsidR="00CA68EF" w:rsidRDefault="00CA68EF" w:rsidP="00CA68EF">
      <w:pPr>
        <w:spacing w:line="240" w:lineRule="auto"/>
        <w:ind w:left="1440" w:right="1530"/>
        <w:rPr>
          <w:sz w:val="26"/>
        </w:rPr>
      </w:pPr>
    </w:p>
    <w:p w:rsidR="00CA68EF" w:rsidRPr="00CA68EF" w:rsidRDefault="00CA68EF" w:rsidP="00CA68EF">
      <w:pPr>
        <w:spacing w:line="240" w:lineRule="auto"/>
        <w:ind w:left="1440" w:right="1530"/>
        <w:rPr>
          <w:sz w:val="26"/>
        </w:rPr>
      </w:pPr>
    </w:p>
    <w:p w:rsidR="006539C1" w:rsidRDefault="00CA68EF" w:rsidP="00EA2A9A">
      <w:pPr>
        <w:rPr>
          <w:sz w:val="26"/>
        </w:rPr>
      </w:pPr>
      <w:r>
        <w:rPr>
          <w:sz w:val="26"/>
        </w:rPr>
        <w:tab/>
      </w:r>
      <w:r>
        <w:rPr>
          <w:sz w:val="26"/>
        </w:rPr>
        <w:tab/>
      </w:r>
      <w:r>
        <w:rPr>
          <w:sz w:val="26"/>
        </w:rPr>
        <w:tab/>
        <w:t>*</w:t>
      </w:r>
      <w:r>
        <w:rPr>
          <w:sz w:val="26"/>
        </w:rPr>
        <w:tab/>
        <w:t>*</w:t>
      </w:r>
      <w:r>
        <w:rPr>
          <w:sz w:val="26"/>
        </w:rPr>
        <w:tab/>
        <w:t>*</w:t>
      </w:r>
    </w:p>
    <w:p w:rsidR="00CA68EF" w:rsidRPr="007F14AB" w:rsidRDefault="00CA68EF" w:rsidP="00EA2A9A">
      <w:pPr>
        <w:rPr>
          <w:sz w:val="26"/>
        </w:rPr>
      </w:pPr>
    </w:p>
    <w:p w:rsidR="00361A3B" w:rsidRDefault="00361A3B" w:rsidP="006539C1">
      <w:pPr>
        <w:spacing w:line="240" w:lineRule="auto"/>
        <w:ind w:left="1440" w:right="1440"/>
        <w:rPr>
          <w:sz w:val="26"/>
        </w:rPr>
      </w:pPr>
      <w:r w:rsidRPr="00361A3B">
        <w:rPr>
          <w:sz w:val="26"/>
        </w:rPr>
        <w:t xml:space="preserve">In the ALJ’s opinion, the Commission may do an injustice by dismissing this complaint with prejudice, and making his liability for the back bill immediate.  PGW was so much at fault here that it seems unfair to use punitive procedural measures against the Complainant, even if he did not appear or comply with the BCS decision.  </w:t>
      </w:r>
    </w:p>
    <w:p w:rsidR="006539C1" w:rsidRPr="00361A3B" w:rsidRDefault="006539C1" w:rsidP="006539C1">
      <w:pPr>
        <w:spacing w:line="240" w:lineRule="auto"/>
        <w:ind w:left="1440" w:right="1440"/>
        <w:rPr>
          <w:sz w:val="26"/>
        </w:rPr>
      </w:pPr>
    </w:p>
    <w:p w:rsidR="006539C1" w:rsidRDefault="00361A3B" w:rsidP="006539C1">
      <w:pPr>
        <w:spacing w:line="240" w:lineRule="auto"/>
        <w:ind w:left="1440" w:right="1440"/>
        <w:rPr>
          <w:sz w:val="26"/>
        </w:rPr>
      </w:pPr>
      <w:r w:rsidRPr="00361A3B">
        <w:rPr>
          <w:sz w:val="26"/>
        </w:rPr>
        <w:t>Therefore, the ALJ will not dismiss the complaint with prejudice, and will allow a small period of time for repayment.</w:t>
      </w:r>
    </w:p>
    <w:p w:rsidR="006539C1" w:rsidRDefault="006539C1" w:rsidP="006539C1">
      <w:pPr>
        <w:ind w:firstLine="0"/>
        <w:rPr>
          <w:sz w:val="26"/>
        </w:rPr>
      </w:pPr>
    </w:p>
    <w:p w:rsidR="00F946A3" w:rsidRPr="00775B3F" w:rsidRDefault="00775B3F" w:rsidP="006539C1">
      <w:pPr>
        <w:ind w:firstLine="0"/>
        <w:rPr>
          <w:sz w:val="26"/>
        </w:rPr>
      </w:pPr>
      <w:r>
        <w:rPr>
          <w:sz w:val="26"/>
        </w:rPr>
        <w:t>September</w:t>
      </w:r>
      <w:r w:rsidR="006539C1">
        <w:rPr>
          <w:sz w:val="26"/>
        </w:rPr>
        <w:t xml:space="preserve"> 2004 Initial Decision at </w:t>
      </w:r>
      <w:r w:rsidR="00CA68EF">
        <w:rPr>
          <w:sz w:val="26"/>
        </w:rPr>
        <w:t xml:space="preserve">10, </w:t>
      </w:r>
      <w:r w:rsidR="006539C1">
        <w:rPr>
          <w:sz w:val="26"/>
        </w:rPr>
        <w:t>13-14.</w:t>
      </w:r>
      <w:r>
        <w:rPr>
          <w:sz w:val="26"/>
        </w:rPr>
        <w:t xml:space="preserve">  The ALJ ordered </w:t>
      </w:r>
      <w:r w:rsidRPr="00775B3F">
        <w:rPr>
          <w:sz w:val="26"/>
        </w:rPr>
        <w:t>PG</w:t>
      </w:r>
      <w:r>
        <w:rPr>
          <w:sz w:val="26"/>
        </w:rPr>
        <w:t>W</w:t>
      </w:r>
      <w:r w:rsidRPr="00775B3F">
        <w:rPr>
          <w:sz w:val="26"/>
        </w:rPr>
        <w:t xml:space="preserve"> </w:t>
      </w:r>
      <w:r>
        <w:rPr>
          <w:sz w:val="26"/>
        </w:rPr>
        <w:t xml:space="preserve">to </w:t>
      </w:r>
      <w:r w:rsidRPr="00775B3F">
        <w:rPr>
          <w:sz w:val="26"/>
        </w:rPr>
        <w:t xml:space="preserve">send a bill to </w:t>
      </w:r>
      <w:r>
        <w:rPr>
          <w:sz w:val="26"/>
        </w:rPr>
        <w:t>Mr.</w:t>
      </w:r>
      <w:r w:rsidR="0097386E">
        <w:rPr>
          <w:sz w:val="26"/>
        </w:rPr>
        <w:t> </w:t>
      </w:r>
      <w:proofErr w:type="spellStart"/>
      <w:r w:rsidRPr="00775B3F">
        <w:rPr>
          <w:sz w:val="26"/>
        </w:rPr>
        <w:t>Buoncristiano</w:t>
      </w:r>
      <w:proofErr w:type="spellEnd"/>
      <w:r w:rsidRPr="00775B3F">
        <w:rPr>
          <w:sz w:val="26"/>
        </w:rPr>
        <w:t xml:space="preserve"> </w:t>
      </w:r>
      <w:r>
        <w:rPr>
          <w:sz w:val="26"/>
        </w:rPr>
        <w:t xml:space="preserve">for </w:t>
      </w:r>
      <w:r w:rsidRPr="00775B3F">
        <w:rPr>
          <w:sz w:val="26"/>
        </w:rPr>
        <w:t xml:space="preserve">$33,072 or a different amount if further corrections </w:t>
      </w:r>
      <w:r>
        <w:rPr>
          <w:sz w:val="26"/>
        </w:rPr>
        <w:t>were</w:t>
      </w:r>
      <w:r w:rsidRPr="00775B3F">
        <w:rPr>
          <w:sz w:val="26"/>
        </w:rPr>
        <w:t xml:space="preserve"> made</w:t>
      </w:r>
      <w:r>
        <w:rPr>
          <w:sz w:val="26"/>
        </w:rPr>
        <w:t xml:space="preserve">, which Mr. </w:t>
      </w:r>
      <w:proofErr w:type="spellStart"/>
      <w:r>
        <w:rPr>
          <w:sz w:val="26"/>
        </w:rPr>
        <w:t>Buoncristiano</w:t>
      </w:r>
      <w:proofErr w:type="spellEnd"/>
      <w:r>
        <w:rPr>
          <w:sz w:val="26"/>
        </w:rPr>
        <w:t xml:space="preserve"> was directed to pay </w:t>
      </w:r>
      <w:r w:rsidRPr="00775B3F">
        <w:rPr>
          <w:sz w:val="26"/>
        </w:rPr>
        <w:t>ninety days after the date of the bill</w:t>
      </w:r>
      <w:r>
        <w:rPr>
          <w:sz w:val="26"/>
        </w:rPr>
        <w:t xml:space="preserve">.  </w:t>
      </w:r>
      <w:r>
        <w:rPr>
          <w:i/>
          <w:sz w:val="26"/>
        </w:rPr>
        <w:t xml:space="preserve">Id. </w:t>
      </w:r>
      <w:r>
        <w:rPr>
          <w:sz w:val="26"/>
        </w:rPr>
        <w:t>at</w:t>
      </w:r>
      <w:r w:rsidR="00C87F0C">
        <w:rPr>
          <w:sz w:val="26"/>
        </w:rPr>
        <w:t> </w:t>
      </w:r>
      <w:r>
        <w:rPr>
          <w:sz w:val="26"/>
        </w:rPr>
        <w:t>15.</w:t>
      </w:r>
    </w:p>
    <w:p w:rsidR="006539C1" w:rsidRDefault="006539C1" w:rsidP="006539C1">
      <w:pPr>
        <w:ind w:firstLine="0"/>
        <w:rPr>
          <w:sz w:val="26"/>
        </w:rPr>
      </w:pPr>
    </w:p>
    <w:p w:rsidR="0097386E" w:rsidRDefault="0097386E" w:rsidP="0097386E">
      <w:pPr>
        <w:rPr>
          <w:sz w:val="26"/>
        </w:rPr>
      </w:pPr>
      <w:r>
        <w:rPr>
          <w:sz w:val="26"/>
        </w:rPr>
        <w:t xml:space="preserve">Although </w:t>
      </w:r>
      <w:r w:rsidRPr="0097386E">
        <w:rPr>
          <w:sz w:val="26"/>
        </w:rPr>
        <w:t xml:space="preserve">Mr. </w:t>
      </w:r>
      <w:proofErr w:type="spellStart"/>
      <w:r w:rsidRPr="0097386E">
        <w:rPr>
          <w:sz w:val="26"/>
        </w:rPr>
        <w:t>Buoncristiano</w:t>
      </w:r>
      <w:proofErr w:type="spellEnd"/>
      <w:r w:rsidRPr="0097386E">
        <w:rPr>
          <w:sz w:val="26"/>
        </w:rPr>
        <w:t xml:space="preserve"> states his belief that under our “decisions and legal precedent he has articulated reasons for relief under 52 PA Code [sic] 5.572</w:t>
      </w:r>
      <w:r>
        <w:rPr>
          <w:sz w:val="26"/>
        </w:rPr>
        <w:t>[,]</w:t>
      </w:r>
      <w:r w:rsidRPr="0097386E">
        <w:rPr>
          <w:sz w:val="26"/>
        </w:rPr>
        <w:t xml:space="preserve">” </w:t>
      </w:r>
      <w:r>
        <w:rPr>
          <w:sz w:val="26"/>
        </w:rPr>
        <w:t>h</w:t>
      </w:r>
      <w:r w:rsidRPr="0097386E">
        <w:rPr>
          <w:sz w:val="26"/>
        </w:rPr>
        <w:t>e presents neither a discussion of any such decisions nor a citation to any precedent</w:t>
      </w:r>
      <w:r>
        <w:rPr>
          <w:sz w:val="26"/>
        </w:rPr>
        <w:t xml:space="preserve">.  </w:t>
      </w:r>
      <w:r w:rsidR="00C87F0C">
        <w:rPr>
          <w:sz w:val="26"/>
        </w:rPr>
        <w:t>Petition</w:t>
      </w:r>
      <w:r w:rsidRPr="0097386E">
        <w:rPr>
          <w:sz w:val="26"/>
        </w:rPr>
        <w:t xml:space="preserve"> at 4.  H</w:t>
      </w:r>
      <w:r>
        <w:rPr>
          <w:sz w:val="26"/>
        </w:rPr>
        <w:t xml:space="preserve">e avers only </w:t>
      </w:r>
      <w:r w:rsidRPr="0097386E">
        <w:rPr>
          <w:sz w:val="26"/>
        </w:rPr>
        <w:t>that he “did not avoid having his day in court</w:t>
      </w:r>
      <w:r w:rsidR="00CA68EF">
        <w:rPr>
          <w:sz w:val="26"/>
        </w:rPr>
        <w:t>” and that he was “</w:t>
      </w:r>
      <w:r w:rsidRPr="0097386E">
        <w:rPr>
          <w:sz w:val="26"/>
        </w:rPr>
        <w:t xml:space="preserve">unaware of the court proceedings and unfortunately did not follow up with further communication with the commission.”  </w:t>
      </w:r>
      <w:r w:rsidRPr="0097386E">
        <w:rPr>
          <w:i/>
          <w:sz w:val="26"/>
        </w:rPr>
        <w:t>Id.</w:t>
      </w:r>
    </w:p>
    <w:p w:rsidR="00C87F0C" w:rsidRDefault="00C87F0C" w:rsidP="0097386E">
      <w:pPr>
        <w:rPr>
          <w:sz w:val="26"/>
        </w:rPr>
      </w:pPr>
    </w:p>
    <w:p w:rsidR="003E6E9D" w:rsidRDefault="00C87F0C" w:rsidP="0097386E">
      <w:pPr>
        <w:rPr>
          <w:sz w:val="26"/>
        </w:rPr>
      </w:pPr>
      <w:r>
        <w:rPr>
          <w:sz w:val="26"/>
        </w:rPr>
        <w:t>We are not persuaded by the facts and argument presented in Mr. </w:t>
      </w:r>
      <w:proofErr w:type="spellStart"/>
      <w:r>
        <w:rPr>
          <w:sz w:val="26"/>
        </w:rPr>
        <w:t>Buoncristiano’s</w:t>
      </w:r>
      <w:proofErr w:type="spellEnd"/>
      <w:r>
        <w:rPr>
          <w:sz w:val="26"/>
        </w:rPr>
        <w:t xml:space="preserve"> Petition that an injustice has been served or that he has </w:t>
      </w:r>
      <w:r w:rsidR="00CA68EF">
        <w:rPr>
          <w:sz w:val="26"/>
        </w:rPr>
        <w:t xml:space="preserve">been denied </w:t>
      </w:r>
      <w:r>
        <w:rPr>
          <w:sz w:val="26"/>
        </w:rPr>
        <w:t>the process due him.  As the ALJ noted in her September 2004 Initial Decision</w:t>
      </w:r>
      <w:r w:rsidR="000515DC">
        <w:rPr>
          <w:sz w:val="26"/>
        </w:rPr>
        <w:t xml:space="preserve">, all process was initiated on Mr. </w:t>
      </w:r>
      <w:proofErr w:type="spellStart"/>
      <w:r w:rsidR="000515DC">
        <w:rPr>
          <w:sz w:val="26"/>
        </w:rPr>
        <w:t>Buoncristiano</w:t>
      </w:r>
      <w:proofErr w:type="spellEnd"/>
      <w:r w:rsidR="000515DC">
        <w:rPr>
          <w:sz w:val="26"/>
        </w:rPr>
        <w:t xml:space="preserve"> using the address and contact information he </w:t>
      </w:r>
      <w:r w:rsidR="000515DC">
        <w:rPr>
          <w:sz w:val="26"/>
        </w:rPr>
        <w:lastRenderedPageBreak/>
        <w:t xml:space="preserve">provided.  </w:t>
      </w:r>
      <w:r w:rsidR="000515DC" w:rsidRPr="000515DC">
        <w:rPr>
          <w:sz w:val="26"/>
        </w:rPr>
        <w:t xml:space="preserve">September 2004 Initial Decision at </w:t>
      </w:r>
      <w:r w:rsidR="000515DC">
        <w:rPr>
          <w:sz w:val="26"/>
        </w:rPr>
        <w:t xml:space="preserve">2-3 Finding of Fact Nos. 1-2, 4-8. </w:t>
      </w:r>
      <w:r w:rsidR="000515DC" w:rsidRPr="000515DC">
        <w:rPr>
          <w:sz w:val="26"/>
        </w:rPr>
        <w:t xml:space="preserve"> </w:t>
      </w:r>
      <w:r w:rsidR="000515DC">
        <w:rPr>
          <w:sz w:val="26"/>
        </w:rPr>
        <w:t>As w</w:t>
      </w:r>
      <w:r>
        <w:rPr>
          <w:sz w:val="26"/>
        </w:rPr>
        <w:t>e affirmed in</w:t>
      </w:r>
      <w:r w:rsidR="00FC59E1">
        <w:rPr>
          <w:sz w:val="26"/>
        </w:rPr>
        <w:t xml:space="preserve"> our decision adopting that Initial Decision, as modified, </w:t>
      </w:r>
      <w:r>
        <w:rPr>
          <w:sz w:val="26"/>
        </w:rPr>
        <w:t xml:space="preserve">the hearing notice was sent by first class mail to the address Mr. </w:t>
      </w:r>
      <w:proofErr w:type="spellStart"/>
      <w:r>
        <w:rPr>
          <w:sz w:val="26"/>
        </w:rPr>
        <w:t>Buoncristiano</w:t>
      </w:r>
      <w:proofErr w:type="spellEnd"/>
      <w:r>
        <w:rPr>
          <w:sz w:val="26"/>
        </w:rPr>
        <w:t xml:space="preserve"> used on his informal and formal complaint and was not returned</w:t>
      </w:r>
      <w:r w:rsidR="00CA68EF">
        <w:rPr>
          <w:sz w:val="26"/>
        </w:rPr>
        <w:t>.  It</w:t>
      </w:r>
      <w:r>
        <w:rPr>
          <w:sz w:val="26"/>
        </w:rPr>
        <w:t>, there</w:t>
      </w:r>
      <w:r w:rsidR="00CA68EF">
        <w:rPr>
          <w:sz w:val="26"/>
        </w:rPr>
        <w:t>fore,</w:t>
      </w:r>
      <w:r>
        <w:rPr>
          <w:sz w:val="26"/>
        </w:rPr>
        <w:t xml:space="preserve"> enjoy</w:t>
      </w:r>
      <w:r w:rsidR="00CA68EF">
        <w:rPr>
          <w:sz w:val="26"/>
        </w:rPr>
        <w:t>ed</w:t>
      </w:r>
      <w:r>
        <w:rPr>
          <w:sz w:val="26"/>
        </w:rPr>
        <w:t xml:space="preserve"> the presumption of receipt.  </w:t>
      </w:r>
      <w:proofErr w:type="spellStart"/>
      <w:r w:rsidRPr="00C87F0C">
        <w:rPr>
          <w:i/>
          <w:sz w:val="26"/>
        </w:rPr>
        <w:t>Buoncristiano</w:t>
      </w:r>
      <w:proofErr w:type="spellEnd"/>
      <w:r w:rsidRPr="00C87F0C">
        <w:rPr>
          <w:i/>
          <w:sz w:val="26"/>
        </w:rPr>
        <w:t xml:space="preserve"> v. PGW</w:t>
      </w:r>
      <w:r>
        <w:rPr>
          <w:sz w:val="26"/>
        </w:rPr>
        <w:t xml:space="preserve"> at 6.  If, as Mr. </w:t>
      </w:r>
      <w:proofErr w:type="spellStart"/>
      <w:r>
        <w:rPr>
          <w:sz w:val="26"/>
        </w:rPr>
        <w:t>Buoncristiano</w:t>
      </w:r>
      <w:proofErr w:type="spellEnd"/>
      <w:r>
        <w:rPr>
          <w:sz w:val="26"/>
        </w:rPr>
        <w:t xml:space="preserve"> seems to allude, he was not resident at that address and was not forwarded or provided notice of </w:t>
      </w:r>
      <w:r w:rsidR="00FC59E1">
        <w:rPr>
          <w:sz w:val="26"/>
        </w:rPr>
        <w:t>important</w:t>
      </w:r>
      <w:r>
        <w:rPr>
          <w:sz w:val="26"/>
        </w:rPr>
        <w:t xml:space="preserve"> documents</w:t>
      </w:r>
      <w:r w:rsidR="00FC59E1">
        <w:rPr>
          <w:sz w:val="26"/>
        </w:rPr>
        <w:t xml:space="preserve"> sent there</w:t>
      </w:r>
      <w:r>
        <w:rPr>
          <w:sz w:val="26"/>
        </w:rPr>
        <w:t>, it is</w:t>
      </w:r>
      <w:r w:rsidR="003E6E9D">
        <w:rPr>
          <w:sz w:val="26"/>
        </w:rPr>
        <w:t>,</w:t>
      </w:r>
      <w:r>
        <w:rPr>
          <w:sz w:val="26"/>
        </w:rPr>
        <w:t xml:space="preserve"> </w:t>
      </w:r>
      <w:r w:rsidR="003E6E9D">
        <w:rPr>
          <w:sz w:val="26"/>
        </w:rPr>
        <w:t xml:space="preserve">to us, </w:t>
      </w:r>
      <w:r>
        <w:rPr>
          <w:sz w:val="26"/>
        </w:rPr>
        <w:t xml:space="preserve">counterintuitive at best and implausible </w:t>
      </w:r>
      <w:r w:rsidR="003E6E9D">
        <w:rPr>
          <w:sz w:val="26"/>
        </w:rPr>
        <w:t xml:space="preserve">at worst </w:t>
      </w:r>
      <w:r>
        <w:rPr>
          <w:sz w:val="26"/>
        </w:rPr>
        <w:t>that he would nevertheless continue to use that address</w:t>
      </w:r>
      <w:r w:rsidR="003E6E9D">
        <w:rPr>
          <w:sz w:val="26"/>
        </w:rPr>
        <w:t xml:space="preserve"> as he does</w:t>
      </w:r>
      <w:r>
        <w:rPr>
          <w:sz w:val="26"/>
        </w:rPr>
        <w:t xml:space="preserve"> for purposes of seeking redress for the same complaint over ten years later.</w:t>
      </w:r>
      <w:r w:rsidR="003E6E9D">
        <w:rPr>
          <w:sz w:val="26"/>
        </w:rPr>
        <w:t xml:space="preserve">  </w:t>
      </w:r>
    </w:p>
    <w:p w:rsidR="003E6E9D" w:rsidRDefault="003E6E9D" w:rsidP="0097386E">
      <w:pPr>
        <w:rPr>
          <w:sz w:val="26"/>
        </w:rPr>
      </w:pPr>
    </w:p>
    <w:p w:rsidR="005C58F5" w:rsidRDefault="003E6E9D" w:rsidP="0097386E">
      <w:pPr>
        <w:rPr>
          <w:sz w:val="26"/>
        </w:rPr>
      </w:pPr>
      <w:r>
        <w:rPr>
          <w:sz w:val="26"/>
        </w:rPr>
        <w:t xml:space="preserve">We also find implausible Mr. </w:t>
      </w:r>
      <w:proofErr w:type="spellStart"/>
      <w:r>
        <w:rPr>
          <w:sz w:val="26"/>
        </w:rPr>
        <w:t>Buoncristiano’s</w:t>
      </w:r>
      <w:proofErr w:type="spellEnd"/>
      <w:r>
        <w:rPr>
          <w:sz w:val="26"/>
        </w:rPr>
        <w:t xml:space="preserve"> explanation that he did not understand the </w:t>
      </w:r>
      <w:r w:rsidR="00E54629">
        <w:rPr>
          <w:sz w:val="26"/>
        </w:rPr>
        <w:t>ramifications</w:t>
      </w:r>
      <w:r>
        <w:rPr>
          <w:sz w:val="26"/>
        </w:rPr>
        <w:t xml:space="preserve"> of staying in contact with the Commission and only recently became aware of the adverse Initial Decision, Final Order, and total amount due.  Mr.</w:t>
      </w:r>
      <w:r w:rsidR="00B60698">
        <w:rPr>
          <w:sz w:val="26"/>
        </w:rPr>
        <w:t> </w:t>
      </w:r>
      <w:proofErr w:type="spellStart"/>
      <w:r>
        <w:rPr>
          <w:sz w:val="26"/>
        </w:rPr>
        <w:t>Buoncristiano</w:t>
      </w:r>
      <w:proofErr w:type="spellEnd"/>
      <w:r>
        <w:rPr>
          <w:sz w:val="26"/>
        </w:rPr>
        <w:t xml:space="preserve"> clearly understood the process sufficiently at the informal complaint level, where he was issued an adverse decision by our BCS and knew enough to timely appeal that </w:t>
      </w:r>
      <w:r w:rsidR="00B60698">
        <w:rPr>
          <w:sz w:val="26"/>
        </w:rPr>
        <w:t xml:space="preserve">decision </w:t>
      </w:r>
      <w:r>
        <w:rPr>
          <w:sz w:val="26"/>
        </w:rPr>
        <w:t xml:space="preserve">with </w:t>
      </w:r>
      <w:r w:rsidR="00B60698">
        <w:rPr>
          <w:sz w:val="26"/>
        </w:rPr>
        <w:t xml:space="preserve">the filing of </w:t>
      </w:r>
      <w:r>
        <w:rPr>
          <w:sz w:val="26"/>
        </w:rPr>
        <w:t xml:space="preserve">his formal complaint.  Moreover, even if we accept as true his averment that he left not only that service address but also PGW’s service </w:t>
      </w:r>
      <w:r w:rsidR="00B60698">
        <w:rPr>
          <w:sz w:val="26"/>
        </w:rPr>
        <w:t xml:space="preserve">territory </w:t>
      </w:r>
      <w:r w:rsidR="0013729D">
        <w:rPr>
          <w:sz w:val="26"/>
        </w:rPr>
        <w:t>and was not forwarded any information</w:t>
      </w:r>
      <w:r>
        <w:rPr>
          <w:sz w:val="26"/>
        </w:rPr>
        <w:t xml:space="preserve">, Mr. </w:t>
      </w:r>
      <w:proofErr w:type="spellStart"/>
      <w:r>
        <w:rPr>
          <w:sz w:val="26"/>
        </w:rPr>
        <w:t>Buoncristiano</w:t>
      </w:r>
      <w:proofErr w:type="spellEnd"/>
      <w:r>
        <w:rPr>
          <w:sz w:val="26"/>
        </w:rPr>
        <w:t xml:space="preserve"> knew </w:t>
      </w:r>
      <w:r w:rsidR="00B60698">
        <w:rPr>
          <w:sz w:val="26"/>
        </w:rPr>
        <w:t>th</w:t>
      </w:r>
      <w:r>
        <w:rPr>
          <w:sz w:val="26"/>
        </w:rPr>
        <w:t>at he had an adverse decision against him that rendered him liable for PGW’s bills</w:t>
      </w:r>
      <w:r w:rsidR="00B60698">
        <w:rPr>
          <w:sz w:val="26"/>
        </w:rPr>
        <w:t xml:space="preserve"> for service as corrected.  </w:t>
      </w:r>
      <w:r w:rsidR="0013729D">
        <w:rPr>
          <w:sz w:val="26"/>
        </w:rPr>
        <w:t xml:space="preserve">Clearly a more timely effort to follow up with the Commission was a reasonable option to pursue over allowing the debt to hang over him or somehow self-resolve.  </w:t>
      </w:r>
    </w:p>
    <w:p w:rsidR="005C58F5" w:rsidRDefault="005C58F5" w:rsidP="0097386E">
      <w:pPr>
        <w:rPr>
          <w:sz w:val="26"/>
        </w:rPr>
      </w:pPr>
    </w:p>
    <w:p w:rsidR="00C87F0C" w:rsidRDefault="0013729D" w:rsidP="0097386E">
      <w:pPr>
        <w:rPr>
          <w:sz w:val="26"/>
        </w:rPr>
      </w:pPr>
      <w:r>
        <w:rPr>
          <w:sz w:val="26"/>
        </w:rPr>
        <w:t>W</w:t>
      </w:r>
      <w:r w:rsidR="00B60698">
        <w:rPr>
          <w:sz w:val="26"/>
        </w:rPr>
        <w:t>hile Mr. </w:t>
      </w:r>
      <w:proofErr w:type="spellStart"/>
      <w:r w:rsidR="00B60698">
        <w:rPr>
          <w:sz w:val="26"/>
        </w:rPr>
        <w:t>Buoncristiano</w:t>
      </w:r>
      <w:proofErr w:type="spellEnd"/>
      <w:r w:rsidR="00B60698">
        <w:rPr>
          <w:sz w:val="26"/>
        </w:rPr>
        <w:t xml:space="preserve"> now seeks an opportunity to “settle the charges and/or engage in a payment plan,” Petition at 5, </w:t>
      </w:r>
      <w:r>
        <w:rPr>
          <w:sz w:val="26"/>
        </w:rPr>
        <w:t>we note that h</w:t>
      </w:r>
      <w:r w:rsidR="00B60698">
        <w:rPr>
          <w:sz w:val="26"/>
        </w:rPr>
        <w:t xml:space="preserve">e walked away from a BCS payment arrangement that allowed payment </w:t>
      </w:r>
      <w:r w:rsidR="00FC59E1">
        <w:rPr>
          <w:sz w:val="26"/>
        </w:rPr>
        <w:t>over a period of time</w:t>
      </w:r>
      <w:r w:rsidR="00B60698">
        <w:rPr>
          <w:sz w:val="26"/>
        </w:rPr>
        <w:t xml:space="preserve"> up to nine years</w:t>
      </w:r>
      <w:r w:rsidR="00FC59E1">
        <w:rPr>
          <w:sz w:val="26"/>
        </w:rPr>
        <w:t xml:space="preserve">.  </w:t>
      </w:r>
      <w:r w:rsidR="00FC59E1" w:rsidRPr="00FC59E1">
        <w:rPr>
          <w:sz w:val="26"/>
        </w:rPr>
        <w:t>September 2004 Initial Decision at 2</w:t>
      </w:r>
      <w:r w:rsidR="00FC59E1">
        <w:rPr>
          <w:sz w:val="26"/>
        </w:rPr>
        <w:t xml:space="preserve">.  In the intervening period, </w:t>
      </w:r>
      <w:r w:rsidR="00552EA5">
        <w:rPr>
          <w:sz w:val="26"/>
        </w:rPr>
        <w:t xml:space="preserve">it appears that </w:t>
      </w:r>
      <w:r w:rsidR="00FC59E1">
        <w:rPr>
          <w:sz w:val="26"/>
        </w:rPr>
        <w:t xml:space="preserve">he </w:t>
      </w:r>
      <w:r w:rsidR="00B60698">
        <w:rPr>
          <w:sz w:val="26"/>
        </w:rPr>
        <w:t xml:space="preserve">had no regard for that outstanding bill until </w:t>
      </w:r>
      <w:r>
        <w:rPr>
          <w:sz w:val="26"/>
        </w:rPr>
        <w:t xml:space="preserve">his </w:t>
      </w:r>
      <w:r w:rsidR="00B60698">
        <w:rPr>
          <w:sz w:val="26"/>
        </w:rPr>
        <w:t>effort to obtain financing for the property was obstructed</w:t>
      </w:r>
      <w:r w:rsidR="00FC59E1">
        <w:rPr>
          <w:sz w:val="26"/>
        </w:rPr>
        <w:t xml:space="preserve"> by an outstanding lien</w:t>
      </w:r>
      <w:r w:rsidR="00B60698">
        <w:rPr>
          <w:sz w:val="26"/>
        </w:rPr>
        <w:t xml:space="preserve">.  </w:t>
      </w:r>
      <w:r>
        <w:rPr>
          <w:sz w:val="26"/>
        </w:rPr>
        <w:t xml:space="preserve">Answer at 5.  Mr. </w:t>
      </w:r>
      <w:proofErr w:type="spellStart"/>
      <w:r>
        <w:rPr>
          <w:sz w:val="26"/>
        </w:rPr>
        <w:t>Buoncristiano</w:t>
      </w:r>
      <w:proofErr w:type="spellEnd"/>
      <w:r>
        <w:rPr>
          <w:sz w:val="26"/>
        </w:rPr>
        <w:t xml:space="preserve"> aptly used our </w:t>
      </w:r>
      <w:r>
        <w:rPr>
          <w:sz w:val="26"/>
        </w:rPr>
        <w:lastRenderedPageBreak/>
        <w:t xml:space="preserve">process through the informal complaint and appeal (formal complaint) </w:t>
      </w:r>
      <w:r w:rsidR="00E54629">
        <w:rPr>
          <w:sz w:val="26"/>
        </w:rPr>
        <w:t>stages</w:t>
      </w:r>
      <w:r>
        <w:rPr>
          <w:sz w:val="26"/>
        </w:rPr>
        <w:t xml:space="preserve">.  We believe, therefore, that he understood our process </w:t>
      </w:r>
      <w:r w:rsidR="00E54629">
        <w:rPr>
          <w:sz w:val="26"/>
        </w:rPr>
        <w:t xml:space="preserve">and its ramifications </w:t>
      </w:r>
      <w:r>
        <w:rPr>
          <w:sz w:val="26"/>
        </w:rPr>
        <w:t xml:space="preserve">but made a decision to walk away from it for ten years until </w:t>
      </w:r>
      <w:r w:rsidR="00E54629">
        <w:rPr>
          <w:sz w:val="26"/>
        </w:rPr>
        <w:t xml:space="preserve">having </w:t>
      </w:r>
      <w:r>
        <w:rPr>
          <w:sz w:val="26"/>
        </w:rPr>
        <w:t xml:space="preserve">untimely </w:t>
      </w:r>
      <w:r w:rsidR="00316A4B">
        <w:rPr>
          <w:sz w:val="26"/>
        </w:rPr>
        <w:t xml:space="preserve">decided </w:t>
      </w:r>
      <w:r w:rsidR="00FC59E1">
        <w:rPr>
          <w:sz w:val="26"/>
        </w:rPr>
        <w:t xml:space="preserve">to </w:t>
      </w:r>
      <w:r>
        <w:rPr>
          <w:sz w:val="26"/>
        </w:rPr>
        <w:t xml:space="preserve">seek </w:t>
      </w:r>
      <w:r w:rsidR="00FC59E1">
        <w:rPr>
          <w:sz w:val="26"/>
        </w:rPr>
        <w:t xml:space="preserve">assistance </w:t>
      </w:r>
      <w:r w:rsidR="00E54629">
        <w:rPr>
          <w:sz w:val="26"/>
        </w:rPr>
        <w:t xml:space="preserve">out of </w:t>
      </w:r>
      <w:r>
        <w:rPr>
          <w:sz w:val="26"/>
        </w:rPr>
        <w:t>necessity due to the reemergence of the approximately $3</w:t>
      </w:r>
      <w:r w:rsidR="00552EA5">
        <w:rPr>
          <w:sz w:val="26"/>
        </w:rPr>
        <w:t>3</w:t>
      </w:r>
      <w:r>
        <w:rPr>
          <w:sz w:val="26"/>
        </w:rPr>
        <w:t xml:space="preserve">,000 </w:t>
      </w:r>
      <w:r w:rsidR="00E54629">
        <w:rPr>
          <w:sz w:val="26"/>
        </w:rPr>
        <w:t xml:space="preserve">in </w:t>
      </w:r>
      <w:r>
        <w:rPr>
          <w:sz w:val="26"/>
        </w:rPr>
        <w:t>outstanding bill</w:t>
      </w:r>
      <w:r w:rsidR="00E54629">
        <w:rPr>
          <w:sz w:val="26"/>
        </w:rPr>
        <w:t>s</w:t>
      </w:r>
      <w:r>
        <w:rPr>
          <w:sz w:val="26"/>
        </w:rPr>
        <w:t>.</w:t>
      </w:r>
    </w:p>
    <w:p w:rsidR="00FC59E1" w:rsidRDefault="00FC59E1" w:rsidP="0097386E">
      <w:pPr>
        <w:rPr>
          <w:sz w:val="26"/>
        </w:rPr>
      </w:pPr>
    </w:p>
    <w:p w:rsidR="002806FF" w:rsidRDefault="00FC59E1" w:rsidP="0097386E">
      <w:pPr>
        <w:rPr>
          <w:sz w:val="26"/>
        </w:rPr>
      </w:pPr>
      <w:r>
        <w:rPr>
          <w:sz w:val="26"/>
        </w:rPr>
        <w:t xml:space="preserve">Short of appealing to our sense of justice, the Petitioner presents no argument to support his request for relief.  </w:t>
      </w:r>
      <w:r w:rsidR="001B2FFE">
        <w:rPr>
          <w:sz w:val="26"/>
        </w:rPr>
        <w:t xml:space="preserve">In </w:t>
      </w:r>
      <w:proofErr w:type="spellStart"/>
      <w:r w:rsidR="001B2FFE">
        <w:rPr>
          <w:i/>
          <w:sz w:val="26"/>
        </w:rPr>
        <w:t>Champlin</w:t>
      </w:r>
      <w:proofErr w:type="spellEnd"/>
      <w:r w:rsidR="001B2FFE">
        <w:rPr>
          <w:i/>
          <w:sz w:val="26"/>
        </w:rPr>
        <w:t xml:space="preserve"> v. PPL Electric Utilities Corporation</w:t>
      </w:r>
      <w:r w:rsidR="001B2FFE">
        <w:rPr>
          <w:sz w:val="26"/>
        </w:rPr>
        <w:t>, 2013 WL 5488627 (</w:t>
      </w:r>
      <w:proofErr w:type="spellStart"/>
      <w:r w:rsidR="001B2FFE">
        <w:rPr>
          <w:sz w:val="26"/>
        </w:rPr>
        <w:t>Pa.P.U.C</w:t>
      </w:r>
      <w:proofErr w:type="spellEnd"/>
      <w:r w:rsidR="001B2FFE">
        <w:rPr>
          <w:sz w:val="26"/>
        </w:rPr>
        <w:t>.) (</w:t>
      </w:r>
      <w:proofErr w:type="spellStart"/>
      <w:r w:rsidR="001B2FFE">
        <w:rPr>
          <w:i/>
          <w:sz w:val="26"/>
        </w:rPr>
        <w:t>Champlin</w:t>
      </w:r>
      <w:proofErr w:type="spellEnd"/>
      <w:r w:rsidR="001B2FFE">
        <w:rPr>
          <w:sz w:val="26"/>
        </w:rPr>
        <w:t xml:space="preserve">), we denied a petition for rescission filed by a complainant who had failed to participate in his scheduled telephonic evidentiary hearing.  Citing </w:t>
      </w:r>
      <w:proofErr w:type="spellStart"/>
      <w:r w:rsidR="001B2FFE">
        <w:rPr>
          <w:i/>
          <w:sz w:val="26"/>
        </w:rPr>
        <w:t>Feleccia</w:t>
      </w:r>
      <w:proofErr w:type="spellEnd"/>
      <w:r w:rsidR="001B2FFE">
        <w:rPr>
          <w:sz w:val="26"/>
        </w:rPr>
        <w:t xml:space="preserve">, we held that the relief of rescission should be granted only where the circumstances warranted special relief.  In </w:t>
      </w:r>
      <w:proofErr w:type="spellStart"/>
      <w:r w:rsidR="001B2FFE">
        <w:rPr>
          <w:i/>
          <w:sz w:val="26"/>
        </w:rPr>
        <w:t>Champlin</w:t>
      </w:r>
      <w:proofErr w:type="spellEnd"/>
      <w:r w:rsidR="001B2FFE">
        <w:rPr>
          <w:sz w:val="26"/>
        </w:rPr>
        <w:t xml:space="preserve">, the petitioner sought to rescind an order </w:t>
      </w:r>
      <w:r w:rsidR="002806FF">
        <w:rPr>
          <w:sz w:val="26"/>
        </w:rPr>
        <w:t xml:space="preserve">dismissing his complaint with prejudice for failure to prosecute </w:t>
      </w:r>
      <w:r w:rsidR="001B2FFE">
        <w:rPr>
          <w:sz w:val="26"/>
        </w:rPr>
        <w:t xml:space="preserve">within </w:t>
      </w:r>
      <w:r w:rsidR="001B2FFE" w:rsidRPr="002806FF">
        <w:rPr>
          <w:i/>
          <w:sz w:val="26"/>
        </w:rPr>
        <w:t>weeks</w:t>
      </w:r>
      <w:r w:rsidR="001B2FFE">
        <w:rPr>
          <w:sz w:val="26"/>
        </w:rPr>
        <w:t xml:space="preserve"> of its entry, contending that after missing the call from the Commission the day of the hearing, he made several attempts to call back but was unsuccessful.  </w:t>
      </w:r>
      <w:r w:rsidR="00C5345F">
        <w:rPr>
          <w:sz w:val="26"/>
        </w:rPr>
        <w:t xml:space="preserve">We held as follows:  </w:t>
      </w:r>
    </w:p>
    <w:p w:rsidR="002806FF" w:rsidRDefault="002806FF" w:rsidP="0097386E">
      <w:pPr>
        <w:rPr>
          <w:sz w:val="26"/>
        </w:rPr>
      </w:pPr>
    </w:p>
    <w:p w:rsidR="00FC59E1" w:rsidRDefault="002806FF" w:rsidP="002806FF">
      <w:pPr>
        <w:tabs>
          <w:tab w:val="left" w:pos="2160"/>
        </w:tabs>
        <w:spacing w:line="240" w:lineRule="auto"/>
        <w:ind w:left="1440" w:right="1440" w:firstLine="0"/>
        <w:rPr>
          <w:sz w:val="26"/>
        </w:rPr>
      </w:pPr>
      <w:r>
        <w:rPr>
          <w:sz w:val="26"/>
        </w:rPr>
        <w:tab/>
      </w:r>
      <w:r w:rsidRPr="002806FF">
        <w:rPr>
          <w:sz w:val="26"/>
        </w:rPr>
        <w:t xml:space="preserve">Out of concern for the waste of the Commission’s (and Respondents’) time and resources, we have, on many occasions, dismissed </w:t>
      </w:r>
      <w:r w:rsidRPr="002806FF">
        <w:rPr>
          <w:i/>
          <w:iCs/>
          <w:sz w:val="26"/>
        </w:rPr>
        <w:t>pro se</w:t>
      </w:r>
      <w:r w:rsidRPr="002806FF">
        <w:rPr>
          <w:sz w:val="26"/>
        </w:rPr>
        <w:t xml:space="preserve"> complaints with prejudice for failure to appear at a hearing. </w:t>
      </w:r>
      <w:r>
        <w:rPr>
          <w:sz w:val="26"/>
        </w:rPr>
        <w:t xml:space="preserve"> </w:t>
      </w:r>
      <w:r w:rsidRPr="002806FF">
        <w:rPr>
          <w:sz w:val="26"/>
        </w:rPr>
        <w:t>However, we have also declined to dismiss complaints with prejudice if the complainants made good faith attempts t</w:t>
      </w:r>
      <w:r w:rsidR="005C58F5">
        <w:rPr>
          <w:sz w:val="26"/>
        </w:rPr>
        <w:t>o reach their hearings on time.</w:t>
      </w:r>
    </w:p>
    <w:p w:rsidR="005C58F5" w:rsidRDefault="005C58F5" w:rsidP="002806FF">
      <w:pPr>
        <w:tabs>
          <w:tab w:val="left" w:pos="2160"/>
        </w:tabs>
        <w:spacing w:line="240" w:lineRule="auto"/>
        <w:ind w:left="1440" w:right="1440" w:firstLine="0"/>
        <w:rPr>
          <w:sz w:val="26"/>
        </w:rPr>
      </w:pPr>
    </w:p>
    <w:p w:rsidR="002806FF" w:rsidRPr="001B2FFE" w:rsidRDefault="002806FF" w:rsidP="002806FF">
      <w:pPr>
        <w:spacing w:line="240" w:lineRule="auto"/>
        <w:ind w:left="1440" w:right="1440" w:firstLine="0"/>
        <w:jc w:val="center"/>
        <w:rPr>
          <w:sz w:val="26"/>
        </w:rPr>
      </w:pPr>
      <w:r>
        <w:rPr>
          <w:sz w:val="26"/>
        </w:rPr>
        <w:t>*</w:t>
      </w:r>
      <w:r>
        <w:rPr>
          <w:sz w:val="26"/>
        </w:rPr>
        <w:tab/>
        <w:t>*</w:t>
      </w:r>
      <w:r>
        <w:rPr>
          <w:sz w:val="26"/>
        </w:rPr>
        <w:tab/>
        <w:t>*</w:t>
      </w:r>
    </w:p>
    <w:p w:rsidR="0097386E" w:rsidRDefault="0097386E" w:rsidP="002806FF">
      <w:pPr>
        <w:spacing w:line="240" w:lineRule="auto"/>
        <w:ind w:left="1440" w:right="1440" w:firstLine="0"/>
        <w:rPr>
          <w:sz w:val="26"/>
        </w:rPr>
      </w:pPr>
    </w:p>
    <w:p w:rsidR="002806FF" w:rsidRPr="002806FF" w:rsidRDefault="002806FF" w:rsidP="002806FF">
      <w:pPr>
        <w:spacing w:line="240" w:lineRule="auto"/>
        <w:ind w:left="1440" w:right="1440" w:firstLine="720"/>
        <w:rPr>
          <w:sz w:val="26"/>
        </w:rPr>
      </w:pPr>
      <w:r w:rsidRPr="002806FF">
        <w:rPr>
          <w:sz w:val="26"/>
        </w:rPr>
        <w:t xml:space="preserve">Given the fact that the Complainant failed to answer the ALJ’s two attempted calls and did not participate in the scheduled hearing, there was a sufficient basis for the ALJ to dismiss the Complaint for failure to prosecute. </w:t>
      </w:r>
      <w:r>
        <w:rPr>
          <w:sz w:val="26"/>
        </w:rPr>
        <w:t xml:space="preserve"> </w:t>
      </w:r>
      <w:r w:rsidRPr="002806FF">
        <w:rPr>
          <w:sz w:val="26"/>
        </w:rPr>
        <w:t>Furthermore, the Complainant’s Petition fails to raise additional information which leads us to believe that the Complainant made a good faith effort to attend the scheduled hearing.</w:t>
      </w:r>
      <w:r>
        <w:rPr>
          <w:sz w:val="26"/>
        </w:rPr>
        <w:t xml:space="preserve"> </w:t>
      </w:r>
      <w:r w:rsidRPr="002806FF">
        <w:rPr>
          <w:sz w:val="26"/>
        </w:rPr>
        <w:t xml:space="preserve"> </w:t>
      </w:r>
      <w:r w:rsidRPr="002806FF">
        <w:rPr>
          <w:sz w:val="26"/>
        </w:rPr>
        <w:lastRenderedPageBreak/>
        <w:t>Therefore, we shall decline to exercise our discretion to vacate the ruling which dismissed the Complaint with prejudice.</w:t>
      </w:r>
    </w:p>
    <w:p w:rsidR="002806FF" w:rsidRPr="002806FF" w:rsidRDefault="002806FF" w:rsidP="002806FF">
      <w:pPr>
        <w:ind w:firstLine="0"/>
        <w:rPr>
          <w:sz w:val="26"/>
        </w:rPr>
      </w:pPr>
    </w:p>
    <w:p w:rsidR="002806FF" w:rsidRDefault="002806FF" w:rsidP="006539C1">
      <w:pPr>
        <w:ind w:firstLine="0"/>
        <w:rPr>
          <w:sz w:val="26"/>
        </w:rPr>
      </w:pPr>
      <w:proofErr w:type="spellStart"/>
      <w:r>
        <w:rPr>
          <w:i/>
          <w:sz w:val="26"/>
        </w:rPr>
        <w:t>Champlin</w:t>
      </w:r>
      <w:proofErr w:type="spellEnd"/>
      <w:r>
        <w:rPr>
          <w:sz w:val="26"/>
        </w:rPr>
        <w:t xml:space="preserve"> at **4-5 (citations omitted).</w:t>
      </w:r>
    </w:p>
    <w:p w:rsidR="008370F6" w:rsidRDefault="008370F6" w:rsidP="006539C1">
      <w:pPr>
        <w:ind w:firstLine="0"/>
        <w:rPr>
          <w:sz w:val="26"/>
        </w:rPr>
      </w:pPr>
    </w:p>
    <w:p w:rsidR="002806FF" w:rsidRPr="002806FF" w:rsidRDefault="002806FF" w:rsidP="002806FF">
      <w:pPr>
        <w:rPr>
          <w:sz w:val="26"/>
        </w:rPr>
      </w:pPr>
      <w:r>
        <w:rPr>
          <w:sz w:val="26"/>
        </w:rPr>
        <w:t xml:space="preserve">We are also persuaded by our decision in </w:t>
      </w:r>
      <w:r>
        <w:rPr>
          <w:i/>
          <w:sz w:val="26"/>
        </w:rPr>
        <w:t>Allen v. PECO Energy Company</w:t>
      </w:r>
      <w:r>
        <w:rPr>
          <w:sz w:val="26"/>
        </w:rPr>
        <w:t>, 2006 WL 1408346 (</w:t>
      </w:r>
      <w:proofErr w:type="spellStart"/>
      <w:r>
        <w:rPr>
          <w:sz w:val="26"/>
        </w:rPr>
        <w:t>Pa.P.U.C</w:t>
      </w:r>
      <w:proofErr w:type="spellEnd"/>
      <w:r>
        <w:rPr>
          <w:sz w:val="26"/>
        </w:rPr>
        <w:t>.)</w:t>
      </w:r>
      <w:r w:rsidR="00437B1A">
        <w:rPr>
          <w:sz w:val="26"/>
        </w:rPr>
        <w:t xml:space="preserve">.  In that case, a customer filed a complaint against PECO </w:t>
      </w:r>
      <w:r w:rsidR="006E4FE3">
        <w:rPr>
          <w:sz w:val="26"/>
        </w:rPr>
        <w:t xml:space="preserve">on July 30, 2004, </w:t>
      </w:r>
      <w:r w:rsidR="00437B1A">
        <w:rPr>
          <w:sz w:val="26"/>
        </w:rPr>
        <w:t xml:space="preserve">seeking a lower monthly payment arrangement following a decision by BCS that required an initial payment of $355 and thereafter a monthly payment of $122 plus $15 towards her arrears.  Following a continuance of the first hearing granted at the complainant’s request, further service from the Commission to the complainant’s service address was returned with a notation that the delivery was “Attempted Not Known.”  </w:t>
      </w:r>
      <w:r w:rsidR="006E4FE3">
        <w:rPr>
          <w:sz w:val="26"/>
        </w:rPr>
        <w:t>In a September 15, 2005 Initial Decision, t</w:t>
      </w:r>
      <w:r w:rsidR="00437B1A">
        <w:rPr>
          <w:sz w:val="26"/>
        </w:rPr>
        <w:t xml:space="preserve">he ALJ dismissed the complaint with prejudice, rendering the full outstanding balance of over $1,500 due upon entry of a </w:t>
      </w:r>
      <w:r w:rsidR="005C58F5">
        <w:rPr>
          <w:sz w:val="26"/>
        </w:rPr>
        <w:t>F</w:t>
      </w:r>
      <w:r w:rsidR="00437B1A">
        <w:rPr>
          <w:sz w:val="26"/>
        </w:rPr>
        <w:t xml:space="preserve">inal </w:t>
      </w:r>
      <w:r w:rsidR="005C58F5">
        <w:rPr>
          <w:sz w:val="26"/>
        </w:rPr>
        <w:t>O</w:t>
      </w:r>
      <w:r w:rsidR="00437B1A">
        <w:rPr>
          <w:sz w:val="26"/>
        </w:rPr>
        <w:t>rder</w:t>
      </w:r>
      <w:r w:rsidR="006E4FE3">
        <w:rPr>
          <w:sz w:val="26"/>
        </w:rPr>
        <w:t xml:space="preserve">, a </w:t>
      </w:r>
      <w:r w:rsidR="00437B1A">
        <w:rPr>
          <w:sz w:val="26"/>
        </w:rPr>
        <w:t xml:space="preserve">decision </w:t>
      </w:r>
      <w:r w:rsidR="006E4FE3">
        <w:rPr>
          <w:sz w:val="26"/>
        </w:rPr>
        <w:t xml:space="preserve">that </w:t>
      </w:r>
      <w:r w:rsidR="00437B1A">
        <w:rPr>
          <w:sz w:val="26"/>
        </w:rPr>
        <w:t xml:space="preserve">became final by operation of law when no exceptions were filed.  Within </w:t>
      </w:r>
      <w:r w:rsidR="00437B1A" w:rsidRPr="00437B1A">
        <w:rPr>
          <w:i/>
          <w:sz w:val="26"/>
        </w:rPr>
        <w:t>five months</w:t>
      </w:r>
      <w:r w:rsidR="00437B1A">
        <w:rPr>
          <w:sz w:val="26"/>
        </w:rPr>
        <w:t xml:space="preserve"> the complainant filed a petition for rescission seeking a payment arrangement.  </w:t>
      </w:r>
      <w:r w:rsidR="006E4FE3">
        <w:rPr>
          <w:sz w:val="26"/>
        </w:rPr>
        <w:t>In that case, we declined to provide the relief requested, finding that the complainant had requested that PECO shut off her service on June 15, 2005, almost one year after her complaint was filed, leaving behind an outstanding balance of $1,586.56, and concluding that as the complainant was no longer a customer of PECO, the utility was not obliged to provide her a payment arrangement.</w:t>
      </w:r>
      <w:r w:rsidR="006E4FE3" w:rsidRPr="006E4FE3">
        <w:rPr>
          <w:sz w:val="26"/>
        </w:rPr>
        <w:t xml:space="preserve"> </w:t>
      </w:r>
      <w:r w:rsidR="006E4FE3">
        <w:rPr>
          <w:sz w:val="26"/>
        </w:rPr>
        <w:t xml:space="preserve"> </w:t>
      </w:r>
      <w:r w:rsidR="00437B1A">
        <w:rPr>
          <w:sz w:val="26"/>
        </w:rPr>
        <w:t xml:space="preserve"> </w:t>
      </w:r>
    </w:p>
    <w:p w:rsidR="002806FF" w:rsidRDefault="002806FF" w:rsidP="006539C1">
      <w:pPr>
        <w:ind w:firstLine="0"/>
        <w:rPr>
          <w:sz w:val="26"/>
        </w:rPr>
      </w:pPr>
    </w:p>
    <w:p w:rsidR="008370F6" w:rsidRPr="008370F6" w:rsidRDefault="008370F6" w:rsidP="008370F6">
      <w:pPr>
        <w:rPr>
          <w:sz w:val="26"/>
        </w:rPr>
      </w:pPr>
      <w:r w:rsidRPr="008370F6">
        <w:rPr>
          <w:sz w:val="26"/>
        </w:rPr>
        <w:t xml:space="preserve">We find similarly here that the Petitioner failed to raise information that leads us to believe he made a good faith effort to resolve his outstanding complaint against PECO in any manner, let alone a timely one.  Moreover, the Petitioner </w:t>
      </w:r>
      <w:r>
        <w:rPr>
          <w:sz w:val="26"/>
        </w:rPr>
        <w:t xml:space="preserve">has </w:t>
      </w:r>
      <w:r w:rsidRPr="008370F6">
        <w:rPr>
          <w:sz w:val="26"/>
        </w:rPr>
        <w:t>admit</w:t>
      </w:r>
      <w:r>
        <w:rPr>
          <w:sz w:val="26"/>
        </w:rPr>
        <w:t xml:space="preserve">ted that </w:t>
      </w:r>
      <w:r w:rsidRPr="008370F6">
        <w:rPr>
          <w:sz w:val="26"/>
        </w:rPr>
        <w:t>he is a former customer of PGW</w:t>
      </w:r>
      <w:r>
        <w:rPr>
          <w:sz w:val="26"/>
        </w:rPr>
        <w:t xml:space="preserve"> who left unresolved an outstanding bill of </w:t>
      </w:r>
      <w:r w:rsidR="00552EA5">
        <w:rPr>
          <w:sz w:val="26"/>
        </w:rPr>
        <w:t>approximately</w:t>
      </w:r>
      <w:r>
        <w:rPr>
          <w:sz w:val="26"/>
        </w:rPr>
        <w:t xml:space="preserve"> $3</w:t>
      </w:r>
      <w:r w:rsidR="005C58F5">
        <w:rPr>
          <w:sz w:val="26"/>
        </w:rPr>
        <w:t>3</w:t>
      </w:r>
      <w:r>
        <w:rPr>
          <w:sz w:val="26"/>
        </w:rPr>
        <w:t>,000 following his timely review and appeal of a determination by our BCS</w:t>
      </w:r>
      <w:r w:rsidRPr="008370F6">
        <w:rPr>
          <w:sz w:val="26"/>
        </w:rPr>
        <w:t xml:space="preserve">.  </w:t>
      </w:r>
      <w:r>
        <w:rPr>
          <w:sz w:val="26"/>
        </w:rPr>
        <w:t xml:space="preserve">Upon our consideration of the totality of the circumstances here, the Petitioner has not demonstrated that he </w:t>
      </w:r>
      <w:r w:rsidRPr="008370F6">
        <w:rPr>
          <w:sz w:val="26"/>
        </w:rPr>
        <w:t>warrant</w:t>
      </w:r>
      <w:r>
        <w:rPr>
          <w:sz w:val="26"/>
        </w:rPr>
        <w:t>s</w:t>
      </w:r>
      <w:r w:rsidRPr="008370F6">
        <w:rPr>
          <w:sz w:val="26"/>
        </w:rPr>
        <w:t xml:space="preserve"> </w:t>
      </w:r>
      <w:r>
        <w:rPr>
          <w:sz w:val="26"/>
        </w:rPr>
        <w:t xml:space="preserve">our grant of the </w:t>
      </w:r>
      <w:r w:rsidRPr="008370F6">
        <w:rPr>
          <w:sz w:val="26"/>
        </w:rPr>
        <w:t xml:space="preserve">special relief </w:t>
      </w:r>
      <w:r>
        <w:rPr>
          <w:sz w:val="26"/>
        </w:rPr>
        <w:t>he requests.</w:t>
      </w:r>
    </w:p>
    <w:p w:rsidR="008370F6" w:rsidRDefault="008370F6" w:rsidP="006539C1">
      <w:pPr>
        <w:ind w:firstLine="0"/>
        <w:rPr>
          <w:sz w:val="26"/>
        </w:rPr>
      </w:pPr>
    </w:p>
    <w:p w:rsidR="001A5BBE" w:rsidRDefault="004B653A" w:rsidP="002168AD">
      <w:pPr>
        <w:rPr>
          <w:sz w:val="26"/>
        </w:rPr>
      </w:pPr>
      <w:r>
        <w:rPr>
          <w:sz w:val="26"/>
        </w:rPr>
        <w:t xml:space="preserve">We conclude that the Petitioner has failed to </w:t>
      </w:r>
      <w:r w:rsidR="0013729D">
        <w:rPr>
          <w:sz w:val="26"/>
        </w:rPr>
        <w:t>set forth any justification fo</w:t>
      </w:r>
      <w:r w:rsidR="007C5C26">
        <w:rPr>
          <w:sz w:val="26"/>
        </w:rPr>
        <w:t>r</w:t>
      </w:r>
      <w:r w:rsidR="0013729D">
        <w:rPr>
          <w:sz w:val="26"/>
        </w:rPr>
        <w:t xml:space="preserve"> us to exercise our discretion and grant the extraordinary relief of upsetting </w:t>
      </w:r>
      <w:r w:rsidR="007C5C26">
        <w:rPr>
          <w:sz w:val="26"/>
        </w:rPr>
        <w:t>our</w:t>
      </w:r>
      <w:r w:rsidR="0013729D">
        <w:rPr>
          <w:sz w:val="26"/>
        </w:rPr>
        <w:t xml:space="preserve"> Final Order in </w:t>
      </w:r>
      <w:proofErr w:type="spellStart"/>
      <w:r w:rsidR="0013729D">
        <w:rPr>
          <w:i/>
          <w:sz w:val="26"/>
        </w:rPr>
        <w:t>Buoncristiano</w:t>
      </w:r>
      <w:proofErr w:type="spellEnd"/>
      <w:r w:rsidR="0013729D">
        <w:rPr>
          <w:i/>
          <w:sz w:val="26"/>
        </w:rPr>
        <w:t xml:space="preserve"> v. PGW</w:t>
      </w:r>
      <w:r w:rsidR="00BB2491">
        <w:rPr>
          <w:sz w:val="26"/>
        </w:rPr>
        <w:t xml:space="preserve">.  </w:t>
      </w:r>
      <w:r w:rsidR="0013729D">
        <w:rPr>
          <w:sz w:val="26"/>
        </w:rPr>
        <w:t>We therefore deny the Petition.</w:t>
      </w:r>
    </w:p>
    <w:p w:rsidR="004C6BBC" w:rsidRDefault="004C6BBC" w:rsidP="002168AD">
      <w:pPr>
        <w:rPr>
          <w:b/>
          <w:sz w:val="26"/>
        </w:rPr>
      </w:pPr>
    </w:p>
    <w:p w:rsidR="00AA4577" w:rsidRPr="00545274" w:rsidRDefault="00AA4577" w:rsidP="00545274">
      <w:pPr>
        <w:pStyle w:val="ListParagraph"/>
        <w:ind w:left="0" w:firstLine="0"/>
        <w:jc w:val="center"/>
        <w:rPr>
          <w:b/>
          <w:sz w:val="26"/>
        </w:rPr>
      </w:pPr>
      <w:r w:rsidRPr="00545274">
        <w:rPr>
          <w:b/>
          <w:sz w:val="26"/>
        </w:rPr>
        <w:t>Conclusion</w:t>
      </w:r>
    </w:p>
    <w:p w:rsidR="00130D9D" w:rsidRPr="0097174A" w:rsidRDefault="00130D9D" w:rsidP="00E55BE9">
      <w:pPr>
        <w:keepNext/>
        <w:ind w:firstLine="0"/>
        <w:jc w:val="center"/>
        <w:rPr>
          <w:sz w:val="26"/>
          <w:szCs w:val="26"/>
        </w:rPr>
      </w:pPr>
    </w:p>
    <w:p w:rsidR="006728EB" w:rsidRDefault="004414EE" w:rsidP="002E4BB0">
      <w:pPr>
        <w:rPr>
          <w:b/>
          <w:sz w:val="26"/>
          <w:szCs w:val="26"/>
        </w:rPr>
      </w:pPr>
      <w:r>
        <w:rPr>
          <w:sz w:val="26"/>
        </w:rPr>
        <w:t xml:space="preserve">Based </w:t>
      </w:r>
      <w:r w:rsidR="006728EB">
        <w:rPr>
          <w:sz w:val="26"/>
        </w:rPr>
        <w:t>upon the foregoing discussion, we shall</w:t>
      </w:r>
      <w:r w:rsidR="00F77710">
        <w:rPr>
          <w:sz w:val="26"/>
        </w:rPr>
        <w:t xml:space="preserve"> deny </w:t>
      </w:r>
      <w:r w:rsidR="0013729D">
        <w:rPr>
          <w:sz w:val="26"/>
        </w:rPr>
        <w:t xml:space="preserve">Mr. </w:t>
      </w:r>
      <w:proofErr w:type="spellStart"/>
      <w:r w:rsidR="0013729D">
        <w:rPr>
          <w:sz w:val="26"/>
        </w:rPr>
        <w:t>Buoncristiano’s</w:t>
      </w:r>
      <w:proofErr w:type="spellEnd"/>
      <w:r w:rsidR="002168AD">
        <w:rPr>
          <w:sz w:val="26"/>
        </w:rPr>
        <w:t xml:space="preserve"> Petition</w:t>
      </w:r>
      <w:r w:rsidR="00AA4577" w:rsidRPr="003C56D5">
        <w:rPr>
          <w:sz w:val="26"/>
          <w:szCs w:val="26"/>
        </w:rPr>
        <w:t xml:space="preserve">; </w:t>
      </w:r>
      <w:r w:rsidR="00AA4577" w:rsidRPr="003C56D5">
        <w:rPr>
          <w:b/>
          <w:sz w:val="26"/>
          <w:szCs w:val="26"/>
        </w:rPr>
        <w:t>THEREFORE,</w:t>
      </w:r>
    </w:p>
    <w:p w:rsidR="001F691F" w:rsidRPr="002E4BB0" w:rsidRDefault="001F691F" w:rsidP="002E4BB0">
      <w:pPr>
        <w:rPr>
          <w:sz w:val="26"/>
          <w:szCs w:val="26"/>
        </w:rPr>
      </w:pPr>
    </w:p>
    <w:p w:rsidR="00AA4577" w:rsidRDefault="00AA4577" w:rsidP="006728EB">
      <w:pPr>
        <w:ind w:firstLine="720"/>
        <w:outlineLvl w:val="0"/>
        <w:rPr>
          <w:b/>
          <w:sz w:val="26"/>
        </w:rPr>
      </w:pPr>
      <w:r>
        <w:rPr>
          <w:b/>
          <w:sz w:val="26"/>
        </w:rPr>
        <w:t>IT IS ORDERED:</w:t>
      </w:r>
    </w:p>
    <w:p w:rsidR="006728EB" w:rsidRDefault="006728EB" w:rsidP="006728EB">
      <w:pPr>
        <w:ind w:firstLine="720"/>
        <w:outlineLvl w:val="0"/>
        <w:rPr>
          <w:b/>
          <w:sz w:val="26"/>
        </w:rPr>
      </w:pPr>
    </w:p>
    <w:p w:rsidR="001F691F" w:rsidRPr="007E04DF" w:rsidRDefault="006728EB" w:rsidP="001F691F">
      <w:pPr>
        <w:pStyle w:val="ListParagraph"/>
        <w:numPr>
          <w:ilvl w:val="0"/>
          <w:numId w:val="42"/>
        </w:numPr>
        <w:ind w:left="90" w:firstLine="1350"/>
        <w:outlineLvl w:val="0"/>
        <w:rPr>
          <w:sz w:val="26"/>
        </w:rPr>
      </w:pPr>
      <w:r>
        <w:rPr>
          <w:sz w:val="26"/>
        </w:rPr>
        <w:t xml:space="preserve">That the </w:t>
      </w:r>
      <w:r w:rsidR="002168AD">
        <w:rPr>
          <w:sz w:val="26"/>
          <w:szCs w:val="26"/>
        </w:rPr>
        <w:t xml:space="preserve">Petition for </w:t>
      </w:r>
      <w:r w:rsidR="007C5C26">
        <w:rPr>
          <w:sz w:val="26"/>
          <w:szCs w:val="26"/>
        </w:rPr>
        <w:t xml:space="preserve">Rescission </w:t>
      </w:r>
      <w:r w:rsidR="002168AD">
        <w:rPr>
          <w:sz w:val="26"/>
          <w:szCs w:val="26"/>
        </w:rPr>
        <w:t xml:space="preserve">filed by </w:t>
      </w:r>
      <w:r w:rsidR="007C5C26">
        <w:rPr>
          <w:sz w:val="26"/>
          <w:szCs w:val="26"/>
        </w:rPr>
        <w:t xml:space="preserve">Albert </w:t>
      </w:r>
      <w:proofErr w:type="spellStart"/>
      <w:r w:rsidR="007C5C26">
        <w:rPr>
          <w:sz w:val="26"/>
          <w:szCs w:val="26"/>
        </w:rPr>
        <w:t>Buoncristiano</w:t>
      </w:r>
      <w:proofErr w:type="spellEnd"/>
      <w:r w:rsidR="002168AD">
        <w:rPr>
          <w:sz w:val="26"/>
          <w:szCs w:val="26"/>
        </w:rPr>
        <w:t xml:space="preserve"> on July </w:t>
      </w:r>
      <w:r w:rsidR="007C5C26">
        <w:rPr>
          <w:sz w:val="26"/>
          <w:szCs w:val="26"/>
        </w:rPr>
        <w:t>1</w:t>
      </w:r>
      <w:r w:rsidR="002168AD">
        <w:rPr>
          <w:sz w:val="26"/>
          <w:szCs w:val="26"/>
        </w:rPr>
        <w:t>6, 2015, is denied,</w:t>
      </w:r>
      <w:r w:rsidR="0034097D">
        <w:rPr>
          <w:sz w:val="26"/>
          <w:szCs w:val="26"/>
        </w:rPr>
        <w:t xml:space="preserve"> consistent with this Opinion and Order.</w:t>
      </w:r>
    </w:p>
    <w:p w:rsidR="007E04DF" w:rsidRPr="0092677C" w:rsidRDefault="007E04DF" w:rsidP="0092677C">
      <w:pPr>
        <w:outlineLvl w:val="0"/>
        <w:rPr>
          <w:sz w:val="26"/>
        </w:rPr>
      </w:pPr>
    </w:p>
    <w:p w:rsidR="007C5C26" w:rsidRPr="007C5C26" w:rsidRDefault="0034097D" w:rsidP="007C5C26">
      <w:pPr>
        <w:pStyle w:val="ListParagraph"/>
        <w:numPr>
          <w:ilvl w:val="0"/>
          <w:numId w:val="42"/>
        </w:numPr>
        <w:ind w:left="0" w:firstLine="1440"/>
        <w:rPr>
          <w:sz w:val="26"/>
          <w:szCs w:val="26"/>
        </w:rPr>
      </w:pPr>
      <w:r w:rsidRPr="00A84285">
        <w:rPr>
          <w:sz w:val="26"/>
        </w:rPr>
        <w:t>That</w:t>
      </w:r>
      <w:r w:rsidR="001F691F">
        <w:rPr>
          <w:sz w:val="26"/>
        </w:rPr>
        <w:t xml:space="preserve"> </w:t>
      </w:r>
      <w:r w:rsidR="007C5C26">
        <w:rPr>
          <w:sz w:val="26"/>
        </w:rPr>
        <w:t xml:space="preserve">our Order in </w:t>
      </w:r>
      <w:proofErr w:type="spellStart"/>
      <w:r w:rsidR="007C5C26" w:rsidRPr="007C5C26">
        <w:rPr>
          <w:i/>
          <w:sz w:val="26"/>
        </w:rPr>
        <w:t>Buoncristiano</w:t>
      </w:r>
      <w:proofErr w:type="spellEnd"/>
      <w:r w:rsidR="007C5C26" w:rsidRPr="007C5C26">
        <w:rPr>
          <w:i/>
          <w:sz w:val="26"/>
        </w:rPr>
        <w:t xml:space="preserve"> v. Philadelphia Gas Works</w:t>
      </w:r>
      <w:r w:rsidR="007C5C26" w:rsidRPr="007C5C26">
        <w:rPr>
          <w:sz w:val="26"/>
        </w:rPr>
        <w:t>, Docket No. F-01061153 (Order entered November 5, 2004)</w:t>
      </w:r>
      <w:r w:rsidR="001E6982">
        <w:rPr>
          <w:sz w:val="26"/>
        </w:rPr>
        <w:t>,</w:t>
      </w:r>
      <w:r w:rsidR="007C5C26">
        <w:rPr>
          <w:sz w:val="26"/>
        </w:rPr>
        <w:t xml:space="preserve"> remains final and in effect.</w:t>
      </w:r>
    </w:p>
    <w:p w:rsidR="007C5C26" w:rsidRPr="00A84285" w:rsidRDefault="007C5C26" w:rsidP="007C5C26">
      <w:pPr>
        <w:pStyle w:val="ListParagraph"/>
        <w:ind w:left="1440" w:firstLine="0"/>
        <w:rPr>
          <w:sz w:val="26"/>
          <w:szCs w:val="26"/>
        </w:rPr>
      </w:pPr>
    </w:p>
    <w:p w:rsidR="00A84285" w:rsidRPr="00A84285" w:rsidRDefault="007C5C26" w:rsidP="007C5C26">
      <w:pPr>
        <w:ind w:left="1440" w:firstLine="0"/>
        <w:rPr>
          <w:sz w:val="26"/>
          <w:szCs w:val="26"/>
        </w:rPr>
      </w:pPr>
      <w:r>
        <w:rPr>
          <w:sz w:val="26"/>
          <w:szCs w:val="26"/>
        </w:rPr>
        <w:t>3.</w:t>
      </w:r>
      <w:r>
        <w:rPr>
          <w:sz w:val="26"/>
          <w:szCs w:val="26"/>
        </w:rPr>
        <w:tab/>
      </w:r>
      <w:r w:rsidR="00A84285" w:rsidRPr="00A84285">
        <w:rPr>
          <w:sz w:val="26"/>
          <w:szCs w:val="26"/>
        </w:rPr>
        <w:t>That</w:t>
      </w:r>
      <w:r w:rsidR="00A84285">
        <w:rPr>
          <w:sz w:val="26"/>
          <w:szCs w:val="26"/>
        </w:rPr>
        <w:t xml:space="preserve"> the Secretary’s Bureau shall mark this proceeding closed. </w:t>
      </w:r>
    </w:p>
    <w:p w:rsidR="006A1658" w:rsidRPr="00A530FB" w:rsidRDefault="006A1658" w:rsidP="00AA4577">
      <w:pPr>
        <w:rPr>
          <w:sz w:val="26"/>
        </w:rPr>
      </w:pPr>
    </w:p>
    <w:p w:rsidR="00C16547" w:rsidRDefault="00C81FD2" w:rsidP="00D2389F">
      <w:pPr>
        <w:ind w:left="3600"/>
        <w:rPr>
          <w:b/>
          <w:sz w:val="26"/>
          <w:szCs w:val="26"/>
        </w:rPr>
      </w:pPr>
      <w:bookmarkStart w:id="0" w:name="_GoBack"/>
      <w:r>
        <w:rPr>
          <w:noProof/>
        </w:rPr>
        <w:drawing>
          <wp:anchor distT="0" distB="0" distL="114300" distR="114300" simplePos="0" relativeHeight="251659264" behindDoc="1" locked="0" layoutInCell="1" allowOverlap="1" wp14:anchorId="75A2C147" wp14:editId="7FDDB54E">
            <wp:simplePos x="0" y="0"/>
            <wp:positionH relativeFrom="column">
              <wp:posOffset>3062605</wp:posOffset>
            </wp:positionH>
            <wp:positionV relativeFrom="paragraph">
              <wp:posOffset>3810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078DF">
        <w:rPr>
          <w:b/>
          <w:sz w:val="26"/>
          <w:szCs w:val="26"/>
        </w:rPr>
        <w:t>BY THE C</w:t>
      </w:r>
      <w:r w:rsidR="00C16547">
        <w:rPr>
          <w:b/>
          <w:sz w:val="26"/>
          <w:szCs w:val="26"/>
        </w:rPr>
        <w:t>OMMISSIO</w:t>
      </w:r>
      <w:r w:rsidR="00160408">
        <w:rPr>
          <w:b/>
          <w:sz w:val="26"/>
          <w:szCs w:val="26"/>
        </w:rPr>
        <w:t>N</w:t>
      </w:r>
    </w:p>
    <w:p w:rsidR="00D2389F" w:rsidRDefault="00D2389F" w:rsidP="009279E4">
      <w:pPr>
        <w:spacing w:line="240" w:lineRule="auto"/>
        <w:rPr>
          <w:b/>
          <w:sz w:val="26"/>
          <w:szCs w:val="26"/>
        </w:rPr>
      </w:pPr>
    </w:p>
    <w:p w:rsidR="00E85123" w:rsidRDefault="00E85123" w:rsidP="009279E4">
      <w:pPr>
        <w:spacing w:line="240" w:lineRule="auto"/>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Pr="00C16547" w:rsidRDefault="00C16547" w:rsidP="009279E4">
      <w:pPr>
        <w:spacing w:line="240" w:lineRule="auto"/>
        <w:rPr>
          <w:sz w:val="26"/>
        </w:rPr>
      </w:pPr>
      <w:r>
        <w:rPr>
          <w:sz w:val="26"/>
          <w:szCs w:val="26"/>
        </w:rPr>
        <w:tab/>
      </w:r>
      <w:r>
        <w:rPr>
          <w:sz w:val="26"/>
          <w:szCs w:val="26"/>
        </w:rPr>
        <w:tab/>
      </w:r>
      <w:r>
        <w:rPr>
          <w:sz w:val="26"/>
          <w:szCs w:val="26"/>
        </w:rPr>
        <w:tab/>
      </w:r>
      <w:r>
        <w:rPr>
          <w:sz w:val="26"/>
          <w:szCs w:val="26"/>
        </w:rPr>
        <w:tab/>
      </w:r>
      <w:r>
        <w:rPr>
          <w:sz w:val="26"/>
          <w:szCs w:val="26"/>
        </w:rPr>
        <w:tab/>
        <w:t>Secretary</w:t>
      </w:r>
    </w:p>
    <w:p w:rsidR="001C468E" w:rsidRDefault="001C468E" w:rsidP="00B16D02">
      <w:pPr>
        <w:widowControl w:val="0"/>
        <w:spacing w:line="240" w:lineRule="auto"/>
        <w:ind w:firstLine="0"/>
        <w:rPr>
          <w:sz w:val="26"/>
          <w:szCs w:val="26"/>
        </w:rPr>
      </w:pPr>
    </w:p>
    <w:p w:rsidR="00265670" w:rsidRDefault="00E46816" w:rsidP="00B16D02">
      <w:pPr>
        <w:widowControl w:val="0"/>
        <w:spacing w:line="240" w:lineRule="auto"/>
        <w:ind w:firstLine="0"/>
        <w:rPr>
          <w:sz w:val="26"/>
          <w:szCs w:val="26"/>
        </w:rPr>
      </w:pPr>
      <w:r>
        <w:rPr>
          <w:sz w:val="26"/>
          <w:szCs w:val="26"/>
        </w:rPr>
        <w:t xml:space="preserve">ORDER ADOPTED:  </w:t>
      </w:r>
      <w:r w:rsidR="007C5C26">
        <w:rPr>
          <w:sz w:val="26"/>
          <w:szCs w:val="26"/>
        </w:rPr>
        <w:t>January 28</w:t>
      </w:r>
      <w:r w:rsidR="00095E19">
        <w:rPr>
          <w:sz w:val="26"/>
          <w:szCs w:val="26"/>
        </w:rPr>
        <w:t>, 201</w:t>
      </w:r>
      <w:r w:rsidR="007C5C26">
        <w:rPr>
          <w:sz w:val="26"/>
          <w:szCs w:val="26"/>
        </w:rPr>
        <w:t>6</w:t>
      </w:r>
    </w:p>
    <w:p w:rsidR="008370F6" w:rsidRDefault="008370F6"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r>
        <w:rPr>
          <w:sz w:val="26"/>
          <w:szCs w:val="26"/>
        </w:rPr>
        <w:t xml:space="preserve">ORDER ENTERED: </w:t>
      </w:r>
      <w:r w:rsidR="007C5C26">
        <w:rPr>
          <w:sz w:val="26"/>
          <w:szCs w:val="26"/>
        </w:rPr>
        <w:t xml:space="preserve"> </w:t>
      </w:r>
      <w:r w:rsidR="00C81FD2">
        <w:rPr>
          <w:sz w:val="26"/>
          <w:szCs w:val="26"/>
        </w:rPr>
        <w:t>January 28, 2016</w:t>
      </w:r>
    </w:p>
    <w:p w:rsidR="008370F6" w:rsidRDefault="008370F6" w:rsidP="00B16D02">
      <w:pPr>
        <w:widowControl w:val="0"/>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12F" w:rsidRDefault="00C2512F">
      <w:r>
        <w:separator/>
      </w:r>
    </w:p>
  </w:endnote>
  <w:endnote w:type="continuationSeparator" w:id="0">
    <w:p w:rsidR="00C2512F" w:rsidRDefault="00C2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7" w:rsidRDefault="004D1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1CD7" w:rsidRDefault="004D1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CD7" w:rsidRDefault="004D1CD7"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81FD2">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12F" w:rsidRDefault="00C2512F" w:rsidP="00944D47">
      <w:pPr>
        <w:spacing w:line="240" w:lineRule="auto"/>
        <w:ind w:firstLine="0"/>
      </w:pPr>
      <w:r>
        <w:separator/>
      </w:r>
    </w:p>
  </w:footnote>
  <w:footnote w:type="continuationSeparator" w:id="0">
    <w:p w:rsidR="00C2512F" w:rsidRDefault="00C2512F">
      <w:r>
        <w:continuationSeparator/>
      </w:r>
    </w:p>
  </w:footnote>
  <w:footnote w:id="1">
    <w:p w:rsidR="00D348C5" w:rsidRPr="008174A1" w:rsidRDefault="00D348C5" w:rsidP="005F2815">
      <w:pPr>
        <w:pStyle w:val="FootnoteText"/>
        <w:spacing w:line="240" w:lineRule="auto"/>
        <w:ind w:firstLine="720"/>
        <w:rPr>
          <w:sz w:val="26"/>
          <w:szCs w:val="26"/>
        </w:rPr>
      </w:pPr>
      <w:r w:rsidRPr="008174A1">
        <w:rPr>
          <w:rStyle w:val="FootnoteReference"/>
          <w:sz w:val="26"/>
          <w:szCs w:val="26"/>
        </w:rPr>
        <w:footnoteRef/>
      </w:r>
      <w:r w:rsidRPr="008174A1">
        <w:rPr>
          <w:sz w:val="26"/>
          <w:szCs w:val="26"/>
        </w:rPr>
        <w:t xml:space="preserve"> </w:t>
      </w:r>
      <w:r>
        <w:rPr>
          <w:sz w:val="26"/>
          <w:szCs w:val="26"/>
        </w:rPr>
        <w:tab/>
        <w:t xml:space="preserve">For a more complete </w:t>
      </w:r>
      <w:r w:rsidR="003A0791">
        <w:rPr>
          <w:sz w:val="26"/>
          <w:szCs w:val="26"/>
        </w:rPr>
        <w:t xml:space="preserve">discussion </w:t>
      </w:r>
      <w:r>
        <w:rPr>
          <w:sz w:val="26"/>
          <w:szCs w:val="26"/>
        </w:rPr>
        <w:t xml:space="preserve">of the underlying </w:t>
      </w:r>
      <w:r w:rsidR="00C87F0C">
        <w:rPr>
          <w:sz w:val="26"/>
          <w:szCs w:val="26"/>
        </w:rPr>
        <w:t>c</w:t>
      </w:r>
      <w:r w:rsidR="003A0791">
        <w:rPr>
          <w:sz w:val="26"/>
          <w:szCs w:val="26"/>
        </w:rPr>
        <w:t>omplaint</w:t>
      </w:r>
      <w:r>
        <w:rPr>
          <w:sz w:val="26"/>
          <w:szCs w:val="26"/>
        </w:rPr>
        <w:t xml:space="preserve">, </w:t>
      </w:r>
      <w:r w:rsidR="007511B9">
        <w:rPr>
          <w:sz w:val="26"/>
          <w:szCs w:val="26"/>
        </w:rPr>
        <w:t>see</w:t>
      </w:r>
      <w:r w:rsidR="003A0791">
        <w:rPr>
          <w:sz w:val="26"/>
          <w:szCs w:val="26"/>
        </w:rPr>
        <w:t xml:space="preserve"> </w:t>
      </w:r>
      <w:r>
        <w:rPr>
          <w:sz w:val="26"/>
          <w:szCs w:val="26"/>
        </w:rPr>
        <w:t xml:space="preserve">our decision in </w:t>
      </w:r>
      <w:proofErr w:type="spellStart"/>
      <w:r w:rsidRPr="00D348C5">
        <w:rPr>
          <w:i/>
          <w:sz w:val="26"/>
          <w:szCs w:val="26"/>
        </w:rPr>
        <w:t>Buoncristiano</w:t>
      </w:r>
      <w:proofErr w:type="spellEnd"/>
      <w:r w:rsidRPr="00D348C5">
        <w:rPr>
          <w:i/>
          <w:sz w:val="26"/>
          <w:szCs w:val="26"/>
        </w:rPr>
        <w:t xml:space="preserve"> v. PGW</w:t>
      </w:r>
      <w:r>
        <w:rPr>
          <w:sz w:val="26"/>
          <w:szCs w:val="26"/>
        </w:rPr>
        <w:t>.</w:t>
      </w:r>
      <w:r>
        <w:rPr>
          <w:sz w:val="26"/>
        </w:rPr>
        <w:t xml:space="preserve">  </w:t>
      </w:r>
    </w:p>
  </w:footnote>
  <w:footnote w:id="2">
    <w:p w:rsidR="0030336E" w:rsidRDefault="0030336E" w:rsidP="005F2815">
      <w:pPr>
        <w:pStyle w:val="FootnoteText"/>
        <w:tabs>
          <w:tab w:val="left" w:pos="1440"/>
        </w:tabs>
        <w:spacing w:line="240" w:lineRule="auto"/>
        <w:ind w:firstLine="720"/>
      </w:pPr>
      <w:r w:rsidRPr="00BE4E31">
        <w:rPr>
          <w:rStyle w:val="FootnoteReference"/>
          <w:sz w:val="26"/>
          <w:szCs w:val="26"/>
        </w:rPr>
        <w:footnoteRef/>
      </w:r>
      <w:r w:rsidRPr="00BE4E31">
        <w:rPr>
          <w:sz w:val="26"/>
          <w:szCs w:val="26"/>
        </w:rPr>
        <w:t xml:space="preserve"> </w:t>
      </w:r>
      <w:r>
        <w:rPr>
          <w:sz w:val="26"/>
          <w:szCs w:val="26"/>
        </w:rPr>
        <w:tab/>
        <w:t xml:space="preserve">Mr. </w:t>
      </w:r>
      <w:proofErr w:type="spellStart"/>
      <w:r>
        <w:rPr>
          <w:sz w:val="26"/>
          <w:szCs w:val="26"/>
        </w:rPr>
        <w:t>Buoncristiano</w:t>
      </w:r>
      <w:proofErr w:type="spellEnd"/>
      <w:r>
        <w:rPr>
          <w:sz w:val="26"/>
          <w:szCs w:val="26"/>
        </w:rPr>
        <w:t xml:space="preserve"> attached two documents to his Petition, one purporting to be a lease for the real estate for the period November 1, 1999 through October 31, 2004, and the other purporting to be a “Certificate of Completion” addressing the transfer of a Commonwealth of Pennsylvania Liquor Control Board license associated with the property.  </w:t>
      </w:r>
    </w:p>
  </w:footnote>
  <w:footnote w:id="3">
    <w:p w:rsidR="00680162" w:rsidRPr="0097386E" w:rsidRDefault="00680162" w:rsidP="0008210A">
      <w:pPr>
        <w:pStyle w:val="FootnoteText"/>
        <w:spacing w:line="240" w:lineRule="auto"/>
        <w:ind w:firstLine="720"/>
        <w:rPr>
          <w:sz w:val="26"/>
          <w:szCs w:val="26"/>
        </w:rPr>
      </w:pPr>
      <w:r w:rsidRPr="0097386E">
        <w:rPr>
          <w:rStyle w:val="FootnoteReference"/>
          <w:sz w:val="26"/>
          <w:szCs w:val="26"/>
        </w:rPr>
        <w:footnoteRef/>
      </w:r>
      <w:r w:rsidRPr="0097386E">
        <w:rPr>
          <w:sz w:val="26"/>
          <w:szCs w:val="26"/>
        </w:rPr>
        <w:t xml:space="preserve"> </w:t>
      </w:r>
      <w:r w:rsidR="008A76E8">
        <w:rPr>
          <w:sz w:val="26"/>
          <w:szCs w:val="26"/>
        </w:rPr>
        <w:tab/>
      </w:r>
      <w:r w:rsidRPr="0097386E">
        <w:rPr>
          <w:sz w:val="26"/>
          <w:szCs w:val="26"/>
        </w:rPr>
        <w:t xml:space="preserve">PGW notes </w:t>
      </w:r>
      <w:r w:rsidR="0097386E" w:rsidRPr="0097386E">
        <w:rPr>
          <w:sz w:val="26"/>
          <w:szCs w:val="26"/>
        </w:rPr>
        <w:t xml:space="preserve">that prior to filing this Petition, Mr. </w:t>
      </w:r>
      <w:proofErr w:type="spellStart"/>
      <w:r w:rsidR="0097386E" w:rsidRPr="0097386E">
        <w:rPr>
          <w:sz w:val="26"/>
          <w:szCs w:val="26"/>
        </w:rPr>
        <w:t>Buoncristiano</w:t>
      </w:r>
      <w:proofErr w:type="spellEnd"/>
      <w:r w:rsidR="0097386E" w:rsidRPr="0097386E">
        <w:rPr>
          <w:sz w:val="26"/>
          <w:szCs w:val="26"/>
        </w:rPr>
        <w:t xml:space="preserve"> had filed another formal complaint in January 2015 seeking to reverse the original BCS decision and had again used the same address for service of process.  That matter is being held in abeyance pending disposition of this Petition. </w:t>
      </w:r>
      <w:r w:rsidR="0097386E">
        <w:rPr>
          <w:sz w:val="26"/>
          <w:szCs w:val="26"/>
        </w:rPr>
        <w:t xml:space="preserve"> Answer at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5BC263B"/>
    <w:multiLevelType w:val="hybridMultilevel"/>
    <w:tmpl w:val="A9EC56C0"/>
    <w:lvl w:ilvl="0" w:tplc="6B08775C">
      <w:start w:val="1"/>
      <w:numFmt w:val="upperRoman"/>
      <w:lvlText w:val="%1."/>
      <w:lvlJc w:val="left"/>
      <w:pPr>
        <w:ind w:left="1800" w:hanging="72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725F6A"/>
    <w:multiLevelType w:val="hybridMultilevel"/>
    <w:tmpl w:val="D24675F0"/>
    <w:lvl w:ilvl="0" w:tplc="C742DC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9B81AD4"/>
    <w:multiLevelType w:val="hybridMultilevel"/>
    <w:tmpl w:val="91B68880"/>
    <w:lvl w:ilvl="0" w:tplc="C360F1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802AD5"/>
    <w:multiLevelType w:val="hybridMultilevel"/>
    <w:tmpl w:val="7096897E"/>
    <w:lvl w:ilvl="0" w:tplc="779E7B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8215ABA"/>
    <w:multiLevelType w:val="hybridMultilevel"/>
    <w:tmpl w:val="8DFC7696"/>
    <w:lvl w:ilvl="0" w:tplc="36525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F27D40"/>
    <w:multiLevelType w:val="hybridMultilevel"/>
    <w:tmpl w:val="EBE08B7A"/>
    <w:lvl w:ilvl="0" w:tplc="41B88558">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ED3386"/>
    <w:multiLevelType w:val="hybridMultilevel"/>
    <w:tmpl w:val="AFC6DC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FB6263"/>
    <w:multiLevelType w:val="hybridMultilevel"/>
    <w:tmpl w:val="372E4916"/>
    <w:lvl w:ilvl="0" w:tplc="3DC412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C667EBC"/>
    <w:multiLevelType w:val="hybridMultilevel"/>
    <w:tmpl w:val="967A5240"/>
    <w:lvl w:ilvl="0" w:tplc="BB5EA98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C9F1DE4"/>
    <w:multiLevelType w:val="hybridMultilevel"/>
    <w:tmpl w:val="D15C6CB4"/>
    <w:lvl w:ilvl="0" w:tplc="6472CD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D557BC"/>
    <w:multiLevelType w:val="hybridMultilevel"/>
    <w:tmpl w:val="48B4B29C"/>
    <w:lvl w:ilvl="0" w:tplc="A998BC4C">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11B08F5"/>
    <w:multiLevelType w:val="hybridMultilevel"/>
    <w:tmpl w:val="D05E34C4"/>
    <w:lvl w:ilvl="0" w:tplc="07C684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3310D06"/>
    <w:multiLevelType w:val="hybridMultilevel"/>
    <w:tmpl w:val="AC1A034C"/>
    <w:lvl w:ilvl="0" w:tplc="2668C43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242629"/>
    <w:multiLevelType w:val="hybridMultilevel"/>
    <w:tmpl w:val="42A656F2"/>
    <w:lvl w:ilvl="0" w:tplc="20F6E7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22">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EB01F2D"/>
    <w:multiLevelType w:val="hybridMultilevel"/>
    <w:tmpl w:val="0C9AC16A"/>
    <w:lvl w:ilvl="0" w:tplc="A0FC55EE">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25">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5120D30"/>
    <w:multiLevelType w:val="hybridMultilevel"/>
    <w:tmpl w:val="BC4071C6"/>
    <w:lvl w:ilvl="0" w:tplc="698221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854144A"/>
    <w:multiLevelType w:val="hybridMultilevel"/>
    <w:tmpl w:val="F90CDDDE"/>
    <w:lvl w:ilvl="0" w:tplc="9C142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9BF5EE1"/>
    <w:multiLevelType w:val="hybridMultilevel"/>
    <w:tmpl w:val="AAECD20E"/>
    <w:lvl w:ilvl="0" w:tplc="B4722C6C">
      <w:start w:val="1"/>
      <w:numFmt w:val="lowerLetter"/>
      <w:lvlText w:val="(%1)"/>
      <w:lvlJc w:val="left"/>
      <w:pPr>
        <w:ind w:left="1875" w:hanging="115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E26FA0"/>
    <w:multiLevelType w:val="hybridMultilevel"/>
    <w:tmpl w:val="3500AB32"/>
    <w:lvl w:ilvl="0" w:tplc="8AAA16D4">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8947EA"/>
    <w:multiLevelType w:val="hybridMultilevel"/>
    <w:tmpl w:val="C22473E4"/>
    <w:lvl w:ilvl="0" w:tplc="C742DC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F704D54"/>
    <w:multiLevelType w:val="hybridMultilevel"/>
    <w:tmpl w:val="2974B27C"/>
    <w:lvl w:ilvl="0" w:tplc="B5089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DC789B"/>
    <w:multiLevelType w:val="hybridMultilevel"/>
    <w:tmpl w:val="6C428844"/>
    <w:lvl w:ilvl="0" w:tplc="8470546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4FB7B9F"/>
    <w:multiLevelType w:val="hybridMultilevel"/>
    <w:tmpl w:val="00F4E8D4"/>
    <w:lvl w:ilvl="0" w:tplc="D0C6BB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5AF56A4"/>
    <w:multiLevelType w:val="hybridMultilevel"/>
    <w:tmpl w:val="2C98129E"/>
    <w:lvl w:ilvl="0" w:tplc="B7B417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CC058A"/>
    <w:multiLevelType w:val="hybridMultilevel"/>
    <w:tmpl w:val="F6ACEA6A"/>
    <w:lvl w:ilvl="0" w:tplc="760C33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B743053"/>
    <w:multiLevelType w:val="hybridMultilevel"/>
    <w:tmpl w:val="D29C27DA"/>
    <w:lvl w:ilvl="0" w:tplc="BB1489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nsid w:val="694D6F31"/>
    <w:multiLevelType w:val="singleLevel"/>
    <w:tmpl w:val="5FEC5F3A"/>
    <w:lvl w:ilvl="0">
      <w:start w:val="1"/>
      <w:numFmt w:val="decimal"/>
      <w:lvlText w:val="%1."/>
      <w:lvlJc w:val="left"/>
      <w:pPr>
        <w:tabs>
          <w:tab w:val="num" w:pos="1440"/>
        </w:tabs>
        <w:ind w:left="0" w:firstLine="720"/>
      </w:pPr>
    </w:lvl>
  </w:abstractNum>
  <w:abstractNum w:abstractNumId="40">
    <w:nsid w:val="73AA065C"/>
    <w:multiLevelType w:val="hybridMultilevel"/>
    <w:tmpl w:val="C45C8CB4"/>
    <w:lvl w:ilvl="0" w:tplc="EB0A70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C25250"/>
    <w:multiLevelType w:val="hybridMultilevel"/>
    <w:tmpl w:val="4E80DC3E"/>
    <w:lvl w:ilvl="0" w:tplc="97BA66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66F5F31"/>
    <w:multiLevelType w:val="hybridMultilevel"/>
    <w:tmpl w:val="3DFEC136"/>
    <w:lvl w:ilvl="0" w:tplc="36525C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6E86E20"/>
    <w:multiLevelType w:val="hybridMultilevel"/>
    <w:tmpl w:val="80664902"/>
    <w:lvl w:ilvl="0" w:tplc="C588A8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C7150ED"/>
    <w:multiLevelType w:val="hybridMultilevel"/>
    <w:tmpl w:val="FBF0B338"/>
    <w:lvl w:ilvl="0" w:tplc="5E3E04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F123583"/>
    <w:multiLevelType w:val="hybridMultilevel"/>
    <w:tmpl w:val="8C841594"/>
    <w:lvl w:ilvl="0" w:tplc="1D7C8C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abstractNumId w:val="7"/>
  </w:num>
  <w:num w:numId="2">
    <w:abstractNumId w:val="0"/>
  </w:num>
  <w:num w:numId="3">
    <w:abstractNumId w:val="24"/>
  </w:num>
  <w:num w:numId="4">
    <w:abstractNumId w:val="6"/>
  </w:num>
  <w:num w:numId="5">
    <w:abstractNumId w:val="19"/>
  </w:num>
  <w:num w:numId="6">
    <w:abstractNumId w:val="22"/>
  </w:num>
  <w:num w:numId="7">
    <w:abstractNumId w:val="25"/>
  </w:num>
  <w:num w:numId="8">
    <w:abstractNumId w:val="9"/>
  </w:num>
  <w:num w:numId="9">
    <w:abstractNumId w:val="38"/>
  </w:num>
  <w:num w:numId="10">
    <w:abstractNumId w:val="21"/>
  </w:num>
  <w:num w:numId="11">
    <w:abstractNumId w:val="2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2"/>
  </w:num>
  <w:num w:numId="15">
    <w:abstractNumId w:val="43"/>
  </w:num>
  <w:num w:numId="16">
    <w:abstractNumId w:val="8"/>
  </w:num>
  <w:num w:numId="17">
    <w:abstractNumId w:val="39"/>
  </w:num>
  <w:num w:numId="18">
    <w:abstractNumId w:val="29"/>
  </w:num>
  <w:num w:numId="19">
    <w:abstractNumId w:val="5"/>
  </w:num>
  <w:num w:numId="20">
    <w:abstractNumId w:val="1"/>
  </w:num>
  <w:num w:numId="21">
    <w:abstractNumId w:val="30"/>
  </w:num>
  <w:num w:numId="22">
    <w:abstractNumId w:val="11"/>
  </w:num>
  <w:num w:numId="23">
    <w:abstractNumId w:val="35"/>
  </w:num>
  <w:num w:numId="24">
    <w:abstractNumId w:val="14"/>
  </w:num>
  <w:num w:numId="25">
    <w:abstractNumId w:val="2"/>
  </w:num>
  <w:num w:numId="26">
    <w:abstractNumId w:val="31"/>
  </w:num>
  <w:num w:numId="27">
    <w:abstractNumId w:val="26"/>
  </w:num>
  <w:num w:numId="28">
    <w:abstractNumId w:val="34"/>
  </w:num>
  <w:num w:numId="29">
    <w:abstractNumId w:val="44"/>
  </w:num>
  <w:num w:numId="30">
    <w:abstractNumId w:val="15"/>
  </w:num>
  <w:num w:numId="31">
    <w:abstractNumId w:val="18"/>
  </w:num>
  <w:num w:numId="32">
    <w:abstractNumId w:val="37"/>
  </w:num>
  <w:num w:numId="33">
    <w:abstractNumId w:val="4"/>
  </w:num>
  <w:num w:numId="34">
    <w:abstractNumId w:val="10"/>
  </w:num>
  <w:num w:numId="35">
    <w:abstractNumId w:val="23"/>
  </w:num>
  <w:num w:numId="36">
    <w:abstractNumId w:val="12"/>
  </w:num>
  <w:num w:numId="37">
    <w:abstractNumId w:val="20"/>
  </w:num>
  <w:num w:numId="38">
    <w:abstractNumId w:val="17"/>
  </w:num>
  <w:num w:numId="39">
    <w:abstractNumId w:val="41"/>
  </w:num>
  <w:num w:numId="40">
    <w:abstractNumId w:val="40"/>
  </w:num>
  <w:num w:numId="41">
    <w:abstractNumId w:val="45"/>
  </w:num>
  <w:num w:numId="42">
    <w:abstractNumId w:val="36"/>
  </w:num>
  <w:num w:numId="43">
    <w:abstractNumId w:val="33"/>
  </w:num>
  <w:num w:numId="44">
    <w:abstractNumId w:val="16"/>
  </w:num>
  <w:num w:numId="45">
    <w:abstractNumId w:val="2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B6"/>
    <w:rsid w:val="00000490"/>
    <w:rsid w:val="00001119"/>
    <w:rsid w:val="0000428C"/>
    <w:rsid w:val="0000461C"/>
    <w:rsid w:val="00004994"/>
    <w:rsid w:val="00005F23"/>
    <w:rsid w:val="00006A6C"/>
    <w:rsid w:val="00010437"/>
    <w:rsid w:val="00010785"/>
    <w:rsid w:val="00010C2C"/>
    <w:rsid w:val="0001116B"/>
    <w:rsid w:val="00012488"/>
    <w:rsid w:val="000125AB"/>
    <w:rsid w:val="000130D2"/>
    <w:rsid w:val="00013786"/>
    <w:rsid w:val="00016FF2"/>
    <w:rsid w:val="00017985"/>
    <w:rsid w:val="00017FFA"/>
    <w:rsid w:val="000204E0"/>
    <w:rsid w:val="00021836"/>
    <w:rsid w:val="00021EBA"/>
    <w:rsid w:val="00021ECD"/>
    <w:rsid w:val="00023D23"/>
    <w:rsid w:val="00025A32"/>
    <w:rsid w:val="000267AE"/>
    <w:rsid w:val="00027CC4"/>
    <w:rsid w:val="00030995"/>
    <w:rsid w:val="00030F0C"/>
    <w:rsid w:val="00031717"/>
    <w:rsid w:val="00031EDE"/>
    <w:rsid w:val="00033AC5"/>
    <w:rsid w:val="000346E4"/>
    <w:rsid w:val="00037104"/>
    <w:rsid w:val="00037689"/>
    <w:rsid w:val="0004057B"/>
    <w:rsid w:val="00040D73"/>
    <w:rsid w:val="00041D50"/>
    <w:rsid w:val="00043ABA"/>
    <w:rsid w:val="000463B3"/>
    <w:rsid w:val="00046C24"/>
    <w:rsid w:val="00046D2C"/>
    <w:rsid w:val="00046D3E"/>
    <w:rsid w:val="00047550"/>
    <w:rsid w:val="00050A2C"/>
    <w:rsid w:val="00051048"/>
    <w:rsid w:val="0005106E"/>
    <w:rsid w:val="000514BE"/>
    <w:rsid w:val="000515DC"/>
    <w:rsid w:val="000529E1"/>
    <w:rsid w:val="00053335"/>
    <w:rsid w:val="00053BD5"/>
    <w:rsid w:val="0005498C"/>
    <w:rsid w:val="000553E5"/>
    <w:rsid w:val="00057BD9"/>
    <w:rsid w:val="00061F18"/>
    <w:rsid w:val="00063337"/>
    <w:rsid w:val="000635DA"/>
    <w:rsid w:val="00066CB8"/>
    <w:rsid w:val="0007018C"/>
    <w:rsid w:val="00070363"/>
    <w:rsid w:val="000706D0"/>
    <w:rsid w:val="00070A21"/>
    <w:rsid w:val="00071724"/>
    <w:rsid w:val="000717AE"/>
    <w:rsid w:val="000719D6"/>
    <w:rsid w:val="00072996"/>
    <w:rsid w:val="00073AED"/>
    <w:rsid w:val="00073E5C"/>
    <w:rsid w:val="000748DD"/>
    <w:rsid w:val="00076532"/>
    <w:rsid w:val="00080DA3"/>
    <w:rsid w:val="0008210A"/>
    <w:rsid w:val="00083A09"/>
    <w:rsid w:val="00083D23"/>
    <w:rsid w:val="0008767C"/>
    <w:rsid w:val="00092469"/>
    <w:rsid w:val="000933C2"/>
    <w:rsid w:val="000953EF"/>
    <w:rsid w:val="00095E19"/>
    <w:rsid w:val="00097699"/>
    <w:rsid w:val="00097B6E"/>
    <w:rsid w:val="000A1375"/>
    <w:rsid w:val="000A2658"/>
    <w:rsid w:val="000A297C"/>
    <w:rsid w:val="000A2A7D"/>
    <w:rsid w:val="000A2B83"/>
    <w:rsid w:val="000A3294"/>
    <w:rsid w:val="000A4024"/>
    <w:rsid w:val="000A6BAE"/>
    <w:rsid w:val="000A6CAC"/>
    <w:rsid w:val="000A777B"/>
    <w:rsid w:val="000B07E6"/>
    <w:rsid w:val="000B3BA4"/>
    <w:rsid w:val="000B3BE9"/>
    <w:rsid w:val="000B4595"/>
    <w:rsid w:val="000B539F"/>
    <w:rsid w:val="000B5E09"/>
    <w:rsid w:val="000C150B"/>
    <w:rsid w:val="000C372E"/>
    <w:rsid w:val="000C4489"/>
    <w:rsid w:val="000C46BF"/>
    <w:rsid w:val="000C5552"/>
    <w:rsid w:val="000C5680"/>
    <w:rsid w:val="000C7A42"/>
    <w:rsid w:val="000D06A4"/>
    <w:rsid w:val="000D1DA9"/>
    <w:rsid w:val="000D25D5"/>
    <w:rsid w:val="000D3297"/>
    <w:rsid w:val="000D3AA4"/>
    <w:rsid w:val="000D629B"/>
    <w:rsid w:val="000D6E5C"/>
    <w:rsid w:val="000D717E"/>
    <w:rsid w:val="000D74E8"/>
    <w:rsid w:val="000E0B17"/>
    <w:rsid w:val="000E0D4E"/>
    <w:rsid w:val="000E12AC"/>
    <w:rsid w:val="000E159A"/>
    <w:rsid w:val="000E1F33"/>
    <w:rsid w:val="000E27A6"/>
    <w:rsid w:val="000E41EC"/>
    <w:rsid w:val="000E4E3B"/>
    <w:rsid w:val="000E5232"/>
    <w:rsid w:val="000E57F9"/>
    <w:rsid w:val="000E694E"/>
    <w:rsid w:val="000E6AC9"/>
    <w:rsid w:val="000E6E5C"/>
    <w:rsid w:val="000F16C6"/>
    <w:rsid w:val="000F1B49"/>
    <w:rsid w:val="000F4745"/>
    <w:rsid w:val="000F5465"/>
    <w:rsid w:val="000F5EB7"/>
    <w:rsid w:val="000F6852"/>
    <w:rsid w:val="000F6C0E"/>
    <w:rsid w:val="00100508"/>
    <w:rsid w:val="0010176D"/>
    <w:rsid w:val="00101836"/>
    <w:rsid w:val="00102B78"/>
    <w:rsid w:val="00103D94"/>
    <w:rsid w:val="00104D37"/>
    <w:rsid w:val="00105828"/>
    <w:rsid w:val="0010631A"/>
    <w:rsid w:val="00106A2F"/>
    <w:rsid w:val="00106C7F"/>
    <w:rsid w:val="00107753"/>
    <w:rsid w:val="00111B99"/>
    <w:rsid w:val="001120FD"/>
    <w:rsid w:val="00112AFE"/>
    <w:rsid w:val="00113195"/>
    <w:rsid w:val="00113759"/>
    <w:rsid w:val="00113E36"/>
    <w:rsid w:val="00114294"/>
    <w:rsid w:val="00114E0D"/>
    <w:rsid w:val="00120817"/>
    <w:rsid w:val="00121A5F"/>
    <w:rsid w:val="00121DA9"/>
    <w:rsid w:val="001221C4"/>
    <w:rsid w:val="001225B2"/>
    <w:rsid w:val="00122E52"/>
    <w:rsid w:val="00124436"/>
    <w:rsid w:val="00125613"/>
    <w:rsid w:val="00125F28"/>
    <w:rsid w:val="00126A36"/>
    <w:rsid w:val="00126AD6"/>
    <w:rsid w:val="00127981"/>
    <w:rsid w:val="00130D9D"/>
    <w:rsid w:val="0013156B"/>
    <w:rsid w:val="001325C4"/>
    <w:rsid w:val="00133293"/>
    <w:rsid w:val="001365D1"/>
    <w:rsid w:val="0013729D"/>
    <w:rsid w:val="0013730E"/>
    <w:rsid w:val="00137541"/>
    <w:rsid w:val="00137593"/>
    <w:rsid w:val="00137A08"/>
    <w:rsid w:val="00140ADB"/>
    <w:rsid w:val="00140E71"/>
    <w:rsid w:val="00141588"/>
    <w:rsid w:val="00142044"/>
    <w:rsid w:val="00143311"/>
    <w:rsid w:val="00144822"/>
    <w:rsid w:val="001453C4"/>
    <w:rsid w:val="00145C08"/>
    <w:rsid w:val="00146BCE"/>
    <w:rsid w:val="00150344"/>
    <w:rsid w:val="0015365B"/>
    <w:rsid w:val="00155803"/>
    <w:rsid w:val="00160408"/>
    <w:rsid w:val="0016112F"/>
    <w:rsid w:val="00162591"/>
    <w:rsid w:val="00162718"/>
    <w:rsid w:val="001627CC"/>
    <w:rsid w:val="00165DFF"/>
    <w:rsid w:val="00166A23"/>
    <w:rsid w:val="001675F1"/>
    <w:rsid w:val="001676D4"/>
    <w:rsid w:val="00167EDF"/>
    <w:rsid w:val="00167F9A"/>
    <w:rsid w:val="001716D1"/>
    <w:rsid w:val="00171BE0"/>
    <w:rsid w:val="00171D79"/>
    <w:rsid w:val="0017201F"/>
    <w:rsid w:val="00172BD2"/>
    <w:rsid w:val="001733FB"/>
    <w:rsid w:val="00175645"/>
    <w:rsid w:val="0017760B"/>
    <w:rsid w:val="00183567"/>
    <w:rsid w:val="0018387E"/>
    <w:rsid w:val="001840C2"/>
    <w:rsid w:val="001846D9"/>
    <w:rsid w:val="00185E66"/>
    <w:rsid w:val="00187F96"/>
    <w:rsid w:val="00190880"/>
    <w:rsid w:val="00191150"/>
    <w:rsid w:val="001913B0"/>
    <w:rsid w:val="00191905"/>
    <w:rsid w:val="00191B52"/>
    <w:rsid w:val="0019210B"/>
    <w:rsid w:val="0019281A"/>
    <w:rsid w:val="00192D13"/>
    <w:rsid w:val="00192F6B"/>
    <w:rsid w:val="0019307C"/>
    <w:rsid w:val="00193DE5"/>
    <w:rsid w:val="00194578"/>
    <w:rsid w:val="001966BE"/>
    <w:rsid w:val="001A12CB"/>
    <w:rsid w:val="001A3054"/>
    <w:rsid w:val="001A351F"/>
    <w:rsid w:val="001A49F5"/>
    <w:rsid w:val="001A5BBE"/>
    <w:rsid w:val="001A6F64"/>
    <w:rsid w:val="001B0065"/>
    <w:rsid w:val="001B1607"/>
    <w:rsid w:val="001B1715"/>
    <w:rsid w:val="001B2FFE"/>
    <w:rsid w:val="001B5725"/>
    <w:rsid w:val="001B5DB5"/>
    <w:rsid w:val="001B64A4"/>
    <w:rsid w:val="001B6A5F"/>
    <w:rsid w:val="001B6D6D"/>
    <w:rsid w:val="001B6F07"/>
    <w:rsid w:val="001C1708"/>
    <w:rsid w:val="001C3700"/>
    <w:rsid w:val="001C3CF1"/>
    <w:rsid w:val="001C3D3D"/>
    <w:rsid w:val="001C468E"/>
    <w:rsid w:val="001C4774"/>
    <w:rsid w:val="001C5CB5"/>
    <w:rsid w:val="001C5EEE"/>
    <w:rsid w:val="001C6D3F"/>
    <w:rsid w:val="001C72E9"/>
    <w:rsid w:val="001D13B6"/>
    <w:rsid w:val="001D4045"/>
    <w:rsid w:val="001D45E0"/>
    <w:rsid w:val="001D49CA"/>
    <w:rsid w:val="001D4C8E"/>
    <w:rsid w:val="001D539A"/>
    <w:rsid w:val="001D5B8B"/>
    <w:rsid w:val="001D6141"/>
    <w:rsid w:val="001D6F98"/>
    <w:rsid w:val="001D7B63"/>
    <w:rsid w:val="001D7E82"/>
    <w:rsid w:val="001E080E"/>
    <w:rsid w:val="001E298E"/>
    <w:rsid w:val="001E29C9"/>
    <w:rsid w:val="001E2AC0"/>
    <w:rsid w:val="001E2EFC"/>
    <w:rsid w:val="001E552E"/>
    <w:rsid w:val="001E5D33"/>
    <w:rsid w:val="001E6982"/>
    <w:rsid w:val="001E6DE5"/>
    <w:rsid w:val="001E6EA7"/>
    <w:rsid w:val="001E7264"/>
    <w:rsid w:val="001F09F4"/>
    <w:rsid w:val="001F0C12"/>
    <w:rsid w:val="001F1464"/>
    <w:rsid w:val="001F498D"/>
    <w:rsid w:val="001F665F"/>
    <w:rsid w:val="001F691F"/>
    <w:rsid w:val="001F72EA"/>
    <w:rsid w:val="001F77AE"/>
    <w:rsid w:val="0020010E"/>
    <w:rsid w:val="002003A6"/>
    <w:rsid w:val="002006B4"/>
    <w:rsid w:val="0020148D"/>
    <w:rsid w:val="00201908"/>
    <w:rsid w:val="00202E86"/>
    <w:rsid w:val="0020323E"/>
    <w:rsid w:val="00203344"/>
    <w:rsid w:val="0020417A"/>
    <w:rsid w:val="00204CE5"/>
    <w:rsid w:val="002057B2"/>
    <w:rsid w:val="00205B36"/>
    <w:rsid w:val="00207AD5"/>
    <w:rsid w:val="00207B28"/>
    <w:rsid w:val="00207C45"/>
    <w:rsid w:val="00207C51"/>
    <w:rsid w:val="00207F5C"/>
    <w:rsid w:val="00210080"/>
    <w:rsid w:val="002102FC"/>
    <w:rsid w:val="002109DE"/>
    <w:rsid w:val="00211034"/>
    <w:rsid w:val="00211584"/>
    <w:rsid w:val="00211DEB"/>
    <w:rsid w:val="002139E1"/>
    <w:rsid w:val="00214E7F"/>
    <w:rsid w:val="00215221"/>
    <w:rsid w:val="002168AD"/>
    <w:rsid w:val="002179C1"/>
    <w:rsid w:val="002210A7"/>
    <w:rsid w:val="002219F9"/>
    <w:rsid w:val="00221CD1"/>
    <w:rsid w:val="00221E58"/>
    <w:rsid w:val="00223FC2"/>
    <w:rsid w:val="00224C9C"/>
    <w:rsid w:val="00224FE8"/>
    <w:rsid w:val="002260EE"/>
    <w:rsid w:val="002261D9"/>
    <w:rsid w:val="0022628D"/>
    <w:rsid w:val="002270A5"/>
    <w:rsid w:val="002321D4"/>
    <w:rsid w:val="002373CD"/>
    <w:rsid w:val="00237692"/>
    <w:rsid w:val="002402BB"/>
    <w:rsid w:val="00240C64"/>
    <w:rsid w:val="0024150F"/>
    <w:rsid w:val="00242F1D"/>
    <w:rsid w:val="002439A5"/>
    <w:rsid w:val="00243E20"/>
    <w:rsid w:val="00245415"/>
    <w:rsid w:val="00246B74"/>
    <w:rsid w:val="00247293"/>
    <w:rsid w:val="0024781A"/>
    <w:rsid w:val="00247E69"/>
    <w:rsid w:val="00250A96"/>
    <w:rsid w:val="00251BC5"/>
    <w:rsid w:val="00251C0B"/>
    <w:rsid w:val="0025559B"/>
    <w:rsid w:val="0025679D"/>
    <w:rsid w:val="002569DF"/>
    <w:rsid w:val="00256F58"/>
    <w:rsid w:val="00260211"/>
    <w:rsid w:val="00260520"/>
    <w:rsid w:val="0026062F"/>
    <w:rsid w:val="00261495"/>
    <w:rsid w:val="00261E8E"/>
    <w:rsid w:val="0026237F"/>
    <w:rsid w:val="00263708"/>
    <w:rsid w:val="00263C85"/>
    <w:rsid w:val="0026420B"/>
    <w:rsid w:val="002644B5"/>
    <w:rsid w:val="002648FA"/>
    <w:rsid w:val="00265670"/>
    <w:rsid w:val="00265848"/>
    <w:rsid w:val="00265CCD"/>
    <w:rsid w:val="00265FB7"/>
    <w:rsid w:val="00267D04"/>
    <w:rsid w:val="002707C9"/>
    <w:rsid w:val="00270B97"/>
    <w:rsid w:val="00270EB5"/>
    <w:rsid w:val="0027108A"/>
    <w:rsid w:val="00272E98"/>
    <w:rsid w:val="00272F18"/>
    <w:rsid w:val="00273526"/>
    <w:rsid w:val="00273A7B"/>
    <w:rsid w:val="00274891"/>
    <w:rsid w:val="00274BAD"/>
    <w:rsid w:val="00274E87"/>
    <w:rsid w:val="0027558B"/>
    <w:rsid w:val="00276496"/>
    <w:rsid w:val="002806FF"/>
    <w:rsid w:val="00280A6D"/>
    <w:rsid w:val="0028174B"/>
    <w:rsid w:val="0028270A"/>
    <w:rsid w:val="00282F9C"/>
    <w:rsid w:val="002832E8"/>
    <w:rsid w:val="002901D8"/>
    <w:rsid w:val="0029242F"/>
    <w:rsid w:val="00294BFF"/>
    <w:rsid w:val="00295B19"/>
    <w:rsid w:val="002960E7"/>
    <w:rsid w:val="00296112"/>
    <w:rsid w:val="002969C3"/>
    <w:rsid w:val="00296A0B"/>
    <w:rsid w:val="00297DA2"/>
    <w:rsid w:val="002A1096"/>
    <w:rsid w:val="002A10EC"/>
    <w:rsid w:val="002A1CB7"/>
    <w:rsid w:val="002A2067"/>
    <w:rsid w:val="002A3231"/>
    <w:rsid w:val="002A4B28"/>
    <w:rsid w:val="002A4D2F"/>
    <w:rsid w:val="002A56D1"/>
    <w:rsid w:val="002A5E97"/>
    <w:rsid w:val="002B0194"/>
    <w:rsid w:val="002B1A85"/>
    <w:rsid w:val="002B25FC"/>
    <w:rsid w:val="002C0CF0"/>
    <w:rsid w:val="002C0D6C"/>
    <w:rsid w:val="002C164A"/>
    <w:rsid w:val="002C24F1"/>
    <w:rsid w:val="002C2FF6"/>
    <w:rsid w:val="002C4D48"/>
    <w:rsid w:val="002C5763"/>
    <w:rsid w:val="002C5E2D"/>
    <w:rsid w:val="002C7171"/>
    <w:rsid w:val="002C7EE6"/>
    <w:rsid w:val="002D11A4"/>
    <w:rsid w:val="002D1455"/>
    <w:rsid w:val="002D1748"/>
    <w:rsid w:val="002D4137"/>
    <w:rsid w:val="002D4682"/>
    <w:rsid w:val="002D4AD5"/>
    <w:rsid w:val="002D518C"/>
    <w:rsid w:val="002D5AA2"/>
    <w:rsid w:val="002D5E54"/>
    <w:rsid w:val="002E0502"/>
    <w:rsid w:val="002E0B0E"/>
    <w:rsid w:val="002E0E5D"/>
    <w:rsid w:val="002E1082"/>
    <w:rsid w:val="002E126F"/>
    <w:rsid w:val="002E1390"/>
    <w:rsid w:val="002E14E4"/>
    <w:rsid w:val="002E151E"/>
    <w:rsid w:val="002E29ED"/>
    <w:rsid w:val="002E2CD7"/>
    <w:rsid w:val="002E2F4F"/>
    <w:rsid w:val="002E3A04"/>
    <w:rsid w:val="002E42C7"/>
    <w:rsid w:val="002E4BB0"/>
    <w:rsid w:val="002E64DA"/>
    <w:rsid w:val="002E6532"/>
    <w:rsid w:val="002F17BA"/>
    <w:rsid w:val="002F38A3"/>
    <w:rsid w:val="002F4467"/>
    <w:rsid w:val="002F5FFC"/>
    <w:rsid w:val="002F6154"/>
    <w:rsid w:val="002F6B4F"/>
    <w:rsid w:val="002F7430"/>
    <w:rsid w:val="002F7498"/>
    <w:rsid w:val="002F7563"/>
    <w:rsid w:val="00301491"/>
    <w:rsid w:val="00301571"/>
    <w:rsid w:val="00302F0C"/>
    <w:rsid w:val="0030336E"/>
    <w:rsid w:val="00303A18"/>
    <w:rsid w:val="00304EBF"/>
    <w:rsid w:val="003079B4"/>
    <w:rsid w:val="00310038"/>
    <w:rsid w:val="00311083"/>
    <w:rsid w:val="00311E8F"/>
    <w:rsid w:val="00312827"/>
    <w:rsid w:val="0031368C"/>
    <w:rsid w:val="003137A0"/>
    <w:rsid w:val="003158B1"/>
    <w:rsid w:val="00315A37"/>
    <w:rsid w:val="00315F7E"/>
    <w:rsid w:val="00316A4B"/>
    <w:rsid w:val="003170E5"/>
    <w:rsid w:val="003170EA"/>
    <w:rsid w:val="003177EF"/>
    <w:rsid w:val="00320E6A"/>
    <w:rsid w:val="00320F56"/>
    <w:rsid w:val="003232D0"/>
    <w:rsid w:val="00324D38"/>
    <w:rsid w:val="00325F1C"/>
    <w:rsid w:val="003310ED"/>
    <w:rsid w:val="00333CF8"/>
    <w:rsid w:val="0033553B"/>
    <w:rsid w:val="00336847"/>
    <w:rsid w:val="0034097D"/>
    <w:rsid w:val="00340E2E"/>
    <w:rsid w:val="003411F8"/>
    <w:rsid w:val="003415C5"/>
    <w:rsid w:val="00342469"/>
    <w:rsid w:val="003424AD"/>
    <w:rsid w:val="00344C1D"/>
    <w:rsid w:val="00347113"/>
    <w:rsid w:val="0035047A"/>
    <w:rsid w:val="003519A5"/>
    <w:rsid w:val="00353264"/>
    <w:rsid w:val="00353461"/>
    <w:rsid w:val="00353F28"/>
    <w:rsid w:val="00354152"/>
    <w:rsid w:val="00357AD2"/>
    <w:rsid w:val="00360991"/>
    <w:rsid w:val="003612A3"/>
    <w:rsid w:val="00361A3B"/>
    <w:rsid w:val="00361C0F"/>
    <w:rsid w:val="003628E6"/>
    <w:rsid w:val="00363D81"/>
    <w:rsid w:val="00364A94"/>
    <w:rsid w:val="00365C3C"/>
    <w:rsid w:val="003665D0"/>
    <w:rsid w:val="00366CB8"/>
    <w:rsid w:val="00367674"/>
    <w:rsid w:val="00370041"/>
    <w:rsid w:val="00370DC2"/>
    <w:rsid w:val="00371C22"/>
    <w:rsid w:val="00373448"/>
    <w:rsid w:val="0037346D"/>
    <w:rsid w:val="003734FD"/>
    <w:rsid w:val="0037370D"/>
    <w:rsid w:val="003740B5"/>
    <w:rsid w:val="0037622C"/>
    <w:rsid w:val="00376ACA"/>
    <w:rsid w:val="00377C5F"/>
    <w:rsid w:val="00380481"/>
    <w:rsid w:val="003807B2"/>
    <w:rsid w:val="00380FB8"/>
    <w:rsid w:val="00381FA3"/>
    <w:rsid w:val="00382574"/>
    <w:rsid w:val="0038359D"/>
    <w:rsid w:val="003850A7"/>
    <w:rsid w:val="003852DF"/>
    <w:rsid w:val="003879A6"/>
    <w:rsid w:val="00390421"/>
    <w:rsid w:val="00392B40"/>
    <w:rsid w:val="00395233"/>
    <w:rsid w:val="0039666C"/>
    <w:rsid w:val="003967C8"/>
    <w:rsid w:val="00396E53"/>
    <w:rsid w:val="00396EB0"/>
    <w:rsid w:val="003972FB"/>
    <w:rsid w:val="003A0791"/>
    <w:rsid w:val="003A235B"/>
    <w:rsid w:val="003A2799"/>
    <w:rsid w:val="003A2B1B"/>
    <w:rsid w:val="003A31A3"/>
    <w:rsid w:val="003A59CC"/>
    <w:rsid w:val="003A5BDE"/>
    <w:rsid w:val="003A6583"/>
    <w:rsid w:val="003A6686"/>
    <w:rsid w:val="003A6801"/>
    <w:rsid w:val="003B055B"/>
    <w:rsid w:val="003B31F2"/>
    <w:rsid w:val="003B48F2"/>
    <w:rsid w:val="003B7D11"/>
    <w:rsid w:val="003C0714"/>
    <w:rsid w:val="003C1A3A"/>
    <w:rsid w:val="003C305C"/>
    <w:rsid w:val="003C4139"/>
    <w:rsid w:val="003C4147"/>
    <w:rsid w:val="003C4CD1"/>
    <w:rsid w:val="003C56D5"/>
    <w:rsid w:val="003C5B5C"/>
    <w:rsid w:val="003D3122"/>
    <w:rsid w:val="003D368A"/>
    <w:rsid w:val="003D45A0"/>
    <w:rsid w:val="003D4C38"/>
    <w:rsid w:val="003D50BC"/>
    <w:rsid w:val="003D547B"/>
    <w:rsid w:val="003D6491"/>
    <w:rsid w:val="003D7460"/>
    <w:rsid w:val="003D7DF5"/>
    <w:rsid w:val="003D7F68"/>
    <w:rsid w:val="003E053E"/>
    <w:rsid w:val="003E1E0F"/>
    <w:rsid w:val="003E4E49"/>
    <w:rsid w:val="003E6575"/>
    <w:rsid w:val="003E6607"/>
    <w:rsid w:val="003E6E9D"/>
    <w:rsid w:val="003E703B"/>
    <w:rsid w:val="003E7C67"/>
    <w:rsid w:val="003F09CD"/>
    <w:rsid w:val="003F2D02"/>
    <w:rsid w:val="003F3BBB"/>
    <w:rsid w:val="003F3E00"/>
    <w:rsid w:val="003F4218"/>
    <w:rsid w:val="003F4BFD"/>
    <w:rsid w:val="003F5EC0"/>
    <w:rsid w:val="003F60CC"/>
    <w:rsid w:val="00400CE0"/>
    <w:rsid w:val="00400D1A"/>
    <w:rsid w:val="004029D4"/>
    <w:rsid w:val="00405429"/>
    <w:rsid w:val="00405B35"/>
    <w:rsid w:val="004064E4"/>
    <w:rsid w:val="00406602"/>
    <w:rsid w:val="00406645"/>
    <w:rsid w:val="00410130"/>
    <w:rsid w:val="004102C1"/>
    <w:rsid w:val="004118B7"/>
    <w:rsid w:val="00411A40"/>
    <w:rsid w:val="00412FCB"/>
    <w:rsid w:val="00413934"/>
    <w:rsid w:val="00414978"/>
    <w:rsid w:val="00415562"/>
    <w:rsid w:val="0041665B"/>
    <w:rsid w:val="004166BE"/>
    <w:rsid w:val="004203C5"/>
    <w:rsid w:val="00423C60"/>
    <w:rsid w:val="00424783"/>
    <w:rsid w:val="00424DCC"/>
    <w:rsid w:val="00425312"/>
    <w:rsid w:val="00425BD7"/>
    <w:rsid w:val="00425FDB"/>
    <w:rsid w:val="00426023"/>
    <w:rsid w:val="00426142"/>
    <w:rsid w:val="004261DD"/>
    <w:rsid w:val="004275CA"/>
    <w:rsid w:val="00430515"/>
    <w:rsid w:val="00431A02"/>
    <w:rsid w:val="00432195"/>
    <w:rsid w:val="004328A5"/>
    <w:rsid w:val="00433BC6"/>
    <w:rsid w:val="00433DC8"/>
    <w:rsid w:val="00433DE7"/>
    <w:rsid w:val="00436A2D"/>
    <w:rsid w:val="00437B1A"/>
    <w:rsid w:val="00437FB5"/>
    <w:rsid w:val="004407A8"/>
    <w:rsid w:val="00440A9B"/>
    <w:rsid w:val="00440F85"/>
    <w:rsid w:val="004413F9"/>
    <w:rsid w:val="0044143E"/>
    <w:rsid w:val="004414EE"/>
    <w:rsid w:val="00441B2C"/>
    <w:rsid w:val="00443A4C"/>
    <w:rsid w:val="004441BE"/>
    <w:rsid w:val="004467E3"/>
    <w:rsid w:val="00446AFE"/>
    <w:rsid w:val="0044799B"/>
    <w:rsid w:val="00447C51"/>
    <w:rsid w:val="00447C84"/>
    <w:rsid w:val="00451532"/>
    <w:rsid w:val="00454D4C"/>
    <w:rsid w:val="00455BFE"/>
    <w:rsid w:val="00457249"/>
    <w:rsid w:val="00457B43"/>
    <w:rsid w:val="00461070"/>
    <w:rsid w:val="00461283"/>
    <w:rsid w:val="00462A05"/>
    <w:rsid w:val="004630F2"/>
    <w:rsid w:val="00463789"/>
    <w:rsid w:val="00463A36"/>
    <w:rsid w:val="00463F87"/>
    <w:rsid w:val="004640E0"/>
    <w:rsid w:val="0046446C"/>
    <w:rsid w:val="004646EC"/>
    <w:rsid w:val="00465DE0"/>
    <w:rsid w:val="004669EE"/>
    <w:rsid w:val="00466DE6"/>
    <w:rsid w:val="0047112C"/>
    <w:rsid w:val="0047325F"/>
    <w:rsid w:val="00476E5A"/>
    <w:rsid w:val="00476E77"/>
    <w:rsid w:val="00476FB3"/>
    <w:rsid w:val="00477466"/>
    <w:rsid w:val="0047795C"/>
    <w:rsid w:val="00480E72"/>
    <w:rsid w:val="0048107C"/>
    <w:rsid w:val="0048439F"/>
    <w:rsid w:val="0048640F"/>
    <w:rsid w:val="00486A9A"/>
    <w:rsid w:val="00486E65"/>
    <w:rsid w:val="00487B42"/>
    <w:rsid w:val="004901E9"/>
    <w:rsid w:val="00490F5D"/>
    <w:rsid w:val="004911E1"/>
    <w:rsid w:val="00491C03"/>
    <w:rsid w:val="00492717"/>
    <w:rsid w:val="00494323"/>
    <w:rsid w:val="0049475A"/>
    <w:rsid w:val="00495E2C"/>
    <w:rsid w:val="004966A7"/>
    <w:rsid w:val="00497267"/>
    <w:rsid w:val="00497470"/>
    <w:rsid w:val="004A0C01"/>
    <w:rsid w:val="004A1D20"/>
    <w:rsid w:val="004A2A08"/>
    <w:rsid w:val="004A4E7C"/>
    <w:rsid w:val="004A584E"/>
    <w:rsid w:val="004A7455"/>
    <w:rsid w:val="004B107F"/>
    <w:rsid w:val="004B1119"/>
    <w:rsid w:val="004B2DC8"/>
    <w:rsid w:val="004B31C8"/>
    <w:rsid w:val="004B616A"/>
    <w:rsid w:val="004B653A"/>
    <w:rsid w:val="004B6BBC"/>
    <w:rsid w:val="004B700A"/>
    <w:rsid w:val="004C0816"/>
    <w:rsid w:val="004C119F"/>
    <w:rsid w:val="004C181B"/>
    <w:rsid w:val="004C3077"/>
    <w:rsid w:val="004C31BA"/>
    <w:rsid w:val="004C33CF"/>
    <w:rsid w:val="004C4BFA"/>
    <w:rsid w:val="004C57A8"/>
    <w:rsid w:val="004C5ADD"/>
    <w:rsid w:val="004C5CEA"/>
    <w:rsid w:val="004C66E8"/>
    <w:rsid w:val="004C6BBC"/>
    <w:rsid w:val="004C785A"/>
    <w:rsid w:val="004D06C3"/>
    <w:rsid w:val="004D0785"/>
    <w:rsid w:val="004D0918"/>
    <w:rsid w:val="004D096F"/>
    <w:rsid w:val="004D09FD"/>
    <w:rsid w:val="004D0B74"/>
    <w:rsid w:val="004D1344"/>
    <w:rsid w:val="004D1CD7"/>
    <w:rsid w:val="004D3791"/>
    <w:rsid w:val="004D39E7"/>
    <w:rsid w:val="004D459F"/>
    <w:rsid w:val="004D6BFE"/>
    <w:rsid w:val="004E031E"/>
    <w:rsid w:val="004E10BA"/>
    <w:rsid w:val="004E155D"/>
    <w:rsid w:val="004E2ED4"/>
    <w:rsid w:val="004E3CC9"/>
    <w:rsid w:val="004E3FEA"/>
    <w:rsid w:val="004E4310"/>
    <w:rsid w:val="004E477E"/>
    <w:rsid w:val="004E6E76"/>
    <w:rsid w:val="004E781D"/>
    <w:rsid w:val="004F110F"/>
    <w:rsid w:val="004F1626"/>
    <w:rsid w:val="004F1C20"/>
    <w:rsid w:val="004F4230"/>
    <w:rsid w:val="004F44DF"/>
    <w:rsid w:val="004F4735"/>
    <w:rsid w:val="004F4934"/>
    <w:rsid w:val="004F49B6"/>
    <w:rsid w:val="004F4AE6"/>
    <w:rsid w:val="004F4CB0"/>
    <w:rsid w:val="004F599B"/>
    <w:rsid w:val="004F5BAD"/>
    <w:rsid w:val="004F6C5D"/>
    <w:rsid w:val="004F7E56"/>
    <w:rsid w:val="0050187B"/>
    <w:rsid w:val="00502423"/>
    <w:rsid w:val="0050257B"/>
    <w:rsid w:val="005028F7"/>
    <w:rsid w:val="0050618A"/>
    <w:rsid w:val="005062F9"/>
    <w:rsid w:val="00506D58"/>
    <w:rsid w:val="00507065"/>
    <w:rsid w:val="0050708E"/>
    <w:rsid w:val="005079DC"/>
    <w:rsid w:val="00507A98"/>
    <w:rsid w:val="00507F0F"/>
    <w:rsid w:val="00512698"/>
    <w:rsid w:val="00512E35"/>
    <w:rsid w:val="005168C4"/>
    <w:rsid w:val="005170C3"/>
    <w:rsid w:val="0052172D"/>
    <w:rsid w:val="005220FB"/>
    <w:rsid w:val="005233F5"/>
    <w:rsid w:val="005248AB"/>
    <w:rsid w:val="00527DC6"/>
    <w:rsid w:val="0053223A"/>
    <w:rsid w:val="00532703"/>
    <w:rsid w:val="0053426B"/>
    <w:rsid w:val="005342B1"/>
    <w:rsid w:val="00534654"/>
    <w:rsid w:val="00535343"/>
    <w:rsid w:val="005367FD"/>
    <w:rsid w:val="005369DE"/>
    <w:rsid w:val="00540001"/>
    <w:rsid w:val="005400B7"/>
    <w:rsid w:val="00540BEE"/>
    <w:rsid w:val="00541427"/>
    <w:rsid w:val="005420AB"/>
    <w:rsid w:val="0054230B"/>
    <w:rsid w:val="00543589"/>
    <w:rsid w:val="00543838"/>
    <w:rsid w:val="00543B87"/>
    <w:rsid w:val="00544BC2"/>
    <w:rsid w:val="00545133"/>
    <w:rsid w:val="00545274"/>
    <w:rsid w:val="005453F9"/>
    <w:rsid w:val="00545D8B"/>
    <w:rsid w:val="0054649C"/>
    <w:rsid w:val="00546D51"/>
    <w:rsid w:val="0054781A"/>
    <w:rsid w:val="00552EA5"/>
    <w:rsid w:val="00553B02"/>
    <w:rsid w:val="00555134"/>
    <w:rsid w:val="005557F0"/>
    <w:rsid w:val="00560CE5"/>
    <w:rsid w:val="00561BA3"/>
    <w:rsid w:val="005627A7"/>
    <w:rsid w:val="0056329A"/>
    <w:rsid w:val="00563F84"/>
    <w:rsid w:val="005644FA"/>
    <w:rsid w:val="00565781"/>
    <w:rsid w:val="005659CE"/>
    <w:rsid w:val="005660DF"/>
    <w:rsid w:val="005663DE"/>
    <w:rsid w:val="00567DD4"/>
    <w:rsid w:val="00567F16"/>
    <w:rsid w:val="005724A8"/>
    <w:rsid w:val="00574034"/>
    <w:rsid w:val="00575853"/>
    <w:rsid w:val="00575BF5"/>
    <w:rsid w:val="005769E2"/>
    <w:rsid w:val="005808CA"/>
    <w:rsid w:val="00580F3D"/>
    <w:rsid w:val="00582B84"/>
    <w:rsid w:val="00584039"/>
    <w:rsid w:val="00586D10"/>
    <w:rsid w:val="005905A4"/>
    <w:rsid w:val="0059093B"/>
    <w:rsid w:val="005915BF"/>
    <w:rsid w:val="005919E3"/>
    <w:rsid w:val="005923AB"/>
    <w:rsid w:val="00592753"/>
    <w:rsid w:val="00592A89"/>
    <w:rsid w:val="00594773"/>
    <w:rsid w:val="00595889"/>
    <w:rsid w:val="00595992"/>
    <w:rsid w:val="005A0DB0"/>
    <w:rsid w:val="005A227E"/>
    <w:rsid w:val="005A2AC4"/>
    <w:rsid w:val="005A2CC8"/>
    <w:rsid w:val="005A349E"/>
    <w:rsid w:val="005A4537"/>
    <w:rsid w:val="005A6161"/>
    <w:rsid w:val="005A685F"/>
    <w:rsid w:val="005A70E6"/>
    <w:rsid w:val="005A7402"/>
    <w:rsid w:val="005B0379"/>
    <w:rsid w:val="005B06E7"/>
    <w:rsid w:val="005B0BBA"/>
    <w:rsid w:val="005B11F9"/>
    <w:rsid w:val="005B16CC"/>
    <w:rsid w:val="005B17A3"/>
    <w:rsid w:val="005B1AA1"/>
    <w:rsid w:val="005B1D53"/>
    <w:rsid w:val="005B259E"/>
    <w:rsid w:val="005B27F2"/>
    <w:rsid w:val="005B3018"/>
    <w:rsid w:val="005B3600"/>
    <w:rsid w:val="005B367F"/>
    <w:rsid w:val="005B4235"/>
    <w:rsid w:val="005B4568"/>
    <w:rsid w:val="005B4BFB"/>
    <w:rsid w:val="005B6859"/>
    <w:rsid w:val="005B7081"/>
    <w:rsid w:val="005C2151"/>
    <w:rsid w:val="005C436C"/>
    <w:rsid w:val="005C4415"/>
    <w:rsid w:val="005C4E32"/>
    <w:rsid w:val="005C58F5"/>
    <w:rsid w:val="005C614C"/>
    <w:rsid w:val="005C62B4"/>
    <w:rsid w:val="005C6C58"/>
    <w:rsid w:val="005D0CD3"/>
    <w:rsid w:val="005D1E6B"/>
    <w:rsid w:val="005D2297"/>
    <w:rsid w:val="005D30F2"/>
    <w:rsid w:val="005D3B5A"/>
    <w:rsid w:val="005D4476"/>
    <w:rsid w:val="005D4D71"/>
    <w:rsid w:val="005D579D"/>
    <w:rsid w:val="005D6B9A"/>
    <w:rsid w:val="005E1E1E"/>
    <w:rsid w:val="005E3267"/>
    <w:rsid w:val="005E3C7C"/>
    <w:rsid w:val="005E5342"/>
    <w:rsid w:val="005E53B6"/>
    <w:rsid w:val="005E55CC"/>
    <w:rsid w:val="005E68DB"/>
    <w:rsid w:val="005E73AB"/>
    <w:rsid w:val="005F1906"/>
    <w:rsid w:val="005F21A7"/>
    <w:rsid w:val="005F2815"/>
    <w:rsid w:val="005F488D"/>
    <w:rsid w:val="005F4D2D"/>
    <w:rsid w:val="005F5A99"/>
    <w:rsid w:val="005F6729"/>
    <w:rsid w:val="00600418"/>
    <w:rsid w:val="00600A37"/>
    <w:rsid w:val="0060148C"/>
    <w:rsid w:val="00604686"/>
    <w:rsid w:val="00604A3A"/>
    <w:rsid w:val="00605DBD"/>
    <w:rsid w:val="0060648D"/>
    <w:rsid w:val="0060754E"/>
    <w:rsid w:val="006077DA"/>
    <w:rsid w:val="00607A81"/>
    <w:rsid w:val="006111A9"/>
    <w:rsid w:val="00611ADD"/>
    <w:rsid w:val="00612205"/>
    <w:rsid w:val="00613489"/>
    <w:rsid w:val="00615F9F"/>
    <w:rsid w:val="00616368"/>
    <w:rsid w:val="0061704B"/>
    <w:rsid w:val="006178A2"/>
    <w:rsid w:val="0062106D"/>
    <w:rsid w:val="0062289E"/>
    <w:rsid w:val="006236BD"/>
    <w:rsid w:val="006236CE"/>
    <w:rsid w:val="006237C4"/>
    <w:rsid w:val="00624F34"/>
    <w:rsid w:val="0062664C"/>
    <w:rsid w:val="006266C0"/>
    <w:rsid w:val="00626CDD"/>
    <w:rsid w:val="00635041"/>
    <w:rsid w:val="00635A72"/>
    <w:rsid w:val="0063764E"/>
    <w:rsid w:val="00641940"/>
    <w:rsid w:val="0064323B"/>
    <w:rsid w:val="0064355B"/>
    <w:rsid w:val="00643BA7"/>
    <w:rsid w:val="00644044"/>
    <w:rsid w:val="006477CE"/>
    <w:rsid w:val="0064787F"/>
    <w:rsid w:val="00651633"/>
    <w:rsid w:val="00651C99"/>
    <w:rsid w:val="00652712"/>
    <w:rsid w:val="006533BD"/>
    <w:rsid w:val="006539C1"/>
    <w:rsid w:val="00654CAD"/>
    <w:rsid w:val="00655701"/>
    <w:rsid w:val="00655706"/>
    <w:rsid w:val="006558B5"/>
    <w:rsid w:val="00655957"/>
    <w:rsid w:val="00657516"/>
    <w:rsid w:val="00661956"/>
    <w:rsid w:val="006626AF"/>
    <w:rsid w:val="00662F1A"/>
    <w:rsid w:val="006643AC"/>
    <w:rsid w:val="00665584"/>
    <w:rsid w:val="00665BB7"/>
    <w:rsid w:val="00671572"/>
    <w:rsid w:val="00671BE3"/>
    <w:rsid w:val="00671F2C"/>
    <w:rsid w:val="00672118"/>
    <w:rsid w:val="006728EB"/>
    <w:rsid w:val="006750EE"/>
    <w:rsid w:val="00675253"/>
    <w:rsid w:val="006754DF"/>
    <w:rsid w:val="006757D0"/>
    <w:rsid w:val="00675B07"/>
    <w:rsid w:val="00680162"/>
    <w:rsid w:val="0068088F"/>
    <w:rsid w:val="0068136D"/>
    <w:rsid w:val="00681647"/>
    <w:rsid w:val="0068553C"/>
    <w:rsid w:val="006856DF"/>
    <w:rsid w:val="00685E19"/>
    <w:rsid w:val="00685E47"/>
    <w:rsid w:val="006877DC"/>
    <w:rsid w:val="00690482"/>
    <w:rsid w:val="00690EF3"/>
    <w:rsid w:val="00691300"/>
    <w:rsid w:val="00691400"/>
    <w:rsid w:val="00692097"/>
    <w:rsid w:val="00692E63"/>
    <w:rsid w:val="0069449B"/>
    <w:rsid w:val="00694E9F"/>
    <w:rsid w:val="00696254"/>
    <w:rsid w:val="0069668F"/>
    <w:rsid w:val="00697774"/>
    <w:rsid w:val="006A0984"/>
    <w:rsid w:val="006A1658"/>
    <w:rsid w:val="006A1AC6"/>
    <w:rsid w:val="006A2456"/>
    <w:rsid w:val="006A27AB"/>
    <w:rsid w:val="006A29D9"/>
    <w:rsid w:val="006A345F"/>
    <w:rsid w:val="006A371A"/>
    <w:rsid w:val="006A5D77"/>
    <w:rsid w:val="006A6CD9"/>
    <w:rsid w:val="006A6EFC"/>
    <w:rsid w:val="006A7118"/>
    <w:rsid w:val="006A7548"/>
    <w:rsid w:val="006A781F"/>
    <w:rsid w:val="006A7CD0"/>
    <w:rsid w:val="006B0B19"/>
    <w:rsid w:val="006B1428"/>
    <w:rsid w:val="006B1A93"/>
    <w:rsid w:val="006B21E0"/>
    <w:rsid w:val="006B28E2"/>
    <w:rsid w:val="006B2F0A"/>
    <w:rsid w:val="006B4433"/>
    <w:rsid w:val="006B5A53"/>
    <w:rsid w:val="006B5C0F"/>
    <w:rsid w:val="006B5C75"/>
    <w:rsid w:val="006C3338"/>
    <w:rsid w:val="006C486B"/>
    <w:rsid w:val="006C5315"/>
    <w:rsid w:val="006C5862"/>
    <w:rsid w:val="006C65D2"/>
    <w:rsid w:val="006C6725"/>
    <w:rsid w:val="006C6A2B"/>
    <w:rsid w:val="006C6ACC"/>
    <w:rsid w:val="006C7784"/>
    <w:rsid w:val="006C7A6E"/>
    <w:rsid w:val="006D1BEE"/>
    <w:rsid w:val="006D1F74"/>
    <w:rsid w:val="006D24EB"/>
    <w:rsid w:val="006D25AC"/>
    <w:rsid w:val="006D27A1"/>
    <w:rsid w:val="006D4565"/>
    <w:rsid w:val="006D4D72"/>
    <w:rsid w:val="006D4F02"/>
    <w:rsid w:val="006D4F8E"/>
    <w:rsid w:val="006D54D9"/>
    <w:rsid w:val="006D55F5"/>
    <w:rsid w:val="006D61F2"/>
    <w:rsid w:val="006D7857"/>
    <w:rsid w:val="006E223A"/>
    <w:rsid w:val="006E2D40"/>
    <w:rsid w:val="006E3621"/>
    <w:rsid w:val="006E4FE3"/>
    <w:rsid w:val="006E51C1"/>
    <w:rsid w:val="006E5257"/>
    <w:rsid w:val="006E6ACB"/>
    <w:rsid w:val="006E781F"/>
    <w:rsid w:val="006F288B"/>
    <w:rsid w:val="006F2C21"/>
    <w:rsid w:val="006F3D25"/>
    <w:rsid w:val="006F4985"/>
    <w:rsid w:val="006F59A0"/>
    <w:rsid w:val="006F6BD4"/>
    <w:rsid w:val="006F6D21"/>
    <w:rsid w:val="006F7B2E"/>
    <w:rsid w:val="007000C5"/>
    <w:rsid w:val="00700574"/>
    <w:rsid w:val="007007D1"/>
    <w:rsid w:val="00701236"/>
    <w:rsid w:val="0070240D"/>
    <w:rsid w:val="007034D8"/>
    <w:rsid w:val="00703687"/>
    <w:rsid w:val="00705322"/>
    <w:rsid w:val="00707A65"/>
    <w:rsid w:val="00710184"/>
    <w:rsid w:val="00710CBE"/>
    <w:rsid w:val="00711165"/>
    <w:rsid w:val="00711E65"/>
    <w:rsid w:val="0071277B"/>
    <w:rsid w:val="00716039"/>
    <w:rsid w:val="0071626B"/>
    <w:rsid w:val="00716A51"/>
    <w:rsid w:val="00716B28"/>
    <w:rsid w:val="00716FF7"/>
    <w:rsid w:val="0072105D"/>
    <w:rsid w:val="007269CC"/>
    <w:rsid w:val="00726E2C"/>
    <w:rsid w:val="00727D1B"/>
    <w:rsid w:val="00727DEA"/>
    <w:rsid w:val="00730F1E"/>
    <w:rsid w:val="007317A7"/>
    <w:rsid w:val="00733700"/>
    <w:rsid w:val="007338C8"/>
    <w:rsid w:val="007341AC"/>
    <w:rsid w:val="007343ED"/>
    <w:rsid w:val="00734559"/>
    <w:rsid w:val="0073480C"/>
    <w:rsid w:val="00735E96"/>
    <w:rsid w:val="00736427"/>
    <w:rsid w:val="007371E2"/>
    <w:rsid w:val="00741F56"/>
    <w:rsid w:val="00743577"/>
    <w:rsid w:val="007449FE"/>
    <w:rsid w:val="00745382"/>
    <w:rsid w:val="00745827"/>
    <w:rsid w:val="00747454"/>
    <w:rsid w:val="00747704"/>
    <w:rsid w:val="0075029D"/>
    <w:rsid w:val="007503D3"/>
    <w:rsid w:val="0075096F"/>
    <w:rsid w:val="00750A74"/>
    <w:rsid w:val="00750B01"/>
    <w:rsid w:val="007511B9"/>
    <w:rsid w:val="0075261A"/>
    <w:rsid w:val="00752625"/>
    <w:rsid w:val="00753DB6"/>
    <w:rsid w:val="00755614"/>
    <w:rsid w:val="00757CAF"/>
    <w:rsid w:val="007612E5"/>
    <w:rsid w:val="00761A46"/>
    <w:rsid w:val="007622D9"/>
    <w:rsid w:val="0076283B"/>
    <w:rsid w:val="0076289E"/>
    <w:rsid w:val="00763694"/>
    <w:rsid w:val="00763FB0"/>
    <w:rsid w:val="0076484B"/>
    <w:rsid w:val="00764F1E"/>
    <w:rsid w:val="0076516C"/>
    <w:rsid w:val="00766001"/>
    <w:rsid w:val="0076670B"/>
    <w:rsid w:val="007672D1"/>
    <w:rsid w:val="00767D20"/>
    <w:rsid w:val="00770236"/>
    <w:rsid w:val="00771DA8"/>
    <w:rsid w:val="00771F3E"/>
    <w:rsid w:val="007723BD"/>
    <w:rsid w:val="00772CBE"/>
    <w:rsid w:val="00773B49"/>
    <w:rsid w:val="00774FE4"/>
    <w:rsid w:val="00775B3F"/>
    <w:rsid w:val="00776D32"/>
    <w:rsid w:val="00776F73"/>
    <w:rsid w:val="00777215"/>
    <w:rsid w:val="00777BA3"/>
    <w:rsid w:val="0078074F"/>
    <w:rsid w:val="0078111B"/>
    <w:rsid w:val="00781399"/>
    <w:rsid w:val="00781464"/>
    <w:rsid w:val="00782223"/>
    <w:rsid w:val="00782E3F"/>
    <w:rsid w:val="00783369"/>
    <w:rsid w:val="00783C12"/>
    <w:rsid w:val="007842C8"/>
    <w:rsid w:val="00785517"/>
    <w:rsid w:val="00785E15"/>
    <w:rsid w:val="00785F8F"/>
    <w:rsid w:val="0078602D"/>
    <w:rsid w:val="007868DC"/>
    <w:rsid w:val="0078694A"/>
    <w:rsid w:val="00787F57"/>
    <w:rsid w:val="007906B0"/>
    <w:rsid w:val="00795184"/>
    <w:rsid w:val="0079542C"/>
    <w:rsid w:val="007958B4"/>
    <w:rsid w:val="00795BBC"/>
    <w:rsid w:val="00795CA6"/>
    <w:rsid w:val="00795EED"/>
    <w:rsid w:val="00795F6B"/>
    <w:rsid w:val="00796C34"/>
    <w:rsid w:val="007A00DC"/>
    <w:rsid w:val="007A1F86"/>
    <w:rsid w:val="007A250A"/>
    <w:rsid w:val="007A2854"/>
    <w:rsid w:val="007A41B1"/>
    <w:rsid w:val="007A4843"/>
    <w:rsid w:val="007A49A0"/>
    <w:rsid w:val="007A64CF"/>
    <w:rsid w:val="007A7D86"/>
    <w:rsid w:val="007B165C"/>
    <w:rsid w:val="007B31E6"/>
    <w:rsid w:val="007B5AC0"/>
    <w:rsid w:val="007B6118"/>
    <w:rsid w:val="007B732D"/>
    <w:rsid w:val="007C1FC4"/>
    <w:rsid w:val="007C3F38"/>
    <w:rsid w:val="007C4EBB"/>
    <w:rsid w:val="007C5040"/>
    <w:rsid w:val="007C5C26"/>
    <w:rsid w:val="007C665E"/>
    <w:rsid w:val="007C6943"/>
    <w:rsid w:val="007C74FA"/>
    <w:rsid w:val="007D0186"/>
    <w:rsid w:val="007D163E"/>
    <w:rsid w:val="007D1ECB"/>
    <w:rsid w:val="007D2ECE"/>
    <w:rsid w:val="007D368B"/>
    <w:rsid w:val="007D505F"/>
    <w:rsid w:val="007D54C5"/>
    <w:rsid w:val="007D6A12"/>
    <w:rsid w:val="007D7505"/>
    <w:rsid w:val="007E01D3"/>
    <w:rsid w:val="007E04DF"/>
    <w:rsid w:val="007E0655"/>
    <w:rsid w:val="007E0E81"/>
    <w:rsid w:val="007E35F9"/>
    <w:rsid w:val="007E36B2"/>
    <w:rsid w:val="007E4023"/>
    <w:rsid w:val="007F125C"/>
    <w:rsid w:val="007F14AB"/>
    <w:rsid w:val="007F2FF5"/>
    <w:rsid w:val="007F37BD"/>
    <w:rsid w:val="007F4EDC"/>
    <w:rsid w:val="007F74F6"/>
    <w:rsid w:val="00801A5F"/>
    <w:rsid w:val="00802649"/>
    <w:rsid w:val="008038AD"/>
    <w:rsid w:val="00804F70"/>
    <w:rsid w:val="00805351"/>
    <w:rsid w:val="008059B3"/>
    <w:rsid w:val="008059BB"/>
    <w:rsid w:val="008060B4"/>
    <w:rsid w:val="0081101D"/>
    <w:rsid w:val="00811B21"/>
    <w:rsid w:val="00811E68"/>
    <w:rsid w:val="0081316E"/>
    <w:rsid w:val="0081323E"/>
    <w:rsid w:val="00813435"/>
    <w:rsid w:val="008134FF"/>
    <w:rsid w:val="00813D68"/>
    <w:rsid w:val="008141B7"/>
    <w:rsid w:val="0081534F"/>
    <w:rsid w:val="00815512"/>
    <w:rsid w:val="00815BED"/>
    <w:rsid w:val="00815EF2"/>
    <w:rsid w:val="008160D0"/>
    <w:rsid w:val="0081681C"/>
    <w:rsid w:val="00816BAB"/>
    <w:rsid w:val="008174A1"/>
    <w:rsid w:val="00817729"/>
    <w:rsid w:val="00820CB4"/>
    <w:rsid w:val="00822AF9"/>
    <w:rsid w:val="00823894"/>
    <w:rsid w:val="00823BF9"/>
    <w:rsid w:val="00825116"/>
    <w:rsid w:val="00826D42"/>
    <w:rsid w:val="00827387"/>
    <w:rsid w:val="00827990"/>
    <w:rsid w:val="00830348"/>
    <w:rsid w:val="00830A85"/>
    <w:rsid w:val="00830CBD"/>
    <w:rsid w:val="008326DF"/>
    <w:rsid w:val="0083346C"/>
    <w:rsid w:val="008337AC"/>
    <w:rsid w:val="00834E4A"/>
    <w:rsid w:val="0083575C"/>
    <w:rsid w:val="008370F6"/>
    <w:rsid w:val="00840655"/>
    <w:rsid w:val="00843332"/>
    <w:rsid w:val="00843DD5"/>
    <w:rsid w:val="008441B3"/>
    <w:rsid w:val="00844F62"/>
    <w:rsid w:val="00845224"/>
    <w:rsid w:val="00845B00"/>
    <w:rsid w:val="00845DE1"/>
    <w:rsid w:val="008463F9"/>
    <w:rsid w:val="00847697"/>
    <w:rsid w:val="00847938"/>
    <w:rsid w:val="00851488"/>
    <w:rsid w:val="008527D5"/>
    <w:rsid w:val="00853297"/>
    <w:rsid w:val="008533A3"/>
    <w:rsid w:val="00853618"/>
    <w:rsid w:val="00856437"/>
    <w:rsid w:val="00860C6F"/>
    <w:rsid w:val="008619BA"/>
    <w:rsid w:val="00863DEF"/>
    <w:rsid w:val="008642CB"/>
    <w:rsid w:val="00865346"/>
    <w:rsid w:val="00865A26"/>
    <w:rsid w:val="00865C16"/>
    <w:rsid w:val="008662A5"/>
    <w:rsid w:val="008701E0"/>
    <w:rsid w:val="0087174F"/>
    <w:rsid w:val="00871DCC"/>
    <w:rsid w:val="0087545E"/>
    <w:rsid w:val="008755F7"/>
    <w:rsid w:val="0087578A"/>
    <w:rsid w:val="00876C95"/>
    <w:rsid w:val="00876F05"/>
    <w:rsid w:val="00880780"/>
    <w:rsid w:val="00880C40"/>
    <w:rsid w:val="00881516"/>
    <w:rsid w:val="0088287D"/>
    <w:rsid w:val="00883B2E"/>
    <w:rsid w:val="0088471C"/>
    <w:rsid w:val="00885BDA"/>
    <w:rsid w:val="00886B38"/>
    <w:rsid w:val="0088731C"/>
    <w:rsid w:val="00887761"/>
    <w:rsid w:val="00887F51"/>
    <w:rsid w:val="008912A0"/>
    <w:rsid w:val="0089169A"/>
    <w:rsid w:val="00891A21"/>
    <w:rsid w:val="00894A51"/>
    <w:rsid w:val="0089527E"/>
    <w:rsid w:val="008957E2"/>
    <w:rsid w:val="008A0BF5"/>
    <w:rsid w:val="008A1099"/>
    <w:rsid w:val="008A2E70"/>
    <w:rsid w:val="008A3C74"/>
    <w:rsid w:val="008A41AC"/>
    <w:rsid w:val="008A4E7A"/>
    <w:rsid w:val="008A5511"/>
    <w:rsid w:val="008A645E"/>
    <w:rsid w:val="008A6FBA"/>
    <w:rsid w:val="008A76E8"/>
    <w:rsid w:val="008A77EE"/>
    <w:rsid w:val="008B0B77"/>
    <w:rsid w:val="008B101F"/>
    <w:rsid w:val="008B1FE2"/>
    <w:rsid w:val="008B3379"/>
    <w:rsid w:val="008B3CEB"/>
    <w:rsid w:val="008B4F27"/>
    <w:rsid w:val="008B752F"/>
    <w:rsid w:val="008B7693"/>
    <w:rsid w:val="008C0D1C"/>
    <w:rsid w:val="008C1219"/>
    <w:rsid w:val="008C195B"/>
    <w:rsid w:val="008C22C8"/>
    <w:rsid w:val="008C4024"/>
    <w:rsid w:val="008C481A"/>
    <w:rsid w:val="008C4BA6"/>
    <w:rsid w:val="008C4D2E"/>
    <w:rsid w:val="008C4DB3"/>
    <w:rsid w:val="008C5167"/>
    <w:rsid w:val="008C5DE4"/>
    <w:rsid w:val="008C79D2"/>
    <w:rsid w:val="008D02CA"/>
    <w:rsid w:val="008D044F"/>
    <w:rsid w:val="008D0636"/>
    <w:rsid w:val="008D41C6"/>
    <w:rsid w:val="008D5299"/>
    <w:rsid w:val="008D64BD"/>
    <w:rsid w:val="008E1317"/>
    <w:rsid w:val="008E1921"/>
    <w:rsid w:val="008E1BEF"/>
    <w:rsid w:val="008E242F"/>
    <w:rsid w:val="008E265B"/>
    <w:rsid w:val="008E278B"/>
    <w:rsid w:val="008E2CD8"/>
    <w:rsid w:val="008E2E7E"/>
    <w:rsid w:val="008E3D5F"/>
    <w:rsid w:val="008E484E"/>
    <w:rsid w:val="008E5109"/>
    <w:rsid w:val="008E53C5"/>
    <w:rsid w:val="008E5C87"/>
    <w:rsid w:val="008E7491"/>
    <w:rsid w:val="008E76C9"/>
    <w:rsid w:val="008F0BE0"/>
    <w:rsid w:val="008F0C2C"/>
    <w:rsid w:val="008F13CC"/>
    <w:rsid w:val="008F1934"/>
    <w:rsid w:val="008F4FC5"/>
    <w:rsid w:val="008F703C"/>
    <w:rsid w:val="00900D6F"/>
    <w:rsid w:val="00903532"/>
    <w:rsid w:val="00905284"/>
    <w:rsid w:val="00905DF4"/>
    <w:rsid w:val="00905E8D"/>
    <w:rsid w:val="00906166"/>
    <w:rsid w:val="00906F21"/>
    <w:rsid w:val="009078DF"/>
    <w:rsid w:val="00910BFE"/>
    <w:rsid w:val="00911332"/>
    <w:rsid w:val="00911344"/>
    <w:rsid w:val="00912C73"/>
    <w:rsid w:val="00914759"/>
    <w:rsid w:val="00914D0C"/>
    <w:rsid w:val="009158E5"/>
    <w:rsid w:val="0091681A"/>
    <w:rsid w:val="00920AEF"/>
    <w:rsid w:val="00921AF7"/>
    <w:rsid w:val="00921C5D"/>
    <w:rsid w:val="009227A3"/>
    <w:rsid w:val="009238A9"/>
    <w:rsid w:val="009249C6"/>
    <w:rsid w:val="00924E55"/>
    <w:rsid w:val="00925AB0"/>
    <w:rsid w:val="009265C3"/>
    <w:rsid w:val="0092677C"/>
    <w:rsid w:val="009279E4"/>
    <w:rsid w:val="00930150"/>
    <w:rsid w:val="00930B50"/>
    <w:rsid w:val="00932822"/>
    <w:rsid w:val="00932FE6"/>
    <w:rsid w:val="00933A99"/>
    <w:rsid w:val="00934715"/>
    <w:rsid w:val="0093527A"/>
    <w:rsid w:val="0093616B"/>
    <w:rsid w:val="009367D6"/>
    <w:rsid w:val="0093727F"/>
    <w:rsid w:val="00937D2A"/>
    <w:rsid w:val="009410C4"/>
    <w:rsid w:val="0094225B"/>
    <w:rsid w:val="0094297F"/>
    <w:rsid w:val="00943505"/>
    <w:rsid w:val="00944D47"/>
    <w:rsid w:val="009475CD"/>
    <w:rsid w:val="00947AEB"/>
    <w:rsid w:val="00947D10"/>
    <w:rsid w:val="00950415"/>
    <w:rsid w:val="009506DA"/>
    <w:rsid w:val="00951C09"/>
    <w:rsid w:val="00952156"/>
    <w:rsid w:val="00952A16"/>
    <w:rsid w:val="00952CA1"/>
    <w:rsid w:val="00953BEB"/>
    <w:rsid w:val="00953C00"/>
    <w:rsid w:val="00954A01"/>
    <w:rsid w:val="00954CBC"/>
    <w:rsid w:val="00960466"/>
    <w:rsid w:val="00962586"/>
    <w:rsid w:val="00966813"/>
    <w:rsid w:val="009675A1"/>
    <w:rsid w:val="0097143A"/>
    <w:rsid w:val="0097174A"/>
    <w:rsid w:val="00971895"/>
    <w:rsid w:val="0097384B"/>
    <w:rsid w:val="0097386E"/>
    <w:rsid w:val="00973E2C"/>
    <w:rsid w:val="0097769F"/>
    <w:rsid w:val="00977924"/>
    <w:rsid w:val="00977F62"/>
    <w:rsid w:val="009801D9"/>
    <w:rsid w:val="0098136F"/>
    <w:rsid w:val="0098269C"/>
    <w:rsid w:val="009835C6"/>
    <w:rsid w:val="009849B9"/>
    <w:rsid w:val="00984A82"/>
    <w:rsid w:val="0098643D"/>
    <w:rsid w:val="0099021D"/>
    <w:rsid w:val="00990AD5"/>
    <w:rsid w:val="00991B39"/>
    <w:rsid w:val="009922A9"/>
    <w:rsid w:val="0099350D"/>
    <w:rsid w:val="009936A9"/>
    <w:rsid w:val="00993EF3"/>
    <w:rsid w:val="00997B01"/>
    <w:rsid w:val="009A0557"/>
    <w:rsid w:val="009A0A44"/>
    <w:rsid w:val="009A0C09"/>
    <w:rsid w:val="009A161F"/>
    <w:rsid w:val="009A49A2"/>
    <w:rsid w:val="009A4E04"/>
    <w:rsid w:val="009A527C"/>
    <w:rsid w:val="009A782F"/>
    <w:rsid w:val="009B146D"/>
    <w:rsid w:val="009B16B6"/>
    <w:rsid w:val="009B1867"/>
    <w:rsid w:val="009B2A73"/>
    <w:rsid w:val="009B3184"/>
    <w:rsid w:val="009B690E"/>
    <w:rsid w:val="009B6D83"/>
    <w:rsid w:val="009B7A28"/>
    <w:rsid w:val="009C152F"/>
    <w:rsid w:val="009C1A2C"/>
    <w:rsid w:val="009C3086"/>
    <w:rsid w:val="009C3CEF"/>
    <w:rsid w:val="009C4F6C"/>
    <w:rsid w:val="009C5776"/>
    <w:rsid w:val="009C59C7"/>
    <w:rsid w:val="009C5FA1"/>
    <w:rsid w:val="009D02A2"/>
    <w:rsid w:val="009D1730"/>
    <w:rsid w:val="009D1B05"/>
    <w:rsid w:val="009D1D01"/>
    <w:rsid w:val="009D1E53"/>
    <w:rsid w:val="009D2250"/>
    <w:rsid w:val="009D22C2"/>
    <w:rsid w:val="009D2C46"/>
    <w:rsid w:val="009D3999"/>
    <w:rsid w:val="009D569F"/>
    <w:rsid w:val="009D6D4A"/>
    <w:rsid w:val="009E00EC"/>
    <w:rsid w:val="009E0277"/>
    <w:rsid w:val="009E1D8D"/>
    <w:rsid w:val="009E20C9"/>
    <w:rsid w:val="009E4B2E"/>
    <w:rsid w:val="009E502C"/>
    <w:rsid w:val="009E53BB"/>
    <w:rsid w:val="009E6CE9"/>
    <w:rsid w:val="009F14D3"/>
    <w:rsid w:val="009F3AE9"/>
    <w:rsid w:val="009F3D16"/>
    <w:rsid w:val="009F41E8"/>
    <w:rsid w:val="009F468A"/>
    <w:rsid w:val="009F4955"/>
    <w:rsid w:val="00A00073"/>
    <w:rsid w:val="00A0031F"/>
    <w:rsid w:val="00A03B94"/>
    <w:rsid w:val="00A06332"/>
    <w:rsid w:val="00A069A9"/>
    <w:rsid w:val="00A114C8"/>
    <w:rsid w:val="00A13F86"/>
    <w:rsid w:val="00A14524"/>
    <w:rsid w:val="00A15CDF"/>
    <w:rsid w:val="00A16C10"/>
    <w:rsid w:val="00A1717D"/>
    <w:rsid w:val="00A179FF"/>
    <w:rsid w:val="00A20377"/>
    <w:rsid w:val="00A20F19"/>
    <w:rsid w:val="00A20F8F"/>
    <w:rsid w:val="00A2264B"/>
    <w:rsid w:val="00A22E38"/>
    <w:rsid w:val="00A23330"/>
    <w:rsid w:val="00A23C49"/>
    <w:rsid w:val="00A255B5"/>
    <w:rsid w:val="00A26562"/>
    <w:rsid w:val="00A27DDF"/>
    <w:rsid w:val="00A27E16"/>
    <w:rsid w:val="00A3203A"/>
    <w:rsid w:val="00A33EE7"/>
    <w:rsid w:val="00A34166"/>
    <w:rsid w:val="00A36905"/>
    <w:rsid w:val="00A3690B"/>
    <w:rsid w:val="00A37CC2"/>
    <w:rsid w:val="00A37D57"/>
    <w:rsid w:val="00A40FD9"/>
    <w:rsid w:val="00A413BA"/>
    <w:rsid w:val="00A4401D"/>
    <w:rsid w:val="00A44E47"/>
    <w:rsid w:val="00A45F91"/>
    <w:rsid w:val="00A45FE0"/>
    <w:rsid w:val="00A467FD"/>
    <w:rsid w:val="00A47463"/>
    <w:rsid w:val="00A505B1"/>
    <w:rsid w:val="00A5178F"/>
    <w:rsid w:val="00A53CA0"/>
    <w:rsid w:val="00A542BD"/>
    <w:rsid w:val="00A54381"/>
    <w:rsid w:val="00A559C6"/>
    <w:rsid w:val="00A55D40"/>
    <w:rsid w:val="00A568CF"/>
    <w:rsid w:val="00A56C8B"/>
    <w:rsid w:val="00A573B6"/>
    <w:rsid w:val="00A61E47"/>
    <w:rsid w:val="00A624D6"/>
    <w:rsid w:val="00A62B57"/>
    <w:rsid w:val="00A64A18"/>
    <w:rsid w:val="00A64DF8"/>
    <w:rsid w:val="00A6634F"/>
    <w:rsid w:val="00A670B5"/>
    <w:rsid w:val="00A67740"/>
    <w:rsid w:val="00A70226"/>
    <w:rsid w:val="00A70A7F"/>
    <w:rsid w:val="00A713C7"/>
    <w:rsid w:val="00A71689"/>
    <w:rsid w:val="00A716CB"/>
    <w:rsid w:val="00A73ED6"/>
    <w:rsid w:val="00A73F0D"/>
    <w:rsid w:val="00A74682"/>
    <w:rsid w:val="00A747D5"/>
    <w:rsid w:val="00A75E07"/>
    <w:rsid w:val="00A77F71"/>
    <w:rsid w:val="00A81271"/>
    <w:rsid w:val="00A84285"/>
    <w:rsid w:val="00A84D13"/>
    <w:rsid w:val="00A84DF8"/>
    <w:rsid w:val="00A860B3"/>
    <w:rsid w:val="00A870CC"/>
    <w:rsid w:val="00A90FAC"/>
    <w:rsid w:val="00A951BF"/>
    <w:rsid w:val="00A9589C"/>
    <w:rsid w:val="00A968A2"/>
    <w:rsid w:val="00AA0B67"/>
    <w:rsid w:val="00AA1669"/>
    <w:rsid w:val="00AA16F8"/>
    <w:rsid w:val="00AA2589"/>
    <w:rsid w:val="00AA343F"/>
    <w:rsid w:val="00AA4577"/>
    <w:rsid w:val="00AA4DB7"/>
    <w:rsid w:val="00AA5EC5"/>
    <w:rsid w:val="00AA63B1"/>
    <w:rsid w:val="00AA65CC"/>
    <w:rsid w:val="00AA6A42"/>
    <w:rsid w:val="00AB0C0A"/>
    <w:rsid w:val="00AB4118"/>
    <w:rsid w:val="00AB6B44"/>
    <w:rsid w:val="00AC0556"/>
    <w:rsid w:val="00AC163A"/>
    <w:rsid w:val="00AC292C"/>
    <w:rsid w:val="00AC3B64"/>
    <w:rsid w:val="00AC5D12"/>
    <w:rsid w:val="00AC5F0D"/>
    <w:rsid w:val="00AC6ACC"/>
    <w:rsid w:val="00AC6C51"/>
    <w:rsid w:val="00AC6FFE"/>
    <w:rsid w:val="00AC7479"/>
    <w:rsid w:val="00AC74D9"/>
    <w:rsid w:val="00AC7CAA"/>
    <w:rsid w:val="00AD0069"/>
    <w:rsid w:val="00AD122B"/>
    <w:rsid w:val="00AD4344"/>
    <w:rsid w:val="00AD56B5"/>
    <w:rsid w:val="00AD6408"/>
    <w:rsid w:val="00AD72F7"/>
    <w:rsid w:val="00AD7DC7"/>
    <w:rsid w:val="00AE1D65"/>
    <w:rsid w:val="00AE2530"/>
    <w:rsid w:val="00AE461B"/>
    <w:rsid w:val="00AE5D6A"/>
    <w:rsid w:val="00AE6E1C"/>
    <w:rsid w:val="00AF01DC"/>
    <w:rsid w:val="00AF12AF"/>
    <w:rsid w:val="00AF12E5"/>
    <w:rsid w:val="00AF2211"/>
    <w:rsid w:val="00AF2A72"/>
    <w:rsid w:val="00AF323B"/>
    <w:rsid w:val="00AF479C"/>
    <w:rsid w:val="00AF5ACF"/>
    <w:rsid w:val="00AF5C6D"/>
    <w:rsid w:val="00B010A2"/>
    <w:rsid w:val="00B03879"/>
    <w:rsid w:val="00B03DCC"/>
    <w:rsid w:val="00B0634F"/>
    <w:rsid w:val="00B06C31"/>
    <w:rsid w:val="00B100C6"/>
    <w:rsid w:val="00B10806"/>
    <w:rsid w:val="00B130E9"/>
    <w:rsid w:val="00B13399"/>
    <w:rsid w:val="00B14533"/>
    <w:rsid w:val="00B147DF"/>
    <w:rsid w:val="00B14E09"/>
    <w:rsid w:val="00B15275"/>
    <w:rsid w:val="00B167FD"/>
    <w:rsid w:val="00B16D02"/>
    <w:rsid w:val="00B178D1"/>
    <w:rsid w:val="00B20EEF"/>
    <w:rsid w:val="00B22013"/>
    <w:rsid w:val="00B22886"/>
    <w:rsid w:val="00B22DA7"/>
    <w:rsid w:val="00B238A7"/>
    <w:rsid w:val="00B23DA9"/>
    <w:rsid w:val="00B23F88"/>
    <w:rsid w:val="00B25C48"/>
    <w:rsid w:val="00B25FC1"/>
    <w:rsid w:val="00B30595"/>
    <w:rsid w:val="00B3191A"/>
    <w:rsid w:val="00B31B03"/>
    <w:rsid w:val="00B322BA"/>
    <w:rsid w:val="00B32DDA"/>
    <w:rsid w:val="00B35498"/>
    <w:rsid w:val="00B35E4C"/>
    <w:rsid w:val="00B3798C"/>
    <w:rsid w:val="00B37F01"/>
    <w:rsid w:val="00B41F8D"/>
    <w:rsid w:val="00B4202D"/>
    <w:rsid w:val="00B42312"/>
    <w:rsid w:val="00B439AE"/>
    <w:rsid w:val="00B43E02"/>
    <w:rsid w:val="00B45448"/>
    <w:rsid w:val="00B45AFE"/>
    <w:rsid w:val="00B46552"/>
    <w:rsid w:val="00B466C5"/>
    <w:rsid w:val="00B46954"/>
    <w:rsid w:val="00B50B66"/>
    <w:rsid w:val="00B51DC2"/>
    <w:rsid w:val="00B52157"/>
    <w:rsid w:val="00B5329D"/>
    <w:rsid w:val="00B53798"/>
    <w:rsid w:val="00B53CC8"/>
    <w:rsid w:val="00B55EDA"/>
    <w:rsid w:val="00B60698"/>
    <w:rsid w:val="00B60FB4"/>
    <w:rsid w:val="00B615CD"/>
    <w:rsid w:val="00B62689"/>
    <w:rsid w:val="00B62890"/>
    <w:rsid w:val="00B62977"/>
    <w:rsid w:val="00B6333B"/>
    <w:rsid w:val="00B6365E"/>
    <w:rsid w:val="00B6481E"/>
    <w:rsid w:val="00B64A31"/>
    <w:rsid w:val="00B64A84"/>
    <w:rsid w:val="00B66B37"/>
    <w:rsid w:val="00B6797B"/>
    <w:rsid w:val="00B70D19"/>
    <w:rsid w:val="00B7117B"/>
    <w:rsid w:val="00B721AF"/>
    <w:rsid w:val="00B72908"/>
    <w:rsid w:val="00B74497"/>
    <w:rsid w:val="00B75592"/>
    <w:rsid w:val="00B75622"/>
    <w:rsid w:val="00B75DCB"/>
    <w:rsid w:val="00B772EE"/>
    <w:rsid w:val="00B7787D"/>
    <w:rsid w:val="00B77B51"/>
    <w:rsid w:val="00B80595"/>
    <w:rsid w:val="00B81C5F"/>
    <w:rsid w:val="00B823B3"/>
    <w:rsid w:val="00B83502"/>
    <w:rsid w:val="00B83E69"/>
    <w:rsid w:val="00B844F2"/>
    <w:rsid w:val="00B8497C"/>
    <w:rsid w:val="00B84D61"/>
    <w:rsid w:val="00B855CE"/>
    <w:rsid w:val="00B87751"/>
    <w:rsid w:val="00B9024C"/>
    <w:rsid w:val="00B90A51"/>
    <w:rsid w:val="00B91745"/>
    <w:rsid w:val="00B91B88"/>
    <w:rsid w:val="00B925EB"/>
    <w:rsid w:val="00B92995"/>
    <w:rsid w:val="00B92E64"/>
    <w:rsid w:val="00B92F31"/>
    <w:rsid w:val="00B93CF0"/>
    <w:rsid w:val="00B9425A"/>
    <w:rsid w:val="00B948E9"/>
    <w:rsid w:val="00B94D55"/>
    <w:rsid w:val="00B96252"/>
    <w:rsid w:val="00B966AC"/>
    <w:rsid w:val="00B96778"/>
    <w:rsid w:val="00B96E8B"/>
    <w:rsid w:val="00B970FC"/>
    <w:rsid w:val="00B97377"/>
    <w:rsid w:val="00B9746B"/>
    <w:rsid w:val="00B97CD9"/>
    <w:rsid w:val="00BA0873"/>
    <w:rsid w:val="00BA1081"/>
    <w:rsid w:val="00BA18E0"/>
    <w:rsid w:val="00BA21B7"/>
    <w:rsid w:val="00BA24E4"/>
    <w:rsid w:val="00BA2BAB"/>
    <w:rsid w:val="00BA459F"/>
    <w:rsid w:val="00BA564E"/>
    <w:rsid w:val="00BA6B5C"/>
    <w:rsid w:val="00BA7082"/>
    <w:rsid w:val="00BB2491"/>
    <w:rsid w:val="00BB3B2C"/>
    <w:rsid w:val="00BB3B89"/>
    <w:rsid w:val="00BB42D6"/>
    <w:rsid w:val="00BB4832"/>
    <w:rsid w:val="00BB4DF6"/>
    <w:rsid w:val="00BB51A1"/>
    <w:rsid w:val="00BC2D55"/>
    <w:rsid w:val="00BC43E8"/>
    <w:rsid w:val="00BC51B4"/>
    <w:rsid w:val="00BC529B"/>
    <w:rsid w:val="00BC6CCA"/>
    <w:rsid w:val="00BC6DDB"/>
    <w:rsid w:val="00BD1248"/>
    <w:rsid w:val="00BD2003"/>
    <w:rsid w:val="00BD2B39"/>
    <w:rsid w:val="00BD2BE1"/>
    <w:rsid w:val="00BD4E22"/>
    <w:rsid w:val="00BD6821"/>
    <w:rsid w:val="00BD6BDA"/>
    <w:rsid w:val="00BD77C0"/>
    <w:rsid w:val="00BE0CFC"/>
    <w:rsid w:val="00BE2452"/>
    <w:rsid w:val="00BE2714"/>
    <w:rsid w:val="00BE38E0"/>
    <w:rsid w:val="00BE4508"/>
    <w:rsid w:val="00BE4E31"/>
    <w:rsid w:val="00BE570B"/>
    <w:rsid w:val="00BE5741"/>
    <w:rsid w:val="00BE6021"/>
    <w:rsid w:val="00BE7536"/>
    <w:rsid w:val="00BE7852"/>
    <w:rsid w:val="00BF11D4"/>
    <w:rsid w:val="00BF205B"/>
    <w:rsid w:val="00BF292D"/>
    <w:rsid w:val="00BF39C6"/>
    <w:rsid w:val="00BF442F"/>
    <w:rsid w:val="00BF48BF"/>
    <w:rsid w:val="00BF4A06"/>
    <w:rsid w:val="00BF52BC"/>
    <w:rsid w:val="00BF53A8"/>
    <w:rsid w:val="00BF6C30"/>
    <w:rsid w:val="00BF6C4F"/>
    <w:rsid w:val="00BF6FC2"/>
    <w:rsid w:val="00BF754C"/>
    <w:rsid w:val="00BF7BDD"/>
    <w:rsid w:val="00BF7F8B"/>
    <w:rsid w:val="00C0167C"/>
    <w:rsid w:val="00C04FDB"/>
    <w:rsid w:val="00C05A25"/>
    <w:rsid w:val="00C0631A"/>
    <w:rsid w:val="00C06E7B"/>
    <w:rsid w:val="00C117E5"/>
    <w:rsid w:val="00C12B9B"/>
    <w:rsid w:val="00C13DC5"/>
    <w:rsid w:val="00C14B25"/>
    <w:rsid w:val="00C154F6"/>
    <w:rsid w:val="00C15697"/>
    <w:rsid w:val="00C159A3"/>
    <w:rsid w:val="00C15A00"/>
    <w:rsid w:val="00C16547"/>
    <w:rsid w:val="00C16557"/>
    <w:rsid w:val="00C16EB9"/>
    <w:rsid w:val="00C16FF0"/>
    <w:rsid w:val="00C1745D"/>
    <w:rsid w:val="00C22124"/>
    <w:rsid w:val="00C22AD4"/>
    <w:rsid w:val="00C2512F"/>
    <w:rsid w:val="00C25232"/>
    <w:rsid w:val="00C256F2"/>
    <w:rsid w:val="00C26C58"/>
    <w:rsid w:val="00C27A73"/>
    <w:rsid w:val="00C30537"/>
    <w:rsid w:val="00C32560"/>
    <w:rsid w:val="00C33FF5"/>
    <w:rsid w:val="00C34E8B"/>
    <w:rsid w:val="00C355BD"/>
    <w:rsid w:val="00C35984"/>
    <w:rsid w:val="00C35AF2"/>
    <w:rsid w:val="00C3620E"/>
    <w:rsid w:val="00C413BD"/>
    <w:rsid w:val="00C41C24"/>
    <w:rsid w:val="00C422D5"/>
    <w:rsid w:val="00C440B2"/>
    <w:rsid w:val="00C45AA7"/>
    <w:rsid w:val="00C4631E"/>
    <w:rsid w:val="00C463AD"/>
    <w:rsid w:val="00C46C5C"/>
    <w:rsid w:val="00C46EB5"/>
    <w:rsid w:val="00C47D71"/>
    <w:rsid w:val="00C5075F"/>
    <w:rsid w:val="00C51B72"/>
    <w:rsid w:val="00C5345F"/>
    <w:rsid w:val="00C53E01"/>
    <w:rsid w:val="00C54041"/>
    <w:rsid w:val="00C54441"/>
    <w:rsid w:val="00C54988"/>
    <w:rsid w:val="00C55D3E"/>
    <w:rsid w:val="00C56A33"/>
    <w:rsid w:val="00C56CAA"/>
    <w:rsid w:val="00C5773A"/>
    <w:rsid w:val="00C60304"/>
    <w:rsid w:val="00C6065F"/>
    <w:rsid w:val="00C60D60"/>
    <w:rsid w:val="00C61C0C"/>
    <w:rsid w:val="00C67652"/>
    <w:rsid w:val="00C67E80"/>
    <w:rsid w:val="00C705AA"/>
    <w:rsid w:val="00C7152C"/>
    <w:rsid w:val="00C77B01"/>
    <w:rsid w:val="00C80590"/>
    <w:rsid w:val="00C80755"/>
    <w:rsid w:val="00C8179E"/>
    <w:rsid w:val="00C81B09"/>
    <w:rsid w:val="00C81FD2"/>
    <w:rsid w:val="00C82323"/>
    <w:rsid w:val="00C8305A"/>
    <w:rsid w:val="00C86E15"/>
    <w:rsid w:val="00C87F0C"/>
    <w:rsid w:val="00C905C9"/>
    <w:rsid w:val="00C91439"/>
    <w:rsid w:val="00C92791"/>
    <w:rsid w:val="00C92B31"/>
    <w:rsid w:val="00C966E0"/>
    <w:rsid w:val="00C96766"/>
    <w:rsid w:val="00C96DAA"/>
    <w:rsid w:val="00CA03B8"/>
    <w:rsid w:val="00CA0F3F"/>
    <w:rsid w:val="00CA1713"/>
    <w:rsid w:val="00CA2356"/>
    <w:rsid w:val="00CA29FB"/>
    <w:rsid w:val="00CA29FF"/>
    <w:rsid w:val="00CA334C"/>
    <w:rsid w:val="00CA387C"/>
    <w:rsid w:val="00CA39DD"/>
    <w:rsid w:val="00CA3CC2"/>
    <w:rsid w:val="00CA6485"/>
    <w:rsid w:val="00CA660F"/>
    <w:rsid w:val="00CA672E"/>
    <w:rsid w:val="00CA68EF"/>
    <w:rsid w:val="00CA739E"/>
    <w:rsid w:val="00CA7813"/>
    <w:rsid w:val="00CA7985"/>
    <w:rsid w:val="00CB0224"/>
    <w:rsid w:val="00CB08F1"/>
    <w:rsid w:val="00CB10EF"/>
    <w:rsid w:val="00CB12E8"/>
    <w:rsid w:val="00CB3471"/>
    <w:rsid w:val="00CB3654"/>
    <w:rsid w:val="00CB36DC"/>
    <w:rsid w:val="00CB41EC"/>
    <w:rsid w:val="00CB496D"/>
    <w:rsid w:val="00CB49D5"/>
    <w:rsid w:val="00CB4AED"/>
    <w:rsid w:val="00CB55F8"/>
    <w:rsid w:val="00CB5860"/>
    <w:rsid w:val="00CB6D51"/>
    <w:rsid w:val="00CB6E44"/>
    <w:rsid w:val="00CC0B1C"/>
    <w:rsid w:val="00CC1A43"/>
    <w:rsid w:val="00CC1CBD"/>
    <w:rsid w:val="00CC1EC1"/>
    <w:rsid w:val="00CC23FD"/>
    <w:rsid w:val="00CC3221"/>
    <w:rsid w:val="00CC327C"/>
    <w:rsid w:val="00CC34F0"/>
    <w:rsid w:val="00CC5E9B"/>
    <w:rsid w:val="00CC7B6C"/>
    <w:rsid w:val="00CD1742"/>
    <w:rsid w:val="00CD1D91"/>
    <w:rsid w:val="00CD2E55"/>
    <w:rsid w:val="00CD32BB"/>
    <w:rsid w:val="00CD35B9"/>
    <w:rsid w:val="00CD3D92"/>
    <w:rsid w:val="00CD5D12"/>
    <w:rsid w:val="00CD72D7"/>
    <w:rsid w:val="00CD77FF"/>
    <w:rsid w:val="00CE02AD"/>
    <w:rsid w:val="00CE104E"/>
    <w:rsid w:val="00CE16C4"/>
    <w:rsid w:val="00CE1703"/>
    <w:rsid w:val="00CE18F2"/>
    <w:rsid w:val="00CE41A2"/>
    <w:rsid w:val="00CE4555"/>
    <w:rsid w:val="00CE4BD1"/>
    <w:rsid w:val="00CE583A"/>
    <w:rsid w:val="00CE591B"/>
    <w:rsid w:val="00CE5D53"/>
    <w:rsid w:val="00CE635D"/>
    <w:rsid w:val="00CE658B"/>
    <w:rsid w:val="00CF00B7"/>
    <w:rsid w:val="00CF2552"/>
    <w:rsid w:val="00CF3EEB"/>
    <w:rsid w:val="00CF4217"/>
    <w:rsid w:val="00CF461F"/>
    <w:rsid w:val="00CF4A5C"/>
    <w:rsid w:val="00CF61E0"/>
    <w:rsid w:val="00CF6A1A"/>
    <w:rsid w:val="00CF73CB"/>
    <w:rsid w:val="00D00D0C"/>
    <w:rsid w:val="00D00E7A"/>
    <w:rsid w:val="00D01711"/>
    <w:rsid w:val="00D01984"/>
    <w:rsid w:val="00D0204E"/>
    <w:rsid w:val="00D03B08"/>
    <w:rsid w:val="00D063D1"/>
    <w:rsid w:val="00D07699"/>
    <w:rsid w:val="00D106F1"/>
    <w:rsid w:val="00D117D7"/>
    <w:rsid w:val="00D14587"/>
    <w:rsid w:val="00D14914"/>
    <w:rsid w:val="00D14CEB"/>
    <w:rsid w:val="00D154BE"/>
    <w:rsid w:val="00D16C46"/>
    <w:rsid w:val="00D17448"/>
    <w:rsid w:val="00D22EA2"/>
    <w:rsid w:val="00D234D2"/>
    <w:rsid w:val="00D2389F"/>
    <w:rsid w:val="00D24F62"/>
    <w:rsid w:val="00D252E6"/>
    <w:rsid w:val="00D25569"/>
    <w:rsid w:val="00D302ED"/>
    <w:rsid w:val="00D30815"/>
    <w:rsid w:val="00D30B4B"/>
    <w:rsid w:val="00D324C0"/>
    <w:rsid w:val="00D327D9"/>
    <w:rsid w:val="00D3291D"/>
    <w:rsid w:val="00D3306D"/>
    <w:rsid w:val="00D33978"/>
    <w:rsid w:val="00D34542"/>
    <w:rsid w:val="00D348C5"/>
    <w:rsid w:val="00D34E06"/>
    <w:rsid w:val="00D35369"/>
    <w:rsid w:val="00D3557F"/>
    <w:rsid w:val="00D37B19"/>
    <w:rsid w:val="00D37DB6"/>
    <w:rsid w:val="00D4416F"/>
    <w:rsid w:val="00D44CF1"/>
    <w:rsid w:val="00D45851"/>
    <w:rsid w:val="00D4604F"/>
    <w:rsid w:val="00D46140"/>
    <w:rsid w:val="00D47DCD"/>
    <w:rsid w:val="00D5112E"/>
    <w:rsid w:val="00D526A0"/>
    <w:rsid w:val="00D547F0"/>
    <w:rsid w:val="00D558FC"/>
    <w:rsid w:val="00D565E0"/>
    <w:rsid w:val="00D60202"/>
    <w:rsid w:val="00D62E52"/>
    <w:rsid w:val="00D637BD"/>
    <w:rsid w:val="00D63DE0"/>
    <w:rsid w:val="00D64551"/>
    <w:rsid w:val="00D64842"/>
    <w:rsid w:val="00D64F77"/>
    <w:rsid w:val="00D652DC"/>
    <w:rsid w:val="00D65D46"/>
    <w:rsid w:val="00D6672E"/>
    <w:rsid w:val="00D677EE"/>
    <w:rsid w:val="00D7046C"/>
    <w:rsid w:val="00D73D58"/>
    <w:rsid w:val="00D74A4B"/>
    <w:rsid w:val="00D75212"/>
    <w:rsid w:val="00D77661"/>
    <w:rsid w:val="00D80FA1"/>
    <w:rsid w:val="00D81B46"/>
    <w:rsid w:val="00D82F50"/>
    <w:rsid w:val="00D8325C"/>
    <w:rsid w:val="00D84291"/>
    <w:rsid w:val="00D85683"/>
    <w:rsid w:val="00D869AC"/>
    <w:rsid w:val="00D87555"/>
    <w:rsid w:val="00D87A3E"/>
    <w:rsid w:val="00D904B6"/>
    <w:rsid w:val="00D909BA"/>
    <w:rsid w:val="00D90A10"/>
    <w:rsid w:val="00D91A51"/>
    <w:rsid w:val="00D92720"/>
    <w:rsid w:val="00D92836"/>
    <w:rsid w:val="00D929B7"/>
    <w:rsid w:val="00D929D1"/>
    <w:rsid w:val="00D95A63"/>
    <w:rsid w:val="00DA08F4"/>
    <w:rsid w:val="00DA0C61"/>
    <w:rsid w:val="00DA352A"/>
    <w:rsid w:val="00DA36F8"/>
    <w:rsid w:val="00DA3848"/>
    <w:rsid w:val="00DA4B2D"/>
    <w:rsid w:val="00DA4CAB"/>
    <w:rsid w:val="00DA53E6"/>
    <w:rsid w:val="00DA678D"/>
    <w:rsid w:val="00DA6B8F"/>
    <w:rsid w:val="00DB120B"/>
    <w:rsid w:val="00DB1D16"/>
    <w:rsid w:val="00DB2149"/>
    <w:rsid w:val="00DB3C1E"/>
    <w:rsid w:val="00DB3F38"/>
    <w:rsid w:val="00DB4378"/>
    <w:rsid w:val="00DB484E"/>
    <w:rsid w:val="00DB4F03"/>
    <w:rsid w:val="00DB54ED"/>
    <w:rsid w:val="00DB6461"/>
    <w:rsid w:val="00DB6E46"/>
    <w:rsid w:val="00DB7384"/>
    <w:rsid w:val="00DB7B98"/>
    <w:rsid w:val="00DC1A57"/>
    <w:rsid w:val="00DC3395"/>
    <w:rsid w:val="00DC377C"/>
    <w:rsid w:val="00DC5B05"/>
    <w:rsid w:val="00DC75E6"/>
    <w:rsid w:val="00DC7947"/>
    <w:rsid w:val="00DD0162"/>
    <w:rsid w:val="00DD0DA2"/>
    <w:rsid w:val="00DD0DB8"/>
    <w:rsid w:val="00DD0F92"/>
    <w:rsid w:val="00DD1E22"/>
    <w:rsid w:val="00DD3F4D"/>
    <w:rsid w:val="00DD62E9"/>
    <w:rsid w:val="00DD66D0"/>
    <w:rsid w:val="00DD6733"/>
    <w:rsid w:val="00DD7719"/>
    <w:rsid w:val="00DD7C7E"/>
    <w:rsid w:val="00DD7D31"/>
    <w:rsid w:val="00DD7F11"/>
    <w:rsid w:val="00DE02D4"/>
    <w:rsid w:val="00DE2B9F"/>
    <w:rsid w:val="00DE314B"/>
    <w:rsid w:val="00DE39E7"/>
    <w:rsid w:val="00DE3FA5"/>
    <w:rsid w:val="00DE4147"/>
    <w:rsid w:val="00DE4F31"/>
    <w:rsid w:val="00DE4F6A"/>
    <w:rsid w:val="00DE50AE"/>
    <w:rsid w:val="00DE5261"/>
    <w:rsid w:val="00DE56D1"/>
    <w:rsid w:val="00DE5F4A"/>
    <w:rsid w:val="00DE6A10"/>
    <w:rsid w:val="00DE7132"/>
    <w:rsid w:val="00DF12FD"/>
    <w:rsid w:val="00DF1E36"/>
    <w:rsid w:val="00DF348A"/>
    <w:rsid w:val="00DF3541"/>
    <w:rsid w:val="00DF4366"/>
    <w:rsid w:val="00DF47B1"/>
    <w:rsid w:val="00DF4E7C"/>
    <w:rsid w:val="00DF5895"/>
    <w:rsid w:val="00DF6206"/>
    <w:rsid w:val="00DF6E4E"/>
    <w:rsid w:val="00E00C66"/>
    <w:rsid w:val="00E02A7F"/>
    <w:rsid w:val="00E0495D"/>
    <w:rsid w:val="00E064E3"/>
    <w:rsid w:val="00E0670B"/>
    <w:rsid w:val="00E07B11"/>
    <w:rsid w:val="00E07DC0"/>
    <w:rsid w:val="00E12176"/>
    <w:rsid w:val="00E122D7"/>
    <w:rsid w:val="00E12E41"/>
    <w:rsid w:val="00E13023"/>
    <w:rsid w:val="00E13A33"/>
    <w:rsid w:val="00E14D49"/>
    <w:rsid w:val="00E154F5"/>
    <w:rsid w:val="00E15E97"/>
    <w:rsid w:val="00E17DE8"/>
    <w:rsid w:val="00E2044C"/>
    <w:rsid w:val="00E20A36"/>
    <w:rsid w:val="00E211C4"/>
    <w:rsid w:val="00E215A4"/>
    <w:rsid w:val="00E21906"/>
    <w:rsid w:val="00E22311"/>
    <w:rsid w:val="00E22DA7"/>
    <w:rsid w:val="00E23D12"/>
    <w:rsid w:val="00E26AA7"/>
    <w:rsid w:val="00E26BBF"/>
    <w:rsid w:val="00E2760C"/>
    <w:rsid w:val="00E27923"/>
    <w:rsid w:val="00E27FE5"/>
    <w:rsid w:val="00E27FEA"/>
    <w:rsid w:val="00E3043A"/>
    <w:rsid w:val="00E306BA"/>
    <w:rsid w:val="00E314BA"/>
    <w:rsid w:val="00E3162F"/>
    <w:rsid w:val="00E31A19"/>
    <w:rsid w:val="00E3345E"/>
    <w:rsid w:val="00E339F5"/>
    <w:rsid w:val="00E35A1A"/>
    <w:rsid w:val="00E35CDA"/>
    <w:rsid w:val="00E36B13"/>
    <w:rsid w:val="00E37914"/>
    <w:rsid w:val="00E41E07"/>
    <w:rsid w:val="00E42654"/>
    <w:rsid w:val="00E434CC"/>
    <w:rsid w:val="00E43A21"/>
    <w:rsid w:val="00E44583"/>
    <w:rsid w:val="00E44737"/>
    <w:rsid w:val="00E456D2"/>
    <w:rsid w:val="00E45ADA"/>
    <w:rsid w:val="00E45FAE"/>
    <w:rsid w:val="00E46816"/>
    <w:rsid w:val="00E46B0A"/>
    <w:rsid w:val="00E46F0D"/>
    <w:rsid w:val="00E473EF"/>
    <w:rsid w:val="00E4767A"/>
    <w:rsid w:val="00E50498"/>
    <w:rsid w:val="00E51CB4"/>
    <w:rsid w:val="00E530FF"/>
    <w:rsid w:val="00E54629"/>
    <w:rsid w:val="00E54F0B"/>
    <w:rsid w:val="00E55119"/>
    <w:rsid w:val="00E55BE9"/>
    <w:rsid w:val="00E603FA"/>
    <w:rsid w:val="00E6248A"/>
    <w:rsid w:val="00E62493"/>
    <w:rsid w:val="00E629C5"/>
    <w:rsid w:val="00E62E20"/>
    <w:rsid w:val="00E63868"/>
    <w:rsid w:val="00E65ACA"/>
    <w:rsid w:val="00E66459"/>
    <w:rsid w:val="00E679BE"/>
    <w:rsid w:val="00E67C17"/>
    <w:rsid w:val="00E703DB"/>
    <w:rsid w:val="00E71168"/>
    <w:rsid w:val="00E71D37"/>
    <w:rsid w:val="00E72AE5"/>
    <w:rsid w:val="00E7482F"/>
    <w:rsid w:val="00E75EBB"/>
    <w:rsid w:val="00E76075"/>
    <w:rsid w:val="00E77A22"/>
    <w:rsid w:val="00E82446"/>
    <w:rsid w:val="00E83CC9"/>
    <w:rsid w:val="00E83F67"/>
    <w:rsid w:val="00E85123"/>
    <w:rsid w:val="00E8597B"/>
    <w:rsid w:val="00E85D68"/>
    <w:rsid w:val="00E904D6"/>
    <w:rsid w:val="00E92595"/>
    <w:rsid w:val="00E93285"/>
    <w:rsid w:val="00E938D2"/>
    <w:rsid w:val="00E94A55"/>
    <w:rsid w:val="00E95AC8"/>
    <w:rsid w:val="00E964C3"/>
    <w:rsid w:val="00E972CF"/>
    <w:rsid w:val="00E97E72"/>
    <w:rsid w:val="00EA0544"/>
    <w:rsid w:val="00EA07B8"/>
    <w:rsid w:val="00EA0C50"/>
    <w:rsid w:val="00EA11B7"/>
    <w:rsid w:val="00EA1DE7"/>
    <w:rsid w:val="00EA21C5"/>
    <w:rsid w:val="00EA2A9A"/>
    <w:rsid w:val="00EA2B0B"/>
    <w:rsid w:val="00EA3117"/>
    <w:rsid w:val="00EA35E1"/>
    <w:rsid w:val="00EA4933"/>
    <w:rsid w:val="00EA4FC0"/>
    <w:rsid w:val="00EA7AAB"/>
    <w:rsid w:val="00EA7C35"/>
    <w:rsid w:val="00EB060A"/>
    <w:rsid w:val="00EB0B29"/>
    <w:rsid w:val="00EB18D3"/>
    <w:rsid w:val="00EB1A80"/>
    <w:rsid w:val="00EB3F7F"/>
    <w:rsid w:val="00EB46BD"/>
    <w:rsid w:val="00EB5151"/>
    <w:rsid w:val="00EB582C"/>
    <w:rsid w:val="00EB595F"/>
    <w:rsid w:val="00EB5FEB"/>
    <w:rsid w:val="00EB665B"/>
    <w:rsid w:val="00EB6AA7"/>
    <w:rsid w:val="00EB7326"/>
    <w:rsid w:val="00EB7A73"/>
    <w:rsid w:val="00EB7BE5"/>
    <w:rsid w:val="00EB7FC3"/>
    <w:rsid w:val="00EC0AAD"/>
    <w:rsid w:val="00EC255E"/>
    <w:rsid w:val="00EC2778"/>
    <w:rsid w:val="00EC38F7"/>
    <w:rsid w:val="00EC7BEF"/>
    <w:rsid w:val="00ED0145"/>
    <w:rsid w:val="00ED120F"/>
    <w:rsid w:val="00ED20BC"/>
    <w:rsid w:val="00ED25EE"/>
    <w:rsid w:val="00ED2ABC"/>
    <w:rsid w:val="00ED30FE"/>
    <w:rsid w:val="00ED4661"/>
    <w:rsid w:val="00ED4BEB"/>
    <w:rsid w:val="00ED528F"/>
    <w:rsid w:val="00ED7483"/>
    <w:rsid w:val="00EE0A8D"/>
    <w:rsid w:val="00EE1D08"/>
    <w:rsid w:val="00EE4974"/>
    <w:rsid w:val="00EE4BCD"/>
    <w:rsid w:val="00EE4E17"/>
    <w:rsid w:val="00EE6A7B"/>
    <w:rsid w:val="00EE6DCD"/>
    <w:rsid w:val="00EE7DEA"/>
    <w:rsid w:val="00EE7FDF"/>
    <w:rsid w:val="00EF10BF"/>
    <w:rsid w:val="00EF126F"/>
    <w:rsid w:val="00EF15F0"/>
    <w:rsid w:val="00EF1E55"/>
    <w:rsid w:val="00EF2E4B"/>
    <w:rsid w:val="00EF3C36"/>
    <w:rsid w:val="00EF4F28"/>
    <w:rsid w:val="00EF56BA"/>
    <w:rsid w:val="00EF570B"/>
    <w:rsid w:val="00EF7391"/>
    <w:rsid w:val="00EF7BD3"/>
    <w:rsid w:val="00F0274B"/>
    <w:rsid w:val="00F02E74"/>
    <w:rsid w:val="00F040DE"/>
    <w:rsid w:val="00F04A2B"/>
    <w:rsid w:val="00F04AAE"/>
    <w:rsid w:val="00F06C58"/>
    <w:rsid w:val="00F06C94"/>
    <w:rsid w:val="00F12403"/>
    <w:rsid w:val="00F12D26"/>
    <w:rsid w:val="00F12EFC"/>
    <w:rsid w:val="00F13380"/>
    <w:rsid w:val="00F1439E"/>
    <w:rsid w:val="00F14D9B"/>
    <w:rsid w:val="00F14E89"/>
    <w:rsid w:val="00F157D6"/>
    <w:rsid w:val="00F15D8C"/>
    <w:rsid w:val="00F15DF5"/>
    <w:rsid w:val="00F1641B"/>
    <w:rsid w:val="00F17922"/>
    <w:rsid w:val="00F211B8"/>
    <w:rsid w:val="00F21D86"/>
    <w:rsid w:val="00F22156"/>
    <w:rsid w:val="00F23E72"/>
    <w:rsid w:val="00F23EA3"/>
    <w:rsid w:val="00F24587"/>
    <w:rsid w:val="00F2559A"/>
    <w:rsid w:val="00F25E1A"/>
    <w:rsid w:val="00F27D64"/>
    <w:rsid w:val="00F30170"/>
    <w:rsid w:val="00F3023F"/>
    <w:rsid w:val="00F30EDB"/>
    <w:rsid w:val="00F31582"/>
    <w:rsid w:val="00F31ACA"/>
    <w:rsid w:val="00F333C5"/>
    <w:rsid w:val="00F33ED8"/>
    <w:rsid w:val="00F340C4"/>
    <w:rsid w:val="00F34764"/>
    <w:rsid w:val="00F35283"/>
    <w:rsid w:val="00F35DBC"/>
    <w:rsid w:val="00F3633F"/>
    <w:rsid w:val="00F36847"/>
    <w:rsid w:val="00F37604"/>
    <w:rsid w:val="00F37629"/>
    <w:rsid w:val="00F37673"/>
    <w:rsid w:val="00F3775D"/>
    <w:rsid w:val="00F37F3B"/>
    <w:rsid w:val="00F40823"/>
    <w:rsid w:val="00F428CD"/>
    <w:rsid w:val="00F43FA8"/>
    <w:rsid w:val="00F4496D"/>
    <w:rsid w:val="00F45860"/>
    <w:rsid w:val="00F4602B"/>
    <w:rsid w:val="00F51243"/>
    <w:rsid w:val="00F51740"/>
    <w:rsid w:val="00F51F6D"/>
    <w:rsid w:val="00F535C1"/>
    <w:rsid w:val="00F556B4"/>
    <w:rsid w:val="00F56702"/>
    <w:rsid w:val="00F57B67"/>
    <w:rsid w:val="00F612DB"/>
    <w:rsid w:val="00F61EA9"/>
    <w:rsid w:val="00F63ED7"/>
    <w:rsid w:val="00F64EC9"/>
    <w:rsid w:val="00F651A6"/>
    <w:rsid w:val="00F6666C"/>
    <w:rsid w:val="00F6681C"/>
    <w:rsid w:val="00F7112B"/>
    <w:rsid w:val="00F73556"/>
    <w:rsid w:val="00F7636E"/>
    <w:rsid w:val="00F76CDF"/>
    <w:rsid w:val="00F77292"/>
    <w:rsid w:val="00F77710"/>
    <w:rsid w:val="00F77A29"/>
    <w:rsid w:val="00F809EE"/>
    <w:rsid w:val="00F82189"/>
    <w:rsid w:val="00F8219F"/>
    <w:rsid w:val="00F82B15"/>
    <w:rsid w:val="00F82D52"/>
    <w:rsid w:val="00F832A2"/>
    <w:rsid w:val="00F83D5A"/>
    <w:rsid w:val="00F84367"/>
    <w:rsid w:val="00F84378"/>
    <w:rsid w:val="00F84A17"/>
    <w:rsid w:val="00F84EB1"/>
    <w:rsid w:val="00F85655"/>
    <w:rsid w:val="00F85BD6"/>
    <w:rsid w:val="00F85C87"/>
    <w:rsid w:val="00F85F4A"/>
    <w:rsid w:val="00F873F0"/>
    <w:rsid w:val="00F911CF"/>
    <w:rsid w:val="00F9391C"/>
    <w:rsid w:val="00F946A3"/>
    <w:rsid w:val="00F96E44"/>
    <w:rsid w:val="00F97E60"/>
    <w:rsid w:val="00FA0673"/>
    <w:rsid w:val="00FA2CC4"/>
    <w:rsid w:val="00FA2FDD"/>
    <w:rsid w:val="00FA5007"/>
    <w:rsid w:val="00FB13AB"/>
    <w:rsid w:val="00FB14D6"/>
    <w:rsid w:val="00FB2240"/>
    <w:rsid w:val="00FB31B9"/>
    <w:rsid w:val="00FB5229"/>
    <w:rsid w:val="00FB531C"/>
    <w:rsid w:val="00FB7CFC"/>
    <w:rsid w:val="00FC003B"/>
    <w:rsid w:val="00FC1040"/>
    <w:rsid w:val="00FC1D84"/>
    <w:rsid w:val="00FC2078"/>
    <w:rsid w:val="00FC21B6"/>
    <w:rsid w:val="00FC223D"/>
    <w:rsid w:val="00FC232B"/>
    <w:rsid w:val="00FC3460"/>
    <w:rsid w:val="00FC5063"/>
    <w:rsid w:val="00FC59E1"/>
    <w:rsid w:val="00FC5AA5"/>
    <w:rsid w:val="00FC5CAC"/>
    <w:rsid w:val="00FC6F74"/>
    <w:rsid w:val="00FD0A33"/>
    <w:rsid w:val="00FD0DE2"/>
    <w:rsid w:val="00FD116A"/>
    <w:rsid w:val="00FD11E8"/>
    <w:rsid w:val="00FD14B2"/>
    <w:rsid w:val="00FD2B2A"/>
    <w:rsid w:val="00FD45B4"/>
    <w:rsid w:val="00FD5294"/>
    <w:rsid w:val="00FD7F72"/>
    <w:rsid w:val="00FE02C0"/>
    <w:rsid w:val="00FE17ED"/>
    <w:rsid w:val="00FE1B32"/>
    <w:rsid w:val="00FE253F"/>
    <w:rsid w:val="00FE424E"/>
    <w:rsid w:val="00FF1241"/>
    <w:rsid w:val="00FF3AF8"/>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1AF7"/>
    <w:pPr>
      <w:spacing w:before="100" w:beforeAutospacing="1" w:after="100" w:afterAutospacing="1"/>
    </w:pPr>
  </w:style>
  <w:style w:type="paragraph" w:styleId="FootnoteText">
    <w:name w:val="footnote text"/>
    <w:basedOn w:val="Normal"/>
    <w:link w:val="FootnoteTextChar"/>
    <w:uiPriority w:val="99"/>
    <w:semiHidden/>
    <w:rsid w:val="00921AF7"/>
    <w:rPr>
      <w:sz w:val="20"/>
      <w:szCs w:val="20"/>
    </w:rPr>
  </w:style>
  <w:style w:type="character" w:styleId="FootnoteReference">
    <w:name w:val="footnote reference"/>
    <w:basedOn w:val="DefaultParagraphFont"/>
    <w:uiPriority w:val="99"/>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uiPriority w:val="20"/>
    <w:qFormat/>
    <w:rsid w:val="00E434CC"/>
    <w:rPr>
      <w:i/>
      <w:iCs/>
    </w:rPr>
  </w:style>
  <w:style w:type="character" w:customStyle="1" w:styleId="FootnoteTextChar">
    <w:name w:val="Footnote Text Char"/>
    <w:basedOn w:val="DefaultParagraphFont"/>
    <w:link w:val="FootnoteText"/>
    <w:uiPriority w:val="99"/>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paragraph" w:customStyle="1" w:styleId="TxBrp7">
    <w:name w:val="TxBr_p7"/>
    <w:basedOn w:val="Normal"/>
    <w:rsid w:val="00140ADB"/>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F0274B"/>
    <w:pPr>
      <w:tabs>
        <w:tab w:val="left" w:pos="-720"/>
      </w:tabs>
      <w:suppressAutoHyphens/>
      <w:autoSpaceDE w:val="0"/>
      <w:autoSpaceDN w:val="0"/>
      <w:ind w:firstLine="1440"/>
    </w:pPr>
    <w:rPr>
      <w:rFonts w:ascii="CG Times" w:hAnsi="CG Times" w:cs="CG Times"/>
      <w:sz w:val="24"/>
      <w:szCs w:val="24"/>
    </w:rPr>
  </w:style>
  <w:style w:type="paragraph" w:styleId="EndnoteText">
    <w:name w:val="endnote text"/>
    <w:basedOn w:val="Normal"/>
    <w:link w:val="EndnoteTextChar"/>
    <w:rsid w:val="005B3018"/>
    <w:pPr>
      <w:spacing w:line="240" w:lineRule="auto"/>
    </w:pPr>
    <w:rPr>
      <w:sz w:val="20"/>
      <w:szCs w:val="20"/>
    </w:rPr>
  </w:style>
  <w:style w:type="character" w:customStyle="1" w:styleId="EndnoteTextChar">
    <w:name w:val="Endnote Text Char"/>
    <w:basedOn w:val="DefaultParagraphFont"/>
    <w:link w:val="EndnoteText"/>
    <w:rsid w:val="005B3018"/>
  </w:style>
  <w:style w:type="character" w:styleId="EndnoteReference">
    <w:name w:val="endnote reference"/>
    <w:basedOn w:val="DefaultParagraphFont"/>
    <w:rsid w:val="005B3018"/>
    <w:rPr>
      <w:vertAlign w:val="superscript"/>
    </w:rPr>
  </w:style>
  <w:style w:type="character" w:styleId="Hyperlink">
    <w:name w:val="Hyperlink"/>
    <w:rsid w:val="00750A74"/>
    <w:rPr>
      <w:color w:val="0000FF"/>
      <w:u w:val="single"/>
    </w:rPr>
  </w:style>
  <w:style w:type="character" w:customStyle="1" w:styleId="term1">
    <w:name w:val="term1"/>
    <w:basedOn w:val="DefaultParagraphFont"/>
    <w:rsid w:val="00750A74"/>
    <w:rPr>
      <w:b/>
      <w:bCs/>
    </w:rPr>
  </w:style>
  <w:style w:type="character" w:customStyle="1" w:styleId="documentbody">
    <w:name w:val="documentbody"/>
    <w:basedOn w:val="DefaultParagraphFont"/>
    <w:rsid w:val="00750A74"/>
  </w:style>
  <w:style w:type="table" w:customStyle="1" w:styleId="TableGrid2">
    <w:name w:val="Table Grid2"/>
    <w:basedOn w:val="TableNormal"/>
    <w:next w:val="TableGrid"/>
    <w:rsid w:val="00270EB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21AF7"/>
    <w:pPr>
      <w:spacing w:before="100" w:beforeAutospacing="1" w:after="100" w:afterAutospacing="1"/>
    </w:pPr>
  </w:style>
  <w:style w:type="paragraph" w:styleId="FootnoteText">
    <w:name w:val="footnote text"/>
    <w:basedOn w:val="Normal"/>
    <w:link w:val="FootnoteTextChar"/>
    <w:uiPriority w:val="99"/>
    <w:semiHidden/>
    <w:rsid w:val="00921AF7"/>
    <w:rPr>
      <w:sz w:val="20"/>
      <w:szCs w:val="20"/>
    </w:rPr>
  </w:style>
  <w:style w:type="character" w:styleId="FootnoteReference">
    <w:name w:val="footnote reference"/>
    <w:basedOn w:val="DefaultParagraphFont"/>
    <w:uiPriority w:val="99"/>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uiPriority w:val="20"/>
    <w:qFormat/>
    <w:rsid w:val="00E434CC"/>
    <w:rPr>
      <w:i/>
      <w:iCs/>
    </w:rPr>
  </w:style>
  <w:style w:type="character" w:customStyle="1" w:styleId="FootnoteTextChar">
    <w:name w:val="Footnote Text Char"/>
    <w:basedOn w:val="DefaultParagraphFont"/>
    <w:link w:val="FootnoteText"/>
    <w:uiPriority w:val="99"/>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paragraph" w:customStyle="1" w:styleId="TxBrp7">
    <w:name w:val="TxBr_p7"/>
    <w:basedOn w:val="Normal"/>
    <w:rsid w:val="00140ADB"/>
    <w:pPr>
      <w:widowControl w:val="0"/>
      <w:tabs>
        <w:tab w:val="left" w:pos="600"/>
        <w:tab w:val="left" w:pos="1031"/>
      </w:tabs>
      <w:autoSpaceDE w:val="0"/>
      <w:autoSpaceDN w:val="0"/>
      <w:adjustRightInd w:val="0"/>
      <w:spacing w:line="249" w:lineRule="atLeast"/>
      <w:ind w:left="1031" w:hanging="430"/>
    </w:pPr>
  </w:style>
  <w:style w:type="paragraph" w:customStyle="1" w:styleId="ParaTab1">
    <w:name w:val="ParaTab 1"/>
    <w:rsid w:val="00F0274B"/>
    <w:pPr>
      <w:tabs>
        <w:tab w:val="left" w:pos="-720"/>
      </w:tabs>
      <w:suppressAutoHyphens/>
      <w:autoSpaceDE w:val="0"/>
      <w:autoSpaceDN w:val="0"/>
      <w:ind w:firstLine="1440"/>
    </w:pPr>
    <w:rPr>
      <w:rFonts w:ascii="CG Times" w:hAnsi="CG Times" w:cs="CG Times"/>
      <w:sz w:val="24"/>
      <w:szCs w:val="24"/>
    </w:rPr>
  </w:style>
  <w:style w:type="paragraph" w:styleId="EndnoteText">
    <w:name w:val="endnote text"/>
    <w:basedOn w:val="Normal"/>
    <w:link w:val="EndnoteTextChar"/>
    <w:rsid w:val="005B3018"/>
    <w:pPr>
      <w:spacing w:line="240" w:lineRule="auto"/>
    </w:pPr>
    <w:rPr>
      <w:sz w:val="20"/>
      <w:szCs w:val="20"/>
    </w:rPr>
  </w:style>
  <w:style w:type="character" w:customStyle="1" w:styleId="EndnoteTextChar">
    <w:name w:val="Endnote Text Char"/>
    <w:basedOn w:val="DefaultParagraphFont"/>
    <w:link w:val="EndnoteText"/>
    <w:rsid w:val="005B3018"/>
  </w:style>
  <w:style w:type="character" w:styleId="EndnoteReference">
    <w:name w:val="endnote reference"/>
    <w:basedOn w:val="DefaultParagraphFont"/>
    <w:rsid w:val="005B3018"/>
    <w:rPr>
      <w:vertAlign w:val="superscript"/>
    </w:rPr>
  </w:style>
  <w:style w:type="character" w:styleId="Hyperlink">
    <w:name w:val="Hyperlink"/>
    <w:rsid w:val="00750A74"/>
    <w:rPr>
      <w:color w:val="0000FF"/>
      <w:u w:val="single"/>
    </w:rPr>
  </w:style>
  <w:style w:type="character" w:customStyle="1" w:styleId="term1">
    <w:name w:val="term1"/>
    <w:basedOn w:val="DefaultParagraphFont"/>
    <w:rsid w:val="00750A74"/>
    <w:rPr>
      <w:b/>
      <w:bCs/>
    </w:rPr>
  </w:style>
  <w:style w:type="character" w:customStyle="1" w:styleId="documentbody">
    <w:name w:val="documentbody"/>
    <w:basedOn w:val="DefaultParagraphFont"/>
    <w:rsid w:val="00750A74"/>
  </w:style>
  <w:style w:type="table" w:customStyle="1" w:styleId="TableGrid2">
    <w:name w:val="Table Grid2"/>
    <w:basedOn w:val="TableNormal"/>
    <w:next w:val="TableGrid"/>
    <w:rsid w:val="00270EB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32149">
      <w:bodyDiv w:val="1"/>
      <w:marLeft w:val="0"/>
      <w:marRight w:val="0"/>
      <w:marTop w:val="0"/>
      <w:marBottom w:val="0"/>
      <w:divBdr>
        <w:top w:val="none" w:sz="0" w:space="0" w:color="auto"/>
        <w:left w:val="none" w:sz="0" w:space="0" w:color="auto"/>
        <w:bottom w:val="none" w:sz="0" w:space="0" w:color="auto"/>
        <w:right w:val="none" w:sz="0" w:space="0" w:color="auto"/>
      </w:divBdr>
      <w:divsChild>
        <w:div w:id="1206484530">
          <w:marLeft w:val="0"/>
          <w:marRight w:val="0"/>
          <w:marTop w:val="0"/>
          <w:marBottom w:val="0"/>
          <w:divBdr>
            <w:top w:val="none" w:sz="0" w:space="0" w:color="auto"/>
            <w:left w:val="none" w:sz="0" w:space="0" w:color="auto"/>
            <w:bottom w:val="none" w:sz="0" w:space="0" w:color="auto"/>
            <w:right w:val="none" w:sz="0" w:space="0" w:color="auto"/>
          </w:divBdr>
          <w:divsChild>
            <w:div w:id="1122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73F6-B05D-4DB6-881F-43FDED3B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2016-01-05T16:46:00Z</dcterms:created>
  <dcterms:modified xsi:type="dcterms:W3CDTF">2016-01-28T13:19:00Z</dcterms:modified>
</cp:coreProperties>
</file>