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t>PENNSYLVANIA PUBLIC UTILITY COMMISSION</w:t>
      </w:r>
    </w:p>
    <w:p w:rsidR="002839B6" w:rsidRDefault="002839B6">
      <w:pPr>
        <w:tabs>
          <w:tab w:val="center" w:pos="4680"/>
        </w:tabs>
        <w:jc w:val="both"/>
        <w:rPr>
          <w:sz w:val="24"/>
        </w:rPr>
      </w:pPr>
    </w:p>
    <w:p w:rsidR="00AF04CE" w:rsidRPr="003A0BBF" w:rsidRDefault="00AF04CE" w:rsidP="00AF04CE">
      <w:pPr>
        <w:jc w:val="both"/>
        <w:rPr>
          <w:b/>
          <w:szCs w:val="24"/>
        </w:rPr>
      </w:pPr>
    </w:p>
    <w:p w:rsidR="00AF04CE" w:rsidRDefault="00AF04CE" w:rsidP="00AF04CE">
      <w:pPr>
        <w:rPr>
          <w:sz w:val="24"/>
          <w:szCs w:val="24"/>
        </w:rPr>
      </w:pPr>
      <w:r>
        <w:rPr>
          <w:sz w:val="24"/>
          <w:szCs w:val="23"/>
        </w:rPr>
        <w:t xml:space="preserve">Application of Columbia Gas of </w:t>
      </w:r>
      <w:r>
        <w:rPr>
          <w:sz w:val="24"/>
          <w:szCs w:val="23"/>
        </w:rPr>
        <w:tab/>
      </w:r>
      <w:r>
        <w:rPr>
          <w:sz w:val="24"/>
          <w:szCs w:val="23"/>
        </w:rPr>
        <w:tab/>
      </w:r>
      <w:r>
        <w:rPr>
          <w:sz w:val="24"/>
          <w:szCs w:val="23"/>
        </w:rPr>
        <w:tab/>
        <w:t>:</w:t>
      </w:r>
      <w:r>
        <w:rPr>
          <w:sz w:val="24"/>
          <w:szCs w:val="23"/>
        </w:rPr>
        <w:tab/>
      </w:r>
      <w:r>
        <w:rPr>
          <w:sz w:val="24"/>
          <w:szCs w:val="23"/>
        </w:rPr>
        <w:tab/>
      </w:r>
      <w:r>
        <w:rPr>
          <w:sz w:val="24"/>
          <w:szCs w:val="24"/>
        </w:rPr>
        <w:t>A-2015-2513395</w:t>
      </w:r>
    </w:p>
    <w:p w:rsidR="00AF04CE" w:rsidRDefault="00AF04CE" w:rsidP="00AF04CE">
      <w:pPr>
        <w:rPr>
          <w:sz w:val="24"/>
          <w:szCs w:val="23"/>
        </w:rPr>
      </w:pPr>
      <w:r>
        <w:rPr>
          <w:sz w:val="24"/>
          <w:szCs w:val="23"/>
        </w:rPr>
        <w:t xml:space="preserve">Pennsylvania, Inc. for approval of the </w:t>
      </w:r>
      <w:r>
        <w:rPr>
          <w:sz w:val="24"/>
          <w:szCs w:val="23"/>
        </w:rPr>
        <w:tab/>
      </w:r>
      <w:r>
        <w:rPr>
          <w:sz w:val="24"/>
          <w:szCs w:val="23"/>
        </w:rPr>
        <w:tab/>
        <w:t>:</w:t>
      </w:r>
    </w:p>
    <w:p w:rsidR="00AF04CE" w:rsidRDefault="00AF04CE" w:rsidP="00AF04CE">
      <w:pPr>
        <w:ind w:right="1440"/>
        <w:jc w:val="both"/>
        <w:rPr>
          <w:sz w:val="24"/>
          <w:szCs w:val="23"/>
        </w:rPr>
      </w:pPr>
      <w:r>
        <w:rPr>
          <w:sz w:val="24"/>
          <w:szCs w:val="23"/>
        </w:rPr>
        <w:t xml:space="preserve">Abandonment of Service by Columbia Gas of </w:t>
      </w:r>
      <w:r>
        <w:rPr>
          <w:sz w:val="24"/>
          <w:szCs w:val="23"/>
        </w:rPr>
        <w:tab/>
        <w:t>:</w:t>
      </w:r>
    </w:p>
    <w:p w:rsidR="00AF04CE" w:rsidRDefault="00AF04CE" w:rsidP="00AF04CE">
      <w:pPr>
        <w:ind w:right="1440"/>
        <w:jc w:val="both"/>
        <w:rPr>
          <w:sz w:val="24"/>
          <w:szCs w:val="23"/>
        </w:rPr>
      </w:pPr>
      <w:r>
        <w:rPr>
          <w:sz w:val="24"/>
          <w:szCs w:val="23"/>
        </w:rPr>
        <w:t xml:space="preserve">Pennsylvania, Inc., of natural gas service to six (6) </w:t>
      </w:r>
      <w:r>
        <w:rPr>
          <w:sz w:val="24"/>
          <w:szCs w:val="23"/>
        </w:rPr>
        <w:tab/>
        <w:t>:</w:t>
      </w:r>
    </w:p>
    <w:p w:rsidR="00AF04CE" w:rsidRDefault="00AF04CE" w:rsidP="00AF04CE">
      <w:pPr>
        <w:ind w:right="1440"/>
        <w:jc w:val="both"/>
        <w:rPr>
          <w:sz w:val="24"/>
          <w:szCs w:val="24"/>
        </w:rPr>
      </w:pPr>
      <w:r>
        <w:rPr>
          <w:sz w:val="24"/>
          <w:szCs w:val="23"/>
        </w:rPr>
        <w:t xml:space="preserve">customers located in Centre County, PA. </w:t>
      </w:r>
      <w:r>
        <w:rPr>
          <w:sz w:val="24"/>
          <w:szCs w:val="24"/>
        </w:rPr>
        <w:t xml:space="preserve"> </w:t>
      </w:r>
      <w:r>
        <w:rPr>
          <w:sz w:val="24"/>
          <w:szCs w:val="24"/>
        </w:rPr>
        <w:tab/>
      </w:r>
      <w:r>
        <w:rPr>
          <w:sz w:val="24"/>
          <w:szCs w:val="24"/>
        </w:rPr>
        <w:tab/>
        <w:t>:</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85B60" w:rsidRDefault="00AF04CE" w:rsidP="00AF04CE">
      <w:pPr>
        <w:ind w:right="1440"/>
        <w:jc w:val="both"/>
        <w:rPr>
          <w:sz w:val="24"/>
          <w:szCs w:val="24"/>
        </w:rPr>
      </w:pPr>
      <w:r>
        <w:rPr>
          <w:sz w:val="24"/>
          <w:szCs w:val="24"/>
        </w:rPr>
        <w:tab/>
      </w:r>
      <w:r w:rsidR="00D85B60">
        <w:rPr>
          <w:sz w:val="24"/>
          <w:szCs w:val="24"/>
        </w:rPr>
        <w:t>a</w:t>
      </w:r>
      <w:r>
        <w:rPr>
          <w:sz w:val="24"/>
          <w:szCs w:val="24"/>
        </w:rPr>
        <w:t>nd</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Default="00AF04CE" w:rsidP="00AF04CE">
      <w:pPr>
        <w:jc w:val="both"/>
        <w:rPr>
          <w:sz w:val="24"/>
          <w:szCs w:val="24"/>
        </w:rPr>
      </w:pPr>
      <w:r>
        <w:rPr>
          <w:sz w:val="24"/>
          <w:szCs w:val="24"/>
        </w:rPr>
        <w:t>Pennsylvania State University</w:t>
      </w:r>
      <w:r>
        <w:rPr>
          <w:sz w:val="24"/>
          <w:szCs w:val="24"/>
        </w:rPr>
        <w:tab/>
      </w:r>
      <w:r>
        <w:rPr>
          <w:sz w:val="24"/>
          <w:szCs w:val="24"/>
        </w:rPr>
        <w:tab/>
      </w:r>
      <w:r>
        <w:rPr>
          <w:sz w:val="24"/>
          <w:szCs w:val="24"/>
        </w:rPr>
        <w:tab/>
        <w:t>:</w:t>
      </w:r>
      <w:r>
        <w:rPr>
          <w:sz w:val="24"/>
          <w:szCs w:val="24"/>
        </w:rPr>
        <w:tab/>
      </w:r>
      <w:r>
        <w:rPr>
          <w:sz w:val="24"/>
          <w:szCs w:val="24"/>
        </w:rPr>
        <w:tab/>
        <w:t>C-2016-2522399</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Default="00AF04CE" w:rsidP="00AF04CE">
      <w:pPr>
        <w:ind w:right="1440"/>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Pr="0037224F" w:rsidRDefault="00AF04CE" w:rsidP="00AF04CE">
      <w:pPr>
        <w:ind w:right="1440"/>
        <w:jc w:val="both"/>
        <w:rPr>
          <w:sz w:val="24"/>
          <w:szCs w:val="24"/>
        </w:rPr>
      </w:pPr>
      <w:r>
        <w:rPr>
          <w:sz w:val="24"/>
          <w:szCs w:val="24"/>
        </w:rPr>
        <w:t>Columbia Gas of Pennsylvania, Inc.</w:t>
      </w:r>
      <w:r>
        <w:rPr>
          <w:sz w:val="24"/>
          <w:szCs w:val="24"/>
        </w:rPr>
        <w:tab/>
      </w:r>
      <w:r>
        <w:rPr>
          <w:sz w:val="24"/>
          <w:szCs w:val="24"/>
        </w:rPr>
        <w:tab/>
      </w:r>
      <w:r>
        <w:rPr>
          <w:sz w:val="24"/>
          <w:szCs w:val="24"/>
        </w:rPr>
        <w:tab/>
        <w:t>:</w:t>
      </w:r>
      <w:r>
        <w:rPr>
          <w:sz w:val="24"/>
          <w:szCs w:val="24"/>
        </w:rPr>
        <w:tab/>
      </w:r>
      <w:r>
        <w:rPr>
          <w:sz w:val="24"/>
          <w:szCs w:val="24"/>
        </w:rPr>
        <w:tab/>
      </w:r>
    </w:p>
    <w:p w:rsidR="00AF04CE" w:rsidRDefault="00AF04CE" w:rsidP="00AF04CE">
      <w:pPr>
        <w:jc w:val="both"/>
        <w:rPr>
          <w:b/>
          <w:szCs w:val="24"/>
        </w:rPr>
      </w:pPr>
    </w:p>
    <w:p w:rsidR="00AF04CE" w:rsidRDefault="00AF04CE" w:rsidP="00AF04CE">
      <w:pPr>
        <w:jc w:val="both"/>
        <w:rPr>
          <w:b/>
          <w:szCs w:val="24"/>
        </w:rPr>
      </w:pPr>
    </w:p>
    <w:p w:rsidR="00AF04CE" w:rsidRPr="003A0BBF" w:rsidRDefault="00AF04CE" w:rsidP="00AF04CE">
      <w:pPr>
        <w:jc w:val="both"/>
        <w:rPr>
          <w:b/>
          <w:szCs w:val="24"/>
        </w:rPr>
      </w:pPr>
    </w:p>
    <w:p w:rsidR="00C250A2" w:rsidRDefault="00C250A2">
      <w:pPr>
        <w:jc w:val="both"/>
        <w:rPr>
          <w:sz w:val="24"/>
        </w:rPr>
      </w:pPr>
    </w:p>
    <w:p w:rsidR="00F100BB" w:rsidRDefault="00F100BB">
      <w:pPr>
        <w:tabs>
          <w:tab w:val="center" w:pos="4680"/>
        </w:tabs>
        <w:jc w:val="both"/>
        <w:rPr>
          <w:sz w:val="24"/>
        </w:rPr>
      </w:pPr>
      <w:r>
        <w:rPr>
          <w:sz w:val="24"/>
        </w:rPr>
        <w:tab/>
      </w:r>
      <w:r>
        <w:rPr>
          <w:b/>
          <w:sz w:val="24"/>
          <w:u w:val="single"/>
        </w:rPr>
        <w:t>PREHEARING ORDER</w:t>
      </w:r>
    </w:p>
    <w:p w:rsidR="00F100BB" w:rsidRDefault="00F100BB">
      <w:pPr>
        <w:jc w:val="both"/>
        <w:rPr>
          <w:sz w:val="24"/>
        </w:rPr>
      </w:pPr>
    </w:p>
    <w:p w:rsidR="003B444D" w:rsidRPr="003F1E8A" w:rsidRDefault="003B444D">
      <w:pPr>
        <w:jc w:val="both"/>
        <w:rPr>
          <w:sz w:val="24"/>
          <w:szCs w:val="24"/>
        </w:rPr>
      </w:pPr>
    </w:p>
    <w:p w:rsidR="003F1E8A" w:rsidRDefault="003F1E8A" w:rsidP="003F1E8A">
      <w:pPr>
        <w:spacing w:line="360" w:lineRule="auto"/>
        <w:rPr>
          <w:sz w:val="24"/>
          <w:szCs w:val="24"/>
        </w:rPr>
      </w:pPr>
      <w:r w:rsidRPr="003F1E8A">
        <w:rPr>
          <w:sz w:val="24"/>
          <w:szCs w:val="24"/>
        </w:rPr>
        <w:tab/>
      </w:r>
      <w:r w:rsidRPr="003F1E8A">
        <w:rPr>
          <w:sz w:val="24"/>
          <w:szCs w:val="24"/>
        </w:rPr>
        <w:tab/>
        <w:t xml:space="preserve">On </w:t>
      </w:r>
      <w:r w:rsidR="00AF04CE">
        <w:rPr>
          <w:sz w:val="24"/>
          <w:szCs w:val="24"/>
        </w:rPr>
        <w:t>October 30, 2015</w:t>
      </w:r>
      <w:r w:rsidRPr="003F1E8A">
        <w:rPr>
          <w:sz w:val="24"/>
          <w:szCs w:val="24"/>
        </w:rPr>
        <w:t xml:space="preserve">, Columbia Gas of Pennsylvania, Inc. (Columbia or Company) filed an application with this Commission seeking approval to abandon natural gas service to </w:t>
      </w:r>
      <w:r w:rsidR="00AF04CE">
        <w:rPr>
          <w:sz w:val="24"/>
          <w:szCs w:val="24"/>
        </w:rPr>
        <w:t>six</w:t>
      </w:r>
      <w:r w:rsidRPr="003F1E8A">
        <w:rPr>
          <w:sz w:val="24"/>
          <w:szCs w:val="24"/>
        </w:rPr>
        <w:t xml:space="preserve"> natural gas service customers located in </w:t>
      </w:r>
      <w:r w:rsidR="00AF04CE">
        <w:rPr>
          <w:sz w:val="24"/>
          <w:szCs w:val="24"/>
        </w:rPr>
        <w:t xml:space="preserve">Centre </w:t>
      </w:r>
      <w:r w:rsidRPr="003F1E8A">
        <w:rPr>
          <w:sz w:val="24"/>
          <w:szCs w:val="24"/>
        </w:rPr>
        <w:t xml:space="preserve">County, Pennsylvania.  Notice of this application was published in the </w:t>
      </w:r>
      <w:r w:rsidR="00AF04CE">
        <w:rPr>
          <w:i/>
          <w:sz w:val="24"/>
          <w:szCs w:val="24"/>
        </w:rPr>
        <w:t>Centre Daily Times</w:t>
      </w:r>
      <w:r w:rsidRPr="003F1E8A">
        <w:rPr>
          <w:i/>
          <w:sz w:val="24"/>
          <w:szCs w:val="24"/>
        </w:rPr>
        <w:t>,</w:t>
      </w:r>
      <w:r w:rsidRPr="003F1E8A">
        <w:rPr>
          <w:sz w:val="24"/>
          <w:szCs w:val="24"/>
        </w:rPr>
        <w:t xml:space="preserve"> a newspaper of general circulation in </w:t>
      </w:r>
      <w:r w:rsidR="00AF04CE">
        <w:rPr>
          <w:sz w:val="24"/>
          <w:szCs w:val="24"/>
        </w:rPr>
        <w:t>Centre</w:t>
      </w:r>
      <w:r w:rsidRPr="003F1E8A">
        <w:rPr>
          <w:sz w:val="24"/>
          <w:szCs w:val="24"/>
        </w:rPr>
        <w:t xml:space="preserve"> County, on </w:t>
      </w:r>
      <w:r w:rsidR="00AF04CE">
        <w:rPr>
          <w:sz w:val="24"/>
          <w:szCs w:val="24"/>
        </w:rPr>
        <w:t>November 20, 2015</w:t>
      </w:r>
      <w:r w:rsidRPr="003F1E8A">
        <w:rPr>
          <w:sz w:val="24"/>
          <w:szCs w:val="24"/>
        </w:rPr>
        <w:t xml:space="preserve">.  </w:t>
      </w:r>
      <w:r w:rsidR="00AF04CE">
        <w:rPr>
          <w:sz w:val="24"/>
          <w:szCs w:val="24"/>
        </w:rPr>
        <w:t xml:space="preserve">Notice was also published in the Pennsylvania Bulletin on November 28, 2015.  The Office of Consumer Advocate filed a notice of intervention </w:t>
      </w:r>
      <w:r w:rsidR="00894C3C">
        <w:rPr>
          <w:sz w:val="24"/>
          <w:szCs w:val="24"/>
        </w:rPr>
        <w:t xml:space="preserve">and public statement on December 10, 2015.  </w:t>
      </w:r>
      <w:r w:rsidRPr="003F1E8A">
        <w:rPr>
          <w:sz w:val="24"/>
          <w:szCs w:val="24"/>
        </w:rPr>
        <w:t xml:space="preserve">Protests to the application were filed by </w:t>
      </w:r>
      <w:r w:rsidR="00894C3C">
        <w:rPr>
          <w:sz w:val="24"/>
          <w:szCs w:val="24"/>
        </w:rPr>
        <w:t>Rhonda Decker and Thomas Smith.  The Pennsylvania State University filed a petition to interven</w:t>
      </w:r>
      <w:r w:rsidR="000A79CF">
        <w:rPr>
          <w:sz w:val="24"/>
          <w:szCs w:val="24"/>
        </w:rPr>
        <w:t>e</w:t>
      </w:r>
      <w:r w:rsidR="00894C3C">
        <w:rPr>
          <w:sz w:val="24"/>
          <w:szCs w:val="24"/>
        </w:rPr>
        <w:t xml:space="preserve"> on December 14, 2015.</w:t>
      </w:r>
    </w:p>
    <w:p w:rsidR="00894C3C" w:rsidRDefault="00894C3C" w:rsidP="003F1E8A">
      <w:pPr>
        <w:spacing w:line="360" w:lineRule="auto"/>
        <w:rPr>
          <w:sz w:val="24"/>
          <w:szCs w:val="24"/>
        </w:rPr>
      </w:pPr>
    </w:p>
    <w:p w:rsidR="00894C3C" w:rsidRPr="003F1E8A" w:rsidRDefault="00894C3C" w:rsidP="003F1E8A">
      <w:pPr>
        <w:spacing w:line="360" w:lineRule="auto"/>
        <w:rPr>
          <w:sz w:val="24"/>
          <w:szCs w:val="24"/>
        </w:rPr>
      </w:pPr>
      <w:r>
        <w:rPr>
          <w:sz w:val="24"/>
          <w:szCs w:val="24"/>
        </w:rPr>
        <w:tab/>
      </w:r>
      <w:r w:rsidR="00BF145C">
        <w:rPr>
          <w:sz w:val="24"/>
          <w:szCs w:val="24"/>
        </w:rPr>
        <w:tab/>
      </w:r>
      <w:r>
        <w:rPr>
          <w:sz w:val="24"/>
          <w:szCs w:val="24"/>
        </w:rPr>
        <w:t xml:space="preserve">Further, on December 3, 2015, </w:t>
      </w:r>
      <w:r w:rsidR="000A79CF">
        <w:rPr>
          <w:sz w:val="24"/>
          <w:szCs w:val="24"/>
        </w:rPr>
        <w:t>the Commission entered an Opinion and Order in Columbia’s base rate proceeding, R-2015-2468056, which approved a settlement between Columbia and PSU.  Pursuant to that settlement, the Commission removed PSU’s amended complaint from the base rate proceeding and consolidated it with the application for abandonment.  That complaint was thereafter redocketed at C-2016-2522399.</w:t>
      </w:r>
    </w:p>
    <w:p w:rsidR="003F1E8A" w:rsidRPr="003F1E8A" w:rsidRDefault="003F1E8A" w:rsidP="003F1E8A">
      <w:pPr>
        <w:spacing w:line="360" w:lineRule="auto"/>
        <w:rPr>
          <w:sz w:val="24"/>
          <w:szCs w:val="24"/>
        </w:rPr>
      </w:pPr>
    </w:p>
    <w:p w:rsidR="003F1E8A" w:rsidRPr="003F1E8A" w:rsidRDefault="003F1E8A" w:rsidP="003F1E8A">
      <w:pPr>
        <w:spacing w:line="360" w:lineRule="auto"/>
        <w:rPr>
          <w:sz w:val="24"/>
          <w:szCs w:val="24"/>
        </w:rPr>
      </w:pPr>
      <w:r w:rsidRPr="003F1E8A">
        <w:rPr>
          <w:sz w:val="24"/>
          <w:szCs w:val="24"/>
        </w:rPr>
        <w:lastRenderedPageBreak/>
        <w:tab/>
      </w:r>
      <w:r w:rsidRPr="003F1E8A">
        <w:rPr>
          <w:sz w:val="24"/>
          <w:szCs w:val="24"/>
        </w:rPr>
        <w:tab/>
        <w:t xml:space="preserve">A standard Prehearing Conference Order was issued on </w:t>
      </w:r>
      <w:r w:rsidR="004B5B3A">
        <w:rPr>
          <w:sz w:val="24"/>
          <w:szCs w:val="24"/>
        </w:rPr>
        <w:t>January 11, 2016</w:t>
      </w:r>
      <w:r w:rsidRPr="003F1E8A">
        <w:rPr>
          <w:sz w:val="24"/>
          <w:szCs w:val="24"/>
        </w:rPr>
        <w:t xml:space="preserve">.  A prehearing conference was held </w:t>
      </w:r>
      <w:r w:rsidR="004B5B3A">
        <w:rPr>
          <w:sz w:val="24"/>
          <w:szCs w:val="24"/>
        </w:rPr>
        <w:t xml:space="preserve">by telephone </w:t>
      </w:r>
      <w:r w:rsidRPr="003F1E8A">
        <w:rPr>
          <w:sz w:val="24"/>
          <w:szCs w:val="24"/>
        </w:rPr>
        <w:t xml:space="preserve">on </w:t>
      </w:r>
      <w:r w:rsidR="004B5B3A">
        <w:rPr>
          <w:sz w:val="24"/>
          <w:szCs w:val="24"/>
        </w:rPr>
        <w:t>January 28, 2016</w:t>
      </w:r>
      <w:r w:rsidRPr="003F1E8A">
        <w:rPr>
          <w:sz w:val="24"/>
          <w:szCs w:val="24"/>
        </w:rPr>
        <w:t>.  Counsel represented the Company, Office of Consumer Advocate</w:t>
      </w:r>
      <w:r w:rsidR="004B5B3A">
        <w:rPr>
          <w:sz w:val="24"/>
          <w:szCs w:val="24"/>
        </w:rPr>
        <w:t>, and PSU</w:t>
      </w:r>
      <w:r w:rsidRPr="003F1E8A">
        <w:rPr>
          <w:sz w:val="24"/>
          <w:szCs w:val="24"/>
        </w:rPr>
        <w:t xml:space="preserve">. </w:t>
      </w:r>
      <w:r w:rsidR="00303381">
        <w:rPr>
          <w:sz w:val="24"/>
          <w:szCs w:val="24"/>
        </w:rPr>
        <w:t xml:space="preserve"> </w:t>
      </w:r>
      <w:r w:rsidRPr="003F1E8A">
        <w:rPr>
          <w:sz w:val="24"/>
          <w:szCs w:val="24"/>
        </w:rPr>
        <w:t xml:space="preserve">Additionally </w:t>
      </w:r>
      <w:r w:rsidR="004B5B3A">
        <w:rPr>
          <w:sz w:val="24"/>
          <w:szCs w:val="24"/>
        </w:rPr>
        <w:t>protestants Rhonda Decker and Thomas Smith participated</w:t>
      </w:r>
      <w:r w:rsidRPr="003F1E8A">
        <w:rPr>
          <w:sz w:val="24"/>
          <w:szCs w:val="24"/>
        </w:rPr>
        <w:t>.  This Order memorializes the matters decided and agreed upon by the parties attending that conference.</w:t>
      </w:r>
    </w:p>
    <w:p w:rsidR="003F1E8A" w:rsidRPr="003F1E8A" w:rsidRDefault="003F1E8A" w:rsidP="003F1E8A">
      <w:pPr>
        <w:rPr>
          <w:sz w:val="24"/>
          <w:szCs w:val="24"/>
        </w:rPr>
      </w:pPr>
    </w:p>
    <w:p w:rsidR="003F1E8A" w:rsidRPr="003F1E8A" w:rsidRDefault="003F1E8A" w:rsidP="00E70C2C">
      <w:pPr>
        <w:spacing w:line="360" w:lineRule="auto"/>
        <w:jc w:val="center"/>
        <w:rPr>
          <w:sz w:val="24"/>
          <w:szCs w:val="24"/>
        </w:rPr>
      </w:pPr>
      <w:r w:rsidRPr="003F1E8A">
        <w:rPr>
          <w:b/>
          <w:sz w:val="24"/>
          <w:szCs w:val="24"/>
          <w:u w:val="single"/>
        </w:rPr>
        <w:t>Litigation Schedule</w:t>
      </w:r>
    </w:p>
    <w:p w:rsidR="003F1E8A" w:rsidRPr="003F1E8A" w:rsidRDefault="003F1E8A" w:rsidP="00E70C2C">
      <w:pPr>
        <w:spacing w:line="360" w:lineRule="auto"/>
        <w:rPr>
          <w:sz w:val="24"/>
          <w:szCs w:val="24"/>
        </w:rPr>
      </w:pPr>
    </w:p>
    <w:p w:rsidR="003F1E8A" w:rsidRPr="003F1E8A" w:rsidRDefault="003F1E8A" w:rsidP="00E70C2C">
      <w:pPr>
        <w:spacing w:line="360" w:lineRule="auto"/>
        <w:rPr>
          <w:sz w:val="24"/>
          <w:szCs w:val="24"/>
        </w:rPr>
      </w:pPr>
      <w:r w:rsidRPr="003F1E8A">
        <w:rPr>
          <w:sz w:val="24"/>
          <w:szCs w:val="24"/>
        </w:rPr>
        <w:tab/>
      </w:r>
      <w:r w:rsidRPr="003F1E8A">
        <w:rPr>
          <w:sz w:val="24"/>
          <w:szCs w:val="24"/>
        </w:rPr>
        <w:tab/>
        <w:t>The parties attending the conference agree upon the following litigation schedule:</w:t>
      </w:r>
    </w:p>
    <w:p w:rsidR="003F1E8A" w:rsidRPr="003F1E8A" w:rsidRDefault="003F1E8A" w:rsidP="003F1E8A">
      <w:pPr>
        <w:rPr>
          <w:sz w:val="24"/>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3F1E8A" w:rsidRPr="003F1E8A" w:rsidTr="003F1E8A">
        <w:tc>
          <w:tcPr>
            <w:tcW w:w="2898" w:type="dxa"/>
            <w:tcBorders>
              <w:top w:val="thinThickSmallGap" w:sz="24" w:space="0" w:color="auto"/>
              <w:left w:val="thinThickSmallGap" w:sz="24" w:space="0" w:color="auto"/>
              <w:bottom w:val="single" w:sz="4" w:space="0" w:color="auto"/>
              <w:right w:val="single" w:sz="4" w:space="0" w:color="auto"/>
            </w:tcBorders>
            <w:hideMark/>
          </w:tcPr>
          <w:p w:rsidR="003F1E8A" w:rsidRPr="003F1E8A" w:rsidRDefault="003F1E8A" w:rsidP="003F1E8A">
            <w:pPr>
              <w:pStyle w:val="Heading2"/>
              <w:spacing w:before="120" w:after="120"/>
              <w:rPr>
                <w:rFonts w:ascii="Times New Roman" w:eastAsiaTheme="minorEastAsia" w:hAnsi="Times New Roman" w:cs="Times New Roman"/>
                <w:color w:val="auto"/>
                <w:sz w:val="24"/>
                <w:szCs w:val="24"/>
                <w:u w:val="single"/>
              </w:rPr>
            </w:pPr>
            <w:r w:rsidRPr="003F1E8A">
              <w:rPr>
                <w:rFonts w:ascii="Times New Roman" w:eastAsiaTheme="minorEastAsia" w:hAnsi="Times New Roman" w:cs="Times New Roman"/>
                <w:color w:val="auto"/>
                <w:sz w:val="24"/>
                <w:szCs w:val="24"/>
                <w:u w:val="single"/>
              </w:rPr>
              <w:t>Date</w:t>
            </w:r>
          </w:p>
        </w:tc>
        <w:tc>
          <w:tcPr>
            <w:tcW w:w="6678" w:type="dxa"/>
            <w:tcBorders>
              <w:top w:val="thinThickSmallGap" w:sz="24" w:space="0" w:color="auto"/>
              <w:left w:val="single" w:sz="4" w:space="0" w:color="auto"/>
              <w:bottom w:val="single" w:sz="4" w:space="0" w:color="auto"/>
              <w:right w:val="thickThinSmallGap" w:sz="24" w:space="0" w:color="auto"/>
            </w:tcBorders>
            <w:hideMark/>
          </w:tcPr>
          <w:p w:rsidR="003F1E8A" w:rsidRPr="003F1E8A" w:rsidRDefault="003F1E8A" w:rsidP="003F1E8A">
            <w:pPr>
              <w:pStyle w:val="Heading2"/>
              <w:spacing w:before="120" w:after="120"/>
              <w:rPr>
                <w:rFonts w:ascii="Times New Roman" w:eastAsiaTheme="minorEastAsia" w:hAnsi="Times New Roman" w:cs="Times New Roman"/>
                <w:color w:val="auto"/>
                <w:sz w:val="24"/>
                <w:szCs w:val="24"/>
                <w:u w:val="single"/>
              </w:rPr>
            </w:pPr>
            <w:r w:rsidRPr="003F1E8A">
              <w:rPr>
                <w:rFonts w:ascii="Times New Roman" w:eastAsiaTheme="minorEastAsia" w:hAnsi="Times New Roman" w:cs="Times New Roman"/>
                <w:color w:val="auto"/>
                <w:sz w:val="24"/>
                <w:szCs w:val="24"/>
                <w:u w:val="single"/>
              </w:rPr>
              <w:t>Event</w:t>
            </w:r>
          </w:p>
        </w:tc>
      </w:tr>
      <w:tr w:rsidR="003F1E8A" w:rsidRPr="003F1E8A" w:rsidTr="003F1E8A">
        <w:tc>
          <w:tcPr>
            <w:tcW w:w="2898" w:type="dxa"/>
            <w:tcBorders>
              <w:top w:val="single" w:sz="4" w:space="0" w:color="auto"/>
              <w:left w:val="thinThickSmallGap" w:sz="24" w:space="0" w:color="auto"/>
              <w:bottom w:val="single" w:sz="4" w:space="0" w:color="auto"/>
              <w:right w:val="single" w:sz="4" w:space="0" w:color="auto"/>
            </w:tcBorders>
            <w:hideMark/>
          </w:tcPr>
          <w:p w:rsidR="003F1E8A" w:rsidRPr="003F1E8A" w:rsidRDefault="004B5B3A">
            <w:pPr>
              <w:spacing w:line="360" w:lineRule="auto"/>
              <w:rPr>
                <w:sz w:val="24"/>
                <w:szCs w:val="24"/>
              </w:rPr>
            </w:pPr>
            <w:r>
              <w:rPr>
                <w:sz w:val="24"/>
                <w:szCs w:val="24"/>
              </w:rPr>
              <w:t>January 28, 2016</w:t>
            </w:r>
          </w:p>
        </w:tc>
        <w:tc>
          <w:tcPr>
            <w:tcW w:w="6678" w:type="dxa"/>
            <w:tcBorders>
              <w:top w:val="single" w:sz="4" w:space="0" w:color="auto"/>
              <w:left w:val="single" w:sz="4" w:space="0" w:color="auto"/>
              <w:bottom w:val="single" w:sz="4" w:space="0" w:color="auto"/>
              <w:right w:val="thickThinSmallGap" w:sz="24" w:space="0" w:color="auto"/>
            </w:tcBorders>
            <w:hideMark/>
          </w:tcPr>
          <w:p w:rsidR="003F1E8A" w:rsidRPr="003F1E8A" w:rsidRDefault="003F1E8A">
            <w:pPr>
              <w:spacing w:line="360" w:lineRule="auto"/>
              <w:rPr>
                <w:sz w:val="24"/>
                <w:szCs w:val="24"/>
                <w:u w:val="single"/>
              </w:rPr>
            </w:pPr>
            <w:r w:rsidRPr="003F1E8A">
              <w:rPr>
                <w:sz w:val="24"/>
                <w:szCs w:val="24"/>
              </w:rPr>
              <w:t>Prehearing Conference</w:t>
            </w:r>
          </w:p>
        </w:tc>
      </w:tr>
      <w:tr w:rsidR="004B5B3A" w:rsidRPr="003F1E8A" w:rsidTr="003F1E8A">
        <w:tc>
          <w:tcPr>
            <w:tcW w:w="2898" w:type="dxa"/>
            <w:tcBorders>
              <w:top w:val="single" w:sz="4" w:space="0" w:color="auto"/>
              <w:left w:val="thinThickSmallGap" w:sz="24" w:space="0" w:color="auto"/>
              <w:bottom w:val="single" w:sz="4" w:space="0" w:color="auto"/>
              <w:right w:val="single" w:sz="4" w:space="0" w:color="auto"/>
            </w:tcBorders>
            <w:hideMark/>
          </w:tcPr>
          <w:p w:rsidR="004B5B3A" w:rsidRPr="003F1E8A" w:rsidRDefault="004B5B3A">
            <w:pPr>
              <w:spacing w:line="360" w:lineRule="auto"/>
              <w:rPr>
                <w:sz w:val="24"/>
                <w:szCs w:val="24"/>
              </w:rPr>
            </w:pPr>
            <w:r>
              <w:rPr>
                <w:sz w:val="24"/>
                <w:szCs w:val="24"/>
              </w:rPr>
              <w:t>February 25, 2016</w:t>
            </w:r>
          </w:p>
        </w:tc>
        <w:tc>
          <w:tcPr>
            <w:tcW w:w="6678" w:type="dxa"/>
            <w:tcBorders>
              <w:top w:val="single" w:sz="4" w:space="0" w:color="auto"/>
              <w:left w:val="single" w:sz="4" w:space="0" w:color="auto"/>
              <w:bottom w:val="single" w:sz="4" w:space="0" w:color="auto"/>
              <w:right w:val="thickThinSmallGap" w:sz="24" w:space="0" w:color="auto"/>
            </w:tcBorders>
            <w:hideMark/>
          </w:tcPr>
          <w:p w:rsidR="004B5B3A" w:rsidRPr="003F1E8A" w:rsidRDefault="004B5B3A">
            <w:pPr>
              <w:rPr>
                <w:sz w:val="24"/>
                <w:szCs w:val="24"/>
              </w:rPr>
            </w:pPr>
            <w:r w:rsidRPr="003F1E8A">
              <w:rPr>
                <w:sz w:val="24"/>
                <w:szCs w:val="24"/>
              </w:rPr>
              <w:t>Direct Testimony due – all parties</w:t>
            </w:r>
          </w:p>
        </w:tc>
      </w:tr>
      <w:tr w:rsidR="004B5B3A" w:rsidRPr="003F1E8A" w:rsidTr="003F1E8A">
        <w:tc>
          <w:tcPr>
            <w:tcW w:w="2898" w:type="dxa"/>
            <w:tcBorders>
              <w:top w:val="single" w:sz="4" w:space="0" w:color="auto"/>
              <w:left w:val="thinThickSmallGap" w:sz="24" w:space="0" w:color="auto"/>
              <w:bottom w:val="single" w:sz="4" w:space="0" w:color="auto"/>
              <w:right w:val="single" w:sz="4" w:space="0" w:color="auto"/>
            </w:tcBorders>
            <w:hideMark/>
          </w:tcPr>
          <w:p w:rsidR="004B5B3A" w:rsidRPr="003F1E8A" w:rsidRDefault="004B5B3A">
            <w:pPr>
              <w:spacing w:line="360" w:lineRule="auto"/>
              <w:rPr>
                <w:sz w:val="24"/>
                <w:szCs w:val="24"/>
              </w:rPr>
            </w:pPr>
            <w:r>
              <w:rPr>
                <w:sz w:val="24"/>
                <w:szCs w:val="24"/>
              </w:rPr>
              <w:t>March 24, 2016</w:t>
            </w:r>
          </w:p>
        </w:tc>
        <w:tc>
          <w:tcPr>
            <w:tcW w:w="6678" w:type="dxa"/>
            <w:tcBorders>
              <w:top w:val="single" w:sz="4" w:space="0" w:color="auto"/>
              <w:left w:val="single" w:sz="4" w:space="0" w:color="auto"/>
              <w:bottom w:val="single" w:sz="4" w:space="0" w:color="auto"/>
              <w:right w:val="thickThinSmallGap" w:sz="24" w:space="0" w:color="auto"/>
            </w:tcBorders>
            <w:hideMark/>
          </w:tcPr>
          <w:p w:rsidR="004B5B3A" w:rsidRPr="003F1E8A" w:rsidRDefault="004B5B3A">
            <w:pPr>
              <w:spacing w:line="360" w:lineRule="auto"/>
              <w:rPr>
                <w:sz w:val="24"/>
                <w:szCs w:val="24"/>
              </w:rPr>
            </w:pPr>
            <w:r w:rsidRPr="003F1E8A">
              <w:rPr>
                <w:sz w:val="24"/>
                <w:szCs w:val="24"/>
              </w:rPr>
              <w:t>Rebuttal Testimony due – all parties</w:t>
            </w:r>
          </w:p>
        </w:tc>
      </w:tr>
      <w:tr w:rsidR="004B5B3A" w:rsidRPr="003F1E8A" w:rsidTr="003F1E8A">
        <w:tc>
          <w:tcPr>
            <w:tcW w:w="2898" w:type="dxa"/>
            <w:tcBorders>
              <w:top w:val="single" w:sz="4" w:space="0" w:color="auto"/>
              <w:left w:val="thinThickSmallGap" w:sz="24" w:space="0" w:color="auto"/>
              <w:bottom w:val="single" w:sz="4" w:space="0" w:color="auto"/>
              <w:right w:val="single" w:sz="4" w:space="0" w:color="auto"/>
            </w:tcBorders>
            <w:hideMark/>
          </w:tcPr>
          <w:p w:rsidR="004B5B3A" w:rsidRPr="003F1E8A" w:rsidRDefault="004B5B3A">
            <w:pPr>
              <w:spacing w:line="360" w:lineRule="auto"/>
              <w:rPr>
                <w:sz w:val="24"/>
                <w:szCs w:val="24"/>
              </w:rPr>
            </w:pPr>
            <w:r>
              <w:rPr>
                <w:sz w:val="24"/>
                <w:szCs w:val="24"/>
              </w:rPr>
              <w:t>April 21, 2016</w:t>
            </w:r>
          </w:p>
        </w:tc>
        <w:tc>
          <w:tcPr>
            <w:tcW w:w="6678" w:type="dxa"/>
            <w:tcBorders>
              <w:top w:val="single" w:sz="4" w:space="0" w:color="auto"/>
              <w:left w:val="single" w:sz="4" w:space="0" w:color="auto"/>
              <w:bottom w:val="single" w:sz="4" w:space="0" w:color="auto"/>
              <w:right w:val="thickThinSmallGap" w:sz="24" w:space="0" w:color="auto"/>
            </w:tcBorders>
            <w:hideMark/>
          </w:tcPr>
          <w:p w:rsidR="004B5B3A" w:rsidRPr="003F1E8A" w:rsidRDefault="004B5B3A" w:rsidP="004B5B3A">
            <w:pPr>
              <w:spacing w:line="360" w:lineRule="auto"/>
              <w:rPr>
                <w:sz w:val="24"/>
                <w:szCs w:val="24"/>
              </w:rPr>
            </w:pPr>
            <w:r w:rsidRPr="003F1E8A">
              <w:rPr>
                <w:sz w:val="24"/>
                <w:szCs w:val="24"/>
              </w:rPr>
              <w:t xml:space="preserve">Evidentiary Hearings in </w:t>
            </w:r>
            <w:r>
              <w:rPr>
                <w:sz w:val="24"/>
                <w:szCs w:val="24"/>
              </w:rPr>
              <w:t>Harrisburg</w:t>
            </w:r>
            <w:r w:rsidRPr="003F1E8A">
              <w:rPr>
                <w:sz w:val="24"/>
                <w:szCs w:val="24"/>
              </w:rPr>
              <w:t xml:space="preserve"> beginning at 10 a.m. each day</w:t>
            </w:r>
          </w:p>
        </w:tc>
      </w:tr>
      <w:tr w:rsidR="004B5B3A" w:rsidRPr="003F1E8A" w:rsidTr="003F1E8A">
        <w:tc>
          <w:tcPr>
            <w:tcW w:w="2898" w:type="dxa"/>
            <w:tcBorders>
              <w:top w:val="single" w:sz="4" w:space="0" w:color="auto"/>
              <w:left w:val="thinThickSmallGap" w:sz="24" w:space="0" w:color="auto"/>
              <w:bottom w:val="single" w:sz="4" w:space="0" w:color="auto"/>
              <w:right w:val="single" w:sz="4" w:space="0" w:color="auto"/>
            </w:tcBorders>
            <w:hideMark/>
          </w:tcPr>
          <w:p w:rsidR="004B5B3A" w:rsidRPr="003F1E8A" w:rsidRDefault="004B5B3A">
            <w:pPr>
              <w:spacing w:line="360" w:lineRule="auto"/>
              <w:rPr>
                <w:sz w:val="24"/>
                <w:szCs w:val="24"/>
              </w:rPr>
            </w:pPr>
            <w:r>
              <w:rPr>
                <w:sz w:val="24"/>
                <w:szCs w:val="24"/>
              </w:rPr>
              <w:t>May 11, 2016</w:t>
            </w:r>
          </w:p>
        </w:tc>
        <w:tc>
          <w:tcPr>
            <w:tcW w:w="6678" w:type="dxa"/>
            <w:tcBorders>
              <w:top w:val="single" w:sz="4" w:space="0" w:color="auto"/>
              <w:left w:val="single" w:sz="4" w:space="0" w:color="auto"/>
              <w:bottom w:val="single" w:sz="4" w:space="0" w:color="auto"/>
              <w:right w:val="thickThinSmallGap" w:sz="24" w:space="0" w:color="auto"/>
            </w:tcBorders>
            <w:hideMark/>
          </w:tcPr>
          <w:p w:rsidR="004B5B3A" w:rsidRPr="003F1E8A" w:rsidRDefault="004B5B3A">
            <w:pPr>
              <w:spacing w:line="360" w:lineRule="auto"/>
              <w:rPr>
                <w:sz w:val="24"/>
                <w:szCs w:val="24"/>
              </w:rPr>
            </w:pPr>
            <w:r w:rsidRPr="003F1E8A">
              <w:rPr>
                <w:sz w:val="24"/>
                <w:szCs w:val="24"/>
              </w:rPr>
              <w:t xml:space="preserve">Main Briefs </w:t>
            </w:r>
          </w:p>
        </w:tc>
      </w:tr>
      <w:tr w:rsidR="004B5B3A" w:rsidRPr="003F1E8A" w:rsidTr="003A4494">
        <w:tc>
          <w:tcPr>
            <w:tcW w:w="2898" w:type="dxa"/>
            <w:tcBorders>
              <w:top w:val="single" w:sz="4" w:space="0" w:color="auto"/>
              <w:left w:val="thinThickSmallGap" w:sz="24" w:space="0" w:color="auto"/>
              <w:bottom w:val="thinThickSmallGap" w:sz="24" w:space="0" w:color="auto"/>
              <w:right w:val="single" w:sz="4" w:space="0" w:color="auto"/>
            </w:tcBorders>
            <w:hideMark/>
          </w:tcPr>
          <w:p w:rsidR="004B5B3A" w:rsidRPr="003F1E8A" w:rsidRDefault="004B5B3A">
            <w:pPr>
              <w:spacing w:line="360" w:lineRule="auto"/>
              <w:rPr>
                <w:sz w:val="24"/>
                <w:szCs w:val="24"/>
              </w:rPr>
            </w:pPr>
            <w:r>
              <w:rPr>
                <w:sz w:val="24"/>
                <w:szCs w:val="24"/>
              </w:rPr>
              <w:t>May 24, 2016</w:t>
            </w:r>
          </w:p>
        </w:tc>
        <w:tc>
          <w:tcPr>
            <w:tcW w:w="6678" w:type="dxa"/>
            <w:tcBorders>
              <w:top w:val="single" w:sz="4" w:space="0" w:color="auto"/>
              <w:left w:val="single" w:sz="4" w:space="0" w:color="auto"/>
              <w:bottom w:val="thinThickSmallGap" w:sz="24" w:space="0" w:color="auto"/>
              <w:right w:val="thickThinSmallGap" w:sz="24" w:space="0" w:color="auto"/>
            </w:tcBorders>
            <w:hideMark/>
          </w:tcPr>
          <w:p w:rsidR="004B5B3A" w:rsidRPr="003F1E8A" w:rsidRDefault="004B5B3A">
            <w:pPr>
              <w:spacing w:line="360" w:lineRule="auto"/>
              <w:rPr>
                <w:sz w:val="24"/>
                <w:szCs w:val="24"/>
              </w:rPr>
            </w:pPr>
            <w:r w:rsidRPr="003F1E8A">
              <w:rPr>
                <w:sz w:val="24"/>
                <w:szCs w:val="24"/>
              </w:rPr>
              <w:t xml:space="preserve">Reply Briefs </w:t>
            </w:r>
          </w:p>
        </w:tc>
      </w:tr>
    </w:tbl>
    <w:p w:rsidR="003F1E8A" w:rsidRPr="003F1E8A" w:rsidRDefault="003F1E8A" w:rsidP="003F1E8A">
      <w:pPr>
        <w:rPr>
          <w:sz w:val="24"/>
          <w:szCs w:val="24"/>
        </w:rPr>
      </w:pPr>
    </w:p>
    <w:p w:rsidR="003F1E8A" w:rsidRPr="003F1E8A" w:rsidRDefault="003F1E8A" w:rsidP="003F1E8A">
      <w:pPr>
        <w:spacing w:line="360" w:lineRule="auto"/>
        <w:rPr>
          <w:sz w:val="24"/>
          <w:szCs w:val="24"/>
        </w:rPr>
      </w:pPr>
      <w:r w:rsidRPr="003F1E8A">
        <w:rPr>
          <w:sz w:val="24"/>
          <w:szCs w:val="24"/>
        </w:rPr>
        <w:t>The parties are reminded of the Commission’s requirements for the preparation and filing of written testimony.  52 Pa.Code §</w:t>
      </w:r>
      <w:r w:rsidR="00303381">
        <w:rPr>
          <w:sz w:val="24"/>
          <w:szCs w:val="24"/>
        </w:rPr>
        <w:t xml:space="preserve"> </w:t>
      </w:r>
      <w:r w:rsidRPr="003F1E8A">
        <w:rPr>
          <w:sz w:val="24"/>
          <w:szCs w:val="24"/>
        </w:rPr>
        <w:t xml:space="preserve">5.412.  Written testimony must be accompanied by all exhibits to which it relates.  The above-stated dates are </w:t>
      </w:r>
      <w:r w:rsidRPr="003F1E8A">
        <w:rPr>
          <w:sz w:val="24"/>
          <w:szCs w:val="24"/>
          <w:u w:val="single"/>
        </w:rPr>
        <w:t>in-hand</w:t>
      </w:r>
      <w:r w:rsidRPr="003F1E8A">
        <w:rPr>
          <w:sz w:val="24"/>
          <w:szCs w:val="24"/>
        </w:rPr>
        <w:t xml:space="preserve"> dates for service on the parties and the Presiding Administrative Law Judge (“ALJ”).  The Company, statutory parties and the Presiding ALJ agree to accept email transmission of such material, so long as the subject email is received by 4:00 p.m. on the date due and provided the email is followed by sending a hard copy of the same material by first class mail postage prepaid on the same business day.  The email address of the Presiding ALJ is: </w:t>
      </w:r>
      <w:hyperlink r:id="rId9" w:history="1">
        <w:r w:rsidRPr="003F1E8A">
          <w:rPr>
            <w:rStyle w:val="Hyperlink"/>
            <w:sz w:val="24"/>
            <w:szCs w:val="24"/>
          </w:rPr>
          <w:t>malong@pa.gov</w:t>
        </w:r>
      </w:hyperlink>
      <w:r w:rsidRPr="003F1E8A">
        <w:rPr>
          <w:sz w:val="24"/>
          <w:szCs w:val="24"/>
        </w:rPr>
        <w:t>.  The Presiding ALJ will not accept facsimile transmissions greater than ten pages in length without prior authorization.  If in doubt, please call the office of the Presiding ALJ (412</w:t>
      </w:r>
      <w:r w:rsidRPr="003F1E8A">
        <w:rPr>
          <w:sz w:val="24"/>
          <w:szCs w:val="24"/>
        </w:rPr>
        <w:noBreakHyphen/>
        <w:t>565-3550).</w:t>
      </w:r>
    </w:p>
    <w:p w:rsidR="003F1E8A" w:rsidRPr="003F1E8A" w:rsidRDefault="003F1E8A" w:rsidP="003F1E8A">
      <w:pPr>
        <w:spacing w:line="360" w:lineRule="auto"/>
        <w:rPr>
          <w:sz w:val="24"/>
          <w:szCs w:val="24"/>
        </w:rPr>
      </w:pPr>
    </w:p>
    <w:p w:rsidR="003F1E8A" w:rsidRPr="003F1E8A" w:rsidRDefault="003F1E8A" w:rsidP="003F1E8A">
      <w:pPr>
        <w:spacing w:line="360" w:lineRule="auto"/>
        <w:rPr>
          <w:sz w:val="24"/>
          <w:szCs w:val="24"/>
        </w:rPr>
      </w:pPr>
      <w:r w:rsidRPr="003F1E8A">
        <w:rPr>
          <w:sz w:val="24"/>
          <w:szCs w:val="24"/>
        </w:rPr>
        <w:lastRenderedPageBreak/>
        <w:tab/>
      </w:r>
      <w:r w:rsidRPr="003F1E8A">
        <w:rPr>
          <w:sz w:val="24"/>
          <w:szCs w:val="24"/>
        </w:rPr>
        <w:tab/>
        <w:t xml:space="preserve">Hearings scheduled for </w:t>
      </w:r>
      <w:r w:rsidR="004B5B3A">
        <w:rPr>
          <w:sz w:val="24"/>
          <w:szCs w:val="24"/>
        </w:rPr>
        <w:t>Harrisburg w</w:t>
      </w:r>
      <w:r w:rsidRPr="003F1E8A">
        <w:rPr>
          <w:sz w:val="24"/>
          <w:szCs w:val="24"/>
        </w:rPr>
        <w:t>ill begin promptly at 10:00 a.m. each day.  The parties must confer before commencement of the hearings to schedule their witnesses so as to avoid “holes” or “dead time” during the hearings.</w:t>
      </w:r>
    </w:p>
    <w:p w:rsidR="003F1E8A" w:rsidRPr="003F1E8A" w:rsidRDefault="003F1E8A" w:rsidP="003F1E8A">
      <w:pPr>
        <w:spacing w:line="360" w:lineRule="auto"/>
        <w:rPr>
          <w:sz w:val="24"/>
          <w:szCs w:val="24"/>
        </w:rPr>
      </w:pPr>
    </w:p>
    <w:p w:rsidR="003F1E8A" w:rsidRPr="003F1E8A" w:rsidRDefault="003F1E8A" w:rsidP="003F1E8A">
      <w:pPr>
        <w:pStyle w:val="Footer"/>
        <w:tabs>
          <w:tab w:val="left" w:pos="720"/>
        </w:tabs>
        <w:spacing w:line="360" w:lineRule="auto"/>
        <w:jc w:val="center"/>
        <w:rPr>
          <w:b/>
          <w:sz w:val="24"/>
          <w:szCs w:val="24"/>
          <w:u w:val="single"/>
        </w:rPr>
      </w:pPr>
      <w:r w:rsidRPr="003F1E8A">
        <w:rPr>
          <w:b/>
          <w:sz w:val="24"/>
          <w:szCs w:val="24"/>
          <w:u w:val="single"/>
        </w:rPr>
        <w:t>Parties</w:t>
      </w:r>
    </w:p>
    <w:p w:rsidR="003F1E8A" w:rsidRPr="003F1E8A" w:rsidRDefault="003F1E8A" w:rsidP="003F1E8A">
      <w:pPr>
        <w:pStyle w:val="Footer"/>
        <w:tabs>
          <w:tab w:val="left" w:pos="720"/>
        </w:tabs>
        <w:spacing w:line="360" w:lineRule="auto"/>
        <w:jc w:val="center"/>
        <w:rPr>
          <w:b/>
          <w:sz w:val="24"/>
          <w:szCs w:val="24"/>
          <w:u w:val="single"/>
        </w:rPr>
      </w:pPr>
    </w:p>
    <w:p w:rsidR="003F1E8A" w:rsidRDefault="003F1E8A" w:rsidP="003F1E8A">
      <w:pPr>
        <w:spacing w:line="360" w:lineRule="auto"/>
        <w:rPr>
          <w:sz w:val="24"/>
          <w:szCs w:val="24"/>
        </w:rPr>
      </w:pPr>
      <w:r w:rsidRPr="003F1E8A">
        <w:rPr>
          <w:sz w:val="24"/>
          <w:szCs w:val="24"/>
        </w:rPr>
        <w:tab/>
      </w:r>
      <w:r w:rsidRPr="003F1E8A">
        <w:rPr>
          <w:sz w:val="24"/>
          <w:szCs w:val="24"/>
        </w:rPr>
        <w:tab/>
        <w:t>As of the date of this Order, the parties named above are the only active parties involved in this case.  A Service List of these parties is appended to this Order.</w:t>
      </w:r>
    </w:p>
    <w:p w:rsidR="00046137" w:rsidRDefault="00046137" w:rsidP="003F1E8A">
      <w:pPr>
        <w:spacing w:line="360" w:lineRule="auto"/>
        <w:rPr>
          <w:sz w:val="24"/>
          <w:szCs w:val="24"/>
        </w:rPr>
      </w:pPr>
    </w:p>
    <w:p w:rsidR="003F1E8A" w:rsidRDefault="00046137" w:rsidP="00046137">
      <w:pPr>
        <w:spacing w:line="360" w:lineRule="auto"/>
        <w:rPr>
          <w:sz w:val="24"/>
          <w:szCs w:val="24"/>
        </w:rPr>
      </w:pPr>
      <w:r>
        <w:rPr>
          <w:sz w:val="24"/>
          <w:szCs w:val="24"/>
        </w:rPr>
        <w:tab/>
      </w:r>
      <w:r>
        <w:rPr>
          <w:sz w:val="24"/>
          <w:szCs w:val="24"/>
        </w:rPr>
        <w:tab/>
      </w:r>
      <w:r w:rsidR="003F1E8A" w:rsidRPr="003F1E8A">
        <w:rPr>
          <w:sz w:val="24"/>
          <w:szCs w:val="24"/>
        </w:rPr>
        <w:t>The individual residential customers of Columbia, if any, who have filed protests, are advised that their interests are represented in this proceeding by the Office of Consumer Advocate.  The Office of Consumer Advocate may be contacted at 1-800-684-6560.</w:t>
      </w:r>
    </w:p>
    <w:p w:rsidR="00046137" w:rsidRDefault="00046137" w:rsidP="00046137">
      <w:pPr>
        <w:spacing w:line="360" w:lineRule="auto"/>
        <w:rPr>
          <w:sz w:val="24"/>
          <w:szCs w:val="24"/>
        </w:rPr>
      </w:pPr>
    </w:p>
    <w:p w:rsidR="00046137" w:rsidRDefault="00046137" w:rsidP="00046137">
      <w:pPr>
        <w:spacing w:line="360" w:lineRule="auto"/>
        <w:jc w:val="center"/>
        <w:rPr>
          <w:b/>
          <w:sz w:val="24"/>
          <w:szCs w:val="24"/>
          <w:u w:val="single"/>
        </w:rPr>
      </w:pPr>
      <w:r w:rsidRPr="00046137">
        <w:rPr>
          <w:b/>
          <w:sz w:val="24"/>
          <w:szCs w:val="24"/>
          <w:u w:val="single"/>
        </w:rPr>
        <w:t>Petition to Intervene</w:t>
      </w:r>
    </w:p>
    <w:p w:rsidR="00046137" w:rsidRDefault="00046137" w:rsidP="00046137">
      <w:pPr>
        <w:spacing w:line="360" w:lineRule="auto"/>
        <w:jc w:val="center"/>
        <w:rPr>
          <w:sz w:val="24"/>
          <w:szCs w:val="24"/>
        </w:rPr>
      </w:pPr>
    </w:p>
    <w:p w:rsidR="00046137" w:rsidRPr="00046137" w:rsidRDefault="00046137" w:rsidP="00046137">
      <w:pPr>
        <w:spacing w:line="360" w:lineRule="auto"/>
        <w:rPr>
          <w:sz w:val="24"/>
          <w:szCs w:val="24"/>
        </w:rPr>
      </w:pPr>
      <w:r>
        <w:rPr>
          <w:sz w:val="24"/>
          <w:szCs w:val="24"/>
        </w:rPr>
        <w:tab/>
      </w:r>
      <w:r w:rsidR="006D1803">
        <w:rPr>
          <w:sz w:val="24"/>
          <w:szCs w:val="24"/>
        </w:rPr>
        <w:tab/>
      </w:r>
      <w:r>
        <w:rPr>
          <w:sz w:val="24"/>
          <w:szCs w:val="24"/>
        </w:rPr>
        <w:t>The petition to intervene of the Pennsylvania State University is granted.</w:t>
      </w:r>
    </w:p>
    <w:p w:rsidR="003F1E8A" w:rsidRPr="003F1E8A" w:rsidRDefault="003F1E8A" w:rsidP="003F1E8A">
      <w:pPr>
        <w:spacing w:line="360" w:lineRule="auto"/>
        <w:rPr>
          <w:sz w:val="24"/>
          <w:szCs w:val="24"/>
        </w:rPr>
      </w:pPr>
    </w:p>
    <w:p w:rsidR="003F1E8A" w:rsidRPr="003F1E8A" w:rsidRDefault="003F1E8A" w:rsidP="003F1E8A">
      <w:pPr>
        <w:pStyle w:val="Footer"/>
        <w:tabs>
          <w:tab w:val="left" w:pos="720"/>
        </w:tabs>
        <w:spacing w:line="360" w:lineRule="auto"/>
        <w:jc w:val="center"/>
        <w:rPr>
          <w:b/>
          <w:sz w:val="24"/>
          <w:szCs w:val="24"/>
          <w:u w:val="single"/>
        </w:rPr>
      </w:pPr>
      <w:r w:rsidRPr="003F1E8A">
        <w:rPr>
          <w:b/>
          <w:sz w:val="24"/>
          <w:szCs w:val="24"/>
          <w:u w:val="single"/>
        </w:rPr>
        <w:t>Discovery</w:t>
      </w:r>
    </w:p>
    <w:p w:rsidR="003F1E8A" w:rsidRPr="003F1E8A" w:rsidRDefault="003F1E8A" w:rsidP="003F1E8A">
      <w:pPr>
        <w:spacing w:line="360" w:lineRule="auto"/>
        <w:rPr>
          <w:sz w:val="24"/>
          <w:szCs w:val="24"/>
        </w:rPr>
      </w:pPr>
    </w:p>
    <w:p w:rsidR="003F1E8A" w:rsidRPr="003F1E8A" w:rsidRDefault="003F1E8A" w:rsidP="003F1E8A">
      <w:pPr>
        <w:spacing w:line="360" w:lineRule="auto"/>
        <w:rPr>
          <w:sz w:val="24"/>
          <w:szCs w:val="24"/>
        </w:rPr>
      </w:pPr>
      <w:r w:rsidRPr="003F1E8A">
        <w:rPr>
          <w:sz w:val="24"/>
          <w:szCs w:val="24"/>
        </w:rPr>
        <w:tab/>
      </w:r>
      <w:r w:rsidRPr="003F1E8A">
        <w:rPr>
          <w:sz w:val="24"/>
          <w:szCs w:val="24"/>
        </w:rPr>
        <w:tab/>
        <w:t>The parties shall engage in informal discovery whenever and wherever possible in an attempt to resolve any discovery disputes amicably.  52 Pa.Code §</w:t>
      </w:r>
      <w:r w:rsidR="00515246">
        <w:rPr>
          <w:sz w:val="24"/>
          <w:szCs w:val="24"/>
        </w:rPr>
        <w:t xml:space="preserve"> </w:t>
      </w:r>
      <w:r w:rsidRPr="003F1E8A">
        <w:rPr>
          <w:sz w:val="24"/>
          <w:szCs w:val="24"/>
        </w:rPr>
        <w:t>5.322.  If this process fails, the parties have recourse to the Commission’s procedures for formal discovery, as herein modified.  52 Pa.Code §§</w:t>
      </w:r>
      <w:r w:rsidR="00303381">
        <w:rPr>
          <w:sz w:val="24"/>
          <w:szCs w:val="24"/>
        </w:rPr>
        <w:t xml:space="preserve"> </w:t>
      </w:r>
      <w:r w:rsidRPr="003F1E8A">
        <w:rPr>
          <w:sz w:val="24"/>
          <w:szCs w:val="24"/>
        </w:rPr>
        <w:t xml:space="preserve">5.321, </w:t>
      </w:r>
      <w:r w:rsidRPr="003F1E8A">
        <w:rPr>
          <w:i/>
          <w:sz w:val="24"/>
          <w:szCs w:val="24"/>
        </w:rPr>
        <w:t>et</w:t>
      </w:r>
      <w:r w:rsidRPr="003F1E8A">
        <w:rPr>
          <w:sz w:val="24"/>
          <w:szCs w:val="24"/>
        </w:rPr>
        <w:t xml:space="preserve"> </w:t>
      </w:r>
      <w:r w:rsidRPr="003F1E8A">
        <w:rPr>
          <w:i/>
          <w:sz w:val="24"/>
          <w:szCs w:val="24"/>
        </w:rPr>
        <w:t>seq</w:t>
      </w:r>
      <w:r w:rsidRPr="003F1E8A">
        <w:rPr>
          <w:sz w:val="24"/>
          <w:szCs w:val="24"/>
        </w:rPr>
        <w:t>.  The parties must not send the Presiding ALJ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rsidR="003F1E8A" w:rsidRDefault="003F1E8A" w:rsidP="003F1E8A">
      <w:pPr>
        <w:spacing w:line="360" w:lineRule="auto"/>
        <w:rPr>
          <w:sz w:val="24"/>
          <w:szCs w:val="24"/>
        </w:rPr>
      </w:pPr>
    </w:p>
    <w:p w:rsidR="00303381" w:rsidRDefault="00303381" w:rsidP="003F1E8A">
      <w:pPr>
        <w:spacing w:line="360" w:lineRule="auto"/>
        <w:rPr>
          <w:sz w:val="24"/>
          <w:szCs w:val="24"/>
        </w:rPr>
      </w:pPr>
    </w:p>
    <w:p w:rsidR="00303381" w:rsidRDefault="00303381" w:rsidP="003F1E8A">
      <w:pPr>
        <w:spacing w:line="360" w:lineRule="auto"/>
        <w:rPr>
          <w:sz w:val="24"/>
          <w:szCs w:val="24"/>
        </w:rPr>
      </w:pPr>
    </w:p>
    <w:p w:rsidR="00303381" w:rsidRPr="003F1E8A" w:rsidRDefault="00303381" w:rsidP="003F1E8A">
      <w:pPr>
        <w:spacing w:line="360" w:lineRule="auto"/>
        <w:rPr>
          <w:sz w:val="24"/>
          <w:szCs w:val="24"/>
        </w:rPr>
      </w:pPr>
    </w:p>
    <w:p w:rsidR="003F1E8A" w:rsidRPr="003F1E8A" w:rsidRDefault="003F1E8A" w:rsidP="003F1E8A">
      <w:pPr>
        <w:pStyle w:val="Footer"/>
        <w:tabs>
          <w:tab w:val="left" w:pos="720"/>
        </w:tabs>
        <w:spacing w:line="360" w:lineRule="auto"/>
        <w:jc w:val="center"/>
        <w:rPr>
          <w:sz w:val="24"/>
          <w:szCs w:val="24"/>
        </w:rPr>
      </w:pPr>
      <w:r w:rsidRPr="003F1E8A">
        <w:rPr>
          <w:b/>
          <w:sz w:val="24"/>
          <w:szCs w:val="24"/>
          <w:u w:val="single"/>
        </w:rPr>
        <w:lastRenderedPageBreak/>
        <w:t>Settlement and Stipulations</w:t>
      </w:r>
    </w:p>
    <w:p w:rsidR="003F1E8A" w:rsidRPr="003F1E8A" w:rsidRDefault="003F1E8A" w:rsidP="003F1E8A">
      <w:pPr>
        <w:pStyle w:val="Footer"/>
        <w:tabs>
          <w:tab w:val="left" w:pos="720"/>
        </w:tabs>
        <w:spacing w:line="360" w:lineRule="auto"/>
        <w:rPr>
          <w:sz w:val="24"/>
          <w:szCs w:val="24"/>
        </w:rPr>
      </w:pPr>
    </w:p>
    <w:p w:rsidR="003F1E8A" w:rsidRPr="003F1E8A" w:rsidRDefault="003F1E8A" w:rsidP="001141FC">
      <w:pPr>
        <w:pStyle w:val="Footer"/>
        <w:tabs>
          <w:tab w:val="clear" w:pos="4320"/>
          <w:tab w:val="clear" w:pos="8640"/>
        </w:tabs>
        <w:spacing w:line="360" w:lineRule="auto"/>
        <w:rPr>
          <w:sz w:val="24"/>
          <w:szCs w:val="24"/>
        </w:rPr>
      </w:pPr>
      <w:r w:rsidRPr="003F1E8A">
        <w:rPr>
          <w:sz w:val="24"/>
          <w:szCs w:val="24"/>
        </w:rPr>
        <w:tab/>
      </w:r>
      <w:r w:rsidRPr="003F1E8A">
        <w:rPr>
          <w:sz w:val="24"/>
          <w:szCs w:val="24"/>
        </w:rPr>
        <w:tab/>
        <w:t>The parties are reminded it is the Commission’s policy to encourage settlements.  52 Pa.Code §</w:t>
      </w:r>
      <w:r w:rsidR="002A142C">
        <w:rPr>
          <w:sz w:val="24"/>
          <w:szCs w:val="24"/>
        </w:rPr>
        <w:t xml:space="preserve"> </w:t>
      </w:r>
      <w:r w:rsidRPr="003F1E8A">
        <w:rPr>
          <w:sz w:val="24"/>
          <w:szCs w:val="24"/>
        </w:rPr>
        <w:t>5.231(a).  The parties are strongly urged to seriously explore this possibility.  If settlement is not feasible, the parties are encouraged to stipulate to any matters they reasonably can to expedite this proceeding, lessen the burden of time and expenses in litigation on all parties and conserve precious administra</w:t>
      </w:r>
      <w:r w:rsidR="002A142C">
        <w:rPr>
          <w:sz w:val="24"/>
          <w:szCs w:val="24"/>
        </w:rPr>
        <w:t>tive hearing resources.  52 Pa.</w:t>
      </w:r>
      <w:r w:rsidRPr="003F1E8A">
        <w:rPr>
          <w:sz w:val="24"/>
          <w:szCs w:val="24"/>
        </w:rPr>
        <w:t>Code §§</w:t>
      </w:r>
      <w:r w:rsidR="002A142C">
        <w:rPr>
          <w:sz w:val="24"/>
          <w:szCs w:val="24"/>
        </w:rPr>
        <w:t xml:space="preserve"> </w:t>
      </w:r>
      <w:r w:rsidRPr="003F1E8A">
        <w:rPr>
          <w:sz w:val="24"/>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2A142C" w:rsidRDefault="002A142C" w:rsidP="003F1E8A">
      <w:pPr>
        <w:pStyle w:val="Footer"/>
        <w:tabs>
          <w:tab w:val="left" w:pos="720"/>
        </w:tabs>
        <w:spacing w:line="360" w:lineRule="auto"/>
        <w:jc w:val="center"/>
        <w:rPr>
          <w:b/>
          <w:sz w:val="24"/>
          <w:szCs w:val="24"/>
          <w:u w:val="single"/>
        </w:rPr>
      </w:pPr>
    </w:p>
    <w:p w:rsidR="003F1E8A" w:rsidRPr="003F1E8A" w:rsidRDefault="003F1E8A" w:rsidP="003F1E8A">
      <w:pPr>
        <w:pStyle w:val="Footer"/>
        <w:tabs>
          <w:tab w:val="left" w:pos="720"/>
        </w:tabs>
        <w:spacing w:line="360" w:lineRule="auto"/>
        <w:jc w:val="center"/>
        <w:rPr>
          <w:sz w:val="24"/>
          <w:szCs w:val="24"/>
        </w:rPr>
      </w:pPr>
      <w:r w:rsidRPr="003F1E8A">
        <w:rPr>
          <w:b/>
          <w:sz w:val="24"/>
          <w:szCs w:val="24"/>
          <w:u w:val="single"/>
        </w:rPr>
        <w:t>Cross-Examination</w:t>
      </w:r>
    </w:p>
    <w:p w:rsidR="003F1E8A" w:rsidRPr="003F1E8A" w:rsidRDefault="003F1E8A" w:rsidP="003F1E8A">
      <w:pPr>
        <w:pStyle w:val="Footer"/>
        <w:tabs>
          <w:tab w:val="left" w:pos="720"/>
        </w:tabs>
        <w:spacing w:line="360" w:lineRule="auto"/>
        <w:rPr>
          <w:sz w:val="24"/>
          <w:szCs w:val="24"/>
        </w:rPr>
      </w:pPr>
    </w:p>
    <w:p w:rsidR="003F1E8A" w:rsidRPr="003F1E8A" w:rsidRDefault="003F1E8A" w:rsidP="001141FC">
      <w:pPr>
        <w:pStyle w:val="Footer"/>
        <w:tabs>
          <w:tab w:val="clear" w:pos="4320"/>
          <w:tab w:val="clear" w:pos="8640"/>
        </w:tabs>
        <w:spacing w:line="360" w:lineRule="auto"/>
        <w:rPr>
          <w:sz w:val="24"/>
          <w:szCs w:val="24"/>
        </w:rPr>
      </w:pPr>
      <w:r w:rsidRPr="003F1E8A">
        <w:rPr>
          <w:sz w:val="24"/>
          <w:szCs w:val="24"/>
        </w:rPr>
        <w:tab/>
      </w:r>
      <w:r w:rsidRPr="003F1E8A">
        <w:rPr>
          <w:sz w:val="24"/>
          <w:szCs w:val="24"/>
        </w:rPr>
        <w:tab/>
        <w:t>Friendly cross-examination or cumulative cross-examination will not be permitted.  52 Pa.Code §§</w:t>
      </w:r>
      <w:r w:rsidR="002A142C">
        <w:rPr>
          <w:sz w:val="24"/>
          <w:szCs w:val="24"/>
        </w:rPr>
        <w:t xml:space="preserve"> </w:t>
      </w:r>
      <w:r w:rsidRPr="003F1E8A">
        <w:rPr>
          <w:sz w:val="24"/>
          <w:szCs w:val="24"/>
        </w:rPr>
        <w:t>5.76 &amp; 5.243.</w:t>
      </w:r>
    </w:p>
    <w:p w:rsidR="003F1E8A" w:rsidRPr="003F1E8A" w:rsidRDefault="003F1E8A" w:rsidP="003F1E8A">
      <w:pPr>
        <w:pStyle w:val="Footer"/>
        <w:tabs>
          <w:tab w:val="left" w:pos="720"/>
        </w:tabs>
        <w:spacing w:line="360" w:lineRule="auto"/>
        <w:jc w:val="center"/>
        <w:rPr>
          <w:b/>
          <w:sz w:val="24"/>
          <w:szCs w:val="24"/>
          <w:u w:val="single"/>
        </w:rPr>
      </w:pPr>
    </w:p>
    <w:p w:rsidR="003F1E8A" w:rsidRPr="003F1E8A" w:rsidRDefault="003F1E8A" w:rsidP="003F1E8A">
      <w:pPr>
        <w:pStyle w:val="Footer"/>
        <w:tabs>
          <w:tab w:val="left" w:pos="720"/>
        </w:tabs>
        <w:spacing w:line="360" w:lineRule="auto"/>
        <w:jc w:val="center"/>
        <w:rPr>
          <w:sz w:val="24"/>
          <w:szCs w:val="24"/>
        </w:rPr>
      </w:pPr>
      <w:r w:rsidRPr="003F1E8A">
        <w:rPr>
          <w:b/>
          <w:sz w:val="24"/>
          <w:szCs w:val="24"/>
          <w:u w:val="single"/>
        </w:rPr>
        <w:t>Briefs</w:t>
      </w:r>
    </w:p>
    <w:p w:rsidR="003F1E8A" w:rsidRPr="003F1E8A" w:rsidRDefault="003F1E8A" w:rsidP="003F1E8A">
      <w:pPr>
        <w:pStyle w:val="Footer"/>
        <w:tabs>
          <w:tab w:val="left" w:pos="720"/>
        </w:tabs>
        <w:spacing w:line="360" w:lineRule="auto"/>
        <w:rPr>
          <w:sz w:val="24"/>
          <w:szCs w:val="24"/>
        </w:rPr>
      </w:pPr>
    </w:p>
    <w:p w:rsidR="003F1E8A" w:rsidRDefault="003F1E8A" w:rsidP="001141FC">
      <w:pPr>
        <w:pStyle w:val="Footer"/>
        <w:tabs>
          <w:tab w:val="clear" w:pos="4320"/>
          <w:tab w:val="clear" w:pos="8640"/>
        </w:tabs>
        <w:spacing w:line="360" w:lineRule="auto"/>
        <w:rPr>
          <w:sz w:val="24"/>
          <w:szCs w:val="24"/>
        </w:rPr>
      </w:pPr>
      <w:r w:rsidRPr="003F1E8A">
        <w:rPr>
          <w:sz w:val="24"/>
          <w:szCs w:val="24"/>
        </w:rPr>
        <w:tab/>
      </w:r>
      <w:r w:rsidRPr="003F1E8A">
        <w:rPr>
          <w:sz w:val="24"/>
          <w:szCs w:val="24"/>
        </w:rPr>
        <w:tab/>
        <w:t>The parties must comply with 52 Pa.Code §§</w:t>
      </w:r>
      <w:r w:rsidR="002A142C">
        <w:rPr>
          <w:sz w:val="24"/>
          <w:szCs w:val="24"/>
        </w:rPr>
        <w:t xml:space="preserve"> </w:t>
      </w:r>
      <w:r w:rsidRPr="003F1E8A">
        <w:rPr>
          <w:sz w:val="24"/>
          <w:szCs w:val="24"/>
        </w:rPr>
        <w:t xml:space="preserve">5.501, </w:t>
      </w:r>
      <w:r w:rsidRPr="003F1E8A">
        <w:rPr>
          <w:i/>
          <w:sz w:val="24"/>
          <w:szCs w:val="24"/>
        </w:rPr>
        <w:t>et</w:t>
      </w:r>
      <w:r w:rsidRPr="003F1E8A">
        <w:rPr>
          <w:sz w:val="24"/>
          <w:szCs w:val="24"/>
        </w:rPr>
        <w:t xml:space="preserve"> </w:t>
      </w:r>
      <w:r w:rsidRPr="003F1E8A">
        <w:rPr>
          <w:i/>
          <w:sz w:val="24"/>
          <w:szCs w:val="24"/>
        </w:rPr>
        <w:t>seq</w:t>
      </w:r>
      <w:r w:rsidRPr="003F1E8A">
        <w:rPr>
          <w:sz w:val="24"/>
          <w:szCs w:val="24"/>
        </w:rPr>
        <w:t xml:space="preserve">., regarding the preparation and filing of briefs.  Where possible, the parties shall submit to the Presiding ALJ </w:t>
      </w:r>
      <w:r w:rsidRPr="003F1E8A">
        <w:rPr>
          <w:b/>
          <w:sz w:val="24"/>
          <w:szCs w:val="24"/>
        </w:rPr>
        <w:t>one</w:t>
      </w:r>
      <w:r w:rsidRPr="003F1E8A">
        <w:rPr>
          <w:sz w:val="24"/>
          <w:szCs w:val="24"/>
        </w:rPr>
        <w:t xml:space="preserve"> hard copy of their briefs and one copy by email.  If a party cannot provide a copy by email or on computer disk, it must submit two hard copies of briefs.  The electronic version of a brief must be prepared on an IBM compatible system in </w:t>
      </w:r>
      <w:r w:rsidRPr="00046137">
        <w:rPr>
          <w:i/>
          <w:sz w:val="24"/>
          <w:szCs w:val="24"/>
        </w:rPr>
        <w:t>Microsoft Office Word 20</w:t>
      </w:r>
      <w:r w:rsidR="00046137">
        <w:rPr>
          <w:i/>
          <w:sz w:val="24"/>
          <w:szCs w:val="24"/>
        </w:rPr>
        <w:t>10</w:t>
      </w:r>
      <w:r w:rsidRPr="003F1E8A">
        <w:rPr>
          <w:sz w:val="24"/>
          <w:szCs w:val="24"/>
        </w:rPr>
        <w:t xml:space="preserve"> format or in an earlier version of this software application.  If in doubt, please call the office of the Presiding ALJ for clarification.</w:t>
      </w:r>
    </w:p>
    <w:p w:rsidR="00046137" w:rsidRDefault="00046137" w:rsidP="001141FC">
      <w:pPr>
        <w:pStyle w:val="Footer"/>
        <w:tabs>
          <w:tab w:val="clear" w:pos="4320"/>
          <w:tab w:val="clear" w:pos="8640"/>
        </w:tabs>
        <w:spacing w:line="360" w:lineRule="auto"/>
        <w:rPr>
          <w:sz w:val="24"/>
          <w:szCs w:val="24"/>
        </w:rPr>
      </w:pPr>
    </w:p>
    <w:p w:rsidR="002A142C" w:rsidRDefault="002A142C" w:rsidP="001141FC">
      <w:pPr>
        <w:pStyle w:val="Footer"/>
        <w:tabs>
          <w:tab w:val="clear" w:pos="4320"/>
          <w:tab w:val="clear" w:pos="8640"/>
        </w:tabs>
        <w:spacing w:line="360" w:lineRule="auto"/>
        <w:rPr>
          <w:sz w:val="24"/>
          <w:szCs w:val="24"/>
        </w:rPr>
      </w:pPr>
    </w:p>
    <w:p w:rsidR="002A142C" w:rsidRDefault="002A142C" w:rsidP="001141FC">
      <w:pPr>
        <w:pStyle w:val="Footer"/>
        <w:tabs>
          <w:tab w:val="clear" w:pos="4320"/>
          <w:tab w:val="clear" w:pos="8640"/>
        </w:tabs>
        <w:spacing w:line="360" w:lineRule="auto"/>
        <w:rPr>
          <w:sz w:val="24"/>
          <w:szCs w:val="24"/>
        </w:rPr>
      </w:pPr>
    </w:p>
    <w:p w:rsidR="002A142C" w:rsidRDefault="002A142C" w:rsidP="001141FC">
      <w:pPr>
        <w:pStyle w:val="Footer"/>
        <w:tabs>
          <w:tab w:val="clear" w:pos="4320"/>
          <w:tab w:val="clear" w:pos="8640"/>
        </w:tabs>
        <w:spacing w:line="360" w:lineRule="auto"/>
        <w:rPr>
          <w:sz w:val="24"/>
          <w:szCs w:val="24"/>
        </w:rPr>
      </w:pPr>
    </w:p>
    <w:p w:rsidR="00046137" w:rsidRPr="00115C0C" w:rsidRDefault="00046137" w:rsidP="00115C0C">
      <w:pPr>
        <w:pStyle w:val="Footer"/>
        <w:tabs>
          <w:tab w:val="clear" w:pos="4320"/>
          <w:tab w:val="clear" w:pos="8640"/>
        </w:tabs>
        <w:spacing w:line="360" w:lineRule="auto"/>
        <w:jc w:val="center"/>
        <w:rPr>
          <w:b/>
          <w:sz w:val="24"/>
          <w:szCs w:val="24"/>
          <w:u w:val="single"/>
        </w:rPr>
      </w:pPr>
      <w:r w:rsidRPr="00115C0C">
        <w:rPr>
          <w:b/>
          <w:sz w:val="24"/>
          <w:szCs w:val="24"/>
          <w:u w:val="single"/>
        </w:rPr>
        <w:lastRenderedPageBreak/>
        <w:t>Columbia v. PSU, C-2016-</w:t>
      </w:r>
      <w:r w:rsidR="000F56E4" w:rsidRPr="00115C0C">
        <w:rPr>
          <w:b/>
          <w:sz w:val="24"/>
          <w:szCs w:val="24"/>
          <w:u w:val="single"/>
        </w:rPr>
        <w:t>2522399</w:t>
      </w:r>
    </w:p>
    <w:p w:rsidR="00115C0C" w:rsidRDefault="000F56E4" w:rsidP="001141FC">
      <w:pPr>
        <w:pStyle w:val="Footer"/>
        <w:tabs>
          <w:tab w:val="clear" w:pos="4320"/>
          <w:tab w:val="clear" w:pos="8640"/>
        </w:tabs>
        <w:spacing w:line="360" w:lineRule="auto"/>
        <w:rPr>
          <w:sz w:val="24"/>
          <w:szCs w:val="24"/>
        </w:rPr>
      </w:pPr>
      <w:r>
        <w:rPr>
          <w:sz w:val="24"/>
          <w:szCs w:val="24"/>
        </w:rPr>
        <w:tab/>
      </w:r>
      <w:r>
        <w:rPr>
          <w:sz w:val="24"/>
          <w:szCs w:val="24"/>
        </w:rPr>
        <w:tab/>
      </w:r>
    </w:p>
    <w:p w:rsidR="003F1E8A" w:rsidRPr="003F1E8A" w:rsidRDefault="000F56E4" w:rsidP="002512B9">
      <w:pPr>
        <w:pStyle w:val="Footer"/>
        <w:tabs>
          <w:tab w:val="clear" w:pos="4320"/>
          <w:tab w:val="clear" w:pos="8640"/>
        </w:tabs>
        <w:spacing w:line="360" w:lineRule="auto"/>
        <w:ind w:firstLine="1440"/>
        <w:rPr>
          <w:sz w:val="24"/>
          <w:szCs w:val="24"/>
        </w:rPr>
      </w:pPr>
      <w:r>
        <w:rPr>
          <w:sz w:val="24"/>
          <w:szCs w:val="24"/>
        </w:rPr>
        <w:t>On January 18, 2016, PSU filed a certificate of satisfaction of the complaint against Columbia regarding the Snowshoe Lateral.  No party objected to the certificate of satisfaction.  Accordingly, the complaint will be marked closed.</w:t>
      </w:r>
    </w:p>
    <w:p w:rsidR="003F1E8A" w:rsidRPr="003F1E8A" w:rsidRDefault="003F1E8A" w:rsidP="003F1E8A">
      <w:pPr>
        <w:spacing w:line="360" w:lineRule="auto"/>
        <w:rPr>
          <w:b/>
          <w:sz w:val="24"/>
          <w:szCs w:val="24"/>
          <w:u w:val="single"/>
        </w:rPr>
      </w:pPr>
    </w:p>
    <w:p w:rsidR="003F1E8A" w:rsidRPr="003F1E8A" w:rsidRDefault="003F1E8A" w:rsidP="003F1E8A">
      <w:pPr>
        <w:pStyle w:val="Footer"/>
        <w:tabs>
          <w:tab w:val="left" w:pos="720"/>
        </w:tabs>
        <w:spacing w:line="360" w:lineRule="auto"/>
        <w:jc w:val="center"/>
        <w:rPr>
          <w:sz w:val="24"/>
          <w:szCs w:val="24"/>
        </w:rPr>
      </w:pPr>
      <w:r w:rsidRPr="003F1E8A">
        <w:rPr>
          <w:b/>
          <w:sz w:val="24"/>
          <w:szCs w:val="24"/>
          <w:u w:val="single"/>
        </w:rPr>
        <w:t>M</w:t>
      </w:r>
      <w:bookmarkStart w:id="0" w:name="_GoBack"/>
      <w:bookmarkEnd w:id="0"/>
      <w:r w:rsidRPr="003F1E8A">
        <w:rPr>
          <w:b/>
          <w:sz w:val="24"/>
          <w:szCs w:val="24"/>
          <w:u w:val="single"/>
        </w:rPr>
        <w:t>odification</w:t>
      </w:r>
    </w:p>
    <w:p w:rsidR="003F1E8A" w:rsidRPr="003F1E8A" w:rsidRDefault="003F1E8A" w:rsidP="003F1E8A">
      <w:pPr>
        <w:pStyle w:val="Footer"/>
        <w:tabs>
          <w:tab w:val="left" w:pos="720"/>
        </w:tabs>
        <w:spacing w:line="360" w:lineRule="auto"/>
        <w:rPr>
          <w:sz w:val="24"/>
          <w:szCs w:val="24"/>
        </w:rPr>
      </w:pPr>
    </w:p>
    <w:p w:rsidR="003F1E8A" w:rsidRPr="003F1E8A" w:rsidRDefault="003F1E8A" w:rsidP="001141FC">
      <w:pPr>
        <w:pStyle w:val="Footer"/>
        <w:tabs>
          <w:tab w:val="clear" w:pos="4320"/>
          <w:tab w:val="clear" w:pos="8640"/>
        </w:tabs>
        <w:spacing w:line="360" w:lineRule="auto"/>
        <w:rPr>
          <w:spacing w:val="-3"/>
          <w:sz w:val="24"/>
          <w:szCs w:val="24"/>
        </w:rPr>
      </w:pPr>
      <w:r w:rsidRPr="003F1E8A">
        <w:rPr>
          <w:sz w:val="24"/>
          <w:szCs w:val="24"/>
        </w:rPr>
        <w:tab/>
      </w:r>
      <w:r w:rsidRPr="003F1E8A">
        <w:rPr>
          <w:sz w:val="24"/>
          <w:szCs w:val="24"/>
        </w:rPr>
        <w:tab/>
        <w:t xml:space="preserve">Any of the provisions of this </w:t>
      </w:r>
      <w:r w:rsidRPr="003F1E8A">
        <w:rPr>
          <w:spacing w:val="-3"/>
          <w:sz w:val="24"/>
          <w:szCs w:val="24"/>
        </w:rPr>
        <w:t>Prehearing Order may be modified upon motion and good cause shown by any party in interest.</w:t>
      </w:r>
    </w:p>
    <w:p w:rsidR="003F1E8A" w:rsidRPr="003F1E8A" w:rsidRDefault="003F1E8A" w:rsidP="00050F93">
      <w:pPr>
        <w:pStyle w:val="Footer"/>
        <w:tabs>
          <w:tab w:val="left" w:pos="720"/>
        </w:tabs>
        <w:spacing w:line="360" w:lineRule="auto"/>
        <w:rPr>
          <w:spacing w:val="-3"/>
          <w:sz w:val="24"/>
          <w:szCs w:val="24"/>
        </w:rPr>
      </w:pPr>
    </w:p>
    <w:p w:rsidR="003F1E8A" w:rsidRPr="003F1E8A" w:rsidRDefault="003F1E8A" w:rsidP="00050F93">
      <w:pPr>
        <w:pStyle w:val="Footer"/>
        <w:tabs>
          <w:tab w:val="left" w:pos="720"/>
        </w:tabs>
        <w:spacing w:line="360" w:lineRule="auto"/>
        <w:rPr>
          <w:spacing w:val="-3"/>
          <w:sz w:val="24"/>
          <w:szCs w:val="24"/>
        </w:rPr>
      </w:pPr>
    </w:p>
    <w:p w:rsidR="003F1E8A" w:rsidRPr="003F1E8A" w:rsidRDefault="003F1E8A" w:rsidP="003F1E8A">
      <w:pPr>
        <w:tabs>
          <w:tab w:val="left" w:pos="0"/>
        </w:tabs>
        <w:jc w:val="both"/>
        <w:rPr>
          <w:sz w:val="24"/>
          <w:szCs w:val="24"/>
        </w:rPr>
      </w:pPr>
      <w:r w:rsidRPr="003F1E8A">
        <w:rPr>
          <w:sz w:val="24"/>
          <w:szCs w:val="24"/>
        </w:rPr>
        <w:t xml:space="preserve">Date: </w:t>
      </w:r>
      <w:r w:rsidR="00235956">
        <w:rPr>
          <w:sz w:val="24"/>
          <w:szCs w:val="24"/>
        </w:rPr>
        <w:t xml:space="preserve"> </w:t>
      </w:r>
      <w:r w:rsidR="00050F93">
        <w:rPr>
          <w:sz w:val="24"/>
          <w:szCs w:val="24"/>
          <w:u w:val="single"/>
        </w:rPr>
        <w:t>January 29, 2016</w:t>
      </w:r>
      <w:r w:rsidRPr="003F1E8A">
        <w:rPr>
          <w:sz w:val="24"/>
          <w:szCs w:val="24"/>
        </w:rPr>
        <w:tab/>
      </w:r>
      <w:r w:rsidRPr="003F1E8A">
        <w:rPr>
          <w:sz w:val="24"/>
          <w:szCs w:val="24"/>
        </w:rPr>
        <w:tab/>
      </w:r>
      <w:r w:rsidRPr="003F1E8A">
        <w:rPr>
          <w:sz w:val="24"/>
          <w:szCs w:val="24"/>
        </w:rPr>
        <w:tab/>
      </w:r>
      <w:r w:rsidRPr="003F1E8A">
        <w:rPr>
          <w:sz w:val="24"/>
          <w:szCs w:val="24"/>
        </w:rPr>
        <w:tab/>
        <w:t>_______________________________</w:t>
      </w:r>
      <w:r w:rsidR="00050F93">
        <w:rPr>
          <w:sz w:val="24"/>
          <w:szCs w:val="24"/>
        </w:rPr>
        <w:t>_____</w:t>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t>Mary D. Long</w:t>
      </w:r>
    </w:p>
    <w:p w:rsidR="003F1E8A" w:rsidRDefault="003F1E8A" w:rsidP="003F1E8A">
      <w:pPr>
        <w:tabs>
          <w:tab w:val="left" w:pos="0"/>
        </w:tabs>
        <w:jc w:val="both"/>
        <w:rPr>
          <w:sz w:val="24"/>
          <w:szCs w:val="24"/>
        </w:rPr>
      </w:pP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t>Administrative Law Judge</w:t>
      </w:r>
    </w:p>
    <w:p w:rsidR="00A77207" w:rsidRDefault="00A77207" w:rsidP="003F1E8A">
      <w:pPr>
        <w:tabs>
          <w:tab w:val="left" w:pos="0"/>
        </w:tabs>
        <w:jc w:val="both"/>
        <w:rPr>
          <w:sz w:val="24"/>
          <w:szCs w:val="24"/>
        </w:rPr>
      </w:pPr>
    </w:p>
    <w:p w:rsidR="00E9161C" w:rsidRDefault="00E9161C" w:rsidP="003F1E8A">
      <w:pPr>
        <w:tabs>
          <w:tab w:val="left" w:pos="0"/>
        </w:tabs>
        <w:jc w:val="both"/>
        <w:rPr>
          <w:sz w:val="24"/>
          <w:szCs w:val="24"/>
        </w:rPr>
        <w:sectPr w:rsidR="00E9161C" w:rsidSect="00C250A2">
          <w:footerReference w:type="default" r:id="rId10"/>
          <w:pgSz w:w="12240" w:h="15840" w:code="1"/>
          <w:pgMar w:top="1440" w:right="1440" w:bottom="1440" w:left="1440" w:header="720" w:footer="720" w:gutter="0"/>
          <w:cols w:space="720"/>
          <w:noEndnote/>
          <w:titlePg/>
          <w:docGrid w:linePitch="272"/>
        </w:sectPr>
      </w:pPr>
    </w:p>
    <w:p w:rsidR="00E9161C" w:rsidRDefault="00E9161C" w:rsidP="003F1E8A">
      <w:pPr>
        <w:tabs>
          <w:tab w:val="left" w:pos="0"/>
        </w:tabs>
        <w:jc w:val="both"/>
        <w:rPr>
          <w:sz w:val="24"/>
          <w:szCs w:val="24"/>
        </w:rPr>
        <w:sectPr w:rsidR="00E9161C" w:rsidSect="00C250A2">
          <w:pgSz w:w="12240" w:h="15840" w:code="1"/>
          <w:pgMar w:top="1440" w:right="1440" w:bottom="1440" w:left="1440" w:header="720" w:footer="720" w:gutter="0"/>
          <w:cols w:space="720"/>
          <w:noEndnote/>
          <w:titlePg/>
          <w:docGrid w:linePitch="272"/>
        </w:sectPr>
      </w:pPr>
    </w:p>
    <w:p w:rsidR="00A77207" w:rsidRDefault="0037731F" w:rsidP="00A77207">
      <w:pPr>
        <w:contextualSpacing/>
        <w:rPr>
          <w:rFonts w:ascii="Microsoft Sans Serif"/>
          <w:b/>
          <w:sz w:val="24"/>
          <w:u w:val="single"/>
        </w:rPr>
      </w:pPr>
      <w:r>
        <w:rPr>
          <w:rFonts w:ascii="Microsoft Sans Serif"/>
          <w:b/>
          <w:sz w:val="24"/>
          <w:u w:val="single"/>
        </w:rPr>
        <w:lastRenderedPageBreak/>
        <w:t>A</w:t>
      </w:r>
      <w:r w:rsidR="00A77207">
        <w:rPr>
          <w:rFonts w:ascii="Microsoft Sans Serif"/>
          <w:b/>
          <w:sz w:val="24"/>
          <w:u w:val="single"/>
        </w:rPr>
        <w:t xml:space="preserve">-2015-2513395 </w:t>
      </w:r>
      <w:r w:rsidR="00A77207" w:rsidRPr="004A4459">
        <w:rPr>
          <w:rFonts w:ascii="Microsoft Sans Serif"/>
          <w:b/>
          <w:sz w:val="24"/>
          <w:u w:val="single"/>
        </w:rPr>
        <w:t>APPLICATION OF COLUMBIA GAS OF PA FOR APPROVAL OF THE ABANDONMENT OF NATURAL GAS SERVICE TO SIX (6) NATURAL GAS SERVICE CUSTOMERS LOCATED IN CENTRE COUNTY, PA.</w:t>
      </w:r>
      <w:r w:rsidR="00A77207">
        <w:rPr>
          <w:rFonts w:ascii="Microsoft Sans Serif"/>
          <w:b/>
          <w:sz w:val="24"/>
          <w:u w:val="single"/>
        </w:rPr>
        <w:cr/>
      </w:r>
    </w:p>
    <w:p w:rsidR="00A77207" w:rsidRDefault="00A77207" w:rsidP="00A77207">
      <w:pPr>
        <w:contextualSpacing/>
        <w:rPr>
          <w:rFonts w:ascii="Microsoft Sans Serif"/>
          <w:b/>
          <w:sz w:val="24"/>
          <w:u w:val="single"/>
        </w:rPr>
        <w:sectPr w:rsidR="00A77207" w:rsidSect="00A77207">
          <w:type w:val="continuous"/>
          <w:pgSz w:w="12240" w:h="15840"/>
          <w:pgMar w:top="1440" w:right="1440" w:bottom="1440" w:left="1440" w:header="720" w:footer="720" w:gutter="0"/>
          <w:pgNumType w:start="1"/>
          <w:cols w:space="720"/>
          <w:titlePg/>
          <w:docGrid w:linePitch="360"/>
        </w:sectPr>
      </w:pPr>
    </w:p>
    <w:p w:rsidR="00A77207" w:rsidRDefault="00A77207" w:rsidP="00A77207">
      <w:pPr>
        <w:contextualSpacing/>
        <w:rPr>
          <w:rFonts w:ascii="Microsoft Sans Serif"/>
          <w:sz w:val="24"/>
        </w:rPr>
      </w:pPr>
      <w:r>
        <w:rPr>
          <w:rFonts w:ascii="Microsoft Sans Serif"/>
          <w:sz w:val="24"/>
        </w:rPr>
        <w:lastRenderedPageBreak/>
        <w:t>DEVIN T RYAN ESQUIRE</w:t>
      </w:r>
    </w:p>
    <w:p w:rsidR="00A77207" w:rsidRDefault="00A77207" w:rsidP="00A77207">
      <w:pPr>
        <w:contextualSpacing/>
        <w:rPr>
          <w:rFonts w:ascii="Microsoft Sans Serif"/>
          <w:sz w:val="24"/>
        </w:rPr>
      </w:pPr>
      <w:r>
        <w:rPr>
          <w:rFonts w:ascii="Microsoft Sans Serif"/>
          <w:sz w:val="24"/>
        </w:rPr>
        <w:t>MICHAEL W HASSELL ESQUIRE</w:t>
      </w:r>
    </w:p>
    <w:p w:rsidR="00A77207" w:rsidRDefault="00A77207" w:rsidP="00A77207">
      <w:pPr>
        <w:contextualSpacing/>
        <w:rPr>
          <w:rFonts w:ascii="Microsoft Sans Serif"/>
          <w:sz w:val="24"/>
        </w:rPr>
      </w:pPr>
      <w:r>
        <w:rPr>
          <w:rFonts w:ascii="Microsoft Sans Serif"/>
          <w:sz w:val="24"/>
        </w:rPr>
        <w:t>MICHAEL W GANG ESQUIRE</w:t>
      </w:r>
    </w:p>
    <w:p w:rsidR="00A77207" w:rsidRDefault="00A77207" w:rsidP="00A77207">
      <w:pPr>
        <w:contextualSpacing/>
        <w:rPr>
          <w:rFonts w:ascii="Microsoft Sans Serif"/>
          <w:sz w:val="24"/>
        </w:rPr>
      </w:pPr>
      <w:r w:rsidRPr="004A4459">
        <w:rPr>
          <w:rFonts w:ascii="Microsoft Sans Serif"/>
          <w:sz w:val="24"/>
        </w:rPr>
        <w:t>POST &amp; SCHELL, P.C</w:t>
      </w:r>
      <w:r>
        <w:rPr>
          <w:rFonts w:ascii="Microsoft Sans Serif"/>
          <w:sz w:val="24"/>
        </w:rPr>
        <w:cr/>
        <w:t>17 NORTH SECOND STREET</w:t>
      </w:r>
    </w:p>
    <w:p w:rsidR="00A77207" w:rsidRPr="004A4459" w:rsidRDefault="00A77207" w:rsidP="00A77207">
      <w:pPr>
        <w:contextualSpacing/>
        <w:rPr>
          <w:rFonts w:ascii="Microsoft Sans Serif"/>
          <w:sz w:val="24"/>
        </w:rPr>
      </w:pPr>
      <w:r w:rsidRPr="004A4459">
        <w:rPr>
          <w:rFonts w:ascii="Microsoft Sans Serif"/>
          <w:sz w:val="24"/>
        </w:rPr>
        <w:t>12TH FLOOR</w:t>
      </w:r>
    </w:p>
    <w:p w:rsidR="00A77207" w:rsidRDefault="00A77207" w:rsidP="00A77207">
      <w:pPr>
        <w:contextualSpacing/>
        <w:rPr>
          <w:rFonts w:ascii="Microsoft Sans Serif"/>
          <w:b/>
          <w:sz w:val="24"/>
        </w:rPr>
      </w:pPr>
      <w:r w:rsidRPr="004A4459">
        <w:rPr>
          <w:rFonts w:ascii="Microsoft Sans Serif"/>
          <w:sz w:val="24"/>
        </w:rPr>
        <w:t>HARRISBURG, PA 17101-1601</w:t>
      </w:r>
      <w:r>
        <w:rPr>
          <w:rFonts w:ascii="Microsoft Sans Serif"/>
          <w:sz w:val="24"/>
        </w:rPr>
        <w:cr/>
      </w:r>
      <w:r>
        <w:rPr>
          <w:rFonts w:ascii="Microsoft Sans Serif"/>
          <w:b/>
          <w:sz w:val="24"/>
        </w:rPr>
        <w:t>717.612.</w:t>
      </w:r>
      <w:r w:rsidRPr="004A4459">
        <w:rPr>
          <w:rFonts w:ascii="Microsoft Sans Serif"/>
          <w:b/>
          <w:sz w:val="24"/>
        </w:rPr>
        <w:t>6052</w:t>
      </w:r>
    </w:p>
    <w:p w:rsidR="00A77207" w:rsidRPr="004A4459" w:rsidRDefault="00A77207" w:rsidP="00A77207">
      <w:pPr>
        <w:contextualSpacing/>
      </w:pPr>
      <w:r>
        <w:rPr>
          <w:rFonts w:ascii="Microsoft Sans Serif"/>
          <w:b/>
          <w:sz w:val="24"/>
        </w:rPr>
        <w:t>717.612.</w:t>
      </w:r>
      <w:r w:rsidRPr="004A4459">
        <w:rPr>
          <w:rFonts w:ascii="Microsoft Sans Serif"/>
          <w:b/>
          <w:sz w:val="24"/>
        </w:rPr>
        <w:t>6029</w:t>
      </w:r>
    </w:p>
    <w:p w:rsidR="00A77207" w:rsidRPr="004A4459" w:rsidRDefault="00A77207" w:rsidP="00A77207">
      <w:pPr>
        <w:contextualSpacing/>
        <w:rPr>
          <w:rFonts w:ascii="Microsoft Sans Serif"/>
          <w:b/>
          <w:sz w:val="24"/>
        </w:rPr>
      </w:pPr>
      <w:r>
        <w:rPr>
          <w:rFonts w:ascii="Microsoft Sans Serif"/>
          <w:b/>
          <w:sz w:val="24"/>
        </w:rPr>
        <w:t>717.731.</w:t>
      </w:r>
      <w:r w:rsidRPr="004A4459">
        <w:rPr>
          <w:rFonts w:ascii="Microsoft Sans Serif"/>
          <w:b/>
          <w:sz w:val="24"/>
        </w:rPr>
        <w:t>1970</w:t>
      </w:r>
    </w:p>
    <w:p w:rsidR="00A77207" w:rsidRPr="004A4459" w:rsidRDefault="00A77207" w:rsidP="00A77207">
      <w:pPr>
        <w:contextualSpacing/>
        <w:rPr>
          <w:rFonts w:ascii="Microsoft Sans Serif"/>
          <w:i/>
          <w:sz w:val="24"/>
        </w:rPr>
      </w:pPr>
      <w:r w:rsidRPr="004A4459">
        <w:rPr>
          <w:rFonts w:ascii="Microsoft Sans Serif"/>
          <w:i/>
          <w:sz w:val="24"/>
        </w:rPr>
        <w:t>Accepts E-service</w:t>
      </w:r>
    </w:p>
    <w:p w:rsidR="00A77207" w:rsidRDefault="00A77207" w:rsidP="00A77207">
      <w:pPr>
        <w:contextualSpacing/>
        <w:rPr>
          <w:rFonts w:ascii="Microsoft Sans Serif"/>
          <w:b/>
          <w:sz w:val="24"/>
        </w:rPr>
      </w:pPr>
      <w:r w:rsidRPr="004A4459">
        <w:rPr>
          <w:rFonts w:ascii="Microsoft Sans Serif"/>
          <w:i/>
          <w:sz w:val="24"/>
        </w:rPr>
        <w:t xml:space="preserve">Representing Columbia Gas of Pennsylvania, </w:t>
      </w:r>
      <w:proofErr w:type="spellStart"/>
      <w:r w:rsidRPr="004A4459">
        <w:rPr>
          <w:rFonts w:ascii="Microsoft Sans Serif"/>
          <w:i/>
          <w:sz w:val="24"/>
        </w:rPr>
        <w:t>Inc</w:t>
      </w:r>
      <w:proofErr w:type="spellEnd"/>
      <w:r w:rsidRPr="004A4459">
        <w:rPr>
          <w:rFonts w:ascii="Microsoft Sans Serif"/>
          <w:i/>
          <w:sz w:val="24"/>
        </w:rPr>
        <w:cr/>
      </w:r>
      <w:r>
        <w:rPr>
          <w:rFonts w:ascii="Microsoft Sans Serif"/>
          <w:sz w:val="24"/>
        </w:rPr>
        <w:cr/>
        <w:t>ANDREW S TUBBS ESQUIRE</w:t>
      </w:r>
      <w:r>
        <w:rPr>
          <w:rFonts w:ascii="Microsoft Sans Serif"/>
          <w:sz w:val="24"/>
        </w:rPr>
        <w:cr/>
        <w:t>NISOURCE CORPORATE SERVICES COMPANY</w:t>
      </w:r>
      <w:r>
        <w:rPr>
          <w:rFonts w:ascii="Microsoft Sans Serif"/>
          <w:sz w:val="24"/>
        </w:rPr>
        <w:cr/>
        <w:t>800 N THIRD STREET SUITE 204</w:t>
      </w:r>
      <w:r>
        <w:rPr>
          <w:rFonts w:ascii="Microsoft Sans Serif"/>
          <w:sz w:val="24"/>
        </w:rPr>
        <w:cr/>
        <w:t>HARRISBURG PA  17102</w:t>
      </w:r>
      <w:r>
        <w:rPr>
          <w:rFonts w:ascii="Microsoft Sans Serif"/>
          <w:sz w:val="24"/>
        </w:rPr>
        <w:cr/>
      </w:r>
      <w:r>
        <w:rPr>
          <w:rFonts w:ascii="Microsoft Sans Serif"/>
          <w:b/>
          <w:sz w:val="24"/>
        </w:rPr>
        <w:t>717.238.</w:t>
      </w:r>
      <w:r w:rsidRPr="004A4459">
        <w:rPr>
          <w:rFonts w:ascii="Microsoft Sans Serif"/>
          <w:b/>
          <w:sz w:val="24"/>
        </w:rPr>
        <w:t>0463</w:t>
      </w:r>
    </w:p>
    <w:p w:rsidR="00A77207" w:rsidRPr="004A4459" w:rsidRDefault="00A77207" w:rsidP="00A77207">
      <w:pPr>
        <w:contextualSpacing/>
        <w:rPr>
          <w:rFonts w:ascii="Microsoft Sans Serif"/>
          <w:i/>
          <w:sz w:val="24"/>
        </w:rPr>
      </w:pPr>
      <w:r w:rsidRPr="004A4459">
        <w:rPr>
          <w:rFonts w:ascii="Microsoft Sans Serif"/>
          <w:i/>
          <w:sz w:val="24"/>
        </w:rPr>
        <w:t>Accepts E-service</w:t>
      </w:r>
    </w:p>
    <w:p w:rsidR="00A77207" w:rsidRDefault="00A77207" w:rsidP="00A77207">
      <w:pPr>
        <w:contextualSpacing/>
        <w:rPr>
          <w:rFonts w:ascii="Microsoft Sans Serif"/>
          <w:b/>
          <w:sz w:val="24"/>
        </w:rPr>
      </w:pPr>
      <w:r w:rsidRPr="004A4459">
        <w:rPr>
          <w:rFonts w:ascii="Microsoft Sans Serif"/>
          <w:i/>
          <w:sz w:val="24"/>
        </w:rPr>
        <w:t xml:space="preserve">Representing Columbia Gas of Pennsylvania, </w:t>
      </w:r>
      <w:proofErr w:type="spellStart"/>
      <w:r w:rsidRPr="004A4459">
        <w:rPr>
          <w:rFonts w:ascii="Microsoft Sans Serif"/>
          <w:i/>
          <w:sz w:val="24"/>
        </w:rPr>
        <w:t>Inc</w:t>
      </w:r>
      <w:proofErr w:type="spellEnd"/>
      <w:r w:rsidRPr="004A4459">
        <w:rPr>
          <w:rFonts w:ascii="Microsoft Sans Serif"/>
          <w:b/>
          <w:sz w:val="24"/>
        </w:rPr>
        <w:cr/>
      </w:r>
      <w:r>
        <w:rPr>
          <w:rFonts w:ascii="Microsoft Sans Serif"/>
          <w:sz w:val="24"/>
        </w:rPr>
        <w:cr/>
        <w:t>THEODORE J GALLAGHER ESQUIRE</w:t>
      </w:r>
      <w:r>
        <w:rPr>
          <w:rFonts w:ascii="Microsoft Sans Serif"/>
          <w:sz w:val="24"/>
        </w:rPr>
        <w:cr/>
        <w:t>NISOURCE CORPORATE SERVICES COMPANY</w:t>
      </w:r>
      <w:r>
        <w:rPr>
          <w:rFonts w:ascii="Microsoft Sans Serif"/>
          <w:sz w:val="24"/>
        </w:rPr>
        <w:cr/>
        <w:t>121 CHAMPION WAY SUITE 100</w:t>
      </w:r>
      <w:r>
        <w:rPr>
          <w:rFonts w:ascii="Microsoft Sans Serif"/>
          <w:sz w:val="24"/>
        </w:rPr>
        <w:cr/>
        <w:t>CANONSBURG PA  15317</w:t>
      </w:r>
      <w:r>
        <w:rPr>
          <w:rFonts w:ascii="Microsoft Sans Serif"/>
          <w:sz w:val="24"/>
        </w:rPr>
        <w:cr/>
      </w:r>
      <w:r w:rsidRPr="004A4459">
        <w:rPr>
          <w:rFonts w:ascii="Microsoft Sans Serif"/>
          <w:b/>
          <w:sz w:val="24"/>
        </w:rPr>
        <w:t>724</w:t>
      </w:r>
      <w:r>
        <w:rPr>
          <w:rFonts w:ascii="Microsoft Sans Serif"/>
          <w:b/>
          <w:sz w:val="24"/>
        </w:rPr>
        <w:t>.416.</w:t>
      </w:r>
      <w:r w:rsidRPr="004A4459">
        <w:rPr>
          <w:rFonts w:ascii="Microsoft Sans Serif"/>
          <w:b/>
          <w:sz w:val="24"/>
        </w:rPr>
        <w:t>6355</w:t>
      </w:r>
    </w:p>
    <w:p w:rsidR="00A77207" w:rsidRPr="004A4459" w:rsidRDefault="00A77207" w:rsidP="00A77207">
      <w:pPr>
        <w:contextualSpacing/>
        <w:rPr>
          <w:rFonts w:ascii="Microsoft Sans Serif"/>
          <w:i/>
          <w:sz w:val="24"/>
        </w:rPr>
      </w:pPr>
      <w:r w:rsidRPr="004A4459">
        <w:rPr>
          <w:rFonts w:ascii="Microsoft Sans Serif"/>
          <w:i/>
          <w:sz w:val="24"/>
        </w:rPr>
        <w:t>Accepts E-service</w:t>
      </w:r>
    </w:p>
    <w:p w:rsidR="00A77207" w:rsidRDefault="00A77207" w:rsidP="00A77207">
      <w:pPr>
        <w:contextualSpacing/>
        <w:rPr>
          <w:rFonts w:ascii="Microsoft Sans Serif"/>
          <w:sz w:val="24"/>
        </w:rPr>
      </w:pPr>
      <w:r w:rsidRPr="004A4459">
        <w:rPr>
          <w:rFonts w:ascii="Microsoft Sans Serif"/>
          <w:i/>
          <w:sz w:val="24"/>
        </w:rPr>
        <w:t xml:space="preserve">Representing Columbia Gas of Pennsylvania, </w:t>
      </w:r>
      <w:proofErr w:type="spellStart"/>
      <w:r w:rsidRPr="004A4459">
        <w:rPr>
          <w:rFonts w:ascii="Microsoft Sans Serif"/>
          <w:i/>
          <w:sz w:val="24"/>
        </w:rPr>
        <w:t>Inc</w:t>
      </w:r>
      <w:proofErr w:type="spellEnd"/>
    </w:p>
    <w:p w:rsidR="008B493D" w:rsidRDefault="00A77207" w:rsidP="00A77207">
      <w:pPr>
        <w:contextualSpacing/>
        <w:rPr>
          <w:rFonts w:ascii="Microsoft Sans Serif"/>
          <w:sz w:val="24"/>
        </w:rPr>
      </w:pPr>
      <w:r>
        <w:rPr>
          <w:rFonts w:ascii="Microsoft Sans Serif"/>
          <w:sz w:val="24"/>
        </w:rPr>
        <w:cr/>
      </w:r>
    </w:p>
    <w:p w:rsidR="008B493D" w:rsidRDefault="008B493D" w:rsidP="00A77207">
      <w:pPr>
        <w:contextualSpacing/>
        <w:rPr>
          <w:rFonts w:ascii="Microsoft Sans Serif"/>
          <w:sz w:val="24"/>
        </w:rPr>
      </w:pPr>
    </w:p>
    <w:p w:rsidR="008B493D" w:rsidRDefault="008B493D" w:rsidP="00A77207">
      <w:pPr>
        <w:contextualSpacing/>
        <w:rPr>
          <w:rFonts w:ascii="Microsoft Sans Serif"/>
          <w:sz w:val="24"/>
        </w:rPr>
      </w:pPr>
    </w:p>
    <w:p w:rsidR="008B493D" w:rsidRDefault="008B493D" w:rsidP="00A77207">
      <w:pPr>
        <w:contextualSpacing/>
        <w:rPr>
          <w:rFonts w:ascii="Microsoft Sans Serif"/>
          <w:sz w:val="24"/>
        </w:rPr>
      </w:pPr>
    </w:p>
    <w:p w:rsidR="008B493D" w:rsidRDefault="008B493D" w:rsidP="00A77207">
      <w:pPr>
        <w:contextualSpacing/>
        <w:rPr>
          <w:rFonts w:ascii="Microsoft Sans Serif"/>
          <w:sz w:val="24"/>
        </w:rPr>
      </w:pPr>
    </w:p>
    <w:p w:rsidR="008B493D" w:rsidRDefault="008B493D" w:rsidP="00A77207">
      <w:pPr>
        <w:contextualSpacing/>
        <w:rPr>
          <w:rFonts w:ascii="Microsoft Sans Serif"/>
          <w:sz w:val="24"/>
        </w:rPr>
      </w:pPr>
    </w:p>
    <w:p w:rsidR="008B493D" w:rsidRDefault="008B493D" w:rsidP="00A77207">
      <w:pPr>
        <w:contextualSpacing/>
        <w:rPr>
          <w:rFonts w:ascii="Microsoft Sans Serif"/>
          <w:sz w:val="24"/>
        </w:rPr>
      </w:pPr>
    </w:p>
    <w:p w:rsidR="00A77207" w:rsidRDefault="00A77207" w:rsidP="00A77207">
      <w:pPr>
        <w:contextualSpacing/>
        <w:rPr>
          <w:rFonts w:ascii="Microsoft Sans Serif"/>
          <w:sz w:val="24"/>
        </w:rPr>
      </w:pPr>
      <w:r>
        <w:rPr>
          <w:rFonts w:ascii="Microsoft Sans Serif"/>
          <w:sz w:val="24"/>
        </w:rPr>
        <w:lastRenderedPageBreak/>
        <w:t>AMY E HIRAKIS ESQUIRE</w:t>
      </w:r>
      <w:r>
        <w:rPr>
          <w:rFonts w:ascii="Microsoft Sans Serif"/>
          <w:sz w:val="24"/>
        </w:rPr>
        <w:cr/>
        <w:t>OFFICE OF CONSUMER ADVOCATE</w:t>
      </w:r>
      <w:r>
        <w:rPr>
          <w:rFonts w:ascii="Microsoft Sans Serif"/>
          <w:sz w:val="24"/>
        </w:rPr>
        <w:cr/>
        <w:t>5TH FLOOR FORUM PLACE 555 WALNUT STREET</w:t>
      </w:r>
      <w:r>
        <w:rPr>
          <w:rFonts w:ascii="Microsoft Sans Serif"/>
          <w:sz w:val="24"/>
        </w:rPr>
        <w:cr/>
        <w:t>HARRISBURG PA  17101</w:t>
      </w:r>
      <w:r>
        <w:rPr>
          <w:rFonts w:ascii="Microsoft Sans Serif"/>
          <w:sz w:val="24"/>
        </w:rPr>
        <w:cr/>
      </w:r>
      <w:r>
        <w:rPr>
          <w:rFonts w:ascii="Microsoft Sans Serif"/>
          <w:b/>
          <w:sz w:val="24"/>
        </w:rPr>
        <w:t>717.783.</w:t>
      </w:r>
      <w:r w:rsidRPr="00B129A9">
        <w:rPr>
          <w:rFonts w:ascii="Microsoft Sans Serif"/>
          <w:b/>
          <w:sz w:val="24"/>
        </w:rPr>
        <w:t>5048</w:t>
      </w:r>
    </w:p>
    <w:p w:rsidR="00A77207" w:rsidRPr="00B129A9" w:rsidRDefault="00A77207" w:rsidP="00A77207">
      <w:pPr>
        <w:contextualSpacing/>
        <w:rPr>
          <w:rFonts w:ascii="Microsoft Sans Serif"/>
          <w:i/>
          <w:sz w:val="24"/>
        </w:rPr>
      </w:pPr>
      <w:r w:rsidRPr="00B129A9">
        <w:rPr>
          <w:rFonts w:ascii="Microsoft Sans Serif"/>
          <w:i/>
          <w:sz w:val="24"/>
        </w:rPr>
        <w:t>Does not accept E-service</w:t>
      </w:r>
    </w:p>
    <w:p w:rsidR="00A77207" w:rsidRDefault="00A77207" w:rsidP="00A77207">
      <w:pPr>
        <w:contextualSpacing/>
        <w:rPr>
          <w:rFonts w:ascii="Microsoft Sans Serif"/>
          <w:sz w:val="24"/>
        </w:rPr>
      </w:pPr>
      <w:r>
        <w:rPr>
          <w:rFonts w:ascii="Microsoft Sans Serif"/>
          <w:i/>
          <w:sz w:val="24"/>
        </w:rPr>
        <w:t>Representing Office o</w:t>
      </w:r>
      <w:r w:rsidRPr="00B241B8">
        <w:rPr>
          <w:rFonts w:ascii="Microsoft Sans Serif"/>
          <w:i/>
          <w:sz w:val="24"/>
        </w:rPr>
        <w:t xml:space="preserve">f Consumer Advocate </w:t>
      </w:r>
      <w:r w:rsidRPr="00B241B8">
        <w:rPr>
          <w:rFonts w:ascii="Microsoft Sans Serif"/>
          <w:i/>
          <w:sz w:val="24"/>
        </w:rPr>
        <w:cr/>
      </w:r>
      <w:r w:rsidRPr="00B129A9">
        <w:rPr>
          <w:rFonts w:ascii="Microsoft Sans Serif"/>
          <w:i/>
          <w:sz w:val="24"/>
        </w:rPr>
        <w:cr/>
      </w:r>
      <w:r>
        <w:rPr>
          <w:rFonts w:ascii="Microsoft Sans Serif"/>
          <w:sz w:val="24"/>
        </w:rPr>
        <w:t>THOMAS SMITH</w:t>
      </w:r>
      <w:r>
        <w:rPr>
          <w:rFonts w:ascii="Microsoft Sans Serif"/>
          <w:sz w:val="24"/>
        </w:rPr>
        <w:cr/>
        <w:t>1752 EGYPT HOLLOW ROAD</w:t>
      </w:r>
      <w:r>
        <w:rPr>
          <w:rFonts w:ascii="Microsoft Sans Serif"/>
          <w:sz w:val="24"/>
        </w:rPr>
        <w:cr/>
        <w:t>BELLEFONTE PA  16823</w:t>
      </w:r>
    </w:p>
    <w:p w:rsidR="00A77207" w:rsidRPr="00B241B8" w:rsidRDefault="00A77207" w:rsidP="00A77207">
      <w:pPr>
        <w:contextualSpacing/>
        <w:rPr>
          <w:rFonts w:ascii="Microsoft Sans Serif"/>
          <w:i/>
          <w:sz w:val="24"/>
        </w:rPr>
      </w:pPr>
      <w:r w:rsidRPr="00B129A9">
        <w:rPr>
          <w:rFonts w:ascii="Microsoft Sans Serif"/>
          <w:i/>
          <w:sz w:val="24"/>
        </w:rPr>
        <w:t>Protestant</w:t>
      </w:r>
      <w:r w:rsidRPr="00B129A9">
        <w:rPr>
          <w:rFonts w:ascii="Microsoft Sans Serif"/>
          <w:i/>
          <w:sz w:val="24"/>
        </w:rPr>
        <w:cr/>
      </w:r>
      <w:r>
        <w:rPr>
          <w:rFonts w:ascii="Microsoft Sans Serif"/>
          <w:sz w:val="24"/>
        </w:rPr>
        <w:cr/>
        <w:t>RHONDA DECKER</w:t>
      </w:r>
      <w:r>
        <w:rPr>
          <w:rFonts w:ascii="Microsoft Sans Serif"/>
          <w:sz w:val="24"/>
        </w:rPr>
        <w:cr/>
        <w:t>1706 EGYPT HOLLOW ROAD</w:t>
      </w:r>
      <w:r>
        <w:rPr>
          <w:rFonts w:ascii="Microsoft Sans Serif"/>
          <w:sz w:val="24"/>
        </w:rPr>
        <w:cr/>
        <w:t>BELLEFONTE PA  16823</w:t>
      </w:r>
      <w:r>
        <w:rPr>
          <w:rFonts w:ascii="Microsoft Sans Serif"/>
          <w:sz w:val="24"/>
        </w:rPr>
        <w:cr/>
      </w:r>
      <w:r>
        <w:rPr>
          <w:rFonts w:ascii="Microsoft Sans Serif"/>
          <w:b/>
          <w:sz w:val="24"/>
        </w:rPr>
        <w:t>814.355.</w:t>
      </w:r>
      <w:r w:rsidRPr="00B129A9">
        <w:rPr>
          <w:rFonts w:ascii="Microsoft Sans Serif"/>
          <w:b/>
          <w:sz w:val="24"/>
        </w:rPr>
        <w:t>7590</w:t>
      </w:r>
    </w:p>
    <w:p w:rsidR="00A77207" w:rsidRDefault="00A77207" w:rsidP="00A77207">
      <w:pPr>
        <w:contextualSpacing/>
        <w:rPr>
          <w:rFonts w:ascii="Microsoft Sans Serif"/>
          <w:sz w:val="24"/>
        </w:rPr>
      </w:pPr>
      <w:r w:rsidRPr="00B129A9">
        <w:rPr>
          <w:rFonts w:ascii="Microsoft Sans Serif"/>
          <w:i/>
          <w:sz w:val="24"/>
        </w:rPr>
        <w:t>Protestant</w:t>
      </w:r>
      <w:r>
        <w:rPr>
          <w:rFonts w:ascii="Microsoft Sans Serif"/>
          <w:sz w:val="24"/>
        </w:rPr>
        <w:t xml:space="preserve"> </w:t>
      </w:r>
      <w:r>
        <w:rPr>
          <w:rFonts w:ascii="Microsoft Sans Serif"/>
          <w:sz w:val="24"/>
        </w:rPr>
        <w:cr/>
      </w:r>
      <w:r>
        <w:rPr>
          <w:rFonts w:ascii="Microsoft Sans Serif"/>
          <w:sz w:val="24"/>
        </w:rPr>
        <w:cr/>
        <w:t>THOMAS J SNISCAK ESQUIRE</w:t>
      </w:r>
    </w:p>
    <w:p w:rsidR="00A77207" w:rsidRDefault="00A77207" w:rsidP="00A77207">
      <w:pPr>
        <w:contextualSpacing/>
        <w:rPr>
          <w:rFonts w:ascii="Microsoft Sans Serif"/>
          <w:sz w:val="24"/>
        </w:rPr>
      </w:pPr>
      <w:r>
        <w:rPr>
          <w:rFonts w:ascii="Microsoft Sans Serif"/>
          <w:sz w:val="24"/>
        </w:rPr>
        <w:t>CHRISTOPHER M ARFAA ESQUIRE</w:t>
      </w:r>
    </w:p>
    <w:p w:rsidR="00A77207" w:rsidRDefault="00A77207" w:rsidP="00A77207">
      <w:pPr>
        <w:contextualSpacing/>
        <w:rPr>
          <w:rFonts w:ascii="Microsoft Sans Serif"/>
          <w:b/>
          <w:sz w:val="24"/>
        </w:rPr>
      </w:pPr>
      <w:r>
        <w:rPr>
          <w:rFonts w:ascii="Microsoft Sans Serif"/>
          <w:sz w:val="24"/>
        </w:rPr>
        <w:t xml:space="preserve">WILLIAM E LEHMAN </w:t>
      </w:r>
      <w:proofErr w:type="gramStart"/>
      <w:r>
        <w:rPr>
          <w:rFonts w:ascii="Microsoft Sans Serif"/>
          <w:sz w:val="24"/>
        </w:rPr>
        <w:t xml:space="preserve">ESQUIRE </w:t>
      </w:r>
      <w:r>
        <w:rPr>
          <w:rFonts w:ascii="Microsoft Sans Serif"/>
          <w:sz w:val="24"/>
        </w:rPr>
        <w:cr/>
        <w:t>HAWKE</w:t>
      </w:r>
      <w:proofErr w:type="gramEnd"/>
      <w:r>
        <w:rPr>
          <w:rFonts w:ascii="Microsoft Sans Serif"/>
          <w:sz w:val="24"/>
        </w:rPr>
        <w:t xml:space="preserve"> MCKEON AND SNISCAK LLP</w:t>
      </w:r>
      <w:r>
        <w:rPr>
          <w:rFonts w:ascii="Microsoft Sans Serif"/>
          <w:sz w:val="24"/>
        </w:rPr>
        <w:cr/>
        <w:t>100 N TENTH STREET</w:t>
      </w:r>
      <w:r>
        <w:rPr>
          <w:rFonts w:ascii="Microsoft Sans Serif"/>
          <w:sz w:val="24"/>
        </w:rPr>
        <w:cr/>
        <w:t>HARRISBURG PA  17101</w:t>
      </w:r>
      <w:r>
        <w:rPr>
          <w:rFonts w:ascii="Microsoft Sans Serif"/>
          <w:sz w:val="24"/>
        </w:rPr>
        <w:cr/>
      </w:r>
      <w:r>
        <w:rPr>
          <w:rFonts w:ascii="Microsoft Sans Serif"/>
          <w:b/>
          <w:sz w:val="24"/>
        </w:rPr>
        <w:t>717.236.</w:t>
      </w:r>
      <w:r w:rsidRPr="00B129A9">
        <w:rPr>
          <w:rFonts w:ascii="Microsoft Sans Serif"/>
          <w:b/>
          <w:sz w:val="24"/>
        </w:rPr>
        <w:t>1300</w:t>
      </w:r>
    </w:p>
    <w:p w:rsidR="00A77207" w:rsidRPr="00B241B8" w:rsidRDefault="00A77207" w:rsidP="00A77207">
      <w:pPr>
        <w:contextualSpacing/>
        <w:rPr>
          <w:rFonts w:ascii="Microsoft Sans Serif"/>
          <w:i/>
          <w:sz w:val="24"/>
        </w:rPr>
      </w:pPr>
      <w:r w:rsidRPr="00B241B8">
        <w:rPr>
          <w:rFonts w:ascii="Microsoft Sans Serif"/>
          <w:i/>
          <w:sz w:val="24"/>
        </w:rPr>
        <w:t>Accepts E-service</w:t>
      </w:r>
    </w:p>
    <w:p w:rsidR="00A77207" w:rsidRDefault="00A77207" w:rsidP="00A77207">
      <w:pPr>
        <w:contextualSpacing/>
        <w:rPr>
          <w:rFonts w:ascii="Microsoft Sans Serif"/>
          <w:i/>
          <w:sz w:val="24"/>
        </w:rPr>
      </w:pPr>
      <w:r w:rsidRPr="00B241B8">
        <w:rPr>
          <w:rFonts w:ascii="Microsoft Sans Serif"/>
          <w:i/>
          <w:sz w:val="24"/>
        </w:rPr>
        <w:t xml:space="preserve">Representing The Pennsylvania </w:t>
      </w:r>
      <w:r>
        <w:rPr>
          <w:rFonts w:ascii="Microsoft Sans Serif"/>
          <w:i/>
          <w:sz w:val="24"/>
        </w:rPr>
        <w:t xml:space="preserve">State </w:t>
      </w:r>
      <w:r w:rsidRPr="00B241B8">
        <w:rPr>
          <w:rFonts w:ascii="Microsoft Sans Serif"/>
          <w:i/>
          <w:sz w:val="24"/>
        </w:rPr>
        <w:t xml:space="preserve">University </w:t>
      </w:r>
    </w:p>
    <w:p w:rsidR="00A77207" w:rsidRPr="00E763C2" w:rsidRDefault="00A77207" w:rsidP="00A77207">
      <w:pPr>
        <w:contextualSpacing/>
        <w:rPr>
          <w:rFonts w:ascii="Microsoft Sans Serif"/>
          <w:b/>
          <w:sz w:val="24"/>
        </w:rPr>
      </w:pPr>
      <w:r w:rsidRPr="00E763C2">
        <w:rPr>
          <w:rFonts w:ascii="Microsoft Sans Serif"/>
          <w:b/>
          <w:sz w:val="24"/>
        </w:rPr>
        <w:t>C-2016-2522399</w:t>
      </w:r>
      <w:r w:rsidRPr="00E763C2">
        <w:rPr>
          <w:rFonts w:ascii="Microsoft Sans Serif"/>
          <w:b/>
          <w:sz w:val="24"/>
        </w:rPr>
        <w:cr/>
      </w:r>
      <w:r w:rsidRPr="00E763C2">
        <w:rPr>
          <w:rFonts w:ascii="Microsoft Sans Serif"/>
          <w:b/>
          <w:sz w:val="24"/>
        </w:rPr>
        <w:cr/>
      </w:r>
    </w:p>
    <w:p w:rsidR="00CF105A" w:rsidRPr="007F54C9" w:rsidRDefault="00CF105A" w:rsidP="00A04652">
      <w:pPr>
        <w:rPr>
          <w:sz w:val="24"/>
          <w:szCs w:val="24"/>
        </w:rPr>
      </w:pPr>
    </w:p>
    <w:sectPr w:rsidR="00CF105A" w:rsidRPr="007F54C9" w:rsidSect="00A77207">
      <w:type w:val="continuous"/>
      <w:pgSz w:w="12240" w:h="15840"/>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184" w:rsidRDefault="00EF1184">
      <w:r>
        <w:separator/>
      </w:r>
    </w:p>
  </w:endnote>
  <w:endnote w:type="continuationSeparator" w:id="0">
    <w:p w:rsidR="00EF1184" w:rsidRDefault="00EF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03165"/>
      <w:docPartObj>
        <w:docPartGallery w:val="Page Numbers (Bottom of Page)"/>
        <w:docPartUnique/>
      </w:docPartObj>
    </w:sdtPr>
    <w:sdtEndPr/>
    <w:sdtContent>
      <w:p w:rsidR="009552D1" w:rsidRDefault="005D6DD5">
        <w:pPr>
          <w:pStyle w:val="Footer"/>
          <w:jc w:val="center"/>
        </w:pPr>
        <w:r>
          <w:fldChar w:fldCharType="begin"/>
        </w:r>
        <w:r>
          <w:instrText xml:space="preserve"> PAGE   \* MERGEFORMAT </w:instrText>
        </w:r>
        <w:r>
          <w:fldChar w:fldCharType="separate"/>
        </w:r>
        <w:r w:rsidR="00074A45">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184" w:rsidRDefault="00EF1184">
      <w:r>
        <w:separator/>
      </w:r>
    </w:p>
  </w:footnote>
  <w:footnote w:type="continuationSeparator" w:id="0">
    <w:p w:rsidR="00EF1184" w:rsidRDefault="00EF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658C"/>
    <w:rsid w:val="000256F9"/>
    <w:rsid w:val="00027C21"/>
    <w:rsid w:val="00036077"/>
    <w:rsid w:val="00045A07"/>
    <w:rsid w:val="00046137"/>
    <w:rsid w:val="00050F93"/>
    <w:rsid w:val="0005159B"/>
    <w:rsid w:val="000532BB"/>
    <w:rsid w:val="00064C9E"/>
    <w:rsid w:val="0006616F"/>
    <w:rsid w:val="00074A45"/>
    <w:rsid w:val="0007668B"/>
    <w:rsid w:val="000835DE"/>
    <w:rsid w:val="000A79CF"/>
    <w:rsid w:val="000C1954"/>
    <w:rsid w:val="000D03D4"/>
    <w:rsid w:val="000D12A6"/>
    <w:rsid w:val="000D410E"/>
    <w:rsid w:val="000F56E4"/>
    <w:rsid w:val="000F7DF9"/>
    <w:rsid w:val="00113368"/>
    <w:rsid w:val="00113681"/>
    <w:rsid w:val="001141FC"/>
    <w:rsid w:val="00115C0C"/>
    <w:rsid w:val="001228FE"/>
    <w:rsid w:val="001307B0"/>
    <w:rsid w:val="001358C8"/>
    <w:rsid w:val="001411C1"/>
    <w:rsid w:val="0014202A"/>
    <w:rsid w:val="00180EAC"/>
    <w:rsid w:val="00181D9C"/>
    <w:rsid w:val="00183FE8"/>
    <w:rsid w:val="001C0059"/>
    <w:rsid w:val="001D3056"/>
    <w:rsid w:val="001D4EEF"/>
    <w:rsid w:val="001F10AB"/>
    <w:rsid w:val="00211517"/>
    <w:rsid w:val="00215B22"/>
    <w:rsid w:val="00222B95"/>
    <w:rsid w:val="00225CCD"/>
    <w:rsid w:val="0022672F"/>
    <w:rsid w:val="002337DB"/>
    <w:rsid w:val="00235956"/>
    <w:rsid w:val="00242F41"/>
    <w:rsid w:val="0024462D"/>
    <w:rsid w:val="002512B9"/>
    <w:rsid w:val="00253A24"/>
    <w:rsid w:val="0025638D"/>
    <w:rsid w:val="0026231E"/>
    <w:rsid w:val="00262B34"/>
    <w:rsid w:val="00273A62"/>
    <w:rsid w:val="002839B6"/>
    <w:rsid w:val="002A142C"/>
    <w:rsid w:val="002B211C"/>
    <w:rsid w:val="002D1BF5"/>
    <w:rsid w:val="002F3D56"/>
    <w:rsid w:val="00303381"/>
    <w:rsid w:val="003312EF"/>
    <w:rsid w:val="00344FD4"/>
    <w:rsid w:val="003469F8"/>
    <w:rsid w:val="0036165A"/>
    <w:rsid w:val="00364717"/>
    <w:rsid w:val="0037731F"/>
    <w:rsid w:val="00392254"/>
    <w:rsid w:val="00392B5A"/>
    <w:rsid w:val="0039343D"/>
    <w:rsid w:val="003B09BA"/>
    <w:rsid w:val="003B444D"/>
    <w:rsid w:val="003D29CB"/>
    <w:rsid w:val="003E7C44"/>
    <w:rsid w:val="003F0F5C"/>
    <w:rsid w:val="003F1E8A"/>
    <w:rsid w:val="004240D7"/>
    <w:rsid w:val="004A5131"/>
    <w:rsid w:val="004B5B3A"/>
    <w:rsid w:val="004C0578"/>
    <w:rsid w:val="004C6BAE"/>
    <w:rsid w:val="004F1163"/>
    <w:rsid w:val="004F18CA"/>
    <w:rsid w:val="005009E4"/>
    <w:rsid w:val="00502B92"/>
    <w:rsid w:val="00503C51"/>
    <w:rsid w:val="00515246"/>
    <w:rsid w:val="00517116"/>
    <w:rsid w:val="005209D2"/>
    <w:rsid w:val="00522FAD"/>
    <w:rsid w:val="00547C1F"/>
    <w:rsid w:val="0057203E"/>
    <w:rsid w:val="005763E7"/>
    <w:rsid w:val="00581641"/>
    <w:rsid w:val="005B7F7B"/>
    <w:rsid w:val="005C1620"/>
    <w:rsid w:val="005C7BB2"/>
    <w:rsid w:val="005D6DD5"/>
    <w:rsid w:val="005D7995"/>
    <w:rsid w:val="005F1341"/>
    <w:rsid w:val="006016BD"/>
    <w:rsid w:val="0061329A"/>
    <w:rsid w:val="0061699B"/>
    <w:rsid w:val="006206AC"/>
    <w:rsid w:val="00637186"/>
    <w:rsid w:val="00647A53"/>
    <w:rsid w:val="00650B0F"/>
    <w:rsid w:val="006657A1"/>
    <w:rsid w:val="0066605D"/>
    <w:rsid w:val="0067160C"/>
    <w:rsid w:val="006A40F4"/>
    <w:rsid w:val="006B2624"/>
    <w:rsid w:val="006D1803"/>
    <w:rsid w:val="006D43E7"/>
    <w:rsid w:val="006E2700"/>
    <w:rsid w:val="006F2F0D"/>
    <w:rsid w:val="006F787B"/>
    <w:rsid w:val="00704BEC"/>
    <w:rsid w:val="00706B02"/>
    <w:rsid w:val="007217D0"/>
    <w:rsid w:val="007218D2"/>
    <w:rsid w:val="007273EB"/>
    <w:rsid w:val="00744553"/>
    <w:rsid w:val="007601AE"/>
    <w:rsid w:val="00790484"/>
    <w:rsid w:val="00791926"/>
    <w:rsid w:val="00791BC9"/>
    <w:rsid w:val="007C672D"/>
    <w:rsid w:val="007F54C9"/>
    <w:rsid w:val="00833190"/>
    <w:rsid w:val="0086609D"/>
    <w:rsid w:val="00872598"/>
    <w:rsid w:val="0088555A"/>
    <w:rsid w:val="0089090A"/>
    <w:rsid w:val="00893C6C"/>
    <w:rsid w:val="00894C3C"/>
    <w:rsid w:val="008A37C1"/>
    <w:rsid w:val="008B493D"/>
    <w:rsid w:val="008B7A3E"/>
    <w:rsid w:val="008E0E07"/>
    <w:rsid w:val="00901817"/>
    <w:rsid w:val="00907D59"/>
    <w:rsid w:val="0091286A"/>
    <w:rsid w:val="00914683"/>
    <w:rsid w:val="00916E79"/>
    <w:rsid w:val="00922C87"/>
    <w:rsid w:val="009270B7"/>
    <w:rsid w:val="00935336"/>
    <w:rsid w:val="0094003B"/>
    <w:rsid w:val="0095097D"/>
    <w:rsid w:val="009552D1"/>
    <w:rsid w:val="009A2B76"/>
    <w:rsid w:val="009A3201"/>
    <w:rsid w:val="009A3DC4"/>
    <w:rsid w:val="009B48B6"/>
    <w:rsid w:val="009E21B7"/>
    <w:rsid w:val="00A04652"/>
    <w:rsid w:val="00A163B6"/>
    <w:rsid w:val="00A225B6"/>
    <w:rsid w:val="00A268AC"/>
    <w:rsid w:val="00A3539D"/>
    <w:rsid w:val="00A42329"/>
    <w:rsid w:val="00A463E4"/>
    <w:rsid w:val="00A5183C"/>
    <w:rsid w:val="00A6550F"/>
    <w:rsid w:val="00A656A9"/>
    <w:rsid w:val="00A77207"/>
    <w:rsid w:val="00A82FD8"/>
    <w:rsid w:val="00A84909"/>
    <w:rsid w:val="00A87081"/>
    <w:rsid w:val="00AE1D85"/>
    <w:rsid w:val="00AF04CE"/>
    <w:rsid w:val="00B11C8E"/>
    <w:rsid w:val="00B17080"/>
    <w:rsid w:val="00B26135"/>
    <w:rsid w:val="00B4219B"/>
    <w:rsid w:val="00B43B0B"/>
    <w:rsid w:val="00B45EA7"/>
    <w:rsid w:val="00B56510"/>
    <w:rsid w:val="00B661B8"/>
    <w:rsid w:val="00BB1C71"/>
    <w:rsid w:val="00BC285D"/>
    <w:rsid w:val="00BC67CC"/>
    <w:rsid w:val="00BD4688"/>
    <w:rsid w:val="00BE4929"/>
    <w:rsid w:val="00BF145C"/>
    <w:rsid w:val="00BF78AB"/>
    <w:rsid w:val="00C24A39"/>
    <w:rsid w:val="00C250A2"/>
    <w:rsid w:val="00C32A8F"/>
    <w:rsid w:val="00C519D3"/>
    <w:rsid w:val="00C55CBE"/>
    <w:rsid w:val="00C90E90"/>
    <w:rsid w:val="00CA3117"/>
    <w:rsid w:val="00CC101E"/>
    <w:rsid w:val="00CC1E6B"/>
    <w:rsid w:val="00CC43EC"/>
    <w:rsid w:val="00CD02F5"/>
    <w:rsid w:val="00CE3E9C"/>
    <w:rsid w:val="00CF105A"/>
    <w:rsid w:val="00CF2A6C"/>
    <w:rsid w:val="00D21CAD"/>
    <w:rsid w:val="00D23153"/>
    <w:rsid w:val="00D40EA3"/>
    <w:rsid w:val="00D50286"/>
    <w:rsid w:val="00D548FF"/>
    <w:rsid w:val="00D83604"/>
    <w:rsid w:val="00D84A2E"/>
    <w:rsid w:val="00D85B60"/>
    <w:rsid w:val="00D86895"/>
    <w:rsid w:val="00D94FD2"/>
    <w:rsid w:val="00D9795F"/>
    <w:rsid w:val="00DB4A58"/>
    <w:rsid w:val="00DC6438"/>
    <w:rsid w:val="00DD7480"/>
    <w:rsid w:val="00DE4A64"/>
    <w:rsid w:val="00DF5498"/>
    <w:rsid w:val="00E13032"/>
    <w:rsid w:val="00E5205C"/>
    <w:rsid w:val="00E6101A"/>
    <w:rsid w:val="00E70C2C"/>
    <w:rsid w:val="00E9161C"/>
    <w:rsid w:val="00E92BCB"/>
    <w:rsid w:val="00E95514"/>
    <w:rsid w:val="00EB477C"/>
    <w:rsid w:val="00EB7050"/>
    <w:rsid w:val="00EB7D20"/>
    <w:rsid w:val="00EF1184"/>
    <w:rsid w:val="00EF7192"/>
    <w:rsid w:val="00EF7B50"/>
    <w:rsid w:val="00F01675"/>
    <w:rsid w:val="00F059DC"/>
    <w:rsid w:val="00F100BB"/>
    <w:rsid w:val="00F143D9"/>
    <w:rsid w:val="00F154EF"/>
    <w:rsid w:val="00F26710"/>
    <w:rsid w:val="00F36642"/>
    <w:rsid w:val="00F403B7"/>
    <w:rsid w:val="00F55519"/>
    <w:rsid w:val="00F7515D"/>
    <w:rsid w:val="00F8761A"/>
    <w:rsid w:val="00FC41CE"/>
    <w:rsid w:val="00FD191D"/>
    <w:rsid w:val="00FD56DC"/>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3F1E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rsid w:val="005B7F7B"/>
  </w:style>
  <w:style w:type="character" w:customStyle="1" w:styleId="Heading2Char">
    <w:name w:val="Heading 2 Char"/>
    <w:basedOn w:val="DefaultParagraphFont"/>
    <w:link w:val="Heading2"/>
    <w:semiHidden/>
    <w:rsid w:val="003F1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A04652"/>
    <w:rPr>
      <w:rFonts w:ascii="Tahoma" w:hAnsi="Tahoma" w:cs="Tahoma"/>
      <w:sz w:val="16"/>
      <w:szCs w:val="16"/>
    </w:rPr>
  </w:style>
  <w:style w:type="character" w:customStyle="1" w:styleId="BalloonTextChar">
    <w:name w:val="Balloon Text Char"/>
    <w:basedOn w:val="DefaultParagraphFont"/>
    <w:link w:val="BalloonText"/>
    <w:rsid w:val="00A04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3F1E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rsid w:val="005B7F7B"/>
  </w:style>
  <w:style w:type="character" w:customStyle="1" w:styleId="Heading2Char">
    <w:name w:val="Heading 2 Char"/>
    <w:basedOn w:val="DefaultParagraphFont"/>
    <w:link w:val="Heading2"/>
    <w:semiHidden/>
    <w:rsid w:val="003F1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A04652"/>
    <w:rPr>
      <w:rFonts w:ascii="Tahoma" w:hAnsi="Tahoma" w:cs="Tahoma"/>
      <w:sz w:val="16"/>
      <w:szCs w:val="16"/>
    </w:rPr>
  </w:style>
  <w:style w:type="character" w:customStyle="1" w:styleId="BalloonTextChar">
    <w:name w:val="Balloon Text Char"/>
    <w:basedOn w:val="DefaultParagraphFont"/>
    <w:link w:val="BalloonText"/>
    <w:rsid w:val="00A04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26633868">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61123-0AC9-48E0-8346-C577D736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18</cp:revision>
  <cp:lastPrinted>2016-01-29T14:23:00Z</cp:lastPrinted>
  <dcterms:created xsi:type="dcterms:W3CDTF">2016-01-28T20:44:00Z</dcterms:created>
  <dcterms:modified xsi:type="dcterms:W3CDTF">2016-01-29T15:06:00Z</dcterms:modified>
</cp:coreProperties>
</file>