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:rsidTr="00252E10">
        <w:tc>
          <w:tcPr>
            <w:tcW w:w="1363" w:type="dxa"/>
          </w:tcPr>
          <w:p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C631E21" wp14:editId="6187BF7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D46CD8" w:rsidRPr="008516FB" w:rsidRDefault="00D46CD8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BUREAU OF TECHNICAL UTILITY SERVICES</w:t>
            </w:r>
          </w:p>
          <w:p w:rsidR="00C53327" w:rsidRPr="008516FB" w:rsidRDefault="00C53327" w:rsidP="00252E10">
            <w:pPr>
              <w:jc w:val="center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53327" w:rsidRPr="008516FB" w:rsidRDefault="003E3258" w:rsidP="00C53327">
      <w:pPr>
        <w:jc w:val="center"/>
        <w:rPr>
          <w:sz w:val="24"/>
        </w:rPr>
      </w:pPr>
      <w:r>
        <w:rPr>
          <w:sz w:val="24"/>
        </w:rPr>
        <w:t>February 2, 2016</w:t>
      </w:r>
    </w:p>
    <w:p w:rsidR="00864640" w:rsidRDefault="00864640" w:rsidP="008646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56093E" w:rsidRPr="0056093E">
        <w:rPr>
          <w:sz w:val="24"/>
          <w:szCs w:val="24"/>
        </w:rPr>
        <w:t>M-2015-2518294</w:t>
      </w:r>
    </w:p>
    <w:p w:rsidR="00864640" w:rsidRDefault="00864640" w:rsidP="00864640">
      <w:pPr>
        <w:jc w:val="right"/>
        <w:rPr>
          <w:sz w:val="24"/>
          <w:szCs w:val="24"/>
        </w:rPr>
      </w:pPr>
      <w:r>
        <w:rPr>
          <w:sz w:val="24"/>
          <w:szCs w:val="24"/>
        </w:rPr>
        <w:t>Utility Code: 125042</w:t>
      </w:r>
    </w:p>
    <w:p w:rsidR="00C53327" w:rsidRDefault="00C53327" w:rsidP="00C53327">
      <w:pPr>
        <w:rPr>
          <w:sz w:val="24"/>
        </w:rPr>
      </w:pPr>
    </w:p>
    <w:p w:rsidR="00864640" w:rsidRPr="008516FB" w:rsidRDefault="00864640" w:rsidP="00C53327">
      <w:pPr>
        <w:rPr>
          <w:sz w:val="24"/>
        </w:rPr>
      </w:pPr>
    </w:p>
    <w:p w:rsidR="00864640" w:rsidRDefault="00864640" w:rsidP="00864640">
      <w:pPr>
        <w:rPr>
          <w:noProof/>
          <w:sz w:val="24"/>
        </w:rPr>
      </w:pPr>
      <w:r>
        <w:rPr>
          <w:noProof/>
          <w:sz w:val="24"/>
        </w:rPr>
        <w:t>RAYMOND J. WELTE</w:t>
      </w:r>
    </w:p>
    <w:p w:rsidR="00864640" w:rsidRDefault="00864640" w:rsidP="00864640">
      <w:pPr>
        <w:rPr>
          <w:noProof/>
          <w:sz w:val="24"/>
        </w:rPr>
      </w:pPr>
      <w:r>
        <w:rPr>
          <w:noProof/>
          <w:sz w:val="24"/>
        </w:rPr>
        <w:t>PHILADELPHIA GAS WORKS</w:t>
      </w:r>
    </w:p>
    <w:p w:rsidR="00864640" w:rsidRDefault="00864640" w:rsidP="00864640">
      <w:pPr>
        <w:rPr>
          <w:noProof/>
          <w:sz w:val="24"/>
        </w:rPr>
      </w:pPr>
      <w:r>
        <w:rPr>
          <w:noProof/>
          <w:sz w:val="24"/>
        </w:rPr>
        <w:t>800 W. MONTGOMERY AVENUE</w:t>
      </w:r>
    </w:p>
    <w:p w:rsidR="00864640" w:rsidRPr="009F3DB8" w:rsidRDefault="00864640" w:rsidP="00864640">
      <w:pPr>
        <w:jc w:val="both"/>
        <w:rPr>
          <w:sz w:val="24"/>
          <w:szCs w:val="24"/>
        </w:rPr>
      </w:pPr>
      <w:r>
        <w:rPr>
          <w:noProof/>
          <w:sz w:val="24"/>
        </w:rPr>
        <w:t>PHILADELPHIA, PA 19122</w:t>
      </w:r>
    </w:p>
    <w:p w:rsidR="002F6FE6" w:rsidRDefault="002F6FE6" w:rsidP="002F6FE6">
      <w:pPr>
        <w:jc w:val="both"/>
        <w:rPr>
          <w:sz w:val="24"/>
          <w:szCs w:val="24"/>
        </w:rPr>
      </w:pPr>
    </w:p>
    <w:p w:rsidR="00864640" w:rsidRPr="009F3DB8" w:rsidRDefault="00864640" w:rsidP="002F6FE6">
      <w:pPr>
        <w:jc w:val="both"/>
        <w:rPr>
          <w:sz w:val="24"/>
          <w:szCs w:val="24"/>
        </w:rPr>
      </w:pPr>
    </w:p>
    <w:p w:rsidR="00C53327" w:rsidRPr="008516FB" w:rsidRDefault="00C53327" w:rsidP="00C53327">
      <w:pPr>
        <w:rPr>
          <w:sz w:val="24"/>
        </w:rPr>
      </w:pPr>
    </w:p>
    <w:p w:rsidR="00C53327" w:rsidRPr="008516FB" w:rsidRDefault="00C53327" w:rsidP="00C53327">
      <w:pPr>
        <w:rPr>
          <w:sz w:val="24"/>
        </w:rPr>
      </w:pPr>
      <w:r w:rsidRPr="008516FB">
        <w:rPr>
          <w:sz w:val="24"/>
        </w:rPr>
        <w:tab/>
      </w:r>
      <w:r w:rsidR="00435CD9" w:rsidRPr="008516FB">
        <w:rPr>
          <w:sz w:val="24"/>
        </w:rPr>
        <w:tab/>
      </w:r>
      <w:r w:rsidRPr="008516FB">
        <w:rPr>
          <w:sz w:val="24"/>
        </w:rPr>
        <w:t xml:space="preserve">RE: </w:t>
      </w:r>
      <w:r w:rsidR="00864640">
        <w:rPr>
          <w:sz w:val="24"/>
        </w:rPr>
        <w:t>PGW</w:t>
      </w:r>
      <w:r w:rsidR="00845CED">
        <w:rPr>
          <w:sz w:val="24"/>
        </w:rPr>
        <w:t xml:space="preserve"> </w:t>
      </w:r>
      <w:r w:rsidR="00CD1A22">
        <w:rPr>
          <w:sz w:val="24"/>
        </w:rPr>
        <w:t>–</w:t>
      </w:r>
      <w:r w:rsidR="00845CED">
        <w:rPr>
          <w:sz w:val="24"/>
        </w:rPr>
        <w:t xml:space="preserve"> </w:t>
      </w:r>
      <w:r w:rsidR="002F6FE6">
        <w:rPr>
          <w:sz w:val="24"/>
        </w:rPr>
        <w:t>A</w:t>
      </w:r>
      <w:r w:rsidR="00CD1A22">
        <w:rPr>
          <w:sz w:val="24"/>
        </w:rPr>
        <w:t>nnual Asset Optimization Plan (A</w:t>
      </w:r>
      <w:r w:rsidR="002F6FE6">
        <w:rPr>
          <w:sz w:val="24"/>
        </w:rPr>
        <w:t>AOP</w:t>
      </w:r>
      <w:r w:rsidR="00CD1A22">
        <w:rPr>
          <w:sz w:val="24"/>
        </w:rPr>
        <w:t>)</w:t>
      </w:r>
      <w:r w:rsidR="002F6FE6">
        <w:rPr>
          <w:sz w:val="24"/>
        </w:rPr>
        <w:t xml:space="preserve"> filed </w:t>
      </w:r>
      <w:r w:rsidR="00CD1A22">
        <w:rPr>
          <w:sz w:val="24"/>
        </w:rPr>
        <w:t xml:space="preserve">December </w:t>
      </w:r>
      <w:r w:rsidR="00864640">
        <w:rPr>
          <w:sz w:val="24"/>
        </w:rPr>
        <w:t>1</w:t>
      </w:r>
      <w:r w:rsidR="0056093E">
        <w:rPr>
          <w:sz w:val="24"/>
        </w:rPr>
        <w:t>5</w:t>
      </w:r>
      <w:r w:rsidR="00CD1A22">
        <w:rPr>
          <w:sz w:val="24"/>
        </w:rPr>
        <w:t>, 20</w:t>
      </w:r>
      <w:r w:rsidR="0056093E">
        <w:rPr>
          <w:sz w:val="24"/>
        </w:rPr>
        <w:t>15</w:t>
      </w:r>
    </w:p>
    <w:p w:rsidR="00C53327" w:rsidRPr="008516FB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Dear </w:t>
      </w:r>
      <w:r w:rsidR="00316688">
        <w:rPr>
          <w:sz w:val="24"/>
          <w:szCs w:val="24"/>
        </w:rPr>
        <w:t xml:space="preserve">Mr. </w:t>
      </w:r>
      <w:r w:rsidR="00864640">
        <w:rPr>
          <w:sz w:val="24"/>
          <w:szCs w:val="24"/>
        </w:rPr>
        <w:t>Welte</w:t>
      </w:r>
      <w:r w:rsidRPr="008516FB">
        <w:rPr>
          <w:sz w:val="24"/>
          <w:szCs w:val="24"/>
        </w:rPr>
        <w:t>:</w:t>
      </w:r>
    </w:p>
    <w:p w:rsidR="00C53327" w:rsidRPr="003614E5" w:rsidRDefault="00C53327" w:rsidP="00C53327">
      <w:pPr>
        <w:rPr>
          <w:sz w:val="24"/>
          <w:szCs w:val="24"/>
        </w:rPr>
      </w:pPr>
    </w:p>
    <w:p w:rsidR="00D94B36" w:rsidRDefault="00D94B36" w:rsidP="00D5440D">
      <w:pPr>
        <w:pStyle w:val="BodyText"/>
        <w:spacing w:after="0"/>
        <w:ind w:right="540"/>
        <w:rPr>
          <w:sz w:val="24"/>
          <w:szCs w:val="24"/>
        </w:rPr>
      </w:pPr>
    </w:p>
    <w:p w:rsidR="00C53327" w:rsidRPr="00A96298" w:rsidRDefault="009D5A24" w:rsidP="008516FB">
      <w:pPr>
        <w:pStyle w:val="BodyText"/>
        <w:spacing w:after="0"/>
        <w:ind w:right="5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order </w:t>
      </w:r>
      <w:r w:rsidR="00D94B36">
        <w:rPr>
          <w:sz w:val="24"/>
          <w:szCs w:val="24"/>
        </w:rPr>
        <w:t>to assist</w:t>
      </w:r>
      <w:r w:rsidR="008516FB">
        <w:rPr>
          <w:sz w:val="24"/>
          <w:szCs w:val="24"/>
        </w:rPr>
        <w:t xml:space="preserve"> the Commission</w:t>
      </w:r>
      <w:r w:rsidR="000F48F8">
        <w:rPr>
          <w:sz w:val="24"/>
          <w:szCs w:val="24"/>
        </w:rPr>
        <w:t xml:space="preserve"> </w:t>
      </w:r>
      <w:r w:rsidR="00D94B36">
        <w:rPr>
          <w:sz w:val="24"/>
          <w:szCs w:val="24"/>
        </w:rPr>
        <w:t>in evaluating</w:t>
      </w:r>
      <w:r w:rsidR="002F6FE6">
        <w:rPr>
          <w:sz w:val="24"/>
          <w:szCs w:val="24"/>
        </w:rPr>
        <w:t xml:space="preserve"> </w:t>
      </w:r>
      <w:r w:rsidR="005A7938">
        <w:rPr>
          <w:sz w:val="24"/>
          <w:szCs w:val="24"/>
        </w:rPr>
        <w:t>P</w:t>
      </w:r>
      <w:r w:rsidR="00864640">
        <w:rPr>
          <w:sz w:val="24"/>
          <w:szCs w:val="24"/>
        </w:rPr>
        <w:t>hiladelphia Gas Works’</w:t>
      </w:r>
      <w:r w:rsidR="002F6FE6">
        <w:rPr>
          <w:sz w:val="24"/>
          <w:szCs w:val="24"/>
        </w:rPr>
        <w:t xml:space="preserve"> (</w:t>
      </w:r>
      <w:r w:rsidR="00864640">
        <w:rPr>
          <w:sz w:val="24"/>
          <w:szCs w:val="24"/>
        </w:rPr>
        <w:t>PGW</w:t>
      </w:r>
      <w:r w:rsidR="002F6FE6">
        <w:rPr>
          <w:sz w:val="24"/>
          <w:szCs w:val="24"/>
        </w:rPr>
        <w:t>) AAOP</w:t>
      </w:r>
      <w:r w:rsidR="00D94B36">
        <w:rPr>
          <w:sz w:val="24"/>
          <w:szCs w:val="24"/>
        </w:rPr>
        <w:t xml:space="preserve"> at Docket No.</w:t>
      </w:r>
      <w:proofErr w:type="gramEnd"/>
      <w:r w:rsidR="00D94B36">
        <w:rPr>
          <w:sz w:val="24"/>
          <w:szCs w:val="24"/>
        </w:rPr>
        <w:t xml:space="preserve"> </w:t>
      </w:r>
      <w:r w:rsidR="0056093E" w:rsidRPr="0056093E">
        <w:rPr>
          <w:sz w:val="24"/>
          <w:szCs w:val="24"/>
        </w:rPr>
        <w:t>M-2015-2518294</w:t>
      </w:r>
      <w:r w:rsidR="000F48F8">
        <w:rPr>
          <w:sz w:val="24"/>
          <w:szCs w:val="24"/>
        </w:rPr>
        <w:t xml:space="preserve">, </w:t>
      </w:r>
      <w:r w:rsidR="00451E07">
        <w:rPr>
          <w:sz w:val="24"/>
          <w:szCs w:val="24"/>
        </w:rPr>
        <w:t xml:space="preserve">please </w:t>
      </w:r>
      <w:r w:rsidR="00D5440D" w:rsidRPr="00D5440D">
        <w:rPr>
          <w:sz w:val="24"/>
          <w:szCs w:val="24"/>
        </w:rPr>
        <w:t xml:space="preserve">respond </w:t>
      </w:r>
      <w:r>
        <w:rPr>
          <w:sz w:val="24"/>
          <w:szCs w:val="24"/>
        </w:rPr>
        <w:t>with the information requested in Attachment 1</w:t>
      </w:r>
      <w:r w:rsidR="00D5440D" w:rsidRPr="00D5440D">
        <w:rPr>
          <w:sz w:val="24"/>
          <w:szCs w:val="24"/>
        </w:rPr>
        <w:t>.</w:t>
      </w:r>
      <w:r w:rsidR="000F48F8">
        <w:rPr>
          <w:sz w:val="24"/>
          <w:szCs w:val="24"/>
        </w:rPr>
        <w:t xml:space="preserve"> </w:t>
      </w:r>
      <w:r w:rsidR="000C0812">
        <w:rPr>
          <w:sz w:val="24"/>
          <w:szCs w:val="24"/>
        </w:rPr>
        <w:t xml:space="preserve">In addition to the hard-copy filing directions, below, please also email the </w:t>
      </w:r>
      <w:r w:rsidR="00D52BCA">
        <w:rPr>
          <w:sz w:val="24"/>
          <w:szCs w:val="24"/>
        </w:rPr>
        <w:t>Excel spreadsheet containing the information</w:t>
      </w:r>
      <w:r w:rsidR="000C0812">
        <w:rPr>
          <w:sz w:val="24"/>
          <w:szCs w:val="24"/>
        </w:rPr>
        <w:t xml:space="preserve"> to </w:t>
      </w:r>
      <w:hyperlink r:id="rId10" w:history="1">
        <w:r w:rsidR="000C0812" w:rsidRPr="00EF04F2">
          <w:rPr>
            <w:rStyle w:val="Hyperlink"/>
            <w:sz w:val="24"/>
            <w:szCs w:val="24"/>
          </w:rPr>
          <w:t>mattstewar@pa.gov</w:t>
        </w:r>
      </w:hyperlink>
      <w:r w:rsidR="000C0812">
        <w:rPr>
          <w:sz w:val="24"/>
          <w:szCs w:val="24"/>
        </w:rPr>
        <w:t xml:space="preserve">.  </w:t>
      </w:r>
    </w:p>
    <w:p w:rsidR="00D5440D" w:rsidRDefault="00D5440D" w:rsidP="00D5440D">
      <w:pPr>
        <w:ind w:left="720"/>
        <w:rPr>
          <w:sz w:val="24"/>
          <w:szCs w:val="24"/>
        </w:rPr>
      </w:pPr>
    </w:p>
    <w:p w:rsidR="00C53327" w:rsidRDefault="00C53327" w:rsidP="008516FB">
      <w:pPr>
        <w:ind w:right="-9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 </w:t>
      </w:r>
      <w:r w:rsidR="008376CD">
        <w:rPr>
          <w:b/>
          <w:sz w:val="24"/>
          <w:szCs w:val="24"/>
        </w:rPr>
        <w:t xml:space="preserve">by </w:t>
      </w:r>
      <w:r w:rsidR="00CD1A22">
        <w:rPr>
          <w:b/>
          <w:sz w:val="24"/>
          <w:szCs w:val="24"/>
        </w:rPr>
        <w:t>ten (10) days of the date of this letter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7232DE">
        <w:rPr>
          <w:sz w:val="24"/>
          <w:szCs w:val="24"/>
        </w:rPr>
        <w:t xml:space="preserve">Make sure to reference the Docket Number listed above when filing your response.  </w:t>
      </w:r>
      <w:r>
        <w:rPr>
          <w:sz w:val="24"/>
          <w:szCs w:val="24"/>
        </w:rPr>
        <w:t xml:space="preserve">Please note that some responses may be e-filed to your case,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252E10">
        <w:tc>
          <w:tcPr>
            <w:tcW w:w="414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252E10">
        <w:tc>
          <w:tcPr>
            <w:tcW w:w="414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252E1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252E10">
        <w:tc>
          <w:tcPr>
            <w:tcW w:w="414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252E10">
        <w:tc>
          <w:tcPr>
            <w:tcW w:w="414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252E1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0812" w:rsidRDefault="000C0812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C5332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C53327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</w:t>
      </w:r>
      <w:r w:rsidRPr="00D35C32">
        <w:rPr>
          <w:sz w:val="24"/>
          <w:szCs w:val="24"/>
        </w:rPr>
        <w:lastRenderedPageBreak/>
        <w:t>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232DE" w:rsidRDefault="007232DE" w:rsidP="007232DE">
      <w:pPr>
        <w:ind w:right="-90"/>
        <w:rPr>
          <w:sz w:val="24"/>
          <w:szCs w:val="24"/>
        </w:rPr>
      </w:pPr>
    </w:p>
    <w:p w:rsidR="007232DE" w:rsidRDefault="00C53327" w:rsidP="008516FB">
      <w:pPr>
        <w:ind w:right="-9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7232DE" w:rsidRDefault="007232DE" w:rsidP="007232DE">
      <w:pPr>
        <w:rPr>
          <w:sz w:val="24"/>
          <w:szCs w:val="24"/>
        </w:rPr>
      </w:pPr>
    </w:p>
    <w:p w:rsidR="00C53327" w:rsidRPr="008516FB" w:rsidRDefault="000C0812" w:rsidP="007232DE">
      <w:pPr>
        <w:rPr>
          <w:sz w:val="24"/>
          <w:szCs w:val="24"/>
        </w:rPr>
      </w:pPr>
      <w:r>
        <w:rPr>
          <w:sz w:val="24"/>
          <w:szCs w:val="24"/>
        </w:rPr>
        <w:t>If you have any questions on this matter, p</w:t>
      </w:r>
      <w:r w:rsidR="00C53327" w:rsidRPr="008516FB">
        <w:rPr>
          <w:sz w:val="24"/>
          <w:szCs w:val="24"/>
        </w:rPr>
        <w:t xml:space="preserve">lease </w:t>
      </w:r>
      <w:r>
        <w:rPr>
          <w:sz w:val="24"/>
          <w:szCs w:val="24"/>
        </w:rPr>
        <w:t>contact</w:t>
      </w:r>
      <w:r w:rsidR="00C53327" w:rsidRPr="008516FB">
        <w:rPr>
          <w:sz w:val="24"/>
          <w:szCs w:val="24"/>
        </w:rPr>
        <w:t xml:space="preserve"> </w:t>
      </w:r>
      <w:r w:rsidR="00D5440D" w:rsidRPr="008516FB">
        <w:rPr>
          <w:sz w:val="24"/>
          <w:szCs w:val="24"/>
        </w:rPr>
        <w:t>Matthew Stewart</w:t>
      </w:r>
      <w:r w:rsidR="00C53327" w:rsidRPr="008516FB">
        <w:rPr>
          <w:sz w:val="24"/>
          <w:szCs w:val="24"/>
        </w:rPr>
        <w:t xml:space="preserve">, Bureau of Technical Utility Services, </w:t>
      </w:r>
      <w:r w:rsidR="00D5440D" w:rsidRPr="000C0812">
        <w:rPr>
          <w:sz w:val="24"/>
          <w:szCs w:val="24"/>
        </w:rPr>
        <w:t xml:space="preserve">at </w:t>
      </w:r>
      <w:hyperlink r:id="rId13" w:history="1">
        <w:r w:rsidRPr="00EF04F2">
          <w:rPr>
            <w:rStyle w:val="Hyperlink"/>
            <w:sz w:val="24"/>
            <w:szCs w:val="24"/>
          </w:rPr>
          <w:t>mattstewar@pa.gov</w:t>
        </w:r>
      </w:hyperlink>
      <w:r>
        <w:rPr>
          <w:sz w:val="24"/>
          <w:szCs w:val="24"/>
        </w:rPr>
        <w:t xml:space="preserve">, </w:t>
      </w:r>
      <w:r w:rsidR="00D5440D" w:rsidRPr="008516FB">
        <w:rPr>
          <w:sz w:val="24"/>
          <w:szCs w:val="24"/>
        </w:rPr>
        <w:t>o</w:t>
      </w:r>
      <w:r w:rsidR="00C53327" w:rsidRPr="008516FB">
        <w:rPr>
          <w:sz w:val="24"/>
          <w:szCs w:val="24"/>
        </w:rPr>
        <w:t xml:space="preserve">r (717) </w:t>
      </w:r>
      <w:r w:rsidR="00D83D4D">
        <w:rPr>
          <w:sz w:val="24"/>
          <w:szCs w:val="24"/>
        </w:rPr>
        <w:t>214-1936</w:t>
      </w:r>
      <w:r w:rsidR="00C53327" w:rsidRPr="008516FB">
        <w:rPr>
          <w:sz w:val="24"/>
          <w:szCs w:val="24"/>
        </w:rPr>
        <w:t xml:space="preserve">.  </w:t>
      </w:r>
    </w:p>
    <w:p w:rsidR="00C53327" w:rsidRPr="008516FB" w:rsidRDefault="00C53327" w:rsidP="00C53327">
      <w:pPr>
        <w:ind w:right="-90" w:firstLine="720"/>
        <w:rPr>
          <w:sz w:val="24"/>
          <w:szCs w:val="24"/>
        </w:rPr>
      </w:pPr>
    </w:p>
    <w:p w:rsidR="00C53327" w:rsidRPr="008516FB" w:rsidRDefault="00C53327" w:rsidP="00C53327">
      <w:pPr>
        <w:ind w:right="-90" w:firstLine="720"/>
        <w:rPr>
          <w:sz w:val="24"/>
          <w:szCs w:val="24"/>
        </w:rPr>
      </w:pPr>
    </w:p>
    <w:p w:rsidR="008376CD" w:rsidRPr="001E5CF4" w:rsidRDefault="003E3258" w:rsidP="008376CD">
      <w:pPr>
        <w:rPr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9AB6C" wp14:editId="62C23329">
            <wp:simplePos x="0" y="0"/>
            <wp:positionH relativeFrom="column">
              <wp:posOffset>3152775</wp:posOffset>
            </wp:positionH>
            <wp:positionV relativeFrom="paragraph">
              <wp:posOffset>142875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C53327" w:rsidRPr="008516FB">
        <w:rPr>
          <w:sz w:val="24"/>
          <w:szCs w:val="24"/>
        </w:rPr>
        <w:tab/>
      </w:r>
      <w:r w:rsidR="008376CD" w:rsidRPr="001E5CF4">
        <w:rPr>
          <w:sz w:val="22"/>
          <w:szCs w:val="24"/>
        </w:rPr>
        <w:t>Sincerely,</w:t>
      </w:r>
    </w:p>
    <w:p w:rsidR="008376CD" w:rsidRPr="001E5CF4" w:rsidRDefault="008376CD" w:rsidP="008376CD">
      <w:pPr>
        <w:rPr>
          <w:sz w:val="22"/>
          <w:szCs w:val="24"/>
        </w:rPr>
      </w:pPr>
    </w:p>
    <w:p w:rsidR="008376CD" w:rsidRPr="001E5CF4" w:rsidRDefault="008376CD" w:rsidP="008376CD">
      <w:pPr>
        <w:rPr>
          <w:sz w:val="22"/>
          <w:szCs w:val="24"/>
        </w:rPr>
      </w:pPr>
      <w:bookmarkStart w:id="0" w:name="_GoBack"/>
      <w:bookmarkEnd w:id="0"/>
    </w:p>
    <w:p w:rsidR="008376CD" w:rsidRDefault="003E3258" w:rsidP="003E3258">
      <w:pPr>
        <w:tabs>
          <w:tab w:val="left" w:pos="5715"/>
        </w:tabs>
      </w:pPr>
      <w:r>
        <w:tab/>
      </w:r>
    </w:p>
    <w:p w:rsidR="008376CD" w:rsidRPr="001E5CF4" w:rsidRDefault="008376CD" w:rsidP="008376CD">
      <w:pPr>
        <w:rPr>
          <w:sz w:val="22"/>
          <w:szCs w:val="24"/>
        </w:rPr>
      </w:pPr>
    </w:p>
    <w:p w:rsidR="008376CD" w:rsidRPr="001E5CF4" w:rsidRDefault="008376CD" w:rsidP="008376CD">
      <w:pPr>
        <w:rPr>
          <w:sz w:val="22"/>
          <w:szCs w:val="24"/>
        </w:rPr>
      </w:pPr>
    </w:p>
    <w:p w:rsidR="008376CD" w:rsidRPr="001E5CF4" w:rsidRDefault="008376CD" w:rsidP="008376CD">
      <w:pPr>
        <w:rPr>
          <w:sz w:val="22"/>
          <w:szCs w:val="24"/>
        </w:rPr>
      </w:pP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  <w:t>Rosemary Chiavetta</w:t>
      </w:r>
    </w:p>
    <w:p w:rsidR="008376CD" w:rsidRPr="001E5CF4" w:rsidRDefault="008376CD" w:rsidP="008376CD">
      <w:pPr>
        <w:rPr>
          <w:sz w:val="22"/>
          <w:szCs w:val="24"/>
        </w:rPr>
      </w:pP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</w:r>
      <w:r w:rsidRPr="001E5CF4">
        <w:rPr>
          <w:sz w:val="22"/>
          <w:szCs w:val="24"/>
        </w:rPr>
        <w:tab/>
        <w:t>Secretary</w:t>
      </w:r>
    </w:p>
    <w:p w:rsidR="00C53327" w:rsidRPr="008516FB" w:rsidRDefault="00C53327" w:rsidP="008376CD">
      <w:pPr>
        <w:rPr>
          <w:sz w:val="24"/>
          <w:szCs w:val="24"/>
        </w:rPr>
      </w:pPr>
    </w:p>
    <w:p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Enclosure </w:t>
      </w:r>
    </w:p>
    <w:p w:rsidR="00C53327" w:rsidRPr="008516FB" w:rsidRDefault="00C53327" w:rsidP="00C53327">
      <w:pPr>
        <w:rPr>
          <w:sz w:val="24"/>
          <w:szCs w:val="24"/>
        </w:rPr>
      </w:pPr>
    </w:p>
    <w:p w:rsidR="00C53327" w:rsidRPr="008516FB" w:rsidRDefault="00C53327" w:rsidP="00C53327">
      <w:pPr>
        <w:rPr>
          <w:sz w:val="24"/>
          <w:szCs w:val="24"/>
        </w:rPr>
      </w:pPr>
      <w:r w:rsidRPr="008516FB">
        <w:rPr>
          <w:sz w:val="24"/>
          <w:szCs w:val="24"/>
        </w:rPr>
        <w:t xml:space="preserve">cc:  </w:t>
      </w:r>
      <w:r w:rsidR="00D5440D" w:rsidRPr="008516FB">
        <w:rPr>
          <w:sz w:val="24"/>
          <w:szCs w:val="24"/>
        </w:rPr>
        <w:t>Matthew Stewart</w:t>
      </w:r>
    </w:p>
    <w:p w:rsidR="00C53327" w:rsidRPr="008516FB" w:rsidRDefault="00C53327" w:rsidP="00C53327">
      <w:pPr>
        <w:jc w:val="center"/>
        <w:rPr>
          <w:sz w:val="24"/>
          <w:szCs w:val="24"/>
        </w:rPr>
      </w:pPr>
      <w:r w:rsidRPr="008516FB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Docket No.  </w:t>
      </w:r>
      <w:r w:rsidR="0056093E" w:rsidRPr="0056093E">
        <w:rPr>
          <w:sz w:val="24"/>
          <w:szCs w:val="24"/>
        </w:rPr>
        <w:t>M-2015-2518294</w:t>
      </w:r>
    </w:p>
    <w:p w:rsidR="00A96298" w:rsidRPr="008516FB" w:rsidRDefault="00864640" w:rsidP="00A96298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7232DE" w:rsidRDefault="007232DE" w:rsidP="00C53327">
      <w:pPr>
        <w:jc w:val="center"/>
        <w:rPr>
          <w:sz w:val="24"/>
          <w:szCs w:val="24"/>
        </w:rPr>
      </w:pPr>
      <w:r>
        <w:rPr>
          <w:sz w:val="24"/>
          <w:szCs w:val="24"/>
        </w:rPr>
        <w:t>Attachment 1:</w:t>
      </w:r>
    </w:p>
    <w:p w:rsidR="00C53327" w:rsidRDefault="00C53327" w:rsidP="00C53327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:rsidR="009D5A24" w:rsidRDefault="009D5A24" w:rsidP="009D5A24">
      <w:pPr>
        <w:pStyle w:val="BodyText"/>
        <w:ind w:left="720" w:right="540"/>
        <w:rPr>
          <w:sz w:val="24"/>
          <w:szCs w:val="24"/>
        </w:rPr>
      </w:pPr>
    </w:p>
    <w:p w:rsidR="00AE6934" w:rsidRDefault="00AE6934" w:rsidP="009D5A24">
      <w:pPr>
        <w:pStyle w:val="BodyText"/>
        <w:ind w:left="720" w:right="540"/>
        <w:rPr>
          <w:sz w:val="24"/>
          <w:szCs w:val="24"/>
        </w:rPr>
      </w:pPr>
    </w:p>
    <w:p w:rsidR="00864640" w:rsidRDefault="007A57F3" w:rsidP="0056093E">
      <w:pPr>
        <w:pStyle w:val="BodyText"/>
        <w:numPr>
          <w:ilvl w:val="0"/>
          <w:numId w:val="5"/>
        </w:numPr>
        <w:ind w:right="540"/>
        <w:rPr>
          <w:sz w:val="24"/>
          <w:szCs w:val="24"/>
        </w:rPr>
      </w:pPr>
      <w:r>
        <w:rPr>
          <w:sz w:val="24"/>
          <w:szCs w:val="24"/>
        </w:rPr>
        <w:t>P</w:t>
      </w:r>
      <w:r w:rsidR="002F6FE6">
        <w:rPr>
          <w:sz w:val="24"/>
          <w:szCs w:val="24"/>
        </w:rPr>
        <w:t xml:space="preserve">lease </w:t>
      </w:r>
      <w:r w:rsidR="00864640">
        <w:rPr>
          <w:sz w:val="24"/>
          <w:szCs w:val="24"/>
        </w:rPr>
        <w:t>provide infrastructure spending information for Fiscal Year 201</w:t>
      </w:r>
      <w:r w:rsidR="0056093E">
        <w:rPr>
          <w:sz w:val="24"/>
          <w:szCs w:val="24"/>
        </w:rPr>
        <w:t>5</w:t>
      </w:r>
      <w:r w:rsidR="00864640">
        <w:rPr>
          <w:sz w:val="24"/>
          <w:szCs w:val="24"/>
        </w:rPr>
        <w:t xml:space="preserve">’s projects utilizing the format PGW </w:t>
      </w:r>
      <w:r w:rsidR="002F6FE6">
        <w:rPr>
          <w:sz w:val="24"/>
          <w:szCs w:val="24"/>
        </w:rPr>
        <w:t>use</w:t>
      </w:r>
      <w:r w:rsidR="00864640">
        <w:rPr>
          <w:sz w:val="24"/>
          <w:szCs w:val="24"/>
        </w:rPr>
        <w:t xml:space="preserve">d </w:t>
      </w:r>
      <w:r w:rsidR="00D52BCA">
        <w:rPr>
          <w:sz w:val="24"/>
          <w:szCs w:val="24"/>
        </w:rPr>
        <w:t>for Fiscal Year 2013</w:t>
      </w:r>
      <w:r w:rsidR="00864640">
        <w:rPr>
          <w:sz w:val="24"/>
          <w:szCs w:val="24"/>
        </w:rPr>
        <w:t xml:space="preserve">.  </w:t>
      </w:r>
      <w:r w:rsidR="0056093E">
        <w:rPr>
          <w:sz w:val="24"/>
          <w:szCs w:val="24"/>
        </w:rPr>
        <w:t xml:space="preserve">Please also show the same information that is being projected for Fiscal Year 2016, comparing expected spending from PGW’s LTIIP and from the AAOP filed at Docket No. </w:t>
      </w:r>
      <w:r w:rsidR="0056093E" w:rsidRPr="0056093E">
        <w:rPr>
          <w:sz w:val="24"/>
          <w:szCs w:val="24"/>
        </w:rPr>
        <w:t>M-2015-2518294</w:t>
      </w:r>
      <w:r w:rsidR="0056093E">
        <w:rPr>
          <w:sz w:val="24"/>
          <w:szCs w:val="24"/>
        </w:rPr>
        <w:t xml:space="preserve">.  </w:t>
      </w:r>
      <w:r w:rsidR="00864640">
        <w:rPr>
          <w:sz w:val="24"/>
          <w:szCs w:val="24"/>
        </w:rPr>
        <w:t>The desired format</w:t>
      </w:r>
      <w:r w:rsidR="0056093E">
        <w:rPr>
          <w:sz w:val="24"/>
          <w:szCs w:val="24"/>
        </w:rPr>
        <w:t xml:space="preserve"> for each of the two desired tables</w:t>
      </w:r>
      <w:r w:rsidR="00864640">
        <w:rPr>
          <w:sz w:val="24"/>
          <w:szCs w:val="24"/>
        </w:rPr>
        <w:t xml:space="preserve"> shown below is a copy of PGW’s reporting from Fiscal Year 2013:</w:t>
      </w:r>
    </w:p>
    <w:p w:rsidR="00864640" w:rsidRDefault="00864640" w:rsidP="00864640">
      <w:pPr>
        <w:pStyle w:val="BodyText"/>
        <w:ind w:right="540"/>
        <w:rPr>
          <w:sz w:val="24"/>
          <w:szCs w:val="24"/>
        </w:rPr>
      </w:pPr>
    </w:p>
    <w:p w:rsidR="00864640" w:rsidRDefault="00864640" w:rsidP="00864640">
      <w:pPr>
        <w:pStyle w:val="BodyText"/>
        <w:ind w:right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898" w:type="dxa"/>
        <w:tblInd w:w="93" w:type="dxa"/>
        <w:tblLook w:val="04A0" w:firstRow="1" w:lastRow="0" w:firstColumn="1" w:lastColumn="0" w:noHBand="0" w:noVBand="1"/>
      </w:tblPr>
      <w:tblGrid>
        <w:gridCol w:w="3178"/>
        <w:gridCol w:w="1540"/>
        <w:gridCol w:w="1800"/>
        <w:gridCol w:w="1860"/>
        <w:gridCol w:w="1520"/>
      </w:tblGrid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7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FY 2013 Actual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FY 2013 LTIIP</w:t>
            </w:r>
          </w:p>
        </w:tc>
      </w:tr>
      <w:tr w:rsidR="00864640" w:rsidRPr="00864640" w:rsidTr="00864640">
        <w:trPr>
          <w:trHeight w:val="39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30" HP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Location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Expenditures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Expenditures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20th St. (Hamilton to Brown)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2,638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$3,125,478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20th and Hamilton to 22nd and Arch (approximate cost for FY 2013 removal)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1,763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$2,862,923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30" HP TOTAL MILEAGE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$5,988,401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$7,782,600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7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12" HP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Location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Expenditures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Fairmount Ave., (34th to Mantua), Mantua Ave., (Fairmount to Haverford)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1,640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$661,867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Scotts Ln. (Ridge to Abbottsford)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1,762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$434,384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9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Gorgas Ln. (Chew to Germantown), Germantown Ave. (Gorgas to Carpenter), Carpenter Ln. (Germantown to Creshiem), Creshiem Rd. (Carpenter to Mount Pleasant)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3,631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$1,555,317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sz w:val="24"/>
                <w:szCs w:val="24"/>
              </w:rPr>
              <w:t>12" HP TOTAL MILEAGE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$2,651,568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$6,785,800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7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lastRenderedPageBreak/>
              <w:t xml:space="preserve">8" LP/IP 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Expenditures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sz w:val="24"/>
                <w:szCs w:val="24"/>
              </w:rPr>
              <w:t>8" LP/IP TOTAL MILEAGE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$3,131,600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7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Regulator / Valve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Location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Expenditures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County Line Rd. (Lawson to Overhill)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$1,771,502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sz w:val="24"/>
                <w:szCs w:val="24"/>
              </w:rPr>
              <w:t>Regulator / Valve TOTAL MILEAGE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$1,771,502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$2,500,000</w:t>
            </w:r>
          </w:p>
        </w:tc>
      </w:tr>
      <w:tr w:rsidR="00864640" w:rsidRPr="00864640" w:rsidTr="00864640">
        <w:trPr>
          <w:trHeight w:val="300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7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Abandonment for Non-Use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0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Location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 Removed from Inventory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Actual Expenditures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90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Ontario St. (Kensington to Frankford), Frankford Ave. (Ontario to Tioga), Tioga St. (Frankford to Brabant), Tioga and Brabant to Castor and Balfour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4640">
              <w:rPr>
                <w:rFonts w:ascii="Calibri" w:hAnsi="Calibri"/>
                <w:sz w:val="22"/>
                <w:szCs w:val="22"/>
              </w:rPr>
              <w:t>10,785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$1,178,380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40" w:rsidRPr="00864640" w:rsidRDefault="00864640" w:rsidP="00864640">
            <w:pPr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sz w:val="24"/>
                <w:szCs w:val="24"/>
              </w:rPr>
              <w:t>Abandonment for Non-Use TOTAL MILEAGE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$1,178,380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$1,800,000</w:t>
            </w:r>
          </w:p>
        </w:tc>
      </w:tr>
      <w:tr w:rsidR="00864640" w:rsidRPr="00864640" w:rsidTr="00864640">
        <w:trPr>
          <w:trHeight w:val="31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46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4640" w:rsidRPr="00864640" w:rsidTr="00864640">
        <w:trPr>
          <w:trHeight w:val="645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40" w:rsidRPr="00864640" w:rsidRDefault="00864640" w:rsidP="0086464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Total Cast Iron Inventory Reduction Acceleration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$11,589,851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8.34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64640" w:rsidRPr="00864640" w:rsidRDefault="00864640" w:rsidP="0086464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6464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$22,000,000</w:t>
            </w:r>
          </w:p>
        </w:tc>
      </w:tr>
    </w:tbl>
    <w:p w:rsidR="00D71060" w:rsidRDefault="00D71060" w:rsidP="00864640">
      <w:pPr>
        <w:pStyle w:val="BodyText"/>
        <w:ind w:right="540"/>
        <w:rPr>
          <w:sz w:val="24"/>
          <w:szCs w:val="24"/>
        </w:rPr>
      </w:pPr>
    </w:p>
    <w:sectPr w:rsidR="00D71060" w:rsidSect="002726D8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91" w:rsidRDefault="00D34B91">
      <w:r>
        <w:separator/>
      </w:r>
    </w:p>
  </w:endnote>
  <w:endnote w:type="continuationSeparator" w:id="0">
    <w:p w:rsidR="00D34B91" w:rsidRDefault="00D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9C" w:rsidRDefault="002A679C">
    <w:pPr>
      <w:pStyle w:val="Footer"/>
    </w:pPr>
    <w:r>
      <w:rPr>
        <w:snapToGrid w:val="0"/>
      </w:rPr>
      <w:tab/>
      <w:t xml:space="preserve">- </w:t>
    </w:r>
    <w:r w:rsidR="0069415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94159">
      <w:rPr>
        <w:snapToGrid w:val="0"/>
      </w:rPr>
      <w:fldChar w:fldCharType="separate"/>
    </w:r>
    <w:r w:rsidR="003E3258">
      <w:rPr>
        <w:noProof/>
        <w:snapToGrid w:val="0"/>
      </w:rPr>
      <w:t>1</w:t>
    </w:r>
    <w:r w:rsidR="0069415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91" w:rsidRDefault="00D34B91">
      <w:r>
        <w:separator/>
      </w:r>
    </w:p>
  </w:footnote>
  <w:footnote w:type="continuationSeparator" w:id="0">
    <w:p w:rsidR="00D34B91" w:rsidRDefault="00D3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16339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4C37"/>
    <w:rsid w:val="00017070"/>
    <w:rsid w:val="0002509C"/>
    <w:rsid w:val="00026EBD"/>
    <w:rsid w:val="00034183"/>
    <w:rsid w:val="00043EC8"/>
    <w:rsid w:val="000652E3"/>
    <w:rsid w:val="00070868"/>
    <w:rsid w:val="0007177D"/>
    <w:rsid w:val="00074046"/>
    <w:rsid w:val="00081F8E"/>
    <w:rsid w:val="00083D4C"/>
    <w:rsid w:val="000977CA"/>
    <w:rsid w:val="000C013F"/>
    <w:rsid w:val="000C0812"/>
    <w:rsid w:val="000C2A00"/>
    <w:rsid w:val="000C5A0B"/>
    <w:rsid w:val="000F48F8"/>
    <w:rsid w:val="00103DAF"/>
    <w:rsid w:val="00105875"/>
    <w:rsid w:val="0012325B"/>
    <w:rsid w:val="00130762"/>
    <w:rsid w:val="00136319"/>
    <w:rsid w:val="00136A95"/>
    <w:rsid w:val="00142126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21364B"/>
    <w:rsid w:val="00220CA6"/>
    <w:rsid w:val="002226D6"/>
    <w:rsid w:val="00232020"/>
    <w:rsid w:val="00243277"/>
    <w:rsid w:val="002547DD"/>
    <w:rsid w:val="00264998"/>
    <w:rsid w:val="00271CF7"/>
    <w:rsid w:val="002726D8"/>
    <w:rsid w:val="00274A1E"/>
    <w:rsid w:val="002930C6"/>
    <w:rsid w:val="00296DF5"/>
    <w:rsid w:val="00296E69"/>
    <w:rsid w:val="00297488"/>
    <w:rsid w:val="002A00F3"/>
    <w:rsid w:val="002A58C0"/>
    <w:rsid w:val="002A679C"/>
    <w:rsid w:val="002C355B"/>
    <w:rsid w:val="002C3C09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16688"/>
    <w:rsid w:val="00323358"/>
    <w:rsid w:val="003346F2"/>
    <w:rsid w:val="00343058"/>
    <w:rsid w:val="003446D3"/>
    <w:rsid w:val="003523B6"/>
    <w:rsid w:val="003614E5"/>
    <w:rsid w:val="00395B29"/>
    <w:rsid w:val="003B1E23"/>
    <w:rsid w:val="003D085D"/>
    <w:rsid w:val="003D27E8"/>
    <w:rsid w:val="003E3258"/>
    <w:rsid w:val="003F37DC"/>
    <w:rsid w:val="003F4C6A"/>
    <w:rsid w:val="00431993"/>
    <w:rsid w:val="00434796"/>
    <w:rsid w:val="0043513D"/>
    <w:rsid w:val="00435CD9"/>
    <w:rsid w:val="00450975"/>
    <w:rsid w:val="00451E07"/>
    <w:rsid w:val="004527A2"/>
    <w:rsid w:val="0045656D"/>
    <w:rsid w:val="0049319D"/>
    <w:rsid w:val="004A7FC1"/>
    <w:rsid w:val="004B33AC"/>
    <w:rsid w:val="004B65E7"/>
    <w:rsid w:val="004C6A17"/>
    <w:rsid w:val="004D1AB8"/>
    <w:rsid w:val="004D7195"/>
    <w:rsid w:val="004E09C2"/>
    <w:rsid w:val="004E589D"/>
    <w:rsid w:val="004F62B7"/>
    <w:rsid w:val="0052287D"/>
    <w:rsid w:val="00525B09"/>
    <w:rsid w:val="00534A16"/>
    <w:rsid w:val="00537D15"/>
    <w:rsid w:val="00543F9C"/>
    <w:rsid w:val="0054525C"/>
    <w:rsid w:val="00546673"/>
    <w:rsid w:val="00553CF8"/>
    <w:rsid w:val="0056093E"/>
    <w:rsid w:val="00562B03"/>
    <w:rsid w:val="00565150"/>
    <w:rsid w:val="00567C8D"/>
    <w:rsid w:val="005820EE"/>
    <w:rsid w:val="00590A7D"/>
    <w:rsid w:val="00596FAB"/>
    <w:rsid w:val="005A23A2"/>
    <w:rsid w:val="005A24C5"/>
    <w:rsid w:val="005A7938"/>
    <w:rsid w:val="005B370A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6317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2DE"/>
    <w:rsid w:val="007303AE"/>
    <w:rsid w:val="00741281"/>
    <w:rsid w:val="00751EB6"/>
    <w:rsid w:val="0075516F"/>
    <w:rsid w:val="0076499A"/>
    <w:rsid w:val="007813B4"/>
    <w:rsid w:val="00787280"/>
    <w:rsid w:val="007A57F3"/>
    <w:rsid w:val="007A62E9"/>
    <w:rsid w:val="007A6B31"/>
    <w:rsid w:val="007B0845"/>
    <w:rsid w:val="007B7255"/>
    <w:rsid w:val="007C5A08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376CD"/>
    <w:rsid w:val="00845CED"/>
    <w:rsid w:val="008516FB"/>
    <w:rsid w:val="00853796"/>
    <w:rsid w:val="00860819"/>
    <w:rsid w:val="00864640"/>
    <w:rsid w:val="008710C3"/>
    <w:rsid w:val="00872678"/>
    <w:rsid w:val="00882BCA"/>
    <w:rsid w:val="00884888"/>
    <w:rsid w:val="008B72C2"/>
    <w:rsid w:val="008C6117"/>
    <w:rsid w:val="008D37DA"/>
    <w:rsid w:val="008E3360"/>
    <w:rsid w:val="008F498B"/>
    <w:rsid w:val="008F57BF"/>
    <w:rsid w:val="009276EE"/>
    <w:rsid w:val="00930B12"/>
    <w:rsid w:val="009411C6"/>
    <w:rsid w:val="009528D3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B0634"/>
    <w:rsid w:val="009D5A24"/>
    <w:rsid w:val="009F27C1"/>
    <w:rsid w:val="009F4F0E"/>
    <w:rsid w:val="009F65EE"/>
    <w:rsid w:val="00A15C58"/>
    <w:rsid w:val="00A3389D"/>
    <w:rsid w:val="00A343E5"/>
    <w:rsid w:val="00A47189"/>
    <w:rsid w:val="00A55B50"/>
    <w:rsid w:val="00A61693"/>
    <w:rsid w:val="00A639AB"/>
    <w:rsid w:val="00A96298"/>
    <w:rsid w:val="00AA38F0"/>
    <w:rsid w:val="00AC0F91"/>
    <w:rsid w:val="00AC20DD"/>
    <w:rsid w:val="00AE6934"/>
    <w:rsid w:val="00AE799C"/>
    <w:rsid w:val="00AF0919"/>
    <w:rsid w:val="00AF0A76"/>
    <w:rsid w:val="00B05D63"/>
    <w:rsid w:val="00B41B04"/>
    <w:rsid w:val="00B422DD"/>
    <w:rsid w:val="00B46A73"/>
    <w:rsid w:val="00B478D4"/>
    <w:rsid w:val="00B61661"/>
    <w:rsid w:val="00B63D27"/>
    <w:rsid w:val="00B72223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39C6"/>
    <w:rsid w:val="00C17FC1"/>
    <w:rsid w:val="00C258CB"/>
    <w:rsid w:val="00C32587"/>
    <w:rsid w:val="00C53327"/>
    <w:rsid w:val="00C67323"/>
    <w:rsid w:val="00C73073"/>
    <w:rsid w:val="00C81971"/>
    <w:rsid w:val="00C84424"/>
    <w:rsid w:val="00C84E04"/>
    <w:rsid w:val="00C86252"/>
    <w:rsid w:val="00CB6742"/>
    <w:rsid w:val="00CD1A22"/>
    <w:rsid w:val="00CE2D9A"/>
    <w:rsid w:val="00CE3B6A"/>
    <w:rsid w:val="00CF60E5"/>
    <w:rsid w:val="00D01178"/>
    <w:rsid w:val="00D02319"/>
    <w:rsid w:val="00D070F3"/>
    <w:rsid w:val="00D22287"/>
    <w:rsid w:val="00D24767"/>
    <w:rsid w:val="00D2648F"/>
    <w:rsid w:val="00D26EF3"/>
    <w:rsid w:val="00D34B91"/>
    <w:rsid w:val="00D436FB"/>
    <w:rsid w:val="00D46CD8"/>
    <w:rsid w:val="00D474C6"/>
    <w:rsid w:val="00D52BCA"/>
    <w:rsid w:val="00D5440D"/>
    <w:rsid w:val="00D620DC"/>
    <w:rsid w:val="00D71060"/>
    <w:rsid w:val="00D83D4D"/>
    <w:rsid w:val="00D94B36"/>
    <w:rsid w:val="00D97D62"/>
    <w:rsid w:val="00DA7001"/>
    <w:rsid w:val="00DC2959"/>
    <w:rsid w:val="00DD1727"/>
    <w:rsid w:val="00DF3DBD"/>
    <w:rsid w:val="00E036AF"/>
    <w:rsid w:val="00E20C2C"/>
    <w:rsid w:val="00E25181"/>
    <w:rsid w:val="00E430FD"/>
    <w:rsid w:val="00E5328F"/>
    <w:rsid w:val="00E566E2"/>
    <w:rsid w:val="00E8035A"/>
    <w:rsid w:val="00E908EA"/>
    <w:rsid w:val="00EA3314"/>
    <w:rsid w:val="00EA3C96"/>
    <w:rsid w:val="00ED1F9E"/>
    <w:rsid w:val="00EE7718"/>
    <w:rsid w:val="00EF3B78"/>
    <w:rsid w:val="00F1506C"/>
    <w:rsid w:val="00F17155"/>
    <w:rsid w:val="00F26454"/>
    <w:rsid w:val="00F30101"/>
    <w:rsid w:val="00F5699D"/>
    <w:rsid w:val="00F805F2"/>
    <w:rsid w:val="00FB2C32"/>
    <w:rsid w:val="00FC1026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ttstewar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ttstewar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3A14-7742-43F1-B758-7E5E7B68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4713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2014-08-22T18:28:00Z</cp:lastPrinted>
  <dcterms:created xsi:type="dcterms:W3CDTF">2016-02-02T12:52:00Z</dcterms:created>
  <dcterms:modified xsi:type="dcterms:W3CDTF">2016-02-02T13:01:00Z</dcterms:modified>
</cp:coreProperties>
</file>