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04AC" w:rsidRPr="00DC04AC" w:rsidRDefault="00DC04AC" w:rsidP="003444A8">
      <w:pPr>
        <w:tabs>
          <w:tab w:val="left" w:pos="0"/>
        </w:tabs>
        <w:spacing w:after="0" w:line="240" w:lineRule="auto"/>
        <w:ind w:firstLine="0"/>
        <w:jc w:val="center"/>
        <w:rPr>
          <w:b/>
        </w:rPr>
      </w:pPr>
      <w:r w:rsidRPr="00DC04AC">
        <w:rPr>
          <w:b/>
        </w:rPr>
        <w:t>BEFORE THE</w:t>
      </w:r>
    </w:p>
    <w:p w:rsidR="00DC04AC" w:rsidRPr="00DC04AC" w:rsidRDefault="00DC04AC" w:rsidP="003444A8">
      <w:pPr>
        <w:tabs>
          <w:tab w:val="left" w:pos="0"/>
        </w:tabs>
        <w:spacing w:after="0" w:line="240" w:lineRule="auto"/>
        <w:ind w:firstLine="0"/>
        <w:jc w:val="center"/>
        <w:rPr>
          <w:b/>
          <w:szCs w:val="24"/>
        </w:rPr>
      </w:pPr>
      <w:smartTag w:uri="urn:schemas-microsoft-com:office:smarttags" w:element="place">
        <w:smartTag w:uri="urn:schemas-microsoft-com:office:smarttags" w:element="State">
          <w:r w:rsidRPr="00DC04AC">
            <w:rPr>
              <w:b/>
              <w:szCs w:val="24"/>
            </w:rPr>
            <w:t>PENNSYLVANIA</w:t>
          </w:r>
        </w:smartTag>
      </w:smartTag>
      <w:r w:rsidRPr="00DC04AC">
        <w:rPr>
          <w:b/>
          <w:szCs w:val="24"/>
        </w:rPr>
        <w:t xml:space="preserve"> PUBLIC UTILITY COMMISSION</w:t>
      </w: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DC04AC" w:rsidP="003444A8">
      <w:pPr>
        <w:tabs>
          <w:tab w:val="left" w:pos="0"/>
        </w:tabs>
        <w:spacing w:after="0" w:line="240" w:lineRule="auto"/>
        <w:ind w:firstLine="0"/>
        <w:jc w:val="both"/>
        <w:rPr>
          <w:b/>
          <w:szCs w:val="24"/>
        </w:rPr>
      </w:pPr>
    </w:p>
    <w:p w:rsidR="00DC04AC" w:rsidRPr="00DC04AC" w:rsidRDefault="00E7687B" w:rsidP="003444A8">
      <w:pPr>
        <w:tabs>
          <w:tab w:val="left" w:pos="0"/>
        </w:tabs>
        <w:spacing w:after="0" w:line="240" w:lineRule="auto"/>
        <w:ind w:firstLine="0"/>
        <w:jc w:val="both"/>
        <w:rPr>
          <w:b/>
          <w:szCs w:val="24"/>
        </w:rPr>
      </w:pPr>
      <w:r>
        <w:rPr>
          <w:szCs w:val="24"/>
        </w:rPr>
        <w:t xml:space="preserve">Pazavor Latice </w:t>
      </w:r>
      <w:r w:rsidR="00DC1871">
        <w:rPr>
          <w:szCs w:val="24"/>
        </w:rPr>
        <w:t>Clack</w:t>
      </w:r>
      <w:r w:rsidR="00575C73">
        <w:rPr>
          <w:szCs w:val="24"/>
        </w:rPr>
        <w:tab/>
      </w:r>
      <w:r w:rsidR="00EF1818">
        <w:rPr>
          <w:szCs w:val="24"/>
        </w:rPr>
        <w:tab/>
      </w:r>
      <w:r w:rsidR="00EF1818">
        <w:rPr>
          <w:szCs w:val="24"/>
        </w:rPr>
        <w:tab/>
      </w:r>
      <w:r w:rsidR="00EF1818">
        <w:rPr>
          <w:szCs w:val="24"/>
        </w:rPr>
        <w:tab/>
      </w:r>
      <w:r w:rsidR="00EF1818">
        <w:rPr>
          <w:szCs w:val="24"/>
        </w:rPr>
        <w:tab/>
      </w:r>
      <w:r w:rsidR="00DC04AC"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b/>
          <w:szCs w:val="24"/>
        </w:rPr>
        <w:tab/>
      </w:r>
      <w:r w:rsidRPr="00DC04AC">
        <w:rPr>
          <w:szCs w:val="24"/>
        </w:rPr>
        <w:t>:</w:t>
      </w:r>
    </w:p>
    <w:p w:rsidR="00DC04AC" w:rsidRPr="00DC04AC" w:rsidRDefault="00DC04AC" w:rsidP="003444A8">
      <w:pPr>
        <w:tabs>
          <w:tab w:val="left" w:pos="0"/>
        </w:tabs>
        <w:spacing w:after="0" w:line="240" w:lineRule="auto"/>
        <w:ind w:firstLine="0"/>
        <w:jc w:val="both"/>
        <w:rPr>
          <w:szCs w:val="24"/>
        </w:rPr>
      </w:pPr>
      <w:r w:rsidRPr="00DC04AC">
        <w:rPr>
          <w:szCs w:val="24"/>
        </w:rPr>
        <w:tab/>
        <w:t>v.</w:t>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r w:rsidRPr="00DC04AC">
        <w:rPr>
          <w:b/>
          <w:szCs w:val="24"/>
        </w:rPr>
        <w:tab/>
      </w:r>
      <w:r w:rsidRPr="00DC04AC">
        <w:rPr>
          <w:b/>
          <w:szCs w:val="24"/>
        </w:rPr>
        <w:tab/>
      </w:r>
      <w:r w:rsidR="001F1171" w:rsidRPr="001F1171">
        <w:rPr>
          <w:szCs w:val="24"/>
        </w:rPr>
        <w:t>F</w:t>
      </w:r>
      <w:r w:rsidR="00914B47">
        <w:rPr>
          <w:szCs w:val="24"/>
        </w:rPr>
        <w:t>-2015-2</w:t>
      </w:r>
      <w:r w:rsidR="009B63DA">
        <w:rPr>
          <w:szCs w:val="24"/>
        </w:rPr>
        <w:t>5</w:t>
      </w:r>
      <w:r w:rsidR="00E7687B">
        <w:rPr>
          <w:szCs w:val="24"/>
        </w:rPr>
        <w:t>12598</w:t>
      </w:r>
    </w:p>
    <w:p w:rsidR="00DC04AC" w:rsidRPr="00DC04AC" w:rsidRDefault="00DC04AC" w:rsidP="003444A8">
      <w:pPr>
        <w:tabs>
          <w:tab w:val="left" w:pos="0"/>
        </w:tabs>
        <w:spacing w:after="0" w:line="240" w:lineRule="auto"/>
        <w:ind w:firstLine="0"/>
        <w:jc w:val="both"/>
        <w:rPr>
          <w:szCs w:val="24"/>
        </w:rPr>
      </w:pP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r>
      <w:r w:rsidRPr="00DC04AC">
        <w:rPr>
          <w:szCs w:val="24"/>
        </w:rPr>
        <w:tab/>
        <w:t>:</w:t>
      </w:r>
    </w:p>
    <w:p w:rsidR="00DC04AC" w:rsidRPr="00DC04AC" w:rsidRDefault="00E7687B" w:rsidP="003444A8">
      <w:pPr>
        <w:tabs>
          <w:tab w:val="left" w:pos="0"/>
        </w:tabs>
        <w:spacing w:after="0" w:line="240" w:lineRule="auto"/>
        <w:ind w:firstLine="0"/>
        <w:jc w:val="both"/>
        <w:rPr>
          <w:szCs w:val="24"/>
        </w:rPr>
      </w:pPr>
      <w:r>
        <w:rPr>
          <w:szCs w:val="24"/>
        </w:rPr>
        <w:t xml:space="preserve">SFE Energy Company and </w:t>
      </w:r>
      <w:r>
        <w:rPr>
          <w:szCs w:val="24"/>
        </w:rPr>
        <w:tab/>
      </w:r>
      <w:r w:rsidR="007B1C56">
        <w:rPr>
          <w:szCs w:val="24"/>
        </w:rPr>
        <w:tab/>
      </w:r>
      <w:r w:rsidR="001036AD">
        <w:rPr>
          <w:szCs w:val="24"/>
        </w:rPr>
        <w:tab/>
      </w:r>
      <w:r w:rsidR="00DC04AC" w:rsidRPr="00DC04AC">
        <w:rPr>
          <w:szCs w:val="24"/>
        </w:rPr>
        <w:tab/>
        <w:t>:</w:t>
      </w:r>
    </w:p>
    <w:p w:rsidR="00DC04AC" w:rsidRPr="00DC04AC" w:rsidRDefault="00E7687B" w:rsidP="003444A8">
      <w:pPr>
        <w:tabs>
          <w:tab w:val="left" w:pos="0"/>
        </w:tabs>
        <w:spacing w:after="0" w:line="240" w:lineRule="auto"/>
        <w:ind w:firstLine="0"/>
        <w:jc w:val="both"/>
        <w:rPr>
          <w:szCs w:val="24"/>
        </w:rPr>
      </w:pPr>
      <w:r>
        <w:rPr>
          <w:szCs w:val="24"/>
        </w:rPr>
        <w:t>PECO Energy Company</w:t>
      </w:r>
      <w:r>
        <w:rPr>
          <w:szCs w:val="24"/>
        </w:rPr>
        <w:tab/>
      </w:r>
      <w:r>
        <w:rPr>
          <w:szCs w:val="24"/>
        </w:rPr>
        <w:tab/>
      </w:r>
      <w:r>
        <w:rPr>
          <w:szCs w:val="24"/>
        </w:rPr>
        <w:tab/>
      </w:r>
      <w:r>
        <w:rPr>
          <w:szCs w:val="24"/>
        </w:rPr>
        <w:tab/>
        <w:t>:</w:t>
      </w:r>
      <w:r w:rsidR="00DC04AC" w:rsidRPr="00DC04AC">
        <w:rPr>
          <w:szCs w:val="24"/>
        </w:rPr>
        <w:tab/>
      </w:r>
      <w:r w:rsidR="00DC04AC" w:rsidRPr="00DC04AC">
        <w:rPr>
          <w:szCs w:val="24"/>
        </w:rPr>
        <w:tab/>
      </w:r>
    </w:p>
    <w:p w:rsidR="00DC04AC" w:rsidRPr="00DC04AC" w:rsidRDefault="00DC04AC" w:rsidP="003444A8">
      <w:pPr>
        <w:tabs>
          <w:tab w:val="left" w:pos="0"/>
        </w:tabs>
        <w:spacing w:after="0" w:line="240" w:lineRule="auto"/>
        <w:ind w:firstLine="0"/>
        <w:jc w:val="both"/>
        <w:rPr>
          <w:b/>
          <w:szCs w:val="24"/>
        </w:rPr>
      </w:pPr>
    </w:p>
    <w:p w:rsidR="00215AEA" w:rsidRDefault="00215AEA" w:rsidP="003444A8">
      <w:pPr>
        <w:spacing w:after="0" w:line="240" w:lineRule="auto"/>
        <w:ind w:firstLine="0"/>
        <w:rPr>
          <w:b/>
          <w:u w:val="single"/>
        </w:rPr>
      </w:pPr>
    </w:p>
    <w:p w:rsidR="00DC1871" w:rsidRDefault="00DC1871" w:rsidP="003444A8">
      <w:pPr>
        <w:spacing w:after="0" w:line="240" w:lineRule="auto"/>
        <w:ind w:firstLine="0"/>
        <w:rPr>
          <w:b/>
          <w:u w:val="single"/>
        </w:rPr>
      </w:pPr>
    </w:p>
    <w:p w:rsidR="00792796" w:rsidRDefault="00BF6B69" w:rsidP="003444A8">
      <w:pPr>
        <w:spacing w:after="0" w:line="240" w:lineRule="auto"/>
        <w:ind w:firstLine="0"/>
        <w:jc w:val="center"/>
        <w:rPr>
          <w:b/>
          <w:u w:val="single"/>
        </w:rPr>
      </w:pPr>
      <w:r w:rsidRPr="00DD0D87">
        <w:rPr>
          <w:b/>
          <w:u w:val="single"/>
        </w:rPr>
        <w:t>INITIAL DECISION</w:t>
      </w:r>
    </w:p>
    <w:p w:rsidR="00685437" w:rsidRPr="00DD0D87" w:rsidRDefault="00685437" w:rsidP="003444A8">
      <w:pPr>
        <w:spacing w:after="0" w:line="240" w:lineRule="auto"/>
        <w:ind w:firstLine="0"/>
        <w:jc w:val="center"/>
        <w:rPr>
          <w:b/>
          <w:u w:val="single"/>
        </w:rPr>
      </w:pPr>
    </w:p>
    <w:p w:rsidR="00BF6B69" w:rsidRDefault="00BF6B69" w:rsidP="003444A8">
      <w:pPr>
        <w:spacing w:after="0" w:line="240" w:lineRule="auto"/>
        <w:ind w:firstLine="0"/>
        <w:jc w:val="center"/>
      </w:pPr>
    </w:p>
    <w:p w:rsidR="00BF6B69" w:rsidRDefault="00BF6B69" w:rsidP="003444A8">
      <w:pPr>
        <w:spacing w:after="0" w:line="240" w:lineRule="auto"/>
        <w:ind w:firstLine="0"/>
        <w:jc w:val="center"/>
      </w:pPr>
      <w:r>
        <w:t>Before</w:t>
      </w:r>
    </w:p>
    <w:p w:rsidR="00BF6B69" w:rsidRDefault="007B1C56" w:rsidP="003444A8">
      <w:pPr>
        <w:spacing w:after="0" w:line="240" w:lineRule="auto"/>
        <w:ind w:firstLine="0"/>
        <w:jc w:val="center"/>
      </w:pPr>
      <w:r>
        <w:t>Jeffrey A. Watson</w:t>
      </w:r>
    </w:p>
    <w:p w:rsidR="00BF6B69" w:rsidRDefault="00BF6B69" w:rsidP="003444A8">
      <w:pPr>
        <w:spacing w:after="0" w:line="240" w:lineRule="auto"/>
        <w:ind w:firstLine="0"/>
        <w:jc w:val="center"/>
      </w:pPr>
      <w:r>
        <w:t>Administrative Law Judge</w:t>
      </w:r>
    </w:p>
    <w:p w:rsidR="00BF6B69" w:rsidRDefault="00BF6B69" w:rsidP="003444A8">
      <w:pPr>
        <w:spacing w:after="0" w:line="240" w:lineRule="auto"/>
        <w:ind w:firstLine="0"/>
      </w:pPr>
    </w:p>
    <w:p w:rsidR="003444A8" w:rsidRDefault="003444A8" w:rsidP="003444A8">
      <w:pPr>
        <w:spacing w:after="0" w:line="240" w:lineRule="auto"/>
        <w:ind w:firstLine="0"/>
      </w:pPr>
    </w:p>
    <w:p w:rsidR="00BF6B69" w:rsidRDefault="007B1C56" w:rsidP="003444A8">
      <w:pPr>
        <w:spacing w:after="0"/>
      </w:pPr>
      <w:r>
        <w:t xml:space="preserve">This Initial Decision </w:t>
      </w:r>
      <w:r w:rsidR="008A4C8B">
        <w:t>grants Respondent</w:t>
      </w:r>
      <w:r w:rsidR="009E2661">
        <w:t xml:space="preserve"> SFE</w:t>
      </w:r>
      <w:bookmarkStart w:id="0" w:name="_GoBack"/>
      <w:bookmarkEnd w:id="0"/>
      <w:r w:rsidR="008A4C8B">
        <w:t xml:space="preserve">’s </w:t>
      </w:r>
      <w:r w:rsidR="001036AD">
        <w:t xml:space="preserve">motion to dismiss and </w:t>
      </w:r>
      <w:r>
        <w:t xml:space="preserve">dismisses </w:t>
      </w:r>
      <w:r w:rsidR="001036AD">
        <w:t>the</w:t>
      </w:r>
      <w:r>
        <w:t xml:space="preserve"> </w:t>
      </w:r>
      <w:r w:rsidR="00BF6B69">
        <w:t>formal complaint filed</w:t>
      </w:r>
      <w:r w:rsidR="00CB6A2F">
        <w:t xml:space="preserve"> by</w:t>
      </w:r>
      <w:r w:rsidR="001036AD">
        <w:t xml:space="preserve"> Complainant</w:t>
      </w:r>
      <w:r w:rsidR="00BE3C7C">
        <w:t xml:space="preserve"> against SFE Energy Company</w:t>
      </w:r>
      <w:r>
        <w:t xml:space="preserve"> </w:t>
      </w:r>
      <w:r w:rsidR="00BF6B69">
        <w:t xml:space="preserve">because </w:t>
      </w:r>
      <w:r w:rsidR="00F503FC">
        <w:t>C</w:t>
      </w:r>
      <w:r w:rsidR="00BF6B69">
        <w:t>omplainant failed to appear for the hearing without good cause.</w:t>
      </w:r>
    </w:p>
    <w:p w:rsidR="00685437" w:rsidRDefault="00685437" w:rsidP="00064E3D">
      <w:pPr>
        <w:spacing w:after="0" w:line="240" w:lineRule="auto"/>
      </w:pPr>
    </w:p>
    <w:p w:rsidR="00064E3D" w:rsidRDefault="00064E3D" w:rsidP="00064E3D">
      <w:pPr>
        <w:spacing w:after="0" w:line="240" w:lineRule="auto"/>
      </w:pPr>
    </w:p>
    <w:p w:rsidR="00BF6B69" w:rsidRDefault="00BF6B69" w:rsidP="003444A8">
      <w:pPr>
        <w:spacing w:after="0"/>
        <w:ind w:firstLine="0"/>
        <w:jc w:val="center"/>
        <w:rPr>
          <w:u w:val="single"/>
        </w:rPr>
      </w:pPr>
      <w:r w:rsidRPr="00844EF8">
        <w:rPr>
          <w:u w:val="single"/>
        </w:rPr>
        <w:t>HISTORY OF PROCEEDINGS</w:t>
      </w:r>
    </w:p>
    <w:p w:rsidR="00AE6070" w:rsidRPr="00844EF8" w:rsidRDefault="00AE6070" w:rsidP="003444A8">
      <w:pPr>
        <w:spacing w:after="0"/>
        <w:ind w:firstLine="0"/>
        <w:jc w:val="center"/>
        <w:rPr>
          <w:u w:val="single"/>
        </w:rPr>
      </w:pPr>
    </w:p>
    <w:p w:rsidR="00731362" w:rsidRDefault="00E7687B" w:rsidP="00731362">
      <w:pPr>
        <w:spacing w:after="0"/>
      </w:pPr>
      <w:r>
        <w:rPr>
          <w:szCs w:val="24"/>
        </w:rPr>
        <w:t xml:space="preserve">Pazavor Latice </w:t>
      </w:r>
      <w:r w:rsidR="00DC1871">
        <w:rPr>
          <w:szCs w:val="24"/>
        </w:rPr>
        <w:t>Clack</w:t>
      </w:r>
      <w:r>
        <w:rPr>
          <w:szCs w:val="24"/>
        </w:rPr>
        <w:t xml:space="preserve"> </w:t>
      </w:r>
      <w:r w:rsidR="00731362">
        <w:t>(M</w:t>
      </w:r>
      <w:r w:rsidR="005F6119">
        <w:t>s</w:t>
      </w:r>
      <w:r w:rsidR="00731362">
        <w:t xml:space="preserve">. </w:t>
      </w:r>
      <w:r w:rsidR="00DC1871">
        <w:t>Clack</w:t>
      </w:r>
      <w:r w:rsidR="005F6119">
        <w:t xml:space="preserve"> </w:t>
      </w:r>
      <w:r w:rsidR="00731362">
        <w:t xml:space="preserve">or Complainant) filed a formal complaint on </w:t>
      </w:r>
      <w:r>
        <w:t>November 24</w:t>
      </w:r>
      <w:r w:rsidR="005F6119">
        <w:t xml:space="preserve">, </w:t>
      </w:r>
      <w:r w:rsidR="00731362">
        <w:t xml:space="preserve">2015, against </w:t>
      </w:r>
      <w:r>
        <w:rPr>
          <w:szCs w:val="24"/>
        </w:rPr>
        <w:t>SFE Energy Company (SFE) and PECO Energy Company (PECO</w:t>
      </w:r>
      <w:r w:rsidR="00731362">
        <w:t xml:space="preserve">), alleging that </w:t>
      </w:r>
      <w:r w:rsidR="00DB7864">
        <w:t xml:space="preserve">her electric service was </w:t>
      </w:r>
      <w:r w:rsidR="00731362">
        <w:t xml:space="preserve">terminated or was </w:t>
      </w:r>
      <w:r w:rsidR="00DB7864">
        <w:t>being</w:t>
      </w:r>
      <w:r w:rsidR="00731362">
        <w:t xml:space="preserve"> terminate</w:t>
      </w:r>
      <w:r w:rsidR="00DB7864">
        <w:t>d</w:t>
      </w:r>
      <w:r w:rsidR="00731362">
        <w:t xml:space="preserve"> </w:t>
      </w:r>
      <w:r>
        <w:t>and the existence of incorrect charges on her bill</w:t>
      </w:r>
      <w:r w:rsidR="00731362">
        <w:t xml:space="preserve">. </w:t>
      </w:r>
      <w:r w:rsidR="002C107D">
        <w:t xml:space="preserve"> </w:t>
      </w:r>
      <w:r w:rsidR="00731362">
        <w:t>Complainant</w:t>
      </w:r>
      <w:r>
        <w:t xml:space="preserve"> further alleged that SFE overcharged her and provided her with service that was never authorized by Complainant.  Complainant </w:t>
      </w:r>
      <w:r w:rsidR="00731362">
        <w:t>also requested the approval of a payment arrangement</w:t>
      </w:r>
      <w:r>
        <w:t>.</w:t>
      </w:r>
      <w:r w:rsidR="005536EA">
        <w:rPr>
          <w:rStyle w:val="FootnoteReference"/>
        </w:rPr>
        <w:footnoteReference w:id="1"/>
      </w:r>
      <w:r w:rsidR="00731362">
        <w:t xml:space="preserve">  </w:t>
      </w:r>
      <w:r>
        <w:t xml:space="preserve">PECO </w:t>
      </w:r>
      <w:r w:rsidR="00731362">
        <w:t xml:space="preserve">filed an answer on </w:t>
      </w:r>
      <w:r>
        <w:t xml:space="preserve">November 24, </w:t>
      </w:r>
      <w:r>
        <w:lastRenderedPageBreak/>
        <w:t>2015 which, inter alia, denied the averments set forth in the formal complaint.  SFE did not file an answer or new matter to the formal complaint.</w:t>
      </w:r>
      <w:r>
        <w:rPr>
          <w:rStyle w:val="FootnoteReference"/>
        </w:rPr>
        <w:footnoteReference w:id="2"/>
      </w:r>
      <w:r w:rsidR="00731362">
        <w:t xml:space="preserve"> </w:t>
      </w:r>
    </w:p>
    <w:p w:rsidR="00731362" w:rsidRDefault="00731362" w:rsidP="00731362">
      <w:pPr>
        <w:spacing w:after="0"/>
      </w:pPr>
    </w:p>
    <w:p w:rsidR="00731362" w:rsidRDefault="00731362" w:rsidP="00731362">
      <w:pPr>
        <w:spacing w:after="0"/>
      </w:pPr>
      <w:r>
        <w:t xml:space="preserve">By hearing notice dated </w:t>
      </w:r>
      <w:r w:rsidR="00FA6EF8">
        <w:t xml:space="preserve">December 4, </w:t>
      </w:r>
      <w:r w:rsidR="00935118">
        <w:t>2015</w:t>
      </w:r>
      <w:r>
        <w:t>, which was mailed to Complainant at the address listed on h</w:t>
      </w:r>
      <w:r w:rsidR="00415E54">
        <w:t>er</w:t>
      </w:r>
      <w:r>
        <w:t xml:space="preserve"> formal complaint, the complaint was scheduled for a telephonic hearing on </w:t>
      </w:r>
      <w:r w:rsidR="0039096C">
        <w:t xml:space="preserve">January </w:t>
      </w:r>
      <w:r w:rsidR="00FA6EF8">
        <w:t>19</w:t>
      </w:r>
      <w:r w:rsidR="0039096C">
        <w:t>, 2016</w:t>
      </w:r>
      <w:r>
        <w:t xml:space="preserve"> at 10</w:t>
      </w:r>
      <w:r w:rsidR="00D25CFF">
        <w:t>:00</w:t>
      </w:r>
      <w:r>
        <w:t xml:space="preserve"> a.m., and was assigned to the undersigned presiding officer.  The hearing notice warned that failure to appear for the scheduled hearing w</w:t>
      </w:r>
      <w:r w:rsidR="000240A0">
        <w:t>ill</w:t>
      </w:r>
      <w:r>
        <w:t xml:space="preserve"> result in the dismissal of the complaint.  I issued a prehearing order on </w:t>
      </w:r>
      <w:r w:rsidR="00FA6EF8">
        <w:t>December 14, 2015</w:t>
      </w:r>
      <w:r>
        <w:t>, which included instructions for requesting a different day for the hearing and also warned that failure to appear for the scheduled hearing will result in the dismissal of the complaint.  The prehearing order was also mailed to Complainant at the address listed on h</w:t>
      </w:r>
      <w:r w:rsidR="0039096C">
        <w:t>er</w:t>
      </w:r>
      <w:r>
        <w:t xml:space="preserve"> formal complaint.</w:t>
      </w:r>
    </w:p>
    <w:p w:rsidR="00731362" w:rsidRDefault="00731362" w:rsidP="00731362">
      <w:pPr>
        <w:spacing w:after="0"/>
      </w:pPr>
    </w:p>
    <w:p w:rsidR="00731362" w:rsidRDefault="00731362" w:rsidP="00731362">
      <w:pPr>
        <w:spacing w:after="0"/>
      </w:pPr>
      <w:r>
        <w:t>Neither the hearing notice nor the prehearing order was returned by the U.S. Postal Service as undelivered.</w:t>
      </w:r>
    </w:p>
    <w:p w:rsidR="00791CD5" w:rsidRDefault="00791CD5" w:rsidP="00731362">
      <w:pPr>
        <w:spacing w:after="0"/>
      </w:pPr>
    </w:p>
    <w:p w:rsidR="00791CD5" w:rsidRDefault="00791CD5" w:rsidP="00731362">
      <w:pPr>
        <w:spacing w:after="0"/>
      </w:pPr>
      <w:r>
        <w:t xml:space="preserve">On January </w:t>
      </w:r>
      <w:r w:rsidR="00CD1E81">
        <w:t>19</w:t>
      </w:r>
      <w:r>
        <w:t>, 2016, PECO filed a certificate of satisfaction which in</w:t>
      </w:r>
      <w:r w:rsidR="00CD1E81">
        <w:t>dicated that the matter involving PECO was resolved.</w:t>
      </w:r>
      <w:r>
        <w:t xml:space="preserve"> </w:t>
      </w:r>
    </w:p>
    <w:p w:rsidR="00731362" w:rsidRDefault="00731362" w:rsidP="00731362">
      <w:pPr>
        <w:spacing w:after="0"/>
      </w:pPr>
    </w:p>
    <w:p w:rsidR="00731362" w:rsidRPr="00D57707" w:rsidRDefault="00731362" w:rsidP="00731362">
      <w:pPr>
        <w:spacing w:after="0"/>
        <w:rPr>
          <w:b/>
        </w:rPr>
      </w:pPr>
      <w:r>
        <w:t xml:space="preserve">The hearing convened as scheduled.  </w:t>
      </w:r>
      <w:r w:rsidR="007F701E">
        <w:t>Samantha L. Brutout</w:t>
      </w:r>
      <w:r>
        <w:t xml:space="preserve">, Esquire, appeared on behalf of </w:t>
      </w:r>
      <w:r w:rsidR="007F701E">
        <w:t xml:space="preserve">SFE.  </w:t>
      </w:r>
      <w:r w:rsidRPr="00791CD5">
        <w:t xml:space="preserve">Complainant did not call the conference call number.  </w:t>
      </w:r>
      <w:r w:rsidR="00791CD5">
        <w:t>A brief recess was taken and a message was left on Complainant’s telephone answering system advising Complainant to call the hearing conference call number and indicating that the hearing would proceed at 10:25</w:t>
      </w:r>
      <w:r w:rsidR="004E502C">
        <w:t> </w:t>
      </w:r>
      <w:r w:rsidR="00791CD5">
        <w:t>a.m., even if Complainant did not participate.  A</w:t>
      </w:r>
      <w:r w:rsidRPr="00791CD5">
        <w:t>fter a brief recess</w:t>
      </w:r>
      <w:r w:rsidR="00935118" w:rsidRPr="00791CD5">
        <w:t>,</w:t>
      </w:r>
      <w:r w:rsidRPr="00791CD5">
        <w:t xml:space="preserve"> the hearing proceeded in Complainant’s absence at approximately 10:25 a.m.  </w:t>
      </w:r>
      <w:r w:rsidR="00791CD5">
        <w:t xml:space="preserve">Complainant did not participate in the hearing and a motion was made by counsel for SFE to dismiss the formal complaint for failure of Complainant to </w:t>
      </w:r>
      <w:r w:rsidR="00D57707">
        <w:t xml:space="preserve">appear and prosecute her formal complaint.  The motion was taken under advisement and the hearing was adjourned.  Approximately ten minutes after the hearing was adjourned, </w:t>
      </w:r>
      <w:r w:rsidR="000214CE" w:rsidRPr="00791CD5">
        <w:t>Complainant</w:t>
      </w:r>
      <w:r w:rsidR="00D57707">
        <w:t xml:space="preserve"> called the office of the undersigned presiding officer and left a message that she was ready to proceed with the hearing.  Complainant indicated that she would send a </w:t>
      </w:r>
      <w:r w:rsidR="00D57707">
        <w:lastRenderedPageBreak/>
        <w:t xml:space="preserve">written explanation to the undersigned presiding officer regarding her failure to participate in the hearing at the assigned time.  Complainant provided no further information as to why she did not participate in the hearing when the hearing was convened and </w:t>
      </w:r>
      <w:r w:rsidR="00CD1E81">
        <w:t xml:space="preserve">did not forward any additional information to the undersigned.  </w:t>
      </w:r>
      <w:r w:rsidRPr="00D57707">
        <w:rPr>
          <w:b/>
        </w:rPr>
        <w:t xml:space="preserve"> </w:t>
      </w:r>
    </w:p>
    <w:p w:rsidR="00731362" w:rsidRPr="00791CD5" w:rsidRDefault="00731362" w:rsidP="00731362">
      <w:pPr>
        <w:spacing w:after="0"/>
      </w:pPr>
    </w:p>
    <w:p w:rsidR="00731362" w:rsidRPr="00791CD5" w:rsidRDefault="00731362" w:rsidP="00731362">
      <w:pPr>
        <w:spacing w:after="0"/>
      </w:pPr>
      <w:r w:rsidRPr="00791CD5">
        <w:t xml:space="preserve">Complainant did not advise the undersigned presiding officer as to why </w:t>
      </w:r>
      <w:r w:rsidR="00935118" w:rsidRPr="00791CD5">
        <w:t>s</w:t>
      </w:r>
      <w:r w:rsidRPr="00791CD5">
        <w:t xml:space="preserve">he did not participate at the hearing or request a continuance.  By Interim Order entered on </w:t>
      </w:r>
      <w:r w:rsidR="00935118" w:rsidRPr="00791CD5">
        <w:t xml:space="preserve">January </w:t>
      </w:r>
      <w:r w:rsidR="00CD1E81">
        <w:t>27</w:t>
      </w:r>
      <w:r w:rsidR="00935118" w:rsidRPr="00791CD5">
        <w:t>,</w:t>
      </w:r>
      <w:r w:rsidRPr="00791CD5">
        <w:t xml:space="preserve"> 201</w:t>
      </w:r>
      <w:r w:rsidR="00935118" w:rsidRPr="00791CD5">
        <w:t>6</w:t>
      </w:r>
      <w:r w:rsidRPr="00791CD5">
        <w:t xml:space="preserve">, the record was closed. </w:t>
      </w:r>
    </w:p>
    <w:p w:rsidR="003444A8" w:rsidRPr="00791CD5" w:rsidRDefault="003444A8" w:rsidP="00920926">
      <w:pPr>
        <w:spacing w:after="0"/>
      </w:pPr>
    </w:p>
    <w:p w:rsidR="00170FD2" w:rsidRDefault="00170FD2" w:rsidP="003444A8">
      <w:pPr>
        <w:spacing w:after="0"/>
        <w:ind w:firstLine="0"/>
        <w:jc w:val="center"/>
        <w:rPr>
          <w:u w:val="single"/>
        </w:rPr>
      </w:pPr>
      <w:r w:rsidRPr="00D201B4">
        <w:rPr>
          <w:u w:val="single"/>
        </w:rPr>
        <w:t>FINDINGS OF FACT</w:t>
      </w:r>
    </w:p>
    <w:p w:rsidR="003444A8" w:rsidRPr="00D201B4" w:rsidRDefault="003444A8" w:rsidP="003444A8">
      <w:pPr>
        <w:spacing w:after="0"/>
        <w:ind w:firstLine="0"/>
        <w:jc w:val="center"/>
        <w:rPr>
          <w:u w:val="single"/>
        </w:rPr>
      </w:pPr>
    </w:p>
    <w:p w:rsidR="00731362" w:rsidRDefault="00E47A99" w:rsidP="00A6329B">
      <w:pPr>
        <w:pStyle w:val="ListParagraph"/>
      </w:pPr>
      <w:r>
        <w:t>1.</w:t>
      </w:r>
      <w:r>
        <w:tab/>
      </w:r>
      <w:r w:rsidR="00731362">
        <w:t xml:space="preserve">The Complainant is </w:t>
      </w:r>
      <w:r w:rsidR="00CD1E81">
        <w:rPr>
          <w:szCs w:val="24"/>
        </w:rPr>
        <w:t xml:space="preserve">Pazavor Latice </w:t>
      </w:r>
      <w:r w:rsidR="00DC1871">
        <w:rPr>
          <w:szCs w:val="24"/>
        </w:rPr>
        <w:t>Clack</w:t>
      </w:r>
      <w:r w:rsidR="00731362">
        <w:t>.</w:t>
      </w:r>
    </w:p>
    <w:p w:rsidR="00FA0253" w:rsidRDefault="00FA0253" w:rsidP="00FA0253">
      <w:pPr>
        <w:spacing w:after="0"/>
        <w:ind w:left="2160" w:firstLine="0"/>
      </w:pPr>
    </w:p>
    <w:p w:rsidR="00731362" w:rsidRDefault="00E47A99" w:rsidP="00A6329B">
      <w:pPr>
        <w:pStyle w:val="ListParagraph"/>
      </w:pPr>
      <w:r>
        <w:t>2.</w:t>
      </w:r>
      <w:r>
        <w:tab/>
      </w:r>
      <w:r w:rsidR="00731362">
        <w:t>The Respondent</w:t>
      </w:r>
      <w:r w:rsidR="00CD1E81">
        <w:t xml:space="preserve">s are </w:t>
      </w:r>
      <w:r w:rsidR="00CD1E81">
        <w:rPr>
          <w:szCs w:val="24"/>
        </w:rPr>
        <w:t>SFE Energy Company and PECO Energy Company</w:t>
      </w:r>
      <w:r w:rsidR="00731362">
        <w:t>.</w:t>
      </w:r>
    </w:p>
    <w:p w:rsidR="00FA0253" w:rsidRDefault="00FA0253" w:rsidP="00FA0253">
      <w:pPr>
        <w:spacing w:after="0"/>
        <w:ind w:left="2160" w:firstLine="0"/>
      </w:pPr>
    </w:p>
    <w:p w:rsidR="003444A8" w:rsidRDefault="00E47A99" w:rsidP="00A6329B">
      <w:pPr>
        <w:pStyle w:val="ListParagraph"/>
      </w:pPr>
      <w:r>
        <w:t>3.</w:t>
      </w:r>
      <w:r>
        <w:tab/>
      </w:r>
      <w:r w:rsidR="00170FD2">
        <w:t xml:space="preserve">Complainant did not call the conference number at 10:00 a.m. on </w:t>
      </w:r>
      <w:r w:rsidR="00935118">
        <w:t>January</w:t>
      </w:r>
      <w:r w:rsidR="00472EF4">
        <w:t> </w:t>
      </w:r>
      <w:r w:rsidR="00CD1E81">
        <w:t>19</w:t>
      </w:r>
      <w:r w:rsidR="00935118">
        <w:t>,</w:t>
      </w:r>
      <w:r w:rsidR="00754D82">
        <w:t xml:space="preserve"> 201</w:t>
      </w:r>
      <w:r w:rsidR="00935118">
        <w:t>6</w:t>
      </w:r>
      <w:r w:rsidR="00170FD2">
        <w:t xml:space="preserve">. </w:t>
      </w:r>
    </w:p>
    <w:p w:rsidR="00064E3D" w:rsidRDefault="00064E3D" w:rsidP="00A6329B">
      <w:pPr>
        <w:pStyle w:val="ListParagraph"/>
      </w:pPr>
    </w:p>
    <w:p w:rsidR="00CD1E81" w:rsidRDefault="00E47A99" w:rsidP="00CD1E81">
      <w:pPr>
        <w:spacing w:after="0"/>
      </w:pPr>
      <w:r>
        <w:t>4.</w:t>
      </w:r>
      <w:r>
        <w:tab/>
      </w:r>
      <w:r w:rsidR="00CD1E81">
        <w:t xml:space="preserve">A brief recess was taken and a message was left on Complainant’s telephone answering system advising Complainant to call the hearing conference call number and indicating that the hearing would proceed at 10:25 a.m., even if Complainant did not participate. </w:t>
      </w:r>
    </w:p>
    <w:p w:rsidR="00064E3D" w:rsidRDefault="00064E3D" w:rsidP="00CD1E81">
      <w:pPr>
        <w:spacing w:after="0"/>
      </w:pPr>
    </w:p>
    <w:p w:rsidR="00CD1E81" w:rsidRDefault="00CD1E81" w:rsidP="00CD1E81">
      <w:pPr>
        <w:spacing w:after="0"/>
      </w:pPr>
      <w:r>
        <w:t>5.</w:t>
      </w:r>
      <w:r>
        <w:tab/>
        <w:t>A</w:t>
      </w:r>
      <w:r w:rsidRPr="00791CD5">
        <w:t xml:space="preserve">fter a brief recess, the hearing proceeded in Complainant’s absence at approximately 10:25 a.m. </w:t>
      </w:r>
    </w:p>
    <w:p w:rsidR="00CD1E81" w:rsidRDefault="00CD1E81" w:rsidP="00CD1E81">
      <w:pPr>
        <w:spacing w:after="0"/>
      </w:pPr>
    </w:p>
    <w:p w:rsidR="00CD1E81" w:rsidRDefault="00CD1E81" w:rsidP="00CD1E81">
      <w:pPr>
        <w:spacing w:after="0"/>
      </w:pPr>
      <w:r>
        <w:t>6.</w:t>
      </w:r>
      <w:r>
        <w:tab/>
      </w:r>
      <w:r w:rsidRPr="00791CD5">
        <w:t xml:space="preserve"> </w:t>
      </w:r>
      <w:r>
        <w:t xml:space="preserve">Complainant did not participate in the hearing and a motion was made by counsel for SFE to dismiss the formal complaint for failure of Complainant to appear and prosecute her formal complaint.  </w:t>
      </w:r>
    </w:p>
    <w:p w:rsidR="00CD1E81" w:rsidRDefault="00CD1E81" w:rsidP="00CD1E81">
      <w:pPr>
        <w:spacing w:after="0"/>
      </w:pPr>
    </w:p>
    <w:p w:rsidR="00CD1E81" w:rsidRDefault="00CD1E81" w:rsidP="00CD1E81">
      <w:pPr>
        <w:spacing w:after="0"/>
      </w:pPr>
      <w:r>
        <w:t>7.</w:t>
      </w:r>
      <w:r>
        <w:tab/>
        <w:t xml:space="preserve">The motion was taken under advisement and the hearing was adjourned.  </w:t>
      </w:r>
    </w:p>
    <w:p w:rsidR="00CD1E81" w:rsidRDefault="00CD1E81" w:rsidP="00B849DC">
      <w:pPr>
        <w:spacing w:after="0"/>
      </w:pPr>
      <w:r>
        <w:lastRenderedPageBreak/>
        <w:t>8.</w:t>
      </w:r>
      <w:r>
        <w:tab/>
        <w:t xml:space="preserve">Approximately ten minutes after the hearing was adjourned, </w:t>
      </w:r>
      <w:r w:rsidRPr="00791CD5">
        <w:t>Complainant</w:t>
      </w:r>
      <w:r>
        <w:t xml:space="preserve"> called the office of the undersigned presiding officer and left a message that she was ready to proceed with the hearing.  Complainant indicated that she would send a written explanation to the undersigned presiding officer regarding her failure to participate in the hearing at the assigned time.  </w:t>
      </w:r>
    </w:p>
    <w:p w:rsidR="00CD1E81" w:rsidRDefault="00CD1E81" w:rsidP="00CD1E81">
      <w:pPr>
        <w:spacing w:after="0"/>
        <w:ind w:left="720" w:firstLine="720"/>
      </w:pPr>
    </w:p>
    <w:p w:rsidR="00CD1E81" w:rsidRPr="00D57707" w:rsidRDefault="00CD1E81" w:rsidP="00B849DC">
      <w:pPr>
        <w:spacing w:after="0"/>
        <w:rPr>
          <w:b/>
        </w:rPr>
      </w:pPr>
      <w:r>
        <w:t>9.</w:t>
      </w:r>
      <w:r>
        <w:tab/>
        <w:t xml:space="preserve">Complainant provided no further information as to why she did not participate in the hearing when the hearing was convened and did not forward any additional information to the undersigned.  </w:t>
      </w:r>
      <w:r w:rsidRPr="00D57707">
        <w:rPr>
          <w:b/>
        </w:rPr>
        <w:t xml:space="preserve"> </w:t>
      </w:r>
    </w:p>
    <w:p w:rsidR="009E324E" w:rsidRDefault="009E324E" w:rsidP="009E324E">
      <w:pPr>
        <w:spacing w:after="0"/>
      </w:pPr>
    </w:p>
    <w:p w:rsidR="00754D82" w:rsidRDefault="00CD1E81" w:rsidP="003444A8">
      <w:pPr>
        <w:spacing w:after="0"/>
      </w:pPr>
      <w:r>
        <w:t>10</w:t>
      </w:r>
      <w:r w:rsidR="00D201B4">
        <w:t>.</w:t>
      </w:r>
      <w:r w:rsidR="00D201B4">
        <w:tab/>
      </w:r>
      <w:r w:rsidR="00306FB8">
        <w:t xml:space="preserve">The </w:t>
      </w:r>
      <w:r w:rsidR="003F3FA0">
        <w:t>hearing notice which w</w:t>
      </w:r>
      <w:r w:rsidR="00695999">
        <w:t xml:space="preserve">as </w:t>
      </w:r>
      <w:r w:rsidR="00306FB8">
        <w:t xml:space="preserve">sent to Complainant </w:t>
      </w:r>
      <w:r w:rsidR="003F3FA0">
        <w:t xml:space="preserve">on </w:t>
      </w:r>
      <w:r>
        <w:t>December 4</w:t>
      </w:r>
      <w:r w:rsidR="00935118">
        <w:t>, 2015</w:t>
      </w:r>
      <w:r w:rsidR="003F3FA0">
        <w:t>,</w:t>
      </w:r>
      <w:r w:rsidR="0000486E">
        <w:t xml:space="preserve"> to</w:t>
      </w:r>
      <w:r w:rsidR="00306FB8">
        <w:t xml:space="preserve"> the address provided by </w:t>
      </w:r>
      <w:r w:rsidR="00695999">
        <w:t>Complainant was</w:t>
      </w:r>
      <w:r w:rsidR="00306FB8">
        <w:t xml:space="preserve"> not returned as undeliverable</w:t>
      </w:r>
      <w:r w:rsidR="00D201B4">
        <w:t>.</w:t>
      </w:r>
    </w:p>
    <w:p w:rsidR="000B40AB" w:rsidRDefault="000B40AB" w:rsidP="003444A8">
      <w:pPr>
        <w:spacing w:after="0"/>
      </w:pPr>
    </w:p>
    <w:p w:rsidR="00332BB3" w:rsidRDefault="00D65DCA" w:rsidP="003444A8">
      <w:pPr>
        <w:spacing w:after="0"/>
      </w:pPr>
      <w:r>
        <w:t>11</w:t>
      </w:r>
      <w:r w:rsidR="00332BB3">
        <w:t>.</w:t>
      </w:r>
      <w:r w:rsidR="00332BB3">
        <w:tab/>
        <w:t xml:space="preserve">The prehearing order which was sent to Complainant on </w:t>
      </w:r>
      <w:r>
        <w:t>December 14, 2015</w:t>
      </w:r>
      <w:r w:rsidR="00332BB3">
        <w:t>, to the address provided by Complainant, was not returned as undeliverable</w:t>
      </w:r>
      <w:r w:rsidR="000B40AB">
        <w:t>.</w:t>
      </w:r>
    </w:p>
    <w:p w:rsidR="00DF3226" w:rsidRDefault="00DF3226" w:rsidP="003444A8">
      <w:pPr>
        <w:spacing w:after="0"/>
      </w:pPr>
    </w:p>
    <w:p w:rsidR="00DF3226" w:rsidRDefault="00D65DCA" w:rsidP="003444A8">
      <w:pPr>
        <w:spacing w:after="0"/>
      </w:pPr>
      <w:r>
        <w:t>12</w:t>
      </w:r>
      <w:r w:rsidR="00DF3226">
        <w:t>.</w:t>
      </w:r>
      <w:r w:rsidR="00DF3226">
        <w:tab/>
        <w:t>Complainant did not withdraw her complaint</w:t>
      </w:r>
      <w:r>
        <w:t xml:space="preserve">, indicate a settlement was achieved with SFE, </w:t>
      </w:r>
      <w:r w:rsidR="00DF3226">
        <w:t>or request a continuance of the hearing in this proceeding</w:t>
      </w:r>
      <w:r>
        <w:t xml:space="preserve"> regarding the issues asserted against SFE</w:t>
      </w:r>
      <w:r w:rsidR="00DF3226">
        <w:t>.</w:t>
      </w:r>
    </w:p>
    <w:p w:rsidR="003444A8" w:rsidRDefault="003444A8" w:rsidP="003444A8">
      <w:pPr>
        <w:spacing w:after="0"/>
        <w:ind w:firstLine="0"/>
        <w:rPr>
          <w:u w:val="single"/>
        </w:rPr>
      </w:pPr>
    </w:p>
    <w:p w:rsidR="00AD0985" w:rsidRDefault="00AD0985" w:rsidP="003444A8">
      <w:pPr>
        <w:spacing w:after="0"/>
        <w:ind w:firstLine="0"/>
        <w:jc w:val="center"/>
        <w:rPr>
          <w:u w:val="single"/>
        </w:rPr>
      </w:pPr>
      <w:r w:rsidRPr="00844EF8">
        <w:rPr>
          <w:u w:val="single"/>
        </w:rPr>
        <w:t>DISCUSSION</w:t>
      </w:r>
    </w:p>
    <w:p w:rsidR="00FA08FA" w:rsidRPr="00844EF8" w:rsidRDefault="00FA08FA" w:rsidP="003444A8">
      <w:pPr>
        <w:spacing w:after="0"/>
        <w:ind w:firstLine="0"/>
        <w:jc w:val="center"/>
        <w:rPr>
          <w:u w:val="single"/>
        </w:rPr>
      </w:pPr>
    </w:p>
    <w:p w:rsidR="00B76963" w:rsidRDefault="00B76963" w:rsidP="00B76963">
      <w:pPr>
        <w:spacing w:after="0"/>
        <w:rPr>
          <w:spacing w:val="-3"/>
        </w:rPr>
      </w:pPr>
      <w:r w:rsidRPr="00793C9C">
        <w:rPr>
          <w:spacing w:val="-3"/>
        </w:rPr>
        <w:t xml:space="preserve">Section 332(a) of the Public Utility Code places the burden of proof upon the proponent of a rule or order.  As the proponent of a rule or order, </w:t>
      </w:r>
      <w:r>
        <w:rPr>
          <w:spacing w:val="-3"/>
        </w:rPr>
        <w:t>Complainant</w:t>
      </w:r>
      <w:r w:rsidRPr="00793C9C">
        <w:rPr>
          <w:spacing w:val="-3"/>
        </w:rPr>
        <w:t xml:space="preserve"> has the burden of demonstrati</w:t>
      </w:r>
      <w:r>
        <w:rPr>
          <w:spacing w:val="-3"/>
        </w:rPr>
        <w:t>ng that the facts alleged in her</w:t>
      </w:r>
      <w:r w:rsidRPr="00793C9C">
        <w:rPr>
          <w:spacing w:val="-3"/>
        </w:rPr>
        <w:t xml:space="preserve"> complaint are t</w:t>
      </w:r>
      <w:r>
        <w:rPr>
          <w:spacing w:val="-3"/>
        </w:rPr>
        <w:t>rue and that she</w:t>
      </w:r>
      <w:r w:rsidRPr="00793C9C">
        <w:rPr>
          <w:spacing w:val="-3"/>
        </w:rPr>
        <w:t xml:space="preserve"> is ent</w:t>
      </w:r>
      <w:r>
        <w:rPr>
          <w:spacing w:val="-3"/>
        </w:rPr>
        <w:t>itled to the relief that she</w:t>
      </w:r>
      <w:r w:rsidRPr="00793C9C">
        <w:rPr>
          <w:spacing w:val="-3"/>
        </w:rPr>
        <w:t xml:space="preserve"> requested.</w:t>
      </w:r>
      <w:r>
        <w:rPr>
          <w:spacing w:val="-3"/>
        </w:rPr>
        <w:t xml:space="preserve"> </w:t>
      </w:r>
    </w:p>
    <w:p w:rsidR="003444A8" w:rsidRPr="00793C9C" w:rsidRDefault="003444A8" w:rsidP="003444A8">
      <w:pPr>
        <w:spacing w:after="0"/>
      </w:pPr>
    </w:p>
    <w:p w:rsidR="00B849DC" w:rsidRDefault="00DD6136" w:rsidP="003444A8">
      <w:pPr>
        <w:spacing w:after="0"/>
        <w:rPr>
          <w:spacing w:val="-3"/>
        </w:rPr>
      </w:pPr>
      <w:r w:rsidRPr="00793C9C">
        <w:rPr>
          <w:spacing w:val="-3"/>
        </w:rPr>
        <w:t>Administrative agencies, such as the Commission, are required to provide due process to the parties appearing before them.</w:t>
      </w:r>
      <w:r w:rsidRPr="00793C9C">
        <w:rPr>
          <w:spacing w:val="-3"/>
          <w:vertAlign w:val="superscript"/>
        </w:rPr>
        <w:footnoteReference w:id="3"/>
      </w:r>
      <w:r w:rsidRPr="00793C9C">
        <w:rPr>
          <w:spacing w:val="-3"/>
        </w:rPr>
        <w:t xml:space="preserve">  However, this due process requirement is satisfied </w:t>
      </w:r>
      <w:r w:rsidR="00B849DC">
        <w:rPr>
          <w:spacing w:val="-3"/>
        </w:rPr>
        <w:br w:type="page"/>
      </w:r>
    </w:p>
    <w:p w:rsidR="001C2FA0" w:rsidRDefault="00DD6136" w:rsidP="00B849DC">
      <w:pPr>
        <w:spacing w:after="0"/>
        <w:ind w:firstLine="0"/>
        <w:rPr>
          <w:spacing w:val="-3"/>
        </w:rPr>
      </w:pPr>
      <w:r w:rsidRPr="00793C9C">
        <w:rPr>
          <w:spacing w:val="-3"/>
        </w:rPr>
        <w:lastRenderedPageBreak/>
        <w:t>when the parties are provided notice and the oppo</w:t>
      </w:r>
      <w:r w:rsidR="003444A8">
        <w:rPr>
          <w:spacing w:val="-3"/>
        </w:rPr>
        <w:t>rtunity to appear and be heard.</w:t>
      </w:r>
      <w:r w:rsidRPr="00793C9C">
        <w:rPr>
          <w:spacing w:val="-3"/>
          <w:vertAlign w:val="superscript"/>
        </w:rPr>
        <w:footnoteReference w:id="4"/>
      </w:r>
    </w:p>
    <w:p w:rsidR="00B849DC" w:rsidRDefault="00B849DC" w:rsidP="006D476A">
      <w:pPr>
        <w:spacing w:after="0"/>
        <w:rPr>
          <w:spacing w:val="-3"/>
        </w:rPr>
      </w:pPr>
    </w:p>
    <w:p w:rsidR="006D476A" w:rsidRPr="006D476A" w:rsidRDefault="00DC1D6D" w:rsidP="006D476A">
      <w:pPr>
        <w:spacing w:after="0"/>
        <w:rPr>
          <w:spacing w:val="-3"/>
        </w:rPr>
      </w:pPr>
      <w:r>
        <w:rPr>
          <w:spacing w:val="-3"/>
        </w:rPr>
        <w:t>Neither t</w:t>
      </w:r>
      <w:r w:rsidR="00332BB3">
        <w:rPr>
          <w:spacing w:val="-3"/>
        </w:rPr>
        <w:t xml:space="preserve">he hearing notice nor </w:t>
      </w:r>
      <w:r w:rsidR="006D476A" w:rsidRPr="006D476A">
        <w:rPr>
          <w:spacing w:val="-3"/>
        </w:rPr>
        <w:t xml:space="preserve">the </w:t>
      </w:r>
      <w:r w:rsidR="006D476A">
        <w:rPr>
          <w:spacing w:val="-3"/>
        </w:rPr>
        <w:t>prehearing order was</w:t>
      </w:r>
      <w:r w:rsidR="006D476A" w:rsidRPr="006D476A">
        <w:rPr>
          <w:spacing w:val="-3"/>
        </w:rPr>
        <w:t xml:space="preserve"> returned by the U.S. Postal Service as undeliverable to </w:t>
      </w:r>
      <w:r w:rsidR="00714441">
        <w:rPr>
          <w:spacing w:val="-3"/>
        </w:rPr>
        <w:t>C</w:t>
      </w:r>
      <w:r w:rsidR="006D476A" w:rsidRPr="006D476A">
        <w:rPr>
          <w:spacing w:val="-3"/>
        </w:rPr>
        <w:t>om</w:t>
      </w:r>
      <w:r w:rsidR="006D476A">
        <w:rPr>
          <w:spacing w:val="-3"/>
        </w:rPr>
        <w:t>plainant</w:t>
      </w:r>
      <w:r w:rsidR="00332BB3">
        <w:rPr>
          <w:spacing w:val="-3"/>
        </w:rPr>
        <w:t>.  T</w:t>
      </w:r>
      <w:r w:rsidR="006D476A">
        <w:rPr>
          <w:spacing w:val="-3"/>
        </w:rPr>
        <w:t>he duty is upon C</w:t>
      </w:r>
      <w:r w:rsidR="006D476A" w:rsidRPr="006D476A">
        <w:rPr>
          <w:spacing w:val="-3"/>
        </w:rPr>
        <w:t>omplainant to keep h</w:t>
      </w:r>
      <w:r w:rsidR="00935118">
        <w:rPr>
          <w:spacing w:val="-3"/>
        </w:rPr>
        <w:t>er</w:t>
      </w:r>
      <w:r w:rsidR="006D476A" w:rsidRPr="006D476A">
        <w:rPr>
          <w:spacing w:val="-3"/>
        </w:rPr>
        <w:t xml:space="preserve"> mailing address current with the Secretary pursuant to 52 Pa.Code § 1.24(a) which provides:</w:t>
      </w:r>
    </w:p>
    <w:p w:rsidR="006D476A" w:rsidRPr="006D476A" w:rsidRDefault="006D476A" w:rsidP="00B236A9">
      <w:pPr>
        <w:spacing w:after="0" w:line="240" w:lineRule="auto"/>
        <w:rPr>
          <w:spacing w:val="-3"/>
        </w:rPr>
      </w:pPr>
    </w:p>
    <w:p w:rsidR="006D476A" w:rsidRPr="006D476A" w:rsidRDefault="006D476A" w:rsidP="005E4690">
      <w:pPr>
        <w:spacing w:after="0" w:line="240" w:lineRule="auto"/>
        <w:ind w:left="2160" w:right="1440" w:firstLine="0"/>
        <w:rPr>
          <w:spacing w:val="-3"/>
        </w:rPr>
      </w:pPr>
      <w:r w:rsidRPr="006D476A">
        <w:rPr>
          <w:spacing w:val="-3"/>
        </w:rPr>
        <w:t>An individual appearing without legal representation before the Commission or a presiding officer shall file with the Secretary an address for service of a notice or other written communication.  A change in address which occurs during the course of the proceeding shall be reported to the Secretary promptly.</w:t>
      </w:r>
    </w:p>
    <w:p w:rsidR="006D476A" w:rsidRPr="006D476A" w:rsidRDefault="006D476A" w:rsidP="006D476A">
      <w:pPr>
        <w:spacing w:after="0"/>
        <w:rPr>
          <w:spacing w:val="-3"/>
        </w:rPr>
      </w:pPr>
    </w:p>
    <w:p w:rsidR="006D476A" w:rsidRPr="006D476A" w:rsidRDefault="006D476A" w:rsidP="006D476A">
      <w:pPr>
        <w:spacing w:after="0"/>
        <w:rPr>
          <w:spacing w:val="-3"/>
        </w:rPr>
      </w:pPr>
      <w:r w:rsidRPr="006D476A">
        <w:rPr>
          <w:spacing w:val="-3"/>
        </w:rPr>
        <w:t xml:space="preserve">There is nothing in the record to indicate that </w:t>
      </w:r>
      <w:r w:rsidR="00714441">
        <w:rPr>
          <w:spacing w:val="-3"/>
        </w:rPr>
        <w:t>C</w:t>
      </w:r>
      <w:r w:rsidRPr="006D476A">
        <w:rPr>
          <w:spacing w:val="-3"/>
        </w:rPr>
        <w:t>omplainant reported a change of address to the Commission’s Secretary.</w:t>
      </w:r>
      <w:r w:rsidR="003F3FA0">
        <w:rPr>
          <w:spacing w:val="-3"/>
        </w:rPr>
        <w:t xml:space="preserve">  Nevertheless, </w:t>
      </w:r>
      <w:r w:rsidR="006A33FF">
        <w:rPr>
          <w:spacing w:val="-3"/>
        </w:rPr>
        <w:t xml:space="preserve">the </w:t>
      </w:r>
      <w:r w:rsidR="003F3FA0">
        <w:rPr>
          <w:spacing w:val="-3"/>
        </w:rPr>
        <w:t>hearing notice</w:t>
      </w:r>
      <w:r w:rsidR="00332BB3">
        <w:rPr>
          <w:spacing w:val="-3"/>
        </w:rPr>
        <w:t xml:space="preserve"> and prehearing order were</w:t>
      </w:r>
      <w:r w:rsidR="006A33FF">
        <w:rPr>
          <w:spacing w:val="-3"/>
        </w:rPr>
        <w:t xml:space="preserve"> </w:t>
      </w:r>
      <w:r w:rsidR="003F3FA0">
        <w:rPr>
          <w:spacing w:val="-3"/>
        </w:rPr>
        <w:t>sent to the address provided by</w:t>
      </w:r>
      <w:r w:rsidR="006A33FF">
        <w:rPr>
          <w:spacing w:val="-3"/>
        </w:rPr>
        <w:t xml:space="preserve"> Complainant and w</w:t>
      </w:r>
      <w:r w:rsidR="00332BB3">
        <w:rPr>
          <w:spacing w:val="-3"/>
        </w:rPr>
        <w:t>ere</w:t>
      </w:r>
      <w:r w:rsidR="006A33FF">
        <w:rPr>
          <w:spacing w:val="-3"/>
        </w:rPr>
        <w:t xml:space="preserve"> not returned by </w:t>
      </w:r>
      <w:r w:rsidR="003F3FA0">
        <w:rPr>
          <w:spacing w:val="-3"/>
        </w:rPr>
        <w:t xml:space="preserve">the U.S. Postal Service. </w:t>
      </w:r>
    </w:p>
    <w:p w:rsidR="006D476A" w:rsidRPr="006D476A" w:rsidRDefault="006D476A" w:rsidP="006D476A">
      <w:pPr>
        <w:spacing w:after="0"/>
        <w:rPr>
          <w:spacing w:val="-3"/>
        </w:rPr>
      </w:pPr>
      <w:r w:rsidRPr="006D476A">
        <w:rPr>
          <w:spacing w:val="-3"/>
        </w:rPr>
        <w:t xml:space="preserve"> </w:t>
      </w:r>
    </w:p>
    <w:p w:rsidR="003444A8" w:rsidRDefault="006D476A" w:rsidP="006D476A">
      <w:pPr>
        <w:spacing w:after="0"/>
        <w:rPr>
          <w:spacing w:val="-3"/>
        </w:rPr>
      </w:pPr>
      <w:r>
        <w:rPr>
          <w:spacing w:val="-3"/>
        </w:rPr>
        <w:t>C</w:t>
      </w:r>
      <w:r w:rsidRPr="006D476A">
        <w:rPr>
          <w:spacing w:val="-3"/>
        </w:rPr>
        <w:t xml:space="preserve">omplainant’s </w:t>
      </w:r>
      <w:r w:rsidR="006A33FF">
        <w:rPr>
          <w:spacing w:val="-3"/>
        </w:rPr>
        <w:t xml:space="preserve">formal complaint </w:t>
      </w:r>
      <w:r w:rsidRPr="006D476A">
        <w:rPr>
          <w:spacing w:val="-3"/>
        </w:rPr>
        <w:t xml:space="preserve">may be dismissed for failure to </w:t>
      </w:r>
      <w:r w:rsidR="005377C7">
        <w:rPr>
          <w:spacing w:val="-3"/>
        </w:rPr>
        <w:t>participate in the hearing in this matter.  T</w:t>
      </w:r>
      <w:r w:rsidR="003F3FA0">
        <w:rPr>
          <w:spacing w:val="-3"/>
        </w:rPr>
        <w:t xml:space="preserve">he Commission </w:t>
      </w:r>
      <w:r w:rsidR="006A33FF">
        <w:rPr>
          <w:spacing w:val="-3"/>
        </w:rPr>
        <w:t>sent a hearing notice</w:t>
      </w:r>
      <w:r w:rsidR="00332BB3">
        <w:rPr>
          <w:spacing w:val="-3"/>
        </w:rPr>
        <w:t xml:space="preserve"> and prehearing order </w:t>
      </w:r>
      <w:r w:rsidR="006A33FF">
        <w:rPr>
          <w:spacing w:val="-3"/>
        </w:rPr>
        <w:t xml:space="preserve">to </w:t>
      </w:r>
      <w:r w:rsidR="003F3FA0">
        <w:rPr>
          <w:spacing w:val="-3"/>
        </w:rPr>
        <w:t xml:space="preserve">Complainant to the address provided by </w:t>
      </w:r>
      <w:r w:rsidR="006A33FF">
        <w:rPr>
          <w:spacing w:val="-3"/>
        </w:rPr>
        <w:t>Complainant, which w</w:t>
      </w:r>
      <w:r w:rsidR="00332BB3">
        <w:rPr>
          <w:spacing w:val="-3"/>
        </w:rPr>
        <w:t>ere</w:t>
      </w:r>
      <w:r w:rsidR="006A33FF">
        <w:rPr>
          <w:spacing w:val="-3"/>
        </w:rPr>
        <w:t xml:space="preserve"> not returned by </w:t>
      </w:r>
      <w:r w:rsidR="003F3FA0">
        <w:rPr>
          <w:spacing w:val="-3"/>
        </w:rPr>
        <w:t xml:space="preserve">the U.S. Postal Service. </w:t>
      </w:r>
      <w:r w:rsidRPr="006D476A">
        <w:rPr>
          <w:spacing w:val="-3"/>
        </w:rPr>
        <w:t xml:space="preserve"> </w:t>
      </w:r>
      <w:r w:rsidR="003F3FA0" w:rsidRPr="00793C9C">
        <w:rPr>
          <w:spacing w:val="-3"/>
        </w:rPr>
        <w:t>Notice mailed to a party’s last known address and not returned by the post office is presumed to have been received.</w:t>
      </w:r>
      <w:r w:rsidR="003F3FA0" w:rsidRPr="00793C9C">
        <w:rPr>
          <w:spacing w:val="-3"/>
          <w:vertAlign w:val="superscript"/>
        </w:rPr>
        <w:footnoteReference w:id="5"/>
      </w:r>
      <w:r w:rsidR="003F3FA0" w:rsidRPr="00793C9C">
        <w:rPr>
          <w:spacing w:val="-3"/>
        </w:rPr>
        <w:t xml:space="preserve">  Therefore, Complainant is deemed to have received the</w:t>
      </w:r>
      <w:r w:rsidR="006A33FF">
        <w:rPr>
          <w:spacing w:val="-3"/>
        </w:rPr>
        <w:t xml:space="preserve"> hearing notice </w:t>
      </w:r>
      <w:r w:rsidR="00332BB3">
        <w:rPr>
          <w:spacing w:val="-3"/>
        </w:rPr>
        <w:t xml:space="preserve">and prehearing order </w:t>
      </w:r>
      <w:r w:rsidR="006A33FF">
        <w:rPr>
          <w:spacing w:val="-3"/>
        </w:rPr>
        <w:t>a</w:t>
      </w:r>
      <w:r w:rsidR="003F3FA0" w:rsidRPr="00793C9C">
        <w:rPr>
          <w:spacing w:val="-3"/>
        </w:rPr>
        <w:t>nd had sufficient notice of the Commission’s procedures and notice of the location, date and time of the scheduled hearing.</w:t>
      </w:r>
    </w:p>
    <w:p w:rsidR="001962F5" w:rsidRDefault="001962F5" w:rsidP="003444A8">
      <w:pPr>
        <w:spacing w:after="0"/>
        <w:rPr>
          <w:spacing w:val="-3"/>
        </w:rPr>
      </w:pPr>
    </w:p>
    <w:p w:rsidR="003444A8" w:rsidRDefault="00DD6136" w:rsidP="0008581B">
      <w:pPr>
        <w:spacing w:after="0"/>
        <w:rPr>
          <w:spacing w:val="-3"/>
        </w:rPr>
      </w:pPr>
      <w:r w:rsidRPr="00793C9C">
        <w:rPr>
          <w:spacing w:val="-3"/>
        </w:rPr>
        <w:t xml:space="preserve">By not appearing for the scheduled hearing to present evidence, Complainant failed to </w:t>
      </w:r>
      <w:r w:rsidR="003E04FC">
        <w:rPr>
          <w:spacing w:val="-3"/>
        </w:rPr>
        <w:t>meet</w:t>
      </w:r>
      <w:r w:rsidR="000E453F">
        <w:rPr>
          <w:spacing w:val="-3"/>
        </w:rPr>
        <w:t xml:space="preserve"> </w:t>
      </w:r>
      <w:r w:rsidR="009F34E8">
        <w:rPr>
          <w:spacing w:val="-3"/>
        </w:rPr>
        <w:t>h</w:t>
      </w:r>
      <w:r w:rsidR="00901180">
        <w:rPr>
          <w:spacing w:val="-3"/>
        </w:rPr>
        <w:t>er</w:t>
      </w:r>
      <w:r w:rsidRPr="00793C9C">
        <w:rPr>
          <w:spacing w:val="-3"/>
        </w:rPr>
        <w:t xml:space="preserve"> burden of proof.  Consequently, the complaint must be dismissed.  Complainant was notified of the scheduled hearing location, date and time, as well as how to contact the O</w:t>
      </w:r>
      <w:r w:rsidR="00352B97">
        <w:rPr>
          <w:spacing w:val="-3"/>
        </w:rPr>
        <w:t xml:space="preserve">ffice of </w:t>
      </w:r>
      <w:r w:rsidRPr="00793C9C">
        <w:rPr>
          <w:spacing w:val="-3"/>
        </w:rPr>
        <w:t>A</w:t>
      </w:r>
      <w:r w:rsidR="00352B97">
        <w:rPr>
          <w:spacing w:val="-3"/>
        </w:rPr>
        <w:t>dministrative Law Judge</w:t>
      </w:r>
      <w:r w:rsidR="00F40D6F">
        <w:rPr>
          <w:spacing w:val="-3"/>
        </w:rPr>
        <w:t>,</w:t>
      </w:r>
      <w:r w:rsidR="00C7480E">
        <w:rPr>
          <w:spacing w:val="-3"/>
        </w:rPr>
        <w:t xml:space="preserve"> but failed to appear without explanation</w:t>
      </w:r>
      <w:r w:rsidRPr="00793C9C">
        <w:rPr>
          <w:spacing w:val="-3"/>
        </w:rPr>
        <w:t xml:space="preserve">.  </w:t>
      </w:r>
      <w:r w:rsidR="00D65DCA">
        <w:rPr>
          <w:spacing w:val="-3"/>
        </w:rPr>
        <w:t xml:space="preserve">Complainant was also </w:t>
      </w:r>
      <w:r w:rsidR="00D65DCA">
        <w:rPr>
          <w:spacing w:val="-3"/>
        </w:rPr>
        <w:lastRenderedPageBreak/>
        <w:t xml:space="preserve">contacted by the office of the undersigned on the date of the hearing but failed to participate when the hearing was reconvened or to subsequently explain her reason for failing to participate in the hearing at the scheduled time or the time when the hearing was reconvened.  </w:t>
      </w:r>
      <w:r w:rsidRPr="00793C9C">
        <w:rPr>
          <w:spacing w:val="-3"/>
        </w:rPr>
        <w:t>Under these circumstances, Complainant had ample opportunity to appear and be heard in this proceeding</w:t>
      </w:r>
      <w:r w:rsidR="00D65DCA">
        <w:rPr>
          <w:spacing w:val="-3"/>
        </w:rPr>
        <w:t xml:space="preserve">.  </w:t>
      </w:r>
      <w:r w:rsidRPr="00793C9C">
        <w:rPr>
          <w:spacing w:val="-3"/>
        </w:rPr>
        <w:t>Therefore, the due process rights of Complaina</w:t>
      </w:r>
      <w:r w:rsidR="00F40D6F">
        <w:rPr>
          <w:spacing w:val="-3"/>
        </w:rPr>
        <w:t xml:space="preserve">nt have been fully protected.  </w:t>
      </w:r>
      <w:r w:rsidRPr="00793C9C">
        <w:rPr>
          <w:spacing w:val="-3"/>
        </w:rPr>
        <w:t xml:space="preserve">The motion to dismiss of </w:t>
      </w:r>
      <w:r w:rsidR="009F34E8">
        <w:rPr>
          <w:spacing w:val="-3"/>
        </w:rPr>
        <w:t xml:space="preserve">the Company </w:t>
      </w:r>
      <w:r w:rsidRPr="00793C9C">
        <w:rPr>
          <w:spacing w:val="-3"/>
        </w:rPr>
        <w:t>is granted and the</w:t>
      </w:r>
      <w:r w:rsidR="006A33FF">
        <w:rPr>
          <w:spacing w:val="-3"/>
        </w:rPr>
        <w:t xml:space="preserve"> formal </w:t>
      </w:r>
      <w:r w:rsidRPr="00793C9C">
        <w:rPr>
          <w:spacing w:val="-3"/>
        </w:rPr>
        <w:t>complaint is dismissed with</w:t>
      </w:r>
      <w:r w:rsidR="00D65DCA">
        <w:rPr>
          <w:spacing w:val="-3"/>
        </w:rPr>
        <w:t xml:space="preserve">out </w:t>
      </w:r>
      <w:r w:rsidRPr="00793C9C">
        <w:rPr>
          <w:spacing w:val="-3"/>
        </w:rPr>
        <w:t xml:space="preserve"> prejudice.</w:t>
      </w:r>
    </w:p>
    <w:p w:rsidR="004F44FF" w:rsidRDefault="004F44FF" w:rsidP="0008581B">
      <w:pPr>
        <w:spacing w:after="0"/>
        <w:rPr>
          <w:spacing w:val="-3"/>
        </w:rPr>
      </w:pPr>
    </w:p>
    <w:p w:rsidR="00BC6429" w:rsidRDefault="00DC781E" w:rsidP="003444A8">
      <w:pPr>
        <w:spacing w:after="0"/>
        <w:ind w:firstLine="0"/>
        <w:jc w:val="center"/>
        <w:rPr>
          <w:spacing w:val="-3"/>
          <w:szCs w:val="24"/>
          <w:u w:val="single"/>
        </w:rPr>
      </w:pPr>
      <w:r>
        <w:rPr>
          <w:spacing w:val="-3"/>
          <w:szCs w:val="24"/>
          <w:u w:val="single"/>
        </w:rPr>
        <w:t>C</w:t>
      </w:r>
      <w:r w:rsidR="00BC6429" w:rsidRPr="00BC6429">
        <w:rPr>
          <w:spacing w:val="-3"/>
          <w:szCs w:val="24"/>
          <w:u w:val="single"/>
        </w:rPr>
        <w:t>ONCLUSIONS OF LAW</w:t>
      </w:r>
    </w:p>
    <w:p w:rsidR="00970B99" w:rsidRDefault="00970B99" w:rsidP="003444A8">
      <w:pPr>
        <w:tabs>
          <w:tab w:val="left" w:pos="-1440"/>
          <w:tab w:val="left" w:pos="-720"/>
        </w:tabs>
        <w:suppressAutoHyphens/>
        <w:spacing w:after="0"/>
        <w:ind w:firstLine="0"/>
        <w:jc w:val="center"/>
        <w:rPr>
          <w:spacing w:val="-3"/>
          <w:szCs w:val="24"/>
          <w:u w:val="single"/>
        </w:rPr>
      </w:pPr>
    </w:p>
    <w:p w:rsid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1.</w:t>
      </w:r>
      <w:r w:rsidRPr="001D0812">
        <w:rPr>
          <w:rFonts w:ascii="Times New Roman" w:hAnsi="Times New Roman" w:cs="Times New Roman"/>
          <w:sz w:val="24"/>
          <w:szCs w:val="24"/>
        </w:rPr>
        <w:tab/>
        <w:t xml:space="preserve">The Commission has jurisdiction over the parties and the subject matter of this proceeding.  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 § 701.</w:t>
      </w:r>
    </w:p>
    <w:p w:rsidR="00030948" w:rsidRPr="001D0812" w:rsidRDefault="00030948" w:rsidP="001D0812">
      <w:pPr>
        <w:pStyle w:val="PlainText"/>
        <w:spacing w:line="360" w:lineRule="auto"/>
        <w:rPr>
          <w:rFonts w:ascii="Times New Roman" w:hAnsi="Times New Roman" w:cs="Times New Roman"/>
          <w:sz w:val="24"/>
          <w:szCs w:val="24"/>
        </w:rPr>
      </w:pPr>
    </w:p>
    <w:p w:rsidR="001D0812" w:rsidRPr="001D0812" w:rsidRDefault="001D0812" w:rsidP="001D0812">
      <w:pPr>
        <w:pStyle w:val="PlainText"/>
        <w:spacing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1D0812">
        <w:rPr>
          <w:rFonts w:ascii="Times New Roman" w:hAnsi="Times New Roman" w:cs="Times New Roman"/>
          <w:sz w:val="24"/>
          <w:szCs w:val="24"/>
        </w:rPr>
        <w:t>2.</w:t>
      </w:r>
      <w:r w:rsidRPr="001D0812">
        <w:rPr>
          <w:rFonts w:ascii="Times New Roman" w:hAnsi="Times New Roman" w:cs="Times New Roman"/>
          <w:sz w:val="24"/>
          <w:szCs w:val="24"/>
        </w:rPr>
        <w:tab/>
        <w:t xml:space="preserve">As the party seeking affirmative relief from the Commission, the Complainant bears the burden of proof.  66 </w:t>
      </w:r>
      <w:proofErr w:type="spellStart"/>
      <w:r w:rsidRPr="001D0812">
        <w:rPr>
          <w:rFonts w:ascii="Times New Roman" w:hAnsi="Times New Roman" w:cs="Times New Roman"/>
          <w:sz w:val="24"/>
          <w:szCs w:val="24"/>
        </w:rPr>
        <w:t>Pa.C.S</w:t>
      </w:r>
      <w:proofErr w:type="spellEnd"/>
      <w:r w:rsidRPr="001D0812">
        <w:rPr>
          <w:rFonts w:ascii="Times New Roman" w:hAnsi="Times New Roman" w:cs="Times New Roman"/>
          <w:sz w:val="24"/>
          <w:szCs w:val="24"/>
        </w:rPr>
        <w:t>. § 332(a).</w:t>
      </w:r>
    </w:p>
    <w:p w:rsidR="001D0812" w:rsidRPr="00BC6429" w:rsidRDefault="001D0812" w:rsidP="003444A8">
      <w:pPr>
        <w:tabs>
          <w:tab w:val="left" w:pos="-1440"/>
          <w:tab w:val="left" w:pos="-720"/>
        </w:tabs>
        <w:suppressAutoHyphens/>
        <w:spacing w:after="0"/>
        <w:ind w:firstLine="0"/>
        <w:jc w:val="center"/>
        <w:rPr>
          <w:spacing w:val="-3"/>
          <w:szCs w:val="24"/>
          <w:u w:val="single"/>
        </w:rPr>
      </w:pPr>
    </w:p>
    <w:p w:rsidR="00970B99" w:rsidRDefault="001D0812" w:rsidP="00A6329B">
      <w:pPr>
        <w:pStyle w:val="ListParagraph"/>
      </w:pPr>
      <w:r>
        <w:t>3</w:t>
      </w:r>
      <w:r w:rsidR="00772CF9">
        <w:t>.</w:t>
      </w:r>
      <w:r w:rsidR="00772CF9">
        <w:tab/>
      </w:r>
      <w:r w:rsidR="00BC6429" w:rsidRPr="00793C9C">
        <w:t xml:space="preserve">The due process rights of Complainant have been fully protected.  </w:t>
      </w:r>
      <w:r w:rsidR="00BC6429" w:rsidRPr="00DC781E">
        <w:rPr>
          <w:i/>
        </w:rPr>
        <w:t>Schneider v. Pa</w:t>
      </w:r>
      <w:r w:rsidR="003F3F4E" w:rsidRPr="00DC781E">
        <w:rPr>
          <w:i/>
        </w:rPr>
        <w:t>.</w:t>
      </w:r>
      <w:r w:rsidR="00BC6429" w:rsidRPr="00DC781E">
        <w:rPr>
          <w:i/>
        </w:rPr>
        <w:t xml:space="preserve"> Pub. Util. Comm’n,</w:t>
      </w:r>
      <w:r w:rsidR="00BC6429" w:rsidRPr="00793C9C">
        <w:t xml:space="preserve"> 479 A.2d 10 (Pa.Cmwlth. 1984).</w:t>
      </w:r>
    </w:p>
    <w:p w:rsidR="003444A8" w:rsidRPr="00793C9C" w:rsidRDefault="003444A8" w:rsidP="000C376F">
      <w:pPr>
        <w:spacing w:after="0"/>
        <w:ind w:left="1440" w:firstLine="0"/>
      </w:pPr>
    </w:p>
    <w:p w:rsidR="00B849DC" w:rsidRDefault="001D0812" w:rsidP="00A6329B">
      <w:pPr>
        <w:pStyle w:val="ListParagraph"/>
      </w:pPr>
      <w:r>
        <w:t>4</w:t>
      </w:r>
      <w:r w:rsidR="00772CF9">
        <w:t>.</w:t>
      </w:r>
      <w:r w:rsidR="00772CF9">
        <w:tab/>
      </w:r>
      <w:r w:rsidR="00C7480E">
        <w:t xml:space="preserve">By failing to appear at </w:t>
      </w:r>
      <w:r w:rsidR="00674523">
        <w:t>h</w:t>
      </w:r>
      <w:r w:rsidR="004E78A2">
        <w:t>er</w:t>
      </w:r>
      <w:r w:rsidR="00C7480E">
        <w:t xml:space="preserve"> </w:t>
      </w:r>
      <w:r w:rsidR="00BC6429" w:rsidRPr="00793C9C">
        <w:t>scheduled hearin</w:t>
      </w:r>
      <w:r w:rsidR="00C7480E">
        <w:t>g</w:t>
      </w:r>
      <w:r w:rsidR="00786C2B">
        <w:t>,</w:t>
      </w:r>
      <w:r w:rsidR="0000486E">
        <w:t xml:space="preserve"> </w:t>
      </w:r>
      <w:r w:rsidR="00153BA9">
        <w:t xml:space="preserve">and to provide an explanation for her absence, </w:t>
      </w:r>
      <w:r w:rsidR="0000486E">
        <w:t>Complainant has waived h</w:t>
      </w:r>
      <w:r w:rsidR="00901180">
        <w:t>er</w:t>
      </w:r>
      <w:r w:rsidR="00BC6429" w:rsidRPr="00793C9C">
        <w:t xml:space="preserve"> clai</w:t>
      </w:r>
      <w:r w:rsidR="0000486E">
        <w:t>ms and has failed to sustain h</w:t>
      </w:r>
      <w:r w:rsidR="00901180">
        <w:t>er</w:t>
      </w:r>
      <w:r w:rsidR="00BC6429" w:rsidRPr="00793C9C">
        <w:t xml:space="preserve"> burde</w:t>
      </w:r>
      <w:r w:rsidR="00E40F01">
        <w:t xml:space="preserve">n of proof.  </w:t>
      </w:r>
      <w:proofErr w:type="gramStart"/>
      <w:r w:rsidR="00E40F01">
        <w:t xml:space="preserve">66 </w:t>
      </w:r>
      <w:proofErr w:type="spellStart"/>
      <w:r w:rsidR="00E40F01">
        <w:t>Pa.C.S</w:t>
      </w:r>
      <w:proofErr w:type="spellEnd"/>
      <w:r w:rsidR="00E40F01">
        <w:t>.</w:t>
      </w:r>
      <w:proofErr w:type="gramEnd"/>
      <w:r w:rsidR="00E40F01">
        <w:t xml:space="preserve"> § 332</w:t>
      </w:r>
      <w:r w:rsidR="00BC6429" w:rsidRPr="00793C9C">
        <w:t>.</w:t>
      </w:r>
    </w:p>
    <w:p w:rsidR="000412C4" w:rsidRDefault="000412C4" w:rsidP="00A6329B">
      <w:pPr>
        <w:pStyle w:val="ListParagraph"/>
      </w:pPr>
    </w:p>
    <w:p w:rsidR="006D78D9" w:rsidRPr="00793C9C" w:rsidRDefault="006D78D9" w:rsidP="003444A8">
      <w:pPr>
        <w:tabs>
          <w:tab w:val="left" w:pos="-1440"/>
          <w:tab w:val="left" w:pos="-720"/>
        </w:tabs>
        <w:suppressAutoHyphens/>
        <w:spacing w:after="0"/>
        <w:ind w:firstLine="0"/>
        <w:jc w:val="center"/>
        <w:rPr>
          <w:spacing w:val="-3"/>
          <w:szCs w:val="24"/>
          <w:u w:val="single"/>
        </w:rPr>
      </w:pPr>
      <w:r w:rsidRPr="00793C9C">
        <w:rPr>
          <w:spacing w:val="-3"/>
          <w:szCs w:val="24"/>
          <w:u w:val="single"/>
        </w:rPr>
        <w:t>ORDER</w:t>
      </w:r>
    </w:p>
    <w:p w:rsidR="006D78D9" w:rsidRDefault="006D78D9" w:rsidP="00030948">
      <w:pPr>
        <w:tabs>
          <w:tab w:val="left" w:pos="-1440"/>
          <w:tab w:val="left" w:pos="-720"/>
        </w:tabs>
        <w:suppressAutoHyphens/>
        <w:spacing w:after="0" w:line="240" w:lineRule="auto"/>
        <w:rPr>
          <w:spacing w:val="-3"/>
          <w:szCs w:val="24"/>
        </w:rPr>
      </w:pPr>
    </w:p>
    <w:p w:rsidR="002E5AAE" w:rsidRDefault="002E5AAE" w:rsidP="003444A8">
      <w:pPr>
        <w:tabs>
          <w:tab w:val="left" w:pos="-1440"/>
          <w:tab w:val="left" w:pos="-720"/>
        </w:tabs>
        <w:suppressAutoHyphens/>
        <w:spacing w:after="0"/>
        <w:rPr>
          <w:spacing w:val="-3"/>
          <w:szCs w:val="24"/>
        </w:rPr>
      </w:pPr>
    </w:p>
    <w:p w:rsidR="006D78D9" w:rsidRDefault="006D78D9" w:rsidP="00C42DEE">
      <w:pPr>
        <w:tabs>
          <w:tab w:val="left" w:pos="-1440"/>
          <w:tab w:val="left" w:pos="-720"/>
        </w:tabs>
        <w:suppressAutoHyphens/>
        <w:spacing w:after="0" w:line="240" w:lineRule="auto"/>
        <w:rPr>
          <w:spacing w:val="-3"/>
          <w:szCs w:val="24"/>
        </w:rPr>
      </w:pPr>
      <w:r w:rsidRPr="00793C9C">
        <w:rPr>
          <w:spacing w:val="-3"/>
          <w:szCs w:val="24"/>
        </w:rPr>
        <w:t>THEREFORE,</w:t>
      </w:r>
    </w:p>
    <w:p w:rsidR="00793F8C" w:rsidRPr="00793C9C" w:rsidRDefault="00793F8C" w:rsidP="003444A8">
      <w:pPr>
        <w:tabs>
          <w:tab w:val="left" w:pos="-1440"/>
          <w:tab w:val="left" w:pos="-720"/>
        </w:tabs>
        <w:suppressAutoHyphens/>
        <w:spacing w:after="0"/>
        <w:rPr>
          <w:spacing w:val="-3"/>
          <w:szCs w:val="24"/>
        </w:rPr>
      </w:pPr>
    </w:p>
    <w:p w:rsidR="006D78D9" w:rsidRPr="00793C9C" w:rsidRDefault="006D78D9" w:rsidP="003444A8">
      <w:pPr>
        <w:tabs>
          <w:tab w:val="left" w:pos="-1440"/>
          <w:tab w:val="left" w:pos="-720"/>
        </w:tabs>
        <w:suppressAutoHyphens/>
        <w:spacing w:after="0"/>
        <w:rPr>
          <w:spacing w:val="-3"/>
          <w:szCs w:val="24"/>
        </w:rPr>
      </w:pPr>
      <w:r w:rsidRPr="00793C9C">
        <w:rPr>
          <w:spacing w:val="-3"/>
          <w:szCs w:val="24"/>
        </w:rPr>
        <w:t>IT IS ORDERED:</w:t>
      </w:r>
    </w:p>
    <w:p w:rsidR="006D78D9" w:rsidRPr="00793C9C" w:rsidRDefault="006D78D9" w:rsidP="003444A8">
      <w:pPr>
        <w:tabs>
          <w:tab w:val="left" w:pos="-1440"/>
          <w:tab w:val="left" w:pos="-720"/>
        </w:tabs>
        <w:suppressAutoHyphens/>
        <w:spacing w:after="0"/>
        <w:rPr>
          <w:spacing w:val="-3"/>
          <w:szCs w:val="24"/>
        </w:rPr>
      </w:pPr>
    </w:p>
    <w:p w:rsidR="006D78D9" w:rsidRDefault="002E5AAE" w:rsidP="002E5AAE">
      <w:r>
        <w:t>1.</w:t>
      </w:r>
      <w:r>
        <w:tab/>
      </w:r>
      <w:r w:rsidR="006D78D9" w:rsidRPr="00793C9C">
        <w:t xml:space="preserve">That the motion to dismiss the complaint of </w:t>
      </w:r>
      <w:r w:rsidR="00153BA9">
        <w:rPr>
          <w:szCs w:val="24"/>
        </w:rPr>
        <w:t xml:space="preserve">Pazavor Latice </w:t>
      </w:r>
      <w:r w:rsidR="00DC1871">
        <w:rPr>
          <w:szCs w:val="24"/>
        </w:rPr>
        <w:t>Clack</w:t>
      </w:r>
      <w:r w:rsidR="00153BA9">
        <w:t xml:space="preserve"> </w:t>
      </w:r>
      <w:r w:rsidR="00731362">
        <w:rPr>
          <w:szCs w:val="24"/>
        </w:rPr>
        <w:t xml:space="preserve">against </w:t>
      </w:r>
      <w:r w:rsidR="000412C4">
        <w:rPr>
          <w:szCs w:val="24"/>
        </w:rPr>
        <w:t>SFE Energy Company</w:t>
      </w:r>
      <w:r w:rsidR="00332BB3">
        <w:rPr>
          <w:szCs w:val="24"/>
        </w:rPr>
        <w:t xml:space="preserve">, </w:t>
      </w:r>
      <w:r w:rsidR="009A25A0">
        <w:t xml:space="preserve">filed at </w:t>
      </w:r>
      <w:r w:rsidR="00F96FBA">
        <w:t>Docket No.</w:t>
      </w:r>
      <w:r w:rsidR="00693B43">
        <w:t xml:space="preserve"> </w:t>
      </w:r>
      <w:r w:rsidR="00901180">
        <w:t>F-2015-25</w:t>
      </w:r>
      <w:r w:rsidR="00153BA9">
        <w:t>12598</w:t>
      </w:r>
      <w:r w:rsidR="009A25A0" w:rsidRPr="002E5AAE">
        <w:rPr>
          <w:szCs w:val="24"/>
        </w:rPr>
        <w:t>,</w:t>
      </w:r>
      <w:r w:rsidR="006D78D9" w:rsidRPr="00793C9C">
        <w:t xml:space="preserve"> is granted.</w:t>
      </w:r>
    </w:p>
    <w:p w:rsidR="00F16D46" w:rsidRPr="009A25A0" w:rsidRDefault="009A25A0" w:rsidP="00030948">
      <w:pPr>
        <w:spacing w:after="0"/>
        <w:rPr>
          <w:spacing w:val="-3"/>
          <w:szCs w:val="24"/>
        </w:rPr>
      </w:pPr>
      <w:r>
        <w:lastRenderedPageBreak/>
        <w:t xml:space="preserve">2. </w:t>
      </w:r>
      <w:r w:rsidR="002E5AAE">
        <w:tab/>
      </w:r>
      <w:r w:rsidR="006D78D9" w:rsidRPr="00793C9C">
        <w:t>That the complaint</w:t>
      </w:r>
      <w:r w:rsidR="009F34E8">
        <w:t xml:space="preserve"> of</w:t>
      </w:r>
      <w:r w:rsidR="00F96FBA">
        <w:t xml:space="preserve"> </w:t>
      </w:r>
      <w:r w:rsidR="00153BA9">
        <w:rPr>
          <w:szCs w:val="24"/>
        </w:rPr>
        <w:t xml:space="preserve">Pazavor Latice </w:t>
      </w:r>
      <w:r w:rsidR="00DC1871">
        <w:rPr>
          <w:szCs w:val="24"/>
        </w:rPr>
        <w:t>Clack</w:t>
      </w:r>
      <w:r w:rsidR="00153BA9">
        <w:t xml:space="preserve"> </w:t>
      </w:r>
      <w:r w:rsidR="00153BA9">
        <w:rPr>
          <w:szCs w:val="24"/>
        </w:rPr>
        <w:t xml:space="preserve">against SFE Energy Company and PECO Energy Company, </w:t>
      </w:r>
      <w:r w:rsidR="00153BA9">
        <w:t>filed at Docket No. F-2015-2512598</w:t>
      </w:r>
      <w:r w:rsidR="00901180">
        <w:t xml:space="preserve">, </w:t>
      </w:r>
      <w:r w:rsidR="006D78D9" w:rsidRPr="00793C9C">
        <w:t>is dismissed with</w:t>
      </w:r>
      <w:r w:rsidR="00153BA9">
        <w:t>out</w:t>
      </w:r>
      <w:r w:rsidR="006D78D9" w:rsidRPr="00793C9C">
        <w:t xml:space="preserve"> prejudice.</w:t>
      </w:r>
    </w:p>
    <w:p w:rsidR="002772DE" w:rsidRDefault="002772DE" w:rsidP="003444A8">
      <w:pPr>
        <w:spacing w:after="0"/>
      </w:pPr>
    </w:p>
    <w:p w:rsidR="006D78D9" w:rsidRPr="00793C9C" w:rsidRDefault="006D78D9" w:rsidP="00DC1363">
      <w:pPr>
        <w:tabs>
          <w:tab w:val="left" w:pos="-1440"/>
          <w:tab w:val="left" w:pos="-720"/>
        </w:tabs>
        <w:suppressAutoHyphens/>
        <w:spacing w:after="0"/>
        <w:rPr>
          <w:spacing w:val="-3"/>
          <w:szCs w:val="24"/>
        </w:rPr>
      </w:pPr>
      <w:r w:rsidRPr="00793C9C">
        <w:rPr>
          <w:spacing w:val="-3"/>
          <w:szCs w:val="24"/>
        </w:rPr>
        <w:t>3.</w:t>
      </w:r>
      <w:r w:rsidR="002E5AAE">
        <w:rPr>
          <w:spacing w:val="-3"/>
          <w:szCs w:val="24"/>
        </w:rPr>
        <w:tab/>
      </w:r>
      <w:r w:rsidRPr="00793C9C">
        <w:rPr>
          <w:spacing w:val="-3"/>
          <w:szCs w:val="24"/>
        </w:rPr>
        <w:t>That th</w:t>
      </w:r>
      <w:r w:rsidR="00901180">
        <w:rPr>
          <w:spacing w:val="-3"/>
          <w:szCs w:val="24"/>
        </w:rPr>
        <w:t>e</w:t>
      </w:r>
      <w:r w:rsidRPr="00793C9C">
        <w:rPr>
          <w:spacing w:val="-3"/>
          <w:szCs w:val="24"/>
        </w:rPr>
        <w:t xml:space="preserve"> docket</w:t>
      </w:r>
      <w:r w:rsidR="00901180">
        <w:rPr>
          <w:spacing w:val="-3"/>
          <w:szCs w:val="24"/>
        </w:rPr>
        <w:t xml:space="preserve"> </w:t>
      </w:r>
      <w:r w:rsidR="00901180">
        <w:t xml:space="preserve">at No. </w:t>
      </w:r>
      <w:r w:rsidR="00153BA9">
        <w:t>F-2015-2512598</w:t>
      </w:r>
      <w:r w:rsidR="00901180">
        <w:t xml:space="preserve"> shall </w:t>
      </w:r>
      <w:r w:rsidRPr="00793C9C">
        <w:rPr>
          <w:spacing w:val="-3"/>
          <w:szCs w:val="24"/>
        </w:rPr>
        <w:t>be marked closed.</w:t>
      </w:r>
    </w:p>
    <w:p w:rsidR="00605C75" w:rsidRDefault="00605C75" w:rsidP="00DC1363">
      <w:pPr>
        <w:tabs>
          <w:tab w:val="left" w:pos="3960"/>
        </w:tabs>
        <w:spacing w:after="0"/>
        <w:ind w:firstLine="0"/>
        <w:rPr>
          <w:spacing w:val="-3"/>
          <w:szCs w:val="24"/>
        </w:rPr>
      </w:pPr>
    </w:p>
    <w:p w:rsidR="00A6329B" w:rsidRDefault="00DC1363" w:rsidP="00DC1363">
      <w:pPr>
        <w:tabs>
          <w:tab w:val="left" w:pos="1476"/>
        </w:tabs>
        <w:spacing w:after="0"/>
        <w:ind w:firstLine="0"/>
        <w:rPr>
          <w:spacing w:val="-3"/>
          <w:szCs w:val="24"/>
        </w:rPr>
      </w:pPr>
      <w:r>
        <w:rPr>
          <w:spacing w:val="-3"/>
          <w:szCs w:val="24"/>
        </w:rPr>
        <w:tab/>
      </w:r>
    </w:p>
    <w:p w:rsidR="006B2E0A" w:rsidRPr="006B2E0A" w:rsidRDefault="006B2E0A" w:rsidP="00DC1363">
      <w:pPr>
        <w:tabs>
          <w:tab w:val="left" w:pos="0"/>
          <w:tab w:val="left" w:pos="1440"/>
        </w:tabs>
        <w:spacing w:after="0" w:line="240" w:lineRule="auto"/>
        <w:ind w:firstLine="0"/>
        <w:jc w:val="both"/>
        <w:rPr>
          <w:szCs w:val="24"/>
          <w:u w:val="single"/>
        </w:rPr>
      </w:pPr>
      <w:r w:rsidRPr="006B2E0A">
        <w:rPr>
          <w:szCs w:val="24"/>
        </w:rPr>
        <w:t xml:space="preserve">Date:  </w:t>
      </w:r>
      <w:r w:rsidR="004E502C">
        <w:rPr>
          <w:szCs w:val="24"/>
          <w:u w:val="single"/>
        </w:rPr>
        <w:t>February 1</w:t>
      </w:r>
      <w:r w:rsidR="00381B4A" w:rsidRPr="00381B4A">
        <w:rPr>
          <w:szCs w:val="24"/>
          <w:u w:val="single"/>
        </w:rPr>
        <w:t>, 2016</w:t>
      </w:r>
      <w:r w:rsidRPr="006B2E0A">
        <w:rPr>
          <w:szCs w:val="24"/>
        </w:rPr>
        <w:tab/>
      </w:r>
      <w:r w:rsidRPr="006B2E0A">
        <w:rPr>
          <w:szCs w:val="24"/>
        </w:rPr>
        <w:tab/>
      </w:r>
      <w:r w:rsidRPr="006B2E0A">
        <w:rPr>
          <w:szCs w:val="24"/>
        </w:rPr>
        <w:tab/>
      </w:r>
      <w:r w:rsidRPr="006B2E0A">
        <w:rPr>
          <w:szCs w:val="24"/>
        </w:rPr>
        <w:tab/>
      </w:r>
      <w:r w:rsidRPr="006B2E0A">
        <w:rPr>
          <w:szCs w:val="24"/>
          <w:u w:val="single"/>
        </w:rPr>
        <w:tab/>
      </w:r>
      <w:r w:rsidRPr="006B2E0A">
        <w:rPr>
          <w:szCs w:val="24"/>
          <w:u w:val="single"/>
        </w:rPr>
        <w:tab/>
        <w:t>/s/</w:t>
      </w:r>
      <w:r w:rsidRPr="006B2E0A">
        <w:rPr>
          <w:szCs w:val="24"/>
          <w:u w:val="single"/>
        </w:rPr>
        <w:tab/>
      </w:r>
      <w:r w:rsidRPr="006B2E0A">
        <w:rPr>
          <w:szCs w:val="24"/>
          <w:u w:val="single"/>
        </w:rPr>
        <w:tab/>
      </w:r>
      <w:r w:rsidRPr="006B2E0A">
        <w:rPr>
          <w:szCs w:val="24"/>
          <w:u w:val="single"/>
        </w:rPr>
        <w:tab/>
      </w:r>
      <w:r w:rsidRPr="006B2E0A">
        <w:rPr>
          <w:szCs w:val="24"/>
          <w:u w:val="single"/>
        </w:rPr>
        <w:tab/>
      </w:r>
    </w:p>
    <w:p w:rsidR="006B2E0A" w:rsidRPr="006B2E0A" w:rsidRDefault="006B2E0A" w:rsidP="00DC1363">
      <w:pPr>
        <w:tabs>
          <w:tab w:val="left" w:pos="0"/>
          <w:tab w:val="left" w:pos="1440"/>
        </w:tabs>
        <w:spacing w:after="0" w:line="240" w:lineRule="auto"/>
        <w:ind w:firstLine="0"/>
        <w:jc w:val="both"/>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sidR="009A25A0">
        <w:rPr>
          <w:szCs w:val="24"/>
        </w:rPr>
        <w:t>Jeffrey A. Watson</w:t>
      </w:r>
    </w:p>
    <w:p w:rsidR="0024450A" w:rsidRDefault="006B2E0A" w:rsidP="00DC1363">
      <w:pPr>
        <w:spacing w:after="0" w:line="240" w:lineRule="auto"/>
        <w:ind w:firstLine="0"/>
        <w:contextualSpacing/>
        <w:rPr>
          <w:szCs w:val="24"/>
        </w:rPr>
      </w:pPr>
      <w:r w:rsidRPr="006B2E0A">
        <w:rPr>
          <w:szCs w:val="24"/>
        </w:rPr>
        <w:tab/>
      </w:r>
      <w:r w:rsidRPr="006B2E0A">
        <w:rPr>
          <w:szCs w:val="24"/>
        </w:rPr>
        <w:tab/>
      </w:r>
      <w:r w:rsidRPr="006B2E0A">
        <w:rPr>
          <w:szCs w:val="24"/>
        </w:rPr>
        <w:tab/>
      </w:r>
      <w:r w:rsidRPr="006B2E0A">
        <w:rPr>
          <w:szCs w:val="24"/>
        </w:rPr>
        <w:tab/>
      </w:r>
      <w:r w:rsidRPr="006B2E0A">
        <w:rPr>
          <w:szCs w:val="24"/>
        </w:rPr>
        <w:tab/>
      </w:r>
      <w:r w:rsidRPr="006B2E0A">
        <w:rPr>
          <w:szCs w:val="24"/>
        </w:rPr>
        <w:tab/>
      </w:r>
      <w:r>
        <w:rPr>
          <w:szCs w:val="24"/>
        </w:rPr>
        <w:tab/>
      </w:r>
      <w:r w:rsidRPr="006B2E0A">
        <w:rPr>
          <w:szCs w:val="24"/>
        </w:rPr>
        <w:t>Administrative Law Judge</w:t>
      </w:r>
    </w:p>
    <w:p w:rsidR="00153BA9" w:rsidRDefault="00153BA9" w:rsidP="00DC1363">
      <w:pPr>
        <w:spacing w:after="0" w:line="240" w:lineRule="auto"/>
        <w:ind w:firstLine="0"/>
        <w:contextualSpacing/>
        <w:rPr>
          <w:szCs w:val="24"/>
        </w:rPr>
      </w:pPr>
    </w:p>
    <w:sectPr w:rsidR="00153BA9" w:rsidSect="00E6670C">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75E1" w:rsidRDefault="00A275E1" w:rsidP="00AD0985">
      <w:pPr>
        <w:spacing w:after="0" w:line="240" w:lineRule="auto"/>
      </w:pPr>
      <w:r>
        <w:separator/>
      </w:r>
    </w:p>
  </w:endnote>
  <w:endnote w:type="continuationSeparator" w:id="0">
    <w:p w:rsidR="00A275E1" w:rsidRDefault="00A275E1" w:rsidP="00AD09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9239836"/>
      <w:docPartObj>
        <w:docPartGallery w:val="Page Numbers (Bottom of Page)"/>
        <w:docPartUnique/>
      </w:docPartObj>
    </w:sdtPr>
    <w:sdtEndPr>
      <w:rPr>
        <w:noProof/>
        <w:sz w:val="20"/>
      </w:rPr>
    </w:sdtEndPr>
    <w:sdtContent>
      <w:p w:rsidR="006B2E0A" w:rsidRPr="006B2E0A" w:rsidRDefault="006B2E0A" w:rsidP="006B2E0A">
        <w:pPr>
          <w:pStyle w:val="Footer"/>
          <w:ind w:firstLine="0"/>
          <w:jc w:val="center"/>
          <w:rPr>
            <w:sz w:val="20"/>
          </w:rPr>
        </w:pPr>
        <w:r w:rsidRPr="006B2E0A">
          <w:rPr>
            <w:sz w:val="20"/>
          </w:rPr>
          <w:fldChar w:fldCharType="begin"/>
        </w:r>
        <w:r w:rsidRPr="006B2E0A">
          <w:rPr>
            <w:sz w:val="20"/>
          </w:rPr>
          <w:instrText xml:space="preserve"> PAGE   \* MERGEFORMAT </w:instrText>
        </w:r>
        <w:r w:rsidRPr="006B2E0A">
          <w:rPr>
            <w:sz w:val="20"/>
          </w:rPr>
          <w:fldChar w:fldCharType="separate"/>
        </w:r>
        <w:r w:rsidR="009E2661">
          <w:rPr>
            <w:noProof/>
            <w:sz w:val="20"/>
          </w:rPr>
          <w:t>7</w:t>
        </w:r>
        <w:r w:rsidRPr="006B2E0A">
          <w:rPr>
            <w:noProof/>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75E1" w:rsidRDefault="00A275E1" w:rsidP="00B652DB">
      <w:pPr>
        <w:spacing w:after="0" w:line="240" w:lineRule="auto"/>
        <w:ind w:firstLine="0"/>
      </w:pPr>
      <w:r>
        <w:separator/>
      </w:r>
    </w:p>
  </w:footnote>
  <w:footnote w:type="continuationSeparator" w:id="0">
    <w:p w:rsidR="00A275E1" w:rsidRDefault="00A275E1" w:rsidP="00AD0985">
      <w:pPr>
        <w:spacing w:after="0" w:line="240" w:lineRule="auto"/>
      </w:pPr>
      <w:r>
        <w:continuationSeparator/>
      </w:r>
    </w:p>
  </w:footnote>
  <w:footnote w:id="1">
    <w:p w:rsidR="005536EA" w:rsidRDefault="005536EA" w:rsidP="00DC1871">
      <w:pPr>
        <w:pStyle w:val="FootnoteText"/>
        <w:spacing w:after="0"/>
      </w:pPr>
      <w:r>
        <w:rPr>
          <w:rStyle w:val="FootnoteReference"/>
        </w:rPr>
        <w:footnoteRef/>
      </w:r>
      <w:r>
        <w:t xml:space="preserve"> </w:t>
      </w:r>
      <w:r>
        <w:tab/>
        <w:t>This formal complaint is a timely appeal from BCS decision 33</w:t>
      </w:r>
      <w:r w:rsidR="00E7687B">
        <w:t>21096</w:t>
      </w:r>
      <w:r>
        <w:t>.</w:t>
      </w:r>
    </w:p>
    <w:p w:rsidR="00DC1871" w:rsidRDefault="00DC1871" w:rsidP="00DC1871">
      <w:pPr>
        <w:pStyle w:val="FootnoteText"/>
        <w:spacing w:after="0"/>
      </w:pPr>
    </w:p>
  </w:footnote>
  <w:footnote w:id="2">
    <w:p w:rsidR="00E7687B" w:rsidRDefault="00E7687B" w:rsidP="00DC1871">
      <w:pPr>
        <w:pStyle w:val="FootnoteText"/>
        <w:spacing w:after="0"/>
      </w:pPr>
      <w:r>
        <w:rPr>
          <w:rStyle w:val="FootnoteReference"/>
        </w:rPr>
        <w:footnoteRef/>
      </w:r>
      <w:r>
        <w:t xml:space="preserve"> </w:t>
      </w:r>
      <w:r>
        <w:tab/>
        <w:t xml:space="preserve">SFE </w:t>
      </w:r>
      <w:r w:rsidR="00FA6EF8">
        <w:t>filed an unverified letter with the Commission Secretary dated November 19, 2015, responding to the formal complaint.</w:t>
      </w:r>
    </w:p>
  </w:footnote>
  <w:footnote w:id="3">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81ADA">
        <w:rPr>
          <w:i/>
        </w:rPr>
        <w:t xml:space="preserve">Schneider v. </w:t>
      </w:r>
      <w:r>
        <w:rPr>
          <w:i/>
        </w:rPr>
        <w:t>Pa.</w:t>
      </w:r>
      <w:r w:rsidRPr="00781ADA">
        <w:rPr>
          <w:i/>
        </w:rPr>
        <w:t xml:space="preserve"> Pub. Util. Comm’n</w:t>
      </w:r>
      <w:r w:rsidRPr="00793C9C">
        <w:t>, 479 A.2d 10 (Pa.Cmwlth. 1984).</w:t>
      </w:r>
    </w:p>
    <w:p w:rsidR="00170FD2" w:rsidRPr="00793C9C" w:rsidRDefault="00170FD2" w:rsidP="00B236A9">
      <w:pPr>
        <w:pStyle w:val="FootnoteText"/>
        <w:spacing w:after="0"/>
      </w:pPr>
    </w:p>
  </w:footnote>
  <w:footnote w:id="4">
    <w:p w:rsidR="00170FD2" w:rsidRPr="00793C9C" w:rsidRDefault="00170FD2" w:rsidP="00B236A9">
      <w:pPr>
        <w:pStyle w:val="FootnoteText"/>
        <w:spacing w:after="0"/>
      </w:pPr>
      <w:r w:rsidRPr="00793C9C">
        <w:rPr>
          <w:rStyle w:val="FootnoteReference"/>
        </w:rPr>
        <w:footnoteRef/>
      </w:r>
      <w:r w:rsidRPr="00793C9C">
        <w:t xml:space="preserve">  </w:t>
      </w:r>
      <w:r w:rsidRPr="00793C9C">
        <w:tab/>
      </w:r>
      <w:r w:rsidRPr="00793C9C">
        <w:rPr>
          <w:i/>
        </w:rPr>
        <w:t>Id</w:t>
      </w:r>
      <w:r w:rsidRPr="00793C9C">
        <w:t>.</w:t>
      </w:r>
    </w:p>
    <w:p w:rsidR="00170FD2" w:rsidRPr="00793C9C" w:rsidRDefault="00170FD2" w:rsidP="00B236A9">
      <w:pPr>
        <w:pStyle w:val="FootnoteText"/>
        <w:spacing w:after="0"/>
      </w:pPr>
    </w:p>
  </w:footnote>
  <w:footnote w:id="5">
    <w:p w:rsidR="003F3FA0" w:rsidRPr="00793C9C" w:rsidRDefault="003F3FA0" w:rsidP="00DC1871">
      <w:pPr>
        <w:pStyle w:val="FootnoteText"/>
        <w:spacing w:after="0"/>
      </w:pPr>
      <w:r w:rsidRPr="00793C9C">
        <w:rPr>
          <w:rStyle w:val="FootnoteReference"/>
        </w:rPr>
        <w:footnoteRef/>
      </w:r>
      <w:r w:rsidRPr="00793C9C">
        <w:t xml:space="preserve"> </w:t>
      </w:r>
      <w:r w:rsidRPr="00793C9C">
        <w:tab/>
      </w:r>
      <w:r w:rsidRPr="00781ADA">
        <w:rPr>
          <w:i/>
        </w:rPr>
        <w:t>Berkowitz v. Mayflower Securities, Inc</w:t>
      </w:r>
      <w:r w:rsidRPr="00793C9C">
        <w:t xml:space="preserve">., 455 Pa. 531, 317 A.2d 584 (1974); </w:t>
      </w:r>
      <w:proofErr w:type="spellStart"/>
      <w:r w:rsidRPr="00781ADA">
        <w:rPr>
          <w:i/>
        </w:rPr>
        <w:t>Chartiers</w:t>
      </w:r>
      <w:proofErr w:type="spellEnd"/>
      <w:r w:rsidRPr="00781ADA">
        <w:rPr>
          <w:i/>
        </w:rPr>
        <w:t xml:space="preserve"> Industrial and Commercial Dev. Auth. v. Allegheny County Bd. of Property Assessment Appeals and Rev</w:t>
      </w:r>
      <w:r w:rsidRPr="00793C9C">
        <w:t xml:space="preserve">., 645 A.2d 944 (Pa.Cmwlth. 1994); </w:t>
      </w:r>
      <w:r w:rsidRPr="00781ADA">
        <w:rPr>
          <w:i/>
        </w:rPr>
        <w:t>Geary v. Verizon Pennsylvania Inc</w:t>
      </w:r>
      <w:r w:rsidRPr="00793C9C">
        <w:t>., Docket No. C-2009-2118625 (Opinion and Order entered Sept</w:t>
      </w:r>
      <w:r>
        <w:t>ember</w:t>
      </w:r>
      <w:r w:rsidRPr="00793C9C">
        <w:t xml:space="preserve"> 16, 2010).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A6DF5"/>
    <w:multiLevelType w:val="hybridMultilevel"/>
    <w:tmpl w:val="D0DC0B2A"/>
    <w:lvl w:ilvl="0" w:tplc="BA721D1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4FB452B"/>
    <w:multiLevelType w:val="hybridMultilevel"/>
    <w:tmpl w:val="6E004D3E"/>
    <w:lvl w:ilvl="0" w:tplc="AAA29E04">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68676E7"/>
    <w:multiLevelType w:val="hybridMultilevel"/>
    <w:tmpl w:val="406A88C0"/>
    <w:lvl w:ilvl="0" w:tplc="D26865D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4143EC4"/>
    <w:multiLevelType w:val="hybridMultilevel"/>
    <w:tmpl w:val="0804CF2E"/>
    <w:lvl w:ilvl="0" w:tplc="8E60688E">
      <w:start w:val="1"/>
      <w:numFmt w:val="decimal"/>
      <w:lvlText w:val="%1."/>
      <w:lvlJc w:val="left"/>
      <w:pPr>
        <w:ind w:left="225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6163515A"/>
    <w:multiLevelType w:val="hybridMultilevel"/>
    <w:tmpl w:val="AECA1614"/>
    <w:lvl w:ilvl="0" w:tplc="6A026BD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AA1786D"/>
    <w:multiLevelType w:val="hybridMultilevel"/>
    <w:tmpl w:val="B938100C"/>
    <w:lvl w:ilvl="0" w:tplc="021EAB42">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75A348A0"/>
    <w:multiLevelType w:val="hybridMultilevel"/>
    <w:tmpl w:val="D6202846"/>
    <w:lvl w:ilvl="0" w:tplc="867CA1FC">
      <w:start w:val="1"/>
      <w:numFmt w:val="decimal"/>
      <w:lvlText w:val="%1."/>
      <w:lvlJc w:val="left"/>
      <w:pPr>
        <w:ind w:left="1440" w:hanging="360"/>
      </w:pPr>
      <w:rPr>
        <w:rFonts w:ascii="Times New Roman" w:hAnsi="Times New Roman" w:hint="default"/>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7CD127CC"/>
    <w:multiLevelType w:val="hybridMultilevel"/>
    <w:tmpl w:val="FAE6E694"/>
    <w:lvl w:ilvl="0" w:tplc="5A4EB54A">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4"/>
  </w:num>
  <w:num w:numId="3">
    <w:abstractNumId w:val="1"/>
  </w:num>
  <w:num w:numId="4">
    <w:abstractNumId w:val="3"/>
  </w:num>
  <w:num w:numId="5">
    <w:abstractNumId w:val="5"/>
  </w:num>
  <w:num w:numId="6">
    <w:abstractNumId w:val="3"/>
    <w:lvlOverride w:ilvl="0">
      <w:startOverride w:val="1"/>
    </w:lvlOverride>
  </w:num>
  <w:num w:numId="7">
    <w:abstractNumId w:val="7"/>
  </w:num>
  <w:num w:numId="8">
    <w:abstractNumId w:val="0"/>
  </w:num>
  <w:num w:numId="9">
    <w:abstractNumId w:val="3"/>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6B69"/>
    <w:rsid w:val="0000486E"/>
    <w:rsid w:val="00004C37"/>
    <w:rsid w:val="00015FAA"/>
    <w:rsid w:val="000214CE"/>
    <w:rsid w:val="000240A0"/>
    <w:rsid w:val="00030948"/>
    <w:rsid w:val="000412C4"/>
    <w:rsid w:val="000634DA"/>
    <w:rsid w:val="00064E3D"/>
    <w:rsid w:val="00084F67"/>
    <w:rsid w:val="0008581B"/>
    <w:rsid w:val="00085D76"/>
    <w:rsid w:val="00090F4C"/>
    <w:rsid w:val="000A1939"/>
    <w:rsid w:val="000B40AB"/>
    <w:rsid w:val="000B54AA"/>
    <w:rsid w:val="000C376F"/>
    <w:rsid w:val="000D4A7B"/>
    <w:rsid w:val="000E453F"/>
    <w:rsid w:val="000E709E"/>
    <w:rsid w:val="000F4E0E"/>
    <w:rsid w:val="001036AD"/>
    <w:rsid w:val="00111ED9"/>
    <w:rsid w:val="001155FD"/>
    <w:rsid w:val="00120275"/>
    <w:rsid w:val="00125104"/>
    <w:rsid w:val="00125963"/>
    <w:rsid w:val="001376C4"/>
    <w:rsid w:val="00147B0B"/>
    <w:rsid w:val="001509AA"/>
    <w:rsid w:val="00153BA9"/>
    <w:rsid w:val="00160067"/>
    <w:rsid w:val="00167DBC"/>
    <w:rsid w:val="00170FD2"/>
    <w:rsid w:val="00172961"/>
    <w:rsid w:val="001962F5"/>
    <w:rsid w:val="00197F33"/>
    <w:rsid w:val="001B1CBA"/>
    <w:rsid w:val="001B4AEB"/>
    <w:rsid w:val="001B5F94"/>
    <w:rsid w:val="001C238F"/>
    <w:rsid w:val="001C2FA0"/>
    <w:rsid w:val="001C5406"/>
    <w:rsid w:val="001D0812"/>
    <w:rsid w:val="001D61F8"/>
    <w:rsid w:val="001D7072"/>
    <w:rsid w:val="001F1171"/>
    <w:rsid w:val="001F757E"/>
    <w:rsid w:val="00215AEA"/>
    <w:rsid w:val="00215C5F"/>
    <w:rsid w:val="00217700"/>
    <w:rsid w:val="00220874"/>
    <w:rsid w:val="00225411"/>
    <w:rsid w:val="00225E36"/>
    <w:rsid w:val="00242F19"/>
    <w:rsid w:val="00243314"/>
    <w:rsid w:val="0024450A"/>
    <w:rsid w:val="002576BA"/>
    <w:rsid w:val="002631D8"/>
    <w:rsid w:val="00267A1A"/>
    <w:rsid w:val="002772DE"/>
    <w:rsid w:val="002918E5"/>
    <w:rsid w:val="002A4BAC"/>
    <w:rsid w:val="002B234C"/>
    <w:rsid w:val="002C107D"/>
    <w:rsid w:val="002C1D26"/>
    <w:rsid w:val="002C2D85"/>
    <w:rsid w:val="002E5AAE"/>
    <w:rsid w:val="002F49FF"/>
    <w:rsid w:val="002F66F6"/>
    <w:rsid w:val="00306FB8"/>
    <w:rsid w:val="00323BBF"/>
    <w:rsid w:val="00326E48"/>
    <w:rsid w:val="00332BB3"/>
    <w:rsid w:val="00333A48"/>
    <w:rsid w:val="00333B11"/>
    <w:rsid w:val="00334726"/>
    <w:rsid w:val="00340326"/>
    <w:rsid w:val="003444A8"/>
    <w:rsid w:val="003523DD"/>
    <w:rsid w:val="00352B97"/>
    <w:rsid w:val="003530F3"/>
    <w:rsid w:val="00356E53"/>
    <w:rsid w:val="0036208B"/>
    <w:rsid w:val="003651E4"/>
    <w:rsid w:val="003738CD"/>
    <w:rsid w:val="003745CC"/>
    <w:rsid w:val="00381B4A"/>
    <w:rsid w:val="0039096C"/>
    <w:rsid w:val="00391C6A"/>
    <w:rsid w:val="00393C92"/>
    <w:rsid w:val="003B7322"/>
    <w:rsid w:val="003C0542"/>
    <w:rsid w:val="003D45F1"/>
    <w:rsid w:val="003E04FC"/>
    <w:rsid w:val="003F3F4E"/>
    <w:rsid w:val="003F3FA0"/>
    <w:rsid w:val="00415E54"/>
    <w:rsid w:val="00417C05"/>
    <w:rsid w:val="00422B6E"/>
    <w:rsid w:val="00424FA7"/>
    <w:rsid w:val="00453D17"/>
    <w:rsid w:val="00472EF4"/>
    <w:rsid w:val="004A27FF"/>
    <w:rsid w:val="004D523C"/>
    <w:rsid w:val="004D60FB"/>
    <w:rsid w:val="004E502C"/>
    <w:rsid w:val="004E536B"/>
    <w:rsid w:val="004E78A2"/>
    <w:rsid w:val="004F44FF"/>
    <w:rsid w:val="004F6B09"/>
    <w:rsid w:val="00517788"/>
    <w:rsid w:val="00521D44"/>
    <w:rsid w:val="00524ADE"/>
    <w:rsid w:val="005377C7"/>
    <w:rsid w:val="00543C3A"/>
    <w:rsid w:val="005528C5"/>
    <w:rsid w:val="005536EA"/>
    <w:rsid w:val="005547AF"/>
    <w:rsid w:val="00560DAC"/>
    <w:rsid w:val="00562036"/>
    <w:rsid w:val="00565037"/>
    <w:rsid w:val="00570B7E"/>
    <w:rsid w:val="005721E0"/>
    <w:rsid w:val="00575C73"/>
    <w:rsid w:val="00591D6E"/>
    <w:rsid w:val="005A1C96"/>
    <w:rsid w:val="005C2047"/>
    <w:rsid w:val="005D0175"/>
    <w:rsid w:val="005E2347"/>
    <w:rsid w:val="005E4690"/>
    <w:rsid w:val="005E6E35"/>
    <w:rsid w:val="005F6119"/>
    <w:rsid w:val="00600C4E"/>
    <w:rsid w:val="00605C75"/>
    <w:rsid w:val="0061775F"/>
    <w:rsid w:val="006320C4"/>
    <w:rsid w:val="00633EDF"/>
    <w:rsid w:val="006371DA"/>
    <w:rsid w:val="00644B37"/>
    <w:rsid w:val="00656CB8"/>
    <w:rsid w:val="0067182D"/>
    <w:rsid w:val="006724F6"/>
    <w:rsid w:val="00674523"/>
    <w:rsid w:val="0067595E"/>
    <w:rsid w:val="00675A69"/>
    <w:rsid w:val="00685437"/>
    <w:rsid w:val="006907A6"/>
    <w:rsid w:val="00693B43"/>
    <w:rsid w:val="00695999"/>
    <w:rsid w:val="006A33FF"/>
    <w:rsid w:val="006A3975"/>
    <w:rsid w:val="006A508C"/>
    <w:rsid w:val="006B2E0A"/>
    <w:rsid w:val="006C0741"/>
    <w:rsid w:val="006D400A"/>
    <w:rsid w:val="006D476A"/>
    <w:rsid w:val="006D78D9"/>
    <w:rsid w:val="006F0335"/>
    <w:rsid w:val="006F391E"/>
    <w:rsid w:val="007028DA"/>
    <w:rsid w:val="00713679"/>
    <w:rsid w:val="00714441"/>
    <w:rsid w:val="0073074E"/>
    <w:rsid w:val="00731362"/>
    <w:rsid w:val="007427CA"/>
    <w:rsid w:val="0074772E"/>
    <w:rsid w:val="00754D82"/>
    <w:rsid w:val="00771C35"/>
    <w:rsid w:val="00772CF9"/>
    <w:rsid w:val="007739D3"/>
    <w:rsid w:val="007751A4"/>
    <w:rsid w:val="00786C2B"/>
    <w:rsid w:val="00791CD5"/>
    <w:rsid w:val="00792796"/>
    <w:rsid w:val="00793F8C"/>
    <w:rsid w:val="0079473E"/>
    <w:rsid w:val="0079732C"/>
    <w:rsid w:val="007A6223"/>
    <w:rsid w:val="007B1C56"/>
    <w:rsid w:val="007B6E1F"/>
    <w:rsid w:val="007C64AD"/>
    <w:rsid w:val="007E6779"/>
    <w:rsid w:val="007E6AF5"/>
    <w:rsid w:val="007F701E"/>
    <w:rsid w:val="008029FA"/>
    <w:rsid w:val="00805BF9"/>
    <w:rsid w:val="00812D55"/>
    <w:rsid w:val="00820E7C"/>
    <w:rsid w:val="008449C1"/>
    <w:rsid w:val="00844EF8"/>
    <w:rsid w:val="00851624"/>
    <w:rsid w:val="008529D2"/>
    <w:rsid w:val="00853110"/>
    <w:rsid w:val="00853C9A"/>
    <w:rsid w:val="0085607A"/>
    <w:rsid w:val="00865A2E"/>
    <w:rsid w:val="00867C70"/>
    <w:rsid w:val="0087063F"/>
    <w:rsid w:val="00877C25"/>
    <w:rsid w:val="00883900"/>
    <w:rsid w:val="00883E56"/>
    <w:rsid w:val="008A4C8B"/>
    <w:rsid w:val="008B5D92"/>
    <w:rsid w:val="008C46CA"/>
    <w:rsid w:val="008C6E72"/>
    <w:rsid w:val="008D6732"/>
    <w:rsid w:val="008E1905"/>
    <w:rsid w:val="008F2536"/>
    <w:rsid w:val="00900959"/>
    <w:rsid w:val="00901180"/>
    <w:rsid w:val="00904A06"/>
    <w:rsid w:val="00914B47"/>
    <w:rsid w:val="00920926"/>
    <w:rsid w:val="00926840"/>
    <w:rsid w:val="00935118"/>
    <w:rsid w:val="00951875"/>
    <w:rsid w:val="009614D3"/>
    <w:rsid w:val="00970B99"/>
    <w:rsid w:val="00990016"/>
    <w:rsid w:val="009964FB"/>
    <w:rsid w:val="009A25A0"/>
    <w:rsid w:val="009A2A75"/>
    <w:rsid w:val="009A450B"/>
    <w:rsid w:val="009B63DA"/>
    <w:rsid w:val="009B7BDD"/>
    <w:rsid w:val="009E2661"/>
    <w:rsid w:val="009E324E"/>
    <w:rsid w:val="009F027E"/>
    <w:rsid w:val="009F0DE5"/>
    <w:rsid w:val="009F31A5"/>
    <w:rsid w:val="009F34E8"/>
    <w:rsid w:val="00A1672A"/>
    <w:rsid w:val="00A2053F"/>
    <w:rsid w:val="00A275E1"/>
    <w:rsid w:val="00A432AD"/>
    <w:rsid w:val="00A5250B"/>
    <w:rsid w:val="00A62A42"/>
    <w:rsid w:val="00A6329B"/>
    <w:rsid w:val="00A70982"/>
    <w:rsid w:val="00A8022B"/>
    <w:rsid w:val="00A91FFA"/>
    <w:rsid w:val="00AA6DF6"/>
    <w:rsid w:val="00AB4C73"/>
    <w:rsid w:val="00AB7A5E"/>
    <w:rsid w:val="00AC6E64"/>
    <w:rsid w:val="00AC70F5"/>
    <w:rsid w:val="00AC776C"/>
    <w:rsid w:val="00AD0985"/>
    <w:rsid w:val="00AE6070"/>
    <w:rsid w:val="00AE63B4"/>
    <w:rsid w:val="00AE6F47"/>
    <w:rsid w:val="00AF0073"/>
    <w:rsid w:val="00AF038B"/>
    <w:rsid w:val="00AF3114"/>
    <w:rsid w:val="00B006F3"/>
    <w:rsid w:val="00B03EDD"/>
    <w:rsid w:val="00B236A9"/>
    <w:rsid w:val="00B34875"/>
    <w:rsid w:val="00B35FC5"/>
    <w:rsid w:val="00B407A1"/>
    <w:rsid w:val="00B43961"/>
    <w:rsid w:val="00B61F07"/>
    <w:rsid w:val="00B652DB"/>
    <w:rsid w:val="00B76963"/>
    <w:rsid w:val="00B849DC"/>
    <w:rsid w:val="00B90A91"/>
    <w:rsid w:val="00B95BD4"/>
    <w:rsid w:val="00BB58EB"/>
    <w:rsid w:val="00BC6429"/>
    <w:rsid w:val="00BD5506"/>
    <w:rsid w:val="00BE3C7C"/>
    <w:rsid w:val="00BF140E"/>
    <w:rsid w:val="00BF6B69"/>
    <w:rsid w:val="00C15D8B"/>
    <w:rsid w:val="00C42DEE"/>
    <w:rsid w:val="00C5171B"/>
    <w:rsid w:val="00C5301C"/>
    <w:rsid w:val="00C6400A"/>
    <w:rsid w:val="00C7480E"/>
    <w:rsid w:val="00C81B66"/>
    <w:rsid w:val="00C8759F"/>
    <w:rsid w:val="00C9332A"/>
    <w:rsid w:val="00CB4604"/>
    <w:rsid w:val="00CB6A2F"/>
    <w:rsid w:val="00CC03DC"/>
    <w:rsid w:val="00CD1E81"/>
    <w:rsid w:val="00CE2C5C"/>
    <w:rsid w:val="00CE4778"/>
    <w:rsid w:val="00CF0683"/>
    <w:rsid w:val="00CF30EC"/>
    <w:rsid w:val="00CF4AB4"/>
    <w:rsid w:val="00D0113A"/>
    <w:rsid w:val="00D14272"/>
    <w:rsid w:val="00D165CE"/>
    <w:rsid w:val="00D201B4"/>
    <w:rsid w:val="00D2036B"/>
    <w:rsid w:val="00D25CFF"/>
    <w:rsid w:val="00D40927"/>
    <w:rsid w:val="00D4726E"/>
    <w:rsid w:val="00D57707"/>
    <w:rsid w:val="00D5787F"/>
    <w:rsid w:val="00D65DCA"/>
    <w:rsid w:val="00D84D44"/>
    <w:rsid w:val="00D93E77"/>
    <w:rsid w:val="00DA33EC"/>
    <w:rsid w:val="00DA3473"/>
    <w:rsid w:val="00DA565A"/>
    <w:rsid w:val="00DA7361"/>
    <w:rsid w:val="00DB17B6"/>
    <w:rsid w:val="00DB7864"/>
    <w:rsid w:val="00DC04AC"/>
    <w:rsid w:val="00DC1363"/>
    <w:rsid w:val="00DC1871"/>
    <w:rsid w:val="00DC1D6D"/>
    <w:rsid w:val="00DC781E"/>
    <w:rsid w:val="00DD0D87"/>
    <w:rsid w:val="00DD5C37"/>
    <w:rsid w:val="00DD6136"/>
    <w:rsid w:val="00DF08B3"/>
    <w:rsid w:val="00DF2D7F"/>
    <w:rsid w:val="00DF3226"/>
    <w:rsid w:val="00DF7E1C"/>
    <w:rsid w:val="00E40F01"/>
    <w:rsid w:val="00E442E6"/>
    <w:rsid w:val="00E47A99"/>
    <w:rsid w:val="00E510EB"/>
    <w:rsid w:val="00E6670C"/>
    <w:rsid w:val="00E72921"/>
    <w:rsid w:val="00E7687B"/>
    <w:rsid w:val="00E87EE9"/>
    <w:rsid w:val="00EB120D"/>
    <w:rsid w:val="00EB4BCB"/>
    <w:rsid w:val="00EF1818"/>
    <w:rsid w:val="00EF79EA"/>
    <w:rsid w:val="00F161E9"/>
    <w:rsid w:val="00F16D46"/>
    <w:rsid w:val="00F17630"/>
    <w:rsid w:val="00F23521"/>
    <w:rsid w:val="00F40D6F"/>
    <w:rsid w:val="00F44918"/>
    <w:rsid w:val="00F503FC"/>
    <w:rsid w:val="00F54AF4"/>
    <w:rsid w:val="00F6346E"/>
    <w:rsid w:val="00F71FF7"/>
    <w:rsid w:val="00F96FBA"/>
    <w:rsid w:val="00FA0253"/>
    <w:rsid w:val="00FA08FA"/>
    <w:rsid w:val="00FA6EF8"/>
    <w:rsid w:val="00FD03F4"/>
    <w:rsid w:val="00FE72C4"/>
    <w:rsid w:val="00FE7E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75F"/>
    <w:pPr>
      <w:spacing w:after="120" w:line="360" w:lineRule="auto"/>
      <w:ind w:firstLine="1440"/>
    </w:pPr>
    <w:rPr>
      <w:rFonts w:ascii="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autoRedefine/>
    <w:uiPriority w:val="34"/>
    <w:qFormat/>
    <w:rsid w:val="00A6329B"/>
    <w:pPr>
      <w:tabs>
        <w:tab w:val="left" w:pos="-1440"/>
        <w:tab w:val="left" w:pos="-720"/>
        <w:tab w:val="left" w:pos="0"/>
      </w:tabs>
      <w:suppressAutoHyphens/>
      <w:spacing w:after="0"/>
    </w:pPr>
  </w:style>
  <w:style w:type="paragraph" w:styleId="FootnoteText">
    <w:name w:val="footnote text"/>
    <w:aliases w:val="Car"/>
    <w:link w:val="FootnoteTextChar"/>
    <w:unhideWhenUsed/>
    <w:qFormat/>
    <w:rsid w:val="007E6779"/>
    <w:pPr>
      <w:spacing w:after="120" w:line="240" w:lineRule="auto"/>
    </w:pPr>
    <w:rPr>
      <w:rFonts w:ascii="Times New Roman" w:hAnsi="Times New Roman" w:cs="Times New Roman"/>
      <w:sz w:val="20"/>
      <w:szCs w:val="20"/>
    </w:rPr>
  </w:style>
  <w:style w:type="character" w:customStyle="1" w:styleId="FootnoteTextChar">
    <w:name w:val="Footnote Text Char"/>
    <w:aliases w:val="Car Char"/>
    <w:basedOn w:val="DefaultParagraphFont"/>
    <w:link w:val="FootnoteText"/>
    <w:rsid w:val="007E6779"/>
    <w:rPr>
      <w:rFonts w:ascii="Times New Roman" w:hAnsi="Times New Roman" w:cs="Times New Roman"/>
      <w:sz w:val="20"/>
      <w:szCs w:val="20"/>
    </w:rPr>
  </w:style>
  <w:style w:type="paragraph" w:styleId="EnvelopeReturn">
    <w:name w:val="envelope return"/>
    <w:basedOn w:val="Normal"/>
    <w:uiPriority w:val="99"/>
    <w:semiHidden/>
    <w:unhideWhenUsed/>
    <w:rsid w:val="00AE6F47"/>
    <w:pPr>
      <w:spacing w:after="0" w:line="240" w:lineRule="auto"/>
    </w:pPr>
    <w:rPr>
      <w:rFonts w:asciiTheme="majorHAnsi" w:eastAsiaTheme="majorEastAsia" w:hAnsiTheme="majorHAnsi" w:cstheme="majorBidi"/>
      <w:sz w:val="20"/>
    </w:rPr>
  </w:style>
  <w:style w:type="paragraph" w:styleId="Header">
    <w:name w:val="header"/>
    <w:basedOn w:val="Normal"/>
    <w:link w:val="HeaderChar"/>
    <w:uiPriority w:val="99"/>
    <w:unhideWhenUsed/>
    <w:rsid w:val="00AD09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0985"/>
    <w:rPr>
      <w:rFonts w:ascii="Times New Roman" w:hAnsi="Times New Roman" w:cs="Times New Roman"/>
      <w:sz w:val="24"/>
      <w:szCs w:val="20"/>
    </w:rPr>
  </w:style>
  <w:style w:type="paragraph" w:styleId="Footer">
    <w:name w:val="footer"/>
    <w:basedOn w:val="Normal"/>
    <w:link w:val="FooterChar"/>
    <w:uiPriority w:val="99"/>
    <w:unhideWhenUsed/>
    <w:rsid w:val="00AD09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0985"/>
    <w:rPr>
      <w:rFonts w:ascii="Times New Roman" w:hAnsi="Times New Roman" w:cs="Times New Roman"/>
      <w:sz w:val="24"/>
      <w:szCs w:val="20"/>
    </w:rPr>
  </w:style>
  <w:style w:type="character" w:styleId="FootnoteReference">
    <w:name w:val="footnote reference"/>
    <w:basedOn w:val="DefaultParagraphFont"/>
    <w:uiPriority w:val="99"/>
    <w:unhideWhenUsed/>
    <w:rsid w:val="00DD6136"/>
    <w:rPr>
      <w:rFonts w:ascii="Times New Roman" w:hAnsi="Times New Roman"/>
      <w:vertAlign w:val="superscript"/>
    </w:rPr>
  </w:style>
  <w:style w:type="paragraph" w:styleId="BalloonText">
    <w:name w:val="Balloon Text"/>
    <w:basedOn w:val="Normal"/>
    <w:link w:val="BalloonTextChar"/>
    <w:uiPriority w:val="99"/>
    <w:semiHidden/>
    <w:unhideWhenUsed/>
    <w:rsid w:val="000A19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1939"/>
    <w:rPr>
      <w:rFonts w:ascii="Tahoma" w:hAnsi="Tahoma" w:cs="Tahoma"/>
      <w:sz w:val="16"/>
      <w:szCs w:val="16"/>
    </w:rPr>
  </w:style>
  <w:style w:type="paragraph" w:styleId="EndnoteText">
    <w:name w:val="endnote text"/>
    <w:basedOn w:val="Normal"/>
    <w:link w:val="EndnoteTextChar"/>
    <w:rsid w:val="003B7322"/>
    <w:pPr>
      <w:spacing w:after="0" w:line="240" w:lineRule="auto"/>
      <w:ind w:firstLine="0"/>
    </w:pPr>
    <w:rPr>
      <w:rFonts w:ascii="Courier" w:hAnsi="Courier"/>
    </w:rPr>
  </w:style>
  <w:style w:type="character" w:customStyle="1" w:styleId="EndnoteTextChar">
    <w:name w:val="Endnote Text Char"/>
    <w:basedOn w:val="DefaultParagraphFont"/>
    <w:link w:val="EndnoteText"/>
    <w:rsid w:val="003B7322"/>
    <w:rPr>
      <w:rFonts w:ascii="Courier" w:hAnsi="Courier" w:cs="Times New Roman"/>
      <w:sz w:val="24"/>
      <w:szCs w:val="20"/>
    </w:rPr>
  </w:style>
  <w:style w:type="paragraph" w:styleId="PlainText">
    <w:name w:val="Plain Text"/>
    <w:basedOn w:val="Normal"/>
    <w:link w:val="PlainTextChar"/>
    <w:uiPriority w:val="99"/>
    <w:semiHidden/>
    <w:unhideWhenUsed/>
    <w:rsid w:val="001D0812"/>
    <w:pPr>
      <w:spacing w:after="0" w:line="240" w:lineRule="auto"/>
      <w:ind w:firstLine="0"/>
    </w:pPr>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D0812"/>
    <w:rPr>
      <w:rFonts w:ascii="Calibri" w:eastAsiaTheme="minorHAns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563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A30D5F-B3CD-40D8-9200-34C37A7E8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7</Pages>
  <Words>1443</Words>
  <Characters>8228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D Long</dc:creator>
  <cp:lastModifiedBy>Blanton, Leah</cp:lastModifiedBy>
  <cp:revision>14</cp:revision>
  <cp:lastPrinted>2016-02-01T17:27:00Z</cp:lastPrinted>
  <dcterms:created xsi:type="dcterms:W3CDTF">2016-01-29T17:01:00Z</dcterms:created>
  <dcterms:modified xsi:type="dcterms:W3CDTF">2016-02-11T16:17:00Z</dcterms:modified>
</cp:coreProperties>
</file>