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ED33B9" w:rsidRDefault="00ED33B9" w:rsidP="0081696C">
      <w:pPr>
        <w:jc w:val="center"/>
        <w:outlineLvl w:val="0"/>
        <w:rPr>
          <w:b/>
          <w:sz w:val="24"/>
          <w:szCs w:val="24"/>
        </w:rPr>
      </w:pPr>
    </w:p>
    <w:p w:rsidR="00ED33B9" w:rsidRPr="001027AA" w:rsidRDefault="00ED33B9" w:rsidP="0081696C">
      <w:pPr>
        <w:jc w:val="center"/>
        <w:outlineLvl w:val="0"/>
        <w:rPr>
          <w:b/>
          <w:sz w:val="24"/>
          <w:szCs w:val="24"/>
        </w:rPr>
      </w:pPr>
    </w:p>
    <w:p w:rsidR="000F1894" w:rsidRPr="00DE562E" w:rsidRDefault="000F1894" w:rsidP="000F1894">
      <w:pPr>
        <w:jc w:val="center"/>
        <w:rPr>
          <w:sz w:val="24"/>
          <w:szCs w:val="24"/>
        </w:rPr>
      </w:pPr>
    </w:p>
    <w:p w:rsidR="000F1894" w:rsidRDefault="00410CE6" w:rsidP="00ED33B9">
      <w:pPr>
        <w:rPr>
          <w:sz w:val="24"/>
          <w:szCs w:val="24"/>
        </w:rPr>
      </w:pPr>
      <w:r>
        <w:rPr>
          <w:sz w:val="24"/>
          <w:szCs w:val="24"/>
        </w:rPr>
        <w:t>Amy Kush</w:t>
      </w:r>
      <w:r>
        <w:rPr>
          <w:sz w:val="24"/>
          <w:szCs w:val="24"/>
        </w:rPr>
        <w:tab/>
      </w:r>
      <w:r>
        <w:rPr>
          <w:sz w:val="24"/>
          <w:szCs w:val="24"/>
        </w:rPr>
        <w:tab/>
      </w:r>
      <w:r>
        <w:rPr>
          <w:sz w:val="24"/>
          <w:szCs w:val="24"/>
        </w:rPr>
        <w:tab/>
      </w:r>
      <w:r>
        <w:rPr>
          <w:sz w:val="24"/>
          <w:szCs w:val="24"/>
        </w:rPr>
        <w:tab/>
      </w:r>
      <w:r>
        <w:rPr>
          <w:sz w:val="24"/>
          <w:szCs w:val="24"/>
        </w:rPr>
        <w:tab/>
      </w:r>
      <w:r w:rsidR="00ED33B9">
        <w:rPr>
          <w:sz w:val="24"/>
          <w:szCs w:val="24"/>
        </w:rPr>
        <w:tab/>
      </w:r>
      <w:r>
        <w:rPr>
          <w:sz w:val="24"/>
          <w:szCs w:val="24"/>
        </w:rPr>
        <w:t>:</w:t>
      </w:r>
      <w:r>
        <w:rPr>
          <w:sz w:val="24"/>
          <w:szCs w:val="24"/>
        </w:rPr>
        <w:tab/>
      </w:r>
      <w:r>
        <w:rPr>
          <w:sz w:val="24"/>
          <w:szCs w:val="24"/>
        </w:rPr>
        <w:tab/>
      </w:r>
    </w:p>
    <w:p w:rsidR="00410CE6" w:rsidRDefault="00410CE6" w:rsidP="00ED33B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D33B9">
        <w:rPr>
          <w:sz w:val="24"/>
          <w:szCs w:val="24"/>
        </w:rPr>
        <w:tab/>
      </w:r>
      <w:r>
        <w:rPr>
          <w:sz w:val="24"/>
          <w:szCs w:val="24"/>
        </w:rPr>
        <w:t>:</w:t>
      </w:r>
      <w:r>
        <w:rPr>
          <w:sz w:val="24"/>
          <w:szCs w:val="24"/>
        </w:rPr>
        <w:tab/>
      </w:r>
      <w:r w:rsidR="00ED33B9">
        <w:rPr>
          <w:sz w:val="24"/>
          <w:szCs w:val="24"/>
        </w:rPr>
        <w:tab/>
      </w:r>
    </w:p>
    <w:p w:rsidR="00410CE6" w:rsidRDefault="00410CE6" w:rsidP="00ED33B9">
      <w:pPr>
        <w:rPr>
          <w:sz w:val="24"/>
          <w:szCs w:val="24"/>
        </w:rPr>
      </w:pPr>
      <w:r>
        <w:rPr>
          <w:sz w:val="24"/>
          <w:szCs w:val="24"/>
        </w:rPr>
        <w:tab/>
        <w:t xml:space="preserve">v. </w:t>
      </w:r>
      <w:r>
        <w:rPr>
          <w:sz w:val="24"/>
          <w:szCs w:val="24"/>
        </w:rPr>
        <w:tab/>
      </w:r>
      <w:r>
        <w:rPr>
          <w:sz w:val="24"/>
          <w:szCs w:val="24"/>
        </w:rPr>
        <w:tab/>
      </w:r>
      <w:r>
        <w:rPr>
          <w:sz w:val="24"/>
          <w:szCs w:val="24"/>
        </w:rPr>
        <w:tab/>
      </w:r>
      <w:r>
        <w:rPr>
          <w:sz w:val="24"/>
          <w:szCs w:val="24"/>
        </w:rPr>
        <w:tab/>
      </w:r>
      <w:r>
        <w:rPr>
          <w:sz w:val="24"/>
          <w:szCs w:val="24"/>
        </w:rPr>
        <w:tab/>
      </w:r>
      <w:r w:rsidR="00ED33B9">
        <w:rPr>
          <w:sz w:val="24"/>
          <w:szCs w:val="24"/>
        </w:rPr>
        <w:tab/>
      </w:r>
      <w:r>
        <w:rPr>
          <w:sz w:val="24"/>
          <w:szCs w:val="24"/>
        </w:rPr>
        <w:t>:</w:t>
      </w:r>
      <w:r w:rsidR="00ED33B9">
        <w:rPr>
          <w:sz w:val="24"/>
          <w:szCs w:val="24"/>
        </w:rPr>
        <w:tab/>
      </w:r>
      <w:r w:rsidR="00ED33B9">
        <w:rPr>
          <w:sz w:val="24"/>
          <w:szCs w:val="24"/>
        </w:rPr>
        <w:tab/>
        <w:t>C-2015-2502636</w:t>
      </w:r>
    </w:p>
    <w:p w:rsidR="00410CE6" w:rsidRDefault="00410CE6" w:rsidP="00ED33B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D33B9">
        <w:rPr>
          <w:sz w:val="24"/>
          <w:szCs w:val="24"/>
        </w:rPr>
        <w:tab/>
      </w:r>
      <w:r>
        <w:rPr>
          <w:sz w:val="24"/>
          <w:szCs w:val="24"/>
        </w:rPr>
        <w:t>:</w:t>
      </w:r>
    </w:p>
    <w:p w:rsidR="00410CE6" w:rsidRDefault="00410CE6" w:rsidP="00ED33B9">
      <w:pPr>
        <w:rPr>
          <w:sz w:val="24"/>
          <w:szCs w:val="24"/>
        </w:rPr>
      </w:pPr>
      <w:r>
        <w:rPr>
          <w:sz w:val="24"/>
          <w:szCs w:val="24"/>
        </w:rPr>
        <w:t>UGI Utilities</w:t>
      </w:r>
      <w:r w:rsidR="009F34A2">
        <w:rPr>
          <w:sz w:val="24"/>
          <w:szCs w:val="24"/>
        </w:rPr>
        <w:t>,</w:t>
      </w:r>
      <w:r>
        <w:rPr>
          <w:sz w:val="24"/>
          <w:szCs w:val="24"/>
        </w:rPr>
        <w:t xml:space="preserve"> Inc.</w:t>
      </w:r>
      <w:r>
        <w:rPr>
          <w:sz w:val="24"/>
          <w:szCs w:val="24"/>
        </w:rPr>
        <w:tab/>
      </w:r>
      <w:r>
        <w:rPr>
          <w:sz w:val="24"/>
          <w:szCs w:val="24"/>
        </w:rPr>
        <w:tab/>
      </w:r>
      <w:r>
        <w:rPr>
          <w:sz w:val="24"/>
          <w:szCs w:val="24"/>
        </w:rPr>
        <w:tab/>
      </w:r>
      <w:r>
        <w:rPr>
          <w:sz w:val="24"/>
          <w:szCs w:val="24"/>
        </w:rPr>
        <w:tab/>
      </w:r>
      <w:r w:rsidR="00ED33B9">
        <w:rPr>
          <w:sz w:val="24"/>
          <w:szCs w:val="24"/>
        </w:rPr>
        <w:tab/>
      </w:r>
      <w:r>
        <w:rPr>
          <w:sz w:val="24"/>
          <w:szCs w:val="24"/>
        </w:rPr>
        <w:t>:</w:t>
      </w:r>
    </w:p>
    <w:p w:rsidR="005E3007" w:rsidRDefault="005E3007" w:rsidP="00E52738">
      <w:pPr>
        <w:tabs>
          <w:tab w:val="left" w:pos="-720"/>
        </w:tabs>
        <w:suppressAutoHyphens/>
        <w:rPr>
          <w:bCs/>
          <w:spacing w:val="-3"/>
          <w:sz w:val="24"/>
          <w:szCs w:val="24"/>
        </w:rPr>
      </w:pPr>
      <w:r w:rsidRPr="00966FB7">
        <w:rPr>
          <w:bCs/>
          <w:spacing w:val="-3"/>
          <w:sz w:val="24"/>
          <w:szCs w:val="24"/>
        </w:rPr>
        <w:tab/>
      </w:r>
    </w:p>
    <w:p w:rsidR="00E52738" w:rsidRDefault="00E52738" w:rsidP="00E52738">
      <w:pPr>
        <w:tabs>
          <w:tab w:val="left" w:pos="-720"/>
        </w:tabs>
        <w:suppressAutoHyphens/>
        <w:rPr>
          <w:bCs/>
          <w:spacing w:val="-3"/>
          <w:sz w:val="24"/>
          <w:szCs w:val="24"/>
        </w:rPr>
      </w:pPr>
    </w:p>
    <w:p w:rsidR="00ED33B9" w:rsidRDefault="00ED33B9" w:rsidP="00E52738">
      <w:pPr>
        <w:tabs>
          <w:tab w:val="left" w:pos="-720"/>
        </w:tabs>
        <w:suppressAutoHyphens/>
        <w:rPr>
          <w:bCs/>
          <w:spacing w:val="-3"/>
          <w:sz w:val="24"/>
          <w:szCs w:val="24"/>
        </w:rPr>
      </w:pPr>
    </w:p>
    <w:p w:rsidR="000F1894" w:rsidRDefault="00CB495C" w:rsidP="000F1894">
      <w:pPr>
        <w:jc w:val="center"/>
        <w:rPr>
          <w:b/>
          <w:caps/>
          <w:sz w:val="24"/>
          <w:szCs w:val="24"/>
          <w:u w:val="single"/>
        </w:rPr>
      </w:pPr>
      <w:r>
        <w:rPr>
          <w:b/>
          <w:caps/>
          <w:sz w:val="24"/>
          <w:szCs w:val="24"/>
          <w:u w:val="single"/>
        </w:rPr>
        <w:t>INitial decision</w:t>
      </w:r>
    </w:p>
    <w:p w:rsidR="00ED33B9" w:rsidRPr="00E514FA" w:rsidRDefault="00ED33B9"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ED33B9" w:rsidRDefault="00ED33B9" w:rsidP="000F1894">
      <w:pPr>
        <w:jc w:val="center"/>
        <w:rPr>
          <w:sz w:val="24"/>
          <w:szCs w:val="24"/>
        </w:rPr>
      </w:pPr>
    </w:p>
    <w:p w:rsidR="00CB495C" w:rsidRDefault="00CB495C" w:rsidP="000F1894">
      <w:pPr>
        <w:jc w:val="center"/>
        <w:rPr>
          <w:sz w:val="24"/>
          <w:szCs w:val="24"/>
        </w:rPr>
      </w:pPr>
    </w:p>
    <w:p w:rsidR="00DC27A3" w:rsidRDefault="00DC27A3" w:rsidP="00DC27A3">
      <w:pPr>
        <w:spacing w:line="360" w:lineRule="auto"/>
        <w:ind w:firstLine="1440"/>
        <w:rPr>
          <w:sz w:val="24"/>
          <w:szCs w:val="24"/>
        </w:rPr>
      </w:pPr>
      <w:r>
        <w:rPr>
          <w:sz w:val="24"/>
          <w:szCs w:val="24"/>
        </w:rPr>
        <w:t xml:space="preserve">This Initial Decision dismisses the Formal Complaint of Amy Kush for failure to meet her burden of proof to show that </w:t>
      </w:r>
      <w:r w:rsidR="00473C4B">
        <w:rPr>
          <w:sz w:val="24"/>
          <w:szCs w:val="24"/>
        </w:rPr>
        <w:t>she was entitled to another payment arrangement.</w:t>
      </w:r>
    </w:p>
    <w:p w:rsidR="00A60234" w:rsidRDefault="00A60234" w:rsidP="00DC27A3">
      <w:pPr>
        <w:spacing w:line="360" w:lineRule="auto"/>
        <w:ind w:firstLine="1440"/>
        <w:rPr>
          <w:sz w:val="24"/>
          <w:szCs w:val="24"/>
        </w:rPr>
      </w:pPr>
    </w:p>
    <w:p w:rsidR="00CB495C" w:rsidRPr="00DC4452" w:rsidRDefault="006A21C2" w:rsidP="003411F9">
      <w:pPr>
        <w:spacing w:line="360" w:lineRule="auto"/>
        <w:jc w:val="center"/>
        <w:rPr>
          <w:sz w:val="24"/>
          <w:szCs w:val="24"/>
          <w:u w:val="single"/>
        </w:rPr>
      </w:pPr>
      <w:r w:rsidRPr="00DC4452">
        <w:rPr>
          <w:sz w:val="24"/>
          <w:szCs w:val="24"/>
        </w:rPr>
        <w:t xml:space="preserve"> </w:t>
      </w:r>
      <w:r w:rsidR="00CB495C" w:rsidRPr="00DC4452">
        <w:rPr>
          <w:sz w:val="24"/>
          <w:szCs w:val="24"/>
          <w:u w:val="single"/>
        </w:rPr>
        <w:t>HISTORY OF THE PROCEEDING</w:t>
      </w:r>
    </w:p>
    <w:p w:rsidR="00CB495C" w:rsidRDefault="00CB495C" w:rsidP="00B41924">
      <w:pPr>
        <w:spacing w:line="360" w:lineRule="auto"/>
        <w:rPr>
          <w:sz w:val="24"/>
          <w:szCs w:val="24"/>
        </w:rPr>
      </w:pPr>
    </w:p>
    <w:p w:rsidR="00D258E1" w:rsidRDefault="00D258E1" w:rsidP="00DC27A3">
      <w:pPr>
        <w:spacing w:line="360" w:lineRule="auto"/>
        <w:ind w:firstLine="1440"/>
        <w:rPr>
          <w:sz w:val="24"/>
          <w:szCs w:val="24"/>
        </w:rPr>
      </w:pPr>
      <w:r>
        <w:rPr>
          <w:sz w:val="24"/>
          <w:szCs w:val="24"/>
        </w:rPr>
        <w:t>On September 8, 2015, Amy Kush (Complainant) filed a Formal Complaint with the Public Utility Commission (Commission) alleging that UGI Utilities, Inc. (Respondent</w:t>
      </w:r>
      <w:r w:rsidR="00D67CA2">
        <w:rPr>
          <w:sz w:val="24"/>
          <w:szCs w:val="24"/>
        </w:rPr>
        <w:t xml:space="preserve"> or UGI</w:t>
      </w:r>
      <w:r>
        <w:rPr>
          <w:sz w:val="24"/>
          <w:szCs w:val="24"/>
        </w:rPr>
        <w:t xml:space="preserve">) was threatening </w:t>
      </w:r>
      <w:r w:rsidR="0043591C">
        <w:rPr>
          <w:sz w:val="24"/>
          <w:szCs w:val="24"/>
        </w:rPr>
        <w:t>to shut off her service for non</w:t>
      </w:r>
      <w:r>
        <w:rPr>
          <w:sz w:val="24"/>
          <w:szCs w:val="24"/>
        </w:rPr>
        <w:t xml:space="preserve">payment.  She also alleged that she </w:t>
      </w:r>
      <w:r w:rsidR="006F2E40">
        <w:rPr>
          <w:sz w:val="24"/>
          <w:szCs w:val="24"/>
        </w:rPr>
        <w:t>i</w:t>
      </w:r>
      <w:r>
        <w:rPr>
          <w:sz w:val="24"/>
          <w:szCs w:val="24"/>
        </w:rPr>
        <w:t>s having a reliability, safety or quality problem with her service.</w:t>
      </w:r>
      <w:r w:rsidR="00C02656">
        <w:rPr>
          <w:sz w:val="24"/>
          <w:szCs w:val="24"/>
        </w:rPr>
        <w:t xml:space="preserve">  </w:t>
      </w:r>
    </w:p>
    <w:p w:rsidR="006F2E40" w:rsidRDefault="006F2E40" w:rsidP="00DC27A3">
      <w:pPr>
        <w:spacing w:line="360" w:lineRule="auto"/>
        <w:ind w:firstLine="1440"/>
        <w:rPr>
          <w:sz w:val="24"/>
          <w:szCs w:val="24"/>
        </w:rPr>
      </w:pPr>
    </w:p>
    <w:p w:rsidR="00D258E1" w:rsidRDefault="00D258E1" w:rsidP="00DC27A3">
      <w:pPr>
        <w:spacing w:line="360" w:lineRule="auto"/>
        <w:ind w:firstLine="1440"/>
        <w:rPr>
          <w:sz w:val="24"/>
          <w:szCs w:val="24"/>
        </w:rPr>
      </w:pPr>
      <w:r>
        <w:rPr>
          <w:sz w:val="24"/>
          <w:szCs w:val="24"/>
        </w:rPr>
        <w:t>On September 28, 2015, the Respondent filed an Answer and New Matter to the Formal Complaint admitting that it sent the Complainant a notice of pending service termination f</w:t>
      </w:r>
      <w:r w:rsidR="0043591C">
        <w:rPr>
          <w:sz w:val="24"/>
          <w:szCs w:val="24"/>
        </w:rPr>
        <w:t>or non</w:t>
      </w:r>
      <w:r>
        <w:rPr>
          <w:sz w:val="24"/>
          <w:szCs w:val="24"/>
        </w:rPr>
        <w:t xml:space="preserve">payment.  The New Matter alleged that the Complainant made no relevant or material allegations in her Formal Complaint and that the </w:t>
      </w:r>
      <w:r w:rsidR="00B20C8C">
        <w:rPr>
          <w:sz w:val="24"/>
          <w:szCs w:val="24"/>
        </w:rPr>
        <w:t xml:space="preserve">Complainant </w:t>
      </w:r>
      <w:r>
        <w:rPr>
          <w:sz w:val="24"/>
          <w:szCs w:val="24"/>
        </w:rPr>
        <w:t>failed to set forth any violation of the Respondent.</w:t>
      </w:r>
      <w:r w:rsidR="0043591C">
        <w:rPr>
          <w:sz w:val="24"/>
          <w:szCs w:val="24"/>
        </w:rPr>
        <w:t xml:space="preserve">  No answer to the New Matter was received.</w:t>
      </w:r>
    </w:p>
    <w:p w:rsidR="00D258E1" w:rsidRDefault="00D258E1" w:rsidP="00DC27A3">
      <w:pPr>
        <w:spacing w:line="360" w:lineRule="auto"/>
        <w:ind w:firstLine="1440"/>
        <w:rPr>
          <w:sz w:val="24"/>
          <w:szCs w:val="24"/>
        </w:rPr>
      </w:pPr>
    </w:p>
    <w:p w:rsidR="00023657" w:rsidRDefault="00023657" w:rsidP="00DC27A3">
      <w:pPr>
        <w:spacing w:line="360" w:lineRule="auto"/>
        <w:ind w:firstLine="1440"/>
        <w:rPr>
          <w:sz w:val="24"/>
          <w:szCs w:val="24"/>
        </w:rPr>
      </w:pPr>
      <w:r>
        <w:rPr>
          <w:sz w:val="24"/>
          <w:szCs w:val="24"/>
        </w:rPr>
        <w:t>Also on September 28, 2015, the Respondent filed a preliminary objection.</w:t>
      </w:r>
    </w:p>
    <w:p w:rsidR="00023657" w:rsidRDefault="00023657" w:rsidP="00DC27A3">
      <w:pPr>
        <w:spacing w:line="360" w:lineRule="auto"/>
        <w:ind w:firstLine="1440"/>
        <w:rPr>
          <w:sz w:val="24"/>
          <w:szCs w:val="24"/>
        </w:rPr>
      </w:pPr>
    </w:p>
    <w:p w:rsidR="00D258E1" w:rsidRDefault="00023657" w:rsidP="00DC27A3">
      <w:pPr>
        <w:spacing w:line="360" w:lineRule="auto"/>
        <w:ind w:firstLine="1440"/>
        <w:rPr>
          <w:sz w:val="24"/>
          <w:szCs w:val="24"/>
        </w:rPr>
      </w:pPr>
      <w:r>
        <w:rPr>
          <w:sz w:val="24"/>
          <w:szCs w:val="24"/>
        </w:rPr>
        <w:t xml:space="preserve">On December 3, 2015, </w:t>
      </w:r>
      <w:r w:rsidR="009F34A2">
        <w:rPr>
          <w:sz w:val="24"/>
          <w:szCs w:val="24"/>
        </w:rPr>
        <w:t>A</w:t>
      </w:r>
      <w:r>
        <w:rPr>
          <w:sz w:val="24"/>
          <w:szCs w:val="24"/>
        </w:rPr>
        <w:t xml:space="preserve">dministrative </w:t>
      </w:r>
      <w:r w:rsidR="009F34A2">
        <w:rPr>
          <w:sz w:val="24"/>
          <w:szCs w:val="24"/>
        </w:rPr>
        <w:t>L</w:t>
      </w:r>
      <w:r>
        <w:rPr>
          <w:sz w:val="24"/>
          <w:szCs w:val="24"/>
        </w:rPr>
        <w:t xml:space="preserve">aw </w:t>
      </w:r>
      <w:r w:rsidR="009F34A2">
        <w:rPr>
          <w:sz w:val="24"/>
          <w:szCs w:val="24"/>
        </w:rPr>
        <w:t>J</w:t>
      </w:r>
      <w:r>
        <w:rPr>
          <w:sz w:val="24"/>
          <w:szCs w:val="24"/>
        </w:rPr>
        <w:t>udge Joel H. Cheskis issued an Order Denying Preliminary Objection.</w:t>
      </w:r>
    </w:p>
    <w:p w:rsidR="00D258E1" w:rsidRDefault="00D258E1" w:rsidP="00DC27A3">
      <w:pPr>
        <w:spacing w:line="360" w:lineRule="auto"/>
        <w:ind w:firstLine="1440"/>
        <w:rPr>
          <w:sz w:val="24"/>
          <w:szCs w:val="24"/>
        </w:rPr>
      </w:pPr>
    </w:p>
    <w:p w:rsidR="00D258E1" w:rsidRDefault="00023657" w:rsidP="00DC27A3">
      <w:pPr>
        <w:spacing w:line="360" w:lineRule="auto"/>
        <w:ind w:firstLine="1440"/>
        <w:rPr>
          <w:sz w:val="24"/>
          <w:szCs w:val="24"/>
        </w:rPr>
      </w:pPr>
      <w:r>
        <w:rPr>
          <w:sz w:val="24"/>
          <w:szCs w:val="24"/>
        </w:rPr>
        <w:t>On December 3, 2015, a hearing Notice was issued setting a hearing for December 30, 2015, and the matter was assigned to me.</w:t>
      </w:r>
    </w:p>
    <w:p w:rsidR="00410CE6" w:rsidRDefault="00410CE6" w:rsidP="00DC27A3">
      <w:pPr>
        <w:spacing w:line="360" w:lineRule="auto"/>
        <w:ind w:firstLine="1440"/>
        <w:rPr>
          <w:sz w:val="24"/>
          <w:szCs w:val="24"/>
        </w:rPr>
      </w:pPr>
    </w:p>
    <w:p w:rsidR="00023657" w:rsidRDefault="00023657" w:rsidP="00DC27A3">
      <w:pPr>
        <w:spacing w:line="360" w:lineRule="auto"/>
        <w:ind w:firstLine="1440"/>
        <w:rPr>
          <w:sz w:val="24"/>
          <w:szCs w:val="24"/>
        </w:rPr>
      </w:pPr>
      <w:r>
        <w:rPr>
          <w:sz w:val="24"/>
          <w:szCs w:val="24"/>
        </w:rPr>
        <w:t>On December 8, 2015, I issued a prehearing order advising the parties of various procedural rules.</w:t>
      </w:r>
    </w:p>
    <w:p w:rsidR="00023657" w:rsidRDefault="00023657" w:rsidP="00DC27A3">
      <w:pPr>
        <w:spacing w:line="360" w:lineRule="auto"/>
        <w:ind w:firstLine="1440"/>
        <w:rPr>
          <w:sz w:val="24"/>
          <w:szCs w:val="24"/>
        </w:rPr>
      </w:pPr>
    </w:p>
    <w:p w:rsidR="00023657" w:rsidRPr="00B41924" w:rsidRDefault="00023657" w:rsidP="00DC27A3">
      <w:pPr>
        <w:spacing w:line="360" w:lineRule="auto"/>
        <w:ind w:firstLine="1440"/>
        <w:rPr>
          <w:sz w:val="24"/>
          <w:szCs w:val="24"/>
        </w:rPr>
      </w:pPr>
      <w:r>
        <w:rPr>
          <w:sz w:val="24"/>
          <w:szCs w:val="24"/>
        </w:rPr>
        <w:t>The hearing convened as scheduled on December 30, 2015.  The Complainant appeared and represented herself.  The Respondent appeared represented by counsel.  The Complainant proffered no exhibits.  The Respondent proffered five exhibits; all were successfully entered into the record.  The record closed at the conclusion of the hearing.  This matter is now ready for decision.</w:t>
      </w:r>
    </w:p>
    <w:p w:rsidR="00CB495C" w:rsidRPr="00DC4452" w:rsidRDefault="00CB495C" w:rsidP="00957ED1">
      <w:pPr>
        <w:spacing w:line="360" w:lineRule="auto"/>
        <w:jc w:val="center"/>
        <w:rPr>
          <w:sz w:val="24"/>
          <w:szCs w:val="24"/>
          <w:u w:val="single"/>
        </w:rPr>
      </w:pPr>
    </w:p>
    <w:p w:rsidR="00CB495C" w:rsidRPr="00DC4452" w:rsidRDefault="00CB495C" w:rsidP="00CB495C">
      <w:pPr>
        <w:jc w:val="center"/>
        <w:rPr>
          <w:sz w:val="24"/>
          <w:szCs w:val="24"/>
          <w:u w:val="single"/>
        </w:rPr>
      </w:pPr>
      <w:r w:rsidRPr="00DC4452">
        <w:rPr>
          <w:sz w:val="24"/>
          <w:szCs w:val="24"/>
          <w:u w:val="single"/>
        </w:rPr>
        <w:t>FINDINGS OF FACT</w:t>
      </w:r>
    </w:p>
    <w:p w:rsidR="00CB495C" w:rsidRPr="00023657" w:rsidRDefault="00CB495C" w:rsidP="00957ED1">
      <w:pPr>
        <w:spacing w:line="360" w:lineRule="auto"/>
        <w:jc w:val="center"/>
        <w:rPr>
          <w:sz w:val="24"/>
          <w:szCs w:val="24"/>
        </w:rPr>
      </w:pPr>
    </w:p>
    <w:p w:rsidR="00023657" w:rsidRDefault="00023657" w:rsidP="00023657">
      <w:pPr>
        <w:pStyle w:val="ListParagraph"/>
        <w:numPr>
          <w:ilvl w:val="0"/>
          <w:numId w:val="33"/>
        </w:numPr>
        <w:spacing w:line="360" w:lineRule="auto"/>
        <w:ind w:left="0" w:firstLine="1440"/>
        <w:rPr>
          <w:sz w:val="24"/>
          <w:szCs w:val="24"/>
        </w:rPr>
      </w:pPr>
      <w:r w:rsidRPr="00023657">
        <w:rPr>
          <w:sz w:val="24"/>
          <w:szCs w:val="24"/>
        </w:rPr>
        <w:t>The Complainant is Amy Kush</w:t>
      </w:r>
      <w:r>
        <w:rPr>
          <w:sz w:val="24"/>
          <w:szCs w:val="24"/>
        </w:rPr>
        <w:t>.  She resides at 258 Frederick Street, Kingston, Pennsylvania 18704.  Formal Complaint.</w:t>
      </w:r>
    </w:p>
    <w:p w:rsidR="00023657" w:rsidRDefault="00023657" w:rsidP="00FF160C">
      <w:pPr>
        <w:pStyle w:val="ListParagraph"/>
        <w:spacing w:line="360" w:lineRule="auto"/>
        <w:ind w:left="1440"/>
        <w:rPr>
          <w:sz w:val="24"/>
          <w:szCs w:val="24"/>
        </w:rPr>
      </w:pPr>
      <w:r>
        <w:rPr>
          <w:sz w:val="24"/>
          <w:szCs w:val="24"/>
        </w:rPr>
        <w:t xml:space="preserve"> </w:t>
      </w:r>
    </w:p>
    <w:p w:rsidR="00023657" w:rsidRDefault="00023657" w:rsidP="0018281E">
      <w:pPr>
        <w:pStyle w:val="ListParagraph"/>
        <w:numPr>
          <w:ilvl w:val="0"/>
          <w:numId w:val="33"/>
        </w:numPr>
        <w:spacing w:line="360" w:lineRule="auto"/>
        <w:ind w:left="0" w:firstLine="1440"/>
        <w:rPr>
          <w:sz w:val="24"/>
          <w:szCs w:val="24"/>
        </w:rPr>
      </w:pPr>
      <w:r>
        <w:rPr>
          <w:sz w:val="24"/>
          <w:szCs w:val="24"/>
        </w:rPr>
        <w:t>The Respondent is UGI Utilities, Inc., a jurisdictional public utility.</w:t>
      </w:r>
    </w:p>
    <w:p w:rsidR="00023657" w:rsidRPr="00023657" w:rsidRDefault="0018281E" w:rsidP="0018281E">
      <w:pPr>
        <w:pStyle w:val="ListParagraph"/>
        <w:tabs>
          <w:tab w:val="left" w:pos="2235"/>
        </w:tabs>
        <w:spacing w:line="360" w:lineRule="auto"/>
        <w:rPr>
          <w:sz w:val="24"/>
          <w:szCs w:val="24"/>
        </w:rPr>
      </w:pPr>
      <w:r>
        <w:rPr>
          <w:sz w:val="24"/>
          <w:szCs w:val="24"/>
        </w:rPr>
        <w:tab/>
      </w:r>
    </w:p>
    <w:p w:rsidR="00E67FF6" w:rsidRDefault="00E67FF6" w:rsidP="0018281E">
      <w:pPr>
        <w:pStyle w:val="ListParagraph"/>
        <w:numPr>
          <w:ilvl w:val="0"/>
          <w:numId w:val="33"/>
        </w:numPr>
        <w:spacing w:line="360" w:lineRule="auto"/>
        <w:ind w:left="0" w:firstLine="1440"/>
        <w:rPr>
          <w:sz w:val="24"/>
          <w:szCs w:val="24"/>
        </w:rPr>
      </w:pPr>
      <w:r>
        <w:rPr>
          <w:sz w:val="24"/>
          <w:szCs w:val="24"/>
        </w:rPr>
        <w:t>The Complainant’s bills and past due balance are not in dispute.</w:t>
      </w:r>
    </w:p>
    <w:p w:rsidR="00E67FF6" w:rsidRPr="00E67FF6" w:rsidRDefault="00E67FF6" w:rsidP="00FF160C">
      <w:pPr>
        <w:pStyle w:val="ListParagraph"/>
        <w:spacing w:line="360" w:lineRule="auto"/>
        <w:rPr>
          <w:sz w:val="24"/>
          <w:szCs w:val="24"/>
        </w:rPr>
      </w:pPr>
    </w:p>
    <w:p w:rsidR="00023657" w:rsidRDefault="00023657" w:rsidP="0018281E">
      <w:pPr>
        <w:pStyle w:val="ListParagraph"/>
        <w:numPr>
          <w:ilvl w:val="0"/>
          <w:numId w:val="33"/>
        </w:numPr>
        <w:spacing w:line="360" w:lineRule="auto"/>
        <w:ind w:left="0" w:firstLine="1440"/>
        <w:rPr>
          <w:sz w:val="24"/>
          <w:szCs w:val="24"/>
        </w:rPr>
      </w:pPr>
      <w:r>
        <w:rPr>
          <w:sz w:val="24"/>
          <w:szCs w:val="24"/>
        </w:rPr>
        <w:t xml:space="preserve">The Complainant has a household of three comprising herself, her child and the father of her child.  Tr. at </w:t>
      </w:r>
      <w:r w:rsidR="0043591C">
        <w:rPr>
          <w:sz w:val="24"/>
          <w:szCs w:val="24"/>
        </w:rPr>
        <w:t>8</w:t>
      </w:r>
      <w:r>
        <w:rPr>
          <w:sz w:val="24"/>
          <w:szCs w:val="24"/>
        </w:rPr>
        <w:t>.</w:t>
      </w:r>
    </w:p>
    <w:p w:rsidR="006F2E40" w:rsidRPr="006F2E40" w:rsidRDefault="006F2E40" w:rsidP="006F2E40">
      <w:pPr>
        <w:pStyle w:val="ListParagraph"/>
        <w:rPr>
          <w:sz w:val="24"/>
          <w:szCs w:val="24"/>
        </w:rPr>
      </w:pPr>
    </w:p>
    <w:p w:rsidR="00023657" w:rsidRDefault="00023657" w:rsidP="0018281E">
      <w:pPr>
        <w:pStyle w:val="ListParagraph"/>
        <w:numPr>
          <w:ilvl w:val="0"/>
          <w:numId w:val="33"/>
        </w:numPr>
        <w:spacing w:line="360" w:lineRule="auto"/>
        <w:ind w:left="0" w:firstLine="1440"/>
        <w:rPr>
          <w:sz w:val="24"/>
          <w:szCs w:val="24"/>
        </w:rPr>
      </w:pPr>
      <w:r>
        <w:rPr>
          <w:sz w:val="24"/>
          <w:szCs w:val="24"/>
        </w:rPr>
        <w:t xml:space="preserve">The Complainant receives $501 in food stamps monthly.  Tr. at </w:t>
      </w:r>
      <w:r w:rsidR="0043591C">
        <w:rPr>
          <w:sz w:val="24"/>
          <w:szCs w:val="24"/>
        </w:rPr>
        <w:t>7</w:t>
      </w:r>
      <w:r>
        <w:rPr>
          <w:sz w:val="24"/>
          <w:szCs w:val="24"/>
        </w:rPr>
        <w:t>.</w:t>
      </w:r>
    </w:p>
    <w:p w:rsidR="00023657" w:rsidRPr="00023657" w:rsidRDefault="00023657" w:rsidP="0018281E">
      <w:pPr>
        <w:pStyle w:val="ListParagraph"/>
        <w:spacing w:line="360" w:lineRule="auto"/>
        <w:rPr>
          <w:sz w:val="24"/>
          <w:szCs w:val="24"/>
        </w:rPr>
      </w:pPr>
    </w:p>
    <w:p w:rsidR="00CB495C" w:rsidRDefault="00023657" w:rsidP="0018281E">
      <w:pPr>
        <w:pStyle w:val="ListParagraph"/>
        <w:numPr>
          <w:ilvl w:val="0"/>
          <w:numId w:val="33"/>
        </w:numPr>
        <w:spacing w:line="360" w:lineRule="auto"/>
        <w:ind w:left="0" w:firstLine="1440"/>
        <w:rPr>
          <w:sz w:val="24"/>
          <w:szCs w:val="24"/>
        </w:rPr>
      </w:pPr>
      <w:r>
        <w:rPr>
          <w:sz w:val="24"/>
          <w:szCs w:val="24"/>
        </w:rPr>
        <w:t xml:space="preserve">The </w:t>
      </w:r>
      <w:r w:rsidR="0018281E">
        <w:rPr>
          <w:sz w:val="24"/>
          <w:szCs w:val="24"/>
        </w:rPr>
        <w:t xml:space="preserve">Complainant’s </w:t>
      </w:r>
      <w:r>
        <w:rPr>
          <w:sz w:val="24"/>
          <w:szCs w:val="24"/>
        </w:rPr>
        <w:t>household income is $504 monthly.</w:t>
      </w:r>
      <w:r w:rsidRPr="00023657">
        <w:rPr>
          <w:sz w:val="24"/>
          <w:szCs w:val="24"/>
        </w:rPr>
        <w:t xml:space="preserve"> </w:t>
      </w:r>
      <w:r w:rsidR="009F34A2">
        <w:rPr>
          <w:sz w:val="24"/>
          <w:szCs w:val="24"/>
        </w:rPr>
        <w:t xml:space="preserve"> Tr. at </w:t>
      </w:r>
      <w:r w:rsidR="0043591C">
        <w:rPr>
          <w:sz w:val="24"/>
          <w:szCs w:val="24"/>
        </w:rPr>
        <w:t>8</w:t>
      </w:r>
      <w:r>
        <w:rPr>
          <w:sz w:val="24"/>
          <w:szCs w:val="24"/>
        </w:rPr>
        <w:t>.</w:t>
      </w:r>
    </w:p>
    <w:p w:rsidR="00193B25" w:rsidRPr="00193B25" w:rsidRDefault="00193B25" w:rsidP="00193B25">
      <w:pPr>
        <w:pStyle w:val="ListParagraph"/>
        <w:rPr>
          <w:sz w:val="24"/>
          <w:szCs w:val="24"/>
        </w:rPr>
      </w:pPr>
    </w:p>
    <w:p w:rsidR="00193B25" w:rsidRDefault="00193B25" w:rsidP="0018281E">
      <w:pPr>
        <w:pStyle w:val="ListParagraph"/>
        <w:numPr>
          <w:ilvl w:val="0"/>
          <w:numId w:val="33"/>
        </w:numPr>
        <w:spacing w:line="360" w:lineRule="auto"/>
        <w:ind w:left="0" w:firstLine="1440"/>
        <w:rPr>
          <w:sz w:val="24"/>
          <w:szCs w:val="24"/>
        </w:rPr>
      </w:pPr>
      <w:r>
        <w:rPr>
          <w:sz w:val="24"/>
          <w:szCs w:val="24"/>
        </w:rPr>
        <w:t>Complainant’s total gross monthly income is $1,005 or $501 in food stamps and $504 in income.</w:t>
      </w:r>
    </w:p>
    <w:p w:rsidR="00023657" w:rsidRPr="00023657" w:rsidRDefault="00023657" w:rsidP="0018281E">
      <w:pPr>
        <w:pStyle w:val="ListParagraph"/>
        <w:spacing w:line="360" w:lineRule="auto"/>
        <w:rPr>
          <w:sz w:val="24"/>
          <w:szCs w:val="24"/>
        </w:rPr>
      </w:pPr>
    </w:p>
    <w:p w:rsidR="00023657" w:rsidRDefault="0018281E" w:rsidP="0018281E">
      <w:pPr>
        <w:pStyle w:val="ListParagraph"/>
        <w:numPr>
          <w:ilvl w:val="0"/>
          <w:numId w:val="33"/>
        </w:numPr>
        <w:spacing w:line="360" w:lineRule="auto"/>
        <w:ind w:left="0" w:firstLine="1440"/>
        <w:rPr>
          <w:sz w:val="24"/>
          <w:szCs w:val="24"/>
        </w:rPr>
      </w:pPr>
      <w:r>
        <w:rPr>
          <w:sz w:val="24"/>
          <w:szCs w:val="24"/>
        </w:rPr>
        <w:t xml:space="preserve">The Complainant does not pay her gas utility bill on a regular basis.  Her last payment was in September 2015, for $165.  Tr. at </w:t>
      </w:r>
      <w:r w:rsidR="00B20C8C">
        <w:rPr>
          <w:sz w:val="24"/>
          <w:szCs w:val="24"/>
        </w:rPr>
        <w:t>15</w:t>
      </w:r>
      <w:r>
        <w:rPr>
          <w:sz w:val="24"/>
          <w:szCs w:val="24"/>
        </w:rPr>
        <w:t>.</w:t>
      </w:r>
    </w:p>
    <w:p w:rsidR="0018281E" w:rsidRPr="0018281E" w:rsidRDefault="0018281E" w:rsidP="0018281E">
      <w:pPr>
        <w:pStyle w:val="ListParagraph"/>
        <w:spacing w:line="360" w:lineRule="auto"/>
        <w:rPr>
          <w:sz w:val="24"/>
          <w:szCs w:val="24"/>
        </w:rPr>
      </w:pPr>
    </w:p>
    <w:p w:rsidR="0018281E" w:rsidRDefault="0018281E" w:rsidP="0018281E">
      <w:pPr>
        <w:pStyle w:val="ListParagraph"/>
        <w:numPr>
          <w:ilvl w:val="0"/>
          <w:numId w:val="33"/>
        </w:numPr>
        <w:spacing w:line="360" w:lineRule="auto"/>
        <w:ind w:left="0" w:firstLine="1440"/>
        <w:rPr>
          <w:sz w:val="24"/>
          <w:szCs w:val="24"/>
        </w:rPr>
      </w:pPr>
      <w:r>
        <w:rPr>
          <w:sz w:val="24"/>
          <w:szCs w:val="24"/>
        </w:rPr>
        <w:t>On December 9, 2015, the Respondent sent the Complainant a letter explaining that she was a candidate for their customer assistance program or CAP and included the application for the CAP.  UGI Exh. 4.</w:t>
      </w:r>
    </w:p>
    <w:p w:rsidR="0018281E" w:rsidRPr="0018281E" w:rsidRDefault="0018281E" w:rsidP="0018281E">
      <w:pPr>
        <w:pStyle w:val="ListParagraph"/>
        <w:spacing w:line="360" w:lineRule="auto"/>
        <w:rPr>
          <w:sz w:val="24"/>
          <w:szCs w:val="24"/>
        </w:rPr>
      </w:pPr>
    </w:p>
    <w:p w:rsidR="0018281E" w:rsidRDefault="0018281E" w:rsidP="0018281E">
      <w:pPr>
        <w:pStyle w:val="ListParagraph"/>
        <w:numPr>
          <w:ilvl w:val="0"/>
          <w:numId w:val="33"/>
        </w:numPr>
        <w:spacing w:line="360" w:lineRule="auto"/>
        <w:ind w:left="0" w:firstLine="1440"/>
        <w:rPr>
          <w:sz w:val="24"/>
          <w:szCs w:val="24"/>
        </w:rPr>
      </w:pPr>
      <w:r w:rsidRPr="0043591C">
        <w:rPr>
          <w:sz w:val="24"/>
          <w:szCs w:val="24"/>
        </w:rPr>
        <w:t>The Complainant failed to apply for the CAP.</w:t>
      </w:r>
      <w:r w:rsidR="0043591C">
        <w:rPr>
          <w:sz w:val="24"/>
          <w:szCs w:val="24"/>
        </w:rPr>
        <w:t xml:space="preserve">  Tr. at 11</w:t>
      </w:r>
      <w:r w:rsidR="00CA1A7F">
        <w:rPr>
          <w:sz w:val="24"/>
          <w:szCs w:val="24"/>
        </w:rPr>
        <w:t>.</w:t>
      </w:r>
    </w:p>
    <w:p w:rsidR="0043591C" w:rsidRPr="0043591C" w:rsidRDefault="0043591C" w:rsidP="00FF160C">
      <w:pPr>
        <w:pStyle w:val="ListParagraph"/>
        <w:spacing w:line="360" w:lineRule="auto"/>
        <w:rPr>
          <w:sz w:val="24"/>
          <w:szCs w:val="24"/>
        </w:rPr>
      </w:pPr>
    </w:p>
    <w:p w:rsidR="0018281E" w:rsidRDefault="0018281E" w:rsidP="0018281E">
      <w:pPr>
        <w:pStyle w:val="ListParagraph"/>
        <w:numPr>
          <w:ilvl w:val="0"/>
          <w:numId w:val="33"/>
        </w:numPr>
        <w:spacing w:line="360" w:lineRule="auto"/>
        <w:ind w:left="0" w:firstLine="1440"/>
        <w:rPr>
          <w:sz w:val="24"/>
          <w:szCs w:val="24"/>
        </w:rPr>
      </w:pPr>
      <w:r>
        <w:rPr>
          <w:sz w:val="24"/>
          <w:szCs w:val="24"/>
        </w:rPr>
        <w:t xml:space="preserve">The Complainant has not applied for LIHEAP.  Tr. at </w:t>
      </w:r>
      <w:r w:rsidR="0043591C">
        <w:rPr>
          <w:sz w:val="24"/>
          <w:szCs w:val="24"/>
        </w:rPr>
        <w:t>9</w:t>
      </w:r>
      <w:r>
        <w:rPr>
          <w:sz w:val="24"/>
          <w:szCs w:val="24"/>
        </w:rPr>
        <w:t>.</w:t>
      </w:r>
    </w:p>
    <w:p w:rsidR="0018281E" w:rsidRPr="0018281E" w:rsidRDefault="0018281E" w:rsidP="00FF160C">
      <w:pPr>
        <w:pStyle w:val="ListParagraph"/>
        <w:spacing w:line="360" w:lineRule="auto"/>
        <w:rPr>
          <w:sz w:val="24"/>
          <w:szCs w:val="24"/>
        </w:rPr>
      </w:pPr>
    </w:p>
    <w:p w:rsidR="0018281E" w:rsidRDefault="0018281E" w:rsidP="0018281E">
      <w:pPr>
        <w:pStyle w:val="ListParagraph"/>
        <w:numPr>
          <w:ilvl w:val="0"/>
          <w:numId w:val="33"/>
        </w:numPr>
        <w:spacing w:line="360" w:lineRule="auto"/>
        <w:ind w:left="0" w:firstLine="1440"/>
        <w:rPr>
          <w:sz w:val="24"/>
          <w:szCs w:val="24"/>
        </w:rPr>
      </w:pPr>
      <w:r>
        <w:rPr>
          <w:sz w:val="24"/>
          <w:szCs w:val="24"/>
        </w:rPr>
        <w:t>At the time of the hearing the Complainant’s past due balance was $570.</w:t>
      </w:r>
      <w:r w:rsidR="0043591C">
        <w:rPr>
          <w:sz w:val="24"/>
          <w:szCs w:val="24"/>
        </w:rPr>
        <w:t>9</w:t>
      </w:r>
      <w:r>
        <w:rPr>
          <w:sz w:val="24"/>
          <w:szCs w:val="24"/>
        </w:rPr>
        <w:t>5.  UGI Exh.</w:t>
      </w:r>
      <w:r w:rsidR="00B20C8C">
        <w:rPr>
          <w:sz w:val="24"/>
          <w:szCs w:val="24"/>
        </w:rPr>
        <w:t xml:space="preserve"> </w:t>
      </w:r>
      <w:r>
        <w:rPr>
          <w:sz w:val="24"/>
          <w:szCs w:val="24"/>
        </w:rPr>
        <w:t>1</w:t>
      </w:r>
      <w:r w:rsidR="009F34A2">
        <w:rPr>
          <w:sz w:val="24"/>
          <w:szCs w:val="24"/>
        </w:rPr>
        <w:t>;</w:t>
      </w:r>
      <w:r w:rsidR="0043591C">
        <w:rPr>
          <w:sz w:val="24"/>
          <w:szCs w:val="24"/>
        </w:rPr>
        <w:t xml:space="preserve"> Tr. at 15</w:t>
      </w:r>
      <w:r>
        <w:rPr>
          <w:sz w:val="24"/>
          <w:szCs w:val="24"/>
        </w:rPr>
        <w:t>.</w:t>
      </w:r>
    </w:p>
    <w:p w:rsidR="0018281E" w:rsidRPr="0018281E" w:rsidRDefault="0018281E" w:rsidP="00FF160C">
      <w:pPr>
        <w:pStyle w:val="ListParagraph"/>
        <w:spacing w:line="360" w:lineRule="auto"/>
        <w:rPr>
          <w:sz w:val="24"/>
          <w:szCs w:val="24"/>
        </w:rPr>
      </w:pPr>
    </w:p>
    <w:p w:rsidR="0018281E" w:rsidRDefault="0018281E" w:rsidP="0018281E">
      <w:pPr>
        <w:pStyle w:val="ListParagraph"/>
        <w:numPr>
          <w:ilvl w:val="0"/>
          <w:numId w:val="33"/>
        </w:numPr>
        <w:spacing w:line="360" w:lineRule="auto"/>
        <w:ind w:left="0" w:firstLine="1440"/>
        <w:rPr>
          <w:sz w:val="24"/>
          <w:szCs w:val="24"/>
        </w:rPr>
      </w:pPr>
      <w:r>
        <w:rPr>
          <w:sz w:val="24"/>
          <w:szCs w:val="24"/>
        </w:rPr>
        <w:t>The Complainant had a payment arrangement with the Respondent that she did not keep.  UGI Exh. 2</w:t>
      </w:r>
      <w:r w:rsidR="00B20C8C">
        <w:rPr>
          <w:sz w:val="24"/>
          <w:szCs w:val="24"/>
        </w:rPr>
        <w:t>;</w:t>
      </w:r>
      <w:r w:rsidR="0043591C">
        <w:rPr>
          <w:sz w:val="24"/>
          <w:szCs w:val="24"/>
        </w:rPr>
        <w:t xml:space="preserve"> Tr. at 15</w:t>
      </w:r>
      <w:r>
        <w:rPr>
          <w:sz w:val="24"/>
          <w:szCs w:val="24"/>
        </w:rPr>
        <w:t>.</w:t>
      </w:r>
    </w:p>
    <w:p w:rsidR="00FF160C" w:rsidRDefault="00FF160C" w:rsidP="00FF160C">
      <w:pPr>
        <w:pStyle w:val="ListParagraph"/>
        <w:spacing w:line="360" w:lineRule="auto"/>
        <w:ind w:left="1440"/>
        <w:rPr>
          <w:sz w:val="24"/>
          <w:szCs w:val="24"/>
        </w:rPr>
      </w:pPr>
    </w:p>
    <w:p w:rsidR="00CB495C" w:rsidRDefault="00CB495C" w:rsidP="00CB495C">
      <w:pPr>
        <w:jc w:val="center"/>
        <w:rPr>
          <w:sz w:val="24"/>
          <w:szCs w:val="24"/>
          <w:u w:val="single"/>
        </w:rPr>
      </w:pPr>
      <w:r w:rsidRPr="00DC4452">
        <w:rPr>
          <w:sz w:val="24"/>
          <w:szCs w:val="24"/>
          <w:u w:val="single"/>
        </w:rPr>
        <w:t>DISCUSSION</w:t>
      </w:r>
    </w:p>
    <w:p w:rsidR="00922E9B" w:rsidRDefault="00922E9B" w:rsidP="0012720C">
      <w:pPr>
        <w:spacing w:line="360" w:lineRule="auto"/>
        <w:jc w:val="center"/>
        <w:rPr>
          <w:sz w:val="24"/>
          <w:szCs w:val="24"/>
          <w:u w:val="single"/>
        </w:rPr>
      </w:pPr>
    </w:p>
    <w:p w:rsidR="00922E9B" w:rsidRPr="00DC4452" w:rsidRDefault="00922E9B" w:rsidP="00922E9B">
      <w:pPr>
        <w:rPr>
          <w:sz w:val="24"/>
          <w:szCs w:val="24"/>
          <w:u w:val="single"/>
        </w:rPr>
      </w:pPr>
      <w:r>
        <w:rPr>
          <w:sz w:val="24"/>
          <w:szCs w:val="24"/>
          <w:u w:val="single"/>
        </w:rPr>
        <w:t xml:space="preserve">Burden of </w:t>
      </w:r>
      <w:r w:rsidR="007F7235">
        <w:rPr>
          <w:sz w:val="24"/>
          <w:szCs w:val="24"/>
          <w:u w:val="single"/>
        </w:rPr>
        <w:t>P</w:t>
      </w:r>
      <w:r>
        <w:rPr>
          <w:sz w:val="24"/>
          <w:szCs w:val="24"/>
          <w:u w:val="single"/>
        </w:rPr>
        <w:t>roof</w:t>
      </w:r>
      <w:r w:rsidRPr="00410CE6">
        <w:rPr>
          <w:sz w:val="24"/>
          <w:szCs w:val="24"/>
        </w:rPr>
        <w:t>:</w:t>
      </w:r>
    </w:p>
    <w:p w:rsidR="00CB495C" w:rsidRDefault="00CB495C" w:rsidP="0012720C">
      <w:pPr>
        <w:spacing w:line="360" w:lineRule="auto"/>
        <w:jc w:val="center"/>
        <w:rPr>
          <w:sz w:val="24"/>
          <w:szCs w:val="24"/>
          <w:u w:val="single"/>
        </w:rPr>
      </w:pPr>
    </w:p>
    <w:p w:rsidR="00922E9B" w:rsidRDefault="00922E9B" w:rsidP="00922E9B">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66 Pa.C.S.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73245F">
        <w:rPr>
          <w:i/>
          <w:spacing w:val="-3"/>
          <w:sz w:val="24"/>
          <w:szCs w:val="24"/>
        </w:rPr>
        <w:t>Samuel J. Lansberry, Inc. v. Pa. P</w:t>
      </w:r>
      <w:r w:rsidR="00FF160C">
        <w:rPr>
          <w:i/>
          <w:spacing w:val="-3"/>
          <w:sz w:val="24"/>
          <w:szCs w:val="24"/>
        </w:rPr>
        <w:t>ub. Util. Comm’n</w:t>
      </w:r>
      <w:r w:rsidRPr="00614336">
        <w:rPr>
          <w:spacing w:val="-3"/>
          <w:sz w:val="24"/>
          <w:szCs w:val="24"/>
        </w:rPr>
        <w:t>, 134 Pa.C</w:t>
      </w:r>
      <w:r w:rsidR="00FF160C">
        <w:rPr>
          <w:spacing w:val="-3"/>
          <w:sz w:val="24"/>
          <w:szCs w:val="24"/>
        </w:rPr>
        <w:t>mwlth</w:t>
      </w:r>
      <w:r w:rsidRPr="00614336">
        <w:rPr>
          <w:spacing w:val="-3"/>
          <w:sz w:val="24"/>
          <w:szCs w:val="24"/>
        </w:rPr>
        <w:t>. 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73245F">
        <w:rPr>
          <w:i/>
          <w:spacing w:val="-3"/>
          <w:sz w:val="24"/>
          <w:szCs w:val="24"/>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Pr>
          <w:i/>
          <w:spacing w:val="-3"/>
          <w:sz w:val="24"/>
          <w:szCs w:val="24"/>
        </w:rPr>
        <w:t>Mill v. Pa.</w:t>
      </w:r>
      <w:r w:rsidR="00454032">
        <w:rPr>
          <w:i/>
          <w:spacing w:val="-3"/>
          <w:sz w:val="24"/>
          <w:szCs w:val="24"/>
        </w:rPr>
        <w:t xml:space="preserve"> </w:t>
      </w:r>
      <w:r w:rsidRPr="00922E9B">
        <w:rPr>
          <w:i/>
          <w:spacing w:val="-3"/>
          <w:sz w:val="24"/>
          <w:szCs w:val="24"/>
        </w:rPr>
        <w:t>P</w:t>
      </w:r>
      <w:r w:rsidR="00454032">
        <w:rPr>
          <w:i/>
          <w:spacing w:val="-3"/>
          <w:sz w:val="24"/>
          <w:szCs w:val="24"/>
        </w:rPr>
        <w:t xml:space="preserve">ub. Util. Comm’n, </w:t>
      </w:r>
      <w:r w:rsidRPr="00614336">
        <w:rPr>
          <w:spacing w:val="-3"/>
          <w:sz w:val="24"/>
          <w:szCs w:val="24"/>
        </w:rPr>
        <w:t>67 Pa.C</w:t>
      </w:r>
      <w:r w:rsidR="00454032">
        <w:rPr>
          <w:spacing w:val="-3"/>
          <w:sz w:val="24"/>
          <w:szCs w:val="24"/>
        </w:rPr>
        <w:t>mwlth</w:t>
      </w:r>
      <w:r w:rsidRPr="00614336">
        <w:rPr>
          <w:spacing w:val="-3"/>
          <w:sz w:val="24"/>
          <w:szCs w:val="24"/>
        </w:rPr>
        <w:t>. 597, 447 A.2d 1100</w:t>
      </w:r>
      <w:r>
        <w:rPr>
          <w:spacing w:val="-3"/>
          <w:sz w:val="24"/>
          <w:szCs w:val="24"/>
        </w:rPr>
        <w:t xml:space="preserve"> </w:t>
      </w:r>
      <w:r w:rsidRPr="00614336">
        <w:rPr>
          <w:spacing w:val="-3"/>
          <w:sz w:val="24"/>
          <w:szCs w:val="24"/>
        </w:rPr>
        <w:t xml:space="preserve">(1982), </w:t>
      </w:r>
      <w:r w:rsidRPr="0073245F">
        <w:rPr>
          <w:i/>
          <w:spacing w:val="-3"/>
          <w:sz w:val="24"/>
          <w:szCs w:val="24"/>
        </w:rPr>
        <w:t>Edan Transportation Corp. v. Pa. P</w:t>
      </w:r>
      <w:r w:rsidR="00454032">
        <w:rPr>
          <w:i/>
          <w:spacing w:val="-3"/>
          <w:sz w:val="24"/>
          <w:szCs w:val="24"/>
        </w:rPr>
        <w:t>ub. Util. Comm’n</w:t>
      </w:r>
      <w:r w:rsidRPr="00614336">
        <w:rPr>
          <w:spacing w:val="-3"/>
          <w:sz w:val="24"/>
          <w:szCs w:val="24"/>
        </w:rPr>
        <w:t>, 154 Pa.C</w:t>
      </w:r>
      <w:r w:rsidR="00454032">
        <w:rPr>
          <w:spacing w:val="-3"/>
          <w:sz w:val="24"/>
          <w:szCs w:val="24"/>
        </w:rPr>
        <w:t>mwlth</w:t>
      </w:r>
      <w:r w:rsidRPr="00614336">
        <w:rPr>
          <w:spacing w:val="-3"/>
          <w:sz w:val="24"/>
          <w:szCs w:val="24"/>
        </w:rPr>
        <w:t>. 21, 623 A.2d 6</w:t>
      </w:r>
      <w:r>
        <w:rPr>
          <w:spacing w:val="-3"/>
          <w:sz w:val="24"/>
          <w:szCs w:val="24"/>
        </w:rPr>
        <w:t xml:space="preserve"> </w:t>
      </w:r>
      <w:r w:rsidRPr="00614336">
        <w:rPr>
          <w:spacing w:val="-3"/>
          <w:sz w:val="24"/>
          <w:szCs w:val="24"/>
        </w:rPr>
        <w:t>(1993), 2 Pa.C.S. §</w:t>
      </w:r>
      <w:r w:rsidR="00454032">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sidRPr="009F34A2">
        <w:rPr>
          <w:i/>
          <w:spacing w:val="-3"/>
          <w:sz w:val="24"/>
          <w:szCs w:val="24"/>
        </w:rPr>
        <w:t xml:space="preserve">.  </w:t>
      </w:r>
      <w:r w:rsidRPr="00BD1FDE">
        <w:rPr>
          <w:i/>
          <w:spacing w:val="-3"/>
          <w:sz w:val="24"/>
          <w:szCs w:val="24"/>
        </w:rPr>
        <w:t>Norfolk and Western Ry. v. Pa.</w:t>
      </w:r>
      <w:r w:rsidR="00454032" w:rsidRPr="00BD1FDE">
        <w:rPr>
          <w:i/>
          <w:spacing w:val="-3"/>
          <w:sz w:val="24"/>
          <w:szCs w:val="24"/>
        </w:rPr>
        <w:t xml:space="preserve"> </w:t>
      </w:r>
      <w:r w:rsidRPr="00BD1FDE">
        <w:rPr>
          <w:i/>
          <w:spacing w:val="-3"/>
          <w:sz w:val="24"/>
          <w:szCs w:val="24"/>
        </w:rPr>
        <w:t>P</w:t>
      </w:r>
      <w:r w:rsidR="00454032" w:rsidRPr="00BD1FDE">
        <w:rPr>
          <w:i/>
          <w:spacing w:val="-3"/>
          <w:sz w:val="24"/>
          <w:szCs w:val="24"/>
        </w:rPr>
        <w:t>ub. 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73245F">
        <w:rPr>
          <w:i/>
          <w:spacing w:val="-3"/>
          <w:sz w:val="24"/>
          <w:szCs w:val="24"/>
        </w:rPr>
        <w:t>Erie Resistor Corp. v. Unemployment Compensation Bd. of Review</w:t>
      </w:r>
      <w:r w:rsidRPr="00614336">
        <w:rPr>
          <w:spacing w:val="-3"/>
          <w:sz w:val="24"/>
          <w:szCs w:val="24"/>
        </w:rPr>
        <w:t>, 194 Pa.Super. 278, 166 A.2d 96</w:t>
      </w:r>
      <w:r>
        <w:rPr>
          <w:spacing w:val="-3"/>
          <w:sz w:val="24"/>
          <w:szCs w:val="24"/>
        </w:rPr>
        <w:t xml:space="preserve"> </w:t>
      </w:r>
      <w:r w:rsidRPr="00614336">
        <w:rPr>
          <w:spacing w:val="-3"/>
          <w:sz w:val="24"/>
          <w:szCs w:val="24"/>
        </w:rPr>
        <w:t xml:space="preserve">(1960); </w:t>
      </w:r>
      <w:r w:rsidRPr="0073245F">
        <w:rPr>
          <w:i/>
          <w:spacing w:val="-3"/>
          <w:sz w:val="24"/>
          <w:szCs w:val="24"/>
        </w:rPr>
        <w:t>Murphy v. Dep’t of Public Welfare, White Haven Center</w:t>
      </w:r>
      <w:r w:rsidRPr="00614336">
        <w:rPr>
          <w:spacing w:val="-3"/>
          <w:sz w:val="24"/>
          <w:szCs w:val="24"/>
        </w:rPr>
        <w:t>, 85 Pa.C</w:t>
      </w:r>
      <w:r w:rsidR="00454032">
        <w:rPr>
          <w:spacing w:val="-3"/>
          <w:sz w:val="24"/>
          <w:szCs w:val="24"/>
        </w:rPr>
        <w:t>mwlth</w:t>
      </w:r>
      <w:r w:rsidRPr="00614336">
        <w:rPr>
          <w:spacing w:val="-3"/>
          <w:sz w:val="24"/>
          <w:szCs w:val="24"/>
        </w:rPr>
        <w:t>. 23, 480 A.2d 382</w:t>
      </w:r>
      <w:r>
        <w:rPr>
          <w:spacing w:val="-3"/>
          <w:sz w:val="24"/>
          <w:szCs w:val="24"/>
        </w:rPr>
        <w:t xml:space="preserve"> </w:t>
      </w:r>
      <w:r w:rsidRPr="00614336">
        <w:rPr>
          <w:spacing w:val="-3"/>
          <w:sz w:val="24"/>
          <w:szCs w:val="24"/>
        </w:rPr>
        <w:t>(1984).</w:t>
      </w:r>
    </w:p>
    <w:p w:rsidR="00410CE6" w:rsidRDefault="00410CE6" w:rsidP="00922E9B">
      <w:pPr>
        <w:tabs>
          <w:tab w:val="left" w:pos="-1440"/>
          <w:tab w:val="left" w:pos="-720"/>
        </w:tabs>
        <w:suppressAutoHyphens/>
        <w:spacing w:line="360" w:lineRule="auto"/>
        <w:ind w:firstLine="1440"/>
        <w:rPr>
          <w:spacing w:val="-3"/>
          <w:sz w:val="24"/>
          <w:szCs w:val="24"/>
        </w:rPr>
      </w:pPr>
    </w:p>
    <w:p w:rsidR="00410CE6" w:rsidRDefault="00410CE6" w:rsidP="00410CE6">
      <w:pPr>
        <w:tabs>
          <w:tab w:val="left" w:pos="-1440"/>
          <w:tab w:val="left" w:pos="-720"/>
        </w:tabs>
        <w:suppressAutoHyphens/>
        <w:spacing w:line="360" w:lineRule="auto"/>
        <w:rPr>
          <w:spacing w:val="-3"/>
          <w:sz w:val="24"/>
          <w:szCs w:val="24"/>
        </w:rPr>
      </w:pPr>
      <w:r w:rsidRPr="00410CE6">
        <w:rPr>
          <w:spacing w:val="-3"/>
          <w:sz w:val="24"/>
          <w:szCs w:val="24"/>
          <w:u w:val="single"/>
        </w:rPr>
        <w:t>Payment Arrangement</w:t>
      </w:r>
      <w:r>
        <w:rPr>
          <w:spacing w:val="-3"/>
          <w:sz w:val="24"/>
          <w:szCs w:val="24"/>
        </w:rPr>
        <w:t xml:space="preserve">: </w:t>
      </w:r>
    </w:p>
    <w:p w:rsidR="006451C3" w:rsidRDefault="006451C3" w:rsidP="00410CE6">
      <w:pPr>
        <w:tabs>
          <w:tab w:val="left" w:pos="-1440"/>
          <w:tab w:val="left" w:pos="-720"/>
        </w:tabs>
        <w:suppressAutoHyphens/>
        <w:spacing w:line="360" w:lineRule="auto"/>
        <w:rPr>
          <w:spacing w:val="-3"/>
          <w:sz w:val="24"/>
          <w:szCs w:val="24"/>
        </w:rPr>
      </w:pPr>
    </w:p>
    <w:p w:rsidR="006451C3" w:rsidRDefault="006451C3" w:rsidP="006451C3">
      <w:pPr>
        <w:tabs>
          <w:tab w:val="left" w:pos="-1440"/>
          <w:tab w:val="left" w:pos="-720"/>
        </w:tabs>
        <w:suppressAutoHyphens/>
        <w:spacing w:line="360" w:lineRule="auto"/>
        <w:ind w:firstLine="1440"/>
        <w:rPr>
          <w:spacing w:val="-3"/>
          <w:sz w:val="24"/>
          <w:szCs w:val="24"/>
        </w:rPr>
      </w:pPr>
      <w:r>
        <w:rPr>
          <w:spacing w:val="-3"/>
          <w:sz w:val="24"/>
          <w:szCs w:val="24"/>
        </w:rPr>
        <w:t>The Complainant has a very limited income of $504 for a household of three</w:t>
      </w:r>
      <w:r w:rsidR="00E85ABF">
        <w:rPr>
          <w:spacing w:val="-3"/>
          <w:sz w:val="24"/>
          <w:szCs w:val="24"/>
        </w:rPr>
        <w:t>, plus $501 in food stamps</w:t>
      </w:r>
      <w:r w:rsidR="00193B25">
        <w:rPr>
          <w:spacing w:val="-3"/>
          <w:sz w:val="24"/>
          <w:szCs w:val="24"/>
        </w:rPr>
        <w:t xml:space="preserve"> for a total gross monthly income of $1,005.</w:t>
      </w:r>
      <w:r>
        <w:rPr>
          <w:spacing w:val="-3"/>
          <w:sz w:val="24"/>
          <w:szCs w:val="24"/>
        </w:rPr>
        <w:t xml:space="preserve">  She is less than 100 % of the Federal poverty level guidelines.  The Complainant has not made a payment against her past due bill with UGI since September 2015 when she made a payment of $165.  </w:t>
      </w:r>
      <w:r w:rsidR="008F5A0F">
        <w:rPr>
          <w:spacing w:val="-3"/>
          <w:sz w:val="24"/>
          <w:szCs w:val="24"/>
        </w:rPr>
        <w:t xml:space="preserve">She made only four payments against her bill in 2015.  In contrast, the Complainant made eleven payments in 2014.  </w:t>
      </w:r>
      <w:r>
        <w:rPr>
          <w:spacing w:val="-3"/>
          <w:sz w:val="24"/>
          <w:szCs w:val="24"/>
        </w:rPr>
        <w:t>Her past due arrearage is $570.95 as of the time of the hearing.</w:t>
      </w:r>
    </w:p>
    <w:p w:rsidR="00E67FF6" w:rsidRDefault="00E67FF6" w:rsidP="006451C3">
      <w:pPr>
        <w:tabs>
          <w:tab w:val="left" w:pos="-1440"/>
          <w:tab w:val="left" w:pos="-720"/>
        </w:tabs>
        <w:suppressAutoHyphens/>
        <w:spacing w:line="360" w:lineRule="auto"/>
        <w:ind w:firstLine="1440"/>
        <w:rPr>
          <w:spacing w:val="-3"/>
          <w:sz w:val="24"/>
          <w:szCs w:val="24"/>
        </w:rPr>
      </w:pPr>
    </w:p>
    <w:p w:rsidR="00E67FF6" w:rsidRDefault="00E67FF6" w:rsidP="006451C3">
      <w:pPr>
        <w:tabs>
          <w:tab w:val="left" w:pos="-1440"/>
          <w:tab w:val="left" w:pos="-720"/>
        </w:tabs>
        <w:suppressAutoHyphens/>
        <w:spacing w:line="360" w:lineRule="auto"/>
        <w:ind w:firstLine="1440"/>
        <w:rPr>
          <w:spacing w:val="-3"/>
          <w:sz w:val="24"/>
          <w:szCs w:val="24"/>
        </w:rPr>
      </w:pPr>
      <w:r>
        <w:rPr>
          <w:spacing w:val="-3"/>
          <w:sz w:val="24"/>
          <w:szCs w:val="24"/>
        </w:rPr>
        <w:t xml:space="preserve">On August 31, 2015, the Complainant entered into a payment arrangement with UGI.  UGI Exh. 2.  Neither UGI’s Exhibit nor testimony broke down the payment arrangement into monthly cost plus amount to be paid towards the Complainant’s arrearage.  The Exhibit simply states that the terms were $162 per month. </w:t>
      </w:r>
      <w:r w:rsidR="00E85ABF">
        <w:rPr>
          <w:spacing w:val="-3"/>
          <w:sz w:val="24"/>
          <w:szCs w:val="24"/>
        </w:rPr>
        <w:t xml:space="preserve"> The Complainant defaulted on that arrangement.</w:t>
      </w:r>
    </w:p>
    <w:p w:rsidR="006451C3" w:rsidRDefault="006451C3" w:rsidP="006451C3">
      <w:pPr>
        <w:tabs>
          <w:tab w:val="left" w:pos="-1440"/>
          <w:tab w:val="left" w:pos="-720"/>
        </w:tabs>
        <w:suppressAutoHyphens/>
        <w:spacing w:line="360" w:lineRule="auto"/>
        <w:ind w:firstLine="1440"/>
        <w:rPr>
          <w:spacing w:val="-3"/>
          <w:sz w:val="24"/>
          <w:szCs w:val="24"/>
        </w:rPr>
      </w:pPr>
    </w:p>
    <w:p w:rsidR="006451C3" w:rsidRDefault="006451C3" w:rsidP="006451C3">
      <w:pPr>
        <w:pStyle w:val="BodyText"/>
        <w:spacing w:after="0" w:line="360" w:lineRule="auto"/>
        <w:ind w:firstLine="1440"/>
        <w:rPr>
          <w:sz w:val="24"/>
          <w:szCs w:val="24"/>
        </w:rPr>
      </w:pPr>
      <w:r>
        <w:rPr>
          <w:sz w:val="24"/>
          <w:szCs w:val="24"/>
        </w:rPr>
        <w:t>In whatever way</w:t>
      </w:r>
      <w:r w:rsidRPr="00D65444">
        <w:rPr>
          <w:sz w:val="24"/>
          <w:szCs w:val="24"/>
        </w:rPr>
        <w:t xml:space="preserve"> the Complainant </w:t>
      </w:r>
      <w:r>
        <w:rPr>
          <w:sz w:val="24"/>
          <w:szCs w:val="24"/>
        </w:rPr>
        <w:t xml:space="preserve">configures her household budget, she </w:t>
      </w:r>
      <w:r w:rsidRPr="00D65444">
        <w:rPr>
          <w:sz w:val="24"/>
          <w:szCs w:val="24"/>
        </w:rPr>
        <w:t xml:space="preserve">will have to pay </w:t>
      </w:r>
      <w:r>
        <w:rPr>
          <w:sz w:val="24"/>
          <w:szCs w:val="24"/>
        </w:rPr>
        <w:t>UGI</w:t>
      </w:r>
      <w:r w:rsidRPr="00D65444">
        <w:rPr>
          <w:sz w:val="24"/>
          <w:szCs w:val="24"/>
        </w:rPr>
        <w:t xml:space="preserve"> for the service </w:t>
      </w:r>
      <w:r>
        <w:rPr>
          <w:sz w:val="24"/>
          <w:szCs w:val="24"/>
        </w:rPr>
        <w:t>s</w:t>
      </w:r>
      <w:r w:rsidRPr="00D65444">
        <w:rPr>
          <w:sz w:val="24"/>
          <w:szCs w:val="24"/>
        </w:rPr>
        <w:t>he consumes.  By law, a public utility is entitled to receive payment for the service it provides</w:t>
      </w:r>
      <w:r w:rsidRPr="00E87670">
        <w:rPr>
          <w:i/>
          <w:sz w:val="24"/>
          <w:szCs w:val="24"/>
        </w:rPr>
        <w:t>.  Scaccia v. West Penn Power Company</w:t>
      </w:r>
      <w:r>
        <w:rPr>
          <w:sz w:val="24"/>
          <w:szCs w:val="24"/>
        </w:rPr>
        <w:t xml:space="preserve">, 55 Pa. PUC 637 (1982).  Otherwise, unpaid bills are included in the utility’s uncollectible expenses, which all of its remaining customers must pay.  </w:t>
      </w:r>
      <w:r w:rsidRPr="00E87670">
        <w:rPr>
          <w:i/>
          <w:sz w:val="24"/>
          <w:szCs w:val="24"/>
        </w:rPr>
        <w:t>Bolt v. Duquesne Light Company</w:t>
      </w:r>
      <w:r>
        <w:rPr>
          <w:sz w:val="24"/>
          <w:szCs w:val="24"/>
        </w:rPr>
        <w:t>, Docket No. Z</w:t>
      </w:r>
      <w:r>
        <w:rPr>
          <w:sz w:val="24"/>
          <w:szCs w:val="24"/>
        </w:rPr>
        <w:noBreakHyphen/>
        <w:t>8712758 (Order entered April 8, 1988).</w:t>
      </w:r>
      <w:r w:rsidRPr="00D65444">
        <w:rPr>
          <w:sz w:val="24"/>
          <w:szCs w:val="24"/>
        </w:rPr>
        <w:t xml:space="preserve">  No public utility may receive a greater or lesser rate than the one set forth in its tariff on file with this Commission.  66 Pa.C.S. §</w:t>
      </w:r>
      <w:r>
        <w:rPr>
          <w:sz w:val="24"/>
          <w:szCs w:val="24"/>
        </w:rPr>
        <w:t> </w:t>
      </w:r>
      <w:r w:rsidRPr="00D65444">
        <w:rPr>
          <w:sz w:val="24"/>
          <w:szCs w:val="24"/>
        </w:rPr>
        <w:t>1303.  Neither may a public utility unreasonably discriminate for or against a particular customer by establishing a special rate for them.  66 Pa.C.S. §</w:t>
      </w:r>
      <w:r>
        <w:rPr>
          <w:sz w:val="24"/>
          <w:szCs w:val="24"/>
        </w:rPr>
        <w:t xml:space="preserve"> </w:t>
      </w:r>
      <w:r w:rsidRPr="00D65444">
        <w:rPr>
          <w:sz w:val="24"/>
          <w:szCs w:val="24"/>
        </w:rPr>
        <w:t xml:space="preserve">1304.  </w:t>
      </w:r>
      <w:r>
        <w:rPr>
          <w:sz w:val="24"/>
          <w:szCs w:val="24"/>
        </w:rPr>
        <w:t>Section 1406(a) states:</w:t>
      </w:r>
    </w:p>
    <w:p w:rsidR="006451C3" w:rsidRDefault="006451C3" w:rsidP="006451C3">
      <w:pPr>
        <w:pStyle w:val="BodyText"/>
        <w:spacing w:after="0" w:line="360" w:lineRule="auto"/>
        <w:ind w:firstLine="1440"/>
        <w:rPr>
          <w:sz w:val="24"/>
          <w:szCs w:val="24"/>
        </w:rPr>
      </w:pPr>
    </w:p>
    <w:p w:rsidR="006451C3" w:rsidRDefault="006451C3" w:rsidP="006451C3">
      <w:pPr>
        <w:pStyle w:val="BodyText"/>
        <w:spacing w:line="360" w:lineRule="auto"/>
        <w:ind w:firstLine="1440"/>
        <w:rPr>
          <w:sz w:val="24"/>
          <w:szCs w:val="24"/>
        </w:rPr>
      </w:pPr>
      <w:r>
        <w:rPr>
          <w:sz w:val="24"/>
          <w:szCs w:val="24"/>
        </w:rPr>
        <w:t>“A public utility may notify a customer and terminate service provided to a customer after notice as provided in subsection (b) for any of the following actions by the customer:</w:t>
      </w:r>
    </w:p>
    <w:p w:rsidR="006451C3" w:rsidRDefault="006451C3" w:rsidP="006451C3">
      <w:pPr>
        <w:pStyle w:val="BodyText"/>
        <w:numPr>
          <w:ilvl w:val="0"/>
          <w:numId w:val="34"/>
        </w:numPr>
        <w:spacing w:line="360" w:lineRule="auto"/>
        <w:rPr>
          <w:sz w:val="24"/>
          <w:szCs w:val="24"/>
        </w:rPr>
      </w:pPr>
      <w:r>
        <w:rPr>
          <w:sz w:val="24"/>
          <w:szCs w:val="24"/>
        </w:rPr>
        <w:t>Nonpayment of an undisputed delinquent account.</w:t>
      </w:r>
    </w:p>
    <w:p w:rsidR="006451C3" w:rsidRDefault="006451C3" w:rsidP="006451C3">
      <w:pPr>
        <w:pStyle w:val="BodyText"/>
        <w:numPr>
          <w:ilvl w:val="0"/>
          <w:numId w:val="34"/>
        </w:numPr>
        <w:spacing w:line="360" w:lineRule="auto"/>
        <w:rPr>
          <w:sz w:val="24"/>
          <w:szCs w:val="24"/>
        </w:rPr>
      </w:pPr>
      <w:r>
        <w:rPr>
          <w:sz w:val="24"/>
          <w:szCs w:val="24"/>
        </w:rPr>
        <w:t>Failure to comply with the material terms of a payment arrangement.</w:t>
      </w:r>
    </w:p>
    <w:p w:rsidR="006451C3" w:rsidRDefault="006451C3" w:rsidP="006451C3">
      <w:pPr>
        <w:pStyle w:val="BodyText"/>
        <w:numPr>
          <w:ilvl w:val="0"/>
          <w:numId w:val="34"/>
        </w:numPr>
        <w:spacing w:line="360" w:lineRule="auto"/>
        <w:rPr>
          <w:sz w:val="24"/>
          <w:szCs w:val="24"/>
        </w:rPr>
      </w:pPr>
      <w:r>
        <w:rPr>
          <w:sz w:val="24"/>
          <w:szCs w:val="24"/>
        </w:rPr>
        <w:t>…</w:t>
      </w:r>
    </w:p>
    <w:p w:rsidR="006451C3" w:rsidRDefault="006451C3" w:rsidP="006451C3">
      <w:pPr>
        <w:pStyle w:val="BodyText"/>
        <w:numPr>
          <w:ilvl w:val="0"/>
          <w:numId w:val="34"/>
        </w:numPr>
        <w:spacing w:line="360" w:lineRule="auto"/>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p>
    <w:p w:rsidR="006451C3" w:rsidRDefault="006451C3" w:rsidP="006451C3">
      <w:pPr>
        <w:pStyle w:val="BodyText"/>
        <w:spacing w:after="0" w:line="360" w:lineRule="auto"/>
        <w:rPr>
          <w:sz w:val="24"/>
          <w:szCs w:val="24"/>
        </w:rPr>
      </w:pPr>
      <w:r>
        <w:rPr>
          <w:sz w:val="24"/>
          <w:szCs w:val="24"/>
        </w:rPr>
        <w:t>66 Pa.C.S. § 1406(a).</w:t>
      </w:r>
    </w:p>
    <w:p w:rsidR="006451C3" w:rsidRDefault="006451C3" w:rsidP="006451C3">
      <w:pPr>
        <w:pStyle w:val="BodyText"/>
        <w:spacing w:after="0" w:line="360" w:lineRule="auto"/>
        <w:rPr>
          <w:sz w:val="24"/>
          <w:szCs w:val="24"/>
        </w:rPr>
      </w:pPr>
    </w:p>
    <w:p w:rsidR="008F5A0F" w:rsidRDefault="006451C3" w:rsidP="001A0005">
      <w:pPr>
        <w:pStyle w:val="BodyText"/>
        <w:spacing w:line="360" w:lineRule="auto"/>
        <w:ind w:firstLine="1440"/>
        <w:rPr>
          <w:sz w:val="24"/>
          <w:szCs w:val="24"/>
        </w:rPr>
      </w:pPr>
      <w:r>
        <w:rPr>
          <w:sz w:val="24"/>
          <w:szCs w:val="24"/>
        </w:rPr>
        <w:t>In summary, the Complainant must make an effort to pay for her electric service and her arrearage each and every month.</w:t>
      </w:r>
      <w:r w:rsidR="00E85ABF">
        <w:rPr>
          <w:sz w:val="24"/>
          <w:szCs w:val="24"/>
        </w:rPr>
        <w:t xml:space="preserve">  The Complainant failed to prove that she was entitled</w:t>
      </w:r>
      <w:r w:rsidR="00473C4B">
        <w:rPr>
          <w:sz w:val="24"/>
          <w:szCs w:val="24"/>
        </w:rPr>
        <w:t xml:space="preserve"> to another payment arrangement, because she has not made a good faith effort to honor the paymen</w:t>
      </w:r>
      <w:r w:rsidR="002E23C7">
        <w:rPr>
          <w:sz w:val="24"/>
          <w:szCs w:val="24"/>
        </w:rPr>
        <w:t xml:space="preserve">t arrangement she made with UGI, or to make any </w:t>
      </w:r>
      <w:r w:rsidR="00CA1A7F">
        <w:rPr>
          <w:sz w:val="24"/>
          <w:szCs w:val="24"/>
        </w:rPr>
        <w:t xml:space="preserve">consistent </w:t>
      </w:r>
      <w:r w:rsidR="002E23C7">
        <w:rPr>
          <w:sz w:val="24"/>
          <w:szCs w:val="24"/>
        </w:rPr>
        <w:t>monthly payment</w:t>
      </w:r>
      <w:r w:rsidR="00CA1A7F">
        <w:rPr>
          <w:sz w:val="24"/>
          <w:szCs w:val="24"/>
        </w:rPr>
        <w:t>s</w:t>
      </w:r>
      <w:r w:rsidR="002E23C7">
        <w:rPr>
          <w:sz w:val="24"/>
          <w:szCs w:val="24"/>
        </w:rPr>
        <w:t xml:space="preserve"> towards her bill and arrearage.</w:t>
      </w:r>
      <w:r w:rsidR="00E85ABF">
        <w:rPr>
          <w:sz w:val="24"/>
          <w:szCs w:val="24"/>
        </w:rPr>
        <w:t xml:space="preserve">  </w:t>
      </w:r>
      <w:r w:rsidR="008F5A0F" w:rsidRPr="008F5A0F">
        <w:rPr>
          <w:i/>
          <w:sz w:val="24"/>
          <w:szCs w:val="24"/>
        </w:rPr>
        <w:t>Buchanan v. Pike County Light &amp; Power</w:t>
      </w:r>
      <w:r w:rsidR="006F2E40">
        <w:rPr>
          <w:sz w:val="24"/>
          <w:szCs w:val="24"/>
        </w:rPr>
        <w:t>, Docket No F-2009</w:t>
      </w:r>
      <w:r w:rsidR="008F5A0F">
        <w:rPr>
          <w:sz w:val="24"/>
          <w:szCs w:val="24"/>
        </w:rPr>
        <w:t xml:space="preserve">-2137873, Opinion and Order entered November 10, 2011.  </w:t>
      </w:r>
    </w:p>
    <w:p w:rsidR="008F5A0F" w:rsidRDefault="008F5A0F" w:rsidP="001A0005">
      <w:pPr>
        <w:pStyle w:val="BodyText"/>
        <w:spacing w:line="360" w:lineRule="auto"/>
        <w:ind w:firstLine="1440"/>
        <w:rPr>
          <w:sz w:val="24"/>
          <w:szCs w:val="24"/>
        </w:rPr>
      </w:pPr>
    </w:p>
    <w:p w:rsidR="0043591C" w:rsidRDefault="00CF45FC" w:rsidP="001A0005">
      <w:pPr>
        <w:pStyle w:val="BodyText"/>
        <w:spacing w:line="360" w:lineRule="auto"/>
        <w:ind w:firstLine="1440"/>
        <w:rPr>
          <w:sz w:val="24"/>
          <w:szCs w:val="24"/>
        </w:rPr>
      </w:pPr>
      <w:r>
        <w:rPr>
          <w:sz w:val="24"/>
          <w:szCs w:val="24"/>
        </w:rPr>
        <w:t>Additionally, t</w:t>
      </w:r>
      <w:r w:rsidR="006451C3">
        <w:rPr>
          <w:sz w:val="24"/>
          <w:szCs w:val="24"/>
        </w:rPr>
        <w:t>he Complainant was advised by both the undersigned and UGI to apply for UGI’s customer assistance program and LIHEAP.</w:t>
      </w:r>
      <w:r>
        <w:rPr>
          <w:sz w:val="24"/>
          <w:szCs w:val="24"/>
        </w:rPr>
        <w:t xml:space="preserve">  It was explained to Ms. Kush that the CAP, once approved, will provide a subsidy toward her monthly bill thus helping her meet the balance.  She is also likely eligible for a LIHEAP grant and was advised to make application on the second floor of this building (i.e., Scranton State Office Building) before she left the building on the day of the hearing.  Ms. Kush has at a minimum, two options to assist her with her monthly utility bill, but she must meet her responsibilities by applying</w:t>
      </w:r>
      <w:r w:rsidR="0043591C">
        <w:rPr>
          <w:sz w:val="24"/>
          <w:szCs w:val="24"/>
        </w:rPr>
        <w:t>.</w:t>
      </w:r>
    </w:p>
    <w:p w:rsidR="008E6D3A" w:rsidRDefault="0043591C" w:rsidP="00260D7E">
      <w:pPr>
        <w:pStyle w:val="BodyText"/>
        <w:spacing w:after="0" w:line="360" w:lineRule="auto"/>
        <w:ind w:firstLine="1440"/>
        <w:rPr>
          <w:sz w:val="24"/>
          <w:szCs w:val="24"/>
        </w:rPr>
      </w:pPr>
      <w:r>
        <w:rPr>
          <w:sz w:val="24"/>
          <w:szCs w:val="24"/>
        </w:rPr>
        <w:t xml:space="preserve"> </w:t>
      </w:r>
    </w:p>
    <w:p w:rsidR="008E6D3A" w:rsidRPr="00DC4452" w:rsidRDefault="008E6D3A" w:rsidP="001A0005">
      <w:pPr>
        <w:pStyle w:val="BodyText"/>
        <w:spacing w:line="360" w:lineRule="auto"/>
        <w:ind w:firstLine="1440"/>
        <w:rPr>
          <w:sz w:val="24"/>
          <w:szCs w:val="24"/>
          <w:u w:val="single"/>
        </w:rPr>
      </w:pPr>
      <w:r>
        <w:rPr>
          <w:sz w:val="24"/>
          <w:szCs w:val="24"/>
        </w:rPr>
        <w:t>Finally, the Complainant alleged a reliability, safety or quality problem with her service on her Formal Complaint but did not raise any such issue at hearing and thus failed to prove same.  Therefore, that issue is dismissed.</w:t>
      </w:r>
    </w:p>
    <w:p w:rsidR="00CB495C" w:rsidRPr="00DC4452" w:rsidRDefault="00CB495C" w:rsidP="00CB495C">
      <w:pPr>
        <w:jc w:val="center"/>
        <w:rPr>
          <w:sz w:val="24"/>
          <w:szCs w:val="24"/>
          <w:u w:val="single"/>
        </w:rPr>
      </w:pPr>
    </w:p>
    <w:p w:rsidR="00CB495C" w:rsidRDefault="00CB495C" w:rsidP="00260D7E">
      <w:pPr>
        <w:spacing w:line="360" w:lineRule="auto"/>
        <w:jc w:val="center"/>
        <w:rPr>
          <w:sz w:val="24"/>
          <w:szCs w:val="24"/>
          <w:u w:val="single"/>
        </w:rPr>
      </w:pPr>
      <w:r w:rsidRPr="00DC4452">
        <w:rPr>
          <w:sz w:val="24"/>
          <w:szCs w:val="24"/>
          <w:u w:val="single"/>
        </w:rPr>
        <w:t>CONCLUSIONS OF LAW</w:t>
      </w:r>
    </w:p>
    <w:p w:rsidR="001A0005" w:rsidRDefault="001A0005" w:rsidP="00260D7E">
      <w:pPr>
        <w:spacing w:line="360" w:lineRule="auto"/>
        <w:jc w:val="center"/>
        <w:rPr>
          <w:sz w:val="24"/>
          <w:szCs w:val="24"/>
          <w:u w:val="single"/>
        </w:rPr>
      </w:pPr>
    </w:p>
    <w:p w:rsidR="00491E59" w:rsidRDefault="00491E59"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Pr>
          <w:spacing w:val="-3"/>
          <w:sz w:val="24"/>
          <w:szCs w:val="24"/>
        </w:rPr>
        <w:t>The Commission has jurisdiction over the parties and subject matter of this Formal Complaint.  66 Pa.C.S. § 701.</w:t>
      </w:r>
    </w:p>
    <w:p w:rsidR="00491E59" w:rsidRPr="00491E59" w:rsidRDefault="00491E59" w:rsidP="00491E59">
      <w:pPr>
        <w:pStyle w:val="ListParagraph"/>
        <w:tabs>
          <w:tab w:val="left" w:pos="-1440"/>
          <w:tab w:val="left" w:pos="-720"/>
        </w:tabs>
        <w:suppressAutoHyphens/>
        <w:spacing w:line="360" w:lineRule="auto"/>
        <w:ind w:left="1440"/>
        <w:rPr>
          <w:spacing w:val="-3"/>
          <w:sz w:val="24"/>
          <w:szCs w:val="24"/>
        </w:rPr>
      </w:pPr>
    </w:p>
    <w:p w:rsidR="001A0005" w:rsidRPr="00E67FF6" w:rsidRDefault="001A0005"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sidRPr="001A0005">
        <w:rPr>
          <w:sz w:val="24"/>
          <w:szCs w:val="24"/>
        </w:rPr>
        <w:t>As the party seeking affirmative relief from the Commission, the Complainant bears the burden of proof.  66 Pa.C.S. § 332(a).</w:t>
      </w:r>
    </w:p>
    <w:p w:rsidR="001A0005" w:rsidRPr="00491E59" w:rsidRDefault="00E67FF6" w:rsidP="00491E59">
      <w:pPr>
        <w:pStyle w:val="ListParagraph"/>
        <w:tabs>
          <w:tab w:val="left" w:pos="-1440"/>
          <w:tab w:val="left" w:pos="-720"/>
        </w:tabs>
        <w:suppressAutoHyphens/>
        <w:spacing w:line="360" w:lineRule="auto"/>
        <w:ind w:left="1440"/>
        <w:rPr>
          <w:spacing w:val="-3"/>
          <w:sz w:val="24"/>
          <w:szCs w:val="24"/>
        </w:rPr>
      </w:pPr>
      <w:r>
        <w:rPr>
          <w:sz w:val="24"/>
          <w:szCs w:val="24"/>
        </w:rPr>
        <w:t xml:space="preserve"> </w:t>
      </w:r>
      <w:r w:rsidR="001A0005" w:rsidRPr="00491E59">
        <w:rPr>
          <w:sz w:val="24"/>
          <w:szCs w:val="24"/>
        </w:rPr>
        <w:t xml:space="preserve">  </w:t>
      </w:r>
    </w:p>
    <w:p w:rsidR="001A0005" w:rsidRDefault="001A0005"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sidRPr="001A0005">
        <w:rPr>
          <w:spacing w:val="-3"/>
          <w:sz w:val="24"/>
          <w:szCs w:val="24"/>
        </w:rPr>
        <w:t xml:space="preserve">To establish a sufficient case and satisfy the burden of proof, the Complainant must show that the Respondent public utility is responsible or accountable for the problem described in the Complaint.  </w:t>
      </w:r>
      <w:r w:rsidRPr="001A0005">
        <w:rPr>
          <w:i/>
          <w:spacing w:val="-3"/>
          <w:sz w:val="24"/>
          <w:szCs w:val="24"/>
        </w:rPr>
        <w:t>Patterson v. Bell Telephone Company of Pennsylvania</w:t>
      </w:r>
      <w:r w:rsidRPr="001A0005">
        <w:rPr>
          <w:spacing w:val="-3"/>
          <w:sz w:val="24"/>
          <w:szCs w:val="24"/>
        </w:rPr>
        <w:t xml:space="preserve">, 72 Pa. PUC 196 (1990), </w:t>
      </w:r>
      <w:r w:rsidRPr="001A0005">
        <w:rPr>
          <w:i/>
          <w:spacing w:val="-3"/>
          <w:sz w:val="24"/>
          <w:szCs w:val="24"/>
        </w:rPr>
        <w:t>Feinstein v. Philadelphia Suburban Water Company</w:t>
      </w:r>
      <w:r w:rsidRPr="001A0005">
        <w:rPr>
          <w:spacing w:val="-3"/>
          <w:sz w:val="24"/>
          <w:szCs w:val="24"/>
        </w:rPr>
        <w:t xml:space="preserve">, 50 Pa. PUC 300 (1976).  </w:t>
      </w:r>
    </w:p>
    <w:p w:rsidR="001A0005" w:rsidRPr="001A0005" w:rsidRDefault="001A0005" w:rsidP="00260D7E">
      <w:pPr>
        <w:pStyle w:val="ListParagraph"/>
        <w:spacing w:line="360" w:lineRule="auto"/>
        <w:rPr>
          <w:spacing w:val="-3"/>
          <w:sz w:val="24"/>
          <w:szCs w:val="24"/>
        </w:rPr>
      </w:pPr>
    </w:p>
    <w:p w:rsidR="001A0005" w:rsidRDefault="006D7C6B"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Pr>
          <w:spacing w:val="-3"/>
          <w:sz w:val="24"/>
          <w:szCs w:val="24"/>
        </w:rPr>
        <w:t>A</w:t>
      </w:r>
      <w:r w:rsidR="001A0005" w:rsidRPr="001A0005">
        <w:rPr>
          <w:spacing w:val="-3"/>
          <w:sz w:val="24"/>
          <w:szCs w:val="24"/>
        </w:rPr>
        <w:t xml:space="preserve"> showing must be by a preponderance of the evidence.  </w:t>
      </w:r>
      <w:r w:rsidR="001A0005" w:rsidRPr="001A0005">
        <w:rPr>
          <w:i/>
          <w:spacing w:val="-3"/>
          <w:sz w:val="24"/>
          <w:szCs w:val="24"/>
        </w:rPr>
        <w:t>Samuel J. Lansberry, Inc. v. Pa. P</w:t>
      </w:r>
      <w:r w:rsidR="00260D7E">
        <w:rPr>
          <w:i/>
          <w:spacing w:val="-3"/>
          <w:sz w:val="24"/>
          <w:szCs w:val="24"/>
        </w:rPr>
        <w:t>ub. Util. Comm’n</w:t>
      </w:r>
      <w:r w:rsidR="001A0005" w:rsidRPr="001A0005">
        <w:rPr>
          <w:spacing w:val="-3"/>
          <w:sz w:val="24"/>
          <w:szCs w:val="24"/>
        </w:rPr>
        <w:t>, 134 Pa.C</w:t>
      </w:r>
      <w:r w:rsidR="00260D7E">
        <w:rPr>
          <w:spacing w:val="-3"/>
          <w:sz w:val="24"/>
          <w:szCs w:val="24"/>
        </w:rPr>
        <w:t>mwlth</w:t>
      </w:r>
      <w:r w:rsidR="001A0005" w:rsidRPr="001A0005">
        <w:rPr>
          <w:spacing w:val="-3"/>
          <w:sz w:val="24"/>
          <w:szCs w:val="24"/>
        </w:rPr>
        <w:t xml:space="preserve">. 218; 221-222, 578 A.2d 600; 602 (1990), </w:t>
      </w:r>
      <w:r w:rsidR="001A0005" w:rsidRPr="001A0005">
        <w:rPr>
          <w:i/>
          <w:spacing w:val="-3"/>
          <w:sz w:val="24"/>
          <w:szCs w:val="24"/>
        </w:rPr>
        <w:t>alloc. den</w:t>
      </w:r>
      <w:r w:rsidR="001A0005" w:rsidRPr="001A0005">
        <w:rPr>
          <w:spacing w:val="-3"/>
          <w:sz w:val="24"/>
          <w:szCs w:val="24"/>
        </w:rPr>
        <w:t xml:space="preserve">., 602 A.2d 863 (1992).  </w:t>
      </w:r>
    </w:p>
    <w:p w:rsidR="001A0005" w:rsidRDefault="001A0005" w:rsidP="001A0005">
      <w:pPr>
        <w:pStyle w:val="ListParagraph"/>
        <w:tabs>
          <w:tab w:val="left" w:pos="-1440"/>
          <w:tab w:val="left" w:pos="-720"/>
        </w:tabs>
        <w:suppressAutoHyphens/>
        <w:spacing w:line="360" w:lineRule="auto"/>
        <w:ind w:left="1440"/>
        <w:rPr>
          <w:spacing w:val="-3"/>
          <w:sz w:val="24"/>
          <w:szCs w:val="24"/>
        </w:rPr>
      </w:pPr>
    </w:p>
    <w:p w:rsidR="001A0005" w:rsidRDefault="006D7C6B"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Pr>
          <w:spacing w:val="-3"/>
          <w:sz w:val="24"/>
          <w:szCs w:val="24"/>
        </w:rPr>
        <w:t>A</w:t>
      </w:r>
      <w:r w:rsidR="001A0005" w:rsidRPr="001A0005">
        <w:rPr>
          <w:spacing w:val="-3"/>
          <w:sz w:val="24"/>
          <w:szCs w:val="24"/>
        </w:rPr>
        <w:t xml:space="preserve"> party must present evidence more convincing, by even the smallest amount, than that presented by the other party.  </w:t>
      </w:r>
      <w:r w:rsidR="001A0005" w:rsidRPr="001A0005">
        <w:rPr>
          <w:i/>
          <w:spacing w:val="-3"/>
          <w:sz w:val="24"/>
          <w:szCs w:val="24"/>
        </w:rPr>
        <w:t>Se-Ling Hosiery v. Margulies</w:t>
      </w:r>
      <w:r w:rsidR="001A0005" w:rsidRPr="001A0005">
        <w:rPr>
          <w:spacing w:val="-3"/>
          <w:sz w:val="24"/>
          <w:szCs w:val="24"/>
        </w:rPr>
        <w:t xml:space="preserve">, 364 Pa. 45, 70 A.2d 854 (1950).  </w:t>
      </w:r>
    </w:p>
    <w:p w:rsidR="001A0005" w:rsidRPr="001A0005" w:rsidRDefault="001A0005" w:rsidP="001A0005">
      <w:pPr>
        <w:pStyle w:val="ListParagraph"/>
        <w:rPr>
          <w:spacing w:val="-3"/>
          <w:sz w:val="24"/>
          <w:szCs w:val="24"/>
        </w:rPr>
      </w:pPr>
    </w:p>
    <w:p w:rsidR="001A0005" w:rsidRDefault="006D7C6B"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Pr>
          <w:spacing w:val="-3"/>
          <w:sz w:val="24"/>
          <w:szCs w:val="24"/>
        </w:rPr>
        <w:t>A</w:t>
      </w:r>
      <w:r w:rsidR="001A0005" w:rsidRPr="001A0005">
        <w:rPr>
          <w:spacing w:val="-3"/>
          <w:sz w:val="24"/>
          <w:szCs w:val="24"/>
        </w:rPr>
        <w:t xml:space="preserve">ny finding of fact necessary to support the Commission’s adjudication must be based upon substantial evidence.  </w:t>
      </w:r>
      <w:r w:rsidR="001A0005" w:rsidRPr="001A0005">
        <w:rPr>
          <w:i/>
          <w:spacing w:val="-3"/>
          <w:sz w:val="24"/>
          <w:szCs w:val="24"/>
        </w:rPr>
        <w:t>Mill v. Pa.</w:t>
      </w:r>
      <w:r w:rsidR="00260D7E">
        <w:rPr>
          <w:i/>
          <w:spacing w:val="-3"/>
          <w:sz w:val="24"/>
          <w:szCs w:val="24"/>
        </w:rPr>
        <w:t xml:space="preserve"> </w:t>
      </w:r>
      <w:r w:rsidR="001A0005" w:rsidRPr="001A0005">
        <w:rPr>
          <w:i/>
          <w:spacing w:val="-3"/>
          <w:sz w:val="24"/>
          <w:szCs w:val="24"/>
        </w:rPr>
        <w:t>P</w:t>
      </w:r>
      <w:r w:rsidR="00260D7E">
        <w:rPr>
          <w:i/>
          <w:spacing w:val="-3"/>
          <w:sz w:val="24"/>
          <w:szCs w:val="24"/>
        </w:rPr>
        <w:t>ub. Util. Comm’n</w:t>
      </w:r>
      <w:r w:rsidR="001A0005" w:rsidRPr="001A0005">
        <w:rPr>
          <w:spacing w:val="-3"/>
          <w:sz w:val="24"/>
          <w:szCs w:val="24"/>
        </w:rPr>
        <w:t>,</w:t>
      </w:r>
      <w:r w:rsidR="00260D7E">
        <w:rPr>
          <w:spacing w:val="-3"/>
          <w:sz w:val="24"/>
          <w:szCs w:val="24"/>
        </w:rPr>
        <w:t xml:space="preserve"> </w:t>
      </w:r>
      <w:r w:rsidR="001A0005" w:rsidRPr="001A0005">
        <w:rPr>
          <w:spacing w:val="-3"/>
          <w:sz w:val="24"/>
          <w:szCs w:val="24"/>
        </w:rPr>
        <w:t>67 Pa.C</w:t>
      </w:r>
      <w:r w:rsidR="00260D7E">
        <w:rPr>
          <w:spacing w:val="-3"/>
          <w:sz w:val="24"/>
          <w:szCs w:val="24"/>
        </w:rPr>
        <w:t>mwlth</w:t>
      </w:r>
      <w:r w:rsidR="001A0005" w:rsidRPr="001A0005">
        <w:rPr>
          <w:spacing w:val="-3"/>
          <w:sz w:val="24"/>
          <w:szCs w:val="24"/>
        </w:rPr>
        <w:t>. 597, 447 A.2d 1100 (1982)</w:t>
      </w:r>
      <w:r w:rsidR="00CA1A7F">
        <w:rPr>
          <w:spacing w:val="-3"/>
          <w:sz w:val="24"/>
          <w:szCs w:val="24"/>
        </w:rPr>
        <w:t>,</w:t>
      </w:r>
      <w:r w:rsidR="001A0005" w:rsidRPr="001A0005">
        <w:rPr>
          <w:spacing w:val="-3"/>
          <w:sz w:val="24"/>
          <w:szCs w:val="24"/>
        </w:rPr>
        <w:t xml:space="preserve"> </w:t>
      </w:r>
      <w:r w:rsidR="001A0005" w:rsidRPr="001A0005">
        <w:rPr>
          <w:i/>
          <w:spacing w:val="-3"/>
          <w:sz w:val="24"/>
          <w:szCs w:val="24"/>
        </w:rPr>
        <w:t>Edan Transportation Corp. v. Pa. P</w:t>
      </w:r>
      <w:r w:rsidR="00260D7E">
        <w:rPr>
          <w:i/>
          <w:spacing w:val="-3"/>
          <w:sz w:val="24"/>
          <w:szCs w:val="24"/>
        </w:rPr>
        <w:t>ub. Util. Comm’n</w:t>
      </w:r>
      <w:r w:rsidR="001A0005" w:rsidRPr="001A0005">
        <w:rPr>
          <w:spacing w:val="-3"/>
          <w:sz w:val="24"/>
          <w:szCs w:val="24"/>
        </w:rPr>
        <w:t>, 154 Pa.C</w:t>
      </w:r>
      <w:r w:rsidR="00260D7E">
        <w:rPr>
          <w:spacing w:val="-3"/>
          <w:sz w:val="24"/>
          <w:szCs w:val="24"/>
        </w:rPr>
        <w:t>mwlth</w:t>
      </w:r>
      <w:r w:rsidR="001A0005" w:rsidRPr="001A0005">
        <w:rPr>
          <w:spacing w:val="-3"/>
          <w:sz w:val="24"/>
          <w:szCs w:val="24"/>
        </w:rPr>
        <w:t>. 21, 623 A.2d 6 (1993), 2 Pa.C.S. §</w:t>
      </w:r>
      <w:r w:rsidR="00260D7E">
        <w:rPr>
          <w:spacing w:val="-3"/>
          <w:sz w:val="24"/>
          <w:szCs w:val="24"/>
        </w:rPr>
        <w:t xml:space="preserve"> </w:t>
      </w:r>
      <w:r w:rsidR="001A0005" w:rsidRPr="001A0005">
        <w:rPr>
          <w:spacing w:val="-3"/>
          <w:sz w:val="24"/>
          <w:szCs w:val="24"/>
        </w:rPr>
        <w:t xml:space="preserve">704. </w:t>
      </w:r>
    </w:p>
    <w:p w:rsidR="001A0005" w:rsidRDefault="001A0005" w:rsidP="001A0005">
      <w:pPr>
        <w:pStyle w:val="ListParagraph"/>
        <w:tabs>
          <w:tab w:val="left" w:pos="-1440"/>
          <w:tab w:val="left" w:pos="-720"/>
        </w:tabs>
        <w:suppressAutoHyphens/>
        <w:spacing w:line="360" w:lineRule="auto"/>
        <w:ind w:left="1440"/>
        <w:rPr>
          <w:spacing w:val="-3"/>
          <w:sz w:val="24"/>
          <w:szCs w:val="24"/>
        </w:rPr>
      </w:pPr>
    </w:p>
    <w:p w:rsidR="001A0005" w:rsidRDefault="001A0005"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sidRPr="001A0005">
        <w:rPr>
          <w:spacing w:val="-3"/>
          <w:sz w:val="24"/>
          <w:szCs w:val="24"/>
        </w:rPr>
        <w:t>More is required than a mere trace of evidence or a suspicion of the existence of a fact sought to be established</w:t>
      </w:r>
      <w:r w:rsidRPr="001A0005">
        <w:rPr>
          <w:i/>
          <w:spacing w:val="-3"/>
          <w:sz w:val="24"/>
          <w:szCs w:val="24"/>
        </w:rPr>
        <w:t>.  Norfolk and Western Ry. v. Pa.</w:t>
      </w:r>
      <w:r w:rsidR="00260D7E">
        <w:rPr>
          <w:i/>
          <w:spacing w:val="-3"/>
          <w:sz w:val="24"/>
          <w:szCs w:val="24"/>
        </w:rPr>
        <w:t xml:space="preserve"> </w:t>
      </w:r>
      <w:r w:rsidRPr="001A0005">
        <w:rPr>
          <w:i/>
          <w:spacing w:val="-3"/>
          <w:sz w:val="24"/>
          <w:szCs w:val="24"/>
        </w:rPr>
        <w:t>P</w:t>
      </w:r>
      <w:r w:rsidR="00260D7E">
        <w:rPr>
          <w:i/>
          <w:spacing w:val="-3"/>
          <w:sz w:val="24"/>
          <w:szCs w:val="24"/>
        </w:rPr>
        <w:t>ub. Util. Comm’n</w:t>
      </w:r>
      <w:r w:rsidRPr="001A0005">
        <w:rPr>
          <w:spacing w:val="-3"/>
          <w:sz w:val="24"/>
          <w:szCs w:val="24"/>
        </w:rPr>
        <w:t xml:space="preserve">, 489 Pa. 109, 413 A.2d 1037 (1980); </w:t>
      </w:r>
      <w:r w:rsidRPr="001A0005">
        <w:rPr>
          <w:i/>
          <w:spacing w:val="-3"/>
          <w:sz w:val="24"/>
          <w:szCs w:val="24"/>
        </w:rPr>
        <w:t>Erie Resistor Corp. v. Unemployment Compensation Bd. of Review</w:t>
      </w:r>
      <w:r w:rsidRPr="001A0005">
        <w:rPr>
          <w:spacing w:val="-3"/>
          <w:sz w:val="24"/>
          <w:szCs w:val="24"/>
        </w:rPr>
        <w:t xml:space="preserve">, 194 Pa.Super. 278, 166 A.2d 96 (1960); </w:t>
      </w:r>
      <w:r w:rsidRPr="001A0005">
        <w:rPr>
          <w:i/>
          <w:spacing w:val="-3"/>
          <w:sz w:val="24"/>
          <w:szCs w:val="24"/>
        </w:rPr>
        <w:t>Murphy v. Dep’t of Public Welfare, White Haven Center</w:t>
      </w:r>
      <w:r w:rsidRPr="001A0005">
        <w:rPr>
          <w:spacing w:val="-3"/>
          <w:sz w:val="24"/>
          <w:szCs w:val="24"/>
        </w:rPr>
        <w:t>, 85 Pa.C</w:t>
      </w:r>
      <w:r w:rsidR="00260D7E">
        <w:rPr>
          <w:spacing w:val="-3"/>
          <w:sz w:val="24"/>
          <w:szCs w:val="24"/>
        </w:rPr>
        <w:t>mwlth</w:t>
      </w:r>
      <w:r w:rsidRPr="001A0005">
        <w:rPr>
          <w:spacing w:val="-3"/>
          <w:sz w:val="24"/>
          <w:szCs w:val="24"/>
        </w:rPr>
        <w:t>. 23, 480 A.2d 382 (1984).</w:t>
      </w:r>
    </w:p>
    <w:p w:rsidR="001A0005" w:rsidRPr="001A0005" w:rsidRDefault="001A0005" w:rsidP="001A0005">
      <w:pPr>
        <w:pStyle w:val="ListParagraph"/>
        <w:tabs>
          <w:tab w:val="left" w:pos="-1440"/>
          <w:tab w:val="left" w:pos="-720"/>
        </w:tabs>
        <w:suppressAutoHyphens/>
        <w:spacing w:line="360" w:lineRule="auto"/>
        <w:ind w:left="1440"/>
        <w:rPr>
          <w:spacing w:val="-3"/>
          <w:sz w:val="24"/>
          <w:szCs w:val="24"/>
        </w:rPr>
      </w:pPr>
    </w:p>
    <w:p w:rsidR="00491E59" w:rsidRDefault="00491E59" w:rsidP="00491E59">
      <w:pPr>
        <w:pStyle w:val="ListParagraph"/>
        <w:numPr>
          <w:ilvl w:val="0"/>
          <w:numId w:val="36"/>
        </w:numPr>
        <w:tabs>
          <w:tab w:val="left" w:pos="-1440"/>
          <w:tab w:val="left" w:pos="-720"/>
        </w:tabs>
        <w:suppressAutoHyphens/>
        <w:spacing w:line="360" w:lineRule="auto"/>
        <w:ind w:left="0" w:firstLine="1440"/>
        <w:rPr>
          <w:spacing w:val="-3"/>
          <w:sz w:val="24"/>
          <w:szCs w:val="24"/>
        </w:rPr>
      </w:pPr>
      <w:r>
        <w:rPr>
          <w:spacing w:val="-3"/>
          <w:sz w:val="24"/>
          <w:szCs w:val="24"/>
        </w:rPr>
        <w:t>The Complainant failed to prove that she was entitled to a lower payment arrangement and failed to prove any reliability, safety or quality problem with her utility service.</w:t>
      </w:r>
    </w:p>
    <w:p w:rsidR="00491E59" w:rsidRPr="00491E59" w:rsidRDefault="00491E59" w:rsidP="00491E59">
      <w:pPr>
        <w:pStyle w:val="ListParagraph"/>
        <w:rPr>
          <w:spacing w:val="-3"/>
          <w:sz w:val="24"/>
          <w:szCs w:val="24"/>
        </w:rPr>
      </w:pPr>
    </w:p>
    <w:p w:rsidR="001A0005" w:rsidRPr="001A0005" w:rsidRDefault="001A0005"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Pr>
          <w:sz w:val="24"/>
          <w:szCs w:val="24"/>
        </w:rPr>
        <w:t>A</w:t>
      </w:r>
      <w:r w:rsidRPr="00D65444">
        <w:rPr>
          <w:sz w:val="24"/>
          <w:szCs w:val="24"/>
        </w:rPr>
        <w:t xml:space="preserve"> public utility is entitled to receive payment for the service it provides</w:t>
      </w:r>
      <w:r w:rsidRPr="00E87670">
        <w:rPr>
          <w:i/>
          <w:sz w:val="24"/>
          <w:szCs w:val="24"/>
        </w:rPr>
        <w:t>.  Scaccia v. West Penn Power Company</w:t>
      </w:r>
      <w:r>
        <w:rPr>
          <w:sz w:val="24"/>
          <w:szCs w:val="24"/>
        </w:rPr>
        <w:t xml:space="preserve">, 55 Pa. PUC 637 (1982). </w:t>
      </w:r>
    </w:p>
    <w:p w:rsidR="001A0005" w:rsidRPr="001A0005" w:rsidRDefault="001A0005" w:rsidP="001A0005">
      <w:pPr>
        <w:pStyle w:val="ListParagraph"/>
        <w:tabs>
          <w:tab w:val="left" w:pos="-1440"/>
          <w:tab w:val="left" w:pos="-720"/>
        </w:tabs>
        <w:suppressAutoHyphens/>
        <w:spacing w:line="360" w:lineRule="auto"/>
        <w:ind w:left="1440"/>
        <w:rPr>
          <w:spacing w:val="-3"/>
          <w:sz w:val="24"/>
          <w:szCs w:val="24"/>
        </w:rPr>
      </w:pPr>
    </w:p>
    <w:p w:rsidR="001A0005" w:rsidRPr="001A0005" w:rsidRDefault="001A0005"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Pr>
          <w:sz w:val="24"/>
          <w:szCs w:val="24"/>
        </w:rPr>
        <w:t xml:space="preserve">Unpaid bills are included in the utility’s uncollectible expenses, which all of its remaining customers must pay.  </w:t>
      </w:r>
      <w:r w:rsidRPr="00E87670">
        <w:rPr>
          <w:i/>
          <w:sz w:val="24"/>
          <w:szCs w:val="24"/>
        </w:rPr>
        <w:t>Bolt v. Duquesne Light Company</w:t>
      </w:r>
      <w:r>
        <w:rPr>
          <w:sz w:val="24"/>
          <w:szCs w:val="24"/>
        </w:rPr>
        <w:t>, Docket No. Z</w:t>
      </w:r>
      <w:r>
        <w:rPr>
          <w:sz w:val="24"/>
          <w:szCs w:val="24"/>
        </w:rPr>
        <w:noBreakHyphen/>
        <w:t>8712758 (Order entered April 8, 1988).</w:t>
      </w:r>
      <w:r w:rsidRPr="00D65444">
        <w:rPr>
          <w:sz w:val="24"/>
          <w:szCs w:val="24"/>
        </w:rPr>
        <w:t xml:space="preserve">  </w:t>
      </w:r>
    </w:p>
    <w:p w:rsidR="001A0005" w:rsidRPr="001A0005" w:rsidRDefault="001A0005" w:rsidP="001A0005">
      <w:pPr>
        <w:pStyle w:val="ListParagraph"/>
        <w:tabs>
          <w:tab w:val="left" w:pos="-1440"/>
          <w:tab w:val="left" w:pos="-720"/>
        </w:tabs>
        <w:suppressAutoHyphens/>
        <w:spacing w:line="360" w:lineRule="auto"/>
        <w:ind w:left="1440"/>
        <w:rPr>
          <w:spacing w:val="-3"/>
          <w:sz w:val="24"/>
          <w:szCs w:val="24"/>
        </w:rPr>
      </w:pPr>
    </w:p>
    <w:p w:rsidR="001A0005" w:rsidRPr="001A0005" w:rsidRDefault="001A0005"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sidRPr="00D65444">
        <w:rPr>
          <w:sz w:val="24"/>
          <w:szCs w:val="24"/>
        </w:rPr>
        <w:t>No public utility may receive a greater or lesser rate than the one set forth in its tariff on file with this Commission.  66 Pa.C.S. §</w:t>
      </w:r>
      <w:r>
        <w:rPr>
          <w:sz w:val="24"/>
          <w:szCs w:val="24"/>
        </w:rPr>
        <w:t> </w:t>
      </w:r>
      <w:r w:rsidRPr="00D65444">
        <w:rPr>
          <w:sz w:val="24"/>
          <w:szCs w:val="24"/>
        </w:rPr>
        <w:t xml:space="preserve">1303. </w:t>
      </w:r>
    </w:p>
    <w:p w:rsidR="001A0005" w:rsidRPr="001A0005" w:rsidRDefault="001A0005" w:rsidP="001A0005">
      <w:pPr>
        <w:pStyle w:val="ListParagraph"/>
        <w:tabs>
          <w:tab w:val="left" w:pos="-1440"/>
          <w:tab w:val="left" w:pos="-720"/>
        </w:tabs>
        <w:suppressAutoHyphens/>
        <w:spacing w:line="360" w:lineRule="auto"/>
        <w:ind w:left="1440"/>
        <w:rPr>
          <w:spacing w:val="-3"/>
          <w:sz w:val="24"/>
          <w:szCs w:val="24"/>
        </w:rPr>
      </w:pPr>
    </w:p>
    <w:p w:rsidR="001A0005" w:rsidRPr="001A0005" w:rsidRDefault="001A0005" w:rsidP="001A0005">
      <w:pPr>
        <w:pStyle w:val="ListParagraph"/>
        <w:numPr>
          <w:ilvl w:val="0"/>
          <w:numId w:val="36"/>
        </w:numPr>
        <w:tabs>
          <w:tab w:val="left" w:pos="-1440"/>
          <w:tab w:val="left" w:pos="-720"/>
        </w:tabs>
        <w:suppressAutoHyphens/>
        <w:spacing w:line="360" w:lineRule="auto"/>
        <w:ind w:left="0" w:firstLine="1440"/>
        <w:rPr>
          <w:spacing w:val="-3"/>
          <w:sz w:val="24"/>
          <w:szCs w:val="24"/>
        </w:rPr>
      </w:pPr>
      <w:r w:rsidRPr="00D65444">
        <w:rPr>
          <w:sz w:val="24"/>
          <w:szCs w:val="24"/>
        </w:rPr>
        <w:t>Neither may a public utility unreasonably discriminate for or against a particular customer by establishing a special rate for them.  66 Pa.C.S. §</w:t>
      </w:r>
      <w:r>
        <w:rPr>
          <w:sz w:val="24"/>
          <w:szCs w:val="24"/>
        </w:rPr>
        <w:t xml:space="preserve"> </w:t>
      </w:r>
      <w:r w:rsidRPr="00D65444">
        <w:rPr>
          <w:sz w:val="24"/>
          <w:szCs w:val="24"/>
        </w:rPr>
        <w:t xml:space="preserve">1304.  </w:t>
      </w:r>
    </w:p>
    <w:p w:rsidR="001A0005" w:rsidRDefault="001A0005" w:rsidP="001A0005">
      <w:pPr>
        <w:pStyle w:val="BodyText"/>
        <w:spacing w:after="0" w:line="360" w:lineRule="auto"/>
        <w:ind w:left="1440"/>
        <w:rPr>
          <w:sz w:val="24"/>
          <w:szCs w:val="24"/>
        </w:rPr>
      </w:pPr>
    </w:p>
    <w:p w:rsidR="001A0005" w:rsidRPr="001A0005" w:rsidRDefault="001A0005" w:rsidP="001A0005">
      <w:pPr>
        <w:pStyle w:val="BodyText"/>
        <w:numPr>
          <w:ilvl w:val="0"/>
          <w:numId w:val="36"/>
        </w:numPr>
        <w:spacing w:after="0" w:line="360" w:lineRule="auto"/>
        <w:ind w:left="0" w:firstLine="1440"/>
        <w:rPr>
          <w:sz w:val="24"/>
          <w:szCs w:val="24"/>
        </w:rPr>
      </w:pPr>
      <w:r w:rsidRPr="001A0005">
        <w:rPr>
          <w:sz w:val="24"/>
          <w:szCs w:val="24"/>
        </w:rPr>
        <w:t>A public utility may notify a customer and terminate service provided to a customer after notice as provided in subsection (b) for any of the following actions by the customer:</w:t>
      </w:r>
    </w:p>
    <w:p w:rsidR="001A0005" w:rsidRDefault="001A0005" w:rsidP="001A0005">
      <w:pPr>
        <w:pStyle w:val="BodyText"/>
        <w:numPr>
          <w:ilvl w:val="0"/>
          <w:numId w:val="37"/>
        </w:numPr>
        <w:spacing w:line="360" w:lineRule="auto"/>
        <w:ind w:left="0" w:firstLine="1440"/>
        <w:rPr>
          <w:sz w:val="24"/>
          <w:szCs w:val="24"/>
        </w:rPr>
      </w:pPr>
      <w:r>
        <w:rPr>
          <w:sz w:val="24"/>
          <w:szCs w:val="24"/>
        </w:rPr>
        <w:t>Nonpayment of an undisputed delinquent account.</w:t>
      </w:r>
    </w:p>
    <w:p w:rsidR="001A0005" w:rsidRDefault="001A0005" w:rsidP="001A0005">
      <w:pPr>
        <w:pStyle w:val="BodyText"/>
        <w:numPr>
          <w:ilvl w:val="0"/>
          <w:numId w:val="37"/>
        </w:numPr>
        <w:spacing w:line="360" w:lineRule="auto"/>
        <w:ind w:left="0" w:firstLine="1440"/>
        <w:rPr>
          <w:sz w:val="24"/>
          <w:szCs w:val="24"/>
        </w:rPr>
      </w:pPr>
      <w:r>
        <w:rPr>
          <w:sz w:val="24"/>
          <w:szCs w:val="24"/>
        </w:rPr>
        <w:t>Failure to comply with the material terms of a payment arrangement.</w:t>
      </w:r>
    </w:p>
    <w:p w:rsidR="001A0005" w:rsidRPr="00052F67" w:rsidRDefault="001A0005" w:rsidP="00052F67">
      <w:pPr>
        <w:pStyle w:val="BodyText"/>
        <w:spacing w:after="0" w:line="360" w:lineRule="auto"/>
        <w:rPr>
          <w:sz w:val="24"/>
          <w:szCs w:val="24"/>
        </w:rPr>
      </w:pPr>
      <w:r w:rsidRPr="00052F67">
        <w:rPr>
          <w:sz w:val="24"/>
          <w:szCs w:val="24"/>
        </w:rPr>
        <w:t>66 Pa.C.S. § 1406(a).</w:t>
      </w:r>
    </w:p>
    <w:p w:rsidR="000511F0" w:rsidRDefault="000511F0" w:rsidP="000511F0">
      <w:pPr>
        <w:spacing w:line="360" w:lineRule="auto"/>
        <w:jc w:val="center"/>
        <w:rPr>
          <w:sz w:val="24"/>
          <w:szCs w:val="24"/>
          <w:u w:val="single"/>
        </w:rPr>
      </w:pPr>
    </w:p>
    <w:p w:rsidR="00CA1A7F" w:rsidRDefault="00CA1A7F" w:rsidP="000511F0">
      <w:pPr>
        <w:spacing w:line="360" w:lineRule="auto"/>
        <w:jc w:val="center"/>
        <w:rPr>
          <w:sz w:val="24"/>
          <w:szCs w:val="24"/>
          <w:u w:val="single"/>
        </w:rPr>
      </w:pPr>
    </w:p>
    <w:p w:rsidR="00CA1A7F" w:rsidRDefault="00CA1A7F" w:rsidP="000511F0">
      <w:pPr>
        <w:spacing w:line="360" w:lineRule="auto"/>
        <w:jc w:val="center"/>
        <w:rPr>
          <w:sz w:val="24"/>
          <w:szCs w:val="24"/>
          <w:u w:val="single"/>
        </w:rPr>
      </w:pPr>
    </w:p>
    <w:p w:rsidR="00CA1A7F" w:rsidRDefault="00CA1A7F" w:rsidP="000511F0">
      <w:pPr>
        <w:spacing w:line="360" w:lineRule="auto"/>
        <w:jc w:val="center"/>
        <w:rPr>
          <w:sz w:val="24"/>
          <w:szCs w:val="24"/>
          <w:u w:val="single"/>
        </w:rPr>
      </w:pPr>
    </w:p>
    <w:p w:rsidR="00CA1A7F" w:rsidRDefault="00CA1A7F" w:rsidP="000511F0">
      <w:pPr>
        <w:spacing w:line="360" w:lineRule="auto"/>
        <w:jc w:val="center"/>
        <w:rPr>
          <w:sz w:val="24"/>
          <w:szCs w:val="24"/>
          <w:u w:val="single"/>
        </w:rPr>
      </w:pPr>
    </w:p>
    <w:p w:rsidR="00CB495C" w:rsidRDefault="00CB495C" w:rsidP="000511F0">
      <w:pPr>
        <w:spacing w:line="360" w:lineRule="auto"/>
        <w:jc w:val="center"/>
        <w:rPr>
          <w:sz w:val="24"/>
          <w:szCs w:val="24"/>
          <w:u w:val="single"/>
        </w:rPr>
      </w:pPr>
      <w:r w:rsidRPr="00DC4452">
        <w:rPr>
          <w:sz w:val="24"/>
          <w:szCs w:val="24"/>
          <w:u w:val="single"/>
        </w:rPr>
        <w:t>ORDER</w:t>
      </w:r>
    </w:p>
    <w:p w:rsidR="00CA1A7F" w:rsidRDefault="00CA1A7F" w:rsidP="000511F0">
      <w:pPr>
        <w:spacing w:line="360" w:lineRule="auto"/>
        <w:jc w:val="center"/>
        <w:rPr>
          <w:sz w:val="24"/>
          <w:szCs w:val="24"/>
          <w:u w:val="single"/>
        </w:rPr>
      </w:pPr>
    </w:p>
    <w:p w:rsidR="00260D7E" w:rsidRPr="00DC4452" w:rsidRDefault="00260D7E" w:rsidP="00CA1A7F">
      <w:pPr>
        <w:spacing w:line="360" w:lineRule="auto"/>
        <w:jc w:val="center"/>
        <w:rPr>
          <w:sz w:val="24"/>
          <w:szCs w:val="24"/>
          <w:u w:val="single"/>
        </w:rPr>
      </w:pPr>
    </w:p>
    <w:p w:rsidR="00BE5F2D" w:rsidRDefault="00260D7E" w:rsidP="00BE5F2D">
      <w:pPr>
        <w:rPr>
          <w:sz w:val="24"/>
          <w:szCs w:val="24"/>
        </w:rPr>
      </w:pPr>
      <w:r>
        <w:rPr>
          <w:sz w:val="24"/>
          <w:szCs w:val="24"/>
        </w:rPr>
        <w:tab/>
      </w:r>
      <w:r>
        <w:rPr>
          <w:sz w:val="24"/>
          <w:szCs w:val="24"/>
        </w:rPr>
        <w:tab/>
      </w:r>
      <w:r w:rsidR="00BE5F2D">
        <w:rPr>
          <w:sz w:val="24"/>
          <w:szCs w:val="24"/>
        </w:rPr>
        <w:t>THEREFORE,</w:t>
      </w:r>
    </w:p>
    <w:p w:rsidR="00BE5F2D" w:rsidRDefault="00BE5F2D" w:rsidP="00260D7E">
      <w:pPr>
        <w:spacing w:line="360" w:lineRule="auto"/>
        <w:rPr>
          <w:sz w:val="24"/>
          <w:szCs w:val="24"/>
        </w:rPr>
      </w:pPr>
    </w:p>
    <w:p w:rsidR="00BE5F2D" w:rsidRPr="00BE5F2D" w:rsidRDefault="00260D7E" w:rsidP="00BE5F2D">
      <w:pPr>
        <w:rPr>
          <w:sz w:val="24"/>
          <w:szCs w:val="24"/>
        </w:rPr>
      </w:pPr>
      <w:r>
        <w:rPr>
          <w:sz w:val="24"/>
          <w:szCs w:val="24"/>
        </w:rPr>
        <w:tab/>
      </w:r>
      <w:r>
        <w:rPr>
          <w:sz w:val="24"/>
          <w:szCs w:val="24"/>
        </w:rPr>
        <w:tab/>
      </w:r>
      <w:r w:rsidR="00BE5F2D">
        <w:rPr>
          <w:sz w:val="24"/>
          <w:szCs w:val="24"/>
        </w:rPr>
        <w:t>IT IS ORDERED</w:t>
      </w:r>
      <w:r w:rsidR="005E78AE">
        <w:rPr>
          <w:sz w:val="24"/>
          <w:szCs w:val="24"/>
        </w:rPr>
        <w:t>:</w:t>
      </w:r>
    </w:p>
    <w:p w:rsidR="005C3634" w:rsidRDefault="005C3634" w:rsidP="00CB495C">
      <w:pPr>
        <w:jc w:val="center"/>
        <w:rPr>
          <w:sz w:val="24"/>
          <w:szCs w:val="24"/>
          <w:u w:val="single"/>
        </w:rPr>
      </w:pPr>
    </w:p>
    <w:p w:rsidR="001A0005" w:rsidRPr="001A0005" w:rsidRDefault="001A0005" w:rsidP="00CB495C">
      <w:pPr>
        <w:jc w:val="center"/>
        <w:rPr>
          <w:sz w:val="24"/>
          <w:szCs w:val="24"/>
        </w:rPr>
      </w:pPr>
    </w:p>
    <w:p w:rsidR="001A0005" w:rsidRDefault="001A0005" w:rsidP="00CF45FC">
      <w:pPr>
        <w:pStyle w:val="ListParagraph"/>
        <w:numPr>
          <w:ilvl w:val="0"/>
          <w:numId w:val="40"/>
        </w:numPr>
        <w:ind w:left="0" w:firstLine="1350"/>
        <w:rPr>
          <w:sz w:val="24"/>
          <w:szCs w:val="24"/>
        </w:rPr>
      </w:pPr>
      <w:r w:rsidRPr="001A0005">
        <w:rPr>
          <w:sz w:val="24"/>
          <w:szCs w:val="24"/>
        </w:rPr>
        <w:t xml:space="preserve">That the </w:t>
      </w:r>
      <w:r>
        <w:rPr>
          <w:sz w:val="24"/>
          <w:szCs w:val="24"/>
        </w:rPr>
        <w:t>Formal Complaint of Amy Kush is dismissed.</w:t>
      </w:r>
    </w:p>
    <w:p w:rsidR="00260D7E" w:rsidRDefault="00260D7E" w:rsidP="00260D7E">
      <w:pPr>
        <w:pStyle w:val="ListParagraph"/>
        <w:ind w:left="1350"/>
        <w:rPr>
          <w:sz w:val="24"/>
          <w:szCs w:val="24"/>
        </w:rPr>
      </w:pPr>
    </w:p>
    <w:p w:rsidR="001A0005" w:rsidRDefault="001A0005" w:rsidP="00CF45FC">
      <w:pPr>
        <w:pStyle w:val="ListParagraph"/>
        <w:ind w:left="0" w:firstLine="1350"/>
        <w:rPr>
          <w:sz w:val="24"/>
          <w:szCs w:val="24"/>
        </w:rPr>
      </w:pPr>
    </w:p>
    <w:p w:rsidR="00CF45FC" w:rsidRPr="00A46176" w:rsidRDefault="00CF45FC" w:rsidP="00CF45FC">
      <w:pPr>
        <w:pStyle w:val="ListParagraph"/>
        <w:numPr>
          <w:ilvl w:val="0"/>
          <w:numId w:val="40"/>
        </w:numPr>
        <w:spacing w:line="360" w:lineRule="auto"/>
        <w:ind w:left="0" w:firstLine="1350"/>
        <w:rPr>
          <w:sz w:val="24"/>
          <w:szCs w:val="24"/>
        </w:rPr>
      </w:pPr>
      <w:r>
        <w:rPr>
          <w:sz w:val="24"/>
          <w:szCs w:val="24"/>
        </w:rPr>
        <w:t>T</w:t>
      </w:r>
      <w:r w:rsidRPr="00A46176">
        <w:rPr>
          <w:sz w:val="24"/>
          <w:szCs w:val="24"/>
        </w:rPr>
        <w:t xml:space="preserve">hat the Secretary’s Bureau mark Docket No. </w:t>
      </w:r>
      <w:r>
        <w:rPr>
          <w:sz w:val="24"/>
          <w:szCs w:val="24"/>
        </w:rPr>
        <w:t>C</w:t>
      </w:r>
      <w:r w:rsidRPr="00A46176">
        <w:rPr>
          <w:sz w:val="24"/>
          <w:szCs w:val="24"/>
        </w:rPr>
        <w:t>-2015-250</w:t>
      </w:r>
      <w:r>
        <w:rPr>
          <w:sz w:val="24"/>
          <w:szCs w:val="24"/>
        </w:rPr>
        <w:t>2636</w:t>
      </w:r>
      <w:r w:rsidRPr="00A46176">
        <w:rPr>
          <w:sz w:val="24"/>
          <w:szCs w:val="24"/>
        </w:rPr>
        <w:t xml:space="preserve"> closed.</w:t>
      </w:r>
    </w:p>
    <w:p w:rsidR="00CF45FC" w:rsidRDefault="00CF45FC" w:rsidP="00CF45FC">
      <w:pPr>
        <w:spacing w:line="360" w:lineRule="auto"/>
        <w:ind w:firstLine="1350"/>
        <w:rPr>
          <w:sz w:val="24"/>
          <w:szCs w:val="24"/>
        </w:rPr>
      </w:pPr>
    </w:p>
    <w:p w:rsidR="00CF45FC" w:rsidRPr="00BE5F2D" w:rsidRDefault="00CF45FC" w:rsidP="00CF45FC">
      <w:pPr>
        <w:ind w:firstLine="1440"/>
        <w:rPr>
          <w:sz w:val="24"/>
          <w:szCs w:val="24"/>
        </w:rPr>
      </w:pPr>
    </w:p>
    <w:p w:rsidR="00BE5F2D" w:rsidRPr="00BE5F2D" w:rsidRDefault="00BE5F2D" w:rsidP="00BE5F2D">
      <w:pPr>
        <w:spacing w:line="360" w:lineRule="auto"/>
        <w:rPr>
          <w:sz w:val="24"/>
          <w:szCs w:val="24"/>
        </w:rPr>
      </w:pPr>
    </w:p>
    <w:p w:rsidR="0046007B" w:rsidRPr="0046007B" w:rsidRDefault="005C3634" w:rsidP="0046007B">
      <w:pPr>
        <w:rPr>
          <w:sz w:val="24"/>
          <w:szCs w:val="24"/>
        </w:rPr>
      </w:pPr>
      <w:r w:rsidRPr="00260D7E">
        <w:rPr>
          <w:sz w:val="24"/>
          <w:szCs w:val="24"/>
        </w:rPr>
        <w:t>Date</w:t>
      </w:r>
      <w:r w:rsidRPr="00471D57">
        <w:rPr>
          <w:sz w:val="24"/>
          <w:szCs w:val="24"/>
        </w:rPr>
        <w:t xml:space="preserve">: </w:t>
      </w:r>
      <w:r w:rsidR="00260D7E">
        <w:rPr>
          <w:sz w:val="24"/>
          <w:szCs w:val="24"/>
        </w:rPr>
        <w:t xml:space="preserve"> </w:t>
      </w:r>
      <w:r w:rsidR="00026C34" w:rsidRPr="00026C34">
        <w:rPr>
          <w:sz w:val="24"/>
          <w:szCs w:val="24"/>
          <w:u w:val="single"/>
        </w:rPr>
        <w:t>February 1, 2016</w:t>
      </w:r>
      <w:r>
        <w:rPr>
          <w:sz w:val="24"/>
          <w:szCs w:val="24"/>
        </w:rPr>
        <w:tab/>
      </w:r>
      <w:r>
        <w:rPr>
          <w:sz w:val="24"/>
          <w:szCs w:val="24"/>
        </w:rPr>
        <w:tab/>
      </w:r>
      <w:r>
        <w:rPr>
          <w:sz w:val="24"/>
          <w:szCs w:val="24"/>
        </w:rPr>
        <w:tab/>
      </w:r>
      <w:r w:rsidR="00DC4452">
        <w:rPr>
          <w:sz w:val="24"/>
          <w:szCs w:val="24"/>
        </w:rPr>
        <w:tab/>
      </w:r>
      <w:r w:rsidR="0046007B">
        <w:rPr>
          <w:u w:val="single"/>
        </w:rPr>
        <w:tab/>
      </w:r>
      <w:r w:rsidR="0046007B">
        <w:rPr>
          <w:u w:val="single"/>
        </w:rPr>
        <w:tab/>
      </w:r>
      <w:r w:rsidR="0046007B" w:rsidRPr="0046007B">
        <w:rPr>
          <w:sz w:val="24"/>
          <w:szCs w:val="24"/>
          <w:u w:val="single"/>
        </w:rPr>
        <w:t>/s/</w:t>
      </w:r>
      <w:r w:rsidR="0046007B" w:rsidRPr="0046007B">
        <w:rPr>
          <w:sz w:val="24"/>
          <w:szCs w:val="24"/>
          <w:u w:val="single"/>
        </w:rPr>
        <w:tab/>
      </w:r>
      <w:r w:rsidR="0046007B" w:rsidRPr="0046007B">
        <w:rPr>
          <w:sz w:val="24"/>
          <w:szCs w:val="24"/>
          <w:u w:val="single"/>
        </w:rPr>
        <w:tab/>
      </w:r>
      <w:r w:rsidR="0046007B" w:rsidRPr="0046007B">
        <w:rPr>
          <w:sz w:val="24"/>
          <w:szCs w:val="24"/>
          <w:u w:val="single"/>
        </w:rPr>
        <w:tab/>
      </w:r>
      <w:r w:rsidR="0046007B" w:rsidRPr="0046007B">
        <w:rPr>
          <w:sz w:val="24"/>
          <w:szCs w:val="24"/>
          <w:u w:val="single"/>
        </w:rPr>
        <w:tab/>
      </w:r>
    </w:p>
    <w:p w:rsidR="005C3634" w:rsidRPr="0046007B" w:rsidRDefault="005C3634" w:rsidP="005C3634">
      <w:pPr>
        <w:rPr>
          <w:sz w:val="24"/>
          <w:szCs w:val="24"/>
        </w:rPr>
      </w:pPr>
      <w:r w:rsidRPr="0046007B">
        <w:rPr>
          <w:sz w:val="24"/>
          <w:szCs w:val="24"/>
        </w:rPr>
        <w:tab/>
      </w:r>
      <w:r w:rsidRPr="0046007B">
        <w:rPr>
          <w:sz w:val="24"/>
          <w:szCs w:val="24"/>
        </w:rPr>
        <w:tab/>
      </w:r>
      <w:r w:rsidRPr="0046007B">
        <w:rPr>
          <w:sz w:val="24"/>
          <w:szCs w:val="24"/>
        </w:rPr>
        <w:tab/>
      </w:r>
      <w:r w:rsidRPr="0046007B">
        <w:rPr>
          <w:sz w:val="24"/>
          <w:szCs w:val="24"/>
        </w:rPr>
        <w:tab/>
      </w:r>
      <w:r w:rsidRPr="0046007B">
        <w:rPr>
          <w:sz w:val="24"/>
          <w:szCs w:val="24"/>
        </w:rPr>
        <w:tab/>
      </w:r>
      <w:r w:rsidRPr="0046007B">
        <w:rPr>
          <w:sz w:val="24"/>
          <w:szCs w:val="24"/>
        </w:rPr>
        <w:tab/>
      </w:r>
      <w:r w:rsidRPr="0046007B">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C3A" w:rsidRDefault="00C51C3A">
      <w:r>
        <w:separator/>
      </w:r>
    </w:p>
  </w:endnote>
  <w:endnote w:type="continuationSeparator" w:id="0">
    <w:p w:rsidR="00C51C3A" w:rsidRDefault="00C5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D26532">
      <w:rPr>
        <w:rStyle w:val="PageNumber"/>
        <w:noProof/>
        <w:sz w:val="20"/>
        <w:szCs w:val="20"/>
      </w:rPr>
      <w:t>8</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C3A" w:rsidRDefault="00C51C3A">
      <w:r>
        <w:separator/>
      </w:r>
    </w:p>
  </w:footnote>
  <w:footnote w:type="continuationSeparator" w:id="0">
    <w:p w:rsidR="00C51C3A" w:rsidRDefault="00C51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D20024"/>
    <w:multiLevelType w:val="hybridMultilevel"/>
    <w:tmpl w:val="156C25A8"/>
    <w:lvl w:ilvl="0" w:tplc="490013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AF6085"/>
    <w:multiLevelType w:val="hybridMultilevel"/>
    <w:tmpl w:val="1932F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4">
    <w:nsid w:val="4AB954D2"/>
    <w:multiLevelType w:val="hybridMultilevel"/>
    <w:tmpl w:val="6C322C9A"/>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CFD53D0"/>
    <w:multiLevelType w:val="hybridMultilevel"/>
    <w:tmpl w:val="E528DB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B1913FF"/>
    <w:multiLevelType w:val="hybridMultilevel"/>
    <w:tmpl w:val="F132AC5C"/>
    <w:lvl w:ilvl="0" w:tplc="58FADB32">
      <w:start w:val="1"/>
      <w:numFmt w:val="decimal"/>
      <w:lvlText w:val="(%1)"/>
      <w:lvlJc w:val="left"/>
      <w:pPr>
        <w:ind w:left="3225" w:hanging="178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648F039F"/>
    <w:multiLevelType w:val="hybridMultilevel"/>
    <w:tmpl w:val="17520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454D1"/>
    <w:multiLevelType w:val="hybridMultilevel"/>
    <w:tmpl w:val="9F3C56C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71AE7B01"/>
    <w:multiLevelType w:val="hybridMultilevel"/>
    <w:tmpl w:val="5190607E"/>
    <w:lvl w:ilvl="0" w:tplc="9F90C24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0"/>
  </w:num>
  <w:num w:numId="3">
    <w:abstractNumId w:val="23"/>
  </w:num>
  <w:num w:numId="4">
    <w:abstractNumId w:val="3"/>
  </w:num>
  <w:num w:numId="5">
    <w:abstractNumId w:val="19"/>
  </w:num>
  <w:num w:numId="6">
    <w:abstractNumId w:val="11"/>
  </w:num>
  <w:num w:numId="7">
    <w:abstractNumId w:val="8"/>
  </w:num>
  <w:num w:numId="8">
    <w:abstractNumId w:val="0"/>
  </w:num>
  <w:num w:numId="9">
    <w:abstractNumId w:val="20"/>
  </w:num>
  <w:num w:numId="10">
    <w:abstractNumId w:val="26"/>
  </w:num>
  <w:num w:numId="11">
    <w:abstractNumId w:val="22"/>
  </w:num>
  <w:num w:numId="12">
    <w:abstractNumId w:val="39"/>
  </w:num>
  <w:num w:numId="13">
    <w:abstractNumId w:val="1"/>
  </w:num>
  <w:num w:numId="14">
    <w:abstractNumId w:val="9"/>
  </w:num>
  <w:num w:numId="15">
    <w:abstractNumId w:val="31"/>
  </w:num>
  <w:num w:numId="16">
    <w:abstractNumId w:val="36"/>
  </w:num>
  <w:num w:numId="17">
    <w:abstractNumId w:val="14"/>
  </w:num>
  <w:num w:numId="18">
    <w:abstractNumId w:val="6"/>
  </w:num>
  <w:num w:numId="19">
    <w:abstractNumId w:val="27"/>
  </w:num>
  <w:num w:numId="20">
    <w:abstractNumId w:val="4"/>
  </w:num>
  <w:num w:numId="21">
    <w:abstractNumId w:val="7"/>
  </w:num>
  <w:num w:numId="22">
    <w:abstractNumId w:val="17"/>
  </w:num>
  <w:num w:numId="23">
    <w:abstractNumId w:val="18"/>
  </w:num>
  <w:num w:numId="24">
    <w:abstractNumId w:val="38"/>
  </w:num>
  <w:num w:numId="25">
    <w:abstractNumId w:val="35"/>
  </w:num>
  <w:num w:numId="26">
    <w:abstractNumId w:val="5"/>
  </w:num>
  <w:num w:numId="27">
    <w:abstractNumId w:val="21"/>
  </w:num>
  <w:num w:numId="28">
    <w:abstractNumId w:val="13"/>
  </w:num>
  <w:num w:numId="29">
    <w:abstractNumId w:val="16"/>
  </w:num>
  <w:num w:numId="30">
    <w:abstractNumId w:val="10"/>
  </w:num>
  <w:num w:numId="31">
    <w:abstractNumId w:val="37"/>
  </w:num>
  <w:num w:numId="32">
    <w:abstractNumId w:val="28"/>
  </w:num>
  <w:num w:numId="33">
    <w:abstractNumId w:val="32"/>
  </w:num>
  <w:num w:numId="34">
    <w:abstractNumId w:val="2"/>
  </w:num>
  <w:num w:numId="35">
    <w:abstractNumId w:val="29"/>
  </w:num>
  <w:num w:numId="36">
    <w:abstractNumId w:val="33"/>
  </w:num>
  <w:num w:numId="37">
    <w:abstractNumId w:val="25"/>
  </w:num>
  <w:num w:numId="38">
    <w:abstractNumId w:val="34"/>
  </w:num>
  <w:num w:numId="39">
    <w:abstractNumId w:val="2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3657"/>
    <w:rsid w:val="0002512E"/>
    <w:rsid w:val="00026C34"/>
    <w:rsid w:val="00034A86"/>
    <w:rsid w:val="00035C05"/>
    <w:rsid w:val="00035E78"/>
    <w:rsid w:val="000376EF"/>
    <w:rsid w:val="00042626"/>
    <w:rsid w:val="000511F0"/>
    <w:rsid w:val="00052F67"/>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EC6"/>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2720C"/>
    <w:rsid w:val="001312A6"/>
    <w:rsid w:val="00134E8D"/>
    <w:rsid w:val="001404C5"/>
    <w:rsid w:val="00141DF5"/>
    <w:rsid w:val="00143C49"/>
    <w:rsid w:val="00144488"/>
    <w:rsid w:val="00147DEE"/>
    <w:rsid w:val="00152C6B"/>
    <w:rsid w:val="0015646C"/>
    <w:rsid w:val="001620CA"/>
    <w:rsid w:val="00162898"/>
    <w:rsid w:val="00176F82"/>
    <w:rsid w:val="0018160C"/>
    <w:rsid w:val="0018281E"/>
    <w:rsid w:val="00187B87"/>
    <w:rsid w:val="001930DE"/>
    <w:rsid w:val="00193B25"/>
    <w:rsid w:val="00193B6C"/>
    <w:rsid w:val="001A0005"/>
    <w:rsid w:val="001A4CC0"/>
    <w:rsid w:val="001A721E"/>
    <w:rsid w:val="001B123C"/>
    <w:rsid w:val="001B3235"/>
    <w:rsid w:val="001C20B7"/>
    <w:rsid w:val="001C715B"/>
    <w:rsid w:val="001D3206"/>
    <w:rsid w:val="001D6FCF"/>
    <w:rsid w:val="001E2893"/>
    <w:rsid w:val="001E4FAC"/>
    <w:rsid w:val="001F0787"/>
    <w:rsid w:val="001F08B4"/>
    <w:rsid w:val="001F2116"/>
    <w:rsid w:val="001F3112"/>
    <w:rsid w:val="001F6FC1"/>
    <w:rsid w:val="001F7F73"/>
    <w:rsid w:val="0020095D"/>
    <w:rsid w:val="00200D69"/>
    <w:rsid w:val="00215221"/>
    <w:rsid w:val="00220C5E"/>
    <w:rsid w:val="00223E7E"/>
    <w:rsid w:val="00234619"/>
    <w:rsid w:val="0023520D"/>
    <w:rsid w:val="00235C44"/>
    <w:rsid w:val="00236FF7"/>
    <w:rsid w:val="002416AB"/>
    <w:rsid w:val="0024496F"/>
    <w:rsid w:val="00244D86"/>
    <w:rsid w:val="00251D19"/>
    <w:rsid w:val="0025370D"/>
    <w:rsid w:val="00260D19"/>
    <w:rsid w:val="00260D7E"/>
    <w:rsid w:val="002645E4"/>
    <w:rsid w:val="002732DC"/>
    <w:rsid w:val="0028114B"/>
    <w:rsid w:val="0028185A"/>
    <w:rsid w:val="00290918"/>
    <w:rsid w:val="002919C6"/>
    <w:rsid w:val="00293557"/>
    <w:rsid w:val="002959E3"/>
    <w:rsid w:val="002A7C1C"/>
    <w:rsid w:val="002B19D4"/>
    <w:rsid w:val="002B3489"/>
    <w:rsid w:val="002B4EAE"/>
    <w:rsid w:val="002C22A7"/>
    <w:rsid w:val="002C3FDE"/>
    <w:rsid w:val="002C486F"/>
    <w:rsid w:val="002D13C5"/>
    <w:rsid w:val="002D554B"/>
    <w:rsid w:val="002E0985"/>
    <w:rsid w:val="002E23C7"/>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11F9"/>
    <w:rsid w:val="003421E0"/>
    <w:rsid w:val="0034312D"/>
    <w:rsid w:val="00346E30"/>
    <w:rsid w:val="003539D2"/>
    <w:rsid w:val="00354E6F"/>
    <w:rsid w:val="0035737A"/>
    <w:rsid w:val="00364519"/>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7FF"/>
    <w:rsid w:val="003D7EC6"/>
    <w:rsid w:val="003E292B"/>
    <w:rsid w:val="003E594B"/>
    <w:rsid w:val="003F155A"/>
    <w:rsid w:val="003F5796"/>
    <w:rsid w:val="003F5965"/>
    <w:rsid w:val="003F69BF"/>
    <w:rsid w:val="00402359"/>
    <w:rsid w:val="004064A8"/>
    <w:rsid w:val="004107FD"/>
    <w:rsid w:val="00410CE6"/>
    <w:rsid w:val="00417087"/>
    <w:rsid w:val="0042160A"/>
    <w:rsid w:val="0042193A"/>
    <w:rsid w:val="00422E29"/>
    <w:rsid w:val="00424A76"/>
    <w:rsid w:val="00427E73"/>
    <w:rsid w:val="004312BE"/>
    <w:rsid w:val="00431BEF"/>
    <w:rsid w:val="0043591C"/>
    <w:rsid w:val="00441D0E"/>
    <w:rsid w:val="00442854"/>
    <w:rsid w:val="00453B16"/>
    <w:rsid w:val="00454032"/>
    <w:rsid w:val="0046007B"/>
    <w:rsid w:val="00460628"/>
    <w:rsid w:val="0046339D"/>
    <w:rsid w:val="00471D57"/>
    <w:rsid w:val="00473C4B"/>
    <w:rsid w:val="00476C8A"/>
    <w:rsid w:val="00486535"/>
    <w:rsid w:val="00490174"/>
    <w:rsid w:val="004917C1"/>
    <w:rsid w:val="00491C99"/>
    <w:rsid w:val="00491E59"/>
    <w:rsid w:val="00495450"/>
    <w:rsid w:val="00495B88"/>
    <w:rsid w:val="004A1805"/>
    <w:rsid w:val="004A5AD6"/>
    <w:rsid w:val="004A6135"/>
    <w:rsid w:val="004B1C08"/>
    <w:rsid w:val="004C2124"/>
    <w:rsid w:val="004C3EFA"/>
    <w:rsid w:val="004D1B54"/>
    <w:rsid w:val="004D3108"/>
    <w:rsid w:val="004D46FD"/>
    <w:rsid w:val="004D65F3"/>
    <w:rsid w:val="004E187E"/>
    <w:rsid w:val="004E20CB"/>
    <w:rsid w:val="004E2912"/>
    <w:rsid w:val="004E2B03"/>
    <w:rsid w:val="004E533F"/>
    <w:rsid w:val="004F2D3D"/>
    <w:rsid w:val="005032B5"/>
    <w:rsid w:val="00515937"/>
    <w:rsid w:val="00517AD1"/>
    <w:rsid w:val="00523780"/>
    <w:rsid w:val="00526B2A"/>
    <w:rsid w:val="00530D1B"/>
    <w:rsid w:val="00531226"/>
    <w:rsid w:val="00531409"/>
    <w:rsid w:val="005319E5"/>
    <w:rsid w:val="00535DF7"/>
    <w:rsid w:val="005362FD"/>
    <w:rsid w:val="00542107"/>
    <w:rsid w:val="00553EEB"/>
    <w:rsid w:val="00564C41"/>
    <w:rsid w:val="0056706A"/>
    <w:rsid w:val="00582896"/>
    <w:rsid w:val="00584798"/>
    <w:rsid w:val="0059070D"/>
    <w:rsid w:val="00592C86"/>
    <w:rsid w:val="005A33D0"/>
    <w:rsid w:val="005A7065"/>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6321"/>
    <w:rsid w:val="005E6C27"/>
    <w:rsid w:val="005E78AE"/>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1C3"/>
    <w:rsid w:val="00645B55"/>
    <w:rsid w:val="00652C21"/>
    <w:rsid w:val="0066237B"/>
    <w:rsid w:val="006656FC"/>
    <w:rsid w:val="00675607"/>
    <w:rsid w:val="00675986"/>
    <w:rsid w:val="00692119"/>
    <w:rsid w:val="00695694"/>
    <w:rsid w:val="00697ACA"/>
    <w:rsid w:val="006A21C2"/>
    <w:rsid w:val="006A3B47"/>
    <w:rsid w:val="006A7A0A"/>
    <w:rsid w:val="006C1047"/>
    <w:rsid w:val="006C3226"/>
    <w:rsid w:val="006D4BB7"/>
    <w:rsid w:val="006D75BD"/>
    <w:rsid w:val="006D7C6B"/>
    <w:rsid w:val="006E4407"/>
    <w:rsid w:val="006F2E40"/>
    <w:rsid w:val="006F44F9"/>
    <w:rsid w:val="007015FC"/>
    <w:rsid w:val="007114E7"/>
    <w:rsid w:val="0071588F"/>
    <w:rsid w:val="00724BCE"/>
    <w:rsid w:val="0073239A"/>
    <w:rsid w:val="0073727C"/>
    <w:rsid w:val="00744AF3"/>
    <w:rsid w:val="00747E56"/>
    <w:rsid w:val="00751672"/>
    <w:rsid w:val="0075510C"/>
    <w:rsid w:val="00766C8E"/>
    <w:rsid w:val="0077255F"/>
    <w:rsid w:val="00775593"/>
    <w:rsid w:val="00782837"/>
    <w:rsid w:val="00782A08"/>
    <w:rsid w:val="00786153"/>
    <w:rsid w:val="00790EF3"/>
    <w:rsid w:val="00791ABB"/>
    <w:rsid w:val="00792C70"/>
    <w:rsid w:val="007965B0"/>
    <w:rsid w:val="007A49B5"/>
    <w:rsid w:val="007B1672"/>
    <w:rsid w:val="007B1D2D"/>
    <w:rsid w:val="007B46F9"/>
    <w:rsid w:val="007B6CFE"/>
    <w:rsid w:val="007C36CE"/>
    <w:rsid w:val="007C74E3"/>
    <w:rsid w:val="007D323C"/>
    <w:rsid w:val="007D3E3E"/>
    <w:rsid w:val="007D6063"/>
    <w:rsid w:val="007E09E5"/>
    <w:rsid w:val="007E2768"/>
    <w:rsid w:val="007E31DB"/>
    <w:rsid w:val="007E7871"/>
    <w:rsid w:val="007F7235"/>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26E9"/>
    <w:rsid w:val="008746E1"/>
    <w:rsid w:val="00874F75"/>
    <w:rsid w:val="0087572C"/>
    <w:rsid w:val="008803F7"/>
    <w:rsid w:val="00881C76"/>
    <w:rsid w:val="0088763C"/>
    <w:rsid w:val="00893B0E"/>
    <w:rsid w:val="00893F0B"/>
    <w:rsid w:val="00894839"/>
    <w:rsid w:val="0089761B"/>
    <w:rsid w:val="008A0235"/>
    <w:rsid w:val="008A0C98"/>
    <w:rsid w:val="008A60E2"/>
    <w:rsid w:val="008B1A8B"/>
    <w:rsid w:val="008B282A"/>
    <w:rsid w:val="008B2B8B"/>
    <w:rsid w:val="008D6D09"/>
    <w:rsid w:val="008D761F"/>
    <w:rsid w:val="008E3BE1"/>
    <w:rsid w:val="008E5A53"/>
    <w:rsid w:val="008E6D3A"/>
    <w:rsid w:val="008F013A"/>
    <w:rsid w:val="008F22F9"/>
    <w:rsid w:val="008F554F"/>
    <w:rsid w:val="008F5A0F"/>
    <w:rsid w:val="008F6AC3"/>
    <w:rsid w:val="009077E3"/>
    <w:rsid w:val="00907E08"/>
    <w:rsid w:val="00910EF2"/>
    <w:rsid w:val="00913B17"/>
    <w:rsid w:val="009166DD"/>
    <w:rsid w:val="0091672D"/>
    <w:rsid w:val="00922E9B"/>
    <w:rsid w:val="00922FE6"/>
    <w:rsid w:val="0093170C"/>
    <w:rsid w:val="009342E4"/>
    <w:rsid w:val="009445E9"/>
    <w:rsid w:val="00947175"/>
    <w:rsid w:val="00957ED1"/>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44FC"/>
    <w:rsid w:val="009C22D0"/>
    <w:rsid w:val="009D5A08"/>
    <w:rsid w:val="009E69A1"/>
    <w:rsid w:val="009F24FB"/>
    <w:rsid w:val="009F34A2"/>
    <w:rsid w:val="009F4939"/>
    <w:rsid w:val="009F620C"/>
    <w:rsid w:val="009F7BD8"/>
    <w:rsid w:val="00A022C7"/>
    <w:rsid w:val="00A02D20"/>
    <w:rsid w:val="00A04A35"/>
    <w:rsid w:val="00A0627A"/>
    <w:rsid w:val="00A107BC"/>
    <w:rsid w:val="00A22653"/>
    <w:rsid w:val="00A23BC5"/>
    <w:rsid w:val="00A24F45"/>
    <w:rsid w:val="00A345AE"/>
    <w:rsid w:val="00A409B8"/>
    <w:rsid w:val="00A4383B"/>
    <w:rsid w:val="00A470ED"/>
    <w:rsid w:val="00A475EE"/>
    <w:rsid w:val="00A523A9"/>
    <w:rsid w:val="00A52E9C"/>
    <w:rsid w:val="00A60234"/>
    <w:rsid w:val="00A67786"/>
    <w:rsid w:val="00A67C1E"/>
    <w:rsid w:val="00A7050E"/>
    <w:rsid w:val="00A761ED"/>
    <w:rsid w:val="00A76B1D"/>
    <w:rsid w:val="00A86505"/>
    <w:rsid w:val="00AA00A9"/>
    <w:rsid w:val="00AA0438"/>
    <w:rsid w:val="00AA1DE2"/>
    <w:rsid w:val="00AA4154"/>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0C8C"/>
    <w:rsid w:val="00B23067"/>
    <w:rsid w:val="00B2590D"/>
    <w:rsid w:val="00B32E66"/>
    <w:rsid w:val="00B34848"/>
    <w:rsid w:val="00B40E21"/>
    <w:rsid w:val="00B41924"/>
    <w:rsid w:val="00B45676"/>
    <w:rsid w:val="00B45F71"/>
    <w:rsid w:val="00B5018B"/>
    <w:rsid w:val="00B57687"/>
    <w:rsid w:val="00B625D9"/>
    <w:rsid w:val="00B665D7"/>
    <w:rsid w:val="00B70860"/>
    <w:rsid w:val="00B71D02"/>
    <w:rsid w:val="00B75CC8"/>
    <w:rsid w:val="00B810E7"/>
    <w:rsid w:val="00B87994"/>
    <w:rsid w:val="00B922CF"/>
    <w:rsid w:val="00B94E3D"/>
    <w:rsid w:val="00BA47D2"/>
    <w:rsid w:val="00BA61F7"/>
    <w:rsid w:val="00BB3104"/>
    <w:rsid w:val="00BB352A"/>
    <w:rsid w:val="00BB7304"/>
    <w:rsid w:val="00BC2D8F"/>
    <w:rsid w:val="00BC2DE6"/>
    <w:rsid w:val="00BC7240"/>
    <w:rsid w:val="00BC7AF5"/>
    <w:rsid w:val="00BD1FDE"/>
    <w:rsid w:val="00BD42F1"/>
    <w:rsid w:val="00BE1D82"/>
    <w:rsid w:val="00BE5F2D"/>
    <w:rsid w:val="00BE6352"/>
    <w:rsid w:val="00BF5F04"/>
    <w:rsid w:val="00C02656"/>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400"/>
    <w:rsid w:val="00C477B5"/>
    <w:rsid w:val="00C51C3A"/>
    <w:rsid w:val="00C546D2"/>
    <w:rsid w:val="00C61510"/>
    <w:rsid w:val="00C61561"/>
    <w:rsid w:val="00C6634A"/>
    <w:rsid w:val="00C7068E"/>
    <w:rsid w:val="00C73912"/>
    <w:rsid w:val="00C769EE"/>
    <w:rsid w:val="00C86201"/>
    <w:rsid w:val="00C908AD"/>
    <w:rsid w:val="00C920E5"/>
    <w:rsid w:val="00C94BB9"/>
    <w:rsid w:val="00CA1A7F"/>
    <w:rsid w:val="00CA1E0E"/>
    <w:rsid w:val="00CA5BA3"/>
    <w:rsid w:val="00CB0D2B"/>
    <w:rsid w:val="00CB495C"/>
    <w:rsid w:val="00CB4F5E"/>
    <w:rsid w:val="00CB678C"/>
    <w:rsid w:val="00CB6A72"/>
    <w:rsid w:val="00CC247E"/>
    <w:rsid w:val="00CC3CC1"/>
    <w:rsid w:val="00CC49DA"/>
    <w:rsid w:val="00CC5E96"/>
    <w:rsid w:val="00CD47FF"/>
    <w:rsid w:val="00CD4A78"/>
    <w:rsid w:val="00CD6B6A"/>
    <w:rsid w:val="00CE43B4"/>
    <w:rsid w:val="00CE68C6"/>
    <w:rsid w:val="00CF3BB0"/>
    <w:rsid w:val="00CF45FC"/>
    <w:rsid w:val="00CF7138"/>
    <w:rsid w:val="00D02084"/>
    <w:rsid w:val="00D050DE"/>
    <w:rsid w:val="00D077EC"/>
    <w:rsid w:val="00D13B06"/>
    <w:rsid w:val="00D1728D"/>
    <w:rsid w:val="00D21BFC"/>
    <w:rsid w:val="00D21D55"/>
    <w:rsid w:val="00D21EF9"/>
    <w:rsid w:val="00D22F4A"/>
    <w:rsid w:val="00D23330"/>
    <w:rsid w:val="00D258E1"/>
    <w:rsid w:val="00D26532"/>
    <w:rsid w:val="00D32326"/>
    <w:rsid w:val="00D34B76"/>
    <w:rsid w:val="00D35F74"/>
    <w:rsid w:val="00D4029A"/>
    <w:rsid w:val="00D416A5"/>
    <w:rsid w:val="00D50C56"/>
    <w:rsid w:val="00D5488B"/>
    <w:rsid w:val="00D55074"/>
    <w:rsid w:val="00D55AA4"/>
    <w:rsid w:val="00D5720C"/>
    <w:rsid w:val="00D60E04"/>
    <w:rsid w:val="00D6261D"/>
    <w:rsid w:val="00D6598A"/>
    <w:rsid w:val="00D65F4B"/>
    <w:rsid w:val="00D671F6"/>
    <w:rsid w:val="00D67CA2"/>
    <w:rsid w:val="00D71653"/>
    <w:rsid w:val="00D72436"/>
    <w:rsid w:val="00D8063C"/>
    <w:rsid w:val="00D926F9"/>
    <w:rsid w:val="00D93182"/>
    <w:rsid w:val="00D961B5"/>
    <w:rsid w:val="00DA7FD6"/>
    <w:rsid w:val="00DB1328"/>
    <w:rsid w:val="00DB7EE0"/>
    <w:rsid w:val="00DC27A3"/>
    <w:rsid w:val="00DC4452"/>
    <w:rsid w:val="00DD2411"/>
    <w:rsid w:val="00DD3E7F"/>
    <w:rsid w:val="00DE0ECC"/>
    <w:rsid w:val="00DE1193"/>
    <w:rsid w:val="00DE2348"/>
    <w:rsid w:val="00DE3943"/>
    <w:rsid w:val="00DE562E"/>
    <w:rsid w:val="00DE6FB0"/>
    <w:rsid w:val="00DE77F8"/>
    <w:rsid w:val="00DF0138"/>
    <w:rsid w:val="00DF294A"/>
    <w:rsid w:val="00DF57F5"/>
    <w:rsid w:val="00E00EAF"/>
    <w:rsid w:val="00E0236A"/>
    <w:rsid w:val="00E11739"/>
    <w:rsid w:val="00E12F72"/>
    <w:rsid w:val="00E15A2D"/>
    <w:rsid w:val="00E15B2B"/>
    <w:rsid w:val="00E23F95"/>
    <w:rsid w:val="00E267A5"/>
    <w:rsid w:val="00E32DA2"/>
    <w:rsid w:val="00E33E98"/>
    <w:rsid w:val="00E35AC9"/>
    <w:rsid w:val="00E413A9"/>
    <w:rsid w:val="00E5003A"/>
    <w:rsid w:val="00E514FA"/>
    <w:rsid w:val="00E51D1F"/>
    <w:rsid w:val="00E52738"/>
    <w:rsid w:val="00E56529"/>
    <w:rsid w:val="00E6135C"/>
    <w:rsid w:val="00E659AC"/>
    <w:rsid w:val="00E66725"/>
    <w:rsid w:val="00E67591"/>
    <w:rsid w:val="00E67A2A"/>
    <w:rsid w:val="00E67FF6"/>
    <w:rsid w:val="00E728B0"/>
    <w:rsid w:val="00E75758"/>
    <w:rsid w:val="00E75BC0"/>
    <w:rsid w:val="00E83DE3"/>
    <w:rsid w:val="00E85ABF"/>
    <w:rsid w:val="00E85ECC"/>
    <w:rsid w:val="00E87C6E"/>
    <w:rsid w:val="00E9292D"/>
    <w:rsid w:val="00EA2B0E"/>
    <w:rsid w:val="00EA319E"/>
    <w:rsid w:val="00EA56F6"/>
    <w:rsid w:val="00EA77CE"/>
    <w:rsid w:val="00EB1948"/>
    <w:rsid w:val="00EB1DAB"/>
    <w:rsid w:val="00EB1EEE"/>
    <w:rsid w:val="00EC15BD"/>
    <w:rsid w:val="00EC38D5"/>
    <w:rsid w:val="00EC3A16"/>
    <w:rsid w:val="00EC41CE"/>
    <w:rsid w:val="00EC477B"/>
    <w:rsid w:val="00ED0F47"/>
    <w:rsid w:val="00ED33B9"/>
    <w:rsid w:val="00EE34BE"/>
    <w:rsid w:val="00EE7E40"/>
    <w:rsid w:val="00EF5747"/>
    <w:rsid w:val="00EF6C7F"/>
    <w:rsid w:val="00F14089"/>
    <w:rsid w:val="00F2180F"/>
    <w:rsid w:val="00F31732"/>
    <w:rsid w:val="00F31F04"/>
    <w:rsid w:val="00F327E2"/>
    <w:rsid w:val="00F34A38"/>
    <w:rsid w:val="00F3748E"/>
    <w:rsid w:val="00F375FF"/>
    <w:rsid w:val="00F4395C"/>
    <w:rsid w:val="00F50C2B"/>
    <w:rsid w:val="00F566E6"/>
    <w:rsid w:val="00F702DD"/>
    <w:rsid w:val="00F721A2"/>
    <w:rsid w:val="00F72B51"/>
    <w:rsid w:val="00F734B6"/>
    <w:rsid w:val="00F76C50"/>
    <w:rsid w:val="00F84427"/>
    <w:rsid w:val="00F85050"/>
    <w:rsid w:val="00F86303"/>
    <w:rsid w:val="00F95BD7"/>
    <w:rsid w:val="00FA1741"/>
    <w:rsid w:val="00FA2BEA"/>
    <w:rsid w:val="00FA53B2"/>
    <w:rsid w:val="00FA6242"/>
    <w:rsid w:val="00FA643C"/>
    <w:rsid w:val="00FA7894"/>
    <w:rsid w:val="00FC4DCA"/>
    <w:rsid w:val="00FC4DD1"/>
    <w:rsid w:val="00FD1DCC"/>
    <w:rsid w:val="00FD2E3D"/>
    <w:rsid w:val="00FE51AD"/>
    <w:rsid w:val="00FE5CAF"/>
    <w:rsid w:val="00FE6157"/>
    <w:rsid w:val="00FE74BE"/>
    <w:rsid w:val="00FF0B73"/>
    <w:rsid w:val="00FF160C"/>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068B1-CBE5-47D1-8F23-58A1F162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1685</Words>
  <Characters>9610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BEFORE THE</vt:lpstr>
      <vt:lpstr>BEFORE THE</vt:lpstr>
      <vt:lpstr>PENNSYLVANIA PUBLIC UTILITY COMMISSION</vt:lpstr>
      <vt:lpstr/>
      <vt:lpstr/>
      <vt:lpstr>Before</vt:lpstr>
    </vt:vector>
  </TitlesOfParts>
  <Company>Pa Public Utility Commission</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2012-06-12T18:27:00Z</cp:lastPrinted>
  <dcterms:created xsi:type="dcterms:W3CDTF">2016-02-16T20:16:00Z</dcterms:created>
  <dcterms:modified xsi:type="dcterms:W3CDTF">2016-02-16T20:16:00Z</dcterms:modified>
</cp:coreProperties>
</file>