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F60653" w:rsidP="00F60653">
      <w:pPr>
        <w:spacing w:line="240" w:lineRule="auto"/>
        <w:rPr>
          <w:b/>
        </w:rPr>
      </w:pPr>
      <w:bookmarkStart w:id="0" w:name="_GoBack"/>
      <w:bookmarkEnd w:id="0"/>
      <w:r>
        <w:rPr>
          <w:b/>
        </w:rPr>
        <w:t xml:space="preserve">BEFORE THE </w:t>
      </w:r>
    </w:p>
    <w:p w:rsidR="00F60653" w:rsidRDefault="00F60653" w:rsidP="00F60653">
      <w:pPr>
        <w:spacing w:line="240" w:lineRule="auto"/>
        <w:rPr>
          <w:b/>
        </w:rPr>
      </w:pPr>
      <w:r>
        <w:rPr>
          <w:b/>
        </w:rPr>
        <w:t>PENNSYLVANIA PUBLIC UTILITY COMMISSION</w:t>
      </w:r>
    </w:p>
    <w:p w:rsidR="00F60653" w:rsidRDefault="00F60653" w:rsidP="00F60653">
      <w:pPr>
        <w:spacing w:line="240" w:lineRule="auto"/>
        <w:rPr>
          <w:b/>
        </w:rPr>
      </w:pPr>
    </w:p>
    <w:p w:rsidR="00F60653" w:rsidRDefault="00F60653" w:rsidP="00F60653">
      <w:pPr>
        <w:spacing w:line="240" w:lineRule="auto"/>
        <w:rPr>
          <w:b/>
        </w:rPr>
      </w:pPr>
    </w:p>
    <w:p w:rsidR="006C338E" w:rsidRDefault="006C338E" w:rsidP="00F60653">
      <w:pPr>
        <w:spacing w:line="240" w:lineRule="auto"/>
        <w:rPr>
          <w:b/>
        </w:rPr>
      </w:pPr>
    </w:p>
    <w:p w:rsidR="00F60653" w:rsidRDefault="00F60653" w:rsidP="00F60653">
      <w:pPr>
        <w:spacing w:line="240" w:lineRule="auto"/>
        <w:jc w:val="left"/>
      </w:pPr>
      <w:r>
        <w:t xml:space="preserve">Anthony P. Catanzaro </w:t>
      </w:r>
      <w:r>
        <w:tab/>
      </w:r>
      <w:r>
        <w:tab/>
      </w:r>
      <w:r>
        <w:tab/>
      </w:r>
      <w:r>
        <w:tab/>
        <w:t>:</w:t>
      </w:r>
    </w:p>
    <w:p w:rsidR="00F60653" w:rsidRDefault="00F60653" w:rsidP="00F60653">
      <w:pPr>
        <w:spacing w:line="240" w:lineRule="auto"/>
        <w:jc w:val="left"/>
      </w:pPr>
      <w:r>
        <w:tab/>
      </w:r>
      <w:r>
        <w:tab/>
      </w:r>
      <w:r>
        <w:tab/>
      </w:r>
      <w:r>
        <w:tab/>
      </w:r>
      <w:r>
        <w:tab/>
      </w:r>
      <w:r>
        <w:tab/>
      </w:r>
      <w:r>
        <w:tab/>
        <w:t>:</w:t>
      </w:r>
    </w:p>
    <w:p w:rsidR="00F60653" w:rsidRDefault="00F60653" w:rsidP="00F60653">
      <w:pPr>
        <w:spacing w:line="240" w:lineRule="auto"/>
        <w:jc w:val="left"/>
      </w:pPr>
      <w:r>
        <w:tab/>
        <w:t>v.</w:t>
      </w:r>
      <w:r>
        <w:tab/>
      </w:r>
      <w:r>
        <w:tab/>
      </w:r>
      <w:r>
        <w:tab/>
      </w:r>
      <w:r>
        <w:tab/>
      </w:r>
      <w:r>
        <w:tab/>
      </w:r>
      <w:r>
        <w:tab/>
        <w:t>:</w:t>
      </w:r>
      <w:r>
        <w:tab/>
      </w:r>
      <w:r>
        <w:tab/>
      </w:r>
      <w:r>
        <w:tab/>
        <w:t>C-2015-2505627</w:t>
      </w:r>
    </w:p>
    <w:p w:rsidR="00F60653" w:rsidRDefault="00F60653" w:rsidP="00F60653">
      <w:pPr>
        <w:spacing w:line="240" w:lineRule="auto"/>
        <w:jc w:val="left"/>
      </w:pPr>
      <w:r>
        <w:tab/>
      </w:r>
      <w:r>
        <w:tab/>
      </w:r>
      <w:r>
        <w:tab/>
      </w:r>
      <w:r>
        <w:tab/>
      </w:r>
      <w:r>
        <w:tab/>
      </w:r>
      <w:r>
        <w:tab/>
      </w:r>
      <w:r>
        <w:tab/>
        <w:t>:</w:t>
      </w:r>
    </w:p>
    <w:p w:rsidR="00F60653" w:rsidRDefault="00F60653" w:rsidP="00F60653">
      <w:pPr>
        <w:spacing w:line="240" w:lineRule="auto"/>
        <w:jc w:val="left"/>
      </w:pPr>
      <w:r>
        <w:t>PPL Electric Utilities Corporation</w:t>
      </w:r>
      <w:r>
        <w:tab/>
      </w:r>
      <w:r>
        <w:tab/>
      </w:r>
      <w:r>
        <w:tab/>
        <w:t>:</w:t>
      </w:r>
    </w:p>
    <w:p w:rsidR="00F60653" w:rsidRDefault="00F60653" w:rsidP="00F60653">
      <w:pPr>
        <w:spacing w:line="240" w:lineRule="auto"/>
        <w:jc w:val="left"/>
      </w:pPr>
    </w:p>
    <w:p w:rsidR="00F60653" w:rsidRDefault="00F60653" w:rsidP="00F60653">
      <w:pPr>
        <w:spacing w:line="240" w:lineRule="auto"/>
        <w:jc w:val="left"/>
      </w:pPr>
    </w:p>
    <w:p w:rsidR="006C338E" w:rsidRDefault="006C338E" w:rsidP="00F60653">
      <w:pPr>
        <w:spacing w:line="240" w:lineRule="auto"/>
        <w:jc w:val="left"/>
      </w:pPr>
    </w:p>
    <w:p w:rsidR="00F60653" w:rsidRPr="00F60653" w:rsidRDefault="00F60653" w:rsidP="00F60653">
      <w:pPr>
        <w:spacing w:line="240" w:lineRule="auto"/>
        <w:rPr>
          <w:b/>
          <w:u w:val="single"/>
        </w:rPr>
      </w:pPr>
      <w:r w:rsidRPr="00F60653">
        <w:rPr>
          <w:b/>
          <w:u w:val="single"/>
        </w:rPr>
        <w:t>INITIAL DECISION</w:t>
      </w:r>
    </w:p>
    <w:p w:rsidR="00F60653" w:rsidRDefault="00F60653" w:rsidP="00F60653">
      <w:pPr>
        <w:spacing w:line="240" w:lineRule="auto"/>
        <w:rPr>
          <w:u w:val="single"/>
        </w:rPr>
      </w:pPr>
    </w:p>
    <w:p w:rsidR="006C338E" w:rsidRDefault="006C338E" w:rsidP="00F60653">
      <w:pPr>
        <w:spacing w:line="240" w:lineRule="auto"/>
        <w:rPr>
          <w:u w:val="single"/>
        </w:rPr>
      </w:pPr>
    </w:p>
    <w:p w:rsidR="00F60653" w:rsidRDefault="00F60653" w:rsidP="00F60653">
      <w:pPr>
        <w:spacing w:line="240" w:lineRule="auto"/>
      </w:pPr>
      <w:r>
        <w:t>Before</w:t>
      </w:r>
    </w:p>
    <w:p w:rsidR="00F60653" w:rsidRDefault="00F60653" w:rsidP="00F60653">
      <w:pPr>
        <w:spacing w:line="240" w:lineRule="auto"/>
      </w:pPr>
      <w:r>
        <w:t>Susan D. Colwell</w:t>
      </w:r>
    </w:p>
    <w:p w:rsidR="00F60653" w:rsidRDefault="00F60653" w:rsidP="00F60653">
      <w:pPr>
        <w:spacing w:line="240" w:lineRule="auto"/>
      </w:pPr>
      <w:r>
        <w:t>Administrative Law Judge</w:t>
      </w:r>
    </w:p>
    <w:p w:rsidR="00F60653" w:rsidRDefault="00F60653" w:rsidP="00F60653">
      <w:pPr>
        <w:spacing w:line="240" w:lineRule="auto"/>
      </w:pPr>
    </w:p>
    <w:p w:rsidR="00F60653" w:rsidRDefault="00F60653" w:rsidP="00F60653">
      <w:pPr>
        <w:spacing w:line="240" w:lineRule="auto"/>
      </w:pPr>
    </w:p>
    <w:p w:rsidR="00F60653" w:rsidRDefault="00F60653" w:rsidP="00F60653">
      <w:pPr>
        <w:spacing w:line="240" w:lineRule="auto"/>
        <w:rPr>
          <w:u w:val="single"/>
        </w:rPr>
      </w:pPr>
      <w:r>
        <w:rPr>
          <w:u w:val="single"/>
        </w:rPr>
        <w:t>INTRODUCTION</w:t>
      </w:r>
    </w:p>
    <w:p w:rsidR="00F60653" w:rsidRDefault="00F60653" w:rsidP="00F60653">
      <w:pPr>
        <w:spacing w:line="240" w:lineRule="auto"/>
        <w:rPr>
          <w:u w:val="single"/>
        </w:rPr>
      </w:pPr>
    </w:p>
    <w:p w:rsidR="006C338E" w:rsidRDefault="006C338E" w:rsidP="00F60653">
      <w:pPr>
        <w:spacing w:line="240" w:lineRule="auto"/>
        <w:rPr>
          <w:u w:val="single"/>
        </w:rPr>
      </w:pPr>
    </w:p>
    <w:p w:rsidR="00F60653" w:rsidRPr="000C2101" w:rsidRDefault="000C2101" w:rsidP="006C338E">
      <w:pPr>
        <w:jc w:val="left"/>
      </w:pPr>
      <w:r>
        <w:tab/>
      </w:r>
      <w:r>
        <w:tab/>
        <w:t xml:space="preserve">This Initial Decision dismisses a complaint seeking a finding that an electric utility has misused federal funding in its use of LIHEAP and CRISIS funds for failure to provide any evidence to support the allegations.  </w:t>
      </w:r>
    </w:p>
    <w:p w:rsidR="00F60653" w:rsidRDefault="00F60653" w:rsidP="006C338E">
      <w:pPr>
        <w:jc w:val="left"/>
        <w:rPr>
          <w:u w:val="single"/>
        </w:rPr>
      </w:pPr>
    </w:p>
    <w:p w:rsidR="00F60653" w:rsidRDefault="00F60653" w:rsidP="00F60653">
      <w:pPr>
        <w:spacing w:line="240" w:lineRule="auto"/>
        <w:rPr>
          <w:u w:val="single"/>
        </w:rPr>
      </w:pPr>
      <w:r>
        <w:rPr>
          <w:u w:val="single"/>
        </w:rPr>
        <w:t>HISTORY OF THE PROCEEDING</w:t>
      </w:r>
    </w:p>
    <w:p w:rsidR="00F60653" w:rsidRDefault="00F60653" w:rsidP="006C338E">
      <w:pPr>
        <w:rPr>
          <w:u w:val="single"/>
        </w:rPr>
      </w:pPr>
    </w:p>
    <w:p w:rsidR="00F60653" w:rsidRDefault="00A523F2" w:rsidP="00A523F2">
      <w:pPr>
        <w:jc w:val="left"/>
      </w:pPr>
      <w:r>
        <w:tab/>
      </w:r>
      <w:r>
        <w:tab/>
        <w:t xml:space="preserve">On September 22, 2015, Anthony P. Catanzaro (Complainant) filed a formal Complaint alleging that PPL Electric Utilities Corporation (PPL or Respondent or Company) has discriminated against him in applying LIHEAP Crisis funding.  In addition, he wants the names and addresses of every utility company in Pennsylvania in order to determine whether other utilities have discriminated against their customers as well.  </w:t>
      </w:r>
    </w:p>
    <w:p w:rsidR="00A523F2" w:rsidRDefault="00A523F2" w:rsidP="00A523F2">
      <w:pPr>
        <w:jc w:val="left"/>
      </w:pPr>
    </w:p>
    <w:p w:rsidR="00A523F2" w:rsidRDefault="00A523F2" w:rsidP="00A523F2">
      <w:pPr>
        <w:jc w:val="left"/>
      </w:pPr>
      <w:r>
        <w:lastRenderedPageBreak/>
        <w:tab/>
      </w:r>
      <w:r>
        <w:tab/>
      </w:r>
      <w:r w:rsidR="00352025">
        <w:t>The Complaint was served by the Commission's Secretary electronically on September 29, 2015.</w:t>
      </w:r>
      <w:r w:rsidR="00352025">
        <w:rPr>
          <w:rStyle w:val="FootnoteReference"/>
        </w:rPr>
        <w:footnoteReference w:id="1"/>
      </w:r>
    </w:p>
    <w:p w:rsidR="00352025" w:rsidRDefault="00352025" w:rsidP="00A523F2">
      <w:pPr>
        <w:jc w:val="left"/>
      </w:pPr>
    </w:p>
    <w:p w:rsidR="00352025" w:rsidRDefault="00352025" w:rsidP="00A523F2">
      <w:pPr>
        <w:jc w:val="left"/>
      </w:pPr>
      <w:r>
        <w:tab/>
      </w:r>
      <w:r>
        <w:tab/>
        <w:t xml:space="preserve">On October 19, 2015, PPL filed its Answer which denies any wrongdoing.  PPL specifically </w:t>
      </w:r>
      <w:proofErr w:type="gramStart"/>
      <w:r>
        <w:t>denies</w:t>
      </w:r>
      <w:proofErr w:type="gramEnd"/>
      <w:r>
        <w:t xml:space="preserve"> improperly or discriminatorily applying its customer assistance programs (CAP) nor does it have a record of sending the Complainant a service termination notice.  Records show that the Company posted a $254 LIHEAP payment to Complainant's account on December 31, 2014 which created a credit balance of $40.21.  </w:t>
      </w:r>
    </w:p>
    <w:p w:rsidR="00352025" w:rsidRDefault="00352025" w:rsidP="00A523F2">
      <w:pPr>
        <w:jc w:val="left"/>
      </w:pPr>
    </w:p>
    <w:p w:rsidR="00352025" w:rsidRDefault="00352025" w:rsidP="00A523F2">
      <w:pPr>
        <w:jc w:val="left"/>
      </w:pPr>
      <w:r>
        <w:tab/>
      </w:r>
      <w:r>
        <w:tab/>
        <w:t>This is an untimely appeal from a determination of the Commission's Bureau of Consumer Services (BCS) at BCS # 3327370, issued August 14, 2015.</w:t>
      </w:r>
    </w:p>
    <w:p w:rsidR="00352025" w:rsidRDefault="00352025" w:rsidP="00A523F2">
      <w:pPr>
        <w:jc w:val="left"/>
      </w:pPr>
    </w:p>
    <w:p w:rsidR="00AC3F0E" w:rsidRDefault="00352025" w:rsidP="00A523F2">
      <w:pPr>
        <w:jc w:val="left"/>
      </w:pPr>
      <w:r>
        <w:tab/>
      </w:r>
      <w:r>
        <w:tab/>
        <w:t xml:space="preserve">Notice of the call-in telephonic hearing was issued on December 8, 2015, which set the hearing for Thursday, January 14, 2016, and assigned the case to me.  I issued a prehearing order on December 9, 2015, which set forth some of the requirements for participating in a formal proceeding before the Commission.  </w:t>
      </w:r>
    </w:p>
    <w:p w:rsidR="00AC3F0E" w:rsidRDefault="00AC3F0E" w:rsidP="00A523F2">
      <w:pPr>
        <w:jc w:val="left"/>
      </w:pPr>
    </w:p>
    <w:p w:rsidR="00AC3F0E" w:rsidRDefault="00AC3F0E" w:rsidP="00A523F2">
      <w:pPr>
        <w:jc w:val="left"/>
      </w:pPr>
      <w:r>
        <w:tab/>
      </w:r>
      <w:r>
        <w:tab/>
        <w:t xml:space="preserve">On January 13, 2016, Complainant sent a fax to me from the Mill </w:t>
      </w:r>
      <w:r w:rsidR="000C2101">
        <w:t>M</w:t>
      </w:r>
      <w:r>
        <w:t>emorial Library in Nanticoke, PA, which contained his proposed exhibit for the next day's hearing as well as a statement that he has not received a list of Pennsylvania utilities from the Commission and suggested that the proceeding be delayed until he received the list and identified the utilities' policies.  He called the OALJ scheduling office and was told that the hearing would not be continued.</w:t>
      </w:r>
    </w:p>
    <w:p w:rsidR="00AC3F0E" w:rsidRDefault="00AC3F0E" w:rsidP="00A523F2">
      <w:pPr>
        <w:jc w:val="left"/>
      </w:pPr>
    </w:p>
    <w:p w:rsidR="00AC3F0E" w:rsidRDefault="00AC3F0E" w:rsidP="00A523F2">
      <w:pPr>
        <w:jc w:val="left"/>
      </w:pPr>
      <w:r>
        <w:tab/>
      </w:r>
      <w:r>
        <w:tab/>
        <w:t xml:space="preserve">At the time set for the hearing, Complainant called </w:t>
      </w:r>
      <w:r w:rsidR="00EE4169">
        <w:t>the conference number</w:t>
      </w:r>
      <w:r>
        <w:t xml:space="preserve"> to attend.  PPL was represented by Kimberly G. Krupka, Esq., who presented one witness who, in </w:t>
      </w:r>
      <w:r>
        <w:lastRenderedPageBreak/>
        <w:t>turn, sponsored two exhibits.  The hearing resulted in a transcript of 54 pages, and the record closed upon its receipt on January 19, 2016.  The case is ripe for disposition.</w:t>
      </w:r>
    </w:p>
    <w:p w:rsidR="00AC3F0E" w:rsidRDefault="00AC3F0E" w:rsidP="00A523F2">
      <w:pPr>
        <w:jc w:val="left"/>
      </w:pPr>
    </w:p>
    <w:p w:rsidR="00352025" w:rsidRDefault="00AC3F0E" w:rsidP="00AC3F0E">
      <w:pPr>
        <w:rPr>
          <w:u w:val="single"/>
        </w:rPr>
      </w:pPr>
      <w:r>
        <w:rPr>
          <w:u w:val="single"/>
        </w:rPr>
        <w:t>FINDINGS OF FACT</w:t>
      </w:r>
    </w:p>
    <w:p w:rsidR="00AC3F0E" w:rsidRDefault="00AC3F0E" w:rsidP="00AC3F0E">
      <w:pPr>
        <w:rPr>
          <w:u w:val="single"/>
        </w:rPr>
      </w:pPr>
    </w:p>
    <w:p w:rsidR="00AC3F0E" w:rsidRDefault="00AC3F0E" w:rsidP="00AC3F0E">
      <w:pPr>
        <w:jc w:val="left"/>
      </w:pPr>
      <w:r>
        <w:tab/>
      </w:r>
      <w:r>
        <w:tab/>
        <w:t>1.</w:t>
      </w:r>
      <w:r>
        <w:tab/>
        <w:t xml:space="preserve">Complainant is Anthony P. Catanzaro, Apartment 5-D Veterans Drive, </w:t>
      </w:r>
      <w:proofErr w:type="gramStart"/>
      <w:r>
        <w:t>Dickson</w:t>
      </w:r>
      <w:proofErr w:type="gramEnd"/>
      <w:r>
        <w:t xml:space="preserve"> City PA 18419.  </w:t>
      </w:r>
    </w:p>
    <w:p w:rsidR="00AC3F0E" w:rsidRDefault="00AC3F0E" w:rsidP="00AC3F0E">
      <w:pPr>
        <w:jc w:val="left"/>
      </w:pPr>
    </w:p>
    <w:p w:rsidR="00AC3F0E" w:rsidRDefault="00AC3F0E" w:rsidP="00AC3F0E">
      <w:pPr>
        <w:jc w:val="left"/>
      </w:pPr>
      <w:r>
        <w:tab/>
      </w:r>
      <w:r>
        <w:tab/>
        <w:t>2.</w:t>
      </w:r>
      <w:r>
        <w:tab/>
        <w:t>Respondent is PPL Electric Utilities Corporation, a jurisdictional public utility providing residential and commercial electric distribution and default service in the Commonwealth of Pennsylvania.</w:t>
      </w:r>
    </w:p>
    <w:p w:rsidR="00AC3F0E" w:rsidRDefault="00AC3F0E" w:rsidP="00AC3F0E">
      <w:pPr>
        <w:jc w:val="left"/>
      </w:pPr>
    </w:p>
    <w:p w:rsidR="00AC3F0E" w:rsidRDefault="00AC3F0E" w:rsidP="00AC3F0E">
      <w:pPr>
        <w:jc w:val="left"/>
      </w:pPr>
      <w:r>
        <w:tab/>
      </w:r>
      <w:r>
        <w:tab/>
        <w:t>3.</w:t>
      </w:r>
      <w:r>
        <w:tab/>
      </w:r>
      <w:r w:rsidR="00B7188A">
        <w:t xml:space="preserve">Complainant is 80 years old and does not have a computer.  </w:t>
      </w:r>
      <w:proofErr w:type="gramStart"/>
      <w:r w:rsidR="00B7188A">
        <w:t>Tr. 20.</w:t>
      </w:r>
      <w:proofErr w:type="gramEnd"/>
    </w:p>
    <w:p w:rsidR="007F427A" w:rsidRDefault="007F427A" w:rsidP="00AC3F0E">
      <w:pPr>
        <w:jc w:val="left"/>
      </w:pPr>
    </w:p>
    <w:p w:rsidR="007F427A" w:rsidRDefault="007F427A" w:rsidP="00AC3F0E">
      <w:pPr>
        <w:jc w:val="left"/>
      </w:pPr>
      <w:r>
        <w:tab/>
      </w:r>
      <w:r>
        <w:tab/>
        <w:t>4.</w:t>
      </w:r>
      <w:r>
        <w:tab/>
        <w:t xml:space="preserve">Complainant Exhibit B is a copy of the Request for Formal Complaint Forms that he received with the issuance of BCS # 3327370, and which he returned with a typed request </w:t>
      </w:r>
      <w:r w:rsidR="008A089F">
        <w:t xml:space="preserve">at the bottom for names and addresses of all electric utilities in Pennsylvania.  </w:t>
      </w:r>
      <w:proofErr w:type="spellStart"/>
      <w:r w:rsidR="008A089F">
        <w:t>Cplt</w:t>
      </w:r>
      <w:proofErr w:type="spellEnd"/>
      <w:r w:rsidR="008A089F">
        <w:t>. Ex. B.</w:t>
      </w:r>
    </w:p>
    <w:p w:rsidR="009D3254" w:rsidRDefault="009D3254" w:rsidP="00AC3F0E">
      <w:pPr>
        <w:jc w:val="left"/>
      </w:pPr>
    </w:p>
    <w:p w:rsidR="009D3254" w:rsidRDefault="009D3254" w:rsidP="00AC3F0E">
      <w:pPr>
        <w:jc w:val="left"/>
      </w:pPr>
      <w:r>
        <w:tab/>
      </w:r>
      <w:r>
        <w:tab/>
      </w:r>
      <w:r w:rsidR="008A089F">
        <w:t>5</w:t>
      </w:r>
      <w:r>
        <w:t>.</w:t>
      </w:r>
      <w:r>
        <w:tab/>
        <w:t xml:space="preserve">Kimberly Gerhart, customer service representative for PPL, appeared and testified on behalf of Respondent.  </w:t>
      </w:r>
      <w:proofErr w:type="gramStart"/>
      <w:r>
        <w:t>Tr. 29.</w:t>
      </w:r>
      <w:proofErr w:type="gramEnd"/>
    </w:p>
    <w:p w:rsidR="009D3254" w:rsidRDefault="009D3254" w:rsidP="00AC3F0E">
      <w:pPr>
        <w:jc w:val="left"/>
      </w:pPr>
    </w:p>
    <w:p w:rsidR="009D3254" w:rsidRDefault="009D3254" w:rsidP="00AC3F0E">
      <w:pPr>
        <w:jc w:val="left"/>
      </w:pPr>
      <w:r>
        <w:tab/>
      </w:r>
      <w:r>
        <w:tab/>
      </w:r>
      <w:r w:rsidR="008A089F">
        <w:t>6</w:t>
      </w:r>
      <w:r>
        <w:t>.</w:t>
      </w:r>
      <w:r>
        <w:tab/>
        <w:t xml:space="preserve">LIHEAP is a federal program that provides grants for customers to pay for heating.  </w:t>
      </w:r>
      <w:proofErr w:type="gramStart"/>
      <w:r>
        <w:t>Tr. 30.</w:t>
      </w:r>
      <w:proofErr w:type="gramEnd"/>
    </w:p>
    <w:p w:rsidR="009D3254" w:rsidRDefault="009D3254" w:rsidP="00AC3F0E">
      <w:pPr>
        <w:jc w:val="left"/>
      </w:pPr>
    </w:p>
    <w:p w:rsidR="009D3254" w:rsidRDefault="009D3254" w:rsidP="00AC3F0E">
      <w:pPr>
        <w:jc w:val="left"/>
      </w:pPr>
      <w:r>
        <w:tab/>
      </w:r>
      <w:r>
        <w:tab/>
      </w:r>
      <w:r w:rsidR="008A089F">
        <w:t>7</w:t>
      </w:r>
      <w:r>
        <w:t>.</w:t>
      </w:r>
      <w:r>
        <w:tab/>
        <w:t xml:space="preserve">LIHEAP funding is sent to PPL for Complainant from the Lackawanna County Board of Assistance.  </w:t>
      </w:r>
      <w:proofErr w:type="gramStart"/>
      <w:r>
        <w:t>Tr. 31.</w:t>
      </w:r>
      <w:proofErr w:type="gramEnd"/>
    </w:p>
    <w:p w:rsidR="009D3254" w:rsidRDefault="009D3254" w:rsidP="00AC3F0E">
      <w:pPr>
        <w:jc w:val="left"/>
      </w:pPr>
    </w:p>
    <w:p w:rsidR="009D3254" w:rsidRDefault="009D3254" w:rsidP="00AC3F0E">
      <w:pPr>
        <w:jc w:val="left"/>
      </w:pPr>
      <w:r>
        <w:tab/>
      </w:r>
      <w:r>
        <w:tab/>
      </w:r>
      <w:r w:rsidR="008A089F">
        <w:t>8</w:t>
      </w:r>
      <w:r>
        <w:t>.</w:t>
      </w:r>
      <w:r>
        <w:tab/>
      </w:r>
      <w:r w:rsidR="00AF742F">
        <w:t xml:space="preserve">PPL sends out letters and a reminder call to customers who may be eligible for LIHEAP.  </w:t>
      </w:r>
      <w:proofErr w:type="gramStart"/>
      <w:r w:rsidR="00AF742F">
        <w:t>Tr. 31</w:t>
      </w:r>
      <w:r w:rsidR="000941E3">
        <w:t>; 37</w:t>
      </w:r>
      <w:r w:rsidR="00AF742F">
        <w:t>.</w:t>
      </w:r>
      <w:proofErr w:type="gramEnd"/>
    </w:p>
    <w:p w:rsidR="00AF742F" w:rsidRDefault="00AF742F" w:rsidP="00AC3F0E">
      <w:pPr>
        <w:jc w:val="left"/>
      </w:pPr>
    </w:p>
    <w:p w:rsidR="00AF742F" w:rsidRDefault="00AF742F" w:rsidP="00AC3F0E">
      <w:pPr>
        <w:jc w:val="left"/>
      </w:pPr>
      <w:r>
        <w:tab/>
      </w:r>
      <w:r>
        <w:tab/>
      </w:r>
      <w:r w:rsidR="008A089F">
        <w:t>9</w:t>
      </w:r>
      <w:r>
        <w:t>.</w:t>
      </w:r>
      <w:r>
        <w:tab/>
        <w:t xml:space="preserve">Customers must go through the agency to obtain the funding.  </w:t>
      </w:r>
      <w:proofErr w:type="gramStart"/>
      <w:r>
        <w:t>Tr. 31.</w:t>
      </w:r>
      <w:proofErr w:type="gramEnd"/>
    </w:p>
    <w:p w:rsidR="00AF742F" w:rsidRDefault="00AF742F" w:rsidP="00AC3F0E">
      <w:pPr>
        <w:jc w:val="left"/>
      </w:pPr>
    </w:p>
    <w:p w:rsidR="00AF742F" w:rsidRDefault="00AF742F" w:rsidP="00AC3F0E">
      <w:pPr>
        <w:jc w:val="left"/>
      </w:pPr>
      <w:r>
        <w:tab/>
      </w:r>
      <w:r>
        <w:tab/>
      </w:r>
      <w:r w:rsidR="008A089F">
        <w:t>10</w:t>
      </w:r>
      <w:r>
        <w:t>.</w:t>
      </w:r>
      <w:r>
        <w:tab/>
        <w:t xml:space="preserve">Since 2012, Complainant has received LIHEAP funding every year.  </w:t>
      </w:r>
      <w:proofErr w:type="gramStart"/>
      <w:r>
        <w:t>Tr. 32.</w:t>
      </w:r>
      <w:proofErr w:type="gramEnd"/>
    </w:p>
    <w:p w:rsidR="00AF742F" w:rsidRDefault="00AF742F" w:rsidP="00AC3F0E">
      <w:pPr>
        <w:jc w:val="left"/>
      </w:pPr>
    </w:p>
    <w:p w:rsidR="00AF742F" w:rsidRDefault="00AF742F" w:rsidP="00AC3F0E">
      <w:pPr>
        <w:jc w:val="left"/>
      </w:pPr>
      <w:r>
        <w:tab/>
      </w:r>
      <w:r>
        <w:tab/>
        <w:t>1</w:t>
      </w:r>
      <w:r w:rsidR="008A089F">
        <w:t>1</w:t>
      </w:r>
      <w:r>
        <w:t>.</w:t>
      </w:r>
      <w:r>
        <w:tab/>
        <w:t xml:space="preserve"> CRISIS funding is emergency federal funding for those in imminent danger of losing heating.  </w:t>
      </w:r>
      <w:proofErr w:type="gramStart"/>
      <w:r>
        <w:t>Tr. 32.</w:t>
      </w:r>
      <w:proofErr w:type="gramEnd"/>
    </w:p>
    <w:p w:rsidR="00AF742F" w:rsidRDefault="00AF742F" w:rsidP="00AC3F0E">
      <w:pPr>
        <w:jc w:val="left"/>
      </w:pPr>
    </w:p>
    <w:p w:rsidR="00AF742F" w:rsidRDefault="00AF742F" w:rsidP="00AC3F0E">
      <w:pPr>
        <w:jc w:val="left"/>
      </w:pPr>
      <w:r>
        <w:tab/>
      </w:r>
      <w:r>
        <w:tab/>
        <w:t>1</w:t>
      </w:r>
      <w:r w:rsidR="008A089F">
        <w:t>2</w:t>
      </w:r>
      <w:r>
        <w:t>.</w:t>
      </w:r>
      <w:r>
        <w:tab/>
        <w:t xml:space="preserve">When PPL issues a termination notice, it also notifies the customer of the CRISIS program.  </w:t>
      </w:r>
      <w:proofErr w:type="gramStart"/>
      <w:r>
        <w:t>Tr. 32.</w:t>
      </w:r>
      <w:proofErr w:type="gramEnd"/>
    </w:p>
    <w:p w:rsidR="00AF742F" w:rsidRDefault="00AF742F" w:rsidP="00AC3F0E">
      <w:pPr>
        <w:jc w:val="left"/>
      </w:pPr>
    </w:p>
    <w:p w:rsidR="00AF742F" w:rsidRDefault="00AF742F" w:rsidP="00AC3F0E">
      <w:pPr>
        <w:jc w:val="left"/>
      </w:pPr>
      <w:r>
        <w:tab/>
      </w:r>
      <w:r>
        <w:tab/>
        <w:t>1</w:t>
      </w:r>
      <w:r w:rsidR="008A089F">
        <w:t>3</w:t>
      </w:r>
      <w:r>
        <w:t>.</w:t>
      </w:r>
      <w:r>
        <w:tab/>
        <w:t xml:space="preserve">PPL Exhibit 1 is the activity statement for Complainant's account.  </w:t>
      </w:r>
      <w:proofErr w:type="gramStart"/>
      <w:r>
        <w:t>Tr. 33.</w:t>
      </w:r>
      <w:proofErr w:type="gramEnd"/>
    </w:p>
    <w:p w:rsidR="00AF742F" w:rsidRDefault="00AF742F" w:rsidP="00AC3F0E">
      <w:pPr>
        <w:jc w:val="left"/>
      </w:pPr>
    </w:p>
    <w:p w:rsidR="00AF742F" w:rsidRDefault="00AF742F" w:rsidP="00AC3F0E">
      <w:pPr>
        <w:jc w:val="left"/>
      </w:pPr>
      <w:r>
        <w:tab/>
      </w:r>
      <w:r>
        <w:tab/>
        <w:t>1</w:t>
      </w:r>
      <w:r w:rsidR="008A089F">
        <w:t>4</w:t>
      </w:r>
      <w:r>
        <w:t>.</w:t>
      </w:r>
      <w:r>
        <w:tab/>
        <w:t>Complainant has received LIHEAP funding on April 11, 2012 for $281; August 22, 2012 for $145; May 22, 2013, for $154; March 26, 2014 for $240; and CRISIS funding on April 9, 2014 for $400.37.  Tr. 34: PPL Ex. 1.</w:t>
      </w:r>
    </w:p>
    <w:p w:rsidR="00AF742F" w:rsidRDefault="00AF742F" w:rsidP="00AC3F0E">
      <w:pPr>
        <w:jc w:val="left"/>
      </w:pPr>
    </w:p>
    <w:p w:rsidR="00AF742F" w:rsidRDefault="00AF742F" w:rsidP="00AC3F0E">
      <w:pPr>
        <w:jc w:val="left"/>
      </w:pPr>
      <w:r>
        <w:tab/>
      </w:r>
      <w:r>
        <w:tab/>
        <w:t>1</w:t>
      </w:r>
      <w:r w:rsidR="008A089F">
        <w:t>5</w:t>
      </w:r>
      <w:r>
        <w:t>.</w:t>
      </w:r>
      <w:r>
        <w:tab/>
        <w:t xml:space="preserve">PPL Exhibit 2 is the customer account contacts record.  </w:t>
      </w:r>
      <w:proofErr w:type="gramStart"/>
      <w:r>
        <w:t>Tr. 35.</w:t>
      </w:r>
      <w:proofErr w:type="gramEnd"/>
    </w:p>
    <w:p w:rsidR="00AF742F" w:rsidRDefault="00AF742F" w:rsidP="00AC3F0E">
      <w:pPr>
        <w:jc w:val="left"/>
      </w:pPr>
    </w:p>
    <w:p w:rsidR="00AF742F" w:rsidRDefault="00AF742F" w:rsidP="00AC3F0E">
      <w:pPr>
        <w:jc w:val="left"/>
      </w:pPr>
      <w:r>
        <w:tab/>
      </w:r>
      <w:r>
        <w:tab/>
        <w:t>1</w:t>
      </w:r>
      <w:r w:rsidR="008A089F">
        <w:t>6</w:t>
      </w:r>
      <w:r>
        <w:t>.</w:t>
      </w:r>
      <w:r>
        <w:tab/>
      </w:r>
      <w:r w:rsidR="000941E3">
        <w:t xml:space="preserve">PPL does not possess customer information necessary to apply for LIHEAP or CRISIS funding on behalf of a customer.  </w:t>
      </w:r>
      <w:proofErr w:type="gramStart"/>
      <w:r w:rsidR="000941E3">
        <w:t>Tr. 38.</w:t>
      </w:r>
      <w:proofErr w:type="gramEnd"/>
    </w:p>
    <w:p w:rsidR="000941E3" w:rsidRDefault="000941E3" w:rsidP="00AC3F0E">
      <w:pPr>
        <w:jc w:val="left"/>
      </w:pPr>
    </w:p>
    <w:p w:rsidR="000941E3" w:rsidRDefault="000941E3" w:rsidP="00AC3F0E">
      <w:pPr>
        <w:jc w:val="left"/>
      </w:pPr>
      <w:r>
        <w:tab/>
      </w:r>
      <w:r>
        <w:tab/>
        <w:t>1</w:t>
      </w:r>
      <w:r w:rsidR="008A089F">
        <w:t>7</w:t>
      </w:r>
      <w:r>
        <w:t>.</w:t>
      </w:r>
      <w:r>
        <w:tab/>
        <w:t xml:space="preserve">Complainant did not request an in-person hearing.  </w:t>
      </w:r>
      <w:proofErr w:type="gramStart"/>
      <w:r>
        <w:t>Tr. 43.</w:t>
      </w:r>
      <w:proofErr w:type="gramEnd"/>
    </w:p>
    <w:p w:rsidR="009D3254" w:rsidRDefault="009D3254" w:rsidP="00AC3F0E">
      <w:pPr>
        <w:jc w:val="left"/>
      </w:pPr>
      <w:r>
        <w:t xml:space="preserve">  </w:t>
      </w:r>
    </w:p>
    <w:p w:rsidR="00AC3F0E" w:rsidRDefault="00AC3F0E" w:rsidP="00AC3F0E">
      <w:pPr>
        <w:rPr>
          <w:u w:val="single"/>
        </w:rPr>
      </w:pPr>
      <w:r>
        <w:rPr>
          <w:u w:val="single"/>
        </w:rPr>
        <w:t>DISCUSSION</w:t>
      </w:r>
    </w:p>
    <w:p w:rsidR="00AC3F0E" w:rsidRDefault="00AC3F0E" w:rsidP="00AC3F0E">
      <w:pPr>
        <w:rPr>
          <w:u w:val="single"/>
        </w:rPr>
      </w:pPr>
    </w:p>
    <w:p w:rsidR="00334AB2" w:rsidRDefault="00334AB2" w:rsidP="00334AB2">
      <w:pPr>
        <w:jc w:val="left"/>
      </w:pPr>
      <w:r>
        <w:tab/>
      </w:r>
      <w:r>
        <w:tab/>
        <w:t xml:space="preserve">Complainant saw a letter from a utility other than Respondent addressed to Complainant's neighbor </w:t>
      </w:r>
      <w:proofErr w:type="gramStart"/>
      <w:r>
        <w:t>which</w:t>
      </w:r>
      <w:proofErr w:type="gramEnd"/>
      <w:r>
        <w:t xml:space="preserve"> caused Complainant to suspect that the utilities in Pennsylvania are misapplying or failing to apply federal LIHEAP funding appropriately.  He states that he asked the PUC for a list of utilities and their addresses in order to carry out his investigation but that the PUC has not provided the information.  He also stated that he was amenable to mediation but that Respondent did not want to participate, which he claimed was prejudicial to him, although he failed to explain how.  He stated at the hearing that a LIHEAP payment is in dispute but was unclear in explaining what it was that he actually contested.  </w:t>
      </w:r>
      <w:proofErr w:type="gramStart"/>
      <w:r>
        <w:t>Tr. 12.</w:t>
      </w:r>
      <w:proofErr w:type="gramEnd"/>
      <w:r>
        <w:t xml:space="preserve">  </w:t>
      </w:r>
    </w:p>
    <w:p w:rsidR="00334AB2" w:rsidRPr="00334AB2" w:rsidRDefault="00334AB2" w:rsidP="00334AB2">
      <w:pPr>
        <w:jc w:val="left"/>
      </w:pPr>
    </w:p>
    <w:p w:rsidR="00322341" w:rsidRPr="0084264F" w:rsidRDefault="00322341" w:rsidP="00322341">
      <w:pPr>
        <w:jc w:val="left"/>
      </w:pPr>
      <w:r>
        <w:tab/>
      </w:r>
      <w:r>
        <w:tab/>
        <w:t xml:space="preserve">The party seeking affirmative relief from the Commission bears the burden of proof.  </w:t>
      </w:r>
      <w:proofErr w:type="gramStart"/>
      <w:r>
        <w:t>66 Pa.C.S.</w:t>
      </w:r>
      <w:proofErr w:type="gramEnd"/>
      <w:r>
        <w:t xml:space="preserve"> § 332(a).  As a matter of law, a complainant must show that the named utility is responsible or accountable for the problem described in the Complaint in order to prevail.  </w:t>
      </w:r>
      <w:proofErr w:type="gramStart"/>
      <w:r>
        <w:rPr>
          <w:i/>
        </w:rPr>
        <w:t xml:space="preserve">Patterson v. Bell Tel. Co. of PA, </w:t>
      </w:r>
      <w:r>
        <w:t xml:space="preserve">72 Pa. PUC 196 (1990); </w:t>
      </w:r>
      <w:r>
        <w:rPr>
          <w:i/>
        </w:rPr>
        <w:t>Feinstein v. Phila.</w:t>
      </w:r>
      <w:proofErr w:type="gramEnd"/>
      <w:r>
        <w:rPr>
          <w:i/>
        </w:rPr>
        <w:t xml:space="preserve"> </w:t>
      </w:r>
      <w:proofErr w:type="gramStart"/>
      <w:r>
        <w:rPr>
          <w:i/>
        </w:rPr>
        <w:t xml:space="preserve">Suburban Water Co., </w:t>
      </w:r>
      <w:r>
        <w:t>50 Pa. PUC 300 (1976).</w:t>
      </w:r>
      <w:proofErr w:type="gramEnd"/>
      <w:r>
        <w:t xml:space="preserve">  This must be shown by a preponderance of the evidence.   </w:t>
      </w:r>
      <w:proofErr w:type="gramStart"/>
      <w:r>
        <w:rPr>
          <w:i/>
        </w:rPr>
        <w:t>Samuel J. Lansberry, Inc. v. Pa. Pub.</w:t>
      </w:r>
      <w:proofErr w:type="gramEnd"/>
      <w:r>
        <w:rPr>
          <w:i/>
        </w:rPr>
        <w:t xml:space="preserve"> </w:t>
      </w:r>
      <w:proofErr w:type="gramStart"/>
      <w:r>
        <w:rPr>
          <w:i/>
        </w:rPr>
        <w:t xml:space="preserve">Util. Comm'n, </w:t>
      </w:r>
      <w:r>
        <w:t xml:space="preserve">578 A.2d 600 (Pa.Cmwlth. 1990), </w:t>
      </w:r>
      <w:r>
        <w:rPr>
          <w:i/>
        </w:rPr>
        <w:t>alloc, denied</w:t>
      </w:r>
      <w:r>
        <w:t>, 602 A.2d 863 (1992).</w:t>
      </w:r>
      <w:proofErr w:type="gramEnd"/>
      <w:r>
        <w:t xml:space="preserve">  A preponderance of evidence is that which is more convincing, by even the smallest amount, than that presented by the other party.  </w:t>
      </w:r>
      <w:proofErr w:type="gramStart"/>
      <w:r>
        <w:rPr>
          <w:i/>
        </w:rPr>
        <w:t>Se-Ling Hosiery v. Margulies,</w:t>
      </w:r>
      <w:r>
        <w:t xml:space="preserve"> </w:t>
      </w:r>
      <w:r w:rsidRPr="0084264F">
        <w:rPr>
          <w:color w:val="333333"/>
        </w:rPr>
        <w:t>364 Pa. 45, 70 A.2d 854, 1950 Pa. LEXIS 316 (1950)</w:t>
      </w:r>
      <w:r w:rsidRPr="0084264F">
        <w:t>.</w:t>
      </w:r>
      <w:proofErr w:type="gramEnd"/>
    </w:p>
    <w:p w:rsidR="00322341" w:rsidRDefault="00322341" w:rsidP="00322341">
      <w:pPr>
        <w:jc w:val="left"/>
      </w:pPr>
    </w:p>
    <w:p w:rsidR="00322341" w:rsidRDefault="00322341" w:rsidP="00322341">
      <w:pPr>
        <w:jc w:val="left"/>
      </w:pPr>
      <w:r>
        <w:tab/>
      </w:r>
      <w:r>
        <w:tab/>
        <w:t xml:space="preserve">Additionally, any finding of fact necessary to support the Commission's adjudication must be based upon substantial evidence.  </w:t>
      </w:r>
      <w:proofErr w:type="gramStart"/>
      <w:r>
        <w:rPr>
          <w:i/>
        </w:rPr>
        <w:t>Mill v. Pa. Pub.</w:t>
      </w:r>
      <w:proofErr w:type="gramEnd"/>
      <w:r>
        <w:rPr>
          <w:i/>
        </w:rPr>
        <w:t xml:space="preserve"> </w:t>
      </w:r>
      <w:proofErr w:type="gramStart"/>
      <w:r>
        <w:rPr>
          <w:i/>
        </w:rPr>
        <w:t>Util. Comm'n</w:t>
      </w:r>
      <w:r>
        <w:t xml:space="preserve">, 447 A.2d 1100 (Pa.Cmwlth. 1982); </w:t>
      </w:r>
      <w:r>
        <w:rPr>
          <w:i/>
        </w:rPr>
        <w:t>Edan Transportation Corp. v. Pa. Pub.</w:t>
      </w:r>
      <w:proofErr w:type="gramEnd"/>
      <w:r>
        <w:rPr>
          <w:i/>
        </w:rPr>
        <w:t xml:space="preserve"> </w:t>
      </w:r>
      <w:proofErr w:type="gramStart"/>
      <w:r>
        <w:rPr>
          <w:i/>
        </w:rPr>
        <w:t xml:space="preserve">Util. Comm'n, </w:t>
      </w:r>
      <w:r>
        <w:t>623 A.2d 6 (Pa. Cmwlth. 1993); 2 Pa.C.S.</w:t>
      </w:r>
      <w:proofErr w:type="gramEnd"/>
      <w:r>
        <w:t xml:space="preserve"> § 704.  More is required than a mere trace of evidence or a suspicion of the existence of a fact sought to be established.  </w:t>
      </w:r>
      <w:proofErr w:type="gramStart"/>
      <w:r>
        <w:rPr>
          <w:i/>
        </w:rPr>
        <w:t>Norfolk and Western Ry. v. Pa. Pub.</w:t>
      </w:r>
      <w:proofErr w:type="gramEnd"/>
      <w:r>
        <w:rPr>
          <w:i/>
        </w:rPr>
        <w:t xml:space="preserve"> </w:t>
      </w:r>
      <w:proofErr w:type="gramStart"/>
      <w:r>
        <w:rPr>
          <w:i/>
        </w:rPr>
        <w:t xml:space="preserve">Util. Comm'n, </w:t>
      </w:r>
      <w:r w:rsidRPr="004913C4">
        <w:t>489 Pa. 109, 413 A.2d</w:t>
      </w:r>
      <w:r>
        <w:t xml:space="preserve"> 1037 (1980); </w:t>
      </w:r>
      <w:r>
        <w:rPr>
          <w:i/>
        </w:rPr>
        <w:t>Erie Resistor Corp. v. Unemployment Compensation Bd.</w:t>
      </w:r>
      <w:proofErr w:type="gramEnd"/>
      <w:r>
        <w:rPr>
          <w:i/>
        </w:rPr>
        <w:t xml:space="preserve"> </w:t>
      </w:r>
      <w:proofErr w:type="gramStart"/>
      <w:r>
        <w:rPr>
          <w:i/>
        </w:rPr>
        <w:t xml:space="preserve">Of Review, </w:t>
      </w:r>
      <w:r>
        <w:t>166 A.2d 96 (</w:t>
      </w:r>
      <w:proofErr w:type="spellStart"/>
      <w:r>
        <w:t>Pa.Super</w:t>
      </w:r>
      <w:proofErr w:type="spellEnd"/>
      <w:r>
        <w:t xml:space="preserve">. 1960); </w:t>
      </w:r>
      <w:r>
        <w:rPr>
          <w:i/>
        </w:rPr>
        <w:t>Murphy v. Dep't.</w:t>
      </w:r>
      <w:proofErr w:type="gramEnd"/>
      <w:r>
        <w:rPr>
          <w:i/>
        </w:rPr>
        <w:t xml:space="preserve"> </w:t>
      </w:r>
      <w:proofErr w:type="gramStart"/>
      <w:r>
        <w:rPr>
          <w:i/>
        </w:rPr>
        <w:t>of</w:t>
      </w:r>
      <w:proofErr w:type="gramEnd"/>
      <w:r>
        <w:rPr>
          <w:i/>
        </w:rPr>
        <w:t xml:space="preserve"> Public Welfare, White Haven Center, </w:t>
      </w:r>
      <w:r>
        <w:t>480 A.2d 382 (Pa.Cmwlth. 1984).</w:t>
      </w:r>
    </w:p>
    <w:p w:rsidR="00322341" w:rsidRDefault="00322341" w:rsidP="00322341">
      <w:pPr>
        <w:jc w:val="left"/>
      </w:pPr>
    </w:p>
    <w:p w:rsidR="00322341" w:rsidRDefault="00322341" w:rsidP="00322341">
      <w:pPr>
        <w:jc w:val="left"/>
      </w:pPr>
      <w:r>
        <w:tab/>
      </w:r>
      <w:r>
        <w:tab/>
        <w:t xml:space="preserve">The offense must be a violation of the Public Utility Code, the Commission's regulations, or an outstanding order of the Commission.  </w:t>
      </w:r>
      <w:proofErr w:type="gramStart"/>
      <w:r>
        <w:t>66 Pa.C.S.</w:t>
      </w:r>
      <w:proofErr w:type="gramEnd"/>
      <w:r>
        <w:t xml:space="preserve"> § 701.</w:t>
      </w:r>
    </w:p>
    <w:p w:rsidR="00322341" w:rsidRDefault="00322341" w:rsidP="00322341">
      <w:pPr>
        <w:jc w:val="left"/>
      </w:pPr>
    </w:p>
    <w:p w:rsidR="00322341" w:rsidRDefault="00322341" w:rsidP="00322341">
      <w:pPr>
        <w:ind w:firstLine="1440"/>
        <w:jc w:val="left"/>
      </w:pPr>
      <w:r>
        <w:t xml:space="preserve">As the proponent of a Commission order, complainant has the burden of proof in this case.  </w:t>
      </w:r>
      <w:proofErr w:type="gramStart"/>
      <w:r>
        <w:t>66 Pa.C.S.A.</w:t>
      </w:r>
      <w:proofErr w:type="gramEnd"/>
      <w:r>
        <w:t xml:space="preserve"> § 332(a).</w:t>
      </w:r>
    </w:p>
    <w:p w:rsidR="00334AB2" w:rsidRDefault="00334AB2" w:rsidP="00322341">
      <w:pPr>
        <w:ind w:firstLine="1440"/>
        <w:jc w:val="left"/>
      </w:pPr>
    </w:p>
    <w:p w:rsidR="00B7188A" w:rsidRDefault="00334AB2" w:rsidP="00322341">
      <w:pPr>
        <w:ind w:firstLine="1440"/>
        <w:jc w:val="left"/>
      </w:pPr>
      <w:r>
        <w:t>Complainant's argument relied upon a letter from UGI Utilities, Inc.</w:t>
      </w:r>
      <w:r w:rsidR="00B7188A">
        <w:t xml:space="preserve"> (UGI)</w:t>
      </w:r>
      <w:r>
        <w:t xml:space="preserve"> to another person, whose identification information was blacked out.  </w:t>
      </w:r>
      <w:r w:rsidR="00B7188A">
        <w:t xml:space="preserve">He stated that it showed that the utility company had provided </w:t>
      </w:r>
      <w:r w:rsidR="00C475CF">
        <w:t>CRISIS</w:t>
      </w:r>
      <w:r w:rsidR="00B7188A">
        <w:t xml:space="preserve"> funds to its customers without the need to file for it individually.  If one company is doing this, then he reasoned that others may be doing it as well, and since the funding is federal, the action is not legal.  </w:t>
      </w:r>
      <w:proofErr w:type="gramStart"/>
      <w:r w:rsidR="00B7188A">
        <w:t>Tr. 14.</w:t>
      </w:r>
      <w:proofErr w:type="gramEnd"/>
      <w:r w:rsidR="00B7188A">
        <w:t xml:space="preserve">  He insisted that the basis of his Complaint is that UGI provided their customers </w:t>
      </w:r>
      <w:r w:rsidR="00C475CF">
        <w:t>with CRISIS</w:t>
      </w:r>
      <w:r w:rsidR="00B7188A">
        <w:t xml:space="preserve"> funds without the need for the customer to do anything, and that is the basis for his Complaint.  </w:t>
      </w:r>
    </w:p>
    <w:p w:rsidR="00B7188A" w:rsidRDefault="00B7188A" w:rsidP="00322341">
      <w:pPr>
        <w:ind w:firstLine="1440"/>
        <w:jc w:val="left"/>
      </w:pPr>
    </w:p>
    <w:p w:rsidR="00B7188A" w:rsidRDefault="00B7188A" w:rsidP="00322341">
      <w:pPr>
        <w:ind w:firstLine="1440"/>
        <w:jc w:val="left"/>
      </w:pPr>
      <w:r>
        <w:t>Complainant's letter from UGI was not admitted as it was neither relevant to the case brought against PPL nor was it properly authenticated.</w:t>
      </w:r>
      <w:r w:rsidR="008A089F">
        <w:rPr>
          <w:rStyle w:val="FootnoteReference"/>
        </w:rPr>
        <w:footnoteReference w:id="2"/>
      </w:r>
      <w:r>
        <w:t xml:space="preserve">  </w:t>
      </w:r>
      <w:proofErr w:type="gramStart"/>
      <w:r>
        <w:t>Tr. 18.</w:t>
      </w:r>
      <w:proofErr w:type="gramEnd"/>
      <w:r>
        <w:t xml:space="preserve">  </w:t>
      </w:r>
      <w:r w:rsidR="00321FBB">
        <w:t xml:space="preserve">Complainant was adamant at the end of the hearing that this letter was so important that he intended to attempt to have it admitted with an affidavit following the hearing.  Tr. 49-52.  However, as he was neither the author nor the intended recipient of the letter, his affidavit would not provide proper authentication; nor would it cause a letter from UGI to his neighbor to become relevant to Complainant's case against PPL.  </w:t>
      </w:r>
    </w:p>
    <w:p w:rsidR="00B7188A" w:rsidRDefault="00B7188A" w:rsidP="00322341">
      <w:pPr>
        <w:ind w:firstLine="1440"/>
        <w:jc w:val="left"/>
      </w:pPr>
    </w:p>
    <w:p w:rsidR="00334AB2" w:rsidRDefault="00B7188A" w:rsidP="00322341">
      <w:pPr>
        <w:ind w:firstLine="1440"/>
        <w:jc w:val="left"/>
      </w:pPr>
      <w:r>
        <w:t xml:space="preserve">Regarding PPL, Complainant avers that PPL uses a discriminatory policy in the way that they disburse CRISIS funds.  </w:t>
      </w:r>
      <w:proofErr w:type="gramStart"/>
      <w:r>
        <w:t>Tr. 18.</w:t>
      </w:r>
      <w:proofErr w:type="gramEnd"/>
      <w:r>
        <w:t xml:space="preserve"> </w:t>
      </w:r>
      <w:r w:rsidR="009D3254">
        <w:t xml:space="preserve">He seeks a Commission investigation regarding the use of federal funds by all Pennsylvania electric distribution companies.  </w:t>
      </w:r>
      <w:proofErr w:type="gramStart"/>
      <w:r w:rsidR="009D3254">
        <w:t>Tr. 23.</w:t>
      </w:r>
      <w:proofErr w:type="gramEnd"/>
      <w:r w:rsidR="009D3254">
        <w:t xml:space="preserve">  He made this claim without supplying any evidence whatsoever that PPL had acted or had failed to act in a way which misused federal funding or that he had been injured in any way.  </w:t>
      </w:r>
    </w:p>
    <w:p w:rsidR="000941E3" w:rsidRDefault="000941E3" w:rsidP="00322341">
      <w:pPr>
        <w:ind w:firstLine="1440"/>
        <w:jc w:val="left"/>
      </w:pPr>
    </w:p>
    <w:p w:rsidR="000941E3" w:rsidRDefault="000941E3" w:rsidP="00322341">
      <w:pPr>
        <w:ind w:firstLine="1440"/>
        <w:jc w:val="left"/>
      </w:pPr>
      <w:r>
        <w:t xml:space="preserve">Rather, he obtained a copy of a letter </w:t>
      </w:r>
      <w:r w:rsidR="007F427A">
        <w:t xml:space="preserve">sent by another utility </w:t>
      </w:r>
      <w:r w:rsidR="00EE4169">
        <w:t>addressed to the other utility's customer,</w:t>
      </w:r>
      <w:r w:rsidR="007F427A">
        <w:t xml:space="preserve"> which made </w:t>
      </w:r>
      <w:r w:rsidR="00EE4169">
        <w:t>Complainant</w:t>
      </w:r>
      <w:r w:rsidR="007F427A">
        <w:t xml:space="preserve"> believe that the other utility was acting in a way which he found to be </w:t>
      </w:r>
      <w:r w:rsidR="00EE4169">
        <w:t xml:space="preserve">inconsistent with what he had experienced with his own utility, PPL.  </w:t>
      </w:r>
      <w:proofErr w:type="gramStart"/>
      <w:r w:rsidR="007F427A">
        <w:t>Tr. 43.</w:t>
      </w:r>
      <w:proofErr w:type="gramEnd"/>
      <w:r w:rsidR="007F427A">
        <w:t xml:space="preserve">  It is not clear why he chose to file this Complaint against PPL as he </w:t>
      </w:r>
      <w:r w:rsidR="00801331">
        <w:t>provided</w:t>
      </w:r>
      <w:r w:rsidR="007F427A">
        <w:t xml:space="preserve"> no evidence against PPL at all.  </w:t>
      </w:r>
    </w:p>
    <w:p w:rsidR="004F048D" w:rsidRDefault="004F048D" w:rsidP="00322341">
      <w:pPr>
        <w:ind w:firstLine="1440"/>
        <w:jc w:val="left"/>
      </w:pPr>
    </w:p>
    <w:p w:rsidR="00AC3F0E" w:rsidRDefault="00801331" w:rsidP="00801331">
      <w:pPr>
        <w:ind w:firstLine="1440"/>
        <w:jc w:val="left"/>
      </w:pPr>
      <w:r>
        <w:t xml:space="preserve">PPL's representatives are commended for their patient and polite handling of this matter.  </w:t>
      </w:r>
      <w:r w:rsidR="00EE4169">
        <w:t>As there is no evidence of any wrongdoing or harm, t</w:t>
      </w:r>
      <w:r>
        <w:t xml:space="preserve">he Complaint is dismissed for failure of Complainant to carry </w:t>
      </w:r>
      <w:r w:rsidR="00EE4169">
        <w:t>his</w:t>
      </w:r>
      <w:r>
        <w:t xml:space="preserve"> burden of proof.  </w:t>
      </w:r>
    </w:p>
    <w:p w:rsidR="00322341" w:rsidRDefault="00322341" w:rsidP="00AC3F0E">
      <w:pPr>
        <w:jc w:val="left"/>
      </w:pPr>
    </w:p>
    <w:p w:rsidR="00322341" w:rsidRDefault="00322341" w:rsidP="00322341">
      <w:pPr>
        <w:rPr>
          <w:u w:val="single"/>
        </w:rPr>
      </w:pPr>
      <w:r>
        <w:rPr>
          <w:u w:val="single"/>
        </w:rPr>
        <w:t>CONCLUSIONS OF LAW</w:t>
      </w:r>
    </w:p>
    <w:p w:rsidR="00322341" w:rsidRDefault="00322341" w:rsidP="00322341">
      <w:pPr>
        <w:rPr>
          <w:u w:val="single"/>
        </w:rPr>
      </w:pPr>
    </w:p>
    <w:p w:rsidR="00322341" w:rsidRPr="00CA4675" w:rsidRDefault="00322341" w:rsidP="00322341">
      <w:pPr>
        <w:jc w:val="left"/>
      </w:pPr>
      <w:r>
        <w:tab/>
      </w:r>
      <w:r>
        <w:tab/>
      </w:r>
      <w:r w:rsidRPr="00CA4675">
        <w:t>1.</w:t>
      </w:r>
      <w:r w:rsidRPr="00CA4675">
        <w:tab/>
        <w:t>The Commission has jurisdiction over this matter.</w:t>
      </w:r>
      <w:r>
        <w:t xml:space="preserve">  </w:t>
      </w:r>
      <w:proofErr w:type="gramStart"/>
      <w:r>
        <w:t>66 Pa.C.S.</w:t>
      </w:r>
      <w:proofErr w:type="gramEnd"/>
      <w:r>
        <w:t xml:space="preserve"> § 70</w:t>
      </w:r>
      <w:r w:rsidR="00C475CF">
        <w:t>1</w:t>
      </w:r>
      <w:r>
        <w:t>.</w:t>
      </w:r>
    </w:p>
    <w:p w:rsidR="00322341" w:rsidRPr="00CA4675" w:rsidRDefault="00322341" w:rsidP="00322341">
      <w:pPr>
        <w:jc w:val="left"/>
      </w:pPr>
    </w:p>
    <w:p w:rsidR="00322341" w:rsidRPr="00CA4675" w:rsidRDefault="00322341" w:rsidP="00322341">
      <w:pPr>
        <w:jc w:val="left"/>
      </w:pPr>
      <w:r w:rsidRPr="00CA4675">
        <w:tab/>
      </w:r>
      <w:r w:rsidRPr="00CA4675">
        <w:tab/>
        <w:t>2.</w:t>
      </w:r>
      <w:r w:rsidRPr="00CA4675">
        <w:tab/>
        <w:t xml:space="preserve">The party seeking affirmative relief from the Commission bears the burden of proof.  </w:t>
      </w:r>
      <w:proofErr w:type="gramStart"/>
      <w:r w:rsidRPr="00CA4675">
        <w:t>66 Pa.C.S.</w:t>
      </w:r>
      <w:proofErr w:type="gramEnd"/>
      <w:r w:rsidRPr="00CA4675">
        <w:t xml:space="preserve"> § 332(a).</w:t>
      </w:r>
    </w:p>
    <w:p w:rsidR="00322341" w:rsidRPr="00CA4675" w:rsidRDefault="00322341" w:rsidP="00322341">
      <w:pPr>
        <w:jc w:val="left"/>
      </w:pPr>
    </w:p>
    <w:p w:rsidR="00322341" w:rsidRPr="00CA4675" w:rsidRDefault="00322341" w:rsidP="00322341">
      <w:pPr>
        <w:jc w:val="left"/>
      </w:pPr>
      <w:r w:rsidRPr="00CA4675">
        <w:tab/>
      </w:r>
      <w:r w:rsidRPr="00CA4675">
        <w:tab/>
        <w:t>3.</w:t>
      </w:r>
      <w:r w:rsidRPr="00CA4675">
        <w:tab/>
        <w:t xml:space="preserve">As a matter of law, a complainant must show that the named utility is responsible or accountable for the problem described in the Complaint in order to prevail.  </w:t>
      </w:r>
      <w:proofErr w:type="gramStart"/>
      <w:r w:rsidRPr="00CA4675">
        <w:rPr>
          <w:i/>
        </w:rPr>
        <w:t xml:space="preserve">Patterson v. Bell Tel. Co. of PA, </w:t>
      </w:r>
      <w:r>
        <w:t>72 Pa. PUC</w:t>
      </w:r>
      <w:r w:rsidRPr="00CA4675">
        <w:t xml:space="preserve"> 196 (1990); </w:t>
      </w:r>
      <w:r w:rsidRPr="00CA4675">
        <w:rPr>
          <w:i/>
        </w:rPr>
        <w:t>Feinstein v. Phila.</w:t>
      </w:r>
      <w:proofErr w:type="gramEnd"/>
      <w:r w:rsidRPr="00CA4675">
        <w:rPr>
          <w:i/>
        </w:rPr>
        <w:t xml:space="preserve"> </w:t>
      </w:r>
      <w:proofErr w:type="gramStart"/>
      <w:r w:rsidRPr="00CA4675">
        <w:rPr>
          <w:i/>
        </w:rPr>
        <w:t xml:space="preserve">Suburban Water Co., </w:t>
      </w:r>
      <w:r w:rsidRPr="00CA4675">
        <w:t>50 Pa. PUC 300 (1976).</w:t>
      </w:r>
      <w:proofErr w:type="gramEnd"/>
    </w:p>
    <w:p w:rsidR="00322341" w:rsidRPr="00CA4675" w:rsidRDefault="00322341" w:rsidP="00322341">
      <w:pPr>
        <w:jc w:val="left"/>
      </w:pPr>
    </w:p>
    <w:p w:rsidR="00322341" w:rsidRPr="00CA4675" w:rsidRDefault="00322341" w:rsidP="00322341">
      <w:pPr>
        <w:jc w:val="left"/>
      </w:pPr>
      <w:r w:rsidRPr="00CA4675">
        <w:tab/>
      </w:r>
      <w:r w:rsidRPr="00CA4675">
        <w:tab/>
        <w:t>4.</w:t>
      </w:r>
      <w:r w:rsidRPr="00CA4675">
        <w:tab/>
        <w:t>This must be shown by a prep</w:t>
      </w:r>
      <w:r>
        <w:t xml:space="preserve">onderance of the evidence.  </w:t>
      </w:r>
      <w:proofErr w:type="gramStart"/>
      <w:r w:rsidRPr="00CA4675">
        <w:rPr>
          <w:i/>
        </w:rPr>
        <w:t>Samuel J. Lansberry, Inc. v. Pa. Pub.</w:t>
      </w:r>
      <w:proofErr w:type="gramEnd"/>
      <w:r w:rsidRPr="00CA4675">
        <w:rPr>
          <w:i/>
        </w:rPr>
        <w:t xml:space="preserve"> </w:t>
      </w:r>
      <w:proofErr w:type="gramStart"/>
      <w:r w:rsidRPr="00CA4675">
        <w:rPr>
          <w:i/>
        </w:rPr>
        <w:t xml:space="preserve">Util. Comm'n, </w:t>
      </w:r>
      <w:r w:rsidRPr="00CA4675">
        <w:t>578 A.2d 600 (</w:t>
      </w:r>
      <w:r>
        <w:t xml:space="preserve">Pa.Cmwlth. </w:t>
      </w:r>
      <w:r w:rsidRPr="00CA4675">
        <w:t xml:space="preserve">1990), </w:t>
      </w:r>
      <w:r w:rsidRPr="00CA4675">
        <w:rPr>
          <w:i/>
        </w:rPr>
        <w:t>alloc, denied</w:t>
      </w:r>
      <w:r w:rsidRPr="00CA4675">
        <w:t>, 602 A.2d 863 (1992).</w:t>
      </w:r>
      <w:proofErr w:type="gramEnd"/>
      <w:r w:rsidRPr="00CA4675">
        <w:t xml:space="preserve">  A preponderance of evidence is that which is more convincing, by even the smallest amount, than that presented by the other party.  </w:t>
      </w:r>
      <w:proofErr w:type="gramStart"/>
      <w:r w:rsidRPr="00CA4675">
        <w:rPr>
          <w:i/>
        </w:rPr>
        <w:t>Se-Ling Hosiery v. Margulies,</w:t>
      </w:r>
      <w:r w:rsidRPr="00CA4675">
        <w:t xml:space="preserve"> </w:t>
      </w:r>
      <w:r>
        <w:t xml:space="preserve">364 Pa. 45, </w:t>
      </w:r>
      <w:r w:rsidRPr="00CA4675">
        <w:t xml:space="preserve">70 A.2d 854 </w:t>
      </w:r>
      <w:r>
        <w:t xml:space="preserve">1950 Pa. LEXIS 316 </w:t>
      </w:r>
      <w:r w:rsidRPr="00CA4675">
        <w:t>(1950).</w:t>
      </w:r>
      <w:proofErr w:type="gramEnd"/>
    </w:p>
    <w:p w:rsidR="00322341" w:rsidRPr="00CA4675" w:rsidRDefault="00322341" w:rsidP="00322341">
      <w:pPr>
        <w:jc w:val="left"/>
      </w:pPr>
    </w:p>
    <w:p w:rsidR="00322341" w:rsidRPr="00CA4675" w:rsidRDefault="00322341" w:rsidP="00322341">
      <w:pPr>
        <w:jc w:val="left"/>
      </w:pPr>
      <w:r w:rsidRPr="00CA4675">
        <w:tab/>
      </w:r>
      <w:r w:rsidRPr="00CA4675">
        <w:tab/>
        <w:t>5.</w:t>
      </w:r>
      <w:r w:rsidRPr="00CA4675">
        <w:tab/>
        <w:t xml:space="preserve">Any finding of fact necessary to support the Commission's adjudication must be based upon substantial evidence.  </w:t>
      </w:r>
      <w:proofErr w:type="gramStart"/>
      <w:r w:rsidRPr="00CA4675">
        <w:rPr>
          <w:i/>
        </w:rPr>
        <w:t>Mill v. Pa. Pub.</w:t>
      </w:r>
      <w:proofErr w:type="gramEnd"/>
      <w:r w:rsidRPr="00CA4675">
        <w:rPr>
          <w:i/>
        </w:rPr>
        <w:t xml:space="preserve"> </w:t>
      </w:r>
      <w:proofErr w:type="gramStart"/>
      <w:r w:rsidRPr="00CA4675">
        <w:rPr>
          <w:i/>
        </w:rPr>
        <w:t>Util. Comm'n</w:t>
      </w:r>
      <w:r w:rsidRPr="00CA4675">
        <w:t xml:space="preserve">, 447 A.2d 1100 (Pa.Cmwlth. 1982); </w:t>
      </w:r>
      <w:r w:rsidRPr="00CA4675">
        <w:rPr>
          <w:i/>
        </w:rPr>
        <w:t>Edan Transportation Corp. v. Pa. Pub.</w:t>
      </w:r>
      <w:proofErr w:type="gramEnd"/>
      <w:r w:rsidRPr="00CA4675">
        <w:rPr>
          <w:i/>
        </w:rPr>
        <w:t xml:space="preserve"> </w:t>
      </w:r>
      <w:proofErr w:type="gramStart"/>
      <w:r w:rsidRPr="00CA4675">
        <w:rPr>
          <w:i/>
        </w:rPr>
        <w:t xml:space="preserve">Util. Comm'n, </w:t>
      </w:r>
      <w:r w:rsidRPr="00CA4675">
        <w:t>623 A.2d 6 (Pa. Cmwlth. 1993); 2 Pa.C.S.</w:t>
      </w:r>
      <w:proofErr w:type="gramEnd"/>
      <w:r w:rsidRPr="00CA4675">
        <w:t xml:space="preserve"> § 704.  More is required than a mere trace of evidence or a suspicion of the existence of a fact sought to be established.  </w:t>
      </w:r>
      <w:proofErr w:type="gramStart"/>
      <w:r w:rsidRPr="00CA4675">
        <w:rPr>
          <w:i/>
        </w:rPr>
        <w:t>Norfolk and Western Ry. v. Pa. Pub.</w:t>
      </w:r>
      <w:proofErr w:type="gramEnd"/>
      <w:r w:rsidRPr="00CA4675">
        <w:rPr>
          <w:i/>
        </w:rPr>
        <w:t xml:space="preserve"> </w:t>
      </w:r>
      <w:proofErr w:type="gramStart"/>
      <w:r w:rsidRPr="00CA4675">
        <w:rPr>
          <w:i/>
        </w:rPr>
        <w:t xml:space="preserve">Util. Comm'n, </w:t>
      </w:r>
      <w:r w:rsidRPr="00CA4675">
        <w:t xml:space="preserve">489 Pa. 109, 413 A.2d 1037 (1980); </w:t>
      </w:r>
      <w:r w:rsidRPr="00CA4675">
        <w:rPr>
          <w:i/>
        </w:rPr>
        <w:t>Erie Resistor Corp. v. Unemployment Compensation Bd.</w:t>
      </w:r>
      <w:proofErr w:type="gramEnd"/>
      <w:r w:rsidRPr="00CA4675">
        <w:rPr>
          <w:i/>
        </w:rPr>
        <w:t xml:space="preserve"> </w:t>
      </w:r>
      <w:proofErr w:type="gramStart"/>
      <w:r w:rsidRPr="00CA4675">
        <w:rPr>
          <w:i/>
        </w:rPr>
        <w:t xml:space="preserve">Of Review, </w:t>
      </w:r>
      <w:r w:rsidRPr="00CA4675">
        <w:t>166 A.2d 96 (</w:t>
      </w:r>
      <w:proofErr w:type="spellStart"/>
      <w:r w:rsidRPr="00CA4675">
        <w:t>Pa.Super</w:t>
      </w:r>
      <w:proofErr w:type="spellEnd"/>
      <w:r w:rsidRPr="00CA4675">
        <w:t xml:space="preserve">. 1960); </w:t>
      </w:r>
      <w:r w:rsidRPr="00CA4675">
        <w:rPr>
          <w:i/>
        </w:rPr>
        <w:t>Murphy v. Dep't.</w:t>
      </w:r>
      <w:proofErr w:type="gramEnd"/>
      <w:r w:rsidRPr="00CA4675">
        <w:rPr>
          <w:i/>
        </w:rPr>
        <w:t xml:space="preserve"> </w:t>
      </w:r>
      <w:proofErr w:type="gramStart"/>
      <w:r w:rsidRPr="00CA4675">
        <w:rPr>
          <w:i/>
        </w:rPr>
        <w:t>of</w:t>
      </w:r>
      <w:proofErr w:type="gramEnd"/>
      <w:r w:rsidRPr="00CA4675">
        <w:rPr>
          <w:i/>
        </w:rPr>
        <w:t xml:space="preserve"> Public Welfare, White Haven Center, </w:t>
      </w:r>
      <w:r>
        <w:t>480 A.2d 382 (Pa.</w:t>
      </w:r>
      <w:r w:rsidRPr="00CA4675">
        <w:t>Cmwlth. 1984).</w:t>
      </w:r>
    </w:p>
    <w:p w:rsidR="00322341" w:rsidRPr="00CA4675" w:rsidRDefault="00322341" w:rsidP="00322341">
      <w:pPr>
        <w:jc w:val="left"/>
      </w:pPr>
    </w:p>
    <w:p w:rsidR="00322341" w:rsidRDefault="00322341" w:rsidP="00322341">
      <w:pPr>
        <w:jc w:val="left"/>
      </w:pPr>
      <w:r w:rsidRPr="00CA4675">
        <w:tab/>
      </w:r>
      <w:r w:rsidRPr="00CA4675">
        <w:tab/>
        <w:t>6.</w:t>
      </w:r>
      <w:r w:rsidRPr="00CA4675">
        <w:tab/>
        <w:t xml:space="preserve">The offense must be a violation of the Public Utility Code, the Commission's regulations, or an outstanding order of the Commission.  </w:t>
      </w:r>
      <w:proofErr w:type="gramStart"/>
      <w:r w:rsidRPr="00CA4675">
        <w:t>66 Pa.C.S.</w:t>
      </w:r>
      <w:proofErr w:type="gramEnd"/>
      <w:r w:rsidRPr="00CA4675">
        <w:t xml:space="preserve"> § 701</w:t>
      </w:r>
      <w:r>
        <w:t>.</w:t>
      </w:r>
    </w:p>
    <w:p w:rsidR="00801331" w:rsidRDefault="00801331" w:rsidP="00322341">
      <w:pPr>
        <w:jc w:val="left"/>
      </w:pPr>
    </w:p>
    <w:p w:rsidR="00801331" w:rsidRDefault="00801331" w:rsidP="00322341">
      <w:pPr>
        <w:jc w:val="left"/>
      </w:pPr>
      <w:r>
        <w:tab/>
      </w:r>
      <w:r>
        <w:tab/>
        <w:t>7.</w:t>
      </w:r>
      <w:r>
        <w:tab/>
        <w:t xml:space="preserve">Complainant has failed to sustain his burden of proving that PPL Electric Utilities Corporation has violated the Public Utility Code, the Commission's regulations, or an outstanding order of the Commission.  </w:t>
      </w:r>
    </w:p>
    <w:p w:rsidR="00801331" w:rsidRDefault="00801331" w:rsidP="00322341">
      <w:pPr>
        <w:jc w:val="left"/>
      </w:pPr>
    </w:p>
    <w:p w:rsidR="00801331" w:rsidRDefault="00801331" w:rsidP="00801331">
      <w:pPr>
        <w:rPr>
          <w:b/>
          <w:u w:val="single"/>
        </w:rPr>
      </w:pPr>
      <w:r>
        <w:rPr>
          <w:b/>
          <w:u w:val="single"/>
        </w:rPr>
        <w:t>ORDER</w:t>
      </w:r>
    </w:p>
    <w:p w:rsidR="00801331" w:rsidRDefault="00801331" w:rsidP="00801331">
      <w:pPr>
        <w:jc w:val="left"/>
      </w:pPr>
    </w:p>
    <w:p w:rsidR="006C338E" w:rsidRDefault="006C338E" w:rsidP="00801331">
      <w:pPr>
        <w:jc w:val="left"/>
      </w:pPr>
    </w:p>
    <w:p w:rsidR="00801331" w:rsidRDefault="00801331" w:rsidP="00801331">
      <w:pPr>
        <w:jc w:val="left"/>
      </w:pPr>
      <w:r>
        <w:tab/>
      </w:r>
      <w:r>
        <w:tab/>
        <w:t>THEREFORE,</w:t>
      </w:r>
    </w:p>
    <w:p w:rsidR="00801331" w:rsidRDefault="00801331" w:rsidP="00801331">
      <w:pPr>
        <w:jc w:val="left"/>
      </w:pPr>
    </w:p>
    <w:p w:rsidR="00801331" w:rsidRDefault="00801331" w:rsidP="00801331">
      <w:pPr>
        <w:jc w:val="left"/>
      </w:pPr>
      <w:r>
        <w:tab/>
      </w:r>
      <w:r>
        <w:tab/>
        <w:t>IT IS ORDERED:</w:t>
      </w:r>
    </w:p>
    <w:p w:rsidR="00801331" w:rsidRDefault="00801331" w:rsidP="00801331">
      <w:pPr>
        <w:jc w:val="left"/>
      </w:pPr>
    </w:p>
    <w:p w:rsidR="00801331" w:rsidRDefault="00801331" w:rsidP="00801331">
      <w:pPr>
        <w:jc w:val="left"/>
      </w:pPr>
      <w:r>
        <w:tab/>
      </w:r>
      <w:r>
        <w:tab/>
        <w:t>1.</w:t>
      </w:r>
      <w:r>
        <w:tab/>
        <w:t>That the formal Complaint filed by Anthony P. Catanzaro against PPL Electric Utilities Corporation at Docket No. C-2015-2505627 is dismissed.</w:t>
      </w:r>
    </w:p>
    <w:p w:rsidR="00801331" w:rsidRDefault="00801331" w:rsidP="00801331">
      <w:pPr>
        <w:jc w:val="left"/>
      </w:pPr>
    </w:p>
    <w:p w:rsidR="00801331" w:rsidRDefault="00801331" w:rsidP="00801331">
      <w:pPr>
        <w:jc w:val="left"/>
      </w:pPr>
      <w:r>
        <w:tab/>
      </w:r>
      <w:r>
        <w:tab/>
        <w:t>2.</w:t>
      </w:r>
      <w:r>
        <w:tab/>
        <w:t xml:space="preserve">That the Secretary </w:t>
      </w:r>
      <w:proofErr w:type="gramStart"/>
      <w:r>
        <w:t>mark</w:t>
      </w:r>
      <w:proofErr w:type="gramEnd"/>
      <w:r>
        <w:t xml:space="preserve"> this docket closed.</w:t>
      </w:r>
    </w:p>
    <w:p w:rsidR="00801331" w:rsidRDefault="00801331" w:rsidP="00801331">
      <w:pPr>
        <w:jc w:val="left"/>
      </w:pPr>
    </w:p>
    <w:p w:rsidR="00801331" w:rsidRDefault="00801331" w:rsidP="00801331">
      <w:pPr>
        <w:jc w:val="left"/>
      </w:pPr>
    </w:p>
    <w:p w:rsidR="00801331" w:rsidRDefault="00801331" w:rsidP="00801331">
      <w:pPr>
        <w:spacing w:line="240" w:lineRule="auto"/>
        <w:jc w:val="left"/>
      </w:pPr>
      <w:r>
        <w:t>Dated:</w:t>
      </w:r>
      <w:r>
        <w:tab/>
      </w:r>
      <w:r>
        <w:rPr>
          <w:u w:val="single"/>
        </w:rPr>
        <w:t>February 9, 2016</w:t>
      </w:r>
      <w:r>
        <w:tab/>
      </w:r>
      <w:r>
        <w:tab/>
      </w:r>
      <w:r>
        <w:tab/>
      </w:r>
      <w:r>
        <w:tab/>
      </w:r>
      <w:r>
        <w:tab/>
      </w:r>
      <w:r>
        <w:tab/>
      </w:r>
      <w:r>
        <w:rPr>
          <w:u w:val="single"/>
        </w:rPr>
        <w:t>_____/</w:t>
      </w:r>
      <w:r>
        <w:rPr>
          <w:rFonts w:ascii="Berlin Sans FB" w:hAnsi="Berlin Sans FB"/>
          <w:u w:val="single"/>
        </w:rPr>
        <w:t>s</w:t>
      </w:r>
      <w:r>
        <w:rPr>
          <w:u w:val="single"/>
        </w:rPr>
        <w:t>/_______________</w:t>
      </w:r>
    </w:p>
    <w:p w:rsidR="00801331" w:rsidRDefault="00801331" w:rsidP="00801331">
      <w:pPr>
        <w:spacing w:line="240" w:lineRule="auto"/>
        <w:jc w:val="left"/>
      </w:pPr>
      <w:r>
        <w:tab/>
      </w:r>
      <w:r>
        <w:tab/>
      </w:r>
      <w:r>
        <w:tab/>
      </w:r>
      <w:r>
        <w:tab/>
      </w:r>
      <w:r>
        <w:tab/>
      </w:r>
      <w:r>
        <w:tab/>
      </w:r>
      <w:r>
        <w:tab/>
      </w:r>
      <w:r>
        <w:tab/>
      </w:r>
      <w:r>
        <w:tab/>
        <w:t>Susan D. Colwell</w:t>
      </w:r>
    </w:p>
    <w:p w:rsidR="00801331" w:rsidRDefault="00801331" w:rsidP="00801331">
      <w:pPr>
        <w:spacing w:line="240" w:lineRule="auto"/>
        <w:jc w:val="left"/>
      </w:pPr>
      <w:r>
        <w:tab/>
      </w:r>
      <w:r>
        <w:tab/>
      </w:r>
      <w:r>
        <w:tab/>
      </w:r>
      <w:r>
        <w:tab/>
      </w:r>
      <w:r>
        <w:tab/>
      </w:r>
      <w:r>
        <w:tab/>
      </w:r>
      <w:r>
        <w:tab/>
      </w:r>
      <w:r>
        <w:tab/>
      </w:r>
      <w:r>
        <w:tab/>
        <w:t>Administrative Law Judge</w:t>
      </w:r>
    </w:p>
    <w:p w:rsidR="00801331" w:rsidRPr="00801331" w:rsidRDefault="00801331" w:rsidP="00801331">
      <w:pPr>
        <w:spacing w:line="240" w:lineRule="auto"/>
        <w:jc w:val="left"/>
      </w:pPr>
      <w:r>
        <w:tab/>
      </w:r>
    </w:p>
    <w:p w:rsidR="00322341" w:rsidRPr="00CA4675" w:rsidRDefault="00322341" w:rsidP="00322341">
      <w:pPr>
        <w:jc w:val="left"/>
      </w:pPr>
    </w:p>
    <w:p w:rsidR="00322341" w:rsidRPr="00322341" w:rsidRDefault="00322341" w:rsidP="00322341">
      <w:pPr>
        <w:jc w:val="left"/>
      </w:pPr>
    </w:p>
    <w:sectPr w:rsidR="00322341" w:rsidRPr="00322341" w:rsidSect="00AF742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1DC" w:rsidRDefault="00C511DC" w:rsidP="00352025">
      <w:pPr>
        <w:spacing w:line="240" w:lineRule="auto"/>
      </w:pPr>
      <w:r>
        <w:separator/>
      </w:r>
    </w:p>
  </w:endnote>
  <w:endnote w:type="continuationSeparator" w:id="0">
    <w:p w:rsidR="00C511DC" w:rsidRDefault="00C511DC" w:rsidP="00352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88810"/>
      <w:docPartObj>
        <w:docPartGallery w:val="Page Numbers (Bottom of Page)"/>
        <w:docPartUnique/>
      </w:docPartObj>
    </w:sdtPr>
    <w:sdtEndPr>
      <w:rPr>
        <w:noProof/>
      </w:rPr>
    </w:sdtEndPr>
    <w:sdtContent>
      <w:p w:rsidR="00AF742F" w:rsidRDefault="00AF742F">
        <w:pPr>
          <w:pStyle w:val="Footer"/>
        </w:pPr>
        <w:r w:rsidRPr="006C338E">
          <w:rPr>
            <w:sz w:val="20"/>
            <w:szCs w:val="20"/>
          </w:rPr>
          <w:fldChar w:fldCharType="begin"/>
        </w:r>
        <w:r w:rsidRPr="006C338E">
          <w:rPr>
            <w:sz w:val="20"/>
            <w:szCs w:val="20"/>
          </w:rPr>
          <w:instrText xml:space="preserve"> PAGE   \* MERGEFORMAT </w:instrText>
        </w:r>
        <w:r w:rsidRPr="006C338E">
          <w:rPr>
            <w:sz w:val="20"/>
            <w:szCs w:val="20"/>
          </w:rPr>
          <w:fldChar w:fldCharType="separate"/>
        </w:r>
        <w:r w:rsidR="00AF00F9">
          <w:rPr>
            <w:noProof/>
            <w:sz w:val="20"/>
            <w:szCs w:val="20"/>
          </w:rPr>
          <w:t>8</w:t>
        </w:r>
        <w:r w:rsidRPr="006C338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1DC" w:rsidRDefault="00C511DC" w:rsidP="006C338E">
      <w:pPr>
        <w:spacing w:line="240" w:lineRule="auto"/>
        <w:jc w:val="both"/>
      </w:pPr>
      <w:r>
        <w:separator/>
      </w:r>
    </w:p>
  </w:footnote>
  <w:footnote w:type="continuationSeparator" w:id="0">
    <w:p w:rsidR="00C511DC" w:rsidRDefault="00C511DC" w:rsidP="00352025">
      <w:pPr>
        <w:spacing w:line="240" w:lineRule="auto"/>
      </w:pPr>
      <w:r>
        <w:continuationSeparator/>
      </w:r>
    </w:p>
  </w:footnote>
  <w:footnote w:id="1">
    <w:p w:rsidR="00352025" w:rsidRPr="00674F1F" w:rsidRDefault="00352025" w:rsidP="00352025">
      <w:pPr>
        <w:spacing w:line="240" w:lineRule="auto"/>
        <w:jc w:val="left"/>
        <w:rPr>
          <w:sz w:val="20"/>
          <w:szCs w:val="20"/>
        </w:rPr>
      </w:pPr>
      <w:r>
        <w:rPr>
          <w:rStyle w:val="FootnoteReference"/>
        </w:rPr>
        <w:footnoteRef/>
      </w:r>
      <w:r>
        <w:t xml:space="preserve"> </w:t>
      </w:r>
      <w:r w:rsidR="006C338E">
        <w:tab/>
      </w:r>
      <w:r>
        <w:rPr>
          <w:sz w:val="20"/>
          <w:szCs w:val="20"/>
        </w:rPr>
        <w:t>PPL</w:t>
      </w:r>
      <w:r w:rsidRPr="00674F1F">
        <w:rPr>
          <w:sz w:val="20"/>
          <w:szCs w:val="20"/>
        </w:rPr>
        <w:t xml:space="preserve"> has signed a waiver of the Section 702 requirements for service of formal complaints, 66 Pa.C.S.  702, and has agreed to electronic service instead under the Commission’s Waiver of 702 program.   Service is listed in the Audit History of the case as having been effected on </w:t>
      </w:r>
      <w:r>
        <w:rPr>
          <w:sz w:val="20"/>
          <w:szCs w:val="20"/>
        </w:rPr>
        <w:t>September 29, 2015.</w:t>
      </w:r>
    </w:p>
    <w:p w:rsidR="00352025" w:rsidRPr="00674F1F" w:rsidRDefault="00352025" w:rsidP="00352025"/>
    <w:p w:rsidR="00352025" w:rsidRDefault="00352025" w:rsidP="00352025">
      <w:pPr>
        <w:pStyle w:val="FootnoteText"/>
        <w:jc w:val="left"/>
      </w:pPr>
    </w:p>
  </w:footnote>
  <w:footnote w:id="2">
    <w:p w:rsidR="008A089F" w:rsidRPr="00C25CE5" w:rsidRDefault="008A089F" w:rsidP="008A089F">
      <w:pPr>
        <w:spacing w:line="240" w:lineRule="auto"/>
        <w:jc w:val="left"/>
        <w:rPr>
          <w:sz w:val="20"/>
          <w:szCs w:val="20"/>
        </w:rPr>
      </w:pPr>
      <w:r>
        <w:rPr>
          <w:rStyle w:val="FootnoteReference"/>
        </w:rPr>
        <w:footnoteRef/>
      </w:r>
      <w:r>
        <w:t xml:space="preserve"> </w:t>
      </w:r>
      <w:r w:rsidR="006C338E">
        <w:tab/>
      </w:r>
      <w:r w:rsidR="00C25CE5" w:rsidRPr="00C25CE5">
        <w:rPr>
          <w:sz w:val="20"/>
          <w:szCs w:val="20"/>
        </w:rPr>
        <w:t>"</w:t>
      </w:r>
      <w:r w:rsidRPr="00C25CE5">
        <w:rPr>
          <w:sz w:val="20"/>
          <w:szCs w:val="20"/>
        </w:rPr>
        <w:t xml:space="preserve">Hearsay" is a statement, other than one made by the declarant while testifying at the trial or hearing, offered in evidence to prove the truth of the matter asserted.  </w:t>
      </w:r>
      <w:proofErr w:type="spellStart"/>
      <w:proofErr w:type="gramStart"/>
      <w:r w:rsidR="00C25CE5" w:rsidRPr="00C25CE5">
        <w:rPr>
          <w:sz w:val="20"/>
          <w:szCs w:val="20"/>
        </w:rPr>
        <w:t>Pa.R.E</w:t>
      </w:r>
      <w:proofErr w:type="spellEnd"/>
      <w:r w:rsidR="00C25CE5" w:rsidRPr="00C25CE5">
        <w:rPr>
          <w:sz w:val="20"/>
          <w:szCs w:val="20"/>
        </w:rPr>
        <w:t>. 801.</w:t>
      </w:r>
      <w:proofErr w:type="gramEnd"/>
      <w:r w:rsidR="00C25CE5" w:rsidRPr="00C25CE5">
        <w:rPr>
          <w:sz w:val="20"/>
          <w:szCs w:val="20"/>
        </w:rPr>
        <w:t xml:space="preserve">  The originator of the letter in question is a utility not represented at this proceeding and therefore, not available to give testimony or to be cross-examined.  The Commission follows the rule from </w:t>
      </w:r>
      <w:r w:rsidR="00C25CE5" w:rsidRPr="00C25CE5">
        <w:rPr>
          <w:i/>
          <w:sz w:val="20"/>
          <w:szCs w:val="20"/>
        </w:rPr>
        <w:t xml:space="preserve">Walker v. Unemployment Compensation Board of Review, </w:t>
      </w:r>
      <w:r w:rsidR="00C25CE5" w:rsidRPr="00C25CE5">
        <w:rPr>
          <w:sz w:val="20"/>
          <w:szCs w:val="20"/>
        </w:rPr>
        <w:t xml:space="preserve">367 A.2d 366, 370 (Pa. Cmwlth. 1976), which states that hearsay evidence admitted without objection, will be given its natural probative effect and may support a finding of the agency if it is corroborated by any competent evidence in the record.  A finding of fact based solely on hearsay will not stand.    </w:t>
      </w:r>
    </w:p>
    <w:p w:rsidR="008A089F" w:rsidRDefault="008A089F" w:rsidP="008A089F">
      <w:pPr>
        <w:pStyle w:val="FootnoteText"/>
        <w:jc w:val="lef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5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1E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10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B5B"/>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3FF"/>
    <w:rsid w:val="00311531"/>
    <w:rsid w:val="003115D2"/>
    <w:rsid w:val="00312F06"/>
    <w:rsid w:val="00313595"/>
    <w:rsid w:val="0031425A"/>
    <w:rsid w:val="00314713"/>
    <w:rsid w:val="003149F5"/>
    <w:rsid w:val="003151E4"/>
    <w:rsid w:val="003156D7"/>
    <w:rsid w:val="00317261"/>
    <w:rsid w:val="0032130D"/>
    <w:rsid w:val="00321DB1"/>
    <w:rsid w:val="00321FBB"/>
    <w:rsid w:val="00322341"/>
    <w:rsid w:val="00326EEE"/>
    <w:rsid w:val="00326F3E"/>
    <w:rsid w:val="00330A67"/>
    <w:rsid w:val="00332A51"/>
    <w:rsid w:val="00333ADD"/>
    <w:rsid w:val="00334AB2"/>
    <w:rsid w:val="00334F62"/>
    <w:rsid w:val="00336496"/>
    <w:rsid w:val="003364EB"/>
    <w:rsid w:val="00336CE8"/>
    <w:rsid w:val="003425CF"/>
    <w:rsid w:val="0034272B"/>
    <w:rsid w:val="00342BFE"/>
    <w:rsid w:val="00344C34"/>
    <w:rsid w:val="00345C65"/>
    <w:rsid w:val="00346679"/>
    <w:rsid w:val="003470E8"/>
    <w:rsid w:val="0035100D"/>
    <w:rsid w:val="00352025"/>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2F44"/>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048D"/>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38E"/>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427A"/>
    <w:rsid w:val="007F6E2B"/>
    <w:rsid w:val="007F7699"/>
    <w:rsid w:val="007F773D"/>
    <w:rsid w:val="008003C8"/>
    <w:rsid w:val="00801331"/>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89F"/>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2F97"/>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254"/>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3F2"/>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3F0E"/>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00F9"/>
    <w:rsid w:val="00AF32D8"/>
    <w:rsid w:val="00AF3F64"/>
    <w:rsid w:val="00AF40CA"/>
    <w:rsid w:val="00AF4C64"/>
    <w:rsid w:val="00AF70FF"/>
    <w:rsid w:val="00AF742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188A"/>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5CE5"/>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5CF"/>
    <w:rsid w:val="00C478FE"/>
    <w:rsid w:val="00C502DD"/>
    <w:rsid w:val="00C511DC"/>
    <w:rsid w:val="00C53424"/>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169"/>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53"/>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2025"/>
    <w:pPr>
      <w:spacing w:line="240" w:lineRule="auto"/>
    </w:pPr>
    <w:rPr>
      <w:sz w:val="20"/>
      <w:szCs w:val="20"/>
    </w:rPr>
  </w:style>
  <w:style w:type="character" w:customStyle="1" w:styleId="FootnoteTextChar">
    <w:name w:val="Footnote Text Char"/>
    <w:basedOn w:val="DefaultParagraphFont"/>
    <w:link w:val="FootnoteText"/>
    <w:uiPriority w:val="99"/>
    <w:semiHidden/>
    <w:rsid w:val="00352025"/>
    <w:rPr>
      <w:sz w:val="20"/>
      <w:szCs w:val="20"/>
    </w:rPr>
  </w:style>
  <w:style w:type="character" w:styleId="FootnoteReference">
    <w:name w:val="footnote reference"/>
    <w:basedOn w:val="DefaultParagraphFont"/>
    <w:uiPriority w:val="99"/>
    <w:semiHidden/>
    <w:unhideWhenUsed/>
    <w:rsid w:val="00352025"/>
    <w:rPr>
      <w:vertAlign w:val="superscript"/>
    </w:rPr>
  </w:style>
  <w:style w:type="paragraph" w:styleId="Header">
    <w:name w:val="header"/>
    <w:basedOn w:val="Normal"/>
    <w:link w:val="HeaderChar"/>
    <w:uiPriority w:val="99"/>
    <w:unhideWhenUsed/>
    <w:rsid w:val="00AF742F"/>
    <w:pPr>
      <w:tabs>
        <w:tab w:val="center" w:pos="4680"/>
        <w:tab w:val="right" w:pos="9360"/>
      </w:tabs>
      <w:spacing w:line="240" w:lineRule="auto"/>
    </w:pPr>
  </w:style>
  <w:style w:type="character" w:customStyle="1" w:styleId="HeaderChar">
    <w:name w:val="Header Char"/>
    <w:basedOn w:val="DefaultParagraphFont"/>
    <w:link w:val="Header"/>
    <w:uiPriority w:val="99"/>
    <w:rsid w:val="00AF742F"/>
  </w:style>
  <w:style w:type="paragraph" w:styleId="Footer">
    <w:name w:val="footer"/>
    <w:basedOn w:val="Normal"/>
    <w:link w:val="FooterChar"/>
    <w:uiPriority w:val="99"/>
    <w:unhideWhenUsed/>
    <w:rsid w:val="00AF742F"/>
    <w:pPr>
      <w:tabs>
        <w:tab w:val="center" w:pos="4680"/>
        <w:tab w:val="right" w:pos="9360"/>
      </w:tabs>
      <w:spacing w:line="240" w:lineRule="auto"/>
    </w:pPr>
  </w:style>
  <w:style w:type="character" w:customStyle="1" w:styleId="FooterChar">
    <w:name w:val="Footer Char"/>
    <w:basedOn w:val="DefaultParagraphFont"/>
    <w:link w:val="Footer"/>
    <w:uiPriority w:val="99"/>
    <w:rsid w:val="00AF7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2025"/>
    <w:pPr>
      <w:spacing w:line="240" w:lineRule="auto"/>
    </w:pPr>
    <w:rPr>
      <w:sz w:val="20"/>
      <w:szCs w:val="20"/>
    </w:rPr>
  </w:style>
  <w:style w:type="character" w:customStyle="1" w:styleId="FootnoteTextChar">
    <w:name w:val="Footnote Text Char"/>
    <w:basedOn w:val="DefaultParagraphFont"/>
    <w:link w:val="FootnoteText"/>
    <w:uiPriority w:val="99"/>
    <w:semiHidden/>
    <w:rsid w:val="00352025"/>
    <w:rPr>
      <w:sz w:val="20"/>
      <w:szCs w:val="20"/>
    </w:rPr>
  </w:style>
  <w:style w:type="character" w:styleId="FootnoteReference">
    <w:name w:val="footnote reference"/>
    <w:basedOn w:val="DefaultParagraphFont"/>
    <w:uiPriority w:val="99"/>
    <w:semiHidden/>
    <w:unhideWhenUsed/>
    <w:rsid w:val="00352025"/>
    <w:rPr>
      <w:vertAlign w:val="superscript"/>
    </w:rPr>
  </w:style>
  <w:style w:type="paragraph" w:styleId="Header">
    <w:name w:val="header"/>
    <w:basedOn w:val="Normal"/>
    <w:link w:val="HeaderChar"/>
    <w:uiPriority w:val="99"/>
    <w:unhideWhenUsed/>
    <w:rsid w:val="00AF742F"/>
    <w:pPr>
      <w:tabs>
        <w:tab w:val="center" w:pos="4680"/>
        <w:tab w:val="right" w:pos="9360"/>
      </w:tabs>
      <w:spacing w:line="240" w:lineRule="auto"/>
    </w:pPr>
  </w:style>
  <w:style w:type="character" w:customStyle="1" w:styleId="HeaderChar">
    <w:name w:val="Header Char"/>
    <w:basedOn w:val="DefaultParagraphFont"/>
    <w:link w:val="Header"/>
    <w:uiPriority w:val="99"/>
    <w:rsid w:val="00AF742F"/>
  </w:style>
  <w:style w:type="paragraph" w:styleId="Footer">
    <w:name w:val="footer"/>
    <w:basedOn w:val="Normal"/>
    <w:link w:val="FooterChar"/>
    <w:uiPriority w:val="99"/>
    <w:unhideWhenUsed/>
    <w:rsid w:val="00AF742F"/>
    <w:pPr>
      <w:tabs>
        <w:tab w:val="center" w:pos="4680"/>
        <w:tab w:val="right" w:pos="9360"/>
      </w:tabs>
      <w:spacing w:line="240" w:lineRule="auto"/>
    </w:pPr>
  </w:style>
  <w:style w:type="character" w:customStyle="1" w:styleId="FooterChar">
    <w:name w:val="Footer Char"/>
    <w:basedOn w:val="DefaultParagraphFont"/>
    <w:link w:val="Footer"/>
    <w:uiPriority w:val="99"/>
    <w:rsid w:val="00AF7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5F39B-6400-42E0-BDCC-D224FF7F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1760</Words>
  <Characters>10036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dcterms:created xsi:type="dcterms:W3CDTF">2016-02-22T16:26:00Z</dcterms:created>
  <dcterms:modified xsi:type="dcterms:W3CDTF">2016-02-22T16:26:00Z</dcterms:modified>
</cp:coreProperties>
</file>