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945F80" w:rsidP="00945F80">
      <w:pPr>
        <w:spacing w:line="240" w:lineRule="auto"/>
        <w:rPr>
          <w:b/>
        </w:rPr>
      </w:pPr>
      <w:r>
        <w:rPr>
          <w:b/>
        </w:rPr>
        <w:t>BEFORE THE</w:t>
      </w:r>
    </w:p>
    <w:p w:rsidR="00945F80" w:rsidRDefault="00945F80" w:rsidP="00945F80">
      <w:pPr>
        <w:spacing w:line="240" w:lineRule="auto"/>
        <w:rPr>
          <w:b/>
        </w:rPr>
      </w:pPr>
      <w:r>
        <w:rPr>
          <w:b/>
        </w:rPr>
        <w:t>PENNSYLVANIA PUBLIC UTILITY COMMISSION</w:t>
      </w:r>
    </w:p>
    <w:p w:rsidR="00945F80" w:rsidRDefault="00945F80" w:rsidP="00945F80">
      <w:pPr>
        <w:spacing w:line="240" w:lineRule="auto"/>
        <w:rPr>
          <w:b/>
        </w:rPr>
      </w:pPr>
    </w:p>
    <w:p w:rsidR="00945F80" w:rsidRDefault="00945F80" w:rsidP="00945F80">
      <w:pPr>
        <w:spacing w:line="240" w:lineRule="auto"/>
        <w:rPr>
          <w:b/>
        </w:rPr>
      </w:pPr>
    </w:p>
    <w:p w:rsidR="000A38B4" w:rsidRDefault="000A38B4" w:rsidP="00945F80">
      <w:pPr>
        <w:spacing w:line="240" w:lineRule="auto"/>
        <w:rPr>
          <w:b/>
        </w:rPr>
      </w:pPr>
    </w:p>
    <w:p w:rsidR="00945F80" w:rsidRDefault="00945F80" w:rsidP="00945F80">
      <w:pPr>
        <w:spacing w:line="240" w:lineRule="auto"/>
        <w:jc w:val="left"/>
      </w:pPr>
      <w:proofErr w:type="spellStart"/>
      <w:r>
        <w:t>Mamadou</w:t>
      </w:r>
      <w:proofErr w:type="spellEnd"/>
      <w:r>
        <w:t xml:space="preserve"> A. Barry</w:t>
      </w:r>
      <w:r>
        <w:tab/>
      </w:r>
      <w:r>
        <w:tab/>
      </w:r>
      <w:r>
        <w:tab/>
      </w:r>
      <w:r>
        <w:tab/>
      </w:r>
      <w:r w:rsidR="006E6E44">
        <w:tab/>
      </w:r>
      <w:r>
        <w:t>:</w:t>
      </w:r>
    </w:p>
    <w:p w:rsidR="00945F80" w:rsidRDefault="00945F80" w:rsidP="00945F80">
      <w:pPr>
        <w:spacing w:line="240" w:lineRule="auto"/>
        <w:jc w:val="left"/>
      </w:pPr>
      <w:r>
        <w:tab/>
      </w:r>
      <w:r>
        <w:tab/>
      </w:r>
      <w:r>
        <w:tab/>
      </w:r>
      <w:r>
        <w:tab/>
      </w:r>
      <w:r>
        <w:tab/>
      </w:r>
      <w:r>
        <w:tab/>
      </w:r>
      <w:r w:rsidR="006E6E44">
        <w:tab/>
      </w:r>
      <w:r>
        <w:t>:</w:t>
      </w:r>
    </w:p>
    <w:p w:rsidR="00945F80" w:rsidRDefault="006E6E44" w:rsidP="00945F80">
      <w:pPr>
        <w:spacing w:line="240" w:lineRule="auto"/>
        <w:jc w:val="left"/>
      </w:pPr>
      <w:r>
        <w:tab/>
        <w:t>v.</w:t>
      </w:r>
      <w:r>
        <w:tab/>
      </w:r>
      <w:r>
        <w:tab/>
      </w:r>
      <w:r>
        <w:tab/>
      </w:r>
      <w:r>
        <w:tab/>
      </w:r>
      <w:r>
        <w:tab/>
      </w:r>
      <w:r>
        <w:tab/>
        <w:t>:</w:t>
      </w:r>
      <w:r>
        <w:tab/>
      </w:r>
      <w:r>
        <w:tab/>
      </w:r>
      <w:bookmarkStart w:id="0" w:name="_GoBack"/>
      <w:r>
        <w:t>F-2015-250</w:t>
      </w:r>
      <w:r w:rsidR="00945F80">
        <w:t>5040</w:t>
      </w:r>
      <w:bookmarkEnd w:id="0"/>
    </w:p>
    <w:p w:rsidR="00945F80" w:rsidRDefault="00945F80" w:rsidP="00945F80">
      <w:pPr>
        <w:spacing w:line="240" w:lineRule="auto"/>
        <w:jc w:val="left"/>
      </w:pPr>
      <w:r>
        <w:tab/>
      </w:r>
      <w:r>
        <w:tab/>
      </w:r>
      <w:r>
        <w:tab/>
      </w:r>
      <w:r>
        <w:tab/>
      </w:r>
      <w:r>
        <w:tab/>
      </w:r>
      <w:r>
        <w:tab/>
      </w:r>
      <w:r w:rsidR="006E6E44">
        <w:tab/>
      </w:r>
      <w:r>
        <w:t>:</w:t>
      </w:r>
    </w:p>
    <w:p w:rsidR="00945F80" w:rsidRDefault="00945F80" w:rsidP="00945F80">
      <w:pPr>
        <w:spacing w:line="240" w:lineRule="auto"/>
        <w:jc w:val="left"/>
      </w:pPr>
      <w:r>
        <w:t>Philadelphia Gas Works</w:t>
      </w:r>
      <w:r>
        <w:tab/>
      </w:r>
      <w:r>
        <w:tab/>
      </w:r>
      <w:r>
        <w:tab/>
      </w:r>
      <w:r w:rsidR="006E6E44">
        <w:tab/>
      </w:r>
      <w:r>
        <w:t>:</w:t>
      </w:r>
    </w:p>
    <w:p w:rsidR="00945F80" w:rsidRDefault="00945F80" w:rsidP="00945F80">
      <w:pPr>
        <w:spacing w:line="240" w:lineRule="auto"/>
        <w:jc w:val="left"/>
      </w:pPr>
    </w:p>
    <w:p w:rsidR="00945F80" w:rsidRDefault="00945F80" w:rsidP="00945F80">
      <w:pPr>
        <w:spacing w:line="240" w:lineRule="auto"/>
        <w:jc w:val="left"/>
      </w:pPr>
    </w:p>
    <w:p w:rsidR="000A38B4" w:rsidRDefault="000A38B4" w:rsidP="00945F80">
      <w:pPr>
        <w:spacing w:line="240" w:lineRule="auto"/>
        <w:jc w:val="left"/>
      </w:pPr>
    </w:p>
    <w:p w:rsidR="00945F80" w:rsidRDefault="00945F80" w:rsidP="00945F80">
      <w:pPr>
        <w:spacing w:line="240" w:lineRule="auto"/>
        <w:rPr>
          <w:b/>
          <w:u w:val="single"/>
        </w:rPr>
      </w:pPr>
      <w:r>
        <w:rPr>
          <w:b/>
          <w:u w:val="single"/>
        </w:rPr>
        <w:t>INITIAL DECISION</w:t>
      </w:r>
    </w:p>
    <w:p w:rsidR="00945F80" w:rsidRDefault="00945F80" w:rsidP="00945F80">
      <w:pPr>
        <w:spacing w:line="240" w:lineRule="auto"/>
        <w:rPr>
          <w:b/>
          <w:u w:val="single"/>
        </w:rPr>
      </w:pPr>
    </w:p>
    <w:p w:rsidR="004C5060" w:rsidRDefault="004C5060" w:rsidP="00945F80">
      <w:pPr>
        <w:spacing w:line="240" w:lineRule="auto"/>
        <w:rPr>
          <w:b/>
          <w:u w:val="single"/>
        </w:rPr>
      </w:pPr>
    </w:p>
    <w:p w:rsidR="00945F80" w:rsidRDefault="00945F80" w:rsidP="00945F80">
      <w:pPr>
        <w:spacing w:line="240" w:lineRule="auto"/>
      </w:pPr>
      <w:r>
        <w:t>Before</w:t>
      </w:r>
    </w:p>
    <w:p w:rsidR="00945F80" w:rsidRDefault="00945F80" w:rsidP="00945F80">
      <w:pPr>
        <w:spacing w:line="240" w:lineRule="auto"/>
      </w:pPr>
      <w:r>
        <w:t>Susan D. Colwell</w:t>
      </w:r>
    </w:p>
    <w:p w:rsidR="00945F80" w:rsidRDefault="00945F80" w:rsidP="00945F80">
      <w:pPr>
        <w:spacing w:line="240" w:lineRule="auto"/>
      </w:pPr>
      <w:r>
        <w:t>Administrative Law Judge</w:t>
      </w:r>
    </w:p>
    <w:p w:rsidR="00945F80" w:rsidRDefault="00945F80" w:rsidP="00945F80">
      <w:pPr>
        <w:spacing w:line="240" w:lineRule="auto"/>
      </w:pPr>
    </w:p>
    <w:p w:rsidR="00945F80" w:rsidRDefault="00945F80" w:rsidP="00945F80">
      <w:pPr>
        <w:spacing w:line="240" w:lineRule="auto"/>
      </w:pPr>
    </w:p>
    <w:p w:rsidR="00945F80" w:rsidRDefault="00945F80" w:rsidP="00945F80">
      <w:pPr>
        <w:spacing w:line="240" w:lineRule="auto"/>
        <w:rPr>
          <w:u w:val="single"/>
        </w:rPr>
      </w:pPr>
      <w:r>
        <w:rPr>
          <w:u w:val="single"/>
        </w:rPr>
        <w:t>INTRODUCTION</w:t>
      </w:r>
    </w:p>
    <w:p w:rsidR="002E23D5" w:rsidRDefault="002E23D5" w:rsidP="00945F80">
      <w:pPr>
        <w:spacing w:line="240" w:lineRule="auto"/>
        <w:rPr>
          <w:u w:val="single"/>
        </w:rPr>
      </w:pPr>
    </w:p>
    <w:p w:rsidR="00945F80" w:rsidRDefault="00945F80" w:rsidP="00945F80">
      <w:pPr>
        <w:spacing w:line="240" w:lineRule="auto"/>
        <w:rPr>
          <w:u w:val="single"/>
        </w:rPr>
      </w:pPr>
    </w:p>
    <w:p w:rsidR="00945F80" w:rsidRPr="002E23D5" w:rsidRDefault="002E23D5" w:rsidP="002E23D5">
      <w:pPr>
        <w:jc w:val="left"/>
      </w:pPr>
      <w:r>
        <w:tab/>
      </w:r>
      <w:r>
        <w:tab/>
        <w:t xml:space="preserve">This Initial Decision </w:t>
      </w:r>
      <w:r w:rsidR="004F367F">
        <w:t xml:space="preserve">finds that a utility's actions were consistent with the law when it transferred tenants' balances to the complainant landlord's account after a shared metering situation was corrected and refused to reassign those balances to the tenants after the shared metering was corrected.  The complaint seeking a </w:t>
      </w:r>
      <w:r>
        <w:t xml:space="preserve">Commission directive </w:t>
      </w:r>
      <w:r w:rsidR="004F367F">
        <w:t>to the utility to</w:t>
      </w:r>
      <w:r>
        <w:t xml:space="preserve"> reassign tenant balances </w:t>
      </w:r>
      <w:r w:rsidR="004F367F">
        <w:t>is dismissed.</w:t>
      </w:r>
    </w:p>
    <w:p w:rsidR="00945F80" w:rsidRDefault="00945F80" w:rsidP="00945F80">
      <w:pPr>
        <w:spacing w:line="240" w:lineRule="auto"/>
        <w:rPr>
          <w:u w:val="single"/>
        </w:rPr>
      </w:pPr>
    </w:p>
    <w:p w:rsidR="00945F80" w:rsidRDefault="00945F80" w:rsidP="00945F80">
      <w:pPr>
        <w:spacing w:line="240" w:lineRule="auto"/>
        <w:rPr>
          <w:u w:val="single"/>
        </w:rPr>
      </w:pPr>
      <w:r>
        <w:rPr>
          <w:u w:val="single"/>
        </w:rPr>
        <w:t>HISTORY OF THE PROCEEDING</w:t>
      </w:r>
    </w:p>
    <w:p w:rsidR="00945F80" w:rsidRDefault="00945F80" w:rsidP="004C5060">
      <w:pPr>
        <w:rPr>
          <w:u w:val="single"/>
        </w:rPr>
      </w:pPr>
    </w:p>
    <w:p w:rsidR="00945F80" w:rsidRDefault="00945F80" w:rsidP="00945F80">
      <w:pPr>
        <w:jc w:val="left"/>
      </w:pPr>
      <w:r>
        <w:tab/>
      </w:r>
      <w:r>
        <w:tab/>
        <w:t xml:space="preserve">On September 16, 2015, </w:t>
      </w:r>
      <w:proofErr w:type="spellStart"/>
      <w:r>
        <w:t>Mamadou</w:t>
      </w:r>
      <w:proofErr w:type="spellEnd"/>
      <w:r>
        <w:t xml:space="preserve"> A. Barry (Complainant) filed a formal Complaint against Philadelphia Gas Works (PGW or Respondent or Company) alleging that there were incorrect charges on his bill.  He alleges that he is being billed for service which was rendered at a time when he was in prison because the service was rendered to a building which he owns.  He signed a power of attorney to another, who moved his family into the building and used the gas.  He asks that the bill be reassigned to either the tenant or the man who held his power of attorney.  </w:t>
      </w:r>
      <w:r w:rsidR="007642D2">
        <w:t xml:space="preserve">Attached to his Complaint is a copy of a PGW bill, a copy of the power of attorney, a revocation of the power of attorney, and a letter from his attorney to the holder of the </w:t>
      </w:r>
      <w:r w:rsidR="007642D2">
        <w:lastRenderedPageBreak/>
        <w:t xml:space="preserve">power of attorney dated November 11, 2013.  This is a timely appeal of an informal determination of the Commission's Bureau of Consumer Services at BCS No. 3321613.  </w:t>
      </w:r>
    </w:p>
    <w:p w:rsidR="007642D2" w:rsidRDefault="007642D2" w:rsidP="00945F80">
      <w:pPr>
        <w:jc w:val="left"/>
      </w:pPr>
    </w:p>
    <w:p w:rsidR="007642D2" w:rsidRDefault="007642D2" w:rsidP="00945F80">
      <w:pPr>
        <w:jc w:val="left"/>
      </w:pPr>
      <w:r>
        <w:tab/>
      </w:r>
      <w:r>
        <w:tab/>
        <w:t>On September 24, 2015, the Commission's Secretary served the Complaint electronically upon PGW.</w:t>
      </w:r>
      <w:r>
        <w:rPr>
          <w:rStyle w:val="FootnoteReference"/>
        </w:rPr>
        <w:footnoteReference w:id="1"/>
      </w:r>
    </w:p>
    <w:p w:rsidR="007642D2" w:rsidRDefault="007642D2" w:rsidP="00945F80">
      <w:pPr>
        <w:jc w:val="left"/>
      </w:pPr>
    </w:p>
    <w:p w:rsidR="007642D2" w:rsidRDefault="007642D2" w:rsidP="00945F80">
      <w:pPr>
        <w:jc w:val="left"/>
      </w:pPr>
      <w:r>
        <w:tab/>
      </w:r>
      <w:r>
        <w:tab/>
        <w:t xml:space="preserve">On October 14, 2015, PGW filed its Answer denying that there are incorrect charges on the Complainant's bill because the Company had responded to a high bill complaint at the property in question, had ascertained that there was foreign load, and transferred the tenant's bill to the Complainant's account as the landlord.  </w:t>
      </w:r>
    </w:p>
    <w:p w:rsidR="007642D2" w:rsidRDefault="007642D2" w:rsidP="00945F80">
      <w:pPr>
        <w:jc w:val="left"/>
      </w:pPr>
    </w:p>
    <w:p w:rsidR="007642D2" w:rsidRDefault="007642D2" w:rsidP="00945F80">
      <w:pPr>
        <w:jc w:val="left"/>
      </w:pPr>
      <w:r>
        <w:tab/>
      </w:r>
      <w:r>
        <w:tab/>
        <w:t>On October 22, 2015, a Call-In Telephonic Hearing Notice was issued which set the evidentiary hearing for Monday, November 23, 2015, and assigned the matter to me.  On October 26, 2015, I issued a prehearing order which set forth some of the requirements for a formal hearing before the Commission.</w:t>
      </w:r>
    </w:p>
    <w:p w:rsidR="003D1395" w:rsidRDefault="003D1395" w:rsidP="00945F80">
      <w:pPr>
        <w:jc w:val="left"/>
      </w:pPr>
    </w:p>
    <w:p w:rsidR="003D1395" w:rsidRDefault="003D1395" w:rsidP="00945F80">
      <w:pPr>
        <w:jc w:val="left"/>
      </w:pPr>
      <w:r>
        <w:tab/>
      </w:r>
      <w:r>
        <w:tab/>
        <w:t xml:space="preserve">The hearing was convened as scheduled on November 23, 2015, with the Complainant appearing on his own behalf, and PGW represented by Graciela </w:t>
      </w:r>
      <w:proofErr w:type="spellStart"/>
      <w:r>
        <w:t>Christlieb</w:t>
      </w:r>
      <w:proofErr w:type="spellEnd"/>
      <w:r>
        <w:t xml:space="preserve">, Esq.  Ms. </w:t>
      </w:r>
      <w:proofErr w:type="spellStart"/>
      <w:r>
        <w:t>Christlieb</w:t>
      </w:r>
      <w:proofErr w:type="spellEnd"/>
      <w:r>
        <w:t xml:space="preserve"> presented one witness, who sponsored seven exhibits.  A transcript of 56 pages was generated, and the record closed upon its receipt on January 18, 2016.</w:t>
      </w:r>
    </w:p>
    <w:p w:rsidR="003D1395" w:rsidRDefault="003D1395" w:rsidP="00945F80">
      <w:pPr>
        <w:jc w:val="left"/>
      </w:pPr>
    </w:p>
    <w:p w:rsidR="003D1395" w:rsidRDefault="003D1395" w:rsidP="00945F80">
      <w:pPr>
        <w:jc w:val="left"/>
      </w:pPr>
      <w:r>
        <w:tab/>
      </w:r>
      <w:r>
        <w:tab/>
        <w:t>The matter is ready for disposition.</w:t>
      </w:r>
    </w:p>
    <w:p w:rsidR="003D1395" w:rsidRDefault="003D1395" w:rsidP="00945F80">
      <w:pPr>
        <w:jc w:val="left"/>
      </w:pPr>
    </w:p>
    <w:p w:rsidR="003D1395" w:rsidRDefault="003D1395" w:rsidP="003D1395">
      <w:pPr>
        <w:rPr>
          <w:u w:val="single"/>
        </w:rPr>
      </w:pPr>
      <w:r>
        <w:rPr>
          <w:u w:val="single"/>
        </w:rPr>
        <w:t>FINDINGS OF FACT</w:t>
      </w:r>
    </w:p>
    <w:p w:rsidR="003D1395" w:rsidRDefault="003D1395" w:rsidP="003D1395">
      <w:pPr>
        <w:rPr>
          <w:u w:val="single"/>
        </w:rPr>
      </w:pPr>
    </w:p>
    <w:p w:rsidR="003D1395" w:rsidRDefault="003D1395" w:rsidP="003D1395">
      <w:pPr>
        <w:jc w:val="left"/>
      </w:pPr>
      <w:r>
        <w:tab/>
      </w:r>
      <w:r>
        <w:tab/>
        <w:t>1.</w:t>
      </w:r>
      <w:r>
        <w:tab/>
        <w:t xml:space="preserve">Complainant is </w:t>
      </w:r>
      <w:proofErr w:type="spellStart"/>
      <w:r>
        <w:t>Mamadou</w:t>
      </w:r>
      <w:proofErr w:type="spellEnd"/>
      <w:r>
        <w:t xml:space="preserve"> A. Barry, 3697 Germantown Avenue, Philadelphia PA 19140.</w:t>
      </w:r>
      <w:r w:rsidR="00BA75E7">
        <w:t xml:space="preserve">  </w:t>
      </w:r>
      <w:proofErr w:type="gramStart"/>
      <w:r w:rsidR="00BA75E7">
        <w:t>Tr. 6.</w:t>
      </w:r>
      <w:proofErr w:type="gramEnd"/>
    </w:p>
    <w:p w:rsidR="003D1395" w:rsidRDefault="003D1395" w:rsidP="003D1395">
      <w:pPr>
        <w:jc w:val="left"/>
      </w:pPr>
    </w:p>
    <w:p w:rsidR="003D1395" w:rsidRDefault="003D1395" w:rsidP="004C5060">
      <w:pPr>
        <w:jc w:val="left"/>
      </w:pPr>
      <w:r>
        <w:tab/>
      </w:r>
      <w:r>
        <w:tab/>
        <w:t>2.</w:t>
      </w:r>
      <w:r>
        <w:tab/>
        <w:t>Respondent is Philadelphia Gas Works, a jurisdictional public utility providing gas distribution service in the Commonwealth of Pennsylvania.</w:t>
      </w:r>
    </w:p>
    <w:p w:rsidR="003D1395" w:rsidRDefault="003D1395" w:rsidP="004C5060">
      <w:pPr>
        <w:jc w:val="left"/>
      </w:pPr>
    </w:p>
    <w:p w:rsidR="003D1395" w:rsidRDefault="003D1395" w:rsidP="004C5060">
      <w:pPr>
        <w:jc w:val="left"/>
      </w:pPr>
      <w:r>
        <w:tab/>
      </w:r>
      <w:r>
        <w:tab/>
        <w:t>3.</w:t>
      </w:r>
      <w:r>
        <w:tab/>
      </w:r>
      <w:r w:rsidR="00BA75E7">
        <w:t xml:space="preserve">Complainant owns a building </w:t>
      </w:r>
      <w:r w:rsidR="00F26A90">
        <w:t xml:space="preserve">at 2049 West Tioga Street, Philadelphia, </w:t>
      </w:r>
      <w:r w:rsidR="00BA75E7">
        <w:t>where one meter supplied two apartment units.</w:t>
      </w:r>
      <w:r w:rsidR="00E94A14">
        <w:rPr>
          <w:rStyle w:val="FootnoteReference"/>
        </w:rPr>
        <w:footnoteReference w:id="2"/>
      </w:r>
      <w:r w:rsidR="00BA75E7">
        <w:t xml:space="preserve">  </w:t>
      </w:r>
      <w:proofErr w:type="gramStart"/>
      <w:r w:rsidR="00BA75E7">
        <w:t>Tr. 8.</w:t>
      </w:r>
      <w:proofErr w:type="gramEnd"/>
    </w:p>
    <w:p w:rsidR="00BA75E7" w:rsidRDefault="00BA75E7" w:rsidP="004C5060">
      <w:pPr>
        <w:jc w:val="left"/>
      </w:pPr>
    </w:p>
    <w:p w:rsidR="00BA75E7" w:rsidRDefault="00BA75E7" w:rsidP="004C5060">
      <w:pPr>
        <w:jc w:val="left"/>
      </w:pPr>
      <w:r>
        <w:tab/>
      </w:r>
      <w:r>
        <w:tab/>
        <w:t>4.</w:t>
      </w:r>
      <w:r>
        <w:tab/>
        <w:t xml:space="preserve">The tenants split the utilities so that one tenant paid the gas bill and the other paid the electric bill.  </w:t>
      </w:r>
      <w:proofErr w:type="gramStart"/>
      <w:r>
        <w:t>Tr. 8.</w:t>
      </w:r>
      <w:proofErr w:type="gramEnd"/>
    </w:p>
    <w:p w:rsidR="00BA75E7" w:rsidRDefault="00BA75E7" w:rsidP="004C5060">
      <w:pPr>
        <w:jc w:val="left"/>
      </w:pPr>
    </w:p>
    <w:p w:rsidR="00BA75E7" w:rsidRDefault="00BA75E7" w:rsidP="004C5060">
      <w:pPr>
        <w:jc w:val="left"/>
      </w:pPr>
      <w:r>
        <w:tab/>
      </w:r>
      <w:r>
        <w:tab/>
        <w:t>5.</w:t>
      </w:r>
      <w:r>
        <w:tab/>
        <w:t xml:space="preserve">While Complainant was in prison, a tenant disputed the arrangement and PGW placed the gas bill in Complainant's name.  </w:t>
      </w:r>
      <w:proofErr w:type="gramStart"/>
      <w:r>
        <w:t>Tr. 9.</w:t>
      </w:r>
      <w:proofErr w:type="gramEnd"/>
    </w:p>
    <w:p w:rsidR="00BA75E7" w:rsidRDefault="00BA75E7" w:rsidP="004C5060">
      <w:pPr>
        <w:jc w:val="left"/>
      </w:pPr>
    </w:p>
    <w:p w:rsidR="00BA75E7" w:rsidRDefault="00BA75E7" w:rsidP="004C5060">
      <w:pPr>
        <w:jc w:val="left"/>
      </w:pPr>
      <w:r>
        <w:tab/>
      </w:r>
      <w:r>
        <w:tab/>
        <w:t>6.</w:t>
      </w:r>
      <w:r>
        <w:tab/>
      </w:r>
      <w:r w:rsidR="00AA3C56">
        <w:t xml:space="preserve">Patricia Bernard, customer review unit officer for PGW, appeared and testified on behalf of the Respondent.  </w:t>
      </w:r>
      <w:proofErr w:type="gramStart"/>
      <w:r w:rsidR="00AA3C56">
        <w:t>Tr. 23.</w:t>
      </w:r>
      <w:proofErr w:type="gramEnd"/>
      <w:r w:rsidR="00AA3C56">
        <w:t xml:space="preserve">  </w:t>
      </w:r>
    </w:p>
    <w:p w:rsidR="00AA3C56" w:rsidRDefault="00AA3C56" w:rsidP="004C5060">
      <w:pPr>
        <w:jc w:val="left"/>
      </w:pPr>
    </w:p>
    <w:p w:rsidR="00AA3C56" w:rsidRDefault="00AA3C56" w:rsidP="004C5060">
      <w:pPr>
        <w:jc w:val="left"/>
      </w:pPr>
      <w:r>
        <w:tab/>
      </w:r>
      <w:r>
        <w:tab/>
        <w:t>7.</w:t>
      </w:r>
      <w:r>
        <w:tab/>
      </w:r>
      <w:r w:rsidR="00E07E72">
        <w:t xml:space="preserve">PGW Exhibit 1 is a City of Philadelphia tax assessment document consisting of two pages regarding the subject property.  </w:t>
      </w:r>
      <w:proofErr w:type="gramStart"/>
      <w:r w:rsidR="00E07E72">
        <w:t>Tr. 25; PGW Ex. 1.</w:t>
      </w:r>
      <w:proofErr w:type="gramEnd"/>
    </w:p>
    <w:p w:rsidR="00E07E72" w:rsidRDefault="00E07E72" w:rsidP="004C5060">
      <w:pPr>
        <w:jc w:val="left"/>
      </w:pPr>
    </w:p>
    <w:p w:rsidR="00E07E72" w:rsidRDefault="00E07E72" w:rsidP="004C5060">
      <w:pPr>
        <w:jc w:val="left"/>
      </w:pPr>
      <w:r>
        <w:tab/>
      </w:r>
      <w:r>
        <w:tab/>
        <w:t>8.</w:t>
      </w:r>
      <w:r>
        <w:tab/>
        <w:t xml:space="preserve">PGW Exhibit 2 is a print-out of three pages of the Respondent's records of customer contacts from April 23, 2013 to November 16, 2015.  </w:t>
      </w:r>
      <w:proofErr w:type="gramStart"/>
      <w:r>
        <w:t>Tr. 25; PGW Ex. 2.</w:t>
      </w:r>
      <w:proofErr w:type="gramEnd"/>
      <w:r>
        <w:t xml:space="preserve"> </w:t>
      </w:r>
    </w:p>
    <w:p w:rsidR="00E07E72" w:rsidRDefault="00E07E72" w:rsidP="004C5060">
      <w:pPr>
        <w:jc w:val="left"/>
      </w:pPr>
    </w:p>
    <w:p w:rsidR="00E07E72" w:rsidRDefault="00E07E72" w:rsidP="004C5060">
      <w:pPr>
        <w:jc w:val="left"/>
      </w:pPr>
      <w:r>
        <w:tab/>
      </w:r>
      <w:r>
        <w:tab/>
        <w:t>9.</w:t>
      </w:r>
      <w:r>
        <w:tab/>
        <w:t xml:space="preserve">PGW Exhibit 3 consists of one page </w:t>
      </w:r>
      <w:r w:rsidR="004F367F">
        <w:t>entitled</w:t>
      </w:r>
      <w:r>
        <w:t xml:space="preserve"> "field information," generated in response to a service call from a tenant complaining that there was no heat.  </w:t>
      </w:r>
      <w:proofErr w:type="gramStart"/>
      <w:r>
        <w:t>Tr. 25; PGW Ex. 3.</w:t>
      </w:r>
      <w:proofErr w:type="gramEnd"/>
      <w:r>
        <w:t xml:space="preserve"> </w:t>
      </w:r>
    </w:p>
    <w:p w:rsidR="00E07E72" w:rsidRDefault="00E07E72" w:rsidP="004C5060">
      <w:pPr>
        <w:jc w:val="left"/>
      </w:pPr>
    </w:p>
    <w:p w:rsidR="00E07E72" w:rsidRDefault="00E07E72" w:rsidP="004C5060">
      <w:pPr>
        <w:jc w:val="left"/>
      </w:pPr>
      <w:r>
        <w:tab/>
      </w:r>
      <w:r>
        <w:tab/>
        <w:t>10.</w:t>
      </w:r>
      <w:r>
        <w:tab/>
        <w:t xml:space="preserve">PGW Exhibit 4 is a four-page document dated April 23, 2013, </w:t>
      </w:r>
      <w:r w:rsidR="00875E2E">
        <w:t xml:space="preserve">consisting of a letter </w:t>
      </w:r>
      <w:r>
        <w:t>addressed to</w:t>
      </w:r>
      <w:r w:rsidR="00875E2E">
        <w:t xml:space="preserve"> each of</w:t>
      </w:r>
      <w:r>
        <w:t xml:space="preserve"> </w:t>
      </w:r>
      <w:r w:rsidR="00875E2E">
        <w:t xml:space="preserve">three </w:t>
      </w:r>
      <w:r>
        <w:t>tenant</w:t>
      </w:r>
      <w:r w:rsidR="00875E2E">
        <w:t>s</w:t>
      </w:r>
      <w:r>
        <w:t xml:space="preserve">, indicating that </w:t>
      </w:r>
      <w:r w:rsidR="00875E2E">
        <w:t>their</w:t>
      </w:r>
      <w:r>
        <w:t xml:space="preserve"> account</w:t>
      </w:r>
      <w:r w:rsidR="00875E2E">
        <w:t>s</w:t>
      </w:r>
      <w:r>
        <w:t xml:space="preserve"> had been canceled and </w:t>
      </w:r>
      <w:r w:rsidR="00875E2E">
        <w:t>the</w:t>
      </w:r>
      <w:r>
        <w:t xml:space="preserve"> balance</w:t>
      </w:r>
      <w:r w:rsidR="00875E2E">
        <w:t>s</w:t>
      </w:r>
      <w:r>
        <w:t xml:space="preserve"> placed in </w:t>
      </w:r>
      <w:r w:rsidR="00875E2E">
        <w:t>the</w:t>
      </w:r>
      <w:r>
        <w:t xml:space="preserve"> landlord's account</w:t>
      </w:r>
      <w:r w:rsidR="00875E2E">
        <w:t xml:space="preserve">, and the last letter addressed to Complainant, explaining that the three accounts would remain in his name until the foreign load had been corrected or until evidence is produced that indicates the tenant accepted responsibility for the foreign load.  </w:t>
      </w:r>
      <w:proofErr w:type="gramStart"/>
      <w:r w:rsidR="00875E2E">
        <w:t>Tr. 25; PGW Ex. 4.</w:t>
      </w:r>
      <w:proofErr w:type="gramEnd"/>
    </w:p>
    <w:p w:rsidR="00875E2E" w:rsidRDefault="00875E2E" w:rsidP="004C5060">
      <w:pPr>
        <w:jc w:val="left"/>
      </w:pPr>
    </w:p>
    <w:p w:rsidR="00875E2E" w:rsidRDefault="00875E2E" w:rsidP="004C5060">
      <w:pPr>
        <w:jc w:val="left"/>
      </w:pPr>
      <w:r>
        <w:tab/>
      </w:r>
      <w:r>
        <w:tab/>
        <w:t>11.</w:t>
      </w:r>
      <w:r>
        <w:tab/>
        <w:t xml:space="preserve">PGW Exhibit 5 is a three-page statement of account for Complainant's account from April 2013 to October 28, 2015.  </w:t>
      </w:r>
      <w:proofErr w:type="gramStart"/>
      <w:r>
        <w:t>Tr. 25; PGW Ex. 5.</w:t>
      </w:r>
      <w:proofErr w:type="gramEnd"/>
    </w:p>
    <w:p w:rsidR="00875E2E" w:rsidRDefault="00875E2E" w:rsidP="004C5060">
      <w:pPr>
        <w:jc w:val="left"/>
      </w:pPr>
    </w:p>
    <w:p w:rsidR="00875E2E" w:rsidRDefault="00875E2E" w:rsidP="004C5060">
      <w:pPr>
        <w:jc w:val="left"/>
      </w:pPr>
      <w:r>
        <w:tab/>
      </w:r>
      <w:r>
        <w:tab/>
        <w:t>12.</w:t>
      </w:r>
      <w:r>
        <w:tab/>
        <w:t xml:space="preserve">PGW Exhibit 6 is a print-out of the BCS informal decision dated August 1, 2015.  </w:t>
      </w:r>
      <w:proofErr w:type="gramStart"/>
      <w:r>
        <w:t>Tr. 25; PGW Ex. 6.</w:t>
      </w:r>
      <w:proofErr w:type="gramEnd"/>
    </w:p>
    <w:p w:rsidR="00875E2E" w:rsidRDefault="00875E2E" w:rsidP="004C5060">
      <w:pPr>
        <w:jc w:val="left"/>
      </w:pPr>
    </w:p>
    <w:p w:rsidR="00875E2E" w:rsidRDefault="00875E2E" w:rsidP="004C5060">
      <w:pPr>
        <w:jc w:val="left"/>
      </w:pPr>
      <w:r>
        <w:tab/>
      </w:r>
      <w:r>
        <w:tab/>
        <w:t>13.</w:t>
      </w:r>
      <w:r>
        <w:tab/>
        <w:t xml:space="preserve">PGW Exhibit 7 is comprised of nine pages </w:t>
      </w:r>
      <w:r w:rsidR="00652150">
        <w:t xml:space="preserve">which </w:t>
      </w:r>
      <w:r w:rsidR="001049AD">
        <w:t>reflect</w:t>
      </w:r>
      <w:r>
        <w:t xml:space="preserve"> seven bills.  </w:t>
      </w:r>
      <w:proofErr w:type="gramStart"/>
      <w:r>
        <w:t>Tr. 27; PGW Ex. 7.</w:t>
      </w:r>
      <w:proofErr w:type="gramEnd"/>
    </w:p>
    <w:p w:rsidR="00875E2E" w:rsidRDefault="00875E2E" w:rsidP="004C5060">
      <w:pPr>
        <w:jc w:val="left"/>
      </w:pPr>
    </w:p>
    <w:p w:rsidR="00875E2E" w:rsidRDefault="00875E2E" w:rsidP="004C5060">
      <w:pPr>
        <w:jc w:val="left"/>
      </w:pPr>
      <w:r>
        <w:tab/>
      </w:r>
      <w:r>
        <w:tab/>
        <w:t>14.</w:t>
      </w:r>
      <w:r>
        <w:tab/>
      </w:r>
      <w:r w:rsidR="00652150">
        <w:t xml:space="preserve">An account was set up for Complainant because foreign load was found on his property.  </w:t>
      </w:r>
      <w:proofErr w:type="gramStart"/>
      <w:r w:rsidR="00652150">
        <w:t>Tr. 28.</w:t>
      </w:r>
      <w:proofErr w:type="gramEnd"/>
    </w:p>
    <w:p w:rsidR="00652150" w:rsidRDefault="00652150" w:rsidP="004C5060">
      <w:pPr>
        <w:jc w:val="left"/>
      </w:pPr>
    </w:p>
    <w:p w:rsidR="00652150" w:rsidRDefault="00090EAC" w:rsidP="004C5060">
      <w:pPr>
        <w:jc w:val="left"/>
      </w:pPr>
      <w:r>
        <w:tab/>
      </w:r>
      <w:r>
        <w:tab/>
        <w:t>15.</w:t>
      </w:r>
      <w:r>
        <w:tab/>
        <w:t xml:space="preserve">Exhibit 2 reflects a BCS informal complaint filing to which PGW answered on February 26, 2015.  </w:t>
      </w:r>
      <w:proofErr w:type="gramStart"/>
      <w:r>
        <w:t>Tr. 28-29; PGW Ex. 2.</w:t>
      </w:r>
      <w:proofErr w:type="gramEnd"/>
    </w:p>
    <w:p w:rsidR="00090EAC" w:rsidRDefault="00090EAC" w:rsidP="004C5060">
      <w:pPr>
        <w:jc w:val="left"/>
      </w:pPr>
    </w:p>
    <w:p w:rsidR="00090EAC" w:rsidRDefault="00090EAC" w:rsidP="004C5060">
      <w:pPr>
        <w:jc w:val="left"/>
      </w:pPr>
      <w:r>
        <w:tab/>
      </w:r>
      <w:r>
        <w:tab/>
        <w:t>16.</w:t>
      </w:r>
      <w:r>
        <w:tab/>
        <w:t xml:space="preserve">A PGW representative entered the property at 2049 West Tioga </w:t>
      </w:r>
      <w:proofErr w:type="gramStart"/>
      <w:r>
        <w:t>Street,</w:t>
      </w:r>
      <w:proofErr w:type="gramEnd"/>
      <w:r>
        <w:t xml:space="preserve"> Second Floor Front on March 28, 2013, in response to a trace meter pricing order requested by the second floor tenant and determined that the second floor meter supplied service to both units on the second floor.  </w:t>
      </w:r>
      <w:proofErr w:type="gramStart"/>
      <w:r>
        <w:t>Tr. 29; PGW Ex. 2.</w:t>
      </w:r>
      <w:proofErr w:type="gramEnd"/>
      <w:r>
        <w:t xml:space="preserve">  </w:t>
      </w:r>
    </w:p>
    <w:p w:rsidR="00090EAC" w:rsidRDefault="00090EAC" w:rsidP="004C5060">
      <w:pPr>
        <w:jc w:val="left"/>
      </w:pPr>
    </w:p>
    <w:p w:rsidR="00090EAC" w:rsidRDefault="00090EAC" w:rsidP="004C5060">
      <w:pPr>
        <w:jc w:val="left"/>
      </w:pPr>
      <w:r>
        <w:tab/>
      </w:r>
      <w:r>
        <w:tab/>
        <w:t>17.</w:t>
      </w:r>
      <w:r>
        <w:tab/>
        <w:t xml:space="preserve">On April 1, 2013, PGW established three accounts for Complainant and the accounts of the tenants in whose names the accounts had been established were canceled.  </w:t>
      </w:r>
      <w:proofErr w:type="gramStart"/>
      <w:r>
        <w:t>Tr. 29; PGW Ex. 2.</w:t>
      </w:r>
      <w:proofErr w:type="gramEnd"/>
    </w:p>
    <w:p w:rsidR="00090EAC" w:rsidRDefault="00090EAC" w:rsidP="004C5060">
      <w:pPr>
        <w:jc w:val="left"/>
      </w:pPr>
    </w:p>
    <w:p w:rsidR="00090EAC" w:rsidRDefault="00090EAC" w:rsidP="004C5060">
      <w:pPr>
        <w:jc w:val="left"/>
      </w:pPr>
      <w:r>
        <w:tab/>
      </w:r>
      <w:r>
        <w:tab/>
        <w:t>18.</w:t>
      </w:r>
      <w:r>
        <w:tab/>
        <w:t xml:space="preserve">The total amount transferred to Complainant from the three tenant accounts was $3,525.84.  </w:t>
      </w:r>
      <w:proofErr w:type="gramStart"/>
      <w:r>
        <w:t>Tr. 29.</w:t>
      </w:r>
      <w:proofErr w:type="gramEnd"/>
    </w:p>
    <w:p w:rsidR="00090EAC" w:rsidRDefault="00090EAC" w:rsidP="004C5060">
      <w:pPr>
        <w:jc w:val="left"/>
      </w:pPr>
    </w:p>
    <w:p w:rsidR="00090EAC" w:rsidRDefault="00090EAC" w:rsidP="004C5060">
      <w:pPr>
        <w:jc w:val="left"/>
      </w:pPr>
      <w:r>
        <w:tab/>
      </w:r>
      <w:r>
        <w:tab/>
        <w:t>19.</w:t>
      </w:r>
      <w:r>
        <w:tab/>
      </w:r>
      <w:r w:rsidR="00EB5863">
        <w:t xml:space="preserve">The liens against the subject property totaled $7,686.23 at the time of the hearing.  </w:t>
      </w:r>
      <w:proofErr w:type="gramStart"/>
      <w:r w:rsidR="00EB5863">
        <w:t>Tr. 31.</w:t>
      </w:r>
      <w:proofErr w:type="gramEnd"/>
    </w:p>
    <w:p w:rsidR="00EB5863" w:rsidRDefault="00EB5863" w:rsidP="004C5060">
      <w:pPr>
        <w:jc w:val="left"/>
      </w:pPr>
    </w:p>
    <w:p w:rsidR="00EB5863" w:rsidRDefault="00EB5863" w:rsidP="004C5060">
      <w:pPr>
        <w:jc w:val="left"/>
      </w:pPr>
      <w:r>
        <w:tab/>
      </w:r>
      <w:r>
        <w:tab/>
        <w:t>20.</w:t>
      </w:r>
      <w:r>
        <w:tab/>
        <w:t xml:space="preserve">The BCS decision was rendered on August 3, 2015.  </w:t>
      </w:r>
      <w:proofErr w:type="gramStart"/>
      <w:r>
        <w:t>Tr. 31.</w:t>
      </w:r>
      <w:proofErr w:type="gramEnd"/>
    </w:p>
    <w:p w:rsidR="00EB5863" w:rsidRDefault="00EB5863" w:rsidP="004C5060">
      <w:pPr>
        <w:jc w:val="left"/>
      </w:pPr>
    </w:p>
    <w:p w:rsidR="00EB5863" w:rsidRDefault="00EB5863" w:rsidP="004C5060">
      <w:pPr>
        <w:jc w:val="left"/>
      </w:pPr>
      <w:r>
        <w:tab/>
      </w:r>
      <w:r>
        <w:tab/>
        <w:t>21.</w:t>
      </w:r>
      <w:r>
        <w:tab/>
      </w:r>
      <w:r w:rsidR="00984548">
        <w:t xml:space="preserve">PGW sent letters dated April 26, 2013, to each tenant who had had an account when the accounts were canceled due to foreign load.  </w:t>
      </w:r>
      <w:proofErr w:type="gramStart"/>
      <w:r w:rsidR="00984548">
        <w:t>Tr. 35; PGW Ex. 4.</w:t>
      </w:r>
      <w:proofErr w:type="gramEnd"/>
      <w:r w:rsidR="00984548">
        <w:t xml:space="preserve">  </w:t>
      </w:r>
    </w:p>
    <w:p w:rsidR="00984548" w:rsidRDefault="00984548" w:rsidP="004C5060">
      <w:pPr>
        <w:jc w:val="left"/>
      </w:pPr>
    </w:p>
    <w:p w:rsidR="00984548" w:rsidRDefault="00984548" w:rsidP="004C5060">
      <w:pPr>
        <w:jc w:val="left"/>
      </w:pPr>
      <w:r>
        <w:tab/>
      </w:r>
      <w:r>
        <w:tab/>
        <w:t>22.</w:t>
      </w:r>
      <w:r>
        <w:tab/>
        <w:t xml:space="preserve">PGW sent a letter to Complainant describing the events and advising that the account was due.  </w:t>
      </w:r>
      <w:proofErr w:type="gramStart"/>
      <w:r>
        <w:t>Tr. 37; PGW Ex. 4 p.4.</w:t>
      </w:r>
      <w:proofErr w:type="gramEnd"/>
    </w:p>
    <w:p w:rsidR="00984548" w:rsidRDefault="00984548" w:rsidP="004C5060">
      <w:pPr>
        <w:jc w:val="left"/>
      </w:pPr>
    </w:p>
    <w:p w:rsidR="00984548" w:rsidRDefault="00984548" w:rsidP="004C5060">
      <w:pPr>
        <w:jc w:val="left"/>
      </w:pPr>
      <w:r>
        <w:tab/>
      </w:r>
      <w:r>
        <w:tab/>
        <w:t>23.</w:t>
      </w:r>
      <w:r>
        <w:tab/>
      </w:r>
      <w:r w:rsidR="00730B8E">
        <w:t xml:space="preserve">The transfers of the balances of the tenant accounts are reflected on the Complainant's statement of account.  </w:t>
      </w:r>
      <w:proofErr w:type="gramStart"/>
      <w:r w:rsidR="00730B8E">
        <w:t>Tr. 40; PGW Ex. 5.</w:t>
      </w:r>
      <w:proofErr w:type="gramEnd"/>
    </w:p>
    <w:p w:rsidR="00730B8E" w:rsidRDefault="00730B8E" w:rsidP="004C5060">
      <w:pPr>
        <w:jc w:val="left"/>
      </w:pPr>
    </w:p>
    <w:p w:rsidR="00730B8E" w:rsidRDefault="00730B8E" w:rsidP="004C5060">
      <w:pPr>
        <w:jc w:val="left"/>
      </w:pPr>
      <w:r>
        <w:tab/>
      </w:r>
      <w:r>
        <w:tab/>
        <w:t>2</w:t>
      </w:r>
      <w:r w:rsidR="0098003F">
        <w:t>4</w:t>
      </w:r>
      <w:r>
        <w:t>.</w:t>
      </w:r>
      <w:r>
        <w:tab/>
        <w:t xml:space="preserve">The single payment on the Complainant's account was made on August 20, 2013 in the amount of $550.  </w:t>
      </w:r>
      <w:proofErr w:type="gramStart"/>
      <w:r>
        <w:t>Tr. 40; PGW Ex. 5.</w:t>
      </w:r>
      <w:proofErr w:type="gramEnd"/>
    </w:p>
    <w:p w:rsidR="00730B8E" w:rsidRDefault="00730B8E" w:rsidP="004C5060">
      <w:pPr>
        <w:jc w:val="left"/>
      </w:pPr>
    </w:p>
    <w:p w:rsidR="00730B8E" w:rsidRDefault="00730B8E" w:rsidP="004C5060">
      <w:pPr>
        <w:jc w:val="left"/>
      </w:pPr>
      <w:r>
        <w:tab/>
      </w:r>
      <w:r>
        <w:tab/>
        <w:t>2</w:t>
      </w:r>
      <w:r w:rsidR="0098003F">
        <w:t>5</w:t>
      </w:r>
      <w:r>
        <w:t>.</w:t>
      </w:r>
      <w:r>
        <w:tab/>
        <w:t>The total balance at the time of the hearing was $4,823.09.</w:t>
      </w:r>
      <w:r w:rsidR="001049AD">
        <w:rPr>
          <w:rStyle w:val="FootnoteReference"/>
        </w:rPr>
        <w:footnoteReference w:id="3"/>
      </w:r>
      <w:r>
        <w:t xml:space="preserve">  </w:t>
      </w:r>
      <w:proofErr w:type="gramStart"/>
      <w:r>
        <w:t>Tr. 41; PGW Ex. 5.</w:t>
      </w:r>
      <w:proofErr w:type="gramEnd"/>
    </w:p>
    <w:p w:rsidR="00730B8E" w:rsidRDefault="00730B8E" w:rsidP="004C5060">
      <w:pPr>
        <w:jc w:val="left"/>
      </w:pPr>
    </w:p>
    <w:p w:rsidR="00730B8E" w:rsidRDefault="00730B8E" w:rsidP="004C5060">
      <w:pPr>
        <w:jc w:val="left"/>
      </w:pPr>
      <w:r>
        <w:tab/>
      </w:r>
      <w:r>
        <w:tab/>
        <w:t>2</w:t>
      </w:r>
      <w:r w:rsidR="0098003F">
        <w:t>6</w:t>
      </w:r>
      <w:r>
        <w:t>.</w:t>
      </w:r>
      <w:r>
        <w:tab/>
        <w:t xml:space="preserve">It is not standard practice for a PGW employee to advise customers that shared metering is acceptable even if the tenants agree to it.  </w:t>
      </w:r>
      <w:proofErr w:type="gramStart"/>
      <w:r>
        <w:t>Tr. 43.</w:t>
      </w:r>
      <w:proofErr w:type="gramEnd"/>
    </w:p>
    <w:p w:rsidR="00730B8E" w:rsidRDefault="00730B8E" w:rsidP="004C5060">
      <w:pPr>
        <w:jc w:val="left"/>
      </w:pPr>
    </w:p>
    <w:p w:rsidR="00730B8E" w:rsidRDefault="00730B8E" w:rsidP="004C5060">
      <w:pPr>
        <w:jc w:val="left"/>
      </w:pPr>
      <w:r>
        <w:tab/>
      </w:r>
      <w:r>
        <w:tab/>
        <w:t>2</w:t>
      </w:r>
      <w:r w:rsidR="0098003F">
        <w:t>7</w:t>
      </w:r>
      <w:r>
        <w:t>.</w:t>
      </w:r>
      <w:r>
        <w:tab/>
        <w:t>Complainant did not see the letters sent by PGW because he was in prison</w:t>
      </w:r>
      <w:r w:rsidR="001049AD">
        <w:t xml:space="preserve"> when they were sent</w:t>
      </w:r>
      <w:r>
        <w:t xml:space="preserve">.  </w:t>
      </w:r>
      <w:proofErr w:type="gramStart"/>
      <w:r>
        <w:t>Tr. 46.</w:t>
      </w:r>
      <w:proofErr w:type="gramEnd"/>
    </w:p>
    <w:p w:rsidR="004C5060" w:rsidRDefault="004C5060" w:rsidP="004C5060">
      <w:pPr>
        <w:jc w:val="left"/>
      </w:pPr>
      <w:r>
        <w:br w:type="page"/>
      </w:r>
    </w:p>
    <w:p w:rsidR="00031157" w:rsidRDefault="00031157" w:rsidP="004C5060">
      <w:pPr>
        <w:jc w:val="left"/>
      </w:pPr>
    </w:p>
    <w:p w:rsidR="00031157" w:rsidRDefault="00031157" w:rsidP="00031157">
      <w:pPr>
        <w:rPr>
          <w:u w:val="single"/>
        </w:rPr>
      </w:pPr>
      <w:r>
        <w:rPr>
          <w:u w:val="single"/>
        </w:rPr>
        <w:t>DISCUSSION</w:t>
      </w:r>
    </w:p>
    <w:p w:rsidR="00031157" w:rsidRDefault="00031157" w:rsidP="00031157">
      <w:pPr>
        <w:rPr>
          <w:u w:val="single"/>
        </w:rPr>
      </w:pPr>
    </w:p>
    <w:p w:rsidR="001049AD" w:rsidRDefault="00031157" w:rsidP="004C5060">
      <w:pPr>
        <w:jc w:val="left"/>
      </w:pPr>
      <w:r>
        <w:tab/>
      </w:r>
      <w:r>
        <w:tab/>
      </w:r>
      <w:r w:rsidR="0098003F">
        <w:t xml:space="preserve">Complainant owns a three-story rental property with two rental units per floor but only one gas meter per floor.  He alleges that when he purchased the property in 2006, a PGW representative assured him that the shared meters were acceptable as long as the situation is included in the tenants' leases.  Complainant was in prison from August 22, 2012, to </w:t>
      </w:r>
    </w:p>
    <w:p w:rsidR="0098003F" w:rsidRDefault="0098003F" w:rsidP="004C5060">
      <w:pPr>
        <w:jc w:val="left"/>
      </w:pPr>
      <w:r>
        <w:t>September 6, 2013, and left his business affairs in the hands of another by executing a power of attorney.  During this time, one of the tenants contacted PGW regarding a service issue, and while investigating it, PGW discovered the shared metering and placed the balances from all three metered services in the Complainant's name.  He seeks relief.</w:t>
      </w:r>
    </w:p>
    <w:p w:rsidR="001049AD" w:rsidRDefault="001049AD" w:rsidP="004C5060">
      <w:pPr>
        <w:jc w:val="left"/>
      </w:pPr>
    </w:p>
    <w:p w:rsidR="006134C1" w:rsidRPr="0084264F" w:rsidRDefault="006134C1" w:rsidP="004C5060">
      <w:pPr>
        <w:jc w:val="left"/>
      </w:pPr>
      <w:r>
        <w:tab/>
      </w:r>
      <w:r>
        <w:tab/>
        <w:t xml:space="preserve">The party seeking affirmative relief from the Commission bears the burden of proof.  </w:t>
      </w:r>
      <w:proofErr w:type="gramStart"/>
      <w:r>
        <w:t>66 Pa.C.S.</w:t>
      </w:r>
      <w:proofErr w:type="gramEnd"/>
      <w:r>
        <w:t xml:space="preserve"> § 332(a).  As a matter of law, a complainant must show that the named utility is responsible or accountable for the problem described in the Complaint in order to prevail.  </w:t>
      </w:r>
      <w:proofErr w:type="gramStart"/>
      <w:r>
        <w:rPr>
          <w:i/>
        </w:rPr>
        <w:t xml:space="preserve">Patterson v. Bell Tel. Co. of PA, </w:t>
      </w:r>
      <w:r>
        <w:t xml:space="preserve">72 Pa. PUC 196 (1990); </w:t>
      </w:r>
      <w:r>
        <w:rPr>
          <w:i/>
        </w:rPr>
        <w:t>Feinstein v. Phila.</w:t>
      </w:r>
      <w:proofErr w:type="gramEnd"/>
      <w:r>
        <w:rPr>
          <w:i/>
        </w:rPr>
        <w:t xml:space="preserve"> </w:t>
      </w:r>
      <w:proofErr w:type="gramStart"/>
      <w:r>
        <w:rPr>
          <w:i/>
        </w:rPr>
        <w:t xml:space="preserve">Suburban Water Co., </w:t>
      </w:r>
      <w:r>
        <w:t>50 Pa. PUC 300 (1976).</w:t>
      </w:r>
      <w:proofErr w:type="gramEnd"/>
      <w:r>
        <w:t xml:space="preserve">  This must be shown by a preponderance of the evidence.   </w:t>
      </w:r>
      <w:proofErr w:type="gramStart"/>
      <w:r>
        <w:rPr>
          <w:i/>
        </w:rPr>
        <w:t>Samuel J. Lansberry, Inc. v. Pa. Pub.</w:t>
      </w:r>
      <w:proofErr w:type="gramEnd"/>
      <w:r>
        <w:rPr>
          <w:i/>
        </w:rPr>
        <w:t xml:space="preserve"> </w:t>
      </w:r>
      <w:proofErr w:type="gramStart"/>
      <w:r>
        <w:rPr>
          <w:i/>
        </w:rPr>
        <w:t xml:space="preserve">Util. Comm'n, </w:t>
      </w:r>
      <w:r>
        <w:t xml:space="preserve">578 A.2d 600 (Pa.Cmwlth. 1990), </w:t>
      </w:r>
      <w:r>
        <w:rPr>
          <w:i/>
        </w:rPr>
        <w:t>alloc, denied</w:t>
      </w:r>
      <w:r>
        <w:t>, 602 A.2d 863 (1992).</w:t>
      </w:r>
      <w:proofErr w:type="gramEnd"/>
      <w:r>
        <w:t xml:space="preserve">  A preponderance of evidence is that which is more convincing, by even the smallest amount, than that presented by the other party.  </w:t>
      </w:r>
      <w:proofErr w:type="gramStart"/>
      <w:r>
        <w:rPr>
          <w:i/>
        </w:rPr>
        <w:t>Se-Ling Hosiery v. Margulies,</w:t>
      </w:r>
      <w:r>
        <w:t xml:space="preserve"> </w:t>
      </w:r>
      <w:r w:rsidRPr="0084264F">
        <w:rPr>
          <w:color w:val="333333"/>
        </w:rPr>
        <w:t>364 Pa. 45, 70 A.2d 854, 1950 Pa. LEXIS 316 (1950)</w:t>
      </w:r>
      <w:r w:rsidRPr="0084264F">
        <w:t>.</w:t>
      </w:r>
      <w:proofErr w:type="gramEnd"/>
    </w:p>
    <w:p w:rsidR="006134C1" w:rsidRDefault="006134C1" w:rsidP="004C5060">
      <w:pPr>
        <w:jc w:val="left"/>
      </w:pPr>
    </w:p>
    <w:p w:rsidR="006134C1" w:rsidRDefault="006134C1" w:rsidP="004C5060">
      <w:pPr>
        <w:jc w:val="left"/>
      </w:pPr>
      <w:r>
        <w:tab/>
      </w:r>
      <w:r>
        <w:tab/>
        <w:t xml:space="preserve">Additionally, any finding of fact necessary to support the Commission's adjudication must be based upon substantial evidence.  </w:t>
      </w:r>
      <w:proofErr w:type="gramStart"/>
      <w:r>
        <w:rPr>
          <w:i/>
        </w:rPr>
        <w:t>Mill v. Pa. Pub.</w:t>
      </w:r>
      <w:proofErr w:type="gramEnd"/>
      <w:r>
        <w:rPr>
          <w:i/>
        </w:rPr>
        <w:t xml:space="preserve"> </w:t>
      </w:r>
      <w:proofErr w:type="gramStart"/>
      <w:r>
        <w:rPr>
          <w:i/>
        </w:rPr>
        <w:t>Util. Comm'n</w:t>
      </w:r>
      <w:r>
        <w:t xml:space="preserve">, 447 A.2d 1100 (Pa.Cmwlth. 1982); </w:t>
      </w:r>
      <w:r>
        <w:rPr>
          <w:i/>
        </w:rPr>
        <w:t>Edan Transportation Corp. v. Pa. Pub.</w:t>
      </w:r>
      <w:proofErr w:type="gramEnd"/>
      <w:r>
        <w:rPr>
          <w:i/>
        </w:rPr>
        <w:t xml:space="preserve"> </w:t>
      </w:r>
      <w:proofErr w:type="gramStart"/>
      <w:r>
        <w:rPr>
          <w:i/>
        </w:rPr>
        <w:t xml:space="preserve">Util. Comm'n, </w:t>
      </w:r>
      <w:r>
        <w:t>623 A.2d 6 (Pa. Cmwlth. 1993); 2 Pa.C.S.</w:t>
      </w:r>
      <w:proofErr w:type="gramEnd"/>
      <w:r>
        <w:t xml:space="preserve"> § 704.  More is required than a mere trace of evidence or a suspicion of the existence of a fact sought to be established.  </w:t>
      </w:r>
      <w:proofErr w:type="gramStart"/>
      <w:r>
        <w:rPr>
          <w:i/>
        </w:rPr>
        <w:t>Norfolk and Western Ry. v. Pa. Pub.</w:t>
      </w:r>
      <w:proofErr w:type="gramEnd"/>
      <w:r>
        <w:rPr>
          <w:i/>
        </w:rPr>
        <w:t xml:space="preserve"> </w:t>
      </w:r>
      <w:proofErr w:type="gramStart"/>
      <w:r>
        <w:rPr>
          <w:i/>
        </w:rPr>
        <w:t xml:space="preserve">Util. Comm'n, </w:t>
      </w:r>
      <w:r w:rsidRPr="004913C4">
        <w:t>489 Pa. 109, 413 A.2d</w:t>
      </w:r>
      <w:r>
        <w:t xml:space="preserve"> 1037 (1980); </w:t>
      </w:r>
      <w:r>
        <w:rPr>
          <w:i/>
        </w:rPr>
        <w:t>Erie Resistor Corp. v. Unemployment Compensation Bd.</w:t>
      </w:r>
      <w:proofErr w:type="gramEnd"/>
      <w:r>
        <w:rPr>
          <w:i/>
        </w:rPr>
        <w:t xml:space="preserve"> </w:t>
      </w:r>
      <w:proofErr w:type="gramStart"/>
      <w:r>
        <w:rPr>
          <w:i/>
        </w:rPr>
        <w:t xml:space="preserve">Of Review, </w:t>
      </w:r>
      <w:r>
        <w:t>166 A.2d 96 (</w:t>
      </w:r>
      <w:proofErr w:type="spellStart"/>
      <w:r>
        <w:t>Pa.Super</w:t>
      </w:r>
      <w:proofErr w:type="spellEnd"/>
      <w:r>
        <w:t xml:space="preserve">. 1960); </w:t>
      </w:r>
      <w:r>
        <w:rPr>
          <w:i/>
        </w:rPr>
        <w:t>Murphy v. Dep't.</w:t>
      </w:r>
      <w:proofErr w:type="gramEnd"/>
      <w:r>
        <w:rPr>
          <w:i/>
        </w:rPr>
        <w:t xml:space="preserve"> </w:t>
      </w:r>
      <w:proofErr w:type="gramStart"/>
      <w:r>
        <w:rPr>
          <w:i/>
        </w:rPr>
        <w:t>of</w:t>
      </w:r>
      <w:proofErr w:type="gramEnd"/>
      <w:r>
        <w:rPr>
          <w:i/>
        </w:rPr>
        <w:t xml:space="preserve"> Public Welfare, White Haven Center, </w:t>
      </w:r>
      <w:r>
        <w:t>480 A.2d 382 (Pa.Cmwlth. 1984).</w:t>
      </w:r>
    </w:p>
    <w:p w:rsidR="006134C1" w:rsidRDefault="006134C1" w:rsidP="004C5060">
      <w:pPr>
        <w:jc w:val="left"/>
      </w:pPr>
    </w:p>
    <w:p w:rsidR="006134C1" w:rsidRDefault="006134C1" w:rsidP="004C5060">
      <w:pPr>
        <w:jc w:val="left"/>
      </w:pPr>
      <w:r>
        <w:tab/>
      </w:r>
      <w:r>
        <w:tab/>
        <w:t xml:space="preserve">The offense must be a violation of the Public Utility Code, the Commission's regulations, or an outstanding order of the Commission.  </w:t>
      </w:r>
      <w:proofErr w:type="gramStart"/>
      <w:r>
        <w:t>66 Pa.C.S.</w:t>
      </w:r>
      <w:proofErr w:type="gramEnd"/>
      <w:r>
        <w:t xml:space="preserve"> § 701.</w:t>
      </w:r>
    </w:p>
    <w:p w:rsidR="006134C1" w:rsidRDefault="006134C1" w:rsidP="004C5060">
      <w:pPr>
        <w:jc w:val="left"/>
      </w:pPr>
    </w:p>
    <w:p w:rsidR="006134C1" w:rsidRDefault="006134C1" w:rsidP="004C5060">
      <w:pPr>
        <w:ind w:firstLine="1440"/>
        <w:jc w:val="left"/>
      </w:pPr>
      <w:r>
        <w:t xml:space="preserve">As the proponent of a Commission order, complainant has the burden of proof in this case.  </w:t>
      </w:r>
      <w:proofErr w:type="gramStart"/>
      <w:r>
        <w:t>66 Pa.C.S.A.</w:t>
      </w:r>
      <w:proofErr w:type="gramEnd"/>
      <w:r>
        <w:t xml:space="preserve"> § 332(a).</w:t>
      </w:r>
    </w:p>
    <w:p w:rsidR="006134C1" w:rsidRDefault="006134C1" w:rsidP="004C5060">
      <w:pPr>
        <w:ind w:firstLine="1440"/>
        <w:jc w:val="left"/>
      </w:pPr>
    </w:p>
    <w:p w:rsidR="00031157" w:rsidRDefault="00031157" w:rsidP="004C5060">
      <w:pPr>
        <w:jc w:val="left"/>
      </w:pPr>
      <w:r>
        <w:tab/>
      </w:r>
      <w:r>
        <w:tab/>
        <w:t>Complainant testified</w:t>
      </w:r>
      <w:r w:rsidR="006134C1">
        <w:t xml:space="preserve"> that in 2006, a PGW employee had assured him that shared meters were acceptable as long as the situation is part of the lease, and</w:t>
      </w:r>
      <w:r>
        <w:t xml:space="preserve"> that he had a letter from PGW dated October 14, 2014, which states that it is okay to have two tenants served by the same meter as long as it is in the lease and the tenant is aware of the situation.  </w:t>
      </w:r>
      <w:proofErr w:type="gramStart"/>
      <w:r>
        <w:t>Tr. 12</w:t>
      </w:r>
      <w:r w:rsidR="006134C1">
        <w:t>, 19</w:t>
      </w:r>
      <w:r>
        <w:t>.</w:t>
      </w:r>
      <w:proofErr w:type="gramEnd"/>
      <w:r>
        <w:t xml:space="preserve">  However, counsel for PGW stated that the only document sent from PGW on that date was the PGW answer to the complaint.  Tr. 15-16.  </w:t>
      </w:r>
      <w:r w:rsidR="00AA3C56">
        <w:t xml:space="preserve">In </w:t>
      </w:r>
      <w:r w:rsidR="00F26A90">
        <w:t>Complainant's</w:t>
      </w:r>
      <w:r w:rsidR="00AA3C56">
        <w:t xml:space="preserve"> mind, the lien that resulted from the high bill transfer from a tenant is the direct fault of PGW for giving him false information in 2006.  </w:t>
      </w:r>
      <w:proofErr w:type="gramStart"/>
      <w:r w:rsidR="00AA3C56">
        <w:t>Tr. 19.</w:t>
      </w:r>
      <w:proofErr w:type="gramEnd"/>
      <w:r w:rsidR="00AA3C56">
        <w:t xml:space="preserve">  He testified that he spent 13 months in jail and does not have the money to pay off the debt, as well as other bills which piled up during his absence when another person had his power of attorney.  </w:t>
      </w:r>
      <w:proofErr w:type="gramStart"/>
      <w:r w:rsidR="00AA3C56">
        <w:t>Tr. 19.</w:t>
      </w:r>
      <w:proofErr w:type="gramEnd"/>
    </w:p>
    <w:p w:rsidR="006134C1" w:rsidRDefault="006134C1" w:rsidP="004C5060">
      <w:pPr>
        <w:jc w:val="left"/>
      </w:pPr>
    </w:p>
    <w:p w:rsidR="0077469B" w:rsidRPr="00CA4675" w:rsidRDefault="006134C1" w:rsidP="004C5060">
      <w:pPr>
        <w:jc w:val="left"/>
      </w:pPr>
      <w:r>
        <w:tab/>
      </w:r>
      <w:r>
        <w:tab/>
      </w:r>
      <w:r w:rsidR="0077469B" w:rsidRPr="00CA4675">
        <w:t xml:space="preserve">The Public Utility Code requires a utility to place an account in the landlord's name where it is determined that there is foreign load on the tenant's meter.  </w:t>
      </w:r>
      <w:proofErr w:type="gramStart"/>
      <w:r w:rsidR="0077469B" w:rsidRPr="00CA4675">
        <w:t>66 Pa.C.S.</w:t>
      </w:r>
      <w:proofErr w:type="gramEnd"/>
      <w:r w:rsidR="0077469B" w:rsidRPr="00CA4675">
        <w:t xml:space="preserve"> § 1529.1.  The Commission stated:</w:t>
      </w:r>
    </w:p>
    <w:p w:rsidR="0077469B" w:rsidRPr="00CA4675" w:rsidRDefault="0077469B" w:rsidP="004C5060">
      <w:pPr>
        <w:jc w:val="left"/>
      </w:pPr>
    </w:p>
    <w:p w:rsidR="0077469B" w:rsidRDefault="0077469B" w:rsidP="0077469B">
      <w:pPr>
        <w:spacing w:line="240" w:lineRule="auto"/>
        <w:ind w:left="1440" w:right="1440"/>
        <w:jc w:val="left"/>
      </w:pPr>
      <w:r w:rsidRPr="00CA4675">
        <w:tab/>
        <w:t xml:space="preserve">In interpreting this provision, the Commission has determined that well-established precedent "holds the property owner financially responsible for a tenant's entire account, once foreign load is verified on the tenant's service."  </w:t>
      </w:r>
      <w:r w:rsidRPr="00CA4675">
        <w:rPr>
          <w:i/>
        </w:rPr>
        <w:t xml:space="preserve">Ace Check Cashing, Inc. v. Philadelphia Gas Works, </w:t>
      </w:r>
      <w:r w:rsidRPr="00CA4675">
        <w:t xml:space="preserve">Docket No. C-2008-2056428 (Order entered May 21, 2010) at 6.  </w:t>
      </w:r>
      <w:r w:rsidRPr="00CA4675">
        <w:rPr>
          <w:i/>
        </w:rPr>
        <w:t xml:space="preserve">See also, Santos v. Metropolitan Edison Co., </w:t>
      </w:r>
      <w:r w:rsidRPr="00CA4675">
        <w:t xml:space="preserve">1997 Pa. PUC LEXIS 184 at *21 (finding that, upon discovery of foreign load, the utility must switch the account into the name of the landlord and bill the landlord's account for any unpaid billing on the account).  The Commission's foreign load policy was explained in detail in </w:t>
      </w:r>
      <w:r w:rsidRPr="00CA4675">
        <w:rPr>
          <w:i/>
        </w:rPr>
        <w:t xml:space="preserve">Ace Check Cashing, supra.  </w:t>
      </w:r>
      <w:r w:rsidRPr="00CA4675">
        <w:t xml:space="preserve">Upon finding foreign load, the utility must list the account, including any arrearages, in the landlord's name.  The landlord is responsible for paying the utility bills until the foreign load is corrected.  After the foreign load is corrected by the landlord and verified by the utility, the utility is to place the account back into the tenant's name.  </w:t>
      </w:r>
      <w:proofErr w:type="gramStart"/>
      <w:r w:rsidRPr="00CA4675">
        <w:rPr>
          <w:i/>
        </w:rPr>
        <w:t>Id.</w:t>
      </w:r>
      <w:r w:rsidRPr="00CA4675">
        <w:t xml:space="preserve"> at 7.</w:t>
      </w:r>
      <w:proofErr w:type="gramEnd"/>
      <w:r w:rsidRPr="00CA4675">
        <w:t xml:space="preserve">  However, the landlord remains responsible for any arrearages on the tenant's account.  </w:t>
      </w:r>
      <w:r w:rsidRPr="00CA4675">
        <w:rPr>
          <w:i/>
        </w:rPr>
        <w:t xml:space="preserve">Id. </w:t>
      </w:r>
      <w:r w:rsidRPr="00CA4675">
        <w:t>at 7-8.</w:t>
      </w:r>
    </w:p>
    <w:p w:rsidR="0077469B" w:rsidRPr="00CA4675" w:rsidRDefault="0077469B" w:rsidP="004C5060">
      <w:pPr>
        <w:jc w:val="left"/>
      </w:pPr>
    </w:p>
    <w:p w:rsidR="0077469B" w:rsidRDefault="0077469B" w:rsidP="004C5060">
      <w:pPr>
        <w:jc w:val="left"/>
      </w:pPr>
      <w:r w:rsidRPr="00CA4675">
        <w:rPr>
          <w:i/>
        </w:rPr>
        <w:t xml:space="preserve">Jack </w:t>
      </w:r>
      <w:proofErr w:type="spellStart"/>
      <w:r w:rsidRPr="00CA4675">
        <w:rPr>
          <w:i/>
        </w:rPr>
        <w:t>Bleiman</w:t>
      </w:r>
      <w:proofErr w:type="spellEnd"/>
      <w:r w:rsidRPr="00CA4675">
        <w:rPr>
          <w:i/>
        </w:rPr>
        <w:t xml:space="preserve"> v. PECO Energy Company</w:t>
      </w:r>
      <w:r w:rsidRPr="00CA4675">
        <w:t>, Docket No. F-2012-2284038 (Opinion and Order entered June 13, 2013</w:t>
      </w:r>
      <w:proofErr w:type="gramStart"/>
      <w:r w:rsidRPr="00CA4675">
        <w:t>)(</w:t>
      </w:r>
      <w:proofErr w:type="gramEnd"/>
      <w:r w:rsidRPr="00CA4675">
        <w:t>petition for reconsideration denied September 12, 2013)</w:t>
      </w:r>
      <w:r>
        <w:t xml:space="preserve">;  see also </w:t>
      </w:r>
      <w:r>
        <w:rPr>
          <w:i/>
        </w:rPr>
        <w:t xml:space="preserve">Jere </w:t>
      </w:r>
      <w:proofErr w:type="spellStart"/>
      <w:r>
        <w:rPr>
          <w:i/>
        </w:rPr>
        <w:t>Lefever</w:t>
      </w:r>
      <w:proofErr w:type="spellEnd"/>
      <w:r>
        <w:rPr>
          <w:i/>
        </w:rPr>
        <w:t xml:space="preserve"> v. PPL Electric Utilities Corporation, </w:t>
      </w:r>
      <w:r>
        <w:t>Docket No. C-2013-2367314 (</w:t>
      </w:r>
      <w:r w:rsidR="0015302D">
        <w:t>Opinion and Order entered April 23, 2014)</w:t>
      </w:r>
      <w:r w:rsidRPr="00CA4675">
        <w:t>.</w:t>
      </w:r>
    </w:p>
    <w:p w:rsidR="0015302D" w:rsidRDefault="0015302D" w:rsidP="004C5060">
      <w:pPr>
        <w:jc w:val="left"/>
      </w:pPr>
    </w:p>
    <w:p w:rsidR="0015302D" w:rsidRDefault="0015302D" w:rsidP="004C5060">
      <w:pPr>
        <w:jc w:val="left"/>
      </w:pPr>
      <w:r>
        <w:tab/>
      </w:r>
      <w:r>
        <w:tab/>
        <w:t>Here, PGW responded to a call from one of Complainant's tenants and a visit to the premise</w:t>
      </w:r>
      <w:r w:rsidR="001049AD">
        <w:t xml:space="preserve">s </w:t>
      </w:r>
      <w:r>
        <w:t xml:space="preserve">exposed shared metering.  PGW informed the three tenants who were PGW account holders that their accounts would be closed and their balances transferred to Complainant's account, as the landlord.  In addition, PGW sent a letter to Complainant, at his address, not the subject property, informing him of the situation.  PGW neither knew nor had a duty to explore whether Complainant lived there currently or was imprisoned.  The fact that Complainant had given his power of attorney to a person who did not perform to his expectations is not PGW's fault.  </w:t>
      </w:r>
    </w:p>
    <w:p w:rsidR="0015302D" w:rsidRDefault="0015302D" w:rsidP="004C5060">
      <w:pPr>
        <w:jc w:val="left"/>
      </w:pPr>
    </w:p>
    <w:p w:rsidR="0077469B" w:rsidRDefault="0077469B" w:rsidP="004C5060">
      <w:pPr>
        <w:jc w:val="left"/>
      </w:pPr>
      <w:r w:rsidRPr="00CA4675">
        <w:tab/>
      </w:r>
      <w:r w:rsidRPr="00CA4675">
        <w:tab/>
        <w:t xml:space="preserve">The Complainant has not shown that the utility acted in a way which was a violation of law administered by the Commission. </w:t>
      </w:r>
      <w:r>
        <w:t xml:space="preserve"> </w:t>
      </w:r>
      <w:r w:rsidRPr="00CA4675">
        <w:t>Rather, the utility acted in strict compliance with the requirement that it place the account in the name of the landlord upon discovering foreign load on the tenant's meter.</w:t>
      </w:r>
      <w:r w:rsidR="0015302D">
        <w:t xml:space="preserve">  Accordingly, the Complaint is dismissed.</w:t>
      </w:r>
    </w:p>
    <w:p w:rsidR="0015302D" w:rsidRDefault="0015302D" w:rsidP="004C5060">
      <w:pPr>
        <w:jc w:val="left"/>
      </w:pPr>
    </w:p>
    <w:p w:rsidR="0015302D" w:rsidRPr="0015302D" w:rsidRDefault="0015302D" w:rsidP="0015302D">
      <w:pPr>
        <w:rPr>
          <w:u w:val="single"/>
        </w:rPr>
      </w:pPr>
      <w:r w:rsidRPr="0015302D">
        <w:rPr>
          <w:u w:val="single"/>
        </w:rPr>
        <w:t>CONCLUSIONS OF LAW</w:t>
      </w:r>
    </w:p>
    <w:p w:rsidR="0015302D" w:rsidRPr="00CA4675" w:rsidRDefault="0015302D" w:rsidP="0015302D">
      <w:pPr>
        <w:rPr>
          <w:u w:val="single"/>
        </w:rPr>
      </w:pPr>
    </w:p>
    <w:p w:rsidR="0015302D" w:rsidRPr="00CA4675" w:rsidRDefault="0015302D" w:rsidP="0015302D">
      <w:pPr>
        <w:jc w:val="left"/>
      </w:pPr>
      <w:r w:rsidRPr="00CA4675">
        <w:tab/>
      </w:r>
      <w:r w:rsidRPr="00CA4675">
        <w:tab/>
        <w:t>1.</w:t>
      </w:r>
      <w:r w:rsidRPr="00CA4675">
        <w:tab/>
        <w:t>The Commission has jurisdiction over this matter.</w:t>
      </w:r>
      <w:r w:rsidR="001049AD">
        <w:t xml:space="preserve">  </w:t>
      </w:r>
      <w:proofErr w:type="gramStart"/>
      <w:r w:rsidR="001049AD">
        <w:t>66 Pa.C.S.</w:t>
      </w:r>
      <w:proofErr w:type="gramEnd"/>
      <w:r w:rsidR="001049AD">
        <w:t xml:space="preserve"> § 70</w:t>
      </w:r>
      <w:r w:rsidR="00F26A90">
        <w:t>1</w:t>
      </w:r>
      <w:r w:rsidR="001049AD">
        <w:t>.</w:t>
      </w:r>
    </w:p>
    <w:p w:rsidR="0015302D" w:rsidRPr="00CA4675" w:rsidRDefault="0015302D" w:rsidP="0015302D">
      <w:pPr>
        <w:jc w:val="left"/>
      </w:pPr>
    </w:p>
    <w:p w:rsidR="0015302D" w:rsidRPr="00CA4675" w:rsidRDefault="0015302D" w:rsidP="0015302D">
      <w:pPr>
        <w:jc w:val="left"/>
      </w:pPr>
      <w:r w:rsidRPr="00CA4675">
        <w:tab/>
      </w:r>
      <w:r w:rsidRPr="00CA4675">
        <w:tab/>
        <w:t>2.</w:t>
      </w:r>
      <w:r w:rsidRPr="00CA4675">
        <w:tab/>
        <w:t xml:space="preserve">The party seeking affirmative relief from the Commission bears the burden of proof.  </w:t>
      </w:r>
      <w:proofErr w:type="gramStart"/>
      <w:r w:rsidRPr="00CA4675">
        <w:t>66 Pa.C.S.</w:t>
      </w:r>
      <w:proofErr w:type="gramEnd"/>
      <w:r w:rsidRPr="00CA4675">
        <w:t xml:space="preserve"> § 332(a).</w:t>
      </w:r>
    </w:p>
    <w:p w:rsidR="0015302D" w:rsidRPr="00CA4675" w:rsidRDefault="0015302D" w:rsidP="0015302D">
      <w:pPr>
        <w:jc w:val="left"/>
      </w:pPr>
    </w:p>
    <w:p w:rsidR="0015302D" w:rsidRPr="00CA4675" w:rsidRDefault="0015302D" w:rsidP="0015302D">
      <w:pPr>
        <w:jc w:val="left"/>
      </w:pPr>
      <w:r w:rsidRPr="00CA4675">
        <w:tab/>
      </w:r>
      <w:r w:rsidRPr="00CA4675">
        <w:tab/>
        <w:t>3.</w:t>
      </w:r>
      <w:r w:rsidRPr="00CA4675">
        <w:tab/>
        <w:t xml:space="preserve">As a matter of law, a complainant must show that the named utility is responsible or accountable for the problem described in the Complaint in order to prevail.  </w:t>
      </w:r>
      <w:proofErr w:type="gramStart"/>
      <w:r w:rsidRPr="00CA4675">
        <w:rPr>
          <w:i/>
        </w:rPr>
        <w:t xml:space="preserve">Patterson v. Bell Tel. Co. of PA, </w:t>
      </w:r>
      <w:r>
        <w:t>72 Pa. PUC</w:t>
      </w:r>
      <w:r w:rsidRPr="00CA4675">
        <w:t xml:space="preserve"> 196 (1990); </w:t>
      </w:r>
      <w:r w:rsidRPr="00CA4675">
        <w:rPr>
          <w:i/>
        </w:rPr>
        <w:t>Feinstein v. Phila.</w:t>
      </w:r>
      <w:proofErr w:type="gramEnd"/>
      <w:r w:rsidRPr="00CA4675">
        <w:rPr>
          <w:i/>
        </w:rPr>
        <w:t xml:space="preserve"> </w:t>
      </w:r>
      <w:proofErr w:type="gramStart"/>
      <w:r w:rsidRPr="00CA4675">
        <w:rPr>
          <w:i/>
        </w:rPr>
        <w:t xml:space="preserve">Suburban Water Co., </w:t>
      </w:r>
      <w:r w:rsidRPr="00CA4675">
        <w:t>50 Pa. PUC 300 (1976).</w:t>
      </w:r>
      <w:proofErr w:type="gramEnd"/>
    </w:p>
    <w:p w:rsidR="0015302D" w:rsidRPr="00CA4675" w:rsidRDefault="0015302D" w:rsidP="0015302D">
      <w:pPr>
        <w:jc w:val="left"/>
      </w:pPr>
    </w:p>
    <w:p w:rsidR="0015302D" w:rsidRPr="00CA4675" w:rsidRDefault="0015302D" w:rsidP="0015302D">
      <w:pPr>
        <w:jc w:val="left"/>
      </w:pPr>
      <w:r w:rsidRPr="00CA4675">
        <w:tab/>
      </w:r>
      <w:r w:rsidRPr="00CA4675">
        <w:tab/>
        <w:t>4.</w:t>
      </w:r>
      <w:r w:rsidRPr="00CA4675">
        <w:tab/>
        <w:t>This must be shown by a prep</w:t>
      </w:r>
      <w:r>
        <w:t xml:space="preserve">onderance of the evidence.  </w:t>
      </w:r>
      <w:proofErr w:type="gramStart"/>
      <w:r w:rsidRPr="00CA4675">
        <w:rPr>
          <w:i/>
        </w:rPr>
        <w:t>Samuel J. Lansberry, Inc. v. Pa. Pub.</w:t>
      </w:r>
      <w:proofErr w:type="gramEnd"/>
      <w:r w:rsidRPr="00CA4675">
        <w:rPr>
          <w:i/>
        </w:rPr>
        <w:t xml:space="preserve"> </w:t>
      </w:r>
      <w:proofErr w:type="gramStart"/>
      <w:r w:rsidRPr="00CA4675">
        <w:rPr>
          <w:i/>
        </w:rPr>
        <w:t xml:space="preserve">Util. Comm'n, </w:t>
      </w:r>
      <w:r w:rsidRPr="00CA4675">
        <w:t>578 A.2d 600 (</w:t>
      </w:r>
      <w:r w:rsidR="00C958FC">
        <w:t xml:space="preserve">Pa.Cmwlth. </w:t>
      </w:r>
      <w:r w:rsidRPr="00CA4675">
        <w:t xml:space="preserve">1990), </w:t>
      </w:r>
      <w:r w:rsidRPr="00CA4675">
        <w:rPr>
          <w:i/>
        </w:rPr>
        <w:t>alloc, denied</w:t>
      </w:r>
      <w:r w:rsidRPr="00CA4675">
        <w:t>, 602 A.2d 863 (1992).</w:t>
      </w:r>
      <w:proofErr w:type="gramEnd"/>
      <w:r w:rsidRPr="00CA4675">
        <w:t xml:space="preserve">  A preponderance of evidence is that which is more convincing, by even the smallest amount, than that presented by the other party.  </w:t>
      </w:r>
      <w:proofErr w:type="gramStart"/>
      <w:r w:rsidRPr="00CA4675">
        <w:rPr>
          <w:i/>
        </w:rPr>
        <w:t>Se-Ling Hosiery v. Margulies,</w:t>
      </w:r>
      <w:r w:rsidRPr="00CA4675">
        <w:t xml:space="preserve"> </w:t>
      </w:r>
      <w:r w:rsidR="001049AD">
        <w:t xml:space="preserve">364 Pa. 45, </w:t>
      </w:r>
      <w:r w:rsidRPr="00CA4675">
        <w:t xml:space="preserve">70 A.2d 854 </w:t>
      </w:r>
      <w:r w:rsidR="00C958FC">
        <w:t xml:space="preserve">1950 Pa. LEXIS 316 </w:t>
      </w:r>
      <w:r w:rsidRPr="00CA4675">
        <w:t>(1950).</w:t>
      </w:r>
      <w:proofErr w:type="gramEnd"/>
    </w:p>
    <w:p w:rsidR="0015302D" w:rsidRPr="00CA4675" w:rsidRDefault="0015302D" w:rsidP="0015302D">
      <w:pPr>
        <w:jc w:val="left"/>
      </w:pPr>
    </w:p>
    <w:p w:rsidR="0015302D" w:rsidRPr="00CA4675" w:rsidRDefault="0015302D" w:rsidP="0015302D">
      <w:pPr>
        <w:jc w:val="left"/>
      </w:pPr>
      <w:r w:rsidRPr="00CA4675">
        <w:tab/>
      </w:r>
      <w:r w:rsidRPr="00CA4675">
        <w:tab/>
        <w:t>5.</w:t>
      </w:r>
      <w:r w:rsidRPr="00CA4675">
        <w:tab/>
        <w:t xml:space="preserve">Any finding of fact necessary to support the Commission's adjudication must be based upon substantial evidence.  </w:t>
      </w:r>
      <w:proofErr w:type="gramStart"/>
      <w:r w:rsidRPr="00CA4675">
        <w:rPr>
          <w:i/>
        </w:rPr>
        <w:t>Mill v. Pa. Pub.</w:t>
      </w:r>
      <w:proofErr w:type="gramEnd"/>
      <w:r w:rsidRPr="00CA4675">
        <w:rPr>
          <w:i/>
        </w:rPr>
        <w:t xml:space="preserve"> </w:t>
      </w:r>
      <w:proofErr w:type="gramStart"/>
      <w:r w:rsidRPr="00CA4675">
        <w:rPr>
          <w:i/>
        </w:rPr>
        <w:t>Util. Comm'n</w:t>
      </w:r>
      <w:r w:rsidRPr="00CA4675">
        <w:t xml:space="preserve">, 447 A.2d 1100 (Pa.Cmwlth. 1982); </w:t>
      </w:r>
      <w:r w:rsidRPr="00CA4675">
        <w:rPr>
          <w:i/>
        </w:rPr>
        <w:t>Edan Transportation Corp. v. Pa. Pub.</w:t>
      </w:r>
      <w:proofErr w:type="gramEnd"/>
      <w:r w:rsidRPr="00CA4675">
        <w:rPr>
          <w:i/>
        </w:rPr>
        <w:t xml:space="preserve"> </w:t>
      </w:r>
      <w:proofErr w:type="gramStart"/>
      <w:r w:rsidRPr="00CA4675">
        <w:rPr>
          <w:i/>
        </w:rPr>
        <w:t xml:space="preserve">Util. Comm'n, </w:t>
      </w:r>
      <w:r w:rsidRPr="00CA4675">
        <w:t>623 A.2d 6 (Pa. Cmwlth. 1993); 2 Pa.C.S.</w:t>
      </w:r>
      <w:proofErr w:type="gramEnd"/>
      <w:r w:rsidRPr="00CA4675">
        <w:t xml:space="preserve"> § 704.  More is required than a mere trace of evidence or a suspicion of the existence of a fact sought to be established.  </w:t>
      </w:r>
      <w:proofErr w:type="gramStart"/>
      <w:r w:rsidRPr="00CA4675">
        <w:rPr>
          <w:i/>
        </w:rPr>
        <w:t>Norfolk and Western Ry. v. Pa. Pub.</w:t>
      </w:r>
      <w:proofErr w:type="gramEnd"/>
      <w:r w:rsidRPr="00CA4675">
        <w:rPr>
          <w:i/>
        </w:rPr>
        <w:t xml:space="preserve"> </w:t>
      </w:r>
      <w:proofErr w:type="gramStart"/>
      <w:r w:rsidRPr="00CA4675">
        <w:rPr>
          <w:i/>
        </w:rPr>
        <w:t xml:space="preserve">Util. Comm'n, </w:t>
      </w:r>
      <w:r w:rsidRPr="00CA4675">
        <w:t xml:space="preserve">489 Pa. 109, 413 A.2d 1037 (1980); </w:t>
      </w:r>
      <w:r w:rsidRPr="00CA4675">
        <w:rPr>
          <w:i/>
        </w:rPr>
        <w:t>Erie Resistor Corp. v. Unemployment Compensation Bd.</w:t>
      </w:r>
      <w:proofErr w:type="gramEnd"/>
      <w:r w:rsidRPr="00CA4675">
        <w:rPr>
          <w:i/>
        </w:rPr>
        <w:t xml:space="preserve"> </w:t>
      </w:r>
      <w:proofErr w:type="gramStart"/>
      <w:r w:rsidRPr="00CA4675">
        <w:rPr>
          <w:i/>
        </w:rPr>
        <w:t xml:space="preserve">Of Review, </w:t>
      </w:r>
      <w:r w:rsidRPr="00CA4675">
        <w:t>166 A.2d 96 (</w:t>
      </w:r>
      <w:proofErr w:type="spellStart"/>
      <w:r w:rsidRPr="00CA4675">
        <w:t>Pa.Super</w:t>
      </w:r>
      <w:proofErr w:type="spellEnd"/>
      <w:r w:rsidRPr="00CA4675">
        <w:t xml:space="preserve">. 1960); </w:t>
      </w:r>
      <w:r w:rsidRPr="00CA4675">
        <w:rPr>
          <w:i/>
        </w:rPr>
        <w:t>Murphy v. Dep't.</w:t>
      </w:r>
      <w:proofErr w:type="gramEnd"/>
      <w:r w:rsidRPr="00CA4675">
        <w:rPr>
          <w:i/>
        </w:rPr>
        <w:t xml:space="preserve"> </w:t>
      </w:r>
      <w:proofErr w:type="gramStart"/>
      <w:r w:rsidRPr="00CA4675">
        <w:rPr>
          <w:i/>
        </w:rPr>
        <w:t>of</w:t>
      </w:r>
      <w:proofErr w:type="gramEnd"/>
      <w:r w:rsidRPr="00CA4675">
        <w:rPr>
          <w:i/>
        </w:rPr>
        <w:t xml:space="preserve"> Public Welfare, White Haven Center, </w:t>
      </w:r>
      <w:r w:rsidR="00C958FC">
        <w:t>480 A.2d 382 (Pa.</w:t>
      </w:r>
      <w:r w:rsidRPr="00CA4675">
        <w:t>Cmwlth. 1984).</w:t>
      </w:r>
    </w:p>
    <w:p w:rsidR="0015302D" w:rsidRPr="00CA4675" w:rsidRDefault="0015302D" w:rsidP="0015302D">
      <w:pPr>
        <w:jc w:val="left"/>
      </w:pPr>
    </w:p>
    <w:p w:rsidR="0015302D" w:rsidRPr="00CA4675" w:rsidRDefault="0015302D" w:rsidP="0015302D">
      <w:pPr>
        <w:jc w:val="left"/>
      </w:pPr>
      <w:r w:rsidRPr="00CA4675">
        <w:tab/>
      </w:r>
      <w:r w:rsidRPr="00CA4675">
        <w:tab/>
        <w:t>6.</w:t>
      </w:r>
      <w:r w:rsidRPr="00CA4675">
        <w:tab/>
        <w:t xml:space="preserve">The offense must be a violation of the Public Utility Code, the Commission's regulations, or an outstanding order of the Commission.  </w:t>
      </w:r>
      <w:proofErr w:type="gramStart"/>
      <w:r w:rsidRPr="00CA4675">
        <w:t>66 Pa.C.S.</w:t>
      </w:r>
      <w:proofErr w:type="gramEnd"/>
      <w:r w:rsidRPr="00CA4675">
        <w:t xml:space="preserve"> § 701</w:t>
      </w:r>
      <w:r>
        <w:t>.</w:t>
      </w:r>
    </w:p>
    <w:p w:rsidR="0015302D" w:rsidRPr="00CA4675" w:rsidRDefault="0015302D" w:rsidP="0015302D">
      <w:pPr>
        <w:jc w:val="left"/>
      </w:pPr>
    </w:p>
    <w:p w:rsidR="0015302D" w:rsidRPr="00CA4675" w:rsidRDefault="0015302D" w:rsidP="0015302D">
      <w:pPr>
        <w:jc w:val="left"/>
      </w:pPr>
      <w:r w:rsidRPr="00CA4675">
        <w:tab/>
      </w:r>
      <w:r w:rsidRPr="00CA4675">
        <w:tab/>
        <w:t>7.</w:t>
      </w:r>
      <w:r w:rsidRPr="00CA4675">
        <w:tab/>
        <w:t xml:space="preserve">The Public Utility Code requires a utility to place an account in the landlord's name where it is determined that there is foreign load on the tenant's meter.  </w:t>
      </w:r>
      <w:proofErr w:type="gramStart"/>
      <w:r w:rsidRPr="00CA4675">
        <w:t>66 Pa.C.S.</w:t>
      </w:r>
      <w:proofErr w:type="gramEnd"/>
      <w:r w:rsidRPr="00CA4675">
        <w:t xml:space="preserve"> § 1529.1.  </w:t>
      </w:r>
    </w:p>
    <w:p w:rsidR="0015302D" w:rsidRPr="00CA4675" w:rsidRDefault="0015302D" w:rsidP="0015302D">
      <w:pPr>
        <w:jc w:val="left"/>
      </w:pPr>
    </w:p>
    <w:p w:rsidR="002E23D5" w:rsidRDefault="0015302D" w:rsidP="002E23D5">
      <w:pPr>
        <w:jc w:val="left"/>
      </w:pPr>
      <w:r w:rsidRPr="00CA4675">
        <w:tab/>
      </w:r>
      <w:r w:rsidRPr="00CA4675">
        <w:tab/>
        <w:t>8.</w:t>
      </w:r>
      <w:r w:rsidRPr="00CA4675">
        <w:tab/>
        <w:t xml:space="preserve">After the foreign load is corrected by the landlord and verified by the utility, the utility is to place the account back into the tenant's name.  However, the landlord remains responsible for any arrearages on the tenant's account.  </w:t>
      </w:r>
      <w:r w:rsidRPr="00CA4675">
        <w:rPr>
          <w:i/>
        </w:rPr>
        <w:t xml:space="preserve">Jack </w:t>
      </w:r>
      <w:proofErr w:type="spellStart"/>
      <w:r w:rsidRPr="00CA4675">
        <w:rPr>
          <w:i/>
        </w:rPr>
        <w:t>Bleiman</w:t>
      </w:r>
      <w:proofErr w:type="spellEnd"/>
      <w:r w:rsidRPr="00CA4675">
        <w:rPr>
          <w:i/>
        </w:rPr>
        <w:t xml:space="preserve"> v. PECO Energy Company</w:t>
      </w:r>
      <w:r w:rsidRPr="00CA4675">
        <w:t>, Docket No. F-2012-2284038 (Opinion and Order entered June 13, 2013</w:t>
      </w:r>
      <w:proofErr w:type="gramStart"/>
      <w:r w:rsidRPr="00CA4675">
        <w:t>)(</w:t>
      </w:r>
      <w:proofErr w:type="gramEnd"/>
      <w:r w:rsidRPr="00CA4675">
        <w:t>petition for reconsideration denied September 12, 2013)</w:t>
      </w:r>
      <w:r w:rsidR="002E23D5">
        <w:t xml:space="preserve">; </w:t>
      </w:r>
      <w:r w:rsidR="002E23D5">
        <w:rPr>
          <w:i/>
        </w:rPr>
        <w:t xml:space="preserve">Jere </w:t>
      </w:r>
      <w:proofErr w:type="spellStart"/>
      <w:r w:rsidR="002E23D5">
        <w:rPr>
          <w:i/>
        </w:rPr>
        <w:t>Lefever</w:t>
      </w:r>
      <w:proofErr w:type="spellEnd"/>
      <w:r w:rsidR="002E23D5">
        <w:rPr>
          <w:i/>
        </w:rPr>
        <w:t xml:space="preserve"> v. PPL Electric Utilities Corporation, </w:t>
      </w:r>
      <w:r w:rsidR="002E23D5">
        <w:t>Docket No. C-2013-2367314 (Opinion and Order entered April 23, 2014)</w:t>
      </w:r>
      <w:r w:rsidR="002E23D5" w:rsidRPr="00CA4675">
        <w:t>.</w:t>
      </w:r>
    </w:p>
    <w:p w:rsidR="0015302D" w:rsidRPr="00CA4675" w:rsidRDefault="0015302D" w:rsidP="0015302D">
      <w:pPr>
        <w:jc w:val="left"/>
      </w:pPr>
    </w:p>
    <w:p w:rsidR="0015302D" w:rsidRDefault="0015302D" w:rsidP="0015302D">
      <w:pPr>
        <w:jc w:val="left"/>
      </w:pPr>
      <w:r w:rsidRPr="00CA4675">
        <w:tab/>
      </w:r>
      <w:r w:rsidRPr="00CA4675">
        <w:tab/>
        <w:t>9.</w:t>
      </w:r>
      <w:r w:rsidRPr="00CA4675">
        <w:tab/>
        <w:t xml:space="preserve">The Complainant has not </w:t>
      </w:r>
      <w:r w:rsidR="002E23D5">
        <w:t xml:space="preserve">sustained his burden of showing </w:t>
      </w:r>
      <w:r w:rsidRPr="00CA4675">
        <w:t>that the utility acted in a way which was a violation of law administered by</w:t>
      </w:r>
      <w:r>
        <w:t xml:space="preserve"> the Commission.</w:t>
      </w:r>
    </w:p>
    <w:p w:rsidR="002E23D5" w:rsidRDefault="002E23D5" w:rsidP="0015302D">
      <w:pPr>
        <w:jc w:val="left"/>
      </w:pPr>
    </w:p>
    <w:p w:rsidR="002E23D5" w:rsidRDefault="002E23D5" w:rsidP="002E23D5">
      <w:pPr>
        <w:rPr>
          <w:u w:val="single"/>
        </w:rPr>
      </w:pPr>
      <w:r>
        <w:rPr>
          <w:u w:val="single"/>
        </w:rPr>
        <w:t>ORDER</w:t>
      </w:r>
    </w:p>
    <w:p w:rsidR="002E23D5" w:rsidRDefault="002E23D5" w:rsidP="002E23D5">
      <w:pPr>
        <w:rPr>
          <w:u w:val="single"/>
        </w:rPr>
      </w:pPr>
    </w:p>
    <w:p w:rsidR="000613B9" w:rsidRDefault="000613B9" w:rsidP="002E23D5">
      <w:pPr>
        <w:rPr>
          <w:u w:val="single"/>
        </w:rPr>
      </w:pPr>
    </w:p>
    <w:p w:rsidR="002E23D5" w:rsidRDefault="002E23D5" w:rsidP="002E23D5">
      <w:pPr>
        <w:jc w:val="left"/>
      </w:pPr>
      <w:r>
        <w:tab/>
      </w:r>
      <w:r>
        <w:tab/>
        <w:t xml:space="preserve">THEREFORE, </w:t>
      </w:r>
    </w:p>
    <w:p w:rsidR="002E23D5" w:rsidRDefault="002E23D5" w:rsidP="002E23D5">
      <w:pPr>
        <w:jc w:val="left"/>
      </w:pPr>
    </w:p>
    <w:p w:rsidR="002E23D5" w:rsidRDefault="002E23D5" w:rsidP="002E23D5">
      <w:pPr>
        <w:jc w:val="left"/>
      </w:pPr>
      <w:r>
        <w:tab/>
      </w:r>
      <w:r>
        <w:tab/>
        <w:t>IT IS ORDERED:</w:t>
      </w:r>
    </w:p>
    <w:p w:rsidR="002E23D5" w:rsidRDefault="002E23D5" w:rsidP="002E23D5">
      <w:pPr>
        <w:jc w:val="left"/>
      </w:pPr>
    </w:p>
    <w:p w:rsidR="002E23D5" w:rsidRDefault="002E23D5" w:rsidP="002E23D5">
      <w:pPr>
        <w:jc w:val="left"/>
      </w:pPr>
      <w:r>
        <w:tab/>
      </w:r>
      <w:r>
        <w:tab/>
        <w:t>1.</w:t>
      </w:r>
      <w:r>
        <w:tab/>
        <w:t xml:space="preserve">That the formal Complaint filed by </w:t>
      </w:r>
      <w:proofErr w:type="spellStart"/>
      <w:r>
        <w:t>Mamadou</w:t>
      </w:r>
      <w:proofErr w:type="spellEnd"/>
      <w:r>
        <w:t xml:space="preserve"> </w:t>
      </w:r>
      <w:r w:rsidR="00C958FC">
        <w:t xml:space="preserve">A. </w:t>
      </w:r>
      <w:r>
        <w:t>Barry against Philadelphia Gas Works at Docket No. F-2015-2505040 is dismissed.</w:t>
      </w:r>
    </w:p>
    <w:p w:rsidR="002E23D5" w:rsidRDefault="002E23D5" w:rsidP="002E23D5">
      <w:pPr>
        <w:jc w:val="left"/>
      </w:pPr>
    </w:p>
    <w:p w:rsidR="002E23D5" w:rsidRDefault="002E23D5" w:rsidP="002E23D5">
      <w:pPr>
        <w:jc w:val="left"/>
      </w:pPr>
      <w:r>
        <w:tab/>
      </w:r>
      <w:r>
        <w:tab/>
        <w:t>2.</w:t>
      </w:r>
      <w:r>
        <w:tab/>
        <w:t xml:space="preserve">That the Secretary </w:t>
      </w:r>
      <w:proofErr w:type="gramStart"/>
      <w:r>
        <w:t>mark</w:t>
      </w:r>
      <w:proofErr w:type="gramEnd"/>
      <w:r>
        <w:t xml:space="preserve"> this docket closed.</w:t>
      </w:r>
    </w:p>
    <w:p w:rsidR="002E23D5" w:rsidRDefault="002E23D5" w:rsidP="002E23D5">
      <w:pPr>
        <w:jc w:val="left"/>
      </w:pPr>
    </w:p>
    <w:p w:rsidR="000613B9" w:rsidRDefault="000613B9" w:rsidP="002E23D5">
      <w:pPr>
        <w:jc w:val="left"/>
      </w:pPr>
    </w:p>
    <w:p w:rsidR="002E23D5" w:rsidRDefault="002E23D5" w:rsidP="002E23D5">
      <w:pPr>
        <w:spacing w:line="240" w:lineRule="auto"/>
        <w:jc w:val="left"/>
      </w:pPr>
      <w:r>
        <w:t>Dated:</w:t>
      </w:r>
      <w:r>
        <w:tab/>
      </w:r>
      <w:r>
        <w:rPr>
          <w:u w:val="single"/>
        </w:rPr>
        <w:t>February 1</w:t>
      </w:r>
      <w:r w:rsidR="009B1118">
        <w:rPr>
          <w:u w:val="single"/>
        </w:rPr>
        <w:t>0</w:t>
      </w:r>
      <w:r>
        <w:rPr>
          <w:u w:val="single"/>
        </w:rPr>
        <w:t>, 2016</w:t>
      </w:r>
      <w:r>
        <w:tab/>
      </w:r>
      <w:r>
        <w:tab/>
      </w:r>
      <w:r>
        <w:tab/>
      </w:r>
      <w:r>
        <w:tab/>
      </w:r>
      <w:r>
        <w:tab/>
      </w:r>
      <w:r>
        <w:rPr>
          <w:u w:val="single"/>
        </w:rPr>
        <w:t>____/</w:t>
      </w:r>
      <w:r>
        <w:rPr>
          <w:rFonts w:ascii="Berlin Sans FB" w:hAnsi="Berlin Sans FB"/>
          <w:u w:val="single"/>
        </w:rPr>
        <w:t>s</w:t>
      </w:r>
      <w:r>
        <w:rPr>
          <w:u w:val="single"/>
        </w:rPr>
        <w:t>/_______________________</w:t>
      </w:r>
    </w:p>
    <w:p w:rsidR="002E23D5" w:rsidRDefault="002E23D5" w:rsidP="002E23D5">
      <w:pPr>
        <w:spacing w:line="240" w:lineRule="auto"/>
        <w:jc w:val="left"/>
      </w:pPr>
      <w:r>
        <w:tab/>
      </w:r>
      <w:r>
        <w:tab/>
      </w:r>
      <w:r>
        <w:tab/>
      </w:r>
      <w:r>
        <w:tab/>
      </w:r>
      <w:r>
        <w:tab/>
      </w:r>
      <w:r>
        <w:tab/>
      </w:r>
      <w:r>
        <w:tab/>
      </w:r>
      <w:r>
        <w:tab/>
        <w:t>Susan D. Colwell</w:t>
      </w:r>
    </w:p>
    <w:p w:rsidR="002E23D5" w:rsidRPr="002E23D5" w:rsidRDefault="002E23D5" w:rsidP="002E23D5">
      <w:pPr>
        <w:spacing w:line="240" w:lineRule="auto"/>
        <w:jc w:val="left"/>
      </w:pPr>
      <w:r>
        <w:tab/>
      </w:r>
      <w:r>
        <w:tab/>
      </w:r>
      <w:r>
        <w:tab/>
      </w:r>
      <w:r>
        <w:tab/>
      </w:r>
      <w:r>
        <w:tab/>
      </w:r>
      <w:r>
        <w:tab/>
      </w:r>
      <w:r>
        <w:tab/>
      </w:r>
      <w:r>
        <w:tab/>
        <w:t>Administrative Law Judge</w:t>
      </w:r>
    </w:p>
    <w:p w:rsidR="002E23D5" w:rsidRPr="002E23D5" w:rsidRDefault="002E23D5" w:rsidP="002E23D5">
      <w:pPr>
        <w:jc w:val="left"/>
      </w:pPr>
    </w:p>
    <w:p w:rsidR="00945F80" w:rsidRPr="00945F80" w:rsidRDefault="00945F80" w:rsidP="00945F80">
      <w:pPr>
        <w:spacing w:line="240" w:lineRule="auto"/>
        <w:jc w:val="left"/>
      </w:pPr>
    </w:p>
    <w:sectPr w:rsidR="00945F80" w:rsidRPr="00945F80" w:rsidSect="002E23D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536" w:rsidRDefault="00B07536" w:rsidP="007642D2">
      <w:pPr>
        <w:spacing w:line="240" w:lineRule="auto"/>
      </w:pPr>
      <w:r>
        <w:separator/>
      </w:r>
    </w:p>
  </w:endnote>
  <w:endnote w:type="continuationSeparator" w:id="0">
    <w:p w:rsidR="00B07536" w:rsidRDefault="00B07536" w:rsidP="007642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072212"/>
      <w:docPartObj>
        <w:docPartGallery w:val="Page Numbers (Bottom of Page)"/>
        <w:docPartUnique/>
      </w:docPartObj>
    </w:sdtPr>
    <w:sdtEndPr>
      <w:rPr>
        <w:noProof/>
        <w:sz w:val="20"/>
        <w:szCs w:val="20"/>
      </w:rPr>
    </w:sdtEndPr>
    <w:sdtContent>
      <w:p w:rsidR="002E23D5" w:rsidRPr="004C5060" w:rsidRDefault="002E23D5">
        <w:pPr>
          <w:pStyle w:val="Footer"/>
          <w:rPr>
            <w:sz w:val="20"/>
            <w:szCs w:val="20"/>
          </w:rPr>
        </w:pPr>
        <w:r w:rsidRPr="004C5060">
          <w:rPr>
            <w:sz w:val="20"/>
            <w:szCs w:val="20"/>
          </w:rPr>
          <w:fldChar w:fldCharType="begin"/>
        </w:r>
        <w:r w:rsidRPr="004C5060">
          <w:rPr>
            <w:sz w:val="20"/>
            <w:szCs w:val="20"/>
          </w:rPr>
          <w:instrText xml:space="preserve"> PAGE   \* MERGEFORMAT </w:instrText>
        </w:r>
        <w:r w:rsidRPr="004C5060">
          <w:rPr>
            <w:sz w:val="20"/>
            <w:szCs w:val="20"/>
          </w:rPr>
          <w:fldChar w:fldCharType="separate"/>
        </w:r>
        <w:r w:rsidR="008A13A5">
          <w:rPr>
            <w:noProof/>
            <w:sz w:val="20"/>
            <w:szCs w:val="20"/>
          </w:rPr>
          <w:t>10</w:t>
        </w:r>
        <w:r w:rsidRPr="004C506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536" w:rsidRDefault="00B07536" w:rsidP="004C5060">
      <w:pPr>
        <w:spacing w:line="240" w:lineRule="auto"/>
        <w:jc w:val="both"/>
      </w:pPr>
      <w:r>
        <w:separator/>
      </w:r>
    </w:p>
  </w:footnote>
  <w:footnote w:type="continuationSeparator" w:id="0">
    <w:p w:rsidR="00B07536" w:rsidRDefault="00B07536" w:rsidP="007642D2">
      <w:pPr>
        <w:spacing w:line="240" w:lineRule="auto"/>
      </w:pPr>
      <w:r>
        <w:continuationSeparator/>
      </w:r>
    </w:p>
  </w:footnote>
  <w:footnote w:id="1">
    <w:p w:rsidR="007642D2" w:rsidRPr="00674F1F" w:rsidRDefault="007642D2" w:rsidP="007642D2">
      <w:pPr>
        <w:spacing w:line="240" w:lineRule="auto"/>
        <w:jc w:val="left"/>
        <w:rPr>
          <w:sz w:val="20"/>
          <w:szCs w:val="20"/>
        </w:rPr>
      </w:pPr>
      <w:r>
        <w:rPr>
          <w:rStyle w:val="FootnoteReference"/>
        </w:rPr>
        <w:footnoteRef/>
      </w:r>
      <w:r>
        <w:t xml:space="preserve"> </w:t>
      </w:r>
      <w:r w:rsidR="004C5060">
        <w:tab/>
      </w:r>
      <w:r w:rsidRPr="00674F1F">
        <w:rPr>
          <w:sz w:val="20"/>
          <w:szCs w:val="20"/>
        </w:rPr>
        <w:t>P</w:t>
      </w:r>
      <w:r>
        <w:rPr>
          <w:sz w:val="20"/>
          <w:szCs w:val="20"/>
        </w:rPr>
        <w:t>GW</w:t>
      </w:r>
      <w:r w:rsidRPr="00674F1F">
        <w:rPr>
          <w:sz w:val="20"/>
          <w:szCs w:val="20"/>
        </w:rPr>
        <w:t xml:space="preserve"> has signed a waiver of the Section 702 requirements for service of formal complaints, 66 Pa.C.S.  702, and has agreed to electronic service instead under the Commission’s Waiver of 702 program.   Service is listed in the Audit History of the case as having been effected on </w:t>
      </w:r>
      <w:r>
        <w:rPr>
          <w:sz w:val="20"/>
          <w:szCs w:val="20"/>
        </w:rPr>
        <w:t>September 24, 2015.</w:t>
      </w:r>
    </w:p>
    <w:p w:rsidR="007642D2" w:rsidRPr="00674F1F" w:rsidRDefault="007642D2" w:rsidP="007642D2"/>
    <w:p w:rsidR="007642D2" w:rsidRDefault="007642D2" w:rsidP="007642D2">
      <w:pPr>
        <w:pStyle w:val="FootnoteText"/>
        <w:jc w:val="left"/>
      </w:pPr>
    </w:p>
  </w:footnote>
  <w:footnote w:id="2">
    <w:p w:rsidR="00E94A14" w:rsidRDefault="00E94A14" w:rsidP="00E94A14">
      <w:pPr>
        <w:pStyle w:val="FootnoteText"/>
        <w:jc w:val="left"/>
      </w:pPr>
      <w:r>
        <w:rPr>
          <w:rStyle w:val="FootnoteReference"/>
        </w:rPr>
        <w:footnoteRef/>
      </w:r>
      <w:r>
        <w:t xml:space="preserve"> </w:t>
      </w:r>
      <w:r w:rsidR="000D4507">
        <w:tab/>
      </w:r>
      <w:r>
        <w:t xml:space="preserve">The building had three floors with two rental units on each floor.  Each floor had one gas meter which served </w:t>
      </w:r>
      <w:r w:rsidR="001049AD">
        <w:t>both units on each floor</w:t>
      </w:r>
      <w:r>
        <w:t xml:space="preserve">.  </w:t>
      </w:r>
    </w:p>
  </w:footnote>
  <w:footnote w:id="3">
    <w:p w:rsidR="001049AD" w:rsidRDefault="001049AD" w:rsidP="001049AD">
      <w:pPr>
        <w:pStyle w:val="FootnoteText"/>
        <w:jc w:val="left"/>
      </w:pPr>
      <w:r>
        <w:rPr>
          <w:rStyle w:val="FootnoteReference"/>
        </w:rPr>
        <w:footnoteRef/>
      </w:r>
      <w:r>
        <w:t xml:space="preserve"> </w:t>
      </w:r>
      <w:r w:rsidR="000D4507">
        <w:tab/>
      </w:r>
      <w:r>
        <w:t xml:space="preserve">Although the difference in the transferred amount and the amount due were not explained by the single payment of $550, there are multiple liens placed on this property by PGW.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F80"/>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1157"/>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13B9"/>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0EAC"/>
    <w:rsid w:val="00091F08"/>
    <w:rsid w:val="0009220F"/>
    <w:rsid w:val="00092B4E"/>
    <w:rsid w:val="00092E44"/>
    <w:rsid w:val="0009318F"/>
    <w:rsid w:val="000931F7"/>
    <w:rsid w:val="00093562"/>
    <w:rsid w:val="00093E43"/>
    <w:rsid w:val="00094E20"/>
    <w:rsid w:val="00096B3F"/>
    <w:rsid w:val="00097D77"/>
    <w:rsid w:val="000A2192"/>
    <w:rsid w:val="000A38B4"/>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4507"/>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49AD"/>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37538"/>
    <w:rsid w:val="00140273"/>
    <w:rsid w:val="0014105E"/>
    <w:rsid w:val="00143142"/>
    <w:rsid w:val="00143C25"/>
    <w:rsid w:val="00144D2D"/>
    <w:rsid w:val="00145327"/>
    <w:rsid w:val="00150084"/>
    <w:rsid w:val="00150BAA"/>
    <w:rsid w:val="00152794"/>
    <w:rsid w:val="00152FD8"/>
    <w:rsid w:val="0015302D"/>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5C"/>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3D5"/>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4F2E"/>
    <w:rsid w:val="003B5D19"/>
    <w:rsid w:val="003B610B"/>
    <w:rsid w:val="003C34F1"/>
    <w:rsid w:val="003C47E8"/>
    <w:rsid w:val="003C5102"/>
    <w:rsid w:val="003C5586"/>
    <w:rsid w:val="003C610C"/>
    <w:rsid w:val="003C6962"/>
    <w:rsid w:val="003C6F65"/>
    <w:rsid w:val="003D139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5060"/>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67F"/>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14"/>
    <w:rsid w:val="005F064D"/>
    <w:rsid w:val="005F512E"/>
    <w:rsid w:val="005F5A21"/>
    <w:rsid w:val="005F6A04"/>
    <w:rsid w:val="005F7A3B"/>
    <w:rsid w:val="00600458"/>
    <w:rsid w:val="0060118D"/>
    <w:rsid w:val="0060369E"/>
    <w:rsid w:val="00603824"/>
    <w:rsid w:val="0060530E"/>
    <w:rsid w:val="00605D75"/>
    <w:rsid w:val="006073B5"/>
    <w:rsid w:val="00610CE1"/>
    <w:rsid w:val="006113D8"/>
    <w:rsid w:val="00612C6B"/>
    <w:rsid w:val="006134C1"/>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2150"/>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6E44"/>
    <w:rsid w:val="006E7C63"/>
    <w:rsid w:val="006F15E9"/>
    <w:rsid w:val="006F252A"/>
    <w:rsid w:val="006F27FC"/>
    <w:rsid w:val="006F3153"/>
    <w:rsid w:val="006F4B6F"/>
    <w:rsid w:val="006F4F6D"/>
    <w:rsid w:val="006F6668"/>
    <w:rsid w:val="0070008A"/>
    <w:rsid w:val="007021FA"/>
    <w:rsid w:val="00702DFF"/>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8E"/>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42D2"/>
    <w:rsid w:val="00772458"/>
    <w:rsid w:val="0077469B"/>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5E2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13A5"/>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5F80"/>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03F"/>
    <w:rsid w:val="009808B0"/>
    <w:rsid w:val="00980958"/>
    <w:rsid w:val="00983488"/>
    <w:rsid w:val="00983EDB"/>
    <w:rsid w:val="00984548"/>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1118"/>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C56"/>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536"/>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498B"/>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5E7"/>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8FC"/>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1988"/>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07E72"/>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4A14"/>
    <w:rsid w:val="00E9501F"/>
    <w:rsid w:val="00E962BC"/>
    <w:rsid w:val="00E9676A"/>
    <w:rsid w:val="00EA379C"/>
    <w:rsid w:val="00EA4CB5"/>
    <w:rsid w:val="00EA67B2"/>
    <w:rsid w:val="00EB0757"/>
    <w:rsid w:val="00EB3C74"/>
    <w:rsid w:val="00EB5863"/>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A90"/>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0F09"/>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642D2"/>
    <w:pPr>
      <w:spacing w:line="240" w:lineRule="auto"/>
    </w:pPr>
    <w:rPr>
      <w:sz w:val="20"/>
      <w:szCs w:val="20"/>
    </w:rPr>
  </w:style>
  <w:style w:type="character" w:customStyle="1" w:styleId="FootnoteTextChar">
    <w:name w:val="Footnote Text Char"/>
    <w:basedOn w:val="DefaultParagraphFont"/>
    <w:link w:val="FootnoteText"/>
    <w:uiPriority w:val="99"/>
    <w:semiHidden/>
    <w:rsid w:val="007642D2"/>
    <w:rPr>
      <w:sz w:val="20"/>
      <w:szCs w:val="20"/>
    </w:rPr>
  </w:style>
  <w:style w:type="character" w:styleId="FootnoteReference">
    <w:name w:val="footnote reference"/>
    <w:basedOn w:val="DefaultParagraphFont"/>
    <w:uiPriority w:val="99"/>
    <w:semiHidden/>
    <w:unhideWhenUsed/>
    <w:rsid w:val="007642D2"/>
    <w:rPr>
      <w:vertAlign w:val="superscript"/>
    </w:rPr>
  </w:style>
  <w:style w:type="paragraph" w:styleId="Header">
    <w:name w:val="header"/>
    <w:basedOn w:val="Normal"/>
    <w:link w:val="HeaderChar"/>
    <w:uiPriority w:val="99"/>
    <w:unhideWhenUsed/>
    <w:rsid w:val="002E23D5"/>
    <w:pPr>
      <w:tabs>
        <w:tab w:val="center" w:pos="4680"/>
        <w:tab w:val="right" w:pos="9360"/>
      </w:tabs>
      <w:spacing w:line="240" w:lineRule="auto"/>
    </w:pPr>
  </w:style>
  <w:style w:type="character" w:customStyle="1" w:styleId="HeaderChar">
    <w:name w:val="Header Char"/>
    <w:basedOn w:val="DefaultParagraphFont"/>
    <w:link w:val="Header"/>
    <w:uiPriority w:val="99"/>
    <w:rsid w:val="002E23D5"/>
  </w:style>
  <w:style w:type="paragraph" w:styleId="Footer">
    <w:name w:val="footer"/>
    <w:basedOn w:val="Normal"/>
    <w:link w:val="FooterChar"/>
    <w:uiPriority w:val="99"/>
    <w:unhideWhenUsed/>
    <w:rsid w:val="002E23D5"/>
    <w:pPr>
      <w:tabs>
        <w:tab w:val="center" w:pos="4680"/>
        <w:tab w:val="right" w:pos="9360"/>
      </w:tabs>
      <w:spacing w:line="240" w:lineRule="auto"/>
    </w:pPr>
  </w:style>
  <w:style w:type="character" w:customStyle="1" w:styleId="FooterChar">
    <w:name w:val="Footer Char"/>
    <w:basedOn w:val="DefaultParagraphFont"/>
    <w:link w:val="Footer"/>
    <w:uiPriority w:val="99"/>
    <w:rsid w:val="002E23D5"/>
  </w:style>
  <w:style w:type="paragraph" w:styleId="BalloonText">
    <w:name w:val="Balloon Text"/>
    <w:basedOn w:val="Normal"/>
    <w:link w:val="BalloonTextChar"/>
    <w:uiPriority w:val="99"/>
    <w:semiHidden/>
    <w:unhideWhenUsed/>
    <w:rsid w:val="002E23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3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642D2"/>
    <w:pPr>
      <w:spacing w:line="240" w:lineRule="auto"/>
    </w:pPr>
    <w:rPr>
      <w:sz w:val="20"/>
      <w:szCs w:val="20"/>
    </w:rPr>
  </w:style>
  <w:style w:type="character" w:customStyle="1" w:styleId="FootnoteTextChar">
    <w:name w:val="Footnote Text Char"/>
    <w:basedOn w:val="DefaultParagraphFont"/>
    <w:link w:val="FootnoteText"/>
    <w:uiPriority w:val="99"/>
    <w:semiHidden/>
    <w:rsid w:val="007642D2"/>
    <w:rPr>
      <w:sz w:val="20"/>
      <w:szCs w:val="20"/>
    </w:rPr>
  </w:style>
  <w:style w:type="character" w:styleId="FootnoteReference">
    <w:name w:val="footnote reference"/>
    <w:basedOn w:val="DefaultParagraphFont"/>
    <w:uiPriority w:val="99"/>
    <w:semiHidden/>
    <w:unhideWhenUsed/>
    <w:rsid w:val="007642D2"/>
    <w:rPr>
      <w:vertAlign w:val="superscript"/>
    </w:rPr>
  </w:style>
  <w:style w:type="paragraph" w:styleId="Header">
    <w:name w:val="header"/>
    <w:basedOn w:val="Normal"/>
    <w:link w:val="HeaderChar"/>
    <w:uiPriority w:val="99"/>
    <w:unhideWhenUsed/>
    <w:rsid w:val="002E23D5"/>
    <w:pPr>
      <w:tabs>
        <w:tab w:val="center" w:pos="4680"/>
        <w:tab w:val="right" w:pos="9360"/>
      </w:tabs>
      <w:spacing w:line="240" w:lineRule="auto"/>
    </w:pPr>
  </w:style>
  <w:style w:type="character" w:customStyle="1" w:styleId="HeaderChar">
    <w:name w:val="Header Char"/>
    <w:basedOn w:val="DefaultParagraphFont"/>
    <w:link w:val="Header"/>
    <w:uiPriority w:val="99"/>
    <w:rsid w:val="002E23D5"/>
  </w:style>
  <w:style w:type="paragraph" w:styleId="Footer">
    <w:name w:val="footer"/>
    <w:basedOn w:val="Normal"/>
    <w:link w:val="FooterChar"/>
    <w:uiPriority w:val="99"/>
    <w:unhideWhenUsed/>
    <w:rsid w:val="002E23D5"/>
    <w:pPr>
      <w:tabs>
        <w:tab w:val="center" w:pos="4680"/>
        <w:tab w:val="right" w:pos="9360"/>
      </w:tabs>
      <w:spacing w:line="240" w:lineRule="auto"/>
    </w:pPr>
  </w:style>
  <w:style w:type="character" w:customStyle="1" w:styleId="FooterChar">
    <w:name w:val="Footer Char"/>
    <w:basedOn w:val="DefaultParagraphFont"/>
    <w:link w:val="Footer"/>
    <w:uiPriority w:val="99"/>
    <w:rsid w:val="002E23D5"/>
  </w:style>
  <w:style w:type="paragraph" w:styleId="BalloonText">
    <w:name w:val="Balloon Text"/>
    <w:basedOn w:val="Normal"/>
    <w:link w:val="BalloonTextChar"/>
    <w:uiPriority w:val="99"/>
    <w:semiHidden/>
    <w:unhideWhenUsed/>
    <w:rsid w:val="002E23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3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51031-9798-41D9-82CC-26ADB65C1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2326</Words>
  <Characters>13264</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2016-02-10T14:22:00Z</cp:lastPrinted>
  <dcterms:created xsi:type="dcterms:W3CDTF">2016-02-22T16:35:00Z</dcterms:created>
  <dcterms:modified xsi:type="dcterms:W3CDTF">2016-02-22T16:35:00Z</dcterms:modified>
</cp:coreProperties>
</file>