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251154" w:rsidP="00CB74B2">
      <w:pPr>
        <w:jc w:val="center"/>
        <w:rPr>
          <w:color w:val="000000"/>
        </w:rPr>
      </w:pPr>
      <w:r>
        <w:rPr>
          <w:color w:val="000000"/>
        </w:rPr>
        <w:t>February 23, 2016</w:t>
      </w:r>
    </w:p>
    <w:p w:rsidR="00376B5A" w:rsidRPr="005D357A" w:rsidRDefault="00376B5A" w:rsidP="00CB74B2">
      <w:pPr>
        <w:jc w:val="center"/>
        <w:rPr>
          <w:color w:val="000000"/>
        </w:rPr>
      </w:pPr>
    </w:p>
    <w:p w:rsidR="00957224" w:rsidRPr="00957224" w:rsidRDefault="00957224" w:rsidP="00957224">
      <w:pPr>
        <w:ind w:right="-720"/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>Docket No. A-</w:t>
      </w:r>
      <w:r w:rsidR="00CC1024">
        <w:rPr>
          <w:color w:val="000000"/>
          <w:sz w:val="24"/>
          <w:szCs w:val="24"/>
        </w:rPr>
        <w:t>2015-2510472</w:t>
      </w:r>
    </w:p>
    <w:p w:rsidR="00957224" w:rsidRPr="00957224" w:rsidRDefault="00957224" w:rsidP="00957224">
      <w:pPr>
        <w:ind w:right="-720"/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 xml:space="preserve">Utility Code:  </w:t>
      </w:r>
      <w:r w:rsidR="00CC1024">
        <w:rPr>
          <w:color w:val="000000"/>
          <w:sz w:val="24"/>
          <w:szCs w:val="24"/>
        </w:rPr>
        <w:t>1218190</w:t>
      </w:r>
    </w:p>
    <w:p w:rsidR="004D2C8F" w:rsidRDefault="004D2C8F">
      <w:pPr>
        <w:rPr>
          <w:color w:val="000000"/>
          <w:sz w:val="24"/>
          <w:szCs w:val="24"/>
        </w:rPr>
      </w:pPr>
    </w:p>
    <w:p w:rsidR="00957224" w:rsidRPr="00CC1024" w:rsidRDefault="00CC1024" w:rsidP="00957224">
      <w:pPr>
        <w:rPr>
          <w:color w:val="000000"/>
          <w:sz w:val="24"/>
          <w:szCs w:val="24"/>
        </w:rPr>
      </w:pPr>
      <w:bookmarkStart w:id="0" w:name="_GoBack"/>
      <w:r w:rsidRPr="00CC1024">
        <w:rPr>
          <w:color w:val="000000"/>
          <w:sz w:val="24"/>
          <w:szCs w:val="24"/>
        </w:rPr>
        <w:t>JOHN F POVILAITIS</w:t>
      </w:r>
    </w:p>
    <w:p w:rsidR="00CC1024" w:rsidRPr="00CC1024" w:rsidRDefault="00CC1024" w:rsidP="00957224">
      <w:pPr>
        <w:rPr>
          <w:color w:val="000000"/>
          <w:sz w:val="24"/>
          <w:szCs w:val="24"/>
        </w:rPr>
      </w:pPr>
      <w:r w:rsidRPr="00CC1024">
        <w:rPr>
          <w:color w:val="000000"/>
          <w:sz w:val="24"/>
          <w:szCs w:val="24"/>
        </w:rPr>
        <w:t>BUCHANAN INGERSOLL ROONEY PC FOR</w:t>
      </w:r>
    </w:p>
    <w:p w:rsidR="00CC1024" w:rsidRPr="00CC1024" w:rsidRDefault="00CC1024" w:rsidP="00957224">
      <w:pPr>
        <w:rPr>
          <w:color w:val="000000"/>
          <w:sz w:val="24"/>
          <w:szCs w:val="24"/>
        </w:rPr>
      </w:pPr>
      <w:r w:rsidRPr="00CC1024">
        <w:rPr>
          <w:color w:val="000000"/>
          <w:sz w:val="24"/>
          <w:szCs w:val="24"/>
        </w:rPr>
        <w:t>ENGIE RETAIL LLC D/B/A THINK ENERGY</w:t>
      </w:r>
    </w:p>
    <w:p w:rsidR="00957224" w:rsidRPr="00CC1024" w:rsidRDefault="00CC1024" w:rsidP="00957224">
      <w:pPr>
        <w:rPr>
          <w:color w:val="000000"/>
          <w:sz w:val="24"/>
          <w:szCs w:val="24"/>
        </w:rPr>
      </w:pPr>
      <w:r w:rsidRPr="00CC1024">
        <w:rPr>
          <w:color w:val="000000"/>
          <w:sz w:val="24"/>
          <w:szCs w:val="24"/>
        </w:rPr>
        <w:t>409 NORTH SECOND STREET SUITE 500</w:t>
      </w:r>
    </w:p>
    <w:p w:rsidR="00957224" w:rsidRPr="00957224" w:rsidRDefault="00CC1024" w:rsidP="00957224">
      <w:pPr>
        <w:ind w:right="576"/>
        <w:rPr>
          <w:color w:val="000000"/>
          <w:sz w:val="24"/>
          <w:szCs w:val="24"/>
        </w:rPr>
      </w:pPr>
      <w:r w:rsidRPr="00CC1024">
        <w:rPr>
          <w:color w:val="000000"/>
          <w:sz w:val="24"/>
          <w:szCs w:val="24"/>
        </w:rPr>
        <w:t>HARRISBURG PA 17101-1503</w:t>
      </w:r>
    </w:p>
    <w:bookmarkEnd w:id="0"/>
    <w:p w:rsidR="00F46B94" w:rsidRDefault="00F46B94">
      <w:pPr>
        <w:rPr>
          <w:color w:val="000000"/>
          <w:sz w:val="24"/>
          <w:szCs w:val="24"/>
        </w:rPr>
      </w:pPr>
    </w:p>
    <w:p w:rsidR="00376B5A" w:rsidRDefault="00376B5A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45110D">
        <w:rPr>
          <w:color w:val="000000"/>
          <w:sz w:val="24"/>
          <w:szCs w:val="24"/>
        </w:rPr>
        <w:t>Natural Gas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="00B05541">
        <w:rPr>
          <w:color w:val="000000"/>
          <w:sz w:val="24"/>
          <w:szCs w:val="24"/>
        </w:rPr>
        <w:t>License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 xml:space="preserve">Dear </w:t>
      </w:r>
      <w:r w:rsidR="00CC1024" w:rsidRPr="00CC1024">
        <w:rPr>
          <w:color w:val="000000"/>
          <w:sz w:val="24"/>
          <w:szCs w:val="24"/>
        </w:rPr>
        <w:t>Mr. Povilaitis</w:t>
      </w:r>
      <w:r w:rsidR="00CC1024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111A64" w:rsidRPr="00AF03C1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AF03C1">
        <w:rPr>
          <w:color w:val="000000"/>
          <w:sz w:val="24"/>
          <w:szCs w:val="24"/>
        </w:rPr>
        <w:t xml:space="preserve">On </w:t>
      </w:r>
      <w:r w:rsidR="00CC1024" w:rsidRPr="00AF03C1">
        <w:rPr>
          <w:color w:val="000000"/>
          <w:sz w:val="24"/>
          <w:szCs w:val="24"/>
        </w:rPr>
        <w:t>December 17, 2015</w:t>
      </w:r>
      <w:r w:rsidR="00E9516D" w:rsidRPr="00AF03C1">
        <w:rPr>
          <w:color w:val="000000"/>
          <w:sz w:val="24"/>
          <w:szCs w:val="24"/>
        </w:rPr>
        <w:t xml:space="preserve">, </w:t>
      </w:r>
      <w:r w:rsidR="008C37FD" w:rsidRPr="00AF03C1">
        <w:rPr>
          <w:color w:val="000000"/>
          <w:sz w:val="24"/>
          <w:szCs w:val="24"/>
        </w:rPr>
        <w:t>the Commission issued a</w:t>
      </w:r>
      <w:r w:rsidR="00A3714F" w:rsidRPr="00AF03C1">
        <w:rPr>
          <w:color w:val="000000"/>
          <w:sz w:val="24"/>
          <w:szCs w:val="24"/>
        </w:rPr>
        <w:t xml:space="preserve"> </w:t>
      </w:r>
      <w:r w:rsidR="0040688C" w:rsidRPr="00AF03C1">
        <w:rPr>
          <w:color w:val="000000"/>
          <w:sz w:val="24"/>
          <w:szCs w:val="24"/>
        </w:rPr>
        <w:t xml:space="preserve">natural gas supplier </w:t>
      </w:r>
      <w:r w:rsidR="007A4F6E" w:rsidRPr="00AF03C1">
        <w:rPr>
          <w:color w:val="000000"/>
          <w:sz w:val="24"/>
          <w:szCs w:val="24"/>
        </w:rPr>
        <w:t>l</w:t>
      </w:r>
      <w:r w:rsidR="008C37FD" w:rsidRPr="00AF03C1">
        <w:rPr>
          <w:color w:val="000000"/>
          <w:sz w:val="24"/>
          <w:szCs w:val="24"/>
        </w:rPr>
        <w:t>icense</w:t>
      </w:r>
      <w:r w:rsidR="00E21FDB" w:rsidRPr="00AF03C1">
        <w:rPr>
          <w:color w:val="000000"/>
          <w:sz w:val="24"/>
          <w:szCs w:val="24"/>
        </w:rPr>
        <w:t xml:space="preserve">, </w:t>
      </w:r>
      <w:r w:rsidR="00F55679" w:rsidRPr="00AF03C1">
        <w:rPr>
          <w:color w:val="000000"/>
          <w:sz w:val="24"/>
          <w:szCs w:val="24"/>
        </w:rPr>
        <w:t xml:space="preserve">as a </w:t>
      </w:r>
      <w:r w:rsidR="00B15194" w:rsidRPr="00AF03C1">
        <w:rPr>
          <w:color w:val="000000"/>
          <w:sz w:val="24"/>
          <w:szCs w:val="24"/>
        </w:rPr>
        <w:t>supplier,</w:t>
      </w:r>
      <w:r w:rsidR="00E21FDB" w:rsidRPr="00AF03C1">
        <w:rPr>
          <w:color w:val="000000"/>
          <w:sz w:val="24"/>
          <w:szCs w:val="24"/>
        </w:rPr>
        <w:t xml:space="preserve"> </w:t>
      </w:r>
      <w:r w:rsidR="0040688C" w:rsidRPr="00AF03C1">
        <w:rPr>
          <w:color w:val="000000"/>
          <w:sz w:val="24"/>
          <w:szCs w:val="24"/>
        </w:rPr>
        <w:t xml:space="preserve">to </w:t>
      </w:r>
      <w:r w:rsidR="00CC1024" w:rsidRPr="00AF03C1">
        <w:rPr>
          <w:color w:val="000000"/>
          <w:sz w:val="24"/>
          <w:szCs w:val="24"/>
        </w:rPr>
        <w:t>GDF Suez Retail Energy Solutions, LLC d/b/a Think Energy</w:t>
      </w:r>
      <w:r w:rsidR="00F55679" w:rsidRPr="00AF03C1">
        <w:rPr>
          <w:color w:val="000000"/>
          <w:sz w:val="24"/>
          <w:szCs w:val="24"/>
        </w:rPr>
        <w:t xml:space="preserve"> (</w:t>
      </w:r>
      <w:r w:rsidR="00CC1024" w:rsidRPr="00AF03C1">
        <w:rPr>
          <w:color w:val="000000"/>
          <w:sz w:val="24"/>
          <w:szCs w:val="24"/>
        </w:rPr>
        <w:t>GDF Suez</w:t>
      </w:r>
      <w:r w:rsidR="00F55679" w:rsidRPr="00AF03C1">
        <w:rPr>
          <w:color w:val="000000"/>
          <w:sz w:val="24"/>
          <w:szCs w:val="24"/>
        </w:rPr>
        <w:t xml:space="preserve">).  </w:t>
      </w:r>
      <w:r w:rsidR="00911FDD" w:rsidRPr="00AF03C1">
        <w:rPr>
          <w:color w:val="000000"/>
          <w:sz w:val="24"/>
          <w:szCs w:val="24"/>
        </w:rPr>
        <w:t xml:space="preserve">On </w:t>
      </w:r>
      <w:r w:rsidR="00CC1024" w:rsidRPr="00AF03C1">
        <w:rPr>
          <w:color w:val="000000"/>
          <w:sz w:val="24"/>
          <w:szCs w:val="24"/>
        </w:rPr>
        <w:t>January 29, 2016</w:t>
      </w:r>
      <w:r w:rsidR="00F55679" w:rsidRPr="00AF03C1">
        <w:rPr>
          <w:color w:val="000000"/>
          <w:sz w:val="24"/>
          <w:szCs w:val="24"/>
        </w:rPr>
        <w:t xml:space="preserve">, </w:t>
      </w:r>
      <w:r w:rsidR="00CC1024" w:rsidRPr="00AF03C1">
        <w:rPr>
          <w:color w:val="000000"/>
          <w:sz w:val="24"/>
          <w:szCs w:val="24"/>
        </w:rPr>
        <w:t>GDF Suez</w:t>
      </w:r>
      <w:r w:rsidR="00F55679" w:rsidRPr="00AF03C1">
        <w:rPr>
          <w:color w:val="000000"/>
          <w:sz w:val="24"/>
          <w:szCs w:val="24"/>
        </w:rPr>
        <w:t xml:space="preserve"> </w:t>
      </w:r>
      <w:r w:rsidR="00911FDD" w:rsidRPr="00AF03C1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FE50B3" w:rsidRPr="00AF03C1">
        <w:rPr>
          <w:color w:val="000000"/>
          <w:sz w:val="24"/>
          <w:szCs w:val="24"/>
        </w:rPr>
        <w:t>natural gas</w:t>
      </w:r>
      <w:r w:rsidR="00911FDD" w:rsidRPr="00AF03C1">
        <w:rPr>
          <w:color w:val="000000"/>
          <w:sz w:val="24"/>
          <w:szCs w:val="24"/>
        </w:rPr>
        <w:t xml:space="preserve"> services</w:t>
      </w:r>
      <w:r w:rsidR="00365D75" w:rsidRPr="00AF03C1">
        <w:rPr>
          <w:color w:val="000000"/>
          <w:sz w:val="24"/>
          <w:szCs w:val="24"/>
        </w:rPr>
        <w:t xml:space="preserve"> as a</w:t>
      </w:r>
      <w:r w:rsidR="00780D0B" w:rsidRPr="00AF03C1">
        <w:rPr>
          <w:color w:val="000000"/>
          <w:sz w:val="24"/>
          <w:szCs w:val="24"/>
        </w:rPr>
        <w:t xml:space="preserve"> </w:t>
      </w:r>
      <w:r w:rsidR="00F55679" w:rsidRPr="00AF03C1">
        <w:rPr>
          <w:color w:val="000000"/>
          <w:sz w:val="24"/>
          <w:szCs w:val="24"/>
        </w:rPr>
        <w:t xml:space="preserve">supplier to </w:t>
      </w:r>
      <w:r w:rsidR="00CC1024" w:rsidRPr="00AF03C1">
        <w:rPr>
          <w:color w:val="000000"/>
          <w:sz w:val="24"/>
          <w:szCs w:val="24"/>
        </w:rPr>
        <w:t>ENGIE Retail, LLC d/b/a Think Energy</w:t>
      </w:r>
      <w:r w:rsidR="00F55679" w:rsidRPr="00AF03C1">
        <w:rPr>
          <w:color w:val="000000"/>
          <w:sz w:val="24"/>
          <w:szCs w:val="24"/>
        </w:rPr>
        <w:t xml:space="preserve"> (</w:t>
      </w:r>
      <w:r w:rsidR="00CC1024" w:rsidRPr="00AF03C1">
        <w:rPr>
          <w:color w:val="000000"/>
          <w:sz w:val="24"/>
          <w:szCs w:val="24"/>
        </w:rPr>
        <w:t>ENGIE</w:t>
      </w:r>
      <w:r w:rsidR="00F55679" w:rsidRPr="00AF03C1">
        <w:rPr>
          <w:color w:val="000000"/>
          <w:sz w:val="24"/>
          <w:szCs w:val="24"/>
        </w:rPr>
        <w:t>).</w:t>
      </w:r>
    </w:p>
    <w:p w:rsidR="009F61AE" w:rsidRPr="00AF03C1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AF03C1">
        <w:rPr>
          <w:color w:val="000000"/>
          <w:sz w:val="24"/>
          <w:szCs w:val="24"/>
        </w:rPr>
        <w:tab/>
      </w:r>
      <w:r w:rsidR="00CC1024" w:rsidRPr="00AF03C1">
        <w:rPr>
          <w:color w:val="000000"/>
          <w:sz w:val="24"/>
          <w:szCs w:val="24"/>
        </w:rPr>
        <w:t>ENGIE</w:t>
      </w:r>
      <w:r w:rsidR="001621DA" w:rsidRPr="00AF03C1">
        <w:rPr>
          <w:color w:val="000000"/>
          <w:sz w:val="24"/>
          <w:szCs w:val="24"/>
        </w:rPr>
        <w:t xml:space="preserve"> </w:t>
      </w:r>
      <w:r w:rsidR="008C37FD" w:rsidRPr="00AF03C1">
        <w:rPr>
          <w:color w:val="000000"/>
          <w:sz w:val="24"/>
          <w:szCs w:val="24"/>
        </w:rPr>
        <w:t xml:space="preserve">has provided </w:t>
      </w:r>
      <w:r w:rsidR="00200A3E" w:rsidRPr="00AF03C1">
        <w:rPr>
          <w:color w:val="000000"/>
          <w:sz w:val="24"/>
          <w:szCs w:val="24"/>
        </w:rPr>
        <w:t xml:space="preserve">the </w:t>
      </w:r>
      <w:r w:rsidR="008C37FD" w:rsidRPr="00AF03C1">
        <w:rPr>
          <w:color w:val="000000"/>
          <w:sz w:val="24"/>
          <w:szCs w:val="24"/>
        </w:rPr>
        <w:t xml:space="preserve">proper </w:t>
      </w:r>
      <w:r w:rsidR="00200A3E" w:rsidRPr="00AF03C1">
        <w:rPr>
          <w:color w:val="000000"/>
          <w:sz w:val="24"/>
          <w:szCs w:val="24"/>
        </w:rPr>
        <w:t xml:space="preserve">Pennsylvania Department of State </w:t>
      </w:r>
      <w:r w:rsidR="008C37FD" w:rsidRPr="00AF03C1">
        <w:rPr>
          <w:color w:val="000000"/>
          <w:sz w:val="24"/>
          <w:szCs w:val="24"/>
        </w:rPr>
        <w:t>documentation</w:t>
      </w:r>
      <w:r w:rsidR="00CB0990" w:rsidRPr="00AF03C1">
        <w:rPr>
          <w:color w:val="000000"/>
          <w:sz w:val="24"/>
          <w:szCs w:val="24"/>
        </w:rPr>
        <w:t>.</w:t>
      </w:r>
      <w:r w:rsidR="00CA4C41" w:rsidRPr="00AF03C1">
        <w:rPr>
          <w:color w:val="000000"/>
          <w:sz w:val="24"/>
          <w:szCs w:val="24"/>
        </w:rPr>
        <w:t xml:space="preserve">  </w:t>
      </w:r>
      <w:r w:rsidR="0086035A" w:rsidRPr="00AF03C1">
        <w:rPr>
          <w:color w:val="000000"/>
          <w:sz w:val="24"/>
          <w:szCs w:val="24"/>
        </w:rPr>
        <w:t xml:space="preserve">Furthermore, </w:t>
      </w:r>
      <w:r w:rsidR="00CC1024" w:rsidRPr="00AF03C1">
        <w:rPr>
          <w:color w:val="000000"/>
          <w:sz w:val="24"/>
          <w:szCs w:val="24"/>
        </w:rPr>
        <w:t>ENGIE</w:t>
      </w:r>
      <w:r w:rsidR="00220249" w:rsidRPr="00AF03C1">
        <w:rPr>
          <w:color w:val="000000"/>
          <w:sz w:val="24"/>
          <w:szCs w:val="24"/>
        </w:rPr>
        <w:t xml:space="preserve"> </w:t>
      </w:r>
      <w:r w:rsidR="0086035A" w:rsidRPr="00AF03C1">
        <w:rPr>
          <w:color w:val="000000"/>
          <w:sz w:val="24"/>
          <w:szCs w:val="24"/>
        </w:rPr>
        <w:t xml:space="preserve">has </w:t>
      </w:r>
      <w:r w:rsidR="00CA4C41" w:rsidRPr="00AF03C1">
        <w:rPr>
          <w:color w:val="000000"/>
          <w:sz w:val="24"/>
          <w:szCs w:val="24"/>
        </w:rPr>
        <w:t>provided proof of service to the interested parties as required by the Commission.</w:t>
      </w:r>
    </w:p>
    <w:p w:rsidR="004D2C8F" w:rsidRPr="003E0271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AF03C1">
        <w:rPr>
          <w:color w:val="000000"/>
          <w:sz w:val="24"/>
          <w:szCs w:val="24"/>
        </w:rPr>
        <w:tab/>
      </w:r>
      <w:r w:rsidR="008C37FD" w:rsidRPr="00AF03C1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CC1024" w:rsidRPr="00AF03C1">
        <w:rPr>
          <w:color w:val="000000"/>
          <w:sz w:val="24"/>
          <w:szCs w:val="24"/>
        </w:rPr>
        <w:t>GDF Suez Retail Energy Solutions, LLC d/b/a Think Energy</w:t>
      </w:r>
      <w:r w:rsidR="00780D0B" w:rsidRPr="00AF03C1">
        <w:rPr>
          <w:color w:val="000000"/>
          <w:sz w:val="24"/>
          <w:szCs w:val="24"/>
        </w:rPr>
        <w:t xml:space="preserve">’s </w:t>
      </w:r>
      <w:r w:rsidR="008C37FD" w:rsidRPr="00AF03C1">
        <w:rPr>
          <w:color w:val="000000"/>
          <w:sz w:val="24"/>
          <w:szCs w:val="24"/>
        </w:rPr>
        <w:t xml:space="preserve">name on its license for the provision of </w:t>
      </w:r>
      <w:r w:rsidR="0020319F" w:rsidRPr="00AF03C1">
        <w:rPr>
          <w:color w:val="000000"/>
          <w:sz w:val="24"/>
          <w:szCs w:val="24"/>
        </w:rPr>
        <w:t xml:space="preserve">natural gas services </w:t>
      </w:r>
      <w:r w:rsidR="002D146A" w:rsidRPr="00AF03C1">
        <w:rPr>
          <w:color w:val="000000"/>
          <w:sz w:val="24"/>
          <w:szCs w:val="24"/>
        </w:rPr>
        <w:t>as a</w:t>
      </w:r>
      <w:r w:rsidR="003009DB" w:rsidRPr="00AF03C1">
        <w:rPr>
          <w:color w:val="000000"/>
          <w:sz w:val="24"/>
          <w:szCs w:val="24"/>
        </w:rPr>
        <w:t xml:space="preserve"> </w:t>
      </w:r>
      <w:r w:rsidR="00220249" w:rsidRPr="00AF03C1">
        <w:rPr>
          <w:color w:val="000000"/>
          <w:sz w:val="24"/>
          <w:szCs w:val="24"/>
        </w:rPr>
        <w:t xml:space="preserve">supplier </w:t>
      </w:r>
      <w:r w:rsidR="0071189C" w:rsidRPr="00AF03C1">
        <w:rPr>
          <w:color w:val="000000"/>
          <w:sz w:val="24"/>
          <w:szCs w:val="24"/>
        </w:rPr>
        <w:t xml:space="preserve">to </w:t>
      </w:r>
      <w:r w:rsidR="00CC1024" w:rsidRPr="00AF03C1">
        <w:rPr>
          <w:color w:val="000000"/>
          <w:sz w:val="24"/>
          <w:szCs w:val="24"/>
        </w:rPr>
        <w:t>ENGIE Retail, LLC d/b/a Think Energy</w:t>
      </w:r>
      <w:r w:rsidR="0071189C" w:rsidRPr="00AF03C1">
        <w:rPr>
          <w:color w:val="000000"/>
          <w:sz w:val="24"/>
          <w:szCs w:val="24"/>
        </w:rPr>
        <w:t>.</w:t>
      </w:r>
    </w:p>
    <w:p w:rsidR="00CB0990" w:rsidRPr="00AF03C1" w:rsidRDefault="00BF7BBA" w:rsidP="0071189C">
      <w:pPr>
        <w:spacing w:after="240"/>
        <w:ind w:firstLine="1440"/>
        <w:rPr>
          <w:b/>
          <w:color w:val="000000"/>
          <w:sz w:val="24"/>
          <w:szCs w:val="24"/>
        </w:rPr>
      </w:pPr>
      <w:r w:rsidRPr="00AF03C1">
        <w:rPr>
          <w:b/>
          <w:color w:val="000000"/>
          <w:sz w:val="24"/>
          <w:szCs w:val="24"/>
        </w:rPr>
        <w:t xml:space="preserve">The Secretary’s Bureau will issue a new license </w:t>
      </w:r>
      <w:r w:rsidR="0071189C" w:rsidRPr="00AF03C1">
        <w:rPr>
          <w:b/>
          <w:color w:val="000000"/>
          <w:sz w:val="24"/>
          <w:szCs w:val="24"/>
        </w:rPr>
        <w:t xml:space="preserve">to </w:t>
      </w:r>
      <w:r w:rsidR="00CC1024" w:rsidRPr="00AF03C1">
        <w:rPr>
          <w:b/>
          <w:color w:val="000000"/>
          <w:sz w:val="24"/>
          <w:szCs w:val="24"/>
        </w:rPr>
        <w:t>ENGIE Retail, LLC d/b/a Think Energy</w:t>
      </w:r>
      <w:r w:rsidR="00DB4DBD" w:rsidRPr="00AF03C1">
        <w:rPr>
          <w:b/>
          <w:color w:val="000000"/>
          <w:sz w:val="24"/>
          <w:szCs w:val="24"/>
        </w:rPr>
        <w:t xml:space="preserve"> </w:t>
      </w:r>
      <w:r w:rsidR="0071189C" w:rsidRPr="00AF03C1">
        <w:rPr>
          <w:b/>
          <w:color w:val="000000"/>
          <w:sz w:val="24"/>
          <w:szCs w:val="24"/>
        </w:rPr>
        <w:t xml:space="preserve">the right to begin to offer, render, furnish, or supply natural gas services as a </w:t>
      </w:r>
      <w:r w:rsidR="00DB4DBD" w:rsidRPr="00AF03C1">
        <w:rPr>
          <w:b/>
          <w:color w:val="000000"/>
          <w:sz w:val="24"/>
          <w:szCs w:val="24"/>
        </w:rPr>
        <w:t xml:space="preserve">supplier </w:t>
      </w:r>
      <w:r w:rsidR="0071189C" w:rsidRPr="00AF03C1">
        <w:rPr>
          <w:b/>
          <w:color w:val="000000"/>
          <w:sz w:val="24"/>
          <w:szCs w:val="24"/>
        </w:rPr>
        <w:t xml:space="preserve">to residential, small commercial (under 6,000 MCF annually), large commercial (6,000 MCF or more annually), industrial, and governmental customers in the natural gas distribution company service </w:t>
      </w:r>
      <w:r w:rsidR="00DB4DBD" w:rsidRPr="00AF03C1">
        <w:rPr>
          <w:b/>
          <w:color w:val="000000"/>
          <w:sz w:val="24"/>
          <w:szCs w:val="24"/>
        </w:rPr>
        <w:t>territories</w:t>
      </w:r>
      <w:r w:rsidR="0071189C" w:rsidRPr="00AF03C1">
        <w:rPr>
          <w:b/>
          <w:color w:val="000000"/>
          <w:sz w:val="24"/>
          <w:szCs w:val="24"/>
        </w:rPr>
        <w:t xml:space="preserve"> of Peoples TWP LLC, National Fuel Gas Distribution Corporation, Peoples Natural Gas Company, LLC, Peoples Natural Gas Company, LLC - Equitable Division, and Columbia Gas of Pennsylvania, Inc., within the Commonwealth of Pennsylvania.</w:t>
      </w:r>
    </w:p>
    <w:p w:rsidR="00D62146" w:rsidRDefault="00D62146" w:rsidP="00D62146">
      <w:pPr>
        <w:spacing w:after="240"/>
        <w:ind w:firstLine="1440"/>
        <w:rPr>
          <w:color w:val="000000"/>
          <w:sz w:val="24"/>
          <w:szCs w:val="24"/>
        </w:rPr>
      </w:pPr>
      <w:r w:rsidRPr="00AF03C1">
        <w:rPr>
          <w:color w:val="000000"/>
          <w:sz w:val="24"/>
          <w:szCs w:val="24"/>
        </w:rPr>
        <w:t xml:space="preserve">Additionally, </w:t>
      </w:r>
      <w:r w:rsidR="00CC1024" w:rsidRPr="00AF03C1">
        <w:rPr>
          <w:color w:val="000000"/>
          <w:sz w:val="24"/>
          <w:szCs w:val="24"/>
        </w:rPr>
        <w:t>ENGIE</w:t>
      </w:r>
      <w:r w:rsidR="000E732D" w:rsidRPr="00AF03C1">
        <w:rPr>
          <w:color w:val="000000"/>
          <w:sz w:val="24"/>
          <w:szCs w:val="24"/>
        </w:rPr>
        <w:t xml:space="preserve"> </w:t>
      </w:r>
      <w:r w:rsidRPr="00AF03C1">
        <w:rPr>
          <w:color w:val="000000"/>
          <w:sz w:val="24"/>
          <w:szCs w:val="24"/>
        </w:rPr>
        <w:t>is</w:t>
      </w:r>
      <w:r>
        <w:rPr>
          <w:color w:val="000000"/>
          <w:sz w:val="24"/>
          <w:szCs w:val="24"/>
        </w:rPr>
        <w:t xml:space="preserve"> directed to provide a notice to its customers informing them of the name change</w:t>
      </w:r>
      <w:r w:rsidRPr="00B27531">
        <w:rPr>
          <w:color w:val="000000"/>
          <w:sz w:val="24"/>
          <w:szCs w:val="24"/>
        </w:rPr>
        <w:t xml:space="preserve"> </w:t>
      </w:r>
      <w:r w:rsidR="00B27531" w:rsidRPr="00B27531">
        <w:rPr>
          <w:color w:val="000000"/>
          <w:sz w:val="24"/>
          <w:szCs w:val="24"/>
        </w:rPr>
        <w:t>no later than thirty (30) days from the date of this Secretarial letter, and further directed to file a copy of the customer notice with the Commission’s Secretary no later than sixty (60) days from the date of this Secretarial letter</w:t>
      </w:r>
      <w:r w:rsidRPr="00B27531">
        <w:rPr>
          <w:color w:val="000000"/>
          <w:sz w:val="24"/>
          <w:szCs w:val="24"/>
        </w:rPr>
        <w:t>.</w:t>
      </w:r>
    </w:p>
    <w:p w:rsidR="00B82BF2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8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:rsidR="00E1784F" w:rsidRPr="005D357A" w:rsidRDefault="00E1784F" w:rsidP="005D357A">
      <w:pPr>
        <w:suppressAutoHyphens/>
        <w:spacing w:after="240"/>
        <w:ind w:firstLine="1440"/>
        <w:rPr>
          <w:sz w:val="24"/>
          <w:szCs w:val="24"/>
        </w:rPr>
      </w:pPr>
    </w:p>
    <w:p w:rsidR="008C37FD" w:rsidRPr="009F61AE" w:rsidRDefault="00251154" w:rsidP="005D357A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9C1321" wp14:editId="5F96CC60">
            <wp:simplePos x="0" y="0"/>
            <wp:positionH relativeFrom="column">
              <wp:posOffset>2714625</wp:posOffset>
            </wp:positionH>
            <wp:positionV relativeFrom="paragraph">
              <wp:posOffset>160020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7FD"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Default="008C37FD" w:rsidP="00251154">
      <w:pPr>
        <w:jc w:val="center"/>
        <w:rPr>
          <w:color w:val="000000"/>
          <w:sz w:val="24"/>
          <w:szCs w:val="24"/>
        </w:rPr>
      </w:pPr>
    </w:p>
    <w:p w:rsidR="00376B5A" w:rsidRDefault="00376B5A" w:rsidP="005D357A">
      <w:pPr>
        <w:rPr>
          <w:color w:val="000000"/>
          <w:sz w:val="24"/>
          <w:szCs w:val="24"/>
        </w:rPr>
      </w:pPr>
    </w:p>
    <w:p w:rsidR="00376B5A" w:rsidRPr="009F61AE" w:rsidRDefault="00376B5A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DF0DDD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376B5A" w:rsidRPr="009F61AE" w:rsidRDefault="00376B5A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35B5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7E35B5">
        <w:rPr>
          <w:color w:val="000000"/>
          <w:sz w:val="24"/>
          <w:szCs w:val="24"/>
        </w:rPr>
        <w:t xml:space="preserve">Technical </w:t>
      </w:r>
      <w:r w:rsidR="003D2F30" w:rsidRPr="009F61AE">
        <w:rPr>
          <w:color w:val="000000"/>
          <w:sz w:val="24"/>
          <w:szCs w:val="24"/>
        </w:rPr>
        <w:t>Utility Services</w:t>
      </w:r>
    </w:p>
    <w:p w:rsidR="002969BA" w:rsidRPr="009F61AE" w:rsidRDefault="002969B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Jake McAlpine, TUS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38" w:rsidRDefault="00FB3738">
      <w:r>
        <w:separator/>
      </w:r>
    </w:p>
  </w:endnote>
  <w:endnote w:type="continuationSeparator" w:id="0">
    <w:p w:rsidR="00FB3738" w:rsidRDefault="00FB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38" w:rsidRDefault="00FB3738">
      <w:r>
        <w:separator/>
      </w:r>
    </w:p>
  </w:footnote>
  <w:footnote w:type="continuationSeparator" w:id="0">
    <w:p w:rsidR="00FB3738" w:rsidRDefault="00FB3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5372A"/>
    <w:rsid w:val="0006766D"/>
    <w:rsid w:val="000710C5"/>
    <w:rsid w:val="00090562"/>
    <w:rsid w:val="000D2FAA"/>
    <w:rsid w:val="000D51C0"/>
    <w:rsid w:val="000E732D"/>
    <w:rsid w:val="00111A64"/>
    <w:rsid w:val="001129B5"/>
    <w:rsid w:val="00122E55"/>
    <w:rsid w:val="00126753"/>
    <w:rsid w:val="00146882"/>
    <w:rsid w:val="001621DA"/>
    <w:rsid w:val="001F3CB5"/>
    <w:rsid w:val="00200272"/>
    <w:rsid w:val="00200A3E"/>
    <w:rsid w:val="0020319F"/>
    <w:rsid w:val="00220249"/>
    <w:rsid w:val="00251154"/>
    <w:rsid w:val="002839F9"/>
    <w:rsid w:val="002969BA"/>
    <w:rsid w:val="002A1C8B"/>
    <w:rsid w:val="002B5E59"/>
    <w:rsid w:val="002D146A"/>
    <w:rsid w:val="002E25D2"/>
    <w:rsid w:val="003009DB"/>
    <w:rsid w:val="00316038"/>
    <w:rsid w:val="00320C03"/>
    <w:rsid w:val="00343F04"/>
    <w:rsid w:val="00364F33"/>
    <w:rsid w:val="00365D75"/>
    <w:rsid w:val="00370F42"/>
    <w:rsid w:val="00376B5A"/>
    <w:rsid w:val="00381C4A"/>
    <w:rsid w:val="0038512B"/>
    <w:rsid w:val="003C1609"/>
    <w:rsid w:val="003C7D0E"/>
    <w:rsid w:val="003D1E53"/>
    <w:rsid w:val="003D2F30"/>
    <w:rsid w:val="003E0271"/>
    <w:rsid w:val="003F783C"/>
    <w:rsid w:val="0040222D"/>
    <w:rsid w:val="0040688C"/>
    <w:rsid w:val="0041593F"/>
    <w:rsid w:val="00436776"/>
    <w:rsid w:val="00436BAE"/>
    <w:rsid w:val="004478FD"/>
    <w:rsid w:val="0045110D"/>
    <w:rsid w:val="004543AA"/>
    <w:rsid w:val="00486379"/>
    <w:rsid w:val="004D2C8F"/>
    <w:rsid w:val="004F3CDA"/>
    <w:rsid w:val="00501F71"/>
    <w:rsid w:val="0055318A"/>
    <w:rsid w:val="0056296F"/>
    <w:rsid w:val="005B10B9"/>
    <w:rsid w:val="005C5BF7"/>
    <w:rsid w:val="005D357A"/>
    <w:rsid w:val="005E4FC7"/>
    <w:rsid w:val="005F774C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E356D"/>
    <w:rsid w:val="0071189C"/>
    <w:rsid w:val="00731CA8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810121"/>
    <w:rsid w:val="00822DED"/>
    <w:rsid w:val="00823158"/>
    <w:rsid w:val="008503D0"/>
    <w:rsid w:val="0086035A"/>
    <w:rsid w:val="00876EFB"/>
    <w:rsid w:val="00892FC9"/>
    <w:rsid w:val="008A52A4"/>
    <w:rsid w:val="008C37FD"/>
    <w:rsid w:val="008D50D9"/>
    <w:rsid w:val="008E22AF"/>
    <w:rsid w:val="00911FDD"/>
    <w:rsid w:val="00925B91"/>
    <w:rsid w:val="00957224"/>
    <w:rsid w:val="00980171"/>
    <w:rsid w:val="009818B7"/>
    <w:rsid w:val="009A442E"/>
    <w:rsid w:val="009B1B49"/>
    <w:rsid w:val="009B7D33"/>
    <w:rsid w:val="009D6A8A"/>
    <w:rsid w:val="009F61AE"/>
    <w:rsid w:val="00A317D5"/>
    <w:rsid w:val="00A3714F"/>
    <w:rsid w:val="00A372D8"/>
    <w:rsid w:val="00A469D7"/>
    <w:rsid w:val="00A5707F"/>
    <w:rsid w:val="00AA16D4"/>
    <w:rsid w:val="00AB420F"/>
    <w:rsid w:val="00AF03C1"/>
    <w:rsid w:val="00AF5A87"/>
    <w:rsid w:val="00B016DB"/>
    <w:rsid w:val="00B05541"/>
    <w:rsid w:val="00B102B3"/>
    <w:rsid w:val="00B1061F"/>
    <w:rsid w:val="00B15194"/>
    <w:rsid w:val="00B27531"/>
    <w:rsid w:val="00B6523E"/>
    <w:rsid w:val="00B82BF2"/>
    <w:rsid w:val="00BB38E5"/>
    <w:rsid w:val="00BF6A22"/>
    <w:rsid w:val="00BF7BBA"/>
    <w:rsid w:val="00C44321"/>
    <w:rsid w:val="00C63912"/>
    <w:rsid w:val="00C654C4"/>
    <w:rsid w:val="00C733F6"/>
    <w:rsid w:val="00C77ADB"/>
    <w:rsid w:val="00CA4C41"/>
    <w:rsid w:val="00CB0990"/>
    <w:rsid w:val="00CB74B2"/>
    <w:rsid w:val="00CC1024"/>
    <w:rsid w:val="00CE2293"/>
    <w:rsid w:val="00D05B81"/>
    <w:rsid w:val="00D52904"/>
    <w:rsid w:val="00D62146"/>
    <w:rsid w:val="00D83B99"/>
    <w:rsid w:val="00D91430"/>
    <w:rsid w:val="00DA266E"/>
    <w:rsid w:val="00DB4DBD"/>
    <w:rsid w:val="00DB572E"/>
    <w:rsid w:val="00DB79FD"/>
    <w:rsid w:val="00DC3ED7"/>
    <w:rsid w:val="00DD614B"/>
    <w:rsid w:val="00DD65D9"/>
    <w:rsid w:val="00DF0DDD"/>
    <w:rsid w:val="00E044B8"/>
    <w:rsid w:val="00E14073"/>
    <w:rsid w:val="00E1784F"/>
    <w:rsid w:val="00E21FDB"/>
    <w:rsid w:val="00E56449"/>
    <w:rsid w:val="00E678B3"/>
    <w:rsid w:val="00E9516D"/>
    <w:rsid w:val="00E97548"/>
    <w:rsid w:val="00EA45A8"/>
    <w:rsid w:val="00EC1684"/>
    <w:rsid w:val="00EC1771"/>
    <w:rsid w:val="00EC1F1F"/>
    <w:rsid w:val="00EE254C"/>
    <w:rsid w:val="00F05F1C"/>
    <w:rsid w:val="00F22ECF"/>
    <w:rsid w:val="00F46B94"/>
    <w:rsid w:val="00F4775A"/>
    <w:rsid w:val="00F55679"/>
    <w:rsid w:val="00F65FC3"/>
    <w:rsid w:val="00FB09C3"/>
    <w:rsid w:val="00FB3738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27</cp:revision>
  <cp:lastPrinted>2016-02-23T14:04:00Z</cp:lastPrinted>
  <dcterms:created xsi:type="dcterms:W3CDTF">2015-03-19T15:17:00Z</dcterms:created>
  <dcterms:modified xsi:type="dcterms:W3CDTF">2016-02-23T14:06:00Z</dcterms:modified>
</cp:coreProperties>
</file>