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8D0286" w:rsidP="00F9732A">
      <w:r>
        <w:t>Robert Barone</w:t>
      </w:r>
      <w:r w:rsidR="00CD7291">
        <w:tab/>
      </w:r>
      <w:r w:rsidR="00CD7291">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w:t>
      </w:r>
      <w:r w:rsidR="008D0286">
        <w:t>2014-2458887</w:t>
      </w:r>
    </w:p>
    <w:p w:rsidR="00F9732A" w:rsidRPr="008B455C" w:rsidRDefault="00F9732A" w:rsidP="00F9732A">
      <w:pPr>
        <w:ind w:left="5040"/>
      </w:pPr>
      <w:r w:rsidRPr="008B455C">
        <w:t>:</w:t>
      </w:r>
    </w:p>
    <w:p w:rsidR="00F9732A" w:rsidRPr="008B455C" w:rsidRDefault="008D0286" w:rsidP="00F9732A">
      <w:r>
        <w:t>PECO Energy</w:t>
      </w:r>
      <w:r w:rsidR="00F9732A" w:rsidRPr="008B455C">
        <w:t xml:space="preserve"> Company</w:t>
      </w:r>
      <w:r w:rsidR="00F9732A" w:rsidRPr="008B455C">
        <w:tab/>
      </w:r>
      <w:r w:rsidR="00F9732A" w:rsidRPr="008B455C">
        <w:tab/>
        <w:t xml:space="preserve"> </w:t>
      </w:r>
      <w:r w:rsidR="00F9732A" w:rsidRPr="008B455C">
        <w:tab/>
      </w:r>
      <w:r w:rsidR="00F9732A"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126B45">
      <w:pPr>
        <w:spacing w:line="360" w:lineRule="auto"/>
        <w:jc w:val="center"/>
      </w:pPr>
    </w:p>
    <w:p w:rsidR="00126B45" w:rsidRPr="000B0551" w:rsidRDefault="00126B45" w:rsidP="00126B45">
      <w:pPr>
        <w:spacing w:line="360" w:lineRule="auto"/>
        <w:jc w:val="center"/>
        <w:rPr>
          <w:u w:val="single"/>
        </w:rPr>
      </w:pPr>
      <w:r w:rsidRPr="000B0551">
        <w:rPr>
          <w:u w:val="single"/>
        </w:rPr>
        <w:t>INTRODUCTION</w:t>
      </w:r>
    </w:p>
    <w:p w:rsidR="00126B45" w:rsidRDefault="00126B45" w:rsidP="00126B45">
      <w:pPr>
        <w:spacing w:line="360" w:lineRule="auto"/>
      </w:pPr>
    </w:p>
    <w:p w:rsidR="00126B45" w:rsidRDefault="00126B45" w:rsidP="00126B45">
      <w:pPr>
        <w:spacing w:line="360" w:lineRule="auto"/>
      </w:pPr>
      <w:r>
        <w:tab/>
      </w:r>
      <w:r>
        <w:tab/>
        <w:t xml:space="preserve">This decision denies the complaint </w:t>
      </w:r>
      <w:r w:rsidR="00DA1ED0">
        <w:t xml:space="preserve">and denies Complainant’s </w:t>
      </w:r>
      <w:r>
        <w:t xml:space="preserve">request for </w:t>
      </w:r>
      <w:r w:rsidR="008D0286">
        <w:t>a</w:t>
      </w:r>
      <w:r w:rsidR="00650EC0">
        <w:t>dditional</w:t>
      </w:r>
      <w:r w:rsidR="008D0286">
        <w:t xml:space="preserve"> fix</w:t>
      </w:r>
      <w:r w:rsidR="00650EC0">
        <w:t>es</w:t>
      </w:r>
      <w:r w:rsidR="003937E3">
        <w:t xml:space="preserve">.  </w:t>
      </w:r>
    </w:p>
    <w:p w:rsidR="00126B45" w:rsidRDefault="00126B45" w:rsidP="00126B45">
      <w:pPr>
        <w:spacing w:line="360" w:lineRule="auto"/>
      </w:pPr>
    </w:p>
    <w:p w:rsidR="00126B45" w:rsidRPr="00FB448C" w:rsidRDefault="00126B45" w:rsidP="00126B45">
      <w:pPr>
        <w:pStyle w:val="Heading1"/>
        <w:spacing w:line="360" w:lineRule="auto"/>
        <w:rPr>
          <w:sz w:val="24"/>
          <w:szCs w:val="24"/>
          <w:u w:val="none"/>
        </w:rPr>
      </w:pPr>
      <w:r w:rsidRPr="00FB448C">
        <w:rPr>
          <w:sz w:val="24"/>
          <w:szCs w:val="24"/>
        </w:rPr>
        <w:t>HISTORY OF THE PROCEEDING</w:t>
      </w:r>
    </w:p>
    <w:p w:rsidR="00126B45" w:rsidRPr="00B73D10" w:rsidRDefault="00126B45" w:rsidP="00126B45">
      <w:pPr>
        <w:spacing w:line="360" w:lineRule="auto"/>
        <w:ind w:firstLine="1440"/>
      </w:pPr>
    </w:p>
    <w:p w:rsidR="00126B45" w:rsidRPr="00B73D10" w:rsidRDefault="00126B45" w:rsidP="00126B45">
      <w:pPr>
        <w:spacing w:line="360" w:lineRule="auto"/>
        <w:ind w:firstLine="1440"/>
      </w:pPr>
      <w:r w:rsidRPr="00B73D10">
        <w:t xml:space="preserve">On </w:t>
      </w:r>
      <w:r w:rsidR="008D0286">
        <w:t>December 13, 2014</w:t>
      </w:r>
      <w:r w:rsidRPr="00B73D10">
        <w:t xml:space="preserve">, </w:t>
      </w:r>
      <w:r w:rsidR="008D0286">
        <w:t>Robert Barone</w:t>
      </w:r>
      <w:r>
        <w:t xml:space="preserve"> (</w:t>
      </w:r>
      <w:r w:rsidR="008D0286">
        <w:t xml:space="preserve">Mr. Barone or </w:t>
      </w:r>
      <w:r w:rsidRPr="00B73D10">
        <w:t>Compla</w:t>
      </w:r>
      <w:r>
        <w:t xml:space="preserve">inant) filed a formal complaint </w:t>
      </w:r>
      <w:r w:rsidR="008D0286">
        <w:t xml:space="preserve">with the Pennsylvania Public Utility Commission (Commission) </w:t>
      </w:r>
      <w:r w:rsidRPr="00B73D10">
        <w:t>against</w:t>
      </w:r>
      <w:r w:rsidR="008D0286">
        <w:t xml:space="preserve"> PECO Energy</w:t>
      </w:r>
      <w:r>
        <w:t xml:space="preserve"> Company (</w:t>
      </w:r>
      <w:r w:rsidRPr="00B73D10">
        <w:t xml:space="preserve">Respondent or </w:t>
      </w:r>
      <w:r w:rsidR="008D0286">
        <w:t>PECO</w:t>
      </w:r>
      <w:r w:rsidRPr="00B73D10">
        <w:t>) alleging</w:t>
      </w:r>
      <w:r>
        <w:t xml:space="preserve"> a reliability, safety or quality problem with his electric service </w:t>
      </w:r>
      <w:r w:rsidR="008D0286">
        <w:t>due to faulty facilities in an underground vault</w:t>
      </w:r>
      <w:r>
        <w:t xml:space="preserve">.  Complainant alleged </w:t>
      </w:r>
      <w:r w:rsidR="008D0286">
        <w:t xml:space="preserve">there had been </w:t>
      </w:r>
      <w:r>
        <w:t xml:space="preserve">numerous power surges </w:t>
      </w:r>
      <w:r w:rsidR="008D0286">
        <w:t>and outag</w:t>
      </w:r>
      <w:r w:rsidR="00AD3391">
        <w:t xml:space="preserve">es.  Complainant requested the </w:t>
      </w:r>
      <w:r w:rsidR="008D0286">
        <w:t xml:space="preserve">Commission order Respondent to make necessary repairs.  </w:t>
      </w:r>
      <w:r w:rsidRPr="00B73D10">
        <w:t xml:space="preserve">On </w:t>
      </w:r>
      <w:r w:rsidR="008D0286">
        <w:t>January 8, 2015</w:t>
      </w:r>
      <w:r w:rsidRPr="00B73D10">
        <w:t xml:space="preserve">, Respondent filed an </w:t>
      </w:r>
      <w:r w:rsidR="00101AB8">
        <w:t>A</w:t>
      </w:r>
      <w:r w:rsidRPr="00B73D10">
        <w:t>nswer in response to Complainant’s formal complaint</w:t>
      </w:r>
      <w:r>
        <w:t>, in which R</w:t>
      </w:r>
      <w:r w:rsidRPr="00B73D10">
        <w:t xml:space="preserve">espondent </w:t>
      </w:r>
      <w:r w:rsidR="00A96A71">
        <w:t xml:space="preserve">generally denied the averments and asserted </w:t>
      </w:r>
      <w:r w:rsidR="008D0286">
        <w:t>PECO</w:t>
      </w:r>
      <w:r w:rsidR="00A96A71">
        <w:t xml:space="preserve"> had provided reasonable and adequate service in how it maintained its facilities</w:t>
      </w:r>
      <w:r>
        <w:t xml:space="preserve">.  </w:t>
      </w:r>
    </w:p>
    <w:p w:rsidR="00126B45" w:rsidRPr="00B73D10" w:rsidRDefault="00126B45" w:rsidP="00126B45">
      <w:pPr>
        <w:spacing w:line="360" w:lineRule="auto"/>
      </w:pPr>
    </w:p>
    <w:p w:rsidR="00126B45" w:rsidRDefault="00126B45" w:rsidP="00126B45">
      <w:pPr>
        <w:spacing w:line="360" w:lineRule="auto"/>
      </w:pPr>
      <w:r w:rsidRPr="00B73D10">
        <w:lastRenderedPageBreak/>
        <w:tab/>
      </w:r>
      <w:r w:rsidRPr="00B73D10">
        <w:tab/>
        <w:t xml:space="preserve">On </w:t>
      </w:r>
      <w:r w:rsidR="006D3C17">
        <w:t>April 6, 2015</w:t>
      </w:r>
      <w:r w:rsidRPr="00B73D10">
        <w:t xml:space="preserve">, the Office of Administrative Law Judge issued a Telephone Hearing Notice, which scheduled </w:t>
      </w:r>
      <w:r>
        <w:t xml:space="preserve">a </w:t>
      </w:r>
      <w:r w:rsidR="006D3C17">
        <w:t>call-in telephone</w:t>
      </w:r>
      <w:r>
        <w:t xml:space="preserve"> </w:t>
      </w:r>
      <w:r w:rsidRPr="00B73D10">
        <w:t xml:space="preserve">initial hearing to be conducted on </w:t>
      </w:r>
      <w:r w:rsidR="006D3C17">
        <w:t>Wednesday, May 20, 2015</w:t>
      </w:r>
      <w:r>
        <w:t>.</w:t>
      </w:r>
      <w:r w:rsidR="0080315B">
        <w:t xml:space="preserve">  </w:t>
      </w:r>
      <w:r>
        <w:t xml:space="preserve">On </w:t>
      </w:r>
      <w:r w:rsidR="006D3C17">
        <w:t>April 16, 2015</w:t>
      </w:r>
      <w:r>
        <w:t>, the presiding officer issued</w:t>
      </w:r>
      <w:r w:rsidRPr="00B73D10">
        <w:t xml:space="preserve"> a Prehearing Order.  </w:t>
      </w:r>
    </w:p>
    <w:p w:rsidR="006D3C17" w:rsidRDefault="006D3C17" w:rsidP="00126B45">
      <w:pPr>
        <w:spacing w:line="360" w:lineRule="auto"/>
      </w:pPr>
    </w:p>
    <w:p w:rsidR="006D3C17" w:rsidRDefault="006D3C17" w:rsidP="00126B45">
      <w:pPr>
        <w:spacing w:line="360" w:lineRule="auto"/>
      </w:pPr>
      <w:r>
        <w:tab/>
      </w:r>
      <w:r>
        <w:tab/>
        <w:t>On May 11, 2015, PECO filed a Motion for Continuance of Hearing Date and alleged both parties agreed PECO should dig up the area in question and inspect the electric cables.  PECO requested additional time in which to perform the inspection, and PECO indicated Complainant agreed to the continuance.</w:t>
      </w:r>
    </w:p>
    <w:p w:rsidR="006D3C17" w:rsidRDefault="006D3C17" w:rsidP="00126B45">
      <w:pPr>
        <w:spacing w:line="360" w:lineRule="auto"/>
      </w:pPr>
    </w:p>
    <w:p w:rsidR="006D3C17" w:rsidRDefault="006D3C17" w:rsidP="00126B45">
      <w:pPr>
        <w:spacing w:line="360" w:lineRule="auto"/>
      </w:pPr>
      <w:r>
        <w:tab/>
      </w:r>
      <w:r>
        <w:tab/>
        <w:t xml:space="preserve">On May 12, 2015, the presiding officer issued the First Interim Order which continued the telephonic hearing and provided the parties with 45 days in which either to withdraw or satisfy the complaint, or request a hearing.  On July 29, 2015, </w:t>
      </w:r>
      <w:r w:rsidRPr="00B73D10">
        <w:t xml:space="preserve">the Office of Administrative Law Judge issued a </w:t>
      </w:r>
      <w:r>
        <w:t>Hearing Cancellation/Reschedule</w:t>
      </w:r>
      <w:r w:rsidRPr="00B73D10">
        <w:t xml:space="preserve"> Notice, which scheduled </w:t>
      </w:r>
      <w:r>
        <w:t xml:space="preserve">an initial call-in telephonic </w:t>
      </w:r>
      <w:r w:rsidRPr="00B73D10">
        <w:t xml:space="preserve">hearing to be conducted on </w:t>
      </w:r>
      <w:r>
        <w:t xml:space="preserve">Friday, September 25, 2015.  </w:t>
      </w:r>
    </w:p>
    <w:p w:rsidR="006D3C17" w:rsidRDefault="006D3C17" w:rsidP="00126B45">
      <w:pPr>
        <w:spacing w:line="360" w:lineRule="auto"/>
      </w:pPr>
    </w:p>
    <w:p w:rsidR="006D3C17" w:rsidRDefault="006D3C17" w:rsidP="006D3C17">
      <w:pPr>
        <w:spacing w:line="360" w:lineRule="auto"/>
      </w:pPr>
      <w:r>
        <w:tab/>
      </w:r>
      <w:r>
        <w:tab/>
        <w:t xml:space="preserve">On September 2, 2015, PECO filed a Motion for Continuance of Hearing Date and alleged two of its witnesses were unavailable on the day of the scheduled hearing.  PECO also averred Complainant indicated he did not object to the continuance because Complainant was scheduled to be away on vacation on September 25, 2015.  </w:t>
      </w:r>
    </w:p>
    <w:p w:rsidR="00126B45" w:rsidRDefault="00126B45" w:rsidP="00126B45">
      <w:pPr>
        <w:spacing w:line="360" w:lineRule="auto"/>
      </w:pPr>
    </w:p>
    <w:p w:rsidR="00085A77" w:rsidRDefault="00085A77" w:rsidP="00085A77">
      <w:pPr>
        <w:spacing w:line="360" w:lineRule="auto"/>
      </w:pPr>
      <w:r>
        <w:tab/>
      </w:r>
      <w:r>
        <w:tab/>
        <w:t xml:space="preserve">Thereafter, on September 4, 2015, the presiding officer issued the Second Interim Order which continued the telephonic hearing on September 25, 2015 and ordered that the initial call-in telephonic hearing should be conducted on Monday, October 19, 2015.  Also on September 4, 2015, </w:t>
      </w:r>
      <w:r w:rsidRPr="00B73D10">
        <w:t xml:space="preserve">the Office of Administrative Law Judge issued a </w:t>
      </w:r>
      <w:r>
        <w:t>Call-In Telephone Cancellation/Reschedule</w:t>
      </w:r>
      <w:r w:rsidRPr="00B73D10">
        <w:t xml:space="preserve"> </w:t>
      </w:r>
      <w:r>
        <w:t xml:space="preserve">Hearing </w:t>
      </w:r>
      <w:r w:rsidRPr="00B73D10">
        <w:t xml:space="preserve">Notice, which scheduled </w:t>
      </w:r>
      <w:r>
        <w:t xml:space="preserve">an initial call-in telephonic </w:t>
      </w:r>
      <w:r w:rsidRPr="00B73D10">
        <w:t xml:space="preserve">hearing to be conducted on </w:t>
      </w:r>
      <w:r>
        <w:t xml:space="preserve">Monday, October 19, 2015.  </w:t>
      </w:r>
    </w:p>
    <w:p w:rsidR="00085A77" w:rsidRDefault="00085A77" w:rsidP="00126B45">
      <w:pPr>
        <w:spacing w:line="360" w:lineRule="auto"/>
      </w:pPr>
    </w:p>
    <w:p w:rsidR="00126B45" w:rsidRDefault="00126B45" w:rsidP="00126B45">
      <w:pPr>
        <w:spacing w:line="360" w:lineRule="auto"/>
      </w:pPr>
      <w:r>
        <w:tab/>
      </w:r>
      <w:r>
        <w:tab/>
        <w:t xml:space="preserve">The presiding officer convened the initial hearing as scheduled on </w:t>
      </w:r>
      <w:r w:rsidR="00085A77">
        <w:t>October 19, 2015</w:t>
      </w:r>
      <w:r>
        <w:t>.  Complainant</w:t>
      </w:r>
      <w:r w:rsidR="00A96A71">
        <w:t xml:space="preserve"> </w:t>
      </w:r>
      <w:r>
        <w:t xml:space="preserve">appeared </w:t>
      </w:r>
      <w:r w:rsidR="00A96A71" w:rsidRPr="00A96A71">
        <w:rPr>
          <w:i/>
        </w:rPr>
        <w:t>pro se</w:t>
      </w:r>
      <w:r w:rsidR="00A96A71">
        <w:t xml:space="preserve"> and testified </w:t>
      </w:r>
      <w:r>
        <w:t xml:space="preserve">on </w:t>
      </w:r>
      <w:r w:rsidR="00A96A71">
        <w:t>his own behalf</w:t>
      </w:r>
      <w:r>
        <w:t>.</w:t>
      </w:r>
      <w:r w:rsidR="00A96A71">
        <w:t xml:space="preserve">  Complainant offered </w:t>
      </w:r>
      <w:r w:rsidR="00085A77">
        <w:t>no exhibits</w:t>
      </w:r>
      <w:r w:rsidR="00A96A71">
        <w:t>.</w:t>
      </w:r>
      <w:r>
        <w:t xml:space="preserve">  Respondent was represented by </w:t>
      </w:r>
      <w:r w:rsidR="00085A77">
        <w:t>Shawane L. Lee</w:t>
      </w:r>
      <w:r>
        <w:t xml:space="preserve">, Esquire.  </w:t>
      </w:r>
      <w:r w:rsidR="00A96A71" w:rsidRPr="00B73D10">
        <w:t xml:space="preserve">Attorney </w:t>
      </w:r>
      <w:r w:rsidR="00085A77">
        <w:t>Lee</w:t>
      </w:r>
      <w:r w:rsidR="00A96A71" w:rsidRPr="00B73D10">
        <w:t xml:space="preserve"> presented the testimony of </w:t>
      </w:r>
      <w:r w:rsidR="00085A77">
        <w:t>three</w:t>
      </w:r>
      <w:r w:rsidR="00A96A71">
        <w:t xml:space="preserve"> witnesses</w:t>
      </w:r>
      <w:r w:rsidR="00A96A71" w:rsidRPr="00B73D10">
        <w:t xml:space="preserve"> and offered </w:t>
      </w:r>
      <w:r w:rsidR="00085A77">
        <w:t>seven</w:t>
      </w:r>
      <w:r w:rsidR="00A96A71">
        <w:t xml:space="preserve"> (</w:t>
      </w:r>
      <w:r w:rsidR="00085A77">
        <w:t>7</w:t>
      </w:r>
      <w:r w:rsidR="00A96A71">
        <w:t>)</w:t>
      </w:r>
      <w:r w:rsidR="00A96A71" w:rsidRPr="00B73D10">
        <w:t xml:space="preserve"> exhibits, </w:t>
      </w:r>
      <w:r w:rsidR="00A96A71">
        <w:t xml:space="preserve">which were </w:t>
      </w:r>
      <w:r w:rsidR="00A96A71" w:rsidRPr="00B73D10">
        <w:t xml:space="preserve">marked </w:t>
      </w:r>
      <w:r w:rsidR="00085A77">
        <w:t>PECO</w:t>
      </w:r>
      <w:r w:rsidR="00A96A71">
        <w:t xml:space="preserve"> </w:t>
      </w:r>
      <w:r w:rsidR="00A96A71">
        <w:lastRenderedPageBreak/>
        <w:t>Exhibits</w:t>
      </w:r>
      <w:r w:rsidR="003067FE">
        <w:t> </w:t>
      </w:r>
      <w:r w:rsidR="00085A77">
        <w:t>1 through 7</w:t>
      </w:r>
      <w:r w:rsidR="00A96A71">
        <w:t xml:space="preserve"> and were </w:t>
      </w:r>
      <w:r w:rsidR="00A96A71" w:rsidRPr="00B73D10">
        <w:t>admitted into evidence.  The transcript of the hearing</w:t>
      </w:r>
      <w:r w:rsidR="00A96A71">
        <w:t>,</w:t>
      </w:r>
      <w:r w:rsidR="00A96A71" w:rsidRPr="00B73D10">
        <w:t xml:space="preserve"> contain</w:t>
      </w:r>
      <w:r w:rsidR="00A96A71">
        <w:t>ing</w:t>
      </w:r>
      <w:r w:rsidR="00A96A71" w:rsidRPr="00B73D10">
        <w:t xml:space="preserve"> </w:t>
      </w:r>
      <w:r w:rsidR="00085A77">
        <w:t>68</w:t>
      </w:r>
      <w:r w:rsidR="00A96A71">
        <w:t xml:space="preserve"> </w:t>
      </w:r>
      <w:r w:rsidR="00A96A71" w:rsidRPr="00B73D10">
        <w:t>pages</w:t>
      </w:r>
      <w:r w:rsidR="00A96A71">
        <w:t>, was received in the C</w:t>
      </w:r>
      <w:r w:rsidR="00085A77">
        <w:t>ommission’s offices on November 5, 2015</w:t>
      </w:r>
      <w:r w:rsidR="00A96A71">
        <w:t xml:space="preserve"> and was received in the presiding officer’s office on </w:t>
      </w:r>
      <w:r w:rsidR="00085A77">
        <w:t>November 13, 2015</w:t>
      </w:r>
      <w:r w:rsidR="00A96A71">
        <w:t>.</w:t>
      </w:r>
      <w:r w:rsidR="00A96A71" w:rsidRPr="00B73D10">
        <w:t xml:space="preserve">  Complainant and Respondent issued final statements on the hearing record in lieu of filing briefs.</w:t>
      </w:r>
    </w:p>
    <w:p w:rsidR="00126B45" w:rsidRDefault="00126B45" w:rsidP="00126B45">
      <w:pPr>
        <w:spacing w:line="360" w:lineRule="auto"/>
      </w:pPr>
    </w:p>
    <w:p w:rsidR="00126B45" w:rsidRPr="00B73D10" w:rsidRDefault="00126B45" w:rsidP="00126B45">
      <w:pPr>
        <w:tabs>
          <w:tab w:val="left" w:pos="2160"/>
        </w:tabs>
        <w:spacing w:line="360" w:lineRule="auto"/>
        <w:ind w:firstLine="1440"/>
      </w:pPr>
      <w:r w:rsidRPr="00B73D10">
        <w:t xml:space="preserve">On </w:t>
      </w:r>
      <w:r w:rsidR="00085A77">
        <w:t>November 18, 2015</w:t>
      </w:r>
      <w:r>
        <w:t>,</w:t>
      </w:r>
      <w:r w:rsidRPr="00B73D10">
        <w:t xml:space="preserve"> the </w:t>
      </w:r>
      <w:r w:rsidR="00A96A71">
        <w:t>presidin</w:t>
      </w:r>
      <w:r w:rsidR="00085A77">
        <w:t xml:space="preserve">g officer closed the hearing </w:t>
      </w:r>
      <w:r w:rsidR="00EC3279">
        <w:t xml:space="preserve">with the </w:t>
      </w:r>
      <w:r w:rsidR="00085A77">
        <w:t xml:space="preserve">issuance of the Third </w:t>
      </w:r>
      <w:r w:rsidRPr="00B73D10">
        <w:t>Interim Order Closing the Hearing Record.</w:t>
      </w:r>
    </w:p>
    <w:p w:rsidR="00126B45" w:rsidRPr="00B73D10" w:rsidRDefault="00126B45" w:rsidP="00126B45">
      <w:pPr>
        <w:tabs>
          <w:tab w:val="left" w:pos="2160"/>
        </w:tabs>
        <w:spacing w:line="360" w:lineRule="auto"/>
        <w:ind w:firstLine="1440"/>
      </w:pPr>
    </w:p>
    <w:p w:rsidR="00126B45" w:rsidRPr="00B73D10" w:rsidRDefault="00126B45" w:rsidP="00126B45">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126B45" w:rsidRPr="00B73D10" w:rsidRDefault="00126B45" w:rsidP="00126B45">
      <w:pPr>
        <w:tabs>
          <w:tab w:val="left" w:pos="2160"/>
        </w:tabs>
        <w:spacing w:line="360" w:lineRule="auto"/>
        <w:rPr>
          <w:u w:val="single"/>
        </w:rPr>
      </w:pPr>
    </w:p>
    <w:p w:rsidR="00126B45" w:rsidRPr="00B73D10" w:rsidRDefault="00126B45" w:rsidP="00126B45">
      <w:pPr>
        <w:tabs>
          <w:tab w:val="left" w:pos="2160"/>
        </w:tabs>
        <w:spacing w:line="360" w:lineRule="auto"/>
        <w:ind w:firstLine="1440"/>
      </w:pPr>
      <w:r w:rsidRPr="00B73D10">
        <w:t>1.</w:t>
      </w:r>
      <w:r w:rsidRPr="00B73D10">
        <w:tab/>
        <w:t xml:space="preserve">Complainant, </w:t>
      </w:r>
      <w:r w:rsidR="00085A77">
        <w:t>Robert Barone</w:t>
      </w:r>
      <w:r>
        <w:t xml:space="preserve">, resides at </w:t>
      </w:r>
      <w:r w:rsidR="00085A77">
        <w:t>520 Tara Court, Warrington</w:t>
      </w:r>
      <w:r>
        <w:t>, Pennsylvania (service address)</w:t>
      </w:r>
      <w:r w:rsidR="003C1F6E">
        <w:t>,</w:t>
      </w:r>
      <w:r w:rsidR="004A0254">
        <w:t xml:space="preserve"> where he has resided </w:t>
      </w:r>
      <w:r w:rsidR="00085A77">
        <w:t>for over 15 years</w:t>
      </w:r>
      <w:r>
        <w:t xml:space="preserve">.  </w:t>
      </w:r>
      <w:proofErr w:type="gramStart"/>
      <w:r w:rsidRPr="00B73D10">
        <w:t xml:space="preserve">(Tr. </w:t>
      </w:r>
      <w:r w:rsidR="00085A77">
        <w:t>6</w:t>
      </w:r>
      <w:r w:rsidRPr="00B73D10">
        <w:t>).</w:t>
      </w:r>
      <w:proofErr w:type="gramEnd"/>
      <w:r w:rsidRPr="00B73D10">
        <w:t xml:space="preserve"> </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2.</w:t>
      </w:r>
      <w:r>
        <w:tab/>
        <w:t>Respondent</w:t>
      </w:r>
      <w:r w:rsidR="00D60229">
        <w:t>, PECO</w:t>
      </w:r>
      <w:r w:rsidR="009C4E0C">
        <w:t xml:space="preserve"> Energy Company</w:t>
      </w:r>
      <w:r w:rsidR="00D60229">
        <w:t>,</w:t>
      </w:r>
      <w:r>
        <w:t xml:space="preserve"> </w:t>
      </w:r>
      <w:r w:rsidR="004A0254">
        <w:t xml:space="preserve">has </w:t>
      </w:r>
      <w:r>
        <w:t>provide</w:t>
      </w:r>
      <w:r w:rsidR="004A0254">
        <w:t>d</w:t>
      </w:r>
      <w:r>
        <w:t xml:space="preserve"> electric services to Complainant at the service address</w:t>
      </w:r>
      <w:r w:rsidR="004A0254">
        <w:t xml:space="preserve"> since </w:t>
      </w:r>
      <w:r w:rsidR="00085A77">
        <w:t>2000</w:t>
      </w:r>
      <w:r>
        <w:t xml:space="preserve">.  </w:t>
      </w:r>
      <w:proofErr w:type="gramStart"/>
      <w:r>
        <w:t xml:space="preserve">(Tr. </w:t>
      </w:r>
      <w:r w:rsidR="00085A77">
        <w:t>6</w:t>
      </w:r>
      <w:r>
        <w:t>).</w:t>
      </w:r>
      <w:proofErr w:type="gramEnd"/>
    </w:p>
    <w:p w:rsidR="00126B45" w:rsidRDefault="00126B45" w:rsidP="00126B45">
      <w:pPr>
        <w:tabs>
          <w:tab w:val="left" w:pos="2160"/>
        </w:tabs>
        <w:spacing w:line="360" w:lineRule="auto"/>
        <w:ind w:firstLine="1440"/>
      </w:pPr>
    </w:p>
    <w:p w:rsidR="00126B45" w:rsidRDefault="00A44074" w:rsidP="00126B45">
      <w:pPr>
        <w:tabs>
          <w:tab w:val="left" w:pos="2160"/>
        </w:tabs>
        <w:spacing w:line="360" w:lineRule="auto"/>
        <w:ind w:firstLine="1440"/>
      </w:pPr>
      <w:r>
        <w:t xml:space="preserve">3. </w:t>
      </w:r>
      <w:r>
        <w:tab/>
        <w:t xml:space="preserve">For approximately four months every winter, Complainant resides in Florida.  </w:t>
      </w:r>
      <w:proofErr w:type="gramStart"/>
      <w:r>
        <w:t>(Tr. 8).</w:t>
      </w:r>
      <w:proofErr w:type="gramEnd"/>
    </w:p>
    <w:p w:rsidR="004A0254" w:rsidRDefault="004A0254" w:rsidP="00126B45">
      <w:pPr>
        <w:tabs>
          <w:tab w:val="left" w:pos="2160"/>
        </w:tabs>
        <w:spacing w:line="360" w:lineRule="auto"/>
        <w:ind w:firstLine="1440"/>
      </w:pPr>
    </w:p>
    <w:p w:rsidR="00126B45" w:rsidRDefault="00126B45" w:rsidP="00A44074">
      <w:pPr>
        <w:tabs>
          <w:tab w:val="left" w:pos="2160"/>
        </w:tabs>
        <w:spacing w:line="360" w:lineRule="auto"/>
        <w:ind w:firstLine="1440"/>
      </w:pPr>
      <w:r>
        <w:t>4.</w:t>
      </w:r>
      <w:r w:rsidR="00A44074">
        <w:tab/>
        <w:t>In order to pre</w:t>
      </w:r>
      <w:r w:rsidR="009C4E0C">
        <w:t>v</w:t>
      </w:r>
      <w:r w:rsidR="00A44074">
        <w:t xml:space="preserve">ent frozen pipes and winter damage due to cold temperatures, Complainant installed a standby generator which operates on natural gas and which turns on if there is an interruption to the electric service.  </w:t>
      </w:r>
      <w:proofErr w:type="gramStart"/>
      <w:r w:rsidR="00A44074">
        <w:t>(Tr. 7).</w:t>
      </w:r>
      <w:proofErr w:type="gramEnd"/>
      <w:r w:rsidR="00A44074">
        <w:t xml:space="preserve"> </w:t>
      </w:r>
      <w:r>
        <w:t xml:space="preserve"> </w:t>
      </w:r>
      <w:r>
        <w:tab/>
      </w:r>
    </w:p>
    <w:p w:rsidR="00A44074" w:rsidRDefault="00A44074" w:rsidP="00A44074">
      <w:pPr>
        <w:tabs>
          <w:tab w:val="left" w:pos="2160"/>
        </w:tabs>
        <w:spacing w:line="360" w:lineRule="auto"/>
        <w:ind w:firstLine="1440"/>
      </w:pPr>
    </w:p>
    <w:p w:rsidR="00A44074" w:rsidRDefault="00A44074" w:rsidP="00A44074">
      <w:pPr>
        <w:tabs>
          <w:tab w:val="left" w:pos="2160"/>
        </w:tabs>
        <w:spacing w:line="360" w:lineRule="auto"/>
        <w:ind w:firstLine="1440"/>
      </w:pPr>
      <w:r>
        <w:t xml:space="preserve">5. </w:t>
      </w:r>
      <w:r>
        <w:tab/>
        <w:t>In 2010</w:t>
      </w:r>
      <w:r w:rsidR="00D60229">
        <w:t xml:space="preserve"> or 2011</w:t>
      </w:r>
      <w:r>
        <w:t xml:space="preserve">, a power failure </w:t>
      </w:r>
      <w:r w:rsidR="00E60B23">
        <w:t xml:space="preserve">of unknown duration </w:t>
      </w:r>
      <w:r>
        <w:t xml:space="preserve">occurred at the service address </w:t>
      </w:r>
      <w:r w:rsidR="00E60B23">
        <w:t xml:space="preserve">while Complainant was out of town, </w:t>
      </w:r>
      <w:r>
        <w:t xml:space="preserve">and no damage was sustained at the service address as a result.  </w:t>
      </w:r>
      <w:proofErr w:type="gramStart"/>
      <w:r>
        <w:t>(Tr. 7</w:t>
      </w:r>
      <w:r w:rsidR="00E60B23">
        <w:t>, 11</w:t>
      </w:r>
      <w:r w:rsidR="00D60229">
        <w:t>, 41</w:t>
      </w:r>
      <w:r>
        <w:t>).</w:t>
      </w:r>
      <w:proofErr w:type="gramEnd"/>
    </w:p>
    <w:p w:rsidR="00126B45" w:rsidRDefault="00126B45" w:rsidP="00126B45">
      <w:pPr>
        <w:tabs>
          <w:tab w:val="left" w:pos="2160"/>
        </w:tabs>
        <w:spacing w:line="360" w:lineRule="auto"/>
        <w:ind w:firstLine="1440"/>
      </w:pPr>
    </w:p>
    <w:p w:rsidR="00A44074" w:rsidRDefault="00A44074" w:rsidP="00A44074">
      <w:pPr>
        <w:tabs>
          <w:tab w:val="left" w:pos="2160"/>
        </w:tabs>
        <w:spacing w:line="360" w:lineRule="auto"/>
        <w:ind w:firstLine="1440"/>
      </w:pPr>
      <w:r>
        <w:t>6</w:t>
      </w:r>
      <w:r w:rsidR="00126B45">
        <w:t>.</w:t>
      </w:r>
      <w:r w:rsidR="00126B45">
        <w:tab/>
      </w:r>
      <w:r w:rsidR="00E60B23">
        <w:t>On</w:t>
      </w:r>
      <w:r>
        <w:t xml:space="preserve"> September </w:t>
      </w:r>
      <w:r w:rsidR="00E60B23">
        <w:t xml:space="preserve">23, </w:t>
      </w:r>
      <w:r>
        <w:t xml:space="preserve">2012, a power failure </w:t>
      </w:r>
      <w:r w:rsidR="00E60B23">
        <w:t xml:space="preserve">lasting 12 to 18 hours </w:t>
      </w:r>
      <w:r>
        <w:t>occurred at the service address which caused considerable damage to the generator</w:t>
      </w:r>
      <w:r w:rsidR="004B2419">
        <w:t xml:space="preserve"> a</w:t>
      </w:r>
      <w:r>
        <w:t xml:space="preserve">nd filled the basement with smoke.  </w:t>
      </w:r>
      <w:proofErr w:type="gramStart"/>
      <w:r>
        <w:t>(Tr. 7</w:t>
      </w:r>
      <w:r w:rsidR="00E60B23">
        <w:t>, 9, 10</w:t>
      </w:r>
      <w:r w:rsidR="00D60229">
        <w:t>, 41</w:t>
      </w:r>
      <w:r>
        <w:t>).</w:t>
      </w:r>
      <w:proofErr w:type="gramEnd"/>
    </w:p>
    <w:p w:rsidR="004B2419" w:rsidRDefault="004B2419" w:rsidP="00A44074">
      <w:pPr>
        <w:tabs>
          <w:tab w:val="left" w:pos="2160"/>
        </w:tabs>
        <w:spacing w:line="360" w:lineRule="auto"/>
        <w:ind w:firstLine="1440"/>
      </w:pPr>
    </w:p>
    <w:p w:rsidR="004B2419" w:rsidRDefault="004B2419" w:rsidP="00A44074">
      <w:pPr>
        <w:tabs>
          <w:tab w:val="left" w:pos="2160"/>
        </w:tabs>
        <w:spacing w:line="360" w:lineRule="auto"/>
        <w:ind w:firstLine="1440"/>
      </w:pPr>
      <w:r>
        <w:lastRenderedPageBreak/>
        <w:t xml:space="preserve">7. </w:t>
      </w:r>
      <w:r>
        <w:tab/>
        <w:t xml:space="preserve">As a result of the power failure on September 23, 2012, the control panel, coils for all the relays, and contactors were burned out and destroyed.  </w:t>
      </w:r>
      <w:proofErr w:type="gramStart"/>
      <w:r>
        <w:t>(Tr. 21</w:t>
      </w:r>
      <w:r w:rsidR="00DC5084">
        <w:t>, 47-49; PECO Exhibit 4</w:t>
      </w:r>
      <w:r>
        <w:t>).</w:t>
      </w:r>
      <w:proofErr w:type="gramEnd"/>
    </w:p>
    <w:p w:rsidR="00126B45" w:rsidRDefault="00126B45" w:rsidP="00126B45">
      <w:pPr>
        <w:tabs>
          <w:tab w:val="left" w:pos="2160"/>
        </w:tabs>
        <w:spacing w:line="360" w:lineRule="auto"/>
        <w:ind w:firstLine="1440"/>
      </w:pPr>
    </w:p>
    <w:p w:rsidR="00126B45" w:rsidRDefault="004B2419" w:rsidP="00126B45">
      <w:pPr>
        <w:tabs>
          <w:tab w:val="left" w:pos="2160"/>
        </w:tabs>
        <w:spacing w:line="360" w:lineRule="auto"/>
        <w:ind w:firstLine="1440"/>
      </w:pPr>
      <w:r>
        <w:t>8</w:t>
      </w:r>
      <w:r w:rsidR="00CE3A66">
        <w:t xml:space="preserve">.  </w:t>
      </w:r>
      <w:r w:rsidR="00CE3A66">
        <w:tab/>
      </w:r>
      <w:r w:rsidR="00A44074">
        <w:t xml:space="preserve">Complainant incurred $2,200 </w:t>
      </w:r>
      <w:r w:rsidR="00E000D3">
        <w:t xml:space="preserve">in costs </w:t>
      </w:r>
      <w:r w:rsidR="00A44074">
        <w:t xml:space="preserve">to repair and replace property damaged in the power failure, for which </w:t>
      </w:r>
      <w:r w:rsidR="00E000D3">
        <w:t>damage</w:t>
      </w:r>
      <w:r w:rsidR="00A44074">
        <w:t xml:space="preserve"> PECO paid $500 to reimburse him.  </w:t>
      </w:r>
      <w:proofErr w:type="gramStart"/>
      <w:r w:rsidR="00A44074">
        <w:t>(Tr. 7</w:t>
      </w:r>
      <w:r w:rsidR="00744323">
        <w:t>, 60; PECO Exhibit</w:t>
      </w:r>
      <w:r w:rsidR="006C2FE9">
        <w:t> </w:t>
      </w:r>
      <w:r w:rsidR="00744323">
        <w:t>5</w:t>
      </w:r>
      <w:r w:rsidR="00A44074">
        <w:t>).</w:t>
      </w:r>
      <w:proofErr w:type="gramEnd"/>
      <w:r w:rsidR="00A44074">
        <w:t xml:space="preserve">  </w:t>
      </w:r>
    </w:p>
    <w:p w:rsidR="00126B45" w:rsidRDefault="00126B45" w:rsidP="00126B45">
      <w:pPr>
        <w:tabs>
          <w:tab w:val="left" w:pos="2160"/>
        </w:tabs>
        <w:spacing w:line="360" w:lineRule="auto"/>
        <w:ind w:firstLine="1440"/>
      </w:pPr>
    </w:p>
    <w:p w:rsidR="00126B45" w:rsidRDefault="004B2419" w:rsidP="00126B45">
      <w:pPr>
        <w:tabs>
          <w:tab w:val="left" w:pos="2160"/>
        </w:tabs>
        <w:spacing w:line="360" w:lineRule="auto"/>
        <w:ind w:firstLine="1440"/>
      </w:pPr>
      <w:r>
        <w:t>9</w:t>
      </w:r>
      <w:r w:rsidR="00CE3A66">
        <w:t>.</w:t>
      </w:r>
      <w:r w:rsidR="00CE3A66">
        <w:tab/>
        <w:t xml:space="preserve">  </w:t>
      </w:r>
      <w:r w:rsidR="00A44074">
        <w:t xml:space="preserve">On December 5, 2014, a third power failure </w:t>
      </w:r>
      <w:r w:rsidR="00E60B23">
        <w:t xml:space="preserve">occurred at the service </w:t>
      </w:r>
      <w:r w:rsidR="006C2FE9">
        <w:t>address,</w:t>
      </w:r>
      <w:r w:rsidR="00E60B23">
        <w:t xml:space="preserve"> lasting 14 hours, </w:t>
      </w:r>
      <w:r w:rsidR="00A44074">
        <w:t xml:space="preserve">and no </w:t>
      </w:r>
      <w:r w:rsidR="0047367A">
        <w:t xml:space="preserve">damage was sustained at the service address as a result.  </w:t>
      </w:r>
      <w:proofErr w:type="gramStart"/>
      <w:r w:rsidR="0047367A">
        <w:t>(Tr. 8</w:t>
      </w:r>
      <w:r w:rsidR="00E60B23">
        <w:t>, 10</w:t>
      </w:r>
      <w:r w:rsidR="00D60229">
        <w:t>, 41</w:t>
      </w:r>
      <w:r w:rsidR="00DC5084">
        <w:t>, 49-51; PECO Exhibit 6</w:t>
      </w:r>
      <w:r w:rsidR="0047367A">
        <w:t>).</w:t>
      </w:r>
      <w:proofErr w:type="gramEnd"/>
    </w:p>
    <w:p w:rsidR="00126B45" w:rsidRDefault="00126B45" w:rsidP="00126B45">
      <w:pPr>
        <w:tabs>
          <w:tab w:val="left" w:pos="2160"/>
        </w:tabs>
        <w:spacing w:line="360" w:lineRule="auto"/>
        <w:ind w:firstLine="1440"/>
      </w:pPr>
    </w:p>
    <w:p w:rsidR="00126B45" w:rsidRDefault="004B2419" w:rsidP="00126B45">
      <w:pPr>
        <w:tabs>
          <w:tab w:val="left" w:pos="2160"/>
        </w:tabs>
        <w:spacing w:line="360" w:lineRule="auto"/>
        <w:ind w:firstLine="1440"/>
      </w:pPr>
      <w:r>
        <w:t>10</w:t>
      </w:r>
      <w:r w:rsidR="00CE3A66">
        <w:t>.</w:t>
      </w:r>
      <w:r w:rsidR="00CE3A66">
        <w:tab/>
      </w:r>
      <w:r w:rsidR="0047367A">
        <w:t xml:space="preserve">All three power failures occurred at the same </w:t>
      </w:r>
      <w:r>
        <w:t xml:space="preserve">underground location </w:t>
      </w:r>
      <w:r w:rsidR="007D0068">
        <w:t>which was two residences down the street from the service address</w:t>
      </w:r>
      <w:r w:rsidR="00144BD5">
        <w:t xml:space="preserve"> and involved three electric cables: </w:t>
      </w:r>
      <w:r w:rsidR="00D60229">
        <w:t>two polarities (L1 and</w:t>
      </w:r>
      <w:r w:rsidR="00144BD5">
        <w:t xml:space="preserve"> L2</w:t>
      </w:r>
      <w:r w:rsidR="00D60229">
        <w:t>)</w:t>
      </w:r>
      <w:r w:rsidR="00144BD5">
        <w:t xml:space="preserve"> and a neutral</w:t>
      </w:r>
      <w:r w:rsidR="0047367A">
        <w:t xml:space="preserve">.  </w:t>
      </w:r>
      <w:proofErr w:type="gramStart"/>
      <w:r w:rsidR="0047367A">
        <w:t xml:space="preserve">(Tr. 8, </w:t>
      </w:r>
      <w:r>
        <w:t>11, 12</w:t>
      </w:r>
      <w:r w:rsidR="007D0068">
        <w:t>, 26</w:t>
      </w:r>
      <w:r w:rsidR="00144BD5">
        <w:t>, 34</w:t>
      </w:r>
      <w:r w:rsidR="00D60229">
        <w:t>, 40, 41</w:t>
      </w:r>
      <w:r w:rsidR="0047367A">
        <w:t>).</w:t>
      </w:r>
      <w:proofErr w:type="gramEnd"/>
      <w:r w:rsidR="0047367A">
        <w:t xml:space="preserve"> </w:t>
      </w:r>
    </w:p>
    <w:p w:rsidR="00126B45" w:rsidRDefault="00126B45" w:rsidP="00126B45">
      <w:pPr>
        <w:tabs>
          <w:tab w:val="left" w:pos="2160"/>
        </w:tabs>
        <w:spacing w:line="360" w:lineRule="auto"/>
        <w:ind w:firstLine="1440"/>
      </w:pPr>
    </w:p>
    <w:p w:rsidR="00126B45" w:rsidRDefault="004B2419" w:rsidP="00126B45">
      <w:pPr>
        <w:tabs>
          <w:tab w:val="left" w:pos="2160"/>
        </w:tabs>
        <w:spacing w:line="360" w:lineRule="auto"/>
        <w:ind w:firstLine="1440"/>
      </w:pPr>
      <w:r>
        <w:t>11</w:t>
      </w:r>
      <w:r w:rsidR="00126B45">
        <w:t xml:space="preserve">. </w:t>
      </w:r>
      <w:r w:rsidR="00126B45">
        <w:tab/>
      </w:r>
      <w:r w:rsidR="00E60B23">
        <w:t xml:space="preserve">After </w:t>
      </w:r>
      <w:r w:rsidR="00C30CE4">
        <w:t>each</w:t>
      </w:r>
      <w:r w:rsidR="00E60B23">
        <w:t xml:space="preserve"> power failure</w:t>
      </w:r>
      <w:r w:rsidR="00D60229">
        <w:t xml:space="preserve"> in 2012 and 2014</w:t>
      </w:r>
      <w:r w:rsidR="00E60B23">
        <w:t>, PECO</w:t>
      </w:r>
      <w:r w:rsidR="00D60229">
        <w:t>’s contractor</w:t>
      </w:r>
      <w:r w:rsidR="00E60B23">
        <w:t xml:space="preserve"> d</w:t>
      </w:r>
      <w:r w:rsidR="00C30CE4">
        <w:t>u</w:t>
      </w:r>
      <w:r w:rsidR="00E60B23">
        <w:t xml:space="preserve">g a hole three feet in diameter and four feet deep in the same location in order to effectuate repairs.  </w:t>
      </w:r>
      <w:proofErr w:type="gramStart"/>
      <w:r w:rsidR="00E60B23">
        <w:t>(Tr.</w:t>
      </w:r>
      <w:r w:rsidR="00C30CE4">
        <w:t> </w:t>
      </w:r>
      <w:r w:rsidR="00E60B23">
        <w:t>11, 12</w:t>
      </w:r>
      <w:r w:rsidR="00D60229">
        <w:t>, 41</w:t>
      </w:r>
      <w:r w:rsidR="00DC5084">
        <w:t>, 47; PECO Exhibit 4</w:t>
      </w:r>
      <w:r w:rsidR="00E60B23">
        <w:t>).</w:t>
      </w:r>
      <w:proofErr w:type="gramEnd"/>
    </w:p>
    <w:p w:rsidR="00126B45" w:rsidRDefault="00126B45" w:rsidP="00126B45">
      <w:pPr>
        <w:tabs>
          <w:tab w:val="left" w:pos="2160"/>
        </w:tabs>
        <w:spacing w:line="360" w:lineRule="auto"/>
        <w:ind w:firstLine="1440"/>
      </w:pPr>
    </w:p>
    <w:p w:rsidR="00126B45" w:rsidRDefault="004B2419" w:rsidP="00126B45">
      <w:pPr>
        <w:tabs>
          <w:tab w:val="left" w:pos="2160"/>
        </w:tabs>
        <w:spacing w:line="360" w:lineRule="auto"/>
        <w:ind w:firstLine="1440"/>
      </w:pPr>
      <w:r>
        <w:t>12</w:t>
      </w:r>
      <w:r w:rsidR="00126B45">
        <w:t xml:space="preserve">. </w:t>
      </w:r>
      <w:r w:rsidR="00126B45">
        <w:tab/>
      </w:r>
      <w:r w:rsidR="009E5767">
        <w:t xml:space="preserve"> </w:t>
      </w:r>
      <w:r w:rsidR="00E60B23">
        <w:t xml:space="preserve">After each power failure in September 2012 and December 2014, Complainant contacted PECO and questioned the cause of the failure, how the failure can be avoided in the future, and why did the one power failure damage the generator.  </w:t>
      </w:r>
      <w:proofErr w:type="gramStart"/>
      <w:r w:rsidR="00E60B23">
        <w:t>(Tr. 13</w:t>
      </w:r>
      <w:r w:rsidR="00CA2293">
        <w:t>, 52-54; PECO Exhibit 2</w:t>
      </w:r>
      <w:r w:rsidR="00E60B23">
        <w:t>).</w:t>
      </w:r>
      <w:proofErr w:type="gramEnd"/>
    </w:p>
    <w:p w:rsidR="00126B45" w:rsidRDefault="00126B45" w:rsidP="00126B45">
      <w:pPr>
        <w:tabs>
          <w:tab w:val="left" w:pos="2160"/>
        </w:tabs>
        <w:spacing w:line="360" w:lineRule="auto"/>
        <w:ind w:firstLine="1440"/>
      </w:pPr>
    </w:p>
    <w:p w:rsidR="00F82A4B" w:rsidRDefault="00F82A4B" w:rsidP="00F82A4B">
      <w:pPr>
        <w:tabs>
          <w:tab w:val="left" w:pos="2160"/>
        </w:tabs>
        <w:spacing w:line="360" w:lineRule="auto"/>
        <w:ind w:firstLine="1440"/>
      </w:pPr>
      <w:r>
        <w:t>1</w:t>
      </w:r>
      <w:r w:rsidR="004B2419">
        <w:t>3</w:t>
      </w:r>
      <w:r>
        <w:t xml:space="preserve">. </w:t>
      </w:r>
      <w:r>
        <w:tab/>
        <w:t xml:space="preserve"> </w:t>
      </w:r>
      <w:r w:rsidR="00DC5084">
        <w:t xml:space="preserve">On May 27, </w:t>
      </w:r>
      <w:r w:rsidR="004B2419">
        <w:t xml:space="preserve">2015, PECO’s personnel visited the service address to explain how the faults occurred and to dig up the underground lines in order to show Complainant the </w:t>
      </w:r>
      <w:r w:rsidR="00C86E94">
        <w:t>condition of the three splices PECO had done</w:t>
      </w:r>
      <w:r w:rsidR="005D50D2">
        <w:t xml:space="preserve"> previously</w:t>
      </w:r>
      <w:r w:rsidR="00C86E94">
        <w:t xml:space="preserve"> to the three wires in order to repair the three faults which occurred since 2010.  </w:t>
      </w:r>
      <w:proofErr w:type="gramStart"/>
      <w:r w:rsidR="00C86E94">
        <w:t>(Tr. 22</w:t>
      </w:r>
      <w:r w:rsidR="00144BD5">
        <w:t>, 34</w:t>
      </w:r>
      <w:r w:rsidR="00DC5084">
        <w:t>, 44, 45</w:t>
      </w:r>
      <w:r w:rsidR="00767272">
        <w:t>, 57</w:t>
      </w:r>
      <w:r w:rsidR="00C86E94">
        <w:t>).</w:t>
      </w:r>
      <w:proofErr w:type="gramEnd"/>
    </w:p>
    <w:p w:rsidR="00126B45" w:rsidRDefault="00126B45" w:rsidP="00126B45">
      <w:pPr>
        <w:tabs>
          <w:tab w:val="left" w:pos="2160"/>
        </w:tabs>
        <w:spacing w:line="360" w:lineRule="auto"/>
        <w:ind w:firstLine="1440"/>
      </w:pPr>
    </w:p>
    <w:p w:rsidR="00126B45" w:rsidRDefault="00126B45" w:rsidP="00126B45">
      <w:pPr>
        <w:pStyle w:val="BodyText"/>
        <w:jc w:val="left"/>
        <w:rPr>
          <w:sz w:val="24"/>
          <w:szCs w:val="24"/>
        </w:rPr>
      </w:pPr>
      <w:r w:rsidRPr="00B73D10">
        <w:rPr>
          <w:sz w:val="24"/>
          <w:szCs w:val="24"/>
        </w:rPr>
        <w:lastRenderedPageBreak/>
        <w:tab/>
      </w:r>
      <w:r w:rsidRPr="00B73D10">
        <w:rPr>
          <w:sz w:val="24"/>
          <w:szCs w:val="24"/>
        </w:rPr>
        <w:tab/>
      </w:r>
      <w:r>
        <w:rPr>
          <w:sz w:val="24"/>
          <w:szCs w:val="24"/>
        </w:rPr>
        <w:t>1</w:t>
      </w:r>
      <w:r w:rsidR="009405E7">
        <w:rPr>
          <w:sz w:val="24"/>
          <w:szCs w:val="24"/>
        </w:rPr>
        <w:t>4</w:t>
      </w:r>
      <w:r w:rsidRPr="00B73D10">
        <w:rPr>
          <w:sz w:val="24"/>
          <w:szCs w:val="24"/>
        </w:rPr>
        <w:t>.</w:t>
      </w:r>
      <w:r w:rsidRPr="00B73D10">
        <w:rPr>
          <w:sz w:val="24"/>
          <w:szCs w:val="24"/>
        </w:rPr>
        <w:tab/>
      </w:r>
      <w:r w:rsidR="009D0A13">
        <w:rPr>
          <w:sz w:val="24"/>
          <w:szCs w:val="24"/>
        </w:rPr>
        <w:t xml:space="preserve"> </w:t>
      </w:r>
      <w:r w:rsidR="00567324">
        <w:rPr>
          <w:sz w:val="24"/>
          <w:szCs w:val="24"/>
        </w:rPr>
        <w:t xml:space="preserve">Since December 2014, the service address has not experienced another power failure or fault.  </w:t>
      </w:r>
      <w:proofErr w:type="gramStart"/>
      <w:r w:rsidR="00567324">
        <w:rPr>
          <w:sz w:val="24"/>
          <w:szCs w:val="24"/>
        </w:rPr>
        <w:t>(Tr. 21, 22, 28</w:t>
      </w:r>
      <w:r w:rsidR="00DC5084">
        <w:rPr>
          <w:sz w:val="24"/>
          <w:szCs w:val="24"/>
        </w:rPr>
        <w:t>, 44</w:t>
      </w:r>
      <w:r w:rsidR="00567324">
        <w:rPr>
          <w:sz w:val="24"/>
          <w:szCs w:val="24"/>
        </w:rPr>
        <w:t>).</w:t>
      </w:r>
      <w:proofErr w:type="gramEnd"/>
      <w:r w:rsidR="00567324">
        <w:rPr>
          <w:sz w:val="24"/>
          <w:szCs w:val="24"/>
        </w:rPr>
        <w:t xml:space="preserve">  </w:t>
      </w:r>
    </w:p>
    <w:p w:rsidR="00126B45" w:rsidRDefault="00126B45" w:rsidP="00126B45">
      <w:pPr>
        <w:tabs>
          <w:tab w:val="left" w:pos="2160"/>
        </w:tabs>
        <w:spacing w:line="360" w:lineRule="auto"/>
        <w:ind w:firstLine="1440"/>
      </w:pPr>
    </w:p>
    <w:p w:rsidR="00126B45" w:rsidRDefault="009405E7" w:rsidP="00126B45">
      <w:pPr>
        <w:tabs>
          <w:tab w:val="left" w:pos="2160"/>
        </w:tabs>
        <w:spacing w:line="360" w:lineRule="auto"/>
        <w:ind w:firstLine="1440"/>
      </w:pPr>
      <w:r>
        <w:t>15</w:t>
      </w:r>
      <w:r w:rsidR="00126B45">
        <w:t>.</w:t>
      </w:r>
      <w:r w:rsidR="00126B45">
        <w:tab/>
      </w:r>
      <w:r w:rsidR="00D60229">
        <w:t xml:space="preserve">The service address receives electric service from the Hartman 351 circuit which </w:t>
      </w:r>
      <w:r w:rsidR="0042245B">
        <w:t>has been fairly reliable, has</w:t>
      </w:r>
      <w:r w:rsidR="00D60229">
        <w:t xml:space="preserve"> not produce</w:t>
      </w:r>
      <w:r w:rsidR="0042245B">
        <w:t>d</w:t>
      </w:r>
      <w:r w:rsidR="00D60229">
        <w:t xml:space="preserve"> a lot of interruption</w:t>
      </w:r>
      <w:r w:rsidR="0042245B">
        <w:t>s</w:t>
      </w:r>
      <w:r w:rsidR="00D60229">
        <w:t xml:space="preserve"> and </w:t>
      </w:r>
      <w:r w:rsidR="0042245B">
        <w:t>has</w:t>
      </w:r>
      <w:r w:rsidR="00D60229">
        <w:t xml:space="preserve"> not require</w:t>
      </w:r>
      <w:r w:rsidR="0042245B">
        <w:t>d</w:t>
      </w:r>
      <w:r w:rsidR="00D60229">
        <w:t xml:space="preserve"> much corrective action by PECO.  </w:t>
      </w:r>
      <w:proofErr w:type="gramStart"/>
      <w:r w:rsidR="00D60229">
        <w:t>(Tr. 39, 40).</w:t>
      </w:r>
      <w:proofErr w:type="gramEnd"/>
    </w:p>
    <w:p w:rsidR="00126B45" w:rsidRDefault="00126B45" w:rsidP="00126B45">
      <w:pPr>
        <w:tabs>
          <w:tab w:val="left" w:pos="2160"/>
        </w:tabs>
        <w:spacing w:line="360" w:lineRule="auto"/>
        <w:ind w:firstLine="1440"/>
      </w:pPr>
    </w:p>
    <w:p w:rsidR="00126B45" w:rsidRPr="00FB448C" w:rsidRDefault="00126B45" w:rsidP="00126B45">
      <w:pPr>
        <w:spacing w:line="360" w:lineRule="auto"/>
        <w:jc w:val="center"/>
      </w:pPr>
      <w:r w:rsidRPr="00FB448C">
        <w:rPr>
          <w:u w:val="single"/>
        </w:rPr>
        <w:t>DISCUSSION</w:t>
      </w:r>
    </w:p>
    <w:p w:rsidR="00126B45" w:rsidRDefault="00126B45" w:rsidP="00126B45">
      <w:pPr>
        <w:spacing w:line="360" w:lineRule="auto"/>
      </w:pPr>
    </w:p>
    <w:p w:rsidR="004A0254" w:rsidRDefault="004A0254" w:rsidP="00126B45">
      <w:pPr>
        <w:spacing w:line="360" w:lineRule="auto"/>
      </w:pPr>
      <w:r>
        <w:tab/>
      </w:r>
      <w:r>
        <w:tab/>
        <w:t xml:space="preserve">Complainant alleges a reliability, safety or quality problem with his electric service provided by </w:t>
      </w:r>
      <w:r w:rsidR="000163DD">
        <w:t>PECO</w:t>
      </w:r>
      <w:r w:rsidR="0047367A">
        <w:t xml:space="preserve"> because three power failures at the same </w:t>
      </w:r>
      <w:r w:rsidR="0042245B">
        <w:t>underground location</w:t>
      </w:r>
      <w:r w:rsidR="0047367A">
        <w:t xml:space="preserve"> have occurred over </w:t>
      </w:r>
      <w:r w:rsidR="0042245B">
        <w:t>a three or four year period</w:t>
      </w:r>
      <w:r w:rsidR="0047367A">
        <w:t>, resulting in extensive damage on one of those occasions.</w:t>
      </w:r>
      <w:r>
        <w:t xml:space="preserve">  </w:t>
      </w:r>
      <w:r w:rsidR="006C773F">
        <w:t>Complainant asserts Respondent should be responsible for the failure of its own equipment</w:t>
      </w:r>
      <w:r w:rsidR="0047367A">
        <w:t xml:space="preserve"> and should be required to permanently fix the problem, instead of responding </w:t>
      </w:r>
      <w:r w:rsidR="0047367A" w:rsidRPr="0047367A">
        <w:rPr>
          <w:i/>
        </w:rPr>
        <w:t>ad hoc</w:t>
      </w:r>
      <w:r w:rsidR="000163DD">
        <w:t xml:space="preserve">.  </w:t>
      </w:r>
      <w:r w:rsidR="0047367A">
        <w:t>Complainant is not requesting payment for the damages but he does seek a permanent fix to the problem of power failures occurring in the same location.  Complainant’s concern is that either the power failure will occur when he is out of town, resulting in extensive fire damage, or a power failure will occur while he is present at the service address, resulting in a fire which traps him and/or his wife inside.</w:t>
      </w:r>
    </w:p>
    <w:p w:rsidR="006C773F" w:rsidRPr="00B524A4" w:rsidRDefault="006C773F" w:rsidP="006C773F">
      <w:pPr>
        <w:pStyle w:val="BodyText"/>
        <w:jc w:val="left"/>
        <w:rPr>
          <w:sz w:val="24"/>
          <w:szCs w:val="24"/>
        </w:rPr>
      </w:pPr>
    </w:p>
    <w:p w:rsidR="006C773F" w:rsidRPr="008B455C" w:rsidRDefault="006C773F" w:rsidP="006C773F">
      <w:pPr>
        <w:spacing w:line="360" w:lineRule="auto"/>
      </w:pPr>
      <w:r w:rsidRPr="008B455C">
        <w:tab/>
      </w:r>
      <w:r w:rsidRPr="008B455C">
        <w:tab/>
      </w:r>
      <w:r w:rsidRPr="00B73D10">
        <w:t xml:space="preserve">Respondent </w:t>
      </w:r>
      <w:r>
        <w:t xml:space="preserve">contends it provided reasonable and adequate service in how it maintained its facilities.  </w:t>
      </w:r>
      <w:r w:rsidRPr="008B455C">
        <w:t>Respondent</w:t>
      </w:r>
      <w:r>
        <w:t xml:space="preserve"> argues its equipment was not defective and it was not negligent in how </w:t>
      </w:r>
      <w:r w:rsidR="00744323">
        <w:t>it maintained its equipment.  Respondent referred to its Tariff</w:t>
      </w:r>
      <w:r w:rsidR="00744323">
        <w:rPr>
          <w:rStyle w:val="FootnoteReference"/>
        </w:rPr>
        <w:footnoteReference w:id="1"/>
      </w:r>
      <w:r w:rsidR="00BC001C">
        <w:t xml:space="preserve"> as a limitation of how much money Complainant could receive for damage caused when the service interruptions occur.  Respondent also referred to its Tariff as authority for PECO’s assertion Mr. Barone is not guaranteed perfect electric service.  PECO avers it cannot determine exactly what causes a service interruption or when a fault might occur in the future.  PECO asserts it performed </w:t>
      </w:r>
      <w:r w:rsidR="00BC001C">
        <w:lastRenderedPageBreak/>
        <w:t>permanent fixes each time the three service interruptions occurred and went beyond the Commission’s requirements by visiting the service address, speaking with Mr. Barone at length, and digging up the underground service vault in order to show the permanent fixes to Complainant.  Finally, PECO insists it provided reasonable customer service to Complainant.</w:t>
      </w:r>
    </w:p>
    <w:p w:rsidR="006C773F" w:rsidRDefault="006C773F" w:rsidP="006C773F">
      <w:pPr>
        <w:pStyle w:val="BodyText"/>
        <w:jc w:val="left"/>
        <w:rPr>
          <w:sz w:val="24"/>
          <w:szCs w:val="24"/>
        </w:rPr>
      </w:pPr>
    </w:p>
    <w:p w:rsidR="00126B45" w:rsidRPr="00A41132" w:rsidRDefault="00126B45" w:rsidP="00126B45">
      <w:pPr>
        <w:spacing w:line="360" w:lineRule="auto"/>
        <w:rPr>
          <w:u w:val="single"/>
        </w:rPr>
      </w:pPr>
      <w:r w:rsidRPr="00A41132">
        <w:rPr>
          <w:u w:val="single"/>
        </w:rPr>
        <w:t>Burden of Proof</w:t>
      </w:r>
    </w:p>
    <w:p w:rsidR="00126B45" w:rsidRPr="00A41132" w:rsidRDefault="00126B45" w:rsidP="00126B45">
      <w:pPr>
        <w:spacing w:line="360" w:lineRule="auto"/>
      </w:pPr>
    </w:p>
    <w:p w:rsidR="004A0254" w:rsidRDefault="00126B45" w:rsidP="004A0254">
      <w:pPr>
        <w:spacing w:line="360" w:lineRule="auto"/>
        <w:ind w:firstLine="1440"/>
      </w:pPr>
      <w:r w:rsidRPr="00A41132">
        <w:t>As the party seeking affirmative relief from the Commission, Complainant bears the burden of provin</w:t>
      </w:r>
      <w:r>
        <w:t xml:space="preserve">g by substantial evidence </w:t>
      </w:r>
      <w:r w:rsidRPr="00A41132">
        <w:t xml:space="preserve">he is entitled to the requested relief.  66 </w:t>
      </w:r>
      <w:proofErr w:type="spellStart"/>
      <w:r w:rsidRPr="00A41132">
        <w:t>Pa.C.S.</w:t>
      </w:r>
      <w:r>
        <w:t>A</w:t>
      </w:r>
      <w:proofErr w:type="spellEnd"/>
      <w:r>
        <w:t>.</w:t>
      </w:r>
      <w:r w:rsidRPr="00A41132">
        <w:t xml:space="preserve"> § 332(a).  To satisfy this burden, Complainant must show </w:t>
      </w:r>
      <w:r>
        <w:t>Respondent utility</w:t>
      </w:r>
      <w:r w:rsidRPr="00A41132">
        <w:t xml:space="preserve"> is responsible or accountable for the problem described.</w:t>
      </w:r>
      <w:r>
        <w:rPr>
          <w:rStyle w:val="FootnoteReference"/>
        </w:rPr>
        <w:footnoteReference w:id="2"/>
      </w:r>
      <w:r w:rsidRPr="00A41132">
        <w:t xml:space="preserve">  </w:t>
      </w:r>
      <w:r>
        <w:t xml:space="preserve">Complainant must show this fact to be true </w:t>
      </w:r>
      <w:r w:rsidRPr="00A41132">
        <w:t xml:space="preserve">by a preponderance of the evidence, that is, by presenting evidence more convincing, by even the smallest amount, than that </w:t>
      </w:r>
      <w:r>
        <w:t xml:space="preserve">evidence </w:t>
      </w:r>
      <w:r w:rsidRPr="00A41132">
        <w:t>presented by the other party.</w:t>
      </w:r>
      <w:r>
        <w:rPr>
          <w:rStyle w:val="FootnoteReference"/>
        </w:rPr>
        <w:footnoteReference w:id="3"/>
      </w:r>
      <w:r w:rsidRPr="00A41132">
        <w:t xml:space="preserve">  Additionally, any finding of fact necessary to support the Commission’s adjudication must be based upon substantial evidence.</w:t>
      </w:r>
      <w:r>
        <w:rPr>
          <w:rStyle w:val="FootnoteReference"/>
        </w:rPr>
        <w:footnoteReference w:id="4"/>
      </w:r>
      <w:r w:rsidRPr="00A41132">
        <w:t xml:space="preserve">  </w:t>
      </w:r>
      <w:r>
        <w:t xml:space="preserve">Furthermore, more evidence </w:t>
      </w:r>
      <w:r w:rsidRPr="00A41132">
        <w:t>is required than a mere trace of evidence or a suspicion of the existence of a fact sought to be established.</w:t>
      </w:r>
      <w:r>
        <w:rPr>
          <w:rStyle w:val="FootnoteReference"/>
        </w:rPr>
        <w:footnoteReference w:id="5"/>
      </w:r>
      <w:r w:rsidRPr="00A41132">
        <w:t xml:space="preserve">  </w:t>
      </w:r>
      <w:r w:rsidR="004A0254" w:rsidRPr="004E7308">
        <w:t>As the party seeking affirmative relief from the Commission, Complainant bears the burden of proof</w:t>
      </w:r>
      <w:r w:rsidR="004A0254">
        <w:t xml:space="preserve"> by substantial evidence</w:t>
      </w:r>
      <w:r w:rsidR="004A0254" w:rsidRPr="004E7308">
        <w:t xml:space="preserve">.  66 </w:t>
      </w:r>
      <w:proofErr w:type="spellStart"/>
      <w:r w:rsidR="004A0254" w:rsidRPr="004E7308">
        <w:t>Pa.C.S.</w:t>
      </w:r>
      <w:r w:rsidR="004A0254">
        <w:t>A</w:t>
      </w:r>
      <w:proofErr w:type="spellEnd"/>
      <w:r w:rsidR="004A0254">
        <w:t>.</w:t>
      </w:r>
      <w:r w:rsidR="004A0254" w:rsidRPr="004E7308">
        <w:t xml:space="preserve"> §</w:t>
      </w:r>
      <w:r w:rsidR="0028164C">
        <w:t> </w:t>
      </w:r>
      <w:r w:rsidR="004A0254" w:rsidRPr="004E7308">
        <w:t>332(a).</w:t>
      </w:r>
      <w:r w:rsidR="004A0254">
        <w:t xml:space="preserve">  </w:t>
      </w:r>
    </w:p>
    <w:p w:rsidR="004A0254" w:rsidRDefault="004A0254" w:rsidP="007E48E1">
      <w:pPr>
        <w:pStyle w:val="BodyText"/>
        <w:jc w:val="left"/>
        <w:rPr>
          <w:sz w:val="24"/>
          <w:szCs w:val="24"/>
        </w:rPr>
      </w:pPr>
    </w:p>
    <w:p w:rsidR="00B32996" w:rsidRPr="004A0254" w:rsidRDefault="004A0254" w:rsidP="007E48E1">
      <w:pPr>
        <w:pStyle w:val="BodyText"/>
        <w:jc w:val="left"/>
        <w:rPr>
          <w:sz w:val="24"/>
          <w:szCs w:val="24"/>
          <w:u w:val="single"/>
        </w:rPr>
      </w:pPr>
      <w:r w:rsidRPr="004A0254">
        <w:rPr>
          <w:sz w:val="24"/>
          <w:szCs w:val="24"/>
          <w:u w:val="single"/>
        </w:rPr>
        <w:t>Responsibility of Public Utility Companies</w:t>
      </w:r>
    </w:p>
    <w:p w:rsidR="004A0254" w:rsidRPr="008B455C" w:rsidRDefault="004A0254" w:rsidP="007E48E1">
      <w:pPr>
        <w:pStyle w:val="BodyText"/>
        <w:jc w:val="left"/>
        <w:rPr>
          <w:sz w:val="24"/>
          <w:szCs w:val="24"/>
        </w:rPr>
      </w:pPr>
    </w:p>
    <w:p w:rsidR="007E48E1" w:rsidRDefault="007E48E1" w:rsidP="007E48E1">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w:t>
      </w:r>
      <w:r>
        <w:rPr>
          <w:sz w:val="24"/>
          <w:szCs w:val="24"/>
        </w:rPr>
        <w:lastRenderedPageBreak/>
        <w:t xml:space="preserve">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w:t>
      </w:r>
      <w:proofErr w:type="spellStart"/>
      <w:r>
        <w:rPr>
          <w:sz w:val="24"/>
          <w:szCs w:val="24"/>
        </w:rPr>
        <w:t>Pa.C.S.A</w:t>
      </w:r>
      <w:proofErr w:type="spellEnd"/>
      <w:r>
        <w:rPr>
          <w:sz w:val="24"/>
          <w:szCs w:val="24"/>
        </w:rPr>
        <w:t>. §</w:t>
      </w:r>
      <w:r w:rsidR="0093152B">
        <w:rPr>
          <w:sz w:val="24"/>
          <w:szCs w:val="24"/>
        </w:rPr>
        <w:t xml:space="preserve"> </w:t>
      </w:r>
      <w:r>
        <w:rPr>
          <w:sz w:val="24"/>
          <w:szCs w:val="24"/>
        </w:rPr>
        <w:t>1501.</w:t>
      </w:r>
    </w:p>
    <w:p w:rsidR="007E48E1" w:rsidRDefault="007E48E1" w:rsidP="007E48E1">
      <w:pPr>
        <w:pStyle w:val="BodyText"/>
        <w:ind w:firstLine="1440"/>
        <w:jc w:val="left"/>
        <w:rPr>
          <w:sz w:val="24"/>
          <w:szCs w:val="24"/>
        </w:rPr>
      </w:pPr>
    </w:p>
    <w:p w:rsidR="00E9204D" w:rsidRDefault="007E48E1" w:rsidP="00E9204D">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w:t>
      </w:r>
      <w:proofErr w:type="spellStart"/>
      <w:r w:rsidRPr="00BF51E4">
        <w:rPr>
          <w:sz w:val="24"/>
          <w:szCs w:val="24"/>
        </w:rPr>
        <w:t>Pa.C.S.</w:t>
      </w:r>
      <w:r>
        <w:rPr>
          <w:sz w:val="24"/>
          <w:szCs w:val="24"/>
        </w:rPr>
        <w:t>A</w:t>
      </w:r>
      <w:proofErr w:type="spellEnd"/>
      <w:r>
        <w:rPr>
          <w:sz w:val="24"/>
          <w:szCs w:val="24"/>
        </w:rPr>
        <w:t>.</w:t>
      </w:r>
      <w:r w:rsidRPr="00BF51E4">
        <w:rPr>
          <w:sz w:val="24"/>
          <w:szCs w:val="24"/>
        </w:rPr>
        <w:t xml:space="preserve"> §</w:t>
      </w:r>
      <w:r w:rsidR="0093152B">
        <w:rPr>
          <w:sz w:val="24"/>
          <w:szCs w:val="24"/>
        </w:rPr>
        <w:t xml:space="preserve"> </w:t>
      </w:r>
      <w:r w:rsidRPr="00BF51E4">
        <w:rPr>
          <w:sz w:val="24"/>
          <w:szCs w:val="24"/>
        </w:rPr>
        <w:t>1501</w:t>
      </w:r>
      <w:r>
        <w:rPr>
          <w:sz w:val="24"/>
          <w:szCs w:val="24"/>
        </w:rPr>
        <w:t xml:space="preserve"> and §</w:t>
      </w:r>
      <w:r w:rsidR="0093152B">
        <w:rPr>
          <w:sz w:val="24"/>
          <w:szCs w:val="24"/>
        </w:rPr>
        <w:t xml:space="preserve"> </w:t>
      </w:r>
      <w:r w:rsidRPr="00BF51E4">
        <w:rPr>
          <w:sz w:val="24"/>
          <w:szCs w:val="24"/>
        </w:rPr>
        <w:t xml:space="preserve">1502.  The Commission approves the cost of providing a utility system that is designed to provide reasonable service at reasonable rates </w:t>
      </w:r>
      <w:r w:rsidR="0093152B">
        <w:rPr>
          <w:sz w:val="24"/>
          <w:szCs w:val="24"/>
        </w:rPr>
        <w:t>–</w:t>
      </w:r>
      <w:r w:rsidRPr="00BF51E4">
        <w:rPr>
          <w:sz w:val="24"/>
          <w:szCs w:val="24"/>
        </w:rPr>
        <w:t xml:space="preserve"> not perfect service without regard to cost.  Since reasonable service may result in occasional loss of service or property damage, the Commission </w:t>
      </w:r>
      <w:r>
        <w:rPr>
          <w:sz w:val="24"/>
          <w:szCs w:val="24"/>
        </w:rPr>
        <w:t xml:space="preserve">is permitted </w:t>
      </w:r>
      <w:r w:rsidRPr="00BF51E4">
        <w:rPr>
          <w:sz w:val="24"/>
          <w:szCs w:val="24"/>
        </w:rPr>
        <w:t>to limit liability.</w:t>
      </w:r>
      <w:r w:rsidR="00A6043D">
        <w:rPr>
          <w:rStyle w:val="FootnoteReference"/>
          <w:sz w:val="24"/>
          <w:szCs w:val="24"/>
        </w:rPr>
        <w:footnoteReference w:id="6"/>
      </w:r>
      <w:r w:rsidRPr="00BF51E4">
        <w:rPr>
          <w:sz w:val="24"/>
          <w:szCs w:val="24"/>
        </w:rPr>
        <w:t xml:space="preserve">  </w:t>
      </w:r>
      <w:r>
        <w:rPr>
          <w:sz w:val="24"/>
          <w:szCs w:val="24"/>
        </w:rPr>
        <w:t xml:space="preserve">  </w:t>
      </w:r>
    </w:p>
    <w:p w:rsidR="004A0254" w:rsidRDefault="004A0254" w:rsidP="004A0254">
      <w:pPr>
        <w:pStyle w:val="BodyText"/>
        <w:jc w:val="left"/>
        <w:rPr>
          <w:sz w:val="24"/>
          <w:szCs w:val="24"/>
        </w:rPr>
      </w:pPr>
    </w:p>
    <w:p w:rsidR="004A0254" w:rsidRPr="004A0254" w:rsidRDefault="004A0254" w:rsidP="004A0254">
      <w:pPr>
        <w:pStyle w:val="BodyText"/>
        <w:jc w:val="left"/>
        <w:rPr>
          <w:sz w:val="24"/>
          <w:szCs w:val="24"/>
          <w:u w:val="single"/>
        </w:rPr>
      </w:pPr>
      <w:r w:rsidRPr="004A0254">
        <w:rPr>
          <w:sz w:val="24"/>
          <w:szCs w:val="24"/>
          <w:u w:val="single"/>
        </w:rPr>
        <w:t>Analysis</w:t>
      </w:r>
    </w:p>
    <w:p w:rsidR="004A0254" w:rsidRDefault="004A0254" w:rsidP="004A0254">
      <w:pPr>
        <w:pStyle w:val="BodyText"/>
        <w:jc w:val="left"/>
        <w:rPr>
          <w:sz w:val="24"/>
          <w:szCs w:val="24"/>
        </w:rPr>
      </w:pPr>
    </w:p>
    <w:p w:rsidR="00854D84" w:rsidRDefault="00854D84" w:rsidP="004A0254">
      <w:pPr>
        <w:pStyle w:val="BodyText"/>
        <w:jc w:val="left"/>
        <w:rPr>
          <w:sz w:val="24"/>
          <w:szCs w:val="24"/>
        </w:rPr>
      </w:pPr>
      <w:r>
        <w:rPr>
          <w:sz w:val="24"/>
          <w:szCs w:val="24"/>
        </w:rPr>
        <w:tab/>
      </w:r>
      <w:r>
        <w:rPr>
          <w:sz w:val="24"/>
          <w:szCs w:val="24"/>
        </w:rPr>
        <w:tab/>
        <w:t xml:space="preserve">Complainant did not meet his burden of proving PECO failed to provide him with reasonable and adequate customer service.  The service interruptions involve </w:t>
      </w:r>
      <w:bookmarkStart w:id="0" w:name="_GoBack"/>
      <w:bookmarkEnd w:id="0"/>
      <w:r>
        <w:rPr>
          <w:sz w:val="24"/>
          <w:szCs w:val="24"/>
        </w:rPr>
        <w:t>three times during a five-year period when the underground vault near the service address experienced faults that produced the interruptions.  After the faults occurred, PECO made necessary repairs within a reasonable time frame and those repairs were permanent fixes.  The faults that occurred involved faults occurring in the same location but involved different lines (either the primaries or neutral lines).  PECO made the repairs and no additional faults have occurred since December 2014.  The repairs were performed in a reasonably timely manner and PECO was able to resume electric service to Complainant within a reasonably adequate time.  Complainant’s concern that a service interruption might produce smoke and/or fire damage while the service address is vacant is a valid concern.  However, PECO cannot give him a guarantee that the mishap will never happen again.  Accordingly, Complainant failed to prove PECO violated the Commission</w:t>
      </w:r>
      <w:r w:rsidR="00E15D66">
        <w:rPr>
          <w:sz w:val="24"/>
          <w:szCs w:val="24"/>
        </w:rPr>
        <w:t>’</w:t>
      </w:r>
      <w:r>
        <w:rPr>
          <w:sz w:val="24"/>
          <w:szCs w:val="24"/>
        </w:rPr>
        <w:t xml:space="preserve">s requirement to provide reasonable and adequate customer service.  </w:t>
      </w:r>
    </w:p>
    <w:p w:rsidR="006C773F" w:rsidRDefault="006C773F" w:rsidP="00DC090B">
      <w:pPr>
        <w:pStyle w:val="BodyText"/>
        <w:jc w:val="center"/>
        <w:rPr>
          <w:u w:val="single"/>
        </w:rPr>
      </w:pPr>
    </w:p>
    <w:p w:rsidR="007E48E1" w:rsidRPr="008B455C" w:rsidRDefault="007E48E1" w:rsidP="00DC090B">
      <w:pPr>
        <w:pStyle w:val="BodyText"/>
        <w:jc w:val="center"/>
        <w:rPr>
          <w:u w:val="single"/>
        </w:rPr>
      </w:pPr>
      <w:r w:rsidRPr="008B455C">
        <w:rPr>
          <w:u w:val="single"/>
        </w:rPr>
        <w:lastRenderedPageBreak/>
        <w:t>CONCLUSIONS OF LAW</w:t>
      </w:r>
    </w:p>
    <w:p w:rsidR="007E48E1" w:rsidRPr="008B455C" w:rsidRDefault="007E48E1" w:rsidP="007E48E1">
      <w:pPr>
        <w:spacing w:line="360" w:lineRule="auto"/>
        <w:ind w:firstLine="1440"/>
      </w:pPr>
    </w:p>
    <w:p w:rsidR="007E48E1" w:rsidRPr="008B455C"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proofErr w:type="spellStart"/>
      <w:r w:rsidRPr="008B455C">
        <w:t>Pa.C.S.</w:t>
      </w:r>
      <w:r w:rsidR="000163DD">
        <w:t>A</w:t>
      </w:r>
      <w:proofErr w:type="spellEnd"/>
      <w:r w:rsidRPr="008B455C">
        <w:t xml:space="preserve"> §</w:t>
      </w:r>
      <w:r w:rsidR="00E561DC">
        <w:t xml:space="preserve"> </w:t>
      </w:r>
      <w:r w:rsidRPr="008B455C">
        <w:t>701.</w:t>
      </w:r>
    </w:p>
    <w:p w:rsidR="007E48E1" w:rsidRPr="008B455C" w:rsidRDefault="007E48E1" w:rsidP="007E48E1">
      <w:pPr>
        <w:tabs>
          <w:tab w:val="num" w:pos="2160"/>
        </w:tabs>
        <w:spacing w:line="360" w:lineRule="auto"/>
        <w:ind w:firstLine="1260"/>
      </w:pPr>
    </w:p>
    <w:p w:rsidR="007E48E1" w:rsidRPr="008B455C" w:rsidRDefault="007E48E1" w:rsidP="007E48E1">
      <w:pPr>
        <w:spacing w:line="360" w:lineRule="auto"/>
      </w:pPr>
      <w:r w:rsidRPr="008B455C">
        <w:tab/>
      </w:r>
      <w:r w:rsidRPr="008B455C">
        <w:tab/>
        <w:t>2.</w:t>
      </w:r>
      <w:r w:rsidRPr="008B455C">
        <w:tab/>
      </w:r>
      <w:r>
        <w:t>Complainant</w:t>
      </w:r>
      <w:r w:rsidRPr="008B455C">
        <w:t xml:space="preserve"> carr</w:t>
      </w:r>
      <w:r>
        <w:t>ies</w:t>
      </w:r>
      <w:r w:rsidRPr="008B455C">
        <w:t xml:space="preserve"> the burden of proving Respondent</w:t>
      </w:r>
      <w:r>
        <w:t xml:space="preserve"> did not provide reasonable and adequate service</w:t>
      </w:r>
      <w:r w:rsidRPr="008B455C">
        <w:t xml:space="preserve">.  66 </w:t>
      </w:r>
      <w:proofErr w:type="spellStart"/>
      <w:r w:rsidRPr="008B455C">
        <w:t>Pa.C.S.A</w:t>
      </w:r>
      <w:proofErr w:type="spellEnd"/>
      <w:r w:rsidRPr="008B455C">
        <w:t>. §</w:t>
      </w:r>
      <w:r w:rsidR="00E561DC">
        <w:t xml:space="preserve"> </w:t>
      </w:r>
      <w:r w:rsidRPr="008B455C">
        <w:t>332(a).</w:t>
      </w:r>
    </w:p>
    <w:p w:rsidR="007E48E1" w:rsidRPr="008B455C" w:rsidRDefault="007E48E1" w:rsidP="007E48E1">
      <w:pPr>
        <w:spacing w:line="360" w:lineRule="auto"/>
      </w:pPr>
    </w:p>
    <w:p w:rsidR="007E48E1" w:rsidRPr="00FA00AD" w:rsidRDefault="007E48E1" w:rsidP="007E48E1">
      <w:pPr>
        <w:pStyle w:val="FootnoteText"/>
        <w:spacing w:line="360" w:lineRule="auto"/>
        <w:rPr>
          <w:sz w:val="24"/>
          <w:szCs w:val="24"/>
        </w:rPr>
      </w:pPr>
      <w:r w:rsidRPr="008B455C">
        <w:rPr>
          <w:sz w:val="24"/>
          <w:szCs w:val="24"/>
        </w:rPr>
        <w:tab/>
      </w:r>
      <w:r w:rsidRPr="008B455C">
        <w:rPr>
          <w:sz w:val="24"/>
          <w:szCs w:val="24"/>
        </w:rPr>
        <w:tab/>
        <w:t>3.</w:t>
      </w:r>
      <w:r w:rsidRPr="008B455C">
        <w:rPr>
          <w:sz w:val="24"/>
          <w:szCs w:val="24"/>
        </w:rPr>
        <w:tab/>
      </w:r>
      <w:r>
        <w:rPr>
          <w:sz w:val="24"/>
          <w:szCs w:val="24"/>
        </w:rPr>
        <w:t>Respondent provided Complainant with reasonable and adequate customer service in its provision of electrical services</w:t>
      </w:r>
      <w:r w:rsidR="00BC001C">
        <w:rPr>
          <w:sz w:val="24"/>
          <w:szCs w:val="24"/>
        </w:rPr>
        <w:t>, and its attempt to prevent future service interruptions</w:t>
      </w:r>
      <w:r w:rsidRPr="008B455C">
        <w:rPr>
          <w:sz w:val="24"/>
          <w:szCs w:val="24"/>
        </w:rPr>
        <w:t xml:space="preserve">.  </w:t>
      </w:r>
      <w:r w:rsidR="00FA00AD" w:rsidRPr="00FA00AD">
        <w:rPr>
          <w:sz w:val="24"/>
          <w:szCs w:val="24"/>
        </w:rPr>
        <w:t xml:space="preserve">66 </w:t>
      </w:r>
      <w:proofErr w:type="spellStart"/>
      <w:r w:rsidR="00FA00AD" w:rsidRPr="00FA00AD">
        <w:rPr>
          <w:sz w:val="24"/>
          <w:szCs w:val="24"/>
        </w:rPr>
        <w:t>Pa.C.S.A</w:t>
      </w:r>
      <w:proofErr w:type="spellEnd"/>
      <w:r w:rsidR="00FA00AD" w:rsidRPr="00FA00AD">
        <w:rPr>
          <w:sz w:val="24"/>
          <w:szCs w:val="24"/>
        </w:rPr>
        <w:t xml:space="preserve">. § </w:t>
      </w:r>
      <w:r w:rsidR="00FA00AD">
        <w:rPr>
          <w:sz w:val="24"/>
          <w:szCs w:val="24"/>
        </w:rPr>
        <w:t>1501</w:t>
      </w:r>
      <w:r w:rsidR="00FA00AD" w:rsidRPr="00FA00AD">
        <w:rPr>
          <w:sz w:val="24"/>
          <w:szCs w:val="24"/>
        </w:rPr>
        <w:t>.</w:t>
      </w:r>
    </w:p>
    <w:p w:rsidR="0066793C" w:rsidRPr="008B455C" w:rsidRDefault="0066793C" w:rsidP="007E48E1">
      <w:pPr>
        <w:pStyle w:val="FootnoteText"/>
        <w:spacing w:line="360" w:lineRule="auto"/>
        <w:rPr>
          <w:sz w:val="24"/>
          <w:szCs w:val="24"/>
        </w:rPr>
      </w:pPr>
    </w:p>
    <w:p w:rsidR="007E48E1" w:rsidRDefault="007E48E1" w:rsidP="007E48E1">
      <w:pPr>
        <w:spacing w:line="360" w:lineRule="auto"/>
      </w:pPr>
      <w:r w:rsidRPr="008B455C">
        <w:tab/>
      </w:r>
      <w:r w:rsidRPr="008B455C">
        <w:tab/>
        <w:t>4.</w:t>
      </w:r>
      <w:r w:rsidRPr="008B455C">
        <w:tab/>
      </w:r>
      <w:r>
        <w:t>Complainant</w:t>
      </w:r>
      <w:r w:rsidRPr="008B455C">
        <w:t xml:space="preserve"> </w:t>
      </w:r>
      <w:r>
        <w:t>failed to meet</w:t>
      </w:r>
      <w:r w:rsidRPr="008B455C">
        <w:t xml:space="preserve"> the burden of proving Respondent</w:t>
      </w:r>
      <w:r>
        <w:t xml:space="preserve"> did not provide reasonable and adequate service.  </w:t>
      </w:r>
      <w:r w:rsidRPr="008B455C">
        <w:t xml:space="preserve">  </w:t>
      </w:r>
    </w:p>
    <w:p w:rsidR="007E48E1" w:rsidRDefault="007E48E1" w:rsidP="007E48E1">
      <w:pPr>
        <w:spacing w:line="360" w:lineRule="auto"/>
      </w:pPr>
    </w:p>
    <w:p w:rsidR="007E48E1" w:rsidRPr="008B455C" w:rsidRDefault="007E48E1" w:rsidP="007E48E1">
      <w:pPr>
        <w:spacing w:line="360" w:lineRule="auto"/>
      </w:pPr>
      <w:r>
        <w:tab/>
      </w:r>
      <w:r>
        <w:tab/>
        <w:t>5.</w:t>
      </w:r>
      <w:r>
        <w:tab/>
        <w:t xml:space="preserve">The Commission is without jurisdiction to consider negligence issues.  </w:t>
      </w:r>
      <w:proofErr w:type="spellStart"/>
      <w:r>
        <w:rPr>
          <w:u w:val="single"/>
        </w:rPr>
        <w:t>Poorbaugh</w:t>
      </w:r>
      <w:proofErr w:type="spellEnd"/>
      <w:r>
        <w:rPr>
          <w:u w:val="single"/>
        </w:rPr>
        <w:t xml:space="preserve"> v. P</w:t>
      </w:r>
      <w:r w:rsidR="005944A4">
        <w:rPr>
          <w:u w:val="single"/>
        </w:rPr>
        <w:t xml:space="preserve">a. Pub. Util. </w:t>
      </w:r>
      <w:proofErr w:type="spellStart"/>
      <w:r w:rsidR="005944A4">
        <w:rPr>
          <w:u w:val="single"/>
        </w:rPr>
        <w:t>Comm’n</w:t>
      </w:r>
      <w:proofErr w:type="spellEnd"/>
      <w:r>
        <w:t>, 666 A.2d 744 (</w:t>
      </w:r>
      <w:proofErr w:type="spellStart"/>
      <w:r>
        <w:t>Pa.Cmw</w:t>
      </w:r>
      <w:r w:rsidR="005944A4">
        <w:t>lth</w:t>
      </w:r>
      <w:proofErr w:type="spellEnd"/>
      <w:r>
        <w:t>. 1995).</w:t>
      </w:r>
      <w:r w:rsidRPr="008B455C">
        <w:tab/>
      </w:r>
    </w:p>
    <w:p w:rsidR="006A005D" w:rsidRDefault="006A005D" w:rsidP="007E48E1">
      <w:pPr>
        <w:spacing w:line="360" w:lineRule="auto"/>
        <w:jc w:val="center"/>
        <w:rPr>
          <w:u w:val="single"/>
        </w:rPr>
      </w:pPr>
    </w:p>
    <w:p w:rsidR="006A005D" w:rsidRDefault="006A005D">
      <w:pPr>
        <w:rPr>
          <w:u w:val="single"/>
        </w:rPr>
      </w:pPr>
    </w:p>
    <w:p w:rsidR="007E48E1" w:rsidRPr="008B455C" w:rsidRDefault="007E48E1" w:rsidP="007E48E1">
      <w:pPr>
        <w:spacing w:line="360" w:lineRule="auto"/>
        <w:jc w:val="center"/>
        <w:rPr>
          <w:u w:val="single"/>
        </w:rPr>
      </w:pPr>
      <w:r w:rsidRPr="008B455C">
        <w:rPr>
          <w:u w:val="single"/>
        </w:rPr>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7E48E1" w:rsidRPr="008B455C" w:rsidRDefault="007E48E1" w:rsidP="007E48E1">
      <w:pPr>
        <w:tabs>
          <w:tab w:val="num" w:pos="2160"/>
        </w:tabs>
        <w:spacing w:line="360" w:lineRule="auto"/>
        <w:rPr>
          <w:b/>
        </w:rPr>
      </w:pPr>
    </w:p>
    <w:p w:rsidR="007E48E1" w:rsidRDefault="007E48E1" w:rsidP="00DE391B">
      <w:pPr>
        <w:pStyle w:val="ListParagraph"/>
        <w:numPr>
          <w:ilvl w:val="0"/>
          <w:numId w:val="8"/>
        </w:numPr>
        <w:tabs>
          <w:tab w:val="num" w:pos="2160"/>
        </w:tabs>
        <w:spacing w:line="360" w:lineRule="auto"/>
        <w:ind w:left="0" w:firstLine="1440"/>
      </w:pPr>
      <w:r w:rsidRPr="008B455C">
        <w:t xml:space="preserve">That the complaint </w:t>
      </w:r>
      <w:r w:rsidRPr="002F64FF">
        <w:t xml:space="preserve">of </w:t>
      </w:r>
      <w:r w:rsidR="000163DD">
        <w:t>Robert Barone</w:t>
      </w:r>
      <w:r w:rsidRPr="002F64FF">
        <w:t xml:space="preserve"> versus </w:t>
      </w:r>
      <w:r w:rsidR="000163DD">
        <w:t>PECO</w:t>
      </w:r>
      <w:r w:rsidR="009A4572">
        <w:t xml:space="preserve"> </w:t>
      </w:r>
      <w:r w:rsidR="000163DD">
        <w:t>Energy</w:t>
      </w:r>
      <w:r w:rsidRPr="002F64FF">
        <w:t xml:space="preserve"> Company</w:t>
      </w:r>
      <w:r w:rsidRPr="00055267">
        <w:t xml:space="preserve"> </w:t>
      </w:r>
      <w:r w:rsidRPr="008B455C">
        <w:t xml:space="preserve">at </w:t>
      </w:r>
      <w:r>
        <w:t>Docket No. C</w:t>
      </w:r>
      <w:r w:rsidRPr="008B455C">
        <w:noBreakHyphen/>
      </w:r>
      <w:r w:rsidR="000163DD">
        <w:t>2014-2458887</w:t>
      </w:r>
      <w:r w:rsidRPr="008B455C">
        <w:t xml:space="preserve"> </w:t>
      </w:r>
      <w:r w:rsidR="007C51D9">
        <w:t xml:space="preserve">is </w:t>
      </w:r>
      <w:r w:rsidRPr="00EA1625">
        <w:t>hereby</w:t>
      </w:r>
      <w:r>
        <w:t xml:space="preserve"> denied because Complainant failed to prove </w:t>
      </w:r>
      <w:r w:rsidRPr="008B455C">
        <w:t>Respondent</w:t>
      </w:r>
      <w:r>
        <w:t xml:space="preserve"> did not provide reasonable and adequate service in its p</w:t>
      </w:r>
      <w:r w:rsidR="006C773F">
        <w:t>rovision of electrical services</w:t>
      </w:r>
      <w:r w:rsidRPr="008B455C">
        <w:t>.</w:t>
      </w:r>
    </w:p>
    <w:p w:rsidR="00DE391B" w:rsidRDefault="00DE391B" w:rsidP="00DE391B">
      <w:pPr>
        <w:spacing w:line="360" w:lineRule="auto"/>
        <w:ind w:firstLine="1440"/>
      </w:pPr>
    </w:p>
    <w:p w:rsidR="007F1493" w:rsidRDefault="007F1493" w:rsidP="00DE391B">
      <w:pPr>
        <w:spacing w:line="360" w:lineRule="auto"/>
        <w:ind w:firstLine="1440"/>
      </w:pPr>
    </w:p>
    <w:p w:rsidR="00DE391B" w:rsidRPr="00DE391B" w:rsidRDefault="00DE391B" w:rsidP="00DE391B">
      <w:pPr>
        <w:pStyle w:val="ListParagraph"/>
        <w:numPr>
          <w:ilvl w:val="0"/>
          <w:numId w:val="8"/>
        </w:numPr>
        <w:tabs>
          <w:tab w:val="left" w:pos="-1440"/>
          <w:tab w:val="left" w:pos="-720"/>
        </w:tabs>
        <w:suppressAutoHyphens/>
        <w:ind w:left="0" w:firstLine="1440"/>
        <w:rPr>
          <w:spacing w:val="-3"/>
        </w:rPr>
      </w:pPr>
      <w:r w:rsidRPr="00DE391B">
        <w:rPr>
          <w:spacing w:val="-3"/>
        </w:rPr>
        <w:lastRenderedPageBreak/>
        <w:t>That this docket be marked closed and discontinued.</w:t>
      </w:r>
    </w:p>
    <w:p w:rsidR="00DE391B" w:rsidRDefault="00DE391B" w:rsidP="00DE391B">
      <w:pPr>
        <w:tabs>
          <w:tab w:val="num" w:pos="2160"/>
        </w:tabs>
        <w:spacing w:line="360" w:lineRule="auto"/>
        <w:ind w:firstLine="1440"/>
      </w:pPr>
    </w:p>
    <w:p w:rsidR="007E48E1" w:rsidRPr="008B455C" w:rsidRDefault="007E48E1" w:rsidP="007E48E1">
      <w:pPr>
        <w:tabs>
          <w:tab w:val="num" w:pos="2160"/>
        </w:tabs>
        <w:spacing w:line="360" w:lineRule="auto"/>
      </w:pPr>
      <w:r>
        <w:tab/>
      </w:r>
    </w:p>
    <w:p w:rsidR="007E48E1" w:rsidRPr="008B455C" w:rsidRDefault="007E48E1" w:rsidP="007E48E1">
      <w:pPr>
        <w:tabs>
          <w:tab w:val="num" w:pos="2160"/>
        </w:tabs>
        <w:spacing w:line="360" w:lineRule="auto"/>
        <w:ind w:firstLine="1440"/>
      </w:pPr>
      <w:r w:rsidRPr="008B455C">
        <w:tab/>
        <w:t xml:space="preserve"> </w:t>
      </w:r>
    </w:p>
    <w:p w:rsidR="00D614B8" w:rsidRDefault="00B86EF4" w:rsidP="00D614B8">
      <w:r>
        <w:t xml:space="preserve"> </w:t>
      </w:r>
      <w:r w:rsidR="00FE5CE7">
        <w:t xml:space="preserve">Date:  </w:t>
      </w:r>
      <w:r w:rsidR="00854D84">
        <w:rPr>
          <w:u w:val="single"/>
        </w:rPr>
        <w:t>January 20, 2016</w:t>
      </w:r>
      <w:r w:rsidR="00C04092">
        <w:tab/>
      </w:r>
      <w:r w:rsidR="00C04092">
        <w:tab/>
      </w:r>
      <w:r w:rsidR="00C04092">
        <w:tab/>
      </w:r>
      <w:r w:rsidR="00C04092">
        <w:tab/>
      </w:r>
      <w:r w:rsidR="00C04092">
        <w:rPr>
          <w:u w:val="single"/>
        </w:rPr>
        <w:tab/>
      </w:r>
      <w:r w:rsidR="00C04092">
        <w:rPr>
          <w:u w:val="single"/>
        </w:rPr>
        <w:tab/>
        <w:t>/s/</w:t>
      </w:r>
      <w:r w:rsidR="00C04092">
        <w:rPr>
          <w:u w:val="single"/>
        </w:rPr>
        <w:tab/>
      </w:r>
      <w:r w:rsidR="00C04092">
        <w:rPr>
          <w:u w:val="single"/>
        </w:rPr>
        <w:tab/>
      </w:r>
      <w:r w:rsidR="00C04092">
        <w:rPr>
          <w:u w:val="single"/>
        </w:rPr>
        <w:tab/>
      </w:r>
      <w:r w:rsidR="00D614B8">
        <w:rPr>
          <w:u w:val="single"/>
        </w:rPr>
        <w:tab/>
      </w:r>
    </w:p>
    <w:p w:rsidR="007E48E1" w:rsidRPr="008B455C" w:rsidRDefault="007E48E1" w:rsidP="007E48E1">
      <w:pPr>
        <w:tabs>
          <w:tab w:val="num" w:pos="2160"/>
        </w:tabs>
      </w:pPr>
      <w:r w:rsidRPr="008B455C">
        <w:tab/>
      </w:r>
      <w:r w:rsidRPr="008B455C">
        <w:tab/>
      </w:r>
      <w:r w:rsidRPr="008B455C">
        <w:tab/>
      </w:r>
      <w:r w:rsidRPr="008B455C">
        <w:tab/>
      </w:r>
      <w:r w:rsidR="001D78CA">
        <w:tab/>
      </w:r>
      <w:r w:rsidRPr="008B455C">
        <w:t>Katrina L. Dunderdale</w:t>
      </w:r>
    </w:p>
    <w:p w:rsidR="009A4572" w:rsidRPr="008B455C" w:rsidRDefault="007E48E1" w:rsidP="00EA12C1">
      <w:pPr>
        <w:tabs>
          <w:tab w:val="num" w:pos="2160"/>
        </w:tabs>
      </w:pPr>
      <w:r w:rsidRPr="008B455C">
        <w:tab/>
      </w:r>
      <w:r w:rsidRPr="008B455C">
        <w:tab/>
      </w:r>
      <w:r w:rsidRPr="008B455C">
        <w:tab/>
      </w:r>
      <w:r w:rsidRPr="008B455C">
        <w:tab/>
      </w:r>
      <w:r w:rsidR="001D78CA">
        <w:tab/>
      </w:r>
      <w:r w:rsidR="009A4572">
        <w:t>Administrative Law Judge</w:t>
      </w:r>
    </w:p>
    <w:sectPr w:rsidR="009A4572" w:rsidRPr="008B455C" w:rsidSect="00E3691B">
      <w:footerReference w:type="even" r:id="rId9"/>
      <w:footerReference w:type="default" r:id="rId10"/>
      <w:pgSz w:w="12240" w:h="15840" w:code="1"/>
      <w:pgMar w:top="1440" w:right="1440" w:bottom="1440" w:left="1440" w:header="720" w:footer="720" w:gutter="0"/>
      <w:paperSrc w:first="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DA4" w:rsidRDefault="00B22DA4">
      <w:r>
        <w:separator/>
      </w:r>
    </w:p>
  </w:endnote>
  <w:endnote w:type="continuationSeparator" w:id="0">
    <w:p w:rsidR="00B22DA4" w:rsidRDefault="00B2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14242F" w:rsidRDefault="00E52929"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EC2803">
      <w:rPr>
        <w:rStyle w:val="PageNumber"/>
        <w:noProof/>
        <w:sz w:val="20"/>
        <w:szCs w:val="20"/>
      </w:rPr>
      <w:t>7</w:t>
    </w:r>
    <w:r w:rsidRPr="0014242F">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DA4" w:rsidRDefault="00B22DA4">
      <w:r>
        <w:separator/>
      </w:r>
    </w:p>
  </w:footnote>
  <w:footnote w:type="continuationSeparator" w:id="0">
    <w:p w:rsidR="00B22DA4" w:rsidRDefault="00B22DA4">
      <w:r>
        <w:continuationSeparator/>
      </w:r>
    </w:p>
  </w:footnote>
  <w:footnote w:id="1">
    <w:p w:rsidR="00744323" w:rsidRDefault="00744323">
      <w:pPr>
        <w:pStyle w:val="FootnoteText"/>
      </w:pPr>
      <w:r>
        <w:rPr>
          <w:rStyle w:val="FootnoteReference"/>
        </w:rPr>
        <w:footnoteRef/>
      </w:r>
      <w:r>
        <w:t xml:space="preserve"> </w:t>
      </w:r>
      <w:r>
        <w:tab/>
        <w:t xml:space="preserve">Respondent Exhibit 7 </w:t>
      </w:r>
      <w:r w:rsidR="00BC001C">
        <w:t xml:space="preserve">contains </w:t>
      </w:r>
      <w:r>
        <w:t xml:space="preserve">Section 12.1 </w:t>
      </w:r>
      <w:r w:rsidR="00BC001C">
        <w:t>of Tariff Electric Pa. P.U.C. No</w:t>
      </w:r>
      <w:r w:rsidR="00E15D66">
        <w:t>.</w:t>
      </w:r>
      <w:r w:rsidR="00BC001C">
        <w:t xml:space="preserve"> 4, which states, in part, that PECO “does not guarantee continuous, regular and uninterrupted supply of service….  In all other circumstances, the liability of the Company to customers or other persons for damages, direct or consequential, including damage to computers and other electronic equipment and appliances, … shall in no event, unless caused by the willful and/or wanton misconduct of the Company, exceed an amount in liquidated damages equivalent to the greater of $500 or two times the charges to the customer for the service affected….”</w:t>
      </w:r>
      <w:r>
        <w:t xml:space="preserve"> </w:t>
      </w:r>
    </w:p>
  </w:footnote>
  <w:footnote w:id="2">
    <w:p w:rsidR="00126B45" w:rsidRDefault="00126B45" w:rsidP="00A0397A">
      <w:pPr>
        <w:pStyle w:val="FootnoteText"/>
      </w:pPr>
      <w:r w:rsidRPr="00A41132">
        <w:rPr>
          <w:rStyle w:val="FootnoteReference"/>
        </w:rPr>
        <w:footnoteRef/>
      </w:r>
      <w:r w:rsidRPr="00A41132">
        <w:t xml:space="preserve"> </w:t>
      </w:r>
      <w:r w:rsidRPr="00A41132">
        <w:tab/>
      </w:r>
      <w:proofErr w:type="gramStart"/>
      <w:r w:rsidRPr="00A41132">
        <w:rPr>
          <w:u w:val="single"/>
        </w:rPr>
        <w:t>Patterson v. Bell Telephone Co. of Pa.</w:t>
      </w:r>
      <w:r>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p w:rsidR="00B30601" w:rsidRPr="00A41132" w:rsidRDefault="00B30601" w:rsidP="00A0397A">
      <w:pPr>
        <w:pStyle w:val="FootnoteText"/>
      </w:pPr>
    </w:p>
  </w:footnote>
  <w:footnote w:id="3">
    <w:p w:rsidR="00126B45" w:rsidRPr="00A41132" w:rsidRDefault="00126B45" w:rsidP="00A0397A">
      <w:pPr>
        <w:pStyle w:val="FootnoteText"/>
      </w:pPr>
      <w:r w:rsidRPr="00A41132">
        <w:rPr>
          <w:rStyle w:val="FootnoteReference"/>
        </w:rPr>
        <w:footnoteRef/>
      </w:r>
      <w:r w:rsidRPr="00A41132">
        <w:t xml:space="preserve"> </w:t>
      </w:r>
      <w:r w:rsidRPr="00A41132">
        <w:tab/>
      </w:r>
      <w:proofErr w:type="gramStart"/>
      <w:r w:rsidRPr="00A41132">
        <w:rPr>
          <w:u w:val="single"/>
        </w:rPr>
        <w:t xml:space="preserve">Samuel J. </w:t>
      </w:r>
      <w:proofErr w:type="spellStart"/>
      <w:r w:rsidRPr="00A41132">
        <w:rPr>
          <w:u w:val="single"/>
        </w:rPr>
        <w:t>Lansberry</w:t>
      </w:r>
      <w:proofErr w:type="spellEnd"/>
      <w:r w:rsidRPr="00A41132">
        <w:rPr>
          <w:u w:val="single"/>
        </w:rPr>
        <w:t>, Inc. v. Pa. Pub</w:t>
      </w:r>
      <w:r>
        <w:rPr>
          <w:u w:val="single"/>
        </w:rPr>
        <w:t>.</w:t>
      </w:r>
      <w:proofErr w:type="gramEnd"/>
      <w:r>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578 A.2d 600 (</w:t>
      </w:r>
      <w:proofErr w:type="spellStart"/>
      <w:r w:rsidRPr="00A41132">
        <w:t>Pa.Cmwlth</w:t>
      </w:r>
      <w:proofErr w:type="spellEnd"/>
      <w:r w:rsidRPr="00A41132">
        <w:t xml:space="preserve">. 1990), </w:t>
      </w:r>
      <w:proofErr w:type="spellStart"/>
      <w:r w:rsidRPr="00A41132">
        <w:rPr>
          <w:u w:val="single"/>
        </w:rPr>
        <w:t>alloc</w:t>
      </w:r>
      <w:proofErr w:type="spellEnd"/>
      <w:r w:rsidRPr="00A41132">
        <w:rPr>
          <w:u w:val="single"/>
        </w:rPr>
        <w:t>.</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footnote>
  <w:footnote w:id="4">
    <w:p w:rsidR="00126B45" w:rsidRPr="00A41132" w:rsidRDefault="00126B45" w:rsidP="00A0397A">
      <w:pPr>
        <w:pStyle w:val="FootnoteText"/>
      </w:pPr>
    </w:p>
    <w:p w:rsidR="00126B45" w:rsidRPr="00A41132" w:rsidRDefault="00126B45" w:rsidP="00A0397A">
      <w:pPr>
        <w:pStyle w:val="FootnoteText"/>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447 A.2d 1100 (</w:t>
      </w:r>
      <w:proofErr w:type="spellStart"/>
      <w:r w:rsidRPr="00A41132">
        <w:t>Pa.Cmwlth</w:t>
      </w:r>
      <w:proofErr w:type="spellEnd"/>
      <w:r w:rsidRPr="00A41132">
        <w:t xml:space="preserve">. 1982); </w:t>
      </w:r>
      <w:proofErr w:type="spellStart"/>
      <w:r w:rsidRPr="00A41132">
        <w:rPr>
          <w:u w:val="single"/>
        </w:rPr>
        <w:t>Edan</w:t>
      </w:r>
      <w:proofErr w:type="spellEnd"/>
      <w:r w:rsidRPr="00A41132">
        <w:rPr>
          <w:u w:val="single"/>
        </w:rPr>
        <w:t xml:space="preserve">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w:t>
      </w:r>
      <w:proofErr w:type="spellStart"/>
      <w:r w:rsidRPr="00A41132">
        <w:rPr>
          <w:u w:val="single"/>
        </w:rPr>
        <w:t>Comm</w:t>
      </w:r>
      <w:r>
        <w:rPr>
          <w:u w:val="single"/>
        </w:rPr>
        <w:t>’n</w:t>
      </w:r>
      <w:proofErr w:type="spellEnd"/>
      <w:r w:rsidRPr="00A41132">
        <w:t>, 623 A</w:t>
      </w:r>
      <w:r>
        <w:t>.2d 6 (</w:t>
      </w:r>
      <w:proofErr w:type="spellStart"/>
      <w:r>
        <w:t>Pa.Cmwlth</w:t>
      </w:r>
      <w:proofErr w:type="spellEnd"/>
      <w:r>
        <w:t xml:space="preserve">. 1993); 2 </w:t>
      </w:r>
      <w:proofErr w:type="spellStart"/>
      <w:r>
        <w:t>Pa.</w:t>
      </w:r>
      <w:r w:rsidRPr="00A41132">
        <w:t>C.S.A</w:t>
      </w:r>
      <w:proofErr w:type="spellEnd"/>
      <w:r w:rsidRPr="00A41132">
        <w:t>.</w:t>
      </w:r>
      <w:proofErr w:type="gramEnd"/>
      <w:r w:rsidRPr="00A41132">
        <w:t xml:space="preserve"> § 704.  </w:t>
      </w:r>
    </w:p>
  </w:footnote>
  <w:footnote w:id="5">
    <w:p w:rsidR="00126B45" w:rsidRPr="00A41132" w:rsidRDefault="00126B45" w:rsidP="00A0397A">
      <w:pPr>
        <w:pStyle w:val="FootnoteText"/>
      </w:pPr>
    </w:p>
    <w:p w:rsidR="00126B45" w:rsidRPr="00A41132" w:rsidRDefault="00126B45" w:rsidP="00A0397A">
      <w:pPr>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Norfolk and Western Ry. v. Pa. Pub</w:t>
      </w:r>
      <w:r>
        <w:rPr>
          <w:sz w:val="20"/>
          <w:u w:val="single"/>
        </w:rPr>
        <w:t>.</w:t>
      </w:r>
      <w:proofErr w:type="gramEnd"/>
      <w:r w:rsidR="00D925D7">
        <w:rPr>
          <w:sz w:val="20"/>
          <w:u w:val="single"/>
        </w:rPr>
        <w:t xml:space="preserve"> </w:t>
      </w:r>
      <w:proofErr w:type="gramStart"/>
      <w:r w:rsidRPr="00A41132">
        <w:rPr>
          <w:sz w:val="20"/>
          <w:u w:val="single"/>
        </w:rPr>
        <w:t>Util</w:t>
      </w:r>
      <w:r>
        <w:rPr>
          <w:sz w:val="20"/>
          <w:u w:val="single"/>
        </w:rPr>
        <w:t xml:space="preserve">. </w:t>
      </w:r>
      <w:proofErr w:type="spellStart"/>
      <w:r w:rsidRPr="00A41132">
        <w:rPr>
          <w:sz w:val="20"/>
          <w:u w:val="single"/>
        </w:rPr>
        <w:t>Comm</w:t>
      </w:r>
      <w:r>
        <w:rPr>
          <w:sz w:val="20"/>
          <w:u w:val="single"/>
        </w:rPr>
        <w:t>’n</w:t>
      </w:r>
      <w:proofErr w:type="spellEnd"/>
      <w:r w:rsidRPr="00A41132">
        <w:rPr>
          <w:sz w:val="20"/>
        </w:rPr>
        <w:t xml:space="preserve">, 413 A.2d 1037 (Pa. 1980); </w:t>
      </w:r>
      <w:r w:rsidRPr="00A41132">
        <w:rPr>
          <w:sz w:val="20"/>
          <w:u w:val="single"/>
        </w:rPr>
        <w:t>Erie Resistor Corp.</w:t>
      </w:r>
      <w:r>
        <w:rPr>
          <w:sz w:val="20"/>
          <w:u w:val="single"/>
        </w:rPr>
        <w:t> </w:t>
      </w:r>
      <w:r w:rsidRPr="00A41132">
        <w:rPr>
          <w:sz w:val="20"/>
          <w:u w:val="single"/>
        </w:rPr>
        <w:t>v. Unemployment Compensation Bd. of Review</w:t>
      </w:r>
      <w:r w:rsidRPr="00A41132">
        <w:rPr>
          <w:sz w:val="20"/>
        </w:rPr>
        <w:t xml:space="preserve">, 166 A.2d 96 (Pa.Super. 1960); </w:t>
      </w:r>
      <w:r w:rsidRPr="00A41132">
        <w:rPr>
          <w:sz w:val="20"/>
          <w:u w:val="single"/>
        </w:rPr>
        <w:t>Murphy v. Dep’t.</w:t>
      </w:r>
      <w:proofErr w:type="gramEnd"/>
      <w:r w:rsidRPr="00A41132">
        <w:rPr>
          <w:sz w:val="20"/>
          <w:u w:val="single"/>
        </w:rPr>
        <w:t xml:space="preserve"> </w:t>
      </w:r>
      <w:proofErr w:type="gramStart"/>
      <w:r w:rsidRPr="00A41132">
        <w:rPr>
          <w:sz w:val="20"/>
          <w:u w:val="single"/>
        </w:rPr>
        <w:t>of</w:t>
      </w:r>
      <w:proofErr w:type="gramEnd"/>
      <w:r w:rsidRPr="00A41132">
        <w:rPr>
          <w:sz w:val="20"/>
          <w:u w:val="single"/>
        </w:rPr>
        <w:t xml:space="preserve"> Public Welfare, White Haven Center</w:t>
      </w:r>
      <w:r w:rsidRPr="00A41132">
        <w:rPr>
          <w:sz w:val="20"/>
        </w:rPr>
        <w:t>, 480 A.2d 382 (</w:t>
      </w:r>
      <w:proofErr w:type="spellStart"/>
      <w:r w:rsidRPr="00A41132">
        <w:rPr>
          <w:sz w:val="20"/>
        </w:rPr>
        <w:t>Pa.Cmwlth</w:t>
      </w:r>
      <w:proofErr w:type="spellEnd"/>
      <w:r w:rsidRPr="00A41132">
        <w:rPr>
          <w:sz w:val="20"/>
        </w:rPr>
        <w:t>. 1984).</w:t>
      </w:r>
    </w:p>
    <w:p w:rsidR="00126B45" w:rsidRPr="00A41132" w:rsidRDefault="00126B45" w:rsidP="00126B45">
      <w:pPr>
        <w:pStyle w:val="FootnoteText"/>
        <w:ind w:firstLine="720"/>
      </w:pPr>
    </w:p>
  </w:footnote>
  <w:footnote w:id="6">
    <w:p w:rsidR="00A6043D" w:rsidRDefault="00A6043D" w:rsidP="00F426E8">
      <w:pPr>
        <w:pStyle w:val="FootnoteText"/>
      </w:pPr>
      <w:r>
        <w:rPr>
          <w:rStyle w:val="FootnoteReference"/>
        </w:rPr>
        <w:footnoteRef/>
      </w:r>
      <w:r w:rsidR="00C058F6">
        <w:tab/>
      </w:r>
      <w:r w:rsidRPr="00A6043D">
        <w:t xml:space="preserve">See </w:t>
      </w:r>
      <w:proofErr w:type="spellStart"/>
      <w:r w:rsidRPr="00A6043D">
        <w:rPr>
          <w:u w:val="single"/>
        </w:rPr>
        <w:t>DeFranscesco</w:t>
      </w:r>
      <w:proofErr w:type="spellEnd"/>
      <w:r w:rsidRPr="00A6043D">
        <w:rPr>
          <w:u w:val="single"/>
        </w:rPr>
        <w:t xml:space="preserve"> v. </w:t>
      </w:r>
      <w:r w:rsidR="000163DD">
        <w:rPr>
          <w:u w:val="single"/>
        </w:rPr>
        <w:t>West Penn</w:t>
      </w:r>
      <w:r w:rsidRPr="00A6043D">
        <w:rPr>
          <w:u w:val="single"/>
        </w:rPr>
        <w:t xml:space="preserve"> Power Company</w:t>
      </w:r>
      <w:r w:rsidRPr="00A6043D">
        <w:t xml:space="preserve">, 329 Pa. Superior Ct. 508, </w:t>
      </w:r>
      <w:proofErr w:type="gramStart"/>
      <w:r w:rsidRPr="00A6043D">
        <w:t>478 A.2d 1295</w:t>
      </w:r>
      <w:proofErr w:type="gramEnd"/>
      <w:r w:rsidRPr="00A6043D">
        <w:t xml:space="preserve"> (1984).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4579C3"/>
    <w:multiLevelType w:val="hybridMultilevel"/>
    <w:tmpl w:val="E7D8CD02"/>
    <w:lvl w:ilvl="0" w:tplc="78AE25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4CAB"/>
    <w:rsid w:val="00006EE3"/>
    <w:rsid w:val="00010C1B"/>
    <w:rsid w:val="00014CD9"/>
    <w:rsid w:val="00015B93"/>
    <w:rsid w:val="00015E77"/>
    <w:rsid w:val="000163DD"/>
    <w:rsid w:val="000218E1"/>
    <w:rsid w:val="0002562B"/>
    <w:rsid w:val="0002677E"/>
    <w:rsid w:val="00027DAB"/>
    <w:rsid w:val="00030A0C"/>
    <w:rsid w:val="00032447"/>
    <w:rsid w:val="0003254A"/>
    <w:rsid w:val="0003345F"/>
    <w:rsid w:val="00034688"/>
    <w:rsid w:val="00034D3C"/>
    <w:rsid w:val="0003750C"/>
    <w:rsid w:val="00042684"/>
    <w:rsid w:val="00051FFD"/>
    <w:rsid w:val="000539E5"/>
    <w:rsid w:val="00055267"/>
    <w:rsid w:val="00060974"/>
    <w:rsid w:val="00065B67"/>
    <w:rsid w:val="00066099"/>
    <w:rsid w:val="00067DC6"/>
    <w:rsid w:val="000755D5"/>
    <w:rsid w:val="00081933"/>
    <w:rsid w:val="0008418F"/>
    <w:rsid w:val="000841E3"/>
    <w:rsid w:val="00085A77"/>
    <w:rsid w:val="00091995"/>
    <w:rsid w:val="000919E3"/>
    <w:rsid w:val="000920B0"/>
    <w:rsid w:val="000943A5"/>
    <w:rsid w:val="00094EC4"/>
    <w:rsid w:val="00095A48"/>
    <w:rsid w:val="000A7A4C"/>
    <w:rsid w:val="000A7A7E"/>
    <w:rsid w:val="000A7DE2"/>
    <w:rsid w:val="000B0443"/>
    <w:rsid w:val="000B1450"/>
    <w:rsid w:val="000B4044"/>
    <w:rsid w:val="000B575F"/>
    <w:rsid w:val="000B7C98"/>
    <w:rsid w:val="000C22D0"/>
    <w:rsid w:val="000C39FB"/>
    <w:rsid w:val="000C639E"/>
    <w:rsid w:val="000C6633"/>
    <w:rsid w:val="000C736C"/>
    <w:rsid w:val="000D4E83"/>
    <w:rsid w:val="000D6424"/>
    <w:rsid w:val="000D7D68"/>
    <w:rsid w:val="000E0DDA"/>
    <w:rsid w:val="000E33AA"/>
    <w:rsid w:val="000E4C15"/>
    <w:rsid w:val="000E4D29"/>
    <w:rsid w:val="000F0F3C"/>
    <w:rsid w:val="000F45A3"/>
    <w:rsid w:val="000F4D6B"/>
    <w:rsid w:val="0010040A"/>
    <w:rsid w:val="00101AB8"/>
    <w:rsid w:val="00103B9D"/>
    <w:rsid w:val="0010437D"/>
    <w:rsid w:val="00106746"/>
    <w:rsid w:val="001130C8"/>
    <w:rsid w:val="001140BC"/>
    <w:rsid w:val="001161AA"/>
    <w:rsid w:val="00116E78"/>
    <w:rsid w:val="0011788E"/>
    <w:rsid w:val="0012001F"/>
    <w:rsid w:val="0012141F"/>
    <w:rsid w:val="00121AE5"/>
    <w:rsid w:val="0012478B"/>
    <w:rsid w:val="00125CCD"/>
    <w:rsid w:val="00126B45"/>
    <w:rsid w:val="00130E27"/>
    <w:rsid w:val="001339E0"/>
    <w:rsid w:val="00133A47"/>
    <w:rsid w:val="00133B41"/>
    <w:rsid w:val="001354D6"/>
    <w:rsid w:val="00137307"/>
    <w:rsid w:val="001375AA"/>
    <w:rsid w:val="001406D8"/>
    <w:rsid w:val="00142A80"/>
    <w:rsid w:val="00143FA7"/>
    <w:rsid w:val="00144748"/>
    <w:rsid w:val="00144BD5"/>
    <w:rsid w:val="00144BDA"/>
    <w:rsid w:val="00145EBF"/>
    <w:rsid w:val="001509CF"/>
    <w:rsid w:val="001513EC"/>
    <w:rsid w:val="00152853"/>
    <w:rsid w:val="00153C2A"/>
    <w:rsid w:val="00153E19"/>
    <w:rsid w:val="00156938"/>
    <w:rsid w:val="00156A90"/>
    <w:rsid w:val="0016133D"/>
    <w:rsid w:val="00165400"/>
    <w:rsid w:val="00165B98"/>
    <w:rsid w:val="00166F22"/>
    <w:rsid w:val="00167534"/>
    <w:rsid w:val="0017741E"/>
    <w:rsid w:val="00182EDA"/>
    <w:rsid w:val="0018379D"/>
    <w:rsid w:val="00183AE1"/>
    <w:rsid w:val="00185EF9"/>
    <w:rsid w:val="00190788"/>
    <w:rsid w:val="00195561"/>
    <w:rsid w:val="00196E40"/>
    <w:rsid w:val="001B283D"/>
    <w:rsid w:val="001B3B0D"/>
    <w:rsid w:val="001B436F"/>
    <w:rsid w:val="001B5AF2"/>
    <w:rsid w:val="001C0836"/>
    <w:rsid w:val="001C3008"/>
    <w:rsid w:val="001C5F76"/>
    <w:rsid w:val="001D1195"/>
    <w:rsid w:val="001D1DC6"/>
    <w:rsid w:val="001D5E87"/>
    <w:rsid w:val="001D67F3"/>
    <w:rsid w:val="001D6F49"/>
    <w:rsid w:val="001D7070"/>
    <w:rsid w:val="001D78CA"/>
    <w:rsid w:val="001D79FF"/>
    <w:rsid w:val="001E2C24"/>
    <w:rsid w:val="001E2CD6"/>
    <w:rsid w:val="001F030C"/>
    <w:rsid w:val="001F2B65"/>
    <w:rsid w:val="001F758E"/>
    <w:rsid w:val="00200D48"/>
    <w:rsid w:val="00200ED0"/>
    <w:rsid w:val="00203C61"/>
    <w:rsid w:val="00206B04"/>
    <w:rsid w:val="002075E6"/>
    <w:rsid w:val="00210334"/>
    <w:rsid w:val="00210460"/>
    <w:rsid w:val="00211AA8"/>
    <w:rsid w:val="002132C0"/>
    <w:rsid w:val="00214A19"/>
    <w:rsid w:val="002154B5"/>
    <w:rsid w:val="002165A2"/>
    <w:rsid w:val="00216A05"/>
    <w:rsid w:val="00230C81"/>
    <w:rsid w:val="0023169E"/>
    <w:rsid w:val="00234C5A"/>
    <w:rsid w:val="002432E9"/>
    <w:rsid w:val="00244AD1"/>
    <w:rsid w:val="002520A5"/>
    <w:rsid w:val="00254BFC"/>
    <w:rsid w:val="00254FD1"/>
    <w:rsid w:val="0025557F"/>
    <w:rsid w:val="00263EFE"/>
    <w:rsid w:val="00264C6D"/>
    <w:rsid w:val="00265108"/>
    <w:rsid w:val="0026526F"/>
    <w:rsid w:val="002659FC"/>
    <w:rsid w:val="00266DD0"/>
    <w:rsid w:val="00271E72"/>
    <w:rsid w:val="00271FF1"/>
    <w:rsid w:val="00280380"/>
    <w:rsid w:val="00280AF0"/>
    <w:rsid w:val="0028164C"/>
    <w:rsid w:val="00283A3F"/>
    <w:rsid w:val="00284FA9"/>
    <w:rsid w:val="00286074"/>
    <w:rsid w:val="002867AD"/>
    <w:rsid w:val="002904BB"/>
    <w:rsid w:val="00291917"/>
    <w:rsid w:val="00293E92"/>
    <w:rsid w:val="00295403"/>
    <w:rsid w:val="002A625C"/>
    <w:rsid w:val="002A78AC"/>
    <w:rsid w:val="002B433A"/>
    <w:rsid w:val="002B4996"/>
    <w:rsid w:val="002B4DFA"/>
    <w:rsid w:val="002C703F"/>
    <w:rsid w:val="002C7AB0"/>
    <w:rsid w:val="002D04F8"/>
    <w:rsid w:val="002D29E7"/>
    <w:rsid w:val="002E2B6E"/>
    <w:rsid w:val="002E597B"/>
    <w:rsid w:val="002E5A74"/>
    <w:rsid w:val="002E6B15"/>
    <w:rsid w:val="002F15F6"/>
    <w:rsid w:val="002F1743"/>
    <w:rsid w:val="002F4F6F"/>
    <w:rsid w:val="002F6CA8"/>
    <w:rsid w:val="002F6DFB"/>
    <w:rsid w:val="002F7ADF"/>
    <w:rsid w:val="00302C62"/>
    <w:rsid w:val="00302D41"/>
    <w:rsid w:val="003067FE"/>
    <w:rsid w:val="00307FF8"/>
    <w:rsid w:val="00311588"/>
    <w:rsid w:val="003121E7"/>
    <w:rsid w:val="0031508A"/>
    <w:rsid w:val="00324C80"/>
    <w:rsid w:val="00324D48"/>
    <w:rsid w:val="00326059"/>
    <w:rsid w:val="00330B01"/>
    <w:rsid w:val="0033183D"/>
    <w:rsid w:val="00334639"/>
    <w:rsid w:val="00334D84"/>
    <w:rsid w:val="0034231B"/>
    <w:rsid w:val="00342B49"/>
    <w:rsid w:val="0034410D"/>
    <w:rsid w:val="0034692A"/>
    <w:rsid w:val="003540A7"/>
    <w:rsid w:val="0035629D"/>
    <w:rsid w:val="003603C7"/>
    <w:rsid w:val="00360442"/>
    <w:rsid w:val="00360EB9"/>
    <w:rsid w:val="00361178"/>
    <w:rsid w:val="00361EAC"/>
    <w:rsid w:val="003649AC"/>
    <w:rsid w:val="00365F7C"/>
    <w:rsid w:val="00370128"/>
    <w:rsid w:val="0037050A"/>
    <w:rsid w:val="00373245"/>
    <w:rsid w:val="00373E26"/>
    <w:rsid w:val="00373ECC"/>
    <w:rsid w:val="0037694C"/>
    <w:rsid w:val="00380F4B"/>
    <w:rsid w:val="00383822"/>
    <w:rsid w:val="00386C1C"/>
    <w:rsid w:val="00387E50"/>
    <w:rsid w:val="003908EE"/>
    <w:rsid w:val="00391096"/>
    <w:rsid w:val="003937E3"/>
    <w:rsid w:val="00394A82"/>
    <w:rsid w:val="00396353"/>
    <w:rsid w:val="00396518"/>
    <w:rsid w:val="003A36A1"/>
    <w:rsid w:val="003B045F"/>
    <w:rsid w:val="003B3294"/>
    <w:rsid w:val="003B3FB0"/>
    <w:rsid w:val="003B4F65"/>
    <w:rsid w:val="003B7783"/>
    <w:rsid w:val="003C1053"/>
    <w:rsid w:val="003C13E7"/>
    <w:rsid w:val="003C1F6E"/>
    <w:rsid w:val="003C2777"/>
    <w:rsid w:val="003C417D"/>
    <w:rsid w:val="003C4E1D"/>
    <w:rsid w:val="003C7776"/>
    <w:rsid w:val="003D0DEF"/>
    <w:rsid w:val="003D374F"/>
    <w:rsid w:val="003D500A"/>
    <w:rsid w:val="003D5173"/>
    <w:rsid w:val="003D67D8"/>
    <w:rsid w:val="003E1EE5"/>
    <w:rsid w:val="003E2BB0"/>
    <w:rsid w:val="003E2D32"/>
    <w:rsid w:val="003E5E0F"/>
    <w:rsid w:val="003E60E7"/>
    <w:rsid w:val="003F1BC1"/>
    <w:rsid w:val="003F56DB"/>
    <w:rsid w:val="003F64C7"/>
    <w:rsid w:val="003F6E27"/>
    <w:rsid w:val="0040104B"/>
    <w:rsid w:val="0040125C"/>
    <w:rsid w:val="004035B1"/>
    <w:rsid w:val="00411416"/>
    <w:rsid w:val="0041637D"/>
    <w:rsid w:val="00421585"/>
    <w:rsid w:val="004219BD"/>
    <w:rsid w:val="0042245B"/>
    <w:rsid w:val="00424E72"/>
    <w:rsid w:val="00430437"/>
    <w:rsid w:val="00431883"/>
    <w:rsid w:val="004322BD"/>
    <w:rsid w:val="00440B6B"/>
    <w:rsid w:val="004455C4"/>
    <w:rsid w:val="00446EE8"/>
    <w:rsid w:val="004564BF"/>
    <w:rsid w:val="00462770"/>
    <w:rsid w:val="0046290B"/>
    <w:rsid w:val="004635FD"/>
    <w:rsid w:val="00465878"/>
    <w:rsid w:val="0046652F"/>
    <w:rsid w:val="00470AFC"/>
    <w:rsid w:val="00472A21"/>
    <w:rsid w:val="0047367A"/>
    <w:rsid w:val="00474C53"/>
    <w:rsid w:val="0047665F"/>
    <w:rsid w:val="00477B44"/>
    <w:rsid w:val="004819B5"/>
    <w:rsid w:val="00483A4C"/>
    <w:rsid w:val="004859D0"/>
    <w:rsid w:val="00487AE0"/>
    <w:rsid w:val="00493BBB"/>
    <w:rsid w:val="004970DA"/>
    <w:rsid w:val="004A0254"/>
    <w:rsid w:val="004A26B6"/>
    <w:rsid w:val="004A47A6"/>
    <w:rsid w:val="004A6673"/>
    <w:rsid w:val="004A7777"/>
    <w:rsid w:val="004B2419"/>
    <w:rsid w:val="004B34C6"/>
    <w:rsid w:val="004B3FBF"/>
    <w:rsid w:val="004B422F"/>
    <w:rsid w:val="004B4B53"/>
    <w:rsid w:val="004B6A2B"/>
    <w:rsid w:val="004B7FA4"/>
    <w:rsid w:val="004C32C0"/>
    <w:rsid w:val="004C5FA9"/>
    <w:rsid w:val="004C6202"/>
    <w:rsid w:val="004D0CBE"/>
    <w:rsid w:val="004D2634"/>
    <w:rsid w:val="004D3826"/>
    <w:rsid w:val="004D3A14"/>
    <w:rsid w:val="004D454A"/>
    <w:rsid w:val="004D477D"/>
    <w:rsid w:val="004D75D5"/>
    <w:rsid w:val="004E01BD"/>
    <w:rsid w:val="004E3B20"/>
    <w:rsid w:val="004E4252"/>
    <w:rsid w:val="004E605F"/>
    <w:rsid w:val="004E7B43"/>
    <w:rsid w:val="0050181E"/>
    <w:rsid w:val="0050497A"/>
    <w:rsid w:val="00504A1A"/>
    <w:rsid w:val="00507ECF"/>
    <w:rsid w:val="005102C0"/>
    <w:rsid w:val="00515DD0"/>
    <w:rsid w:val="00517217"/>
    <w:rsid w:val="00522985"/>
    <w:rsid w:val="00531E4E"/>
    <w:rsid w:val="00537506"/>
    <w:rsid w:val="005375AF"/>
    <w:rsid w:val="0053772F"/>
    <w:rsid w:val="00540E3A"/>
    <w:rsid w:val="00543B7C"/>
    <w:rsid w:val="00543F98"/>
    <w:rsid w:val="005447FE"/>
    <w:rsid w:val="00544F7E"/>
    <w:rsid w:val="00545043"/>
    <w:rsid w:val="005451B0"/>
    <w:rsid w:val="00547948"/>
    <w:rsid w:val="00550F87"/>
    <w:rsid w:val="00552C73"/>
    <w:rsid w:val="00553E91"/>
    <w:rsid w:val="00557326"/>
    <w:rsid w:val="00560A07"/>
    <w:rsid w:val="00563142"/>
    <w:rsid w:val="00563254"/>
    <w:rsid w:val="005637DF"/>
    <w:rsid w:val="00563FC3"/>
    <w:rsid w:val="005647C7"/>
    <w:rsid w:val="00567324"/>
    <w:rsid w:val="005763CB"/>
    <w:rsid w:val="00577567"/>
    <w:rsid w:val="00580981"/>
    <w:rsid w:val="00580D5E"/>
    <w:rsid w:val="0058201B"/>
    <w:rsid w:val="005900D4"/>
    <w:rsid w:val="0059029B"/>
    <w:rsid w:val="00592DDB"/>
    <w:rsid w:val="005944A4"/>
    <w:rsid w:val="00595806"/>
    <w:rsid w:val="00596262"/>
    <w:rsid w:val="0059631D"/>
    <w:rsid w:val="005A3E08"/>
    <w:rsid w:val="005A77D0"/>
    <w:rsid w:val="005B64BD"/>
    <w:rsid w:val="005C050D"/>
    <w:rsid w:val="005C6D4A"/>
    <w:rsid w:val="005D03F4"/>
    <w:rsid w:val="005D4345"/>
    <w:rsid w:val="005D50D2"/>
    <w:rsid w:val="005E1CC5"/>
    <w:rsid w:val="005E2935"/>
    <w:rsid w:val="005E636D"/>
    <w:rsid w:val="005E6DB5"/>
    <w:rsid w:val="005F1E75"/>
    <w:rsid w:val="005F4120"/>
    <w:rsid w:val="00600AE4"/>
    <w:rsid w:val="00600EE9"/>
    <w:rsid w:val="0060359F"/>
    <w:rsid w:val="00607B04"/>
    <w:rsid w:val="00613AE9"/>
    <w:rsid w:val="00616E73"/>
    <w:rsid w:val="00616FE9"/>
    <w:rsid w:val="00617C29"/>
    <w:rsid w:val="006220FF"/>
    <w:rsid w:val="006228C5"/>
    <w:rsid w:val="00623177"/>
    <w:rsid w:val="00632562"/>
    <w:rsid w:val="00633976"/>
    <w:rsid w:val="00633E89"/>
    <w:rsid w:val="0063487E"/>
    <w:rsid w:val="006354D3"/>
    <w:rsid w:val="00636459"/>
    <w:rsid w:val="00641052"/>
    <w:rsid w:val="00644349"/>
    <w:rsid w:val="00645FE8"/>
    <w:rsid w:val="0065019D"/>
    <w:rsid w:val="00650EC0"/>
    <w:rsid w:val="006515DB"/>
    <w:rsid w:val="00651AB0"/>
    <w:rsid w:val="0065346D"/>
    <w:rsid w:val="00653FDE"/>
    <w:rsid w:val="006552C8"/>
    <w:rsid w:val="00655B18"/>
    <w:rsid w:val="0066212D"/>
    <w:rsid w:val="00664032"/>
    <w:rsid w:val="006663CA"/>
    <w:rsid w:val="0066791C"/>
    <w:rsid w:val="0066793C"/>
    <w:rsid w:val="00674B93"/>
    <w:rsid w:val="006771E3"/>
    <w:rsid w:val="006772A2"/>
    <w:rsid w:val="00680930"/>
    <w:rsid w:val="00682B76"/>
    <w:rsid w:val="006869B5"/>
    <w:rsid w:val="00687C7C"/>
    <w:rsid w:val="00691FDA"/>
    <w:rsid w:val="00692E3E"/>
    <w:rsid w:val="00694153"/>
    <w:rsid w:val="0069460C"/>
    <w:rsid w:val="006954BC"/>
    <w:rsid w:val="006A005D"/>
    <w:rsid w:val="006A0714"/>
    <w:rsid w:val="006A2C44"/>
    <w:rsid w:val="006A7864"/>
    <w:rsid w:val="006B0612"/>
    <w:rsid w:val="006B2DFE"/>
    <w:rsid w:val="006B50E8"/>
    <w:rsid w:val="006B629F"/>
    <w:rsid w:val="006B7DE7"/>
    <w:rsid w:val="006C13BF"/>
    <w:rsid w:val="006C2FE9"/>
    <w:rsid w:val="006C773F"/>
    <w:rsid w:val="006C7D49"/>
    <w:rsid w:val="006D2CFC"/>
    <w:rsid w:val="006D2E25"/>
    <w:rsid w:val="006D2F3E"/>
    <w:rsid w:val="006D3697"/>
    <w:rsid w:val="006D384B"/>
    <w:rsid w:val="006D38B1"/>
    <w:rsid w:val="006D3C17"/>
    <w:rsid w:val="006D68C8"/>
    <w:rsid w:val="006E0E78"/>
    <w:rsid w:val="006E12A1"/>
    <w:rsid w:val="006E175B"/>
    <w:rsid w:val="006E59A8"/>
    <w:rsid w:val="006F0249"/>
    <w:rsid w:val="006F10EA"/>
    <w:rsid w:val="006F1404"/>
    <w:rsid w:val="006F2B77"/>
    <w:rsid w:val="006F324E"/>
    <w:rsid w:val="006F5C19"/>
    <w:rsid w:val="006F5FE7"/>
    <w:rsid w:val="006F60DA"/>
    <w:rsid w:val="006F6520"/>
    <w:rsid w:val="006F7393"/>
    <w:rsid w:val="00700704"/>
    <w:rsid w:val="00700E85"/>
    <w:rsid w:val="00701501"/>
    <w:rsid w:val="00710B17"/>
    <w:rsid w:val="00710CE3"/>
    <w:rsid w:val="00710DBD"/>
    <w:rsid w:val="0071171E"/>
    <w:rsid w:val="007121EF"/>
    <w:rsid w:val="0071586C"/>
    <w:rsid w:val="007172D2"/>
    <w:rsid w:val="00720A51"/>
    <w:rsid w:val="00720C39"/>
    <w:rsid w:val="007272A7"/>
    <w:rsid w:val="00732CDD"/>
    <w:rsid w:val="00736DBA"/>
    <w:rsid w:val="00740BC6"/>
    <w:rsid w:val="00744323"/>
    <w:rsid w:val="007454F2"/>
    <w:rsid w:val="007516D0"/>
    <w:rsid w:val="00751CE0"/>
    <w:rsid w:val="007535C9"/>
    <w:rsid w:val="00753A3F"/>
    <w:rsid w:val="0075421A"/>
    <w:rsid w:val="00754FD3"/>
    <w:rsid w:val="00757A01"/>
    <w:rsid w:val="00762CDE"/>
    <w:rsid w:val="00766B36"/>
    <w:rsid w:val="00767272"/>
    <w:rsid w:val="0077246E"/>
    <w:rsid w:val="00772949"/>
    <w:rsid w:val="00772CFC"/>
    <w:rsid w:val="00776CD8"/>
    <w:rsid w:val="0078110D"/>
    <w:rsid w:val="00781A81"/>
    <w:rsid w:val="00783095"/>
    <w:rsid w:val="00785AF3"/>
    <w:rsid w:val="00787193"/>
    <w:rsid w:val="007923F1"/>
    <w:rsid w:val="0079328F"/>
    <w:rsid w:val="007939B6"/>
    <w:rsid w:val="00794EFF"/>
    <w:rsid w:val="00794F1B"/>
    <w:rsid w:val="007A32D3"/>
    <w:rsid w:val="007A40D1"/>
    <w:rsid w:val="007A5552"/>
    <w:rsid w:val="007A5EEF"/>
    <w:rsid w:val="007B6775"/>
    <w:rsid w:val="007C06FD"/>
    <w:rsid w:val="007C404E"/>
    <w:rsid w:val="007C51D9"/>
    <w:rsid w:val="007D0068"/>
    <w:rsid w:val="007D143B"/>
    <w:rsid w:val="007D2958"/>
    <w:rsid w:val="007D2DA0"/>
    <w:rsid w:val="007D79D2"/>
    <w:rsid w:val="007E48E1"/>
    <w:rsid w:val="007E7B4E"/>
    <w:rsid w:val="007F02A4"/>
    <w:rsid w:val="007F1493"/>
    <w:rsid w:val="007F479E"/>
    <w:rsid w:val="0080315B"/>
    <w:rsid w:val="00806E0D"/>
    <w:rsid w:val="00823FCA"/>
    <w:rsid w:val="00824890"/>
    <w:rsid w:val="008251D8"/>
    <w:rsid w:val="00836D5A"/>
    <w:rsid w:val="00836E65"/>
    <w:rsid w:val="008418E5"/>
    <w:rsid w:val="008418FC"/>
    <w:rsid w:val="0084410C"/>
    <w:rsid w:val="00851E2B"/>
    <w:rsid w:val="00854D84"/>
    <w:rsid w:val="0085780E"/>
    <w:rsid w:val="008618BE"/>
    <w:rsid w:val="00861DA4"/>
    <w:rsid w:val="00861DF9"/>
    <w:rsid w:val="00862D6B"/>
    <w:rsid w:val="0086399B"/>
    <w:rsid w:val="00863BD5"/>
    <w:rsid w:val="00863CD4"/>
    <w:rsid w:val="00864EB7"/>
    <w:rsid w:val="0086657E"/>
    <w:rsid w:val="00867F55"/>
    <w:rsid w:val="008733E6"/>
    <w:rsid w:val="00873D8A"/>
    <w:rsid w:val="00874177"/>
    <w:rsid w:val="00874953"/>
    <w:rsid w:val="00890D5E"/>
    <w:rsid w:val="00891035"/>
    <w:rsid w:val="008927B5"/>
    <w:rsid w:val="00892EA3"/>
    <w:rsid w:val="00894816"/>
    <w:rsid w:val="008A28F8"/>
    <w:rsid w:val="008A63E2"/>
    <w:rsid w:val="008A796A"/>
    <w:rsid w:val="008B3879"/>
    <w:rsid w:val="008B445B"/>
    <w:rsid w:val="008B455C"/>
    <w:rsid w:val="008B6587"/>
    <w:rsid w:val="008B6F28"/>
    <w:rsid w:val="008C17E6"/>
    <w:rsid w:val="008C36F2"/>
    <w:rsid w:val="008C666D"/>
    <w:rsid w:val="008C7936"/>
    <w:rsid w:val="008D0286"/>
    <w:rsid w:val="008D0326"/>
    <w:rsid w:val="008D0D31"/>
    <w:rsid w:val="008D6CA9"/>
    <w:rsid w:val="008D6E2C"/>
    <w:rsid w:val="008D7DC6"/>
    <w:rsid w:val="008E09C6"/>
    <w:rsid w:val="008E0B49"/>
    <w:rsid w:val="008E0E89"/>
    <w:rsid w:val="008E10FA"/>
    <w:rsid w:val="008E1312"/>
    <w:rsid w:val="008E450B"/>
    <w:rsid w:val="008E4FD6"/>
    <w:rsid w:val="008E5C99"/>
    <w:rsid w:val="008F4EF2"/>
    <w:rsid w:val="008F7C99"/>
    <w:rsid w:val="009001C9"/>
    <w:rsid w:val="00906D50"/>
    <w:rsid w:val="00906FD4"/>
    <w:rsid w:val="009101FF"/>
    <w:rsid w:val="00910A53"/>
    <w:rsid w:val="00917283"/>
    <w:rsid w:val="0092068A"/>
    <w:rsid w:val="00921285"/>
    <w:rsid w:val="009252B2"/>
    <w:rsid w:val="009310EE"/>
    <w:rsid w:val="0093152B"/>
    <w:rsid w:val="00933485"/>
    <w:rsid w:val="009405E7"/>
    <w:rsid w:val="0094142D"/>
    <w:rsid w:val="00943CC8"/>
    <w:rsid w:val="00943E53"/>
    <w:rsid w:val="009445CA"/>
    <w:rsid w:val="00944A1C"/>
    <w:rsid w:val="00952FEB"/>
    <w:rsid w:val="00957F48"/>
    <w:rsid w:val="00960580"/>
    <w:rsid w:val="00962EE7"/>
    <w:rsid w:val="00966C36"/>
    <w:rsid w:val="00970027"/>
    <w:rsid w:val="009760CB"/>
    <w:rsid w:val="009901A1"/>
    <w:rsid w:val="009A3FA2"/>
    <w:rsid w:val="009A4572"/>
    <w:rsid w:val="009A5AF8"/>
    <w:rsid w:val="009A6585"/>
    <w:rsid w:val="009A6CC7"/>
    <w:rsid w:val="009B446B"/>
    <w:rsid w:val="009C05E9"/>
    <w:rsid w:val="009C27D2"/>
    <w:rsid w:val="009C3132"/>
    <w:rsid w:val="009C4526"/>
    <w:rsid w:val="009C4E0C"/>
    <w:rsid w:val="009C5EB5"/>
    <w:rsid w:val="009D0A13"/>
    <w:rsid w:val="009D227B"/>
    <w:rsid w:val="009D2B67"/>
    <w:rsid w:val="009D47A5"/>
    <w:rsid w:val="009D69B6"/>
    <w:rsid w:val="009E17C2"/>
    <w:rsid w:val="009E5767"/>
    <w:rsid w:val="009E6876"/>
    <w:rsid w:val="009F2D02"/>
    <w:rsid w:val="009F38D7"/>
    <w:rsid w:val="009F579E"/>
    <w:rsid w:val="009F6130"/>
    <w:rsid w:val="00A00793"/>
    <w:rsid w:val="00A02454"/>
    <w:rsid w:val="00A0397A"/>
    <w:rsid w:val="00A04076"/>
    <w:rsid w:val="00A10010"/>
    <w:rsid w:val="00A10E1F"/>
    <w:rsid w:val="00A114B1"/>
    <w:rsid w:val="00A128E0"/>
    <w:rsid w:val="00A15866"/>
    <w:rsid w:val="00A16D50"/>
    <w:rsid w:val="00A23CCA"/>
    <w:rsid w:val="00A248FB"/>
    <w:rsid w:val="00A2609D"/>
    <w:rsid w:val="00A2772F"/>
    <w:rsid w:val="00A334E4"/>
    <w:rsid w:val="00A33661"/>
    <w:rsid w:val="00A33DF5"/>
    <w:rsid w:val="00A40462"/>
    <w:rsid w:val="00A4355E"/>
    <w:rsid w:val="00A44074"/>
    <w:rsid w:val="00A469B4"/>
    <w:rsid w:val="00A46AA1"/>
    <w:rsid w:val="00A511AD"/>
    <w:rsid w:val="00A52673"/>
    <w:rsid w:val="00A531C3"/>
    <w:rsid w:val="00A55F7C"/>
    <w:rsid w:val="00A57BAC"/>
    <w:rsid w:val="00A6043D"/>
    <w:rsid w:val="00A61835"/>
    <w:rsid w:val="00A64AC5"/>
    <w:rsid w:val="00A705C1"/>
    <w:rsid w:val="00A70C75"/>
    <w:rsid w:val="00A733A2"/>
    <w:rsid w:val="00A7499F"/>
    <w:rsid w:val="00A801E7"/>
    <w:rsid w:val="00A806BC"/>
    <w:rsid w:val="00A80E4E"/>
    <w:rsid w:val="00A831C5"/>
    <w:rsid w:val="00A848BA"/>
    <w:rsid w:val="00A86E3D"/>
    <w:rsid w:val="00A90619"/>
    <w:rsid w:val="00A914E9"/>
    <w:rsid w:val="00A93EC0"/>
    <w:rsid w:val="00A94A48"/>
    <w:rsid w:val="00A94E36"/>
    <w:rsid w:val="00A96447"/>
    <w:rsid w:val="00A96A71"/>
    <w:rsid w:val="00AA70E2"/>
    <w:rsid w:val="00AB30CF"/>
    <w:rsid w:val="00AB40A9"/>
    <w:rsid w:val="00AC1113"/>
    <w:rsid w:val="00AC1F4C"/>
    <w:rsid w:val="00AC3C83"/>
    <w:rsid w:val="00AC6067"/>
    <w:rsid w:val="00AC6745"/>
    <w:rsid w:val="00AC6E5D"/>
    <w:rsid w:val="00AD3391"/>
    <w:rsid w:val="00AD40B2"/>
    <w:rsid w:val="00AE20FB"/>
    <w:rsid w:val="00AE290D"/>
    <w:rsid w:val="00AE3923"/>
    <w:rsid w:val="00AF4238"/>
    <w:rsid w:val="00AF5FC0"/>
    <w:rsid w:val="00AF63EA"/>
    <w:rsid w:val="00B010E8"/>
    <w:rsid w:val="00B051A8"/>
    <w:rsid w:val="00B16875"/>
    <w:rsid w:val="00B219F2"/>
    <w:rsid w:val="00B22DA4"/>
    <w:rsid w:val="00B23445"/>
    <w:rsid w:val="00B241DE"/>
    <w:rsid w:val="00B262FD"/>
    <w:rsid w:val="00B30601"/>
    <w:rsid w:val="00B32996"/>
    <w:rsid w:val="00B33E15"/>
    <w:rsid w:val="00B371BC"/>
    <w:rsid w:val="00B37A46"/>
    <w:rsid w:val="00B406E2"/>
    <w:rsid w:val="00B40E5D"/>
    <w:rsid w:val="00B41507"/>
    <w:rsid w:val="00B428F4"/>
    <w:rsid w:val="00B44FB1"/>
    <w:rsid w:val="00B46636"/>
    <w:rsid w:val="00B50814"/>
    <w:rsid w:val="00B50BB3"/>
    <w:rsid w:val="00B5162C"/>
    <w:rsid w:val="00B524A4"/>
    <w:rsid w:val="00B55DDC"/>
    <w:rsid w:val="00B66DDD"/>
    <w:rsid w:val="00B67B97"/>
    <w:rsid w:val="00B7377B"/>
    <w:rsid w:val="00B77E42"/>
    <w:rsid w:val="00B81FED"/>
    <w:rsid w:val="00B845F6"/>
    <w:rsid w:val="00B85EE4"/>
    <w:rsid w:val="00B86EF4"/>
    <w:rsid w:val="00B91AD9"/>
    <w:rsid w:val="00B93A4F"/>
    <w:rsid w:val="00B946B2"/>
    <w:rsid w:val="00B94FFF"/>
    <w:rsid w:val="00B97032"/>
    <w:rsid w:val="00BA1C5C"/>
    <w:rsid w:val="00BA3DE1"/>
    <w:rsid w:val="00BA45E7"/>
    <w:rsid w:val="00BA4C2A"/>
    <w:rsid w:val="00BA5695"/>
    <w:rsid w:val="00BB036D"/>
    <w:rsid w:val="00BB1AB4"/>
    <w:rsid w:val="00BB1FC4"/>
    <w:rsid w:val="00BB4907"/>
    <w:rsid w:val="00BB6201"/>
    <w:rsid w:val="00BB70B3"/>
    <w:rsid w:val="00BB7D46"/>
    <w:rsid w:val="00BC001C"/>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C01EA5"/>
    <w:rsid w:val="00C03561"/>
    <w:rsid w:val="00C0376D"/>
    <w:rsid w:val="00C03919"/>
    <w:rsid w:val="00C04092"/>
    <w:rsid w:val="00C04B60"/>
    <w:rsid w:val="00C0572F"/>
    <w:rsid w:val="00C058F6"/>
    <w:rsid w:val="00C12C25"/>
    <w:rsid w:val="00C13DF0"/>
    <w:rsid w:val="00C14193"/>
    <w:rsid w:val="00C14FBB"/>
    <w:rsid w:val="00C17738"/>
    <w:rsid w:val="00C17AD8"/>
    <w:rsid w:val="00C2330B"/>
    <w:rsid w:val="00C23A79"/>
    <w:rsid w:val="00C23DE7"/>
    <w:rsid w:val="00C26323"/>
    <w:rsid w:val="00C30CE4"/>
    <w:rsid w:val="00C3358D"/>
    <w:rsid w:val="00C378D0"/>
    <w:rsid w:val="00C37FDB"/>
    <w:rsid w:val="00C40364"/>
    <w:rsid w:val="00C40D30"/>
    <w:rsid w:val="00C4390C"/>
    <w:rsid w:val="00C44AC9"/>
    <w:rsid w:val="00C45F56"/>
    <w:rsid w:val="00C518D5"/>
    <w:rsid w:val="00C61317"/>
    <w:rsid w:val="00C63894"/>
    <w:rsid w:val="00C655E8"/>
    <w:rsid w:val="00C7117A"/>
    <w:rsid w:val="00C74183"/>
    <w:rsid w:val="00C800CB"/>
    <w:rsid w:val="00C803A5"/>
    <w:rsid w:val="00C82C14"/>
    <w:rsid w:val="00C85078"/>
    <w:rsid w:val="00C862F8"/>
    <w:rsid w:val="00C86E94"/>
    <w:rsid w:val="00C908DB"/>
    <w:rsid w:val="00C931B6"/>
    <w:rsid w:val="00C93B23"/>
    <w:rsid w:val="00CA0FA9"/>
    <w:rsid w:val="00CA1D85"/>
    <w:rsid w:val="00CA2293"/>
    <w:rsid w:val="00CA262F"/>
    <w:rsid w:val="00CA57BA"/>
    <w:rsid w:val="00CB54CC"/>
    <w:rsid w:val="00CB7EF0"/>
    <w:rsid w:val="00CC069F"/>
    <w:rsid w:val="00CC4851"/>
    <w:rsid w:val="00CD4ED5"/>
    <w:rsid w:val="00CD53CA"/>
    <w:rsid w:val="00CD7291"/>
    <w:rsid w:val="00CE02D2"/>
    <w:rsid w:val="00CE1628"/>
    <w:rsid w:val="00CE3A66"/>
    <w:rsid w:val="00CE3AFA"/>
    <w:rsid w:val="00CF2BAB"/>
    <w:rsid w:val="00CF54D1"/>
    <w:rsid w:val="00D010F1"/>
    <w:rsid w:val="00D01109"/>
    <w:rsid w:val="00D02CF4"/>
    <w:rsid w:val="00D06971"/>
    <w:rsid w:val="00D06B34"/>
    <w:rsid w:val="00D07E03"/>
    <w:rsid w:val="00D13BDB"/>
    <w:rsid w:val="00D2288B"/>
    <w:rsid w:val="00D27A8A"/>
    <w:rsid w:val="00D30F60"/>
    <w:rsid w:val="00D354FD"/>
    <w:rsid w:val="00D3570E"/>
    <w:rsid w:val="00D41A38"/>
    <w:rsid w:val="00D422B1"/>
    <w:rsid w:val="00D45250"/>
    <w:rsid w:val="00D45488"/>
    <w:rsid w:val="00D467C6"/>
    <w:rsid w:val="00D477A8"/>
    <w:rsid w:val="00D50006"/>
    <w:rsid w:val="00D51E05"/>
    <w:rsid w:val="00D57B37"/>
    <w:rsid w:val="00D60229"/>
    <w:rsid w:val="00D614B8"/>
    <w:rsid w:val="00D63F09"/>
    <w:rsid w:val="00D654B3"/>
    <w:rsid w:val="00D65923"/>
    <w:rsid w:val="00D65D16"/>
    <w:rsid w:val="00D66AFA"/>
    <w:rsid w:val="00D74CB8"/>
    <w:rsid w:val="00D761B6"/>
    <w:rsid w:val="00D76D1C"/>
    <w:rsid w:val="00D76DB8"/>
    <w:rsid w:val="00D838A7"/>
    <w:rsid w:val="00D85A3F"/>
    <w:rsid w:val="00D868FB"/>
    <w:rsid w:val="00D86C43"/>
    <w:rsid w:val="00D86FEA"/>
    <w:rsid w:val="00D90360"/>
    <w:rsid w:val="00D925D7"/>
    <w:rsid w:val="00D94038"/>
    <w:rsid w:val="00DA094B"/>
    <w:rsid w:val="00DA1ED0"/>
    <w:rsid w:val="00DA3335"/>
    <w:rsid w:val="00DA3D69"/>
    <w:rsid w:val="00DA430D"/>
    <w:rsid w:val="00DA5163"/>
    <w:rsid w:val="00DA66D7"/>
    <w:rsid w:val="00DA72B7"/>
    <w:rsid w:val="00DB1053"/>
    <w:rsid w:val="00DB192A"/>
    <w:rsid w:val="00DB40BF"/>
    <w:rsid w:val="00DB7463"/>
    <w:rsid w:val="00DC090B"/>
    <w:rsid w:val="00DC297D"/>
    <w:rsid w:val="00DC3243"/>
    <w:rsid w:val="00DC5084"/>
    <w:rsid w:val="00DC5620"/>
    <w:rsid w:val="00DC6EA0"/>
    <w:rsid w:val="00DD020B"/>
    <w:rsid w:val="00DD2547"/>
    <w:rsid w:val="00DD6D12"/>
    <w:rsid w:val="00DD7859"/>
    <w:rsid w:val="00DE391B"/>
    <w:rsid w:val="00DE608E"/>
    <w:rsid w:val="00DE775F"/>
    <w:rsid w:val="00DF08BA"/>
    <w:rsid w:val="00DF0974"/>
    <w:rsid w:val="00DF2688"/>
    <w:rsid w:val="00DF26E1"/>
    <w:rsid w:val="00DF3972"/>
    <w:rsid w:val="00DF39F5"/>
    <w:rsid w:val="00DF4B76"/>
    <w:rsid w:val="00DF4D13"/>
    <w:rsid w:val="00E000D3"/>
    <w:rsid w:val="00E05C97"/>
    <w:rsid w:val="00E109B6"/>
    <w:rsid w:val="00E11F39"/>
    <w:rsid w:val="00E14394"/>
    <w:rsid w:val="00E14693"/>
    <w:rsid w:val="00E147FA"/>
    <w:rsid w:val="00E14AE5"/>
    <w:rsid w:val="00E15D66"/>
    <w:rsid w:val="00E16E1F"/>
    <w:rsid w:val="00E16E9D"/>
    <w:rsid w:val="00E305D1"/>
    <w:rsid w:val="00E31B73"/>
    <w:rsid w:val="00E323A1"/>
    <w:rsid w:val="00E34A6F"/>
    <w:rsid w:val="00E3691B"/>
    <w:rsid w:val="00E36F96"/>
    <w:rsid w:val="00E41DD8"/>
    <w:rsid w:val="00E47B98"/>
    <w:rsid w:val="00E52929"/>
    <w:rsid w:val="00E52B61"/>
    <w:rsid w:val="00E52BA8"/>
    <w:rsid w:val="00E561DC"/>
    <w:rsid w:val="00E56F54"/>
    <w:rsid w:val="00E57675"/>
    <w:rsid w:val="00E60B23"/>
    <w:rsid w:val="00E645B5"/>
    <w:rsid w:val="00E65950"/>
    <w:rsid w:val="00E73280"/>
    <w:rsid w:val="00E75181"/>
    <w:rsid w:val="00E75573"/>
    <w:rsid w:val="00E7573A"/>
    <w:rsid w:val="00E76081"/>
    <w:rsid w:val="00E7797A"/>
    <w:rsid w:val="00E8182E"/>
    <w:rsid w:val="00E86BB6"/>
    <w:rsid w:val="00E87654"/>
    <w:rsid w:val="00E9039A"/>
    <w:rsid w:val="00E906EF"/>
    <w:rsid w:val="00E90BC9"/>
    <w:rsid w:val="00E9204D"/>
    <w:rsid w:val="00E941A4"/>
    <w:rsid w:val="00E95158"/>
    <w:rsid w:val="00E96CE7"/>
    <w:rsid w:val="00EA075C"/>
    <w:rsid w:val="00EA12C1"/>
    <w:rsid w:val="00EA1752"/>
    <w:rsid w:val="00EA1EDF"/>
    <w:rsid w:val="00EA2B83"/>
    <w:rsid w:val="00EA5CC6"/>
    <w:rsid w:val="00EB08F3"/>
    <w:rsid w:val="00EB0E90"/>
    <w:rsid w:val="00EB2F3A"/>
    <w:rsid w:val="00EB5786"/>
    <w:rsid w:val="00EB6518"/>
    <w:rsid w:val="00EB7303"/>
    <w:rsid w:val="00EC1213"/>
    <w:rsid w:val="00EC1C81"/>
    <w:rsid w:val="00EC2803"/>
    <w:rsid w:val="00EC3279"/>
    <w:rsid w:val="00EC6DA3"/>
    <w:rsid w:val="00ED0A26"/>
    <w:rsid w:val="00ED13BB"/>
    <w:rsid w:val="00ED6AF6"/>
    <w:rsid w:val="00ED7A75"/>
    <w:rsid w:val="00EE2926"/>
    <w:rsid w:val="00EF0B42"/>
    <w:rsid w:val="00EF0F65"/>
    <w:rsid w:val="00EF2B87"/>
    <w:rsid w:val="00EF49DF"/>
    <w:rsid w:val="00EF5386"/>
    <w:rsid w:val="00EF6B54"/>
    <w:rsid w:val="00EF6D7D"/>
    <w:rsid w:val="00EF7458"/>
    <w:rsid w:val="00EF7BB1"/>
    <w:rsid w:val="00F06B97"/>
    <w:rsid w:val="00F12CBF"/>
    <w:rsid w:val="00F1611B"/>
    <w:rsid w:val="00F17004"/>
    <w:rsid w:val="00F17080"/>
    <w:rsid w:val="00F205AD"/>
    <w:rsid w:val="00F21839"/>
    <w:rsid w:val="00F24DEF"/>
    <w:rsid w:val="00F2639D"/>
    <w:rsid w:val="00F2792A"/>
    <w:rsid w:val="00F27D7F"/>
    <w:rsid w:val="00F27E5E"/>
    <w:rsid w:val="00F30562"/>
    <w:rsid w:val="00F31764"/>
    <w:rsid w:val="00F31BDE"/>
    <w:rsid w:val="00F328CD"/>
    <w:rsid w:val="00F3411A"/>
    <w:rsid w:val="00F35726"/>
    <w:rsid w:val="00F35B71"/>
    <w:rsid w:val="00F40F30"/>
    <w:rsid w:val="00F426E8"/>
    <w:rsid w:val="00F42A12"/>
    <w:rsid w:val="00F556B2"/>
    <w:rsid w:val="00F55C9E"/>
    <w:rsid w:val="00F606DA"/>
    <w:rsid w:val="00F650AC"/>
    <w:rsid w:val="00F6612B"/>
    <w:rsid w:val="00F668A8"/>
    <w:rsid w:val="00F67901"/>
    <w:rsid w:val="00F73AC5"/>
    <w:rsid w:val="00F7580A"/>
    <w:rsid w:val="00F768B3"/>
    <w:rsid w:val="00F76C9B"/>
    <w:rsid w:val="00F81937"/>
    <w:rsid w:val="00F82A4B"/>
    <w:rsid w:val="00F83DE6"/>
    <w:rsid w:val="00F8480C"/>
    <w:rsid w:val="00F84B51"/>
    <w:rsid w:val="00F85392"/>
    <w:rsid w:val="00F863BA"/>
    <w:rsid w:val="00F866E9"/>
    <w:rsid w:val="00F86FB9"/>
    <w:rsid w:val="00F872F3"/>
    <w:rsid w:val="00F9451C"/>
    <w:rsid w:val="00F9542E"/>
    <w:rsid w:val="00F95F05"/>
    <w:rsid w:val="00F9732A"/>
    <w:rsid w:val="00FA00AD"/>
    <w:rsid w:val="00FA2D82"/>
    <w:rsid w:val="00FA766D"/>
    <w:rsid w:val="00FA7693"/>
    <w:rsid w:val="00FB12D4"/>
    <w:rsid w:val="00FB13F3"/>
    <w:rsid w:val="00FB3DE8"/>
    <w:rsid w:val="00FB6200"/>
    <w:rsid w:val="00FC0796"/>
    <w:rsid w:val="00FC23D6"/>
    <w:rsid w:val="00FC4468"/>
    <w:rsid w:val="00FC53AC"/>
    <w:rsid w:val="00FD73AA"/>
    <w:rsid w:val="00FE3E04"/>
    <w:rsid w:val="00FE558E"/>
    <w:rsid w:val="00FE5CE7"/>
    <w:rsid w:val="00FF021A"/>
    <w:rsid w:val="00FF0E78"/>
    <w:rsid w:val="00FF31A7"/>
    <w:rsid w:val="00FF467D"/>
    <w:rsid w:val="00FF46A9"/>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0775">
      <w:bodyDiv w:val="1"/>
      <w:marLeft w:val="0"/>
      <w:marRight w:val="0"/>
      <w:marTop w:val="0"/>
      <w:marBottom w:val="0"/>
      <w:divBdr>
        <w:top w:val="none" w:sz="0" w:space="0" w:color="auto"/>
        <w:left w:val="none" w:sz="0" w:space="0" w:color="auto"/>
        <w:bottom w:val="none" w:sz="0" w:space="0" w:color="auto"/>
        <w:right w:val="none" w:sz="0" w:space="0" w:color="auto"/>
      </w:divBdr>
    </w:div>
    <w:div w:id="527137889">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198F-6360-4FDB-8CC5-944209E6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28</cp:revision>
  <cp:lastPrinted>2016-01-22T14:10:00Z</cp:lastPrinted>
  <dcterms:created xsi:type="dcterms:W3CDTF">2016-01-20T18:18:00Z</dcterms:created>
  <dcterms:modified xsi:type="dcterms:W3CDTF">2016-02-11T14:08:00Z</dcterms:modified>
</cp:coreProperties>
</file>