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330" w:rsidRPr="00E84A3B" w:rsidRDefault="00A01330" w:rsidP="00C81100">
      <w:pPr>
        <w:jc w:val="center"/>
        <w:rPr>
          <w:b/>
          <w:sz w:val="24"/>
          <w:szCs w:val="24"/>
        </w:rPr>
      </w:pPr>
      <w:r w:rsidRPr="00E84A3B">
        <w:rPr>
          <w:b/>
          <w:sz w:val="24"/>
          <w:szCs w:val="24"/>
        </w:rPr>
        <w:t>BEFORE THE</w:t>
      </w:r>
    </w:p>
    <w:p w:rsidR="00A01330" w:rsidRPr="00E84A3B" w:rsidRDefault="00A01330" w:rsidP="00C81100">
      <w:pPr>
        <w:jc w:val="center"/>
        <w:rPr>
          <w:b/>
          <w:sz w:val="24"/>
          <w:szCs w:val="24"/>
        </w:rPr>
      </w:pPr>
      <w:r w:rsidRPr="00E84A3B">
        <w:rPr>
          <w:b/>
          <w:sz w:val="24"/>
          <w:szCs w:val="24"/>
        </w:rPr>
        <w:t>PENNSYLVANIA PUBLIC UTILITY COMMISSION</w:t>
      </w:r>
    </w:p>
    <w:p w:rsidR="00A01330" w:rsidRPr="00E84A3B" w:rsidRDefault="00A01330" w:rsidP="00694085">
      <w:pPr>
        <w:jc w:val="center"/>
        <w:rPr>
          <w:sz w:val="24"/>
          <w:szCs w:val="24"/>
        </w:rPr>
      </w:pPr>
    </w:p>
    <w:p w:rsidR="00A01330" w:rsidRPr="00E84A3B" w:rsidRDefault="00A01330" w:rsidP="00C81100">
      <w:pPr>
        <w:jc w:val="center"/>
        <w:rPr>
          <w:sz w:val="24"/>
          <w:szCs w:val="24"/>
        </w:rPr>
      </w:pPr>
    </w:p>
    <w:p w:rsidR="008B6E2D" w:rsidRPr="00E84A3B" w:rsidRDefault="008B6E2D" w:rsidP="008B6E2D">
      <w:pPr>
        <w:tabs>
          <w:tab w:val="left" w:pos="-720"/>
        </w:tabs>
        <w:suppressAutoHyphens/>
        <w:ind w:firstLine="1440"/>
        <w:rPr>
          <w:spacing w:val="-3"/>
          <w:sz w:val="24"/>
          <w:szCs w:val="24"/>
        </w:rPr>
      </w:pPr>
    </w:p>
    <w:p w:rsidR="001B371B" w:rsidRPr="00A44E7C" w:rsidRDefault="001D5384" w:rsidP="001B371B">
      <w:pPr>
        <w:pStyle w:val="Style"/>
        <w:rPr>
          <w:bCs/>
          <w:color w:val="000000"/>
        </w:rPr>
      </w:pPr>
      <w:r>
        <w:rPr>
          <w:bCs/>
          <w:color w:val="000000"/>
        </w:rPr>
        <w:t>Peter M. Sutliff</w:t>
      </w:r>
      <w:r>
        <w:rPr>
          <w:bCs/>
          <w:color w:val="000000"/>
        </w:rPr>
        <w:tab/>
      </w:r>
      <w:r w:rsidR="001B371B">
        <w:rPr>
          <w:bCs/>
          <w:color w:val="000000"/>
        </w:rPr>
        <w:tab/>
      </w:r>
      <w:r w:rsidR="001B371B">
        <w:rPr>
          <w:bCs/>
          <w:color w:val="000000"/>
        </w:rPr>
        <w:tab/>
      </w:r>
      <w:r w:rsidR="001B371B" w:rsidRPr="00A44E7C">
        <w:rPr>
          <w:bCs/>
          <w:color w:val="000000"/>
        </w:rPr>
        <w:tab/>
      </w:r>
      <w:r w:rsidR="001B371B" w:rsidRPr="00A44E7C">
        <w:rPr>
          <w:bCs/>
          <w:color w:val="000000"/>
        </w:rPr>
        <w:tab/>
        <w:t>:</w:t>
      </w:r>
    </w:p>
    <w:p w:rsidR="001B371B" w:rsidRPr="00A44E7C" w:rsidRDefault="001B371B" w:rsidP="001B371B">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rsidR="001B371B" w:rsidRPr="00A44E7C" w:rsidRDefault="001B371B" w:rsidP="001B371B">
      <w:pPr>
        <w:pStyle w:val="Style"/>
        <w:rPr>
          <w:bCs/>
          <w:color w:val="000000"/>
        </w:rPr>
      </w:pPr>
      <w:r w:rsidRPr="00A44E7C">
        <w:rPr>
          <w:bCs/>
          <w:color w:val="000000"/>
        </w:rPr>
        <w:tab/>
        <w:t>v.</w:t>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r w:rsidRPr="00A44E7C">
        <w:rPr>
          <w:bCs/>
          <w:color w:val="000000"/>
        </w:rPr>
        <w:tab/>
      </w:r>
      <w:r w:rsidRPr="00A44E7C">
        <w:rPr>
          <w:bCs/>
          <w:color w:val="000000"/>
        </w:rPr>
        <w:tab/>
      </w:r>
      <w:r w:rsidR="006E5BB5">
        <w:rPr>
          <w:bCs/>
          <w:color w:val="000000"/>
        </w:rPr>
        <w:tab/>
      </w:r>
      <w:r>
        <w:rPr>
          <w:bCs/>
          <w:color w:val="000000"/>
        </w:rPr>
        <w:t>C-2015-</w:t>
      </w:r>
      <w:r w:rsidR="001D5384">
        <w:rPr>
          <w:bCs/>
          <w:color w:val="000000"/>
        </w:rPr>
        <w:t>2513633</w:t>
      </w:r>
    </w:p>
    <w:p w:rsidR="001B371B" w:rsidRPr="00A44E7C" w:rsidRDefault="001B371B" w:rsidP="001B371B">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rsidR="001B371B" w:rsidRPr="00A44E7C" w:rsidRDefault="009059FC" w:rsidP="001B371B">
      <w:pPr>
        <w:pStyle w:val="Style"/>
        <w:rPr>
          <w:bCs/>
          <w:color w:val="000000"/>
        </w:rPr>
      </w:pPr>
      <w:r>
        <w:rPr>
          <w:bCs/>
          <w:color w:val="000000"/>
        </w:rPr>
        <w:t>UGI Utilities, Inc. – Gas Division</w:t>
      </w:r>
      <w:r w:rsidR="001B371B">
        <w:rPr>
          <w:bCs/>
          <w:color w:val="000000"/>
        </w:rPr>
        <w:tab/>
      </w:r>
      <w:r w:rsidR="001B371B">
        <w:rPr>
          <w:bCs/>
          <w:color w:val="000000"/>
        </w:rPr>
        <w:tab/>
      </w:r>
      <w:r w:rsidR="001B371B">
        <w:rPr>
          <w:bCs/>
          <w:color w:val="000000"/>
        </w:rPr>
        <w:tab/>
      </w:r>
      <w:r w:rsidR="001B371B" w:rsidRPr="00A44E7C">
        <w:rPr>
          <w:bCs/>
          <w:color w:val="000000"/>
        </w:rPr>
        <w:t>:</w:t>
      </w:r>
    </w:p>
    <w:p w:rsidR="008B6E2D" w:rsidRPr="00E84A3B" w:rsidRDefault="008B6E2D" w:rsidP="00694085">
      <w:pPr>
        <w:tabs>
          <w:tab w:val="left" w:pos="-720"/>
        </w:tabs>
        <w:suppressAutoHyphens/>
        <w:jc w:val="both"/>
        <w:rPr>
          <w:spacing w:val="-3"/>
          <w:sz w:val="24"/>
          <w:szCs w:val="24"/>
        </w:rPr>
      </w:pPr>
    </w:p>
    <w:p w:rsidR="00632C91" w:rsidRPr="00A44E7C" w:rsidRDefault="00632C91" w:rsidP="00632C91">
      <w:pPr>
        <w:pStyle w:val="Style"/>
        <w:rPr>
          <w:bCs/>
          <w:color w:val="000000"/>
        </w:rPr>
      </w:pPr>
      <w:r>
        <w:rPr>
          <w:bCs/>
          <w:color w:val="000000"/>
        </w:rPr>
        <w:t>Javier Ortega-Benitez</w:t>
      </w:r>
      <w:r>
        <w:rPr>
          <w:bCs/>
          <w:color w:val="000000"/>
        </w:rPr>
        <w:tab/>
      </w:r>
      <w:r>
        <w:rPr>
          <w:bCs/>
          <w:color w:val="000000"/>
        </w:rPr>
        <w:tab/>
      </w:r>
      <w:r>
        <w:rPr>
          <w:bCs/>
          <w:color w:val="000000"/>
        </w:rPr>
        <w:tab/>
      </w:r>
      <w:r w:rsidRPr="00A44E7C">
        <w:rPr>
          <w:bCs/>
          <w:color w:val="000000"/>
        </w:rPr>
        <w:tab/>
      </w:r>
      <w:r w:rsidRPr="00A44E7C">
        <w:rPr>
          <w:bCs/>
          <w:color w:val="000000"/>
        </w:rPr>
        <w:tab/>
        <w:t>:</w:t>
      </w:r>
    </w:p>
    <w:p w:rsidR="00632C91" w:rsidRPr="00A44E7C" w:rsidRDefault="00632C91" w:rsidP="00632C91">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rsidR="00632C91" w:rsidRPr="00A44E7C" w:rsidRDefault="00632C91" w:rsidP="00632C91">
      <w:pPr>
        <w:pStyle w:val="Style"/>
        <w:rPr>
          <w:bCs/>
          <w:color w:val="000000"/>
        </w:rPr>
      </w:pPr>
      <w:r w:rsidRPr="00A44E7C">
        <w:rPr>
          <w:bCs/>
          <w:color w:val="000000"/>
        </w:rPr>
        <w:tab/>
        <w:t>v.</w:t>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r w:rsidRPr="00A44E7C">
        <w:rPr>
          <w:bCs/>
          <w:color w:val="000000"/>
        </w:rPr>
        <w:tab/>
      </w:r>
      <w:r w:rsidRPr="00A44E7C">
        <w:rPr>
          <w:bCs/>
          <w:color w:val="000000"/>
        </w:rPr>
        <w:tab/>
      </w:r>
      <w:r>
        <w:rPr>
          <w:bCs/>
          <w:color w:val="000000"/>
        </w:rPr>
        <w:tab/>
        <w:t>C-2015-2513649</w:t>
      </w:r>
    </w:p>
    <w:p w:rsidR="00632C91" w:rsidRPr="00A44E7C" w:rsidRDefault="00632C91" w:rsidP="00632C91">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rsidR="00632C91" w:rsidRPr="00A44E7C" w:rsidRDefault="00632C91" w:rsidP="00632C91">
      <w:pPr>
        <w:pStyle w:val="Style"/>
        <w:rPr>
          <w:bCs/>
          <w:color w:val="000000"/>
        </w:rPr>
      </w:pPr>
      <w:r>
        <w:rPr>
          <w:bCs/>
          <w:color w:val="000000"/>
        </w:rPr>
        <w:t>UGI Utilities, Inc. – Gas Division</w:t>
      </w:r>
      <w:r>
        <w:rPr>
          <w:bCs/>
          <w:color w:val="000000"/>
        </w:rPr>
        <w:tab/>
      </w:r>
      <w:r>
        <w:rPr>
          <w:bCs/>
          <w:color w:val="000000"/>
        </w:rPr>
        <w:tab/>
      </w:r>
      <w:r>
        <w:rPr>
          <w:bCs/>
          <w:color w:val="000000"/>
        </w:rPr>
        <w:tab/>
      </w:r>
      <w:r w:rsidRPr="00A44E7C">
        <w:rPr>
          <w:bCs/>
          <w:color w:val="000000"/>
        </w:rPr>
        <w:t>:</w:t>
      </w:r>
    </w:p>
    <w:p w:rsidR="00632C91" w:rsidRPr="00E84A3B" w:rsidRDefault="00632C91" w:rsidP="00632C91">
      <w:pPr>
        <w:tabs>
          <w:tab w:val="left" w:pos="-720"/>
        </w:tabs>
        <w:suppressAutoHyphens/>
        <w:jc w:val="both"/>
        <w:rPr>
          <w:spacing w:val="-3"/>
          <w:sz w:val="24"/>
          <w:szCs w:val="24"/>
        </w:rPr>
      </w:pPr>
    </w:p>
    <w:p w:rsidR="00466F8B" w:rsidRPr="00E84A3B" w:rsidRDefault="00466F8B" w:rsidP="00C81100">
      <w:pPr>
        <w:rPr>
          <w:sz w:val="24"/>
          <w:szCs w:val="24"/>
        </w:rPr>
      </w:pPr>
    </w:p>
    <w:p w:rsidR="00E07156" w:rsidRPr="00E84A3B" w:rsidRDefault="00E07156" w:rsidP="00E07156">
      <w:pPr>
        <w:tabs>
          <w:tab w:val="left" w:pos="-720"/>
          <w:tab w:val="left" w:pos="5040"/>
        </w:tabs>
        <w:suppressAutoHyphens/>
        <w:jc w:val="both"/>
        <w:rPr>
          <w:spacing w:val="-3"/>
          <w:sz w:val="24"/>
          <w:szCs w:val="24"/>
        </w:rPr>
      </w:pPr>
    </w:p>
    <w:p w:rsidR="00E07156" w:rsidRPr="00E84A3B" w:rsidRDefault="00E07156" w:rsidP="00E07156">
      <w:pPr>
        <w:tabs>
          <w:tab w:val="center" w:pos="4680"/>
        </w:tabs>
        <w:suppressAutoHyphens/>
        <w:jc w:val="center"/>
        <w:rPr>
          <w:b/>
          <w:bCs/>
          <w:spacing w:val="-3"/>
          <w:sz w:val="24"/>
          <w:szCs w:val="24"/>
        </w:rPr>
      </w:pPr>
      <w:r w:rsidRPr="00E84A3B">
        <w:rPr>
          <w:b/>
          <w:bCs/>
          <w:spacing w:val="-3"/>
          <w:sz w:val="24"/>
          <w:szCs w:val="24"/>
          <w:u w:val="single"/>
        </w:rPr>
        <w:t>INITIAL DECISION</w:t>
      </w:r>
    </w:p>
    <w:p w:rsidR="00E07156" w:rsidRPr="00E84A3B" w:rsidRDefault="00E07156" w:rsidP="00694085">
      <w:pPr>
        <w:jc w:val="center"/>
        <w:rPr>
          <w:sz w:val="24"/>
          <w:szCs w:val="24"/>
        </w:rPr>
      </w:pPr>
    </w:p>
    <w:p w:rsidR="00E07156" w:rsidRPr="00E84A3B" w:rsidRDefault="00E07156" w:rsidP="00E07156">
      <w:pPr>
        <w:jc w:val="center"/>
        <w:rPr>
          <w:sz w:val="24"/>
          <w:szCs w:val="24"/>
        </w:rPr>
      </w:pPr>
    </w:p>
    <w:p w:rsidR="00E07156" w:rsidRPr="00E84A3B" w:rsidRDefault="00E07156" w:rsidP="00E07156">
      <w:pPr>
        <w:jc w:val="center"/>
        <w:rPr>
          <w:sz w:val="24"/>
          <w:szCs w:val="24"/>
        </w:rPr>
      </w:pPr>
      <w:r w:rsidRPr="00E84A3B">
        <w:rPr>
          <w:sz w:val="24"/>
          <w:szCs w:val="24"/>
        </w:rPr>
        <w:t>Before</w:t>
      </w:r>
    </w:p>
    <w:p w:rsidR="00E07156" w:rsidRPr="00E84A3B" w:rsidRDefault="009059FC" w:rsidP="00E07156">
      <w:pPr>
        <w:jc w:val="center"/>
        <w:rPr>
          <w:sz w:val="24"/>
          <w:szCs w:val="24"/>
        </w:rPr>
      </w:pPr>
      <w:r>
        <w:rPr>
          <w:sz w:val="24"/>
          <w:szCs w:val="24"/>
        </w:rPr>
        <w:t>Mary D. Long</w:t>
      </w:r>
    </w:p>
    <w:p w:rsidR="00E07156" w:rsidRPr="00E84A3B" w:rsidRDefault="00E07156" w:rsidP="00E07156">
      <w:pPr>
        <w:jc w:val="center"/>
        <w:rPr>
          <w:sz w:val="24"/>
          <w:szCs w:val="24"/>
        </w:rPr>
      </w:pPr>
      <w:r w:rsidRPr="00E84A3B">
        <w:rPr>
          <w:sz w:val="24"/>
          <w:szCs w:val="24"/>
        </w:rPr>
        <w:t>Administrative Law Judge</w:t>
      </w:r>
    </w:p>
    <w:p w:rsidR="00E07156" w:rsidRPr="00E84A3B" w:rsidRDefault="00E07156" w:rsidP="00694085">
      <w:pPr>
        <w:jc w:val="center"/>
        <w:rPr>
          <w:sz w:val="24"/>
          <w:szCs w:val="24"/>
        </w:rPr>
      </w:pPr>
    </w:p>
    <w:p w:rsidR="00E07156" w:rsidRPr="00E84A3B" w:rsidRDefault="00E07156" w:rsidP="00E84A3B">
      <w:pPr>
        <w:rPr>
          <w:sz w:val="24"/>
          <w:szCs w:val="24"/>
        </w:rPr>
      </w:pPr>
    </w:p>
    <w:p w:rsidR="007730F6" w:rsidRPr="00E84A3B" w:rsidRDefault="007730F6" w:rsidP="00694085">
      <w:pPr>
        <w:keepNext/>
        <w:jc w:val="center"/>
        <w:outlineLvl w:val="0"/>
        <w:rPr>
          <w:sz w:val="24"/>
          <w:szCs w:val="24"/>
          <w:u w:val="single"/>
        </w:rPr>
      </w:pPr>
      <w:r w:rsidRPr="00E84A3B">
        <w:rPr>
          <w:sz w:val="24"/>
          <w:szCs w:val="24"/>
          <w:u w:val="single"/>
        </w:rPr>
        <w:t>INTRODUCTION</w:t>
      </w:r>
    </w:p>
    <w:p w:rsidR="007730F6" w:rsidRPr="00E84A3B" w:rsidRDefault="007730F6" w:rsidP="00694085">
      <w:pPr>
        <w:keepNext/>
        <w:ind w:firstLine="1440"/>
        <w:outlineLvl w:val="0"/>
        <w:rPr>
          <w:sz w:val="24"/>
          <w:szCs w:val="24"/>
        </w:rPr>
      </w:pPr>
    </w:p>
    <w:p w:rsidR="00694085" w:rsidRPr="00E84A3B" w:rsidRDefault="00694085" w:rsidP="00694085">
      <w:pPr>
        <w:keepNext/>
        <w:ind w:firstLine="1440"/>
        <w:outlineLvl w:val="0"/>
        <w:rPr>
          <w:sz w:val="24"/>
          <w:szCs w:val="24"/>
        </w:rPr>
      </w:pPr>
    </w:p>
    <w:p w:rsidR="007730F6" w:rsidRPr="00E84A3B" w:rsidRDefault="00D62DE5" w:rsidP="00D02E59">
      <w:pPr>
        <w:keepNext/>
        <w:spacing w:line="360" w:lineRule="auto"/>
        <w:ind w:firstLine="1440"/>
        <w:outlineLvl w:val="0"/>
        <w:rPr>
          <w:sz w:val="24"/>
          <w:szCs w:val="24"/>
        </w:rPr>
      </w:pPr>
      <w:r>
        <w:rPr>
          <w:sz w:val="24"/>
          <w:szCs w:val="24"/>
        </w:rPr>
        <w:t xml:space="preserve">This decision grants </w:t>
      </w:r>
      <w:r w:rsidR="009059FC">
        <w:rPr>
          <w:sz w:val="24"/>
          <w:szCs w:val="24"/>
        </w:rPr>
        <w:t>petition</w:t>
      </w:r>
      <w:r>
        <w:rPr>
          <w:sz w:val="24"/>
          <w:szCs w:val="24"/>
        </w:rPr>
        <w:t>s</w:t>
      </w:r>
      <w:r w:rsidR="009059FC">
        <w:rPr>
          <w:sz w:val="24"/>
          <w:szCs w:val="24"/>
        </w:rPr>
        <w:t xml:space="preserve"> to withdraw a complaint</w:t>
      </w:r>
      <w:r w:rsidR="00A6709F" w:rsidRPr="00E84A3B">
        <w:rPr>
          <w:sz w:val="24"/>
          <w:szCs w:val="24"/>
        </w:rPr>
        <w:t xml:space="preserve"> </w:t>
      </w:r>
      <w:r w:rsidR="0065488C" w:rsidRPr="00E84A3B">
        <w:rPr>
          <w:sz w:val="24"/>
          <w:szCs w:val="24"/>
        </w:rPr>
        <w:t>because</w:t>
      </w:r>
      <w:r w:rsidR="009059FC">
        <w:rPr>
          <w:sz w:val="24"/>
          <w:szCs w:val="24"/>
        </w:rPr>
        <w:t xml:space="preserve"> there was no objection to the petition</w:t>
      </w:r>
      <w:r>
        <w:rPr>
          <w:sz w:val="24"/>
          <w:szCs w:val="24"/>
        </w:rPr>
        <w:t>s</w:t>
      </w:r>
      <w:r w:rsidR="009059FC">
        <w:rPr>
          <w:sz w:val="24"/>
          <w:szCs w:val="24"/>
        </w:rPr>
        <w:t xml:space="preserve"> and granting the p</w:t>
      </w:r>
      <w:r w:rsidR="0065488C" w:rsidRPr="00E84A3B">
        <w:rPr>
          <w:sz w:val="24"/>
          <w:szCs w:val="24"/>
        </w:rPr>
        <w:t>etition</w:t>
      </w:r>
      <w:r>
        <w:rPr>
          <w:sz w:val="24"/>
          <w:szCs w:val="24"/>
        </w:rPr>
        <w:t>s</w:t>
      </w:r>
      <w:r w:rsidR="0065488C" w:rsidRPr="00E84A3B">
        <w:rPr>
          <w:sz w:val="24"/>
          <w:szCs w:val="24"/>
        </w:rPr>
        <w:t xml:space="preserve"> is in the public interest.</w:t>
      </w:r>
    </w:p>
    <w:p w:rsidR="009E0EE7" w:rsidRPr="00E84A3B" w:rsidRDefault="009E0EE7" w:rsidP="00D02E59">
      <w:pPr>
        <w:keepNext/>
        <w:spacing w:line="360" w:lineRule="auto"/>
        <w:outlineLvl w:val="0"/>
        <w:rPr>
          <w:sz w:val="24"/>
          <w:szCs w:val="24"/>
        </w:rPr>
      </w:pPr>
    </w:p>
    <w:p w:rsidR="00E07156" w:rsidRPr="00E84A3B" w:rsidRDefault="00E07156" w:rsidP="00D02E59">
      <w:pPr>
        <w:keepNext/>
        <w:spacing w:line="360" w:lineRule="auto"/>
        <w:jc w:val="center"/>
        <w:outlineLvl w:val="0"/>
        <w:rPr>
          <w:sz w:val="24"/>
          <w:szCs w:val="24"/>
          <w:u w:val="single"/>
        </w:rPr>
      </w:pPr>
      <w:r w:rsidRPr="00E84A3B">
        <w:rPr>
          <w:sz w:val="24"/>
          <w:szCs w:val="24"/>
          <w:u w:val="single"/>
        </w:rPr>
        <w:t>HISTORY OF THE PROCEEDING</w:t>
      </w:r>
    </w:p>
    <w:p w:rsidR="00405714" w:rsidRPr="00E84A3B" w:rsidRDefault="00405714" w:rsidP="00D02E59">
      <w:pPr>
        <w:spacing w:line="360" w:lineRule="auto"/>
        <w:jc w:val="center"/>
        <w:rPr>
          <w:sz w:val="24"/>
          <w:szCs w:val="24"/>
        </w:rPr>
      </w:pPr>
    </w:p>
    <w:p w:rsidR="0002402C" w:rsidRDefault="0002402C" w:rsidP="006E5BB5">
      <w:pPr>
        <w:pStyle w:val="Style"/>
        <w:spacing w:line="360" w:lineRule="auto"/>
        <w:ind w:firstLine="1440"/>
        <w:rPr>
          <w:bCs/>
          <w:color w:val="000000"/>
        </w:rPr>
      </w:pPr>
      <w:r>
        <w:rPr>
          <w:bCs/>
          <w:color w:val="000000"/>
        </w:rPr>
        <w:t xml:space="preserve">On November 4, 2015, Peter M. Sutliff filed a formal complaint against UGI Utilities, Inc. – Gas Division (UGI).  Mr. Sutliff alleged that UGI disregarded the requirements of 52 Pa.Code § 59.18, concerning the placement of meters in </w:t>
      </w:r>
      <w:r w:rsidR="00564DB6">
        <w:rPr>
          <w:bCs/>
          <w:color w:val="000000"/>
        </w:rPr>
        <w:t>historic areas</w:t>
      </w:r>
      <w:r>
        <w:rPr>
          <w:bCs/>
          <w:color w:val="000000"/>
        </w:rPr>
        <w:t xml:space="preserve">.  He further alleged that this action of UGI has negatively impacted the value of property he owns in an historic district of Reading.  </w:t>
      </w:r>
      <w:r w:rsidR="003A32CB">
        <w:rPr>
          <w:bCs/>
          <w:color w:val="000000"/>
        </w:rPr>
        <w:t xml:space="preserve">On November 5, 2015, Javier Ortega-Benitez </w:t>
      </w:r>
      <w:r>
        <w:rPr>
          <w:bCs/>
          <w:color w:val="000000"/>
        </w:rPr>
        <w:t xml:space="preserve">filed an identical </w:t>
      </w:r>
      <w:r w:rsidR="003A32CB">
        <w:rPr>
          <w:bCs/>
          <w:color w:val="000000"/>
        </w:rPr>
        <w:t xml:space="preserve">formal complaint against UGI Utilities, Inc. – Gas Division (UGI).  </w:t>
      </w:r>
      <w:r w:rsidR="00632C91">
        <w:rPr>
          <w:bCs/>
          <w:color w:val="000000"/>
        </w:rPr>
        <w:t>Mr. Ortega-Benitez</w:t>
      </w:r>
      <w:r w:rsidR="003A32CB">
        <w:rPr>
          <w:bCs/>
          <w:color w:val="000000"/>
        </w:rPr>
        <w:t xml:space="preserve"> </w:t>
      </w:r>
      <w:r>
        <w:rPr>
          <w:bCs/>
          <w:color w:val="000000"/>
        </w:rPr>
        <w:t xml:space="preserve">also </w:t>
      </w:r>
      <w:r w:rsidR="003A32CB">
        <w:rPr>
          <w:bCs/>
          <w:color w:val="000000"/>
        </w:rPr>
        <w:t xml:space="preserve">alleged that </w:t>
      </w:r>
      <w:r w:rsidR="003A32CB">
        <w:rPr>
          <w:bCs/>
          <w:color w:val="000000"/>
        </w:rPr>
        <w:lastRenderedPageBreak/>
        <w:t>UGI disregarded the requirements of 52 Pa.Code § 59.18, concerning the placement of me</w:t>
      </w:r>
      <w:r w:rsidR="00564DB6">
        <w:rPr>
          <w:bCs/>
          <w:color w:val="000000"/>
        </w:rPr>
        <w:t xml:space="preserve">ters in  historic districts, </w:t>
      </w:r>
      <w:r>
        <w:rPr>
          <w:bCs/>
          <w:color w:val="000000"/>
        </w:rPr>
        <w:t>which he claimed had</w:t>
      </w:r>
      <w:r w:rsidR="003A32CB">
        <w:rPr>
          <w:bCs/>
          <w:color w:val="000000"/>
        </w:rPr>
        <w:t xml:space="preserve"> negatively impacted the value of property he owns in an historic district of Reading.  </w:t>
      </w:r>
    </w:p>
    <w:p w:rsidR="00564DB6" w:rsidRDefault="00564DB6" w:rsidP="006E5BB5">
      <w:pPr>
        <w:pStyle w:val="Style"/>
        <w:spacing w:line="360" w:lineRule="auto"/>
        <w:ind w:firstLine="1440"/>
        <w:rPr>
          <w:bCs/>
          <w:color w:val="000000"/>
        </w:rPr>
      </w:pPr>
    </w:p>
    <w:p w:rsidR="00B62D11" w:rsidRDefault="003A32CB" w:rsidP="006E5BB5">
      <w:pPr>
        <w:pStyle w:val="Style"/>
        <w:spacing w:line="360" w:lineRule="auto"/>
        <w:ind w:firstLine="1440"/>
        <w:rPr>
          <w:bCs/>
          <w:color w:val="000000"/>
        </w:rPr>
      </w:pPr>
      <w:r>
        <w:rPr>
          <w:bCs/>
          <w:color w:val="000000"/>
        </w:rPr>
        <w:t xml:space="preserve">UGI </w:t>
      </w:r>
      <w:r w:rsidR="00D56CFE">
        <w:rPr>
          <w:bCs/>
          <w:color w:val="000000"/>
        </w:rPr>
        <w:t>filed answers</w:t>
      </w:r>
      <w:r w:rsidR="0002402C">
        <w:rPr>
          <w:bCs/>
          <w:color w:val="000000"/>
        </w:rPr>
        <w:t xml:space="preserve"> to both complaints</w:t>
      </w:r>
      <w:r>
        <w:rPr>
          <w:bCs/>
          <w:color w:val="000000"/>
        </w:rPr>
        <w:t xml:space="preserve"> denying the material allegations of the complaint</w:t>
      </w:r>
      <w:r w:rsidR="0002402C">
        <w:rPr>
          <w:bCs/>
          <w:color w:val="000000"/>
        </w:rPr>
        <w:t>s</w:t>
      </w:r>
      <w:r>
        <w:rPr>
          <w:bCs/>
          <w:color w:val="000000"/>
        </w:rPr>
        <w:t xml:space="preserve"> on December 7, 2015.  </w:t>
      </w:r>
      <w:r w:rsidR="00D56CFE">
        <w:rPr>
          <w:bCs/>
          <w:color w:val="000000"/>
        </w:rPr>
        <w:t xml:space="preserve">On January 26, 2016, UGI filed </w:t>
      </w:r>
      <w:r>
        <w:rPr>
          <w:bCs/>
          <w:color w:val="000000"/>
        </w:rPr>
        <w:t>revised answer</w:t>
      </w:r>
      <w:r w:rsidR="0002402C">
        <w:rPr>
          <w:bCs/>
          <w:color w:val="000000"/>
        </w:rPr>
        <w:t>s</w:t>
      </w:r>
      <w:r>
        <w:rPr>
          <w:bCs/>
          <w:color w:val="000000"/>
        </w:rPr>
        <w:t xml:space="preserve"> which averred that UGI had not </w:t>
      </w:r>
      <w:r w:rsidR="00564DB6">
        <w:rPr>
          <w:bCs/>
          <w:color w:val="000000"/>
        </w:rPr>
        <w:t xml:space="preserve">yet </w:t>
      </w:r>
      <w:r>
        <w:rPr>
          <w:bCs/>
          <w:color w:val="000000"/>
        </w:rPr>
        <w:t>relocated the meter</w:t>
      </w:r>
      <w:r w:rsidR="00564DB6">
        <w:rPr>
          <w:bCs/>
          <w:color w:val="000000"/>
        </w:rPr>
        <w:t xml:space="preserve"> at either of the Complainant</w:t>
      </w:r>
      <w:r w:rsidR="0002402C">
        <w:rPr>
          <w:bCs/>
          <w:color w:val="000000"/>
        </w:rPr>
        <w:t>s</w:t>
      </w:r>
      <w:r w:rsidR="00564DB6">
        <w:rPr>
          <w:bCs/>
          <w:color w:val="000000"/>
        </w:rPr>
        <w:t>’</w:t>
      </w:r>
      <w:r w:rsidR="0002402C">
        <w:rPr>
          <w:bCs/>
          <w:color w:val="000000"/>
        </w:rPr>
        <w:t xml:space="preserve"> </w:t>
      </w:r>
      <w:r>
        <w:rPr>
          <w:bCs/>
          <w:color w:val="000000"/>
        </w:rPr>
        <w:t xml:space="preserve">service </w:t>
      </w:r>
      <w:r w:rsidR="007E4467">
        <w:rPr>
          <w:bCs/>
          <w:color w:val="000000"/>
        </w:rPr>
        <w:t>address</w:t>
      </w:r>
      <w:r w:rsidR="00564DB6">
        <w:rPr>
          <w:bCs/>
          <w:color w:val="000000"/>
        </w:rPr>
        <w:t>es</w:t>
      </w:r>
      <w:r>
        <w:rPr>
          <w:bCs/>
          <w:color w:val="000000"/>
        </w:rPr>
        <w:t>.</w:t>
      </w:r>
    </w:p>
    <w:p w:rsidR="0002402C" w:rsidRDefault="0002402C" w:rsidP="006E5BB5">
      <w:pPr>
        <w:pStyle w:val="Style"/>
        <w:spacing w:line="360" w:lineRule="auto"/>
        <w:ind w:firstLine="1440"/>
        <w:rPr>
          <w:bCs/>
          <w:color w:val="000000"/>
        </w:rPr>
      </w:pPr>
    </w:p>
    <w:p w:rsidR="003A32CB" w:rsidRDefault="003A32CB" w:rsidP="006E5BB5">
      <w:pPr>
        <w:pStyle w:val="Style"/>
        <w:spacing w:line="360" w:lineRule="auto"/>
        <w:ind w:firstLine="1440"/>
        <w:rPr>
          <w:bCs/>
          <w:color w:val="000000"/>
        </w:rPr>
      </w:pPr>
      <w:r>
        <w:rPr>
          <w:bCs/>
          <w:color w:val="000000"/>
        </w:rPr>
        <w:t xml:space="preserve">By notice dated December 30, 2015, </w:t>
      </w:r>
      <w:r w:rsidR="0002402C">
        <w:rPr>
          <w:bCs/>
          <w:color w:val="000000"/>
        </w:rPr>
        <w:t>the complaint of Mr. Sutliff</w:t>
      </w:r>
      <w:r>
        <w:rPr>
          <w:bCs/>
          <w:color w:val="000000"/>
        </w:rPr>
        <w:t xml:space="preserve"> was assigned to Administrative Law Judge </w:t>
      </w:r>
      <w:r w:rsidR="0002402C">
        <w:rPr>
          <w:bCs/>
          <w:color w:val="000000"/>
        </w:rPr>
        <w:t>Conrad A. Johnson and scheduled for a telephonic hearing on February 8, 2016.  Also by notice dated December 30, 2</w:t>
      </w:r>
      <w:r w:rsidR="006165D5">
        <w:rPr>
          <w:bCs/>
          <w:color w:val="000000"/>
        </w:rPr>
        <w:t>01</w:t>
      </w:r>
      <w:r w:rsidR="0002402C">
        <w:rPr>
          <w:bCs/>
          <w:color w:val="000000"/>
        </w:rPr>
        <w:t>5, the complaint of Mr.</w:t>
      </w:r>
      <w:r w:rsidR="00435DE4">
        <w:rPr>
          <w:bCs/>
          <w:color w:val="000000"/>
        </w:rPr>
        <w:t> </w:t>
      </w:r>
      <w:r w:rsidR="0002402C">
        <w:rPr>
          <w:bCs/>
          <w:color w:val="000000"/>
        </w:rPr>
        <w:t xml:space="preserve">Ortega-Benitez was assigned to </w:t>
      </w:r>
      <w:r>
        <w:rPr>
          <w:bCs/>
          <w:color w:val="000000"/>
        </w:rPr>
        <w:t>Jeffery A. Watson and scheduled for a telephonic hearing on February 16, 2016.</w:t>
      </w:r>
      <w:r w:rsidR="00632C91">
        <w:rPr>
          <w:bCs/>
          <w:color w:val="000000"/>
        </w:rPr>
        <w:t xml:space="preserve">  Following a review of </w:t>
      </w:r>
      <w:r w:rsidR="00564DB6">
        <w:rPr>
          <w:bCs/>
          <w:color w:val="000000"/>
        </w:rPr>
        <w:t>these</w:t>
      </w:r>
      <w:r w:rsidR="00632C91">
        <w:rPr>
          <w:bCs/>
          <w:color w:val="000000"/>
        </w:rPr>
        <w:t xml:space="preserve"> complaint</w:t>
      </w:r>
      <w:r w:rsidR="00564DB6">
        <w:rPr>
          <w:bCs/>
          <w:color w:val="000000"/>
        </w:rPr>
        <w:t>s</w:t>
      </w:r>
      <w:r w:rsidR="00632C91">
        <w:rPr>
          <w:bCs/>
          <w:color w:val="000000"/>
        </w:rPr>
        <w:t>, and several other complaints which raised similar concerns regarding the placement of meters in the historic districts of Reading, the complaint</w:t>
      </w:r>
      <w:r w:rsidR="0002402C">
        <w:rPr>
          <w:bCs/>
          <w:color w:val="000000"/>
        </w:rPr>
        <w:t>s</w:t>
      </w:r>
      <w:r w:rsidR="00632C91">
        <w:rPr>
          <w:bCs/>
          <w:color w:val="000000"/>
        </w:rPr>
        <w:t xml:space="preserve"> </w:t>
      </w:r>
      <w:r w:rsidR="0002402C">
        <w:rPr>
          <w:bCs/>
          <w:color w:val="000000"/>
        </w:rPr>
        <w:t xml:space="preserve">were </w:t>
      </w:r>
      <w:r w:rsidR="00632C91">
        <w:rPr>
          <w:bCs/>
          <w:color w:val="000000"/>
        </w:rPr>
        <w:t xml:space="preserve">reassigned to Administrative Law Judge Mary D. Long. </w:t>
      </w:r>
      <w:r w:rsidR="00435DE4">
        <w:rPr>
          <w:bCs/>
          <w:color w:val="000000"/>
        </w:rPr>
        <w:t xml:space="preserve"> </w:t>
      </w:r>
      <w:r w:rsidR="00632C91">
        <w:rPr>
          <w:bCs/>
          <w:color w:val="000000"/>
        </w:rPr>
        <w:t>The initial hearing</w:t>
      </w:r>
      <w:r w:rsidR="0002402C">
        <w:rPr>
          <w:bCs/>
          <w:color w:val="000000"/>
        </w:rPr>
        <w:t>s</w:t>
      </w:r>
      <w:r w:rsidR="00632C91">
        <w:rPr>
          <w:bCs/>
          <w:color w:val="000000"/>
        </w:rPr>
        <w:t xml:space="preserve"> </w:t>
      </w:r>
      <w:r w:rsidR="0002402C">
        <w:rPr>
          <w:bCs/>
          <w:color w:val="000000"/>
        </w:rPr>
        <w:t>were</w:t>
      </w:r>
      <w:r w:rsidR="00632C91">
        <w:rPr>
          <w:bCs/>
          <w:color w:val="000000"/>
        </w:rPr>
        <w:t xml:space="preserve"> cancelled and rescheduled as a</w:t>
      </w:r>
      <w:r w:rsidR="0002402C">
        <w:rPr>
          <w:bCs/>
          <w:color w:val="000000"/>
        </w:rPr>
        <w:t xml:space="preserve"> joint</w:t>
      </w:r>
      <w:r w:rsidR="00632C91">
        <w:rPr>
          <w:bCs/>
          <w:color w:val="000000"/>
        </w:rPr>
        <w:t xml:space="preserve"> prehearing conference by telephone on February 11, 2016.</w:t>
      </w:r>
    </w:p>
    <w:p w:rsidR="00435DE4" w:rsidRDefault="00435DE4" w:rsidP="006E5BB5">
      <w:pPr>
        <w:pStyle w:val="Style"/>
        <w:spacing w:line="360" w:lineRule="auto"/>
        <w:ind w:firstLine="1440"/>
        <w:rPr>
          <w:bCs/>
          <w:color w:val="000000"/>
        </w:rPr>
      </w:pPr>
    </w:p>
    <w:p w:rsidR="00632C91" w:rsidRDefault="00632C91" w:rsidP="006E5BB5">
      <w:pPr>
        <w:pStyle w:val="Style"/>
        <w:spacing w:line="360" w:lineRule="auto"/>
        <w:ind w:firstLine="1440"/>
        <w:rPr>
          <w:bCs/>
          <w:color w:val="000000"/>
        </w:rPr>
      </w:pPr>
      <w:r>
        <w:rPr>
          <w:bCs/>
          <w:color w:val="000000"/>
        </w:rPr>
        <w:t xml:space="preserve">On or about January 27, 2016, </w:t>
      </w:r>
      <w:r w:rsidR="0002402C">
        <w:rPr>
          <w:bCs/>
          <w:color w:val="000000"/>
        </w:rPr>
        <w:t>Mr. Ortega Benitez</w:t>
      </w:r>
      <w:r>
        <w:rPr>
          <w:bCs/>
          <w:color w:val="000000"/>
        </w:rPr>
        <w:t xml:space="preserve"> mailed a Petition to Withdraw Complaint.  </w:t>
      </w:r>
      <w:r w:rsidR="0002402C">
        <w:rPr>
          <w:bCs/>
          <w:color w:val="000000"/>
        </w:rPr>
        <w:t xml:space="preserve">Mr. Sutliff mailed an identical petition.  </w:t>
      </w:r>
      <w:r>
        <w:rPr>
          <w:bCs/>
          <w:color w:val="000000"/>
        </w:rPr>
        <w:t>The petition</w:t>
      </w:r>
      <w:r w:rsidR="0002402C">
        <w:rPr>
          <w:bCs/>
          <w:color w:val="000000"/>
        </w:rPr>
        <w:t>s</w:t>
      </w:r>
      <w:r>
        <w:rPr>
          <w:bCs/>
          <w:color w:val="000000"/>
        </w:rPr>
        <w:t xml:space="preserve"> seek leave to withdraw the complaint</w:t>
      </w:r>
      <w:r w:rsidR="0002402C">
        <w:rPr>
          <w:bCs/>
          <w:color w:val="000000"/>
        </w:rPr>
        <w:t>s</w:t>
      </w:r>
      <w:r>
        <w:rPr>
          <w:bCs/>
          <w:color w:val="000000"/>
        </w:rPr>
        <w:t xml:space="preserve"> without prejudice.</w:t>
      </w:r>
      <w:r>
        <w:rPr>
          <w:rStyle w:val="FootnoteReference"/>
          <w:bCs/>
          <w:color w:val="000000"/>
        </w:rPr>
        <w:footnoteReference w:id="1"/>
      </w:r>
    </w:p>
    <w:p w:rsidR="00435DE4" w:rsidRDefault="00435DE4" w:rsidP="006E5BB5">
      <w:pPr>
        <w:pStyle w:val="Style"/>
        <w:spacing w:line="360" w:lineRule="auto"/>
        <w:ind w:firstLine="1440"/>
        <w:rPr>
          <w:bCs/>
          <w:color w:val="000000"/>
        </w:rPr>
      </w:pPr>
    </w:p>
    <w:p w:rsidR="00D02E59" w:rsidRDefault="00632C91" w:rsidP="006E5BB5">
      <w:pPr>
        <w:pStyle w:val="Style"/>
        <w:spacing w:line="360" w:lineRule="auto"/>
        <w:ind w:firstLine="1440"/>
        <w:rPr>
          <w:bCs/>
          <w:color w:val="000000"/>
        </w:rPr>
      </w:pPr>
      <w:r>
        <w:rPr>
          <w:bCs/>
          <w:color w:val="000000"/>
        </w:rPr>
        <w:t>The prehearing conference convened as scheduled.  Counsel for UGI, Mark C. Morrow and Danielle Jouenne, appeared.  Additiona</w:t>
      </w:r>
      <w:r w:rsidR="00564DB6">
        <w:rPr>
          <w:bCs/>
          <w:color w:val="000000"/>
        </w:rPr>
        <w:t>l</w:t>
      </w:r>
      <w:r>
        <w:rPr>
          <w:bCs/>
          <w:color w:val="000000"/>
        </w:rPr>
        <w:t>l</w:t>
      </w:r>
      <w:r w:rsidR="00564DB6">
        <w:rPr>
          <w:bCs/>
          <w:color w:val="000000"/>
        </w:rPr>
        <w:t>y</w:t>
      </w:r>
      <w:r>
        <w:rPr>
          <w:bCs/>
          <w:color w:val="000000"/>
        </w:rPr>
        <w:t>, counsel for other complainants, the Centre Park Historic District and Peter Hart</w:t>
      </w:r>
      <w:r w:rsidR="00D62DE5">
        <w:rPr>
          <w:bCs/>
          <w:color w:val="000000"/>
        </w:rPr>
        <w:t>,</w:t>
      </w:r>
      <w:r>
        <w:rPr>
          <w:bCs/>
          <w:color w:val="000000"/>
        </w:rPr>
        <w:t xml:space="preserve"> also appeared.</w:t>
      </w:r>
      <w:r w:rsidR="00564DB6" w:rsidRPr="00564DB6">
        <w:rPr>
          <w:rStyle w:val="FootnoteReference"/>
          <w:bCs/>
          <w:color w:val="000000"/>
        </w:rPr>
        <w:t xml:space="preserve"> </w:t>
      </w:r>
      <w:r w:rsidR="00564DB6">
        <w:rPr>
          <w:rStyle w:val="FootnoteReference"/>
          <w:bCs/>
          <w:color w:val="000000"/>
        </w:rPr>
        <w:footnoteReference w:id="2"/>
      </w:r>
      <w:r w:rsidR="00564DB6">
        <w:rPr>
          <w:bCs/>
          <w:color w:val="000000"/>
        </w:rPr>
        <w:t xml:space="preserve"> </w:t>
      </w:r>
      <w:r>
        <w:rPr>
          <w:bCs/>
          <w:color w:val="000000"/>
        </w:rPr>
        <w:t xml:space="preserve"> </w:t>
      </w:r>
      <w:r w:rsidR="0002402C">
        <w:rPr>
          <w:bCs/>
          <w:color w:val="000000"/>
        </w:rPr>
        <w:t>Neither Mr. Sutliff nor Mr. Ortega-Benitez appeared</w:t>
      </w:r>
      <w:r>
        <w:rPr>
          <w:bCs/>
          <w:color w:val="000000"/>
        </w:rPr>
        <w:t>.  No party or other complainant objected to the withdrawal of the complaints without prejudice.</w:t>
      </w:r>
    </w:p>
    <w:p w:rsidR="00E91C66" w:rsidRDefault="00E91C66" w:rsidP="006E5BB5">
      <w:pPr>
        <w:spacing w:line="360" w:lineRule="auto"/>
        <w:jc w:val="center"/>
        <w:rPr>
          <w:sz w:val="24"/>
          <w:szCs w:val="24"/>
          <w:u w:val="single"/>
        </w:rPr>
      </w:pPr>
    </w:p>
    <w:p w:rsidR="007A1645" w:rsidRPr="00E84A3B" w:rsidRDefault="007A1645" w:rsidP="006E5BB5">
      <w:pPr>
        <w:spacing w:line="360" w:lineRule="auto"/>
        <w:jc w:val="center"/>
        <w:rPr>
          <w:sz w:val="24"/>
          <w:szCs w:val="24"/>
        </w:rPr>
      </w:pPr>
      <w:r w:rsidRPr="00E84A3B">
        <w:rPr>
          <w:sz w:val="24"/>
          <w:szCs w:val="24"/>
          <w:u w:val="single"/>
        </w:rPr>
        <w:lastRenderedPageBreak/>
        <w:t>FINDINGS OF FACT</w:t>
      </w:r>
    </w:p>
    <w:p w:rsidR="007A1645" w:rsidRPr="00E84A3B" w:rsidRDefault="007A1645" w:rsidP="006E5BB5">
      <w:pPr>
        <w:spacing w:line="360" w:lineRule="auto"/>
        <w:ind w:firstLine="1440"/>
        <w:rPr>
          <w:sz w:val="24"/>
          <w:szCs w:val="24"/>
        </w:rPr>
      </w:pPr>
    </w:p>
    <w:p w:rsidR="0052583D" w:rsidRPr="00E84A3B" w:rsidRDefault="007A1645" w:rsidP="006E5BB5">
      <w:pPr>
        <w:pStyle w:val="ListParagraph"/>
        <w:numPr>
          <w:ilvl w:val="0"/>
          <w:numId w:val="8"/>
        </w:numPr>
        <w:spacing w:line="360" w:lineRule="auto"/>
        <w:ind w:left="0" w:firstLine="1440"/>
        <w:contextualSpacing/>
        <w:rPr>
          <w:sz w:val="24"/>
          <w:szCs w:val="24"/>
        </w:rPr>
      </w:pPr>
      <w:r w:rsidRPr="00E84A3B">
        <w:rPr>
          <w:sz w:val="24"/>
          <w:szCs w:val="24"/>
        </w:rPr>
        <w:t>The</w:t>
      </w:r>
      <w:r w:rsidR="0052583D" w:rsidRPr="00E84A3B">
        <w:rPr>
          <w:sz w:val="24"/>
          <w:szCs w:val="24"/>
        </w:rPr>
        <w:t xml:space="preserve"> Complainant</w:t>
      </w:r>
      <w:r w:rsidR="0002402C">
        <w:rPr>
          <w:sz w:val="24"/>
          <w:szCs w:val="24"/>
        </w:rPr>
        <w:t>s</w:t>
      </w:r>
      <w:r w:rsidR="0052583D" w:rsidRPr="00E84A3B">
        <w:rPr>
          <w:sz w:val="24"/>
          <w:szCs w:val="24"/>
        </w:rPr>
        <w:t xml:space="preserve"> </w:t>
      </w:r>
      <w:r w:rsidR="0002402C">
        <w:rPr>
          <w:sz w:val="24"/>
          <w:szCs w:val="24"/>
        </w:rPr>
        <w:t>are Peter M. Sutliff and Javier Ortega-Benitez</w:t>
      </w:r>
      <w:r w:rsidR="0052583D" w:rsidRPr="00E84A3B">
        <w:rPr>
          <w:sz w:val="24"/>
          <w:szCs w:val="24"/>
        </w:rPr>
        <w:t>.</w:t>
      </w:r>
    </w:p>
    <w:p w:rsidR="0052583D" w:rsidRPr="00E84A3B" w:rsidRDefault="0052583D" w:rsidP="006E5BB5">
      <w:pPr>
        <w:pStyle w:val="ListParagraph"/>
        <w:spacing w:line="360" w:lineRule="auto"/>
        <w:ind w:left="1440"/>
        <w:contextualSpacing/>
        <w:rPr>
          <w:sz w:val="24"/>
          <w:szCs w:val="24"/>
        </w:rPr>
      </w:pPr>
    </w:p>
    <w:p w:rsidR="0052583D" w:rsidRPr="00E84A3B" w:rsidRDefault="0052583D" w:rsidP="006E5BB5">
      <w:pPr>
        <w:pStyle w:val="ListParagraph"/>
        <w:numPr>
          <w:ilvl w:val="0"/>
          <w:numId w:val="8"/>
        </w:numPr>
        <w:spacing w:line="360" w:lineRule="auto"/>
        <w:ind w:left="0" w:firstLine="1440"/>
        <w:contextualSpacing/>
        <w:rPr>
          <w:sz w:val="24"/>
          <w:szCs w:val="24"/>
        </w:rPr>
      </w:pPr>
      <w:r w:rsidRPr="00E84A3B">
        <w:rPr>
          <w:sz w:val="24"/>
          <w:szCs w:val="24"/>
        </w:rPr>
        <w:t xml:space="preserve">The Respondent in this case is </w:t>
      </w:r>
      <w:r w:rsidR="0002402C">
        <w:rPr>
          <w:sz w:val="24"/>
          <w:szCs w:val="24"/>
        </w:rPr>
        <w:t>UGI Utilities, Inc. – Gas Division</w:t>
      </w:r>
      <w:r w:rsidRPr="00E84A3B">
        <w:rPr>
          <w:sz w:val="24"/>
          <w:szCs w:val="24"/>
        </w:rPr>
        <w:t>.</w:t>
      </w:r>
    </w:p>
    <w:p w:rsidR="0052583D" w:rsidRPr="00E84A3B" w:rsidRDefault="0052583D" w:rsidP="006E5BB5">
      <w:pPr>
        <w:pStyle w:val="ListParagraph"/>
        <w:spacing w:line="360" w:lineRule="auto"/>
        <w:ind w:left="1440"/>
        <w:contextualSpacing/>
        <w:rPr>
          <w:sz w:val="24"/>
          <w:szCs w:val="24"/>
        </w:rPr>
      </w:pPr>
    </w:p>
    <w:p w:rsidR="00641A2F" w:rsidRPr="00252937" w:rsidRDefault="0002402C" w:rsidP="006E5BB5">
      <w:pPr>
        <w:pStyle w:val="ListParagraph"/>
        <w:numPr>
          <w:ilvl w:val="0"/>
          <w:numId w:val="8"/>
        </w:numPr>
        <w:spacing w:line="360" w:lineRule="auto"/>
        <w:ind w:left="0" w:firstLine="1440"/>
        <w:contextualSpacing/>
        <w:rPr>
          <w:sz w:val="24"/>
          <w:szCs w:val="24"/>
        </w:rPr>
      </w:pPr>
      <w:r>
        <w:rPr>
          <w:sz w:val="24"/>
          <w:szCs w:val="24"/>
        </w:rPr>
        <w:t>Mr. Ortega-Benitez and Mr. Sutliff filed petitions to withdraw their complaints without prejudice</w:t>
      </w:r>
      <w:r w:rsidR="00502169">
        <w:rPr>
          <w:sz w:val="24"/>
          <w:szCs w:val="24"/>
        </w:rPr>
        <w:t xml:space="preserve"> on January 27, 2016 and January 29, 2016, respectively</w:t>
      </w:r>
      <w:r>
        <w:rPr>
          <w:sz w:val="24"/>
          <w:szCs w:val="24"/>
        </w:rPr>
        <w:t>.</w:t>
      </w:r>
    </w:p>
    <w:p w:rsidR="00641A2F" w:rsidRPr="00641A2F" w:rsidRDefault="00641A2F" w:rsidP="006E5BB5">
      <w:pPr>
        <w:pStyle w:val="ListParagraph"/>
        <w:spacing w:line="360" w:lineRule="auto"/>
        <w:rPr>
          <w:sz w:val="24"/>
          <w:szCs w:val="24"/>
        </w:rPr>
      </w:pPr>
    </w:p>
    <w:p w:rsidR="00D338E0" w:rsidRPr="00641A2F" w:rsidRDefault="0002402C" w:rsidP="006E5BB5">
      <w:pPr>
        <w:pStyle w:val="ListParagraph"/>
        <w:numPr>
          <w:ilvl w:val="0"/>
          <w:numId w:val="8"/>
        </w:numPr>
        <w:spacing w:line="360" w:lineRule="auto"/>
        <w:ind w:left="0" w:firstLine="1440"/>
        <w:contextualSpacing/>
        <w:rPr>
          <w:spacing w:val="-3"/>
          <w:sz w:val="24"/>
          <w:szCs w:val="24"/>
          <w:u w:val="single"/>
        </w:rPr>
      </w:pPr>
      <w:r>
        <w:rPr>
          <w:sz w:val="24"/>
          <w:szCs w:val="24"/>
        </w:rPr>
        <w:t>UGI Utilities, Inc.- Gas Division, did not object to the withdrawal without prejudice</w:t>
      </w:r>
      <w:r w:rsidR="00641A2F" w:rsidRPr="00641A2F">
        <w:rPr>
          <w:sz w:val="24"/>
          <w:szCs w:val="24"/>
        </w:rPr>
        <w:t>.</w:t>
      </w:r>
    </w:p>
    <w:p w:rsidR="00641A2F" w:rsidRPr="00641A2F" w:rsidRDefault="00641A2F" w:rsidP="006E5BB5">
      <w:pPr>
        <w:pStyle w:val="ListParagraph"/>
        <w:spacing w:line="360" w:lineRule="auto"/>
        <w:rPr>
          <w:spacing w:val="-3"/>
          <w:sz w:val="24"/>
          <w:szCs w:val="24"/>
          <w:u w:val="single"/>
        </w:rPr>
      </w:pPr>
      <w:bookmarkStart w:id="0" w:name="_GoBack"/>
      <w:bookmarkEnd w:id="0"/>
    </w:p>
    <w:p w:rsidR="007A1645" w:rsidRPr="00641A2F" w:rsidRDefault="007A1645" w:rsidP="006E5BB5">
      <w:pPr>
        <w:tabs>
          <w:tab w:val="left" w:pos="-720"/>
        </w:tabs>
        <w:suppressAutoHyphens/>
        <w:spacing w:line="360" w:lineRule="auto"/>
        <w:jc w:val="center"/>
        <w:rPr>
          <w:spacing w:val="-3"/>
          <w:sz w:val="24"/>
          <w:szCs w:val="24"/>
          <w:u w:val="single"/>
        </w:rPr>
      </w:pPr>
      <w:r w:rsidRPr="00641A2F">
        <w:rPr>
          <w:spacing w:val="-3"/>
          <w:sz w:val="24"/>
          <w:szCs w:val="24"/>
          <w:u w:val="single"/>
        </w:rPr>
        <w:t>DISCUSSION</w:t>
      </w:r>
    </w:p>
    <w:p w:rsidR="007A1645" w:rsidRPr="00641A2F" w:rsidRDefault="007A1645" w:rsidP="006E5BB5">
      <w:pPr>
        <w:tabs>
          <w:tab w:val="left" w:pos="-720"/>
        </w:tabs>
        <w:suppressAutoHyphens/>
        <w:spacing w:line="360" w:lineRule="auto"/>
        <w:rPr>
          <w:spacing w:val="-3"/>
          <w:sz w:val="24"/>
          <w:szCs w:val="24"/>
        </w:rPr>
      </w:pPr>
    </w:p>
    <w:p w:rsidR="007A1645" w:rsidRPr="00641A2F" w:rsidRDefault="007A1645" w:rsidP="006E5BB5">
      <w:pPr>
        <w:widowControl w:val="0"/>
        <w:adjustRightInd w:val="0"/>
        <w:spacing w:line="360" w:lineRule="auto"/>
        <w:ind w:firstLine="1440"/>
        <w:rPr>
          <w:color w:val="000000"/>
          <w:sz w:val="24"/>
          <w:szCs w:val="24"/>
        </w:rPr>
      </w:pPr>
      <w:r w:rsidRPr="00641A2F">
        <w:rPr>
          <w:color w:val="000000"/>
          <w:sz w:val="24"/>
          <w:szCs w:val="24"/>
        </w:rPr>
        <w:t>The withdrawal of pleadings in a contested proceeding is governed by Section 5.94 of the Commission’s regulations.  This Section provides:</w:t>
      </w:r>
    </w:p>
    <w:p w:rsidR="007A1645" w:rsidRPr="00641A2F" w:rsidRDefault="007A1645" w:rsidP="006D7604">
      <w:pPr>
        <w:widowControl w:val="0"/>
        <w:adjustRightInd w:val="0"/>
        <w:ind w:left="1440" w:right="1440"/>
        <w:rPr>
          <w:b/>
          <w:color w:val="000000"/>
          <w:sz w:val="24"/>
          <w:szCs w:val="24"/>
        </w:rPr>
      </w:pPr>
    </w:p>
    <w:p w:rsidR="007A1645" w:rsidRPr="00641A2F" w:rsidRDefault="007A1645" w:rsidP="007A1645">
      <w:pPr>
        <w:widowControl w:val="0"/>
        <w:adjustRightInd w:val="0"/>
        <w:ind w:left="1440" w:right="1440"/>
        <w:rPr>
          <w:color w:val="000000"/>
          <w:sz w:val="24"/>
          <w:szCs w:val="24"/>
        </w:rPr>
      </w:pPr>
      <w:r w:rsidRPr="00641A2F">
        <w:rPr>
          <w:b/>
          <w:color w:val="000000"/>
          <w:sz w:val="24"/>
          <w:szCs w:val="24"/>
        </w:rPr>
        <w:t>§ 5.94.</w:t>
      </w:r>
      <w:r w:rsidRPr="00641A2F">
        <w:rPr>
          <w:b/>
          <w:color w:val="000000"/>
          <w:sz w:val="24"/>
          <w:szCs w:val="24"/>
        </w:rPr>
        <w:tab/>
        <w:t>Withdrawal of pleadings in a contested proceeding.</w:t>
      </w:r>
    </w:p>
    <w:p w:rsidR="007A1645" w:rsidRPr="00641A2F" w:rsidRDefault="007A1645" w:rsidP="00CD6C24">
      <w:pPr>
        <w:widowControl w:val="0"/>
        <w:adjustRightInd w:val="0"/>
        <w:ind w:left="1440" w:right="1440"/>
        <w:rPr>
          <w:color w:val="000000"/>
          <w:sz w:val="24"/>
          <w:szCs w:val="24"/>
        </w:rPr>
      </w:pPr>
    </w:p>
    <w:p w:rsidR="007A1645" w:rsidRPr="00641A2F" w:rsidRDefault="007A1645" w:rsidP="00DC1C33">
      <w:pPr>
        <w:widowControl w:val="0"/>
        <w:numPr>
          <w:ilvl w:val="0"/>
          <w:numId w:val="9"/>
        </w:numPr>
        <w:autoSpaceDE/>
        <w:autoSpaceDN/>
        <w:adjustRightInd w:val="0"/>
        <w:ind w:right="1440"/>
        <w:contextualSpacing/>
        <w:rPr>
          <w:color w:val="000000"/>
          <w:sz w:val="24"/>
          <w:szCs w:val="24"/>
        </w:rPr>
      </w:pPr>
      <w:r w:rsidRPr="00641A2F">
        <w:rPr>
          <w:color w:val="000000"/>
          <w:sz w:val="24"/>
          <w:szCs w:val="24"/>
        </w:rPr>
        <w:t>Except as provided in subsection (b), a party desiring to withdraw a pleading in a contested proceeding may file a petition for leave to withdraw the appropriate document with the Commission and serve it upon the other parties.  The petition must set forth the reasons for the withdrawal.  A party may object to the petition within 20 days of service.  After considering the petition, an</w:t>
      </w:r>
      <w:r w:rsidR="00DB5899" w:rsidRPr="00641A2F">
        <w:rPr>
          <w:color w:val="000000"/>
          <w:sz w:val="24"/>
          <w:szCs w:val="24"/>
        </w:rPr>
        <w:t>y</w:t>
      </w:r>
      <w:r w:rsidRPr="00641A2F">
        <w:rPr>
          <w:color w:val="000000"/>
          <w:sz w:val="24"/>
          <w:szCs w:val="24"/>
        </w:rPr>
        <w:t xml:space="preserve"> objection thereto and the public interest, the presiding officer or the Commission will determine whether the withdrawal will be permitted.</w:t>
      </w:r>
    </w:p>
    <w:p w:rsidR="007A1645" w:rsidRPr="00641A2F" w:rsidRDefault="007A1645" w:rsidP="00DC1C33">
      <w:pPr>
        <w:widowControl w:val="0"/>
        <w:adjustRightInd w:val="0"/>
        <w:ind w:left="1800" w:right="1440"/>
        <w:contextualSpacing/>
        <w:rPr>
          <w:color w:val="000000"/>
          <w:sz w:val="24"/>
          <w:szCs w:val="24"/>
        </w:rPr>
      </w:pPr>
    </w:p>
    <w:p w:rsidR="00D338E0" w:rsidRPr="00641A2F" w:rsidRDefault="000400BF" w:rsidP="00DC1C33">
      <w:pPr>
        <w:widowControl w:val="0"/>
        <w:adjustRightInd w:val="0"/>
        <w:spacing w:line="360" w:lineRule="auto"/>
        <w:rPr>
          <w:color w:val="000000"/>
          <w:sz w:val="24"/>
          <w:szCs w:val="24"/>
        </w:rPr>
      </w:pPr>
      <w:r w:rsidRPr="00641A2F">
        <w:rPr>
          <w:color w:val="000000"/>
          <w:sz w:val="24"/>
          <w:szCs w:val="24"/>
        </w:rPr>
        <w:t>52 Pa.</w:t>
      </w:r>
      <w:r w:rsidR="007A1645" w:rsidRPr="00641A2F">
        <w:rPr>
          <w:color w:val="000000"/>
          <w:sz w:val="24"/>
          <w:szCs w:val="24"/>
        </w:rPr>
        <w:t>Code § 5.94(a)</w:t>
      </w:r>
      <w:r w:rsidR="00D338E0" w:rsidRPr="00641A2F">
        <w:rPr>
          <w:color w:val="000000"/>
          <w:sz w:val="24"/>
          <w:szCs w:val="24"/>
        </w:rPr>
        <w:t>.</w:t>
      </w:r>
    </w:p>
    <w:p w:rsidR="00245622" w:rsidRDefault="00245622" w:rsidP="006E5BB5">
      <w:pPr>
        <w:widowControl w:val="0"/>
        <w:adjustRightInd w:val="0"/>
        <w:spacing w:line="360" w:lineRule="auto"/>
        <w:ind w:firstLine="1440"/>
        <w:rPr>
          <w:color w:val="000000"/>
          <w:sz w:val="24"/>
          <w:szCs w:val="24"/>
        </w:rPr>
      </w:pPr>
    </w:p>
    <w:p w:rsidR="006D7604" w:rsidRDefault="0002402C" w:rsidP="006E5BB5">
      <w:pPr>
        <w:widowControl w:val="0"/>
        <w:adjustRightInd w:val="0"/>
        <w:spacing w:line="360" w:lineRule="auto"/>
        <w:ind w:firstLine="1440"/>
        <w:rPr>
          <w:color w:val="000000"/>
          <w:sz w:val="24"/>
          <w:szCs w:val="24"/>
        </w:rPr>
      </w:pPr>
      <w:r>
        <w:rPr>
          <w:color w:val="000000"/>
          <w:sz w:val="24"/>
          <w:szCs w:val="24"/>
        </w:rPr>
        <w:t>The formal complaints filed by Mr. Sutliff and Mr. Ortega-Benitez</w:t>
      </w:r>
      <w:r w:rsidR="00205BC9">
        <w:rPr>
          <w:color w:val="000000"/>
          <w:sz w:val="24"/>
          <w:szCs w:val="24"/>
        </w:rPr>
        <w:t xml:space="preserve"> are virtually identical regarding their allegations of violation of 52 Pa.Code § 59.19 regarding the placement of meters in the historic areas of Reading.  Further, the language of the complaints is also virtually identical to the complaint filed by the Centre Park Historic District at Docket No.</w:t>
      </w:r>
      <w:r w:rsidR="006D7604">
        <w:rPr>
          <w:color w:val="000000"/>
          <w:sz w:val="24"/>
          <w:szCs w:val="24"/>
        </w:rPr>
        <w:br w:type="page"/>
      </w:r>
    </w:p>
    <w:p w:rsidR="00641A2F" w:rsidRDefault="00205BC9" w:rsidP="006D7604">
      <w:pPr>
        <w:widowControl w:val="0"/>
        <w:adjustRightInd w:val="0"/>
        <w:spacing w:line="360" w:lineRule="auto"/>
        <w:rPr>
          <w:color w:val="000000"/>
          <w:sz w:val="24"/>
          <w:szCs w:val="24"/>
        </w:rPr>
      </w:pPr>
      <w:r>
        <w:rPr>
          <w:color w:val="000000"/>
          <w:sz w:val="24"/>
          <w:szCs w:val="24"/>
        </w:rPr>
        <w:lastRenderedPageBreak/>
        <w:t>C-</w:t>
      </w:r>
      <w:r w:rsidR="006D7604">
        <w:rPr>
          <w:color w:val="000000"/>
          <w:sz w:val="24"/>
          <w:szCs w:val="24"/>
        </w:rPr>
        <w:t> </w:t>
      </w:r>
      <w:r>
        <w:rPr>
          <w:color w:val="000000"/>
          <w:sz w:val="24"/>
          <w:szCs w:val="24"/>
        </w:rPr>
        <w:t>2015-2516051.  Neither complainant appeared at the prehearing conference to dispute the averment by UGI that neither of their meters had yet been relocated.</w:t>
      </w:r>
    </w:p>
    <w:p w:rsidR="006D7604" w:rsidRDefault="006D7604" w:rsidP="006E5BB5">
      <w:pPr>
        <w:widowControl w:val="0"/>
        <w:adjustRightInd w:val="0"/>
        <w:spacing w:line="360" w:lineRule="auto"/>
        <w:ind w:firstLine="1440"/>
        <w:rPr>
          <w:color w:val="000000"/>
          <w:sz w:val="24"/>
          <w:szCs w:val="24"/>
        </w:rPr>
      </w:pPr>
    </w:p>
    <w:p w:rsidR="003C486E" w:rsidRPr="0006748E" w:rsidRDefault="00F47E57" w:rsidP="00DC1C33">
      <w:pPr>
        <w:widowControl w:val="0"/>
        <w:adjustRightInd w:val="0"/>
        <w:spacing w:line="360" w:lineRule="auto"/>
        <w:ind w:firstLine="1440"/>
        <w:rPr>
          <w:color w:val="000000"/>
          <w:sz w:val="24"/>
          <w:szCs w:val="24"/>
        </w:rPr>
      </w:pPr>
      <w:r w:rsidRPr="0006748E">
        <w:rPr>
          <w:color w:val="000000"/>
          <w:sz w:val="24"/>
          <w:szCs w:val="24"/>
        </w:rPr>
        <w:t xml:space="preserve">To the extent that </w:t>
      </w:r>
      <w:r w:rsidR="00245622">
        <w:rPr>
          <w:color w:val="000000"/>
          <w:sz w:val="24"/>
          <w:szCs w:val="24"/>
        </w:rPr>
        <w:t>neither of these Complaint</w:t>
      </w:r>
      <w:r w:rsidR="008D61F5">
        <w:rPr>
          <w:color w:val="000000"/>
          <w:sz w:val="24"/>
          <w:szCs w:val="24"/>
        </w:rPr>
        <w:t>ant</w:t>
      </w:r>
      <w:r w:rsidR="00245622">
        <w:rPr>
          <w:color w:val="000000"/>
          <w:sz w:val="24"/>
          <w:szCs w:val="24"/>
        </w:rPr>
        <w:t xml:space="preserve">s wish </w:t>
      </w:r>
      <w:r w:rsidRPr="0006748E">
        <w:rPr>
          <w:color w:val="000000"/>
          <w:sz w:val="24"/>
          <w:szCs w:val="24"/>
        </w:rPr>
        <w:t xml:space="preserve">to pursue the issues raised in </w:t>
      </w:r>
      <w:r w:rsidR="00205BC9">
        <w:rPr>
          <w:color w:val="000000"/>
          <w:sz w:val="24"/>
          <w:szCs w:val="24"/>
        </w:rPr>
        <w:t>the complaints</w:t>
      </w:r>
      <w:r w:rsidRPr="0006748E">
        <w:rPr>
          <w:color w:val="000000"/>
          <w:sz w:val="24"/>
          <w:szCs w:val="24"/>
        </w:rPr>
        <w:t>,</w:t>
      </w:r>
      <w:r w:rsidR="008D61F5">
        <w:rPr>
          <w:color w:val="000000"/>
          <w:sz w:val="24"/>
          <w:szCs w:val="24"/>
        </w:rPr>
        <w:t xml:space="preserve"> </w:t>
      </w:r>
      <w:r w:rsidRPr="0006748E">
        <w:rPr>
          <w:color w:val="000000"/>
          <w:sz w:val="24"/>
          <w:szCs w:val="24"/>
        </w:rPr>
        <w:t xml:space="preserve">that is his prerogative as </w:t>
      </w:r>
      <w:r w:rsidR="00245622">
        <w:rPr>
          <w:color w:val="000000"/>
          <w:sz w:val="24"/>
          <w:szCs w:val="24"/>
        </w:rPr>
        <w:t>a complainant</w:t>
      </w:r>
      <w:r w:rsidRPr="0006748E">
        <w:rPr>
          <w:color w:val="000000"/>
          <w:sz w:val="24"/>
          <w:szCs w:val="24"/>
        </w:rPr>
        <w:t>.  It is not in the public interest to require</w:t>
      </w:r>
      <w:r w:rsidR="00205BC9">
        <w:rPr>
          <w:color w:val="000000"/>
          <w:sz w:val="24"/>
          <w:szCs w:val="24"/>
        </w:rPr>
        <w:t xml:space="preserve"> a c</w:t>
      </w:r>
      <w:r w:rsidRPr="0006748E">
        <w:rPr>
          <w:color w:val="000000"/>
          <w:sz w:val="24"/>
          <w:szCs w:val="24"/>
        </w:rPr>
        <w:t>ompl</w:t>
      </w:r>
      <w:r w:rsidR="00205BC9">
        <w:rPr>
          <w:color w:val="000000"/>
          <w:sz w:val="24"/>
          <w:szCs w:val="24"/>
        </w:rPr>
        <w:t>ainant to continue to pursue a c</w:t>
      </w:r>
      <w:r w:rsidRPr="0006748E">
        <w:rPr>
          <w:color w:val="000000"/>
          <w:sz w:val="24"/>
          <w:szCs w:val="24"/>
        </w:rPr>
        <w:t>omplaint if he or she no longer wishes to do so.</w:t>
      </w:r>
      <w:r w:rsidR="00205BC9">
        <w:rPr>
          <w:color w:val="000000"/>
          <w:sz w:val="24"/>
          <w:szCs w:val="24"/>
        </w:rPr>
        <w:t xml:space="preserve"> UGI did not object to the withdrawal. </w:t>
      </w:r>
      <w:r w:rsidRPr="0006748E">
        <w:rPr>
          <w:color w:val="000000"/>
          <w:sz w:val="24"/>
          <w:szCs w:val="24"/>
        </w:rPr>
        <w:t xml:space="preserve"> </w:t>
      </w:r>
      <w:r w:rsidR="004D0341" w:rsidRPr="0006748E">
        <w:rPr>
          <w:color w:val="000000"/>
          <w:sz w:val="24"/>
          <w:szCs w:val="24"/>
        </w:rPr>
        <w:t>It is, therefore, in t</w:t>
      </w:r>
      <w:r w:rsidR="00D02E59">
        <w:rPr>
          <w:color w:val="000000"/>
          <w:sz w:val="24"/>
          <w:szCs w:val="24"/>
        </w:rPr>
        <w:t xml:space="preserve">he public interest to allow </w:t>
      </w:r>
      <w:r w:rsidR="00205BC9">
        <w:rPr>
          <w:color w:val="000000"/>
          <w:sz w:val="24"/>
          <w:szCs w:val="24"/>
        </w:rPr>
        <w:t>the Complainants to withdraw their complaints.</w:t>
      </w:r>
    </w:p>
    <w:p w:rsidR="00965021" w:rsidRPr="0006748E" w:rsidRDefault="00965021" w:rsidP="006E5BB5">
      <w:pPr>
        <w:autoSpaceDE/>
        <w:autoSpaceDN/>
        <w:spacing w:line="360" w:lineRule="auto"/>
        <w:rPr>
          <w:rFonts w:eastAsia="Calibri"/>
          <w:sz w:val="24"/>
          <w:szCs w:val="24"/>
        </w:rPr>
      </w:pPr>
    </w:p>
    <w:p w:rsidR="00965021" w:rsidRPr="0006748E" w:rsidRDefault="00965021" w:rsidP="006E5BB5">
      <w:pPr>
        <w:tabs>
          <w:tab w:val="left" w:pos="-720"/>
        </w:tabs>
        <w:suppressAutoHyphens/>
        <w:spacing w:line="360" w:lineRule="auto"/>
        <w:jc w:val="center"/>
        <w:rPr>
          <w:spacing w:val="-3"/>
          <w:sz w:val="24"/>
          <w:szCs w:val="24"/>
          <w:u w:val="single"/>
        </w:rPr>
      </w:pPr>
      <w:r w:rsidRPr="0006748E">
        <w:rPr>
          <w:spacing w:val="-3"/>
          <w:sz w:val="24"/>
          <w:szCs w:val="24"/>
          <w:u w:val="single"/>
        </w:rPr>
        <w:t>CONCLUSIONS OF LAW</w:t>
      </w:r>
    </w:p>
    <w:p w:rsidR="00965021" w:rsidRPr="0006748E" w:rsidRDefault="00965021" w:rsidP="006E5BB5">
      <w:pPr>
        <w:autoSpaceDE/>
        <w:autoSpaceDN/>
        <w:spacing w:line="360" w:lineRule="auto"/>
        <w:ind w:firstLine="1440"/>
        <w:rPr>
          <w:sz w:val="24"/>
          <w:szCs w:val="24"/>
        </w:rPr>
      </w:pPr>
    </w:p>
    <w:p w:rsidR="00965021" w:rsidRPr="0006748E" w:rsidRDefault="00965021" w:rsidP="006E5BB5">
      <w:pPr>
        <w:widowControl w:val="0"/>
        <w:numPr>
          <w:ilvl w:val="0"/>
          <w:numId w:val="11"/>
        </w:numPr>
        <w:autoSpaceDE/>
        <w:autoSpaceDN/>
        <w:adjustRightInd w:val="0"/>
        <w:spacing w:line="360" w:lineRule="auto"/>
        <w:ind w:left="0" w:firstLine="1440"/>
        <w:contextualSpacing/>
        <w:rPr>
          <w:color w:val="000000"/>
          <w:sz w:val="24"/>
          <w:szCs w:val="24"/>
        </w:rPr>
      </w:pPr>
      <w:r w:rsidRPr="0006748E">
        <w:rPr>
          <w:color w:val="000000"/>
          <w:sz w:val="24"/>
          <w:szCs w:val="24"/>
        </w:rPr>
        <w:t>A party desiring to withdraw a pleading in a contested proceeding may file a petition for leave to withdraw the appropriate document with the Commission and serve it upon the other parties setting forth the reasons for the withdrawal.  52 Pa.Code § 5.94(a).</w:t>
      </w:r>
    </w:p>
    <w:p w:rsidR="00965021" w:rsidRPr="0006748E" w:rsidRDefault="00965021" w:rsidP="006E5BB5">
      <w:pPr>
        <w:widowControl w:val="0"/>
        <w:adjustRightInd w:val="0"/>
        <w:spacing w:line="360" w:lineRule="auto"/>
        <w:ind w:firstLine="1440"/>
        <w:contextualSpacing/>
        <w:rPr>
          <w:color w:val="000000"/>
          <w:sz w:val="24"/>
          <w:szCs w:val="24"/>
        </w:rPr>
      </w:pPr>
    </w:p>
    <w:p w:rsidR="00205BC9" w:rsidRPr="00205BC9" w:rsidRDefault="00965021" w:rsidP="00205BC9">
      <w:pPr>
        <w:widowControl w:val="0"/>
        <w:numPr>
          <w:ilvl w:val="0"/>
          <w:numId w:val="11"/>
        </w:numPr>
        <w:autoSpaceDE/>
        <w:autoSpaceDN/>
        <w:adjustRightInd w:val="0"/>
        <w:spacing w:line="360" w:lineRule="auto"/>
        <w:ind w:left="0" w:firstLine="1440"/>
        <w:contextualSpacing/>
        <w:rPr>
          <w:sz w:val="24"/>
          <w:szCs w:val="24"/>
          <w:u w:val="single"/>
        </w:rPr>
      </w:pPr>
      <w:r w:rsidRPr="0006748E">
        <w:rPr>
          <w:color w:val="000000"/>
          <w:sz w:val="24"/>
          <w:szCs w:val="24"/>
        </w:rPr>
        <w:t xml:space="preserve">After considering a petition </w:t>
      </w:r>
      <w:r w:rsidR="003C534D" w:rsidRPr="0006748E">
        <w:rPr>
          <w:color w:val="000000"/>
          <w:sz w:val="24"/>
          <w:szCs w:val="24"/>
        </w:rPr>
        <w:t>to</w:t>
      </w:r>
      <w:r w:rsidRPr="0006748E">
        <w:rPr>
          <w:color w:val="000000"/>
          <w:sz w:val="24"/>
          <w:szCs w:val="24"/>
        </w:rPr>
        <w:t xml:space="preserve"> withdraw, any objection thereto and the public interest, the presiding officer or the Commission will determine whether the withdrawal will be permitted.  52 Pa.Code § 5.94(a).</w:t>
      </w:r>
    </w:p>
    <w:p w:rsidR="00965021" w:rsidRPr="0006748E" w:rsidRDefault="00205BC9" w:rsidP="00205BC9">
      <w:pPr>
        <w:widowControl w:val="0"/>
        <w:autoSpaceDE/>
        <w:autoSpaceDN/>
        <w:adjustRightInd w:val="0"/>
        <w:spacing w:line="360" w:lineRule="auto"/>
        <w:ind w:left="1440"/>
        <w:contextualSpacing/>
        <w:rPr>
          <w:sz w:val="24"/>
          <w:szCs w:val="24"/>
          <w:u w:val="single"/>
        </w:rPr>
      </w:pPr>
      <w:r w:rsidRPr="0006748E">
        <w:rPr>
          <w:sz w:val="24"/>
          <w:szCs w:val="24"/>
          <w:u w:val="single"/>
        </w:rPr>
        <w:t xml:space="preserve"> </w:t>
      </w:r>
    </w:p>
    <w:p w:rsidR="00965021" w:rsidRPr="0006748E" w:rsidRDefault="00965021" w:rsidP="006E5BB5">
      <w:pPr>
        <w:spacing w:line="360" w:lineRule="auto"/>
        <w:jc w:val="center"/>
        <w:rPr>
          <w:sz w:val="24"/>
          <w:szCs w:val="24"/>
          <w:u w:val="single"/>
        </w:rPr>
      </w:pPr>
      <w:r w:rsidRPr="0006748E">
        <w:rPr>
          <w:sz w:val="24"/>
          <w:szCs w:val="24"/>
          <w:u w:val="single"/>
        </w:rPr>
        <w:t>ORDER</w:t>
      </w:r>
    </w:p>
    <w:p w:rsidR="00965021" w:rsidRPr="0006748E" w:rsidRDefault="00965021" w:rsidP="006E5BB5">
      <w:pPr>
        <w:spacing w:line="360" w:lineRule="auto"/>
        <w:rPr>
          <w:sz w:val="24"/>
          <w:szCs w:val="24"/>
        </w:rPr>
      </w:pPr>
    </w:p>
    <w:p w:rsidR="00965021" w:rsidRPr="0006748E" w:rsidRDefault="00965021" w:rsidP="006E5BB5">
      <w:pPr>
        <w:spacing w:line="360" w:lineRule="auto"/>
        <w:rPr>
          <w:sz w:val="24"/>
          <w:szCs w:val="24"/>
        </w:rPr>
      </w:pPr>
    </w:p>
    <w:p w:rsidR="00965021" w:rsidRPr="0006748E" w:rsidRDefault="00965021" w:rsidP="006E5BB5">
      <w:pPr>
        <w:spacing w:line="360" w:lineRule="auto"/>
        <w:ind w:firstLine="1440"/>
        <w:rPr>
          <w:bCs/>
          <w:sz w:val="24"/>
          <w:szCs w:val="24"/>
        </w:rPr>
      </w:pPr>
      <w:r w:rsidRPr="0006748E">
        <w:rPr>
          <w:bCs/>
          <w:sz w:val="24"/>
          <w:szCs w:val="24"/>
        </w:rPr>
        <w:t>THEREFORE,</w:t>
      </w:r>
    </w:p>
    <w:p w:rsidR="00965021" w:rsidRPr="0006748E" w:rsidRDefault="00965021" w:rsidP="006E5BB5">
      <w:pPr>
        <w:spacing w:line="360" w:lineRule="auto"/>
        <w:ind w:firstLine="1440"/>
        <w:rPr>
          <w:sz w:val="24"/>
          <w:szCs w:val="24"/>
        </w:rPr>
      </w:pPr>
    </w:p>
    <w:p w:rsidR="00965021" w:rsidRPr="0006748E" w:rsidRDefault="00965021" w:rsidP="006E5BB5">
      <w:pPr>
        <w:spacing w:line="360" w:lineRule="auto"/>
        <w:ind w:firstLine="1440"/>
        <w:rPr>
          <w:bCs/>
          <w:sz w:val="24"/>
          <w:szCs w:val="24"/>
        </w:rPr>
      </w:pPr>
      <w:r w:rsidRPr="0006748E">
        <w:rPr>
          <w:bCs/>
          <w:sz w:val="24"/>
          <w:szCs w:val="24"/>
        </w:rPr>
        <w:t>IT IS ORDERED:</w:t>
      </w:r>
    </w:p>
    <w:p w:rsidR="00965021" w:rsidRPr="0006748E" w:rsidRDefault="00965021" w:rsidP="006E5BB5">
      <w:pPr>
        <w:spacing w:line="360" w:lineRule="auto"/>
        <w:ind w:firstLine="1440"/>
        <w:rPr>
          <w:bCs/>
          <w:sz w:val="24"/>
          <w:szCs w:val="24"/>
        </w:rPr>
      </w:pPr>
    </w:p>
    <w:p w:rsidR="00965021" w:rsidRPr="0006748E" w:rsidRDefault="00965021" w:rsidP="006E5BB5">
      <w:pPr>
        <w:numPr>
          <w:ilvl w:val="0"/>
          <w:numId w:val="10"/>
        </w:numPr>
        <w:spacing w:line="360" w:lineRule="auto"/>
        <w:ind w:left="0" w:firstLine="1440"/>
        <w:rPr>
          <w:sz w:val="24"/>
          <w:szCs w:val="24"/>
        </w:rPr>
      </w:pPr>
      <w:r w:rsidRPr="0006748E">
        <w:rPr>
          <w:sz w:val="24"/>
          <w:szCs w:val="24"/>
        </w:rPr>
        <w:t xml:space="preserve">That the Petition to Withdraw </w:t>
      </w:r>
      <w:r w:rsidR="00A94023" w:rsidRPr="0006748E">
        <w:rPr>
          <w:sz w:val="24"/>
          <w:szCs w:val="24"/>
        </w:rPr>
        <w:t xml:space="preserve">Complaint </w:t>
      </w:r>
      <w:r w:rsidRPr="0006748E">
        <w:rPr>
          <w:sz w:val="24"/>
          <w:szCs w:val="24"/>
        </w:rPr>
        <w:t xml:space="preserve">filed by </w:t>
      </w:r>
      <w:r w:rsidR="00205BC9">
        <w:rPr>
          <w:sz w:val="24"/>
          <w:szCs w:val="24"/>
        </w:rPr>
        <w:t>Peter M. Sutliff at Docket No. C-2015-2513633, is granted.</w:t>
      </w:r>
    </w:p>
    <w:p w:rsidR="00965021" w:rsidRPr="0006748E" w:rsidRDefault="00965021" w:rsidP="006E5BB5">
      <w:pPr>
        <w:spacing w:line="360" w:lineRule="auto"/>
        <w:ind w:left="1440"/>
        <w:rPr>
          <w:sz w:val="24"/>
          <w:szCs w:val="24"/>
        </w:rPr>
      </w:pPr>
    </w:p>
    <w:p w:rsidR="00965021" w:rsidRDefault="00965021" w:rsidP="006E5BB5">
      <w:pPr>
        <w:numPr>
          <w:ilvl w:val="0"/>
          <w:numId w:val="10"/>
        </w:numPr>
        <w:spacing w:line="360" w:lineRule="auto"/>
        <w:ind w:left="0" w:firstLine="1440"/>
        <w:rPr>
          <w:sz w:val="24"/>
          <w:szCs w:val="24"/>
        </w:rPr>
      </w:pPr>
      <w:r w:rsidRPr="0006748E">
        <w:rPr>
          <w:sz w:val="24"/>
          <w:szCs w:val="24"/>
        </w:rPr>
        <w:t xml:space="preserve">That the </w:t>
      </w:r>
      <w:r w:rsidR="000137C2" w:rsidRPr="0006748E">
        <w:rPr>
          <w:sz w:val="24"/>
          <w:szCs w:val="24"/>
        </w:rPr>
        <w:t>Formal Complaint</w:t>
      </w:r>
      <w:r w:rsidR="00205BC9">
        <w:rPr>
          <w:sz w:val="24"/>
          <w:szCs w:val="24"/>
        </w:rPr>
        <w:t xml:space="preserve"> of Peter M. Sutliff at Docket No. C-2015-2513633, </w:t>
      </w:r>
      <w:r w:rsidR="00CE3948">
        <w:rPr>
          <w:sz w:val="24"/>
          <w:szCs w:val="24"/>
        </w:rPr>
        <w:t xml:space="preserve">is </w:t>
      </w:r>
      <w:r w:rsidRPr="0006748E">
        <w:rPr>
          <w:sz w:val="24"/>
          <w:szCs w:val="24"/>
        </w:rPr>
        <w:t>hereby withdrawn.</w:t>
      </w:r>
    </w:p>
    <w:p w:rsidR="00205BC9" w:rsidRDefault="00205BC9" w:rsidP="006E5BB5">
      <w:pPr>
        <w:numPr>
          <w:ilvl w:val="0"/>
          <w:numId w:val="10"/>
        </w:numPr>
        <w:spacing w:line="360" w:lineRule="auto"/>
        <w:ind w:left="0" w:firstLine="1440"/>
        <w:rPr>
          <w:sz w:val="24"/>
          <w:szCs w:val="24"/>
        </w:rPr>
      </w:pPr>
      <w:r w:rsidRPr="0006748E">
        <w:rPr>
          <w:sz w:val="24"/>
          <w:szCs w:val="24"/>
        </w:rPr>
        <w:lastRenderedPageBreak/>
        <w:t xml:space="preserve">That the Petition to Withdraw Complaint filed by </w:t>
      </w:r>
      <w:r>
        <w:rPr>
          <w:sz w:val="24"/>
          <w:szCs w:val="24"/>
        </w:rPr>
        <w:t>Javier Ortega-Benitez at Docket No. C-2015-2513649, is granted.</w:t>
      </w:r>
    </w:p>
    <w:p w:rsidR="00205BC9" w:rsidRDefault="00205BC9" w:rsidP="00205BC9">
      <w:pPr>
        <w:spacing w:line="360" w:lineRule="auto"/>
        <w:ind w:left="1440"/>
        <w:rPr>
          <w:sz w:val="24"/>
          <w:szCs w:val="24"/>
        </w:rPr>
      </w:pPr>
    </w:p>
    <w:p w:rsidR="006D7604" w:rsidRDefault="00205BC9" w:rsidP="006E5BB5">
      <w:pPr>
        <w:numPr>
          <w:ilvl w:val="0"/>
          <w:numId w:val="10"/>
        </w:numPr>
        <w:spacing w:line="360" w:lineRule="auto"/>
        <w:ind w:left="0" w:firstLine="1440"/>
        <w:rPr>
          <w:sz w:val="24"/>
          <w:szCs w:val="24"/>
        </w:rPr>
      </w:pPr>
      <w:r>
        <w:rPr>
          <w:sz w:val="24"/>
          <w:szCs w:val="24"/>
        </w:rPr>
        <w:t>That the Forma</w:t>
      </w:r>
      <w:r w:rsidR="006408D3">
        <w:rPr>
          <w:sz w:val="24"/>
          <w:szCs w:val="24"/>
        </w:rPr>
        <w:t>l</w:t>
      </w:r>
      <w:r>
        <w:rPr>
          <w:sz w:val="24"/>
          <w:szCs w:val="24"/>
        </w:rPr>
        <w:t xml:space="preserve"> Complaint of Javier Ortega-Benitez at Docket No. </w:t>
      </w:r>
    </w:p>
    <w:p w:rsidR="00205BC9" w:rsidRPr="0006748E" w:rsidRDefault="00205BC9" w:rsidP="006D7604">
      <w:pPr>
        <w:spacing w:line="360" w:lineRule="auto"/>
        <w:rPr>
          <w:sz w:val="24"/>
          <w:szCs w:val="24"/>
        </w:rPr>
      </w:pPr>
      <w:r>
        <w:rPr>
          <w:sz w:val="24"/>
          <w:szCs w:val="24"/>
        </w:rPr>
        <w:t>C-</w:t>
      </w:r>
      <w:r w:rsidR="006D7604">
        <w:rPr>
          <w:sz w:val="24"/>
          <w:szCs w:val="24"/>
        </w:rPr>
        <w:t>2</w:t>
      </w:r>
      <w:r>
        <w:rPr>
          <w:sz w:val="24"/>
          <w:szCs w:val="24"/>
        </w:rPr>
        <w:t>015-2513649, is hereby withdrawn.</w:t>
      </w:r>
    </w:p>
    <w:p w:rsidR="00965021" w:rsidRPr="0006748E" w:rsidRDefault="00965021" w:rsidP="006E5BB5">
      <w:pPr>
        <w:spacing w:line="360" w:lineRule="auto"/>
        <w:ind w:left="1440"/>
        <w:rPr>
          <w:sz w:val="24"/>
          <w:szCs w:val="24"/>
        </w:rPr>
      </w:pPr>
    </w:p>
    <w:p w:rsidR="00965021" w:rsidRPr="006D7604" w:rsidRDefault="00965021" w:rsidP="006E5BB5">
      <w:pPr>
        <w:numPr>
          <w:ilvl w:val="0"/>
          <w:numId w:val="10"/>
        </w:numPr>
        <w:spacing w:line="360" w:lineRule="auto"/>
        <w:ind w:left="0" w:firstLine="1440"/>
        <w:rPr>
          <w:sz w:val="24"/>
          <w:szCs w:val="24"/>
        </w:rPr>
      </w:pPr>
      <w:r w:rsidRPr="0006748E">
        <w:rPr>
          <w:spacing w:val="-3"/>
          <w:sz w:val="24"/>
          <w:szCs w:val="24"/>
        </w:rPr>
        <w:t>That this matter is marked closed.</w:t>
      </w:r>
    </w:p>
    <w:p w:rsidR="006D7604" w:rsidRDefault="006D7604" w:rsidP="006D7604">
      <w:pPr>
        <w:spacing w:line="360" w:lineRule="auto"/>
        <w:rPr>
          <w:spacing w:val="-3"/>
          <w:sz w:val="24"/>
          <w:szCs w:val="24"/>
        </w:rPr>
      </w:pPr>
    </w:p>
    <w:p w:rsidR="006D7604" w:rsidRDefault="006D7604" w:rsidP="006D7604">
      <w:pPr>
        <w:spacing w:line="360" w:lineRule="auto"/>
        <w:rPr>
          <w:spacing w:val="-3"/>
          <w:sz w:val="24"/>
          <w:szCs w:val="24"/>
        </w:rPr>
      </w:pPr>
    </w:p>
    <w:p w:rsidR="006D7604" w:rsidRPr="006D7604" w:rsidRDefault="006D7604" w:rsidP="006D7604">
      <w:pPr>
        <w:tabs>
          <w:tab w:val="left" w:pos="0"/>
          <w:tab w:val="left" w:pos="1440"/>
        </w:tabs>
        <w:autoSpaceDE/>
        <w:autoSpaceDN/>
        <w:jc w:val="both"/>
        <w:rPr>
          <w:sz w:val="24"/>
          <w:szCs w:val="24"/>
          <w:u w:val="single"/>
        </w:rPr>
      </w:pPr>
      <w:r w:rsidRPr="006D7604">
        <w:rPr>
          <w:sz w:val="24"/>
          <w:szCs w:val="24"/>
        </w:rPr>
        <w:t xml:space="preserve">Date:  </w:t>
      </w:r>
      <w:r w:rsidR="00054E31">
        <w:rPr>
          <w:sz w:val="24"/>
          <w:szCs w:val="24"/>
          <w:u w:val="single"/>
        </w:rPr>
        <w:t>February 17</w:t>
      </w:r>
      <w:r w:rsidRPr="006D7604">
        <w:rPr>
          <w:sz w:val="24"/>
          <w:szCs w:val="24"/>
          <w:u w:val="single"/>
        </w:rPr>
        <w:t>, 2016</w:t>
      </w:r>
      <w:r w:rsidRPr="006D7604">
        <w:rPr>
          <w:sz w:val="24"/>
          <w:szCs w:val="24"/>
        </w:rPr>
        <w:tab/>
      </w:r>
      <w:r w:rsidRPr="006D7604">
        <w:rPr>
          <w:sz w:val="24"/>
          <w:szCs w:val="24"/>
        </w:rPr>
        <w:tab/>
      </w:r>
      <w:r w:rsidRPr="006D7604">
        <w:rPr>
          <w:sz w:val="24"/>
          <w:szCs w:val="24"/>
        </w:rPr>
        <w:tab/>
      </w:r>
      <w:r w:rsidRPr="006D7604">
        <w:rPr>
          <w:sz w:val="24"/>
          <w:szCs w:val="24"/>
        </w:rPr>
        <w:tab/>
      </w:r>
      <w:r w:rsidRPr="006D7604">
        <w:rPr>
          <w:sz w:val="24"/>
          <w:szCs w:val="24"/>
          <w:u w:val="single"/>
        </w:rPr>
        <w:tab/>
      </w:r>
      <w:r w:rsidRPr="006D7604">
        <w:rPr>
          <w:sz w:val="24"/>
          <w:szCs w:val="24"/>
          <w:u w:val="single"/>
        </w:rPr>
        <w:tab/>
        <w:t>/s/</w:t>
      </w:r>
      <w:r w:rsidRPr="006D7604">
        <w:rPr>
          <w:sz w:val="24"/>
          <w:szCs w:val="24"/>
          <w:u w:val="single"/>
        </w:rPr>
        <w:tab/>
      </w:r>
      <w:r w:rsidRPr="006D7604">
        <w:rPr>
          <w:sz w:val="24"/>
          <w:szCs w:val="24"/>
          <w:u w:val="single"/>
        </w:rPr>
        <w:tab/>
      </w:r>
      <w:r w:rsidRPr="006D7604">
        <w:rPr>
          <w:sz w:val="24"/>
          <w:szCs w:val="24"/>
          <w:u w:val="single"/>
        </w:rPr>
        <w:tab/>
      </w:r>
      <w:r w:rsidRPr="006D7604">
        <w:rPr>
          <w:sz w:val="24"/>
          <w:szCs w:val="24"/>
          <w:u w:val="single"/>
        </w:rPr>
        <w:tab/>
      </w:r>
    </w:p>
    <w:p w:rsidR="006D7604" w:rsidRPr="006D7604" w:rsidRDefault="006D7604" w:rsidP="006D7604">
      <w:pPr>
        <w:tabs>
          <w:tab w:val="left" w:pos="0"/>
          <w:tab w:val="left" w:pos="1440"/>
        </w:tabs>
        <w:autoSpaceDE/>
        <w:autoSpaceDN/>
        <w:jc w:val="both"/>
        <w:rPr>
          <w:sz w:val="24"/>
          <w:szCs w:val="24"/>
        </w:rPr>
      </w:pPr>
      <w:r w:rsidRPr="006D7604">
        <w:rPr>
          <w:sz w:val="24"/>
          <w:szCs w:val="24"/>
        </w:rPr>
        <w:tab/>
      </w:r>
      <w:r w:rsidRPr="006D7604">
        <w:rPr>
          <w:sz w:val="24"/>
          <w:szCs w:val="24"/>
        </w:rPr>
        <w:tab/>
      </w:r>
      <w:r w:rsidRPr="006D7604">
        <w:rPr>
          <w:sz w:val="24"/>
          <w:szCs w:val="24"/>
        </w:rPr>
        <w:tab/>
      </w:r>
      <w:r w:rsidRPr="006D7604">
        <w:rPr>
          <w:sz w:val="24"/>
          <w:szCs w:val="24"/>
        </w:rPr>
        <w:tab/>
      </w:r>
      <w:r w:rsidRPr="006D7604">
        <w:rPr>
          <w:sz w:val="24"/>
          <w:szCs w:val="24"/>
        </w:rPr>
        <w:tab/>
      </w:r>
      <w:r w:rsidRPr="006D7604">
        <w:rPr>
          <w:sz w:val="24"/>
          <w:szCs w:val="24"/>
        </w:rPr>
        <w:tab/>
        <w:t>Mary D. Long</w:t>
      </w:r>
    </w:p>
    <w:p w:rsidR="006D7604" w:rsidRPr="006D7604" w:rsidRDefault="006D7604" w:rsidP="006D7604">
      <w:pPr>
        <w:tabs>
          <w:tab w:val="left" w:pos="0"/>
          <w:tab w:val="left" w:pos="1440"/>
        </w:tabs>
        <w:autoSpaceDE/>
        <w:autoSpaceDN/>
        <w:jc w:val="both"/>
        <w:rPr>
          <w:sz w:val="24"/>
          <w:szCs w:val="24"/>
        </w:rPr>
      </w:pPr>
      <w:r w:rsidRPr="006D7604">
        <w:rPr>
          <w:sz w:val="24"/>
          <w:szCs w:val="24"/>
        </w:rPr>
        <w:tab/>
      </w:r>
      <w:r w:rsidRPr="006D7604">
        <w:rPr>
          <w:sz w:val="24"/>
          <w:szCs w:val="24"/>
        </w:rPr>
        <w:tab/>
      </w:r>
      <w:r w:rsidRPr="006D7604">
        <w:rPr>
          <w:sz w:val="24"/>
          <w:szCs w:val="24"/>
        </w:rPr>
        <w:tab/>
      </w:r>
      <w:r w:rsidRPr="006D7604">
        <w:rPr>
          <w:sz w:val="24"/>
          <w:szCs w:val="24"/>
        </w:rPr>
        <w:tab/>
      </w:r>
      <w:r w:rsidRPr="006D7604">
        <w:rPr>
          <w:sz w:val="24"/>
          <w:szCs w:val="24"/>
        </w:rPr>
        <w:tab/>
      </w:r>
      <w:r w:rsidRPr="006D7604">
        <w:rPr>
          <w:sz w:val="24"/>
          <w:szCs w:val="24"/>
        </w:rPr>
        <w:tab/>
        <w:t>Administrative Law Judge</w:t>
      </w:r>
    </w:p>
    <w:p w:rsidR="006D7604" w:rsidRPr="0006748E" w:rsidRDefault="006D7604" w:rsidP="006D7604">
      <w:pPr>
        <w:spacing w:line="360" w:lineRule="auto"/>
        <w:rPr>
          <w:sz w:val="24"/>
          <w:szCs w:val="24"/>
        </w:rPr>
      </w:pPr>
    </w:p>
    <w:p w:rsidR="00965021" w:rsidRPr="0006748E" w:rsidRDefault="00965021" w:rsidP="006E5BB5">
      <w:pPr>
        <w:tabs>
          <w:tab w:val="left" w:pos="1440"/>
        </w:tabs>
        <w:spacing w:line="360" w:lineRule="auto"/>
        <w:ind w:firstLine="1440"/>
        <w:rPr>
          <w:sz w:val="24"/>
          <w:szCs w:val="24"/>
        </w:rPr>
      </w:pPr>
    </w:p>
    <w:p w:rsidR="00A84443" w:rsidRPr="00E84A3B" w:rsidRDefault="00A84443" w:rsidP="006E5BB5">
      <w:pPr>
        <w:tabs>
          <w:tab w:val="left" w:pos="-720"/>
        </w:tabs>
        <w:suppressAutoHyphens/>
        <w:spacing w:line="360" w:lineRule="auto"/>
        <w:ind w:firstLine="1440"/>
        <w:rPr>
          <w:spacing w:val="-3"/>
          <w:sz w:val="24"/>
          <w:szCs w:val="24"/>
        </w:rPr>
      </w:pPr>
    </w:p>
    <w:sectPr w:rsidR="00A84443" w:rsidRPr="00E84A3B" w:rsidSect="00F53F17">
      <w:footerReference w:type="even" r:id="rId9"/>
      <w:footerReference w:type="default" r:id="rId10"/>
      <w:type w:val="continuous"/>
      <w:pgSz w:w="12240" w:h="15840"/>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0A6" w:rsidRDefault="000500A6">
      <w:r>
        <w:separator/>
      </w:r>
    </w:p>
  </w:endnote>
  <w:endnote w:type="continuationSeparator" w:id="0">
    <w:p w:rsidR="000500A6" w:rsidRDefault="00050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8C2" w:rsidRDefault="006B08C2" w:rsidP="006B08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B08C2" w:rsidRDefault="006B08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6944617"/>
      <w:docPartObj>
        <w:docPartGallery w:val="Page Numbers (Bottom of Page)"/>
        <w:docPartUnique/>
      </w:docPartObj>
    </w:sdtPr>
    <w:sdtEndPr>
      <w:rPr>
        <w:noProof/>
      </w:rPr>
    </w:sdtEndPr>
    <w:sdtContent>
      <w:p w:rsidR="00F53F17" w:rsidRDefault="00F53F17">
        <w:pPr>
          <w:pStyle w:val="Footer"/>
          <w:jc w:val="center"/>
        </w:pPr>
        <w:r>
          <w:fldChar w:fldCharType="begin"/>
        </w:r>
        <w:r>
          <w:instrText xml:space="preserve"> PAGE   \* MERGEFORMAT </w:instrText>
        </w:r>
        <w:r>
          <w:fldChar w:fldCharType="separate"/>
        </w:r>
        <w:r w:rsidR="00883EC7">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0A6" w:rsidRDefault="000500A6">
      <w:r>
        <w:separator/>
      </w:r>
    </w:p>
  </w:footnote>
  <w:footnote w:type="continuationSeparator" w:id="0">
    <w:p w:rsidR="000500A6" w:rsidRDefault="000500A6">
      <w:r>
        <w:continuationSeparator/>
      </w:r>
    </w:p>
  </w:footnote>
  <w:footnote w:id="1">
    <w:p w:rsidR="00632C91" w:rsidRDefault="00632C91">
      <w:pPr>
        <w:pStyle w:val="FootnoteText"/>
      </w:pPr>
      <w:r>
        <w:rPr>
          <w:rStyle w:val="FootnoteReference"/>
        </w:rPr>
        <w:footnoteRef/>
      </w:r>
      <w:r>
        <w:t xml:space="preserve">  </w:t>
      </w:r>
      <w:r>
        <w:tab/>
        <w:t>It does not appear that the petition</w:t>
      </w:r>
      <w:r w:rsidR="0002402C">
        <w:t>s</w:t>
      </w:r>
      <w:r>
        <w:t xml:space="preserve"> </w:t>
      </w:r>
      <w:r w:rsidR="0002402C">
        <w:t>were</w:t>
      </w:r>
      <w:r>
        <w:t xml:space="preserve"> filed with the Commission’s Secretary’s Bureau.  As a courtesy, I forwarded the original letter to the Secretary’s Bureau for filing.</w:t>
      </w:r>
    </w:p>
    <w:p w:rsidR="00435DE4" w:rsidRDefault="00435DE4">
      <w:pPr>
        <w:pStyle w:val="FootnoteText"/>
      </w:pPr>
    </w:p>
  </w:footnote>
  <w:footnote w:id="2">
    <w:p w:rsidR="00564DB6" w:rsidRPr="00632C91" w:rsidRDefault="00564DB6" w:rsidP="00564DB6">
      <w:pPr>
        <w:pStyle w:val="FootnoteText"/>
      </w:pPr>
      <w:r>
        <w:rPr>
          <w:rStyle w:val="FootnoteReference"/>
        </w:rPr>
        <w:footnoteRef/>
      </w:r>
      <w:r>
        <w:t xml:space="preserve">  </w:t>
      </w:r>
      <w:r>
        <w:tab/>
      </w:r>
      <w:r>
        <w:rPr>
          <w:i/>
        </w:rPr>
        <w:t>Centre Park Historic District, Inc. v. UGI Utilities, Inc. – Gas Division</w:t>
      </w:r>
      <w:r>
        <w:t xml:space="preserve">, Docket No. C-2015-2516051; </w:t>
      </w:r>
      <w:r>
        <w:rPr>
          <w:i/>
        </w:rPr>
        <w:t>Hart v. UGI Utilities, Inc. – Gas Division</w:t>
      </w:r>
      <w:r>
        <w:t xml:space="preserve">, Docket No. </w:t>
      </w:r>
      <w:proofErr w:type="gramStart"/>
      <w:r>
        <w:t>C-2016-2523640.</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F487E"/>
    <w:multiLevelType w:val="hybridMultilevel"/>
    <w:tmpl w:val="31A259CE"/>
    <w:lvl w:ilvl="0" w:tplc="EBEC3A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99C0834"/>
    <w:multiLevelType w:val="hybridMultilevel"/>
    <w:tmpl w:val="F934F1BE"/>
    <w:lvl w:ilvl="0" w:tplc="D27EC1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9D3B94"/>
    <w:multiLevelType w:val="hybridMultilevel"/>
    <w:tmpl w:val="1602AF8C"/>
    <w:lvl w:ilvl="0" w:tplc="DD54955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A340EEC"/>
    <w:multiLevelType w:val="hybridMultilevel"/>
    <w:tmpl w:val="A74A4B04"/>
    <w:lvl w:ilvl="0" w:tplc="7C24EDF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5FCF62A7"/>
    <w:multiLevelType w:val="hybridMultilevel"/>
    <w:tmpl w:val="6AB4FCB8"/>
    <w:lvl w:ilvl="0" w:tplc="5B66F194">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nsid w:val="64805410"/>
    <w:multiLevelType w:val="hybridMultilevel"/>
    <w:tmpl w:val="127EE50A"/>
    <w:lvl w:ilvl="0" w:tplc="6BD41652">
      <w:start w:val="5"/>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67142BD0"/>
    <w:multiLevelType w:val="hybridMultilevel"/>
    <w:tmpl w:val="E2E88FF8"/>
    <w:lvl w:ilvl="0" w:tplc="A65CA88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6B30649B"/>
    <w:multiLevelType w:val="hybridMultilevel"/>
    <w:tmpl w:val="95A441B8"/>
    <w:lvl w:ilvl="0" w:tplc="FA5086A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76E15CF6"/>
    <w:multiLevelType w:val="hybridMultilevel"/>
    <w:tmpl w:val="41C82870"/>
    <w:lvl w:ilvl="0" w:tplc="132A96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7E694697"/>
    <w:multiLevelType w:val="hybridMultilevel"/>
    <w:tmpl w:val="60AC33FC"/>
    <w:lvl w:ilvl="0" w:tplc="3AD433F4">
      <w:start w:val="1"/>
      <w:numFmt w:val="lowerLetter"/>
      <w:lvlText w:val="(%1)"/>
      <w:lvlJc w:val="left"/>
      <w:pPr>
        <w:ind w:left="4320" w:hanging="21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8"/>
  </w:num>
  <w:num w:numId="2">
    <w:abstractNumId w:val="10"/>
  </w:num>
  <w:num w:numId="3">
    <w:abstractNumId w:val="5"/>
  </w:num>
  <w:num w:numId="4">
    <w:abstractNumId w:val="6"/>
  </w:num>
  <w:num w:numId="5">
    <w:abstractNumId w:val="1"/>
  </w:num>
  <w:num w:numId="6">
    <w:abstractNumId w:val="0"/>
  </w:num>
  <w:num w:numId="7">
    <w:abstractNumId w:val="2"/>
  </w:num>
  <w:num w:numId="8">
    <w:abstractNumId w:val="9"/>
  </w:num>
  <w:num w:numId="9">
    <w:abstractNumId w:val="7"/>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CC4"/>
    <w:rsid w:val="000137C2"/>
    <w:rsid w:val="0002402C"/>
    <w:rsid w:val="00026F22"/>
    <w:rsid w:val="000400BF"/>
    <w:rsid w:val="000500A6"/>
    <w:rsid w:val="00054E31"/>
    <w:rsid w:val="0006748E"/>
    <w:rsid w:val="00091A56"/>
    <w:rsid w:val="000A075B"/>
    <w:rsid w:val="000B40DB"/>
    <w:rsid w:val="000C29CA"/>
    <w:rsid w:val="000D05AA"/>
    <w:rsid w:val="000D39CD"/>
    <w:rsid w:val="000E23A8"/>
    <w:rsid w:val="000E64D7"/>
    <w:rsid w:val="000E7F95"/>
    <w:rsid w:val="0010124C"/>
    <w:rsid w:val="001109E2"/>
    <w:rsid w:val="00115DAF"/>
    <w:rsid w:val="00122DFB"/>
    <w:rsid w:val="001254CA"/>
    <w:rsid w:val="00150EB1"/>
    <w:rsid w:val="001600B8"/>
    <w:rsid w:val="0016688B"/>
    <w:rsid w:val="00166B0E"/>
    <w:rsid w:val="001765C3"/>
    <w:rsid w:val="00187EAE"/>
    <w:rsid w:val="001911E0"/>
    <w:rsid w:val="001B371B"/>
    <w:rsid w:val="001B479D"/>
    <w:rsid w:val="001C5B6F"/>
    <w:rsid w:val="001D5384"/>
    <w:rsid w:val="001D7304"/>
    <w:rsid w:val="001E1C95"/>
    <w:rsid w:val="001E7BAD"/>
    <w:rsid w:val="001F204D"/>
    <w:rsid w:val="001F31C2"/>
    <w:rsid w:val="001F7F8A"/>
    <w:rsid w:val="00205BC9"/>
    <w:rsid w:val="00212490"/>
    <w:rsid w:val="0021672F"/>
    <w:rsid w:val="00220C68"/>
    <w:rsid w:val="002219EB"/>
    <w:rsid w:val="002360FE"/>
    <w:rsid w:val="00237890"/>
    <w:rsid w:val="00245622"/>
    <w:rsid w:val="00251B56"/>
    <w:rsid w:val="00252272"/>
    <w:rsid w:val="00252937"/>
    <w:rsid w:val="002738A6"/>
    <w:rsid w:val="00292497"/>
    <w:rsid w:val="002B0937"/>
    <w:rsid w:val="002D146D"/>
    <w:rsid w:val="002D1BA8"/>
    <w:rsid w:val="00301BCE"/>
    <w:rsid w:val="003112BF"/>
    <w:rsid w:val="003212B2"/>
    <w:rsid w:val="003313EA"/>
    <w:rsid w:val="00337F8B"/>
    <w:rsid w:val="00347A98"/>
    <w:rsid w:val="00354DA5"/>
    <w:rsid w:val="00355692"/>
    <w:rsid w:val="00361125"/>
    <w:rsid w:val="00361E4F"/>
    <w:rsid w:val="00362B72"/>
    <w:rsid w:val="003757D1"/>
    <w:rsid w:val="003870A9"/>
    <w:rsid w:val="003A32CB"/>
    <w:rsid w:val="003A5B90"/>
    <w:rsid w:val="003A624A"/>
    <w:rsid w:val="003A6970"/>
    <w:rsid w:val="003B0748"/>
    <w:rsid w:val="003B0B30"/>
    <w:rsid w:val="003B1503"/>
    <w:rsid w:val="003B260E"/>
    <w:rsid w:val="003B409D"/>
    <w:rsid w:val="003C1F8F"/>
    <w:rsid w:val="003C486E"/>
    <w:rsid w:val="003C534D"/>
    <w:rsid w:val="003E4B2B"/>
    <w:rsid w:val="003F2366"/>
    <w:rsid w:val="003F4C4F"/>
    <w:rsid w:val="003F6F58"/>
    <w:rsid w:val="003F776D"/>
    <w:rsid w:val="004032CE"/>
    <w:rsid w:val="00405714"/>
    <w:rsid w:val="00407A27"/>
    <w:rsid w:val="00407BFA"/>
    <w:rsid w:val="00412CE9"/>
    <w:rsid w:val="00415A1D"/>
    <w:rsid w:val="00426DCB"/>
    <w:rsid w:val="00431C6F"/>
    <w:rsid w:val="00435DE4"/>
    <w:rsid w:val="00447256"/>
    <w:rsid w:val="004608CD"/>
    <w:rsid w:val="00466F8B"/>
    <w:rsid w:val="00477C41"/>
    <w:rsid w:val="00484984"/>
    <w:rsid w:val="00486681"/>
    <w:rsid w:val="00496408"/>
    <w:rsid w:val="00496B51"/>
    <w:rsid w:val="004A42F6"/>
    <w:rsid w:val="004C0371"/>
    <w:rsid w:val="004D0341"/>
    <w:rsid w:val="00502169"/>
    <w:rsid w:val="005031B5"/>
    <w:rsid w:val="0050701F"/>
    <w:rsid w:val="0051502A"/>
    <w:rsid w:val="00517776"/>
    <w:rsid w:val="00524411"/>
    <w:rsid w:val="0052583D"/>
    <w:rsid w:val="0052611A"/>
    <w:rsid w:val="00541614"/>
    <w:rsid w:val="005560D2"/>
    <w:rsid w:val="0056218C"/>
    <w:rsid w:val="00564DB6"/>
    <w:rsid w:val="005662A1"/>
    <w:rsid w:val="005707DA"/>
    <w:rsid w:val="00571E7B"/>
    <w:rsid w:val="00571EDD"/>
    <w:rsid w:val="00591786"/>
    <w:rsid w:val="005A5870"/>
    <w:rsid w:val="005A7648"/>
    <w:rsid w:val="005B1756"/>
    <w:rsid w:val="005B4476"/>
    <w:rsid w:val="005D15C2"/>
    <w:rsid w:val="005E7002"/>
    <w:rsid w:val="005F3FAB"/>
    <w:rsid w:val="005F6849"/>
    <w:rsid w:val="00610136"/>
    <w:rsid w:val="006165D5"/>
    <w:rsid w:val="006262CE"/>
    <w:rsid w:val="00626E52"/>
    <w:rsid w:val="00627F95"/>
    <w:rsid w:val="00632C91"/>
    <w:rsid w:val="0063620C"/>
    <w:rsid w:val="006408D3"/>
    <w:rsid w:val="0064118F"/>
    <w:rsid w:val="00641A2F"/>
    <w:rsid w:val="00645D48"/>
    <w:rsid w:val="00650F97"/>
    <w:rsid w:val="0065488C"/>
    <w:rsid w:val="006567E5"/>
    <w:rsid w:val="006619C6"/>
    <w:rsid w:val="00664952"/>
    <w:rsid w:val="0067197F"/>
    <w:rsid w:val="00673F5D"/>
    <w:rsid w:val="00683C38"/>
    <w:rsid w:val="00685397"/>
    <w:rsid w:val="006866B7"/>
    <w:rsid w:val="006871E6"/>
    <w:rsid w:val="006905F4"/>
    <w:rsid w:val="00691118"/>
    <w:rsid w:val="00694085"/>
    <w:rsid w:val="00697157"/>
    <w:rsid w:val="006A416B"/>
    <w:rsid w:val="006A75B3"/>
    <w:rsid w:val="006B08C2"/>
    <w:rsid w:val="006B126D"/>
    <w:rsid w:val="006B60BE"/>
    <w:rsid w:val="006B789F"/>
    <w:rsid w:val="006D1A94"/>
    <w:rsid w:val="006D7604"/>
    <w:rsid w:val="006E0F54"/>
    <w:rsid w:val="006E5BB5"/>
    <w:rsid w:val="00700589"/>
    <w:rsid w:val="00701ABD"/>
    <w:rsid w:val="00712615"/>
    <w:rsid w:val="007128DA"/>
    <w:rsid w:val="007174D7"/>
    <w:rsid w:val="00722801"/>
    <w:rsid w:val="00722B67"/>
    <w:rsid w:val="00725458"/>
    <w:rsid w:val="00735D40"/>
    <w:rsid w:val="00736CC4"/>
    <w:rsid w:val="00740EFE"/>
    <w:rsid w:val="00743667"/>
    <w:rsid w:val="007657DD"/>
    <w:rsid w:val="0076592F"/>
    <w:rsid w:val="00771959"/>
    <w:rsid w:val="007730F6"/>
    <w:rsid w:val="0077461C"/>
    <w:rsid w:val="007751E5"/>
    <w:rsid w:val="00777417"/>
    <w:rsid w:val="007A1645"/>
    <w:rsid w:val="007A2FE1"/>
    <w:rsid w:val="007A3D2D"/>
    <w:rsid w:val="007C124D"/>
    <w:rsid w:val="007C4C3B"/>
    <w:rsid w:val="007D5557"/>
    <w:rsid w:val="007E11A3"/>
    <w:rsid w:val="007E4467"/>
    <w:rsid w:val="007E5B8D"/>
    <w:rsid w:val="007E5F82"/>
    <w:rsid w:val="007E6BA7"/>
    <w:rsid w:val="007E7D27"/>
    <w:rsid w:val="007F29A5"/>
    <w:rsid w:val="008011FE"/>
    <w:rsid w:val="008032DA"/>
    <w:rsid w:val="00806F7E"/>
    <w:rsid w:val="00807CE1"/>
    <w:rsid w:val="0081399C"/>
    <w:rsid w:val="008257C6"/>
    <w:rsid w:val="0082793D"/>
    <w:rsid w:val="008329E7"/>
    <w:rsid w:val="00833A51"/>
    <w:rsid w:val="008345AE"/>
    <w:rsid w:val="008417C9"/>
    <w:rsid w:val="008423A0"/>
    <w:rsid w:val="0084645A"/>
    <w:rsid w:val="008529EB"/>
    <w:rsid w:val="00852BE5"/>
    <w:rsid w:val="00857407"/>
    <w:rsid w:val="008675F2"/>
    <w:rsid w:val="0087075E"/>
    <w:rsid w:val="008745A3"/>
    <w:rsid w:val="00882840"/>
    <w:rsid w:val="00883EC7"/>
    <w:rsid w:val="00886795"/>
    <w:rsid w:val="00896746"/>
    <w:rsid w:val="008A077E"/>
    <w:rsid w:val="008A084E"/>
    <w:rsid w:val="008B6CA1"/>
    <w:rsid w:val="008B6E2D"/>
    <w:rsid w:val="008B7864"/>
    <w:rsid w:val="008C2D00"/>
    <w:rsid w:val="008D5B35"/>
    <w:rsid w:val="008D61F5"/>
    <w:rsid w:val="008E0555"/>
    <w:rsid w:val="008E6167"/>
    <w:rsid w:val="008F23E2"/>
    <w:rsid w:val="008F2448"/>
    <w:rsid w:val="00903752"/>
    <w:rsid w:val="009059FC"/>
    <w:rsid w:val="009076E9"/>
    <w:rsid w:val="009119CA"/>
    <w:rsid w:val="00912B8D"/>
    <w:rsid w:val="009152CE"/>
    <w:rsid w:val="009157C0"/>
    <w:rsid w:val="0093282A"/>
    <w:rsid w:val="00932A30"/>
    <w:rsid w:val="00933192"/>
    <w:rsid w:val="00940F50"/>
    <w:rsid w:val="0094306A"/>
    <w:rsid w:val="0094378D"/>
    <w:rsid w:val="00960A84"/>
    <w:rsid w:val="00965021"/>
    <w:rsid w:val="00971270"/>
    <w:rsid w:val="0099570C"/>
    <w:rsid w:val="00997E97"/>
    <w:rsid w:val="009A6BA3"/>
    <w:rsid w:val="009B15E1"/>
    <w:rsid w:val="009C65A7"/>
    <w:rsid w:val="009D205E"/>
    <w:rsid w:val="009D67F1"/>
    <w:rsid w:val="009E0EE7"/>
    <w:rsid w:val="009E415E"/>
    <w:rsid w:val="009E7BFB"/>
    <w:rsid w:val="009F1C01"/>
    <w:rsid w:val="009F6366"/>
    <w:rsid w:val="00A01330"/>
    <w:rsid w:val="00A07660"/>
    <w:rsid w:val="00A14393"/>
    <w:rsid w:val="00A4149A"/>
    <w:rsid w:val="00A507B5"/>
    <w:rsid w:val="00A66698"/>
    <w:rsid w:val="00A6709F"/>
    <w:rsid w:val="00A76336"/>
    <w:rsid w:val="00A768E4"/>
    <w:rsid w:val="00A81283"/>
    <w:rsid w:val="00A84443"/>
    <w:rsid w:val="00A86042"/>
    <w:rsid w:val="00A868FE"/>
    <w:rsid w:val="00A94023"/>
    <w:rsid w:val="00AB2A2D"/>
    <w:rsid w:val="00AB31DC"/>
    <w:rsid w:val="00AC1591"/>
    <w:rsid w:val="00AD70DC"/>
    <w:rsid w:val="00AE6262"/>
    <w:rsid w:val="00AF288A"/>
    <w:rsid w:val="00B14F48"/>
    <w:rsid w:val="00B2149F"/>
    <w:rsid w:val="00B218EC"/>
    <w:rsid w:val="00B23652"/>
    <w:rsid w:val="00B2595A"/>
    <w:rsid w:val="00B40274"/>
    <w:rsid w:val="00B4086D"/>
    <w:rsid w:val="00B550EC"/>
    <w:rsid w:val="00B62D11"/>
    <w:rsid w:val="00B668CE"/>
    <w:rsid w:val="00B66AD6"/>
    <w:rsid w:val="00B702D7"/>
    <w:rsid w:val="00B75CDF"/>
    <w:rsid w:val="00B842D3"/>
    <w:rsid w:val="00B850D4"/>
    <w:rsid w:val="00B86061"/>
    <w:rsid w:val="00BB63B5"/>
    <w:rsid w:val="00BC16B3"/>
    <w:rsid w:val="00BC510E"/>
    <w:rsid w:val="00BD0EFC"/>
    <w:rsid w:val="00BD2D47"/>
    <w:rsid w:val="00BD7560"/>
    <w:rsid w:val="00BE5464"/>
    <w:rsid w:val="00BF0ABC"/>
    <w:rsid w:val="00BF6FD4"/>
    <w:rsid w:val="00C07D26"/>
    <w:rsid w:val="00C170D9"/>
    <w:rsid w:val="00C26AD4"/>
    <w:rsid w:val="00C47C74"/>
    <w:rsid w:val="00C51763"/>
    <w:rsid w:val="00C52E16"/>
    <w:rsid w:val="00C743BB"/>
    <w:rsid w:val="00C751CE"/>
    <w:rsid w:val="00C81100"/>
    <w:rsid w:val="00C851DD"/>
    <w:rsid w:val="00C85CA5"/>
    <w:rsid w:val="00C92C50"/>
    <w:rsid w:val="00CA456E"/>
    <w:rsid w:val="00CC2590"/>
    <w:rsid w:val="00CD3011"/>
    <w:rsid w:val="00CD6C24"/>
    <w:rsid w:val="00CE2FE2"/>
    <w:rsid w:val="00CE3948"/>
    <w:rsid w:val="00CF2C2D"/>
    <w:rsid w:val="00D02E59"/>
    <w:rsid w:val="00D13324"/>
    <w:rsid w:val="00D1416C"/>
    <w:rsid w:val="00D23E11"/>
    <w:rsid w:val="00D301C1"/>
    <w:rsid w:val="00D338E0"/>
    <w:rsid w:val="00D52DAE"/>
    <w:rsid w:val="00D55527"/>
    <w:rsid w:val="00D56CFE"/>
    <w:rsid w:val="00D62DE5"/>
    <w:rsid w:val="00D70200"/>
    <w:rsid w:val="00D8645D"/>
    <w:rsid w:val="00DA3D18"/>
    <w:rsid w:val="00DB036A"/>
    <w:rsid w:val="00DB273F"/>
    <w:rsid w:val="00DB5899"/>
    <w:rsid w:val="00DB63A9"/>
    <w:rsid w:val="00DC1C33"/>
    <w:rsid w:val="00DD0DCE"/>
    <w:rsid w:val="00DD0DE8"/>
    <w:rsid w:val="00DD1D22"/>
    <w:rsid w:val="00DD6BBD"/>
    <w:rsid w:val="00DF0158"/>
    <w:rsid w:val="00DF0230"/>
    <w:rsid w:val="00E01DD4"/>
    <w:rsid w:val="00E04142"/>
    <w:rsid w:val="00E06264"/>
    <w:rsid w:val="00E07156"/>
    <w:rsid w:val="00E2515E"/>
    <w:rsid w:val="00E5495C"/>
    <w:rsid w:val="00E635D3"/>
    <w:rsid w:val="00E65909"/>
    <w:rsid w:val="00E84A3B"/>
    <w:rsid w:val="00E91C66"/>
    <w:rsid w:val="00ED0D41"/>
    <w:rsid w:val="00F0001E"/>
    <w:rsid w:val="00F0174A"/>
    <w:rsid w:val="00F060E2"/>
    <w:rsid w:val="00F10EDB"/>
    <w:rsid w:val="00F14766"/>
    <w:rsid w:val="00F17EFA"/>
    <w:rsid w:val="00F2122C"/>
    <w:rsid w:val="00F25149"/>
    <w:rsid w:val="00F26904"/>
    <w:rsid w:val="00F27354"/>
    <w:rsid w:val="00F278E4"/>
    <w:rsid w:val="00F35CE5"/>
    <w:rsid w:val="00F44AA0"/>
    <w:rsid w:val="00F47E57"/>
    <w:rsid w:val="00F53F17"/>
    <w:rsid w:val="00F662ED"/>
    <w:rsid w:val="00F67CB0"/>
    <w:rsid w:val="00F81994"/>
    <w:rsid w:val="00F82879"/>
    <w:rsid w:val="00F9166E"/>
    <w:rsid w:val="00F960FE"/>
    <w:rsid w:val="00F97E3F"/>
    <w:rsid w:val="00FC2DE4"/>
    <w:rsid w:val="00FD6EF1"/>
    <w:rsid w:val="00FE285B"/>
    <w:rsid w:val="00FF2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style>
  <w:style w:type="paragraph" w:styleId="Heading1">
    <w:name w:val="heading 1"/>
    <w:basedOn w:val="Normal"/>
    <w:next w:val="Normal"/>
    <w:qFormat/>
    <w:pPr>
      <w:keepNext/>
      <w:widowControl w:val="0"/>
      <w:outlineLvl w:val="0"/>
    </w:pPr>
    <w:rPr>
      <w:sz w:val="26"/>
      <w:szCs w:val="26"/>
    </w:rPr>
  </w:style>
  <w:style w:type="paragraph" w:styleId="Heading2">
    <w:name w:val="heading 2"/>
    <w:basedOn w:val="Normal"/>
    <w:next w:val="Normal"/>
    <w:qFormat/>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widowControl w:val="0"/>
      <w:spacing w:line="360" w:lineRule="auto"/>
      <w:ind w:firstLine="1440"/>
    </w:pPr>
    <w:rPr>
      <w:sz w:val="26"/>
      <w:szCs w:val="26"/>
    </w:rPr>
  </w:style>
  <w:style w:type="paragraph" w:styleId="BodyTextIndent2">
    <w:name w:val="Body Text Indent 2"/>
    <w:basedOn w:val="Normal"/>
    <w:pPr>
      <w:widowControl w:val="0"/>
      <w:spacing w:line="360" w:lineRule="auto"/>
      <w:ind w:left="1440" w:firstLine="720"/>
    </w:pPr>
    <w:rPr>
      <w:sz w:val="26"/>
      <w:szCs w:val="26"/>
    </w:rPr>
  </w:style>
  <w:style w:type="paragraph" w:styleId="BodyTextIndent3">
    <w:name w:val="Body Text Indent 3"/>
    <w:basedOn w:val="Normal"/>
    <w:pPr>
      <w:widowControl w:val="0"/>
      <w:spacing w:line="480" w:lineRule="atLeast"/>
      <w:ind w:firstLine="720"/>
      <w:jc w:val="both"/>
    </w:pPr>
    <w:rPr>
      <w:sz w:val="26"/>
      <w:szCs w:val="26"/>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6B08C2"/>
    <w:pPr>
      <w:tabs>
        <w:tab w:val="center" w:pos="4320"/>
        <w:tab w:val="right" w:pos="8640"/>
      </w:tabs>
    </w:pPr>
  </w:style>
  <w:style w:type="character" w:styleId="PageNumber">
    <w:name w:val="page number"/>
    <w:basedOn w:val="DefaultParagraphFont"/>
    <w:rsid w:val="006B08C2"/>
  </w:style>
  <w:style w:type="character" w:styleId="Hyperlink">
    <w:name w:val="Hyperlink"/>
    <w:rsid w:val="003212B2"/>
    <w:rPr>
      <w:color w:val="0000FF"/>
      <w:u w:val="single"/>
    </w:rPr>
  </w:style>
  <w:style w:type="paragraph" w:styleId="ListParagraph">
    <w:name w:val="List Paragraph"/>
    <w:basedOn w:val="Normal"/>
    <w:uiPriority w:val="34"/>
    <w:qFormat/>
    <w:rsid w:val="00DD1D22"/>
    <w:pPr>
      <w:ind w:left="720"/>
    </w:pPr>
  </w:style>
  <w:style w:type="paragraph" w:styleId="BalloonText">
    <w:name w:val="Balloon Text"/>
    <w:basedOn w:val="Normal"/>
    <w:link w:val="BalloonTextChar"/>
    <w:rsid w:val="008E0555"/>
    <w:rPr>
      <w:rFonts w:ascii="Tahoma" w:hAnsi="Tahoma" w:cs="Tahoma"/>
      <w:sz w:val="16"/>
      <w:szCs w:val="16"/>
    </w:rPr>
  </w:style>
  <w:style w:type="character" w:customStyle="1" w:styleId="BalloonTextChar">
    <w:name w:val="Balloon Text Char"/>
    <w:link w:val="BalloonText"/>
    <w:rsid w:val="008E0555"/>
    <w:rPr>
      <w:rFonts w:ascii="Tahoma" w:hAnsi="Tahoma" w:cs="Tahoma"/>
      <w:sz w:val="16"/>
      <w:szCs w:val="16"/>
    </w:rPr>
  </w:style>
  <w:style w:type="paragraph" w:styleId="Header">
    <w:name w:val="header"/>
    <w:basedOn w:val="Normal"/>
    <w:link w:val="HeaderChar"/>
    <w:rsid w:val="00960A84"/>
    <w:pPr>
      <w:tabs>
        <w:tab w:val="center" w:pos="4680"/>
        <w:tab w:val="right" w:pos="9360"/>
      </w:tabs>
    </w:pPr>
  </w:style>
  <w:style w:type="character" w:customStyle="1" w:styleId="HeaderChar">
    <w:name w:val="Header Char"/>
    <w:basedOn w:val="DefaultParagraphFont"/>
    <w:link w:val="Header"/>
    <w:rsid w:val="00960A84"/>
  </w:style>
  <w:style w:type="character" w:customStyle="1" w:styleId="BodyTextIndentChar">
    <w:name w:val="Body Text Indent Char"/>
    <w:basedOn w:val="DefaultParagraphFont"/>
    <w:link w:val="BodyTextIndent"/>
    <w:rsid w:val="00DD0DCE"/>
    <w:rPr>
      <w:sz w:val="26"/>
      <w:szCs w:val="26"/>
    </w:rPr>
  </w:style>
  <w:style w:type="paragraph" w:customStyle="1" w:styleId="Style">
    <w:name w:val="Style"/>
    <w:rsid w:val="001B371B"/>
    <w:pPr>
      <w:widowControl w:val="0"/>
      <w:autoSpaceDE w:val="0"/>
      <w:autoSpaceDN w:val="0"/>
      <w:adjustRightInd w:val="0"/>
    </w:pPr>
    <w:rPr>
      <w:sz w:val="24"/>
      <w:szCs w:val="24"/>
    </w:rPr>
  </w:style>
  <w:style w:type="paragraph" w:styleId="FootnoteText">
    <w:name w:val="footnote text"/>
    <w:basedOn w:val="Normal"/>
    <w:link w:val="FootnoteTextChar"/>
    <w:rsid w:val="00632C91"/>
  </w:style>
  <w:style w:type="character" w:customStyle="1" w:styleId="FootnoteTextChar">
    <w:name w:val="Footnote Text Char"/>
    <w:basedOn w:val="DefaultParagraphFont"/>
    <w:link w:val="FootnoteText"/>
    <w:rsid w:val="00632C91"/>
  </w:style>
  <w:style w:type="character" w:styleId="FootnoteReference">
    <w:name w:val="footnote reference"/>
    <w:basedOn w:val="DefaultParagraphFont"/>
    <w:rsid w:val="00632C91"/>
    <w:rPr>
      <w:vertAlign w:val="superscript"/>
    </w:rPr>
  </w:style>
  <w:style w:type="character" w:customStyle="1" w:styleId="FooterChar">
    <w:name w:val="Footer Char"/>
    <w:basedOn w:val="DefaultParagraphFont"/>
    <w:link w:val="Footer"/>
    <w:uiPriority w:val="99"/>
    <w:rsid w:val="00F53F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style>
  <w:style w:type="paragraph" w:styleId="Heading1">
    <w:name w:val="heading 1"/>
    <w:basedOn w:val="Normal"/>
    <w:next w:val="Normal"/>
    <w:qFormat/>
    <w:pPr>
      <w:keepNext/>
      <w:widowControl w:val="0"/>
      <w:outlineLvl w:val="0"/>
    </w:pPr>
    <w:rPr>
      <w:sz w:val="26"/>
      <w:szCs w:val="26"/>
    </w:rPr>
  </w:style>
  <w:style w:type="paragraph" w:styleId="Heading2">
    <w:name w:val="heading 2"/>
    <w:basedOn w:val="Normal"/>
    <w:next w:val="Normal"/>
    <w:qFormat/>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widowControl w:val="0"/>
      <w:spacing w:line="360" w:lineRule="auto"/>
      <w:ind w:firstLine="1440"/>
    </w:pPr>
    <w:rPr>
      <w:sz w:val="26"/>
      <w:szCs w:val="26"/>
    </w:rPr>
  </w:style>
  <w:style w:type="paragraph" w:styleId="BodyTextIndent2">
    <w:name w:val="Body Text Indent 2"/>
    <w:basedOn w:val="Normal"/>
    <w:pPr>
      <w:widowControl w:val="0"/>
      <w:spacing w:line="360" w:lineRule="auto"/>
      <w:ind w:left="1440" w:firstLine="720"/>
    </w:pPr>
    <w:rPr>
      <w:sz w:val="26"/>
      <w:szCs w:val="26"/>
    </w:rPr>
  </w:style>
  <w:style w:type="paragraph" w:styleId="BodyTextIndent3">
    <w:name w:val="Body Text Indent 3"/>
    <w:basedOn w:val="Normal"/>
    <w:pPr>
      <w:widowControl w:val="0"/>
      <w:spacing w:line="480" w:lineRule="atLeast"/>
      <w:ind w:firstLine="720"/>
      <w:jc w:val="both"/>
    </w:pPr>
    <w:rPr>
      <w:sz w:val="26"/>
      <w:szCs w:val="26"/>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6B08C2"/>
    <w:pPr>
      <w:tabs>
        <w:tab w:val="center" w:pos="4320"/>
        <w:tab w:val="right" w:pos="8640"/>
      </w:tabs>
    </w:pPr>
  </w:style>
  <w:style w:type="character" w:styleId="PageNumber">
    <w:name w:val="page number"/>
    <w:basedOn w:val="DefaultParagraphFont"/>
    <w:rsid w:val="006B08C2"/>
  </w:style>
  <w:style w:type="character" w:styleId="Hyperlink">
    <w:name w:val="Hyperlink"/>
    <w:rsid w:val="003212B2"/>
    <w:rPr>
      <w:color w:val="0000FF"/>
      <w:u w:val="single"/>
    </w:rPr>
  </w:style>
  <w:style w:type="paragraph" w:styleId="ListParagraph">
    <w:name w:val="List Paragraph"/>
    <w:basedOn w:val="Normal"/>
    <w:uiPriority w:val="34"/>
    <w:qFormat/>
    <w:rsid w:val="00DD1D22"/>
    <w:pPr>
      <w:ind w:left="720"/>
    </w:pPr>
  </w:style>
  <w:style w:type="paragraph" w:styleId="BalloonText">
    <w:name w:val="Balloon Text"/>
    <w:basedOn w:val="Normal"/>
    <w:link w:val="BalloonTextChar"/>
    <w:rsid w:val="008E0555"/>
    <w:rPr>
      <w:rFonts w:ascii="Tahoma" w:hAnsi="Tahoma" w:cs="Tahoma"/>
      <w:sz w:val="16"/>
      <w:szCs w:val="16"/>
    </w:rPr>
  </w:style>
  <w:style w:type="character" w:customStyle="1" w:styleId="BalloonTextChar">
    <w:name w:val="Balloon Text Char"/>
    <w:link w:val="BalloonText"/>
    <w:rsid w:val="008E0555"/>
    <w:rPr>
      <w:rFonts w:ascii="Tahoma" w:hAnsi="Tahoma" w:cs="Tahoma"/>
      <w:sz w:val="16"/>
      <w:szCs w:val="16"/>
    </w:rPr>
  </w:style>
  <w:style w:type="paragraph" w:styleId="Header">
    <w:name w:val="header"/>
    <w:basedOn w:val="Normal"/>
    <w:link w:val="HeaderChar"/>
    <w:rsid w:val="00960A84"/>
    <w:pPr>
      <w:tabs>
        <w:tab w:val="center" w:pos="4680"/>
        <w:tab w:val="right" w:pos="9360"/>
      </w:tabs>
    </w:pPr>
  </w:style>
  <w:style w:type="character" w:customStyle="1" w:styleId="HeaderChar">
    <w:name w:val="Header Char"/>
    <w:basedOn w:val="DefaultParagraphFont"/>
    <w:link w:val="Header"/>
    <w:rsid w:val="00960A84"/>
  </w:style>
  <w:style w:type="character" w:customStyle="1" w:styleId="BodyTextIndentChar">
    <w:name w:val="Body Text Indent Char"/>
    <w:basedOn w:val="DefaultParagraphFont"/>
    <w:link w:val="BodyTextIndent"/>
    <w:rsid w:val="00DD0DCE"/>
    <w:rPr>
      <w:sz w:val="26"/>
      <w:szCs w:val="26"/>
    </w:rPr>
  </w:style>
  <w:style w:type="paragraph" w:customStyle="1" w:styleId="Style">
    <w:name w:val="Style"/>
    <w:rsid w:val="001B371B"/>
    <w:pPr>
      <w:widowControl w:val="0"/>
      <w:autoSpaceDE w:val="0"/>
      <w:autoSpaceDN w:val="0"/>
      <w:adjustRightInd w:val="0"/>
    </w:pPr>
    <w:rPr>
      <w:sz w:val="24"/>
      <w:szCs w:val="24"/>
    </w:rPr>
  </w:style>
  <w:style w:type="paragraph" w:styleId="FootnoteText">
    <w:name w:val="footnote text"/>
    <w:basedOn w:val="Normal"/>
    <w:link w:val="FootnoteTextChar"/>
    <w:rsid w:val="00632C91"/>
  </w:style>
  <w:style w:type="character" w:customStyle="1" w:styleId="FootnoteTextChar">
    <w:name w:val="Footnote Text Char"/>
    <w:basedOn w:val="DefaultParagraphFont"/>
    <w:link w:val="FootnoteText"/>
    <w:rsid w:val="00632C91"/>
  </w:style>
  <w:style w:type="character" w:styleId="FootnoteReference">
    <w:name w:val="footnote reference"/>
    <w:basedOn w:val="DefaultParagraphFont"/>
    <w:rsid w:val="00632C91"/>
    <w:rPr>
      <w:vertAlign w:val="superscript"/>
    </w:rPr>
  </w:style>
  <w:style w:type="character" w:customStyle="1" w:styleId="FooterChar">
    <w:name w:val="Footer Char"/>
    <w:basedOn w:val="DefaultParagraphFont"/>
    <w:link w:val="Footer"/>
    <w:uiPriority w:val="99"/>
    <w:rsid w:val="00F53F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726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7C03A-A10B-48F4-8ED6-7F5F15207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905</Words>
  <Characters>5163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6056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ALJCOMMON</dc:creator>
  <cp:lastModifiedBy>Blanton, Leah</cp:lastModifiedBy>
  <cp:revision>4</cp:revision>
  <cp:lastPrinted>2016-02-17T19:41:00Z</cp:lastPrinted>
  <dcterms:created xsi:type="dcterms:W3CDTF">2016-02-17T20:30:00Z</dcterms:created>
  <dcterms:modified xsi:type="dcterms:W3CDTF">2016-02-22T20:55:00Z</dcterms:modified>
</cp:coreProperties>
</file>