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3E654B" w:rsidP="008038A1">
      <w:r>
        <w:t>Florence Smalls</w:t>
      </w:r>
      <w:r>
        <w:tab/>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3E654B">
        <w:t>2016-2522456</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7B25E2" w:rsidP="008038A1">
      <w:r>
        <w:t>PECO Energy Company</w:t>
      </w:r>
      <w:r w:rsidR="003E654B">
        <w:t>, and</w:t>
      </w:r>
      <w:r w:rsidR="008038A1" w:rsidRPr="008038A1">
        <w:tab/>
      </w:r>
      <w:r w:rsidR="008038A1" w:rsidRPr="008038A1">
        <w:tab/>
      </w:r>
      <w:r w:rsidR="008038A1" w:rsidRPr="008038A1">
        <w:tab/>
      </w:r>
      <w:r w:rsidR="008038A1" w:rsidRPr="008038A1">
        <w:tab/>
        <w:t>:</w:t>
      </w:r>
    </w:p>
    <w:p w:rsidR="008038A1" w:rsidRDefault="003E654B" w:rsidP="008038A1">
      <w:r>
        <w:t>XOOM Energy Pennsylvania, LLC</w:t>
      </w:r>
      <w:r>
        <w:tab/>
      </w:r>
      <w:r>
        <w:tab/>
      </w:r>
      <w:r>
        <w:tab/>
        <w:t>:</w:t>
      </w:r>
    </w:p>
    <w:p w:rsidR="00CD309F" w:rsidRDefault="00CD309F" w:rsidP="008038A1"/>
    <w:p w:rsidR="003E654B" w:rsidRDefault="003E654B" w:rsidP="008038A1"/>
    <w:p w:rsidR="003E654B" w:rsidRPr="008038A1" w:rsidRDefault="003E654B" w:rsidP="008038A1"/>
    <w:p w:rsidR="008038A1" w:rsidRPr="007B25E2" w:rsidRDefault="00837713" w:rsidP="008038A1">
      <w:pPr>
        <w:jc w:val="center"/>
        <w:rPr>
          <w:b/>
          <w:u w:val="single"/>
        </w:rPr>
      </w:pPr>
      <w:r>
        <w:rPr>
          <w:b/>
          <w:u w:val="single"/>
        </w:rPr>
        <w:t>FIRST</w:t>
      </w:r>
      <w:r w:rsidR="008038A1" w:rsidRPr="007B25E2">
        <w:rPr>
          <w:b/>
          <w:u w:val="single"/>
        </w:rPr>
        <w:t xml:space="preserve"> INTERIM ORDER</w:t>
      </w:r>
    </w:p>
    <w:p w:rsidR="001A517C" w:rsidRDefault="007B25E2" w:rsidP="008038A1">
      <w:pPr>
        <w:jc w:val="center"/>
      </w:pPr>
      <w:r>
        <w:t>Granting Continuance Request</w:t>
      </w:r>
    </w:p>
    <w:p w:rsidR="003E654B" w:rsidRPr="007B25E2" w:rsidRDefault="003E654B" w:rsidP="008038A1">
      <w:pPr>
        <w:jc w:val="center"/>
      </w:pPr>
      <w:r>
        <w:t xml:space="preserve">From Respondent </w:t>
      </w:r>
      <w:r w:rsidR="00B931F3">
        <w:t>XOOM</w:t>
      </w:r>
      <w:r>
        <w:t xml:space="preserve"> Energy </w:t>
      </w:r>
      <w:r w:rsidR="00B931F3">
        <w:t>Pennsylvania, LLC</w:t>
      </w:r>
    </w:p>
    <w:p w:rsidR="00CD309F" w:rsidRDefault="00CD309F" w:rsidP="00280D5C">
      <w:pPr>
        <w:spacing w:line="360" w:lineRule="auto"/>
      </w:pPr>
    </w:p>
    <w:p w:rsidR="005D10D7" w:rsidRDefault="00280D5C" w:rsidP="00280D5C">
      <w:pPr>
        <w:spacing w:line="360" w:lineRule="auto"/>
      </w:pPr>
      <w:r>
        <w:tab/>
      </w:r>
      <w:r>
        <w:tab/>
        <w:t xml:space="preserve">On </w:t>
      </w:r>
      <w:r w:rsidR="00A64ABE">
        <w:t>January 7, 2016</w:t>
      </w:r>
      <w:r>
        <w:t xml:space="preserve">, </w:t>
      </w:r>
      <w:r w:rsidR="00A64ABE">
        <w:t>Florence Smalls</w:t>
      </w:r>
      <w:r>
        <w:t xml:space="preserve"> (Complainant or </w:t>
      </w:r>
      <w:r w:rsidR="00A64ABE">
        <w:t>Ms. Smalls</w:t>
      </w:r>
      <w:r>
        <w:t xml:space="preserve">) filed a formal complaint with the Pennsylvania Public Utility Commission (Commission) against PECO Energy Company (PECO) </w:t>
      </w:r>
      <w:r w:rsidR="00A64ABE">
        <w:t xml:space="preserve">and XOOM Energy Pennsylvania, LLC (XOOM) </w:t>
      </w:r>
      <w:r>
        <w:t xml:space="preserve">alleging </w:t>
      </w:r>
      <w:r w:rsidR="00A64ABE">
        <w:t xml:space="preserve">incorrect charges on her billing statements because XOOM became her supplier in December 2014 without her </w:t>
      </w:r>
      <w:r w:rsidR="005D10D7">
        <w:t>consent</w:t>
      </w:r>
      <w:r w:rsidR="00A64ABE">
        <w:t xml:space="preserve">, and her monthly bills increased without any increase or change in her consumption patterns.  </w:t>
      </w:r>
      <w:r w:rsidR="00B60748">
        <w:t>Complainant</w:t>
      </w:r>
      <w:r>
        <w:t xml:space="preserve"> requested </w:t>
      </w:r>
      <w:r w:rsidR="00B60748">
        <w:t xml:space="preserve">the Commission order PECO </w:t>
      </w:r>
      <w:r w:rsidR="005D10D7">
        <w:t xml:space="preserve">and XOOM to correct the billing errors </w:t>
      </w:r>
      <w:r w:rsidR="00B60748">
        <w:t>and reimburse Complainant for the costs incurred</w:t>
      </w:r>
      <w:r>
        <w:t xml:space="preserve">.  </w:t>
      </w:r>
    </w:p>
    <w:p w:rsidR="005D10D7" w:rsidRDefault="005D10D7" w:rsidP="00280D5C">
      <w:pPr>
        <w:spacing w:line="360" w:lineRule="auto"/>
      </w:pPr>
    </w:p>
    <w:p w:rsidR="00280D5C" w:rsidRDefault="005D10D7" w:rsidP="005D10D7">
      <w:pPr>
        <w:spacing w:line="360" w:lineRule="auto"/>
        <w:ind w:firstLine="1440"/>
      </w:pPr>
      <w:r>
        <w:t xml:space="preserve">On January 14, 2016, XOOM filed a response to the complaint but XOOM failed to include a certificate of service or indicate that parties of record were served.  On January 21, 2016, the Secretary’s Bureau determined the response must be an Answer and provided service upon the other parties.  XOOM denied all material allegations.  </w:t>
      </w:r>
      <w:r w:rsidR="00280D5C">
        <w:t xml:space="preserve">On </w:t>
      </w:r>
      <w:r>
        <w:t>January 27, 2016</w:t>
      </w:r>
      <w:r w:rsidR="00280D5C">
        <w:t xml:space="preserve">, PECO filed its Answer in which it denied all material allegations and </w:t>
      </w:r>
      <w:r>
        <w:t>should proceed against the supplier only because the complaint does not involve any allegation of wrongdoing by PECO</w:t>
      </w:r>
      <w:r w:rsidR="00280D5C">
        <w:t xml:space="preserve">.    </w:t>
      </w:r>
    </w:p>
    <w:p w:rsidR="00280D5C" w:rsidRDefault="00280D5C" w:rsidP="00280D5C">
      <w:pPr>
        <w:spacing w:line="360" w:lineRule="auto"/>
      </w:pPr>
    </w:p>
    <w:p w:rsidR="00280D5C" w:rsidRDefault="00280D5C" w:rsidP="00280D5C">
      <w:pPr>
        <w:spacing w:line="360" w:lineRule="auto"/>
      </w:pPr>
      <w:r>
        <w:tab/>
      </w:r>
      <w:r>
        <w:tab/>
        <w:t xml:space="preserve">On </w:t>
      </w:r>
      <w:r w:rsidR="005D10D7">
        <w:t>January 27, 2016</w:t>
      </w:r>
      <w:r>
        <w:t xml:space="preserve">, the Office of Administrative Law Judge (OALJ) issued a Call-In Telephone Hearing Notice scheduling an initial telephonic hearing to be conducted on </w:t>
      </w:r>
      <w:r w:rsidR="005D10D7">
        <w:lastRenderedPageBreak/>
        <w:t>Friday, March 11, 2016</w:t>
      </w:r>
      <w:r>
        <w:t xml:space="preserve"> at 10:00 a.m.  On </w:t>
      </w:r>
      <w:r w:rsidR="005D10D7">
        <w:t>February 2, 2016</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7B29AB" w:rsidRDefault="007B29AB" w:rsidP="00280D5C">
      <w:pPr>
        <w:spacing w:line="360" w:lineRule="auto"/>
      </w:pPr>
    </w:p>
    <w:p w:rsidR="0031242E" w:rsidRDefault="0031242E" w:rsidP="00280D5C">
      <w:pPr>
        <w:spacing w:line="360" w:lineRule="auto"/>
      </w:pPr>
      <w:r>
        <w:tab/>
      </w:r>
      <w:r>
        <w:tab/>
        <w:t xml:space="preserve">On </w:t>
      </w:r>
      <w:r w:rsidR="005D10D7">
        <w:t>February 25, 2016</w:t>
      </w:r>
      <w:r>
        <w:t xml:space="preserve">, </w:t>
      </w:r>
      <w:r w:rsidR="005D10D7">
        <w:t xml:space="preserve">Michael A. </w:t>
      </w:r>
      <w:proofErr w:type="spellStart"/>
      <w:r w:rsidR="005D10D7">
        <w:t>Gruin</w:t>
      </w:r>
      <w:proofErr w:type="spellEnd"/>
      <w:r>
        <w:t xml:space="preserve">, Esquire, filed a Notice of Appearance on behalf of </w:t>
      </w:r>
      <w:r w:rsidR="005D10D7">
        <w:t>XOOM</w:t>
      </w:r>
      <w:r>
        <w:t>.</w:t>
      </w:r>
    </w:p>
    <w:p w:rsidR="0031242E" w:rsidRDefault="0031242E" w:rsidP="00280D5C">
      <w:pPr>
        <w:spacing w:line="360" w:lineRule="auto"/>
      </w:pPr>
    </w:p>
    <w:p w:rsidR="007B29AB" w:rsidRDefault="007B29AB" w:rsidP="00280D5C">
      <w:pPr>
        <w:spacing w:line="360" w:lineRule="auto"/>
      </w:pPr>
      <w:r>
        <w:tab/>
      </w:r>
      <w:r>
        <w:tab/>
        <w:t xml:space="preserve">On </w:t>
      </w:r>
      <w:r w:rsidR="005D10D7">
        <w:t>February 26, 2016</w:t>
      </w:r>
      <w:r>
        <w:t xml:space="preserve">, </w:t>
      </w:r>
      <w:r w:rsidR="005D10D7">
        <w:t>XOOM</w:t>
      </w:r>
      <w:r>
        <w:t xml:space="preserve"> filed a Motion for Continuance with the Commission and the presiding officer.  </w:t>
      </w:r>
      <w:r w:rsidR="005D10D7">
        <w:t xml:space="preserve">XOOM </w:t>
      </w:r>
      <w:r>
        <w:t xml:space="preserve">alleged </w:t>
      </w:r>
      <w:r w:rsidR="005D10D7">
        <w:t xml:space="preserve">its primary fact witness was scheduled to be on vacation on March 11, 2016.  XOOM averred it spoke with PECO, which indicated it had no objection to the continuance request.  XOOM also averred it spoke with Complainant’s </w:t>
      </w:r>
      <w:r w:rsidR="00C70F28">
        <w:t xml:space="preserve">adult </w:t>
      </w:r>
      <w:r w:rsidR="005D10D7">
        <w:t xml:space="preserve">son, </w:t>
      </w:r>
      <w:r w:rsidR="00C70F28">
        <w:t xml:space="preserve">Lawrence Smalls (Mr. Smalls), who allegedly indicated he filed the complaint on behalf of his mother and intended to represent his mother at the initial telephonic hearing.  Mr. Smalls indicated to XOOM he had no objection to the continuance request.  </w:t>
      </w:r>
      <w:r>
        <w:t xml:space="preserve">   </w:t>
      </w:r>
    </w:p>
    <w:p w:rsidR="00C70F28" w:rsidRDefault="00C70F28" w:rsidP="00280D5C">
      <w:pPr>
        <w:spacing w:line="360" w:lineRule="auto"/>
      </w:pPr>
    </w:p>
    <w:p w:rsidR="00C70F28" w:rsidRPr="00DC6EAE" w:rsidRDefault="00C70F28" w:rsidP="00280D5C">
      <w:pPr>
        <w:spacing w:line="360" w:lineRule="auto"/>
        <w:rPr>
          <w:u w:val="single"/>
        </w:rPr>
      </w:pPr>
      <w:r w:rsidRPr="00DC6EAE">
        <w:rPr>
          <w:u w:val="single"/>
        </w:rPr>
        <w:t>Discussion</w:t>
      </w:r>
    </w:p>
    <w:p w:rsidR="00C70F28" w:rsidRDefault="00C70F28" w:rsidP="00280D5C">
      <w:pPr>
        <w:spacing w:line="360" w:lineRule="auto"/>
      </w:pPr>
    </w:p>
    <w:p w:rsidR="00C70F28" w:rsidRDefault="00C70F28" w:rsidP="00280D5C">
      <w:pPr>
        <w:spacing w:line="360" w:lineRule="auto"/>
      </w:pPr>
      <w:r>
        <w:tab/>
      </w:r>
      <w:r>
        <w:tab/>
        <w:t>First, it must be noted Mr. Smalls will not be permitted to represent his mother at the initial telephone hearing unless he is a licensed attorney, pursuant to provisions at 52</w:t>
      </w:r>
      <w:r w:rsidR="004339CB">
        <w:t> </w:t>
      </w:r>
      <w:proofErr w:type="spellStart"/>
      <w:r>
        <w:t>Pa.Code</w:t>
      </w:r>
      <w:proofErr w:type="spellEnd"/>
      <w:r>
        <w:t xml:space="preserve"> § 1.22(a)</w:t>
      </w:r>
      <w:r>
        <w:rPr>
          <w:rStyle w:val="FootnoteReference"/>
        </w:rPr>
        <w:footnoteReference w:id="1"/>
      </w:r>
      <w:r>
        <w:t xml:space="preserve"> and § 1.23(a).</w:t>
      </w:r>
      <w:r>
        <w:rPr>
          <w:rStyle w:val="FootnoteReference"/>
        </w:rPr>
        <w:footnoteReference w:id="2"/>
      </w:r>
      <w:r>
        <w:t xml:space="preserve">  It appears from XOOM’s Motion that Mr. Smalls may handle his mother’s dealings with PECO and XOOM.  It is assumed Mr. Smalls has personal knowledge about activities on the electric service account for Complainant.  Therefore, Mr.</w:t>
      </w:r>
      <w:r w:rsidR="007F0251">
        <w:t> </w:t>
      </w:r>
      <w:bookmarkStart w:id="0" w:name="_GoBack"/>
      <w:bookmarkEnd w:id="0"/>
      <w:r>
        <w:t>Smalls can testify at the hearing and explain the actions he took on his mother’s behalf in dealings with PECO and/or XOOM.  However, Mr. Smalls cannot ask questions of his mother or other witnesses, and he will not be permitted to make any statements on his mother’s behalf.  Either Ms. Smalls must represent herself or she will need to obtain an attorney to represent her.</w:t>
      </w:r>
    </w:p>
    <w:p w:rsidR="003901CE" w:rsidRDefault="00C70F28" w:rsidP="003901CE">
      <w:pPr>
        <w:spacing w:line="360" w:lineRule="auto"/>
      </w:pPr>
      <w:r>
        <w:lastRenderedPageBreak/>
        <w:tab/>
      </w:r>
      <w:r>
        <w:tab/>
        <w:t xml:space="preserve">Second, </w:t>
      </w:r>
      <w:r w:rsidR="003901CE">
        <w:t xml:space="preserve">a review of XOOM’s request for a continuance leads to the conclusion it justified a need for a continuance.  Pursuant to 52 </w:t>
      </w:r>
      <w:smartTag w:uri="urn:schemas-microsoft-com:office:smarttags" w:element="State">
        <w:smartTag w:uri="urn:schemas-microsoft-com:office:smarttags" w:element="place">
          <w:r w:rsidR="003901CE">
            <w:t>Pa.</w:t>
          </w:r>
        </w:smartTag>
      </w:smartTag>
      <w:r w:rsidR="003901CE">
        <w:t xml:space="preserve"> Code §§1.15, extensions of time may be granted by the presiding officer for good cause shown upon a motion filed by a party.  XOOM’s request for a continuance is reasonable, is unopposed by either Complainant or PECO, and shows sufficient cause exists, under the circumstances.  The request for a continuance will be granted.  </w:t>
      </w:r>
    </w:p>
    <w:p w:rsidR="00B60748" w:rsidRDefault="00D970C4" w:rsidP="00D970C4">
      <w:pPr>
        <w:spacing w:line="360" w:lineRule="auto"/>
      </w:pPr>
      <w:r>
        <w:tab/>
      </w:r>
    </w:p>
    <w:p w:rsidR="002A3713" w:rsidRDefault="008038A1" w:rsidP="00280D5C">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rsidR="00B60748">
        <w:t xml:space="preserve">, to </w:t>
      </w:r>
      <w:r w:rsidR="00C70F28">
        <w:t>wit, this 1</w:t>
      </w:r>
      <w:r w:rsidR="00C70F28" w:rsidRPr="00C70F28">
        <w:rPr>
          <w:vertAlign w:val="superscript"/>
        </w:rPr>
        <w:t>st</w:t>
      </w:r>
      <w:r>
        <w:t xml:space="preserve"> day of </w:t>
      </w:r>
      <w:r w:rsidR="00C70F28">
        <w:t>March, 2016</w:t>
      </w:r>
      <w:r>
        <w:t xml:space="preserve">, </w:t>
      </w:r>
      <w:r w:rsidR="00280D5C">
        <w:t>after consideration of Respondent</w:t>
      </w:r>
      <w:r w:rsidR="00C70F28">
        <w:t xml:space="preserve"> </w:t>
      </w:r>
      <w:r w:rsidR="004339CB">
        <w:t>XOOM</w:t>
      </w:r>
      <w:r w:rsidR="00280D5C">
        <w:t xml:space="preserve">’s Motion for Continuance dated </w:t>
      </w:r>
      <w:r w:rsidR="00C70F28">
        <w:t>February 26, 2016</w:t>
      </w:r>
      <w:r w:rsidR="00907FC9">
        <w:t>,</w:t>
      </w:r>
      <w:r w:rsidR="002A3713">
        <w:t xml:space="preserve"> I</w:t>
      </w:r>
      <w:r w:rsidR="00CD309F">
        <w:t>T IS HEREBY ORDERED</w:t>
      </w:r>
      <w:r w:rsidR="002A3713">
        <w:t xml:space="preserve"> as follows: </w:t>
      </w:r>
    </w:p>
    <w:p w:rsidR="002A3713" w:rsidRDefault="002A3713" w:rsidP="008038A1">
      <w:pPr>
        <w:spacing w:line="360" w:lineRule="auto"/>
      </w:pPr>
    </w:p>
    <w:p w:rsidR="002A3713" w:rsidRDefault="002A3713" w:rsidP="002A3713">
      <w:pPr>
        <w:spacing w:line="360" w:lineRule="auto"/>
      </w:pPr>
      <w:r>
        <w:tab/>
      </w:r>
      <w:r>
        <w:tab/>
        <w:t>1.</w:t>
      </w:r>
      <w:r>
        <w:tab/>
        <w:t xml:space="preserve">That </w:t>
      </w:r>
      <w:r w:rsidR="008038A1">
        <w:t>the telephonic hearing scheduled for this case at</w:t>
      </w:r>
      <w:r w:rsidR="00CD309F">
        <w:t xml:space="preserve"> </w:t>
      </w:r>
      <w:r w:rsidR="00280D5C">
        <w:t>10</w:t>
      </w:r>
      <w:r w:rsidR="00CD309F">
        <w:t xml:space="preserve">:00 a.m. on </w:t>
      </w:r>
      <w:r w:rsidR="00C70F28">
        <w:t>Friday, March 11, 2016</w:t>
      </w:r>
      <w:r w:rsidR="00C43BC6">
        <w:t xml:space="preserve"> is continued</w:t>
      </w:r>
      <w:r>
        <w:t xml:space="preserve">.  </w:t>
      </w:r>
    </w:p>
    <w:p w:rsidR="002A3713" w:rsidRDefault="002A3713" w:rsidP="002A3713">
      <w:pPr>
        <w:spacing w:line="360" w:lineRule="auto"/>
        <w:ind w:left="720" w:firstLine="720"/>
      </w:pPr>
    </w:p>
    <w:p w:rsidR="00907FC9" w:rsidRDefault="00907FC9" w:rsidP="00907FC9">
      <w:pPr>
        <w:spacing w:line="360" w:lineRule="auto"/>
        <w:ind w:firstLine="720"/>
      </w:pPr>
      <w:r>
        <w:tab/>
        <w:t>2.</w:t>
      </w:r>
      <w:r w:rsidR="00D970C4">
        <w:tab/>
        <w:t xml:space="preserve">That the Office of Administrative Law Judge will </w:t>
      </w:r>
      <w:r w:rsidR="0031242E">
        <w:t>re</w:t>
      </w:r>
      <w:r w:rsidR="00D970C4">
        <w:t xml:space="preserve">schedule the initial call-in telephonic hearing </w:t>
      </w:r>
      <w:r w:rsidR="0031242E">
        <w:t>and will issue a notice to the parties</w:t>
      </w:r>
      <w:r w:rsidR="00D970C4">
        <w:t>.</w:t>
      </w:r>
    </w:p>
    <w:p w:rsidR="00C70F28" w:rsidRDefault="00C70F28" w:rsidP="00907FC9">
      <w:pPr>
        <w:spacing w:line="360" w:lineRule="auto"/>
        <w:ind w:firstLine="720"/>
      </w:pPr>
    </w:p>
    <w:p w:rsidR="00687BAF" w:rsidRDefault="00687BAF" w:rsidP="008038A1">
      <w:pPr>
        <w:spacing w:line="360" w:lineRule="auto"/>
      </w:pPr>
    </w:p>
    <w:p w:rsidR="007B29AB" w:rsidRDefault="007B29AB" w:rsidP="008038A1">
      <w:pPr>
        <w:spacing w:line="360" w:lineRule="auto"/>
      </w:pPr>
    </w:p>
    <w:p w:rsidR="00687BAF" w:rsidRDefault="00687BAF" w:rsidP="00687BA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87BAF" w:rsidRDefault="006252C4" w:rsidP="00687BAF">
      <w:r>
        <w:tab/>
      </w:r>
      <w:r>
        <w:tab/>
      </w:r>
      <w:r>
        <w:tab/>
      </w:r>
      <w:r>
        <w:tab/>
      </w:r>
      <w:r>
        <w:tab/>
      </w:r>
      <w:r>
        <w:tab/>
      </w:r>
      <w:r>
        <w:tab/>
      </w:r>
      <w:r w:rsidR="00280D5C">
        <w:t>Katrina L. Dunderdale</w:t>
      </w:r>
    </w:p>
    <w:p w:rsidR="00687BAF" w:rsidRDefault="00687BAF" w:rsidP="003901CE">
      <w:r>
        <w:tab/>
      </w:r>
      <w:r>
        <w:tab/>
      </w:r>
      <w:r>
        <w:tab/>
      </w:r>
      <w:r>
        <w:tab/>
      </w:r>
      <w:r>
        <w:tab/>
      </w:r>
      <w:r>
        <w:tab/>
      </w:r>
      <w:r>
        <w:tab/>
        <w:t>Administrative Law Judge</w:t>
      </w:r>
    </w:p>
    <w:p w:rsidR="00A83A6E" w:rsidRDefault="00A83A6E">
      <w:r>
        <w:br w:type="page"/>
      </w:r>
    </w:p>
    <w:p w:rsidR="00A83A6E" w:rsidRDefault="00A83A6E" w:rsidP="00A83A6E">
      <w:pPr>
        <w:contextualSpacing/>
        <w:rPr>
          <w:rFonts w:ascii="Microsoft Sans Serif"/>
          <w:b/>
          <w:u w:val="single"/>
        </w:rPr>
        <w:sectPr w:rsidR="00A83A6E" w:rsidSect="00BD6EBA">
          <w:footerReference w:type="default" r:id="rId8"/>
          <w:footerReference w:type="first" r:id="rId9"/>
          <w:pgSz w:w="12240" w:h="15840" w:code="1"/>
          <w:pgMar w:top="1440" w:right="1440" w:bottom="1440" w:left="1440" w:header="1440" w:footer="1440" w:gutter="0"/>
          <w:cols w:space="720"/>
          <w:titlePg/>
          <w:docGrid w:linePitch="360"/>
        </w:sectPr>
      </w:pPr>
    </w:p>
    <w:p w:rsidR="00B75441" w:rsidRPr="00173E25" w:rsidRDefault="00B75441" w:rsidP="00B75441">
      <w:pPr>
        <w:contextualSpacing/>
        <w:rPr>
          <w:rFonts w:ascii="Microsoft Sans Serif"/>
          <w:i/>
        </w:rPr>
      </w:pPr>
      <w:r>
        <w:rPr>
          <w:rFonts w:ascii="Microsoft Sans Serif"/>
          <w:b/>
          <w:u w:val="single"/>
        </w:rPr>
        <w:lastRenderedPageBreak/>
        <w:t>C-2016-2522456 - FLORENCE SMALLS v. PECO ENERGY COMPANY/XOOM ENERGY PENNSYLVANIA LLC</w:t>
      </w:r>
      <w:r>
        <w:rPr>
          <w:rFonts w:ascii="Microsoft Sans Serif"/>
          <w:b/>
          <w:u w:val="single"/>
        </w:rPr>
        <w:cr/>
      </w:r>
      <w:r>
        <w:rPr>
          <w:rFonts w:ascii="Microsoft Sans Serif"/>
        </w:rPr>
        <w:cr/>
      </w:r>
      <w:r>
        <w:rPr>
          <w:rFonts w:ascii="Microsoft Sans Serif"/>
          <w:i/>
        </w:rPr>
        <w:t>(Revised 3/1/16)</w:t>
      </w:r>
    </w:p>
    <w:p w:rsidR="00B75441" w:rsidRDefault="00B75441" w:rsidP="00B75441">
      <w:pPr>
        <w:contextualSpacing/>
        <w:rPr>
          <w:rFonts w:ascii="Microsoft Sans Serif"/>
        </w:rPr>
      </w:pPr>
    </w:p>
    <w:p w:rsidR="00B75441" w:rsidRDefault="00B75441" w:rsidP="00B75441">
      <w:pPr>
        <w:contextualSpacing/>
        <w:rPr>
          <w:rFonts w:ascii="Microsoft Sans Serif"/>
        </w:rPr>
      </w:pPr>
      <w:r>
        <w:rPr>
          <w:rFonts w:ascii="Microsoft Sans Serif"/>
        </w:rPr>
        <w:t>FLORENCE SMALLS</w:t>
      </w:r>
      <w:r>
        <w:rPr>
          <w:rFonts w:ascii="Microsoft Sans Serif"/>
        </w:rPr>
        <w:cr/>
        <w:t>1667 WYOMING AVE</w:t>
      </w:r>
      <w:r>
        <w:rPr>
          <w:rFonts w:ascii="Microsoft Sans Serif"/>
        </w:rPr>
        <w:cr/>
        <w:t>PHILADELPHIA PA  19140</w:t>
      </w:r>
      <w:r>
        <w:rPr>
          <w:rFonts w:ascii="Microsoft Sans Serif"/>
        </w:rPr>
        <w:cr/>
      </w:r>
      <w:r>
        <w:rPr>
          <w:rFonts w:ascii="Microsoft Sans Serif"/>
          <w:b/>
        </w:rPr>
        <w:t>215.300.</w:t>
      </w:r>
      <w:r w:rsidRPr="007E5EA8">
        <w:rPr>
          <w:rFonts w:ascii="Microsoft Sans Serif"/>
          <w:b/>
        </w:rPr>
        <w:t>9344</w:t>
      </w:r>
    </w:p>
    <w:p w:rsidR="00B75441" w:rsidRDefault="00B75441" w:rsidP="00B75441">
      <w:pPr>
        <w:contextualSpacing/>
        <w:rPr>
          <w:rFonts w:ascii="Microsoft Sans Serif"/>
        </w:rPr>
      </w:pPr>
      <w:r w:rsidRPr="007E5EA8">
        <w:rPr>
          <w:rFonts w:ascii="Microsoft Sans Serif"/>
          <w:i/>
        </w:rPr>
        <w:t>Complainant</w:t>
      </w:r>
      <w:r w:rsidRPr="007E5EA8">
        <w:rPr>
          <w:rFonts w:ascii="Microsoft Sans Serif"/>
          <w:i/>
        </w:rPr>
        <w:cr/>
      </w:r>
      <w:r>
        <w:rPr>
          <w:rFonts w:ascii="Microsoft Sans Serif"/>
          <w:b/>
          <w:u w:val="single"/>
        </w:rPr>
        <w:cr/>
      </w:r>
      <w:r>
        <w:rPr>
          <w:rFonts w:ascii="Microsoft Sans Serif"/>
        </w:rPr>
        <w:t>MICHAEL A GRUIN ESQUIRE</w:t>
      </w:r>
    </w:p>
    <w:p w:rsidR="00B75441" w:rsidRDefault="00B75441" w:rsidP="00B75441">
      <w:pPr>
        <w:contextualSpacing/>
        <w:rPr>
          <w:rFonts w:ascii="Microsoft Sans Serif"/>
        </w:rPr>
      </w:pPr>
      <w:r>
        <w:rPr>
          <w:rFonts w:ascii="Microsoft Sans Serif"/>
        </w:rPr>
        <w:t>STEVENS &amp; LEE PC</w:t>
      </w:r>
    </w:p>
    <w:p w:rsidR="00B75441" w:rsidRDefault="00B75441" w:rsidP="00B75441">
      <w:pPr>
        <w:contextualSpacing/>
        <w:rPr>
          <w:rFonts w:ascii="Microsoft Sans Serif"/>
        </w:rPr>
      </w:pPr>
      <w:r>
        <w:rPr>
          <w:rFonts w:ascii="Microsoft Sans Serif"/>
        </w:rPr>
        <w:t xml:space="preserve">17 NORTH SECOND </w:t>
      </w:r>
      <w:proofErr w:type="gramStart"/>
      <w:r>
        <w:rPr>
          <w:rFonts w:ascii="Microsoft Sans Serif"/>
        </w:rPr>
        <w:t>STREET</w:t>
      </w:r>
      <w:proofErr w:type="gramEnd"/>
    </w:p>
    <w:p w:rsidR="00B75441" w:rsidRDefault="00B75441" w:rsidP="00B75441">
      <w:pPr>
        <w:contextualSpacing/>
        <w:rPr>
          <w:rFonts w:ascii="Microsoft Sans Serif"/>
        </w:rPr>
      </w:pPr>
      <w:r>
        <w:rPr>
          <w:rFonts w:ascii="Microsoft Sans Serif"/>
        </w:rPr>
        <w:t>16</w:t>
      </w:r>
      <w:r w:rsidRPr="00173E25">
        <w:rPr>
          <w:rFonts w:ascii="Microsoft Sans Serif"/>
          <w:vertAlign w:val="superscript"/>
        </w:rPr>
        <w:t>TH</w:t>
      </w:r>
      <w:r>
        <w:rPr>
          <w:rFonts w:ascii="Microsoft Sans Serif"/>
        </w:rPr>
        <w:t xml:space="preserve"> FLOOR</w:t>
      </w:r>
    </w:p>
    <w:p w:rsidR="00B75441" w:rsidRDefault="00B75441" w:rsidP="00B75441">
      <w:pPr>
        <w:contextualSpacing/>
        <w:rPr>
          <w:rFonts w:ascii="Microsoft Sans Serif"/>
        </w:rPr>
      </w:pPr>
      <w:r>
        <w:rPr>
          <w:rFonts w:ascii="Microsoft Sans Serif"/>
        </w:rPr>
        <w:t>HARRISBURG PA  17101</w:t>
      </w:r>
    </w:p>
    <w:p w:rsidR="00B75441" w:rsidRPr="00173E25" w:rsidRDefault="00B75441" w:rsidP="00B75441">
      <w:pPr>
        <w:contextualSpacing/>
        <w:rPr>
          <w:rFonts w:ascii="Microsoft Sans Serif"/>
          <w:b/>
        </w:rPr>
      </w:pPr>
      <w:r>
        <w:rPr>
          <w:rFonts w:ascii="Microsoft Sans Serif"/>
          <w:b/>
        </w:rPr>
        <w:t>717.255.7365</w:t>
      </w:r>
    </w:p>
    <w:p w:rsidR="00B75441" w:rsidRPr="007E5EA8" w:rsidRDefault="00B75441" w:rsidP="00B75441">
      <w:pPr>
        <w:contextualSpacing/>
        <w:rPr>
          <w:rFonts w:ascii="Microsoft Sans Serif"/>
          <w:i/>
        </w:rPr>
      </w:pPr>
      <w:r w:rsidRPr="007E5EA8">
        <w:rPr>
          <w:rFonts w:ascii="Microsoft Sans Serif"/>
          <w:i/>
        </w:rPr>
        <w:t>Accepts E-service</w:t>
      </w:r>
    </w:p>
    <w:p w:rsidR="00B75441" w:rsidRDefault="00B75441" w:rsidP="00B75441">
      <w:pPr>
        <w:contextualSpacing/>
        <w:rPr>
          <w:rFonts w:ascii="Microsoft Sans Serif"/>
        </w:rPr>
      </w:pPr>
      <w:r>
        <w:rPr>
          <w:rFonts w:ascii="Microsoft Sans Serif"/>
          <w:i/>
        </w:rPr>
        <w:t xml:space="preserve">Representing XOOM Energy Pennsylvania, </w:t>
      </w:r>
      <w:r w:rsidRPr="007E5EA8">
        <w:rPr>
          <w:rFonts w:ascii="Microsoft Sans Serif"/>
          <w:i/>
        </w:rPr>
        <w:t>LLC</w:t>
      </w:r>
      <w:r>
        <w:rPr>
          <w:rFonts w:ascii="Microsoft Sans Serif"/>
        </w:rPr>
        <w:t xml:space="preserve"> </w:t>
      </w:r>
      <w:r>
        <w:rPr>
          <w:rFonts w:ascii="Microsoft Sans Serif"/>
        </w:rPr>
        <w:cr/>
      </w:r>
    </w:p>
    <w:p w:rsidR="00B75441" w:rsidRDefault="00B75441" w:rsidP="00B75441">
      <w:pPr>
        <w:contextualSpacing/>
        <w:rPr>
          <w:rFonts w:ascii="Microsoft Sans Serif"/>
          <w:b/>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7E5EA8">
        <w:rPr>
          <w:rFonts w:ascii="Microsoft Sans Serif"/>
          <w:b/>
        </w:rPr>
        <w:t>215.841.6841</w:t>
      </w:r>
    </w:p>
    <w:p w:rsidR="00B75441" w:rsidRPr="007E5EA8" w:rsidRDefault="00B75441" w:rsidP="00B75441">
      <w:pPr>
        <w:contextualSpacing/>
        <w:rPr>
          <w:rFonts w:ascii="Microsoft Sans Serif"/>
          <w:i/>
        </w:rPr>
      </w:pPr>
      <w:r w:rsidRPr="007E5EA8">
        <w:rPr>
          <w:rFonts w:ascii="Microsoft Sans Serif"/>
          <w:i/>
        </w:rPr>
        <w:t>Accepts E-service</w:t>
      </w:r>
    </w:p>
    <w:p w:rsidR="00B75441" w:rsidRPr="007E5EA8" w:rsidRDefault="00B75441" w:rsidP="00B75441">
      <w:pPr>
        <w:contextualSpacing/>
        <w:rPr>
          <w:i/>
        </w:rPr>
      </w:pPr>
      <w:r w:rsidRPr="007E5EA8">
        <w:rPr>
          <w:rFonts w:ascii="Microsoft Sans Serif"/>
          <w:i/>
        </w:rPr>
        <w:t xml:space="preserve">Representing </w:t>
      </w:r>
      <w:r>
        <w:rPr>
          <w:rFonts w:ascii="Microsoft Sans Serif"/>
          <w:i/>
        </w:rPr>
        <w:t>PECO Energy Company</w:t>
      </w:r>
      <w:r w:rsidRPr="007E5EA8">
        <w:rPr>
          <w:rFonts w:ascii="Microsoft Sans Serif"/>
          <w:i/>
        </w:rPr>
        <w:cr/>
      </w:r>
    </w:p>
    <w:p w:rsidR="00B75441" w:rsidRDefault="00B75441" w:rsidP="00B75441">
      <w:pPr>
        <w:contextualSpacing/>
      </w:pPr>
    </w:p>
    <w:p w:rsidR="00A83A6E" w:rsidRPr="007E5EA8" w:rsidRDefault="00A83A6E" w:rsidP="00A83A6E">
      <w:pPr>
        <w:contextualSpacing/>
        <w:rPr>
          <w:i/>
        </w:rPr>
      </w:pPr>
    </w:p>
    <w:p w:rsidR="00A83A6E" w:rsidRDefault="00A83A6E" w:rsidP="00A83A6E">
      <w:pPr>
        <w:contextualSpacing/>
      </w:pPr>
    </w:p>
    <w:p w:rsidR="003901CE" w:rsidRPr="00687BAF" w:rsidRDefault="003901CE" w:rsidP="003901CE"/>
    <w:sectPr w:rsidR="003901CE"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12B" w:rsidRDefault="0034612B" w:rsidP="003F47EA">
      <w:r>
        <w:separator/>
      </w:r>
    </w:p>
  </w:endnote>
  <w:endnote w:type="continuationSeparator" w:id="0">
    <w:p w:rsidR="0034612B" w:rsidRDefault="0034612B"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7F0251">
          <w:rPr>
            <w:noProof/>
          </w:rPr>
          <w:t>2</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12B" w:rsidRDefault="0034612B" w:rsidP="003F47EA">
      <w:r>
        <w:separator/>
      </w:r>
    </w:p>
  </w:footnote>
  <w:footnote w:type="continuationSeparator" w:id="0">
    <w:p w:rsidR="0034612B" w:rsidRDefault="0034612B" w:rsidP="003F47EA">
      <w:r>
        <w:continuationSeparator/>
      </w:r>
    </w:p>
  </w:footnote>
  <w:footnote w:id="1">
    <w:p w:rsidR="00C70F28" w:rsidRDefault="00C70F28">
      <w:pPr>
        <w:pStyle w:val="FootnoteText"/>
      </w:pPr>
      <w:r>
        <w:rPr>
          <w:rStyle w:val="FootnoteReference"/>
        </w:rPr>
        <w:footnoteRef/>
      </w:r>
      <w:r>
        <w:t xml:space="preserve"> </w:t>
      </w:r>
      <w:r>
        <w:tab/>
        <w:t>Section 1.22(a) provides, “an attorney at law admitted to practice before the Supreme Court of Pennsylvania shall represent persons in Commission proceedings.”</w:t>
      </w:r>
    </w:p>
    <w:p w:rsidR="00C70F28" w:rsidRDefault="00C70F28">
      <w:pPr>
        <w:pStyle w:val="FootnoteText"/>
      </w:pPr>
    </w:p>
  </w:footnote>
  <w:footnote w:id="2">
    <w:p w:rsidR="00C70F28" w:rsidRDefault="00C70F28">
      <w:pPr>
        <w:pStyle w:val="FootnoteText"/>
      </w:pPr>
      <w:r>
        <w:rPr>
          <w:rStyle w:val="FootnoteReference"/>
        </w:rPr>
        <w:footnoteRef/>
      </w:r>
      <w:r>
        <w:t xml:space="preserve"> </w:t>
      </w:r>
      <w:r>
        <w:tab/>
        <w:t>Section 1.23(a) provides, “Persons may not be represented at a hearing before the Commission or a presiding officer except as stated in § 1.21 or § 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404B5"/>
    <w:rsid w:val="00042860"/>
    <w:rsid w:val="00046440"/>
    <w:rsid w:val="0005471E"/>
    <w:rsid w:val="00071F87"/>
    <w:rsid w:val="00087CC5"/>
    <w:rsid w:val="000C1A6B"/>
    <w:rsid w:val="000C269C"/>
    <w:rsid w:val="000C71B2"/>
    <w:rsid w:val="000E6C36"/>
    <w:rsid w:val="000F3C6B"/>
    <w:rsid w:val="00100530"/>
    <w:rsid w:val="00101155"/>
    <w:rsid w:val="001163B8"/>
    <w:rsid w:val="001336B2"/>
    <w:rsid w:val="00133A6A"/>
    <w:rsid w:val="001534FA"/>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4986"/>
    <w:rsid w:val="0024528E"/>
    <w:rsid w:val="00254AC4"/>
    <w:rsid w:val="002569D2"/>
    <w:rsid w:val="00280D5C"/>
    <w:rsid w:val="00286E18"/>
    <w:rsid w:val="00292BEC"/>
    <w:rsid w:val="002A08AE"/>
    <w:rsid w:val="002A3713"/>
    <w:rsid w:val="002B080D"/>
    <w:rsid w:val="002B43C8"/>
    <w:rsid w:val="002C0A83"/>
    <w:rsid w:val="002C5195"/>
    <w:rsid w:val="002C6736"/>
    <w:rsid w:val="002F46FC"/>
    <w:rsid w:val="003105EB"/>
    <w:rsid w:val="0031093F"/>
    <w:rsid w:val="0031242E"/>
    <w:rsid w:val="0032184B"/>
    <w:rsid w:val="00322525"/>
    <w:rsid w:val="00323CE9"/>
    <w:rsid w:val="00334C9C"/>
    <w:rsid w:val="0034612B"/>
    <w:rsid w:val="0036055F"/>
    <w:rsid w:val="00360EB9"/>
    <w:rsid w:val="00374D14"/>
    <w:rsid w:val="00375FC7"/>
    <w:rsid w:val="00386EC2"/>
    <w:rsid w:val="003901CE"/>
    <w:rsid w:val="003914A1"/>
    <w:rsid w:val="003A51FD"/>
    <w:rsid w:val="003A7731"/>
    <w:rsid w:val="003B5554"/>
    <w:rsid w:val="003C49C9"/>
    <w:rsid w:val="003D38F7"/>
    <w:rsid w:val="003E654B"/>
    <w:rsid w:val="003F347A"/>
    <w:rsid w:val="003F47EA"/>
    <w:rsid w:val="003F69C5"/>
    <w:rsid w:val="00416D00"/>
    <w:rsid w:val="00417A48"/>
    <w:rsid w:val="00427446"/>
    <w:rsid w:val="004339CB"/>
    <w:rsid w:val="00435A1B"/>
    <w:rsid w:val="00440444"/>
    <w:rsid w:val="00441E8C"/>
    <w:rsid w:val="00453033"/>
    <w:rsid w:val="00462D34"/>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C5138"/>
    <w:rsid w:val="005D10D7"/>
    <w:rsid w:val="005D141F"/>
    <w:rsid w:val="005D4DC7"/>
    <w:rsid w:val="005E058C"/>
    <w:rsid w:val="005E6C7E"/>
    <w:rsid w:val="0060255E"/>
    <w:rsid w:val="00611DC4"/>
    <w:rsid w:val="00622936"/>
    <w:rsid w:val="006252C4"/>
    <w:rsid w:val="00636172"/>
    <w:rsid w:val="0065509C"/>
    <w:rsid w:val="00661B4E"/>
    <w:rsid w:val="0067080A"/>
    <w:rsid w:val="00670B1B"/>
    <w:rsid w:val="006734EC"/>
    <w:rsid w:val="00676400"/>
    <w:rsid w:val="0068098C"/>
    <w:rsid w:val="00686AF9"/>
    <w:rsid w:val="00687BAF"/>
    <w:rsid w:val="006A4914"/>
    <w:rsid w:val="006B0225"/>
    <w:rsid w:val="006B690F"/>
    <w:rsid w:val="006C245B"/>
    <w:rsid w:val="006C7836"/>
    <w:rsid w:val="006D2E3F"/>
    <w:rsid w:val="006F08AE"/>
    <w:rsid w:val="007000FB"/>
    <w:rsid w:val="00704B6B"/>
    <w:rsid w:val="00735001"/>
    <w:rsid w:val="00747A6F"/>
    <w:rsid w:val="00752308"/>
    <w:rsid w:val="00781BAD"/>
    <w:rsid w:val="00796F08"/>
    <w:rsid w:val="007A4181"/>
    <w:rsid w:val="007B25E2"/>
    <w:rsid w:val="007B29AB"/>
    <w:rsid w:val="007B430A"/>
    <w:rsid w:val="007D2137"/>
    <w:rsid w:val="007D67D1"/>
    <w:rsid w:val="007E2A88"/>
    <w:rsid w:val="007F0251"/>
    <w:rsid w:val="007F1C99"/>
    <w:rsid w:val="008038A1"/>
    <w:rsid w:val="008046A7"/>
    <w:rsid w:val="0082072C"/>
    <w:rsid w:val="008211B6"/>
    <w:rsid w:val="008215F2"/>
    <w:rsid w:val="008363BD"/>
    <w:rsid w:val="00837713"/>
    <w:rsid w:val="008433EA"/>
    <w:rsid w:val="00853982"/>
    <w:rsid w:val="00875888"/>
    <w:rsid w:val="00877335"/>
    <w:rsid w:val="00881A7C"/>
    <w:rsid w:val="0088214E"/>
    <w:rsid w:val="00885489"/>
    <w:rsid w:val="00890747"/>
    <w:rsid w:val="0089104A"/>
    <w:rsid w:val="00895B38"/>
    <w:rsid w:val="008A53F1"/>
    <w:rsid w:val="008C6CD3"/>
    <w:rsid w:val="008D25CC"/>
    <w:rsid w:val="00900835"/>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D78C2"/>
    <w:rsid w:val="009F4617"/>
    <w:rsid w:val="00A249C6"/>
    <w:rsid w:val="00A24C4F"/>
    <w:rsid w:val="00A312B8"/>
    <w:rsid w:val="00A32C82"/>
    <w:rsid w:val="00A442C3"/>
    <w:rsid w:val="00A64ABE"/>
    <w:rsid w:val="00A83A6E"/>
    <w:rsid w:val="00AA1CCA"/>
    <w:rsid w:val="00AE3450"/>
    <w:rsid w:val="00B150FA"/>
    <w:rsid w:val="00B21B7C"/>
    <w:rsid w:val="00B50794"/>
    <w:rsid w:val="00B60748"/>
    <w:rsid w:val="00B72806"/>
    <w:rsid w:val="00B75441"/>
    <w:rsid w:val="00B81D8F"/>
    <w:rsid w:val="00B83C4A"/>
    <w:rsid w:val="00B931F3"/>
    <w:rsid w:val="00BA3333"/>
    <w:rsid w:val="00BA36B3"/>
    <w:rsid w:val="00BC346D"/>
    <w:rsid w:val="00BC3D16"/>
    <w:rsid w:val="00BD6EBA"/>
    <w:rsid w:val="00BF0827"/>
    <w:rsid w:val="00BF3093"/>
    <w:rsid w:val="00C11AAF"/>
    <w:rsid w:val="00C124E6"/>
    <w:rsid w:val="00C13F83"/>
    <w:rsid w:val="00C33C26"/>
    <w:rsid w:val="00C43BC6"/>
    <w:rsid w:val="00C4789A"/>
    <w:rsid w:val="00C50BC8"/>
    <w:rsid w:val="00C70F28"/>
    <w:rsid w:val="00C93740"/>
    <w:rsid w:val="00CB7B6B"/>
    <w:rsid w:val="00CD309F"/>
    <w:rsid w:val="00CE116F"/>
    <w:rsid w:val="00CE2FD5"/>
    <w:rsid w:val="00CF35E9"/>
    <w:rsid w:val="00D1088E"/>
    <w:rsid w:val="00D167BB"/>
    <w:rsid w:val="00D3255C"/>
    <w:rsid w:val="00D356CF"/>
    <w:rsid w:val="00D4206A"/>
    <w:rsid w:val="00D628C0"/>
    <w:rsid w:val="00D6711C"/>
    <w:rsid w:val="00D807D1"/>
    <w:rsid w:val="00D970C4"/>
    <w:rsid w:val="00DA06FC"/>
    <w:rsid w:val="00DC6EAE"/>
    <w:rsid w:val="00DE5630"/>
    <w:rsid w:val="00DE5E23"/>
    <w:rsid w:val="00DF0EC6"/>
    <w:rsid w:val="00DF6DBF"/>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D55A2"/>
    <w:rsid w:val="00EF240B"/>
    <w:rsid w:val="00EF4F0C"/>
    <w:rsid w:val="00F0033E"/>
    <w:rsid w:val="00F02A7A"/>
    <w:rsid w:val="00F35C78"/>
    <w:rsid w:val="00F37163"/>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C70F28"/>
    <w:rPr>
      <w:sz w:val="20"/>
      <w:szCs w:val="20"/>
    </w:rPr>
  </w:style>
  <w:style w:type="character" w:customStyle="1" w:styleId="FootnoteTextChar">
    <w:name w:val="Footnote Text Char"/>
    <w:basedOn w:val="DefaultParagraphFont"/>
    <w:link w:val="FootnoteText"/>
    <w:rsid w:val="00C70F28"/>
  </w:style>
  <w:style w:type="character" w:styleId="FootnoteReference">
    <w:name w:val="footnote reference"/>
    <w:basedOn w:val="DefaultParagraphFont"/>
    <w:rsid w:val="00C70F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C70F28"/>
    <w:rPr>
      <w:sz w:val="20"/>
      <w:szCs w:val="20"/>
    </w:rPr>
  </w:style>
  <w:style w:type="character" w:customStyle="1" w:styleId="FootnoteTextChar">
    <w:name w:val="Footnote Text Char"/>
    <w:basedOn w:val="DefaultParagraphFont"/>
    <w:link w:val="FootnoteText"/>
    <w:rsid w:val="00C70F28"/>
  </w:style>
  <w:style w:type="character" w:styleId="FootnoteReference">
    <w:name w:val="footnote reference"/>
    <w:basedOn w:val="DefaultParagraphFont"/>
    <w:rsid w:val="00C70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A1DD4-33BD-4377-B15C-7AFB6994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8</cp:revision>
  <cp:lastPrinted>2016-03-01T18:15:00Z</cp:lastPrinted>
  <dcterms:created xsi:type="dcterms:W3CDTF">2016-03-01T16:33:00Z</dcterms:created>
  <dcterms:modified xsi:type="dcterms:W3CDTF">2016-03-01T18:17:00Z</dcterms:modified>
</cp:coreProperties>
</file>