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BD1415" w:rsidRDefault="000358FF" w:rsidP="000358FF">
      <w:pPr>
        <w:spacing w:line="240" w:lineRule="auto"/>
        <w:rPr>
          <w:b/>
        </w:rPr>
      </w:pPr>
      <w:r w:rsidRPr="00BD1415">
        <w:rPr>
          <w:b/>
        </w:rPr>
        <w:t>BEFORE THE</w:t>
      </w:r>
    </w:p>
    <w:p w:rsidR="000358FF" w:rsidRPr="00BD1415" w:rsidRDefault="000358FF" w:rsidP="000358FF">
      <w:pPr>
        <w:spacing w:line="240" w:lineRule="auto"/>
        <w:rPr>
          <w:b/>
        </w:rPr>
      </w:pPr>
      <w:r w:rsidRPr="00BD1415">
        <w:rPr>
          <w:b/>
        </w:rPr>
        <w:t>PENNSYLVANIA PUBLIC UTILITY COMMISSION</w:t>
      </w:r>
    </w:p>
    <w:p w:rsidR="000358FF" w:rsidRPr="00BD1415" w:rsidRDefault="000358FF" w:rsidP="000358FF">
      <w:pPr>
        <w:spacing w:line="240" w:lineRule="auto"/>
        <w:rPr>
          <w:b/>
        </w:rPr>
      </w:pPr>
    </w:p>
    <w:p w:rsidR="000358FF" w:rsidRPr="00BD1415" w:rsidRDefault="000358FF" w:rsidP="000358FF">
      <w:pPr>
        <w:spacing w:line="240" w:lineRule="auto"/>
        <w:rPr>
          <w:b/>
        </w:rPr>
      </w:pPr>
    </w:p>
    <w:p w:rsidR="000358FF" w:rsidRPr="00BD1415" w:rsidRDefault="000358FF" w:rsidP="000358FF">
      <w:pPr>
        <w:spacing w:line="240" w:lineRule="auto"/>
        <w:rPr>
          <w:b/>
        </w:rPr>
      </w:pPr>
    </w:p>
    <w:p w:rsidR="000358FF" w:rsidRPr="00BD1415" w:rsidRDefault="000358FF" w:rsidP="000358FF">
      <w:pPr>
        <w:spacing w:line="240" w:lineRule="auto"/>
        <w:jc w:val="left"/>
      </w:pPr>
      <w:r w:rsidRPr="00BD1415">
        <w:t>Pennsylvania Public Utility Commission</w:t>
      </w:r>
      <w:r w:rsidRPr="00BD1415">
        <w:tab/>
      </w:r>
      <w:r w:rsidRPr="00BD1415">
        <w:tab/>
        <w:t>:</w:t>
      </w:r>
      <w:r w:rsidR="000939FA">
        <w:tab/>
      </w:r>
      <w:r w:rsidR="000939FA">
        <w:tab/>
      </w:r>
      <w:r w:rsidR="000939FA" w:rsidRPr="00BD1415">
        <w:t>R-201</w:t>
      </w:r>
      <w:r w:rsidR="000939FA">
        <w:t>5</w:t>
      </w:r>
      <w:r w:rsidR="000939FA" w:rsidRPr="00BD1415">
        <w:t>-</w:t>
      </w:r>
      <w:r w:rsidR="000939FA">
        <w:t>2479955</w:t>
      </w:r>
    </w:p>
    <w:p w:rsidR="000939FA" w:rsidRDefault="000939FA" w:rsidP="000358FF">
      <w:pPr>
        <w:spacing w:line="240" w:lineRule="auto"/>
        <w:jc w:val="left"/>
      </w:pPr>
      <w:r>
        <w:t>Office of Consumer Advocate</w:t>
      </w:r>
      <w:r>
        <w:tab/>
      </w:r>
      <w:r>
        <w:tab/>
      </w:r>
      <w:r>
        <w:tab/>
        <w:t>:</w:t>
      </w:r>
      <w:r>
        <w:tab/>
      </w:r>
      <w:r>
        <w:tab/>
        <w:t>C-2015-2502642</w:t>
      </w:r>
    </w:p>
    <w:p w:rsidR="000358FF" w:rsidRDefault="000939FA" w:rsidP="000358FF">
      <w:pPr>
        <w:spacing w:line="240" w:lineRule="auto"/>
        <w:jc w:val="left"/>
      </w:pPr>
      <w:r>
        <w:t>Office of Small Business Advocate</w:t>
      </w:r>
      <w:r>
        <w:tab/>
      </w:r>
      <w:r>
        <w:tab/>
      </w:r>
      <w:r>
        <w:tab/>
        <w:t>:</w:t>
      </w:r>
      <w:r>
        <w:tab/>
      </w:r>
      <w:r>
        <w:tab/>
        <w:t>C-2015-2506329</w:t>
      </w:r>
    </w:p>
    <w:p w:rsidR="00971A39" w:rsidRPr="00BD1415" w:rsidRDefault="00971A39" w:rsidP="000358FF">
      <w:pPr>
        <w:spacing w:line="240" w:lineRule="auto"/>
        <w:jc w:val="left"/>
      </w:pPr>
      <w:r>
        <w:tab/>
      </w:r>
      <w:r>
        <w:tab/>
      </w:r>
      <w:r>
        <w:tab/>
      </w:r>
      <w:r>
        <w:tab/>
      </w:r>
      <w:r>
        <w:tab/>
      </w:r>
      <w:r>
        <w:tab/>
      </w:r>
      <w:r>
        <w:tab/>
        <w:t>:</w:t>
      </w:r>
    </w:p>
    <w:p w:rsidR="000358FF" w:rsidRPr="00BD1415" w:rsidRDefault="00F11029" w:rsidP="000358FF">
      <w:pPr>
        <w:spacing w:line="240" w:lineRule="auto"/>
        <w:jc w:val="left"/>
      </w:pPr>
      <w:r>
        <w:tab/>
        <w:t>v.</w:t>
      </w:r>
      <w:r>
        <w:tab/>
      </w:r>
      <w:r>
        <w:tab/>
      </w:r>
      <w:r>
        <w:tab/>
      </w:r>
      <w:r>
        <w:tab/>
      </w:r>
      <w:r>
        <w:tab/>
      </w:r>
      <w:r>
        <w:tab/>
        <w:t>:</w:t>
      </w:r>
    </w:p>
    <w:p w:rsidR="000358FF" w:rsidRPr="00BD1415" w:rsidRDefault="000358FF" w:rsidP="000358FF">
      <w:pPr>
        <w:spacing w:line="240" w:lineRule="auto"/>
        <w:jc w:val="left"/>
      </w:pPr>
      <w:r w:rsidRPr="00BD1415">
        <w:tab/>
      </w:r>
      <w:r w:rsidRPr="00BD1415">
        <w:tab/>
      </w:r>
      <w:r w:rsidRPr="00BD1415">
        <w:tab/>
      </w:r>
      <w:r w:rsidRPr="00BD1415">
        <w:tab/>
      </w:r>
      <w:r w:rsidRPr="00BD1415">
        <w:tab/>
      </w:r>
      <w:r w:rsidRPr="00BD1415">
        <w:tab/>
      </w:r>
      <w:r w:rsidRPr="00BD1415">
        <w:tab/>
        <w:t>:</w:t>
      </w:r>
    </w:p>
    <w:p w:rsidR="000358FF" w:rsidRPr="00BD1415" w:rsidRDefault="00A85FBF" w:rsidP="000358FF">
      <w:pPr>
        <w:spacing w:line="240" w:lineRule="auto"/>
        <w:jc w:val="left"/>
      </w:pPr>
      <w:r>
        <w:t>Allied Utility Services, Inc.</w:t>
      </w:r>
      <w:r w:rsidR="000358FF" w:rsidRPr="00BD1415">
        <w:tab/>
      </w:r>
      <w:r w:rsidR="000358FF" w:rsidRPr="00BD1415">
        <w:tab/>
      </w:r>
      <w:r w:rsidR="000358FF" w:rsidRPr="00BD1415">
        <w:tab/>
      </w:r>
      <w:r w:rsidR="000358FF" w:rsidRPr="00BD1415">
        <w:tab/>
        <w:t>:</w:t>
      </w:r>
    </w:p>
    <w:p w:rsidR="000358FF" w:rsidRDefault="000358FF" w:rsidP="000358FF">
      <w:pPr>
        <w:spacing w:line="240" w:lineRule="auto"/>
        <w:jc w:val="left"/>
      </w:pPr>
    </w:p>
    <w:p w:rsidR="00BD1415" w:rsidRPr="00BD1415" w:rsidRDefault="00BD1415" w:rsidP="000358FF">
      <w:pPr>
        <w:spacing w:line="240" w:lineRule="auto"/>
        <w:jc w:val="left"/>
      </w:pPr>
    </w:p>
    <w:p w:rsidR="000358FF" w:rsidRPr="00BD1415" w:rsidRDefault="000358FF" w:rsidP="000358FF">
      <w:pPr>
        <w:spacing w:line="240" w:lineRule="auto"/>
        <w:jc w:val="left"/>
      </w:pPr>
    </w:p>
    <w:p w:rsidR="000358FF" w:rsidRPr="00BD1415" w:rsidRDefault="000358FF" w:rsidP="000358FF">
      <w:pPr>
        <w:spacing w:line="240" w:lineRule="auto"/>
        <w:rPr>
          <w:b/>
          <w:u w:val="single"/>
        </w:rPr>
      </w:pPr>
      <w:r w:rsidRPr="00BD1415">
        <w:rPr>
          <w:b/>
          <w:u w:val="single"/>
        </w:rPr>
        <w:t>RECOMMENDED DECISION</w:t>
      </w:r>
    </w:p>
    <w:p w:rsidR="000358FF" w:rsidRPr="00BD1415" w:rsidRDefault="000358FF" w:rsidP="000358FF">
      <w:pPr>
        <w:spacing w:line="240" w:lineRule="auto"/>
        <w:rPr>
          <w:b/>
          <w:u w:val="single"/>
        </w:rPr>
      </w:pPr>
    </w:p>
    <w:p w:rsidR="00F7460B" w:rsidRPr="00BD1415" w:rsidRDefault="00F7460B" w:rsidP="000358FF">
      <w:pPr>
        <w:spacing w:line="240" w:lineRule="auto"/>
        <w:rPr>
          <w:b/>
          <w:u w:val="single"/>
        </w:rPr>
      </w:pPr>
    </w:p>
    <w:p w:rsidR="000358FF" w:rsidRPr="00BD1415" w:rsidRDefault="000358FF" w:rsidP="000358FF">
      <w:pPr>
        <w:spacing w:line="240" w:lineRule="auto"/>
      </w:pPr>
      <w:r w:rsidRPr="00BD1415">
        <w:t>Before</w:t>
      </w:r>
    </w:p>
    <w:p w:rsidR="000358FF" w:rsidRPr="00BD1415" w:rsidRDefault="00A85FBF" w:rsidP="000358FF">
      <w:pPr>
        <w:spacing w:line="240" w:lineRule="auto"/>
      </w:pPr>
      <w:r>
        <w:t>Steven K. Haas</w:t>
      </w:r>
    </w:p>
    <w:p w:rsidR="000358FF" w:rsidRDefault="000358FF" w:rsidP="000358FF">
      <w:pPr>
        <w:spacing w:line="240" w:lineRule="auto"/>
      </w:pPr>
      <w:r w:rsidRPr="00BD1415">
        <w:t>Administrative Law Judge</w:t>
      </w:r>
    </w:p>
    <w:p w:rsidR="004361B3" w:rsidRDefault="004361B3" w:rsidP="000358FF">
      <w:pPr>
        <w:spacing w:line="240" w:lineRule="auto"/>
      </w:pPr>
    </w:p>
    <w:p w:rsidR="004361B3" w:rsidRDefault="004361B3" w:rsidP="000358FF">
      <w:pPr>
        <w:spacing w:line="240" w:lineRule="auto"/>
      </w:pPr>
    </w:p>
    <w:p w:rsidR="004361B3" w:rsidRPr="004361B3" w:rsidRDefault="004361B3" w:rsidP="000358FF">
      <w:pPr>
        <w:spacing w:line="240" w:lineRule="auto"/>
        <w:rPr>
          <w:u w:val="single"/>
        </w:rPr>
      </w:pPr>
      <w:r>
        <w:rPr>
          <w:u w:val="single"/>
        </w:rPr>
        <w:t>INTRODUCTION</w:t>
      </w:r>
    </w:p>
    <w:p w:rsidR="000358FF" w:rsidRPr="00BD1415" w:rsidRDefault="000358FF" w:rsidP="000358FF">
      <w:pPr>
        <w:spacing w:line="240" w:lineRule="auto"/>
      </w:pPr>
    </w:p>
    <w:p w:rsidR="000358FF" w:rsidRPr="00BD1415" w:rsidRDefault="000358FF" w:rsidP="000358FF">
      <w:pPr>
        <w:spacing w:line="240" w:lineRule="auto"/>
      </w:pPr>
    </w:p>
    <w:p w:rsidR="000358FF" w:rsidRPr="00BD1415" w:rsidRDefault="000358FF" w:rsidP="004361B3">
      <w:pPr>
        <w:jc w:val="left"/>
      </w:pPr>
      <w:r w:rsidRPr="00BD1415">
        <w:tab/>
      </w:r>
      <w:r w:rsidRPr="00BD1415">
        <w:tab/>
      </w:r>
      <w:r w:rsidR="004361B3" w:rsidRPr="004361B3">
        <w:rPr>
          <w:rFonts w:eastAsia="Times New Roman"/>
        </w:rPr>
        <w:t>This Recommended Decision recommends approval</w:t>
      </w:r>
      <w:r w:rsidR="004361B3">
        <w:rPr>
          <w:rFonts w:eastAsia="Times New Roman"/>
        </w:rPr>
        <w:t>,</w:t>
      </w:r>
      <w:r w:rsidR="004361B3" w:rsidRPr="004361B3">
        <w:rPr>
          <w:rFonts w:eastAsia="Times New Roman"/>
        </w:rPr>
        <w:t xml:space="preserve"> without modification</w:t>
      </w:r>
      <w:r w:rsidR="004361B3">
        <w:rPr>
          <w:rFonts w:eastAsia="Times New Roman"/>
        </w:rPr>
        <w:t>,</w:t>
      </w:r>
      <w:r w:rsidR="004361B3" w:rsidRPr="004361B3">
        <w:rPr>
          <w:rFonts w:eastAsia="Times New Roman"/>
        </w:rPr>
        <w:t xml:space="preserve"> of the Joint Petition for </w:t>
      </w:r>
      <w:r w:rsidR="004361B3">
        <w:rPr>
          <w:rFonts w:eastAsia="Times New Roman"/>
        </w:rPr>
        <w:t xml:space="preserve">Full Settlement of Rate Investigation in a </w:t>
      </w:r>
      <w:r w:rsidR="004361B3" w:rsidRPr="004361B3">
        <w:rPr>
          <w:rFonts w:eastAsia="Times New Roman"/>
        </w:rPr>
        <w:t>base rate case.</w:t>
      </w:r>
      <w:r w:rsidR="00F926E9">
        <w:rPr>
          <w:rFonts w:eastAsia="Times New Roman"/>
        </w:rPr>
        <w:t xml:space="preserve">  In its original filing, </w:t>
      </w:r>
      <w:proofErr w:type="gramStart"/>
      <w:r w:rsidR="00F926E9">
        <w:rPr>
          <w:rFonts w:eastAsia="Times New Roman"/>
        </w:rPr>
        <w:t>Allied</w:t>
      </w:r>
      <w:proofErr w:type="gramEnd"/>
      <w:r w:rsidR="00F926E9">
        <w:rPr>
          <w:rFonts w:eastAsia="Times New Roman"/>
        </w:rPr>
        <w:t xml:space="preserve"> Utility Services, Inc. (Allied</w:t>
      </w:r>
      <w:r w:rsidR="009C1C29">
        <w:rPr>
          <w:rFonts w:eastAsia="Times New Roman"/>
        </w:rPr>
        <w:t xml:space="preserve"> or Company</w:t>
      </w:r>
      <w:r w:rsidR="00F926E9">
        <w:rPr>
          <w:rFonts w:eastAsia="Times New Roman"/>
        </w:rPr>
        <w:t>)</w:t>
      </w:r>
      <w:r w:rsidR="00F31FC8">
        <w:rPr>
          <w:rFonts w:eastAsia="Times New Roman"/>
        </w:rPr>
        <w:t>, a wastewater utility,</w:t>
      </w:r>
      <w:r w:rsidR="00F926E9">
        <w:rPr>
          <w:rFonts w:eastAsia="Times New Roman"/>
        </w:rPr>
        <w:t xml:space="preserve"> sought an increase in rates calculated to produce $154,334 in additional annual revenue, a 61% increase over existing rates.  </w:t>
      </w:r>
      <w:r w:rsidR="00F31FC8">
        <w:rPr>
          <w:rFonts w:eastAsia="Times New Roman"/>
        </w:rPr>
        <w:t xml:space="preserve">Under the rates as </w:t>
      </w:r>
      <w:r w:rsidR="00E43918">
        <w:rPr>
          <w:rFonts w:eastAsia="Times New Roman"/>
        </w:rPr>
        <w:t xml:space="preserve">originally </w:t>
      </w:r>
      <w:r w:rsidR="00F31FC8">
        <w:rPr>
          <w:rFonts w:eastAsia="Times New Roman"/>
        </w:rPr>
        <w:t>proposed, the total bill for an average residential customer using 13,000 gallons per month would increase from $172.00 to $276.00 per quarter</w:t>
      </w:r>
      <w:r w:rsidR="00E43918">
        <w:rPr>
          <w:rFonts w:eastAsia="Times New Roman"/>
        </w:rPr>
        <w:t>.</w:t>
      </w:r>
      <w:r w:rsidR="00F31FC8">
        <w:rPr>
          <w:rFonts w:eastAsia="Times New Roman"/>
        </w:rPr>
        <w:t xml:space="preserve"> </w:t>
      </w:r>
      <w:r w:rsidR="00E43918">
        <w:rPr>
          <w:rFonts w:eastAsia="Times New Roman"/>
        </w:rPr>
        <w:t xml:space="preserve"> </w:t>
      </w:r>
      <w:r w:rsidR="00F926E9">
        <w:rPr>
          <w:rFonts w:eastAsia="Times New Roman"/>
        </w:rPr>
        <w:t xml:space="preserve">Under the </w:t>
      </w:r>
      <w:r w:rsidR="00E43918">
        <w:rPr>
          <w:rFonts w:eastAsia="Times New Roman"/>
        </w:rPr>
        <w:t xml:space="preserve">rates proposed in the </w:t>
      </w:r>
      <w:r w:rsidR="00F926E9">
        <w:rPr>
          <w:rFonts w:eastAsia="Times New Roman"/>
        </w:rPr>
        <w:t>settlement, rates w</w:t>
      </w:r>
      <w:r w:rsidR="00E43918">
        <w:rPr>
          <w:rFonts w:eastAsia="Times New Roman"/>
        </w:rPr>
        <w:t>ould</w:t>
      </w:r>
      <w:r w:rsidR="00F926E9">
        <w:rPr>
          <w:rFonts w:eastAsia="Times New Roman"/>
        </w:rPr>
        <w:t xml:space="preserve"> increase by $80,018, an approximately 32% increase over existing rates.</w:t>
      </w:r>
      <w:r w:rsidR="00E43918">
        <w:rPr>
          <w:rFonts w:eastAsia="Times New Roman"/>
        </w:rPr>
        <w:t xml:space="preserve">  The total bill for an average residential customer would increase from $172.00 to $221.00. </w:t>
      </w:r>
      <w:r w:rsidR="00F926E9">
        <w:rPr>
          <w:rFonts w:eastAsia="Times New Roman"/>
        </w:rPr>
        <w:t xml:space="preserve">     </w:t>
      </w:r>
      <w:r w:rsidR="004361B3" w:rsidRPr="004361B3">
        <w:rPr>
          <w:rFonts w:eastAsia="Times New Roman"/>
        </w:rPr>
        <w:t xml:space="preserve">  </w:t>
      </w:r>
    </w:p>
    <w:p w:rsidR="000358FF" w:rsidRPr="00BD1415" w:rsidRDefault="000358FF" w:rsidP="00971A39"/>
    <w:p w:rsidR="000358FF" w:rsidRPr="00BD1415" w:rsidRDefault="000358FF" w:rsidP="00971A39">
      <w:pPr>
        <w:rPr>
          <w:u w:val="single"/>
        </w:rPr>
      </w:pPr>
      <w:r w:rsidRPr="00BD1415">
        <w:rPr>
          <w:u w:val="single"/>
        </w:rPr>
        <w:t>HISTORY OF THE PROCEEDING</w:t>
      </w:r>
    </w:p>
    <w:p w:rsidR="000358FF" w:rsidRPr="00BD1415" w:rsidRDefault="000358FF" w:rsidP="00971A39">
      <w:pPr>
        <w:rPr>
          <w:u w:val="single"/>
        </w:rPr>
      </w:pPr>
    </w:p>
    <w:p w:rsidR="00524DDD" w:rsidRDefault="009B012C" w:rsidP="00524DDD">
      <w:pPr>
        <w:jc w:val="left"/>
      </w:pPr>
      <w:r w:rsidRPr="00BD1415">
        <w:tab/>
      </w:r>
      <w:r w:rsidRPr="00BD1415">
        <w:tab/>
      </w:r>
      <w:r w:rsidR="00524DDD" w:rsidRPr="00BD1415">
        <w:t xml:space="preserve">On </w:t>
      </w:r>
      <w:r w:rsidR="00524DDD">
        <w:t>June 29</w:t>
      </w:r>
      <w:r w:rsidR="00524DDD" w:rsidRPr="00BD1415">
        <w:t>,</w:t>
      </w:r>
      <w:r w:rsidR="00524DDD">
        <w:t xml:space="preserve"> 2015,</w:t>
      </w:r>
      <w:r w:rsidR="00524DDD" w:rsidRPr="00BD1415">
        <w:t xml:space="preserve"> </w:t>
      </w:r>
      <w:r w:rsidR="00524DDD">
        <w:t>Allied filed Supplement No</w:t>
      </w:r>
      <w:r w:rsidR="00524DDD" w:rsidRPr="00BD1415">
        <w:t xml:space="preserve">. </w:t>
      </w:r>
      <w:r w:rsidR="00524DDD">
        <w:t>12</w:t>
      </w:r>
      <w:r w:rsidR="00524DDD" w:rsidRPr="00BD1415">
        <w:t xml:space="preserve"> to </w:t>
      </w:r>
      <w:r w:rsidR="00101858">
        <w:t xml:space="preserve">its </w:t>
      </w:r>
      <w:r w:rsidR="00524DDD" w:rsidRPr="00BD1415">
        <w:t xml:space="preserve">Tariff </w:t>
      </w:r>
      <w:r w:rsidR="00524DDD">
        <w:t>Wastewater</w:t>
      </w:r>
      <w:r w:rsidR="00524DDD" w:rsidRPr="00BD1415">
        <w:t xml:space="preserve"> – Pa. P.U.C. No. </w:t>
      </w:r>
      <w:r w:rsidR="00524DDD">
        <w:t>1</w:t>
      </w:r>
      <w:r w:rsidR="00524DDD" w:rsidRPr="00BD1415">
        <w:t xml:space="preserve">, to become effective </w:t>
      </w:r>
      <w:r w:rsidR="00524DDD">
        <w:t>October 5</w:t>
      </w:r>
      <w:r w:rsidR="00524DDD" w:rsidRPr="00BD1415">
        <w:t>,</w:t>
      </w:r>
      <w:r w:rsidR="00524DDD">
        <w:t xml:space="preserve"> 2015,</w:t>
      </w:r>
      <w:r w:rsidR="00524DDD" w:rsidRPr="00BD1415">
        <w:t xml:space="preserve"> containing proposed changes in rates, rules </w:t>
      </w:r>
      <w:r w:rsidR="00524DDD" w:rsidRPr="00BD1415">
        <w:lastRenderedPageBreak/>
        <w:t>and regulations calculated to produce $</w:t>
      </w:r>
      <w:r w:rsidR="00524DDD">
        <w:t>154,334</w:t>
      </w:r>
      <w:r w:rsidR="00524DDD" w:rsidRPr="00BD1415">
        <w:t xml:space="preserve"> in additional </w:t>
      </w:r>
      <w:r w:rsidR="00101858">
        <w:t xml:space="preserve">annual </w:t>
      </w:r>
      <w:r w:rsidR="00524DDD" w:rsidRPr="00BD1415">
        <w:t xml:space="preserve">revenues, based upon the experienced level of operations in the historic test year ending </w:t>
      </w:r>
      <w:r w:rsidR="00101858">
        <w:t>December 31, 2014</w:t>
      </w:r>
      <w:r w:rsidR="00524DDD" w:rsidRPr="00BD1415">
        <w:t xml:space="preserve">.  </w:t>
      </w:r>
    </w:p>
    <w:p w:rsidR="00542146" w:rsidRDefault="00542146" w:rsidP="00524DDD">
      <w:pPr>
        <w:jc w:val="left"/>
      </w:pPr>
    </w:p>
    <w:p w:rsidR="00524DDD" w:rsidRDefault="00524DDD" w:rsidP="00524DDD">
      <w:pPr>
        <w:ind w:firstLine="1440"/>
        <w:jc w:val="left"/>
      </w:pPr>
      <w:r w:rsidRPr="00BD1415">
        <w:t xml:space="preserve">On </w:t>
      </w:r>
      <w:r>
        <w:t>September 9, 2015,</w:t>
      </w:r>
      <w:r w:rsidRPr="00BD1415">
        <w:t xml:space="preserve"> the </w:t>
      </w:r>
      <w:r>
        <w:t xml:space="preserve">Pennsylvania </w:t>
      </w:r>
      <w:r w:rsidRPr="00BD1415">
        <w:t xml:space="preserve">Office of Consumer Advocate (OCA) filed a </w:t>
      </w:r>
      <w:r>
        <w:t>F</w:t>
      </w:r>
      <w:r w:rsidRPr="00BD1415">
        <w:t>ormal Complaint</w:t>
      </w:r>
      <w:r w:rsidR="00101858">
        <w:t xml:space="preserve"> against Allied’s filing</w:t>
      </w:r>
      <w:r w:rsidRPr="00BD1415">
        <w:t xml:space="preserve">, </w:t>
      </w:r>
      <w:r>
        <w:t>which was assigned D</w:t>
      </w:r>
      <w:r w:rsidRPr="00BD1415">
        <w:t>ocket</w:t>
      </w:r>
      <w:r>
        <w:t xml:space="preserve"> No.</w:t>
      </w:r>
      <w:r w:rsidRPr="00BD1415">
        <w:t xml:space="preserve"> </w:t>
      </w:r>
      <w:proofErr w:type="gramStart"/>
      <w:r w:rsidRPr="00BD1415">
        <w:t>C-201</w:t>
      </w:r>
      <w:r>
        <w:t>5</w:t>
      </w:r>
      <w:r w:rsidRPr="00BD1415">
        <w:t>-</w:t>
      </w:r>
      <w:r>
        <w:t>2502642</w:t>
      </w:r>
      <w:r w:rsidRPr="00BD1415">
        <w:t>.</w:t>
      </w:r>
      <w:proofErr w:type="gramEnd"/>
      <w:r>
        <w:t xml:space="preserve">  </w:t>
      </w:r>
      <w:r w:rsidR="00101858">
        <w:t xml:space="preserve">On October </w:t>
      </w:r>
      <w:r w:rsidR="00EE3F96">
        <w:t>1</w:t>
      </w:r>
      <w:r w:rsidR="00101858">
        <w:t xml:space="preserve">, 2015, the Office of Small Business Advocate </w:t>
      </w:r>
      <w:r w:rsidR="00A35BAE">
        <w:t xml:space="preserve">(OSBA) </w:t>
      </w:r>
      <w:r w:rsidR="00101858">
        <w:t xml:space="preserve">filed a Formal Complaint against </w:t>
      </w:r>
      <w:r w:rsidR="00037174">
        <w:t>the</w:t>
      </w:r>
      <w:r w:rsidR="00101858">
        <w:t xml:space="preserve"> filing, which was assigned Docket No. </w:t>
      </w:r>
      <w:proofErr w:type="gramStart"/>
      <w:r w:rsidR="00101858">
        <w:t>C-2015-2506329.</w:t>
      </w:r>
      <w:proofErr w:type="gramEnd"/>
      <w:r w:rsidR="00101858">
        <w:t xml:space="preserve">  </w:t>
      </w:r>
      <w:r w:rsidR="00971A39">
        <w:t>On September </w:t>
      </w:r>
      <w:r w:rsidR="00D82D32">
        <w:t>22, 2015, t</w:t>
      </w:r>
      <w:r w:rsidRPr="00BD1415">
        <w:t xml:space="preserve">he Commission's Bureau of Investigation and Enforcement (I&amp;E) filed a Notice of </w:t>
      </w:r>
      <w:r w:rsidR="00D82D32">
        <w:t>Appearance</w:t>
      </w:r>
      <w:r w:rsidRPr="00BD1415">
        <w:t>.</w:t>
      </w:r>
    </w:p>
    <w:p w:rsidR="00524DDD" w:rsidRPr="00BD1415" w:rsidRDefault="00524DDD" w:rsidP="00524DDD">
      <w:pPr>
        <w:jc w:val="left"/>
      </w:pPr>
    </w:p>
    <w:p w:rsidR="00524DDD" w:rsidRPr="00BD1415" w:rsidRDefault="00524DDD" w:rsidP="00524DDD">
      <w:pPr>
        <w:jc w:val="left"/>
      </w:pPr>
      <w:r w:rsidRPr="00BD1415">
        <w:tab/>
      </w:r>
      <w:r w:rsidRPr="00BD1415">
        <w:tab/>
        <w:t xml:space="preserve">By Order entered </w:t>
      </w:r>
      <w:r>
        <w:t>September 17, 2015</w:t>
      </w:r>
      <w:r w:rsidRPr="00BD1415">
        <w:t xml:space="preserve">, the Commission </w:t>
      </w:r>
      <w:r w:rsidR="00101858">
        <w:t>instituted an investigation to determine the lawfulness, justness and reasonableness of the</w:t>
      </w:r>
      <w:r w:rsidR="001748F9">
        <w:t xml:space="preserve"> proposed </w:t>
      </w:r>
      <w:r w:rsidR="00101858">
        <w:t>rate</w:t>
      </w:r>
      <w:r w:rsidR="001748F9">
        <w:t xml:space="preserve"> increase and suspended its effective date, </w:t>
      </w:r>
      <w:r w:rsidR="00B05ECF">
        <w:t>by operation of law</w:t>
      </w:r>
      <w:r w:rsidR="001748F9">
        <w:t>,</w:t>
      </w:r>
      <w:r w:rsidR="00B05ECF">
        <w:t xml:space="preserve"> until May 5, 2016</w:t>
      </w:r>
      <w:r w:rsidR="001748F9">
        <w:t xml:space="preserve">.  </w:t>
      </w:r>
      <w:r w:rsidRPr="00BD1415">
        <w:t xml:space="preserve">The Order directed that the matter be assigned to the Office of Administrative Law Judge (OALJ) for </w:t>
      </w:r>
      <w:r w:rsidR="009A7E93">
        <w:t>A</w:t>
      </w:r>
      <w:r w:rsidRPr="00BD1415">
        <w:t xml:space="preserve">lternative </w:t>
      </w:r>
      <w:r w:rsidR="009A7E93">
        <w:t>D</w:t>
      </w:r>
      <w:r w:rsidRPr="00BD1415">
        <w:t xml:space="preserve">ispute </w:t>
      </w:r>
      <w:r w:rsidR="009A7E93">
        <w:t>R</w:t>
      </w:r>
      <w:r w:rsidRPr="00BD1415">
        <w:t xml:space="preserve">esolution or the </w:t>
      </w:r>
      <w:r w:rsidR="009A7E93">
        <w:t xml:space="preserve">prompt </w:t>
      </w:r>
      <w:r w:rsidRPr="00BD1415">
        <w:t>scheduling of such hearings as may be necessary</w:t>
      </w:r>
      <w:r w:rsidR="00B50027">
        <w:t>,</w:t>
      </w:r>
      <w:r w:rsidRPr="00BD1415">
        <w:t xml:space="preserve"> culminating in the issuance of a Recommended Decision.</w:t>
      </w:r>
    </w:p>
    <w:p w:rsidR="00524DDD" w:rsidRPr="00BD1415" w:rsidRDefault="00524DDD" w:rsidP="00524DDD">
      <w:pPr>
        <w:jc w:val="left"/>
      </w:pPr>
    </w:p>
    <w:p w:rsidR="00524DDD" w:rsidRPr="00BD1415" w:rsidRDefault="00524DDD" w:rsidP="009A7E93">
      <w:pPr>
        <w:jc w:val="left"/>
      </w:pPr>
      <w:r w:rsidRPr="00BD1415">
        <w:tab/>
      </w:r>
      <w:r w:rsidRPr="00BD1415">
        <w:tab/>
      </w:r>
      <w:r w:rsidR="009A7E93">
        <w:t>Subsequently, all of the litigating parties agreed to participate in a mediation session.  Accordingly, on October 2, 2015, the Commission issued a Pre-Hearing Conference</w:t>
      </w:r>
      <w:r w:rsidR="000B3878">
        <w:t>/</w:t>
      </w:r>
      <w:r w:rsidR="009A7E93">
        <w:t xml:space="preserve">Mediation Notice </w:t>
      </w:r>
      <w:r w:rsidR="009745E1">
        <w:t>by</w:t>
      </w:r>
      <w:r w:rsidR="009A7E93">
        <w:t xml:space="preserve"> which it scheduled a pre-hearing conference and mediation session for Monday, October 26, 2015.  I was assigned as the Presiding Administrative Law Judge and Tiffany Hunt was assigned as the Mediator.   </w:t>
      </w:r>
    </w:p>
    <w:p w:rsidR="00524DDD" w:rsidRPr="00BD1415" w:rsidRDefault="00524DDD" w:rsidP="00524DDD">
      <w:pPr>
        <w:jc w:val="left"/>
      </w:pPr>
    </w:p>
    <w:p w:rsidR="00524DDD" w:rsidRPr="00BD1415" w:rsidRDefault="00524DDD" w:rsidP="00524DDD">
      <w:pPr>
        <w:jc w:val="left"/>
      </w:pPr>
      <w:r w:rsidRPr="00BD1415">
        <w:tab/>
      </w:r>
      <w:r w:rsidRPr="00BD1415">
        <w:tab/>
        <w:t xml:space="preserve">On </w:t>
      </w:r>
      <w:r w:rsidR="005E1EF4">
        <w:t>November 16, 2015</w:t>
      </w:r>
      <w:r w:rsidRPr="00BD1415">
        <w:t xml:space="preserve">, the parties filed a Joint Petition for </w:t>
      </w:r>
      <w:r w:rsidR="005E1EF4">
        <w:t xml:space="preserve">Full </w:t>
      </w:r>
      <w:r w:rsidRPr="00BD1415">
        <w:t>Settlement</w:t>
      </w:r>
      <w:r w:rsidR="006F1EDC">
        <w:t xml:space="preserve"> of Rate Investigation (Joint Petition)</w:t>
      </w:r>
      <w:r w:rsidRPr="00BD1415">
        <w:t>.  For the reasons set forth below, approval of the Joint Petition</w:t>
      </w:r>
      <w:r w:rsidR="009A7E93">
        <w:t>, without modification,</w:t>
      </w:r>
      <w:r w:rsidRPr="00BD1415">
        <w:t xml:space="preserve"> is recommended.</w:t>
      </w:r>
    </w:p>
    <w:p w:rsidR="00524DDD" w:rsidRDefault="00524DDD" w:rsidP="009B012C">
      <w:pPr>
        <w:jc w:val="left"/>
      </w:pPr>
    </w:p>
    <w:p w:rsidR="009C1C29" w:rsidRDefault="009C1C29" w:rsidP="009B012C">
      <w:pPr>
        <w:jc w:val="left"/>
      </w:pPr>
    </w:p>
    <w:p w:rsidR="009C1C29" w:rsidRDefault="009C1C29" w:rsidP="009B012C">
      <w:pPr>
        <w:jc w:val="left"/>
      </w:pPr>
    </w:p>
    <w:p w:rsidR="009C1C29" w:rsidRDefault="009C1C29" w:rsidP="009B012C">
      <w:pPr>
        <w:jc w:val="left"/>
      </w:pPr>
    </w:p>
    <w:p w:rsidR="009C1C29" w:rsidRDefault="009C1C29" w:rsidP="009B012C">
      <w:pPr>
        <w:jc w:val="left"/>
      </w:pPr>
    </w:p>
    <w:p w:rsidR="006D7E17" w:rsidRPr="00BD1415" w:rsidRDefault="006D7E17" w:rsidP="006D7E17">
      <w:pPr>
        <w:rPr>
          <w:u w:val="single"/>
        </w:rPr>
      </w:pPr>
      <w:r w:rsidRPr="00BD1415">
        <w:rPr>
          <w:u w:val="single"/>
        </w:rPr>
        <w:lastRenderedPageBreak/>
        <w:t>FINDINGS OF FACT</w:t>
      </w:r>
    </w:p>
    <w:p w:rsidR="006D7E17" w:rsidRPr="00BD1415" w:rsidRDefault="006D7E17" w:rsidP="006D7E17">
      <w:pPr>
        <w:rPr>
          <w:u w:val="single"/>
        </w:rPr>
      </w:pPr>
    </w:p>
    <w:p w:rsidR="006D7E17" w:rsidRPr="00BD1415" w:rsidRDefault="006D7E17" w:rsidP="006D7E17">
      <w:pPr>
        <w:jc w:val="left"/>
      </w:pPr>
      <w:r w:rsidRPr="00BD1415">
        <w:tab/>
      </w:r>
      <w:r w:rsidRPr="00BD1415">
        <w:tab/>
        <w:t>1.</w:t>
      </w:r>
      <w:r w:rsidRPr="00BD1415">
        <w:tab/>
      </w:r>
      <w:r w:rsidR="00524DDD">
        <w:t>Allied Utility Services, Inc.</w:t>
      </w:r>
      <w:r w:rsidRPr="00BD1415">
        <w:t xml:space="preserve"> is a Pennsylvania public utility </w:t>
      </w:r>
      <w:r w:rsidR="00F67520">
        <w:t>that provides wastewater</w:t>
      </w:r>
      <w:r w:rsidRPr="00BD1415">
        <w:t xml:space="preserve"> service to the public in </w:t>
      </w:r>
      <w:r w:rsidR="00F67520">
        <w:t xml:space="preserve">the Schnecksville North Sewer District in North Whitehall </w:t>
      </w:r>
      <w:r w:rsidRPr="00BD1415">
        <w:t xml:space="preserve">Township, </w:t>
      </w:r>
      <w:r w:rsidR="00F67520">
        <w:t>Lehigh</w:t>
      </w:r>
      <w:r w:rsidRPr="00BD1415">
        <w:t xml:space="preserve"> County, Pennsylvania.</w:t>
      </w:r>
    </w:p>
    <w:p w:rsidR="006D7E17" w:rsidRPr="00BD1415" w:rsidRDefault="006D7E17" w:rsidP="006D7E17">
      <w:pPr>
        <w:jc w:val="left"/>
      </w:pPr>
    </w:p>
    <w:p w:rsidR="006D7E17" w:rsidRPr="00BD1415" w:rsidRDefault="006D7E17" w:rsidP="006D7E17">
      <w:pPr>
        <w:jc w:val="left"/>
      </w:pPr>
      <w:r w:rsidRPr="00BD1415">
        <w:tab/>
      </w:r>
      <w:r w:rsidRPr="00BD1415">
        <w:tab/>
        <w:t>2.</w:t>
      </w:r>
      <w:r w:rsidRPr="00BD1415">
        <w:tab/>
        <w:t xml:space="preserve">The Company has </w:t>
      </w:r>
      <w:r w:rsidR="00F67520">
        <w:t xml:space="preserve">298 </w:t>
      </w:r>
      <w:r w:rsidR="00524DDD">
        <w:t xml:space="preserve">residential customers and </w:t>
      </w:r>
      <w:r w:rsidR="00F67520">
        <w:t>1</w:t>
      </w:r>
      <w:r w:rsidR="00524DDD">
        <w:t xml:space="preserve"> </w:t>
      </w:r>
      <w:r w:rsidR="00F67520">
        <w:t xml:space="preserve">metered </w:t>
      </w:r>
      <w:r w:rsidR="00524DDD">
        <w:t>commercial customer.</w:t>
      </w:r>
    </w:p>
    <w:p w:rsidR="006D7E17" w:rsidRPr="00BD1415" w:rsidRDefault="006D7E17" w:rsidP="006D7E17">
      <w:pPr>
        <w:jc w:val="left"/>
      </w:pPr>
      <w:r w:rsidRPr="00BD1415">
        <w:tab/>
      </w:r>
      <w:r w:rsidRPr="00BD1415">
        <w:tab/>
        <w:t>3.</w:t>
      </w:r>
      <w:r w:rsidRPr="00BD1415">
        <w:tab/>
        <w:t xml:space="preserve">The Commission's Bureau of Investigation &amp; Enforcement is an office within the Commission charged with representing the public interest in </w:t>
      </w:r>
      <w:r w:rsidR="00524DDD">
        <w:t>proceedings</w:t>
      </w:r>
      <w:r w:rsidRPr="00BD1415">
        <w:t xml:space="preserve"> involving</w:t>
      </w:r>
      <w:r w:rsidR="00F274ED">
        <w:t xml:space="preserve">, </w:t>
      </w:r>
      <w:r w:rsidR="00F274ED">
        <w:rPr>
          <w:i/>
        </w:rPr>
        <w:t>inter alia</w:t>
      </w:r>
      <w:r w:rsidR="00F274ED">
        <w:t>,</w:t>
      </w:r>
      <w:r w:rsidRPr="00BD1415">
        <w:t xml:space="preserve"> utility rates.</w:t>
      </w:r>
    </w:p>
    <w:p w:rsidR="00735DEC" w:rsidRPr="00BD1415" w:rsidRDefault="00735DEC" w:rsidP="000358FF">
      <w:pPr>
        <w:jc w:val="left"/>
      </w:pPr>
    </w:p>
    <w:p w:rsidR="006D7E17" w:rsidRDefault="006D7E17" w:rsidP="006D7E17">
      <w:pPr>
        <w:pStyle w:val="Pleading2L3"/>
        <w:numPr>
          <w:ilvl w:val="0"/>
          <w:numId w:val="0"/>
        </w:numPr>
        <w:tabs>
          <w:tab w:val="num" w:pos="0"/>
        </w:tabs>
        <w:spacing w:line="360" w:lineRule="auto"/>
        <w:contextualSpacing/>
        <w:rPr>
          <w:szCs w:val="24"/>
        </w:rPr>
      </w:pPr>
      <w:r w:rsidRPr="00BD1415">
        <w:rPr>
          <w:szCs w:val="24"/>
        </w:rPr>
        <w:tab/>
      </w:r>
      <w:r w:rsidRPr="00BD1415">
        <w:rPr>
          <w:szCs w:val="24"/>
        </w:rPr>
        <w:tab/>
        <w:t>4.</w:t>
      </w:r>
      <w:r w:rsidRPr="00BD1415">
        <w:rPr>
          <w:szCs w:val="24"/>
        </w:rPr>
        <w:tab/>
      </w:r>
      <w:r w:rsidR="00F67520">
        <w:rPr>
          <w:szCs w:val="24"/>
        </w:rPr>
        <w:t>The OCA i</w:t>
      </w:r>
      <w:r w:rsidRPr="00BD1415">
        <w:rPr>
          <w:szCs w:val="24"/>
        </w:rPr>
        <w:t xml:space="preserve">s a statutorily created public advocate </w:t>
      </w:r>
      <w:r w:rsidR="00F67520">
        <w:rPr>
          <w:szCs w:val="24"/>
        </w:rPr>
        <w:t xml:space="preserve">charged with </w:t>
      </w:r>
      <w:r w:rsidRPr="00BD1415">
        <w:rPr>
          <w:szCs w:val="24"/>
        </w:rPr>
        <w:t>represent</w:t>
      </w:r>
      <w:r w:rsidR="00F67520">
        <w:rPr>
          <w:szCs w:val="24"/>
        </w:rPr>
        <w:t>ing</w:t>
      </w:r>
      <w:r w:rsidRPr="00BD1415">
        <w:rPr>
          <w:szCs w:val="24"/>
        </w:rPr>
        <w:t xml:space="preserve"> the interests of </w:t>
      </w:r>
      <w:r w:rsidR="00F67520">
        <w:rPr>
          <w:szCs w:val="24"/>
        </w:rPr>
        <w:t xml:space="preserve">residential </w:t>
      </w:r>
      <w:r w:rsidRPr="00BD1415">
        <w:rPr>
          <w:szCs w:val="24"/>
        </w:rPr>
        <w:t xml:space="preserve">consumers before the Commission pursuant to Act 161 of the General </w:t>
      </w:r>
      <w:r w:rsidR="00F91972">
        <w:rPr>
          <w:szCs w:val="24"/>
        </w:rPr>
        <w:t>Assembly, as amended, 71 P.S. §</w:t>
      </w:r>
      <w:r w:rsidRPr="00BD1415">
        <w:rPr>
          <w:szCs w:val="24"/>
        </w:rPr>
        <w:t xml:space="preserve"> 309-1 </w:t>
      </w:r>
      <w:r w:rsidRPr="00F91972">
        <w:rPr>
          <w:szCs w:val="24"/>
        </w:rPr>
        <w:t>et seq</w:t>
      </w:r>
      <w:r w:rsidRPr="00BD1415">
        <w:rPr>
          <w:i/>
          <w:szCs w:val="24"/>
        </w:rPr>
        <w:t>.</w:t>
      </w:r>
    </w:p>
    <w:p w:rsidR="00F67520" w:rsidRDefault="00F67520" w:rsidP="006D7E17">
      <w:pPr>
        <w:pStyle w:val="Pleading2L3"/>
        <w:numPr>
          <w:ilvl w:val="0"/>
          <w:numId w:val="0"/>
        </w:numPr>
        <w:tabs>
          <w:tab w:val="num" w:pos="0"/>
        </w:tabs>
        <w:spacing w:line="360" w:lineRule="auto"/>
        <w:contextualSpacing/>
        <w:rPr>
          <w:szCs w:val="24"/>
        </w:rPr>
      </w:pPr>
    </w:p>
    <w:p w:rsidR="00F67520" w:rsidRPr="00F67520" w:rsidRDefault="00F67520" w:rsidP="006D7E17">
      <w:pPr>
        <w:pStyle w:val="Pleading2L3"/>
        <w:numPr>
          <w:ilvl w:val="0"/>
          <w:numId w:val="0"/>
        </w:numPr>
        <w:tabs>
          <w:tab w:val="num" w:pos="0"/>
        </w:tabs>
        <w:spacing w:line="360" w:lineRule="auto"/>
        <w:contextualSpacing/>
        <w:rPr>
          <w:szCs w:val="24"/>
        </w:rPr>
      </w:pPr>
      <w:r>
        <w:rPr>
          <w:szCs w:val="24"/>
        </w:rPr>
        <w:tab/>
      </w:r>
      <w:r>
        <w:rPr>
          <w:szCs w:val="24"/>
        </w:rPr>
        <w:tab/>
        <w:t>5.</w:t>
      </w:r>
      <w:r>
        <w:rPr>
          <w:szCs w:val="24"/>
        </w:rPr>
        <w:tab/>
        <w:t>The OSBA is a statutorily created public advocate charged with representing the interests of small business consumers before the Commission pursuant to Act 181 of 1988, as amended, 73 P.S. §</w:t>
      </w:r>
      <w:r w:rsidR="00F274ED">
        <w:rPr>
          <w:szCs w:val="24"/>
        </w:rPr>
        <w:t>§</w:t>
      </w:r>
      <w:r>
        <w:rPr>
          <w:szCs w:val="24"/>
        </w:rPr>
        <w:t xml:space="preserve"> 399.41-399.50.  </w:t>
      </w:r>
    </w:p>
    <w:p w:rsidR="00524DDD" w:rsidRPr="00524DDD" w:rsidRDefault="00524DDD" w:rsidP="006D7E17">
      <w:pPr>
        <w:pStyle w:val="Pleading2L3"/>
        <w:numPr>
          <w:ilvl w:val="0"/>
          <w:numId w:val="0"/>
        </w:numPr>
        <w:tabs>
          <w:tab w:val="num" w:pos="0"/>
        </w:tabs>
        <w:spacing w:line="360" w:lineRule="auto"/>
        <w:contextualSpacing/>
        <w:rPr>
          <w:szCs w:val="24"/>
        </w:rPr>
      </w:pPr>
    </w:p>
    <w:p w:rsidR="000A734C" w:rsidRPr="00542146" w:rsidRDefault="00646C79" w:rsidP="000A734C">
      <w:pPr>
        <w:pStyle w:val="Pleading2L3"/>
        <w:numPr>
          <w:ilvl w:val="0"/>
          <w:numId w:val="0"/>
        </w:numPr>
        <w:tabs>
          <w:tab w:val="num" w:pos="0"/>
        </w:tabs>
        <w:spacing w:line="360" w:lineRule="auto"/>
        <w:contextualSpacing/>
        <w:jc w:val="center"/>
        <w:rPr>
          <w:szCs w:val="24"/>
          <w:u w:val="single"/>
        </w:rPr>
      </w:pPr>
      <w:r w:rsidRPr="00542146">
        <w:rPr>
          <w:szCs w:val="24"/>
          <w:u w:val="single"/>
        </w:rPr>
        <w:t xml:space="preserve">SETTLEMENT </w:t>
      </w:r>
      <w:r w:rsidR="000A734C" w:rsidRPr="00542146">
        <w:rPr>
          <w:szCs w:val="24"/>
          <w:u w:val="single"/>
        </w:rPr>
        <w:t>TERMS AND CONDITIONS</w:t>
      </w:r>
    </w:p>
    <w:p w:rsidR="006A5DC3" w:rsidRDefault="006A5DC3" w:rsidP="006A5DC3">
      <w:pPr>
        <w:pStyle w:val="Pleading2L3"/>
        <w:numPr>
          <w:ilvl w:val="0"/>
          <w:numId w:val="0"/>
        </w:numPr>
        <w:tabs>
          <w:tab w:val="num" w:pos="0"/>
        </w:tabs>
        <w:spacing w:line="360" w:lineRule="auto"/>
        <w:ind w:firstLine="1440"/>
        <w:contextualSpacing/>
        <w:rPr>
          <w:szCs w:val="24"/>
        </w:rPr>
      </w:pPr>
    </w:p>
    <w:p w:rsidR="00510925" w:rsidRDefault="00524DDD" w:rsidP="006D7E17">
      <w:pPr>
        <w:pStyle w:val="Pleading2L3"/>
        <w:numPr>
          <w:ilvl w:val="0"/>
          <w:numId w:val="0"/>
        </w:numPr>
        <w:tabs>
          <w:tab w:val="num" w:pos="0"/>
        </w:tabs>
        <w:spacing w:line="360" w:lineRule="auto"/>
        <w:contextualSpacing/>
        <w:rPr>
          <w:szCs w:val="24"/>
        </w:rPr>
      </w:pPr>
      <w:r>
        <w:rPr>
          <w:szCs w:val="24"/>
        </w:rPr>
        <w:tab/>
      </w:r>
      <w:r>
        <w:rPr>
          <w:szCs w:val="24"/>
        </w:rPr>
        <w:tab/>
      </w:r>
      <w:r w:rsidR="00510925" w:rsidRPr="00BD1415">
        <w:rPr>
          <w:szCs w:val="24"/>
        </w:rPr>
        <w:t xml:space="preserve">The Terms and Conditions </w:t>
      </w:r>
      <w:r>
        <w:rPr>
          <w:szCs w:val="24"/>
        </w:rPr>
        <w:t xml:space="preserve">contained in </w:t>
      </w:r>
      <w:r w:rsidR="00510925" w:rsidRPr="00BD1415">
        <w:rPr>
          <w:szCs w:val="24"/>
        </w:rPr>
        <w:t xml:space="preserve">the Joint Petition </w:t>
      </w:r>
      <w:r w:rsidR="00646C79">
        <w:rPr>
          <w:szCs w:val="24"/>
        </w:rPr>
        <w:t>a</w:t>
      </w:r>
      <w:r w:rsidR="00510925" w:rsidRPr="00BD1415">
        <w:rPr>
          <w:szCs w:val="24"/>
        </w:rPr>
        <w:t>re re</w:t>
      </w:r>
      <w:r w:rsidR="00B50027">
        <w:rPr>
          <w:szCs w:val="24"/>
        </w:rPr>
        <w:t>stat</w:t>
      </w:r>
      <w:r w:rsidR="00510925" w:rsidRPr="00BD1415">
        <w:rPr>
          <w:szCs w:val="24"/>
        </w:rPr>
        <w:t xml:space="preserve">ed </w:t>
      </w:r>
      <w:r w:rsidR="009F6195" w:rsidRPr="00BD1415">
        <w:rPr>
          <w:szCs w:val="24"/>
        </w:rPr>
        <w:t>below</w:t>
      </w:r>
      <w:r w:rsidR="00510925" w:rsidRPr="00BD1415">
        <w:rPr>
          <w:szCs w:val="24"/>
        </w:rPr>
        <w:t xml:space="preserve">.  They are </w:t>
      </w:r>
      <w:r w:rsidR="009F6195" w:rsidRPr="00BD1415">
        <w:rPr>
          <w:szCs w:val="24"/>
        </w:rPr>
        <w:t>taken from the J</w:t>
      </w:r>
      <w:r w:rsidR="00510925" w:rsidRPr="00BD1415">
        <w:rPr>
          <w:szCs w:val="24"/>
        </w:rPr>
        <w:t>oint Petition</w:t>
      </w:r>
      <w:r w:rsidR="009F6195" w:rsidRPr="00BD1415">
        <w:rPr>
          <w:szCs w:val="24"/>
        </w:rPr>
        <w:t xml:space="preserve">, </w:t>
      </w:r>
      <w:r w:rsidR="00646C79">
        <w:rPr>
          <w:szCs w:val="24"/>
        </w:rPr>
        <w:t>Section B</w:t>
      </w:r>
      <w:r w:rsidR="00510925" w:rsidRPr="00BD1415">
        <w:rPr>
          <w:szCs w:val="24"/>
        </w:rPr>
        <w:t xml:space="preserve">, </w:t>
      </w:r>
      <w:r w:rsidR="00646C79">
        <w:rPr>
          <w:szCs w:val="24"/>
        </w:rPr>
        <w:t>beginning on page 4</w:t>
      </w:r>
      <w:r w:rsidR="00510925" w:rsidRPr="00BD1415">
        <w:rPr>
          <w:szCs w:val="24"/>
        </w:rPr>
        <w:t>.</w:t>
      </w:r>
      <w:r w:rsidR="00646C79">
        <w:rPr>
          <w:szCs w:val="24"/>
        </w:rPr>
        <w:t xml:space="preserve">  The headings and sub-headings are restated as they appear in the Joint Petition for ease of reference.</w:t>
      </w:r>
    </w:p>
    <w:p w:rsidR="00646C79" w:rsidRDefault="00646C79" w:rsidP="006D7E17">
      <w:pPr>
        <w:pStyle w:val="Pleading2L3"/>
        <w:numPr>
          <w:ilvl w:val="0"/>
          <w:numId w:val="0"/>
        </w:numPr>
        <w:tabs>
          <w:tab w:val="num" w:pos="0"/>
        </w:tabs>
        <w:spacing w:line="360" w:lineRule="auto"/>
        <w:contextualSpacing/>
        <w:rPr>
          <w:szCs w:val="24"/>
        </w:rPr>
      </w:pPr>
    </w:p>
    <w:p w:rsidR="00646C79" w:rsidRDefault="00646C79" w:rsidP="000939FA">
      <w:pPr>
        <w:pStyle w:val="Pleading2L3"/>
        <w:numPr>
          <w:ilvl w:val="0"/>
          <w:numId w:val="2"/>
        </w:numPr>
        <w:spacing w:line="240" w:lineRule="auto"/>
        <w:ind w:left="1440" w:right="720"/>
        <w:contextualSpacing/>
        <w:rPr>
          <w:b/>
          <w:szCs w:val="24"/>
          <w:u w:val="single"/>
        </w:rPr>
      </w:pPr>
      <w:r w:rsidRPr="00646C79">
        <w:rPr>
          <w:b/>
          <w:szCs w:val="24"/>
          <w:u w:val="single"/>
        </w:rPr>
        <w:t>Settlement Rates</w:t>
      </w:r>
    </w:p>
    <w:p w:rsidR="00646C79" w:rsidRPr="00646C79" w:rsidRDefault="00646C79" w:rsidP="000939FA">
      <w:pPr>
        <w:pStyle w:val="Pleading2L3"/>
        <w:numPr>
          <w:ilvl w:val="0"/>
          <w:numId w:val="0"/>
        </w:numPr>
        <w:spacing w:line="240" w:lineRule="auto"/>
        <w:ind w:left="1440" w:right="720" w:hanging="720"/>
        <w:contextualSpacing/>
        <w:rPr>
          <w:b/>
          <w:szCs w:val="24"/>
        </w:rPr>
      </w:pPr>
    </w:p>
    <w:p w:rsidR="00510925" w:rsidRDefault="00646C79" w:rsidP="000939FA">
      <w:pPr>
        <w:pStyle w:val="Pleading2L3"/>
        <w:numPr>
          <w:ilvl w:val="0"/>
          <w:numId w:val="0"/>
        </w:numPr>
        <w:tabs>
          <w:tab w:val="num" w:pos="0"/>
        </w:tabs>
        <w:spacing w:line="240" w:lineRule="auto"/>
        <w:ind w:left="1440" w:right="720" w:hanging="720"/>
        <w:contextualSpacing/>
        <w:rPr>
          <w:szCs w:val="24"/>
        </w:rPr>
      </w:pPr>
      <w:r>
        <w:rPr>
          <w:szCs w:val="24"/>
        </w:rPr>
        <w:tab/>
      </w:r>
      <w:r>
        <w:rPr>
          <w:szCs w:val="24"/>
        </w:rPr>
        <w:tab/>
      </w:r>
      <w:r w:rsidR="00510925" w:rsidRPr="00BD1415">
        <w:rPr>
          <w:szCs w:val="24"/>
        </w:rPr>
        <w:t xml:space="preserve">Upon the Commission's approval of this Settlement, </w:t>
      </w:r>
      <w:r>
        <w:rPr>
          <w:szCs w:val="24"/>
        </w:rPr>
        <w:t xml:space="preserve">Allied will be </w:t>
      </w:r>
      <w:r w:rsidR="00510925" w:rsidRPr="00BD1415">
        <w:rPr>
          <w:szCs w:val="24"/>
        </w:rPr>
        <w:t xml:space="preserve">permitted to charge the rates for </w:t>
      </w:r>
      <w:r>
        <w:rPr>
          <w:szCs w:val="24"/>
        </w:rPr>
        <w:t>waste</w:t>
      </w:r>
      <w:r w:rsidR="00510925" w:rsidRPr="00BD1415">
        <w:rPr>
          <w:szCs w:val="24"/>
        </w:rPr>
        <w:t xml:space="preserve">water service set forth in the proposed Tariff </w:t>
      </w:r>
      <w:r>
        <w:rPr>
          <w:szCs w:val="24"/>
        </w:rPr>
        <w:t xml:space="preserve">Supplement No. 14 attached hereto as Attachment A (hereinafter, the “Settlement Rates”), to become effective upon one day’s notice for bills rendered on and after the effective date.  It will be the first </w:t>
      </w:r>
      <w:r>
        <w:rPr>
          <w:szCs w:val="24"/>
        </w:rPr>
        <w:lastRenderedPageBreak/>
        <w:t xml:space="preserve">general rate increase for Allied in eight years.  The Settlement </w:t>
      </w:r>
      <w:r w:rsidR="00510925" w:rsidRPr="00BD1415">
        <w:rPr>
          <w:szCs w:val="24"/>
        </w:rPr>
        <w:t>Rates are designed to produce additional annual operatin</w:t>
      </w:r>
      <w:r w:rsidR="00C70AD8" w:rsidRPr="00BD1415">
        <w:rPr>
          <w:szCs w:val="24"/>
        </w:rPr>
        <w:t>g revenue</w:t>
      </w:r>
      <w:r>
        <w:rPr>
          <w:szCs w:val="24"/>
        </w:rPr>
        <w:t xml:space="preserve">s from wastewater service </w:t>
      </w:r>
      <w:r w:rsidR="00C70AD8" w:rsidRPr="00BD1415">
        <w:rPr>
          <w:szCs w:val="24"/>
        </w:rPr>
        <w:t>of $</w:t>
      </w:r>
      <w:r>
        <w:rPr>
          <w:szCs w:val="24"/>
        </w:rPr>
        <w:t>80,018</w:t>
      </w:r>
      <w:r w:rsidR="009745E1">
        <w:rPr>
          <w:szCs w:val="24"/>
        </w:rPr>
        <w:t>,</w:t>
      </w:r>
      <w:r>
        <w:rPr>
          <w:szCs w:val="24"/>
        </w:rPr>
        <w:t xml:space="preserve"> as shown on the Proof of Revenues attached hereto as Attachment B, and reflect a 48% reduction in the rate increase originally requested.  The Tariff Supplement in Attachment A complies with the terms of the Settlement.  </w:t>
      </w:r>
    </w:p>
    <w:p w:rsidR="00F926E9" w:rsidRDefault="00F926E9" w:rsidP="000939FA">
      <w:pPr>
        <w:pStyle w:val="Pleading2L3"/>
        <w:numPr>
          <w:ilvl w:val="0"/>
          <w:numId w:val="0"/>
        </w:numPr>
        <w:tabs>
          <w:tab w:val="num" w:pos="0"/>
        </w:tabs>
        <w:spacing w:line="240" w:lineRule="auto"/>
        <w:ind w:left="1440" w:right="720" w:hanging="720"/>
        <w:contextualSpacing/>
        <w:rPr>
          <w:szCs w:val="24"/>
        </w:rPr>
      </w:pPr>
    </w:p>
    <w:p w:rsidR="00646C79" w:rsidRPr="00646C79" w:rsidRDefault="00646C79" w:rsidP="002069C2">
      <w:pPr>
        <w:pStyle w:val="Pleading2L3"/>
        <w:numPr>
          <w:ilvl w:val="0"/>
          <w:numId w:val="4"/>
        </w:numPr>
        <w:spacing w:line="240" w:lineRule="auto"/>
        <w:ind w:left="1440" w:right="720" w:firstLine="0"/>
        <w:contextualSpacing/>
        <w:rPr>
          <w:b/>
          <w:szCs w:val="24"/>
        </w:rPr>
      </w:pPr>
      <w:r>
        <w:rPr>
          <w:b/>
          <w:szCs w:val="24"/>
          <w:u w:val="single"/>
        </w:rPr>
        <w:t>Residential Rates</w:t>
      </w:r>
    </w:p>
    <w:p w:rsidR="00646C79" w:rsidRDefault="00646C79" w:rsidP="000939FA">
      <w:pPr>
        <w:pStyle w:val="Pleading2L3"/>
        <w:numPr>
          <w:ilvl w:val="0"/>
          <w:numId w:val="0"/>
        </w:numPr>
        <w:spacing w:line="240" w:lineRule="auto"/>
        <w:ind w:left="1440" w:right="720" w:hanging="720"/>
        <w:contextualSpacing/>
        <w:rPr>
          <w:szCs w:val="24"/>
        </w:rPr>
      </w:pPr>
    </w:p>
    <w:p w:rsidR="00510925" w:rsidRPr="00BD1415" w:rsidRDefault="00510925" w:rsidP="000939FA">
      <w:pPr>
        <w:pStyle w:val="Pleading2L3"/>
        <w:numPr>
          <w:ilvl w:val="0"/>
          <w:numId w:val="0"/>
        </w:numPr>
        <w:spacing w:line="240" w:lineRule="auto"/>
        <w:ind w:left="1440" w:right="720" w:hanging="720"/>
        <w:contextualSpacing/>
        <w:rPr>
          <w:szCs w:val="24"/>
        </w:rPr>
      </w:pPr>
      <w:r w:rsidRPr="00BD1415">
        <w:rPr>
          <w:szCs w:val="24"/>
        </w:rPr>
        <w:tab/>
      </w:r>
      <w:r w:rsidR="009B5126">
        <w:rPr>
          <w:szCs w:val="24"/>
        </w:rPr>
        <w:tab/>
      </w:r>
      <w:r w:rsidRPr="00BD1415">
        <w:rPr>
          <w:szCs w:val="24"/>
        </w:rPr>
        <w:t xml:space="preserve">The </w:t>
      </w:r>
      <w:r w:rsidR="009B5126">
        <w:rPr>
          <w:szCs w:val="24"/>
        </w:rPr>
        <w:t>Company has 298 residential customers.  If the settlement increases are approved, the total bill for an average residential customer using 13,000 gallons per quarter would increase from $172 to $221 per quarter in lieu of the 61% increase originally proposed.</w:t>
      </w:r>
    </w:p>
    <w:p w:rsidR="00510925" w:rsidRPr="00BD1415" w:rsidRDefault="00510925" w:rsidP="000939FA">
      <w:pPr>
        <w:pStyle w:val="Pleading2L3"/>
        <w:numPr>
          <w:ilvl w:val="0"/>
          <w:numId w:val="0"/>
        </w:numPr>
        <w:tabs>
          <w:tab w:val="num" w:pos="0"/>
        </w:tabs>
        <w:spacing w:line="240" w:lineRule="auto"/>
        <w:ind w:left="1440" w:right="720" w:hanging="720"/>
        <w:contextualSpacing/>
        <w:rPr>
          <w:szCs w:val="24"/>
        </w:rPr>
      </w:pPr>
    </w:p>
    <w:p w:rsidR="009B5126" w:rsidRPr="009B5126" w:rsidRDefault="009B5126" w:rsidP="002069C2">
      <w:pPr>
        <w:pStyle w:val="Pleading2L3"/>
        <w:numPr>
          <w:ilvl w:val="0"/>
          <w:numId w:val="4"/>
        </w:numPr>
        <w:spacing w:line="240" w:lineRule="auto"/>
        <w:ind w:left="1440" w:right="720" w:firstLine="0"/>
        <w:contextualSpacing/>
        <w:rPr>
          <w:b/>
          <w:szCs w:val="24"/>
        </w:rPr>
      </w:pPr>
      <w:r>
        <w:rPr>
          <w:b/>
          <w:szCs w:val="24"/>
          <w:u w:val="single"/>
        </w:rPr>
        <w:t>Metered Commercial Customers</w:t>
      </w:r>
    </w:p>
    <w:p w:rsidR="009B5126" w:rsidRPr="009B5126" w:rsidRDefault="009B5126" w:rsidP="000939FA">
      <w:pPr>
        <w:pStyle w:val="Pleading2L3"/>
        <w:numPr>
          <w:ilvl w:val="0"/>
          <w:numId w:val="0"/>
        </w:numPr>
        <w:spacing w:line="240" w:lineRule="auto"/>
        <w:ind w:left="1440" w:right="720" w:hanging="720"/>
        <w:contextualSpacing/>
        <w:rPr>
          <w:szCs w:val="24"/>
        </w:rPr>
      </w:pPr>
    </w:p>
    <w:p w:rsidR="00221B24" w:rsidRDefault="009B5126" w:rsidP="000939FA">
      <w:pPr>
        <w:pStyle w:val="Pleading2L3"/>
        <w:numPr>
          <w:ilvl w:val="0"/>
          <w:numId w:val="0"/>
        </w:numPr>
        <w:tabs>
          <w:tab w:val="num" w:pos="0"/>
        </w:tabs>
        <w:spacing w:line="240" w:lineRule="auto"/>
        <w:ind w:left="1440" w:right="720" w:hanging="720"/>
        <w:contextualSpacing/>
        <w:rPr>
          <w:szCs w:val="24"/>
        </w:rPr>
      </w:pPr>
      <w:r>
        <w:rPr>
          <w:szCs w:val="24"/>
        </w:rPr>
        <w:tab/>
      </w:r>
      <w:r>
        <w:rPr>
          <w:szCs w:val="24"/>
        </w:rPr>
        <w:tab/>
        <w:t>The Company has one metered commercial customer.  If the settlement increase is approved, the total bill for a commercial customer using 142,579 gallons per month would increase from $3,219 to $4,747, in lieu of the 61% increase originally proposed.</w:t>
      </w:r>
      <w:r>
        <w:rPr>
          <w:szCs w:val="24"/>
        </w:rPr>
        <w:tab/>
      </w:r>
      <w:r>
        <w:rPr>
          <w:szCs w:val="24"/>
        </w:rPr>
        <w:tab/>
      </w:r>
    </w:p>
    <w:p w:rsidR="009B5126" w:rsidRPr="00BD1415" w:rsidRDefault="009B5126" w:rsidP="000939FA">
      <w:pPr>
        <w:pStyle w:val="Pleading2L3"/>
        <w:numPr>
          <w:ilvl w:val="0"/>
          <w:numId w:val="0"/>
        </w:numPr>
        <w:tabs>
          <w:tab w:val="num" w:pos="0"/>
        </w:tabs>
        <w:spacing w:line="240" w:lineRule="auto"/>
        <w:ind w:left="1440" w:right="720" w:hanging="720"/>
        <w:contextualSpacing/>
        <w:rPr>
          <w:szCs w:val="24"/>
        </w:rPr>
      </w:pPr>
    </w:p>
    <w:p w:rsidR="00221B24" w:rsidRPr="009B5126" w:rsidRDefault="009B5126" w:rsidP="002069C2">
      <w:pPr>
        <w:pStyle w:val="Pleading2L3"/>
        <w:numPr>
          <w:ilvl w:val="0"/>
          <w:numId w:val="4"/>
        </w:numPr>
        <w:spacing w:line="240" w:lineRule="auto"/>
        <w:ind w:left="1440" w:right="720" w:firstLine="0"/>
        <w:contextualSpacing/>
        <w:rPr>
          <w:b/>
          <w:szCs w:val="24"/>
        </w:rPr>
      </w:pPr>
      <w:r>
        <w:rPr>
          <w:b/>
          <w:szCs w:val="24"/>
          <w:u w:val="single"/>
        </w:rPr>
        <w:t>Black Box</w:t>
      </w:r>
    </w:p>
    <w:p w:rsidR="009B5126" w:rsidRPr="00BD1415" w:rsidRDefault="009B5126" w:rsidP="000939FA">
      <w:pPr>
        <w:pStyle w:val="Pleading2L3"/>
        <w:numPr>
          <w:ilvl w:val="0"/>
          <w:numId w:val="0"/>
        </w:numPr>
        <w:tabs>
          <w:tab w:val="num" w:pos="0"/>
        </w:tabs>
        <w:spacing w:line="240" w:lineRule="auto"/>
        <w:ind w:left="1440" w:right="720" w:hanging="720"/>
        <w:contextualSpacing/>
        <w:rPr>
          <w:szCs w:val="24"/>
        </w:rPr>
      </w:pPr>
    </w:p>
    <w:p w:rsidR="00221B24" w:rsidRDefault="00221B24" w:rsidP="000939FA">
      <w:pPr>
        <w:pStyle w:val="Pleading2L3"/>
        <w:numPr>
          <w:ilvl w:val="0"/>
          <w:numId w:val="0"/>
        </w:numPr>
        <w:tabs>
          <w:tab w:val="num" w:pos="0"/>
        </w:tabs>
        <w:spacing w:line="240" w:lineRule="auto"/>
        <w:ind w:left="1440" w:right="720" w:hanging="720"/>
        <w:contextualSpacing/>
        <w:rPr>
          <w:szCs w:val="24"/>
        </w:rPr>
      </w:pPr>
      <w:r w:rsidRPr="00BD1415">
        <w:rPr>
          <w:szCs w:val="24"/>
        </w:rPr>
        <w:tab/>
      </w:r>
      <w:r w:rsidRPr="00BD1415">
        <w:rPr>
          <w:szCs w:val="24"/>
        </w:rPr>
        <w:tab/>
      </w:r>
      <w:r w:rsidR="00085852">
        <w:rPr>
          <w:szCs w:val="24"/>
        </w:rPr>
        <w:t xml:space="preserve">As is common in general base rate proceedings, the settlement is “black box,” meaning that the parties have not negotiated each and every revenue and expense line item but rather have, after considerable effort, been able to agree upon a final revenue number based on their individual revenue and expense analyses and their review of the settlement rates which, upon approval of the settlement, will be Commission made. </w:t>
      </w:r>
    </w:p>
    <w:p w:rsidR="00B45940" w:rsidRPr="00BD1415" w:rsidRDefault="00B45940" w:rsidP="000939FA">
      <w:pPr>
        <w:pStyle w:val="Pleading2L3"/>
        <w:numPr>
          <w:ilvl w:val="0"/>
          <w:numId w:val="0"/>
        </w:numPr>
        <w:tabs>
          <w:tab w:val="num" w:pos="0"/>
        </w:tabs>
        <w:spacing w:line="240" w:lineRule="auto"/>
        <w:ind w:left="1440" w:right="720" w:hanging="720"/>
        <w:contextualSpacing/>
        <w:rPr>
          <w:szCs w:val="24"/>
        </w:rPr>
      </w:pPr>
    </w:p>
    <w:p w:rsidR="00085852" w:rsidRPr="00085852" w:rsidRDefault="00085852" w:rsidP="000939FA">
      <w:pPr>
        <w:pStyle w:val="Pleading2L3"/>
        <w:numPr>
          <w:ilvl w:val="0"/>
          <w:numId w:val="0"/>
        </w:numPr>
        <w:spacing w:line="240" w:lineRule="auto"/>
        <w:ind w:left="1440" w:right="720" w:hanging="720"/>
        <w:contextualSpacing/>
        <w:rPr>
          <w:b/>
          <w:szCs w:val="24"/>
          <w:u w:val="single"/>
        </w:rPr>
      </w:pPr>
      <w:r>
        <w:rPr>
          <w:b/>
          <w:szCs w:val="24"/>
        </w:rPr>
        <w:t>(b)</w:t>
      </w:r>
      <w:r w:rsidR="00221B24" w:rsidRPr="00BD1415">
        <w:rPr>
          <w:szCs w:val="24"/>
        </w:rPr>
        <w:tab/>
      </w:r>
      <w:r>
        <w:rPr>
          <w:b/>
          <w:szCs w:val="24"/>
          <w:u w:val="single"/>
        </w:rPr>
        <w:t>Stay Out</w:t>
      </w:r>
    </w:p>
    <w:p w:rsidR="00085852" w:rsidRDefault="00085852" w:rsidP="000939FA">
      <w:pPr>
        <w:pStyle w:val="Pleading2L3"/>
        <w:numPr>
          <w:ilvl w:val="0"/>
          <w:numId w:val="0"/>
        </w:numPr>
        <w:spacing w:line="240" w:lineRule="auto"/>
        <w:ind w:left="1440" w:right="720" w:hanging="720"/>
        <w:contextualSpacing/>
        <w:rPr>
          <w:szCs w:val="24"/>
        </w:rPr>
      </w:pPr>
    </w:p>
    <w:p w:rsidR="00831B9E" w:rsidRDefault="000939FA" w:rsidP="000939FA">
      <w:pPr>
        <w:pStyle w:val="Pleading2L3"/>
        <w:numPr>
          <w:ilvl w:val="0"/>
          <w:numId w:val="0"/>
        </w:numPr>
        <w:tabs>
          <w:tab w:val="left" w:pos="0"/>
        </w:tabs>
        <w:spacing w:line="240" w:lineRule="auto"/>
        <w:ind w:left="1440" w:right="720" w:hanging="720"/>
        <w:contextualSpacing/>
        <w:rPr>
          <w:szCs w:val="24"/>
        </w:rPr>
      </w:pPr>
      <w:r>
        <w:rPr>
          <w:szCs w:val="24"/>
        </w:rPr>
        <w:tab/>
      </w:r>
      <w:r>
        <w:rPr>
          <w:szCs w:val="24"/>
        </w:rPr>
        <w:tab/>
      </w:r>
      <w:r w:rsidR="00085852">
        <w:rPr>
          <w:szCs w:val="24"/>
        </w:rPr>
        <w:t>Upon approval and implementation of the rates set forth in Attachment A, Allied will not file for</w:t>
      </w:r>
      <w:r w:rsidR="007C252D">
        <w:rPr>
          <w:szCs w:val="24"/>
        </w:rPr>
        <w:t xml:space="preserve"> another general wastewater service rate increase under Section 1308(d) of the Public Utility Code prior to twenty-four (24) months after the Settlement</w:t>
      </w:r>
      <w:r w:rsidR="00831B9E">
        <w:rPr>
          <w:szCs w:val="24"/>
        </w:rPr>
        <w:t xml:space="preserve"> Rates go into </w:t>
      </w:r>
      <w:proofErr w:type="gramStart"/>
      <w:r w:rsidR="00831B9E">
        <w:rPr>
          <w:szCs w:val="24"/>
        </w:rPr>
        <w:t>effect.</w:t>
      </w:r>
      <w:proofErr w:type="gramEnd"/>
      <w:r w:rsidR="00831B9E">
        <w:rPr>
          <w:szCs w:val="24"/>
        </w:rPr>
        <w:t xml:space="preserve">  However, Allied may file for a change in rates under Sections 1308(a) and 1308(b) of the Public Utility Code, if a legislative body, the judiciary or an administrative agency, including the Commission, enacts or orders any fundamental changes in policy or statutes that directly and substantially affect Allied’s jurisdictional cost of service and th</w:t>
      </w:r>
      <w:r w:rsidR="00B45940">
        <w:rPr>
          <w:szCs w:val="24"/>
        </w:rPr>
        <w:t>is</w:t>
      </w:r>
      <w:r w:rsidR="00831B9E">
        <w:rPr>
          <w:szCs w:val="24"/>
        </w:rPr>
        <w:t xml:space="preserve"> Settlement shall not prevent Allied from filing a tariff or tariff supplement to the extent necessitated by such action.  In addition, this Stay Out provision has no application to state tax adjustment or other surcharge filings required by the Commission and shall not preclude the Company from seeking extraordinary relief under Section 1308(e) of the Public Utility Code.</w:t>
      </w:r>
    </w:p>
    <w:p w:rsidR="00085852" w:rsidRPr="00831B9E" w:rsidRDefault="00831B9E" w:rsidP="000939FA">
      <w:pPr>
        <w:pStyle w:val="Pleading2L3"/>
        <w:numPr>
          <w:ilvl w:val="0"/>
          <w:numId w:val="0"/>
        </w:numPr>
        <w:tabs>
          <w:tab w:val="left" w:pos="0"/>
        </w:tabs>
        <w:spacing w:line="240" w:lineRule="auto"/>
        <w:ind w:left="1440" w:right="720" w:hanging="720"/>
        <w:contextualSpacing/>
        <w:rPr>
          <w:b/>
          <w:szCs w:val="24"/>
        </w:rPr>
      </w:pPr>
      <w:r>
        <w:rPr>
          <w:b/>
          <w:szCs w:val="24"/>
        </w:rPr>
        <w:lastRenderedPageBreak/>
        <w:t>(c)</w:t>
      </w:r>
      <w:r w:rsidR="00971A39">
        <w:rPr>
          <w:szCs w:val="24"/>
        </w:rPr>
        <w:tab/>
      </w:r>
      <w:r w:rsidRPr="00831B9E">
        <w:rPr>
          <w:b/>
          <w:szCs w:val="24"/>
          <w:u w:val="single"/>
        </w:rPr>
        <w:t>Net Plant-in-Service</w:t>
      </w:r>
    </w:p>
    <w:p w:rsidR="00085852" w:rsidRDefault="00085852" w:rsidP="000939FA">
      <w:pPr>
        <w:pStyle w:val="Pleading2L3"/>
        <w:numPr>
          <w:ilvl w:val="0"/>
          <w:numId w:val="0"/>
        </w:numPr>
        <w:tabs>
          <w:tab w:val="num" w:pos="0"/>
        </w:tabs>
        <w:spacing w:line="240" w:lineRule="auto"/>
        <w:ind w:left="1440" w:right="720" w:hanging="720"/>
        <w:contextualSpacing/>
        <w:rPr>
          <w:szCs w:val="24"/>
        </w:rPr>
      </w:pPr>
    </w:p>
    <w:p w:rsidR="00831B9E" w:rsidRDefault="00831B9E" w:rsidP="000939FA">
      <w:pPr>
        <w:pStyle w:val="Pleading2L3"/>
        <w:numPr>
          <w:ilvl w:val="0"/>
          <w:numId w:val="0"/>
        </w:numPr>
        <w:tabs>
          <w:tab w:val="num" w:pos="0"/>
        </w:tabs>
        <w:spacing w:line="240" w:lineRule="auto"/>
        <w:ind w:left="1440" w:right="720" w:hanging="720"/>
        <w:contextualSpacing/>
        <w:rPr>
          <w:szCs w:val="24"/>
        </w:rPr>
      </w:pPr>
      <w:r>
        <w:rPr>
          <w:szCs w:val="24"/>
        </w:rPr>
        <w:tab/>
      </w:r>
      <w:r>
        <w:rPr>
          <w:szCs w:val="24"/>
        </w:rPr>
        <w:tab/>
        <w:t>Joint Petitioners agree that, as of December 31, 2014, Allied’s Net Plant in service for ratemaking purposes was $460,998 with the understanding that this Net Plant in Service value will be brought forward in Allied’s next general rate proceeding and updated for plant additions and retirements.</w:t>
      </w:r>
    </w:p>
    <w:p w:rsidR="00542146" w:rsidRDefault="00542146" w:rsidP="000939FA">
      <w:pPr>
        <w:pStyle w:val="Pleading2L3"/>
        <w:numPr>
          <w:ilvl w:val="0"/>
          <w:numId w:val="0"/>
        </w:numPr>
        <w:tabs>
          <w:tab w:val="num" w:pos="0"/>
        </w:tabs>
        <w:spacing w:line="240" w:lineRule="auto"/>
        <w:ind w:left="1440" w:right="720" w:hanging="720"/>
        <w:contextualSpacing/>
        <w:rPr>
          <w:szCs w:val="24"/>
        </w:rPr>
      </w:pPr>
    </w:p>
    <w:p w:rsidR="00831B9E" w:rsidRDefault="00831B9E" w:rsidP="000939FA">
      <w:pPr>
        <w:pStyle w:val="Pleading2L3"/>
        <w:numPr>
          <w:ilvl w:val="0"/>
          <w:numId w:val="0"/>
        </w:numPr>
        <w:tabs>
          <w:tab w:val="num" w:pos="0"/>
        </w:tabs>
        <w:spacing w:line="240" w:lineRule="auto"/>
        <w:ind w:left="1440" w:right="720" w:hanging="720"/>
        <w:contextualSpacing/>
        <w:rPr>
          <w:b/>
          <w:szCs w:val="24"/>
          <w:u w:val="single"/>
        </w:rPr>
      </w:pPr>
      <w:r>
        <w:rPr>
          <w:b/>
          <w:szCs w:val="24"/>
        </w:rPr>
        <w:t>(d)</w:t>
      </w:r>
      <w:r>
        <w:rPr>
          <w:szCs w:val="24"/>
        </w:rPr>
        <w:t xml:space="preserve"> </w:t>
      </w:r>
      <w:r w:rsidR="00077A35">
        <w:rPr>
          <w:szCs w:val="24"/>
        </w:rPr>
        <w:tab/>
      </w:r>
      <w:r>
        <w:rPr>
          <w:b/>
          <w:szCs w:val="24"/>
          <w:u w:val="single"/>
        </w:rPr>
        <w:t>New Tariff</w:t>
      </w:r>
    </w:p>
    <w:p w:rsidR="00831B9E" w:rsidRDefault="00831B9E" w:rsidP="000939FA">
      <w:pPr>
        <w:pStyle w:val="Pleading2L3"/>
        <w:numPr>
          <w:ilvl w:val="0"/>
          <w:numId w:val="0"/>
        </w:numPr>
        <w:tabs>
          <w:tab w:val="num" w:pos="0"/>
        </w:tabs>
        <w:spacing w:line="240" w:lineRule="auto"/>
        <w:ind w:left="1440" w:right="720" w:hanging="720"/>
        <w:contextualSpacing/>
        <w:rPr>
          <w:b/>
          <w:szCs w:val="24"/>
          <w:u w:val="single"/>
        </w:rPr>
      </w:pPr>
    </w:p>
    <w:p w:rsidR="00831B9E" w:rsidRDefault="00831B9E" w:rsidP="000939FA">
      <w:pPr>
        <w:pStyle w:val="Pleading2L3"/>
        <w:numPr>
          <w:ilvl w:val="0"/>
          <w:numId w:val="0"/>
        </w:numPr>
        <w:tabs>
          <w:tab w:val="num" w:pos="0"/>
        </w:tabs>
        <w:spacing w:line="240" w:lineRule="auto"/>
        <w:ind w:left="1440" w:right="720" w:hanging="720"/>
        <w:contextualSpacing/>
        <w:rPr>
          <w:szCs w:val="24"/>
        </w:rPr>
      </w:pPr>
      <w:r>
        <w:rPr>
          <w:szCs w:val="24"/>
        </w:rPr>
        <w:tab/>
      </w:r>
      <w:r>
        <w:rPr>
          <w:szCs w:val="24"/>
        </w:rPr>
        <w:tab/>
        <w:t>The Company agrees to prepare and file an updated tariff to replace its Tariff Sewer-Pa. P.U.C. No. 1 no later than the Company’s next general Rate filing.  An updated tariff will be easier for customers to understand, should reduce customer questions especially with respect to billing, and may contribute to conservation.</w:t>
      </w:r>
    </w:p>
    <w:p w:rsidR="00831B9E" w:rsidRDefault="00831B9E" w:rsidP="000939FA">
      <w:pPr>
        <w:pStyle w:val="Pleading2L3"/>
        <w:numPr>
          <w:ilvl w:val="0"/>
          <w:numId w:val="0"/>
        </w:numPr>
        <w:tabs>
          <w:tab w:val="num" w:pos="0"/>
        </w:tabs>
        <w:spacing w:line="240" w:lineRule="auto"/>
        <w:ind w:left="1440" w:right="720" w:hanging="720"/>
        <w:contextualSpacing/>
        <w:rPr>
          <w:szCs w:val="24"/>
        </w:rPr>
      </w:pPr>
    </w:p>
    <w:p w:rsidR="00831B9E" w:rsidRDefault="00831B9E" w:rsidP="000939FA">
      <w:pPr>
        <w:pStyle w:val="Pleading2L3"/>
        <w:numPr>
          <w:ilvl w:val="0"/>
          <w:numId w:val="0"/>
        </w:numPr>
        <w:tabs>
          <w:tab w:val="num" w:pos="0"/>
        </w:tabs>
        <w:spacing w:line="240" w:lineRule="auto"/>
        <w:ind w:left="1440" w:right="720" w:hanging="720"/>
        <w:contextualSpacing/>
        <w:rPr>
          <w:b/>
          <w:szCs w:val="24"/>
          <w:u w:val="single"/>
        </w:rPr>
      </w:pPr>
      <w:r>
        <w:rPr>
          <w:b/>
          <w:szCs w:val="24"/>
        </w:rPr>
        <w:t>(e)</w:t>
      </w:r>
      <w:r w:rsidR="00077A35">
        <w:rPr>
          <w:szCs w:val="24"/>
        </w:rPr>
        <w:tab/>
      </w:r>
      <w:r>
        <w:rPr>
          <w:b/>
          <w:szCs w:val="24"/>
          <w:u w:val="single"/>
        </w:rPr>
        <w:t>Affiliated Interest Filing</w:t>
      </w:r>
    </w:p>
    <w:p w:rsidR="00831B9E" w:rsidRDefault="00831B9E" w:rsidP="000939FA">
      <w:pPr>
        <w:pStyle w:val="Pleading2L3"/>
        <w:numPr>
          <w:ilvl w:val="0"/>
          <w:numId w:val="0"/>
        </w:numPr>
        <w:tabs>
          <w:tab w:val="num" w:pos="0"/>
        </w:tabs>
        <w:spacing w:line="240" w:lineRule="auto"/>
        <w:ind w:left="1440" w:right="720" w:hanging="720"/>
        <w:contextualSpacing/>
        <w:rPr>
          <w:b/>
          <w:szCs w:val="24"/>
          <w:u w:val="single"/>
        </w:rPr>
      </w:pPr>
    </w:p>
    <w:p w:rsidR="00077A35" w:rsidRDefault="00831B9E" w:rsidP="000939FA">
      <w:pPr>
        <w:pStyle w:val="Pleading2L3"/>
        <w:numPr>
          <w:ilvl w:val="0"/>
          <w:numId w:val="0"/>
        </w:numPr>
        <w:tabs>
          <w:tab w:val="num" w:pos="0"/>
        </w:tabs>
        <w:spacing w:line="240" w:lineRule="auto"/>
        <w:ind w:left="1440" w:right="720" w:hanging="720"/>
        <w:contextualSpacing/>
        <w:rPr>
          <w:szCs w:val="24"/>
        </w:rPr>
      </w:pPr>
      <w:r>
        <w:rPr>
          <w:szCs w:val="24"/>
        </w:rPr>
        <w:tab/>
      </w:r>
      <w:r>
        <w:rPr>
          <w:szCs w:val="24"/>
        </w:rPr>
        <w:tab/>
        <w:t>The Company agrees to prepare and make an affiliated interest filing within six months of the effective date of this settlement covering and updating affiliated interest arrangements, contracts and other transactions.</w:t>
      </w:r>
    </w:p>
    <w:p w:rsidR="00077A35" w:rsidRDefault="00077A35" w:rsidP="00077A35">
      <w:pPr>
        <w:pStyle w:val="Pleading2L3"/>
        <w:numPr>
          <w:ilvl w:val="0"/>
          <w:numId w:val="0"/>
        </w:numPr>
        <w:tabs>
          <w:tab w:val="num" w:pos="0"/>
        </w:tabs>
        <w:spacing w:line="360" w:lineRule="auto"/>
        <w:contextualSpacing/>
        <w:rPr>
          <w:szCs w:val="24"/>
        </w:rPr>
      </w:pPr>
    </w:p>
    <w:p w:rsidR="008648A4" w:rsidRDefault="00F926E9" w:rsidP="00077A35">
      <w:pPr>
        <w:pStyle w:val="Pleading2L3"/>
        <w:numPr>
          <w:ilvl w:val="0"/>
          <w:numId w:val="0"/>
        </w:numPr>
        <w:tabs>
          <w:tab w:val="num" w:pos="0"/>
        </w:tabs>
        <w:spacing w:line="360" w:lineRule="auto"/>
        <w:contextualSpacing/>
        <w:rPr>
          <w:szCs w:val="24"/>
        </w:rPr>
      </w:pPr>
      <w:r>
        <w:rPr>
          <w:szCs w:val="24"/>
        </w:rPr>
        <w:t>Joint Petition, pp. 4-6.</w:t>
      </w:r>
    </w:p>
    <w:p w:rsidR="000939FA" w:rsidRDefault="000939FA" w:rsidP="00077A35">
      <w:pPr>
        <w:pStyle w:val="Pleading2L3"/>
        <w:numPr>
          <w:ilvl w:val="0"/>
          <w:numId w:val="0"/>
        </w:numPr>
        <w:tabs>
          <w:tab w:val="num" w:pos="0"/>
        </w:tabs>
        <w:spacing w:line="360" w:lineRule="auto"/>
        <w:contextualSpacing/>
        <w:rPr>
          <w:szCs w:val="24"/>
        </w:rPr>
      </w:pPr>
    </w:p>
    <w:p w:rsidR="00635399" w:rsidRDefault="00735DEC" w:rsidP="00635399">
      <w:pPr>
        <w:pStyle w:val="Pleading2L3"/>
        <w:numPr>
          <w:ilvl w:val="0"/>
          <w:numId w:val="0"/>
        </w:numPr>
        <w:tabs>
          <w:tab w:val="num" w:pos="0"/>
        </w:tabs>
        <w:spacing w:line="360" w:lineRule="auto"/>
        <w:contextualSpacing/>
        <w:jc w:val="center"/>
        <w:rPr>
          <w:u w:val="single"/>
        </w:rPr>
      </w:pPr>
      <w:r w:rsidRPr="00BD1415">
        <w:rPr>
          <w:u w:val="single"/>
        </w:rPr>
        <w:t>DISCUSSION</w:t>
      </w:r>
    </w:p>
    <w:p w:rsidR="000C6B6A" w:rsidRDefault="000C6B6A" w:rsidP="00635399">
      <w:pPr>
        <w:pStyle w:val="Pleading2L3"/>
        <w:numPr>
          <w:ilvl w:val="0"/>
          <w:numId w:val="0"/>
        </w:numPr>
        <w:tabs>
          <w:tab w:val="num" w:pos="0"/>
        </w:tabs>
        <w:spacing w:line="360" w:lineRule="auto"/>
        <w:contextualSpacing/>
        <w:jc w:val="center"/>
        <w:rPr>
          <w:u w:val="single"/>
        </w:rPr>
      </w:pPr>
    </w:p>
    <w:p w:rsidR="00160089" w:rsidRDefault="00635399" w:rsidP="00971A39">
      <w:pPr>
        <w:pStyle w:val="Pleading2L3"/>
        <w:numPr>
          <w:ilvl w:val="0"/>
          <w:numId w:val="0"/>
        </w:numPr>
        <w:tabs>
          <w:tab w:val="num" w:pos="0"/>
        </w:tabs>
        <w:spacing w:line="360" w:lineRule="auto"/>
        <w:contextualSpacing/>
      </w:pPr>
      <w:r>
        <w:tab/>
      </w:r>
      <w:r>
        <w:tab/>
      </w:r>
      <w:r w:rsidR="003F5A7A">
        <w:t xml:space="preserve">It is the Commission’s policy to promote settlements.  </w:t>
      </w:r>
      <w:proofErr w:type="gramStart"/>
      <w:r w:rsidR="003B4B4C">
        <w:t>52 Pa.Code §</w:t>
      </w:r>
      <w:r w:rsidR="004D0E0C">
        <w:t>§</w:t>
      </w:r>
      <w:r w:rsidR="003B4B4C">
        <w:t xml:space="preserve"> 5.231</w:t>
      </w:r>
      <w:r w:rsidR="003F5A7A">
        <w:t xml:space="preserve"> and 69.401</w:t>
      </w:r>
      <w:r w:rsidR="003B4B4C">
        <w:t>.</w:t>
      </w:r>
      <w:proofErr w:type="gramEnd"/>
      <w:r w:rsidR="003B4B4C">
        <w:t xml:space="preserve">  </w:t>
      </w:r>
      <w:r w:rsidR="003F5A7A">
        <w:t xml:space="preserve">Settlements eliminate the time, effort and expense of litigating a matter to its ultimate conclusion, which may entail review of the Commission’s decision by the appellate courts of Pennsylvania.  Such savings benefit not only the individual parties and the Commission, but also all ratepayers of a utility, who otherwise may have to bear the financial burden such litigation necessarily entails.  The Commission has indicated that settlement results are often </w:t>
      </w:r>
      <w:r w:rsidR="008037C9">
        <w:t>p</w:t>
      </w:r>
      <w:r>
        <w:t xml:space="preserve">referable to those achieved through a fully litigated proceeding.  </w:t>
      </w:r>
      <w:proofErr w:type="gramStart"/>
      <w:r>
        <w:t>52 Pa.Code §</w:t>
      </w:r>
      <w:r w:rsidR="003F5A7A">
        <w:t>6</w:t>
      </w:r>
      <w:r>
        <w:t>9.401.</w:t>
      </w:r>
      <w:proofErr w:type="gramEnd"/>
      <w:r>
        <w:t xml:space="preserve">  </w:t>
      </w:r>
      <w:r w:rsidR="003F5A7A">
        <w:t xml:space="preserve">The Commission must, however, review proposed settlements to determine whether the terms are in the public interest.  </w:t>
      </w:r>
      <w:r w:rsidR="003F5A7A">
        <w:rPr>
          <w:i/>
        </w:rPr>
        <w:t>Pa. Pub. Util. Comm’n. v. Philadelphia Gas Works</w:t>
      </w:r>
      <w:r w:rsidR="003F5A7A">
        <w:t>, Docket No. M-00031768 (Order entered January 7, 2004);</w:t>
      </w:r>
      <w:r w:rsidR="00EB38CD" w:rsidRPr="00BD1415">
        <w:rPr>
          <w:i/>
        </w:rPr>
        <w:t xml:space="preserve"> P</w:t>
      </w:r>
      <w:r w:rsidR="00160089">
        <w:rPr>
          <w:i/>
        </w:rPr>
        <w:t xml:space="preserve">a. </w:t>
      </w:r>
      <w:r w:rsidR="00EB38CD" w:rsidRPr="00BD1415">
        <w:rPr>
          <w:i/>
        </w:rPr>
        <w:t>Pub</w:t>
      </w:r>
      <w:r w:rsidR="00160089">
        <w:rPr>
          <w:i/>
        </w:rPr>
        <w:t>.</w:t>
      </w:r>
      <w:r w:rsidR="00EB38CD" w:rsidRPr="00BD1415">
        <w:rPr>
          <w:i/>
        </w:rPr>
        <w:t xml:space="preserve"> Util</w:t>
      </w:r>
      <w:r w:rsidR="00160089">
        <w:rPr>
          <w:i/>
        </w:rPr>
        <w:t>.</w:t>
      </w:r>
      <w:r w:rsidR="00EB38CD" w:rsidRPr="00BD1415">
        <w:rPr>
          <w:i/>
        </w:rPr>
        <w:t xml:space="preserve"> Comm</w:t>
      </w:r>
      <w:r w:rsidR="00160089">
        <w:rPr>
          <w:i/>
        </w:rPr>
        <w:t>’</w:t>
      </w:r>
      <w:r w:rsidR="00EB38CD" w:rsidRPr="00BD1415">
        <w:rPr>
          <w:i/>
        </w:rPr>
        <w:t>n</w:t>
      </w:r>
      <w:r w:rsidR="00160089">
        <w:rPr>
          <w:i/>
        </w:rPr>
        <w:t>.</w:t>
      </w:r>
      <w:r w:rsidR="00EB38CD" w:rsidRPr="00BD1415">
        <w:rPr>
          <w:i/>
        </w:rPr>
        <w:t xml:space="preserve"> </w:t>
      </w:r>
      <w:proofErr w:type="gramStart"/>
      <w:r w:rsidR="00EB38CD" w:rsidRPr="00BD1415">
        <w:rPr>
          <w:i/>
        </w:rPr>
        <w:t>v</w:t>
      </w:r>
      <w:proofErr w:type="gramEnd"/>
      <w:r w:rsidR="00EB38CD" w:rsidRPr="00BD1415">
        <w:rPr>
          <w:i/>
        </w:rPr>
        <w:t xml:space="preserve">. C.S. Water and Sewer Associates, </w:t>
      </w:r>
      <w:r w:rsidR="00EB38CD" w:rsidRPr="00BD1415">
        <w:t xml:space="preserve">74 Pa. </w:t>
      </w:r>
      <w:r w:rsidR="00EB38CD" w:rsidRPr="00BD1415">
        <w:lastRenderedPageBreak/>
        <w:t xml:space="preserve">P.U.C. 767 (1991); </w:t>
      </w:r>
      <w:r w:rsidR="00EB38CD" w:rsidRPr="00BD1415">
        <w:rPr>
          <w:i/>
        </w:rPr>
        <w:t>P</w:t>
      </w:r>
      <w:r w:rsidR="00160089">
        <w:rPr>
          <w:i/>
        </w:rPr>
        <w:t>a.</w:t>
      </w:r>
      <w:r w:rsidR="00EB38CD" w:rsidRPr="00BD1415">
        <w:rPr>
          <w:i/>
        </w:rPr>
        <w:t xml:space="preserve"> Pub</w:t>
      </w:r>
      <w:r w:rsidR="003F5A7A">
        <w:rPr>
          <w:i/>
        </w:rPr>
        <w:t xml:space="preserve">. </w:t>
      </w:r>
      <w:r w:rsidR="00EB38CD" w:rsidRPr="00BD1415">
        <w:rPr>
          <w:i/>
        </w:rPr>
        <w:t>Uti</w:t>
      </w:r>
      <w:r w:rsidR="003F5A7A">
        <w:rPr>
          <w:i/>
        </w:rPr>
        <w:t>l.</w:t>
      </w:r>
      <w:r w:rsidR="00EB38CD" w:rsidRPr="00BD1415">
        <w:rPr>
          <w:i/>
        </w:rPr>
        <w:t xml:space="preserve"> Comm</w:t>
      </w:r>
      <w:r w:rsidR="003F5A7A">
        <w:rPr>
          <w:i/>
        </w:rPr>
        <w:t>’</w:t>
      </w:r>
      <w:r w:rsidR="00EB38CD" w:rsidRPr="00BD1415">
        <w:rPr>
          <w:i/>
        </w:rPr>
        <w:t>n</w:t>
      </w:r>
      <w:r w:rsidR="003F5A7A">
        <w:rPr>
          <w:i/>
        </w:rPr>
        <w:t>.</w:t>
      </w:r>
      <w:r w:rsidR="00EB38CD" w:rsidRPr="00BD1415">
        <w:rPr>
          <w:i/>
        </w:rPr>
        <w:t xml:space="preserve"> </w:t>
      </w:r>
      <w:proofErr w:type="gramStart"/>
      <w:r w:rsidR="00EB38CD" w:rsidRPr="00BD1415">
        <w:rPr>
          <w:i/>
        </w:rPr>
        <w:t>v.</w:t>
      </w:r>
      <w:r w:rsidR="003F5A7A">
        <w:rPr>
          <w:i/>
        </w:rPr>
        <w:t xml:space="preserve"> </w:t>
      </w:r>
      <w:r w:rsidR="00EB38CD" w:rsidRPr="00BD1415">
        <w:rPr>
          <w:i/>
        </w:rPr>
        <w:t>Philadelphia</w:t>
      </w:r>
      <w:proofErr w:type="gramEnd"/>
      <w:r w:rsidR="00EB38CD" w:rsidRPr="00BD1415">
        <w:rPr>
          <w:i/>
        </w:rPr>
        <w:t xml:space="preserve"> Electric Company, </w:t>
      </w:r>
      <w:r w:rsidR="00EB38CD" w:rsidRPr="00BD1415">
        <w:t>60 Pa. P.U.C. 1 (1985).</w:t>
      </w:r>
      <w:r w:rsidR="003B4B4C">
        <w:t xml:space="preserve">  </w:t>
      </w:r>
    </w:p>
    <w:p w:rsidR="00160089" w:rsidRDefault="00160089" w:rsidP="003F5A7A">
      <w:pPr>
        <w:pStyle w:val="Pleading2L3"/>
        <w:numPr>
          <w:ilvl w:val="0"/>
          <w:numId w:val="0"/>
        </w:numPr>
        <w:tabs>
          <w:tab w:val="num" w:pos="0"/>
        </w:tabs>
        <w:spacing w:line="360" w:lineRule="auto"/>
        <w:contextualSpacing/>
        <w:jc w:val="both"/>
      </w:pPr>
    </w:p>
    <w:p w:rsidR="00531170" w:rsidRDefault="00160089" w:rsidP="00971A39">
      <w:pPr>
        <w:pStyle w:val="Pleading2L3"/>
        <w:numPr>
          <w:ilvl w:val="0"/>
          <w:numId w:val="0"/>
        </w:numPr>
        <w:tabs>
          <w:tab w:val="num" w:pos="0"/>
        </w:tabs>
        <w:spacing w:line="360" w:lineRule="auto"/>
        <w:contextualSpacing/>
      </w:pPr>
      <w:r>
        <w:tab/>
      </w:r>
      <w:r>
        <w:tab/>
        <w:t xml:space="preserve">Typically, the public utility has the burden to establish the justness and reasonableness of every element of its rate increase in all proceedings </w:t>
      </w:r>
      <w:r w:rsidR="00A57E2B">
        <w:t xml:space="preserve">before the Commission </w:t>
      </w:r>
      <w:r>
        <w:t xml:space="preserve">conducted under Section 1308(d) of the Code, 66 Pa.C.S. </w:t>
      </w:r>
      <w:proofErr w:type="gramStart"/>
      <w:r>
        <w:t>§1308(d).</w:t>
      </w:r>
      <w:proofErr w:type="gramEnd"/>
      <w:r>
        <w:t xml:space="preserve">  Section 315(a) of the Code, </w:t>
      </w:r>
      <w:proofErr w:type="gramStart"/>
      <w:r>
        <w:t>66 Pa.C.S</w:t>
      </w:r>
      <w:proofErr w:type="gramEnd"/>
      <w:r>
        <w:t xml:space="preserve">. §315(a), specifies that “[i]n any proceeding upon motion of the Commission, involving any proposed or existing rate of any public utility, or in any proceeding upon complaint involving any proposed increase in rates, the burden of proof to show that the rate involved is just and reasonable shall be upon the public utility.”  See, </w:t>
      </w:r>
      <w:r>
        <w:rPr>
          <w:i/>
        </w:rPr>
        <w:t xml:space="preserve">Pa. Pub. Util. Comm’n. </w:t>
      </w:r>
      <w:proofErr w:type="gramStart"/>
      <w:r>
        <w:rPr>
          <w:i/>
        </w:rPr>
        <w:t>v</w:t>
      </w:r>
      <w:proofErr w:type="gramEnd"/>
      <w:r>
        <w:rPr>
          <w:i/>
        </w:rPr>
        <w:t xml:space="preserve"> Columbia Gas of Pennsylvania, Inc.</w:t>
      </w:r>
      <w:r>
        <w:t>, Docket No. R-2010-2215623 (Order entered October 14, 2011).  In addition, Section 332(a) of the Code, 66 Pa.C.S. §332(a), provides that the party seeking a rule or order from the Commission has the burden of proof in that proceeding.  Consequently, in this proceeding, the Joint Petitioners</w:t>
      </w:r>
      <w:r w:rsidR="00A57E2B">
        <w:t>, as the parties seeking a rule or order from the Commission,</w:t>
      </w:r>
      <w:r>
        <w:t xml:space="preserve"> have the burden of proving that the terms and conditions of the settlement are just, reasonable and in the public interest.</w:t>
      </w:r>
    </w:p>
    <w:p w:rsidR="00160089" w:rsidRDefault="00160089" w:rsidP="003F5A7A">
      <w:pPr>
        <w:pStyle w:val="Pleading2L3"/>
        <w:numPr>
          <w:ilvl w:val="0"/>
          <w:numId w:val="0"/>
        </w:numPr>
        <w:tabs>
          <w:tab w:val="num" w:pos="0"/>
        </w:tabs>
        <w:spacing w:line="360" w:lineRule="auto"/>
        <w:contextualSpacing/>
        <w:jc w:val="both"/>
      </w:pPr>
      <w:r>
        <w:t xml:space="preserve">   </w:t>
      </w:r>
    </w:p>
    <w:p w:rsidR="00EB38CD" w:rsidRPr="00BD1415" w:rsidRDefault="00531170" w:rsidP="00971A39">
      <w:pPr>
        <w:pStyle w:val="Pleading2L3"/>
        <w:numPr>
          <w:ilvl w:val="0"/>
          <w:numId w:val="0"/>
        </w:numPr>
        <w:tabs>
          <w:tab w:val="num" w:pos="0"/>
        </w:tabs>
        <w:spacing w:line="360" w:lineRule="auto"/>
        <w:contextualSpacing/>
      </w:pPr>
      <w:r>
        <w:tab/>
      </w:r>
      <w:r>
        <w:tab/>
      </w:r>
      <w:r w:rsidR="003B4B4C">
        <w:t>Upon consideration of the Joint Petition and the attached statements in support</w:t>
      </w:r>
      <w:r w:rsidR="00037174">
        <w:t xml:space="preserve"> in this matter</w:t>
      </w:r>
      <w:r w:rsidR="003B4B4C">
        <w:t xml:space="preserve">, I conclude, as more fully explained below, that the settlement is </w:t>
      </w:r>
      <w:r>
        <w:t xml:space="preserve">just, </w:t>
      </w:r>
      <w:r w:rsidR="003B4B4C">
        <w:t xml:space="preserve">reasonable and in the public interest.  Therefore, I recommend that it be approved in its entirety, without modification.   </w:t>
      </w:r>
    </w:p>
    <w:p w:rsidR="00EB38CD" w:rsidRPr="00BD1415" w:rsidRDefault="00EB38CD" w:rsidP="00EB38CD">
      <w:pPr>
        <w:jc w:val="left"/>
      </w:pPr>
    </w:p>
    <w:p w:rsidR="00735DEC" w:rsidRPr="00F24DD1" w:rsidRDefault="00F24DD1" w:rsidP="00506C61">
      <w:pPr>
        <w:ind w:firstLine="1440"/>
        <w:jc w:val="left"/>
      </w:pPr>
      <w:r>
        <w:t xml:space="preserve">The parties </w:t>
      </w:r>
      <w:r w:rsidR="00D33179">
        <w:t xml:space="preserve">conducted a significant amount of both formal and informal discovery in this proceeding, and the settlement </w:t>
      </w:r>
      <w:r w:rsidR="00735DEC" w:rsidRPr="00F24DD1">
        <w:t>reflects extensive scrutiny of the Company's financial and operating records</w:t>
      </w:r>
      <w:r w:rsidR="00D33179">
        <w:t>.</w:t>
      </w:r>
      <w:r w:rsidR="00780B9D" w:rsidRPr="00F24DD1">
        <w:t xml:space="preserve">  </w:t>
      </w:r>
      <w:r w:rsidR="006D2AE6">
        <w:t>Allied</w:t>
      </w:r>
      <w:r w:rsidR="00780B9D" w:rsidRPr="00F24DD1">
        <w:t xml:space="preserve"> Stmt. in Support</w:t>
      </w:r>
      <w:r>
        <w:t>,</w:t>
      </w:r>
      <w:r w:rsidR="00780B9D" w:rsidRPr="00F24DD1">
        <w:t xml:space="preserve"> </w:t>
      </w:r>
      <w:r w:rsidR="006A5DC3" w:rsidRPr="00F24DD1">
        <w:t>p. </w:t>
      </w:r>
      <w:r w:rsidR="00780B9D" w:rsidRPr="00F24DD1">
        <w:t>3</w:t>
      </w:r>
      <w:r w:rsidR="00D33179">
        <w:t>, ¶8. I&amp;E Stmt. in Support, p. 4, ¶8.  All parties to the settlement vigorously advocated for their respective positions during the settlement negotiations</w:t>
      </w:r>
      <w:r w:rsidR="003775E0">
        <w:t>, and the settlement resolves all issues that arose in the proceeding</w:t>
      </w:r>
      <w:r w:rsidR="00D33179">
        <w:t xml:space="preserve">.  </w:t>
      </w:r>
      <w:r w:rsidR="006D2AE6">
        <w:t>Allied</w:t>
      </w:r>
      <w:r w:rsidR="003775E0">
        <w:t xml:space="preserve"> Stmt. in </w:t>
      </w:r>
      <w:r w:rsidR="00037174">
        <w:t>S</w:t>
      </w:r>
      <w:r w:rsidR="003775E0">
        <w:t xml:space="preserve">upport, p. 5, ¶12; </w:t>
      </w:r>
      <w:r w:rsidR="00D33179">
        <w:t xml:space="preserve">I&amp;E Stmt. </w:t>
      </w:r>
      <w:r w:rsidR="00037174">
        <w:t>i</w:t>
      </w:r>
      <w:r w:rsidR="00D33179">
        <w:t xml:space="preserve">n </w:t>
      </w:r>
      <w:r w:rsidR="006D2AE6">
        <w:t>S</w:t>
      </w:r>
      <w:r w:rsidR="00D33179">
        <w:t xml:space="preserve">upport, p. 4, ¶8.  </w:t>
      </w:r>
    </w:p>
    <w:p w:rsidR="00780B9D" w:rsidRPr="00BD1415" w:rsidRDefault="00780B9D" w:rsidP="00735DEC">
      <w:pPr>
        <w:jc w:val="left"/>
      </w:pPr>
    </w:p>
    <w:p w:rsidR="00780B9D" w:rsidRDefault="00EB38CD" w:rsidP="00735DEC">
      <w:pPr>
        <w:jc w:val="left"/>
      </w:pPr>
      <w:r w:rsidRPr="00BD1415">
        <w:tab/>
      </w:r>
      <w:r w:rsidRPr="00BD1415">
        <w:tab/>
      </w:r>
      <w:r w:rsidR="00D33179" w:rsidRPr="00F24DD1">
        <w:t>The</w:t>
      </w:r>
      <w:r w:rsidR="00D33179">
        <w:t xml:space="preserve"> </w:t>
      </w:r>
      <w:r w:rsidR="00D33179" w:rsidRPr="00F24DD1">
        <w:t>parties aver that the Joint Settlement is in the public interest for a number of reasons.</w:t>
      </w:r>
      <w:r w:rsidR="00D33179">
        <w:t xml:space="preserve">  </w:t>
      </w:r>
      <w:r w:rsidR="00037174">
        <w:t xml:space="preserve">In its original filing, </w:t>
      </w:r>
      <w:proofErr w:type="gramStart"/>
      <w:r w:rsidR="00037174">
        <w:t>Allied</w:t>
      </w:r>
      <w:proofErr w:type="gramEnd"/>
      <w:r w:rsidR="00037174">
        <w:t xml:space="preserve"> sought an</w:t>
      </w:r>
      <w:r w:rsidR="005F27A8">
        <w:t xml:space="preserve"> annual increase in revenues of $154,334, which </w:t>
      </w:r>
      <w:r w:rsidR="005F27A8">
        <w:lastRenderedPageBreak/>
        <w:t>represented an increase of approximately 61% over existing rates.</w:t>
      </w:r>
      <w:r w:rsidR="00037174">
        <w:t xml:space="preserve"> </w:t>
      </w:r>
      <w:r w:rsidR="005F27A8">
        <w:t xml:space="preserve"> </w:t>
      </w:r>
      <w:r w:rsidR="00D00176">
        <w:t>The settlement provides for a</w:t>
      </w:r>
      <w:r w:rsidR="003B36D1">
        <w:t>n</w:t>
      </w:r>
      <w:r w:rsidR="00D00176">
        <w:t xml:space="preserve"> annual revenue increase </w:t>
      </w:r>
      <w:r w:rsidR="003B36D1">
        <w:t xml:space="preserve">to the company </w:t>
      </w:r>
      <w:r w:rsidR="00D00176">
        <w:t>of $80,018.00</w:t>
      </w:r>
      <w:r w:rsidR="005F27A8">
        <w:t>, or approximately 32% over existing rates</w:t>
      </w:r>
      <w:r w:rsidR="00D00176">
        <w:t xml:space="preserve">. </w:t>
      </w:r>
      <w:r w:rsidR="005F27A8">
        <w:t xml:space="preserve"> </w:t>
      </w:r>
      <w:r w:rsidR="003B36D1">
        <w:t>T</w:t>
      </w:r>
      <w:r w:rsidR="00780B9D" w:rsidRPr="00BD1415">
        <w:t xml:space="preserve">he agreed-upon </w:t>
      </w:r>
      <w:r w:rsidR="003B36D1">
        <w:t>increase</w:t>
      </w:r>
      <w:r w:rsidR="0023435A">
        <w:t>, whi</w:t>
      </w:r>
      <w:r w:rsidR="006D2AE6">
        <w:t>ch</w:t>
      </w:r>
      <w:r w:rsidR="0023435A">
        <w:t xml:space="preserve"> result</w:t>
      </w:r>
      <w:r w:rsidR="006D2AE6">
        <w:t>s</w:t>
      </w:r>
      <w:r w:rsidR="0023435A">
        <w:t xml:space="preserve"> in a lower rate increase to customers,</w:t>
      </w:r>
      <w:r w:rsidR="00780B9D" w:rsidRPr="00BD1415">
        <w:t xml:space="preserve"> is</w:t>
      </w:r>
      <w:r w:rsidR="0023435A">
        <w:t xml:space="preserve"> still</w:t>
      </w:r>
      <w:r w:rsidR="00780B9D" w:rsidRPr="00BD1415">
        <w:t xml:space="preserve"> adequate to </w:t>
      </w:r>
      <w:r w:rsidR="00D00176">
        <w:t xml:space="preserve">provide the </w:t>
      </w:r>
      <w:r w:rsidR="003775E0">
        <w:t xml:space="preserve">company </w:t>
      </w:r>
      <w:r w:rsidR="00D00176">
        <w:t xml:space="preserve">sufficient additional revenue </w:t>
      </w:r>
      <w:r w:rsidR="003775E0">
        <w:t>to</w:t>
      </w:r>
      <w:r w:rsidR="00D00176">
        <w:t xml:space="preserve"> enable it to </w:t>
      </w:r>
      <w:r w:rsidR="003775E0">
        <w:t xml:space="preserve">continue to provide </w:t>
      </w:r>
      <w:r w:rsidR="00D00176">
        <w:t xml:space="preserve">adequate and reasonable service to its customers.  </w:t>
      </w:r>
      <w:proofErr w:type="gramStart"/>
      <w:r w:rsidR="006D2AE6">
        <w:t>Allied</w:t>
      </w:r>
      <w:r w:rsidR="00D00176">
        <w:t xml:space="preserve"> Stmt. in Support, p. 7, ¶18; I&amp;E Stmt. in Support, p. 5, ¶9.</w:t>
      </w:r>
      <w:proofErr w:type="gramEnd"/>
      <w:r w:rsidR="00D00176">
        <w:t xml:space="preserve">  </w:t>
      </w:r>
      <w:r w:rsidR="006D2AE6">
        <w:t>Additionally, t</w:t>
      </w:r>
      <w:r w:rsidR="00BA058B">
        <w:t xml:space="preserve">he increase </w:t>
      </w:r>
      <w:r w:rsidR="006D7E17" w:rsidRPr="00BD1415">
        <w:t>is in the range of likely outcomes if the case were fully litigated.  OCA Stmt. in Support</w:t>
      </w:r>
      <w:r w:rsidR="0023435A">
        <w:t>,</w:t>
      </w:r>
      <w:r w:rsidR="006D7E17" w:rsidRPr="00BD1415">
        <w:t xml:space="preserve"> p. 2.</w:t>
      </w:r>
    </w:p>
    <w:p w:rsidR="009C1C29" w:rsidRPr="00BD1415" w:rsidRDefault="009C1C29" w:rsidP="00735DEC">
      <w:pPr>
        <w:jc w:val="left"/>
      </w:pPr>
    </w:p>
    <w:p w:rsidR="00BA058B" w:rsidRDefault="00EB38CD" w:rsidP="00735DEC">
      <w:pPr>
        <w:jc w:val="left"/>
      </w:pPr>
      <w:r w:rsidRPr="00BD1415">
        <w:tab/>
      </w:r>
      <w:r w:rsidRPr="00BD1415">
        <w:tab/>
      </w:r>
      <w:r w:rsidR="0023435A">
        <w:t xml:space="preserve">In addition to the </w:t>
      </w:r>
      <w:r w:rsidR="003610BE">
        <w:t xml:space="preserve">lower </w:t>
      </w:r>
      <w:r w:rsidR="0023435A">
        <w:t>r</w:t>
      </w:r>
      <w:r w:rsidR="003610BE">
        <w:t>ate</w:t>
      </w:r>
      <w:r w:rsidR="0023435A">
        <w:t xml:space="preserve"> </w:t>
      </w:r>
      <w:r w:rsidR="003610BE">
        <w:t>i</w:t>
      </w:r>
      <w:r w:rsidR="0023435A">
        <w:t xml:space="preserve">ncrease, the settlement provides for a 24 month stay-out after the settlement rates go into effect.  This provides </w:t>
      </w:r>
      <w:r w:rsidR="00BA058B">
        <w:t xml:space="preserve">both the company and its </w:t>
      </w:r>
      <w:r w:rsidR="0023435A">
        <w:t>customers with a degree of rate stability</w:t>
      </w:r>
      <w:r w:rsidR="00BA058B">
        <w:t xml:space="preserve"> over the next two years.  </w:t>
      </w:r>
      <w:proofErr w:type="gramStart"/>
      <w:r w:rsidR="006D2AE6">
        <w:t>Allied</w:t>
      </w:r>
      <w:r w:rsidR="000B3878">
        <w:t xml:space="preserve"> Stmt. in Support, p. </w:t>
      </w:r>
      <w:r w:rsidR="00BA058B">
        <w:t>7-8, ¶20; I&amp;E Stmt. in Support, p. 7, ¶14.</w:t>
      </w:r>
      <w:proofErr w:type="gramEnd"/>
    </w:p>
    <w:p w:rsidR="00BA058B" w:rsidRDefault="00BA058B" w:rsidP="00735DEC">
      <w:pPr>
        <w:jc w:val="left"/>
      </w:pPr>
    </w:p>
    <w:p w:rsidR="003610BE" w:rsidRDefault="00BA058B" w:rsidP="00735DEC">
      <w:pPr>
        <w:jc w:val="left"/>
      </w:pPr>
      <w:r>
        <w:tab/>
      </w:r>
      <w:r>
        <w:tab/>
        <w:t xml:space="preserve">The Joint Petitioners have agreed that, as of December 31, 2014, the company’s </w:t>
      </w:r>
      <w:r w:rsidR="00B07422">
        <w:t xml:space="preserve">total </w:t>
      </w:r>
      <w:r>
        <w:t xml:space="preserve">Net Plant in Service for ratemaking purposes was $460,998.  This figure will be brought forward and updated for plant additions and retirements in Allied’s next general rate proceeding.  This </w:t>
      </w:r>
      <w:r w:rsidR="002941F4">
        <w:t xml:space="preserve">determination </w:t>
      </w:r>
      <w:r>
        <w:t>will expedite and streamline future base rate proceedings and prevent unnecessary, duplicative work by the public advocates</w:t>
      </w:r>
      <w:r w:rsidR="00B07422">
        <w:t xml:space="preserve"> in analyzing future filings</w:t>
      </w:r>
      <w:r>
        <w:t>.  I&amp;E Stmt. in Support, p. 7; OCA Stmt. in Support, p. 3</w:t>
      </w:r>
      <w:r w:rsidR="003610BE">
        <w:t>.</w:t>
      </w:r>
    </w:p>
    <w:p w:rsidR="003610BE" w:rsidRDefault="003610BE" w:rsidP="00735DEC">
      <w:pPr>
        <w:jc w:val="left"/>
      </w:pPr>
    </w:p>
    <w:p w:rsidR="0023435A" w:rsidRDefault="003610BE" w:rsidP="00735DEC">
      <w:pPr>
        <w:jc w:val="left"/>
      </w:pPr>
      <w:r>
        <w:tab/>
      </w:r>
      <w:r>
        <w:tab/>
        <w:t>Allied has agreed to prepare and file, no later than its next general rate filing, an updated tariff to replace its current Tariff Sewer-Pa. P.U.C. No. 1.  The updated tariff will be</w:t>
      </w:r>
      <w:r w:rsidR="00FA747C">
        <w:t xml:space="preserve"> designed to be </w:t>
      </w:r>
      <w:r>
        <w:t xml:space="preserve">easier </w:t>
      </w:r>
      <w:r w:rsidR="00B07422">
        <w:t xml:space="preserve">for customers </w:t>
      </w:r>
      <w:r>
        <w:t>to understand</w:t>
      </w:r>
      <w:r w:rsidR="00B07422">
        <w:t xml:space="preserve"> and will assure that the company has addressed all required tariff provisions.  </w:t>
      </w:r>
      <w:proofErr w:type="gramStart"/>
      <w:r w:rsidR="00BA738E">
        <w:t>Allied</w:t>
      </w:r>
      <w:r w:rsidR="00B07422">
        <w:t xml:space="preserve"> Stmt. in Support, p. 8, ¶22; OCA Stmt. in Support, p. 4.</w:t>
      </w:r>
      <w:proofErr w:type="gramEnd"/>
      <w:r w:rsidR="0023435A">
        <w:t xml:space="preserve"> </w:t>
      </w:r>
    </w:p>
    <w:p w:rsidR="0023435A" w:rsidRPr="00BD1415" w:rsidRDefault="0023435A" w:rsidP="00735DEC">
      <w:pPr>
        <w:jc w:val="left"/>
      </w:pPr>
    </w:p>
    <w:p w:rsidR="00073D7B" w:rsidRDefault="00EB38CD" w:rsidP="00B07422">
      <w:pPr>
        <w:jc w:val="left"/>
      </w:pPr>
      <w:r w:rsidRPr="00BD1415">
        <w:tab/>
      </w:r>
      <w:r w:rsidRPr="00BD1415">
        <w:tab/>
      </w:r>
      <w:r w:rsidR="00B07422">
        <w:t xml:space="preserve">The company has agreed to prepare and file, within six months of the effective date of the settlement rates, an affiliated interest agreement that addresses and updates all of its affiliated interest arrangements.  This will allow for more efficient and accurate </w:t>
      </w:r>
      <w:r w:rsidR="00BA738E">
        <w:t xml:space="preserve">review and </w:t>
      </w:r>
      <w:r w:rsidR="00B07422">
        <w:t xml:space="preserve">scrutiny of the company’s affiliated interest relationships.  </w:t>
      </w:r>
      <w:proofErr w:type="gramStart"/>
      <w:r w:rsidR="00BA738E">
        <w:t>Allied</w:t>
      </w:r>
      <w:r w:rsidR="00B07422">
        <w:t xml:space="preserve"> Stmt. in Support, p. 8, ¶21; OCA Stmt. in Support, pp. 3-4.</w:t>
      </w:r>
      <w:proofErr w:type="gramEnd"/>
    </w:p>
    <w:p w:rsidR="00073D7B" w:rsidRDefault="00073D7B" w:rsidP="00B07422">
      <w:pPr>
        <w:jc w:val="left"/>
      </w:pPr>
    </w:p>
    <w:p w:rsidR="00E2065D" w:rsidRDefault="00073D7B" w:rsidP="00B07422">
      <w:pPr>
        <w:jc w:val="left"/>
      </w:pPr>
      <w:r>
        <w:lastRenderedPageBreak/>
        <w:tab/>
      </w:r>
      <w:r>
        <w:tab/>
        <w:t xml:space="preserve">The company currently serves one metered commercial customer.  The settlement limits the proposed increase to this customer class to approximately 47.4%.  The OSBA has concluded that this limitation is reasonable and in the best interest of the sole commercial customer.  OSBA Stmt. in Support, p.3.  </w:t>
      </w:r>
      <w:r w:rsidR="00B07422">
        <w:t xml:space="preserve">   </w:t>
      </w:r>
    </w:p>
    <w:p w:rsidR="00542146" w:rsidRPr="00BD1415" w:rsidRDefault="00542146" w:rsidP="00B07422">
      <w:pPr>
        <w:jc w:val="left"/>
      </w:pPr>
    </w:p>
    <w:p w:rsidR="00E2065D" w:rsidRPr="00BD1415" w:rsidRDefault="00CB14E6" w:rsidP="00735DEC">
      <w:pPr>
        <w:jc w:val="left"/>
      </w:pPr>
      <w:r w:rsidRPr="00BD1415">
        <w:tab/>
      </w:r>
      <w:r w:rsidRPr="00BD1415">
        <w:tab/>
      </w:r>
      <w:r w:rsidR="00B56D68">
        <w:t>As noted above, s</w:t>
      </w:r>
      <w:r w:rsidR="00E2065D" w:rsidRPr="00BD1415">
        <w:t xml:space="preserve">ettlement without further litigation reduces overall rate costs.  </w:t>
      </w:r>
      <w:r w:rsidR="00B56D68">
        <w:t xml:space="preserve">This benefits customers in the form of a lower rate increase, since prudently incurred litigation expenses are passed on the customers in rates.  By reaching a settlement at a relatively early stage of the proceeding, potentially significant </w:t>
      </w:r>
      <w:r w:rsidR="00BA738E">
        <w:t xml:space="preserve">additional </w:t>
      </w:r>
      <w:r w:rsidR="00B56D68">
        <w:t xml:space="preserve">litigation expense is avoided.  This is clearly in the public interest.  </w:t>
      </w:r>
      <w:proofErr w:type="gramStart"/>
      <w:r w:rsidR="00BA738E">
        <w:t>Allied</w:t>
      </w:r>
      <w:r w:rsidR="00B56D68">
        <w:t xml:space="preserve"> Stmt. in Support, p. 4, ¶11</w:t>
      </w:r>
      <w:r w:rsidR="00073D7B">
        <w:t>; OSBA Stmt. in Support, p.4</w:t>
      </w:r>
      <w:r w:rsidR="00B56D68">
        <w:t>.</w:t>
      </w:r>
      <w:proofErr w:type="gramEnd"/>
    </w:p>
    <w:p w:rsidR="006A3D2F" w:rsidRPr="00BD1415" w:rsidRDefault="006A3D2F" w:rsidP="00C57504">
      <w:pPr>
        <w:tabs>
          <w:tab w:val="left" w:pos="-720"/>
        </w:tabs>
        <w:suppressAutoHyphens/>
        <w:jc w:val="left"/>
      </w:pPr>
    </w:p>
    <w:p w:rsidR="00CB14E6" w:rsidRPr="00BD1415" w:rsidRDefault="00CB14E6" w:rsidP="00ED6BEB">
      <w:pPr>
        <w:jc w:val="left"/>
      </w:pPr>
      <w:r w:rsidRPr="00BD1415">
        <w:tab/>
      </w:r>
      <w:r w:rsidRPr="00BD1415">
        <w:tab/>
      </w:r>
      <w:r w:rsidR="00EB38CD" w:rsidRPr="00BD1415">
        <w:t>The Settlement dis</w:t>
      </w:r>
      <w:r w:rsidRPr="00BD1415">
        <w:t>poses of all outstanding issues</w:t>
      </w:r>
      <w:r w:rsidR="00EB38CD" w:rsidRPr="00BD1415">
        <w:t xml:space="preserve">.  </w:t>
      </w:r>
      <w:r w:rsidRPr="00BD1415">
        <w:t xml:space="preserve">In addition to the Company, two public advocates </w:t>
      </w:r>
      <w:r w:rsidR="00B56D68">
        <w:t xml:space="preserve">and the Commission’s Bureau of Investigation and Enforcement </w:t>
      </w:r>
      <w:r w:rsidRPr="00BD1415">
        <w:t>are</w:t>
      </w:r>
      <w:r w:rsidR="00EB38CD" w:rsidRPr="00BD1415">
        <w:t xml:space="preserve"> signator</w:t>
      </w:r>
      <w:r w:rsidRPr="00BD1415">
        <w:t>ies</w:t>
      </w:r>
      <w:r w:rsidR="00EB38CD" w:rsidRPr="00BD1415">
        <w:t xml:space="preserve"> to the Settlement.  The parties have worked together to address the matters important to</w:t>
      </w:r>
      <w:r w:rsidRPr="00BD1415">
        <w:t xml:space="preserve"> each</w:t>
      </w:r>
      <w:r w:rsidR="00EB38CD" w:rsidRPr="00BD1415">
        <w:t xml:space="preserve"> of them and</w:t>
      </w:r>
      <w:r w:rsidR="00542146">
        <w:t>,</w:t>
      </w:r>
      <w:r w:rsidR="00EB38CD" w:rsidRPr="00BD1415">
        <w:t xml:space="preserve"> in</w:t>
      </w:r>
      <w:r w:rsidR="00ED6BEB">
        <w:t xml:space="preserve"> so</w:t>
      </w:r>
      <w:r w:rsidR="00EB38CD" w:rsidRPr="00BD1415">
        <w:t xml:space="preserve"> doing, have addressed</w:t>
      </w:r>
      <w:r w:rsidRPr="00BD1415">
        <w:t xml:space="preserve"> all of</w:t>
      </w:r>
      <w:r w:rsidR="00EB38CD" w:rsidRPr="00BD1415">
        <w:t xml:space="preserve"> the issues </w:t>
      </w:r>
      <w:r w:rsidR="00ED6BEB">
        <w:t>that</w:t>
      </w:r>
      <w:r w:rsidR="00EB38CD" w:rsidRPr="00BD1415">
        <w:t xml:space="preserve"> are important in this case.  The public interest is served by the disposition of the case represented by the </w:t>
      </w:r>
      <w:r w:rsidR="00ED6BEB">
        <w:t>Joint Petition</w:t>
      </w:r>
      <w:r w:rsidRPr="00BD1415">
        <w:t xml:space="preserve"> for the reasons set forth above</w:t>
      </w:r>
      <w:r w:rsidR="00EB38CD" w:rsidRPr="00BD1415">
        <w:t xml:space="preserve">, and </w:t>
      </w:r>
      <w:r w:rsidRPr="00BD1415">
        <w:t xml:space="preserve">the Joint Petition </w:t>
      </w:r>
      <w:r w:rsidR="00C57504" w:rsidRPr="00BD1415">
        <w:t>is</w:t>
      </w:r>
      <w:r w:rsidR="00ED6BEB">
        <w:t>, therefore,</w:t>
      </w:r>
      <w:r w:rsidR="00C57504" w:rsidRPr="00BD1415">
        <w:t xml:space="preserve"> recommended for</w:t>
      </w:r>
      <w:r w:rsidR="00EB38CD" w:rsidRPr="00BD1415">
        <w:t xml:space="preserve"> approv</w:t>
      </w:r>
      <w:r w:rsidR="00C57504" w:rsidRPr="00BD1415">
        <w:t>al</w:t>
      </w:r>
      <w:r w:rsidR="00EB38CD" w:rsidRPr="00BD1415">
        <w:t xml:space="preserve"> without modification.</w:t>
      </w:r>
    </w:p>
    <w:p w:rsidR="00CB14E6" w:rsidRPr="00BD1415" w:rsidRDefault="00CB14E6" w:rsidP="00EB38CD">
      <w:pPr>
        <w:jc w:val="left"/>
      </w:pPr>
    </w:p>
    <w:p w:rsidR="00EB38CD" w:rsidRPr="00BD1415" w:rsidRDefault="00CB14E6" w:rsidP="00CB14E6">
      <w:pPr>
        <w:rPr>
          <w:u w:val="single"/>
        </w:rPr>
      </w:pPr>
      <w:r w:rsidRPr="00BD1415">
        <w:rPr>
          <w:u w:val="single"/>
        </w:rPr>
        <w:t>CONCLUSIONS OF LAW</w:t>
      </w:r>
    </w:p>
    <w:p w:rsidR="00CB14E6" w:rsidRPr="00BD1415" w:rsidRDefault="00CB14E6" w:rsidP="00CB14E6">
      <w:pPr>
        <w:rPr>
          <w:u w:val="single"/>
        </w:rPr>
      </w:pPr>
    </w:p>
    <w:p w:rsidR="00CB14E6" w:rsidRPr="00BD1415" w:rsidRDefault="00CB14E6" w:rsidP="00CB14E6">
      <w:pPr>
        <w:tabs>
          <w:tab w:val="left" w:pos="-720"/>
        </w:tabs>
        <w:suppressAutoHyphens/>
        <w:ind w:firstLine="1440"/>
        <w:jc w:val="left"/>
      </w:pPr>
      <w:r w:rsidRPr="00BD1415">
        <w:t>1.</w:t>
      </w:r>
      <w:r w:rsidRPr="00BD1415">
        <w:tab/>
        <w:t xml:space="preserve">Every rate made, demanded, or received by any public utility, or by any two or more public utilities jointly, shall be just and reasonable, and in conformity with </w:t>
      </w:r>
      <w:r w:rsidR="00E346CD">
        <w:t xml:space="preserve">the </w:t>
      </w:r>
      <w:r w:rsidRPr="00BD1415">
        <w:t xml:space="preserve">regulations or orders of the commission.  </w:t>
      </w:r>
      <w:proofErr w:type="gramStart"/>
      <w:r w:rsidR="001127B7">
        <w:t>66 Pa.C.S.</w:t>
      </w:r>
      <w:proofErr w:type="gramEnd"/>
      <w:r w:rsidR="001127B7">
        <w:t xml:space="preserve"> § </w:t>
      </w:r>
      <w:r w:rsidRPr="00BD1415">
        <w:t>1301.</w:t>
      </w:r>
    </w:p>
    <w:p w:rsidR="00CB14E6" w:rsidRPr="00BD1415" w:rsidRDefault="00CB14E6" w:rsidP="00CB14E6">
      <w:pPr>
        <w:tabs>
          <w:tab w:val="left" w:pos="-720"/>
        </w:tabs>
        <w:suppressAutoHyphens/>
        <w:ind w:firstLine="1440"/>
        <w:jc w:val="left"/>
        <w:rPr>
          <w:spacing w:val="-3"/>
        </w:rPr>
      </w:pPr>
    </w:p>
    <w:p w:rsidR="00CB14E6" w:rsidRPr="00ED6BEB" w:rsidRDefault="00CB14E6" w:rsidP="00CB14E6">
      <w:pPr>
        <w:tabs>
          <w:tab w:val="left" w:pos="-720"/>
        </w:tabs>
        <w:suppressAutoHyphens/>
        <w:ind w:firstLine="1440"/>
        <w:jc w:val="left"/>
        <w:rPr>
          <w:spacing w:val="-3"/>
        </w:rPr>
      </w:pPr>
      <w:r w:rsidRPr="00BD1415">
        <w:rPr>
          <w:spacing w:val="-3"/>
        </w:rPr>
        <w:t>2.</w:t>
      </w:r>
      <w:r w:rsidRPr="00BD1415">
        <w:rPr>
          <w:spacing w:val="-3"/>
        </w:rPr>
        <w:tab/>
      </w:r>
      <w:r w:rsidR="00ED6BEB">
        <w:rPr>
          <w:spacing w:val="-3"/>
        </w:rPr>
        <w:t xml:space="preserve">The benchmark for determining the acceptability of a settlement is whether the terms and conditions contained therein are in the public interest.  </w:t>
      </w:r>
      <w:r w:rsidR="00CD5FDB">
        <w:rPr>
          <w:i/>
        </w:rPr>
        <w:t>Pa. Pub. Util. Comm’n. v. Philadelphia Gas Works</w:t>
      </w:r>
      <w:r w:rsidR="00CD5FDB">
        <w:t xml:space="preserve">, Docket No. M-00031768 (Order entered January 7, 2004); </w:t>
      </w:r>
      <w:r w:rsidR="00ED6BEB">
        <w:rPr>
          <w:i/>
          <w:spacing w:val="-3"/>
        </w:rPr>
        <w:t>Warner v. GTE North, Inc.</w:t>
      </w:r>
      <w:r w:rsidR="00ED6BEB">
        <w:rPr>
          <w:spacing w:val="-3"/>
        </w:rPr>
        <w:t xml:space="preserve">, Docket No. C-00902815 (Opinion and Order entered April 1, 1996); </w:t>
      </w:r>
      <w:r w:rsidR="00ED6BEB">
        <w:rPr>
          <w:i/>
          <w:spacing w:val="-3"/>
        </w:rPr>
        <w:t xml:space="preserve">Pa. Pub. Util. Comm’n. </w:t>
      </w:r>
      <w:proofErr w:type="gramStart"/>
      <w:r w:rsidR="00ED6BEB">
        <w:rPr>
          <w:i/>
          <w:spacing w:val="-3"/>
        </w:rPr>
        <w:t>v</w:t>
      </w:r>
      <w:proofErr w:type="gramEnd"/>
      <w:r w:rsidR="00ED6BEB">
        <w:rPr>
          <w:i/>
          <w:spacing w:val="-3"/>
        </w:rPr>
        <w:t>. CS Water and Sewer Associates</w:t>
      </w:r>
      <w:r w:rsidR="00ED6BEB">
        <w:rPr>
          <w:spacing w:val="-3"/>
        </w:rPr>
        <w:t>, 74 Pa. PUC 767 (1991).</w:t>
      </w:r>
    </w:p>
    <w:p w:rsidR="00CB14E6" w:rsidRPr="00BD1415" w:rsidRDefault="00CB14E6" w:rsidP="00CB14E6">
      <w:pPr>
        <w:widowControl w:val="0"/>
        <w:ind w:firstLine="1440"/>
        <w:jc w:val="left"/>
      </w:pPr>
    </w:p>
    <w:p w:rsidR="00E346CD" w:rsidRDefault="00CB14E6" w:rsidP="00CB14E6">
      <w:pPr>
        <w:widowControl w:val="0"/>
        <w:ind w:firstLine="1440"/>
        <w:jc w:val="left"/>
      </w:pPr>
      <w:r w:rsidRPr="00BD1415">
        <w:lastRenderedPageBreak/>
        <w:t>3.</w:t>
      </w:r>
      <w:r w:rsidRPr="00BD1415">
        <w:tab/>
      </w:r>
      <w:r w:rsidR="00E346CD">
        <w:t>T</w:t>
      </w:r>
      <w:r w:rsidRPr="00BD1415">
        <w:t>he</w:t>
      </w:r>
      <w:r w:rsidR="00E346CD" w:rsidRPr="00E346CD">
        <w:t xml:space="preserve"> </w:t>
      </w:r>
      <w:r w:rsidR="00E346CD">
        <w:t>party seeking a rule or order from the Commission has the burden of proof in that proceeding.</w:t>
      </w:r>
      <w:r w:rsidR="000B3878">
        <w:t xml:space="preserve"> </w:t>
      </w:r>
      <w:r w:rsidR="00E346CD">
        <w:t xml:space="preserve"> </w:t>
      </w:r>
      <w:proofErr w:type="gramStart"/>
      <w:r w:rsidR="00CD5FDB">
        <w:t>66 Pa.C.S.</w:t>
      </w:r>
      <w:proofErr w:type="gramEnd"/>
      <w:r w:rsidR="00CD5FDB">
        <w:t xml:space="preserve"> §332(a).  </w:t>
      </w:r>
      <w:r w:rsidR="00E346CD">
        <w:t xml:space="preserve">  </w:t>
      </w:r>
      <w:r w:rsidRPr="00BD1415">
        <w:t xml:space="preserve"> </w:t>
      </w:r>
    </w:p>
    <w:p w:rsidR="00CD5FDB" w:rsidRDefault="00CD5FDB" w:rsidP="00CB14E6">
      <w:pPr>
        <w:widowControl w:val="0"/>
        <w:ind w:firstLine="1440"/>
        <w:jc w:val="left"/>
      </w:pPr>
    </w:p>
    <w:p w:rsidR="00E346CD" w:rsidRDefault="00E346CD" w:rsidP="00E346CD">
      <w:pPr>
        <w:pStyle w:val="Pleading2L3"/>
        <w:numPr>
          <w:ilvl w:val="0"/>
          <w:numId w:val="0"/>
        </w:numPr>
        <w:tabs>
          <w:tab w:val="num" w:pos="0"/>
        </w:tabs>
        <w:spacing w:line="360" w:lineRule="auto"/>
        <w:contextualSpacing/>
        <w:jc w:val="both"/>
      </w:pPr>
      <w:r>
        <w:tab/>
      </w:r>
      <w:r>
        <w:tab/>
        <w:t>4.</w:t>
      </w:r>
      <w:r>
        <w:tab/>
      </w:r>
      <w:r w:rsidR="00CD5FDB">
        <w:t>T</w:t>
      </w:r>
      <w:r>
        <w:t>he Joint Petitioners, as the parties seeking a rule or order from the Commission</w:t>
      </w:r>
      <w:r w:rsidR="00CD5FDB">
        <w:t xml:space="preserve"> in this proceeding</w:t>
      </w:r>
      <w:r>
        <w:t>, have the burden of proving that the terms and conditions of the settlement are just, reasonable and in the public interest.</w:t>
      </w:r>
      <w:r w:rsidR="00CD5FDB">
        <w:t xml:space="preserve">  </w:t>
      </w:r>
      <w:proofErr w:type="gramStart"/>
      <w:r w:rsidR="00CD5FDB">
        <w:t>66 Pa.C.S.</w:t>
      </w:r>
      <w:proofErr w:type="gramEnd"/>
      <w:r w:rsidR="00CD5FDB">
        <w:t xml:space="preserve"> §332(a).  </w:t>
      </w:r>
    </w:p>
    <w:p w:rsidR="00542146" w:rsidRPr="00BD1415" w:rsidRDefault="00542146" w:rsidP="00CB14E6">
      <w:pPr>
        <w:widowControl w:val="0"/>
        <w:ind w:firstLine="1440"/>
        <w:jc w:val="left"/>
      </w:pPr>
    </w:p>
    <w:p w:rsidR="00CB14E6" w:rsidRPr="00BD1415" w:rsidRDefault="004542C4" w:rsidP="00CB14E6">
      <w:pPr>
        <w:widowControl w:val="0"/>
        <w:ind w:firstLine="1440"/>
        <w:jc w:val="left"/>
      </w:pPr>
      <w:r>
        <w:t>5</w:t>
      </w:r>
      <w:r w:rsidR="00CB14E6" w:rsidRPr="00BD1415">
        <w:t>.</w:t>
      </w:r>
      <w:r w:rsidR="00CB14E6" w:rsidRPr="00BD1415">
        <w:tab/>
        <w:t xml:space="preserve">Evidence adduced by a utility to meet this burden must be substantial.  </w:t>
      </w:r>
      <w:r w:rsidR="00CB14E6" w:rsidRPr="00BD1415">
        <w:rPr>
          <w:i/>
        </w:rPr>
        <w:t>Lower Frederick Twp. v. Pennsylvania Pub. Util. Comm’n</w:t>
      </w:r>
      <w:r w:rsidR="006A5DC3">
        <w:t xml:space="preserve">, 409 A.2d 505, 507 (Pa. Cmwlth. </w:t>
      </w:r>
      <w:r w:rsidR="00CB14E6" w:rsidRPr="00BD1415">
        <w:t>1980).</w:t>
      </w:r>
    </w:p>
    <w:p w:rsidR="00CB14E6" w:rsidRPr="00BD1415" w:rsidRDefault="00CB14E6" w:rsidP="00CB14E6">
      <w:pPr>
        <w:widowControl w:val="0"/>
        <w:ind w:firstLine="1440"/>
        <w:jc w:val="left"/>
      </w:pPr>
    </w:p>
    <w:p w:rsidR="00CB14E6" w:rsidRPr="00BD1415" w:rsidRDefault="00CB14E6" w:rsidP="00CB14E6">
      <w:pPr>
        <w:widowControl w:val="0"/>
        <w:jc w:val="left"/>
        <w:rPr>
          <w:spacing w:val="-3"/>
        </w:rPr>
      </w:pPr>
      <w:r w:rsidRPr="00BD1415">
        <w:tab/>
      </w:r>
      <w:r w:rsidRPr="00BD1415">
        <w:tab/>
      </w:r>
      <w:r w:rsidR="004542C4">
        <w:t>6</w:t>
      </w:r>
      <w:r w:rsidRPr="00BD1415">
        <w:tab/>
      </w:r>
      <w:r w:rsidRPr="00BD1415">
        <w:rPr>
          <w:spacing w:val="-3"/>
        </w:rPr>
        <w:t>The Commission's policy is to promote settlements.  52 Pa. Code</w:t>
      </w:r>
      <w:r w:rsidR="00FB373A">
        <w:rPr>
          <w:spacing w:val="-3"/>
        </w:rPr>
        <w:t xml:space="preserve"> </w:t>
      </w:r>
      <w:r w:rsidR="00FB373A">
        <w:t>§§ 5.231 and</w:t>
      </w:r>
      <w:r w:rsidRPr="00BD1415">
        <w:rPr>
          <w:spacing w:val="-3"/>
        </w:rPr>
        <w:t xml:space="preserve"> 69.401</w:t>
      </w:r>
      <w:r w:rsidR="00D97DE9" w:rsidRPr="00BD1415">
        <w:rPr>
          <w:spacing w:val="-3"/>
        </w:rPr>
        <w:t>.</w:t>
      </w:r>
    </w:p>
    <w:p w:rsidR="00CB14E6" w:rsidRPr="00BD1415" w:rsidRDefault="00CB14E6" w:rsidP="00CB14E6">
      <w:pPr>
        <w:jc w:val="left"/>
        <w:rPr>
          <w:spacing w:val="-3"/>
        </w:rPr>
      </w:pPr>
    </w:p>
    <w:p w:rsidR="00CB14E6" w:rsidRPr="00BD1415" w:rsidRDefault="00CB14E6" w:rsidP="00D97DE9">
      <w:pPr>
        <w:tabs>
          <w:tab w:val="left" w:pos="-720"/>
        </w:tabs>
        <w:suppressAutoHyphens/>
        <w:jc w:val="left"/>
      </w:pPr>
      <w:r w:rsidRPr="00BD1415">
        <w:rPr>
          <w:spacing w:val="-3"/>
        </w:rPr>
        <w:tab/>
      </w:r>
      <w:r w:rsidR="00D97DE9" w:rsidRPr="00BD1415">
        <w:rPr>
          <w:spacing w:val="-3"/>
        </w:rPr>
        <w:tab/>
      </w:r>
      <w:r w:rsidR="004542C4">
        <w:rPr>
          <w:spacing w:val="-3"/>
        </w:rPr>
        <w:t>7</w:t>
      </w:r>
      <w:r w:rsidR="00ED6BEB">
        <w:t>.</w:t>
      </w:r>
      <w:r w:rsidR="00ED6BEB">
        <w:tab/>
        <w:t>The Joint Petition f</w:t>
      </w:r>
      <w:r w:rsidR="00D97DE9" w:rsidRPr="00BD1415">
        <w:t xml:space="preserve">or Settlement is </w:t>
      </w:r>
      <w:r w:rsidR="004542C4">
        <w:t xml:space="preserve">just, reasonable and </w:t>
      </w:r>
      <w:r w:rsidR="00D97DE9" w:rsidRPr="00BD1415">
        <w:t>in the public interest.</w:t>
      </w:r>
    </w:p>
    <w:p w:rsidR="00ED6BEB" w:rsidRDefault="00ED6BEB" w:rsidP="00CB14E6">
      <w:pPr>
        <w:pStyle w:val="FootnoteText"/>
        <w:spacing w:line="360" w:lineRule="auto"/>
        <w:jc w:val="center"/>
        <w:rPr>
          <w:sz w:val="24"/>
          <w:szCs w:val="24"/>
          <w:u w:val="single"/>
        </w:rPr>
      </w:pPr>
    </w:p>
    <w:p w:rsidR="00CB14E6" w:rsidRPr="000A1646" w:rsidRDefault="00CB14E6" w:rsidP="00CB14E6">
      <w:pPr>
        <w:pStyle w:val="FootnoteText"/>
        <w:spacing w:line="360" w:lineRule="auto"/>
        <w:jc w:val="center"/>
        <w:rPr>
          <w:sz w:val="24"/>
          <w:szCs w:val="24"/>
          <w:u w:val="single"/>
        </w:rPr>
      </w:pPr>
      <w:r w:rsidRPr="000A1646">
        <w:rPr>
          <w:sz w:val="24"/>
          <w:szCs w:val="24"/>
          <w:u w:val="single"/>
        </w:rPr>
        <w:t>ORDER</w:t>
      </w:r>
    </w:p>
    <w:p w:rsidR="000A1646" w:rsidRPr="00BD1415" w:rsidRDefault="000A1646" w:rsidP="00CB14E6">
      <w:pPr>
        <w:pStyle w:val="FootnoteText"/>
        <w:spacing w:line="360" w:lineRule="auto"/>
        <w:jc w:val="center"/>
        <w:rPr>
          <w:sz w:val="24"/>
          <w:szCs w:val="24"/>
        </w:rPr>
      </w:pPr>
    </w:p>
    <w:p w:rsidR="00CB14E6" w:rsidRPr="00BD1415" w:rsidRDefault="00CB14E6" w:rsidP="00CB14E6">
      <w:pPr>
        <w:pStyle w:val="FootnoteText"/>
        <w:spacing w:line="360" w:lineRule="auto"/>
        <w:rPr>
          <w:sz w:val="24"/>
          <w:szCs w:val="24"/>
        </w:rPr>
      </w:pPr>
      <w:r w:rsidRPr="00BD1415">
        <w:rPr>
          <w:sz w:val="24"/>
          <w:szCs w:val="24"/>
        </w:rPr>
        <w:tab/>
      </w:r>
      <w:r w:rsidRPr="00BD1415">
        <w:rPr>
          <w:sz w:val="24"/>
          <w:szCs w:val="24"/>
        </w:rPr>
        <w:tab/>
        <w:t>THEREFORE,</w:t>
      </w:r>
    </w:p>
    <w:p w:rsidR="00CB14E6" w:rsidRPr="00BD1415" w:rsidRDefault="00CB14E6" w:rsidP="00CB14E6">
      <w:pPr>
        <w:pStyle w:val="FootnoteText"/>
        <w:spacing w:line="360" w:lineRule="auto"/>
        <w:rPr>
          <w:sz w:val="24"/>
          <w:szCs w:val="24"/>
        </w:rPr>
      </w:pPr>
    </w:p>
    <w:p w:rsidR="00CB14E6" w:rsidRPr="00BD1415" w:rsidRDefault="00CB14E6" w:rsidP="00CB14E6">
      <w:pPr>
        <w:pStyle w:val="FootnoteText"/>
        <w:spacing w:line="360" w:lineRule="auto"/>
        <w:rPr>
          <w:sz w:val="24"/>
          <w:szCs w:val="24"/>
        </w:rPr>
      </w:pPr>
      <w:r w:rsidRPr="00BD1415">
        <w:rPr>
          <w:sz w:val="24"/>
          <w:szCs w:val="24"/>
        </w:rPr>
        <w:tab/>
      </w:r>
      <w:r w:rsidRPr="00BD1415">
        <w:rPr>
          <w:sz w:val="24"/>
          <w:szCs w:val="24"/>
        </w:rPr>
        <w:tab/>
        <w:t xml:space="preserve">IT IS </w:t>
      </w:r>
      <w:r w:rsidR="00D97DE9" w:rsidRPr="00BD1415">
        <w:rPr>
          <w:sz w:val="24"/>
          <w:szCs w:val="24"/>
        </w:rPr>
        <w:t>RECOMMENDED</w:t>
      </w:r>
      <w:r w:rsidRPr="00BD1415">
        <w:rPr>
          <w:sz w:val="24"/>
          <w:szCs w:val="24"/>
        </w:rPr>
        <w:t>:</w:t>
      </w:r>
    </w:p>
    <w:p w:rsidR="00CB14E6" w:rsidRPr="00BD1415" w:rsidRDefault="00CB14E6" w:rsidP="00CB14E6">
      <w:pPr>
        <w:pStyle w:val="FootnoteText"/>
        <w:spacing w:line="360" w:lineRule="auto"/>
        <w:rPr>
          <w:sz w:val="24"/>
          <w:szCs w:val="24"/>
        </w:rPr>
      </w:pPr>
    </w:p>
    <w:p w:rsidR="00CB14E6" w:rsidRPr="00BD1415" w:rsidRDefault="00CB14E6" w:rsidP="00CB14E6">
      <w:pPr>
        <w:pStyle w:val="FootnoteText"/>
        <w:spacing w:line="360" w:lineRule="auto"/>
        <w:rPr>
          <w:sz w:val="24"/>
          <w:szCs w:val="24"/>
        </w:rPr>
      </w:pPr>
      <w:r w:rsidRPr="00BD1415">
        <w:rPr>
          <w:sz w:val="24"/>
          <w:szCs w:val="24"/>
        </w:rPr>
        <w:tab/>
      </w:r>
      <w:r w:rsidRPr="00BD1415">
        <w:rPr>
          <w:sz w:val="24"/>
          <w:szCs w:val="24"/>
        </w:rPr>
        <w:tab/>
        <w:t>1.</w:t>
      </w:r>
      <w:r w:rsidRPr="00BD1415">
        <w:rPr>
          <w:sz w:val="24"/>
          <w:szCs w:val="24"/>
        </w:rPr>
        <w:tab/>
        <w:t xml:space="preserve">That </w:t>
      </w:r>
      <w:r w:rsidR="00B56D68">
        <w:rPr>
          <w:sz w:val="24"/>
          <w:szCs w:val="24"/>
        </w:rPr>
        <w:t>Allied Utility Services, Inc.</w:t>
      </w:r>
      <w:r w:rsidRPr="00BD1415">
        <w:rPr>
          <w:sz w:val="24"/>
          <w:szCs w:val="24"/>
        </w:rPr>
        <w:t xml:space="preserve"> shall not place into effect the rules, rates and regulations contained in Supplement </w:t>
      </w:r>
      <w:r w:rsidR="00D97DE9" w:rsidRPr="00BD1415">
        <w:rPr>
          <w:sz w:val="24"/>
          <w:szCs w:val="24"/>
        </w:rPr>
        <w:t xml:space="preserve">No, </w:t>
      </w:r>
      <w:r w:rsidR="00B56D68">
        <w:rPr>
          <w:sz w:val="24"/>
          <w:szCs w:val="24"/>
        </w:rPr>
        <w:t>12</w:t>
      </w:r>
      <w:r w:rsidR="00D97DE9" w:rsidRPr="00BD1415">
        <w:rPr>
          <w:sz w:val="24"/>
          <w:szCs w:val="24"/>
        </w:rPr>
        <w:t xml:space="preserve"> to </w:t>
      </w:r>
      <w:r w:rsidRPr="00BD1415">
        <w:rPr>
          <w:sz w:val="24"/>
          <w:szCs w:val="24"/>
        </w:rPr>
        <w:t>its T</w:t>
      </w:r>
      <w:r w:rsidR="00F91972">
        <w:rPr>
          <w:sz w:val="24"/>
          <w:szCs w:val="24"/>
        </w:rPr>
        <w:t xml:space="preserve">ariff </w:t>
      </w:r>
      <w:r w:rsidR="00B56D68">
        <w:rPr>
          <w:sz w:val="24"/>
          <w:szCs w:val="24"/>
        </w:rPr>
        <w:t>Wastew</w:t>
      </w:r>
      <w:r w:rsidR="00D97DE9" w:rsidRPr="00BD1415">
        <w:rPr>
          <w:sz w:val="24"/>
          <w:szCs w:val="24"/>
        </w:rPr>
        <w:t>ater</w:t>
      </w:r>
      <w:r w:rsidR="00F91972">
        <w:rPr>
          <w:sz w:val="24"/>
          <w:szCs w:val="24"/>
        </w:rPr>
        <w:t xml:space="preserve"> -</w:t>
      </w:r>
      <w:r w:rsidRPr="00BD1415">
        <w:rPr>
          <w:sz w:val="24"/>
          <w:szCs w:val="24"/>
        </w:rPr>
        <w:t xml:space="preserve"> Pa. P.U.C. No. </w:t>
      </w:r>
      <w:r w:rsidR="00B56D68">
        <w:rPr>
          <w:sz w:val="24"/>
          <w:szCs w:val="24"/>
        </w:rPr>
        <w:t>1</w:t>
      </w:r>
      <w:r w:rsidRPr="00BD1415">
        <w:rPr>
          <w:sz w:val="24"/>
          <w:szCs w:val="24"/>
        </w:rPr>
        <w:t>, as filed.</w:t>
      </w:r>
    </w:p>
    <w:p w:rsidR="00CB14E6" w:rsidRPr="00BD1415" w:rsidRDefault="00CB14E6" w:rsidP="00CB14E6">
      <w:pPr>
        <w:pStyle w:val="FootnoteText"/>
        <w:spacing w:line="360" w:lineRule="auto"/>
        <w:rPr>
          <w:sz w:val="24"/>
          <w:szCs w:val="24"/>
        </w:rPr>
      </w:pPr>
    </w:p>
    <w:p w:rsidR="00CB14E6" w:rsidRPr="00BD1415" w:rsidRDefault="00CB14E6" w:rsidP="00CB14E6">
      <w:pPr>
        <w:pStyle w:val="FootnoteText"/>
        <w:spacing w:line="360" w:lineRule="auto"/>
        <w:rPr>
          <w:sz w:val="24"/>
          <w:szCs w:val="24"/>
        </w:rPr>
      </w:pPr>
      <w:r w:rsidRPr="00BD1415">
        <w:rPr>
          <w:sz w:val="24"/>
          <w:szCs w:val="24"/>
        </w:rPr>
        <w:tab/>
      </w:r>
      <w:r w:rsidRPr="00BD1415">
        <w:rPr>
          <w:sz w:val="24"/>
          <w:szCs w:val="24"/>
        </w:rPr>
        <w:tab/>
        <w:t>2.</w:t>
      </w:r>
      <w:r w:rsidRPr="00BD1415">
        <w:rPr>
          <w:sz w:val="24"/>
          <w:szCs w:val="24"/>
        </w:rPr>
        <w:tab/>
        <w:t xml:space="preserve">That the Joint Petition for </w:t>
      </w:r>
      <w:r w:rsidR="00FA747C">
        <w:rPr>
          <w:sz w:val="24"/>
          <w:szCs w:val="24"/>
        </w:rPr>
        <w:t xml:space="preserve">Full </w:t>
      </w:r>
      <w:r w:rsidR="00D97DE9" w:rsidRPr="00BD1415">
        <w:rPr>
          <w:sz w:val="24"/>
          <w:szCs w:val="24"/>
        </w:rPr>
        <w:t>Set</w:t>
      </w:r>
      <w:r w:rsidRPr="00BD1415">
        <w:rPr>
          <w:sz w:val="24"/>
          <w:szCs w:val="24"/>
        </w:rPr>
        <w:t>tlement</w:t>
      </w:r>
      <w:r w:rsidR="00FA747C">
        <w:rPr>
          <w:sz w:val="24"/>
          <w:szCs w:val="24"/>
        </w:rPr>
        <w:t xml:space="preserve"> of Rate Investigation</w:t>
      </w:r>
      <w:r w:rsidRPr="00BD1415">
        <w:rPr>
          <w:sz w:val="24"/>
          <w:szCs w:val="24"/>
        </w:rPr>
        <w:t xml:space="preserve">, signed by </w:t>
      </w:r>
      <w:r w:rsidR="00B56D68">
        <w:rPr>
          <w:sz w:val="24"/>
          <w:szCs w:val="24"/>
        </w:rPr>
        <w:t>Allied Utility Services, Inc.</w:t>
      </w:r>
      <w:r w:rsidRPr="00BD1415">
        <w:rPr>
          <w:sz w:val="24"/>
          <w:szCs w:val="24"/>
        </w:rPr>
        <w:t>,</w:t>
      </w:r>
      <w:r w:rsidR="00B56D68">
        <w:rPr>
          <w:sz w:val="24"/>
          <w:szCs w:val="24"/>
        </w:rPr>
        <w:t xml:space="preserve"> </w:t>
      </w:r>
      <w:r w:rsidR="00D97DE9" w:rsidRPr="00BD1415">
        <w:rPr>
          <w:sz w:val="24"/>
          <w:szCs w:val="24"/>
        </w:rPr>
        <w:t>the Commission's Bureau of Investigation and Enforcement,</w:t>
      </w:r>
      <w:r w:rsidRPr="00BD1415">
        <w:rPr>
          <w:sz w:val="24"/>
          <w:szCs w:val="24"/>
        </w:rPr>
        <w:t xml:space="preserve"> </w:t>
      </w:r>
      <w:r w:rsidR="00D97DE9" w:rsidRPr="00BD1415">
        <w:rPr>
          <w:sz w:val="24"/>
          <w:szCs w:val="24"/>
        </w:rPr>
        <w:t xml:space="preserve">the </w:t>
      </w:r>
      <w:r w:rsidRPr="00BD1415">
        <w:rPr>
          <w:sz w:val="24"/>
          <w:szCs w:val="24"/>
        </w:rPr>
        <w:t>Office of Consumer Advocate</w:t>
      </w:r>
      <w:r w:rsidR="00B56D68">
        <w:rPr>
          <w:sz w:val="24"/>
          <w:szCs w:val="24"/>
        </w:rPr>
        <w:t xml:space="preserve"> and the Office of Small Business </w:t>
      </w:r>
      <w:proofErr w:type="gramStart"/>
      <w:r w:rsidR="00B56D68">
        <w:rPr>
          <w:sz w:val="24"/>
          <w:szCs w:val="24"/>
        </w:rPr>
        <w:t>Advocate</w:t>
      </w:r>
      <w:r w:rsidRPr="00BD1415">
        <w:rPr>
          <w:sz w:val="24"/>
          <w:szCs w:val="24"/>
        </w:rPr>
        <w:t>,</w:t>
      </w:r>
      <w:proofErr w:type="gramEnd"/>
      <w:r w:rsidRPr="00BD1415">
        <w:rPr>
          <w:sz w:val="24"/>
          <w:szCs w:val="24"/>
        </w:rPr>
        <w:t xml:space="preserve"> is approved without modification.</w:t>
      </w:r>
    </w:p>
    <w:p w:rsidR="00CB14E6" w:rsidRDefault="00CB14E6" w:rsidP="00CB14E6">
      <w:pPr>
        <w:pStyle w:val="FootnoteText"/>
        <w:spacing w:line="360" w:lineRule="auto"/>
        <w:rPr>
          <w:sz w:val="24"/>
          <w:szCs w:val="24"/>
        </w:rPr>
      </w:pPr>
      <w:bookmarkStart w:id="0" w:name="_GoBack"/>
      <w:bookmarkEnd w:id="0"/>
      <w:r w:rsidRPr="00BD1415">
        <w:rPr>
          <w:sz w:val="24"/>
          <w:szCs w:val="24"/>
        </w:rPr>
        <w:lastRenderedPageBreak/>
        <w:tab/>
      </w:r>
      <w:r w:rsidRPr="00BD1415">
        <w:rPr>
          <w:sz w:val="24"/>
          <w:szCs w:val="24"/>
        </w:rPr>
        <w:tab/>
        <w:t>3.</w:t>
      </w:r>
      <w:r w:rsidRPr="00BD1415">
        <w:rPr>
          <w:sz w:val="24"/>
          <w:szCs w:val="24"/>
        </w:rPr>
        <w:tab/>
        <w:t xml:space="preserve">That </w:t>
      </w:r>
      <w:r w:rsidR="00B56D68">
        <w:rPr>
          <w:sz w:val="24"/>
          <w:szCs w:val="24"/>
        </w:rPr>
        <w:t>Allied Utility Services, Inc.</w:t>
      </w:r>
      <w:r w:rsidRPr="00BD1415">
        <w:rPr>
          <w:sz w:val="24"/>
          <w:szCs w:val="24"/>
        </w:rPr>
        <w:t xml:space="preserve"> is authorized to file a revised supplement to </w:t>
      </w:r>
      <w:r w:rsidR="00D97DE9" w:rsidRPr="00BD1415">
        <w:rPr>
          <w:sz w:val="24"/>
          <w:szCs w:val="24"/>
        </w:rPr>
        <w:t>Supplement No</w:t>
      </w:r>
      <w:r w:rsidR="00B56D68">
        <w:rPr>
          <w:sz w:val="24"/>
          <w:szCs w:val="24"/>
        </w:rPr>
        <w:t>.</w:t>
      </w:r>
      <w:r w:rsidR="00D97DE9" w:rsidRPr="00BD1415">
        <w:rPr>
          <w:sz w:val="24"/>
          <w:szCs w:val="24"/>
        </w:rPr>
        <w:t xml:space="preserve"> </w:t>
      </w:r>
      <w:r w:rsidR="00AF1F6D">
        <w:rPr>
          <w:sz w:val="24"/>
          <w:szCs w:val="24"/>
        </w:rPr>
        <w:t>12</w:t>
      </w:r>
      <w:r w:rsidR="00D97DE9" w:rsidRPr="00BD1415">
        <w:rPr>
          <w:sz w:val="24"/>
          <w:szCs w:val="24"/>
        </w:rPr>
        <w:t xml:space="preserve"> to its Tariff-W</w:t>
      </w:r>
      <w:r w:rsidR="00AF1F6D">
        <w:rPr>
          <w:sz w:val="24"/>
          <w:szCs w:val="24"/>
        </w:rPr>
        <w:t>astew</w:t>
      </w:r>
      <w:r w:rsidR="00D97DE9" w:rsidRPr="00BD1415">
        <w:rPr>
          <w:sz w:val="24"/>
          <w:szCs w:val="24"/>
        </w:rPr>
        <w:t xml:space="preserve">ater Pa. P.U.C. No. </w:t>
      </w:r>
      <w:r w:rsidR="00AF1F6D">
        <w:rPr>
          <w:sz w:val="24"/>
          <w:szCs w:val="24"/>
        </w:rPr>
        <w:t>1</w:t>
      </w:r>
      <w:r w:rsidR="00F7460B" w:rsidRPr="00BD1415">
        <w:rPr>
          <w:sz w:val="24"/>
          <w:szCs w:val="24"/>
        </w:rPr>
        <w:t xml:space="preserve">, consistent with the proposed tariff attached to the Joint Petition for </w:t>
      </w:r>
      <w:r w:rsidR="00FA747C">
        <w:rPr>
          <w:sz w:val="24"/>
          <w:szCs w:val="24"/>
        </w:rPr>
        <w:t xml:space="preserve">Full </w:t>
      </w:r>
      <w:r w:rsidR="00F7460B" w:rsidRPr="00BD1415">
        <w:rPr>
          <w:sz w:val="24"/>
          <w:szCs w:val="24"/>
        </w:rPr>
        <w:t>Settlement</w:t>
      </w:r>
      <w:r w:rsidR="00FA747C">
        <w:rPr>
          <w:sz w:val="24"/>
          <w:szCs w:val="24"/>
        </w:rPr>
        <w:t xml:space="preserve"> of Rate Investigation</w:t>
      </w:r>
      <w:r w:rsidR="00F7460B" w:rsidRPr="00BD1415">
        <w:rPr>
          <w:sz w:val="24"/>
          <w:szCs w:val="24"/>
        </w:rPr>
        <w:t xml:space="preserve"> as Appendix A,</w:t>
      </w:r>
      <w:r w:rsidRPr="00BD1415">
        <w:rPr>
          <w:sz w:val="24"/>
          <w:szCs w:val="24"/>
        </w:rPr>
        <w:t xml:space="preserve"> to become effective </w:t>
      </w:r>
      <w:r w:rsidR="00AF1F6D">
        <w:rPr>
          <w:sz w:val="24"/>
          <w:szCs w:val="24"/>
        </w:rPr>
        <w:t xml:space="preserve">on one day’s notice after entry of a Commission </w:t>
      </w:r>
      <w:r w:rsidR="00A64A4A">
        <w:rPr>
          <w:sz w:val="24"/>
          <w:szCs w:val="24"/>
        </w:rPr>
        <w:t>O</w:t>
      </w:r>
      <w:r w:rsidR="00AF1F6D">
        <w:rPr>
          <w:sz w:val="24"/>
          <w:szCs w:val="24"/>
        </w:rPr>
        <w:t>rder approving the Joint Petition for Settlement for bills rendered on or after the effective date</w:t>
      </w:r>
      <w:r w:rsidR="00D97DE9" w:rsidRPr="00BD1415">
        <w:rPr>
          <w:sz w:val="24"/>
          <w:szCs w:val="24"/>
        </w:rPr>
        <w:t>.</w:t>
      </w:r>
    </w:p>
    <w:p w:rsidR="000B3878" w:rsidRDefault="000B3878" w:rsidP="00CB14E6">
      <w:pPr>
        <w:pStyle w:val="FootnoteText"/>
        <w:spacing w:line="360" w:lineRule="auto"/>
        <w:rPr>
          <w:sz w:val="24"/>
          <w:szCs w:val="24"/>
        </w:rPr>
      </w:pPr>
    </w:p>
    <w:p w:rsidR="004542C4" w:rsidRPr="00BD1415" w:rsidRDefault="004542C4" w:rsidP="00CB14E6">
      <w:pPr>
        <w:pStyle w:val="FootnoteText"/>
        <w:spacing w:line="360" w:lineRule="auto"/>
        <w:rPr>
          <w:sz w:val="24"/>
          <w:szCs w:val="24"/>
        </w:rPr>
      </w:pPr>
      <w:r>
        <w:rPr>
          <w:sz w:val="24"/>
          <w:szCs w:val="24"/>
        </w:rPr>
        <w:tab/>
      </w:r>
      <w:r>
        <w:rPr>
          <w:sz w:val="24"/>
          <w:szCs w:val="24"/>
        </w:rPr>
        <w:tab/>
        <w:t>4.</w:t>
      </w:r>
      <w:r>
        <w:rPr>
          <w:sz w:val="24"/>
          <w:szCs w:val="24"/>
        </w:rPr>
        <w:tab/>
        <w:t xml:space="preserve">That the proof of revenues statement attached as Appendix B to the Joint Petition for Full Settlement of Rate Investigation </w:t>
      </w:r>
      <w:r w:rsidR="00A64A4A">
        <w:rPr>
          <w:sz w:val="24"/>
          <w:szCs w:val="24"/>
        </w:rPr>
        <w:t>is approved.</w:t>
      </w:r>
    </w:p>
    <w:p w:rsidR="00CB14E6" w:rsidRPr="00BD1415" w:rsidRDefault="00CB14E6" w:rsidP="00CB14E6">
      <w:pPr>
        <w:pStyle w:val="FootnoteText"/>
        <w:spacing w:line="360" w:lineRule="auto"/>
        <w:rPr>
          <w:sz w:val="24"/>
          <w:szCs w:val="24"/>
        </w:rPr>
      </w:pPr>
    </w:p>
    <w:p w:rsidR="00CB14E6" w:rsidRPr="00A64A4A" w:rsidRDefault="00CB14E6" w:rsidP="00A64A4A">
      <w:pPr>
        <w:pStyle w:val="FootnoteText"/>
        <w:spacing w:line="360" w:lineRule="auto"/>
        <w:rPr>
          <w:sz w:val="24"/>
          <w:szCs w:val="24"/>
        </w:rPr>
      </w:pPr>
      <w:r w:rsidRPr="00BD1415">
        <w:rPr>
          <w:sz w:val="24"/>
          <w:szCs w:val="24"/>
        </w:rPr>
        <w:tab/>
      </w:r>
      <w:r w:rsidRPr="00BD1415">
        <w:rPr>
          <w:sz w:val="24"/>
          <w:szCs w:val="24"/>
        </w:rPr>
        <w:tab/>
      </w:r>
      <w:r w:rsidR="00A64A4A">
        <w:rPr>
          <w:sz w:val="24"/>
          <w:szCs w:val="24"/>
        </w:rPr>
        <w:t>5</w:t>
      </w:r>
      <w:r w:rsidRPr="00BD1415">
        <w:t>.</w:t>
      </w:r>
      <w:r w:rsidRPr="00BD1415">
        <w:tab/>
      </w:r>
      <w:r w:rsidRPr="00A64A4A">
        <w:rPr>
          <w:sz w:val="24"/>
          <w:szCs w:val="24"/>
        </w:rPr>
        <w:t xml:space="preserve">That the </w:t>
      </w:r>
      <w:r w:rsidR="00AF1F6D" w:rsidRPr="00A64A4A">
        <w:rPr>
          <w:sz w:val="24"/>
          <w:szCs w:val="24"/>
        </w:rPr>
        <w:t xml:space="preserve">formal </w:t>
      </w:r>
      <w:r w:rsidRPr="00A64A4A">
        <w:rPr>
          <w:sz w:val="24"/>
          <w:szCs w:val="24"/>
        </w:rPr>
        <w:t>complaint filed by the Office of Consumer Advocate</w:t>
      </w:r>
      <w:r w:rsidR="00D97DE9" w:rsidRPr="00A64A4A">
        <w:rPr>
          <w:sz w:val="24"/>
          <w:szCs w:val="24"/>
        </w:rPr>
        <w:t xml:space="preserve"> </w:t>
      </w:r>
      <w:r w:rsidR="00AF1F6D" w:rsidRPr="00A64A4A">
        <w:rPr>
          <w:sz w:val="24"/>
          <w:szCs w:val="24"/>
        </w:rPr>
        <w:t xml:space="preserve">at Docket No. C-2015-2502642 be marked </w:t>
      </w:r>
      <w:r w:rsidRPr="00A64A4A">
        <w:rPr>
          <w:sz w:val="24"/>
          <w:szCs w:val="24"/>
        </w:rPr>
        <w:t xml:space="preserve">satisfied </w:t>
      </w:r>
      <w:r w:rsidR="00AF1F6D" w:rsidRPr="00A64A4A">
        <w:rPr>
          <w:sz w:val="24"/>
          <w:szCs w:val="24"/>
        </w:rPr>
        <w:t xml:space="preserve">and closed </w:t>
      </w:r>
      <w:r w:rsidRPr="00A64A4A">
        <w:rPr>
          <w:sz w:val="24"/>
          <w:szCs w:val="24"/>
        </w:rPr>
        <w:t>consistent with this Order.</w:t>
      </w:r>
    </w:p>
    <w:p w:rsidR="00AF1F6D" w:rsidRDefault="00AF1F6D" w:rsidP="00CB14E6">
      <w:pPr>
        <w:jc w:val="left"/>
      </w:pPr>
    </w:p>
    <w:p w:rsidR="00AF1F6D" w:rsidRPr="00BD1415" w:rsidRDefault="00AF1F6D" w:rsidP="00AF1F6D">
      <w:pPr>
        <w:jc w:val="left"/>
      </w:pPr>
      <w:r>
        <w:tab/>
      </w:r>
      <w:r>
        <w:tab/>
      </w:r>
      <w:r w:rsidR="00A64A4A">
        <w:t>6</w:t>
      </w:r>
      <w:r w:rsidRPr="00BD1415">
        <w:t>.</w:t>
      </w:r>
      <w:r w:rsidRPr="00BD1415">
        <w:tab/>
        <w:t xml:space="preserve">That the </w:t>
      </w:r>
      <w:r>
        <w:t xml:space="preserve">formal </w:t>
      </w:r>
      <w:r w:rsidRPr="00BD1415">
        <w:t xml:space="preserve">complaint filed by the Office of </w:t>
      </w:r>
      <w:r>
        <w:t xml:space="preserve">Small Business </w:t>
      </w:r>
      <w:r w:rsidRPr="00BD1415">
        <w:t xml:space="preserve">Advocate </w:t>
      </w:r>
      <w:r>
        <w:t xml:space="preserve">at </w:t>
      </w:r>
      <w:r w:rsidR="00FA747C">
        <w:t>D</w:t>
      </w:r>
      <w:r>
        <w:t xml:space="preserve">ocket No. C-2015-2506329 be marked </w:t>
      </w:r>
      <w:r w:rsidRPr="00BD1415">
        <w:t xml:space="preserve">satisfied </w:t>
      </w:r>
      <w:r>
        <w:t xml:space="preserve">and closed </w:t>
      </w:r>
      <w:r w:rsidRPr="00BD1415">
        <w:t>consistent with this Order.</w:t>
      </w:r>
    </w:p>
    <w:p w:rsidR="00AF1F6D" w:rsidRDefault="00AF1F6D" w:rsidP="00CB14E6">
      <w:pPr>
        <w:jc w:val="left"/>
      </w:pPr>
    </w:p>
    <w:p w:rsidR="00A64A4A" w:rsidRPr="00BD1415" w:rsidRDefault="00A64A4A" w:rsidP="00CB14E6">
      <w:pPr>
        <w:jc w:val="left"/>
      </w:pPr>
      <w:r>
        <w:tab/>
      </w:r>
      <w:r>
        <w:tab/>
        <w:t>7</w:t>
      </w:r>
      <w:r w:rsidRPr="00BD1415">
        <w:t>.</w:t>
      </w:r>
      <w:r w:rsidRPr="00BD1415">
        <w:tab/>
        <w:t>Th</w:t>
      </w:r>
      <w:r>
        <w:t xml:space="preserve">at, upon Commission approval of the tariff supplement filed by Allied Utility Services, Inc. in compliance with this Recommended Decision, the </w:t>
      </w:r>
      <w:r w:rsidRPr="00BD1415">
        <w:t>investigation at Docket Number R-201</w:t>
      </w:r>
      <w:r>
        <w:t>5-2479955</w:t>
      </w:r>
      <w:r w:rsidRPr="00BD1415">
        <w:t xml:space="preserve"> </w:t>
      </w:r>
      <w:proofErr w:type="gramStart"/>
      <w:r w:rsidRPr="00BD1415">
        <w:t>be</w:t>
      </w:r>
      <w:proofErr w:type="gramEnd"/>
      <w:r w:rsidRPr="00BD1415">
        <w:t xml:space="preserve"> marked closed.</w:t>
      </w:r>
    </w:p>
    <w:p w:rsidR="00CB14E6" w:rsidRPr="00BD1415" w:rsidRDefault="00CB14E6" w:rsidP="00CB14E6">
      <w:pPr>
        <w:jc w:val="left"/>
      </w:pPr>
    </w:p>
    <w:p w:rsidR="00CB14E6" w:rsidRPr="00BD1415" w:rsidRDefault="00CB14E6" w:rsidP="00CB14E6">
      <w:pPr>
        <w:jc w:val="left"/>
      </w:pPr>
    </w:p>
    <w:p w:rsidR="00CB14E6" w:rsidRPr="006A5DC3" w:rsidRDefault="00CB14E6" w:rsidP="006A5DC3">
      <w:pPr>
        <w:tabs>
          <w:tab w:val="left" w:pos="900"/>
          <w:tab w:val="left" w:pos="1440"/>
          <w:tab w:val="left" w:pos="5040"/>
          <w:tab w:val="left" w:pos="5760"/>
          <w:tab w:val="left" w:pos="9360"/>
        </w:tabs>
        <w:spacing w:line="240" w:lineRule="auto"/>
        <w:contextualSpacing/>
        <w:jc w:val="left"/>
        <w:rPr>
          <w:u w:val="single"/>
        </w:rPr>
      </w:pPr>
      <w:r w:rsidRPr="00BD1415">
        <w:t xml:space="preserve">Dated: </w:t>
      </w:r>
      <w:r w:rsidR="006A5DC3">
        <w:tab/>
      </w:r>
      <w:r w:rsidR="00AF1F6D">
        <w:rPr>
          <w:u w:val="single"/>
        </w:rPr>
        <w:t>February 26, 2016</w:t>
      </w:r>
      <w:r w:rsidR="006A5DC3">
        <w:tab/>
      </w:r>
      <w:r w:rsidR="006A5DC3">
        <w:rPr>
          <w:u w:val="single"/>
        </w:rPr>
        <w:tab/>
        <w:t>/s/</w:t>
      </w:r>
      <w:r w:rsidR="006A5DC3">
        <w:rPr>
          <w:u w:val="single"/>
        </w:rPr>
        <w:tab/>
      </w:r>
    </w:p>
    <w:p w:rsidR="00CB14E6" w:rsidRPr="00BD1415" w:rsidRDefault="00CB14E6" w:rsidP="00CB14E6">
      <w:pPr>
        <w:spacing w:line="240" w:lineRule="auto"/>
        <w:contextualSpacing/>
        <w:jc w:val="left"/>
      </w:pPr>
      <w:r w:rsidRPr="00BD1415">
        <w:tab/>
      </w:r>
      <w:r w:rsidRPr="00BD1415">
        <w:tab/>
      </w:r>
      <w:r w:rsidRPr="00BD1415">
        <w:tab/>
      </w:r>
      <w:r w:rsidRPr="00BD1415">
        <w:tab/>
      </w:r>
      <w:r w:rsidRPr="00BD1415">
        <w:tab/>
      </w:r>
      <w:r w:rsidRPr="00BD1415">
        <w:tab/>
      </w:r>
      <w:r w:rsidRPr="00BD1415">
        <w:tab/>
      </w:r>
      <w:r w:rsidR="00AF1F6D">
        <w:t>Steven K. Haas</w:t>
      </w:r>
    </w:p>
    <w:p w:rsidR="00CB14E6" w:rsidRPr="00BD1415" w:rsidRDefault="00CB14E6" w:rsidP="00806037">
      <w:pPr>
        <w:spacing w:line="240" w:lineRule="auto"/>
        <w:contextualSpacing/>
        <w:jc w:val="left"/>
      </w:pPr>
      <w:r w:rsidRPr="00BD1415">
        <w:tab/>
      </w:r>
      <w:r w:rsidRPr="00BD1415">
        <w:tab/>
      </w:r>
      <w:r w:rsidRPr="00BD1415">
        <w:tab/>
      </w:r>
      <w:r w:rsidRPr="00BD1415">
        <w:tab/>
      </w:r>
      <w:r w:rsidRPr="00BD1415">
        <w:tab/>
      </w:r>
      <w:r w:rsidRPr="00BD1415">
        <w:tab/>
      </w:r>
      <w:r w:rsidRPr="00BD1415">
        <w:tab/>
        <w:t>Administrative Law Judge</w:t>
      </w:r>
      <w:r w:rsidR="00806037">
        <w:tab/>
      </w:r>
    </w:p>
    <w:p w:rsidR="00E2065D" w:rsidRPr="00BD1415" w:rsidRDefault="00E2065D" w:rsidP="00EB38CD">
      <w:pPr>
        <w:jc w:val="left"/>
      </w:pPr>
    </w:p>
    <w:sectPr w:rsidR="00E2065D" w:rsidRPr="00BD1415" w:rsidSect="00735DE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A93" w:rsidRDefault="005E2A93" w:rsidP="00735DEC">
      <w:pPr>
        <w:spacing w:line="240" w:lineRule="auto"/>
      </w:pPr>
      <w:r>
        <w:separator/>
      </w:r>
    </w:p>
  </w:endnote>
  <w:endnote w:type="continuationSeparator" w:id="0">
    <w:p w:rsidR="005E2A93" w:rsidRDefault="005E2A93" w:rsidP="00735D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15644"/>
      <w:docPartObj>
        <w:docPartGallery w:val="Page Numbers (Bottom of Page)"/>
        <w:docPartUnique/>
      </w:docPartObj>
    </w:sdtPr>
    <w:sdtEndPr>
      <w:rPr>
        <w:noProof/>
        <w:sz w:val="20"/>
        <w:szCs w:val="20"/>
      </w:rPr>
    </w:sdtEndPr>
    <w:sdtContent>
      <w:p w:rsidR="00735DEC" w:rsidRPr="007D710C" w:rsidRDefault="00735DEC" w:rsidP="007D710C">
        <w:pPr>
          <w:pStyle w:val="Footer"/>
          <w:rPr>
            <w:sz w:val="20"/>
            <w:szCs w:val="20"/>
          </w:rPr>
        </w:pPr>
        <w:r w:rsidRPr="007D710C">
          <w:rPr>
            <w:sz w:val="20"/>
            <w:szCs w:val="20"/>
          </w:rPr>
          <w:fldChar w:fldCharType="begin"/>
        </w:r>
        <w:r w:rsidRPr="007D710C">
          <w:rPr>
            <w:sz w:val="20"/>
            <w:szCs w:val="20"/>
          </w:rPr>
          <w:instrText xml:space="preserve"> PAGE   \* MERGEFORMAT </w:instrText>
        </w:r>
        <w:r w:rsidRPr="007D710C">
          <w:rPr>
            <w:sz w:val="20"/>
            <w:szCs w:val="20"/>
          </w:rPr>
          <w:fldChar w:fldCharType="separate"/>
        </w:r>
        <w:r w:rsidR="009C1C29">
          <w:rPr>
            <w:noProof/>
            <w:sz w:val="20"/>
            <w:szCs w:val="20"/>
          </w:rPr>
          <w:t>2</w:t>
        </w:r>
        <w:r w:rsidRPr="007D710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A93" w:rsidRDefault="005E2A93" w:rsidP="00735DEC">
      <w:pPr>
        <w:spacing w:line="240" w:lineRule="auto"/>
      </w:pPr>
      <w:r>
        <w:separator/>
      </w:r>
    </w:p>
  </w:footnote>
  <w:footnote w:type="continuationSeparator" w:id="0">
    <w:p w:rsidR="005E2A93" w:rsidRDefault="005E2A93" w:rsidP="00735DE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1B0B"/>
    <w:multiLevelType w:val="hybridMultilevel"/>
    <w:tmpl w:val="8006F108"/>
    <w:lvl w:ilvl="0" w:tplc="2744DB9C">
      <w:start w:val="1"/>
      <w:numFmt w:val="low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DE276C6"/>
    <w:multiLevelType w:val="hybridMultilevel"/>
    <w:tmpl w:val="0F2428D2"/>
    <w:lvl w:ilvl="0" w:tplc="CA3CF55A">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3">
    <w:nsid w:val="541E5A4D"/>
    <w:multiLevelType w:val="hybridMultilevel"/>
    <w:tmpl w:val="F2C2A39E"/>
    <w:lvl w:ilvl="0" w:tplc="BC12B73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FF"/>
    <w:rsid w:val="00001E3A"/>
    <w:rsid w:val="00001EF6"/>
    <w:rsid w:val="000028EA"/>
    <w:rsid w:val="00003D11"/>
    <w:rsid w:val="00004AA3"/>
    <w:rsid w:val="00005558"/>
    <w:rsid w:val="000079FE"/>
    <w:rsid w:val="0001037A"/>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8FF"/>
    <w:rsid w:val="00035BB8"/>
    <w:rsid w:val="00037174"/>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A94"/>
    <w:rsid w:val="000634EB"/>
    <w:rsid w:val="00063801"/>
    <w:rsid w:val="0006752D"/>
    <w:rsid w:val="000676B2"/>
    <w:rsid w:val="00067CBC"/>
    <w:rsid w:val="00070AA1"/>
    <w:rsid w:val="00071A36"/>
    <w:rsid w:val="00072595"/>
    <w:rsid w:val="00072D46"/>
    <w:rsid w:val="00073BE1"/>
    <w:rsid w:val="00073D7B"/>
    <w:rsid w:val="00074065"/>
    <w:rsid w:val="00076092"/>
    <w:rsid w:val="000779CB"/>
    <w:rsid w:val="00077A35"/>
    <w:rsid w:val="00082363"/>
    <w:rsid w:val="000852E5"/>
    <w:rsid w:val="00085852"/>
    <w:rsid w:val="00085A52"/>
    <w:rsid w:val="00086449"/>
    <w:rsid w:val="000902E3"/>
    <w:rsid w:val="0009043B"/>
    <w:rsid w:val="00091F08"/>
    <w:rsid w:val="0009220F"/>
    <w:rsid w:val="00092B4E"/>
    <w:rsid w:val="00092E44"/>
    <w:rsid w:val="0009318F"/>
    <w:rsid w:val="000931F7"/>
    <w:rsid w:val="00093562"/>
    <w:rsid w:val="000939FA"/>
    <w:rsid w:val="00093E43"/>
    <w:rsid w:val="00094E20"/>
    <w:rsid w:val="00096B3F"/>
    <w:rsid w:val="00097D77"/>
    <w:rsid w:val="000A1646"/>
    <w:rsid w:val="000A2192"/>
    <w:rsid w:val="000A4102"/>
    <w:rsid w:val="000A4551"/>
    <w:rsid w:val="000A4E7A"/>
    <w:rsid w:val="000A5DEA"/>
    <w:rsid w:val="000A652E"/>
    <w:rsid w:val="000A734C"/>
    <w:rsid w:val="000A770B"/>
    <w:rsid w:val="000B1BFC"/>
    <w:rsid w:val="000B2D0C"/>
    <w:rsid w:val="000B339A"/>
    <w:rsid w:val="000B3878"/>
    <w:rsid w:val="000B7111"/>
    <w:rsid w:val="000C0311"/>
    <w:rsid w:val="000C2696"/>
    <w:rsid w:val="000C2A2B"/>
    <w:rsid w:val="000C34F3"/>
    <w:rsid w:val="000C4163"/>
    <w:rsid w:val="000C5976"/>
    <w:rsid w:val="000C6B6A"/>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0DC"/>
    <w:rsid w:val="000F51F1"/>
    <w:rsid w:val="000F678B"/>
    <w:rsid w:val="000F680A"/>
    <w:rsid w:val="000F78BE"/>
    <w:rsid w:val="0010080E"/>
    <w:rsid w:val="00101858"/>
    <w:rsid w:val="001021FB"/>
    <w:rsid w:val="001023B9"/>
    <w:rsid w:val="00102A77"/>
    <w:rsid w:val="0010420D"/>
    <w:rsid w:val="00104518"/>
    <w:rsid w:val="00106EE8"/>
    <w:rsid w:val="001077F1"/>
    <w:rsid w:val="001127B7"/>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0F69"/>
    <w:rsid w:val="0014105E"/>
    <w:rsid w:val="00143142"/>
    <w:rsid w:val="00143C25"/>
    <w:rsid w:val="00144D2D"/>
    <w:rsid w:val="00145327"/>
    <w:rsid w:val="00150084"/>
    <w:rsid w:val="00150BAA"/>
    <w:rsid w:val="00150C49"/>
    <w:rsid w:val="00152794"/>
    <w:rsid w:val="00152FD8"/>
    <w:rsid w:val="001537E3"/>
    <w:rsid w:val="00153C39"/>
    <w:rsid w:val="00154F0C"/>
    <w:rsid w:val="0015569F"/>
    <w:rsid w:val="00155E87"/>
    <w:rsid w:val="0015737B"/>
    <w:rsid w:val="00157490"/>
    <w:rsid w:val="00157E46"/>
    <w:rsid w:val="00160089"/>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8F9"/>
    <w:rsid w:val="00174F7E"/>
    <w:rsid w:val="0017580D"/>
    <w:rsid w:val="00175F76"/>
    <w:rsid w:val="00176C44"/>
    <w:rsid w:val="00181AB1"/>
    <w:rsid w:val="001857EA"/>
    <w:rsid w:val="00186328"/>
    <w:rsid w:val="001868F5"/>
    <w:rsid w:val="00186F37"/>
    <w:rsid w:val="00190B2C"/>
    <w:rsid w:val="00191522"/>
    <w:rsid w:val="00192EB5"/>
    <w:rsid w:val="001937F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9B8"/>
    <w:rsid w:val="001B3572"/>
    <w:rsid w:val="001B3736"/>
    <w:rsid w:val="001B3D6F"/>
    <w:rsid w:val="001B477B"/>
    <w:rsid w:val="001B4B2B"/>
    <w:rsid w:val="001B4EC8"/>
    <w:rsid w:val="001B6470"/>
    <w:rsid w:val="001B760E"/>
    <w:rsid w:val="001C0410"/>
    <w:rsid w:val="001C054D"/>
    <w:rsid w:val="001C2234"/>
    <w:rsid w:val="001C537D"/>
    <w:rsid w:val="001C54F3"/>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69C2"/>
    <w:rsid w:val="0021162B"/>
    <w:rsid w:val="002125E4"/>
    <w:rsid w:val="002129D5"/>
    <w:rsid w:val="002131B7"/>
    <w:rsid w:val="00214E49"/>
    <w:rsid w:val="00215381"/>
    <w:rsid w:val="00215BA6"/>
    <w:rsid w:val="002163B7"/>
    <w:rsid w:val="00216C32"/>
    <w:rsid w:val="00216F76"/>
    <w:rsid w:val="0021750E"/>
    <w:rsid w:val="002178EA"/>
    <w:rsid w:val="0022017F"/>
    <w:rsid w:val="002205EC"/>
    <w:rsid w:val="00220D97"/>
    <w:rsid w:val="00221A88"/>
    <w:rsid w:val="00221B24"/>
    <w:rsid w:val="002241D0"/>
    <w:rsid w:val="00224756"/>
    <w:rsid w:val="0022478F"/>
    <w:rsid w:val="00227A4A"/>
    <w:rsid w:val="00230CC6"/>
    <w:rsid w:val="002337D7"/>
    <w:rsid w:val="0023435A"/>
    <w:rsid w:val="00234DEB"/>
    <w:rsid w:val="0023584A"/>
    <w:rsid w:val="00236C44"/>
    <w:rsid w:val="00240291"/>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49E4"/>
    <w:rsid w:val="002655AB"/>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41F4"/>
    <w:rsid w:val="00296B74"/>
    <w:rsid w:val="00297286"/>
    <w:rsid w:val="002A05C6"/>
    <w:rsid w:val="002A1522"/>
    <w:rsid w:val="002A17F4"/>
    <w:rsid w:val="002A4E7E"/>
    <w:rsid w:val="002A5F4D"/>
    <w:rsid w:val="002A70E9"/>
    <w:rsid w:val="002A7A0A"/>
    <w:rsid w:val="002B0D61"/>
    <w:rsid w:val="002B2AF4"/>
    <w:rsid w:val="002B3E20"/>
    <w:rsid w:val="002B4FE2"/>
    <w:rsid w:val="002B541A"/>
    <w:rsid w:val="002B754D"/>
    <w:rsid w:val="002C0694"/>
    <w:rsid w:val="002C1023"/>
    <w:rsid w:val="002C4F02"/>
    <w:rsid w:val="002C59ED"/>
    <w:rsid w:val="002C69AD"/>
    <w:rsid w:val="002D0E4D"/>
    <w:rsid w:val="002D11F2"/>
    <w:rsid w:val="002D1E71"/>
    <w:rsid w:val="002D29B0"/>
    <w:rsid w:val="002D6B36"/>
    <w:rsid w:val="002D7136"/>
    <w:rsid w:val="002D7978"/>
    <w:rsid w:val="002E000D"/>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4D44"/>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0F5"/>
    <w:rsid w:val="00346679"/>
    <w:rsid w:val="003470E8"/>
    <w:rsid w:val="0035100D"/>
    <w:rsid w:val="00353241"/>
    <w:rsid w:val="003534EB"/>
    <w:rsid w:val="00354574"/>
    <w:rsid w:val="00354BD0"/>
    <w:rsid w:val="003550C3"/>
    <w:rsid w:val="00356988"/>
    <w:rsid w:val="003601E1"/>
    <w:rsid w:val="00360F5F"/>
    <w:rsid w:val="003610BE"/>
    <w:rsid w:val="0036124A"/>
    <w:rsid w:val="0036153E"/>
    <w:rsid w:val="0036237C"/>
    <w:rsid w:val="003625F5"/>
    <w:rsid w:val="003643C9"/>
    <w:rsid w:val="003657F1"/>
    <w:rsid w:val="00365826"/>
    <w:rsid w:val="00365A2F"/>
    <w:rsid w:val="00366696"/>
    <w:rsid w:val="0036754C"/>
    <w:rsid w:val="0037144B"/>
    <w:rsid w:val="00375889"/>
    <w:rsid w:val="003760EB"/>
    <w:rsid w:val="003775E0"/>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6D1"/>
    <w:rsid w:val="003B3FDD"/>
    <w:rsid w:val="003B4B4C"/>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5A7A"/>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879"/>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61B3"/>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1BB6"/>
    <w:rsid w:val="004521D4"/>
    <w:rsid w:val="00452EEE"/>
    <w:rsid w:val="0045300F"/>
    <w:rsid w:val="00453A6E"/>
    <w:rsid w:val="00454158"/>
    <w:rsid w:val="004542C4"/>
    <w:rsid w:val="00454723"/>
    <w:rsid w:val="004549EB"/>
    <w:rsid w:val="00455691"/>
    <w:rsid w:val="004565C0"/>
    <w:rsid w:val="00460024"/>
    <w:rsid w:val="00460031"/>
    <w:rsid w:val="00460140"/>
    <w:rsid w:val="0046238B"/>
    <w:rsid w:val="004625E8"/>
    <w:rsid w:val="0046323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3E6B"/>
    <w:rsid w:val="00493ED9"/>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0E0C"/>
    <w:rsid w:val="004D14F0"/>
    <w:rsid w:val="004D1505"/>
    <w:rsid w:val="004D17DF"/>
    <w:rsid w:val="004D38F8"/>
    <w:rsid w:val="004D4A68"/>
    <w:rsid w:val="004D5646"/>
    <w:rsid w:val="004D6D13"/>
    <w:rsid w:val="004D6DCE"/>
    <w:rsid w:val="004E1B61"/>
    <w:rsid w:val="004E1DF8"/>
    <w:rsid w:val="004E1FD5"/>
    <w:rsid w:val="004E23ED"/>
    <w:rsid w:val="004E429F"/>
    <w:rsid w:val="004E60E4"/>
    <w:rsid w:val="004F160A"/>
    <w:rsid w:val="004F1F61"/>
    <w:rsid w:val="004F2F62"/>
    <w:rsid w:val="004F37CB"/>
    <w:rsid w:val="004F45CA"/>
    <w:rsid w:val="004F5216"/>
    <w:rsid w:val="004F616B"/>
    <w:rsid w:val="004F64E4"/>
    <w:rsid w:val="00500A53"/>
    <w:rsid w:val="00503634"/>
    <w:rsid w:val="00504F92"/>
    <w:rsid w:val="00505551"/>
    <w:rsid w:val="00506C61"/>
    <w:rsid w:val="005078B3"/>
    <w:rsid w:val="00510925"/>
    <w:rsid w:val="00510A28"/>
    <w:rsid w:val="00511C54"/>
    <w:rsid w:val="0051292E"/>
    <w:rsid w:val="00516207"/>
    <w:rsid w:val="00520C27"/>
    <w:rsid w:val="00521B57"/>
    <w:rsid w:val="00522DE9"/>
    <w:rsid w:val="00522EF8"/>
    <w:rsid w:val="0052399F"/>
    <w:rsid w:val="00523F60"/>
    <w:rsid w:val="00523FBA"/>
    <w:rsid w:val="00524079"/>
    <w:rsid w:val="00524C8D"/>
    <w:rsid w:val="00524DDD"/>
    <w:rsid w:val="005255C0"/>
    <w:rsid w:val="005258BD"/>
    <w:rsid w:val="00526890"/>
    <w:rsid w:val="0052764F"/>
    <w:rsid w:val="00527AFE"/>
    <w:rsid w:val="00531170"/>
    <w:rsid w:val="005328F4"/>
    <w:rsid w:val="00535220"/>
    <w:rsid w:val="00536ABE"/>
    <w:rsid w:val="00540B74"/>
    <w:rsid w:val="00540B8B"/>
    <w:rsid w:val="00540ED6"/>
    <w:rsid w:val="00541C1D"/>
    <w:rsid w:val="00542146"/>
    <w:rsid w:val="005449AC"/>
    <w:rsid w:val="00544A16"/>
    <w:rsid w:val="005472EC"/>
    <w:rsid w:val="00547C82"/>
    <w:rsid w:val="0055112E"/>
    <w:rsid w:val="0055122B"/>
    <w:rsid w:val="00551805"/>
    <w:rsid w:val="00552915"/>
    <w:rsid w:val="005534BD"/>
    <w:rsid w:val="005623DE"/>
    <w:rsid w:val="00562A9A"/>
    <w:rsid w:val="00564A3A"/>
    <w:rsid w:val="005650FF"/>
    <w:rsid w:val="00566220"/>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3B5"/>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1EF4"/>
    <w:rsid w:val="005E2A93"/>
    <w:rsid w:val="005E3768"/>
    <w:rsid w:val="005E448D"/>
    <w:rsid w:val="005F064D"/>
    <w:rsid w:val="005F27A8"/>
    <w:rsid w:val="005F512E"/>
    <w:rsid w:val="005F5A21"/>
    <w:rsid w:val="005F6A04"/>
    <w:rsid w:val="00600458"/>
    <w:rsid w:val="0060118D"/>
    <w:rsid w:val="00602488"/>
    <w:rsid w:val="00603697"/>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399"/>
    <w:rsid w:val="00635AE1"/>
    <w:rsid w:val="00635DA6"/>
    <w:rsid w:val="006416B8"/>
    <w:rsid w:val="0064349A"/>
    <w:rsid w:val="00643E46"/>
    <w:rsid w:val="006466B3"/>
    <w:rsid w:val="0064692D"/>
    <w:rsid w:val="00646C79"/>
    <w:rsid w:val="00646FCC"/>
    <w:rsid w:val="0064750C"/>
    <w:rsid w:val="00651F0A"/>
    <w:rsid w:val="006540C5"/>
    <w:rsid w:val="006543FB"/>
    <w:rsid w:val="006549F5"/>
    <w:rsid w:val="00655505"/>
    <w:rsid w:val="00655AA7"/>
    <w:rsid w:val="00655F80"/>
    <w:rsid w:val="00656541"/>
    <w:rsid w:val="00660216"/>
    <w:rsid w:val="006621E9"/>
    <w:rsid w:val="00662653"/>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3D2F"/>
    <w:rsid w:val="006A4533"/>
    <w:rsid w:val="006A5968"/>
    <w:rsid w:val="006A5DC3"/>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AE6"/>
    <w:rsid w:val="006D2C14"/>
    <w:rsid w:val="006D3945"/>
    <w:rsid w:val="006D4C15"/>
    <w:rsid w:val="006D4EA6"/>
    <w:rsid w:val="006D7692"/>
    <w:rsid w:val="006D7E17"/>
    <w:rsid w:val="006E1753"/>
    <w:rsid w:val="006E3BF0"/>
    <w:rsid w:val="006E4E29"/>
    <w:rsid w:val="006E5D2E"/>
    <w:rsid w:val="006E670A"/>
    <w:rsid w:val="006E7C63"/>
    <w:rsid w:val="006F15E9"/>
    <w:rsid w:val="006F1EDC"/>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5DEC"/>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0B9D"/>
    <w:rsid w:val="00781AFB"/>
    <w:rsid w:val="00782461"/>
    <w:rsid w:val="0078261F"/>
    <w:rsid w:val="007833DA"/>
    <w:rsid w:val="00783492"/>
    <w:rsid w:val="00783918"/>
    <w:rsid w:val="00784522"/>
    <w:rsid w:val="0078470A"/>
    <w:rsid w:val="00784C15"/>
    <w:rsid w:val="0078583D"/>
    <w:rsid w:val="00785939"/>
    <w:rsid w:val="00785D73"/>
    <w:rsid w:val="00786FA8"/>
    <w:rsid w:val="00787AF1"/>
    <w:rsid w:val="0079132B"/>
    <w:rsid w:val="0079360E"/>
    <w:rsid w:val="00795245"/>
    <w:rsid w:val="00795472"/>
    <w:rsid w:val="007969E6"/>
    <w:rsid w:val="00796DA1"/>
    <w:rsid w:val="007A2C57"/>
    <w:rsid w:val="007A3440"/>
    <w:rsid w:val="007A34B3"/>
    <w:rsid w:val="007A4E3A"/>
    <w:rsid w:val="007B1039"/>
    <w:rsid w:val="007B1644"/>
    <w:rsid w:val="007B33F8"/>
    <w:rsid w:val="007B3B6F"/>
    <w:rsid w:val="007B3F3D"/>
    <w:rsid w:val="007B413B"/>
    <w:rsid w:val="007B4FD7"/>
    <w:rsid w:val="007B5461"/>
    <w:rsid w:val="007B6474"/>
    <w:rsid w:val="007B7F0F"/>
    <w:rsid w:val="007C19EC"/>
    <w:rsid w:val="007C252D"/>
    <w:rsid w:val="007C342D"/>
    <w:rsid w:val="007C3591"/>
    <w:rsid w:val="007C3C7F"/>
    <w:rsid w:val="007C41D0"/>
    <w:rsid w:val="007C4B75"/>
    <w:rsid w:val="007C51EB"/>
    <w:rsid w:val="007C60E2"/>
    <w:rsid w:val="007C7435"/>
    <w:rsid w:val="007D158A"/>
    <w:rsid w:val="007D5B1C"/>
    <w:rsid w:val="007D6D87"/>
    <w:rsid w:val="007D6FD6"/>
    <w:rsid w:val="007D710C"/>
    <w:rsid w:val="007E0ADA"/>
    <w:rsid w:val="007E15CF"/>
    <w:rsid w:val="007E1DB4"/>
    <w:rsid w:val="007E3260"/>
    <w:rsid w:val="007E5866"/>
    <w:rsid w:val="007F07AF"/>
    <w:rsid w:val="007F2A44"/>
    <w:rsid w:val="007F6E2B"/>
    <w:rsid w:val="007F7699"/>
    <w:rsid w:val="007F773D"/>
    <w:rsid w:val="008003C8"/>
    <w:rsid w:val="00802118"/>
    <w:rsid w:val="008037C9"/>
    <w:rsid w:val="00804065"/>
    <w:rsid w:val="008047DD"/>
    <w:rsid w:val="00806037"/>
    <w:rsid w:val="0080611B"/>
    <w:rsid w:val="00806213"/>
    <w:rsid w:val="008121D7"/>
    <w:rsid w:val="00812B80"/>
    <w:rsid w:val="008168A2"/>
    <w:rsid w:val="00820421"/>
    <w:rsid w:val="0082076E"/>
    <w:rsid w:val="008213E7"/>
    <w:rsid w:val="00821687"/>
    <w:rsid w:val="0082217D"/>
    <w:rsid w:val="00822A40"/>
    <w:rsid w:val="008236C7"/>
    <w:rsid w:val="00823B48"/>
    <w:rsid w:val="00823E67"/>
    <w:rsid w:val="0082417B"/>
    <w:rsid w:val="00826045"/>
    <w:rsid w:val="008307DB"/>
    <w:rsid w:val="00830A48"/>
    <w:rsid w:val="00831B9E"/>
    <w:rsid w:val="00833331"/>
    <w:rsid w:val="00833C36"/>
    <w:rsid w:val="00834B96"/>
    <w:rsid w:val="00836409"/>
    <w:rsid w:val="00836415"/>
    <w:rsid w:val="00836B47"/>
    <w:rsid w:val="00840A53"/>
    <w:rsid w:val="008414FF"/>
    <w:rsid w:val="008427B3"/>
    <w:rsid w:val="008428A1"/>
    <w:rsid w:val="0085047D"/>
    <w:rsid w:val="008524EA"/>
    <w:rsid w:val="0085263B"/>
    <w:rsid w:val="008530B9"/>
    <w:rsid w:val="008537C0"/>
    <w:rsid w:val="00855167"/>
    <w:rsid w:val="0085637B"/>
    <w:rsid w:val="00857642"/>
    <w:rsid w:val="00857872"/>
    <w:rsid w:val="00857F8E"/>
    <w:rsid w:val="00860759"/>
    <w:rsid w:val="0086268A"/>
    <w:rsid w:val="008644EC"/>
    <w:rsid w:val="008648A4"/>
    <w:rsid w:val="00864B15"/>
    <w:rsid w:val="00864D3B"/>
    <w:rsid w:val="00865C18"/>
    <w:rsid w:val="0086621E"/>
    <w:rsid w:val="0086717D"/>
    <w:rsid w:val="00867AAB"/>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1BD7"/>
    <w:rsid w:val="00952928"/>
    <w:rsid w:val="009531DA"/>
    <w:rsid w:val="00953CFD"/>
    <w:rsid w:val="009540FD"/>
    <w:rsid w:val="0095579C"/>
    <w:rsid w:val="00956E7E"/>
    <w:rsid w:val="0096539B"/>
    <w:rsid w:val="00966487"/>
    <w:rsid w:val="009669E3"/>
    <w:rsid w:val="009671DB"/>
    <w:rsid w:val="0096755D"/>
    <w:rsid w:val="00971A39"/>
    <w:rsid w:val="00972738"/>
    <w:rsid w:val="009727FE"/>
    <w:rsid w:val="009745E1"/>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A7E93"/>
    <w:rsid w:val="009B012C"/>
    <w:rsid w:val="009B0164"/>
    <w:rsid w:val="009B2B90"/>
    <w:rsid w:val="009B4A92"/>
    <w:rsid w:val="009B4B7B"/>
    <w:rsid w:val="009B4CB6"/>
    <w:rsid w:val="009B5126"/>
    <w:rsid w:val="009B66C0"/>
    <w:rsid w:val="009B72A1"/>
    <w:rsid w:val="009B74A5"/>
    <w:rsid w:val="009C0E90"/>
    <w:rsid w:val="009C1C29"/>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195"/>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5BAE"/>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57E2B"/>
    <w:rsid w:val="00A635D9"/>
    <w:rsid w:val="00A64A4A"/>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3840"/>
    <w:rsid w:val="00A851A4"/>
    <w:rsid w:val="00A85FBF"/>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B7413"/>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635"/>
    <w:rsid w:val="00AE4BA3"/>
    <w:rsid w:val="00AE5BA3"/>
    <w:rsid w:val="00AE7E8A"/>
    <w:rsid w:val="00AF1F6D"/>
    <w:rsid w:val="00AF32D8"/>
    <w:rsid w:val="00AF3F64"/>
    <w:rsid w:val="00AF40CA"/>
    <w:rsid w:val="00AF4C64"/>
    <w:rsid w:val="00AF70FF"/>
    <w:rsid w:val="00B01BE5"/>
    <w:rsid w:val="00B02385"/>
    <w:rsid w:val="00B03878"/>
    <w:rsid w:val="00B05ECF"/>
    <w:rsid w:val="00B06DDF"/>
    <w:rsid w:val="00B07422"/>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35BE"/>
    <w:rsid w:val="00B2793E"/>
    <w:rsid w:val="00B3022C"/>
    <w:rsid w:val="00B32ABD"/>
    <w:rsid w:val="00B32E35"/>
    <w:rsid w:val="00B33B37"/>
    <w:rsid w:val="00B35017"/>
    <w:rsid w:val="00B374E5"/>
    <w:rsid w:val="00B3764A"/>
    <w:rsid w:val="00B37AA5"/>
    <w:rsid w:val="00B41FA0"/>
    <w:rsid w:val="00B42826"/>
    <w:rsid w:val="00B430FA"/>
    <w:rsid w:val="00B43982"/>
    <w:rsid w:val="00B45940"/>
    <w:rsid w:val="00B459AF"/>
    <w:rsid w:val="00B475B6"/>
    <w:rsid w:val="00B50027"/>
    <w:rsid w:val="00B55869"/>
    <w:rsid w:val="00B567F1"/>
    <w:rsid w:val="00B569FA"/>
    <w:rsid w:val="00B56D68"/>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879D7"/>
    <w:rsid w:val="00B91893"/>
    <w:rsid w:val="00B926BD"/>
    <w:rsid w:val="00B92DE8"/>
    <w:rsid w:val="00B93D8F"/>
    <w:rsid w:val="00B96A32"/>
    <w:rsid w:val="00B9799D"/>
    <w:rsid w:val="00BA058B"/>
    <w:rsid w:val="00BA1322"/>
    <w:rsid w:val="00BA25FD"/>
    <w:rsid w:val="00BA2D85"/>
    <w:rsid w:val="00BA3AA7"/>
    <w:rsid w:val="00BA3C3F"/>
    <w:rsid w:val="00BA5CEA"/>
    <w:rsid w:val="00BA690D"/>
    <w:rsid w:val="00BA738E"/>
    <w:rsid w:val="00BA7612"/>
    <w:rsid w:val="00BB1D36"/>
    <w:rsid w:val="00BB3631"/>
    <w:rsid w:val="00BB3FF6"/>
    <w:rsid w:val="00BB5630"/>
    <w:rsid w:val="00BB5997"/>
    <w:rsid w:val="00BB6BE1"/>
    <w:rsid w:val="00BC392E"/>
    <w:rsid w:val="00BC60A6"/>
    <w:rsid w:val="00BC62E0"/>
    <w:rsid w:val="00BC6FBF"/>
    <w:rsid w:val="00BD00D9"/>
    <w:rsid w:val="00BD1415"/>
    <w:rsid w:val="00BD1886"/>
    <w:rsid w:val="00BD23E3"/>
    <w:rsid w:val="00BD40BC"/>
    <w:rsid w:val="00BD6234"/>
    <w:rsid w:val="00BE0437"/>
    <w:rsid w:val="00BE04F6"/>
    <w:rsid w:val="00BE107D"/>
    <w:rsid w:val="00BE2D6C"/>
    <w:rsid w:val="00BE4C2B"/>
    <w:rsid w:val="00BE52CA"/>
    <w:rsid w:val="00BE5D1C"/>
    <w:rsid w:val="00BE6D49"/>
    <w:rsid w:val="00BE701E"/>
    <w:rsid w:val="00BE7640"/>
    <w:rsid w:val="00BF0242"/>
    <w:rsid w:val="00BF0AE5"/>
    <w:rsid w:val="00BF144D"/>
    <w:rsid w:val="00BF214A"/>
    <w:rsid w:val="00BF377B"/>
    <w:rsid w:val="00BF3E1B"/>
    <w:rsid w:val="00BF635B"/>
    <w:rsid w:val="00BF68A4"/>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079E"/>
    <w:rsid w:val="00C41646"/>
    <w:rsid w:val="00C4383B"/>
    <w:rsid w:val="00C4601A"/>
    <w:rsid w:val="00C478FE"/>
    <w:rsid w:val="00C502DD"/>
    <w:rsid w:val="00C57504"/>
    <w:rsid w:val="00C613E2"/>
    <w:rsid w:val="00C61BA4"/>
    <w:rsid w:val="00C621E3"/>
    <w:rsid w:val="00C6430C"/>
    <w:rsid w:val="00C64E24"/>
    <w:rsid w:val="00C65047"/>
    <w:rsid w:val="00C653CC"/>
    <w:rsid w:val="00C665D4"/>
    <w:rsid w:val="00C67E56"/>
    <w:rsid w:val="00C70AD8"/>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0CCE"/>
    <w:rsid w:val="00CA27F9"/>
    <w:rsid w:val="00CA28AD"/>
    <w:rsid w:val="00CA4F28"/>
    <w:rsid w:val="00CA7388"/>
    <w:rsid w:val="00CA78AC"/>
    <w:rsid w:val="00CB067C"/>
    <w:rsid w:val="00CB14E6"/>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5FDB"/>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176"/>
    <w:rsid w:val="00D00AAE"/>
    <w:rsid w:val="00D02D5A"/>
    <w:rsid w:val="00D03B9D"/>
    <w:rsid w:val="00D0498A"/>
    <w:rsid w:val="00D065E6"/>
    <w:rsid w:val="00D06F2D"/>
    <w:rsid w:val="00D10843"/>
    <w:rsid w:val="00D11B6A"/>
    <w:rsid w:val="00D13B2D"/>
    <w:rsid w:val="00D15395"/>
    <w:rsid w:val="00D154A5"/>
    <w:rsid w:val="00D15660"/>
    <w:rsid w:val="00D16E7D"/>
    <w:rsid w:val="00D17731"/>
    <w:rsid w:val="00D20E86"/>
    <w:rsid w:val="00D20FB3"/>
    <w:rsid w:val="00D21DFB"/>
    <w:rsid w:val="00D227C4"/>
    <w:rsid w:val="00D23048"/>
    <w:rsid w:val="00D2352A"/>
    <w:rsid w:val="00D23DD0"/>
    <w:rsid w:val="00D2432A"/>
    <w:rsid w:val="00D251C3"/>
    <w:rsid w:val="00D26CB5"/>
    <w:rsid w:val="00D27EA0"/>
    <w:rsid w:val="00D31593"/>
    <w:rsid w:val="00D33179"/>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2D32"/>
    <w:rsid w:val="00D84747"/>
    <w:rsid w:val="00D84BD3"/>
    <w:rsid w:val="00D85346"/>
    <w:rsid w:val="00D90E7B"/>
    <w:rsid w:val="00D91EDC"/>
    <w:rsid w:val="00D92D94"/>
    <w:rsid w:val="00D961DB"/>
    <w:rsid w:val="00D97DE9"/>
    <w:rsid w:val="00DA0625"/>
    <w:rsid w:val="00DA1300"/>
    <w:rsid w:val="00DA3748"/>
    <w:rsid w:val="00DA4C82"/>
    <w:rsid w:val="00DA671A"/>
    <w:rsid w:val="00DA756A"/>
    <w:rsid w:val="00DA7819"/>
    <w:rsid w:val="00DA78D9"/>
    <w:rsid w:val="00DA7E64"/>
    <w:rsid w:val="00DA7E6E"/>
    <w:rsid w:val="00DB0551"/>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0CA8"/>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065D"/>
    <w:rsid w:val="00E24543"/>
    <w:rsid w:val="00E2457B"/>
    <w:rsid w:val="00E247DE"/>
    <w:rsid w:val="00E257AB"/>
    <w:rsid w:val="00E3212A"/>
    <w:rsid w:val="00E32221"/>
    <w:rsid w:val="00E32512"/>
    <w:rsid w:val="00E333C7"/>
    <w:rsid w:val="00E3374E"/>
    <w:rsid w:val="00E33A7F"/>
    <w:rsid w:val="00E346CD"/>
    <w:rsid w:val="00E34A79"/>
    <w:rsid w:val="00E376F7"/>
    <w:rsid w:val="00E4104D"/>
    <w:rsid w:val="00E41293"/>
    <w:rsid w:val="00E41C3F"/>
    <w:rsid w:val="00E41CE3"/>
    <w:rsid w:val="00E43918"/>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1D43"/>
    <w:rsid w:val="00EA379C"/>
    <w:rsid w:val="00EA4CB5"/>
    <w:rsid w:val="00EA67B2"/>
    <w:rsid w:val="00EB0757"/>
    <w:rsid w:val="00EB38CD"/>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6BEB"/>
    <w:rsid w:val="00ED7658"/>
    <w:rsid w:val="00EE13F4"/>
    <w:rsid w:val="00EE171F"/>
    <w:rsid w:val="00EE1EE5"/>
    <w:rsid w:val="00EE2928"/>
    <w:rsid w:val="00EE2E23"/>
    <w:rsid w:val="00EE359A"/>
    <w:rsid w:val="00EE3F96"/>
    <w:rsid w:val="00EE4BD0"/>
    <w:rsid w:val="00EE5BA1"/>
    <w:rsid w:val="00EF2966"/>
    <w:rsid w:val="00EF5346"/>
    <w:rsid w:val="00EF5C46"/>
    <w:rsid w:val="00EF7235"/>
    <w:rsid w:val="00F00A4D"/>
    <w:rsid w:val="00F014D5"/>
    <w:rsid w:val="00F01EA8"/>
    <w:rsid w:val="00F023A3"/>
    <w:rsid w:val="00F02A6F"/>
    <w:rsid w:val="00F030F9"/>
    <w:rsid w:val="00F04308"/>
    <w:rsid w:val="00F04C8C"/>
    <w:rsid w:val="00F054DA"/>
    <w:rsid w:val="00F06144"/>
    <w:rsid w:val="00F06530"/>
    <w:rsid w:val="00F065E5"/>
    <w:rsid w:val="00F07B2D"/>
    <w:rsid w:val="00F07BCF"/>
    <w:rsid w:val="00F10BF8"/>
    <w:rsid w:val="00F11029"/>
    <w:rsid w:val="00F1597D"/>
    <w:rsid w:val="00F16EF8"/>
    <w:rsid w:val="00F16FAB"/>
    <w:rsid w:val="00F170B7"/>
    <w:rsid w:val="00F21CA5"/>
    <w:rsid w:val="00F24DD1"/>
    <w:rsid w:val="00F255B6"/>
    <w:rsid w:val="00F26ED7"/>
    <w:rsid w:val="00F274ED"/>
    <w:rsid w:val="00F31625"/>
    <w:rsid w:val="00F31BDC"/>
    <w:rsid w:val="00F31FC8"/>
    <w:rsid w:val="00F32232"/>
    <w:rsid w:val="00F32242"/>
    <w:rsid w:val="00F361A3"/>
    <w:rsid w:val="00F36CDE"/>
    <w:rsid w:val="00F36E39"/>
    <w:rsid w:val="00F4003B"/>
    <w:rsid w:val="00F40A8F"/>
    <w:rsid w:val="00F40FF5"/>
    <w:rsid w:val="00F41E1E"/>
    <w:rsid w:val="00F43ED1"/>
    <w:rsid w:val="00F44759"/>
    <w:rsid w:val="00F4475F"/>
    <w:rsid w:val="00F45144"/>
    <w:rsid w:val="00F46284"/>
    <w:rsid w:val="00F4680B"/>
    <w:rsid w:val="00F4734D"/>
    <w:rsid w:val="00F473D4"/>
    <w:rsid w:val="00F47445"/>
    <w:rsid w:val="00F5046F"/>
    <w:rsid w:val="00F5088C"/>
    <w:rsid w:val="00F510AC"/>
    <w:rsid w:val="00F5374F"/>
    <w:rsid w:val="00F53846"/>
    <w:rsid w:val="00F545DD"/>
    <w:rsid w:val="00F55E69"/>
    <w:rsid w:val="00F579BE"/>
    <w:rsid w:val="00F606F4"/>
    <w:rsid w:val="00F60DF6"/>
    <w:rsid w:val="00F61E12"/>
    <w:rsid w:val="00F626E7"/>
    <w:rsid w:val="00F62D04"/>
    <w:rsid w:val="00F6434A"/>
    <w:rsid w:val="00F67520"/>
    <w:rsid w:val="00F70887"/>
    <w:rsid w:val="00F70A7D"/>
    <w:rsid w:val="00F7460B"/>
    <w:rsid w:val="00F748DD"/>
    <w:rsid w:val="00F76633"/>
    <w:rsid w:val="00F77EEC"/>
    <w:rsid w:val="00F81710"/>
    <w:rsid w:val="00F81FF7"/>
    <w:rsid w:val="00F83E64"/>
    <w:rsid w:val="00F86EF9"/>
    <w:rsid w:val="00F86FB1"/>
    <w:rsid w:val="00F87E61"/>
    <w:rsid w:val="00F9058E"/>
    <w:rsid w:val="00F908E0"/>
    <w:rsid w:val="00F90B86"/>
    <w:rsid w:val="00F91972"/>
    <w:rsid w:val="00F926E9"/>
    <w:rsid w:val="00F9335A"/>
    <w:rsid w:val="00F93755"/>
    <w:rsid w:val="00F93A32"/>
    <w:rsid w:val="00F94769"/>
    <w:rsid w:val="00F95CF5"/>
    <w:rsid w:val="00F96499"/>
    <w:rsid w:val="00F97EE2"/>
    <w:rsid w:val="00FA0810"/>
    <w:rsid w:val="00FA14B5"/>
    <w:rsid w:val="00FA16BB"/>
    <w:rsid w:val="00FA2895"/>
    <w:rsid w:val="00FA29A4"/>
    <w:rsid w:val="00FA3DD7"/>
    <w:rsid w:val="00FA4D12"/>
    <w:rsid w:val="00FA5031"/>
    <w:rsid w:val="00FA56FF"/>
    <w:rsid w:val="00FA747C"/>
    <w:rsid w:val="00FB106B"/>
    <w:rsid w:val="00FB373A"/>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56"/>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DEC"/>
    <w:pPr>
      <w:tabs>
        <w:tab w:val="center" w:pos="4680"/>
        <w:tab w:val="right" w:pos="9360"/>
      </w:tabs>
      <w:spacing w:line="240" w:lineRule="auto"/>
    </w:pPr>
  </w:style>
  <w:style w:type="character" w:customStyle="1" w:styleId="HeaderChar">
    <w:name w:val="Header Char"/>
    <w:basedOn w:val="DefaultParagraphFont"/>
    <w:link w:val="Header"/>
    <w:uiPriority w:val="99"/>
    <w:rsid w:val="00735DEC"/>
  </w:style>
  <w:style w:type="paragraph" w:styleId="Footer">
    <w:name w:val="footer"/>
    <w:basedOn w:val="Normal"/>
    <w:link w:val="FooterChar"/>
    <w:uiPriority w:val="99"/>
    <w:unhideWhenUsed/>
    <w:rsid w:val="00735DEC"/>
    <w:pPr>
      <w:tabs>
        <w:tab w:val="center" w:pos="4680"/>
        <w:tab w:val="right" w:pos="9360"/>
      </w:tabs>
      <w:spacing w:line="240" w:lineRule="auto"/>
    </w:pPr>
  </w:style>
  <w:style w:type="character" w:customStyle="1" w:styleId="FooterChar">
    <w:name w:val="Footer Char"/>
    <w:basedOn w:val="DefaultParagraphFont"/>
    <w:link w:val="Footer"/>
    <w:uiPriority w:val="99"/>
    <w:rsid w:val="00735DEC"/>
  </w:style>
  <w:style w:type="paragraph" w:customStyle="1" w:styleId="Pleading2L1">
    <w:name w:val="Pleading2_L1"/>
    <w:basedOn w:val="Normal"/>
    <w:next w:val="BodyText"/>
    <w:rsid w:val="006D7E17"/>
    <w:pPr>
      <w:numPr>
        <w:numId w:val="1"/>
      </w:numPr>
      <w:spacing w:after="240"/>
      <w:outlineLvl w:val="0"/>
    </w:pPr>
    <w:rPr>
      <w:rFonts w:eastAsia="Times New Roman"/>
      <w:b/>
      <w:caps/>
      <w:szCs w:val="20"/>
      <w:u w:val="single"/>
    </w:rPr>
  </w:style>
  <w:style w:type="paragraph" w:customStyle="1" w:styleId="Pleading2L2">
    <w:name w:val="Pleading2_L2"/>
    <w:basedOn w:val="Pleading2L1"/>
    <w:rsid w:val="006D7E17"/>
    <w:pPr>
      <w:numPr>
        <w:ilvl w:val="1"/>
      </w:numPr>
      <w:spacing w:after="0" w:line="480" w:lineRule="auto"/>
      <w:jc w:val="left"/>
      <w:outlineLvl w:val="1"/>
    </w:pPr>
    <w:rPr>
      <w:b w:val="0"/>
      <w:caps w:val="0"/>
      <w:u w:val="none"/>
    </w:rPr>
  </w:style>
  <w:style w:type="paragraph" w:customStyle="1" w:styleId="Pleading2L3">
    <w:name w:val="Pleading2_L3"/>
    <w:basedOn w:val="Pleading2L2"/>
    <w:rsid w:val="006D7E17"/>
    <w:pPr>
      <w:numPr>
        <w:ilvl w:val="2"/>
      </w:numPr>
      <w:outlineLvl w:val="2"/>
    </w:pPr>
  </w:style>
  <w:style w:type="paragraph" w:customStyle="1" w:styleId="Pleading2L4">
    <w:name w:val="Pleading2_L4"/>
    <w:basedOn w:val="Pleading2L3"/>
    <w:rsid w:val="006D7E17"/>
    <w:pPr>
      <w:numPr>
        <w:ilvl w:val="3"/>
      </w:numPr>
      <w:outlineLvl w:val="3"/>
    </w:pPr>
  </w:style>
  <w:style w:type="paragraph" w:customStyle="1" w:styleId="Pleading2L5">
    <w:name w:val="Pleading2_L5"/>
    <w:basedOn w:val="Pleading2L4"/>
    <w:rsid w:val="006D7E17"/>
    <w:pPr>
      <w:keepNext/>
      <w:keepLines/>
      <w:widowControl w:val="0"/>
      <w:numPr>
        <w:ilvl w:val="4"/>
      </w:numPr>
      <w:spacing w:after="240" w:line="240" w:lineRule="auto"/>
      <w:outlineLvl w:val="4"/>
    </w:pPr>
  </w:style>
  <w:style w:type="paragraph" w:customStyle="1" w:styleId="Pleading2L6">
    <w:name w:val="Pleading2_L6"/>
    <w:basedOn w:val="Pleading2L5"/>
    <w:rsid w:val="006D7E17"/>
    <w:pPr>
      <w:numPr>
        <w:ilvl w:val="5"/>
      </w:numPr>
      <w:outlineLvl w:val="5"/>
    </w:pPr>
  </w:style>
  <w:style w:type="paragraph" w:customStyle="1" w:styleId="Pleading2L7">
    <w:name w:val="Pleading2_L7"/>
    <w:basedOn w:val="Pleading2L6"/>
    <w:rsid w:val="006D7E17"/>
    <w:pPr>
      <w:numPr>
        <w:ilvl w:val="6"/>
      </w:numPr>
      <w:outlineLvl w:val="6"/>
    </w:pPr>
  </w:style>
  <w:style w:type="paragraph" w:customStyle="1" w:styleId="Pleading2L8">
    <w:name w:val="Pleading2_L8"/>
    <w:basedOn w:val="Pleading2L7"/>
    <w:rsid w:val="006D7E17"/>
    <w:pPr>
      <w:numPr>
        <w:ilvl w:val="7"/>
      </w:numPr>
      <w:outlineLvl w:val="7"/>
    </w:pPr>
  </w:style>
  <w:style w:type="paragraph" w:customStyle="1" w:styleId="Pleading2L9">
    <w:name w:val="Pleading2_L9"/>
    <w:basedOn w:val="Pleading2L8"/>
    <w:rsid w:val="006D7E17"/>
    <w:pPr>
      <w:numPr>
        <w:ilvl w:val="8"/>
      </w:numPr>
      <w:outlineLvl w:val="8"/>
    </w:pPr>
  </w:style>
  <w:style w:type="paragraph" w:styleId="BodyText">
    <w:name w:val="Body Text"/>
    <w:basedOn w:val="Normal"/>
    <w:link w:val="BodyTextChar"/>
    <w:uiPriority w:val="99"/>
    <w:semiHidden/>
    <w:unhideWhenUsed/>
    <w:rsid w:val="006D7E17"/>
    <w:pPr>
      <w:spacing w:after="120"/>
    </w:pPr>
  </w:style>
  <w:style w:type="character" w:customStyle="1" w:styleId="BodyTextChar">
    <w:name w:val="Body Text Char"/>
    <w:basedOn w:val="DefaultParagraphFont"/>
    <w:link w:val="BodyText"/>
    <w:uiPriority w:val="99"/>
    <w:semiHidden/>
    <w:rsid w:val="006D7E17"/>
  </w:style>
  <w:style w:type="paragraph" w:styleId="FootnoteText">
    <w:name w:val="footnote text"/>
    <w:basedOn w:val="Normal"/>
    <w:link w:val="FootnoteTextChar"/>
    <w:semiHidden/>
    <w:rsid w:val="00CB14E6"/>
    <w:pPr>
      <w:widowControl w:val="0"/>
      <w:spacing w:line="240" w:lineRule="auto"/>
      <w:jc w:val="left"/>
    </w:pPr>
    <w:rPr>
      <w:rFonts w:eastAsia="Times New Roman"/>
      <w:snapToGrid w:val="0"/>
      <w:sz w:val="20"/>
      <w:szCs w:val="20"/>
    </w:rPr>
  </w:style>
  <w:style w:type="character" w:customStyle="1" w:styleId="FootnoteTextChar">
    <w:name w:val="Footnote Text Char"/>
    <w:basedOn w:val="DefaultParagraphFont"/>
    <w:link w:val="FootnoteText"/>
    <w:semiHidden/>
    <w:rsid w:val="00CB14E6"/>
    <w:rPr>
      <w:rFonts w:eastAsia="Times New Roman"/>
      <w:snapToGrid w:val="0"/>
      <w:sz w:val="20"/>
      <w:szCs w:val="20"/>
    </w:rPr>
  </w:style>
  <w:style w:type="paragraph" w:styleId="BodyText2">
    <w:name w:val="Body Text 2"/>
    <w:basedOn w:val="Normal"/>
    <w:link w:val="BodyText2Char"/>
    <w:uiPriority w:val="99"/>
    <w:unhideWhenUsed/>
    <w:rsid w:val="00CB14E6"/>
    <w:pPr>
      <w:spacing w:after="120" w:line="480" w:lineRule="auto"/>
    </w:pPr>
    <w:rPr>
      <w:rFonts w:eastAsia="Calibri"/>
    </w:rPr>
  </w:style>
  <w:style w:type="character" w:customStyle="1" w:styleId="BodyText2Char">
    <w:name w:val="Body Text 2 Char"/>
    <w:basedOn w:val="DefaultParagraphFont"/>
    <w:link w:val="BodyText2"/>
    <w:uiPriority w:val="99"/>
    <w:rsid w:val="00CB14E6"/>
    <w:rPr>
      <w:rFonts w:eastAsia="Calibri"/>
    </w:rPr>
  </w:style>
  <w:style w:type="paragraph" w:styleId="BalloonText">
    <w:name w:val="Balloon Text"/>
    <w:basedOn w:val="Normal"/>
    <w:link w:val="BalloonTextChar"/>
    <w:uiPriority w:val="99"/>
    <w:semiHidden/>
    <w:unhideWhenUsed/>
    <w:rsid w:val="000939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9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DEC"/>
    <w:pPr>
      <w:tabs>
        <w:tab w:val="center" w:pos="4680"/>
        <w:tab w:val="right" w:pos="9360"/>
      </w:tabs>
      <w:spacing w:line="240" w:lineRule="auto"/>
    </w:pPr>
  </w:style>
  <w:style w:type="character" w:customStyle="1" w:styleId="HeaderChar">
    <w:name w:val="Header Char"/>
    <w:basedOn w:val="DefaultParagraphFont"/>
    <w:link w:val="Header"/>
    <w:uiPriority w:val="99"/>
    <w:rsid w:val="00735DEC"/>
  </w:style>
  <w:style w:type="paragraph" w:styleId="Footer">
    <w:name w:val="footer"/>
    <w:basedOn w:val="Normal"/>
    <w:link w:val="FooterChar"/>
    <w:uiPriority w:val="99"/>
    <w:unhideWhenUsed/>
    <w:rsid w:val="00735DEC"/>
    <w:pPr>
      <w:tabs>
        <w:tab w:val="center" w:pos="4680"/>
        <w:tab w:val="right" w:pos="9360"/>
      </w:tabs>
      <w:spacing w:line="240" w:lineRule="auto"/>
    </w:pPr>
  </w:style>
  <w:style w:type="character" w:customStyle="1" w:styleId="FooterChar">
    <w:name w:val="Footer Char"/>
    <w:basedOn w:val="DefaultParagraphFont"/>
    <w:link w:val="Footer"/>
    <w:uiPriority w:val="99"/>
    <w:rsid w:val="00735DEC"/>
  </w:style>
  <w:style w:type="paragraph" w:customStyle="1" w:styleId="Pleading2L1">
    <w:name w:val="Pleading2_L1"/>
    <w:basedOn w:val="Normal"/>
    <w:next w:val="BodyText"/>
    <w:rsid w:val="006D7E17"/>
    <w:pPr>
      <w:numPr>
        <w:numId w:val="1"/>
      </w:numPr>
      <w:spacing w:after="240"/>
      <w:outlineLvl w:val="0"/>
    </w:pPr>
    <w:rPr>
      <w:rFonts w:eastAsia="Times New Roman"/>
      <w:b/>
      <w:caps/>
      <w:szCs w:val="20"/>
      <w:u w:val="single"/>
    </w:rPr>
  </w:style>
  <w:style w:type="paragraph" w:customStyle="1" w:styleId="Pleading2L2">
    <w:name w:val="Pleading2_L2"/>
    <w:basedOn w:val="Pleading2L1"/>
    <w:rsid w:val="006D7E17"/>
    <w:pPr>
      <w:numPr>
        <w:ilvl w:val="1"/>
      </w:numPr>
      <w:spacing w:after="0" w:line="480" w:lineRule="auto"/>
      <w:jc w:val="left"/>
      <w:outlineLvl w:val="1"/>
    </w:pPr>
    <w:rPr>
      <w:b w:val="0"/>
      <w:caps w:val="0"/>
      <w:u w:val="none"/>
    </w:rPr>
  </w:style>
  <w:style w:type="paragraph" w:customStyle="1" w:styleId="Pleading2L3">
    <w:name w:val="Pleading2_L3"/>
    <w:basedOn w:val="Pleading2L2"/>
    <w:rsid w:val="006D7E17"/>
    <w:pPr>
      <w:numPr>
        <w:ilvl w:val="2"/>
      </w:numPr>
      <w:outlineLvl w:val="2"/>
    </w:pPr>
  </w:style>
  <w:style w:type="paragraph" w:customStyle="1" w:styleId="Pleading2L4">
    <w:name w:val="Pleading2_L4"/>
    <w:basedOn w:val="Pleading2L3"/>
    <w:rsid w:val="006D7E17"/>
    <w:pPr>
      <w:numPr>
        <w:ilvl w:val="3"/>
      </w:numPr>
      <w:outlineLvl w:val="3"/>
    </w:pPr>
  </w:style>
  <w:style w:type="paragraph" w:customStyle="1" w:styleId="Pleading2L5">
    <w:name w:val="Pleading2_L5"/>
    <w:basedOn w:val="Pleading2L4"/>
    <w:rsid w:val="006D7E17"/>
    <w:pPr>
      <w:keepNext/>
      <w:keepLines/>
      <w:widowControl w:val="0"/>
      <w:numPr>
        <w:ilvl w:val="4"/>
      </w:numPr>
      <w:spacing w:after="240" w:line="240" w:lineRule="auto"/>
      <w:outlineLvl w:val="4"/>
    </w:pPr>
  </w:style>
  <w:style w:type="paragraph" w:customStyle="1" w:styleId="Pleading2L6">
    <w:name w:val="Pleading2_L6"/>
    <w:basedOn w:val="Pleading2L5"/>
    <w:rsid w:val="006D7E17"/>
    <w:pPr>
      <w:numPr>
        <w:ilvl w:val="5"/>
      </w:numPr>
      <w:outlineLvl w:val="5"/>
    </w:pPr>
  </w:style>
  <w:style w:type="paragraph" w:customStyle="1" w:styleId="Pleading2L7">
    <w:name w:val="Pleading2_L7"/>
    <w:basedOn w:val="Pleading2L6"/>
    <w:rsid w:val="006D7E17"/>
    <w:pPr>
      <w:numPr>
        <w:ilvl w:val="6"/>
      </w:numPr>
      <w:outlineLvl w:val="6"/>
    </w:pPr>
  </w:style>
  <w:style w:type="paragraph" w:customStyle="1" w:styleId="Pleading2L8">
    <w:name w:val="Pleading2_L8"/>
    <w:basedOn w:val="Pleading2L7"/>
    <w:rsid w:val="006D7E17"/>
    <w:pPr>
      <w:numPr>
        <w:ilvl w:val="7"/>
      </w:numPr>
      <w:outlineLvl w:val="7"/>
    </w:pPr>
  </w:style>
  <w:style w:type="paragraph" w:customStyle="1" w:styleId="Pleading2L9">
    <w:name w:val="Pleading2_L9"/>
    <w:basedOn w:val="Pleading2L8"/>
    <w:rsid w:val="006D7E17"/>
    <w:pPr>
      <w:numPr>
        <w:ilvl w:val="8"/>
      </w:numPr>
      <w:outlineLvl w:val="8"/>
    </w:pPr>
  </w:style>
  <w:style w:type="paragraph" w:styleId="BodyText">
    <w:name w:val="Body Text"/>
    <w:basedOn w:val="Normal"/>
    <w:link w:val="BodyTextChar"/>
    <w:uiPriority w:val="99"/>
    <w:semiHidden/>
    <w:unhideWhenUsed/>
    <w:rsid w:val="006D7E17"/>
    <w:pPr>
      <w:spacing w:after="120"/>
    </w:pPr>
  </w:style>
  <w:style w:type="character" w:customStyle="1" w:styleId="BodyTextChar">
    <w:name w:val="Body Text Char"/>
    <w:basedOn w:val="DefaultParagraphFont"/>
    <w:link w:val="BodyText"/>
    <w:uiPriority w:val="99"/>
    <w:semiHidden/>
    <w:rsid w:val="006D7E17"/>
  </w:style>
  <w:style w:type="paragraph" w:styleId="FootnoteText">
    <w:name w:val="footnote text"/>
    <w:basedOn w:val="Normal"/>
    <w:link w:val="FootnoteTextChar"/>
    <w:semiHidden/>
    <w:rsid w:val="00CB14E6"/>
    <w:pPr>
      <w:widowControl w:val="0"/>
      <w:spacing w:line="240" w:lineRule="auto"/>
      <w:jc w:val="left"/>
    </w:pPr>
    <w:rPr>
      <w:rFonts w:eastAsia="Times New Roman"/>
      <w:snapToGrid w:val="0"/>
      <w:sz w:val="20"/>
      <w:szCs w:val="20"/>
    </w:rPr>
  </w:style>
  <w:style w:type="character" w:customStyle="1" w:styleId="FootnoteTextChar">
    <w:name w:val="Footnote Text Char"/>
    <w:basedOn w:val="DefaultParagraphFont"/>
    <w:link w:val="FootnoteText"/>
    <w:semiHidden/>
    <w:rsid w:val="00CB14E6"/>
    <w:rPr>
      <w:rFonts w:eastAsia="Times New Roman"/>
      <w:snapToGrid w:val="0"/>
      <w:sz w:val="20"/>
      <w:szCs w:val="20"/>
    </w:rPr>
  </w:style>
  <w:style w:type="paragraph" w:styleId="BodyText2">
    <w:name w:val="Body Text 2"/>
    <w:basedOn w:val="Normal"/>
    <w:link w:val="BodyText2Char"/>
    <w:uiPriority w:val="99"/>
    <w:unhideWhenUsed/>
    <w:rsid w:val="00CB14E6"/>
    <w:pPr>
      <w:spacing w:after="120" w:line="480" w:lineRule="auto"/>
    </w:pPr>
    <w:rPr>
      <w:rFonts w:eastAsia="Calibri"/>
    </w:rPr>
  </w:style>
  <w:style w:type="character" w:customStyle="1" w:styleId="BodyText2Char">
    <w:name w:val="Body Text 2 Char"/>
    <w:basedOn w:val="DefaultParagraphFont"/>
    <w:link w:val="BodyText2"/>
    <w:uiPriority w:val="99"/>
    <w:rsid w:val="00CB14E6"/>
    <w:rPr>
      <w:rFonts w:eastAsia="Calibri"/>
    </w:rPr>
  </w:style>
  <w:style w:type="paragraph" w:styleId="BalloonText">
    <w:name w:val="Balloon Text"/>
    <w:basedOn w:val="Normal"/>
    <w:link w:val="BalloonTextChar"/>
    <w:uiPriority w:val="99"/>
    <w:semiHidden/>
    <w:unhideWhenUsed/>
    <w:rsid w:val="000939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9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Haas, Steve</cp:lastModifiedBy>
  <cp:revision>7</cp:revision>
  <cp:lastPrinted>2016-02-29T14:15:00Z</cp:lastPrinted>
  <dcterms:created xsi:type="dcterms:W3CDTF">2016-02-29T14:16:00Z</dcterms:created>
  <dcterms:modified xsi:type="dcterms:W3CDTF">2016-03-03T20:05:00Z</dcterms:modified>
</cp:coreProperties>
</file>