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BF9" w:rsidRDefault="00EB6BF9" w:rsidP="00FD1DAD">
      <w:pPr>
        <w:tabs>
          <w:tab w:val="center" w:pos="4680"/>
        </w:tabs>
        <w:suppressAutoHyphens/>
        <w:jc w:val="center"/>
        <w:rPr>
          <w:b/>
        </w:rPr>
      </w:pPr>
      <w:smartTag w:uri="urn:schemas-microsoft-com:office:smarttags" w:element="State">
        <w:smartTag w:uri="urn:schemas-microsoft-com:office:smarttags" w:element="place">
          <w:r>
            <w:rPr>
              <w:b/>
            </w:rPr>
            <w:t>PENNSYLVANIA</w:t>
          </w:r>
        </w:smartTag>
      </w:smartTag>
    </w:p>
    <w:p w:rsidR="00EB6BF9" w:rsidRDefault="00EB6BF9" w:rsidP="00FD1DAD">
      <w:pPr>
        <w:tabs>
          <w:tab w:val="center" w:pos="4680"/>
        </w:tabs>
        <w:suppressAutoHyphens/>
        <w:jc w:val="center"/>
      </w:pPr>
      <w:r>
        <w:rPr>
          <w:b/>
        </w:rPr>
        <w:t>PUBLIC UTILITY COMMISSION</w:t>
      </w:r>
    </w:p>
    <w:p w:rsidR="003A2B57" w:rsidRDefault="00EB6BF9" w:rsidP="003A2B57">
      <w:pPr>
        <w:tabs>
          <w:tab w:val="center" w:pos="4680"/>
        </w:tabs>
        <w:suppressAutoHyphens/>
        <w:jc w:val="center"/>
        <w:rPr>
          <w:b/>
        </w:rPr>
      </w:pPr>
      <w:r>
        <w:rPr>
          <w:b/>
        </w:rPr>
        <w:t>Harrisburg, PA 17105-3265</w:t>
      </w:r>
    </w:p>
    <w:p w:rsidR="003A2B57" w:rsidRDefault="003A2B57" w:rsidP="003A2B57">
      <w:pPr>
        <w:tabs>
          <w:tab w:val="center" w:pos="4680"/>
        </w:tabs>
        <w:suppressAutoHyphens/>
        <w:jc w:val="center"/>
      </w:pPr>
    </w:p>
    <w:p w:rsidR="00EB6BF9" w:rsidRDefault="003A2B57">
      <w:pPr>
        <w:tabs>
          <w:tab w:val="left" w:pos="-720"/>
        </w:tabs>
        <w:suppressAutoHyphens/>
        <w:spacing w:line="360" w:lineRule="auto"/>
      </w:pPr>
      <w:r>
        <w:tab/>
      </w:r>
      <w:r>
        <w:tab/>
      </w:r>
      <w:r>
        <w:tab/>
      </w:r>
      <w:r>
        <w:tab/>
      </w:r>
      <w:r>
        <w:tab/>
      </w:r>
      <w:r>
        <w:tab/>
        <w:t xml:space="preserve">             Public Meeting held February 11, 2016 </w:t>
      </w:r>
      <w:r w:rsidR="00CF288E">
        <w:t>Commissioners Present:</w:t>
      </w:r>
    </w:p>
    <w:p w:rsidR="00CF288E" w:rsidRDefault="00CF288E" w:rsidP="00CF288E">
      <w:pPr>
        <w:tabs>
          <w:tab w:val="left" w:pos="705"/>
        </w:tabs>
        <w:ind w:firstLine="720"/>
      </w:pPr>
      <w:r>
        <w:t>Gladys M. Brown, Chairman</w:t>
      </w:r>
    </w:p>
    <w:p w:rsidR="00CF288E" w:rsidRDefault="00CF288E" w:rsidP="00CF288E">
      <w:pPr>
        <w:tabs>
          <w:tab w:val="left" w:pos="705"/>
        </w:tabs>
        <w:ind w:firstLine="720"/>
      </w:pPr>
      <w:r>
        <w:t>Andrew G. Place, Vice Chairman</w:t>
      </w:r>
    </w:p>
    <w:p w:rsidR="00CF288E" w:rsidRDefault="00CF288E" w:rsidP="00CF288E">
      <w:pPr>
        <w:tabs>
          <w:tab w:val="left" w:pos="705"/>
        </w:tabs>
        <w:ind w:firstLine="720"/>
      </w:pPr>
      <w:r>
        <w:t>Pamela A. Witmer</w:t>
      </w:r>
    </w:p>
    <w:p w:rsidR="00CF288E" w:rsidRDefault="00CF288E" w:rsidP="00CF288E">
      <w:pPr>
        <w:tabs>
          <w:tab w:val="left" w:pos="705"/>
        </w:tabs>
        <w:ind w:firstLine="720"/>
      </w:pPr>
      <w:r>
        <w:t>John F. Coleman, Jr.</w:t>
      </w:r>
    </w:p>
    <w:p w:rsidR="00CF288E" w:rsidRDefault="00CF288E" w:rsidP="00CF288E">
      <w:pPr>
        <w:spacing w:line="360" w:lineRule="auto"/>
      </w:pPr>
      <w:r>
        <w:tab/>
        <w:t>Robert F. Powelson</w:t>
      </w:r>
    </w:p>
    <w:p w:rsidR="00CF288E" w:rsidRDefault="00CF288E" w:rsidP="00CF288E">
      <w:pPr>
        <w:spacing w:line="360" w:lineRule="auto"/>
      </w:pPr>
    </w:p>
    <w:p w:rsidR="00B310BA" w:rsidRDefault="00CF288E" w:rsidP="00CF288E">
      <w:r>
        <w:t>Floyd Tillman</w:t>
      </w:r>
      <w:r>
        <w:tab/>
      </w:r>
      <w:r>
        <w:tab/>
      </w:r>
      <w:r>
        <w:tab/>
      </w:r>
      <w:r>
        <w:tab/>
      </w:r>
      <w:r>
        <w:tab/>
      </w:r>
      <w:r>
        <w:tab/>
      </w:r>
      <w:r>
        <w:tab/>
      </w:r>
      <w:r>
        <w:tab/>
        <w:t xml:space="preserve">    C-2014-2445229</w:t>
      </w:r>
    </w:p>
    <w:p w:rsidR="00CF288E" w:rsidRDefault="00CF288E" w:rsidP="00CF288E"/>
    <w:p w:rsidR="00CF288E" w:rsidRDefault="00CF288E" w:rsidP="00CF288E">
      <w:r>
        <w:t xml:space="preserve">                v.</w:t>
      </w:r>
    </w:p>
    <w:p w:rsidR="00CF288E" w:rsidRDefault="00CF288E" w:rsidP="00CF288E"/>
    <w:p w:rsidR="00CF288E" w:rsidRDefault="00CF288E" w:rsidP="00CF288E">
      <w:r>
        <w:t>Philadelphia Gas Works</w:t>
      </w:r>
    </w:p>
    <w:p w:rsidR="00CF288E" w:rsidRDefault="00CF288E" w:rsidP="00CF288E">
      <w:pPr>
        <w:spacing w:line="360" w:lineRule="auto"/>
      </w:pPr>
    </w:p>
    <w:p w:rsidR="00EB6BF9" w:rsidRPr="00B71BBD" w:rsidRDefault="00EB6BF9" w:rsidP="00CF288E">
      <w:pPr>
        <w:spacing w:line="360" w:lineRule="auto"/>
        <w:jc w:val="center"/>
        <w:rPr>
          <w:b/>
        </w:rPr>
      </w:pPr>
      <w:r w:rsidRPr="00B71BBD">
        <w:rPr>
          <w:b/>
        </w:rPr>
        <w:t xml:space="preserve">OPINION </w:t>
      </w:r>
      <w:smartTag w:uri="urn:schemas-microsoft-com:office:smarttags" w:element="stockticker">
        <w:r w:rsidRPr="00B71BBD">
          <w:rPr>
            <w:b/>
          </w:rPr>
          <w:t>AND</w:t>
        </w:r>
      </w:smartTag>
      <w:r w:rsidRPr="00B71BBD">
        <w:rPr>
          <w:b/>
        </w:rPr>
        <w:t xml:space="preserve"> ORDER</w:t>
      </w:r>
    </w:p>
    <w:p w:rsidR="00EB6BF9" w:rsidRDefault="00EB6BF9" w:rsidP="00CF288E">
      <w:pPr>
        <w:spacing w:line="360" w:lineRule="auto"/>
        <w:jc w:val="center"/>
        <w:rPr>
          <w:b/>
        </w:rPr>
      </w:pPr>
    </w:p>
    <w:p w:rsidR="009B6986" w:rsidRDefault="009B6986" w:rsidP="00CF288E">
      <w:pPr>
        <w:spacing w:line="360" w:lineRule="auto"/>
        <w:rPr>
          <w:b/>
        </w:rPr>
      </w:pPr>
    </w:p>
    <w:p w:rsidR="00EB6BF9" w:rsidRDefault="00EB6BF9" w:rsidP="009B6986">
      <w:pPr>
        <w:spacing w:line="360" w:lineRule="auto"/>
        <w:rPr>
          <w:b/>
        </w:rPr>
      </w:pPr>
      <w:r>
        <w:rPr>
          <w:b/>
        </w:rPr>
        <w:t>BY THE COMMISSION:</w:t>
      </w:r>
    </w:p>
    <w:p w:rsidR="00EB6BF9" w:rsidRDefault="00EB6BF9" w:rsidP="009B6986">
      <w:pPr>
        <w:spacing w:line="360" w:lineRule="auto"/>
      </w:pPr>
    </w:p>
    <w:p w:rsidR="00EB6BF9" w:rsidRDefault="00EB6BF9" w:rsidP="009B6986">
      <w:pPr>
        <w:spacing w:line="360" w:lineRule="auto"/>
        <w:ind w:firstLine="1440"/>
      </w:pPr>
      <w:r>
        <w:t xml:space="preserve">Before </w:t>
      </w:r>
      <w:r w:rsidR="00777A50">
        <w:t>the Pennsylvania Public Utility Commission (Commission)</w:t>
      </w:r>
      <w:r w:rsidR="002B09C9">
        <w:t xml:space="preserve"> for considera</w:t>
      </w:r>
      <w:r w:rsidR="00C72F29">
        <w:t>tion</w:t>
      </w:r>
      <w:r w:rsidR="002B09C9">
        <w:t xml:space="preserve"> </w:t>
      </w:r>
      <w:r w:rsidR="00777A50">
        <w:t xml:space="preserve">and disposition </w:t>
      </w:r>
      <w:r w:rsidR="00F62310">
        <w:t xml:space="preserve">is the </w:t>
      </w:r>
      <w:r>
        <w:t xml:space="preserve">Initial Decision </w:t>
      </w:r>
      <w:r w:rsidR="00BA6B58">
        <w:t xml:space="preserve">(I.D.) </w:t>
      </w:r>
      <w:r>
        <w:t>of Administrative Law Ju</w:t>
      </w:r>
      <w:r w:rsidR="00A966A7">
        <w:t xml:space="preserve">dge </w:t>
      </w:r>
      <w:r w:rsidR="006F7173">
        <w:t xml:space="preserve">(ALJ) </w:t>
      </w:r>
      <w:r w:rsidR="0099386B">
        <w:t>Dennis J. Buckley</w:t>
      </w:r>
      <w:r w:rsidR="006F7173">
        <w:t xml:space="preserve">, issued on </w:t>
      </w:r>
      <w:r w:rsidR="0099386B">
        <w:t>November 19, 2015</w:t>
      </w:r>
      <w:r>
        <w:t>, in t</w:t>
      </w:r>
      <w:r w:rsidR="00F62310">
        <w:t>he above-captioned proceeding.</w:t>
      </w:r>
      <w:r w:rsidR="002B09C9">
        <w:t xml:space="preserve">  The Initial Decision </w:t>
      </w:r>
      <w:r w:rsidR="0099386B">
        <w:t xml:space="preserve">dismissed the </w:t>
      </w:r>
      <w:r w:rsidR="003C1FC7">
        <w:t xml:space="preserve">Formal </w:t>
      </w:r>
      <w:r w:rsidR="0099386B">
        <w:t xml:space="preserve">Complaint </w:t>
      </w:r>
      <w:r w:rsidR="003C1FC7">
        <w:t xml:space="preserve">(Complaint) </w:t>
      </w:r>
      <w:r w:rsidR="0099386B">
        <w:t>filed by Floyd Tillman (Mr. Tillman or Complainant) against Philadelphia Gas Works (PGW</w:t>
      </w:r>
      <w:r w:rsidR="00654521">
        <w:t xml:space="preserve"> or Respondent</w:t>
      </w:r>
      <w:r w:rsidR="0099386B">
        <w:t>)</w:t>
      </w:r>
      <w:r w:rsidR="002B09C9">
        <w:t xml:space="preserve">.  </w:t>
      </w:r>
      <w:r w:rsidR="000421EA">
        <w:t>No Exceptions were filed.  However, w</w:t>
      </w:r>
      <w:r w:rsidR="002B09C9">
        <w:t>e exercised our right to review the Initial Decision pursuant to Section 332(h) of the Public Utility Code</w:t>
      </w:r>
      <w:r w:rsidR="00C860B6">
        <w:t xml:space="preserve"> (Code)</w:t>
      </w:r>
      <w:r w:rsidR="00C03505">
        <w:t>, 66 Pa. C.S. § </w:t>
      </w:r>
      <w:r w:rsidR="002B09C9">
        <w:t xml:space="preserve">332(h).  For the </w:t>
      </w:r>
      <w:r w:rsidR="00662106">
        <w:t xml:space="preserve">reasons stated below, we </w:t>
      </w:r>
      <w:r w:rsidR="0099386B">
        <w:t>will reverse the Initial Decision and remand for such further proceedings as may be necessary</w:t>
      </w:r>
      <w:r w:rsidR="002B09C9">
        <w:t>.</w:t>
      </w:r>
    </w:p>
    <w:p w:rsidR="00A6470E" w:rsidRDefault="00A6470E" w:rsidP="00FD1DAD">
      <w:pPr>
        <w:spacing w:line="360" w:lineRule="auto"/>
      </w:pPr>
    </w:p>
    <w:p w:rsidR="00EB6BF9" w:rsidRPr="00117773" w:rsidRDefault="00EB6BF9" w:rsidP="006203B5">
      <w:pPr>
        <w:keepNext/>
        <w:keepLines/>
        <w:spacing w:line="360" w:lineRule="auto"/>
        <w:jc w:val="center"/>
        <w:rPr>
          <w:b/>
        </w:rPr>
      </w:pPr>
      <w:bookmarkStart w:id="0" w:name="OLE_LINK1"/>
      <w:bookmarkStart w:id="1" w:name="OLE_LINK2"/>
      <w:r w:rsidRPr="00117773">
        <w:rPr>
          <w:b/>
        </w:rPr>
        <w:lastRenderedPageBreak/>
        <w:t>History of the Proceeding</w:t>
      </w:r>
    </w:p>
    <w:bookmarkEnd w:id="0"/>
    <w:bookmarkEnd w:id="1"/>
    <w:p w:rsidR="008A7896" w:rsidRDefault="008A7896" w:rsidP="006203B5">
      <w:pPr>
        <w:keepNext/>
        <w:keepLines/>
        <w:spacing w:line="360" w:lineRule="auto"/>
        <w:jc w:val="center"/>
        <w:rPr>
          <w:b/>
          <w:u w:val="single"/>
        </w:rPr>
      </w:pPr>
    </w:p>
    <w:p w:rsidR="009B6986" w:rsidRDefault="00053F18" w:rsidP="00053F18">
      <w:pPr>
        <w:spacing w:line="360" w:lineRule="auto"/>
        <w:ind w:firstLine="1440"/>
      </w:pPr>
      <w:r>
        <w:t>On September 26, 2014, Mr. Tillman filed his Complaint against PGW.  On the Formal Complaint form, he checked the box</w:t>
      </w:r>
      <w:r w:rsidR="009B6986">
        <w:t>es</w:t>
      </w:r>
      <w:r>
        <w:t xml:space="preserve"> </w:t>
      </w:r>
      <w:r w:rsidR="00C2615C">
        <w:t>labeled</w:t>
      </w:r>
      <w:r w:rsidR="009B6986">
        <w:t>:</w:t>
      </w:r>
    </w:p>
    <w:p w:rsidR="009B6986" w:rsidRDefault="009B6986" w:rsidP="00053F18">
      <w:pPr>
        <w:spacing w:line="360" w:lineRule="auto"/>
        <w:ind w:firstLine="1440"/>
      </w:pPr>
    </w:p>
    <w:p w:rsidR="009B6986" w:rsidRDefault="00CF288E" w:rsidP="009B6986">
      <w:pPr>
        <w:ind w:left="1440" w:right="1440"/>
      </w:pPr>
      <w:r>
        <w:t>T</w:t>
      </w:r>
      <w:r w:rsidR="00053F18">
        <w:t xml:space="preserve">he utility is threatening to shut off my service or </w:t>
      </w:r>
      <w:r w:rsidR="009B6986">
        <w:t>has already shut off my servic</w:t>
      </w:r>
      <w:r>
        <w:t>e.</w:t>
      </w:r>
    </w:p>
    <w:p w:rsidR="009B6986" w:rsidRDefault="009B6986" w:rsidP="009B6986">
      <w:pPr>
        <w:ind w:left="1440" w:right="1440"/>
      </w:pPr>
    </w:p>
    <w:p w:rsidR="009B6986" w:rsidRDefault="009B6986" w:rsidP="009B6986">
      <w:pPr>
        <w:ind w:left="1440" w:right="1440"/>
        <w:jc w:val="center"/>
      </w:pPr>
      <w:r>
        <w:t>* * *</w:t>
      </w:r>
    </w:p>
    <w:p w:rsidR="009B6986" w:rsidRDefault="009B6986" w:rsidP="009B6986">
      <w:pPr>
        <w:ind w:left="1440" w:right="1440"/>
        <w:jc w:val="center"/>
      </w:pPr>
    </w:p>
    <w:p w:rsidR="009B6986" w:rsidRDefault="00CF288E" w:rsidP="009B6986">
      <w:pPr>
        <w:ind w:left="1440" w:right="1440"/>
      </w:pPr>
      <w:r>
        <w:t>I</w:t>
      </w:r>
      <w:r w:rsidR="00053F18">
        <w:t>ncorrect charges are on my bill.  Provide dates that are important and an explanation about any amounts or charges that you believe are not correct.  Attach a copy of the bill(s) in question if you have it/them.</w:t>
      </w:r>
    </w:p>
    <w:p w:rsidR="009B6986" w:rsidRDefault="009B6986" w:rsidP="009A08A3">
      <w:pPr>
        <w:spacing w:line="360" w:lineRule="auto"/>
        <w:ind w:left="1440" w:right="1440"/>
      </w:pPr>
    </w:p>
    <w:p w:rsidR="003561BC" w:rsidRDefault="003C1FC7" w:rsidP="009B6986">
      <w:pPr>
        <w:spacing w:line="360" w:lineRule="auto"/>
        <w:ind w:firstLine="1440"/>
      </w:pPr>
      <w:r>
        <w:t>Attached to the Complaint</w:t>
      </w:r>
      <w:r w:rsidR="00E52F89">
        <w:t xml:space="preserve"> is a copy of a </w:t>
      </w:r>
      <w:r w:rsidR="00CF288E">
        <w:t>“</w:t>
      </w:r>
      <w:r w:rsidR="00E52F89">
        <w:t>37</w:t>
      </w:r>
      <w:r w:rsidR="00CF288E">
        <w:t xml:space="preserve"> </w:t>
      </w:r>
      <w:r w:rsidR="00E52F89">
        <w:t>Day Shut Off Notice for Landlord Ratepayer</w:t>
      </w:r>
      <w:r w:rsidR="00CF288E">
        <w:t>”</w:t>
      </w:r>
      <w:r w:rsidR="007218E9">
        <w:t xml:space="preserve"> (Shut-Off Notice</w:t>
      </w:r>
      <w:r w:rsidR="00E52F89">
        <w:t>), addressed to Floyd and Martha Tillman for service to 4946 North Broad Street, Philadelphia</w:t>
      </w:r>
      <w:r w:rsidR="00CF288E">
        <w:t>, PA 19141</w:t>
      </w:r>
      <w:r w:rsidR="00E52F89">
        <w:t xml:space="preserve"> (Service Address).  According to the </w:t>
      </w:r>
      <w:r w:rsidR="007218E9">
        <w:t>Shut-Off Notice</w:t>
      </w:r>
      <w:r w:rsidR="00E52F89">
        <w:t xml:space="preserve">, the landlord’s amount due was $20,217.95.  The </w:t>
      </w:r>
      <w:r w:rsidR="00B33FB7">
        <w:t xml:space="preserve">Complainant </w:t>
      </w:r>
      <w:r w:rsidR="00E52F89">
        <w:t>requested a mediation hearing “regarding excessive usage charges that are not of my doing.”  Complaint at ¶ 3.</w:t>
      </w:r>
    </w:p>
    <w:p w:rsidR="00C42693" w:rsidRDefault="00C42693" w:rsidP="00053F18">
      <w:pPr>
        <w:spacing w:line="360" w:lineRule="auto"/>
        <w:ind w:firstLine="1440"/>
      </w:pPr>
    </w:p>
    <w:p w:rsidR="00F41A78" w:rsidRDefault="00C42693" w:rsidP="00053F18">
      <w:pPr>
        <w:spacing w:line="360" w:lineRule="auto"/>
        <w:ind w:firstLine="1440"/>
      </w:pPr>
      <w:r>
        <w:t xml:space="preserve">PGW filed an Answer on October 20, 2014.  The Answer </w:t>
      </w:r>
      <w:r w:rsidR="00F41A78">
        <w:t xml:space="preserve">admitted that PGW provided gas service to the Service Address, and admitted issuing the </w:t>
      </w:r>
      <w:r w:rsidR="007218E9">
        <w:t>Shut-Off Notice</w:t>
      </w:r>
      <w:r w:rsidR="00F41A78">
        <w:t xml:space="preserve">.  However, PGW </w:t>
      </w:r>
      <w:r>
        <w:t>alleged that Martha Tillman</w:t>
      </w:r>
      <w:r w:rsidR="00FA5789">
        <w:rPr>
          <w:rStyle w:val="FootnoteReference"/>
        </w:rPr>
        <w:footnoteReference w:id="1"/>
      </w:r>
      <w:r>
        <w:t xml:space="preserve"> is the customer of record on the account identified in the Complaint.  Answer at ¶ 1.  Moreover, the Answer alleged that M</w:t>
      </w:r>
      <w:r w:rsidR="00C2615C">
        <w:t>rs.</w:t>
      </w:r>
      <w:r>
        <w:t xml:space="preserve"> Tillman</w:t>
      </w:r>
      <w:r w:rsidR="00F41A78">
        <w:t xml:space="preserve"> previously</w:t>
      </w:r>
      <w:r>
        <w:t xml:space="preserve"> filed a Co</w:t>
      </w:r>
      <w:r w:rsidR="00F41A78">
        <w:t>mplaint concerning this same account</w:t>
      </w:r>
      <w:r w:rsidR="00E70034">
        <w:t xml:space="preserve"> (Mrs. Tillman’s</w:t>
      </w:r>
      <w:r w:rsidR="00B109CD">
        <w:t xml:space="preserve"> Complaint)</w:t>
      </w:r>
      <w:r w:rsidR="00F41A78">
        <w:t xml:space="preserve">.  </w:t>
      </w:r>
      <w:r w:rsidR="00F37B4A">
        <w:t xml:space="preserve">A Commission administrative law judge dismissed </w:t>
      </w:r>
      <w:r w:rsidR="00B109CD">
        <w:t>Mrs. Tillman’s C</w:t>
      </w:r>
      <w:r w:rsidR="00F41A78">
        <w:t xml:space="preserve">omplaint </w:t>
      </w:r>
      <w:r w:rsidR="00C2615C">
        <w:t>when she failed to attend a Commission hearing</w:t>
      </w:r>
      <w:r>
        <w:t>.</w:t>
      </w:r>
      <w:r w:rsidR="00F41A78">
        <w:t xml:space="preserve">  When no exceptions were filed, the Commission entered a Final Order adopting th</w:t>
      </w:r>
      <w:r w:rsidR="00F37B4A">
        <w:t>at</w:t>
      </w:r>
      <w:r w:rsidR="00F41A78">
        <w:t xml:space="preserve"> decision.</w:t>
      </w:r>
      <w:r>
        <w:t xml:space="preserve">  </w:t>
      </w:r>
      <w:r w:rsidRPr="00586EE9">
        <w:rPr>
          <w:i/>
        </w:rPr>
        <w:t xml:space="preserve">Martha Tillman v. </w:t>
      </w:r>
      <w:r w:rsidRPr="00586EE9">
        <w:rPr>
          <w:i/>
        </w:rPr>
        <w:lastRenderedPageBreak/>
        <w:t>Philadelphia Gas Works</w:t>
      </w:r>
      <w:r>
        <w:t xml:space="preserve">, </w:t>
      </w:r>
      <w:r w:rsidR="00586EE9">
        <w:t>Docket No. F-2009-2146728 (Final O</w:t>
      </w:r>
      <w:r w:rsidR="00C2615C">
        <w:t>rder entered January 10, 2011)</w:t>
      </w:r>
      <w:r w:rsidR="00586EE9">
        <w:t>.</w:t>
      </w:r>
    </w:p>
    <w:p w:rsidR="00F41A78" w:rsidRDefault="00F41A78" w:rsidP="00053F18">
      <w:pPr>
        <w:spacing w:line="360" w:lineRule="auto"/>
        <w:ind w:firstLine="1440"/>
      </w:pPr>
    </w:p>
    <w:p w:rsidR="00C06D5B" w:rsidRDefault="00C06D5B" w:rsidP="00053F18">
      <w:pPr>
        <w:spacing w:line="360" w:lineRule="auto"/>
        <w:ind w:firstLine="1440"/>
      </w:pPr>
      <w:r>
        <w:t xml:space="preserve">A telephonic hearing was convened on </w:t>
      </w:r>
      <w:r w:rsidR="00C2615C">
        <w:t xml:space="preserve">Mr. Tillman’s Complaint on </w:t>
      </w:r>
      <w:r>
        <w:t xml:space="preserve">January 9, 2015.  Mr. Tillman appeared with a financial adviser, who was not permitted to represent him, because the adviser is not an attorney.  </w:t>
      </w:r>
      <w:r w:rsidRPr="00C06D5B">
        <w:rPr>
          <w:i/>
        </w:rPr>
        <w:t>See</w:t>
      </w:r>
      <w:r>
        <w:t xml:space="preserve"> 52 Pa. Code § 1.21(b).  The ALJ granted </w:t>
      </w:r>
      <w:r w:rsidR="00E70034">
        <w:t xml:space="preserve">Mr. Tillman </w:t>
      </w:r>
      <w:r>
        <w:t>a continuance to consult legal counsel.  Transcript of January</w:t>
      </w:r>
      <w:r w:rsidR="00B33FB7">
        <w:t> </w:t>
      </w:r>
      <w:r>
        <w:t>9, 2015 Hearing at 5.</w:t>
      </w:r>
    </w:p>
    <w:p w:rsidR="00C06D5B" w:rsidRDefault="00C06D5B" w:rsidP="00053F18">
      <w:pPr>
        <w:spacing w:line="360" w:lineRule="auto"/>
        <w:ind w:firstLine="1440"/>
      </w:pPr>
    </w:p>
    <w:p w:rsidR="00C03505" w:rsidRDefault="0020219C" w:rsidP="00053F18">
      <w:pPr>
        <w:spacing w:line="360" w:lineRule="auto"/>
        <w:ind w:firstLine="1440"/>
        <w:rPr>
          <w:szCs w:val="26"/>
        </w:rPr>
      </w:pPr>
      <w:r>
        <w:t xml:space="preserve">Another telephonic hearing was held on May 14, 2015.  Mr. Tillman appeared at the hearing, without legal counsel.  PGW appeared at the hearing, represented by counsel.  </w:t>
      </w:r>
      <w:r w:rsidR="00552191">
        <w:t>PGW moved that the matter be dismissed.  PGW argued that the matter had been resolved by the Commission previously.  In addition, PGW noted that Mr. Tillman stated that he had</w:t>
      </w:r>
      <w:r w:rsidR="00C2615C">
        <w:t xml:space="preserve"> a limited liability company</w:t>
      </w:r>
      <w:r w:rsidR="00552191">
        <w:t xml:space="preserve">.  PGW argued that such an entity must be represented by counsel in an adversarial proceeding.  </w:t>
      </w:r>
      <w:r w:rsidR="000B26D5">
        <w:t xml:space="preserve">PGW contended that the Complainant had been given adequate time to consult counsel and objected to a further continuance of the matter.  </w:t>
      </w:r>
      <w:r w:rsidR="00552191">
        <w:t>Tran</w:t>
      </w:r>
      <w:r w:rsidR="0054278D">
        <w:t xml:space="preserve">script of </w:t>
      </w:r>
      <w:r w:rsidR="0054278D" w:rsidRPr="00235043">
        <w:rPr>
          <w:szCs w:val="26"/>
        </w:rPr>
        <w:t>May 14, 2015 Hearing</w:t>
      </w:r>
      <w:r w:rsidR="0054278D">
        <w:rPr>
          <w:szCs w:val="26"/>
        </w:rPr>
        <w:t xml:space="preserve"> at 8.</w:t>
      </w:r>
    </w:p>
    <w:p w:rsidR="00695000" w:rsidRDefault="00695000" w:rsidP="00053F18">
      <w:pPr>
        <w:spacing w:line="360" w:lineRule="auto"/>
        <w:ind w:firstLine="1440"/>
        <w:rPr>
          <w:szCs w:val="26"/>
        </w:rPr>
      </w:pPr>
    </w:p>
    <w:p w:rsidR="00695000" w:rsidRDefault="00695000" w:rsidP="00053F18">
      <w:pPr>
        <w:spacing w:line="360" w:lineRule="auto"/>
        <w:ind w:firstLine="1440"/>
        <w:rPr>
          <w:szCs w:val="26"/>
        </w:rPr>
      </w:pPr>
      <w:r>
        <w:rPr>
          <w:szCs w:val="26"/>
        </w:rPr>
        <w:t xml:space="preserve">Mr. Tillman requested permission to get his attorney on the telephone, which was granted.  The attorney had represented </w:t>
      </w:r>
      <w:r w:rsidR="00D0411C">
        <w:rPr>
          <w:szCs w:val="26"/>
        </w:rPr>
        <w:t xml:space="preserve">Mr. Tillman in an unrelated proceeding, however, and was unfamiliar with this proceeding.  The ALJ denied Mr. Tillman’s request for a continuance, on the grounds that </w:t>
      </w:r>
      <w:r w:rsidR="00C2615C">
        <w:rPr>
          <w:szCs w:val="26"/>
        </w:rPr>
        <w:t xml:space="preserve">Mr. Tillman </w:t>
      </w:r>
      <w:r w:rsidR="00D0411C">
        <w:rPr>
          <w:szCs w:val="26"/>
        </w:rPr>
        <w:t>had already been given a</w:t>
      </w:r>
      <w:r w:rsidR="00C2615C">
        <w:rPr>
          <w:szCs w:val="26"/>
        </w:rPr>
        <w:t xml:space="preserve"> continuance in order </w:t>
      </w:r>
      <w:r w:rsidR="00D0411C">
        <w:rPr>
          <w:szCs w:val="26"/>
        </w:rPr>
        <w:t>to consult counsel.  I.D. at 3.</w:t>
      </w:r>
      <w:r>
        <w:rPr>
          <w:szCs w:val="26"/>
        </w:rPr>
        <w:t xml:space="preserve"> </w:t>
      </w:r>
    </w:p>
    <w:p w:rsidR="00C03505" w:rsidRDefault="00C03505" w:rsidP="00053F18">
      <w:pPr>
        <w:spacing w:line="360" w:lineRule="auto"/>
        <w:ind w:firstLine="1440"/>
        <w:rPr>
          <w:szCs w:val="26"/>
        </w:rPr>
      </w:pPr>
    </w:p>
    <w:p w:rsidR="00C42693" w:rsidRPr="00053F18" w:rsidRDefault="00C03505" w:rsidP="00053F18">
      <w:pPr>
        <w:spacing w:line="360" w:lineRule="auto"/>
        <w:ind w:firstLine="1440"/>
      </w:pPr>
      <w:r>
        <w:rPr>
          <w:szCs w:val="26"/>
        </w:rPr>
        <w:t xml:space="preserve">In his Initial Decision issued </w:t>
      </w:r>
      <w:r>
        <w:t>on November 19, 2015</w:t>
      </w:r>
      <w:r w:rsidR="00D0411C">
        <w:t xml:space="preserve">, ALJ Buckley dismissed </w:t>
      </w:r>
      <w:r>
        <w:t>Mr. Tillman</w:t>
      </w:r>
      <w:r w:rsidR="00D0411C">
        <w:t>’s Complaint</w:t>
      </w:r>
      <w:r>
        <w:t xml:space="preserve">.  As stated above, no exceptions were filed, but we exercised our right to review the Initial Decision pursuant to Section 332(h) of the Code, 66 Pa. C.S. § 332(h).  </w:t>
      </w:r>
    </w:p>
    <w:p w:rsidR="00DA335A" w:rsidRDefault="00DA335A" w:rsidP="00FD1DAD">
      <w:pPr>
        <w:spacing w:line="360" w:lineRule="auto"/>
        <w:jc w:val="center"/>
        <w:rPr>
          <w:b/>
          <w:u w:val="single"/>
        </w:rPr>
      </w:pPr>
    </w:p>
    <w:p w:rsidR="00EB6BF9" w:rsidRPr="00117773" w:rsidRDefault="00EB6BF9" w:rsidP="00545B8A">
      <w:pPr>
        <w:keepNext/>
        <w:spacing w:line="360" w:lineRule="auto"/>
        <w:jc w:val="center"/>
      </w:pPr>
      <w:r w:rsidRPr="00117773">
        <w:rPr>
          <w:b/>
        </w:rPr>
        <w:lastRenderedPageBreak/>
        <w:t>Discussion</w:t>
      </w:r>
    </w:p>
    <w:p w:rsidR="008A7896" w:rsidRDefault="008A7896" w:rsidP="00545B8A">
      <w:pPr>
        <w:keepNext/>
        <w:spacing w:line="360" w:lineRule="auto"/>
        <w:rPr>
          <w:szCs w:val="26"/>
        </w:rPr>
      </w:pPr>
    </w:p>
    <w:p w:rsidR="00414697" w:rsidRPr="008F0B41" w:rsidRDefault="00414697" w:rsidP="00CF417A">
      <w:pPr>
        <w:spacing w:line="360" w:lineRule="auto"/>
        <w:ind w:firstLine="1440"/>
        <w:rPr>
          <w:i/>
        </w:rPr>
      </w:pPr>
      <w:r w:rsidRPr="008F0B41">
        <w:rPr>
          <w:szCs w:val="26"/>
        </w:rPr>
        <w:t>As the proponent of a rule or order, the Complainant</w:t>
      </w:r>
      <w:r>
        <w:rPr>
          <w:szCs w:val="26"/>
        </w:rPr>
        <w:t xml:space="preserve"> in this proceeding bears</w:t>
      </w:r>
      <w:r w:rsidRPr="008F0B41">
        <w:rPr>
          <w:szCs w:val="26"/>
        </w:rPr>
        <w:t xml:space="preserve"> the burden of </w:t>
      </w:r>
      <w:r>
        <w:rPr>
          <w:szCs w:val="26"/>
        </w:rPr>
        <w:t>p</w:t>
      </w:r>
      <w:r w:rsidRPr="008F0B41">
        <w:rPr>
          <w:szCs w:val="26"/>
        </w:rPr>
        <w:t>roof pursuant to Section 332(a) of</w:t>
      </w:r>
      <w:r>
        <w:rPr>
          <w:szCs w:val="26"/>
        </w:rPr>
        <w:t xml:space="preserve"> the Code. </w:t>
      </w:r>
      <w:r w:rsidRPr="008F0B41">
        <w:rPr>
          <w:szCs w:val="26"/>
        </w:rPr>
        <w:t xml:space="preserve"> 66 Pa. C.S. § 332(a).  </w:t>
      </w:r>
      <w:r>
        <w:rPr>
          <w:szCs w:val="26"/>
        </w:rPr>
        <w:t>To establish a sufficient case and satisfy the b</w:t>
      </w:r>
      <w:r w:rsidR="0010246C">
        <w:rPr>
          <w:szCs w:val="26"/>
        </w:rPr>
        <w:t>urden of proof, the Complainant</w:t>
      </w:r>
      <w:r>
        <w:rPr>
          <w:szCs w:val="26"/>
        </w:rPr>
        <w:t xml:space="preserve"> m</w:t>
      </w:r>
      <w:r w:rsidR="004C4C86">
        <w:rPr>
          <w:szCs w:val="26"/>
        </w:rPr>
        <w:t>ust show that the Respondent</w:t>
      </w:r>
      <w:r>
        <w:rPr>
          <w:szCs w:val="26"/>
        </w:rPr>
        <w:t xml:space="preserve"> is responsible or accountable for the problem described in the Complaint.  </w:t>
      </w:r>
      <w:r w:rsidRPr="00122405">
        <w:rPr>
          <w:i/>
          <w:szCs w:val="26"/>
        </w:rPr>
        <w:t xml:space="preserve">Patterson v. </w:t>
      </w:r>
      <w:r w:rsidR="005C07D8">
        <w:rPr>
          <w:i/>
          <w:szCs w:val="26"/>
        </w:rPr>
        <w:t xml:space="preserve">The </w:t>
      </w:r>
      <w:r w:rsidRPr="00122405">
        <w:rPr>
          <w:i/>
          <w:szCs w:val="26"/>
        </w:rPr>
        <w:t>Bell Telephone Company of Pennsylvania</w:t>
      </w:r>
      <w:r>
        <w:rPr>
          <w:szCs w:val="26"/>
        </w:rPr>
        <w:t xml:space="preserve">, 72 Pa. P.U.C. 196 (1990).  Such a showing must be by a preponderance of the evidence.  </w:t>
      </w:r>
      <w:r w:rsidRPr="008F0B41">
        <w:rPr>
          <w:i/>
          <w:iCs/>
          <w:szCs w:val="26"/>
        </w:rPr>
        <w:t xml:space="preserve">Samuel J. </w:t>
      </w:r>
      <w:proofErr w:type="spellStart"/>
      <w:r w:rsidRPr="008F0B41">
        <w:rPr>
          <w:i/>
          <w:iCs/>
          <w:szCs w:val="26"/>
        </w:rPr>
        <w:t>Lansberry</w:t>
      </w:r>
      <w:proofErr w:type="spellEnd"/>
      <w:r w:rsidRPr="008F0B41">
        <w:rPr>
          <w:i/>
          <w:iCs/>
          <w:szCs w:val="26"/>
        </w:rPr>
        <w:t>, Inc. v. P</w:t>
      </w:r>
      <w:r>
        <w:rPr>
          <w:i/>
          <w:iCs/>
          <w:szCs w:val="26"/>
        </w:rPr>
        <w:t>a. PUC</w:t>
      </w:r>
      <w:r w:rsidRPr="008F0B41">
        <w:rPr>
          <w:szCs w:val="26"/>
        </w:rPr>
        <w:t xml:space="preserve">, 578 A.2d 600 (Pa. </w:t>
      </w:r>
      <w:proofErr w:type="spellStart"/>
      <w:r w:rsidRPr="008F0B41">
        <w:rPr>
          <w:szCs w:val="26"/>
        </w:rPr>
        <w:t>C</w:t>
      </w:r>
      <w:r>
        <w:rPr>
          <w:szCs w:val="26"/>
        </w:rPr>
        <w:t>m</w:t>
      </w:r>
      <w:r w:rsidRPr="008F0B41">
        <w:rPr>
          <w:szCs w:val="26"/>
        </w:rPr>
        <w:t>w</w:t>
      </w:r>
      <w:r>
        <w:rPr>
          <w:szCs w:val="26"/>
        </w:rPr>
        <w:t>lth</w:t>
      </w:r>
      <w:proofErr w:type="spellEnd"/>
      <w:r w:rsidRPr="008F0B41">
        <w:rPr>
          <w:szCs w:val="26"/>
        </w:rPr>
        <w:t>. 1990)</w:t>
      </w:r>
      <w:r w:rsidR="005B6109">
        <w:rPr>
          <w:szCs w:val="26"/>
        </w:rPr>
        <w:t xml:space="preserve">, </w:t>
      </w:r>
      <w:proofErr w:type="spellStart"/>
      <w:r w:rsidR="005B6109" w:rsidRPr="005B6109">
        <w:rPr>
          <w:i/>
          <w:szCs w:val="26"/>
        </w:rPr>
        <w:t>alloc</w:t>
      </w:r>
      <w:proofErr w:type="spellEnd"/>
      <w:r w:rsidR="005B6109" w:rsidRPr="005B6109">
        <w:rPr>
          <w:i/>
          <w:szCs w:val="26"/>
        </w:rPr>
        <w:t>. denied</w:t>
      </w:r>
      <w:r w:rsidR="005B6109">
        <w:rPr>
          <w:i/>
          <w:szCs w:val="26"/>
        </w:rPr>
        <w:t>,</w:t>
      </w:r>
      <w:r w:rsidR="005B6109">
        <w:rPr>
          <w:szCs w:val="26"/>
        </w:rPr>
        <w:t xml:space="preserve"> 529 Pa. 654, 602 A.2d 863 (1992)</w:t>
      </w:r>
      <w:r w:rsidRPr="008F0B41">
        <w:rPr>
          <w:szCs w:val="26"/>
        </w:rPr>
        <w:t xml:space="preserve">.  </w:t>
      </w:r>
      <w:r>
        <w:rPr>
          <w:szCs w:val="26"/>
        </w:rPr>
        <w:t>That is, the Complainant’</w:t>
      </w:r>
      <w:r w:rsidR="0010246C">
        <w:rPr>
          <w:szCs w:val="26"/>
        </w:rPr>
        <w:t>s</w:t>
      </w:r>
      <w:r>
        <w:rPr>
          <w:szCs w:val="26"/>
        </w:rPr>
        <w:t xml:space="preserve"> evidence must be more convincing, by even the smallest amount, than that presented by the </w:t>
      </w:r>
      <w:r w:rsidR="00654521">
        <w:rPr>
          <w:szCs w:val="26"/>
        </w:rPr>
        <w:t>Respondent</w:t>
      </w:r>
      <w:r>
        <w:rPr>
          <w:szCs w:val="26"/>
        </w:rPr>
        <w:t xml:space="preserve">.  </w:t>
      </w:r>
      <w:r>
        <w:rPr>
          <w:i/>
          <w:szCs w:val="26"/>
        </w:rPr>
        <w:t>Se-Ling Hosiery</w:t>
      </w:r>
      <w:r w:rsidR="005C07D8">
        <w:rPr>
          <w:i/>
          <w:szCs w:val="26"/>
        </w:rPr>
        <w:t>, Inc.</w:t>
      </w:r>
      <w:r>
        <w:rPr>
          <w:i/>
          <w:szCs w:val="26"/>
        </w:rPr>
        <w:t xml:space="preserve"> v. </w:t>
      </w:r>
      <w:r w:rsidRPr="00122405">
        <w:rPr>
          <w:i/>
          <w:szCs w:val="26"/>
        </w:rPr>
        <w:t>Mar</w:t>
      </w:r>
      <w:r w:rsidR="00AC6D43">
        <w:rPr>
          <w:i/>
          <w:szCs w:val="26"/>
        </w:rPr>
        <w:t>g</w:t>
      </w:r>
      <w:r w:rsidRPr="00122405">
        <w:rPr>
          <w:i/>
          <w:szCs w:val="26"/>
        </w:rPr>
        <w:t>ulies</w:t>
      </w:r>
      <w:r>
        <w:rPr>
          <w:szCs w:val="26"/>
        </w:rPr>
        <w:t xml:space="preserve">, 364 Pa. 45, 70 A.2d 854 (1950).  </w:t>
      </w:r>
      <w:r w:rsidRPr="00122405">
        <w:rPr>
          <w:szCs w:val="26"/>
        </w:rPr>
        <w:t>Additionally</w:t>
      </w:r>
      <w:r w:rsidRPr="008F0B41">
        <w:rPr>
          <w:szCs w:val="26"/>
        </w:rPr>
        <w:t xml:space="preserve">, </w:t>
      </w:r>
      <w:r>
        <w:rPr>
          <w:szCs w:val="26"/>
        </w:rPr>
        <w:t xml:space="preserve">this Commission’s </w:t>
      </w:r>
      <w:r w:rsidRPr="008F0B41">
        <w:t xml:space="preserve">decision </w:t>
      </w:r>
      <w:r>
        <w:t>mu</w:t>
      </w:r>
      <w:r w:rsidRPr="008F0B41">
        <w:t>s</w:t>
      </w:r>
      <w:r>
        <w:t>t be</w:t>
      </w:r>
      <w:r w:rsidRPr="008F0B41">
        <w:t xml:space="preserve"> supported by substantial evidence in the record. </w:t>
      </w:r>
      <w:r>
        <w:t xml:space="preserve"> </w:t>
      </w:r>
      <w:r w:rsidRPr="008F0B41">
        <w:t>More is required than a mere trace of evidence or a suspicion of the existence of a fact sought to be established.</w:t>
      </w:r>
      <w:r>
        <w:t xml:space="preserve">  </w:t>
      </w:r>
      <w:r>
        <w:rPr>
          <w:i/>
        </w:rPr>
        <w:t>Norfolk &amp; Western Ry. Co. v. P</w:t>
      </w:r>
      <w:r w:rsidR="00F15BBC">
        <w:rPr>
          <w:i/>
        </w:rPr>
        <w:t>a. PUC</w:t>
      </w:r>
      <w:r>
        <w:rPr>
          <w:i/>
        </w:rPr>
        <w:t xml:space="preserve">, </w:t>
      </w:r>
      <w:r>
        <w:t>489 Pa. 109, 413 A.2d 1037 (1980).</w:t>
      </w:r>
    </w:p>
    <w:p w:rsidR="00EB6BF9" w:rsidRPr="009E02C1" w:rsidRDefault="00EB6BF9" w:rsidP="00FD1DAD">
      <w:pPr>
        <w:spacing w:line="360" w:lineRule="auto"/>
      </w:pPr>
    </w:p>
    <w:p w:rsidR="000C0224" w:rsidRDefault="003A382D" w:rsidP="00CF417A">
      <w:pPr>
        <w:spacing w:line="360" w:lineRule="auto"/>
        <w:ind w:firstLine="1440"/>
      </w:pPr>
      <w:r w:rsidRPr="009E02C1">
        <w:t xml:space="preserve">ALJ </w:t>
      </w:r>
      <w:r w:rsidR="00654521">
        <w:t xml:space="preserve">Buckley </w:t>
      </w:r>
      <w:r w:rsidRPr="009E02C1">
        <w:t xml:space="preserve">made </w:t>
      </w:r>
      <w:r w:rsidR="00654521">
        <w:t>five</w:t>
      </w:r>
      <w:r w:rsidR="00EB6BF9" w:rsidRPr="009E02C1">
        <w:t xml:space="preserve"> F</w:t>
      </w:r>
      <w:r w:rsidR="00FB7793" w:rsidRPr="009E02C1">
        <w:t>i</w:t>
      </w:r>
      <w:r w:rsidR="00137CC5" w:rsidRPr="009E02C1">
        <w:t>ndings of Fact</w:t>
      </w:r>
      <w:r w:rsidR="00654521">
        <w:t>, I.D. at 3-4,</w:t>
      </w:r>
      <w:r w:rsidR="00137CC5" w:rsidRPr="009E02C1">
        <w:t xml:space="preserve"> </w:t>
      </w:r>
      <w:r w:rsidR="00AC6D43">
        <w:t xml:space="preserve">and </w:t>
      </w:r>
      <w:r w:rsidR="00137CC5" w:rsidRPr="009E02C1">
        <w:t xml:space="preserve">reached </w:t>
      </w:r>
      <w:r w:rsidR="00654521">
        <w:t xml:space="preserve">four </w:t>
      </w:r>
      <w:r w:rsidR="00EB6BF9" w:rsidRPr="009E02C1">
        <w:t>Conclusions of Law</w:t>
      </w:r>
      <w:r w:rsidR="002A28F5">
        <w:t>.</w:t>
      </w:r>
      <w:r w:rsidR="00EA736E">
        <w:t xml:space="preserve"> </w:t>
      </w:r>
      <w:r w:rsidR="002A28F5" w:rsidRPr="002A28F5">
        <w:rPr>
          <w:i/>
        </w:rPr>
        <w:t>I</w:t>
      </w:r>
      <w:r w:rsidR="00654521">
        <w:rPr>
          <w:i/>
        </w:rPr>
        <w:t xml:space="preserve">d. </w:t>
      </w:r>
      <w:r w:rsidR="00654521">
        <w:t xml:space="preserve">at 7-8. </w:t>
      </w:r>
      <w:r w:rsidR="00EB6BF9" w:rsidRPr="009E02C1">
        <w:t xml:space="preserve"> The </w:t>
      </w:r>
      <w:r w:rsidR="00AC6D43">
        <w:t xml:space="preserve">Findings of Fact and </w:t>
      </w:r>
      <w:r w:rsidR="00EB6BF9" w:rsidRPr="009E02C1">
        <w:t>Conclusions of Law are incorporated herein by reference and are adopted without comment unless they are expressly or by necessary implication</w:t>
      </w:r>
      <w:r w:rsidR="007218E9" w:rsidRPr="007218E9">
        <w:t xml:space="preserve"> </w:t>
      </w:r>
      <w:r w:rsidR="007218E9" w:rsidRPr="009E02C1">
        <w:t>either</w:t>
      </w:r>
      <w:r w:rsidR="007218E9">
        <w:t xml:space="preserve"> </w:t>
      </w:r>
      <w:r w:rsidR="00EB6BF9" w:rsidRPr="009E02C1">
        <w:t>rejected or mod</w:t>
      </w:r>
      <w:r w:rsidR="0099537F" w:rsidRPr="009E02C1">
        <w:t>ified by this Opinion and Order.</w:t>
      </w:r>
    </w:p>
    <w:p w:rsidR="008A0B72" w:rsidRDefault="008A0B72" w:rsidP="00FD1DAD">
      <w:pPr>
        <w:spacing w:line="360" w:lineRule="auto"/>
      </w:pPr>
    </w:p>
    <w:p w:rsidR="00B15ABC" w:rsidRDefault="00B15ABC" w:rsidP="00B15ABC">
      <w:pPr>
        <w:tabs>
          <w:tab w:val="left" w:pos="-720"/>
        </w:tabs>
        <w:suppressAutoHyphens/>
        <w:spacing w:line="360" w:lineRule="auto"/>
        <w:ind w:firstLine="1440"/>
        <w:rPr>
          <w:rStyle w:val="Hyperlink"/>
          <w:color w:val="000000"/>
          <w:szCs w:val="26"/>
          <w:u w:val="none"/>
        </w:rPr>
      </w:pPr>
      <w:r w:rsidRPr="00815E97">
        <w:t xml:space="preserve">Initially, we are reminded that we are not required to consider expressly or at great length each and every contention raised by a party to our proceedings.  Any </w:t>
      </w:r>
      <w:r w:rsidR="00654521">
        <w:t xml:space="preserve">issue </w:t>
      </w:r>
      <w:r w:rsidRPr="00815E97">
        <w:t xml:space="preserve">that is not specifically addressed herein shall be deemed to have been duly considered and denied without further discussion. </w:t>
      </w:r>
      <w:r w:rsidR="00815E97" w:rsidRPr="00815E97">
        <w:t xml:space="preserve"> </w:t>
      </w:r>
      <w:hyperlink r:id="rId9" w:history="1">
        <w:r w:rsidR="0057613E">
          <w:rPr>
            <w:rStyle w:val="Emphasis"/>
            <w:color w:val="000000"/>
            <w:szCs w:val="26"/>
          </w:rPr>
          <w:t>Consolidated Rail Corp.</w:t>
        </w:r>
        <w:r w:rsidR="00815E97" w:rsidRPr="00815E97">
          <w:rPr>
            <w:rStyle w:val="Emphasis"/>
            <w:color w:val="000000"/>
            <w:szCs w:val="26"/>
          </w:rPr>
          <w:t xml:space="preserve"> v. Pa. PUC, </w:t>
        </w:r>
        <w:r w:rsidR="00815E97" w:rsidRPr="00815E97">
          <w:rPr>
            <w:rStyle w:val="Hyperlink"/>
            <w:color w:val="000000"/>
            <w:szCs w:val="26"/>
            <w:u w:val="none"/>
          </w:rPr>
          <w:t xml:space="preserve">625 A.2d 741 (Pa. </w:t>
        </w:r>
        <w:proofErr w:type="spellStart"/>
        <w:r w:rsidR="00815E97" w:rsidRPr="00815E97">
          <w:rPr>
            <w:rStyle w:val="Hyperlink"/>
            <w:color w:val="000000"/>
            <w:szCs w:val="26"/>
            <w:u w:val="none"/>
          </w:rPr>
          <w:t>Cmwlth</w:t>
        </w:r>
        <w:proofErr w:type="spellEnd"/>
        <w:r w:rsidR="00815E97" w:rsidRPr="00815E97">
          <w:rPr>
            <w:rStyle w:val="Hyperlink"/>
            <w:color w:val="000000"/>
            <w:szCs w:val="26"/>
            <w:u w:val="none"/>
          </w:rPr>
          <w:t>. 1993);</w:t>
        </w:r>
      </w:hyperlink>
      <w:r w:rsidR="00815E97" w:rsidRPr="00815E97">
        <w:rPr>
          <w:color w:val="000000"/>
          <w:szCs w:val="26"/>
        </w:rPr>
        <w:t xml:space="preserve"> </w:t>
      </w:r>
      <w:r w:rsidR="00815E97" w:rsidRPr="00815E97">
        <w:rPr>
          <w:i/>
          <w:color w:val="000000"/>
          <w:szCs w:val="26"/>
        </w:rPr>
        <w:t xml:space="preserve">also </w:t>
      </w:r>
      <w:r w:rsidR="00815E97" w:rsidRPr="00815E97">
        <w:rPr>
          <w:rStyle w:val="Emphasis"/>
          <w:color w:val="000000"/>
          <w:szCs w:val="26"/>
        </w:rPr>
        <w:t xml:space="preserve">see, generally, </w:t>
      </w:r>
      <w:hyperlink r:id="rId10" w:history="1">
        <w:r w:rsidR="0057613E">
          <w:rPr>
            <w:rStyle w:val="Emphasis"/>
            <w:color w:val="000000"/>
            <w:szCs w:val="26"/>
          </w:rPr>
          <w:t>University of Pennsyl</w:t>
        </w:r>
        <w:r w:rsidR="00815E97" w:rsidRPr="00815E97">
          <w:rPr>
            <w:rStyle w:val="Emphasis"/>
            <w:color w:val="000000"/>
            <w:szCs w:val="26"/>
          </w:rPr>
          <w:t>vania v. Pa. PUC</w:t>
        </w:r>
        <w:r w:rsidR="00815E97" w:rsidRPr="00815E97">
          <w:rPr>
            <w:rStyle w:val="Hyperlink"/>
            <w:color w:val="000000"/>
            <w:szCs w:val="26"/>
            <w:u w:val="none"/>
          </w:rPr>
          <w:t xml:space="preserve">, 485 A.2d 1217 (Pa. </w:t>
        </w:r>
        <w:proofErr w:type="spellStart"/>
        <w:r w:rsidR="00815E97" w:rsidRPr="00815E97">
          <w:rPr>
            <w:rStyle w:val="Hyperlink"/>
            <w:color w:val="000000"/>
            <w:szCs w:val="26"/>
            <w:u w:val="none"/>
          </w:rPr>
          <w:t>Cmwlth</w:t>
        </w:r>
        <w:proofErr w:type="spellEnd"/>
        <w:r w:rsidR="00815E97" w:rsidRPr="00815E97">
          <w:rPr>
            <w:rStyle w:val="Hyperlink"/>
            <w:color w:val="000000"/>
            <w:szCs w:val="26"/>
            <w:u w:val="none"/>
          </w:rPr>
          <w:t>. 1984).</w:t>
        </w:r>
      </w:hyperlink>
    </w:p>
    <w:p w:rsidR="00746260" w:rsidRDefault="00746260" w:rsidP="00B15ABC">
      <w:pPr>
        <w:tabs>
          <w:tab w:val="left" w:pos="-720"/>
        </w:tabs>
        <w:suppressAutoHyphens/>
        <w:spacing w:line="360" w:lineRule="auto"/>
        <w:ind w:firstLine="1440"/>
        <w:rPr>
          <w:rStyle w:val="Hyperlink"/>
          <w:color w:val="000000"/>
          <w:szCs w:val="26"/>
          <w:u w:val="none"/>
        </w:rPr>
      </w:pPr>
    </w:p>
    <w:p w:rsidR="00746260" w:rsidRPr="00746260" w:rsidRDefault="00746260" w:rsidP="00746260">
      <w:pPr>
        <w:tabs>
          <w:tab w:val="left" w:pos="-720"/>
        </w:tabs>
        <w:suppressAutoHyphens/>
        <w:spacing w:line="360" w:lineRule="auto"/>
        <w:rPr>
          <w:rStyle w:val="Hyperlink"/>
          <w:b/>
          <w:color w:val="000000"/>
          <w:szCs w:val="26"/>
          <w:u w:val="none"/>
        </w:rPr>
      </w:pPr>
      <w:r w:rsidRPr="00746260">
        <w:rPr>
          <w:rStyle w:val="Hyperlink"/>
          <w:b/>
          <w:color w:val="000000"/>
          <w:szCs w:val="26"/>
          <w:u w:val="none"/>
        </w:rPr>
        <w:t>ALJ’s Initial Decision</w:t>
      </w:r>
    </w:p>
    <w:p w:rsidR="004530AA" w:rsidRDefault="004530AA" w:rsidP="004530AA">
      <w:pPr>
        <w:spacing w:line="360" w:lineRule="auto"/>
        <w:ind w:firstLine="1440"/>
        <w:rPr>
          <w:szCs w:val="26"/>
        </w:rPr>
      </w:pPr>
    </w:p>
    <w:p w:rsidR="00E70034" w:rsidRPr="005E28B0" w:rsidRDefault="004530AA" w:rsidP="00E70034">
      <w:pPr>
        <w:spacing w:line="360" w:lineRule="auto"/>
        <w:ind w:firstLine="1440"/>
        <w:rPr>
          <w:szCs w:val="26"/>
        </w:rPr>
      </w:pPr>
      <w:r w:rsidRPr="005E28B0">
        <w:rPr>
          <w:szCs w:val="26"/>
        </w:rPr>
        <w:t xml:space="preserve">ALJ Buckley dismissed Mr. Tillman’s Complaint for two reasons.  First, he found the Complaint was barred by the doctrine of </w:t>
      </w:r>
      <w:r w:rsidRPr="005E28B0">
        <w:rPr>
          <w:i/>
          <w:szCs w:val="26"/>
        </w:rPr>
        <w:t>res judicata</w:t>
      </w:r>
      <w:r w:rsidRPr="005E28B0">
        <w:rPr>
          <w:szCs w:val="26"/>
        </w:rPr>
        <w:t xml:space="preserve">, or claim preclusion.  </w:t>
      </w:r>
      <w:r w:rsidR="005C1197">
        <w:rPr>
          <w:szCs w:val="26"/>
        </w:rPr>
        <w:t xml:space="preserve">ALJ Buckley noted that a </w:t>
      </w:r>
      <w:r w:rsidR="00E70034">
        <w:rPr>
          <w:szCs w:val="26"/>
        </w:rPr>
        <w:t xml:space="preserve">valid </w:t>
      </w:r>
      <w:r w:rsidR="005C1197">
        <w:rPr>
          <w:szCs w:val="26"/>
        </w:rPr>
        <w:t xml:space="preserve">final </w:t>
      </w:r>
      <w:r w:rsidR="00E70034">
        <w:rPr>
          <w:szCs w:val="26"/>
        </w:rPr>
        <w:t>judgement on the merits by a court of competent jurisdiction bars any future suit between th</w:t>
      </w:r>
      <w:r w:rsidR="00983D97">
        <w:rPr>
          <w:szCs w:val="26"/>
        </w:rPr>
        <w:t>e same parties on issues that were or should have been litigated in that proceeding</w:t>
      </w:r>
      <w:r w:rsidR="00E70034">
        <w:rPr>
          <w:szCs w:val="26"/>
        </w:rPr>
        <w:t xml:space="preserve">.  </w:t>
      </w:r>
      <w:r w:rsidR="004C4C86">
        <w:rPr>
          <w:szCs w:val="26"/>
        </w:rPr>
        <w:t xml:space="preserve">I.D. at 5.  </w:t>
      </w:r>
      <w:r w:rsidR="00E70034">
        <w:rPr>
          <w:szCs w:val="26"/>
        </w:rPr>
        <w:t xml:space="preserve">He found that the </w:t>
      </w:r>
      <w:r w:rsidR="00E70034" w:rsidRPr="005E28B0">
        <w:rPr>
          <w:szCs w:val="26"/>
        </w:rPr>
        <w:t>dismissal of Mrs. Tillman’s Complaint, with prejudice, was a disposition on the</w:t>
      </w:r>
      <w:r w:rsidR="00E70034">
        <w:rPr>
          <w:szCs w:val="26"/>
        </w:rPr>
        <w:t xml:space="preserve"> merits of </w:t>
      </w:r>
      <w:r w:rsidR="00E70034" w:rsidRPr="005E28B0">
        <w:rPr>
          <w:szCs w:val="26"/>
        </w:rPr>
        <w:t>he</w:t>
      </w:r>
      <w:r w:rsidR="00E70034">
        <w:rPr>
          <w:szCs w:val="26"/>
        </w:rPr>
        <w:t>r</w:t>
      </w:r>
      <w:r w:rsidR="00E70034" w:rsidRPr="005E28B0">
        <w:rPr>
          <w:szCs w:val="26"/>
        </w:rPr>
        <w:t xml:space="preserve"> case.  </w:t>
      </w:r>
      <w:r w:rsidR="00E70034" w:rsidRPr="005E28B0">
        <w:rPr>
          <w:i/>
          <w:szCs w:val="26"/>
        </w:rPr>
        <w:t>Id</w:t>
      </w:r>
      <w:r w:rsidR="00E70034" w:rsidRPr="005E28B0">
        <w:rPr>
          <w:szCs w:val="26"/>
        </w:rPr>
        <w:t>. at 6 n.5.</w:t>
      </w:r>
      <w:r w:rsidR="00E70034">
        <w:rPr>
          <w:szCs w:val="26"/>
        </w:rPr>
        <w:t xml:space="preserve"> </w:t>
      </w:r>
    </w:p>
    <w:p w:rsidR="00E70034" w:rsidRDefault="00E70034" w:rsidP="004530AA">
      <w:pPr>
        <w:spacing w:line="360" w:lineRule="auto"/>
        <w:ind w:firstLine="1440"/>
        <w:rPr>
          <w:szCs w:val="26"/>
        </w:rPr>
      </w:pPr>
    </w:p>
    <w:p w:rsidR="00E70034" w:rsidRPr="004C4C86" w:rsidRDefault="00E70034" w:rsidP="004530AA">
      <w:pPr>
        <w:spacing w:line="360" w:lineRule="auto"/>
        <w:ind w:firstLine="1440"/>
        <w:rPr>
          <w:szCs w:val="26"/>
        </w:rPr>
      </w:pPr>
      <w:r>
        <w:rPr>
          <w:szCs w:val="26"/>
        </w:rPr>
        <w:t>ALJ Buckley further noted that f</w:t>
      </w:r>
      <w:r w:rsidR="004530AA" w:rsidRPr="005E28B0">
        <w:rPr>
          <w:szCs w:val="26"/>
        </w:rPr>
        <w:t xml:space="preserve">our conditions </w:t>
      </w:r>
      <w:r>
        <w:rPr>
          <w:szCs w:val="26"/>
        </w:rPr>
        <w:t xml:space="preserve">must be met to </w:t>
      </w:r>
      <w:r w:rsidR="004530AA" w:rsidRPr="005E28B0">
        <w:rPr>
          <w:szCs w:val="26"/>
        </w:rPr>
        <w:t xml:space="preserve">apply the doctrine of </w:t>
      </w:r>
      <w:r w:rsidR="004530AA" w:rsidRPr="005E28B0">
        <w:rPr>
          <w:i/>
          <w:szCs w:val="26"/>
        </w:rPr>
        <w:t>res judicata</w:t>
      </w:r>
      <w:r>
        <w:rPr>
          <w:szCs w:val="26"/>
        </w:rPr>
        <w:t>:</w:t>
      </w:r>
      <w:r w:rsidR="004530AA" w:rsidRPr="005E28B0">
        <w:rPr>
          <w:szCs w:val="26"/>
        </w:rPr>
        <w:t xml:space="preserve"> (1) identity of issues, (2) identity of causes of action, (3)</w:t>
      </w:r>
      <w:r w:rsidR="004530AA">
        <w:rPr>
          <w:szCs w:val="26"/>
        </w:rPr>
        <w:t> </w:t>
      </w:r>
      <w:r w:rsidR="004530AA" w:rsidRPr="005E28B0">
        <w:rPr>
          <w:szCs w:val="26"/>
        </w:rPr>
        <w:t>identity of persons and parties to the action, and (4)</w:t>
      </w:r>
      <w:r>
        <w:rPr>
          <w:szCs w:val="26"/>
        </w:rPr>
        <w:t> </w:t>
      </w:r>
      <w:r w:rsidR="004530AA" w:rsidRPr="005E28B0">
        <w:rPr>
          <w:szCs w:val="26"/>
        </w:rPr>
        <w:t xml:space="preserve">identity of the quality and capacity of the parties suing or being sued.  </w:t>
      </w:r>
      <w:r w:rsidR="004530AA">
        <w:rPr>
          <w:szCs w:val="26"/>
        </w:rPr>
        <w:t xml:space="preserve">ALJ </w:t>
      </w:r>
      <w:r w:rsidR="004530AA" w:rsidRPr="005E28B0">
        <w:rPr>
          <w:szCs w:val="26"/>
        </w:rPr>
        <w:t xml:space="preserve">Buckley concluded </w:t>
      </w:r>
      <w:r>
        <w:rPr>
          <w:szCs w:val="26"/>
        </w:rPr>
        <w:t>that each of these conditions was met in this proceeding.</w:t>
      </w:r>
      <w:r w:rsidR="004C4C86">
        <w:rPr>
          <w:szCs w:val="26"/>
        </w:rPr>
        <w:t xml:space="preserve">  </w:t>
      </w:r>
      <w:r w:rsidR="004C4C86">
        <w:rPr>
          <w:i/>
          <w:szCs w:val="26"/>
        </w:rPr>
        <w:t xml:space="preserve">Id. </w:t>
      </w:r>
      <w:r w:rsidR="004C4C86">
        <w:rPr>
          <w:szCs w:val="26"/>
        </w:rPr>
        <w:t>at 6-7.</w:t>
      </w:r>
    </w:p>
    <w:p w:rsidR="004530AA" w:rsidRPr="005E28B0" w:rsidRDefault="00E70034" w:rsidP="004530AA">
      <w:pPr>
        <w:spacing w:line="360" w:lineRule="auto"/>
        <w:ind w:firstLine="1440"/>
        <w:rPr>
          <w:szCs w:val="26"/>
        </w:rPr>
      </w:pPr>
      <w:r>
        <w:rPr>
          <w:szCs w:val="26"/>
        </w:rPr>
        <w:t xml:space="preserve">  </w:t>
      </w:r>
    </w:p>
    <w:p w:rsidR="004530AA" w:rsidRPr="005E28B0" w:rsidRDefault="004530AA" w:rsidP="004530AA">
      <w:pPr>
        <w:spacing w:line="360" w:lineRule="auto"/>
        <w:ind w:firstLine="1440"/>
        <w:rPr>
          <w:szCs w:val="26"/>
        </w:rPr>
      </w:pPr>
      <w:r w:rsidRPr="005E28B0">
        <w:rPr>
          <w:szCs w:val="26"/>
        </w:rPr>
        <w:t xml:space="preserve">Second, ALJ Buckley dismissed Mr. Tillman’s Complaint based on </w:t>
      </w:r>
      <w:r>
        <w:rPr>
          <w:szCs w:val="26"/>
        </w:rPr>
        <w:t xml:space="preserve">Section 316 of the Code, </w:t>
      </w:r>
      <w:r w:rsidRPr="005E28B0">
        <w:rPr>
          <w:szCs w:val="26"/>
        </w:rPr>
        <w:t>66 Pa. C.S.</w:t>
      </w:r>
      <w:r>
        <w:rPr>
          <w:szCs w:val="26"/>
        </w:rPr>
        <w:t xml:space="preserve"> </w:t>
      </w:r>
      <w:r w:rsidRPr="005E28B0">
        <w:rPr>
          <w:szCs w:val="26"/>
        </w:rPr>
        <w:t>§ 316, which states:</w:t>
      </w:r>
    </w:p>
    <w:p w:rsidR="004530AA" w:rsidRPr="005E28B0" w:rsidRDefault="004530AA" w:rsidP="004530AA">
      <w:pPr>
        <w:ind w:firstLine="1440"/>
        <w:rPr>
          <w:szCs w:val="26"/>
        </w:rPr>
      </w:pPr>
    </w:p>
    <w:p w:rsidR="004530AA" w:rsidRPr="005E28B0" w:rsidRDefault="004530AA" w:rsidP="004530AA">
      <w:pPr>
        <w:ind w:left="1440" w:right="1440" w:firstLine="720"/>
        <w:rPr>
          <w:szCs w:val="26"/>
        </w:rPr>
      </w:pPr>
      <w:r w:rsidRPr="005E28B0">
        <w:rPr>
          <w:szCs w:val="26"/>
        </w:rPr>
        <w:t xml:space="preserve">Whenever the Commission shall make any rule, regulation, finding, determination or order, the same shall be prima facie evidence of the facts found and shall remain conclusive upon all parties affected thereby, unless set aside, annulled or modified on judicial review.       </w:t>
      </w:r>
    </w:p>
    <w:p w:rsidR="004530AA" w:rsidRPr="005E28B0" w:rsidRDefault="004530AA" w:rsidP="004530AA">
      <w:pPr>
        <w:jc w:val="center"/>
        <w:rPr>
          <w:b/>
          <w:szCs w:val="26"/>
        </w:rPr>
      </w:pPr>
    </w:p>
    <w:p w:rsidR="004530AA" w:rsidRPr="005E28B0" w:rsidRDefault="004530AA" w:rsidP="004530AA">
      <w:pPr>
        <w:spacing w:line="360" w:lineRule="auto"/>
        <w:rPr>
          <w:szCs w:val="26"/>
        </w:rPr>
      </w:pPr>
      <w:r>
        <w:rPr>
          <w:szCs w:val="26"/>
        </w:rPr>
        <w:t xml:space="preserve">ALJ </w:t>
      </w:r>
      <w:r w:rsidRPr="005E28B0">
        <w:rPr>
          <w:szCs w:val="26"/>
        </w:rPr>
        <w:t>Buckley’s decision was based on the conclusion that Mr. Tillman “seeks to re-litigate the same Complaint that had already been filed by his spouse, Martha Tillman.”  I.D. at 6.</w:t>
      </w:r>
    </w:p>
    <w:p w:rsidR="008A7896" w:rsidRDefault="008A7896" w:rsidP="00B66AB8">
      <w:pPr>
        <w:spacing w:line="360" w:lineRule="auto"/>
        <w:ind w:firstLine="1440"/>
      </w:pPr>
    </w:p>
    <w:p w:rsidR="004C16BA" w:rsidRPr="004C16BA" w:rsidRDefault="004C16BA" w:rsidP="009463B8">
      <w:pPr>
        <w:keepNext/>
        <w:spacing w:line="360" w:lineRule="auto"/>
        <w:rPr>
          <w:b/>
        </w:rPr>
      </w:pPr>
      <w:r>
        <w:rPr>
          <w:b/>
        </w:rPr>
        <w:lastRenderedPageBreak/>
        <w:t>Disposition</w:t>
      </w:r>
    </w:p>
    <w:p w:rsidR="004C16BA" w:rsidRDefault="004C16BA" w:rsidP="009463B8">
      <w:pPr>
        <w:keepNext/>
        <w:spacing w:line="360" w:lineRule="auto"/>
        <w:ind w:firstLine="1440"/>
      </w:pPr>
    </w:p>
    <w:p w:rsidR="009B1B45" w:rsidRPr="005E28B0" w:rsidRDefault="009B1B45" w:rsidP="009B1B45">
      <w:pPr>
        <w:spacing w:line="360" w:lineRule="auto"/>
        <w:ind w:firstLine="1440"/>
        <w:rPr>
          <w:szCs w:val="26"/>
        </w:rPr>
      </w:pPr>
      <w:r w:rsidRPr="005E28B0">
        <w:rPr>
          <w:szCs w:val="26"/>
        </w:rPr>
        <w:t xml:space="preserve">Based on the record as it stands at this time, we are unable to conclude that the four conditions necessary for the application of the doctrine of </w:t>
      </w:r>
      <w:r w:rsidRPr="005E28B0">
        <w:rPr>
          <w:i/>
          <w:szCs w:val="26"/>
        </w:rPr>
        <w:t>res judicata</w:t>
      </w:r>
      <w:r w:rsidRPr="005E28B0">
        <w:rPr>
          <w:szCs w:val="26"/>
        </w:rPr>
        <w:t xml:space="preserve"> are met in this case.  Specifically, we are unable to conclude that all of the issues present in Mr. Tillman’s </w:t>
      </w:r>
      <w:r w:rsidR="004D163C">
        <w:rPr>
          <w:szCs w:val="26"/>
        </w:rPr>
        <w:t xml:space="preserve">Complaint </w:t>
      </w:r>
      <w:r w:rsidRPr="005E28B0">
        <w:rPr>
          <w:szCs w:val="26"/>
        </w:rPr>
        <w:t xml:space="preserve">were or should have been litigated in Mrs. Tillman’s </w:t>
      </w:r>
      <w:r w:rsidR="004D163C">
        <w:rPr>
          <w:szCs w:val="26"/>
        </w:rPr>
        <w:t>Complaint</w:t>
      </w:r>
      <w:r w:rsidRPr="005E28B0">
        <w:rPr>
          <w:szCs w:val="26"/>
        </w:rPr>
        <w:t>.</w:t>
      </w:r>
    </w:p>
    <w:p w:rsidR="009B1B45" w:rsidRPr="005E28B0" w:rsidRDefault="009B1B45" w:rsidP="009B1B45">
      <w:pPr>
        <w:spacing w:line="360" w:lineRule="auto"/>
        <w:ind w:firstLine="1440"/>
        <w:rPr>
          <w:szCs w:val="26"/>
        </w:rPr>
      </w:pPr>
    </w:p>
    <w:p w:rsidR="009B1B45" w:rsidRPr="005E28B0" w:rsidRDefault="009B1B45" w:rsidP="009B1B45">
      <w:pPr>
        <w:spacing w:line="360" w:lineRule="auto"/>
        <w:ind w:firstLine="1440"/>
        <w:rPr>
          <w:szCs w:val="26"/>
        </w:rPr>
      </w:pPr>
      <w:r w:rsidRPr="005E28B0">
        <w:rPr>
          <w:szCs w:val="26"/>
        </w:rPr>
        <w:t xml:space="preserve">Mrs. Tillman’s Complaint was filed on December 10, 2009.  </w:t>
      </w:r>
      <w:r w:rsidR="00983D97">
        <w:rPr>
          <w:szCs w:val="26"/>
        </w:rPr>
        <w:t xml:space="preserve">Mrs. Tillman </w:t>
      </w:r>
      <w:r w:rsidRPr="005E28B0">
        <w:rPr>
          <w:szCs w:val="26"/>
        </w:rPr>
        <w:t>checked one box on the complaint form: “there are incorrect charges on my bill.”  According to th</w:t>
      </w:r>
      <w:r w:rsidR="00983D97">
        <w:rPr>
          <w:szCs w:val="26"/>
        </w:rPr>
        <w:t>at c</w:t>
      </w:r>
      <w:r w:rsidRPr="005E28B0">
        <w:rPr>
          <w:szCs w:val="26"/>
        </w:rPr>
        <w:t xml:space="preserve">omplaint, PGW was overcharging the account $5,252.05.  </w:t>
      </w:r>
    </w:p>
    <w:p w:rsidR="009B1B45" w:rsidRPr="005E28B0" w:rsidRDefault="009B1B45" w:rsidP="009B1B45">
      <w:pPr>
        <w:spacing w:line="360" w:lineRule="auto"/>
        <w:rPr>
          <w:szCs w:val="26"/>
        </w:rPr>
      </w:pPr>
    </w:p>
    <w:p w:rsidR="009B1B45" w:rsidRPr="005E28B0" w:rsidRDefault="009B1B45" w:rsidP="009B1B45">
      <w:pPr>
        <w:spacing w:line="360" w:lineRule="auto"/>
        <w:rPr>
          <w:szCs w:val="26"/>
        </w:rPr>
      </w:pPr>
      <w:r w:rsidRPr="005E28B0">
        <w:rPr>
          <w:szCs w:val="26"/>
        </w:rPr>
        <w:tab/>
      </w:r>
      <w:r w:rsidRPr="005E28B0">
        <w:rPr>
          <w:szCs w:val="26"/>
        </w:rPr>
        <w:tab/>
      </w:r>
      <w:r w:rsidR="004C4C86">
        <w:rPr>
          <w:szCs w:val="26"/>
        </w:rPr>
        <w:t xml:space="preserve">As previously stated, </w:t>
      </w:r>
      <w:r w:rsidRPr="005E28B0">
        <w:rPr>
          <w:szCs w:val="26"/>
        </w:rPr>
        <w:t xml:space="preserve">Mr. Tillman’s Complaint was filed on September 26, 2014.  </w:t>
      </w:r>
      <w:r w:rsidR="00B60AF3">
        <w:rPr>
          <w:szCs w:val="26"/>
        </w:rPr>
        <w:t xml:space="preserve">It concerned the </w:t>
      </w:r>
      <w:r w:rsidR="001030F2">
        <w:rPr>
          <w:szCs w:val="26"/>
        </w:rPr>
        <w:t>same s</w:t>
      </w:r>
      <w:r w:rsidR="00B60AF3">
        <w:rPr>
          <w:szCs w:val="26"/>
        </w:rPr>
        <w:t xml:space="preserve">ervice </w:t>
      </w:r>
      <w:r w:rsidR="001030F2">
        <w:rPr>
          <w:szCs w:val="26"/>
        </w:rPr>
        <w:t>a</w:t>
      </w:r>
      <w:r w:rsidR="00B60AF3">
        <w:rPr>
          <w:szCs w:val="26"/>
        </w:rPr>
        <w:t>ddress</w:t>
      </w:r>
      <w:r w:rsidR="001030F2">
        <w:rPr>
          <w:szCs w:val="26"/>
        </w:rPr>
        <w:t xml:space="preserve"> </w:t>
      </w:r>
      <w:r w:rsidR="00B60AF3">
        <w:rPr>
          <w:szCs w:val="26"/>
        </w:rPr>
        <w:t xml:space="preserve">and the same account number as was listed on Mrs. Tillman’s Complaint.  However, Mr. Tillman </w:t>
      </w:r>
      <w:r w:rsidRPr="005E28B0">
        <w:rPr>
          <w:szCs w:val="26"/>
        </w:rPr>
        <w:t xml:space="preserve">checked two boxes on </w:t>
      </w:r>
      <w:r w:rsidR="00B60AF3">
        <w:rPr>
          <w:szCs w:val="26"/>
        </w:rPr>
        <w:t>his</w:t>
      </w:r>
      <w:r w:rsidRPr="005E28B0">
        <w:rPr>
          <w:szCs w:val="26"/>
        </w:rPr>
        <w:t xml:space="preserve"> complaint form:  “the utility is threatening to shut off my service or </w:t>
      </w:r>
      <w:r>
        <w:rPr>
          <w:szCs w:val="26"/>
        </w:rPr>
        <w:t>has already shut off my service</w:t>
      </w:r>
      <w:r w:rsidRPr="005E28B0">
        <w:rPr>
          <w:szCs w:val="26"/>
        </w:rPr>
        <w:t xml:space="preserve">” and “there are incorrect charges on my bill.”  </w:t>
      </w:r>
      <w:r w:rsidR="00B60AF3">
        <w:rPr>
          <w:szCs w:val="26"/>
        </w:rPr>
        <w:t>He also a</w:t>
      </w:r>
      <w:r w:rsidRPr="005E28B0">
        <w:rPr>
          <w:szCs w:val="26"/>
        </w:rPr>
        <w:t>ttached the</w:t>
      </w:r>
      <w:r w:rsidR="00B60AF3">
        <w:rPr>
          <w:szCs w:val="26"/>
        </w:rPr>
        <w:t xml:space="preserve"> </w:t>
      </w:r>
      <w:r w:rsidR="007218E9">
        <w:rPr>
          <w:szCs w:val="26"/>
        </w:rPr>
        <w:t>Shut-Off Notice</w:t>
      </w:r>
      <w:r w:rsidR="00B60AF3">
        <w:rPr>
          <w:szCs w:val="26"/>
        </w:rPr>
        <w:t>, which was dated September 18, 2014.  That document</w:t>
      </w:r>
      <w:r w:rsidRPr="005E28B0">
        <w:rPr>
          <w:szCs w:val="26"/>
        </w:rPr>
        <w:t xml:space="preserve"> states that the landlord’s amount due is $20,217.95.</w:t>
      </w:r>
      <w:r>
        <w:rPr>
          <w:szCs w:val="26"/>
        </w:rPr>
        <w:t xml:space="preserve"> </w:t>
      </w:r>
      <w:r w:rsidR="00983D97">
        <w:rPr>
          <w:szCs w:val="26"/>
        </w:rPr>
        <w:t xml:space="preserve"> </w:t>
      </w:r>
    </w:p>
    <w:p w:rsidR="009B1B45" w:rsidRPr="005E28B0" w:rsidRDefault="009B1B45" w:rsidP="009B1B45">
      <w:pPr>
        <w:spacing w:line="360" w:lineRule="auto"/>
        <w:ind w:firstLine="1440"/>
        <w:rPr>
          <w:szCs w:val="26"/>
        </w:rPr>
      </w:pPr>
      <w:r w:rsidRPr="005E28B0">
        <w:rPr>
          <w:szCs w:val="26"/>
        </w:rPr>
        <w:t xml:space="preserve">  </w:t>
      </w:r>
    </w:p>
    <w:p w:rsidR="001030F2" w:rsidRDefault="009B1B45" w:rsidP="006203B5">
      <w:pPr>
        <w:spacing w:line="360" w:lineRule="auto"/>
        <w:ind w:firstLine="1440"/>
        <w:rPr>
          <w:szCs w:val="26"/>
        </w:rPr>
      </w:pPr>
      <w:r w:rsidRPr="005E28B0">
        <w:rPr>
          <w:szCs w:val="26"/>
        </w:rPr>
        <w:t xml:space="preserve">At the </w:t>
      </w:r>
      <w:r w:rsidR="00983D97">
        <w:rPr>
          <w:szCs w:val="26"/>
        </w:rPr>
        <w:t>h</w:t>
      </w:r>
      <w:r w:rsidRPr="005E28B0">
        <w:rPr>
          <w:szCs w:val="26"/>
        </w:rPr>
        <w:t>earing</w:t>
      </w:r>
      <w:r w:rsidR="00983D97">
        <w:rPr>
          <w:szCs w:val="26"/>
        </w:rPr>
        <w:t xml:space="preserve"> of </w:t>
      </w:r>
      <w:r w:rsidR="00983D97" w:rsidRPr="005E28B0">
        <w:rPr>
          <w:szCs w:val="26"/>
        </w:rPr>
        <w:t>May 14, 2015</w:t>
      </w:r>
      <w:r w:rsidRPr="005E28B0">
        <w:rPr>
          <w:szCs w:val="26"/>
        </w:rPr>
        <w:t>, PGW’</w:t>
      </w:r>
      <w:r>
        <w:rPr>
          <w:szCs w:val="26"/>
        </w:rPr>
        <w:t>s c</w:t>
      </w:r>
      <w:r w:rsidRPr="005E28B0">
        <w:rPr>
          <w:szCs w:val="26"/>
        </w:rPr>
        <w:t>ounsel claimed that the account in question is a business account</w:t>
      </w:r>
      <w:r>
        <w:rPr>
          <w:rStyle w:val="FootnoteReference"/>
          <w:szCs w:val="26"/>
        </w:rPr>
        <w:footnoteReference w:id="2"/>
      </w:r>
      <w:r w:rsidRPr="005E28B0">
        <w:rPr>
          <w:szCs w:val="26"/>
        </w:rPr>
        <w:t xml:space="preserve"> and the complainant is a company, which must be </w:t>
      </w:r>
    </w:p>
    <w:p w:rsidR="009B1B45" w:rsidRPr="005E28B0" w:rsidRDefault="009B1B45" w:rsidP="001030F2">
      <w:pPr>
        <w:spacing w:line="360" w:lineRule="auto"/>
        <w:rPr>
          <w:szCs w:val="26"/>
        </w:rPr>
      </w:pPr>
      <w:r w:rsidRPr="005E28B0">
        <w:rPr>
          <w:szCs w:val="26"/>
        </w:rPr>
        <w:t>represented by an attorney at the hearing.  Tr. at 5-6.  The ALJ questioned Mr. Tillman, who stated that he had a limited liability company.</w:t>
      </w:r>
      <w:r>
        <w:rPr>
          <w:rStyle w:val="FootnoteReference"/>
          <w:szCs w:val="26"/>
        </w:rPr>
        <w:footnoteReference w:id="3"/>
      </w:r>
      <w:r w:rsidRPr="005E28B0">
        <w:rPr>
          <w:szCs w:val="26"/>
        </w:rPr>
        <w:t xml:space="preserve">  </w:t>
      </w:r>
    </w:p>
    <w:p w:rsidR="009B1B45" w:rsidRPr="005E28B0" w:rsidRDefault="009B1B45" w:rsidP="009B1B45">
      <w:pPr>
        <w:spacing w:line="360" w:lineRule="auto"/>
        <w:ind w:firstLine="1440"/>
        <w:rPr>
          <w:szCs w:val="26"/>
        </w:rPr>
      </w:pPr>
    </w:p>
    <w:p w:rsidR="009B1B45" w:rsidRPr="005E28B0" w:rsidRDefault="009B1B45" w:rsidP="009B1B45">
      <w:pPr>
        <w:spacing w:line="360" w:lineRule="auto"/>
        <w:ind w:firstLine="1440"/>
        <w:rPr>
          <w:szCs w:val="26"/>
        </w:rPr>
      </w:pPr>
      <w:r w:rsidRPr="005E28B0">
        <w:rPr>
          <w:szCs w:val="26"/>
        </w:rPr>
        <w:t>In addition, PGW’s counsel argued</w:t>
      </w:r>
      <w:r w:rsidR="00FE1F0C">
        <w:rPr>
          <w:szCs w:val="26"/>
        </w:rPr>
        <w:t>,</w:t>
      </w:r>
      <w:r w:rsidRPr="005E28B0">
        <w:rPr>
          <w:szCs w:val="26"/>
        </w:rPr>
        <w:t xml:space="preserve"> “I believe that this matter should be dismissed because as long as he clarifies what his actual argument is about, I believe this matter has already been dealt with by a </w:t>
      </w:r>
      <w:r w:rsidR="00D55446">
        <w:rPr>
          <w:szCs w:val="26"/>
        </w:rPr>
        <w:t>[d]</w:t>
      </w:r>
      <w:proofErr w:type="spellStart"/>
      <w:r w:rsidRPr="005E28B0">
        <w:rPr>
          <w:szCs w:val="26"/>
        </w:rPr>
        <w:t>ecision</w:t>
      </w:r>
      <w:proofErr w:type="spellEnd"/>
      <w:r w:rsidRPr="005E28B0">
        <w:rPr>
          <w:szCs w:val="26"/>
        </w:rPr>
        <w:t xml:space="preserve"> of the Commission.”  </w:t>
      </w:r>
      <w:r>
        <w:rPr>
          <w:szCs w:val="26"/>
        </w:rPr>
        <w:t>Tr.</w:t>
      </w:r>
      <w:r w:rsidRPr="005E28B0">
        <w:rPr>
          <w:szCs w:val="26"/>
        </w:rPr>
        <w:t xml:space="preserve"> at 6.   The ALJ then asked the Complainant</w:t>
      </w:r>
      <w:r w:rsidR="00FE1F0C">
        <w:rPr>
          <w:szCs w:val="26"/>
        </w:rPr>
        <w:t>,</w:t>
      </w:r>
      <w:r w:rsidRPr="005E28B0">
        <w:rPr>
          <w:szCs w:val="26"/>
        </w:rPr>
        <w:t xml:space="preserve"> “I</w:t>
      </w:r>
      <w:r>
        <w:rPr>
          <w:szCs w:val="26"/>
        </w:rPr>
        <w:t>s your complaint about the $5,2</w:t>
      </w:r>
      <w:r w:rsidRPr="005E28B0">
        <w:rPr>
          <w:szCs w:val="26"/>
        </w:rPr>
        <w:t>52.05 owed on the bill that I believe was originally in the name of Martha Tillman?” and the Complainant a</w:t>
      </w:r>
      <w:r>
        <w:rPr>
          <w:szCs w:val="26"/>
        </w:rPr>
        <w:t>nswered</w:t>
      </w:r>
      <w:r w:rsidR="00FE1F0C">
        <w:rPr>
          <w:szCs w:val="26"/>
        </w:rPr>
        <w:t>,</w:t>
      </w:r>
      <w:r>
        <w:rPr>
          <w:szCs w:val="26"/>
        </w:rPr>
        <w:t xml:space="preserve"> “Yes, yes.  Martha Till</w:t>
      </w:r>
      <w:r w:rsidRPr="005E28B0">
        <w:rPr>
          <w:szCs w:val="26"/>
        </w:rPr>
        <w:t>man, yes.  That’s my wife.”  The ALJ then stated:</w:t>
      </w:r>
    </w:p>
    <w:p w:rsidR="009B1B45" w:rsidRPr="005E28B0" w:rsidRDefault="009B1B45" w:rsidP="009B1B45">
      <w:pPr>
        <w:ind w:firstLine="1440"/>
        <w:rPr>
          <w:szCs w:val="26"/>
        </w:rPr>
      </w:pPr>
    </w:p>
    <w:p w:rsidR="009B1B45" w:rsidRPr="005E28B0" w:rsidRDefault="009B1B45" w:rsidP="009B1B45">
      <w:pPr>
        <w:ind w:left="1440" w:right="1440"/>
        <w:rPr>
          <w:szCs w:val="26"/>
        </w:rPr>
      </w:pPr>
      <w:r w:rsidRPr="005E28B0">
        <w:rPr>
          <w:szCs w:val="26"/>
        </w:rPr>
        <w:tab/>
        <w:t xml:space="preserve">All right.  Then I’m not going to be able to hear anything further on this matter because, as [PGW’s counsel] correctly pointed out, there was a case filed at Docket </w:t>
      </w:r>
      <w:r>
        <w:rPr>
          <w:szCs w:val="26"/>
        </w:rPr>
        <w:br/>
      </w:r>
      <w:r w:rsidRPr="005E28B0">
        <w:rPr>
          <w:szCs w:val="26"/>
        </w:rPr>
        <w:t>F-2009-2146728.  That was filed back in 2009, December 10</w:t>
      </w:r>
      <w:r w:rsidRPr="005E28B0">
        <w:rPr>
          <w:szCs w:val="26"/>
          <w:vertAlign w:val="superscript"/>
        </w:rPr>
        <w:t>th</w:t>
      </w:r>
      <w:r w:rsidRPr="005E28B0">
        <w:rPr>
          <w:szCs w:val="26"/>
        </w:rPr>
        <w:t>, 2009.  And that case was heard by one of our other judges, Judge Pell, Christopher P. Pell.  And he issued a determination that the complaint was dismissed with prejudice for nonappearance.</w:t>
      </w:r>
    </w:p>
    <w:p w:rsidR="009B1B45" w:rsidRPr="005E28B0" w:rsidRDefault="009B1B45" w:rsidP="009B1B45">
      <w:pPr>
        <w:ind w:left="1440" w:right="1440"/>
        <w:rPr>
          <w:szCs w:val="26"/>
        </w:rPr>
      </w:pPr>
      <w:r w:rsidRPr="005E28B0">
        <w:rPr>
          <w:szCs w:val="26"/>
        </w:rPr>
        <w:tab/>
      </w:r>
    </w:p>
    <w:p w:rsidR="009B1B45" w:rsidRPr="005E28B0" w:rsidRDefault="009B1B45" w:rsidP="009B1B45">
      <w:pPr>
        <w:ind w:left="1440" w:right="1440"/>
        <w:rPr>
          <w:szCs w:val="26"/>
        </w:rPr>
      </w:pPr>
      <w:r w:rsidRPr="005E28B0">
        <w:rPr>
          <w:szCs w:val="26"/>
        </w:rPr>
        <w:tab/>
        <w:t>Now what that means is the complaint cannot be renewed.  There were no exceptions filed to that Decision.  There was no appeal taken from that Decision.  So [PGW’s counsel] is absolutely correct.  As a matter of law, I cannot hear this complaint a second time.</w:t>
      </w:r>
    </w:p>
    <w:p w:rsidR="009B1B45" w:rsidRPr="005E28B0" w:rsidRDefault="009B1B45" w:rsidP="009B1B45">
      <w:pPr>
        <w:ind w:left="1440"/>
        <w:rPr>
          <w:szCs w:val="26"/>
        </w:rPr>
      </w:pPr>
    </w:p>
    <w:p w:rsidR="009B1B45" w:rsidRPr="005E28B0" w:rsidRDefault="009B1B45" w:rsidP="009B1B45">
      <w:pPr>
        <w:rPr>
          <w:szCs w:val="26"/>
        </w:rPr>
      </w:pPr>
      <w:r w:rsidRPr="005E28B0">
        <w:rPr>
          <w:szCs w:val="26"/>
        </w:rPr>
        <w:t xml:space="preserve">Tr. </w:t>
      </w:r>
      <w:r>
        <w:rPr>
          <w:szCs w:val="26"/>
        </w:rPr>
        <w:t xml:space="preserve">at </w:t>
      </w:r>
      <w:r w:rsidRPr="005E28B0">
        <w:rPr>
          <w:szCs w:val="26"/>
        </w:rPr>
        <w:t>7.</w:t>
      </w:r>
    </w:p>
    <w:p w:rsidR="009B1B45" w:rsidRPr="005E28B0" w:rsidRDefault="009B1B45" w:rsidP="009B1B45">
      <w:pPr>
        <w:ind w:left="1440"/>
        <w:rPr>
          <w:szCs w:val="26"/>
        </w:rPr>
      </w:pPr>
    </w:p>
    <w:p w:rsidR="009B1B45" w:rsidRDefault="009B1B45" w:rsidP="004D163C">
      <w:pPr>
        <w:spacing w:line="360" w:lineRule="auto"/>
        <w:ind w:firstLine="1440"/>
        <w:rPr>
          <w:szCs w:val="26"/>
        </w:rPr>
      </w:pPr>
      <w:r w:rsidRPr="005E28B0">
        <w:rPr>
          <w:szCs w:val="26"/>
        </w:rPr>
        <w:t xml:space="preserve">We respectfully disagree with the ALJ that it is clear on this record that all of the issues </w:t>
      </w:r>
      <w:r>
        <w:rPr>
          <w:szCs w:val="26"/>
        </w:rPr>
        <w:t xml:space="preserve">raised </w:t>
      </w:r>
      <w:r w:rsidRPr="005E28B0">
        <w:rPr>
          <w:szCs w:val="26"/>
        </w:rPr>
        <w:t>in Mr. Tillman’</w:t>
      </w:r>
      <w:r w:rsidR="00983D97">
        <w:rPr>
          <w:szCs w:val="26"/>
        </w:rPr>
        <w:t>s C</w:t>
      </w:r>
      <w:r>
        <w:rPr>
          <w:szCs w:val="26"/>
        </w:rPr>
        <w:t>omplaint</w:t>
      </w:r>
      <w:r w:rsidRPr="005E28B0">
        <w:rPr>
          <w:szCs w:val="26"/>
        </w:rPr>
        <w:t xml:space="preserve"> were or should have been litigated in Mrs. Tillman’s </w:t>
      </w:r>
      <w:r w:rsidR="00983D97">
        <w:rPr>
          <w:szCs w:val="26"/>
        </w:rPr>
        <w:t>C</w:t>
      </w:r>
      <w:r>
        <w:rPr>
          <w:szCs w:val="26"/>
        </w:rPr>
        <w:t>omplaint</w:t>
      </w:r>
      <w:r w:rsidRPr="005E28B0">
        <w:rPr>
          <w:szCs w:val="26"/>
        </w:rPr>
        <w:t xml:space="preserve">.  Mr. Tillman’s Complaint raised an issue that was not raised in Mrs. Tillman’s Complaint (the utility had, or had threatened to, shut off service), and </w:t>
      </w:r>
      <w:r w:rsidRPr="005E28B0">
        <w:rPr>
          <w:szCs w:val="26"/>
        </w:rPr>
        <w:lastRenderedPageBreak/>
        <w:t>attached a copy of a shut-off notice dated September</w:t>
      </w:r>
      <w:r>
        <w:rPr>
          <w:szCs w:val="26"/>
        </w:rPr>
        <w:t> </w:t>
      </w:r>
      <w:r w:rsidRPr="005E28B0">
        <w:rPr>
          <w:szCs w:val="26"/>
        </w:rPr>
        <w:t xml:space="preserve">18, 2014.  </w:t>
      </w:r>
      <w:r w:rsidR="00E37A13">
        <w:rPr>
          <w:szCs w:val="26"/>
        </w:rPr>
        <w:t>Based on the timing of the notice, t</w:t>
      </w:r>
      <w:r w:rsidRPr="005E28B0">
        <w:rPr>
          <w:szCs w:val="26"/>
        </w:rPr>
        <w:t>he propriety of that shut-off notice could not have been litigated in Mrs. Tillman’</w:t>
      </w:r>
      <w:r w:rsidR="00983D97">
        <w:rPr>
          <w:szCs w:val="26"/>
        </w:rPr>
        <w:t>s C</w:t>
      </w:r>
      <w:r>
        <w:rPr>
          <w:szCs w:val="26"/>
        </w:rPr>
        <w:t>omplaint proceeding</w:t>
      </w:r>
      <w:r w:rsidRPr="005E28B0">
        <w:rPr>
          <w:szCs w:val="26"/>
        </w:rPr>
        <w:t xml:space="preserve">, which was concluded by a Final Order entered January 10, 2011.  </w:t>
      </w:r>
    </w:p>
    <w:p w:rsidR="009B1B45" w:rsidRDefault="009B1B45" w:rsidP="004D163C">
      <w:pPr>
        <w:spacing w:line="360" w:lineRule="auto"/>
        <w:ind w:firstLine="1440"/>
        <w:rPr>
          <w:szCs w:val="26"/>
        </w:rPr>
      </w:pPr>
    </w:p>
    <w:p w:rsidR="009B1B45" w:rsidRPr="005E28B0" w:rsidRDefault="009B1B45" w:rsidP="004D163C">
      <w:pPr>
        <w:spacing w:line="360" w:lineRule="auto"/>
        <w:ind w:firstLine="1440"/>
        <w:rPr>
          <w:szCs w:val="26"/>
        </w:rPr>
      </w:pPr>
      <w:r>
        <w:rPr>
          <w:szCs w:val="26"/>
        </w:rPr>
        <w:t>Additionally, t</w:t>
      </w:r>
      <w:r w:rsidRPr="005E28B0">
        <w:rPr>
          <w:szCs w:val="26"/>
        </w:rPr>
        <w:t>he ALJ concluded in the Initial Decision that the amount in controversy in Mrs. Tillman’s Complaint ($5,252.05) is the same as that in Mr</w:t>
      </w:r>
      <w:r w:rsidR="00983D97">
        <w:rPr>
          <w:szCs w:val="26"/>
        </w:rPr>
        <w:t>. Tillman’s Complaint</w:t>
      </w:r>
      <w:r w:rsidR="00A9494D">
        <w:rPr>
          <w:szCs w:val="26"/>
        </w:rPr>
        <w:t xml:space="preserve">.  However, </w:t>
      </w:r>
      <w:r w:rsidR="00983D97">
        <w:rPr>
          <w:szCs w:val="26"/>
        </w:rPr>
        <w:t xml:space="preserve">the </w:t>
      </w:r>
      <w:r w:rsidR="007218E9">
        <w:rPr>
          <w:szCs w:val="26"/>
        </w:rPr>
        <w:t>Shut-Off Notice</w:t>
      </w:r>
      <w:r w:rsidRPr="005E28B0">
        <w:rPr>
          <w:szCs w:val="26"/>
        </w:rPr>
        <w:t xml:space="preserve"> </w:t>
      </w:r>
      <w:r w:rsidR="00E37A13">
        <w:rPr>
          <w:szCs w:val="26"/>
        </w:rPr>
        <w:t xml:space="preserve">provided by Mr. Tillman </w:t>
      </w:r>
      <w:r w:rsidRPr="005E28B0">
        <w:rPr>
          <w:szCs w:val="26"/>
        </w:rPr>
        <w:t>states that the amount due is $20,217.95.</w:t>
      </w:r>
      <w:r>
        <w:rPr>
          <w:szCs w:val="26"/>
        </w:rPr>
        <w:t xml:space="preserve">  PGW’s Answer explains th</w:t>
      </w:r>
      <w:r w:rsidR="00983D97">
        <w:rPr>
          <w:szCs w:val="26"/>
        </w:rPr>
        <w:t>at subsequent to the decision o</w:t>
      </w:r>
      <w:r>
        <w:rPr>
          <w:szCs w:val="26"/>
        </w:rPr>
        <w:t xml:space="preserve">n Mrs. Tillman’s </w:t>
      </w:r>
      <w:r w:rsidR="00983D97">
        <w:rPr>
          <w:szCs w:val="26"/>
        </w:rPr>
        <w:t>Complaint</w:t>
      </w:r>
      <w:r>
        <w:rPr>
          <w:szCs w:val="26"/>
        </w:rPr>
        <w:t xml:space="preserve">, PGW received only intermittent payments on the account.  Answer at ¶ 4.  </w:t>
      </w:r>
      <w:r w:rsidR="00A9494D">
        <w:rPr>
          <w:szCs w:val="26"/>
        </w:rPr>
        <w:t>Upon review, i</w:t>
      </w:r>
      <w:r>
        <w:rPr>
          <w:szCs w:val="26"/>
        </w:rPr>
        <w:t>t is unclear on this record whether Mr. Tillman disputes any of the amounts billed to the account after th</w:t>
      </w:r>
      <w:r w:rsidR="00983D97">
        <w:rPr>
          <w:szCs w:val="26"/>
        </w:rPr>
        <w:t>e conclusion of Mrs. Tillman’s C</w:t>
      </w:r>
      <w:r>
        <w:rPr>
          <w:szCs w:val="26"/>
        </w:rPr>
        <w:t xml:space="preserve">omplaint.  </w:t>
      </w:r>
    </w:p>
    <w:p w:rsidR="009B1B45" w:rsidRPr="005E28B0" w:rsidRDefault="009B1B45" w:rsidP="004D163C">
      <w:pPr>
        <w:spacing w:line="360" w:lineRule="auto"/>
        <w:ind w:firstLine="1440"/>
        <w:rPr>
          <w:szCs w:val="26"/>
        </w:rPr>
      </w:pPr>
    </w:p>
    <w:p w:rsidR="009B1B45" w:rsidRDefault="009B1B45" w:rsidP="004D163C">
      <w:pPr>
        <w:spacing w:line="360" w:lineRule="auto"/>
        <w:ind w:firstLine="1440"/>
        <w:rPr>
          <w:szCs w:val="26"/>
        </w:rPr>
      </w:pPr>
      <w:r w:rsidRPr="005E28B0">
        <w:rPr>
          <w:szCs w:val="26"/>
        </w:rPr>
        <w:t xml:space="preserve">Consequently, on this record, we do not believe it is clear that all of the issues raised in Mr. Tillman’s Complaint were or should have been litigated in Mrs. Tillman’s Complaint.  Some of those issues may have been litigated previously, and the doctrine of issue preclusion </w:t>
      </w:r>
      <w:r>
        <w:rPr>
          <w:szCs w:val="26"/>
        </w:rPr>
        <w:t xml:space="preserve">may preclude </w:t>
      </w:r>
      <w:r w:rsidRPr="005E28B0">
        <w:rPr>
          <w:szCs w:val="26"/>
        </w:rPr>
        <w:t>Mr. Tillman from re-litigat</w:t>
      </w:r>
      <w:r>
        <w:rPr>
          <w:szCs w:val="26"/>
        </w:rPr>
        <w:t>ing those issues</w:t>
      </w:r>
      <w:r w:rsidRPr="005E28B0">
        <w:rPr>
          <w:szCs w:val="26"/>
        </w:rPr>
        <w:t xml:space="preserve">.  </w:t>
      </w:r>
      <w:r>
        <w:rPr>
          <w:szCs w:val="26"/>
        </w:rPr>
        <w:t xml:space="preserve">Nevertheless, </w:t>
      </w:r>
      <w:r w:rsidRPr="005E28B0">
        <w:rPr>
          <w:szCs w:val="26"/>
        </w:rPr>
        <w:t xml:space="preserve">we believe the ALJ’s Initial Decision dismissing the case should be reversed and </w:t>
      </w:r>
      <w:r>
        <w:rPr>
          <w:szCs w:val="26"/>
        </w:rPr>
        <w:t xml:space="preserve">the matter should be </w:t>
      </w:r>
      <w:r w:rsidRPr="005E28B0">
        <w:rPr>
          <w:szCs w:val="26"/>
        </w:rPr>
        <w:t>remanded for further proceedings so that the Complainant may have an opportunity to further articulate his claims.</w:t>
      </w:r>
    </w:p>
    <w:p w:rsidR="009B1B45" w:rsidRDefault="009B1B45" w:rsidP="004D163C">
      <w:pPr>
        <w:spacing w:line="360" w:lineRule="auto"/>
        <w:ind w:firstLine="1440"/>
        <w:rPr>
          <w:szCs w:val="26"/>
        </w:rPr>
      </w:pPr>
    </w:p>
    <w:p w:rsidR="009B1B45" w:rsidRPr="005E28B0" w:rsidRDefault="009B1B45" w:rsidP="004D163C">
      <w:pPr>
        <w:spacing w:line="360" w:lineRule="auto"/>
        <w:ind w:firstLine="1440"/>
        <w:rPr>
          <w:szCs w:val="26"/>
        </w:rPr>
      </w:pPr>
      <w:r>
        <w:rPr>
          <w:szCs w:val="26"/>
        </w:rPr>
        <w:t>Similarly, since we do not believe it is clear that all of the issues raised in Mr. Tillman’s Complaint were or should have been litigated in Mrs. Tillman’s Complaint, we believe it is premature at this time to dismiss Mr. Tillman’s Complaint based on Section 316 of the Code.</w:t>
      </w:r>
    </w:p>
    <w:p w:rsidR="004C16BA" w:rsidRDefault="004C16BA" w:rsidP="00B66AB8">
      <w:pPr>
        <w:spacing w:line="360" w:lineRule="auto"/>
        <w:ind w:firstLine="1440"/>
      </w:pPr>
    </w:p>
    <w:p w:rsidR="00EB6BF9" w:rsidRPr="00117773" w:rsidRDefault="00EB6BF9" w:rsidP="00275A6C">
      <w:pPr>
        <w:keepNext/>
        <w:spacing w:line="360" w:lineRule="auto"/>
        <w:jc w:val="center"/>
        <w:rPr>
          <w:b/>
        </w:rPr>
      </w:pPr>
      <w:r w:rsidRPr="00117773">
        <w:rPr>
          <w:b/>
        </w:rPr>
        <w:lastRenderedPageBreak/>
        <w:t>Conclusion</w:t>
      </w:r>
    </w:p>
    <w:p w:rsidR="00A4385E" w:rsidRDefault="00A4385E" w:rsidP="00275A6C">
      <w:pPr>
        <w:keepNext/>
        <w:spacing w:line="360" w:lineRule="auto"/>
        <w:ind w:firstLine="1440"/>
        <w:rPr>
          <w:szCs w:val="26"/>
        </w:rPr>
      </w:pPr>
    </w:p>
    <w:p w:rsidR="00A4385E" w:rsidRDefault="00A4385E" w:rsidP="00A4385E">
      <w:pPr>
        <w:spacing w:line="360" w:lineRule="auto"/>
        <w:ind w:firstLine="1440"/>
        <w:rPr>
          <w:szCs w:val="26"/>
        </w:rPr>
      </w:pPr>
      <w:r>
        <w:rPr>
          <w:szCs w:val="26"/>
        </w:rPr>
        <w:t>Bas</w:t>
      </w:r>
      <w:r w:rsidR="00275A6C">
        <w:rPr>
          <w:szCs w:val="26"/>
        </w:rPr>
        <w:t>ed upon our review of the law and the record</w:t>
      </w:r>
      <w:r>
        <w:rPr>
          <w:szCs w:val="26"/>
        </w:rPr>
        <w:t xml:space="preserve">, we shall </w:t>
      </w:r>
      <w:r w:rsidR="00773C3C">
        <w:rPr>
          <w:szCs w:val="26"/>
        </w:rPr>
        <w:t>reverse the Initial Decision and remand this proceeding to the Office of Administrative Law Judge for such further proceedings as may be necessary</w:t>
      </w:r>
      <w:r w:rsidR="00007068">
        <w:rPr>
          <w:szCs w:val="26"/>
        </w:rPr>
        <w:t>,</w:t>
      </w:r>
      <w:r>
        <w:rPr>
          <w:szCs w:val="26"/>
        </w:rPr>
        <w:t xml:space="preserve"> consistent with th</w:t>
      </w:r>
      <w:r w:rsidR="00275A6C">
        <w:rPr>
          <w:szCs w:val="26"/>
        </w:rPr>
        <w:t>is Opinion and Order</w:t>
      </w:r>
      <w:r>
        <w:t xml:space="preserve">; </w:t>
      </w:r>
      <w:r>
        <w:rPr>
          <w:b/>
        </w:rPr>
        <w:t>THEREFORE,</w:t>
      </w:r>
      <w:r>
        <w:t xml:space="preserve"> </w:t>
      </w:r>
    </w:p>
    <w:p w:rsidR="00A4385E" w:rsidRDefault="00A4385E" w:rsidP="00A4385E">
      <w:pPr>
        <w:rPr>
          <w:szCs w:val="26"/>
        </w:rPr>
      </w:pPr>
    </w:p>
    <w:p w:rsidR="00A4385E" w:rsidRPr="00CE7F23" w:rsidRDefault="00A4385E" w:rsidP="00275A6C">
      <w:pPr>
        <w:spacing w:line="360" w:lineRule="auto"/>
        <w:ind w:firstLine="1440"/>
        <w:rPr>
          <w:b/>
          <w:szCs w:val="26"/>
        </w:rPr>
      </w:pPr>
      <w:r>
        <w:rPr>
          <w:b/>
          <w:szCs w:val="26"/>
        </w:rPr>
        <w:t>IT IS ORDERED:</w:t>
      </w:r>
    </w:p>
    <w:p w:rsidR="00A4385E" w:rsidRDefault="00A4385E" w:rsidP="00275A6C">
      <w:pPr>
        <w:spacing w:line="360" w:lineRule="auto"/>
        <w:rPr>
          <w:szCs w:val="26"/>
        </w:rPr>
      </w:pPr>
    </w:p>
    <w:p w:rsidR="00A4385E" w:rsidRDefault="00007068" w:rsidP="00007068">
      <w:pPr>
        <w:widowControl w:val="0"/>
        <w:numPr>
          <w:ilvl w:val="0"/>
          <w:numId w:val="5"/>
        </w:numPr>
        <w:tabs>
          <w:tab w:val="clear" w:pos="2160"/>
          <w:tab w:val="num" w:pos="0"/>
        </w:tabs>
        <w:overflowPunct/>
        <w:autoSpaceDE/>
        <w:autoSpaceDN/>
        <w:adjustRightInd/>
        <w:spacing w:line="360" w:lineRule="auto"/>
        <w:ind w:left="0" w:firstLine="1440"/>
        <w:textAlignment w:val="auto"/>
        <w:rPr>
          <w:szCs w:val="26"/>
        </w:rPr>
      </w:pPr>
      <w:r>
        <w:rPr>
          <w:szCs w:val="26"/>
        </w:rPr>
        <w:t>That the</w:t>
      </w:r>
      <w:r w:rsidR="00773C3C">
        <w:rPr>
          <w:szCs w:val="26"/>
        </w:rPr>
        <w:t xml:space="preserve"> Initial Decision issued by </w:t>
      </w:r>
      <w:r w:rsidR="00A4385E">
        <w:rPr>
          <w:szCs w:val="26"/>
        </w:rPr>
        <w:t xml:space="preserve">Administrative Law Judge </w:t>
      </w:r>
      <w:r w:rsidR="00773C3C">
        <w:rPr>
          <w:szCs w:val="26"/>
        </w:rPr>
        <w:t>Dennis J. Buckley</w:t>
      </w:r>
      <w:r w:rsidR="00012277">
        <w:rPr>
          <w:szCs w:val="26"/>
        </w:rPr>
        <w:t xml:space="preserve"> </w:t>
      </w:r>
      <w:r w:rsidR="00773C3C">
        <w:rPr>
          <w:szCs w:val="26"/>
        </w:rPr>
        <w:t xml:space="preserve">on </w:t>
      </w:r>
      <w:r w:rsidR="00773C3C">
        <w:t xml:space="preserve">November 19, 2015, </w:t>
      </w:r>
      <w:r w:rsidR="00A4385E">
        <w:rPr>
          <w:szCs w:val="26"/>
        </w:rPr>
        <w:t xml:space="preserve">is </w:t>
      </w:r>
      <w:r w:rsidR="00773C3C">
        <w:rPr>
          <w:szCs w:val="26"/>
        </w:rPr>
        <w:t>reversed</w:t>
      </w:r>
      <w:r w:rsidR="00A4385E">
        <w:rPr>
          <w:szCs w:val="26"/>
        </w:rPr>
        <w:t>, consistent with this Opinion and Order.</w:t>
      </w:r>
    </w:p>
    <w:p w:rsidR="00007068" w:rsidRDefault="00007068" w:rsidP="00A4385E">
      <w:pPr>
        <w:spacing w:line="360" w:lineRule="auto"/>
        <w:ind w:firstLine="1440"/>
        <w:rPr>
          <w:szCs w:val="26"/>
        </w:rPr>
      </w:pPr>
    </w:p>
    <w:p w:rsidR="00012277" w:rsidRDefault="00007068" w:rsidP="00A4385E">
      <w:pPr>
        <w:spacing w:line="360" w:lineRule="auto"/>
        <w:ind w:firstLine="1440"/>
        <w:rPr>
          <w:szCs w:val="26"/>
        </w:rPr>
      </w:pPr>
      <w:r>
        <w:rPr>
          <w:szCs w:val="26"/>
        </w:rPr>
        <w:t>2</w:t>
      </w:r>
      <w:r w:rsidR="00A4385E">
        <w:rPr>
          <w:szCs w:val="26"/>
        </w:rPr>
        <w:t>.</w:t>
      </w:r>
      <w:r w:rsidR="00A4385E">
        <w:rPr>
          <w:szCs w:val="26"/>
        </w:rPr>
        <w:tab/>
      </w:r>
      <w:r w:rsidR="00773C3C">
        <w:rPr>
          <w:szCs w:val="26"/>
        </w:rPr>
        <w:t>That this matter is remanded to the Office of Administrative Law Judge for such further proceedings as may be necessary.</w:t>
      </w:r>
    </w:p>
    <w:p w:rsidR="00A4385E" w:rsidRDefault="00A4385E" w:rsidP="00A4385E">
      <w:pPr>
        <w:rPr>
          <w:szCs w:val="26"/>
        </w:rPr>
      </w:pPr>
    </w:p>
    <w:p w:rsidR="00A4385E" w:rsidRPr="00027664" w:rsidRDefault="009D2EF1" w:rsidP="00A4385E">
      <w:pPr>
        <w:rPr>
          <w:szCs w:val="26"/>
        </w:rPr>
      </w:pPr>
      <w:bookmarkStart w:id="2" w:name="_GoBack"/>
      <w:r w:rsidRPr="00F45E06">
        <w:rPr>
          <w:b/>
          <w:noProof/>
        </w:rPr>
        <w:drawing>
          <wp:anchor distT="0" distB="0" distL="114300" distR="114300" simplePos="0" relativeHeight="251659264" behindDoc="1" locked="0" layoutInCell="1" allowOverlap="1" wp14:anchorId="7CDB3788" wp14:editId="00EE496E">
            <wp:simplePos x="0" y="0"/>
            <wp:positionH relativeFrom="column">
              <wp:posOffset>3083560</wp:posOffset>
            </wp:positionH>
            <wp:positionV relativeFrom="paragraph">
              <wp:posOffset>112395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EB6BF9" w:rsidRPr="00201435" w:rsidRDefault="00EB6BF9" w:rsidP="00AB2393">
      <w:pPr>
        <w:tabs>
          <w:tab w:val="left" w:pos="-720"/>
        </w:tabs>
        <w:ind w:firstLine="5040"/>
      </w:pPr>
      <w:r>
        <w:rPr>
          <w:b/>
        </w:rPr>
        <w:t>BY THE COMMISSION,</w:t>
      </w:r>
    </w:p>
    <w:p w:rsidR="00EB6BF9" w:rsidRPr="00A86514" w:rsidRDefault="00EB6BF9" w:rsidP="00FD1DAD">
      <w:pPr>
        <w:tabs>
          <w:tab w:val="left" w:pos="-720"/>
        </w:tabs>
      </w:pPr>
    </w:p>
    <w:p w:rsidR="00EB6BF9" w:rsidRPr="00A86514" w:rsidRDefault="00EB6BF9" w:rsidP="00FD1DAD">
      <w:pPr>
        <w:tabs>
          <w:tab w:val="left" w:pos="-720"/>
        </w:tabs>
      </w:pPr>
    </w:p>
    <w:p w:rsidR="00EB6BF9" w:rsidRPr="00A86514" w:rsidRDefault="00EB6BF9" w:rsidP="00FD1DAD">
      <w:pPr>
        <w:tabs>
          <w:tab w:val="left" w:pos="-720"/>
        </w:tabs>
      </w:pPr>
    </w:p>
    <w:p w:rsidR="00EB6BF9" w:rsidRPr="00201435" w:rsidRDefault="0091054F" w:rsidP="00AB2393">
      <w:pPr>
        <w:tabs>
          <w:tab w:val="left" w:pos="-720"/>
        </w:tabs>
        <w:ind w:firstLine="5040"/>
        <w:rPr>
          <w:b/>
        </w:rPr>
      </w:pPr>
      <w:r>
        <w:t>Rosemary Chiavetta</w:t>
      </w:r>
    </w:p>
    <w:p w:rsidR="00EB6BF9" w:rsidRDefault="00EB6BF9" w:rsidP="00AB2393">
      <w:pPr>
        <w:tabs>
          <w:tab w:val="left" w:pos="-720"/>
        </w:tabs>
        <w:ind w:firstLine="5040"/>
      </w:pPr>
      <w:r>
        <w:t>Secretary</w:t>
      </w:r>
    </w:p>
    <w:p w:rsidR="00EB6BF9" w:rsidRDefault="00EB6BF9" w:rsidP="00FD1DAD">
      <w:pPr>
        <w:tabs>
          <w:tab w:val="left" w:pos="-720"/>
        </w:tabs>
      </w:pPr>
    </w:p>
    <w:p w:rsidR="00EB6BF9" w:rsidRDefault="00EB6BF9" w:rsidP="00FD1DAD">
      <w:pPr>
        <w:tabs>
          <w:tab w:val="left" w:pos="-720"/>
        </w:tabs>
      </w:pPr>
      <w:r>
        <w:t>(SEAL)</w:t>
      </w:r>
    </w:p>
    <w:p w:rsidR="00EB6BF9" w:rsidRDefault="00EB6BF9" w:rsidP="00FD1DAD">
      <w:pPr>
        <w:tabs>
          <w:tab w:val="left" w:pos="-720"/>
        </w:tabs>
      </w:pPr>
    </w:p>
    <w:p w:rsidR="00EB6BF9" w:rsidRDefault="00194634" w:rsidP="00FD1DAD">
      <w:pPr>
        <w:tabs>
          <w:tab w:val="left" w:pos="-720"/>
        </w:tabs>
      </w:pPr>
      <w:r>
        <w:t xml:space="preserve">ORDER </w:t>
      </w:r>
      <w:r w:rsidR="00033EF0">
        <w:t xml:space="preserve">ADOPTED: </w:t>
      </w:r>
      <w:r w:rsidR="00A46855">
        <w:t xml:space="preserve"> </w:t>
      </w:r>
      <w:r w:rsidR="00773C3C">
        <w:t>February 11, 2016</w:t>
      </w:r>
      <w:r w:rsidR="00ED37B7">
        <w:tab/>
      </w:r>
    </w:p>
    <w:p w:rsidR="00AB2393" w:rsidRDefault="00AB2393" w:rsidP="00FD1DAD">
      <w:pPr>
        <w:tabs>
          <w:tab w:val="left" w:pos="-720"/>
        </w:tabs>
      </w:pPr>
    </w:p>
    <w:p w:rsidR="001D5895" w:rsidRPr="00EB6BF9" w:rsidRDefault="00C349D3" w:rsidP="00FD1DAD">
      <w:pPr>
        <w:tabs>
          <w:tab w:val="left" w:pos="-720"/>
        </w:tabs>
      </w:pPr>
      <w:r>
        <w:t>ORDER ENTERED:</w:t>
      </w:r>
      <w:r w:rsidR="008F2810">
        <w:t xml:space="preserve">  </w:t>
      </w:r>
      <w:r w:rsidR="009D2EF1">
        <w:t>March 8, 2016</w:t>
      </w:r>
    </w:p>
    <w:sectPr w:rsidR="001D5895" w:rsidRPr="00EB6BF9" w:rsidSect="00537FE4">
      <w:footerReference w:type="even" r:id="rId12"/>
      <w:footerReference w:type="default" r:id="rId13"/>
      <w:pgSz w:w="12240" w:h="15840"/>
      <w:pgMar w:top="1440" w:right="153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DCF" w:rsidRDefault="00294DCF">
      <w:r>
        <w:separator/>
      </w:r>
    </w:p>
  </w:endnote>
  <w:endnote w:type="continuationSeparator" w:id="0">
    <w:p w:rsidR="00294DCF" w:rsidRDefault="0029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0B5" w:rsidRDefault="004140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140B5" w:rsidRDefault="004140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0B5" w:rsidRPr="006618C4" w:rsidRDefault="004140B5">
    <w:pPr>
      <w:pStyle w:val="Footer"/>
      <w:framePr w:wrap="around" w:vAnchor="text" w:hAnchor="margin" w:xAlign="center" w:y="1"/>
      <w:rPr>
        <w:rStyle w:val="PageNumber"/>
        <w:sz w:val="24"/>
        <w:szCs w:val="24"/>
      </w:rPr>
    </w:pPr>
    <w:r w:rsidRPr="006618C4">
      <w:rPr>
        <w:rStyle w:val="PageNumber"/>
        <w:sz w:val="24"/>
        <w:szCs w:val="24"/>
      </w:rPr>
      <w:fldChar w:fldCharType="begin"/>
    </w:r>
    <w:r w:rsidRPr="006618C4">
      <w:rPr>
        <w:rStyle w:val="PageNumber"/>
        <w:sz w:val="24"/>
        <w:szCs w:val="24"/>
      </w:rPr>
      <w:instrText xml:space="preserve">PAGE  </w:instrText>
    </w:r>
    <w:r w:rsidRPr="006618C4">
      <w:rPr>
        <w:rStyle w:val="PageNumber"/>
        <w:sz w:val="24"/>
        <w:szCs w:val="24"/>
      </w:rPr>
      <w:fldChar w:fldCharType="separate"/>
    </w:r>
    <w:r w:rsidR="009D2EF1">
      <w:rPr>
        <w:rStyle w:val="PageNumber"/>
        <w:noProof/>
        <w:sz w:val="24"/>
        <w:szCs w:val="24"/>
      </w:rPr>
      <w:t>9</w:t>
    </w:r>
    <w:r w:rsidRPr="006618C4">
      <w:rPr>
        <w:rStyle w:val="PageNumber"/>
        <w:sz w:val="24"/>
        <w:szCs w:val="24"/>
      </w:rPr>
      <w:fldChar w:fldCharType="end"/>
    </w:r>
  </w:p>
  <w:p w:rsidR="004140B5" w:rsidRPr="00D379CF" w:rsidRDefault="004140B5" w:rsidP="00C60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DCF" w:rsidRDefault="00294DCF">
      <w:r>
        <w:separator/>
      </w:r>
    </w:p>
  </w:footnote>
  <w:footnote w:type="continuationSeparator" w:id="0">
    <w:p w:rsidR="00294DCF" w:rsidRDefault="00294DCF">
      <w:r>
        <w:continuationSeparator/>
      </w:r>
    </w:p>
  </w:footnote>
  <w:footnote w:id="1">
    <w:p w:rsidR="00FA5789" w:rsidRPr="00235043" w:rsidRDefault="00FA5789" w:rsidP="00FA5789">
      <w:pPr>
        <w:pStyle w:val="FootnoteText"/>
        <w:rPr>
          <w:sz w:val="26"/>
          <w:szCs w:val="26"/>
        </w:rPr>
      </w:pPr>
      <w:r w:rsidRPr="00235043">
        <w:rPr>
          <w:sz w:val="26"/>
          <w:szCs w:val="26"/>
        </w:rPr>
        <w:tab/>
      </w:r>
      <w:r w:rsidRPr="00235043">
        <w:rPr>
          <w:rStyle w:val="FootnoteReference"/>
          <w:sz w:val="26"/>
          <w:szCs w:val="26"/>
        </w:rPr>
        <w:footnoteRef/>
      </w:r>
      <w:r w:rsidRPr="00235043">
        <w:rPr>
          <w:sz w:val="26"/>
          <w:szCs w:val="26"/>
        </w:rPr>
        <w:t xml:space="preserve"> </w:t>
      </w:r>
      <w:r w:rsidRPr="00235043">
        <w:rPr>
          <w:sz w:val="26"/>
          <w:szCs w:val="26"/>
        </w:rPr>
        <w:tab/>
        <w:t xml:space="preserve">At the hearing, Mr. Tillman stated that Martha Tillman is his wife.  </w:t>
      </w:r>
      <w:proofErr w:type="gramStart"/>
      <w:r w:rsidRPr="00235043">
        <w:rPr>
          <w:sz w:val="26"/>
          <w:szCs w:val="26"/>
        </w:rPr>
        <w:t>Transcript of May 14, 2015 Hearing at 7.</w:t>
      </w:r>
      <w:proofErr w:type="gramEnd"/>
    </w:p>
  </w:footnote>
  <w:footnote w:id="2">
    <w:p w:rsidR="009B1B45" w:rsidRPr="00141865" w:rsidRDefault="009B1B45" w:rsidP="006203B5">
      <w:pPr>
        <w:pStyle w:val="FootnoteText"/>
        <w:keepNext/>
        <w:keepLines/>
        <w:ind w:firstLine="720"/>
        <w:rPr>
          <w:sz w:val="26"/>
          <w:szCs w:val="26"/>
        </w:rPr>
      </w:pPr>
      <w:r w:rsidRPr="00141865">
        <w:rPr>
          <w:rStyle w:val="FootnoteReference"/>
          <w:sz w:val="26"/>
          <w:szCs w:val="26"/>
        </w:rPr>
        <w:footnoteRef/>
      </w:r>
      <w:r w:rsidRPr="00141865">
        <w:rPr>
          <w:sz w:val="26"/>
          <w:szCs w:val="26"/>
        </w:rPr>
        <w:t xml:space="preserve"> </w:t>
      </w:r>
      <w:r w:rsidRPr="00141865">
        <w:rPr>
          <w:sz w:val="26"/>
          <w:szCs w:val="26"/>
        </w:rPr>
        <w:tab/>
        <w:t>In contrast, PGW’s Answer stated that the account is in the name of Martha Tillman</w:t>
      </w:r>
      <w:r>
        <w:rPr>
          <w:sz w:val="26"/>
          <w:szCs w:val="26"/>
        </w:rPr>
        <w:t xml:space="preserve"> and “the account is listed as residential heat only with a tenant landlord path</w:t>
      </w:r>
      <w:r w:rsidRPr="00141865">
        <w:rPr>
          <w:sz w:val="26"/>
          <w:szCs w:val="26"/>
        </w:rPr>
        <w:t>.</w:t>
      </w:r>
      <w:r>
        <w:rPr>
          <w:sz w:val="26"/>
          <w:szCs w:val="26"/>
        </w:rPr>
        <w:t>”</w:t>
      </w:r>
      <w:r w:rsidRPr="00141865">
        <w:rPr>
          <w:sz w:val="26"/>
          <w:szCs w:val="26"/>
        </w:rPr>
        <w:t xml:space="preserve">  </w:t>
      </w:r>
      <w:proofErr w:type="gramStart"/>
      <w:r w:rsidRPr="00141865">
        <w:rPr>
          <w:sz w:val="26"/>
          <w:szCs w:val="26"/>
        </w:rPr>
        <w:t>Answer at ¶</w:t>
      </w:r>
      <w:r>
        <w:rPr>
          <w:sz w:val="26"/>
          <w:szCs w:val="26"/>
        </w:rPr>
        <w:t>¶</w:t>
      </w:r>
      <w:r w:rsidRPr="00141865">
        <w:rPr>
          <w:sz w:val="26"/>
          <w:szCs w:val="26"/>
        </w:rPr>
        <w:t xml:space="preserve"> 1</w:t>
      </w:r>
      <w:r>
        <w:rPr>
          <w:sz w:val="26"/>
          <w:szCs w:val="26"/>
        </w:rPr>
        <w:t xml:space="preserve"> and 4</w:t>
      </w:r>
      <w:r w:rsidRPr="00141865">
        <w:rPr>
          <w:sz w:val="26"/>
          <w:szCs w:val="26"/>
        </w:rPr>
        <w:t>.</w:t>
      </w:r>
      <w:proofErr w:type="gramEnd"/>
      <w:r w:rsidRPr="00141865">
        <w:rPr>
          <w:sz w:val="26"/>
          <w:szCs w:val="26"/>
        </w:rPr>
        <w:t xml:space="preserve">  </w:t>
      </w:r>
    </w:p>
  </w:footnote>
  <w:footnote w:id="3">
    <w:p w:rsidR="009B1B45" w:rsidRPr="00795B70" w:rsidRDefault="009B1B45" w:rsidP="006203B5">
      <w:pPr>
        <w:pStyle w:val="FootnoteText"/>
        <w:keepNext/>
        <w:keepLines/>
        <w:rPr>
          <w:sz w:val="26"/>
          <w:szCs w:val="26"/>
        </w:rPr>
      </w:pPr>
      <w:r w:rsidRPr="00795B70">
        <w:rPr>
          <w:sz w:val="26"/>
          <w:szCs w:val="26"/>
        </w:rPr>
        <w:tab/>
      </w:r>
      <w:r w:rsidRPr="00795B70">
        <w:rPr>
          <w:rStyle w:val="FootnoteReference"/>
          <w:sz w:val="26"/>
          <w:szCs w:val="26"/>
        </w:rPr>
        <w:footnoteRef/>
      </w:r>
      <w:r w:rsidRPr="00795B70">
        <w:rPr>
          <w:sz w:val="26"/>
          <w:szCs w:val="26"/>
        </w:rPr>
        <w:t xml:space="preserve"> </w:t>
      </w:r>
      <w:r w:rsidRPr="00795B70">
        <w:rPr>
          <w:sz w:val="26"/>
          <w:szCs w:val="26"/>
        </w:rPr>
        <w:tab/>
      </w:r>
      <w:r>
        <w:rPr>
          <w:sz w:val="26"/>
          <w:szCs w:val="26"/>
        </w:rPr>
        <w:t xml:space="preserve">Although a limited liability company must be represented by legal </w:t>
      </w:r>
      <w:r w:rsidRPr="00795B70">
        <w:rPr>
          <w:sz w:val="26"/>
          <w:szCs w:val="26"/>
        </w:rPr>
        <w:t>counsel in an adversarial Commission proceeding</w:t>
      </w:r>
      <w:r>
        <w:rPr>
          <w:sz w:val="26"/>
          <w:szCs w:val="26"/>
        </w:rPr>
        <w:t>, 52 Pa. Code § 1.21, the Initia</w:t>
      </w:r>
      <w:r w:rsidR="001030F2">
        <w:rPr>
          <w:sz w:val="26"/>
          <w:szCs w:val="26"/>
        </w:rPr>
        <w:t>l Decision did not dismiss the C</w:t>
      </w:r>
      <w:r>
        <w:rPr>
          <w:sz w:val="26"/>
          <w:szCs w:val="26"/>
        </w:rPr>
        <w:t>omplaint on this ground.  The ALJ specifically noted that Mr. Tillman filed the Complaint as an individual, not as a corporation.  I.D. at 3 n.2.  The ALJ further stated</w:t>
      </w:r>
      <w:r w:rsidR="00FE1F0C">
        <w:rPr>
          <w:sz w:val="26"/>
          <w:szCs w:val="26"/>
        </w:rPr>
        <w:t>,</w:t>
      </w:r>
      <w:r>
        <w:rPr>
          <w:sz w:val="26"/>
          <w:szCs w:val="26"/>
        </w:rPr>
        <w:t xml:space="preserve"> “I have searched the on-line records of the Corporation Bureau, Pennsylvania Department of State, in vain for any limited liability corporation in the name of either Floyd or Martha Tillman.”  </w:t>
      </w:r>
      <w:r w:rsidRPr="002A28F5">
        <w:rPr>
          <w:i/>
          <w:sz w:val="26"/>
          <w:szCs w:val="26"/>
        </w:rPr>
        <w:t>Id</w:t>
      </w:r>
      <w:r>
        <w:rPr>
          <w:sz w:val="26"/>
          <w:szCs w:val="26"/>
        </w:rPr>
        <w:t>. at 7 n.6.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322E"/>
    <w:multiLevelType w:val="hybridMultilevel"/>
    <w:tmpl w:val="5F887800"/>
    <w:lvl w:ilvl="0" w:tplc="673CD6D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E1F215C"/>
    <w:multiLevelType w:val="hybridMultilevel"/>
    <w:tmpl w:val="941A304A"/>
    <w:lvl w:ilvl="0" w:tplc="2F44D05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0154DF7"/>
    <w:multiLevelType w:val="hybridMultilevel"/>
    <w:tmpl w:val="740EAF8E"/>
    <w:lvl w:ilvl="0" w:tplc="DDBC2DCC">
      <w:start w:val="2"/>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95"/>
    <w:rsid w:val="00001598"/>
    <w:rsid w:val="0000396B"/>
    <w:rsid w:val="0000448C"/>
    <w:rsid w:val="00004F83"/>
    <w:rsid w:val="00007068"/>
    <w:rsid w:val="00010930"/>
    <w:rsid w:val="00012277"/>
    <w:rsid w:val="0001513D"/>
    <w:rsid w:val="00016B0B"/>
    <w:rsid w:val="000171B7"/>
    <w:rsid w:val="000212DD"/>
    <w:rsid w:val="0002455E"/>
    <w:rsid w:val="00027455"/>
    <w:rsid w:val="00031927"/>
    <w:rsid w:val="0003280C"/>
    <w:rsid w:val="00033C37"/>
    <w:rsid w:val="00033EF0"/>
    <w:rsid w:val="000346DD"/>
    <w:rsid w:val="000356D0"/>
    <w:rsid w:val="000421EA"/>
    <w:rsid w:val="00044EF7"/>
    <w:rsid w:val="00046DC5"/>
    <w:rsid w:val="000478C8"/>
    <w:rsid w:val="00053F18"/>
    <w:rsid w:val="00054A37"/>
    <w:rsid w:val="0005503E"/>
    <w:rsid w:val="00060AC4"/>
    <w:rsid w:val="00061A7C"/>
    <w:rsid w:val="0006256E"/>
    <w:rsid w:val="00062B8A"/>
    <w:rsid w:val="0006310D"/>
    <w:rsid w:val="0006431F"/>
    <w:rsid w:val="000643FB"/>
    <w:rsid w:val="00064413"/>
    <w:rsid w:val="0006575D"/>
    <w:rsid w:val="00066856"/>
    <w:rsid w:val="00066954"/>
    <w:rsid w:val="00070288"/>
    <w:rsid w:val="000724B7"/>
    <w:rsid w:val="00073402"/>
    <w:rsid w:val="000764ED"/>
    <w:rsid w:val="00077260"/>
    <w:rsid w:val="000776C0"/>
    <w:rsid w:val="000827CA"/>
    <w:rsid w:val="0008309E"/>
    <w:rsid w:val="000834B4"/>
    <w:rsid w:val="00084260"/>
    <w:rsid w:val="0008431D"/>
    <w:rsid w:val="00084A9B"/>
    <w:rsid w:val="00087139"/>
    <w:rsid w:val="00091894"/>
    <w:rsid w:val="00091C04"/>
    <w:rsid w:val="00093916"/>
    <w:rsid w:val="00093A10"/>
    <w:rsid w:val="0009406C"/>
    <w:rsid w:val="00094FD3"/>
    <w:rsid w:val="00095467"/>
    <w:rsid w:val="000A03EF"/>
    <w:rsid w:val="000A1477"/>
    <w:rsid w:val="000A3527"/>
    <w:rsid w:val="000A3659"/>
    <w:rsid w:val="000A3F60"/>
    <w:rsid w:val="000A47BF"/>
    <w:rsid w:val="000A4A94"/>
    <w:rsid w:val="000A628D"/>
    <w:rsid w:val="000A7484"/>
    <w:rsid w:val="000B1929"/>
    <w:rsid w:val="000B1F1C"/>
    <w:rsid w:val="000B26D5"/>
    <w:rsid w:val="000B36DD"/>
    <w:rsid w:val="000B3839"/>
    <w:rsid w:val="000B5AD1"/>
    <w:rsid w:val="000B78D3"/>
    <w:rsid w:val="000C0224"/>
    <w:rsid w:val="000C1CEE"/>
    <w:rsid w:val="000C5F16"/>
    <w:rsid w:val="000D03DA"/>
    <w:rsid w:val="000D1242"/>
    <w:rsid w:val="000D1F8D"/>
    <w:rsid w:val="000D2FAA"/>
    <w:rsid w:val="000D42F0"/>
    <w:rsid w:val="000D4AD4"/>
    <w:rsid w:val="000D62A3"/>
    <w:rsid w:val="000D74FD"/>
    <w:rsid w:val="000D7869"/>
    <w:rsid w:val="000E0D9A"/>
    <w:rsid w:val="000E36A5"/>
    <w:rsid w:val="000E6117"/>
    <w:rsid w:val="000E6728"/>
    <w:rsid w:val="000E755D"/>
    <w:rsid w:val="000F006B"/>
    <w:rsid w:val="000F0DA7"/>
    <w:rsid w:val="000F2DDA"/>
    <w:rsid w:val="000F3C8C"/>
    <w:rsid w:val="000F5595"/>
    <w:rsid w:val="000F73FC"/>
    <w:rsid w:val="00101A97"/>
    <w:rsid w:val="0010246C"/>
    <w:rsid w:val="001030F2"/>
    <w:rsid w:val="0010370E"/>
    <w:rsid w:val="00103BD1"/>
    <w:rsid w:val="00103D52"/>
    <w:rsid w:val="001049BE"/>
    <w:rsid w:val="00106962"/>
    <w:rsid w:val="00107F51"/>
    <w:rsid w:val="00110694"/>
    <w:rsid w:val="001121BC"/>
    <w:rsid w:val="00112C34"/>
    <w:rsid w:val="00113721"/>
    <w:rsid w:val="001150A1"/>
    <w:rsid w:val="0011756F"/>
    <w:rsid w:val="00117773"/>
    <w:rsid w:val="00124AEA"/>
    <w:rsid w:val="0012549B"/>
    <w:rsid w:val="00133861"/>
    <w:rsid w:val="00133878"/>
    <w:rsid w:val="00135770"/>
    <w:rsid w:val="00135D68"/>
    <w:rsid w:val="00135D77"/>
    <w:rsid w:val="00136208"/>
    <w:rsid w:val="00137CC5"/>
    <w:rsid w:val="00141AB9"/>
    <w:rsid w:val="00142726"/>
    <w:rsid w:val="0014333F"/>
    <w:rsid w:val="00144609"/>
    <w:rsid w:val="00145AC2"/>
    <w:rsid w:val="00146669"/>
    <w:rsid w:val="00150D08"/>
    <w:rsid w:val="00151623"/>
    <w:rsid w:val="0015190E"/>
    <w:rsid w:val="00151C22"/>
    <w:rsid w:val="00152B89"/>
    <w:rsid w:val="00152E1B"/>
    <w:rsid w:val="001555CF"/>
    <w:rsid w:val="00155E13"/>
    <w:rsid w:val="001561DB"/>
    <w:rsid w:val="00156282"/>
    <w:rsid w:val="00156BAE"/>
    <w:rsid w:val="0016453B"/>
    <w:rsid w:val="00164AC8"/>
    <w:rsid w:val="00165639"/>
    <w:rsid w:val="00166FF6"/>
    <w:rsid w:val="00170FA1"/>
    <w:rsid w:val="00171155"/>
    <w:rsid w:val="00171DEF"/>
    <w:rsid w:val="0017376D"/>
    <w:rsid w:val="00175563"/>
    <w:rsid w:val="00175F7D"/>
    <w:rsid w:val="00176BC1"/>
    <w:rsid w:val="00177638"/>
    <w:rsid w:val="00180D35"/>
    <w:rsid w:val="001822F2"/>
    <w:rsid w:val="00183ED3"/>
    <w:rsid w:val="001860A4"/>
    <w:rsid w:val="00186BCD"/>
    <w:rsid w:val="00187193"/>
    <w:rsid w:val="00187ABA"/>
    <w:rsid w:val="00190DCD"/>
    <w:rsid w:val="0019300F"/>
    <w:rsid w:val="00193C2D"/>
    <w:rsid w:val="00194634"/>
    <w:rsid w:val="00194832"/>
    <w:rsid w:val="00195BC2"/>
    <w:rsid w:val="0019620D"/>
    <w:rsid w:val="00196CB1"/>
    <w:rsid w:val="00196F1E"/>
    <w:rsid w:val="001A013B"/>
    <w:rsid w:val="001A04AC"/>
    <w:rsid w:val="001A0D34"/>
    <w:rsid w:val="001A0E3F"/>
    <w:rsid w:val="001A2524"/>
    <w:rsid w:val="001A3845"/>
    <w:rsid w:val="001A47A9"/>
    <w:rsid w:val="001B3387"/>
    <w:rsid w:val="001B3B69"/>
    <w:rsid w:val="001B4734"/>
    <w:rsid w:val="001B5943"/>
    <w:rsid w:val="001C13F2"/>
    <w:rsid w:val="001C2894"/>
    <w:rsid w:val="001C42D5"/>
    <w:rsid w:val="001C436B"/>
    <w:rsid w:val="001C4490"/>
    <w:rsid w:val="001C6A14"/>
    <w:rsid w:val="001C756F"/>
    <w:rsid w:val="001D19F7"/>
    <w:rsid w:val="001D1BF7"/>
    <w:rsid w:val="001D1DED"/>
    <w:rsid w:val="001D1FA9"/>
    <w:rsid w:val="001D21D1"/>
    <w:rsid w:val="001D4C63"/>
    <w:rsid w:val="001D5895"/>
    <w:rsid w:val="001D6408"/>
    <w:rsid w:val="001D77B5"/>
    <w:rsid w:val="001E092E"/>
    <w:rsid w:val="001E1014"/>
    <w:rsid w:val="001E6C88"/>
    <w:rsid w:val="001E74E1"/>
    <w:rsid w:val="001E77ED"/>
    <w:rsid w:val="001F03FC"/>
    <w:rsid w:val="001F1CA1"/>
    <w:rsid w:val="001F2B4E"/>
    <w:rsid w:val="00201435"/>
    <w:rsid w:val="00201FBB"/>
    <w:rsid w:val="0020219C"/>
    <w:rsid w:val="00207229"/>
    <w:rsid w:val="00212855"/>
    <w:rsid w:val="00215D11"/>
    <w:rsid w:val="0021679E"/>
    <w:rsid w:val="00220059"/>
    <w:rsid w:val="00221165"/>
    <w:rsid w:val="00222656"/>
    <w:rsid w:val="00224052"/>
    <w:rsid w:val="00230A68"/>
    <w:rsid w:val="002346B7"/>
    <w:rsid w:val="00234F6D"/>
    <w:rsid w:val="00235043"/>
    <w:rsid w:val="00237891"/>
    <w:rsid w:val="00237C85"/>
    <w:rsid w:val="00237D75"/>
    <w:rsid w:val="002425E0"/>
    <w:rsid w:val="002431EB"/>
    <w:rsid w:val="002437DF"/>
    <w:rsid w:val="00243814"/>
    <w:rsid w:val="0024638C"/>
    <w:rsid w:val="0024644A"/>
    <w:rsid w:val="00247258"/>
    <w:rsid w:val="00251F27"/>
    <w:rsid w:val="00252D08"/>
    <w:rsid w:val="00253152"/>
    <w:rsid w:val="0025361E"/>
    <w:rsid w:val="00254470"/>
    <w:rsid w:val="00256151"/>
    <w:rsid w:val="00256334"/>
    <w:rsid w:val="002608DA"/>
    <w:rsid w:val="002608E3"/>
    <w:rsid w:val="00260DCA"/>
    <w:rsid w:val="00261C13"/>
    <w:rsid w:val="00261F12"/>
    <w:rsid w:val="00263201"/>
    <w:rsid w:val="00263890"/>
    <w:rsid w:val="002655FC"/>
    <w:rsid w:val="00266815"/>
    <w:rsid w:val="002706F1"/>
    <w:rsid w:val="00270F7E"/>
    <w:rsid w:val="00272254"/>
    <w:rsid w:val="0027336F"/>
    <w:rsid w:val="00273E10"/>
    <w:rsid w:val="0027490F"/>
    <w:rsid w:val="00274C62"/>
    <w:rsid w:val="00275A6C"/>
    <w:rsid w:val="00275ADC"/>
    <w:rsid w:val="0027610D"/>
    <w:rsid w:val="002761C1"/>
    <w:rsid w:val="00276375"/>
    <w:rsid w:val="00276830"/>
    <w:rsid w:val="002779E8"/>
    <w:rsid w:val="00277A3F"/>
    <w:rsid w:val="00282440"/>
    <w:rsid w:val="002831D6"/>
    <w:rsid w:val="00283705"/>
    <w:rsid w:val="00286D71"/>
    <w:rsid w:val="002871A9"/>
    <w:rsid w:val="00287574"/>
    <w:rsid w:val="00290846"/>
    <w:rsid w:val="0029442D"/>
    <w:rsid w:val="00294DCF"/>
    <w:rsid w:val="00296039"/>
    <w:rsid w:val="00297F6A"/>
    <w:rsid w:val="002A05AC"/>
    <w:rsid w:val="002A1364"/>
    <w:rsid w:val="002A1B1F"/>
    <w:rsid w:val="002A25AA"/>
    <w:rsid w:val="002A28F5"/>
    <w:rsid w:val="002A46B7"/>
    <w:rsid w:val="002B01DF"/>
    <w:rsid w:val="002B09C9"/>
    <w:rsid w:val="002B0F4E"/>
    <w:rsid w:val="002B0FA3"/>
    <w:rsid w:val="002B27A6"/>
    <w:rsid w:val="002B3591"/>
    <w:rsid w:val="002B3C64"/>
    <w:rsid w:val="002B7FCE"/>
    <w:rsid w:val="002C1D11"/>
    <w:rsid w:val="002C1FA1"/>
    <w:rsid w:val="002D00EB"/>
    <w:rsid w:val="002D17F4"/>
    <w:rsid w:val="002D2A56"/>
    <w:rsid w:val="002D3D8E"/>
    <w:rsid w:val="002D5870"/>
    <w:rsid w:val="002D59E5"/>
    <w:rsid w:val="002D7491"/>
    <w:rsid w:val="002E2CE0"/>
    <w:rsid w:val="002E305A"/>
    <w:rsid w:val="002E517D"/>
    <w:rsid w:val="002E5559"/>
    <w:rsid w:val="002E64ED"/>
    <w:rsid w:val="002E72DF"/>
    <w:rsid w:val="002F094B"/>
    <w:rsid w:val="002F09E6"/>
    <w:rsid w:val="002F2005"/>
    <w:rsid w:val="002F25F6"/>
    <w:rsid w:val="002F3080"/>
    <w:rsid w:val="002F3580"/>
    <w:rsid w:val="002F3F0C"/>
    <w:rsid w:val="002F4EBC"/>
    <w:rsid w:val="002F50B2"/>
    <w:rsid w:val="002F67FF"/>
    <w:rsid w:val="0030125B"/>
    <w:rsid w:val="00301316"/>
    <w:rsid w:val="00301B73"/>
    <w:rsid w:val="00302035"/>
    <w:rsid w:val="003046B2"/>
    <w:rsid w:val="00307B3B"/>
    <w:rsid w:val="00310355"/>
    <w:rsid w:val="00312382"/>
    <w:rsid w:val="003130C1"/>
    <w:rsid w:val="003130D3"/>
    <w:rsid w:val="003131FF"/>
    <w:rsid w:val="00313B04"/>
    <w:rsid w:val="003148F5"/>
    <w:rsid w:val="0031570E"/>
    <w:rsid w:val="00316FF1"/>
    <w:rsid w:val="00320409"/>
    <w:rsid w:val="00320DD5"/>
    <w:rsid w:val="00321363"/>
    <w:rsid w:val="00321E6D"/>
    <w:rsid w:val="00322AA5"/>
    <w:rsid w:val="00322CD9"/>
    <w:rsid w:val="003244AC"/>
    <w:rsid w:val="00324B27"/>
    <w:rsid w:val="00324C58"/>
    <w:rsid w:val="00327077"/>
    <w:rsid w:val="0032782D"/>
    <w:rsid w:val="0033054C"/>
    <w:rsid w:val="003307E4"/>
    <w:rsid w:val="0033192B"/>
    <w:rsid w:val="003364D1"/>
    <w:rsid w:val="003372AB"/>
    <w:rsid w:val="003402C6"/>
    <w:rsid w:val="003416D8"/>
    <w:rsid w:val="00342F7C"/>
    <w:rsid w:val="003441BD"/>
    <w:rsid w:val="00352A30"/>
    <w:rsid w:val="00352E14"/>
    <w:rsid w:val="00353435"/>
    <w:rsid w:val="00354095"/>
    <w:rsid w:val="00355991"/>
    <w:rsid w:val="00355C87"/>
    <w:rsid w:val="003561BC"/>
    <w:rsid w:val="0035639B"/>
    <w:rsid w:val="00357B4F"/>
    <w:rsid w:val="00361351"/>
    <w:rsid w:val="00361CD9"/>
    <w:rsid w:val="003633B7"/>
    <w:rsid w:val="003634D4"/>
    <w:rsid w:val="00363D88"/>
    <w:rsid w:val="00366563"/>
    <w:rsid w:val="00366BCE"/>
    <w:rsid w:val="00367487"/>
    <w:rsid w:val="00367D20"/>
    <w:rsid w:val="00372C47"/>
    <w:rsid w:val="00374741"/>
    <w:rsid w:val="003755FF"/>
    <w:rsid w:val="00377EE0"/>
    <w:rsid w:val="00380259"/>
    <w:rsid w:val="00380B82"/>
    <w:rsid w:val="00380DCA"/>
    <w:rsid w:val="003824A2"/>
    <w:rsid w:val="00383A58"/>
    <w:rsid w:val="003851C9"/>
    <w:rsid w:val="003876B0"/>
    <w:rsid w:val="00390EC5"/>
    <w:rsid w:val="00393F07"/>
    <w:rsid w:val="00394B3E"/>
    <w:rsid w:val="0039585D"/>
    <w:rsid w:val="00396689"/>
    <w:rsid w:val="003974D0"/>
    <w:rsid w:val="003A1EEF"/>
    <w:rsid w:val="003A2B57"/>
    <w:rsid w:val="003A382D"/>
    <w:rsid w:val="003A7A08"/>
    <w:rsid w:val="003B165D"/>
    <w:rsid w:val="003B4146"/>
    <w:rsid w:val="003B736A"/>
    <w:rsid w:val="003C01A3"/>
    <w:rsid w:val="003C0EBE"/>
    <w:rsid w:val="003C1FC7"/>
    <w:rsid w:val="003C28B4"/>
    <w:rsid w:val="003C394F"/>
    <w:rsid w:val="003C48C3"/>
    <w:rsid w:val="003C4E1F"/>
    <w:rsid w:val="003C4E35"/>
    <w:rsid w:val="003C536B"/>
    <w:rsid w:val="003C7488"/>
    <w:rsid w:val="003C799F"/>
    <w:rsid w:val="003D05D8"/>
    <w:rsid w:val="003D25EC"/>
    <w:rsid w:val="003D26A2"/>
    <w:rsid w:val="003D2A51"/>
    <w:rsid w:val="003D330F"/>
    <w:rsid w:val="003D4080"/>
    <w:rsid w:val="003D601B"/>
    <w:rsid w:val="003D78C6"/>
    <w:rsid w:val="003E0D11"/>
    <w:rsid w:val="003E50C5"/>
    <w:rsid w:val="003E50D4"/>
    <w:rsid w:val="003E53AB"/>
    <w:rsid w:val="003E71E6"/>
    <w:rsid w:val="003E7424"/>
    <w:rsid w:val="003E76ED"/>
    <w:rsid w:val="003E7B98"/>
    <w:rsid w:val="003F1B3F"/>
    <w:rsid w:val="003F25FF"/>
    <w:rsid w:val="003F300D"/>
    <w:rsid w:val="003F3B10"/>
    <w:rsid w:val="003F44CF"/>
    <w:rsid w:val="003F4A5F"/>
    <w:rsid w:val="003F5049"/>
    <w:rsid w:val="003F6200"/>
    <w:rsid w:val="003F6B83"/>
    <w:rsid w:val="003F6BEE"/>
    <w:rsid w:val="003F6CB8"/>
    <w:rsid w:val="003F7366"/>
    <w:rsid w:val="003F7CC0"/>
    <w:rsid w:val="0040036A"/>
    <w:rsid w:val="0040303F"/>
    <w:rsid w:val="00403452"/>
    <w:rsid w:val="00403520"/>
    <w:rsid w:val="00404F7C"/>
    <w:rsid w:val="00406392"/>
    <w:rsid w:val="00406B87"/>
    <w:rsid w:val="00413680"/>
    <w:rsid w:val="004140B5"/>
    <w:rsid w:val="00414436"/>
    <w:rsid w:val="00414697"/>
    <w:rsid w:val="00417F99"/>
    <w:rsid w:val="004232D3"/>
    <w:rsid w:val="0042382F"/>
    <w:rsid w:val="004255A5"/>
    <w:rsid w:val="00426FF9"/>
    <w:rsid w:val="00430CBA"/>
    <w:rsid w:val="00432E86"/>
    <w:rsid w:val="00435D03"/>
    <w:rsid w:val="0043726B"/>
    <w:rsid w:val="00437569"/>
    <w:rsid w:val="0044651B"/>
    <w:rsid w:val="00450BEE"/>
    <w:rsid w:val="00450C02"/>
    <w:rsid w:val="004511E5"/>
    <w:rsid w:val="004511FD"/>
    <w:rsid w:val="00451DD0"/>
    <w:rsid w:val="00452A75"/>
    <w:rsid w:val="00453053"/>
    <w:rsid w:val="004530AA"/>
    <w:rsid w:val="004546FD"/>
    <w:rsid w:val="00455153"/>
    <w:rsid w:val="00455892"/>
    <w:rsid w:val="00456DFB"/>
    <w:rsid w:val="00457490"/>
    <w:rsid w:val="00460329"/>
    <w:rsid w:val="00461815"/>
    <w:rsid w:val="00461E1B"/>
    <w:rsid w:val="00462615"/>
    <w:rsid w:val="00465FAC"/>
    <w:rsid w:val="0046653F"/>
    <w:rsid w:val="004670A8"/>
    <w:rsid w:val="00467C59"/>
    <w:rsid w:val="004711CE"/>
    <w:rsid w:val="00471F51"/>
    <w:rsid w:val="00475BC7"/>
    <w:rsid w:val="00477945"/>
    <w:rsid w:val="004816B9"/>
    <w:rsid w:val="00482668"/>
    <w:rsid w:val="004829FB"/>
    <w:rsid w:val="00483380"/>
    <w:rsid w:val="00483502"/>
    <w:rsid w:val="00484D41"/>
    <w:rsid w:val="0048540B"/>
    <w:rsid w:val="004856AA"/>
    <w:rsid w:val="00487C4E"/>
    <w:rsid w:val="00491328"/>
    <w:rsid w:val="00491900"/>
    <w:rsid w:val="00494C95"/>
    <w:rsid w:val="0049500C"/>
    <w:rsid w:val="004965CE"/>
    <w:rsid w:val="004A5066"/>
    <w:rsid w:val="004A6D5D"/>
    <w:rsid w:val="004A736F"/>
    <w:rsid w:val="004A75A4"/>
    <w:rsid w:val="004B2BC4"/>
    <w:rsid w:val="004B30FD"/>
    <w:rsid w:val="004B322B"/>
    <w:rsid w:val="004B4369"/>
    <w:rsid w:val="004B46AD"/>
    <w:rsid w:val="004B4B05"/>
    <w:rsid w:val="004B57B4"/>
    <w:rsid w:val="004B5BA9"/>
    <w:rsid w:val="004B61AB"/>
    <w:rsid w:val="004B6662"/>
    <w:rsid w:val="004C16BA"/>
    <w:rsid w:val="004C1725"/>
    <w:rsid w:val="004C1A4E"/>
    <w:rsid w:val="004C1EB7"/>
    <w:rsid w:val="004C4C86"/>
    <w:rsid w:val="004C6701"/>
    <w:rsid w:val="004C7ED8"/>
    <w:rsid w:val="004D15B7"/>
    <w:rsid w:val="004D163C"/>
    <w:rsid w:val="004D3D1E"/>
    <w:rsid w:val="004D4521"/>
    <w:rsid w:val="004D4D2F"/>
    <w:rsid w:val="004D5080"/>
    <w:rsid w:val="004E281A"/>
    <w:rsid w:val="004E3E15"/>
    <w:rsid w:val="004E5CAC"/>
    <w:rsid w:val="004E69E8"/>
    <w:rsid w:val="004F0428"/>
    <w:rsid w:val="004F2857"/>
    <w:rsid w:val="004F4F44"/>
    <w:rsid w:val="004F510C"/>
    <w:rsid w:val="004F6EF8"/>
    <w:rsid w:val="004F706A"/>
    <w:rsid w:val="004F7841"/>
    <w:rsid w:val="0050386D"/>
    <w:rsid w:val="00506106"/>
    <w:rsid w:val="005100FA"/>
    <w:rsid w:val="00512565"/>
    <w:rsid w:val="00513175"/>
    <w:rsid w:val="00514214"/>
    <w:rsid w:val="0052290F"/>
    <w:rsid w:val="00524B65"/>
    <w:rsid w:val="00526259"/>
    <w:rsid w:val="00526D27"/>
    <w:rsid w:val="00530609"/>
    <w:rsid w:val="00530EC1"/>
    <w:rsid w:val="005321A0"/>
    <w:rsid w:val="00532B80"/>
    <w:rsid w:val="00536B1F"/>
    <w:rsid w:val="0053760A"/>
    <w:rsid w:val="00537FE4"/>
    <w:rsid w:val="005425FA"/>
    <w:rsid w:val="0054278D"/>
    <w:rsid w:val="005449FE"/>
    <w:rsid w:val="00545677"/>
    <w:rsid w:val="00545B8A"/>
    <w:rsid w:val="0055172E"/>
    <w:rsid w:val="00552191"/>
    <w:rsid w:val="00552BB8"/>
    <w:rsid w:val="00553501"/>
    <w:rsid w:val="005564A1"/>
    <w:rsid w:val="005568A3"/>
    <w:rsid w:val="00556A16"/>
    <w:rsid w:val="00560354"/>
    <w:rsid w:val="0056098B"/>
    <w:rsid w:val="00562283"/>
    <w:rsid w:val="0056240E"/>
    <w:rsid w:val="005643B9"/>
    <w:rsid w:val="005701EB"/>
    <w:rsid w:val="00570B94"/>
    <w:rsid w:val="005711CF"/>
    <w:rsid w:val="0057212B"/>
    <w:rsid w:val="00572233"/>
    <w:rsid w:val="005729C7"/>
    <w:rsid w:val="0057367C"/>
    <w:rsid w:val="00573EFE"/>
    <w:rsid w:val="0057413C"/>
    <w:rsid w:val="00574C45"/>
    <w:rsid w:val="00574F03"/>
    <w:rsid w:val="00575F2C"/>
    <w:rsid w:val="0057613E"/>
    <w:rsid w:val="005765CD"/>
    <w:rsid w:val="005778FC"/>
    <w:rsid w:val="00580167"/>
    <w:rsid w:val="00581D46"/>
    <w:rsid w:val="005844F9"/>
    <w:rsid w:val="0058543F"/>
    <w:rsid w:val="00586EE9"/>
    <w:rsid w:val="00587AF7"/>
    <w:rsid w:val="00594716"/>
    <w:rsid w:val="00594F53"/>
    <w:rsid w:val="005954F4"/>
    <w:rsid w:val="00595614"/>
    <w:rsid w:val="005977A1"/>
    <w:rsid w:val="005A037F"/>
    <w:rsid w:val="005A0CF4"/>
    <w:rsid w:val="005A2180"/>
    <w:rsid w:val="005A53D2"/>
    <w:rsid w:val="005A71FA"/>
    <w:rsid w:val="005B1EF7"/>
    <w:rsid w:val="005B5AD1"/>
    <w:rsid w:val="005B6109"/>
    <w:rsid w:val="005B6947"/>
    <w:rsid w:val="005B7A41"/>
    <w:rsid w:val="005B7C74"/>
    <w:rsid w:val="005C07D8"/>
    <w:rsid w:val="005C089F"/>
    <w:rsid w:val="005C1197"/>
    <w:rsid w:val="005C2092"/>
    <w:rsid w:val="005C76B5"/>
    <w:rsid w:val="005C77E4"/>
    <w:rsid w:val="005C78AA"/>
    <w:rsid w:val="005C7955"/>
    <w:rsid w:val="005C7B58"/>
    <w:rsid w:val="005D3CE4"/>
    <w:rsid w:val="005D43EC"/>
    <w:rsid w:val="005D47D8"/>
    <w:rsid w:val="005D4CF7"/>
    <w:rsid w:val="005D5734"/>
    <w:rsid w:val="005D726C"/>
    <w:rsid w:val="005E00C6"/>
    <w:rsid w:val="005E0283"/>
    <w:rsid w:val="005E35E7"/>
    <w:rsid w:val="005E3CCB"/>
    <w:rsid w:val="005E495D"/>
    <w:rsid w:val="005E5CEF"/>
    <w:rsid w:val="005F0FEE"/>
    <w:rsid w:val="005F12F5"/>
    <w:rsid w:val="005F367E"/>
    <w:rsid w:val="005F3F17"/>
    <w:rsid w:val="005F52EF"/>
    <w:rsid w:val="005F5948"/>
    <w:rsid w:val="00600645"/>
    <w:rsid w:val="00600FF4"/>
    <w:rsid w:val="00602ADB"/>
    <w:rsid w:val="006050E5"/>
    <w:rsid w:val="0060550F"/>
    <w:rsid w:val="006056E5"/>
    <w:rsid w:val="006072B9"/>
    <w:rsid w:val="00607CDD"/>
    <w:rsid w:val="00611AB1"/>
    <w:rsid w:val="00611F7B"/>
    <w:rsid w:val="00612B5F"/>
    <w:rsid w:val="00614B62"/>
    <w:rsid w:val="006203B5"/>
    <w:rsid w:val="00621488"/>
    <w:rsid w:val="0062150F"/>
    <w:rsid w:val="006218B4"/>
    <w:rsid w:val="00621D58"/>
    <w:rsid w:val="0062366F"/>
    <w:rsid w:val="006249F8"/>
    <w:rsid w:val="00624F97"/>
    <w:rsid w:val="0062546F"/>
    <w:rsid w:val="00625CCC"/>
    <w:rsid w:val="006261ED"/>
    <w:rsid w:val="00626AFC"/>
    <w:rsid w:val="006271B5"/>
    <w:rsid w:val="00630242"/>
    <w:rsid w:val="006304EC"/>
    <w:rsid w:val="00630896"/>
    <w:rsid w:val="0063129E"/>
    <w:rsid w:val="006357D8"/>
    <w:rsid w:val="00636E3D"/>
    <w:rsid w:val="00637265"/>
    <w:rsid w:val="00637DB2"/>
    <w:rsid w:val="00641952"/>
    <w:rsid w:val="00641EC2"/>
    <w:rsid w:val="00642FDA"/>
    <w:rsid w:val="00643011"/>
    <w:rsid w:val="006531C1"/>
    <w:rsid w:val="00654521"/>
    <w:rsid w:val="00654CF8"/>
    <w:rsid w:val="006557BD"/>
    <w:rsid w:val="006618C4"/>
    <w:rsid w:val="00662106"/>
    <w:rsid w:val="0066324B"/>
    <w:rsid w:val="00664E0E"/>
    <w:rsid w:val="00666106"/>
    <w:rsid w:val="006714D5"/>
    <w:rsid w:val="00672E86"/>
    <w:rsid w:val="00673A4E"/>
    <w:rsid w:val="0067540F"/>
    <w:rsid w:val="006803DA"/>
    <w:rsid w:val="00680AE4"/>
    <w:rsid w:val="006828CD"/>
    <w:rsid w:val="00683E78"/>
    <w:rsid w:val="00683F75"/>
    <w:rsid w:val="00684CE3"/>
    <w:rsid w:val="00690622"/>
    <w:rsid w:val="0069290A"/>
    <w:rsid w:val="00693294"/>
    <w:rsid w:val="00694CA8"/>
    <w:rsid w:val="00695000"/>
    <w:rsid w:val="006A16AB"/>
    <w:rsid w:val="006A3914"/>
    <w:rsid w:val="006A4EE6"/>
    <w:rsid w:val="006A6618"/>
    <w:rsid w:val="006A7D55"/>
    <w:rsid w:val="006B2FB4"/>
    <w:rsid w:val="006B4527"/>
    <w:rsid w:val="006B481E"/>
    <w:rsid w:val="006B6D26"/>
    <w:rsid w:val="006B7637"/>
    <w:rsid w:val="006C0B54"/>
    <w:rsid w:val="006C21C2"/>
    <w:rsid w:val="006C2E4F"/>
    <w:rsid w:val="006C4CB3"/>
    <w:rsid w:val="006C5C25"/>
    <w:rsid w:val="006C76D0"/>
    <w:rsid w:val="006D0568"/>
    <w:rsid w:val="006D0711"/>
    <w:rsid w:val="006D3D7F"/>
    <w:rsid w:val="006D4974"/>
    <w:rsid w:val="006D6134"/>
    <w:rsid w:val="006E012A"/>
    <w:rsid w:val="006E0445"/>
    <w:rsid w:val="006E0678"/>
    <w:rsid w:val="006E0DC8"/>
    <w:rsid w:val="006E2AB2"/>
    <w:rsid w:val="006E3811"/>
    <w:rsid w:val="006E4AD2"/>
    <w:rsid w:val="006E52AF"/>
    <w:rsid w:val="006E65C7"/>
    <w:rsid w:val="006E69DB"/>
    <w:rsid w:val="006E6D1F"/>
    <w:rsid w:val="006F03B7"/>
    <w:rsid w:val="006F1825"/>
    <w:rsid w:val="006F46A2"/>
    <w:rsid w:val="006F49BE"/>
    <w:rsid w:val="006F4D9F"/>
    <w:rsid w:val="006F5BF3"/>
    <w:rsid w:val="006F5D39"/>
    <w:rsid w:val="006F7173"/>
    <w:rsid w:val="006F74AE"/>
    <w:rsid w:val="006F7A22"/>
    <w:rsid w:val="00701AED"/>
    <w:rsid w:val="00701F7E"/>
    <w:rsid w:val="00703A44"/>
    <w:rsid w:val="007040FA"/>
    <w:rsid w:val="00704C3A"/>
    <w:rsid w:val="00706469"/>
    <w:rsid w:val="007074AD"/>
    <w:rsid w:val="00710159"/>
    <w:rsid w:val="0071186B"/>
    <w:rsid w:val="00712418"/>
    <w:rsid w:val="00712C4B"/>
    <w:rsid w:val="007147DC"/>
    <w:rsid w:val="00715B15"/>
    <w:rsid w:val="0072179F"/>
    <w:rsid w:val="007218E9"/>
    <w:rsid w:val="00721CC1"/>
    <w:rsid w:val="007238DA"/>
    <w:rsid w:val="00724AD7"/>
    <w:rsid w:val="00724BBE"/>
    <w:rsid w:val="00724D4F"/>
    <w:rsid w:val="0072506E"/>
    <w:rsid w:val="00725D38"/>
    <w:rsid w:val="007264E9"/>
    <w:rsid w:val="00726AD6"/>
    <w:rsid w:val="0072703C"/>
    <w:rsid w:val="00727C66"/>
    <w:rsid w:val="00731138"/>
    <w:rsid w:val="0073173B"/>
    <w:rsid w:val="00732A4E"/>
    <w:rsid w:val="00732C4D"/>
    <w:rsid w:val="00734004"/>
    <w:rsid w:val="00734FDA"/>
    <w:rsid w:val="00735A7B"/>
    <w:rsid w:val="00737C5D"/>
    <w:rsid w:val="007409CF"/>
    <w:rsid w:val="00741AA3"/>
    <w:rsid w:val="0074218F"/>
    <w:rsid w:val="007458D2"/>
    <w:rsid w:val="00746260"/>
    <w:rsid w:val="00746326"/>
    <w:rsid w:val="00746E4E"/>
    <w:rsid w:val="00747CC2"/>
    <w:rsid w:val="00750B57"/>
    <w:rsid w:val="007527A4"/>
    <w:rsid w:val="00754576"/>
    <w:rsid w:val="00755148"/>
    <w:rsid w:val="007553BE"/>
    <w:rsid w:val="007561D4"/>
    <w:rsid w:val="007606D3"/>
    <w:rsid w:val="00762882"/>
    <w:rsid w:val="00763BF0"/>
    <w:rsid w:val="007644D0"/>
    <w:rsid w:val="00765E36"/>
    <w:rsid w:val="00770036"/>
    <w:rsid w:val="007705C8"/>
    <w:rsid w:val="00771566"/>
    <w:rsid w:val="00773C3C"/>
    <w:rsid w:val="00773F91"/>
    <w:rsid w:val="00774B01"/>
    <w:rsid w:val="00775704"/>
    <w:rsid w:val="007762C7"/>
    <w:rsid w:val="0077655F"/>
    <w:rsid w:val="00776A58"/>
    <w:rsid w:val="00777A50"/>
    <w:rsid w:val="007823DE"/>
    <w:rsid w:val="00782702"/>
    <w:rsid w:val="00783851"/>
    <w:rsid w:val="00783B93"/>
    <w:rsid w:val="007851D9"/>
    <w:rsid w:val="00785DD5"/>
    <w:rsid w:val="00787EF2"/>
    <w:rsid w:val="0079131B"/>
    <w:rsid w:val="007917C1"/>
    <w:rsid w:val="00792CB5"/>
    <w:rsid w:val="0079381F"/>
    <w:rsid w:val="00793EDA"/>
    <w:rsid w:val="00795BA3"/>
    <w:rsid w:val="00795F21"/>
    <w:rsid w:val="00796290"/>
    <w:rsid w:val="00797A7F"/>
    <w:rsid w:val="007A166F"/>
    <w:rsid w:val="007A3526"/>
    <w:rsid w:val="007A45C3"/>
    <w:rsid w:val="007A795D"/>
    <w:rsid w:val="007B0F4F"/>
    <w:rsid w:val="007B3262"/>
    <w:rsid w:val="007B3F98"/>
    <w:rsid w:val="007B41FD"/>
    <w:rsid w:val="007B678D"/>
    <w:rsid w:val="007B715A"/>
    <w:rsid w:val="007C0BD2"/>
    <w:rsid w:val="007C383E"/>
    <w:rsid w:val="007C7F45"/>
    <w:rsid w:val="007D05FE"/>
    <w:rsid w:val="007D1B5E"/>
    <w:rsid w:val="007D1CA6"/>
    <w:rsid w:val="007D204A"/>
    <w:rsid w:val="007D48F1"/>
    <w:rsid w:val="007D4C01"/>
    <w:rsid w:val="007D5399"/>
    <w:rsid w:val="007D5576"/>
    <w:rsid w:val="007D5BA7"/>
    <w:rsid w:val="007D65FF"/>
    <w:rsid w:val="007D6E82"/>
    <w:rsid w:val="007D757A"/>
    <w:rsid w:val="007E35F1"/>
    <w:rsid w:val="007E633D"/>
    <w:rsid w:val="007E6C6A"/>
    <w:rsid w:val="007F0D4A"/>
    <w:rsid w:val="00800717"/>
    <w:rsid w:val="00801A6E"/>
    <w:rsid w:val="0080437E"/>
    <w:rsid w:val="00804B35"/>
    <w:rsid w:val="00810CE7"/>
    <w:rsid w:val="00811B0F"/>
    <w:rsid w:val="00812020"/>
    <w:rsid w:val="00812E7D"/>
    <w:rsid w:val="00813003"/>
    <w:rsid w:val="00814318"/>
    <w:rsid w:val="00814402"/>
    <w:rsid w:val="00815E97"/>
    <w:rsid w:val="00816B65"/>
    <w:rsid w:val="00821212"/>
    <w:rsid w:val="00821416"/>
    <w:rsid w:val="00822187"/>
    <w:rsid w:val="00822259"/>
    <w:rsid w:val="00823E07"/>
    <w:rsid w:val="00824005"/>
    <w:rsid w:val="008263D8"/>
    <w:rsid w:val="00826580"/>
    <w:rsid w:val="00827BCD"/>
    <w:rsid w:val="0083068A"/>
    <w:rsid w:val="008310A7"/>
    <w:rsid w:val="0083150E"/>
    <w:rsid w:val="00831DB6"/>
    <w:rsid w:val="00833611"/>
    <w:rsid w:val="00834BD5"/>
    <w:rsid w:val="00835281"/>
    <w:rsid w:val="008352AA"/>
    <w:rsid w:val="00835482"/>
    <w:rsid w:val="008373B8"/>
    <w:rsid w:val="0084121A"/>
    <w:rsid w:val="008416B7"/>
    <w:rsid w:val="0084189D"/>
    <w:rsid w:val="00844632"/>
    <w:rsid w:val="00845EE6"/>
    <w:rsid w:val="00846080"/>
    <w:rsid w:val="00851517"/>
    <w:rsid w:val="0085391D"/>
    <w:rsid w:val="00855B23"/>
    <w:rsid w:val="0085774B"/>
    <w:rsid w:val="00862735"/>
    <w:rsid w:val="00863657"/>
    <w:rsid w:val="00863E43"/>
    <w:rsid w:val="00864022"/>
    <w:rsid w:val="00864322"/>
    <w:rsid w:val="008656BE"/>
    <w:rsid w:val="00865FE5"/>
    <w:rsid w:val="00866D4A"/>
    <w:rsid w:val="00870190"/>
    <w:rsid w:val="0087151C"/>
    <w:rsid w:val="008715C8"/>
    <w:rsid w:val="008722F1"/>
    <w:rsid w:val="00872F85"/>
    <w:rsid w:val="008733E3"/>
    <w:rsid w:val="00873530"/>
    <w:rsid w:val="00873AAE"/>
    <w:rsid w:val="008746F1"/>
    <w:rsid w:val="00874AE4"/>
    <w:rsid w:val="00874FC3"/>
    <w:rsid w:val="00882736"/>
    <w:rsid w:val="00884AB0"/>
    <w:rsid w:val="00885875"/>
    <w:rsid w:val="0088682E"/>
    <w:rsid w:val="00890261"/>
    <w:rsid w:val="00890A54"/>
    <w:rsid w:val="00891E10"/>
    <w:rsid w:val="008971F7"/>
    <w:rsid w:val="008978DF"/>
    <w:rsid w:val="008A0B72"/>
    <w:rsid w:val="008A21B9"/>
    <w:rsid w:val="008A27C7"/>
    <w:rsid w:val="008A7896"/>
    <w:rsid w:val="008B0AD8"/>
    <w:rsid w:val="008B1201"/>
    <w:rsid w:val="008B1215"/>
    <w:rsid w:val="008B63CB"/>
    <w:rsid w:val="008B7233"/>
    <w:rsid w:val="008C08CE"/>
    <w:rsid w:val="008C115F"/>
    <w:rsid w:val="008C52C4"/>
    <w:rsid w:val="008C6616"/>
    <w:rsid w:val="008C6C60"/>
    <w:rsid w:val="008C7771"/>
    <w:rsid w:val="008D1478"/>
    <w:rsid w:val="008D1C4E"/>
    <w:rsid w:val="008D27AF"/>
    <w:rsid w:val="008D6031"/>
    <w:rsid w:val="008E133C"/>
    <w:rsid w:val="008E195F"/>
    <w:rsid w:val="008E19A4"/>
    <w:rsid w:val="008E1F6C"/>
    <w:rsid w:val="008E235D"/>
    <w:rsid w:val="008E3109"/>
    <w:rsid w:val="008E6ED8"/>
    <w:rsid w:val="008E7529"/>
    <w:rsid w:val="008F06D9"/>
    <w:rsid w:val="008F1CC7"/>
    <w:rsid w:val="008F2810"/>
    <w:rsid w:val="008F3282"/>
    <w:rsid w:val="008F6310"/>
    <w:rsid w:val="008F68DE"/>
    <w:rsid w:val="008F6FAA"/>
    <w:rsid w:val="00900A37"/>
    <w:rsid w:val="00902394"/>
    <w:rsid w:val="00902503"/>
    <w:rsid w:val="00902938"/>
    <w:rsid w:val="00903961"/>
    <w:rsid w:val="00906297"/>
    <w:rsid w:val="0090678C"/>
    <w:rsid w:val="00907F25"/>
    <w:rsid w:val="0091054F"/>
    <w:rsid w:val="00911B87"/>
    <w:rsid w:val="0091459E"/>
    <w:rsid w:val="009153A4"/>
    <w:rsid w:val="00915CB0"/>
    <w:rsid w:val="0091758A"/>
    <w:rsid w:val="00917E33"/>
    <w:rsid w:val="00920B99"/>
    <w:rsid w:val="00921008"/>
    <w:rsid w:val="00922710"/>
    <w:rsid w:val="0092629A"/>
    <w:rsid w:val="00926688"/>
    <w:rsid w:val="00927DA4"/>
    <w:rsid w:val="009308B6"/>
    <w:rsid w:val="009310BD"/>
    <w:rsid w:val="0093119E"/>
    <w:rsid w:val="0093206D"/>
    <w:rsid w:val="0093207E"/>
    <w:rsid w:val="00932A65"/>
    <w:rsid w:val="009346ED"/>
    <w:rsid w:val="0093519A"/>
    <w:rsid w:val="00935D12"/>
    <w:rsid w:val="00940334"/>
    <w:rsid w:val="009419B6"/>
    <w:rsid w:val="0094268B"/>
    <w:rsid w:val="009445B8"/>
    <w:rsid w:val="0094485A"/>
    <w:rsid w:val="009463B8"/>
    <w:rsid w:val="009478B7"/>
    <w:rsid w:val="00950727"/>
    <w:rsid w:val="00952E54"/>
    <w:rsid w:val="009565ED"/>
    <w:rsid w:val="00956607"/>
    <w:rsid w:val="009566BC"/>
    <w:rsid w:val="0096037D"/>
    <w:rsid w:val="0096150B"/>
    <w:rsid w:val="00964490"/>
    <w:rsid w:val="009651A9"/>
    <w:rsid w:val="00967290"/>
    <w:rsid w:val="00967504"/>
    <w:rsid w:val="009710BD"/>
    <w:rsid w:val="0097246A"/>
    <w:rsid w:val="0097266F"/>
    <w:rsid w:val="00975C4B"/>
    <w:rsid w:val="00976D53"/>
    <w:rsid w:val="00977173"/>
    <w:rsid w:val="00983D97"/>
    <w:rsid w:val="00984458"/>
    <w:rsid w:val="00986EFA"/>
    <w:rsid w:val="00987107"/>
    <w:rsid w:val="0099051E"/>
    <w:rsid w:val="0099152A"/>
    <w:rsid w:val="00993093"/>
    <w:rsid w:val="009931D4"/>
    <w:rsid w:val="0099386B"/>
    <w:rsid w:val="00994C60"/>
    <w:rsid w:val="00994F0C"/>
    <w:rsid w:val="00994FD1"/>
    <w:rsid w:val="0099537F"/>
    <w:rsid w:val="00996D6E"/>
    <w:rsid w:val="009A08A3"/>
    <w:rsid w:val="009A0EC0"/>
    <w:rsid w:val="009A2249"/>
    <w:rsid w:val="009A2CAD"/>
    <w:rsid w:val="009A2F5D"/>
    <w:rsid w:val="009A307E"/>
    <w:rsid w:val="009A369D"/>
    <w:rsid w:val="009A3EE4"/>
    <w:rsid w:val="009A4445"/>
    <w:rsid w:val="009A6464"/>
    <w:rsid w:val="009A7453"/>
    <w:rsid w:val="009B04BA"/>
    <w:rsid w:val="009B1B45"/>
    <w:rsid w:val="009B390F"/>
    <w:rsid w:val="009B55A9"/>
    <w:rsid w:val="009B6986"/>
    <w:rsid w:val="009C0B1D"/>
    <w:rsid w:val="009C15C7"/>
    <w:rsid w:val="009C4292"/>
    <w:rsid w:val="009C6665"/>
    <w:rsid w:val="009C7013"/>
    <w:rsid w:val="009D2637"/>
    <w:rsid w:val="009D2EF1"/>
    <w:rsid w:val="009D4E1B"/>
    <w:rsid w:val="009D574E"/>
    <w:rsid w:val="009D5992"/>
    <w:rsid w:val="009D5A8A"/>
    <w:rsid w:val="009D5D05"/>
    <w:rsid w:val="009D5EBE"/>
    <w:rsid w:val="009D7479"/>
    <w:rsid w:val="009E02C1"/>
    <w:rsid w:val="009E05F1"/>
    <w:rsid w:val="009E24E1"/>
    <w:rsid w:val="009E2B36"/>
    <w:rsid w:val="009E5520"/>
    <w:rsid w:val="009E554C"/>
    <w:rsid w:val="009E5F90"/>
    <w:rsid w:val="009E5F9D"/>
    <w:rsid w:val="009E689E"/>
    <w:rsid w:val="009E7BC1"/>
    <w:rsid w:val="009F18C6"/>
    <w:rsid w:val="009F223C"/>
    <w:rsid w:val="009F36FA"/>
    <w:rsid w:val="009F3B9B"/>
    <w:rsid w:val="009F4F65"/>
    <w:rsid w:val="009F607D"/>
    <w:rsid w:val="009F6CCE"/>
    <w:rsid w:val="00A01E63"/>
    <w:rsid w:val="00A03D93"/>
    <w:rsid w:val="00A06F6D"/>
    <w:rsid w:val="00A07317"/>
    <w:rsid w:val="00A10CE7"/>
    <w:rsid w:val="00A16DFE"/>
    <w:rsid w:val="00A23238"/>
    <w:rsid w:val="00A2413E"/>
    <w:rsid w:val="00A258A7"/>
    <w:rsid w:val="00A26740"/>
    <w:rsid w:val="00A30C5D"/>
    <w:rsid w:val="00A31F28"/>
    <w:rsid w:val="00A327D4"/>
    <w:rsid w:val="00A36248"/>
    <w:rsid w:val="00A36CEA"/>
    <w:rsid w:val="00A41D02"/>
    <w:rsid w:val="00A420BD"/>
    <w:rsid w:val="00A4238C"/>
    <w:rsid w:val="00A4241E"/>
    <w:rsid w:val="00A4385E"/>
    <w:rsid w:val="00A44F27"/>
    <w:rsid w:val="00A464BD"/>
    <w:rsid w:val="00A46855"/>
    <w:rsid w:val="00A46FBD"/>
    <w:rsid w:val="00A4716F"/>
    <w:rsid w:val="00A50051"/>
    <w:rsid w:val="00A506C3"/>
    <w:rsid w:val="00A51584"/>
    <w:rsid w:val="00A529DF"/>
    <w:rsid w:val="00A53AA1"/>
    <w:rsid w:val="00A53C96"/>
    <w:rsid w:val="00A55C1B"/>
    <w:rsid w:val="00A5788F"/>
    <w:rsid w:val="00A57D87"/>
    <w:rsid w:val="00A6160D"/>
    <w:rsid w:val="00A616F6"/>
    <w:rsid w:val="00A64226"/>
    <w:rsid w:val="00A6470E"/>
    <w:rsid w:val="00A6486C"/>
    <w:rsid w:val="00A65DCC"/>
    <w:rsid w:val="00A72F5C"/>
    <w:rsid w:val="00A75033"/>
    <w:rsid w:val="00A76D10"/>
    <w:rsid w:val="00A7795A"/>
    <w:rsid w:val="00A81A65"/>
    <w:rsid w:val="00A820C9"/>
    <w:rsid w:val="00A86514"/>
    <w:rsid w:val="00A907D5"/>
    <w:rsid w:val="00A919AE"/>
    <w:rsid w:val="00A942C1"/>
    <w:rsid w:val="00A9494D"/>
    <w:rsid w:val="00A95D7D"/>
    <w:rsid w:val="00A95DAA"/>
    <w:rsid w:val="00A9638E"/>
    <w:rsid w:val="00A966A7"/>
    <w:rsid w:val="00A97BD2"/>
    <w:rsid w:val="00AA0ED1"/>
    <w:rsid w:val="00AA32E9"/>
    <w:rsid w:val="00AA4160"/>
    <w:rsid w:val="00AA4773"/>
    <w:rsid w:val="00AA4DE4"/>
    <w:rsid w:val="00AA5FAE"/>
    <w:rsid w:val="00AA62F4"/>
    <w:rsid w:val="00AA7D3B"/>
    <w:rsid w:val="00AB0867"/>
    <w:rsid w:val="00AB0B0B"/>
    <w:rsid w:val="00AB0CF5"/>
    <w:rsid w:val="00AB1196"/>
    <w:rsid w:val="00AB2393"/>
    <w:rsid w:val="00AB54BD"/>
    <w:rsid w:val="00AB5D04"/>
    <w:rsid w:val="00AC1647"/>
    <w:rsid w:val="00AC16C7"/>
    <w:rsid w:val="00AC255D"/>
    <w:rsid w:val="00AC30D3"/>
    <w:rsid w:val="00AC3908"/>
    <w:rsid w:val="00AC3DF2"/>
    <w:rsid w:val="00AC6D43"/>
    <w:rsid w:val="00AC7D43"/>
    <w:rsid w:val="00AD0181"/>
    <w:rsid w:val="00AD06BE"/>
    <w:rsid w:val="00AD1E37"/>
    <w:rsid w:val="00AD2E5C"/>
    <w:rsid w:val="00AD34CE"/>
    <w:rsid w:val="00AD5531"/>
    <w:rsid w:val="00AD58B1"/>
    <w:rsid w:val="00AD69BB"/>
    <w:rsid w:val="00AE67DF"/>
    <w:rsid w:val="00AF2D94"/>
    <w:rsid w:val="00AF3CFA"/>
    <w:rsid w:val="00AF56DF"/>
    <w:rsid w:val="00B00B4C"/>
    <w:rsid w:val="00B06024"/>
    <w:rsid w:val="00B0629F"/>
    <w:rsid w:val="00B066AA"/>
    <w:rsid w:val="00B06F47"/>
    <w:rsid w:val="00B07038"/>
    <w:rsid w:val="00B07644"/>
    <w:rsid w:val="00B07795"/>
    <w:rsid w:val="00B109CD"/>
    <w:rsid w:val="00B14A84"/>
    <w:rsid w:val="00B15ABC"/>
    <w:rsid w:val="00B16F69"/>
    <w:rsid w:val="00B20B0E"/>
    <w:rsid w:val="00B2257B"/>
    <w:rsid w:val="00B23209"/>
    <w:rsid w:val="00B25443"/>
    <w:rsid w:val="00B25F3A"/>
    <w:rsid w:val="00B261D9"/>
    <w:rsid w:val="00B30563"/>
    <w:rsid w:val="00B310BA"/>
    <w:rsid w:val="00B311AF"/>
    <w:rsid w:val="00B3228D"/>
    <w:rsid w:val="00B332F4"/>
    <w:rsid w:val="00B337CE"/>
    <w:rsid w:val="00B33DC5"/>
    <w:rsid w:val="00B33FB7"/>
    <w:rsid w:val="00B33FE8"/>
    <w:rsid w:val="00B3434A"/>
    <w:rsid w:val="00B36DA8"/>
    <w:rsid w:val="00B36E7B"/>
    <w:rsid w:val="00B4100A"/>
    <w:rsid w:val="00B413A1"/>
    <w:rsid w:val="00B419AE"/>
    <w:rsid w:val="00B41F6E"/>
    <w:rsid w:val="00B43EF7"/>
    <w:rsid w:val="00B44620"/>
    <w:rsid w:val="00B455A2"/>
    <w:rsid w:val="00B46CA6"/>
    <w:rsid w:val="00B475CF"/>
    <w:rsid w:val="00B47B73"/>
    <w:rsid w:val="00B502EC"/>
    <w:rsid w:val="00B503E1"/>
    <w:rsid w:val="00B50B71"/>
    <w:rsid w:val="00B52637"/>
    <w:rsid w:val="00B52CF3"/>
    <w:rsid w:val="00B536FD"/>
    <w:rsid w:val="00B53AEF"/>
    <w:rsid w:val="00B55A95"/>
    <w:rsid w:val="00B563A1"/>
    <w:rsid w:val="00B574D0"/>
    <w:rsid w:val="00B57966"/>
    <w:rsid w:val="00B6039B"/>
    <w:rsid w:val="00B60AF3"/>
    <w:rsid w:val="00B60BFF"/>
    <w:rsid w:val="00B6251C"/>
    <w:rsid w:val="00B632E7"/>
    <w:rsid w:val="00B63B1F"/>
    <w:rsid w:val="00B63BA6"/>
    <w:rsid w:val="00B64ED7"/>
    <w:rsid w:val="00B66AB8"/>
    <w:rsid w:val="00B67FC8"/>
    <w:rsid w:val="00B71BBD"/>
    <w:rsid w:val="00B73117"/>
    <w:rsid w:val="00B74327"/>
    <w:rsid w:val="00B75512"/>
    <w:rsid w:val="00B80810"/>
    <w:rsid w:val="00B814F3"/>
    <w:rsid w:val="00B81D01"/>
    <w:rsid w:val="00B83CBF"/>
    <w:rsid w:val="00B85B5D"/>
    <w:rsid w:val="00B86BA1"/>
    <w:rsid w:val="00B87A0F"/>
    <w:rsid w:val="00B87FA0"/>
    <w:rsid w:val="00B90898"/>
    <w:rsid w:val="00B92826"/>
    <w:rsid w:val="00B93E7C"/>
    <w:rsid w:val="00B94B02"/>
    <w:rsid w:val="00B97910"/>
    <w:rsid w:val="00BA1E07"/>
    <w:rsid w:val="00BA216F"/>
    <w:rsid w:val="00BA22BE"/>
    <w:rsid w:val="00BA26B2"/>
    <w:rsid w:val="00BA3259"/>
    <w:rsid w:val="00BA5374"/>
    <w:rsid w:val="00BA5ABD"/>
    <w:rsid w:val="00BA5F83"/>
    <w:rsid w:val="00BA65B6"/>
    <w:rsid w:val="00BA6B58"/>
    <w:rsid w:val="00BA6D4E"/>
    <w:rsid w:val="00BA7263"/>
    <w:rsid w:val="00BB052F"/>
    <w:rsid w:val="00BB0A3C"/>
    <w:rsid w:val="00BB2406"/>
    <w:rsid w:val="00BB5F44"/>
    <w:rsid w:val="00BB7A0A"/>
    <w:rsid w:val="00BC185A"/>
    <w:rsid w:val="00BC24A3"/>
    <w:rsid w:val="00BC2935"/>
    <w:rsid w:val="00BC2BA1"/>
    <w:rsid w:val="00BC3456"/>
    <w:rsid w:val="00BC39AF"/>
    <w:rsid w:val="00BC43E9"/>
    <w:rsid w:val="00BC5BB4"/>
    <w:rsid w:val="00BC74BA"/>
    <w:rsid w:val="00BC7932"/>
    <w:rsid w:val="00BD0675"/>
    <w:rsid w:val="00BD12AF"/>
    <w:rsid w:val="00BD18D9"/>
    <w:rsid w:val="00BD78EB"/>
    <w:rsid w:val="00BE0D49"/>
    <w:rsid w:val="00BE2B42"/>
    <w:rsid w:val="00BE4BFD"/>
    <w:rsid w:val="00BE7B10"/>
    <w:rsid w:val="00C00EA6"/>
    <w:rsid w:val="00C013F8"/>
    <w:rsid w:val="00C02525"/>
    <w:rsid w:val="00C034EA"/>
    <w:rsid w:val="00C03505"/>
    <w:rsid w:val="00C044AD"/>
    <w:rsid w:val="00C0579E"/>
    <w:rsid w:val="00C06D5B"/>
    <w:rsid w:val="00C102DB"/>
    <w:rsid w:val="00C10830"/>
    <w:rsid w:val="00C15039"/>
    <w:rsid w:val="00C1505F"/>
    <w:rsid w:val="00C158C4"/>
    <w:rsid w:val="00C1763B"/>
    <w:rsid w:val="00C201B2"/>
    <w:rsid w:val="00C234FD"/>
    <w:rsid w:val="00C23B89"/>
    <w:rsid w:val="00C2615C"/>
    <w:rsid w:val="00C2664E"/>
    <w:rsid w:val="00C26B7D"/>
    <w:rsid w:val="00C271B2"/>
    <w:rsid w:val="00C324A8"/>
    <w:rsid w:val="00C33A7A"/>
    <w:rsid w:val="00C33F62"/>
    <w:rsid w:val="00C349D3"/>
    <w:rsid w:val="00C35200"/>
    <w:rsid w:val="00C35779"/>
    <w:rsid w:val="00C35B91"/>
    <w:rsid w:val="00C37B6F"/>
    <w:rsid w:val="00C41410"/>
    <w:rsid w:val="00C41DB3"/>
    <w:rsid w:val="00C42693"/>
    <w:rsid w:val="00C42C20"/>
    <w:rsid w:val="00C45875"/>
    <w:rsid w:val="00C45F48"/>
    <w:rsid w:val="00C462FF"/>
    <w:rsid w:val="00C46CD6"/>
    <w:rsid w:val="00C47ABE"/>
    <w:rsid w:val="00C50313"/>
    <w:rsid w:val="00C52A05"/>
    <w:rsid w:val="00C5373B"/>
    <w:rsid w:val="00C54A06"/>
    <w:rsid w:val="00C54F37"/>
    <w:rsid w:val="00C552D1"/>
    <w:rsid w:val="00C557F1"/>
    <w:rsid w:val="00C561BA"/>
    <w:rsid w:val="00C60BBD"/>
    <w:rsid w:val="00C62F90"/>
    <w:rsid w:val="00C638A0"/>
    <w:rsid w:val="00C63AD4"/>
    <w:rsid w:val="00C64891"/>
    <w:rsid w:val="00C64F0C"/>
    <w:rsid w:val="00C65AC9"/>
    <w:rsid w:val="00C7034C"/>
    <w:rsid w:val="00C71047"/>
    <w:rsid w:val="00C71289"/>
    <w:rsid w:val="00C7212B"/>
    <w:rsid w:val="00C72F29"/>
    <w:rsid w:val="00C7403D"/>
    <w:rsid w:val="00C7481E"/>
    <w:rsid w:val="00C7578B"/>
    <w:rsid w:val="00C75946"/>
    <w:rsid w:val="00C75BA1"/>
    <w:rsid w:val="00C76799"/>
    <w:rsid w:val="00C76EB8"/>
    <w:rsid w:val="00C7761F"/>
    <w:rsid w:val="00C80038"/>
    <w:rsid w:val="00C80DDD"/>
    <w:rsid w:val="00C81148"/>
    <w:rsid w:val="00C82196"/>
    <w:rsid w:val="00C84F81"/>
    <w:rsid w:val="00C85861"/>
    <w:rsid w:val="00C860B6"/>
    <w:rsid w:val="00C91098"/>
    <w:rsid w:val="00C91E09"/>
    <w:rsid w:val="00C92441"/>
    <w:rsid w:val="00C95606"/>
    <w:rsid w:val="00C968C0"/>
    <w:rsid w:val="00C96939"/>
    <w:rsid w:val="00C97B8E"/>
    <w:rsid w:val="00CA0DCD"/>
    <w:rsid w:val="00CA1556"/>
    <w:rsid w:val="00CA2301"/>
    <w:rsid w:val="00CA500D"/>
    <w:rsid w:val="00CA7695"/>
    <w:rsid w:val="00CB15C0"/>
    <w:rsid w:val="00CB22F2"/>
    <w:rsid w:val="00CB3491"/>
    <w:rsid w:val="00CB3F1C"/>
    <w:rsid w:val="00CB444E"/>
    <w:rsid w:val="00CB4839"/>
    <w:rsid w:val="00CB5643"/>
    <w:rsid w:val="00CB6E37"/>
    <w:rsid w:val="00CB7C9D"/>
    <w:rsid w:val="00CC0A49"/>
    <w:rsid w:val="00CC1715"/>
    <w:rsid w:val="00CC3623"/>
    <w:rsid w:val="00CC36B5"/>
    <w:rsid w:val="00CC3FFF"/>
    <w:rsid w:val="00CC40D9"/>
    <w:rsid w:val="00CC508D"/>
    <w:rsid w:val="00CC7852"/>
    <w:rsid w:val="00CD28A5"/>
    <w:rsid w:val="00CD2D55"/>
    <w:rsid w:val="00CD36FF"/>
    <w:rsid w:val="00CD433B"/>
    <w:rsid w:val="00CD5879"/>
    <w:rsid w:val="00CD6778"/>
    <w:rsid w:val="00CD7EC4"/>
    <w:rsid w:val="00CE05E6"/>
    <w:rsid w:val="00CE0793"/>
    <w:rsid w:val="00CE2907"/>
    <w:rsid w:val="00CE66F9"/>
    <w:rsid w:val="00CF014F"/>
    <w:rsid w:val="00CF1017"/>
    <w:rsid w:val="00CF2745"/>
    <w:rsid w:val="00CF288E"/>
    <w:rsid w:val="00CF3EFE"/>
    <w:rsid w:val="00CF417A"/>
    <w:rsid w:val="00CF4DF3"/>
    <w:rsid w:val="00CF4FB7"/>
    <w:rsid w:val="00CF6915"/>
    <w:rsid w:val="00CF75C5"/>
    <w:rsid w:val="00CF7DD6"/>
    <w:rsid w:val="00D035CE"/>
    <w:rsid w:val="00D03723"/>
    <w:rsid w:val="00D0411C"/>
    <w:rsid w:val="00D04946"/>
    <w:rsid w:val="00D0629D"/>
    <w:rsid w:val="00D07FAA"/>
    <w:rsid w:val="00D10E02"/>
    <w:rsid w:val="00D118CA"/>
    <w:rsid w:val="00D12DBD"/>
    <w:rsid w:val="00D1360D"/>
    <w:rsid w:val="00D145E5"/>
    <w:rsid w:val="00D14F6A"/>
    <w:rsid w:val="00D20A09"/>
    <w:rsid w:val="00D241FF"/>
    <w:rsid w:val="00D25758"/>
    <w:rsid w:val="00D262E7"/>
    <w:rsid w:val="00D26E3E"/>
    <w:rsid w:val="00D3016C"/>
    <w:rsid w:val="00D307E4"/>
    <w:rsid w:val="00D309FC"/>
    <w:rsid w:val="00D320AF"/>
    <w:rsid w:val="00D328D2"/>
    <w:rsid w:val="00D32D12"/>
    <w:rsid w:val="00D32F7F"/>
    <w:rsid w:val="00D33351"/>
    <w:rsid w:val="00D379CF"/>
    <w:rsid w:val="00D4225A"/>
    <w:rsid w:val="00D43FF7"/>
    <w:rsid w:val="00D44139"/>
    <w:rsid w:val="00D4413C"/>
    <w:rsid w:val="00D44CAF"/>
    <w:rsid w:val="00D452CA"/>
    <w:rsid w:val="00D4557F"/>
    <w:rsid w:val="00D4650B"/>
    <w:rsid w:val="00D4693A"/>
    <w:rsid w:val="00D46F3B"/>
    <w:rsid w:val="00D4786A"/>
    <w:rsid w:val="00D506F4"/>
    <w:rsid w:val="00D51DC8"/>
    <w:rsid w:val="00D52396"/>
    <w:rsid w:val="00D52C09"/>
    <w:rsid w:val="00D53D4F"/>
    <w:rsid w:val="00D55393"/>
    <w:rsid w:val="00D55446"/>
    <w:rsid w:val="00D55D3F"/>
    <w:rsid w:val="00D60E13"/>
    <w:rsid w:val="00D6359F"/>
    <w:rsid w:val="00D64B7E"/>
    <w:rsid w:val="00D65F48"/>
    <w:rsid w:val="00D66427"/>
    <w:rsid w:val="00D66470"/>
    <w:rsid w:val="00D70841"/>
    <w:rsid w:val="00D7170A"/>
    <w:rsid w:val="00D71918"/>
    <w:rsid w:val="00D72931"/>
    <w:rsid w:val="00D72B5B"/>
    <w:rsid w:val="00D73457"/>
    <w:rsid w:val="00D74B33"/>
    <w:rsid w:val="00D75992"/>
    <w:rsid w:val="00D770BD"/>
    <w:rsid w:val="00D7728E"/>
    <w:rsid w:val="00D77B48"/>
    <w:rsid w:val="00D82B68"/>
    <w:rsid w:val="00D83CDC"/>
    <w:rsid w:val="00D8435D"/>
    <w:rsid w:val="00D84AEA"/>
    <w:rsid w:val="00D8640B"/>
    <w:rsid w:val="00D9148E"/>
    <w:rsid w:val="00D92342"/>
    <w:rsid w:val="00D94934"/>
    <w:rsid w:val="00D95D00"/>
    <w:rsid w:val="00D96329"/>
    <w:rsid w:val="00D9785B"/>
    <w:rsid w:val="00D97EE6"/>
    <w:rsid w:val="00DA0CD9"/>
    <w:rsid w:val="00DA157E"/>
    <w:rsid w:val="00DA1DFF"/>
    <w:rsid w:val="00DA2A2D"/>
    <w:rsid w:val="00DA2BD4"/>
    <w:rsid w:val="00DA2F6E"/>
    <w:rsid w:val="00DA335A"/>
    <w:rsid w:val="00DB028D"/>
    <w:rsid w:val="00DB029D"/>
    <w:rsid w:val="00DB0B0E"/>
    <w:rsid w:val="00DB2664"/>
    <w:rsid w:val="00DB4658"/>
    <w:rsid w:val="00DB4B72"/>
    <w:rsid w:val="00DB5626"/>
    <w:rsid w:val="00DB5E9A"/>
    <w:rsid w:val="00DB6009"/>
    <w:rsid w:val="00DB6871"/>
    <w:rsid w:val="00DC066E"/>
    <w:rsid w:val="00DC19E7"/>
    <w:rsid w:val="00DC38AF"/>
    <w:rsid w:val="00DC467E"/>
    <w:rsid w:val="00DC6C36"/>
    <w:rsid w:val="00DD1FA2"/>
    <w:rsid w:val="00DD4B39"/>
    <w:rsid w:val="00DD554B"/>
    <w:rsid w:val="00DE3907"/>
    <w:rsid w:val="00DE4CCA"/>
    <w:rsid w:val="00DE51A4"/>
    <w:rsid w:val="00DE5858"/>
    <w:rsid w:val="00DE6942"/>
    <w:rsid w:val="00DE6A62"/>
    <w:rsid w:val="00DE7628"/>
    <w:rsid w:val="00DF1443"/>
    <w:rsid w:val="00DF294A"/>
    <w:rsid w:val="00DF2C2F"/>
    <w:rsid w:val="00DF529C"/>
    <w:rsid w:val="00DF5E52"/>
    <w:rsid w:val="00DF609D"/>
    <w:rsid w:val="00DF6D7E"/>
    <w:rsid w:val="00DF76A4"/>
    <w:rsid w:val="00DF7971"/>
    <w:rsid w:val="00E030C3"/>
    <w:rsid w:val="00E04B5B"/>
    <w:rsid w:val="00E0528B"/>
    <w:rsid w:val="00E05D05"/>
    <w:rsid w:val="00E05F30"/>
    <w:rsid w:val="00E07488"/>
    <w:rsid w:val="00E07B8B"/>
    <w:rsid w:val="00E1008E"/>
    <w:rsid w:val="00E124BE"/>
    <w:rsid w:val="00E1388F"/>
    <w:rsid w:val="00E13A17"/>
    <w:rsid w:val="00E13F49"/>
    <w:rsid w:val="00E13F92"/>
    <w:rsid w:val="00E16952"/>
    <w:rsid w:val="00E16B02"/>
    <w:rsid w:val="00E203C4"/>
    <w:rsid w:val="00E205FD"/>
    <w:rsid w:val="00E22339"/>
    <w:rsid w:val="00E256D4"/>
    <w:rsid w:val="00E25CB4"/>
    <w:rsid w:val="00E27733"/>
    <w:rsid w:val="00E30AF8"/>
    <w:rsid w:val="00E32931"/>
    <w:rsid w:val="00E330CE"/>
    <w:rsid w:val="00E33265"/>
    <w:rsid w:val="00E3470D"/>
    <w:rsid w:val="00E34C3B"/>
    <w:rsid w:val="00E36025"/>
    <w:rsid w:val="00E37A13"/>
    <w:rsid w:val="00E400F1"/>
    <w:rsid w:val="00E40823"/>
    <w:rsid w:val="00E413E2"/>
    <w:rsid w:val="00E41A8F"/>
    <w:rsid w:val="00E4459C"/>
    <w:rsid w:val="00E46909"/>
    <w:rsid w:val="00E46A28"/>
    <w:rsid w:val="00E511C0"/>
    <w:rsid w:val="00E52F89"/>
    <w:rsid w:val="00E5382A"/>
    <w:rsid w:val="00E55D73"/>
    <w:rsid w:val="00E602CD"/>
    <w:rsid w:val="00E6070F"/>
    <w:rsid w:val="00E6279A"/>
    <w:rsid w:val="00E6361E"/>
    <w:rsid w:val="00E6409B"/>
    <w:rsid w:val="00E644BA"/>
    <w:rsid w:val="00E64988"/>
    <w:rsid w:val="00E67A56"/>
    <w:rsid w:val="00E67FCA"/>
    <w:rsid w:val="00E70034"/>
    <w:rsid w:val="00E71791"/>
    <w:rsid w:val="00E74100"/>
    <w:rsid w:val="00E74C0B"/>
    <w:rsid w:val="00E75253"/>
    <w:rsid w:val="00E800AD"/>
    <w:rsid w:val="00E81525"/>
    <w:rsid w:val="00E817B5"/>
    <w:rsid w:val="00E819D1"/>
    <w:rsid w:val="00E81BE1"/>
    <w:rsid w:val="00E82219"/>
    <w:rsid w:val="00E82942"/>
    <w:rsid w:val="00E84574"/>
    <w:rsid w:val="00E974DA"/>
    <w:rsid w:val="00E97C12"/>
    <w:rsid w:val="00EA1476"/>
    <w:rsid w:val="00EA1801"/>
    <w:rsid w:val="00EA237E"/>
    <w:rsid w:val="00EA2495"/>
    <w:rsid w:val="00EA3200"/>
    <w:rsid w:val="00EA4E11"/>
    <w:rsid w:val="00EA58CF"/>
    <w:rsid w:val="00EA65D7"/>
    <w:rsid w:val="00EA736E"/>
    <w:rsid w:val="00EA78C2"/>
    <w:rsid w:val="00EB0927"/>
    <w:rsid w:val="00EB3049"/>
    <w:rsid w:val="00EB37FC"/>
    <w:rsid w:val="00EB40B9"/>
    <w:rsid w:val="00EB4A40"/>
    <w:rsid w:val="00EB6BF9"/>
    <w:rsid w:val="00EB73E1"/>
    <w:rsid w:val="00EB77E0"/>
    <w:rsid w:val="00EB7DF8"/>
    <w:rsid w:val="00EB7E8C"/>
    <w:rsid w:val="00EC2B9F"/>
    <w:rsid w:val="00EC2D78"/>
    <w:rsid w:val="00EC3B34"/>
    <w:rsid w:val="00EC7455"/>
    <w:rsid w:val="00EC781D"/>
    <w:rsid w:val="00ED27EE"/>
    <w:rsid w:val="00ED37B7"/>
    <w:rsid w:val="00ED4773"/>
    <w:rsid w:val="00ED6CFF"/>
    <w:rsid w:val="00ED77D2"/>
    <w:rsid w:val="00EE00AE"/>
    <w:rsid w:val="00EE1899"/>
    <w:rsid w:val="00EE4497"/>
    <w:rsid w:val="00EE524E"/>
    <w:rsid w:val="00EE52F7"/>
    <w:rsid w:val="00EE62E5"/>
    <w:rsid w:val="00EE63A7"/>
    <w:rsid w:val="00EE64DE"/>
    <w:rsid w:val="00EE7E64"/>
    <w:rsid w:val="00EE7F3E"/>
    <w:rsid w:val="00EF0FA5"/>
    <w:rsid w:val="00EF1D0A"/>
    <w:rsid w:val="00EF341F"/>
    <w:rsid w:val="00EF4A3E"/>
    <w:rsid w:val="00EF653F"/>
    <w:rsid w:val="00F00555"/>
    <w:rsid w:val="00F03A2C"/>
    <w:rsid w:val="00F10323"/>
    <w:rsid w:val="00F11C05"/>
    <w:rsid w:val="00F146BD"/>
    <w:rsid w:val="00F15BBC"/>
    <w:rsid w:val="00F15DFF"/>
    <w:rsid w:val="00F16E9B"/>
    <w:rsid w:val="00F171BC"/>
    <w:rsid w:val="00F212F8"/>
    <w:rsid w:val="00F218B7"/>
    <w:rsid w:val="00F248A2"/>
    <w:rsid w:val="00F25F40"/>
    <w:rsid w:val="00F2613F"/>
    <w:rsid w:val="00F26886"/>
    <w:rsid w:val="00F33E65"/>
    <w:rsid w:val="00F3507F"/>
    <w:rsid w:val="00F3514E"/>
    <w:rsid w:val="00F36639"/>
    <w:rsid w:val="00F3678D"/>
    <w:rsid w:val="00F37B4A"/>
    <w:rsid w:val="00F41A78"/>
    <w:rsid w:val="00F443B7"/>
    <w:rsid w:val="00F44756"/>
    <w:rsid w:val="00F4482C"/>
    <w:rsid w:val="00F4538C"/>
    <w:rsid w:val="00F45E7E"/>
    <w:rsid w:val="00F46E1B"/>
    <w:rsid w:val="00F5022F"/>
    <w:rsid w:val="00F52BDB"/>
    <w:rsid w:val="00F5395D"/>
    <w:rsid w:val="00F54A47"/>
    <w:rsid w:val="00F572CA"/>
    <w:rsid w:val="00F61498"/>
    <w:rsid w:val="00F6149A"/>
    <w:rsid w:val="00F615F1"/>
    <w:rsid w:val="00F61D0C"/>
    <w:rsid w:val="00F62310"/>
    <w:rsid w:val="00F644B6"/>
    <w:rsid w:val="00F65076"/>
    <w:rsid w:val="00F66D7D"/>
    <w:rsid w:val="00F67A86"/>
    <w:rsid w:val="00F67E62"/>
    <w:rsid w:val="00F71748"/>
    <w:rsid w:val="00F7360D"/>
    <w:rsid w:val="00F73A53"/>
    <w:rsid w:val="00F73ECB"/>
    <w:rsid w:val="00F740B8"/>
    <w:rsid w:val="00F762DC"/>
    <w:rsid w:val="00F77386"/>
    <w:rsid w:val="00F7742F"/>
    <w:rsid w:val="00F77E7F"/>
    <w:rsid w:val="00F831B2"/>
    <w:rsid w:val="00F83927"/>
    <w:rsid w:val="00F83CF9"/>
    <w:rsid w:val="00F86B99"/>
    <w:rsid w:val="00F86E6A"/>
    <w:rsid w:val="00F87A19"/>
    <w:rsid w:val="00F9002F"/>
    <w:rsid w:val="00F9192E"/>
    <w:rsid w:val="00F93524"/>
    <w:rsid w:val="00F93D8A"/>
    <w:rsid w:val="00F93ED0"/>
    <w:rsid w:val="00F93F74"/>
    <w:rsid w:val="00F9492B"/>
    <w:rsid w:val="00F954B1"/>
    <w:rsid w:val="00F9567A"/>
    <w:rsid w:val="00F9737E"/>
    <w:rsid w:val="00F97600"/>
    <w:rsid w:val="00FA10D1"/>
    <w:rsid w:val="00FA13AC"/>
    <w:rsid w:val="00FA1C15"/>
    <w:rsid w:val="00FA2F2C"/>
    <w:rsid w:val="00FA4EC6"/>
    <w:rsid w:val="00FA5327"/>
    <w:rsid w:val="00FA5789"/>
    <w:rsid w:val="00FA7358"/>
    <w:rsid w:val="00FA7BED"/>
    <w:rsid w:val="00FB06AD"/>
    <w:rsid w:val="00FB0A4B"/>
    <w:rsid w:val="00FB0EDE"/>
    <w:rsid w:val="00FB23EA"/>
    <w:rsid w:val="00FB2559"/>
    <w:rsid w:val="00FB2D6F"/>
    <w:rsid w:val="00FB39DF"/>
    <w:rsid w:val="00FB3C28"/>
    <w:rsid w:val="00FB4AC6"/>
    <w:rsid w:val="00FB6CE4"/>
    <w:rsid w:val="00FB7793"/>
    <w:rsid w:val="00FB7AB4"/>
    <w:rsid w:val="00FC0ADD"/>
    <w:rsid w:val="00FC16C5"/>
    <w:rsid w:val="00FC1A5E"/>
    <w:rsid w:val="00FC1C70"/>
    <w:rsid w:val="00FC341D"/>
    <w:rsid w:val="00FC3FDE"/>
    <w:rsid w:val="00FC4F46"/>
    <w:rsid w:val="00FC76A4"/>
    <w:rsid w:val="00FC77FF"/>
    <w:rsid w:val="00FC7F0B"/>
    <w:rsid w:val="00FD1DAD"/>
    <w:rsid w:val="00FD26C4"/>
    <w:rsid w:val="00FD2740"/>
    <w:rsid w:val="00FD5CC2"/>
    <w:rsid w:val="00FD7AE4"/>
    <w:rsid w:val="00FD7C10"/>
    <w:rsid w:val="00FE06C1"/>
    <w:rsid w:val="00FE0B0C"/>
    <w:rsid w:val="00FE1F0C"/>
    <w:rsid w:val="00FE2F1D"/>
    <w:rsid w:val="00FE35CE"/>
    <w:rsid w:val="00FE432F"/>
    <w:rsid w:val="00FE5407"/>
    <w:rsid w:val="00FE63D5"/>
    <w:rsid w:val="00FE7131"/>
    <w:rsid w:val="00FF016A"/>
    <w:rsid w:val="00FF02B2"/>
    <w:rsid w:val="00FF21FA"/>
    <w:rsid w:val="00FF268E"/>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6"/>
    </w:rPr>
  </w:style>
  <w:style w:type="paragraph" w:styleId="Heading1">
    <w:name w:val="heading 1"/>
    <w:basedOn w:val="Normal"/>
    <w:next w:val="Normal"/>
    <w:qFormat/>
    <w:pPr>
      <w:keepNext/>
      <w:spacing w:before="240" w:after="60"/>
      <w:outlineLvl w:val="0"/>
    </w:pPr>
    <w:rPr>
      <w:kern w:val="28"/>
      <w:sz w:val="24"/>
    </w:rPr>
  </w:style>
  <w:style w:type="paragraph" w:styleId="Heading2">
    <w:name w:val="heading 2"/>
    <w:basedOn w:val="Normal"/>
    <w:next w:val="Normal"/>
    <w:qFormat/>
    <w:pPr>
      <w:keepNext/>
      <w:spacing w:before="240" w:after="60"/>
      <w:outlineLvl w:val="1"/>
    </w:pPr>
    <w:rPr>
      <w:sz w:val="24"/>
    </w:rPr>
  </w:style>
  <w:style w:type="paragraph" w:styleId="Heading3">
    <w:name w:val="heading 3"/>
    <w:basedOn w:val="Normal"/>
    <w:next w:val="Normal"/>
    <w:qFormat/>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TOC1"/>
    <w:pPr>
      <w:suppressAutoHyphens/>
      <w:spacing w:before="480"/>
      <w:ind w:left="720" w:right="720" w:hanging="720"/>
    </w:pPr>
    <w:rPr>
      <w:spacing w:val="-3"/>
      <w:sz w:val="24"/>
    </w:rPr>
  </w:style>
  <w:style w:type="paragraph" w:styleId="TOC1">
    <w:name w:val="toc 1"/>
    <w:basedOn w:val="Normal"/>
    <w:next w:val="Normal"/>
    <w:semiHidden/>
    <w:pPr>
      <w:tabs>
        <w:tab w:val="right" w:leader="dot" w:pos="9360"/>
      </w:tabs>
    </w:pPr>
  </w:style>
  <w:style w:type="paragraph" w:customStyle="1" w:styleId="Heading5">
    <w:name w:val="Heading5"/>
    <w:basedOn w:val="TOC1"/>
    <w:pPr>
      <w:suppressAutoHyphens/>
      <w:spacing w:before="480"/>
      <w:ind w:left="720" w:right="720" w:hanging="720"/>
    </w:pPr>
    <w:rPr>
      <w:spacing w:val="-3"/>
      <w:sz w:val="24"/>
    </w:rPr>
  </w:style>
  <w:style w:type="paragraph" w:customStyle="1" w:styleId="Heading6">
    <w:name w:val="Heading6"/>
    <w:basedOn w:val="TOC1"/>
    <w:pPr>
      <w:suppressAutoHyphens/>
      <w:spacing w:before="480"/>
      <w:ind w:left="720" w:right="720" w:hanging="720"/>
    </w:pPr>
    <w:rPr>
      <w:spacing w:val="-3"/>
      <w:sz w:val="24"/>
    </w:rPr>
  </w:style>
  <w:style w:type="paragraph" w:customStyle="1" w:styleId="doubleindent-5">
    <w:name w:val="double indent - .5&quot;"/>
    <w:basedOn w:val="Normal"/>
    <w:pPr>
      <w:ind w:left="720" w:right="720"/>
      <w:jc w:val="both"/>
    </w:pPr>
  </w:style>
  <w:style w:type="paragraph" w:customStyle="1" w:styleId="doubleindent-1">
    <w:name w:val="double indent - 1&quot;"/>
    <w:basedOn w:val="Normal"/>
    <w:pPr>
      <w:ind w:left="1440" w:right="1440"/>
      <w:jc w:val="both"/>
    </w:pPr>
  </w:style>
  <w:style w:type="paragraph" w:customStyle="1" w:styleId="numberedindent">
    <w:name w:val="numbered indent"/>
    <w:basedOn w:val="Normal"/>
    <w:pPr>
      <w:spacing w:after="240"/>
      <w:ind w:left="1440" w:hanging="144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B3387"/>
    <w:rPr>
      <w:rFonts w:ascii="Tahoma" w:hAnsi="Tahoma" w:cs="Tahoma"/>
      <w:sz w:val="16"/>
      <w:szCs w:val="16"/>
    </w:rPr>
  </w:style>
  <w:style w:type="paragraph" w:styleId="Header">
    <w:name w:val="header"/>
    <w:basedOn w:val="Normal"/>
    <w:rsid w:val="006F1825"/>
    <w:pPr>
      <w:tabs>
        <w:tab w:val="center" w:pos="4320"/>
        <w:tab w:val="right" w:pos="8640"/>
      </w:tabs>
    </w:pPr>
  </w:style>
  <w:style w:type="paragraph" w:styleId="BodyText">
    <w:name w:val="Body Text"/>
    <w:basedOn w:val="Normal"/>
    <w:rsid w:val="00D9785B"/>
    <w:pPr>
      <w:overflowPunct/>
      <w:autoSpaceDE/>
      <w:autoSpaceDN/>
      <w:adjustRightInd/>
      <w:spacing w:line="360" w:lineRule="auto"/>
      <w:jc w:val="both"/>
      <w:textAlignment w:val="auto"/>
    </w:pPr>
    <w:rPr>
      <w:rFonts w:eastAsia="SimSun"/>
    </w:rPr>
  </w:style>
  <w:style w:type="paragraph" w:styleId="FootnoteText">
    <w:name w:val="footnote text"/>
    <w:basedOn w:val="Normal"/>
    <w:link w:val="FootnoteTextChar"/>
    <w:uiPriority w:val="99"/>
    <w:semiHidden/>
    <w:rsid w:val="00E81BE1"/>
    <w:pPr>
      <w:overflowPunct/>
      <w:autoSpaceDE/>
      <w:autoSpaceDN/>
      <w:adjustRightInd/>
      <w:textAlignment w:val="auto"/>
    </w:pPr>
    <w:rPr>
      <w:sz w:val="20"/>
    </w:rPr>
  </w:style>
  <w:style w:type="character" w:styleId="FootnoteReference">
    <w:name w:val="footnote reference"/>
    <w:uiPriority w:val="99"/>
    <w:semiHidden/>
    <w:rsid w:val="00E81BE1"/>
    <w:rPr>
      <w:vertAlign w:val="superscript"/>
    </w:rPr>
  </w:style>
  <w:style w:type="paragraph" w:styleId="NormalWeb">
    <w:name w:val="Normal (Web)"/>
    <w:basedOn w:val="Normal"/>
    <w:rsid w:val="00750B57"/>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rsid w:val="00B31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E97"/>
    <w:rPr>
      <w:color w:val="0000FF"/>
      <w:u w:val="single"/>
    </w:rPr>
  </w:style>
  <w:style w:type="character" w:styleId="Emphasis">
    <w:name w:val="Emphasis"/>
    <w:qFormat/>
    <w:rsid w:val="00815E97"/>
    <w:rPr>
      <w:i/>
      <w:iCs/>
    </w:rPr>
  </w:style>
  <w:style w:type="character" w:styleId="PlaceholderText">
    <w:name w:val="Placeholder Text"/>
    <w:basedOn w:val="DefaultParagraphFont"/>
    <w:uiPriority w:val="99"/>
    <w:semiHidden/>
    <w:rsid w:val="00553501"/>
    <w:rPr>
      <w:color w:val="808080"/>
    </w:rPr>
  </w:style>
  <w:style w:type="character" w:customStyle="1" w:styleId="FootnoteTextChar">
    <w:name w:val="Footnote Text Char"/>
    <w:basedOn w:val="DefaultParagraphFont"/>
    <w:link w:val="FootnoteText"/>
    <w:uiPriority w:val="99"/>
    <w:semiHidden/>
    <w:rsid w:val="004530AA"/>
  </w:style>
  <w:style w:type="character" w:styleId="CommentReference">
    <w:name w:val="annotation reference"/>
    <w:basedOn w:val="DefaultParagraphFont"/>
    <w:rsid w:val="005F0FEE"/>
    <w:rPr>
      <w:sz w:val="16"/>
      <w:szCs w:val="16"/>
    </w:rPr>
  </w:style>
  <w:style w:type="paragraph" w:styleId="CommentText">
    <w:name w:val="annotation text"/>
    <w:basedOn w:val="Normal"/>
    <w:link w:val="CommentTextChar"/>
    <w:rsid w:val="005F0FEE"/>
    <w:rPr>
      <w:sz w:val="20"/>
    </w:rPr>
  </w:style>
  <w:style w:type="character" w:customStyle="1" w:styleId="CommentTextChar">
    <w:name w:val="Comment Text Char"/>
    <w:basedOn w:val="DefaultParagraphFont"/>
    <w:link w:val="CommentText"/>
    <w:rsid w:val="005F0FEE"/>
  </w:style>
  <w:style w:type="paragraph" w:styleId="CommentSubject">
    <w:name w:val="annotation subject"/>
    <w:basedOn w:val="CommentText"/>
    <w:next w:val="CommentText"/>
    <w:link w:val="CommentSubjectChar"/>
    <w:rsid w:val="005F0FEE"/>
    <w:rPr>
      <w:b/>
      <w:bCs/>
    </w:rPr>
  </w:style>
  <w:style w:type="character" w:customStyle="1" w:styleId="CommentSubjectChar">
    <w:name w:val="Comment Subject Char"/>
    <w:basedOn w:val="CommentTextChar"/>
    <w:link w:val="CommentSubject"/>
    <w:rsid w:val="005F0F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6"/>
    </w:rPr>
  </w:style>
  <w:style w:type="paragraph" w:styleId="Heading1">
    <w:name w:val="heading 1"/>
    <w:basedOn w:val="Normal"/>
    <w:next w:val="Normal"/>
    <w:qFormat/>
    <w:pPr>
      <w:keepNext/>
      <w:spacing w:before="240" w:after="60"/>
      <w:outlineLvl w:val="0"/>
    </w:pPr>
    <w:rPr>
      <w:kern w:val="28"/>
      <w:sz w:val="24"/>
    </w:rPr>
  </w:style>
  <w:style w:type="paragraph" w:styleId="Heading2">
    <w:name w:val="heading 2"/>
    <w:basedOn w:val="Normal"/>
    <w:next w:val="Normal"/>
    <w:qFormat/>
    <w:pPr>
      <w:keepNext/>
      <w:spacing w:before="240" w:after="60"/>
      <w:outlineLvl w:val="1"/>
    </w:pPr>
    <w:rPr>
      <w:sz w:val="24"/>
    </w:rPr>
  </w:style>
  <w:style w:type="paragraph" w:styleId="Heading3">
    <w:name w:val="heading 3"/>
    <w:basedOn w:val="Normal"/>
    <w:next w:val="Normal"/>
    <w:qFormat/>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TOC1"/>
    <w:pPr>
      <w:suppressAutoHyphens/>
      <w:spacing w:before="480"/>
      <w:ind w:left="720" w:right="720" w:hanging="720"/>
    </w:pPr>
    <w:rPr>
      <w:spacing w:val="-3"/>
      <w:sz w:val="24"/>
    </w:rPr>
  </w:style>
  <w:style w:type="paragraph" w:styleId="TOC1">
    <w:name w:val="toc 1"/>
    <w:basedOn w:val="Normal"/>
    <w:next w:val="Normal"/>
    <w:semiHidden/>
    <w:pPr>
      <w:tabs>
        <w:tab w:val="right" w:leader="dot" w:pos="9360"/>
      </w:tabs>
    </w:pPr>
  </w:style>
  <w:style w:type="paragraph" w:customStyle="1" w:styleId="Heading5">
    <w:name w:val="Heading5"/>
    <w:basedOn w:val="TOC1"/>
    <w:pPr>
      <w:suppressAutoHyphens/>
      <w:spacing w:before="480"/>
      <w:ind w:left="720" w:right="720" w:hanging="720"/>
    </w:pPr>
    <w:rPr>
      <w:spacing w:val="-3"/>
      <w:sz w:val="24"/>
    </w:rPr>
  </w:style>
  <w:style w:type="paragraph" w:customStyle="1" w:styleId="Heading6">
    <w:name w:val="Heading6"/>
    <w:basedOn w:val="TOC1"/>
    <w:pPr>
      <w:suppressAutoHyphens/>
      <w:spacing w:before="480"/>
      <w:ind w:left="720" w:right="720" w:hanging="720"/>
    </w:pPr>
    <w:rPr>
      <w:spacing w:val="-3"/>
      <w:sz w:val="24"/>
    </w:rPr>
  </w:style>
  <w:style w:type="paragraph" w:customStyle="1" w:styleId="doubleindent-5">
    <w:name w:val="double indent - .5&quot;"/>
    <w:basedOn w:val="Normal"/>
    <w:pPr>
      <w:ind w:left="720" w:right="720"/>
      <w:jc w:val="both"/>
    </w:pPr>
  </w:style>
  <w:style w:type="paragraph" w:customStyle="1" w:styleId="doubleindent-1">
    <w:name w:val="double indent - 1&quot;"/>
    <w:basedOn w:val="Normal"/>
    <w:pPr>
      <w:ind w:left="1440" w:right="1440"/>
      <w:jc w:val="both"/>
    </w:pPr>
  </w:style>
  <w:style w:type="paragraph" w:customStyle="1" w:styleId="numberedindent">
    <w:name w:val="numbered indent"/>
    <w:basedOn w:val="Normal"/>
    <w:pPr>
      <w:spacing w:after="240"/>
      <w:ind w:left="1440" w:hanging="144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B3387"/>
    <w:rPr>
      <w:rFonts w:ascii="Tahoma" w:hAnsi="Tahoma" w:cs="Tahoma"/>
      <w:sz w:val="16"/>
      <w:szCs w:val="16"/>
    </w:rPr>
  </w:style>
  <w:style w:type="paragraph" w:styleId="Header">
    <w:name w:val="header"/>
    <w:basedOn w:val="Normal"/>
    <w:rsid w:val="006F1825"/>
    <w:pPr>
      <w:tabs>
        <w:tab w:val="center" w:pos="4320"/>
        <w:tab w:val="right" w:pos="8640"/>
      </w:tabs>
    </w:pPr>
  </w:style>
  <w:style w:type="paragraph" w:styleId="BodyText">
    <w:name w:val="Body Text"/>
    <w:basedOn w:val="Normal"/>
    <w:rsid w:val="00D9785B"/>
    <w:pPr>
      <w:overflowPunct/>
      <w:autoSpaceDE/>
      <w:autoSpaceDN/>
      <w:adjustRightInd/>
      <w:spacing w:line="360" w:lineRule="auto"/>
      <w:jc w:val="both"/>
      <w:textAlignment w:val="auto"/>
    </w:pPr>
    <w:rPr>
      <w:rFonts w:eastAsia="SimSun"/>
    </w:rPr>
  </w:style>
  <w:style w:type="paragraph" w:styleId="FootnoteText">
    <w:name w:val="footnote text"/>
    <w:basedOn w:val="Normal"/>
    <w:link w:val="FootnoteTextChar"/>
    <w:uiPriority w:val="99"/>
    <w:semiHidden/>
    <w:rsid w:val="00E81BE1"/>
    <w:pPr>
      <w:overflowPunct/>
      <w:autoSpaceDE/>
      <w:autoSpaceDN/>
      <w:adjustRightInd/>
      <w:textAlignment w:val="auto"/>
    </w:pPr>
    <w:rPr>
      <w:sz w:val="20"/>
    </w:rPr>
  </w:style>
  <w:style w:type="character" w:styleId="FootnoteReference">
    <w:name w:val="footnote reference"/>
    <w:uiPriority w:val="99"/>
    <w:semiHidden/>
    <w:rsid w:val="00E81BE1"/>
    <w:rPr>
      <w:vertAlign w:val="superscript"/>
    </w:rPr>
  </w:style>
  <w:style w:type="paragraph" w:styleId="NormalWeb">
    <w:name w:val="Normal (Web)"/>
    <w:basedOn w:val="Normal"/>
    <w:rsid w:val="00750B57"/>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rsid w:val="00B31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E97"/>
    <w:rPr>
      <w:color w:val="0000FF"/>
      <w:u w:val="single"/>
    </w:rPr>
  </w:style>
  <w:style w:type="character" w:styleId="Emphasis">
    <w:name w:val="Emphasis"/>
    <w:qFormat/>
    <w:rsid w:val="00815E97"/>
    <w:rPr>
      <w:i/>
      <w:iCs/>
    </w:rPr>
  </w:style>
  <w:style w:type="character" w:styleId="PlaceholderText">
    <w:name w:val="Placeholder Text"/>
    <w:basedOn w:val="DefaultParagraphFont"/>
    <w:uiPriority w:val="99"/>
    <w:semiHidden/>
    <w:rsid w:val="00553501"/>
    <w:rPr>
      <w:color w:val="808080"/>
    </w:rPr>
  </w:style>
  <w:style w:type="character" w:customStyle="1" w:styleId="FootnoteTextChar">
    <w:name w:val="Footnote Text Char"/>
    <w:basedOn w:val="DefaultParagraphFont"/>
    <w:link w:val="FootnoteText"/>
    <w:uiPriority w:val="99"/>
    <w:semiHidden/>
    <w:rsid w:val="004530AA"/>
  </w:style>
  <w:style w:type="character" w:styleId="CommentReference">
    <w:name w:val="annotation reference"/>
    <w:basedOn w:val="DefaultParagraphFont"/>
    <w:rsid w:val="005F0FEE"/>
    <w:rPr>
      <w:sz w:val="16"/>
      <w:szCs w:val="16"/>
    </w:rPr>
  </w:style>
  <w:style w:type="paragraph" w:styleId="CommentText">
    <w:name w:val="annotation text"/>
    <w:basedOn w:val="Normal"/>
    <w:link w:val="CommentTextChar"/>
    <w:rsid w:val="005F0FEE"/>
    <w:rPr>
      <w:sz w:val="20"/>
    </w:rPr>
  </w:style>
  <w:style w:type="character" w:customStyle="1" w:styleId="CommentTextChar">
    <w:name w:val="Comment Text Char"/>
    <w:basedOn w:val="DefaultParagraphFont"/>
    <w:link w:val="CommentText"/>
    <w:rsid w:val="005F0FEE"/>
  </w:style>
  <w:style w:type="paragraph" w:styleId="CommentSubject">
    <w:name w:val="annotation subject"/>
    <w:basedOn w:val="CommentText"/>
    <w:next w:val="CommentText"/>
    <w:link w:val="CommentSubjectChar"/>
    <w:rsid w:val="005F0FEE"/>
    <w:rPr>
      <w:b/>
      <w:bCs/>
    </w:rPr>
  </w:style>
  <w:style w:type="character" w:customStyle="1" w:styleId="CommentSubjectChar">
    <w:name w:val="Comment Subject Char"/>
    <w:basedOn w:val="CommentTextChar"/>
    <w:link w:val="CommentSubject"/>
    <w:rsid w:val="005F0F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10719">
      <w:bodyDiv w:val="1"/>
      <w:marLeft w:val="0"/>
      <w:marRight w:val="0"/>
      <w:marTop w:val="0"/>
      <w:marBottom w:val="0"/>
      <w:divBdr>
        <w:top w:val="none" w:sz="0" w:space="0" w:color="auto"/>
        <w:left w:val="none" w:sz="0" w:space="0" w:color="auto"/>
        <w:bottom w:val="none" w:sz="0" w:space="0" w:color="auto"/>
        <w:right w:val="none" w:sz="0" w:space="0" w:color="auto"/>
      </w:divBdr>
      <w:divsChild>
        <w:div w:id="255938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7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4B30E-15A8-4A2C-BF51-3A27A5183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Template-for Review</vt:lpstr>
    </vt:vector>
  </TitlesOfParts>
  <Company>Pa Public Utility Commission</Company>
  <LinksUpToDate>false</LinksUpToDate>
  <CharactersWithSpaces>14006</CharactersWithSpaces>
  <SharedDoc>false</SharedDoc>
  <HLinks>
    <vt:vector size="12" baseType="variant">
      <vt:variant>
        <vt:i4>786442</vt:i4>
      </vt:variant>
      <vt:variant>
        <vt:i4>3</vt:i4>
      </vt:variant>
      <vt:variant>
        <vt:i4>0</vt:i4>
      </vt:variant>
      <vt:variant>
        <vt:i4>5</vt:i4>
      </vt:variant>
      <vt:variant>
        <vt:lpwstr>file://C:\research\buttonTFLink?_m=69761b6202cb4178e2a6e6fe02f5751b&amp;_xfercite=&lt;cite cc="USA"&gt;&lt;![CDATA[2000 Pa. PUC LEXIS 67 ]]&gt;&lt;\cite&gt;&amp;_butType=3&amp;_butStat=242&amp;_butNum=6&amp;_butInline=1&amp;_butinfo=&lt;cite cc="USA"&gt;&lt;![CDATA[485 A.2d 1217]]&gt;&lt;\cite&gt;&amp;_fmtstr=FULL&amp;docnum=5&amp;_startdoc=1&amp;_startchk=1&amp;wchp=dGLSzS-lSlbz&amp;_md5=9b1cc8319afd12440738bb82d74455ef</vt:lpwstr>
      </vt:variant>
      <vt:variant>
        <vt:lpwstr/>
      </vt:variant>
      <vt:variant>
        <vt:i4>5505037</vt:i4>
      </vt:variant>
      <vt:variant>
        <vt:i4>0</vt:i4>
      </vt:variant>
      <vt:variant>
        <vt:i4>0</vt:i4>
      </vt:variant>
      <vt:variant>
        <vt:i4>5</vt:i4>
      </vt:variant>
      <vt:variant>
        <vt:lpwstr>file://C:\research\buttonTFLink?_m=69761b6202cb4178e2a6e6fe02f5751b&amp;_xfercite=&lt;cite cc="USA"&gt;&lt;![CDATA[2000 Pa. PUC LEXIS 67 ]]&gt;&lt;\cite&gt;&amp;_butType=3&amp;_butStat=242&amp;_butNum=5&amp;_butInline=1&amp;_butinfo=&lt;cite cc="USA"&gt;&lt;![CDATA[625 A.2d 741]]&gt;&lt;\cite&gt;&amp;_fmtstr=FULL&amp;docnum=5&amp;_startdoc=1&amp;_startchk=1&amp;wchp=dGLSzS-lSlbz&amp;_md5=ad2b02d95c2a9216e83b92a3570d4785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Template-for Review</dc:title>
  <dc:creator>MAHER</dc:creator>
  <cp:lastModifiedBy>Farner, Joyce</cp:lastModifiedBy>
  <cp:revision>3</cp:revision>
  <cp:lastPrinted>2016-03-08T12:45:00Z</cp:lastPrinted>
  <dcterms:created xsi:type="dcterms:W3CDTF">2016-03-07T21:19:00Z</dcterms:created>
  <dcterms:modified xsi:type="dcterms:W3CDTF">2016-03-08T12:45:00Z</dcterms:modified>
</cp:coreProperties>
</file>