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D9" w:rsidRPr="001303A1" w:rsidRDefault="005D5DD9" w:rsidP="005D5DD9">
      <w:pPr>
        <w:pStyle w:val="c2"/>
        <w:widowControl/>
        <w:outlineLvl w:val="0"/>
        <w:rPr>
          <w:b/>
          <w:sz w:val="28"/>
          <w:szCs w:val="28"/>
        </w:rPr>
      </w:pPr>
      <w:r w:rsidRPr="001303A1">
        <w:rPr>
          <w:b/>
          <w:sz w:val="28"/>
          <w:szCs w:val="28"/>
        </w:rPr>
        <w:t>PENNSYLVANIA</w:t>
      </w:r>
    </w:p>
    <w:p w:rsidR="005D5DD9" w:rsidRPr="001303A1" w:rsidRDefault="005D5DD9" w:rsidP="005D5DD9">
      <w:pPr>
        <w:pStyle w:val="c2"/>
        <w:widowControl/>
        <w:outlineLvl w:val="0"/>
        <w:rPr>
          <w:b/>
          <w:sz w:val="28"/>
          <w:szCs w:val="28"/>
        </w:rPr>
      </w:pPr>
      <w:r w:rsidRPr="001303A1">
        <w:rPr>
          <w:b/>
          <w:sz w:val="28"/>
          <w:szCs w:val="28"/>
        </w:rPr>
        <w:t>PUBLIC UTILITY COMMISSION</w:t>
      </w:r>
    </w:p>
    <w:p w:rsidR="005D5DD9" w:rsidRPr="001303A1" w:rsidRDefault="005D5DD9" w:rsidP="005D5DD9">
      <w:pPr>
        <w:pStyle w:val="c2"/>
        <w:widowControl/>
        <w:outlineLvl w:val="0"/>
        <w:rPr>
          <w:b/>
          <w:sz w:val="28"/>
          <w:szCs w:val="28"/>
        </w:rPr>
      </w:pPr>
      <w:r w:rsidRPr="001303A1">
        <w:rPr>
          <w:b/>
          <w:sz w:val="28"/>
          <w:szCs w:val="28"/>
        </w:rPr>
        <w:t>Harrisburg, PA 17105-3265</w:t>
      </w:r>
    </w:p>
    <w:p w:rsidR="005D5DD9" w:rsidRDefault="005D5DD9" w:rsidP="005D5DD9">
      <w:pPr>
        <w:pStyle w:val="p3"/>
        <w:widowControl/>
        <w:tabs>
          <w:tab w:val="clear" w:pos="4960"/>
          <w:tab w:val="left" w:pos="4320"/>
        </w:tabs>
        <w:rPr>
          <w:sz w:val="28"/>
          <w:szCs w:val="28"/>
        </w:rPr>
      </w:pPr>
    </w:p>
    <w:p w:rsidR="005D5DD9" w:rsidRPr="00062E21" w:rsidRDefault="0075067A" w:rsidP="005D5DD9">
      <w:pPr>
        <w:pStyle w:val="p3"/>
        <w:widowControl/>
        <w:tabs>
          <w:tab w:val="clear" w:pos="4960"/>
          <w:tab w:val="left" w:pos="4320"/>
        </w:tabs>
        <w:spacing w:line="360" w:lineRule="auto"/>
        <w:jc w:val="center"/>
        <w:outlineLvl w:val="0"/>
        <w:rPr>
          <w:sz w:val="26"/>
          <w:szCs w:val="26"/>
        </w:rPr>
      </w:pPr>
      <w:r>
        <w:rPr>
          <w:sz w:val="26"/>
          <w:szCs w:val="26"/>
        </w:rPr>
        <w:t>Public Meeting held March 10</w:t>
      </w:r>
      <w:r w:rsidR="005D5DD9">
        <w:rPr>
          <w:sz w:val="26"/>
          <w:szCs w:val="26"/>
        </w:rPr>
        <w:t>, 201</w:t>
      </w:r>
      <w:r>
        <w:rPr>
          <w:sz w:val="26"/>
          <w:szCs w:val="26"/>
        </w:rPr>
        <w:t>6</w:t>
      </w:r>
    </w:p>
    <w:p w:rsidR="005D5DD9" w:rsidRPr="00062E21" w:rsidRDefault="005D5DD9" w:rsidP="005D5DD9">
      <w:pPr>
        <w:pStyle w:val="p4"/>
        <w:widowControl/>
        <w:spacing w:line="360" w:lineRule="auto"/>
        <w:rPr>
          <w:sz w:val="26"/>
          <w:szCs w:val="26"/>
        </w:rPr>
      </w:pPr>
    </w:p>
    <w:p w:rsidR="005D5DD9" w:rsidRPr="00062E21" w:rsidRDefault="005D5DD9" w:rsidP="005D5DD9">
      <w:pPr>
        <w:pStyle w:val="p4"/>
        <w:widowControl/>
        <w:rPr>
          <w:sz w:val="26"/>
          <w:szCs w:val="26"/>
        </w:rPr>
      </w:pPr>
      <w:r w:rsidRPr="00062E21">
        <w:rPr>
          <w:sz w:val="26"/>
          <w:szCs w:val="26"/>
        </w:rPr>
        <w:t>Commissioners Present:</w:t>
      </w:r>
    </w:p>
    <w:p w:rsidR="005D5DD9" w:rsidRPr="00062E21" w:rsidRDefault="005D5DD9" w:rsidP="005D5DD9">
      <w:pPr>
        <w:widowControl/>
        <w:tabs>
          <w:tab w:val="left" w:pos="204"/>
        </w:tabs>
        <w:rPr>
          <w:sz w:val="26"/>
          <w:szCs w:val="26"/>
        </w:rPr>
      </w:pPr>
    </w:p>
    <w:tbl>
      <w:tblPr>
        <w:tblW w:w="10290" w:type="dxa"/>
        <w:tblLayout w:type="fixed"/>
        <w:tblLook w:val="04A0" w:firstRow="1" w:lastRow="0" w:firstColumn="1" w:lastColumn="0" w:noHBand="0" w:noVBand="1"/>
      </w:tblPr>
      <w:tblGrid>
        <w:gridCol w:w="10290"/>
      </w:tblGrid>
      <w:tr w:rsidR="0075067A" w:rsidTr="0075067A">
        <w:tc>
          <w:tcPr>
            <w:tcW w:w="9378" w:type="dxa"/>
            <w:hideMark/>
          </w:tcPr>
          <w:p w:rsidR="0075067A" w:rsidRDefault="0075067A">
            <w:pPr>
              <w:ind w:left="720"/>
              <w:rPr>
                <w:sz w:val="26"/>
                <w:szCs w:val="26"/>
              </w:rPr>
            </w:pPr>
            <w:r>
              <w:rPr>
                <w:sz w:val="26"/>
                <w:szCs w:val="26"/>
              </w:rPr>
              <w:t>Gladys M. Brown, Chairman</w:t>
            </w:r>
          </w:p>
          <w:p w:rsidR="0075067A" w:rsidRDefault="0075067A">
            <w:pPr>
              <w:ind w:left="720"/>
              <w:rPr>
                <w:sz w:val="26"/>
                <w:szCs w:val="26"/>
              </w:rPr>
            </w:pPr>
            <w:r>
              <w:rPr>
                <w:sz w:val="26"/>
                <w:szCs w:val="26"/>
              </w:rPr>
              <w:t>Andrew G. Place, Vice Chairman</w:t>
            </w:r>
          </w:p>
        </w:tc>
      </w:tr>
      <w:tr w:rsidR="0075067A" w:rsidTr="0075067A">
        <w:tc>
          <w:tcPr>
            <w:tcW w:w="9378" w:type="dxa"/>
            <w:hideMark/>
          </w:tcPr>
          <w:p w:rsidR="0075067A" w:rsidRDefault="0075067A">
            <w:pPr>
              <w:ind w:left="720"/>
              <w:rPr>
                <w:sz w:val="26"/>
                <w:szCs w:val="26"/>
              </w:rPr>
            </w:pPr>
            <w:r>
              <w:rPr>
                <w:sz w:val="26"/>
                <w:szCs w:val="26"/>
              </w:rPr>
              <w:t>Pamela A. Witmer</w:t>
            </w:r>
          </w:p>
          <w:p w:rsidR="0075067A" w:rsidRDefault="0075067A">
            <w:pPr>
              <w:ind w:left="720"/>
              <w:rPr>
                <w:sz w:val="26"/>
                <w:szCs w:val="26"/>
              </w:rPr>
            </w:pPr>
            <w:r>
              <w:rPr>
                <w:sz w:val="26"/>
                <w:szCs w:val="26"/>
              </w:rPr>
              <w:t>John F. Coleman, Jr.</w:t>
            </w:r>
          </w:p>
        </w:tc>
      </w:tr>
      <w:tr w:rsidR="0075067A" w:rsidTr="0075067A">
        <w:tc>
          <w:tcPr>
            <w:tcW w:w="9378" w:type="dxa"/>
            <w:hideMark/>
          </w:tcPr>
          <w:p w:rsidR="0075067A" w:rsidRDefault="0075067A">
            <w:pPr>
              <w:ind w:left="720"/>
              <w:rPr>
                <w:sz w:val="26"/>
                <w:szCs w:val="26"/>
              </w:rPr>
            </w:pPr>
            <w:r>
              <w:rPr>
                <w:sz w:val="26"/>
                <w:szCs w:val="26"/>
              </w:rPr>
              <w:t>Robert F. Powelson</w:t>
            </w:r>
          </w:p>
        </w:tc>
      </w:tr>
    </w:tbl>
    <w:p w:rsidR="005D5DD9" w:rsidRPr="007C0BCF" w:rsidRDefault="005D5DD9" w:rsidP="005D5DD9">
      <w:pPr>
        <w:widowControl/>
        <w:tabs>
          <w:tab w:val="left" w:pos="391"/>
        </w:tabs>
        <w:spacing w:line="360" w:lineRule="auto"/>
        <w:rPr>
          <w:color w:val="0D0D0D" w:themeColor="text1" w:themeTint="F2"/>
          <w:sz w:val="26"/>
          <w:szCs w:val="26"/>
        </w:rPr>
      </w:pPr>
    </w:p>
    <w:tbl>
      <w:tblPr>
        <w:tblW w:w="10197" w:type="dxa"/>
        <w:tblInd w:w="18" w:type="dxa"/>
        <w:tblLayout w:type="fixed"/>
        <w:tblLook w:val="0000" w:firstRow="0" w:lastRow="0" w:firstColumn="0" w:lastColumn="0" w:noHBand="0" w:noVBand="0"/>
      </w:tblPr>
      <w:tblGrid>
        <w:gridCol w:w="6300"/>
        <w:gridCol w:w="3897"/>
      </w:tblGrid>
      <w:tr w:rsidR="005D5DD9" w:rsidRPr="007C0BCF" w:rsidTr="005155C1">
        <w:trPr>
          <w:trHeight w:val="1053"/>
        </w:trPr>
        <w:tc>
          <w:tcPr>
            <w:tcW w:w="6300" w:type="dxa"/>
          </w:tcPr>
          <w:p w:rsidR="005D5DD9" w:rsidRDefault="005D5DD9" w:rsidP="006C0C9C">
            <w:pPr>
              <w:widowControl/>
              <w:autoSpaceDE/>
              <w:autoSpaceDN/>
              <w:adjustRightInd/>
              <w:rPr>
                <w:color w:val="0D0D0D" w:themeColor="text1" w:themeTint="F2"/>
                <w:sz w:val="26"/>
                <w:szCs w:val="26"/>
              </w:rPr>
            </w:pPr>
            <w:r>
              <w:rPr>
                <w:color w:val="0D0D0D" w:themeColor="text1" w:themeTint="F2"/>
                <w:sz w:val="26"/>
                <w:szCs w:val="26"/>
              </w:rPr>
              <w:t xml:space="preserve">Petition of </w:t>
            </w:r>
            <w:r w:rsidRPr="00C84434">
              <w:rPr>
                <w:color w:val="0D0D0D" w:themeColor="text1" w:themeTint="F2"/>
                <w:sz w:val="26"/>
                <w:szCs w:val="26"/>
              </w:rPr>
              <w:t>Peoples Natural Gas Company,</w:t>
            </w:r>
            <w:r>
              <w:rPr>
                <w:color w:val="0D0D0D" w:themeColor="text1" w:themeTint="F2"/>
                <w:sz w:val="26"/>
                <w:szCs w:val="26"/>
              </w:rPr>
              <w:t xml:space="preserve">    </w:t>
            </w:r>
          </w:p>
          <w:p w:rsidR="005D5DD9" w:rsidRPr="007C0BCF" w:rsidRDefault="005D5DD9" w:rsidP="006C0C9C">
            <w:pPr>
              <w:widowControl/>
              <w:autoSpaceDE/>
              <w:autoSpaceDN/>
              <w:adjustRightInd/>
              <w:rPr>
                <w:color w:val="0D0D0D" w:themeColor="text1" w:themeTint="F2"/>
                <w:sz w:val="26"/>
                <w:szCs w:val="26"/>
              </w:rPr>
            </w:pPr>
            <w:r w:rsidRPr="00C84434">
              <w:rPr>
                <w:color w:val="0D0D0D" w:themeColor="text1" w:themeTint="F2"/>
                <w:sz w:val="26"/>
                <w:szCs w:val="26"/>
              </w:rPr>
              <w:t>LLC</w:t>
            </w:r>
            <w:r w:rsidRPr="007C0BCF">
              <w:rPr>
                <w:color w:val="0D0D0D" w:themeColor="text1" w:themeTint="F2"/>
                <w:sz w:val="26"/>
                <w:szCs w:val="26"/>
              </w:rPr>
              <w:t xml:space="preserve"> for</w:t>
            </w:r>
            <w:r>
              <w:rPr>
                <w:color w:val="0D0D0D" w:themeColor="text1" w:themeTint="F2"/>
                <w:sz w:val="26"/>
                <w:szCs w:val="26"/>
              </w:rPr>
              <w:t xml:space="preserve"> Approval </w:t>
            </w:r>
            <w:r w:rsidRPr="007C0BCF">
              <w:rPr>
                <w:color w:val="0D0D0D" w:themeColor="text1" w:themeTint="F2"/>
                <w:sz w:val="26"/>
                <w:szCs w:val="26"/>
              </w:rPr>
              <w:t xml:space="preserve">of its </w:t>
            </w:r>
            <w:r w:rsidR="00261196">
              <w:rPr>
                <w:color w:val="0D0D0D" w:themeColor="text1" w:themeTint="F2"/>
                <w:sz w:val="26"/>
                <w:szCs w:val="26"/>
              </w:rPr>
              <w:t>Second</w:t>
            </w:r>
            <w:r w:rsidR="0075067A">
              <w:rPr>
                <w:color w:val="0D0D0D" w:themeColor="text1" w:themeTint="F2"/>
                <w:sz w:val="26"/>
                <w:szCs w:val="26"/>
              </w:rPr>
              <w:t xml:space="preserve"> </w:t>
            </w:r>
            <w:r>
              <w:rPr>
                <w:color w:val="0D0D0D" w:themeColor="text1" w:themeTint="F2"/>
                <w:sz w:val="26"/>
                <w:szCs w:val="26"/>
              </w:rPr>
              <w:t xml:space="preserve">Revised </w:t>
            </w:r>
            <w:r w:rsidRPr="007C0BCF">
              <w:rPr>
                <w:color w:val="0D0D0D" w:themeColor="text1" w:themeTint="F2"/>
                <w:sz w:val="26"/>
                <w:szCs w:val="26"/>
              </w:rPr>
              <w:t xml:space="preserve">Long-Term Infrastructure Improvement Plan </w:t>
            </w:r>
            <w:r w:rsidR="006F5D29">
              <w:rPr>
                <w:color w:val="0D0D0D" w:themeColor="text1" w:themeTint="F2"/>
                <w:sz w:val="26"/>
                <w:szCs w:val="26"/>
              </w:rPr>
              <w:t>for its Peoples Division and Equitable Division</w:t>
            </w:r>
          </w:p>
          <w:p w:rsidR="005D5DD9" w:rsidRPr="007C0BCF" w:rsidRDefault="005D5DD9" w:rsidP="006C0C9C">
            <w:pPr>
              <w:pStyle w:val="p4"/>
              <w:widowControl/>
              <w:tabs>
                <w:tab w:val="clear" w:pos="204"/>
                <w:tab w:val="left" w:pos="0"/>
              </w:tabs>
              <w:outlineLvl w:val="0"/>
              <w:rPr>
                <w:color w:val="0D0D0D" w:themeColor="text1" w:themeTint="F2"/>
                <w:sz w:val="26"/>
                <w:szCs w:val="26"/>
              </w:rPr>
            </w:pPr>
          </w:p>
          <w:p w:rsidR="005D5DD9" w:rsidRPr="007C0BCF" w:rsidRDefault="005D5DD9" w:rsidP="006C0C9C">
            <w:pPr>
              <w:pStyle w:val="p4"/>
              <w:widowControl/>
              <w:tabs>
                <w:tab w:val="clear" w:pos="204"/>
                <w:tab w:val="left" w:pos="0"/>
              </w:tabs>
              <w:outlineLvl w:val="0"/>
              <w:rPr>
                <w:color w:val="0D0D0D" w:themeColor="text1" w:themeTint="F2"/>
                <w:sz w:val="26"/>
                <w:szCs w:val="26"/>
              </w:rPr>
            </w:pPr>
          </w:p>
        </w:tc>
        <w:tc>
          <w:tcPr>
            <w:tcW w:w="3897" w:type="dxa"/>
          </w:tcPr>
          <w:p w:rsidR="005D5DD9" w:rsidRDefault="005D5DD9" w:rsidP="006C0C9C">
            <w:pPr>
              <w:widowControl/>
              <w:autoSpaceDE/>
              <w:autoSpaceDN/>
              <w:adjustRightInd/>
              <w:rPr>
                <w:color w:val="0D0D0D" w:themeColor="text1" w:themeTint="F2"/>
                <w:sz w:val="26"/>
                <w:szCs w:val="20"/>
              </w:rPr>
            </w:pPr>
            <w:r w:rsidRPr="007C0BCF">
              <w:rPr>
                <w:color w:val="0D0D0D" w:themeColor="text1" w:themeTint="F2"/>
                <w:sz w:val="26"/>
                <w:szCs w:val="20"/>
              </w:rPr>
              <w:t xml:space="preserve">        Docket Number</w:t>
            </w:r>
            <w:r w:rsidR="006F5D29">
              <w:rPr>
                <w:color w:val="0D0D0D" w:themeColor="text1" w:themeTint="F2"/>
                <w:sz w:val="26"/>
                <w:szCs w:val="20"/>
              </w:rPr>
              <w:t>s</w:t>
            </w:r>
            <w:r w:rsidRPr="007C0BCF">
              <w:rPr>
                <w:color w:val="0D0D0D" w:themeColor="text1" w:themeTint="F2"/>
                <w:sz w:val="26"/>
                <w:szCs w:val="20"/>
              </w:rPr>
              <w:t>:</w:t>
            </w:r>
          </w:p>
          <w:p w:rsidR="005D5DD9" w:rsidRDefault="005D5DD9" w:rsidP="006C0C9C">
            <w:pPr>
              <w:widowControl/>
              <w:autoSpaceDE/>
              <w:autoSpaceDN/>
              <w:adjustRightInd/>
              <w:rPr>
                <w:color w:val="0D0D0D" w:themeColor="text1" w:themeTint="F2"/>
                <w:sz w:val="26"/>
                <w:szCs w:val="20"/>
              </w:rPr>
            </w:pPr>
            <w:r w:rsidRPr="007C0BCF">
              <w:rPr>
                <w:color w:val="0D0D0D" w:themeColor="text1" w:themeTint="F2"/>
                <w:kern w:val="1"/>
                <w:sz w:val="26"/>
                <w:szCs w:val="26"/>
              </w:rPr>
              <w:t xml:space="preserve">        </w:t>
            </w:r>
            <w:r>
              <w:rPr>
                <w:color w:val="0D0D0D" w:themeColor="text1" w:themeTint="F2"/>
                <w:sz w:val="26"/>
                <w:szCs w:val="26"/>
              </w:rPr>
              <w:t>P-2013-</w:t>
            </w:r>
            <w:r>
              <w:rPr>
                <w:color w:val="0D0D0D" w:themeColor="text1" w:themeTint="F2"/>
                <w:sz w:val="26"/>
                <w:szCs w:val="20"/>
              </w:rPr>
              <w:t>2344596</w:t>
            </w:r>
          </w:p>
          <w:p w:rsidR="006F5D29" w:rsidRDefault="006F5D29" w:rsidP="006C0C9C">
            <w:pPr>
              <w:widowControl/>
              <w:autoSpaceDE/>
              <w:autoSpaceDN/>
              <w:adjustRightInd/>
              <w:rPr>
                <w:color w:val="0D0D0D" w:themeColor="text1" w:themeTint="F2"/>
                <w:sz w:val="26"/>
                <w:szCs w:val="20"/>
              </w:rPr>
            </w:pPr>
            <w:r>
              <w:rPr>
                <w:color w:val="0D0D0D" w:themeColor="text1" w:themeTint="F2"/>
                <w:sz w:val="26"/>
                <w:szCs w:val="20"/>
              </w:rPr>
              <w:t xml:space="preserve">        P-2013-2342745</w:t>
            </w:r>
          </w:p>
          <w:p w:rsidR="006F5D29" w:rsidRDefault="006F5D29" w:rsidP="006C0C9C">
            <w:pPr>
              <w:widowControl/>
              <w:autoSpaceDE/>
              <w:autoSpaceDN/>
              <w:adjustRightInd/>
              <w:rPr>
                <w:color w:val="0D0D0D" w:themeColor="text1" w:themeTint="F2"/>
                <w:sz w:val="26"/>
                <w:szCs w:val="20"/>
              </w:rPr>
            </w:pPr>
          </w:p>
          <w:p w:rsidR="006F5D29" w:rsidRPr="007C0BCF" w:rsidRDefault="006F5D29" w:rsidP="006C0C9C">
            <w:pPr>
              <w:widowControl/>
              <w:autoSpaceDE/>
              <w:autoSpaceDN/>
              <w:adjustRightInd/>
              <w:rPr>
                <w:color w:val="0D0D0D" w:themeColor="text1" w:themeTint="F2"/>
                <w:sz w:val="26"/>
                <w:szCs w:val="26"/>
              </w:rPr>
            </w:pPr>
          </w:p>
          <w:p w:rsidR="005D5DD9" w:rsidRPr="007C0BCF" w:rsidRDefault="005D5DD9" w:rsidP="006C0C9C">
            <w:pPr>
              <w:widowControl/>
              <w:autoSpaceDE/>
              <w:autoSpaceDN/>
              <w:adjustRightInd/>
              <w:rPr>
                <w:color w:val="0D0D0D" w:themeColor="text1" w:themeTint="F2"/>
                <w:kern w:val="1"/>
                <w:sz w:val="26"/>
                <w:szCs w:val="26"/>
              </w:rPr>
            </w:pPr>
          </w:p>
        </w:tc>
      </w:tr>
    </w:tbl>
    <w:p w:rsidR="005D5DD9" w:rsidRDefault="005D5DD9" w:rsidP="005D5DD9">
      <w:pPr>
        <w:pStyle w:val="c2"/>
        <w:widowControl/>
        <w:tabs>
          <w:tab w:val="left" w:pos="204"/>
        </w:tabs>
        <w:spacing w:line="360" w:lineRule="auto"/>
        <w:jc w:val="left"/>
        <w:outlineLvl w:val="0"/>
        <w:rPr>
          <w:b/>
          <w:sz w:val="26"/>
          <w:szCs w:val="26"/>
        </w:rPr>
      </w:pPr>
    </w:p>
    <w:p w:rsidR="005D5DD9" w:rsidRDefault="005D5DD9" w:rsidP="005D5DD9">
      <w:pPr>
        <w:pStyle w:val="c2"/>
        <w:widowControl/>
        <w:tabs>
          <w:tab w:val="left" w:pos="204"/>
        </w:tabs>
        <w:spacing w:line="360" w:lineRule="auto"/>
        <w:outlineLvl w:val="0"/>
        <w:rPr>
          <w:b/>
          <w:sz w:val="26"/>
          <w:szCs w:val="26"/>
        </w:rPr>
      </w:pPr>
      <w:r>
        <w:rPr>
          <w:b/>
          <w:sz w:val="26"/>
          <w:szCs w:val="26"/>
        </w:rPr>
        <w:t xml:space="preserve">OPINION AND </w:t>
      </w:r>
      <w:r w:rsidRPr="002B3E34">
        <w:rPr>
          <w:b/>
          <w:sz w:val="26"/>
          <w:szCs w:val="26"/>
        </w:rPr>
        <w:t>ORDER</w:t>
      </w:r>
    </w:p>
    <w:p w:rsidR="005D5DD9" w:rsidRPr="002B3E34" w:rsidRDefault="005D5DD9" w:rsidP="005D5DD9">
      <w:pPr>
        <w:pStyle w:val="c2"/>
        <w:widowControl/>
        <w:tabs>
          <w:tab w:val="left" w:pos="204"/>
        </w:tabs>
        <w:spacing w:line="360" w:lineRule="auto"/>
        <w:outlineLvl w:val="0"/>
        <w:rPr>
          <w:b/>
          <w:sz w:val="26"/>
          <w:szCs w:val="26"/>
        </w:rPr>
      </w:pPr>
    </w:p>
    <w:p w:rsidR="005D5DD9" w:rsidRDefault="005D5DD9" w:rsidP="005D5DD9">
      <w:pPr>
        <w:pStyle w:val="p4"/>
        <w:widowControl/>
        <w:spacing w:line="360" w:lineRule="auto"/>
        <w:rPr>
          <w:b/>
          <w:sz w:val="26"/>
          <w:szCs w:val="26"/>
        </w:rPr>
      </w:pPr>
      <w:r w:rsidRPr="002B3E34">
        <w:rPr>
          <w:b/>
          <w:sz w:val="26"/>
          <w:szCs w:val="26"/>
        </w:rPr>
        <w:t>BY THE COMMISSION:</w:t>
      </w:r>
    </w:p>
    <w:p w:rsidR="00F93CCF" w:rsidRPr="002B3E34" w:rsidRDefault="00F93CCF" w:rsidP="005D5DD9">
      <w:pPr>
        <w:pStyle w:val="p4"/>
        <w:widowControl/>
        <w:spacing w:line="360" w:lineRule="auto"/>
        <w:rPr>
          <w:b/>
          <w:sz w:val="26"/>
          <w:szCs w:val="26"/>
        </w:rPr>
      </w:pPr>
    </w:p>
    <w:p w:rsidR="005D5DD9" w:rsidRPr="00B64E1C" w:rsidRDefault="005D5DD9" w:rsidP="005D5DD9">
      <w:pPr>
        <w:spacing w:line="360" w:lineRule="auto"/>
        <w:ind w:right="288" w:firstLine="1440"/>
        <w:textAlignment w:val="baseline"/>
        <w:rPr>
          <w:color w:val="000000"/>
          <w:sz w:val="26"/>
          <w:szCs w:val="26"/>
        </w:rPr>
      </w:pPr>
      <w:r w:rsidRPr="00062E21">
        <w:rPr>
          <w:sz w:val="26"/>
          <w:szCs w:val="26"/>
        </w:rPr>
        <w:t xml:space="preserve">Before the Commission for consideration </w:t>
      </w:r>
      <w:r>
        <w:rPr>
          <w:sz w:val="26"/>
          <w:szCs w:val="26"/>
        </w:rPr>
        <w:t>is the Petition</w:t>
      </w:r>
      <w:r w:rsidRPr="00062E21">
        <w:rPr>
          <w:sz w:val="26"/>
          <w:szCs w:val="26"/>
        </w:rPr>
        <w:t xml:space="preserve"> for approval of </w:t>
      </w:r>
      <w:r w:rsidR="004C5104">
        <w:rPr>
          <w:sz w:val="26"/>
          <w:szCs w:val="26"/>
        </w:rPr>
        <w:t xml:space="preserve">the </w:t>
      </w:r>
      <w:r>
        <w:rPr>
          <w:sz w:val="26"/>
          <w:szCs w:val="26"/>
        </w:rPr>
        <w:t>Pe</w:t>
      </w:r>
      <w:r w:rsidR="004C5104">
        <w:rPr>
          <w:sz w:val="26"/>
          <w:szCs w:val="26"/>
        </w:rPr>
        <w:t>oples Natural Gas Company</w:t>
      </w:r>
      <w:r w:rsidR="00FA47A5">
        <w:rPr>
          <w:sz w:val="26"/>
          <w:szCs w:val="26"/>
        </w:rPr>
        <w:t>,</w:t>
      </w:r>
      <w:r w:rsidR="004C5104">
        <w:rPr>
          <w:sz w:val="26"/>
          <w:szCs w:val="26"/>
        </w:rPr>
        <w:t xml:space="preserve"> LLC (Peoples</w:t>
      </w:r>
      <w:r w:rsidR="000B732C">
        <w:rPr>
          <w:sz w:val="26"/>
          <w:szCs w:val="26"/>
        </w:rPr>
        <w:t xml:space="preserve">, or </w:t>
      </w:r>
      <w:r w:rsidR="00DD41A6">
        <w:rPr>
          <w:sz w:val="26"/>
          <w:szCs w:val="26"/>
        </w:rPr>
        <w:t>Company</w:t>
      </w:r>
      <w:r>
        <w:rPr>
          <w:sz w:val="26"/>
          <w:szCs w:val="26"/>
        </w:rPr>
        <w:t>)</w:t>
      </w:r>
      <w:r w:rsidRPr="00062E21">
        <w:rPr>
          <w:sz w:val="26"/>
          <w:szCs w:val="26"/>
        </w:rPr>
        <w:t xml:space="preserve"> </w:t>
      </w:r>
      <w:r w:rsidR="00261196">
        <w:rPr>
          <w:sz w:val="26"/>
          <w:szCs w:val="26"/>
        </w:rPr>
        <w:t>Second</w:t>
      </w:r>
      <w:r w:rsidR="00246F55">
        <w:rPr>
          <w:sz w:val="26"/>
          <w:szCs w:val="26"/>
        </w:rPr>
        <w:t xml:space="preserve"> </w:t>
      </w:r>
      <w:r>
        <w:rPr>
          <w:sz w:val="26"/>
          <w:szCs w:val="26"/>
        </w:rPr>
        <w:t xml:space="preserve">Revised </w:t>
      </w:r>
      <w:r w:rsidRPr="00062E21">
        <w:rPr>
          <w:sz w:val="26"/>
          <w:szCs w:val="26"/>
        </w:rPr>
        <w:t xml:space="preserve">Long-Term Infrastructure Improvement Plan </w:t>
      </w:r>
      <w:r>
        <w:rPr>
          <w:sz w:val="26"/>
          <w:szCs w:val="26"/>
        </w:rPr>
        <w:t>for its Peoples Division and Equitable Division for the period January 1, 2015</w:t>
      </w:r>
      <w:r w:rsidR="00B1382C">
        <w:rPr>
          <w:sz w:val="26"/>
          <w:szCs w:val="26"/>
        </w:rPr>
        <w:t>,</w:t>
      </w:r>
      <w:r>
        <w:rPr>
          <w:sz w:val="26"/>
          <w:szCs w:val="26"/>
        </w:rPr>
        <w:t xml:space="preserve"> through December 31, 2019 </w:t>
      </w:r>
      <w:r w:rsidRPr="00062E21">
        <w:rPr>
          <w:sz w:val="26"/>
          <w:szCs w:val="26"/>
        </w:rPr>
        <w:t>(</w:t>
      </w:r>
      <w:r w:rsidR="00261196">
        <w:rPr>
          <w:sz w:val="26"/>
          <w:szCs w:val="26"/>
        </w:rPr>
        <w:t>Second</w:t>
      </w:r>
      <w:r w:rsidR="0075067A">
        <w:rPr>
          <w:sz w:val="26"/>
          <w:szCs w:val="26"/>
        </w:rPr>
        <w:t xml:space="preserve"> </w:t>
      </w:r>
      <w:r>
        <w:rPr>
          <w:sz w:val="26"/>
          <w:szCs w:val="26"/>
        </w:rPr>
        <w:t xml:space="preserve">Revised </w:t>
      </w:r>
      <w:r w:rsidRPr="00062E21">
        <w:rPr>
          <w:sz w:val="26"/>
          <w:szCs w:val="26"/>
        </w:rPr>
        <w:t>LTIIP</w:t>
      </w:r>
      <w:r>
        <w:rPr>
          <w:sz w:val="26"/>
          <w:szCs w:val="26"/>
        </w:rPr>
        <w:t xml:space="preserve">). </w:t>
      </w:r>
      <w:r w:rsidR="00B1382C">
        <w:rPr>
          <w:sz w:val="26"/>
          <w:szCs w:val="26"/>
        </w:rPr>
        <w:t xml:space="preserve"> </w:t>
      </w:r>
      <w:r w:rsidRPr="00B64E1C">
        <w:rPr>
          <w:color w:val="000000"/>
          <w:sz w:val="26"/>
          <w:szCs w:val="26"/>
        </w:rPr>
        <w:t xml:space="preserve">This </w:t>
      </w:r>
      <w:r w:rsidR="004C5104">
        <w:rPr>
          <w:color w:val="000000"/>
          <w:sz w:val="26"/>
          <w:szCs w:val="26"/>
        </w:rPr>
        <w:t xml:space="preserve">petition was filed </w:t>
      </w:r>
      <w:r w:rsidR="000E3DFD">
        <w:rPr>
          <w:color w:val="000000"/>
          <w:sz w:val="26"/>
          <w:szCs w:val="26"/>
        </w:rPr>
        <w:t>November 6, 2015</w:t>
      </w:r>
      <w:r w:rsidR="00A26788">
        <w:rPr>
          <w:color w:val="000000"/>
          <w:sz w:val="26"/>
          <w:szCs w:val="26"/>
        </w:rPr>
        <w:t xml:space="preserve">, and </w:t>
      </w:r>
      <w:r w:rsidRPr="00B64E1C">
        <w:rPr>
          <w:color w:val="000000"/>
          <w:sz w:val="26"/>
          <w:szCs w:val="26"/>
        </w:rPr>
        <w:t>r</w:t>
      </w:r>
      <w:r w:rsidR="000E3DFD">
        <w:rPr>
          <w:color w:val="000000"/>
          <w:sz w:val="26"/>
          <w:szCs w:val="26"/>
        </w:rPr>
        <w:t xml:space="preserve">eplaces </w:t>
      </w:r>
      <w:r w:rsidR="00FB000A">
        <w:rPr>
          <w:color w:val="000000"/>
          <w:sz w:val="26"/>
          <w:szCs w:val="26"/>
        </w:rPr>
        <w:t>Peoples’ current</w:t>
      </w:r>
      <w:r w:rsidR="000E3DFD">
        <w:rPr>
          <w:color w:val="000000"/>
          <w:sz w:val="26"/>
          <w:szCs w:val="26"/>
        </w:rPr>
        <w:t xml:space="preserve"> LTIIP</w:t>
      </w:r>
      <w:r w:rsidR="00050CEB">
        <w:rPr>
          <w:color w:val="000000"/>
          <w:sz w:val="26"/>
          <w:szCs w:val="26"/>
        </w:rPr>
        <w:t>.</w:t>
      </w:r>
      <w:r w:rsidR="000E3DFD">
        <w:rPr>
          <w:rStyle w:val="FootnoteReference"/>
          <w:color w:val="000000"/>
          <w:sz w:val="26"/>
          <w:szCs w:val="26"/>
        </w:rPr>
        <w:footnoteReference w:id="1"/>
      </w:r>
    </w:p>
    <w:p w:rsidR="005D5DD9" w:rsidRDefault="005D5DD9" w:rsidP="005D5DD9">
      <w:pPr>
        <w:pStyle w:val="p2"/>
        <w:widowControl/>
        <w:spacing w:line="360" w:lineRule="auto"/>
        <w:ind w:firstLine="1440"/>
        <w:rPr>
          <w:sz w:val="26"/>
          <w:szCs w:val="26"/>
        </w:rPr>
      </w:pPr>
    </w:p>
    <w:p w:rsidR="005D5DD9" w:rsidRDefault="005D5DD9" w:rsidP="005D5DD9">
      <w:pPr>
        <w:pStyle w:val="p2"/>
        <w:widowControl/>
        <w:spacing w:line="360" w:lineRule="auto"/>
        <w:rPr>
          <w:sz w:val="26"/>
          <w:szCs w:val="26"/>
        </w:rPr>
      </w:pPr>
      <w:r>
        <w:rPr>
          <w:sz w:val="26"/>
          <w:szCs w:val="26"/>
        </w:rPr>
        <w:lastRenderedPageBreak/>
        <w:t>Peoples</w:t>
      </w:r>
      <w:r w:rsidRPr="00062E21">
        <w:rPr>
          <w:sz w:val="26"/>
          <w:szCs w:val="26"/>
        </w:rPr>
        <w:t xml:space="preserve"> is a corporation organized and existing under the laws of the Commonwealth of Pennsylvania.  </w:t>
      </w:r>
      <w:r>
        <w:rPr>
          <w:sz w:val="26"/>
          <w:szCs w:val="26"/>
        </w:rPr>
        <w:t>Peoples</w:t>
      </w:r>
      <w:r w:rsidRPr="00062E21">
        <w:rPr>
          <w:sz w:val="26"/>
          <w:szCs w:val="26"/>
        </w:rPr>
        <w:t xml:space="preserve"> is in the business of selling and distributing natural gas to retail customers within the Commonwealth, and is therefore a “public utility” within the meaning of Section 102 of the Public Utility Code, 66 Pa. C.S. </w:t>
      </w:r>
      <w:r w:rsidRPr="00062E21">
        <w:rPr>
          <w:iCs/>
          <w:sz w:val="26"/>
          <w:szCs w:val="26"/>
        </w:rPr>
        <w:t>§§</w:t>
      </w:r>
      <w:r w:rsidRPr="00062E21">
        <w:rPr>
          <w:sz w:val="26"/>
          <w:szCs w:val="26"/>
        </w:rPr>
        <w:t xml:space="preserve"> 102, subject to the regulatory jurisdiction of the Commission.  </w:t>
      </w:r>
      <w:r>
        <w:rPr>
          <w:sz w:val="26"/>
          <w:szCs w:val="26"/>
        </w:rPr>
        <w:t xml:space="preserve">Peoples, as a </w:t>
      </w:r>
      <w:r w:rsidR="00A26788">
        <w:rPr>
          <w:sz w:val="26"/>
          <w:szCs w:val="26"/>
        </w:rPr>
        <w:t>Natural Gas Distribution Company (</w:t>
      </w:r>
      <w:r>
        <w:rPr>
          <w:sz w:val="26"/>
          <w:szCs w:val="26"/>
        </w:rPr>
        <w:t>NGDC</w:t>
      </w:r>
      <w:r w:rsidR="00A26788">
        <w:rPr>
          <w:sz w:val="26"/>
          <w:szCs w:val="26"/>
        </w:rPr>
        <w:t>)</w:t>
      </w:r>
      <w:r>
        <w:rPr>
          <w:sz w:val="26"/>
          <w:szCs w:val="26"/>
        </w:rPr>
        <w:t>,</w:t>
      </w:r>
      <w:r w:rsidRPr="00062E21">
        <w:rPr>
          <w:sz w:val="26"/>
          <w:szCs w:val="26"/>
        </w:rPr>
        <w:t xml:space="preserve"> provides natural </w:t>
      </w:r>
      <w:r>
        <w:rPr>
          <w:sz w:val="26"/>
          <w:szCs w:val="26"/>
        </w:rPr>
        <w:t>gas service to approximately 640</w:t>
      </w:r>
      <w:r w:rsidR="00B1382C">
        <w:rPr>
          <w:sz w:val="26"/>
          <w:szCs w:val="26"/>
        </w:rPr>
        <w:t>,000 </w:t>
      </w:r>
      <w:r w:rsidRPr="00062E21">
        <w:rPr>
          <w:sz w:val="26"/>
          <w:szCs w:val="26"/>
        </w:rPr>
        <w:t>residential, commercial, and indust</w:t>
      </w:r>
      <w:r>
        <w:rPr>
          <w:sz w:val="26"/>
          <w:szCs w:val="26"/>
        </w:rPr>
        <w:t>rial cu</w:t>
      </w:r>
      <w:r w:rsidR="000C3B36">
        <w:rPr>
          <w:sz w:val="26"/>
          <w:szCs w:val="26"/>
        </w:rPr>
        <w:t>stomers in all or portions of 16</w:t>
      </w:r>
      <w:r w:rsidR="00B1382C">
        <w:rPr>
          <w:sz w:val="26"/>
          <w:szCs w:val="26"/>
        </w:rPr>
        <w:t> </w:t>
      </w:r>
      <w:r>
        <w:rPr>
          <w:sz w:val="26"/>
          <w:szCs w:val="26"/>
        </w:rPr>
        <w:t>Southwestern Pennsylvania Counties</w:t>
      </w:r>
      <w:r w:rsidR="00050CEB">
        <w:rPr>
          <w:sz w:val="26"/>
          <w:szCs w:val="26"/>
        </w:rPr>
        <w:t>.</w:t>
      </w:r>
      <w:r w:rsidR="000C3B36">
        <w:rPr>
          <w:rStyle w:val="FootnoteReference"/>
          <w:sz w:val="26"/>
          <w:szCs w:val="26"/>
        </w:rPr>
        <w:footnoteReference w:id="2"/>
      </w:r>
      <w:r>
        <w:rPr>
          <w:sz w:val="26"/>
          <w:szCs w:val="26"/>
        </w:rPr>
        <w:t xml:space="preserve">  </w:t>
      </w:r>
    </w:p>
    <w:p w:rsidR="005D5DD9" w:rsidRPr="00062E21" w:rsidRDefault="005D5DD9" w:rsidP="005D5DD9">
      <w:pPr>
        <w:pStyle w:val="ListParagraph"/>
        <w:widowControl/>
        <w:ind w:left="0"/>
        <w:rPr>
          <w:sz w:val="26"/>
          <w:szCs w:val="26"/>
        </w:rPr>
      </w:pPr>
    </w:p>
    <w:p w:rsidR="005D5DD9" w:rsidRPr="00CA188E" w:rsidRDefault="00A97D81" w:rsidP="005D5DD9">
      <w:pPr>
        <w:spacing w:line="360" w:lineRule="auto"/>
        <w:ind w:firstLine="1440"/>
        <w:rPr>
          <w:sz w:val="26"/>
          <w:szCs w:val="26"/>
        </w:rPr>
      </w:pPr>
      <w:r>
        <w:rPr>
          <w:sz w:val="26"/>
          <w:szCs w:val="26"/>
        </w:rPr>
        <w:t xml:space="preserve">Copies of the </w:t>
      </w:r>
      <w:r w:rsidR="00261196">
        <w:rPr>
          <w:sz w:val="26"/>
          <w:szCs w:val="26"/>
        </w:rPr>
        <w:t>Second</w:t>
      </w:r>
      <w:r w:rsidR="000C3B36">
        <w:rPr>
          <w:sz w:val="26"/>
          <w:szCs w:val="26"/>
        </w:rPr>
        <w:t xml:space="preserve"> </w:t>
      </w:r>
      <w:r w:rsidRPr="00CA188E">
        <w:rPr>
          <w:sz w:val="26"/>
          <w:szCs w:val="26"/>
        </w:rPr>
        <w:t xml:space="preserve">Revised LTIIP </w:t>
      </w:r>
      <w:r>
        <w:rPr>
          <w:sz w:val="26"/>
          <w:szCs w:val="26"/>
        </w:rPr>
        <w:t xml:space="preserve">were </w:t>
      </w:r>
      <w:r w:rsidRPr="00CA188E">
        <w:rPr>
          <w:sz w:val="26"/>
          <w:szCs w:val="26"/>
        </w:rPr>
        <w:t>served upon the statutory advocates</w:t>
      </w:r>
      <w:r>
        <w:rPr>
          <w:sz w:val="26"/>
          <w:szCs w:val="26"/>
        </w:rPr>
        <w:t xml:space="preserve"> and all parties to the Merger Settlement</w:t>
      </w:r>
      <w:r w:rsidRPr="00CA188E">
        <w:rPr>
          <w:sz w:val="26"/>
          <w:szCs w:val="26"/>
        </w:rPr>
        <w:t xml:space="preserve"> </w:t>
      </w:r>
      <w:r w:rsidRPr="00A97D81">
        <w:rPr>
          <w:sz w:val="26"/>
          <w:szCs w:val="26"/>
        </w:rPr>
        <w:t xml:space="preserve">at Docket Nos. A-2013-2353647, </w:t>
      </w:r>
      <w:r w:rsidR="00261196">
        <w:rPr>
          <w:sz w:val="26"/>
          <w:szCs w:val="26"/>
        </w:rPr>
        <w:t xml:space="preserve">     </w:t>
      </w:r>
      <w:r w:rsidRPr="00A97D81">
        <w:rPr>
          <w:sz w:val="26"/>
          <w:szCs w:val="26"/>
        </w:rPr>
        <w:t>A-2013-2353649 and A-2013-2353651</w:t>
      </w:r>
      <w:r w:rsidR="00982FE8">
        <w:rPr>
          <w:sz w:val="26"/>
          <w:szCs w:val="26"/>
        </w:rPr>
        <w:t xml:space="preserve">.  </w:t>
      </w:r>
    </w:p>
    <w:p w:rsidR="005D5DD9" w:rsidRDefault="005D5DD9" w:rsidP="005D5DD9"/>
    <w:p w:rsidR="005D5DD9" w:rsidRDefault="005D5DD9" w:rsidP="005D5DD9">
      <w:pPr>
        <w:pStyle w:val="p2"/>
        <w:widowControl/>
        <w:spacing w:line="360" w:lineRule="auto"/>
        <w:ind w:firstLine="1440"/>
        <w:rPr>
          <w:sz w:val="26"/>
          <w:szCs w:val="26"/>
        </w:rPr>
      </w:pPr>
      <w:r w:rsidRPr="00330D75">
        <w:rPr>
          <w:sz w:val="26"/>
          <w:szCs w:val="26"/>
        </w:rPr>
        <w:t>No objections</w:t>
      </w:r>
      <w:r w:rsidRPr="00062E21">
        <w:rPr>
          <w:sz w:val="26"/>
          <w:szCs w:val="26"/>
        </w:rPr>
        <w:t xml:space="preserve"> or comments were received from </w:t>
      </w:r>
      <w:r w:rsidR="00FA47A5">
        <w:rPr>
          <w:sz w:val="26"/>
          <w:szCs w:val="26"/>
        </w:rPr>
        <w:t>any parties</w:t>
      </w:r>
      <w:r>
        <w:rPr>
          <w:sz w:val="26"/>
          <w:szCs w:val="26"/>
        </w:rPr>
        <w:t>.</w:t>
      </w:r>
      <w:r w:rsidR="005155C1">
        <w:rPr>
          <w:sz w:val="26"/>
          <w:szCs w:val="26"/>
        </w:rPr>
        <w:t xml:space="preserve">  On February </w:t>
      </w:r>
      <w:r w:rsidR="00243C6F">
        <w:rPr>
          <w:sz w:val="26"/>
          <w:szCs w:val="26"/>
        </w:rPr>
        <w:t xml:space="preserve">18, 2016, via Secretary Letter, the Commission extended the consideration period for Peoples’ </w:t>
      </w:r>
      <w:r w:rsidR="00261196">
        <w:rPr>
          <w:sz w:val="26"/>
          <w:szCs w:val="26"/>
        </w:rPr>
        <w:t>Second</w:t>
      </w:r>
      <w:r w:rsidR="00243C6F">
        <w:rPr>
          <w:sz w:val="26"/>
          <w:szCs w:val="26"/>
        </w:rPr>
        <w:t xml:space="preserve"> Revised LTIIP until March 11, 2016.</w:t>
      </w:r>
    </w:p>
    <w:p w:rsidR="005D5DD9" w:rsidRDefault="005D5DD9" w:rsidP="005D5DD9">
      <w:pPr>
        <w:pStyle w:val="p2"/>
        <w:widowControl/>
        <w:spacing w:line="360" w:lineRule="auto"/>
        <w:ind w:firstLine="1440"/>
        <w:rPr>
          <w:sz w:val="26"/>
          <w:szCs w:val="26"/>
        </w:rPr>
      </w:pPr>
    </w:p>
    <w:p w:rsidR="005D5DD9" w:rsidRPr="00062E21" w:rsidRDefault="00A26788" w:rsidP="005D5DD9">
      <w:pPr>
        <w:pStyle w:val="p2"/>
        <w:widowControl/>
        <w:spacing w:line="360" w:lineRule="auto"/>
        <w:ind w:firstLine="0"/>
        <w:jc w:val="center"/>
        <w:rPr>
          <w:b/>
          <w:sz w:val="26"/>
          <w:szCs w:val="26"/>
        </w:rPr>
      </w:pPr>
      <w:r>
        <w:rPr>
          <w:b/>
          <w:sz w:val="26"/>
          <w:szCs w:val="26"/>
        </w:rPr>
        <w:t>HISTORY OF THE PROCEEDING</w:t>
      </w:r>
    </w:p>
    <w:p w:rsidR="005D5DD9" w:rsidRPr="00062E21" w:rsidRDefault="005D5DD9" w:rsidP="005D5DD9">
      <w:pPr>
        <w:pStyle w:val="p2"/>
        <w:widowControl/>
        <w:spacing w:line="360" w:lineRule="auto"/>
        <w:ind w:firstLine="0"/>
        <w:jc w:val="center"/>
        <w:rPr>
          <w:b/>
          <w:sz w:val="26"/>
          <w:szCs w:val="26"/>
        </w:rPr>
      </w:pPr>
    </w:p>
    <w:p w:rsidR="005E5B57" w:rsidRDefault="005E5B57" w:rsidP="005E5B57">
      <w:pPr>
        <w:pStyle w:val="p2"/>
        <w:widowControl/>
        <w:spacing w:line="360" w:lineRule="auto"/>
        <w:ind w:firstLine="1440"/>
        <w:rPr>
          <w:sz w:val="26"/>
          <w:szCs w:val="26"/>
        </w:rPr>
      </w:pPr>
      <w:r w:rsidRPr="00883D7C">
        <w:rPr>
          <w:sz w:val="26"/>
          <w:szCs w:val="26"/>
        </w:rPr>
        <w:t>On February 14, 2012,</w:t>
      </w:r>
      <w:r>
        <w:rPr>
          <w:b/>
          <w:sz w:val="26"/>
          <w:szCs w:val="26"/>
        </w:rPr>
        <w:t xml:space="preserve"> </w:t>
      </w:r>
      <w:r w:rsidRPr="00883D7C">
        <w:rPr>
          <w:sz w:val="26"/>
          <w:szCs w:val="26"/>
        </w:rPr>
        <w:t>Governor Corbet</w:t>
      </w:r>
      <w:r>
        <w:rPr>
          <w:sz w:val="26"/>
          <w:szCs w:val="26"/>
        </w:rPr>
        <w:t>t</w:t>
      </w:r>
      <w:r w:rsidRPr="00883D7C">
        <w:rPr>
          <w:sz w:val="26"/>
          <w:szCs w:val="26"/>
        </w:rPr>
        <w:t xml:space="preserve"> signed into law</w:t>
      </w:r>
      <w:r>
        <w:rPr>
          <w:b/>
          <w:sz w:val="26"/>
          <w:szCs w:val="26"/>
        </w:rPr>
        <w:t xml:space="preserve"> </w:t>
      </w:r>
      <w:r w:rsidR="00B1382C">
        <w:rPr>
          <w:sz w:val="26"/>
          <w:szCs w:val="26"/>
        </w:rPr>
        <w:t>Act 11 of 2012, </w:t>
      </w:r>
      <w:r>
        <w:rPr>
          <w:sz w:val="26"/>
          <w:szCs w:val="26"/>
        </w:rPr>
        <w:t>(Act 11),</w:t>
      </w:r>
      <w:r w:rsidRPr="00062E21">
        <w:rPr>
          <w:rStyle w:val="FootnoteReference"/>
          <w:sz w:val="26"/>
          <w:szCs w:val="26"/>
        </w:rPr>
        <w:footnoteReference w:id="3"/>
      </w:r>
      <w:r w:rsidRPr="00062E21">
        <w:rPr>
          <w:sz w:val="26"/>
          <w:szCs w:val="26"/>
        </w:rPr>
        <w:t xml:space="preserve"> </w:t>
      </w:r>
      <w:r>
        <w:rPr>
          <w:sz w:val="26"/>
          <w:szCs w:val="26"/>
        </w:rPr>
        <w:t xml:space="preserve">which amends Chapters 3, 13 and 33 </w:t>
      </w:r>
      <w:r w:rsidRPr="00562D21">
        <w:rPr>
          <w:sz w:val="26"/>
          <w:szCs w:val="26"/>
        </w:rPr>
        <w:t>of Title 66.</w:t>
      </w:r>
      <w:r>
        <w:rPr>
          <w:sz w:val="26"/>
          <w:szCs w:val="26"/>
        </w:rPr>
        <w:t xml:space="preserve">  Act 11, </w:t>
      </w:r>
      <w:r w:rsidRPr="00E00C08">
        <w:rPr>
          <w:i/>
          <w:sz w:val="26"/>
          <w:szCs w:val="26"/>
        </w:rPr>
        <w:t>inter alia</w:t>
      </w:r>
      <w:r>
        <w:rPr>
          <w:sz w:val="26"/>
          <w:szCs w:val="26"/>
        </w:rPr>
        <w:t xml:space="preserve">, provides utilities with the ability to implement a Distribution System Improvement Charge (DSIC) to recover reasonable and prudent costs incurred to repair, improve or replace certain eligible distribution property that is part of the utility’s distribution system.  The eligible property for the utilities is defined in 66 Pa. C.S. </w:t>
      </w:r>
      <w:r w:rsidRPr="002B3E34">
        <w:rPr>
          <w:iCs/>
          <w:sz w:val="26"/>
          <w:szCs w:val="26"/>
        </w:rPr>
        <w:t>§</w:t>
      </w:r>
      <w:r w:rsidR="00050CEB">
        <w:rPr>
          <w:iCs/>
          <w:sz w:val="26"/>
          <w:szCs w:val="26"/>
        </w:rPr>
        <w:t xml:space="preserve"> </w:t>
      </w:r>
      <w:r>
        <w:rPr>
          <w:sz w:val="26"/>
          <w:szCs w:val="26"/>
        </w:rPr>
        <w:t xml:space="preserve">1351.  Act 11 states that as a precondition to the implementation of a DSIC, a utility must file a LTIIP with the Commission that is consistent with 66 Pa. C.S. </w:t>
      </w:r>
      <w:r w:rsidRPr="002B3E34">
        <w:rPr>
          <w:iCs/>
          <w:sz w:val="26"/>
          <w:szCs w:val="26"/>
        </w:rPr>
        <w:t>§</w:t>
      </w:r>
      <w:r w:rsidR="00050CEB">
        <w:rPr>
          <w:iCs/>
          <w:sz w:val="26"/>
          <w:szCs w:val="26"/>
        </w:rPr>
        <w:t xml:space="preserve"> </w:t>
      </w:r>
      <w:r>
        <w:rPr>
          <w:sz w:val="26"/>
          <w:szCs w:val="26"/>
        </w:rPr>
        <w:t xml:space="preserve">1352.  </w:t>
      </w:r>
    </w:p>
    <w:p w:rsidR="005E5B57" w:rsidRDefault="005E5B57" w:rsidP="005E5B57">
      <w:pPr>
        <w:pStyle w:val="p2"/>
        <w:widowControl/>
        <w:spacing w:line="360" w:lineRule="auto"/>
        <w:ind w:firstLine="1440"/>
        <w:rPr>
          <w:sz w:val="26"/>
          <w:szCs w:val="26"/>
        </w:rPr>
      </w:pPr>
      <w:r>
        <w:rPr>
          <w:sz w:val="26"/>
          <w:szCs w:val="26"/>
        </w:rPr>
        <w:lastRenderedPageBreak/>
        <w:tab/>
        <w:t xml:space="preserve">On April 5, 2012, the Commission held a working group meeting for discussion and feedback from stakeholders regarding its implementation of Act 11.  On May 10, 2012, the Commission issued a Tentative Implementation Order addressing and incorporating input from the stakeholder meeting.  On August 2, 2012, the Commission issued the Final Implementation Order, at Docket Number M-2012-2293611, establishing procedures and guidelines necessary to implement Act 11.  </w:t>
      </w:r>
    </w:p>
    <w:p w:rsidR="005E5B57" w:rsidRDefault="005E5B57" w:rsidP="005E5B57">
      <w:pPr>
        <w:pStyle w:val="p2"/>
        <w:widowControl/>
        <w:spacing w:line="360" w:lineRule="auto"/>
        <w:ind w:firstLine="1440"/>
        <w:rPr>
          <w:sz w:val="26"/>
          <w:szCs w:val="26"/>
        </w:rPr>
      </w:pPr>
    </w:p>
    <w:p w:rsidR="005E5B57" w:rsidRDefault="005E5B57" w:rsidP="005E5B57">
      <w:pPr>
        <w:pStyle w:val="p2"/>
        <w:widowControl/>
        <w:spacing w:line="360" w:lineRule="auto"/>
        <w:ind w:firstLine="1440"/>
        <w:rPr>
          <w:sz w:val="26"/>
          <w:szCs w:val="26"/>
        </w:rPr>
      </w:pPr>
      <w:r>
        <w:rPr>
          <w:sz w:val="26"/>
          <w:szCs w:val="26"/>
        </w:rPr>
        <w:t xml:space="preserve">The Final Implementation Order adopts the requirements established in 66 Pa. C.S. </w:t>
      </w:r>
      <w:r w:rsidRPr="002B3E34">
        <w:rPr>
          <w:iCs/>
          <w:sz w:val="26"/>
          <w:szCs w:val="26"/>
        </w:rPr>
        <w:t>§</w:t>
      </w:r>
      <w:r>
        <w:rPr>
          <w:sz w:val="26"/>
          <w:szCs w:val="26"/>
        </w:rPr>
        <w:t xml:space="preserve"> 1352, provides additional standards that each LTIIP must meet, and gives guidance to utilities for meeting the Commission’s standards.  The Final Implementation Order of Act 11 requires the inclusion of seven elements in the LTIIP.   </w:t>
      </w:r>
    </w:p>
    <w:p w:rsidR="005E5B57" w:rsidRDefault="005E5B57" w:rsidP="005E5B57">
      <w:pPr>
        <w:pStyle w:val="p2"/>
        <w:widowControl/>
        <w:spacing w:line="360" w:lineRule="auto"/>
        <w:ind w:firstLine="0"/>
        <w:rPr>
          <w:sz w:val="26"/>
          <w:szCs w:val="26"/>
        </w:rPr>
      </w:pPr>
    </w:p>
    <w:p w:rsidR="005E5B57" w:rsidRDefault="005E5B57" w:rsidP="005E5B57">
      <w:pPr>
        <w:pStyle w:val="p2"/>
        <w:tabs>
          <w:tab w:val="left" w:pos="720"/>
        </w:tabs>
        <w:spacing w:line="360" w:lineRule="auto"/>
        <w:ind w:firstLine="0"/>
        <w:rPr>
          <w:sz w:val="26"/>
          <w:szCs w:val="26"/>
        </w:rPr>
      </w:pPr>
      <w:r>
        <w:rPr>
          <w:sz w:val="26"/>
          <w:szCs w:val="26"/>
        </w:rPr>
        <w:tab/>
      </w:r>
      <w:r>
        <w:rPr>
          <w:sz w:val="26"/>
          <w:szCs w:val="26"/>
        </w:rPr>
        <w:tab/>
      </w:r>
      <w:r w:rsidRPr="00433795">
        <w:rPr>
          <w:sz w:val="26"/>
          <w:szCs w:val="26"/>
        </w:rPr>
        <w:t xml:space="preserve">On March 14, 2013, </w:t>
      </w:r>
      <w:r>
        <w:rPr>
          <w:sz w:val="26"/>
          <w:szCs w:val="26"/>
        </w:rPr>
        <w:t xml:space="preserve">the Commission issued a proposed rulemaking on LTIIP at L-2012-2317274.  The proposed rulemaking acknowledged the Commission’s decision against establishing a separate Pipeline Replacement and Performance Plan filing process at Docket Number M-2011-2271982, because it would be duplicative of the Act 11 DSIC regulatory process, specifically, the filing of LTIIPs.  The Commission, nevertheless, determined that it would rather order additional actions from NGDCs if necessary, in order to safeguard the public.  The Commission also acknowledged that the implementation of a DSIC mechanism may lead to numerous construction projects by the utilities.  The Commission is also aware that these construction projects could lead to significant disruptions as utilities perform work in the right of ways of the roadways and streets across the Commonwealth in order to repair or replace their infrastructure.  Therefore, the Commission has directed, by way of the proposed rulemaking, that a utility, as part of its LTIIP, should provide a description of its outreach and coordination activities with other utilities, Pennsylvania Department of Transportation (PennDOT) and local governments regarding their planned maintenance/construction projects and roadways that may be impacted by the plan.  </w:t>
      </w:r>
    </w:p>
    <w:p w:rsidR="005E5B57" w:rsidRDefault="005E5B57" w:rsidP="005E5B57">
      <w:pPr>
        <w:pStyle w:val="p2"/>
        <w:spacing w:line="360" w:lineRule="auto"/>
        <w:ind w:firstLine="0"/>
        <w:rPr>
          <w:sz w:val="26"/>
          <w:szCs w:val="26"/>
        </w:rPr>
      </w:pPr>
    </w:p>
    <w:p w:rsidR="005E5B57" w:rsidRDefault="005E5B57" w:rsidP="005E5B57">
      <w:pPr>
        <w:pStyle w:val="p7"/>
        <w:tabs>
          <w:tab w:val="clear" w:pos="1133"/>
          <w:tab w:val="left" w:pos="720"/>
          <w:tab w:val="left" w:pos="1440"/>
        </w:tabs>
        <w:spacing w:line="360" w:lineRule="auto"/>
        <w:ind w:left="0" w:firstLine="0"/>
        <w:rPr>
          <w:sz w:val="26"/>
          <w:szCs w:val="26"/>
        </w:rPr>
      </w:pPr>
      <w:r>
        <w:rPr>
          <w:sz w:val="26"/>
          <w:szCs w:val="26"/>
        </w:rPr>
        <w:lastRenderedPageBreak/>
        <w:tab/>
      </w:r>
      <w:r>
        <w:rPr>
          <w:sz w:val="26"/>
          <w:szCs w:val="26"/>
        </w:rPr>
        <w:tab/>
      </w:r>
      <w:r>
        <w:rPr>
          <w:sz w:val="26"/>
          <w:szCs w:val="26"/>
        </w:rPr>
        <w:tab/>
        <w:t xml:space="preserve">Therefore, the proposed rulemaking added an additional element, thereby increasing the seven elements in the LTIIP to eight as shown below:  </w:t>
      </w:r>
    </w:p>
    <w:p w:rsidR="005E5B57" w:rsidRDefault="005E5B57" w:rsidP="005E5B57">
      <w:pPr>
        <w:pStyle w:val="p7"/>
        <w:tabs>
          <w:tab w:val="clear" w:pos="1133"/>
          <w:tab w:val="left" w:pos="720"/>
          <w:tab w:val="left" w:pos="1440"/>
        </w:tabs>
        <w:spacing w:line="360" w:lineRule="auto"/>
        <w:ind w:left="0" w:firstLine="0"/>
        <w:rPr>
          <w:sz w:val="26"/>
          <w:szCs w:val="26"/>
        </w:rPr>
      </w:pPr>
    </w:p>
    <w:p w:rsidR="005E5B57" w:rsidRPr="002B3E34" w:rsidRDefault="005E5B57" w:rsidP="005E5B57">
      <w:pPr>
        <w:pStyle w:val="p7"/>
        <w:numPr>
          <w:ilvl w:val="0"/>
          <w:numId w:val="32"/>
        </w:numPr>
        <w:tabs>
          <w:tab w:val="clear" w:pos="1133"/>
          <w:tab w:val="left" w:pos="720"/>
          <w:tab w:val="left" w:pos="1440"/>
        </w:tabs>
        <w:spacing w:line="360" w:lineRule="auto"/>
        <w:jc w:val="both"/>
        <w:rPr>
          <w:sz w:val="26"/>
          <w:szCs w:val="26"/>
        </w:rPr>
      </w:pPr>
      <w:r>
        <w:rPr>
          <w:sz w:val="26"/>
          <w:szCs w:val="26"/>
        </w:rPr>
        <w:t xml:space="preserve"> Types and age of eligible property;</w:t>
      </w:r>
    </w:p>
    <w:p w:rsidR="005E5B57" w:rsidRDefault="005E5B57" w:rsidP="005E5B57">
      <w:pPr>
        <w:pStyle w:val="p7"/>
        <w:numPr>
          <w:ilvl w:val="0"/>
          <w:numId w:val="32"/>
        </w:numPr>
        <w:tabs>
          <w:tab w:val="clear" w:pos="1133"/>
          <w:tab w:val="left" w:pos="720"/>
          <w:tab w:val="left" w:pos="1350"/>
          <w:tab w:val="left" w:pos="1440"/>
        </w:tabs>
        <w:spacing w:line="360" w:lineRule="auto"/>
        <w:jc w:val="both"/>
        <w:rPr>
          <w:sz w:val="26"/>
          <w:szCs w:val="26"/>
        </w:rPr>
      </w:pPr>
      <w:r>
        <w:rPr>
          <w:sz w:val="26"/>
          <w:szCs w:val="26"/>
        </w:rPr>
        <w:t xml:space="preserve"> Schedule for its planned repair and replacement;</w:t>
      </w:r>
    </w:p>
    <w:p w:rsidR="005E5B57" w:rsidRDefault="005E5B57" w:rsidP="005E5B57">
      <w:pPr>
        <w:pStyle w:val="p7"/>
        <w:numPr>
          <w:ilvl w:val="0"/>
          <w:numId w:val="32"/>
        </w:numPr>
        <w:tabs>
          <w:tab w:val="clear" w:pos="1133"/>
          <w:tab w:val="left" w:pos="720"/>
          <w:tab w:val="left" w:pos="1350"/>
          <w:tab w:val="left" w:pos="1440"/>
          <w:tab w:val="left" w:pos="1530"/>
        </w:tabs>
        <w:spacing w:line="360" w:lineRule="auto"/>
        <w:jc w:val="both"/>
        <w:rPr>
          <w:sz w:val="26"/>
          <w:szCs w:val="26"/>
        </w:rPr>
      </w:pPr>
      <w:r w:rsidRPr="002B3E34">
        <w:rPr>
          <w:sz w:val="26"/>
          <w:szCs w:val="26"/>
        </w:rPr>
        <w:t xml:space="preserve"> </w:t>
      </w:r>
      <w:r>
        <w:rPr>
          <w:sz w:val="26"/>
          <w:szCs w:val="26"/>
        </w:rPr>
        <w:tab/>
        <w:t>Location of the eligible property;</w:t>
      </w:r>
    </w:p>
    <w:p w:rsidR="005E5B57" w:rsidRDefault="005E5B57" w:rsidP="005E5B57">
      <w:pPr>
        <w:pStyle w:val="p7"/>
        <w:numPr>
          <w:ilvl w:val="0"/>
          <w:numId w:val="32"/>
        </w:numPr>
        <w:tabs>
          <w:tab w:val="clear" w:pos="1133"/>
          <w:tab w:val="left" w:pos="720"/>
          <w:tab w:val="left" w:pos="1350"/>
          <w:tab w:val="left" w:pos="1440"/>
          <w:tab w:val="left" w:pos="1530"/>
        </w:tabs>
        <w:spacing w:line="360" w:lineRule="auto"/>
        <w:jc w:val="both"/>
        <w:rPr>
          <w:sz w:val="26"/>
          <w:szCs w:val="26"/>
        </w:rPr>
      </w:pPr>
      <w:r>
        <w:rPr>
          <w:sz w:val="26"/>
          <w:szCs w:val="26"/>
        </w:rPr>
        <w:t xml:space="preserve"> Reasonable estimates of the quantity of property to be improved;</w:t>
      </w:r>
    </w:p>
    <w:p w:rsidR="005E5B57" w:rsidRDefault="005E5B57" w:rsidP="005E5B57">
      <w:pPr>
        <w:pStyle w:val="p7"/>
        <w:numPr>
          <w:ilvl w:val="0"/>
          <w:numId w:val="32"/>
        </w:numPr>
        <w:tabs>
          <w:tab w:val="clear" w:pos="1133"/>
          <w:tab w:val="left" w:pos="720"/>
          <w:tab w:val="left" w:pos="1440"/>
          <w:tab w:val="left" w:pos="1530"/>
        </w:tabs>
        <w:spacing w:line="360" w:lineRule="auto"/>
        <w:rPr>
          <w:sz w:val="26"/>
          <w:szCs w:val="26"/>
        </w:rPr>
      </w:pPr>
      <w:r>
        <w:rPr>
          <w:sz w:val="26"/>
          <w:szCs w:val="26"/>
        </w:rPr>
        <w:t>Projected annual expenditures and measures to ensure that the plan is cost      effective;</w:t>
      </w:r>
    </w:p>
    <w:p w:rsidR="005E5B57" w:rsidRDefault="005E5B57" w:rsidP="005E5B57">
      <w:pPr>
        <w:pStyle w:val="p7"/>
        <w:numPr>
          <w:ilvl w:val="0"/>
          <w:numId w:val="32"/>
        </w:numPr>
        <w:tabs>
          <w:tab w:val="clear" w:pos="782"/>
          <w:tab w:val="clear" w:pos="1133"/>
          <w:tab w:val="left" w:pos="720"/>
          <w:tab w:val="left" w:pos="1440"/>
          <w:tab w:val="left" w:pos="1530"/>
        </w:tabs>
        <w:spacing w:line="360" w:lineRule="auto"/>
        <w:rPr>
          <w:sz w:val="26"/>
          <w:szCs w:val="26"/>
        </w:rPr>
      </w:pPr>
      <w:r>
        <w:rPr>
          <w:sz w:val="26"/>
          <w:szCs w:val="26"/>
        </w:rPr>
        <w:t>Manner in which replacement of aging infrastructure will be accelerated and how repair, improvement or replacement will maintain safe and reliable service; and</w:t>
      </w:r>
    </w:p>
    <w:p w:rsidR="005E5B57" w:rsidRDefault="005E5B57" w:rsidP="005E5B57">
      <w:pPr>
        <w:pStyle w:val="p7"/>
        <w:numPr>
          <w:ilvl w:val="0"/>
          <w:numId w:val="32"/>
        </w:numPr>
        <w:tabs>
          <w:tab w:val="clear" w:pos="782"/>
          <w:tab w:val="clear" w:pos="1133"/>
          <w:tab w:val="left" w:pos="720"/>
          <w:tab w:val="left" w:pos="1440"/>
          <w:tab w:val="left" w:pos="1530"/>
        </w:tabs>
        <w:spacing w:line="360" w:lineRule="auto"/>
        <w:rPr>
          <w:sz w:val="26"/>
          <w:szCs w:val="26"/>
        </w:rPr>
      </w:pPr>
      <w:r>
        <w:rPr>
          <w:sz w:val="26"/>
          <w:szCs w:val="26"/>
        </w:rPr>
        <w:t>A workforce management and training program.</w:t>
      </w:r>
    </w:p>
    <w:p w:rsidR="005E5B57" w:rsidRDefault="005E5B57" w:rsidP="005E5B57">
      <w:pPr>
        <w:pStyle w:val="p7"/>
        <w:numPr>
          <w:ilvl w:val="0"/>
          <w:numId w:val="32"/>
        </w:numPr>
        <w:tabs>
          <w:tab w:val="clear" w:pos="782"/>
          <w:tab w:val="clear" w:pos="1133"/>
          <w:tab w:val="left" w:pos="720"/>
          <w:tab w:val="left" w:pos="1440"/>
          <w:tab w:val="left" w:pos="1530"/>
        </w:tabs>
        <w:spacing w:line="360" w:lineRule="auto"/>
        <w:rPr>
          <w:sz w:val="26"/>
          <w:szCs w:val="26"/>
        </w:rPr>
      </w:pPr>
      <w:r>
        <w:rPr>
          <w:sz w:val="26"/>
          <w:szCs w:val="26"/>
        </w:rPr>
        <w:t>A description of a utility’s outreach and coordination activities with other utilities, PennDOT and local governments on planned maintenance/construction projects.</w:t>
      </w:r>
    </w:p>
    <w:p w:rsidR="005E5B57" w:rsidRDefault="005E5B57" w:rsidP="005E5B57">
      <w:pPr>
        <w:pStyle w:val="p7"/>
        <w:tabs>
          <w:tab w:val="clear" w:pos="782"/>
          <w:tab w:val="clear" w:pos="1133"/>
          <w:tab w:val="left" w:pos="720"/>
          <w:tab w:val="left" w:pos="1440"/>
          <w:tab w:val="left" w:pos="1530"/>
        </w:tabs>
        <w:spacing w:line="360" w:lineRule="auto"/>
        <w:rPr>
          <w:sz w:val="26"/>
          <w:szCs w:val="26"/>
        </w:rPr>
      </w:pPr>
    </w:p>
    <w:p w:rsidR="005E5B57" w:rsidRDefault="005E5B57" w:rsidP="005E5B57">
      <w:pPr>
        <w:widowControl/>
        <w:autoSpaceDE/>
        <w:autoSpaceDN/>
        <w:adjustRightInd/>
        <w:spacing w:line="360" w:lineRule="auto"/>
        <w:ind w:right="-90" w:firstLine="1440"/>
        <w:textAlignment w:val="baseline"/>
        <w:rPr>
          <w:color w:val="000000"/>
          <w:spacing w:val="-2"/>
          <w:sz w:val="26"/>
          <w:szCs w:val="26"/>
        </w:rPr>
      </w:pPr>
      <w:r>
        <w:rPr>
          <w:sz w:val="26"/>
          <w:szCs w:val="26"/>
        </w:rPr>
        <w:t>As stated in the Final Implementation Order, a Commission</w:t>
      </w:r>
      <w:r w:rsidR="00050CEB">
        <w:rPr>
          <w:sz w:val="26"/>
          <w:szCs w:val="26"/>
        </w:rPr>
        <w:t>-</w:t>
      </w:r>
      <w:r>
        <w:rPr>
          <w:sz w:val="26"/>
          <w:szCs w:val="26"/>
        </w:rPr>
        <w:t xml:space="preserve">approved LTIIP is subject to periodic review, and the process for the periodic review of approved LTIIPs is addressed in a rulemaking at L-2012-2317274.  The Commission has issued a final rulemaking </w:t>
      </w:r>
      <w:r w:rsidR="00050CEB">
        <w:rPr>
          <w:sz w:val="26"/>
          <w:szCs w:val="26"/>
        </w:rPr>
        <w:t xml:space="preserve">order </w:t>
      </w:r>
      <w:r>
        <w:rPr>
          <w:sz w:val="26"/>
          <w:szCs w:val="26"/>
        </w:rPr>
        <w:t>to provide a comprehensive process for the ongoing review of approved LTIIPs and to ensure that all utilities remain in compliance with their respective LTIIPs.</w:t>
      </w:r>
    </w:p>
    <w:p w:rsidR="005E5B57" w:rsidRDefault="005E5B57" w:rsidP="005D5DD9">
      <w:pPr>
        <w:widowControl/>
        <w:autoSpaceDE/>
        <w:autoSpaceDN/>
        <w:adjustRightInd/>
        <w:spacing w:line="360" w:lineRule="auto"/>
        <w:ind w:right="-90" w:firstLine="1440"/>
        <w:textAlignment w:val="baseline"/>
        <w:rPr>
          <w:color w:val="000000"/>
          <w:spacing w:val="-2"/>
          <w:sz w:val="26"/>
          <w:szCs w:val="26"/>
        </w:rPr>
      </w:pPr>
    </w:p>
    <w:p w:rsidR="005D5DD9" w:rsidRPr="00373223" w:rsidRDefault="005D5DD9" w:rsidP="005D5DD9">
      <w:pPr>
        <w:widowControl/>
        <w:autoSpaceDE/>
        <w:autoSpaceDN/>
        <w:adjustRightInd/>
        <w:spacing w:line="360" w:lineRule="auto"/>
        <w:ind w:right="-90" w:firstLine="1440"/>
        <w:textAlignment w:val="baseline"/>
        <w:rPr>
          <w:color w:val="000000"/>
          <w:spacing w:val="-2"/>
          <w:sz w:val="26"/>
          <w:szCs w:val="26"/>
        </w:rPr>
      </w:pPr>
      <w:r w:rsidRPr="00373223">
        <w:rPr>
          <w:color w:val="000000"/>
          <w:spacing w:val="-2"/>
          <w:sz w:val="26"/>
          <w:szCs w:val="26"/>
        </w:rPr>
        <w:t>On March 31, 2013</w:t>
      </w:r>
      <w:r w:rsidR="00A26788">
        <w:rPr>
          <w:color w:val="000000"/>
          <w:spacing w:val="-2"/>
          <w:sz w:val="26"/>
          <w:szCs w:val="26"/>
        </w:rPr>
        <w:t>,</w:t>
      </w:r>
      <w:r w:rsidRPr="00373223">
        <w:rPr>
          <w:color w:val="000000"/>
          <w:spacing w:val="-2"/>
          <w:sz w:val="26"/>
          <w:szCs w:val="26"/>
        </w:rPr>
        <w:t xml:space="preserve"> a Joint Application was filed by Pe</w:t>
      </w:r>
      <w:r w:rsidR="004C5104">
        <w:rPr>
          <w:color w:val="000000"/>
          <w:spacing w:val="-2"/>
          <w:sz w:val="26"/>
          <w:szCs w:val="26"/>
        </w:rPr>
        <w:t>oples Natural Gas Company LLC (Peoples</w:t>
      </w:r>
      <w:r w:rsidRPr="00373223">
        <w:rPr>
          <w:color w:val="000000"/>
          <w:spacing w:val="-2"/>
          <w:sz w:val="26"/>
          <w:szCs w:val="26"/>
        </w:rPr>
        <w:t>), Peoples TWP L</w:t>
      </w:r>
      <w:r w:rsidR="004C5104">
        <w:rPr>
          <w:color w:val="000000"/>
          <w:spacing w:val="-2"/>
          <w:sz w:val="26"/>
          <w:szCs w:val="26"/>
        </w:rPr>
        <w:t>LC and Equitable Gas Company (Equitable</w:t>
      </w:r>
      <w:r w:rsidRPr="00373223">
        <w:rPr>
          <w:color w:val="000000"/>
          <w:spacing w:val="-2"/>
          <w:sz w:val="26"/>
          <w:szCs w:val="26"/>
        </w:rPr>
        <w:t>) at Docket No</w:t>
      </w:r>
      <w:r w:rsidR="00050CEB">
        <w:rPr>
          <w:color w:val="000000"/>
          <w:spacing w:val="-2"/>
          <w:sz w:val="26"/>
          <w:szCs w:val="26"/>
        </w:rPr>
        <w:t>s</w:t>
      </w:r>
      <w:r w:rsidRPr="00373223">
        <w:rPr>
          <w:color w:val="000000"/>
          <w:spacing w:val="-2"/>
          <w:sz w:val="26"/>
          <w:szCs w:val="26"/>
        </w:rPr>
        <w:t xml:space="preserve">. A-2013-2353647, A-2013-2353649 and A-2013-2353651 seeking the necessary approvals for, among other things, </w:t>
      </w:r>
      <w:r>
        <w:rPr>
          <w:color w:val="000000"/>
          <w:spacing w:val="-2"/>
          <w:sz w:val="26"/>
          <w:szCs w:val="26"/>
        </w:rPr>
        <w:t xml:space="preserve">(1) the transfer of 100% of the membership interests in Equitable to PNG Companies LLC, Peoples’ direct parent and an indirect subsidiary of SteelRiver Infrastructure Fund North America LP; (2) </w:t>
      </w:r>
      <w:r w:rsidRPr="00373223">
        <w:rPr>
          <w:color w:val="000000"/>
          <w:spacing w:val="-2"/>
          <w:sz w:val="26"/>
          <w:szCs w:val="26"/>
        </w:rPr>
        <w:t xml:space="preserve">the merger of Equitable </w:t>
      </w:r>
      <w:r w:rsidRPr="00373223">
        <w:rPr>
          <w:color w:val="000000"/>
          <w:spacing w:val="-2"/>
          <w:sz w:val="26"/>
          <w:szCs w:val="26"/>
        </w:rPr>
        <w:lastRenderedPageBreak/>
        <w:t>with Peoples, and the operation of the former Equitable properties and business as a</w:t>
      </w:r>
      <w:r>
        <w:rPr>
          <w:color w:val="000000"/>
          <w:spacing w:val="-2"/>
          <w:sz w:val="26"/>
          <w:szCs w:val="26"/>
        </w:rPr>
        <w:t>n operating Division of Peoples; and (3) the transfer of certain storage and transmission assets of Peoples to EQT Corporation.</w:t>
      </w:r>
      <w:r w:rsidRPr="00373223">
        <w:rPr>
          <w:color w:val="000000"/>
          <w:spacing w:val="-2"/>
          <w:sz w:val="26"/>
          <w:szCs w:val="26"/>
        </w:rPr>
        <w:t xml:space="preserve"> </w:t>
      </w:r>
      <w:r>
        <w:rPr>
          <w:color w:val="000000"/>
          <w:spacing w:val="-2"/>
          <w:sz w:val="26"/>
          <w:szCs w:val="26"/>
        </w:rPr>
        <w:t xml:space="preserve"> </w:t>
      </w:r>
      <w:r w:rsidRPr="00373223">
        <w:rPr>
          <w:color w:val="000000"/>
          <w:spacing w:val="-2"/>
          <w:sz w:val="26"/>
          <w:szCs w:val="26"/>
        </w:rPr>
        <w:t xml:space="preserve">On November, 14, 2013, the Commission entered an Order approving </w:t>
      </w:r>
      <w:r w:rsidR="00A26788">
        <w:rPr>
          <w:color w:val="000000"/>
          <w:spacing w:val="-2"/>
          <w:sz w:val="26"/>
          <w:szCs w:val="26"/>
        </w:rPr>
        <w:t>a</w:t>
      </w:r>
      <w:r w:rsidRPr="00373223">
        <w:rPr>
          <w:color w:val="000000"/>
          <w:spacing w:val="-2"/>
          <w:sz w:val="26"/>
          <w:szCs w:val="26"/>
        </w:rPr>
        <w:t xml:space="preserve"> Joint Petition for Settlement</w:t>
      </w:r>
      <w:r w:rsidR="00612577">
        <w:rPr>
          <w:color w:val="000000"/>
          <w:spacing w:val="-2"/>
          <w:sz w:val="26"/>
          <w:szCs w:val="26"/>
        </w:rPr>
        <w:t xml:space="preserve"> (Merger Settlement)</w:t>
      </w:r>
      <w:r w:rsidRPr="00373223">
        <w:rPr>
          <w:color w:val="000000"/>
          <w:spacing w:val="-2"/>
          <w:sz w:val="26"/>
          <w:szCs w:val="26"/>
        </w:rPr>
        <w:t xml:space="preserve"> of all issues in the</w:t>
      </w:r>
      <w:r>
        <w:rPr>
          <w:color w:val="000000"/>
          <w:spacing w:val="-2"/>
          <w:sz w:val="26"/>
          <w:szCs w:val="26"/>
        </w:rPr>
        <w:t xml:space="preserve"> </w:t>
      </w:r>
      <w:r w:rsidR="00A26788">
        <w:rPr>
          <w:color w:val="000000"/>
          <w:spacing w:val="-2"/>
          <w:sz w:val="26"/>
          <w:szCs w:val="26"/>
        </w:rPr>
        <w:t>a</w:t>
      </w:r>
      <w:r>
        <w:rPr>
          <w:color w:val="000000"/>
          <w:spacing w:val="-2"/>
          <w:sz w:val="26"/>
          <w:szCs w:val="26"/>
        </w:rPr>
        <w:t xml:space="preserve">cquisition </w:t>
      </w:r>
      <w:r w:rsidR="00A26788">
        <w:rPr>
          <w:color w:val="000000"/>
          <w:spacing w:val="-2"/>
          <w:sz w:val="26"/>
          <w:szCs w:val="26"/>
        </w:rPr>
        <w:t>p</w:t>
      </w:r>
      <w:r w:rsidRPr="00373223">
        <w:rPr>
          <w:color w:val="000000"/>
          <w:spacing w:val="-2"/>
          <w:sz w:val="26"/>
          <w:szCs w:val="26"/>
        </w:rPr>
        <w:t>roceeding.</w:t>
      </w:r>
      <w:r>
        <w:rPr>
          <w:color w:val="000000"/>
          <w:spacing w:val="-2"/>
          <w:sz w:val="26"/>
          <w:szCs w:val="26"/>
        </w:rPr>
        <w:t xml:space="preserve"> </w:t>
      </w:r>
    </w:p>
    <w:p w:rsidR="005D5DD9" w:rsidRDefault="005D5DD9" w:rsidP="005D5DD9">
      <w:pPr>
        <w:widowControl/>
        <w:tabs>
          <w:tab w:val="left" w:pos="1512"/>
        </w:tabs>
        <w:autoSpaceDE/>
        <w:autoSpaceDN/>
        <w:adjustRightInd/>
        <w:spacing w:line="360" w:lineRule="auto"/>
        <w:ind w:left="864" w:right="144"/>
        <w:textAlignment w:val="baseline"/>
        <w:rPr>
          <w:color w:val="000000"/>
          <w:sz w:val="26"/>
          <w:szCs w:val="26"/>
        </w:rPr>
      </w:pPr>
    </w:p>
    <w:p w:rsidR="005D5DD9" w:rsidRPr="008B595C" w:rsidRDefault="005D5DD9" w:rsidP="008B595C">
      <w:pPr>
        <w:widowControl/>
        <w:autoSpaceDE/>
        <w:autoSpaceDN/>
        <w:adjustRightInd/>
        <w:spacing w:line="360" w:lineRule="auto"/>
        <w:ind w:right="144" w:firstLine="1440"/>
        <w:textAlignment w:val="baseline"/>
        <w:rPr>
          <w:color w:val="000000"/>
          <w:sz w:val="26"/>
          <w:szCs w:val="26"/>
        </w:rPr>
      </w:pPr>
      <w:r w:rsidRPr="00373223">
        <w:rPr>
          <w:color w:val="000000"/>
          <w:sz w:val="26"/>
          <w:szCs w:val="26"/>
        </w:rPr>
        <w:t xml:space="preserve">One of the provisions of the Merger Settlement required Peoples to freeze the costs included in the Peoples Division and Equitable Division Distribution System </w:t>
      </w:r>
      <w:r w:rsidR="004C5104">
        <w:rPr>
          <w:color w:val="000000"/>
          <w:sz w:val="26"/>
          <w:szCs w:val="26"/>
        </w:rPr>
        <w:t>Improvement Charge (DSIC</w:t>
      </w:r>
      <w:r w:rsidRPr="00373223">
        <w:rPr>
          <w:color w:val="000000"/>
          <w:sz w:val="26"/>
          <w:szCs w:val="26"/>
        </w:rPr>
        <w:t>) mechanism</w:t>
      </w:r>
      <w:r w:rsidR="00050CEB">
        <w:rPr>
          <w:color w:val="000000"/>
          <w:sz w:val="26"/>
          <w:szCs w:val="26"/>
        </w:rPr>
        <w:t>s</w:t>
      </w:r>
      <w:r w:rsidRPr="00373223">
        <w:rPr>
          <w:color w:val="000000"/>
          <w:sz w:val="26"/>
          <w:szCs w:val="26"/>
        </w:rPr>
        <w:t xml:space="preserve"> until such time as Peoples file</w:t>
      </w:r>
      <w:r w:rsidR="00A26788">
        <w:rPr>
          <w:color w:val="000000"/>
          <w:sz w:val="26"/>
          <w:szCs w:val="26"/>
        </w:rPr>
        <w:t>d</w:t>
      </w:r>
      <w:r w:rsidRPr="00373223">
        <w:rPr>
          <w:color w:val="000000"/>
          <w:sz w:val="26"/>
          <w:szCs w:val="26"/>
        </w:rPr>
        <w:t xml:space="preserve"> a Revised LTIIP or Asset Optimization </w:t>
      </w:r>
      <w:r w:rsidR="00A26788">
        <w:rPr>
          <w:color w:val="000000"/>
          <w:sz w:val="26"/>
          <w:szCs w:val="26"/>
        </w:rPr>
        <w:t>P</w:t>
      </w:r>
      <w:r w:rsidRPr="00373223">
        <w:rPr>
          <w:color w:val="000000"/>
          <w:sz w:val="26"/>
          <w:szCs w:val="26"/>
        </w:rPr>
        <w:t>lan for 2015 through 2019 that addresse</w:t>
      </w:r>
      <w:r w:rsidR="00FA47A5">
        <w:rPr>
          <w:color w:val="000000"/>
          <w:sz w:val="26"/>
          <w:szCs w:val="26"/>
        </w:rPr>
        <w:t>d</w:t>
      </w:r>
      <w:r w:rsidRPr="00373223">
        <w:rPr>
          <w:color w:val="000000"/>
          <w:sz w:val="26"/>
          <w:szCs w:val="26"/>
        </w:rPr>
        <w:t xml:space="preserve"> the effects of the acquisition transaction, including how redundant facilities w</w:t>
      </w:r>
      <w:r w:rsidR="00FA47A5">
        <w:rPr>
          <w:color w:val="000000"/>
          <w:sz w:val="26"/>
          <w:szCs w:val="26"/>
        </w:rPr>
        <w:t>ould</w:t>
      </w:r>
      <w:r w:rsidRPr="00373223">
        <w:rPr>
          <w:color w:val="000000"/>
          <w:sz w:val="26"/>
          <w:szCs w:val="26"/>
        </w:rPr>
        <w:t xml:space="preserve"> be handled.</w:t>
      </w:r>
      <w:r>
        <w:rPr>
          <w:color w:val="000000"/>
          <w:sz w:val="26"/>
          <w:szCs w:val="26"/>
        </w:rPr>
        <w:t xml:space="preserve"> </w:t>
      </w:r>
      <w:r w:rsidRPr="00373223">
        <w:rPr>
          <w:color w:val="000000"/>
          <w:sz w:val="26"/>
          <w:szCs w:val="26"/>
        </w:rPr>
        <w:t xml:space="preserve"> </w:t>
      </w:r>
      <w:r w:rsidR="000C3B36">
        <w:rPr>
          <w:color w:val="000000"/>
          <w:sz w:val="26"/>
          <w:szCs w:val="26"/>
        </w:rPr>
        <w:t>A</w:t>
      </w:r>
      <w:r w:rsidRPr="00373223">
        <w:rPr>
          <w:color w:val="000000"/>
          <w:sz w:val="26"/>
          <w:szCs w:val="26"/>
        </w:rPr>
        <w:t xml:space="preserve"> Revised LTIIP </w:t>
      </w:r>
      <w:r w:rsidR="000C3B36">
        <w:rPr>
          <w:color w:val="000000"/>
          <w:sz w:val="26"/>
          <w:szCs w:val="26"/>
        </w:rPr>
        <w:t>was</w:t>
      </w:r>
      <w:r w:rsidRPr="00373223">
        <w:rPr>
          <w:color w:val="000000"/>
          <w:sz w:val="26"/>
          <w:szCs w:val="26"/>
        </w:rPr>
        <w:t xml:space="preserve"> filed in compliance with this Merger Settlement provision</w:t>
      </w:r>
      <w:r w:rsidR="000C3B36">
        <w:rPr>
          <w:color w:val="000000"/>
          <w:sz w:val="26"/>
          <w:szCs w:val="26"/>
        </w:rPr>
        <w:t>, and approved by Commission Order entered December 18, 2014</w:t>
      </w:r>
      <w:r w:rsidRPr="00373223">
        <w:rPr>
          <w:color w:val="000000"/>
          <w:sz w:val="26"/>
          <w:szCs w:val="26"/>
        </w:rPr>
        <w:t>.</w:t>
      </w:r>
      <w:r w:rsidR="008B595C">
        <w:rPr>
          <w:color w:val="000000"/>
          <w:sz w:val="26"/>
          <w:szCs w:val="26"/>
        </w:rPr>
        <w:t xml:space="preserve">  </w:t>
      </w:r>
      <w:r w:rsidRPr="00373223">
        <w:rPr>
          <w:color w:val="000000"/>
          <w:spacing w:val="-4"/>
          <w:sz w:val="26"/>
          <w:szCs w:val="26"/>
        </w:rPr>
        <w:t xml:space="preserve">Prior to the merger, both companies proposed and received Commission approval of </w:t>
      </w:r>
      <w:r w:rsidR="000C3B36">
        <w:rPr>
          <w:color w:val="000000"/>
          <w:spacing w:val="-4"/>
          <w:sz w:val="26"/>
          <w:szCs w:val="26"/>
        </w:rPr>
        <w:t xml:space="preserve">separate </w:t>
      </w:r>
      <w:r w:rsidRPr="00373223">
        <w:rPr>
          <w:color w:val="000000"/>
          <w:spacing w:val="-4"/>
          <w:sz w:val="26"/>
          <w:szCs w:val="26"/>
        </w:rPr>
        <w:t>LTIIPs to guide the repair and replacement of aging infrastructure</w:t>
      </w:r>
      <w:r w:rsidR="00050CEB">
        <w:rPr>
          <w:color w:val="000000"/>
          <w:spacing w:val="-4"/>
          <w:sz w:val="26"/>
          <w:szCs w:val="26"/>
        </w:rPr>
        <w:t>.</w:t>
      </w:r>
      <w:r w:rsidR="008B595C">
        <w:rPr>
          <w:rStyle w:val="FootnoteReference"/>
          <w:color w:val="000000"/>
          <w:spacing w:val="-4"/>
          <w:sz w:val="26"/>
          <w:szCs w:val="26"/>
        </w:rPr>
        <w:footnoteReference w:id="4"/>
      </w:r>
      <w:r w:rsidRPr="00373223">
        <w:rPr>
          <w:color w:val="000000"/>
          <w:spacing w:val="-4"/>
          <w:sz w:val="26"/>
          <w:szCs w:val="26"/>
        </w:rPr>
        <w:t xml:space="preserve"> </w:t>
      </w:r>
    </w:p>
    <w:p w:rsidR="00A26788" w:rsidRDefault="00A26788" w:rsidP="005D5DD9">
      <w:pPr>
        <w:widowControl/>
        <w:autoSpaceDE/>
        <w:autoSpaceDN/>
        <w:adjustRightInd/>
        <w:spacing w:line="360" w:lineRule="auto"/>
        <w:ind w:right="144" w:firstLine="1440"/>
        <w:textAlignment w:val="baseline"/>
        <w:rPr>
          <w:color w:val="000000"/>
          <w:spacing w:val="-4"/>
          <w:sz w:val="26"/>
          <w:szCs w:val="26"/>
        </w:rPr>
      </w:pPr>
    </w:p>
    <w:p w:rsidR="005D5DD9" w:rsidRPr="003816BE" w:rsidRDefault="005D5DD9" w:rsidP="005D5DD9">
      <w:pPr>
        <w:pStyle w:val="p2"/>
        <w:widowControl/>
        <w:spacing w:line="360" w:lineRule="auto"/>
        <w:ind w:firstLine="0"/>
        <w:jc w:val="center"/>
        <w:rPr>
          <w:b/>
          <w:sz w:val="26"/>
          <w:szCs w:val="26"/>
        </w:rPr>
      </w:pPr>
      <w:r w:rsidRPr="003816BE">
        <w:rPr>
          <w:b/>
          <w:sz w:val="26"/>
          <w:szCs w:val="26"/>
        </w:rPr>
        <w:t xml:space="preserve">PEOPLES’ </w:t>
      </w:r>
      <w:r w:rsidR="00261196">
        <w:rPr>
          <w:b/>
          <w:sz w:val="26"/>
          <w:szCs w:val="26"/>
        </w:rPr>
        <w:t>SECOND</w:t>
      </w:r>
      <w:r w:rsidR="000E3DFD">
        <w:rPr>
          <w:b/>
          <w:sz w:val="26"/>
          <w:szCs w:val="26"/>
        </w:rPr>
        <w:t xml:space="preserve"> </w:t>
      </w:r>
      <w:r w:rsidRPr="003816BE">
        <w:rPr>
          <w:b/>
          <w:sz w:val="26"/>
          <w:szCs w:val="26"/>
        </w:rPr>
        <w:t>REVISED LTIIP PETITION</w:t>
      </w:r>
    </w:p>
    <w:p w:rsidR="005D5DD9" w:rsidRDefault="005D5DD9" w:rsidP="005D5DD9">
      <w:pPr>
        <w:pStyle w:val="p2"/>
        <w:widowControl/>
        <w:spacing w:line="360" w:lineRule="auto"/>
        <w:ind w:firstLine="0"/>
        <w:rPr>
          <w:b/>
          <w:sz w:val="26"/>
          <w:szCs w:val="26"/>
        </w:rPr>
      </w:pPr>
    </w:p>
    <w:p w:rsidR="005155C1" w:rsidRDefault="005D5DD9" w:rsidP="005D5DD9">
      <w:pPr>
        <w:spacing w:line="360" w:lineRule="auto"/>
        <w:rPr>
          <w:color w:val="000000"/>
          <w:sz w:val="26"/>
          <w:szCs w:val="26"/>
        </w:rPr>
      </w:pPr>
      <w:r w:rsidRPr="003816BE">
        <w:rPr>
          <w:sz w:val="26"/>
          <w:szCs w:val="26"/>
        </w:rPr>
        <w:tab/>
      </w:r>
      <w:r w:rsidRPr="003816BE">
        <w:rPr>
          <w:sz w:val="26"/>
          <w:szCs w:val="26"/>
        </w:rPr>
        <w:tab/>
      </w:r>
      <w:r>
        <w:rPr>
          <w:color w:val="000000"/>
          <w:spacing w:val="-1"/>
          <w:sz w:val="26"/>
          <w:szCs w:val="26"/>
        </w:rPr>
        <w:t>Peoples</w:t>
      </w:r>
      <w:r w:rsidRPr="003816BE">
        <w:rPr>
          <w:color w:val="000000"/>
          <w:spacing w:val="-1"/>
          <w:sz w:val="26"/>
          <w:szCs w:val="26"/>
        </w:rPr>
        <w:t xml:space="preserve"> </w:t>
      </w:r>
      <w:r w:rsidR="00261196">
        <w:rPr>
          <w:color w:val="000000"/>
          <w:spacing w:val="-1"/>
          <w:sz w:val="26"/>
          <w:szCs w:val="26"/>
        </w:rPr>
        <w:t>Second</w:t>
      </w:r>
      <w:r w:rsidR="000E3DFD">
        <w:rPr>
          <w:color w:val="000000"/>
          <w:spacing w:val="-1"/>
          <w:sz w:val="26"/>
          <w:szCs w:val="26"/>
        </w:rPr>
        <w:t xml:space="preserve"> </w:t>
      </w:r>
      <w:r w:rsidRPr="003816BE">
        <w:rPr>
          <w:color w:val="000000"/>
          <w:spacing w:val="-1"/>
          <w:sz w:val="26"/>
          <w:szCs w:val="26"/>
        </w:rPr>
        <w:t xml:space="preserve">Revised LTIIP is a five-year plan </w:t>
      </w:r>
      <w:r>
        <w:rPr>
          <w:color w:val="000000"/>
          <w:spacing w:val="-1"/>
          <w:sz w:val="26"/>
          <w:szCs w:val="26"/>
        </w:rPr>
        <w:t xml:space="preserve">that </w:t>
      </w:r>
      <w:r w:rsidR="007B437D">
        <w:rPr>
          <w:color w:val="000000"/>
          <w:spacing w:val="-1"/>
          <w:sz w:val="26"/>
          <w:szCs w:val="26"/>
        </w:rPr>
        <w:t>refocuses the priorities set forth in</w:t>
      </w:r>
      <w:r w:rsidRPr="003816BE">
        <w:rPr>
          <w:color w:val="000000"/>
          <w:spacing w:val="-1"/>
          <w:sz w:val="26"/>
          <w:szCs w:val="26"/>
        </w:rPr>
        <w:t xml:space="preserve"> the previously-approved LTIIP for Peoples. </w:t>
      </w:r>
      <w:r>
        <w:rPr>
          <w:color w:val="000000"/>
          <w:spacing w:val="-1"/>
          <w:sz w:val="26"/>
          <w:szCs w:val="26"/>
        </w:rPr>
        <w:t xml:space="preserve"> </w:t>
      </w:r>
      <w:r w:rsidR="00FA47A5">
        <w:rPr>
          <w:color w:val="000000"/>
          <w:spacing w:val="-1"/>
          <w:sz w:val="26"/>
          <w:szCs w:val="26"/>
        </w:rPr>
        <w:t xml:space="preserve">The Merger Settlement stipulated </w:t>
      </w:r>
      <w:r w:rsidR="00FA47A5">
        <w:rPr>
          <w:color w:val="000000"/>
          <w:sz w:val="26"/>
          <w:szCs w:val="26"/>
        </w:rPr>
        <w:t>c</w:t>
      </w:r>
      <w:r w:rsidRPr="00360D2C">
        <w:rPr>
          <w:color w:val="000000"/>
          <w:sz w:val="26"/>
          <w:szCs w:val="26"/>
        </w:rPr>
        <w:t xml:space="preserve">apital spending commitments by Peoples for </w:t>
      </w:r>
      <w:r w:rsidR="00FA47A5">
        <w:rPr>
          <w:color w:val="000000"/>
          <w:sz w:val="26"/>
          <w:szCs w:val="26"/>
        </w:rPr>
        <w:t>their</w:t>
      </w:r>
      <w:r>
        <w:rPr>
          <w:color w:val="000000"/>
          <w:sz w:val="26"/>
          <w:szCs w:val="26"/>
        </w:rPr>
        <w:t xml:space="preserve"> Peoples</w:t>
      </w:r>
      <w:r w:rsidR="00FA47A5">
        <w:rPr>
          <w:color w:val="000000"/>
          <w:sz w:val="26"/>
          <w:szCs w:val="26"/>
        </w:rPr>
        <w:t xml:space="preserve"> and Equitable Divisions</w:t>
      </w:r>
      <w:r>
        <w:rPr>
          <w:color w:val="000000"/>
          <w:sz w:val="26"/>
          <w:szCs w:val="26"/>
        </w:rPr>
        <w:t xml:space="preserve">.  </w:t>
      </w:r>
      <w:r w:rsidR="00FA47A5">
        <w:rPr>
          <w:color w:val="000000"/>
          <w:sz w:val="26"/>
          <w:szCs w:val="26"/>
        </w:rPr>
        <w:t xml:space="preserve">Those spending commitments were further clarified in a subsequent </w:t>
      </w:r>
      <w:r w:rsidR="007E15DA">
        <w:rPr>
          <w:color w:val="000000"/>
          <w:sz w:val="26"/>
          <w:szCs w:val="26"/>
        </w:rPr>
        <w:t xml:space="preserve">Petition and </w:t>
      </w:r>
      <w:r w:rsidR="00FA47A5">
        <w:rPr>
          <w:color w:val="000000"/>
          <w:sz w:val="26"/>
          <w:szCs w:val="26"/>
        </w:rPr>
        <w:t xml:space="preserve">Settlement that allowed Peoples to apply the annual Division capital commitments on </w:t>
      </w:r>
    </w:p>
    <w:p w:rsidR="005155C1" w:rsidRDefault="005155C1" w:rsidP="005D5DD9">
      <w:pPr>
        <w:spacing w:line="360" w:lineRule="auto"/>
        <w:rPr>
          <w:color w:val="000000"/>
          <w:sz w:val="26"/>
          <w:szCs w:val="26"/>
        </w:rPr>
      </w:pPr>
    </w:p>
    <w:p w:rsidR="005155C1" w:rsidRDefault="005155C1" w:rsidP="005D5DD9">
      <w:pPr>
        <w:spacing w:line="360" w:lineRule="auto"/>
        <w:rPr>
          <w:color w:val="000000"/>
          <w:sz w:val="26"/>
          <w:szCs w:val="26"/>
        </w:rPr>
      </w:pPr>
    </w:p>
    <w:p w:rsidR="005155C1" w:rsidRDefault="005155C1" w:rsidP="005D5DD9">
      <w:pPr>
        <w:spacing w:line="360" w:lineRule="auto"/>
        <w:rPr>
          <w:color w:val="000000"/>
          <w:sz w:val="26"/>
          <w:szCs w:val="26"/>
        </w:rPr>
      </w:pPr>
    </w:p>
    <w:p w:rsidR="005155C1" w:rsidRDefault="005155C1" w:rsidP="005D5DD9">
      <w:pPr>
        <w:spacing w:line="360" w:lineRule="auto"/>
        <w:rPr>
          <w:color w:val="000000"/>
          <w:sz w:val="26"/>
          <w:szCs w:val="26"/>
        </w:rPr>
      </w:pPr>
    </w:p>
    <w:p w:rsidR="005D5DD9" w:rsidRDefault="00FA47A5" w:rsidP="005D5DD9">
      <w:pPr>
        <w:spacing w:line="360" w:lineRule="auto"/>
        <w:rPr>
          <w:color w:val="000000"/>
          <w:sz w:val="26"/>
          <w:szCs w:val="26"/>
        </w:rPr>
      </w:pPr>
      <w:proofErr w:type="gramStart"/>
      <w:r>
        <w:rPr>
          <w:color w:val="000000"/>
          <w:sz w:val="26"/>
          <w:szCs w:val="26"/>
        </w:rPr>
        <w:lastRenderedPageBreak/>
        <w:t>a</w:t>
      </w:r>
      <w:proofErr w:type="gramEnd"/>
      <w:r>
        <w:rPr>
          <w:color w:val="000000"/>
          <w:sz w:val="26"/>
          <w:szCs w:val="26"/>
        </w:rPr>
        <w:t xml:space="preserve"> combined basis with the stipulation that Peoples would meet the annual aggregate capital spending commitment and ensure the required minimum annual </w:t>
      </w:r>
      <w:r w:rsidR="00107B31">
        <w:rPr>
          <w:color w:val="000000"/>
          <w:sz w:val="26"/>
          <w:szCs w:val="26"/>
        </w:rPr>
        <w:t>commitment</w:t>
      </w:r>
      <w:r>
        <w:rPr>
          <w:color w:val="000000"/>
          <w:sz w:val="26"/>
          <w:szCs w:val="26"/>
        </w:rPr>
        <w:t xml:space="preserve"> for the Equitable Division would be achieved</w:t>
      </w:r>
      <w:r w:rsidR="00050CEB">
        <w:rPr>
          <w:color w:val="000000"/>
          <w:sz w:val="26"/>
          <w:szCs w:val="26"/>
        </w:rPr>
        <w:t>.</w:t>
      </w:r>
      <w:r>
        <w:rPr>
          <w:rStyle w:val="FootnoteReference"/>
          <w:color w:val="000000"/>
          <w:sz w:val="26"/>
          <w:szCs w:val="26"/>
        </w:rPr>
        <w:footnoteReference w:id="5"/>
      </w:r>
      <w:r>
        <w:rPr>
          <w:color w:val="000000"/>
          <w:sz w:val="26"/>
          <w:szCs w:val="26"/>
        </w:rPr>
        <w:t xml:space="preserve"> </w:t>
      </w:r>
    </w:p>
    <w:p w:rsidR="005155C1" w:rsidRDefault="005155C1" w:rsidP="005D5DD9">
      <w:pPr>
        <w:spacing w:line="360" w:lineRule="auto"/>
        <w:rPr>
          <w:color w:val="000000"/>
          <w:sz w:val="26"/>
          <w:szCs w:val="26"/>
        </w:rPr>
      </w:pPr>
    </w:p>
    <w:p w:rsidR="00FA47A5" w:rsidRDefault="000C3B36" w:rsidP="000C3B36">
      <w:pPr>
        <w:widowControl/>
        <w:autoSpaceDE/>
        <w:autoSpaceDN/>
        <w:adjustRightInd/>
        <w:spacing w:line="360" w:lineRule="auto"/>
        <w:ind w:firstLine="1440"/>
        <w:textAlignment w:val="baseline"/>
        <w:rPr>
          <w:color w:val="000000"/>
          <w:spacing w:val="-1"/>
          <w:sz w:val="26"/>
          <w:szCs w:val="26"/>
        </w:rPr>
      </w:pPr>
      <w:r w:rsidRPr="000C3B36">
        <w:rPr>
          <w:color w:val="000000"/>
          <w:spacing w:val="-1"/>
          <w:sz w:val="26"/>
          <w:szCs w:val="26"/>
        </w:rPr>
        <w:t xml:space="preserve">Peoples </w:t>
      </w:r>
      <w:r w:rsidR="00261196">
        <w:rPr>
          <w:color w:val="000000"/>
          <w:spacing w:val="-1"/>
          <w:sz w:val="26"/>
          <w:szCs w:val="26"/>
        </w:rPr>
        <w:t>Second</w:t>
      </w:r>
      <w:r>
        <w:rPr>
          <w:color w:val="000000"/>
          <w:spacing w:val="-1"/>
          <w:sz w:val="26"/>
          <w:szCs w:val="26"/>
        </w:rPr>
        <w:t xml:space="preserve"> Revised LTIIP</w:t>
      </w:r>
      <w:r w:rsidRPr="000C3B36">
        <w:rPr>
          <w:color w:val="000000"/>
          <w:spacing w:val="-1"/>
          <w:sz w:val="26"/>
          <w:szCs w:val="26"/>
        </w:rPr>
        <w:t xml:space="preserve"> proposes to modify its </w:t>
      </w:r>
      <w:r w:rsidR="003601B9">
        <w:rPr>
          <w:color w:val="000000"/>
          <w:spacing w:val="-1"/>
          <w:sz w:val="26"/>
          <w:szCs w:val="26"/>
        </w:rPr>
        <w:t>current</w:t>
      </w:r>
      <w:r w:rsidR="003601B9" w:rsidRPr="000C3B36">
        <w:rPr>
          <w:color w:val="000000"/>
          <w:spacing w:val="-1"/>
          <w:sz w:val="26"/>
          <w:szCs w:val="26"/>
        </w:rPr>
        <w:t xml:space="preserve"> </w:t>
      </w:r>
      <w:r w:rsidRPr="000C3B36">
        <w:rPr>
          <w:color w:val="000000"/>
          <w:spacing w:val="-1"/>
          <w:sz w:val="26"/>
          <w:szCs w:val="26"/>
        </w:rPr>
        <w:t>LTIIP in order</w:t>
      </w:r>
      <w:r>
        <w:rPr>
          <w:color w:val="000000"/>
          <w:spacing w:val="-1"/>
          <w:sz w:val="26"/>
          <w:szCs w:val="26"/>
        </w:rPr>
        <w:t xml:space="preserve"> </w:t>
      </w:r>
      <w:r w:rsidRPr="000C3B36">
        <w:rPr>
          <w:color w:val="000000"/>
          <w:spacing w:val="-1"/>
          <w:sz w:val="26"/>
          <w:szCs w:val="26"/>
        </w:rPr>
        <w:t xml:space="preserve">to reflect five changes to how Peoples will improve its infrastructure: </w:t>
      </w:r>
    </w:p>
    <w:p w:rsidR="00295110" w:rsidRDefault="00295110" w:rsidP="000C3B36">
      <w:pPr>
        <w:widowControl/>
        <w:autoSpaceDE/>
        <w:autoSpaceDN/>
        <w:adjustRightInd/>
        <w:spacing w:line="360" w:lineRule="auto"/>
        <w:ind w:firstLine="1440"/>
        <w:textAlignment w:val="baseline"/>
        <w:rPr>
          <w:color w:val="000000"/>
          <w:spacing w:val="-1"/>
          <w:sz w:val="26"/>
          <w:szCs w:val="26"/>
        </w:rPr>
      </w:pPr>
    </w:p>
    <w:p w:rsidR="00FA47A5" w:rsidRDefault="000C3B36" w:rsidP="0040134D">
      <w:pPr>
        <w:pStyle w:val="ListParagraph"/>
        <w:widowControl/>
        <w:numPr>
          <w:ilvl w:val="0"/>
          <w:numId w:val="47"/>
        </w:numPr>
        <w:autoSpaceDE/>
        <w:autoSpaceDN/>
        <w:adjustRightInd/>
        <w:spacing w:line="360" w:lineRule="auto"/>
        <w:textAlignment w:val="baseline"/>
        <w:rPr>
          <w:color w:val="000000"/>
          <w:spacing w:val="-1"/>
          <w:sz w:val="26"/>
          <w:szCs w:val="26"/>
        </w:rPr>
      </w:pPr>
      <w:r w:rsidRPr="0040134D">
        <w:rPr>
          <w:color w:val="000000"/>
          <w:spacing w:val="-1"/>
          <w:sz w:val="26"/>
          <w:szCs w:val="26"/>
        </w:rPr>
        <w:t xml:space="preserve">Peoples proposes to defer its bar coding information technology project; </w:t>
      </w:r>
    </w:p>
    <w:p w:rsidR="00FA47A5" w:rsidRDefault="000C3B36" w:rsidP="0040134D">
      <w:pPr>
        <w:pStyle w:val="ListParagraph"/>
        <w:widowControl/>
        <w:numPr>
          <w:ilvl w:val="0"/>
          <w:numId w:val="47"/>
        </w:numPr>
        <w:autoSpaceDE/>
        <w:autoSpaceDN/>
        <w:adjustRightInd/>
        <w:spacing w:line="360" w:lineRule="auto"/>
        <w:textAlignment w:val="baseline"/>
        <w:rPr>
          <w:color w:val="000000"/>
          <w:spacing w:val="-1"/>
          <w:sz w:val="26"/>
          <w:szCs w:val="26"/>
        </w:rPr>
      </w:pPr>
      <w:r w:rsidRPr="0040134D">
        <w:rPr>
          <w:color w:val="000000"/>
          <w:spacing w:val="-1"/>
          <w:sz w:val="26"/>
          <w:szCs w:val="26"/>
        </w:rPr>
        <w:t xml:space="preserve">Peoples proposes to build an in-house construction division to perform all pipeline construction related work; </w:t>
      </w:r>
    </w:p>
    <w:p w:rsidR="00FA47A5" w:rsidRDefault="000C3B36" w:rsidP="0040134D">
      <w:pPr>
        <w:pStyle w:val="ListParagraph"/>
        <w:widowControl/>
        <w:numPr>
          <w:ilvl w:val="0"/>
          <w:numId w:val="47"/>
        </w:numPr>
        <w:autoSpaceDE/>
        <w:autoSpaceDN/>
        <w:adjustRightInd/>
        <w:spacing w:line="360" w:lineRule="auto"/>
        <w:textAlignment w:val="baseline"/>
        <w:rPr>
          <w:color w:val="000000"/>
          <w:spacing w:val="-1"/>
          <w:sz w:val="26"/>
          <w:szCs w:val="26"/>
        </w:rPr>
      </w:pPr>
      <w:r w:rsidRPr="0040134D">
        <w:rPr>
          <w:color w:val="000000"/>
          <w:spacing w:val="-1"/>
          <w:sz w:val="26"/>
          <w:szCs w:val="26"/>
        </w:rPr>
        <w:t xml:space="preserve">Peoples proposes to focus its replacement program on pipelines in urban areas; </w:t>
      </w:r>
    </w:p>
    <w:p w:rsidR="00FA47A5" w:rsidRDefault="000C3B36" w:rsidP="0040134D">
      <w:pPr>
        <w:pStyle w:val="ListParagraph"/>
        <w:widowControl/>
        <w:numPr>
          <w:ilvl w:val="0"/>
          <w:numId w:val="47"/>
        </w:numPr>
        <w:autoSpaceDE/>
        <w:autoSpaceDN/>
        <w:adjustRightInd/>
        <w:spacing w:line="360" w:lineRule="auto"/>
        <w:textAlignment w:val="baseline"/>
        <w:rPr>
          <w:color w:val="000000"/>
          <w:spacing w:val="-1"/>
          <w:sz w:val="26"/>
          <w:szCs w:val="26"/>
        </w:rPr>
      </w:pPr>
      <w:r w:rsidRPr="0040134D">
        <w:rPr>
          <w:color w:val="000000"/>
          <w:spacing w:val="-1"/>
          <w:sz w:val="26"/>
          <w:szCs w:val="26"/>
        </w:rPr>
        <w:t xml:space="preserve">Peoples proposes to implement a smart meter technology; </w:t>
      </w:r>
    </w:p>
    <w:p w:rsidR="00FA47A5" w:rsidRDefault="000C3B36" w:rsidP="0040134D">
      <w:pPr>
        <w:pStyle w:val="ListParagraph"/>
        <w:widowControl/>
        <w:numPr>
          <w:ilvl w:val="0"/>
          <w:numId w:val="47"/>
        </w:numPr>
        <w:autoSpaceDE/>
        <w:autoSpaceDN/>
        <w:adjustRightInd/>
        <w:spacing w:line="360" w:lineRule="auto"/>
        <w:textAlignment w:val="baseline"/>
        <w:rPr>
          <w:color w:val="000000"/>
          <w:spacing w:val="-1"/>
          <w:sz w:val="26"/>
          <w:szCs w:val="26"/>
        </w:rPr>
      </w:pPr>
      <w:r w:rsidRPr="0040134D">
        <w:rPr>
          <w:color w:val="000000"/>
          <w:spacing w:val="-1"/>
          <w:sz w:val="26"/>
          <w:szCs w:val="26"/>
        </w:rPr>
        <w:t xml:space="preserve">and Peoples proposes to include a new LTIIP category for the replacement and investment in measurement and regulation (“M&amp;R”) infrastructure. </w:t>
      </w:r>
    </w:p>
    <w:p w:rsidR="00FA47A5" w:rsidRDefault="00FA47A5" w:rsidP="0040134D">
      <w:pPr>
        <w:widowControl/>
        <w:autoSpaceDE/>
        <w:autoSpaceDN/>
        <w:adjustRightInd/>
        <w:spacing w:line="360" w:lineRule="auto"/>
        <w:textAlignment w:val="baseline"/>
        <w:rPr>
          <w:color w:val="000000"/>
          <w:spacing w:val="-1"/>
          <w:sz w:val="26"/>
          <w:szCs w:val="26"/>
        </w:rPr>
      </w:pPr>
    </w:p>
    <w:p w:rsidR="005D5DD9" w:rsidRPr="0040134D" w:rsidRDefault="00FA47A5" w:rsidP="0040134D">
      <w:pPr>
        <w:widowControl/>
        <w:autoSpaceDE/>
        <w:autoSpaceDN/>
        <w:adjustRightInd/>
        <w:spacing w:line="360" w:lineRule="auto"/>
        <w:textAlignment w:val="baseline"/>
        <w:rPr>
          <w:color w:val="000000"/>
          <w:spacing w:val="-1"/>
          <w:sz w:val="26"/>
          <w:szCs w:val="26"/>
        </w:rPr>
      </w:pPr>
      <w:r>
        <w:rPr>
          <w:color w:val="000000"/>
          <w:spacing w:val="-1"/>
          <w:sz w:val="26"/>
          <w:szCs w:val="26"/>
        </w:rPr>
        <w:tab/>
      </w:r>
      <w:r>
        <w:rPr>
          <w:color w:val="000000"/>
          <w:spacing w:val="-1"/>
          <w:sz w:val="26"/>
          <w:szCs w:val="26"/>
        </w:rPr>
        <w:tab/>
      </w:r>
      <w:r w:rsidR="00081C12" w:rsidRPr="0040134D">
        <w:rPr>
          <w:color w:val="000000"/>
          <w:spacing w:val="-1"/>
          <w:sz w:val="26"/>
          <w:szCs w:val="26"/>
        </w:rPr>
        <w:t xml:space="preserve">The </w:t>
      </w:r>
      <w:r w:rsidR="00261196">
        <w:rPr>
          <w:color w:val="000000"/>
          <w:spacing w:val="-1"/>
          <w:sz w:val="26"/>
          <w:szCs w:val="26"/>
        </w:rPr>
        <w:t>Second</w:t>
      </w:r>
      <w:r w:rsidR="00AC4E87" w:rsidRPr="0040134D">
        <w:rPr>
          <w:color w:val="000000"/>
          <w:spacing w:val="-1"/>
          <w:sz w:val="26"/>
          <w:szCs w:val="26"/>
        </w:rPr>
        <w:t xml:space="preserve"> </w:t>
      </w:r>
      <w:r w:rsidR="00081C12" w:rsidRPr="0040134D">
        <w:rPr>
          <w:color w:val="000000"/>
          <w:spacing w:val="-1"/>
          <w:sz w:val="26"/>
          <w:szCs w:val="26"/>
        </w:rPr>
        <w:t xml:space="preserve">Revised LTIIP continues annual capital spending for infrastructure improvement at the same levels as contained in the </w:t>
      </w:r>
      <w:r w:rsidR="00DD41A6">
        <w:rPr>
          <w:color w:val="000000"/>
          <w:spacing w:val="-1"/>
          <w:sz w:val="26"/>
          <w:szCs w:val="26"/>
        </w:rPr>
        <w:t xml:space="preserve">current </w:t>
      </w:r>
      <w:r>
        <w:rPr>
          <w:color w:val="000000"/>
          <w:spacing w:val="-1"/>
          <w:sz w:val="26"/>
          <w:szCs w:val="26"/>
        </w:rPr>
        <w:t>LTIIP</w:t>
      </w:r>
      <w:r w:rsidR="00081C12" w:rsidRPr="0040134D">
        <w:rPr>
          <w:color w:val="000000"/>
          <w:spacing w:val="-1"/>
          <w:sz w:val="26"/>
          <w:szCs w:val="26"/>
        </w:rPr>
        <w:t xml:space="preserve">. </w:t>
      </w:r>
      <w:r w:rsidR="00B9207F">
        <w:rPr>
          <w:color w:val="000000"/>
          <w:spacing w:val="-1"/>
          <w:sz w:val="26"/>
          <w:szCs w:val="26"/>
        </w:rPr>
        <w:t xml:space="preserve"> </w:t>
      </w:r>
      <w:r w:rsidR="00081C12" w:rsidRPr="0040134D">
        <w:rPr>
          <w:color w:val="000000"/>
          <w:spacing w:val="-1"/>
          <w:sz w:val="26"/>
          <w:szCs w:val="26"/>
        </w:rPr>
        <w:t>The changes described</w:t>
      </w:r>
      <w:r>
        <w:rPr>
          <w:color w:val="000000"/>
          <w:spacing w:val="-1"/>
          <w:sz w:val="26"/>
          <w:szCs w:val="26"/>
        </w:rPr>
        <w:t>,</w:t>
      </w:r>
      <w:r w:rsidR="00081C12" w:rsidRPr="0040134D">
        <w:rPr>
          <w:color w:val="000000"/>
          <w:spacing w:val="-1"/>
          <w:sz w:val="26"/>
          <w:szCs w:val="26"/>
        </w:rPr>
        <w:t xml:space="preserve"> above</w:t>
      </w:r>
      <w:r>
        <w:rPr>
          <w:color w:val="000000"/>
          <w:spacing w:val="-1"/>
          <w:sz w:val="26"/>
          <w:szCs w:val="26"/>
        </w:rPr>
        <w:t>,</w:t>
      </w:r>
      <w:r w:rsidR="00081C12" w:rsidRPr="0040134D">
        <w:rPr>
          <w:color w:val="000000"/>
          <w:spacing w:val="-1"/>
          <w:sz w:val="26"/>
          <w:szCs w:val="26"/>
        </w:rPr>
        <w:t xml:space="preserve"> impact </w:t>
      </w:r>
      <w:r w:rsidR="00050CEB">
        <w:rPr>
          <w:color w:val="000000"/>
          <w:spacing w:val="-1"/>
          <w:sz w:val="26"/>
          <w:szCs w:val="26"/>
        </w:rPr>
        <w:t>five</w:t>
      </w:r>
      <w:r w:rsidR="00081C12" w:rsidRPr="0040134D">
        <w:rPr>
          <w:color w:val="000000"/>
          <w:spacing w:val="-1"/>
          <w:sz w:val="26"/>
          <w:szCs w:val="26"/>
        </w:rPr>
        <w:t xml:space="preserve"> different elements of the current LTIIP and are described in greater detail below.  </w:t>
      </w:r>
    </w:p>
    <w:p w:rsidR="00081C12" w:rsidRDefault="00081C12" w:rsidP="000C3B36">
      <w:pPr>
        <w:widowControl/>
        <w:autoSpaceDE/>
        <w:autoSpaceDN/>
        <w:adjustRightInd/>
        <w:spacing w:line="360" w:lineRule="auto"/>
        <w:ind w:firstLine="1440"/>
        <w:textAlignment w:val="baseline"/>
        <w:rPr>
          <w:color w:val="000000"/>
          <w:spacing w:val="-1"/>
          <w:sz w:val="26"/>
          <w:szCs w:val="26"/>
        </w:rPr>
      </w:pPr>
    </w:p>
    <w:p w:rsidR="00081C12" w:rsidRDefault="00081C12" w:rsidP="00081C12">
      <w:pPr>
        <w:widowControl/>
        <w:autoSpaceDE/>
        <w:autoSpaceDN/>
        <w:adjustRightInd/>
        <w:spacing w:line="360" w:lineRule="auto"/>
        <w:ind w:firstLine="1440"/>
        <w:textAlignment w:val="baseline"/>
        <w:rPr>
          <w:color w:val="000000"/>
          <w:spacing w:val="-1"/>
          <w:sz w:val="26"/>
          <w:szCs w:val="26"/>
        </w:rPr>
      </w:pPr>
      <w:r w:rsidRPr="00081C12">
        <w:rPr>
          <w:color w:val="000000"/>
          <w:spacing w:val="-1"/>
          <w:sz w:val="26"/>
          <w:szCs w:val="26"/>
        </w:rPr>
        <w:t xml:space="preserve">First, </w:t>
      </w:r>
      <w:r>
        <w:rPr>
          <w:color w:val="000000"/>
          <w:spacing w:val="-1"/>
          <w:sz w:val="26"/>
          <w:szCs w:val="26"/>
        </w:rPr>
        <w:t>Peoples</w:t>
      </w:r>
      <w:r w:rsidRPr="00081C12">
        <w:rPr>
          <w:color w:val="000000"/>
          <w:spacing w:val="-1"/>
          <w:sz w:val="26"/>
          <w:szCs w:val="26"/>
        </w:rPr>
        <w:t xml:space="preserve"> is suspending implementation of its pipeline </w:t>
      </w:r>
      <w:r>
        <w:rPr>
          <w:color w:val="000000"/>
          <w:spacing w:val="-1"/>
          <w:sz w:val="26"/>
          <w:szCs w:val="26"/>
        </w:rPr>
        <w:t>b</w:t>
      </w:r>
      <w:r w:rsidRPr="00081C12">
        <w:rPr>
          <w:color w:val="000000"/>
          <w:spacing w:val="-1"/>
          <w:sz w:val="26"/>
          <w:szCs w:val="26"/>
        </w:rPr>
        <w:t>arcoding</w:t>
      </w:r>
      <w:r>
        <w:rPr>
          <w:color w:val="000000"/>
          <w:spacing w:val="-1"/>
          <w:sz w:val="26"/>
          <w:szCs w:val="26"/>
        </w:rPr>
        <w:t xml:space="preserve"> </w:t>
      </w:r>
      <w:r w:rsidRPr="00081C12">
        <w:rPr>
          <w:color w:val="000000"/>
          <w:spacing w:val="-1"/>
          <w:sz w:val="26"/>
          <w:szCs w:val="26"/>
        </w:rPr>
        <w:t xml:space="preserve">information technology program in </w:t>
      </w:r>
      <w:r w:rsidR="00FA47A5">
        <w:rPr>
          <w:color w:val="000000"/>
          <w:spacing w:val="-1"/>
          <w:sz w:val="26"/>
          <w:szCs w:val="26"/>
        </w:rPr>
        <w:t xml:space="preserve">its </w:t>
      </w:r>
      <w:r w:rsidR="003601B9">
        <w:rPr>
          <w:color w:val="000000"/>
          <w:spacing w:val="-1"/>
          <w:sz w:val="26"/>
          <w:szCs w:val="26"/>
        </w:rPr>
        <w:t>current</w:t>
      </w:r>
      <w:r w:rsidRPr="00081C12">
        <w:rPr>
          <w:color w:val="000000"/>
          <w:spacing w:val="-1"/>
          <w:sz w:val="26"/>
          <w:szCs w:val="26"/>
        </w:rPr>
        <w:t xml:space="preserve"> LTIIP</w:t>
      </w:r>
      <w:r w:rsidR="00FA47A5">
        <w:rPr>
          <w:color w:val="000000"/>
          <w:spacing w:val="-1"/>
          <w:sz w:val="26"/>
          <w:szCs w:val="26"/>
        </w:rPr>
        <w:t xml:space="preserve">.  That program </w:t>
      </w:r>
      <w:r w:rsidRPr="00081C12">
        <w:rPr>
          <w:color w:val="000000"/>
          <w:spacing w:val="-1"/>
          <w:sz w:val="26"/>
          <w:szCs w:val="26"/>
        </w:rPr>
        <w:t>includes investment</w:t>
      </w:r>
      <w:r>
        <w:rPr>
          <w:color w:val="000000"/>
          <w:spacing w:val="-1"/>
          <w:sz w:val="26"/>
          <w:szCs w:val="26"/>
        </w:rPr>
        <w:t xml:space="preserve"> </w:t>
      </w:r>
      <w:r w:rsidRPr="00081C12">
        <w:rPr>
          <w:color w:val="000000"/>
          <w:spacing w:val="-1"/>
          <w:sz w:val="26"/>
          <w:szCs w:val="26"/>
        </w:rPr>
        <w:t>in barcoding hardware, software, reading devices</w:t>
      </w:r>
      <w:r w:rsidR="003601B9">
        <w:rPr>
          <w:color w:val="000000"/>
          <w:spacing w:val="-1"/>
          <w:sz w:val="26"/>
          <w:szCs w:val="26"/>
        </w:rPr>
        <w:t>,</w:t>
      </w:r>
      <w:r w:rsidRPr="00081C12">
        <w:rPr>
          <w:color w:val="000000"/>
          <w:spacing w:val="-1"/>
          <w:sz w:val="26"/>
          <w:szCs w:val="26"/>
        </w:rPr>
        <w:t xml:space="preserve"> and the investment in barcodes affixed </w:t>
      </w:r>
      <w:r w:rsidRPr="00081C12">
        <w:rPr>
          <w:color w:val="000000"/>
          <w:spacing w:val="-1"/>
          <w:sz w:val="26"/>
          <w:szCs w:val="26"/>
        </w:rPr>
        <w:lastRenderedPageBreak/>
        <w:t>to</w:t>
      </w:r>
      <w:r>
        <w:rPr>
          <w:color w:val="000000"/>
          <w:spacing w:val="-1"/>
          <w:sz w:val="26"/>
          <w:szCs w:val="26"/>
        </w:rPr>
        <w:t xml:space="preserve"> </w:t>
      </w:r>
      <w:r w:rsidRPr="00081C12">
        <w:rPr>
          <w:color w:val="000000"/>
          <w:spacing w:val="-1"/>
          <w:sz w:val="26"/>
          <w:szCs w:val="26"/>
        </w:rPr>
        <w:t>DSIC-eligible plant.</w:t>
      </w:r>
      <w:r w:rsidR="00B9207F">
        <w:rPr>
          <w:color w:val="000000"/>
          <w:spacing w:val="-1"/>
          <w:sz w:val="26"/>
          <w:szCs w:val="26"/>
        </w:rPr>
        <w:t xml:space="preserve"> </w:t>
      </w:r>
      <w:r w:rsidRPr="00081C12">
        <w:rPr>
          <w:color w:val="000000"/>
          <w:spacing w:val="-1"/>
          <w:sz w:val="26"/>
          <w:szCs w:val="26"/>
        </w:rPr>
        <w:t xml:space="preserve"> A proposed rulemaking</w:t>
      </w:r>
      <w:r w:rsidR="00E879B7">
        <w:rPr>
          <w:color w:val="000000"/>
          <w:spacing w:val="-1"/>
          <w:sz w:val="26"/>
          <w:szCs w:val="26"/>
        </w:rPr>
        <w:t xml:space="preserve"> </w:t>
      </w:r>
      <w:r w:rsidRPr="00081C12">
        <w:rPr>
          <w:color w:val="000000"/>
          <w:spacing w:val="-1"/>
          <w:sz w:val="26"/>
          <w:szCs w:val="26"/>
        </w:rPr>
        <w:t xml:space="preserve">of the </w:t>
      </w:r>
      <w:r w:rsidR="00DD41A6">
        <w:rPr>
          <w:color w:val="000000"/>
          <w:spacing w:val="-1"/>
          <w:sz w:val="26"/>
          <w:szCs w:val="26"/>
        </w:rPr>
        <w:t xml:space="preserve">Federal </w:t>
      </w:r>
      <w:r w:rsidRPr="00081C12">
        <w:rPr>
          <w:color w:val="000000"/>
          <w:spacing w:val="-1"/>
          <w:sz w:val="26"/>
          <w:szCs w:val="26"/>
        </w:rPr>
        <w:t>Department of Transportation’s Pipeline and</w:t>
      </w:r>
      <w:r>
        <w:rPr>
          <w:color w:val="000000"/>
          <w:spacing w:val="-1"/>
          <w:sz w:val="26"/>
          <w:szCs w:val="26"/>
        </w:rPr>
        <w:t xml:space="preserve"> </w:t>
      </w:r>
      <w:r w:rsidRPr="00081C12">
        <w:rPr>
          <w:color w:val="000000"/>
          <w:spacing w:val="-1"/>
          <w:sz w:val="26"/>
          <w:szCs w:val="26"/>
        </w:rPr>
        <w:t xml:space="preserve">Hazardous Materials Safety Administration </w:t>
      </w:r>
      <w:r w:rsidR="00DD41A6">
        <w:rPr>
          <w:color w:val="000000"/>
          <w:spacing w:val="-1"/>
          <w:sz w:val="26"/>
          <w:szCs w:val="26"/>
        </w:rPr>
        <w:t xml:space="preserve">(PHMSA) </w:t>
      </w:r>
      <w:r w:rsidRPr="00081C12">
        <w:rPr>
          <w:color w:val="000000"/>
          <w:spacing w:val="-1"/>
          <w:sz w:val="26"/>
          <w:szCs w:val="26"/>
        </w:rPr>
        <w:t>has created uncertainty around this subject matter,</w:t>
      </w:r>
      <w:r>
        <w:rPr>
          <w:color w:val="000000"/>
          <w:spacing w:val="-1"/>
          <w:sz w:val="26"/>
          <w:szCs w:val="26"/>
        </w:rPr>
        <w:t xml:space="preserve"> </w:t>
      </w:r>
      <w:r w:rsidRPr="00081C12">
        <w:rPr>
          <w:color w:val="000000"/>
          <w:spacing w:val="-1"/>
          <w:sz w:val="26"/>
          <w:szCs w:val="26"/>
        </w:rPr>
        <w:t xml:space="preserve">and </w:t>
      </w:r>
      <w:r>
        <w:rPr>
          <w:color w:val="000000"/>
          <w:spacing w:val="-1"/>
          <w:sz w:val="26"/>
          <w:szCs w:val="26"/>
        </w:rPr>
        <w:t>Peoples</w:t>
      </w:r>
      <w:r w:rsidRPr="00081C12">
        <w:rPr>
          <w:color w:val="000000"/>
          <w:spacing w:val="-1"/>
          <w:sz w:val="26"/>
          <w:szCs w:val="26"/>
        </w:rPr>
        <w:t xml:space="preserve"> proposes to defer its project until the uncertainty is removed</w:t>
      </w:r>
      <w:r w:rsidR="00050CEB">
        <w:rPr>
          <w:color w:val="000000"/>
          <w:spacing w:val="-1"/>
          <w:sz w:val="26"/>
          <w:szCs w:val="26"/>
        </w:rPr>
        <w:t>.</w:t>
      </w:r>
      <w:r w:rsidR="00DD41A6">
        <w:rPr>
          <w:rStyle w:val="FootnoteReference"/>
          <w:color w:val="000000"/>
          <w:spacing w:val="-1"/>
          <w:sz w:val="26"/>
          <w:szCs w:val="26"/>
        </w:rPr>
        <w:footnoteReference w:id="6"/>
      </w:r>
      <w:r>
        <w:rPr>
          <w:color w:val="000000"/>
          <w:spacing w:val="-1"/>
          <w:sz w:val="26"/>
          <w:szCs w:val="26"/>
        </w:rPr>
        <w:t xml:space="preserve"> </w:t>
      </w:r>
    </w:p>
    <w:p w:rsidR="00081C12" w:rsidRDefault="00081C12" w:rsidP="00081C12">
      <w:pPr>
        <w:widowControl/>
        <w:autoSpaceDE/>
        <w:autoSpaceDN/>
        <w:adjustRightInd/>
        <w:spacing w:line="360" w:lineRule="auto"/>
        <w:ind w:firstLine="1440"/>
        <w:textAlignment w:val="baseline"/>
        <w:rPr>
          <w:color w:val="000000"/>
          <w:spacing w:val="-1"/>
          <w:sz w:val="26"/>
          <w:szCs w:val="26"/>
        </w:rPr>
      </w:pPr>
    </w:p>
    <w:p w:rsidR="00081C12" w:rsidRDefault="00081C12" w:rsidP="00081C12">
      <w:pPr>
        <w:widowControl/>
        <w:autoSpaceDE/>
        <w:autoSpaceDN/>
        <w:adjustRightInd/>
        <w:spacing w:line="360" w:lineRule="auto"/>
        <w:ind w:firstLine="1440"/>
        <w:textAlignment w:val="baseline"/>
        <w:rPr>
          <w:color w:val="000000"/>
          <w:spacing w:val="-1"/>
          <w:sz w:val="26"/>
          <w:szCs w:val="26"/>
        </w:rPr>
      </w:pPr>
      <w:r>
        <w:rPr>
          <w:color w:val="000000"/>
          <w:spacing w:val="-1"/>
          <w:sz w:val="26"/>
          <w:szCs w:val="26"/>
        </w:rPr>
        <w:t xml:space="preserve">Second, Peoples </w:t>
      </w:r>
      <w:r w:rsidRPr="00081C12">
        <w:rPr>
          <w:color w:val="000000"/>
          <w:spacing w:val="-1"/>
          <w:sz w:val="26"/>
          <w:szCs w:val="26"/>
        </w:rPr>
        <w:t>is establishing a self-contained, in-house construction</w:t>
      </w:r>
      <w:r>
        <w:rPr>
          <w:color w:val="000000"/>
          <w:spacing w:val="-1"/>
          <w:sz w:val="26"/>
          <w:szCs w:val="26"/>
        </w:rPr>
        <w:t xml:space="preserve"> </w:t>
      </w:r>
      <w:r w:rsidRPr="00081C12">
        <w:rPr>
          <w:color w:val="000000"/>
          <w:spacing w:val="-1"/>
          <w:sz w:val="26"/>
          <w:szCs w:val="26"/>
        </w:rPr>
        <w:t xml:space="preserve">division (“Construction Division”) </w:t>
      </w:r>
      <w:r w:rsidR="003601B9">
        <w:rPr>
          <w:color w:val="000000"/>
          <w:spacing w:val="-1"/>
          <w:sz w:val="26"/>
          <w:szCs w:val="26"/>
        </w:rPr>
        <w:t>that</w:t>
      </w:r>
      <w:r w:rsidR="003601B9" w:rsidRPr="00081C12">
        <w:rPr>
          <w:color w:val="000000"/>
          <w:spacing w:val="-1"/>
          <w:sz w:val="26"/>
          <w:szCs w:val="26"/>
        </w:rPr>
        <w:t xml:space="preserve"> </w:t>
      </w:r>
      <w:r w:rsidRPr="00081C12">
        <w:rPr>
          <w:color w:val="000000"/>
          <w:spacing w:val="-1"/>
          <w:sz w:val="26"/>
          <w:szCs w:val="26"/>
        </w:rPr>
        <w:t>by the end of 2016 will perform all pipeline</w:t>
      </w:r>
      <w:r>
        <w:rPr>
          <w:color w:val="000000"/>
          <w:spacing w:val="-1"/>
          <w:sz w:val="26"/>
          <w:szCs w:val="26"/>
        </w:rPr>
        <w:t xml:space="preserve"> </w:t>
      </w:r>
      <w:r w:rsidRPr="00081C12">
        <w:rPr>
          <w:color w:val="000000"/>
          <w:spacing w:val="-1"/>
          <w:sz w:val="26"/>
          <w:szCs w:val="26"/>
        </w:rPr>
        <w:t>construction related work, including but not limited to design, planning, construction and</w:t>
      </w:r>
      <w:r>
        <w:rPr>
          <w:color w:val="000000"/>
          <w:spacing w:val="-1"/>
          <w:sz w:val="26"/>
          <w:szCs w:val="26"/>
        </w:rPr>
        <w:t xml:space="preserve"> </w:t>
      </w:r>
      <w:r w:rsidRPr="00081C12">
        <w:rPr>
          <w:color w:val="000000"/>
          <w:spacing w:val="-1"/>
          <w:sz w:val="26"/>
          <w:szCs w:val="26"/>
        </w:rPr>
        <w:t xml:space="preserve">restoration. </w:t>
      </w:r>
      <w:r w:rsidR="00B9207F">
        <w:rPr>
          <w:color w:val="000000"/>
          <w:spacing w:val="-1"/>
          <w:sz w:val="26"/>
          <w:szCs w:val="26"/>
        </w:rPr>
        <w:t xml:space="preserve"> </w:t>
      </w:r>
      <w:r w:rsidR="003601B9">
        <w:rPr>
          <w:color w:val="000000"/>
          <w:spacing w:val="-1"/>
          <w:sz w:val="26"/>
          <w:szCs w:val="26"/>
        </w:rPr>
        <w:t>Peoples avers t</w:t>
      </w:r>
      <w:r w:rsidRPr="00081C12">
        <w:rPr>
          <w:color w:val="000000"/>
          <w:spacing w:val="-1"/>
          <w:sz w:val="26"/>
          <w:szCs w:val="26"/>
        </w:rPr>
        <w:t>he move to an in-house staffed Construction Division will maximize the overall</w:t>
      </w:r>
      <w:r>
        <w:rPr>
          <w:color w:val="000000"/>
          <w:spacing w:val="-1"/>
          <w:sz w:val="26"/>
          <w:szCs w:val="26"/>
        </w:rPr>
        <w:t xml:space="preserve"> </w:t>
      </w:r>
      <w:r w:rsidRPr="00081C12">
        <w:rPr>
          <w:color w:val="000000"/>
          <w:spacing w:val="-1"/>
          <w:sz w:val="26"/>
          <w:szCs w:val="26"/>
        </w:rPr>
        <w:t>quality of LTIIP construction (“Capital Work”) by reducing the “planning to restoration”</w:t>
      </w:r>
      <w:r>
        <w:rPr>
          <w:color w:val="000000"/>
          <w:spacing w:val="-1"/>
          <w:sz w:val="26"/>
          <w:szCs w:val="26"/>
        </w:rPr>
        <w:t xml:space="preserve"> </w:t>
      </w:r>
      <w:r w:rsidRPr="00081C12">
        <w:rPr>
          <w:color w:val="000000"/>
          <w:spacing w:val="-1"/>
          <w:sz w:val="26"/>
          <w:szCs w:val="26"/>
        </w:rPr>
        <w:t xml:space="preserve">construction cycle time and </w:t>
      </w:r>
      <w:r w:rsidR="003601B9" w:rsidRPr="00081C12">
        <w:rPr>
          <w:color w:val="000000"/>
          <w:spacing w:val="-1"/>
          <w:sz w:val="26"/>
          <w:szCs w:val="26"/>
        </w:rPr>
        <w:t>improv</w:t>
      </w:r>
      <w:r w:rsidR="00DD41A6">
        <w:rPr>
          <w:color w:val="000000"/>
          <w:spacing w:val="-1"/>
          <w:sz w:val="26"/>
          <w:szCs w:val="26"/>
        </w:rPr>
        <w:t>ing</w:t>
      </w:r>
      <w:r w:rsidR="003601B9" w:rsidRPr="00081C12">
        <w:rPr>
          <w:color w:val="000000"/>
          <w:spacing w:val="-1"/>
          <w:sz w:val="26"/>
          <w:szCs w:val="26"/>
        </w:rPr>
        <w:t xml:space="preserve"> </w:t>
      </w:r>
      <w:r w:rsidRPr="00081C12">
        <w:rPr>
          <w:color w:val="000000"/>
          <w:spacing w:val="-1"/>
          <w:sz w:val="26"/>
          <w:szCs w:val="26"/>
        </w:rPr>
        <w:t>the efficiency and operating costs of all construction</w:t>
      </w:r>
      <w:r>
        <w:rPr>
          <w:color w:val="000000"/>
          <w:spacing w:val="-1"/>
          <w:sz w:val="26"/>
          <w:szCs w:val="26"/>
        </w:rPr>
        <w:t xml:space="preserve"> </w:t>
      </w:r>
      <w:r w:rsidRPr="00081C12">
        <w:rPr>
          <w:color w:val="000000"/>
          <w:spacing w:val="-1"/>
          <w:sz w:val="26"/>
          <w:szCs w:val="26"/>
        </w:rPr>
        <w:t>activities.</w:t>
      </w:r>
      <w:r w:rsidR="00B9207F">
        <w:rPr>
          <w:color w:val="000000"/>
          <w:spacing w:val="-1"/>
          <w:sz w:val="26"/>
          <w:szCs w:val="26"/>
        </w:rPr>
        <w:t xml:space="preserve"> </w:t>
      </w:r>
      <w:r w:rsidRPr="00081C12">
        <w:rPr>
          <w:color w:val="000000"/>
          <w:spacing w:val="-1"/>
          <w:sz w:val="26"/>
          <w:szCs w:val="26"/>
        </w:rPr>
        <w:t xml:space="preserve"> Due to the very large upfront expenditures that are required to equip and set up the in</w:t>
      </w:r>
      <w:r>
        <w:rPr>
          <w:color w:val="000000"/>
          <w:spacing w:val="-1"/>
          <w:sz w:val="26"/>
          <w:szCs w:val="26"/>
        </w:rPr>
        <w:t>-</w:t>
      </w:r>
      <w:r w:rsidRPr="00081C12">
        <w:rPr>
          <w:color w:val="000000"/>
          <w:spacing w:val="-1"/>
          <w:sz w:val="26"/>
          <w:szCs w:val="26"/>
        </w:rPr>
        <w:t>house</w:t>
      </w:r>
      <w:r>
        <w:rPr>
          <w:color w:val="000000"/>
          <w:spacing w:val="-1"/>
          <w:sz w:val="26"/>
          <w:szCs w:val="26"/>
        </w:rPr>
        <w:t xml:space="preserve"> </w:t>
      </w:r>
      <w:r w:rsidRPr="00081C12">
        <w:rPr>
          <w:color w:val="000000"/>
          <w:spacing w:val="-1"/>
          <w:sz w:val="26"/>
          <w:szCs w:val="26"/>
        </w:rPr>
        <w:t xml:space="preserve">Construction Division, </w:t>
      </w:r>
      <w:r>
        <w:rPr>
          <w:color w:val="000000"/>
          <w:spacing w:val="-1"/>
          <w:sz w:val="26"/>
          <w:szCs w:val="26"/>
        </w:rPr>
        <w:t>Peoples</w:t>
      </w:r>
      <w:r w:rsidRPr="00081C12">
        <w:rPr>
          <w:color w:val="000000"/>
          <w:spacing w:val="-1"/>
          <w:sz w:val="26"/>
          <w:szCs w:val="26"/>
        </w:rPr>
        <w:t xml:space="preserve"> is requesting approval to include all of these upfront</w:t>
      </w:r>
      <w:r>
        <w:rPr>
          <w:color w:val="000000"/>
          <w:spacing w:val="-1"/>
          <w:sz w:val="26"/>
          <w:szCs w:val="26"/>
        </w:rPr>
        <w:t xml:space="preserve"> </w:t>
      </w:r>
      <w:r w:rsidRPr="00081C12">
        <w:rPr>
          <w:color w:val="000000"/>
          <w:spacing w:val="-1"/>
          <w:sz w:val="26"/>
          <w:szCs w:val="26"/>
        </w:rPr>
        <w:t>expenditures as an approved LTIIP expenditure category for 2015 – 2017.</w:t>
      </w:r>
      <w:r>
        <w:rPr>
          <w:color w:val="000000"/>
          <w:spacing w:val="-1"/>
          <w:sz w:val="26"/>
          <w:szCs w:val="26"/>
        </w:rPr>
        <w:t xml:space="preserve"> </w:t>
      </w:r>
    </w:p>
    <w:p w:rsidR="00081C12" w:rsidRDefault="00081C12" w:rsidP="00081C12">
      <w:pPr>
        <w:widowControl/>
        <w:autoSpaceDE/>
        <w:autoSpaceDN/>
        <w:adjustRightInd/>
        <w:spacing w:line="360" w:lineRule="auto"/>
        <w:ind w:firstLine="1440"/>
        <w:textAlignment w:val="baseline"/>
        <w:rPr>
          <w:color w:val="000000"/>
          <w:spacing w:val="-1"/>
          <w:sz w:val="26"/>
          <w:szCs w:val="26"/>
        </w:rPr>
      </w:pPr>
    </w:p>
    <w:p w:rsidR="00081C12" w:rsidRDefault="00081C12" w:rsidP="00081C12">
      <w:pPr>
        <w:widowControl/>
        <w:autoSpaceDE/>
        <w:autoSpaceDN/>
        <w:adjustRightInd/>
        <w:spacing w:line="360" w:lineRule="auto"/>
        <w:ind w:firstLine="1440"/>
        <w:textAlignment w:val="baseline"/>
        <w:rPr>
          <w:color w:val="000000"/>
          <w:spacing w:val="-1"/>
          <w:sz w:val="26"/>
          <w:szCs w:val="26"/>
        </w:rPr>
      </w:pPr>
      <w:r w:rsidRPr="00081C12">
        <w:rPr>
          <w:color w:val="000000"/>
          <w:spacing w:val="-1"/>
          <w:sz w:val="26"/>
          <w:szCs w:val="26"/>
        </w:rPr>
        <w:t xml:space="preserve">Third, </w:t>
      </w:r>
      <w:r>
        <w:rPr>
          <w:color w:val="000000"/>
          <w:spacing w:val="-1"/>
          <w:sz w:val="26"/>
          <w:szCs w:val="26"/>
        </w:rPr>
        <w:t>Peoples</w:t>
      </w:r>
      <w:r w:rsidRPr="00081C12">
        <w:rPr>
          <w:color w:val="000000"/>
          <w:spacing w:val="-1"/>
          <w:sz w:val="26"/>
          <w:szCs w:val="26"/>
        </w:rPr>
        <w:t xml:space="preserve"> is refocusing its infrastructure replacement more in the</w:t>
      </w:r>
      <w:r>
        <w:rPr>
          <w:color w:val="000000"/>
          <w:spacing w:val="-1"/>
          <w:sz w:val="26"/>
          <w:szCs w:val="26"/>
        </w:rPr>
        <w:t xml:space="preserve"> </w:t>
      </w:r>
      <w:r w:rsidRPr="00081C12">
        <w:rPr>
          <w:color w:val="000000"/>
          <w:spacing w:val="-1"/>
          <w:sz w:val="26"/>
          <w:szCs w:val="26"/>
        </w:rPr>
        <w:t>highly populated urban areas over the remaining term of the Revised LTIIP in order to further</w:t>
      </w:r>
      <w:r>
        <w:rPr>
          <w:color w:val="000000"/>
          <w:spacing w:val="-1"/>
          <w:sz w:val="26"/>
          <w:szCs w:val="26"/>
        </w:rPr>
        <w:t xml:space="preserve"> </w:t>
      </w:r>
      <w:r w:rsidRPr="00081C12">
        <w:rPr>
          <w:color w:val="000000"/>
          <w:spacing w:val="-1"/>
          <w:sz w:val="26"/>
          <w:szCs w:val="26"/>
        </w:rPr>
        <w:t>accelerate the reduction in overall system risk.</w:t>
      </w:r>
      <w:r w:rsidR="00B9207F">
        <w:rPr>
          <w:color w:val="000000"/>
          <w:spacing w:val="-1"/>
          <w:sz w:val="26"/>
          <w:szCs w:val="26"/>
        </w:rPr>
        <w:t xml:space="preserve"> </w:t>
      </w:r>
      <w:r w:rsidRPr="00081C12">
        <w:rPr>
          <w:color w:val="000000"/>
          <w:spacing w:val="-1"/>
          <w:sz w:val="26"/>
          <w:szCs w:val="26"/>
        </w:rPr>
        <w:t xml:space="preserve"> The majority of the refocused pipeline</w:t>
      </w:r>
      <w:r>
        <w:rPr>
          <w:color w:val="000000"/>
          <w:spacing w:val="-1"/>
          <w:sz w:val="26"/>
          <w:szCs w:val="26"/>
        </w:rPr>
        <w:t xml:space="preserve"> </w:t>
      </w:r>
      <w:r w:rsidRPr="00081C12">
        <w:rPr>
          <w:color w:val="000000"/>
          <w:spacing w:val="-1"/>
          <w:sz w:val="26"/>
          <w:szCs w:val="26"/>
        </w:rPr>
        <w:t>replacement work will occur in the City of Pittsburgh and surrounding Allegheny County where</w:t>
      </w:r>
      <w:r>
        <w:rPr>
          <w:color w:val="000000"/>
          <w:spacing w:val="-1"/>
          <w:sz w:val="26"/>
          <w:szCs w:val="26"/>
        </w:rPr>
        <w:t xml:space="preserve"> </w:t>
      </w:r>
      <w:r w:rsidRPr="00081C12">
        <w:rPr>
          <w:color w:val="000000"/>
          <w:spacing w:val="-1"/>
          <w:sz w:val="26"/>
          <w:szCs w:val="26"/>
        </w:rPr>
        <w:t>much of this area is served by the Equitable Division pipeline system and duplicative pipelines</w:t>
      </w:r>
      <w:r>
        <w:rPr>
          <w:color w:val="000000"/>
          <w:spacing w:val="-1"/>
          <w:sz w:val="26"/>
          <w:szCs w:val="26"/>
        </w:rPr>
        <w:t xml:space="preserve"> </w:t>
      </w:r>
      <w:r w:rsidRPr="00081C12">
        <w:rPr>
          <w:color w:val="000000"/>
          <w:spacing w:val="-1"/>
          <w:sz w:val="26"/>
          <w:szCs w:val="26"/>
        </w:rPr>
        <w:t>are more commonplace.</w:t>
      </w:r>
      <w:r w:rsidR="00B9207F">
        <w:rPr>
          <w:color w:val="000000"/>
          <w:spacing w:val="-1"/>
          <w:sz w:val="26"/>
          <w:szCs w:val="26"/>
        </w:rPr>
        <w:t xml:space="preserve"> </w:t>
      </w:r>
      <w:r w:rsidRPr="00081C12">
        <w:rPr>
          <w:color w:val="000000"/>
          <w:spacing w:val="-1"/>
          <w:sz w:val="26"/>
          <w:szCs w:val="26"/>
        </w:rPr>
        <w:t xml:space="preserve"> These changes will reduce the miles of pipe to be replaced in the</w:t>
      </w:r>
      <w:r>
        <w:rPr>
          <w:color w:val="000000"/>
          <w:spacing w:val="-1"/>
          <w:sz w:val="26"/>
          <w:szCs w:val="26"/>
        </w:rPr>
        <w:t xml:space="preserve"> </w:t>
      </w:r>
      <w:r w:rsidRPr="00081C12">
        <w:rPr>
          <w:color w:val="000000"/>
          <w:spacing w:val="-1"/>
          <w:sz w:val="26"/>
          <w:szCs w:val="26"/>
        </w:rPr>
        <w:t>remaining years covered by the LTIIP (2016 through 2019) as a result of the higher cost for</w:t>
      </w:r>
      <w:r>
        <w:rPr>
          <w:color w:val="000000"/>
          <w:spacing w:val="-1"/>
          <w:sz w:val="26"/>
          <w:szCs w:val="26"/>
        </w:rPr>
        <w:t xml:space="preserve"> </w:t>
      </w:r>
      <w:r w:rsidRPr="00081C12">
        <w:rPr>
          <w:color w:val="000000"/>
          <w:spacing w:val="-1"/>
          <w:sz w:val="26"/>
          <w:szCs w:val="26"/>
        </w:rPr>
        <w:t xml:space="preserve">pipeline replacements in urban areas. </w:t>
      </w:r>
      <w:r w:rsidR="00B9207F">
        <w:rPr>
          <w:color w:val="000000"/>
          <w:spacing w:val="-1"/>
          <w:sz w:val="26"/>
          <w:szCs w:val="26"/>
        </w:rPr>
        <w:t xml:space="preserve"> </w:t>
      </w:r>
      <w:r w:rsidR="0036789F">
        <w:rPr>
          <w:color w:val="000000"/>
          <w:spacing w:val="-1"/>
          <w:sz w:val="26"/>
          <w:szCs w:val="26"/>
        </w:rPr>
        <w:t>Peoples states that t</w:t>
      </w:r>
      <w:r w:rsidRPr="00081C12">
        <w:rPr>
          <w:color w:val="000000"/>
          <w:spacing w:val="-1"/>
          <w:sz w:val="26"/>
          <w:szCs w:val="26"/>
        </w:rPr>
        <w:t>his temporary reduction in miles of pipelines to be</w:t>
      </w:r>
      <w:r>
        <w:rPr>
          <w:color w:val="000000"/>
          <w:spacing w:val="-1"/>
          <w:sz w:val="26"/>
          <w:szCs w:val="26"/>
        </w:rPr>
        <w:t xml:space="preserve"> </w:t>
      </w:r>
      <w:r w:rsidRPr="00081C12">
        <w:rPr>
          <w:color w:val="000000"/>
          <w:spacing w:val="-1"/>
          <w:sz w:val="26"/>
          <w:szCs w:val="26"/>
        </w:rPr>
        <w:t xml:space="preserve">replaced will be </w:t>
      </w:r>
      <w:r w:rsidR="003601B9">
        <w:rPr>
          <w:color w:val="000000"/>
          <w:spacing w:val="-1"/>
          <w:sz w:val="26"/>
          <w:szCs w:val="26"/>
        </w:rPr>
        <w:t>addressed through</w:t>
      </w:r>
      <w:r w:rsidRPr="00081C12">
        <w:rPr>
          <w:color w:val="000000"/>
          <w:spacing w:val="-1"/>
          <w:sz w:val="26"/>
          <w:szCs w:val="26"/>
        </w:rPr>
        <w:t xml:space="preserve"> a larger increase in the miles of pipelines to be replaced during</w:t>
      </w:r>
      <w:r>
        <w:rPr>
          <w:color w:val="000000"/>
          <w:spacing w:val="-1"/>
          <w:sz w:val="26"/>
          <w:szCs w:val="26"/>
        </w:rPr>
        <w:t xml:space="preserve"> </w:t>
      </w:r>
      <w:r w:rsidRPr="00081C12">
        <w:rPr>
          <w:color w:val="000000"/>
          <w:spacing w:val="-1"/>
          <w:sz w:val="26"/>
          <w:szCs w:val="26"/>
        </w:rPr>
        <w:t>future periods in succeeding LTIIP submissions when a higher proportion of replacements will</w:t>
      </w:r>
      <w:r>
        <w:rPr>
          <w:color w:val="000000"/>
          <w:spacing w:val="-1"/>
          <w:sz w:val="26"/>
          <w:szCs w:val="26"/>
        </w:rPr>
        <w:t xml:space="preserve"> </w:t>
      </w:r>
      <w:r w:rsidRPr="00081C12">
        <w:rPr>
          <w:color w:val="000000"/>
          <w:spacing w:val="-1"/>
          <w:sz w:val="26"/>
          <w:szCs w:val="26"/>
        </w:rPr>
        <w:t>be in non-urban areas and the cost per mile of replacement is considerably lower.</w:t>
      </w:r>
    </w:p>
    <w:p w:rsidR="00081C12" w:rsidRDefault="00081C12" w:rsidP="00081C12">
      <w:pPr>
        <w:widowControl/>
        <w:autoSpaceDE/>
        <w:autoSpaceDN/>
        <w:adjustRightInd/>
        <w:spacing w:line="360" w:lineRule="auto"/>
        <w:ind w:firstLine="1440"/>
        <w:textAlignment w:val="baseline"/>
        <w:rPr>
          <w:color w:val="000000"/>
          <w:spacing w:val="-1"/>
          <w:sz w:val="26"/>
          <w:szCs w:val="26"/>
        </w:rPr>
      </w:pPr>
      <w:r w:rsidRPr="00081C12">
        <w:rPr>
          <w:color w:val="000000"/>
          <w:spacing w:val="-1"/>
          <w:sz w:val="26"/>
          <w:szCs w:val="26"/>
        </w:rPr>
        <w:lastRenderedPageBreak/>
        <w:t xml:space="preserve">Fourth, in its original LTIIP </w:t>
      </w:r>
      <w:r w:rsidR="003601B9">
        <w:rPr>
          <w:color w:val="000000"/>
          <w:spacing w:val="-1"/>
          <w:sz w:val="26"/>
          <w:szCs w:val="26"/>
        </w:rPr>
        <w:t>approved in 2013</w:t>
      </w:r>
      <w:r w:rsidRPr="00081C12">
        <w:rPr>
          <w:color w:val="000000"/>
          <w:spacing w:val="-1"/>
          <w:sz w:val="26"/>
          <w:szCs w:val="26"/>
        </w:rPr>
        <w:t>, Peoples</w:t>
      </w:r>
      <w:r>
        <w:rPr>
          <w:color w:val="000000"/>
          <w:spacing w:val="-1"/>
          <w:sz w:val="26"/>
          <w:szCs w:val="26"/>
        </w:rPr>
        <w:t xml:space="preserve"> </w:t>
      </w:r>
      <w:r w:rsidRPr="00081C12">
        <w:rPr>
          <w:color w:val="000000"/>
          <w:spacing w:val="-1"/>
          <w:sz w:val="26"/>
          <w:szCs w:val="26"/>
        </w:rPr>
        <w:t xml:space="preserve">received </w:t>
      </w:r>
      <w:r w:rsidR="00295110">
        <w:rPr>
          <w:color w:val="000000"/>
          <w:spacing w:val="-1"/>
          <w:sz w:val="26"/>
          <w:szCs w:val="26"/>
        </w:rPr>
        <w:t>C</w:t>
      </w:r>
      <w:r w:rsidRPr="00081C12">
        <w:rPr>
          <w:color w:val="000000"/>
          <w:spacing w:val="-1"/>
          <w:sz w:val="26"/>
          <w:szCs w:val="26"/>
        </w:rPr>
        <w:t>ommission approval for the inclusion of special meter technology as a LTIIP category.</w:t>
      </w:r>
      <w:r w:rsidR="00B9207F">
        <w:rPr>
          <w:color w:val="000000"/>
          <w:spacing w:val="-1"/>
          <w:sz w:val="26"/>
          <w:szCs w:val="26"/>
        </w:rPr>
        <w:t xml:space="preserve"> </w:t>
      </w:r>
      <w:r>
        <w:rPr>
          <w:color w:val="000000"/>
          <w:spacing w:val="-1"/>
          <w:sz w:val="26"/>
          <w:szCs w:val="26"/>
        </w:rPr>
        <w:t xml:space="preserve"> </w:t>
      </w:r>
      <w:r w:rsidRPr="00081C12">
        <w:rPr>
          <w:color w:val="000000"/>
          <w:spacing w:val="-1"/>
          <w:sz w:val="26"/>
          <w:szCs w:val="26"/>
        </w:rPr>
        <w:t>However, at that time Peoples had no specific, proposed meter technology program to list in its</w:t>
      </w:r>
      <w:r>
        <w:rPr>
          <w:color w:val="000000"/>
          <w:spacing w:val="-1"/>
          <w:sz w:val="26"/>
          <w:szCs w:val="26"/>
        </w:rPr>
        <w:t xml:space="preserve"> </w:t>
      </w:r>
      <w:r w:rsidRPr="00081C12">
        <w:rPr>
          <w:color w:val="000000"/>
          <w:spacing w:val="-1"/>
          <w:sz w:val="26"/>
          <w:szCs w:val="26"/>
        </w:rPr>
        <w:t>LTIIP and indicated that during the initial years of the LTIIP it planned to study the deployment</w:t>
      </w:r>
      <w:r>
        <w:rPr>
          <w:color w:val="000000"/>
          <w:spacing w:val="-1"/>
          <w:sz w:val="26"/>
          <w:szCs w:val="26"/>
        </w:rPr>
        <w:t xml:space="preserve"> </w:t>
      </w:r>
      <w:r w:rsidRPr="00081C12">
        <w:rPr>
          <w:color w:val="000000"/>
          <w:spacing w:val="-1"/>
          <w:sz w:val="26"/>
          <w:szCs w:val="26"/>
        </w:rPr>
        <w:t xml:space="preserve">of </w:t>
      </w:r>
      <w:r w:rsidR="003601B9">
        <w:rPr>
          <w:color w:val="000000"/>
          <w:spacing w:val="-1"/>
          <w:sz w:val="26"/>
          <w:szCs w:val="26"/>
        </w:rPr>
        <w:t>automated meter reading (</w:t>
      </w:r>
      <w:r w:rsidRPr="00081C12">
        <w:rPr>
          <w:color w:val="000000"/>
          <w:spacing w:val="-1"/>
          <w:sz w:val="26"/>
          <w:szCs w:val="26"/>
        </w:rPr>
        <w:t>AMR</w:t>
      </w:r>
      <w:r w:rsidR="003601B9">
        <w:rPr>
          <w:color w:val="000000"/>
          <w:spacing w:val="-1"/>
          <w:sz w:val="26"/>
          <w:szCs w:val="26"/>
        </w:rPr>
        <w:t>)</w:t>
      </w:r>
      <w:r w:rsidRPr="00081C12">
        <w:rPr>
          <w:color w:val="000000"/>
          <w:spacing w:val="-1"/>
          <w:sz w:val="26"/>
          <w:szCs w:val="26"/>
        </w:rPr>
        <w:t xml:space="preserve"> technology.</w:t>
      </w:r>
      <w:r w:rsidR="00B9207F">
        <w:rPr>
          <w:color w:val="000000"/>
          <w:spacing w:val="-1"/>
          <w:sz w:val="26"/>
          <w:szCs w:val="26"/>
        </w:rPr>
        <w:t xml:space="preserve"> </w:t>
      </w:r>
      <w:r w:rsidRPr="00081C12">
        <w:rPr>
          <w:color w:val="000000"/>
          <w:spacing w:val="-1"/>
          <w:sz w:val="26"/>
          <w:szCs w:val="26"/>
        </w:rPr>
        <w:t xml:space="preserve"> Peoples is now presenting its plan for a five-year program that will run</w:t>
      </w:r>
      <w:r>
        <w:rPr>
          <w:color w:val="000000"/>
          <w:spacing w:val="-1"/>
          <w:sz w:val="26"/>
          <w:szCs w:val="26"/>
        </w:rPr>
        <w:t xml:space="preserve"> </w:t>
      </w:r>
      <w:r w:rsidRPr="00081C12">
        <w:rPr>
          <w:color w:val="000000"/>
          <w:spacing w:val="-1"/>
          <w:sz w:val="26"/>
          <w:szCs w:val="26"/>
        </w:rPr>
        <w:t>from 2016 through 2020 through which it would retrofit Encoder Receiver Transmitters (ERTs)</w:t>
      </w:r>
      <w:r>
        <w:rPr>
          <w:color w:val="000000"/>
          <w:spacing w:val="-1"/>
          <w:sz w:val="26"/>
          <w:szCs w:val="26"/>
        </w:rPr>
        <w:t xml:space="preserve"> </w:t>
      </w:r>
      <w:r w:rsidRPr="00081C12">
        <w:rPr>
          <w:color w:val="000000"/>
          <w:spacing w:val="-1"/>
          <w:sz w:val="26"/>
          <w:szCs w:val="26"/>
        </w:rPr>
        <w:t>on all Peoples Division residential and commercial customer meters.</w:t>
      </w:r>
      <w:r w:rsidR="00B9207F">
        <w:rPr>
          <w:color w:val="000000"/>
          <w:spacing w:val="-1"/>
          <w:sz w:val="26"/>
          <w:szCs w:val="26"/>
        </w:rPr>
        <w:t xml:space="preserve"> </w:t>
      </w:r>
      <w:r w:rsidRPr="00081C12">
        <w:rPr>
          <w:color w:val="000000"/>
          <w:spacing w:val="-1"/>
          <w:sz w:val="26"/>
          <w:szCs w:val="26"/>
        </w:rPr>
        <w:t xml:space="preserve"> </w:t>
      </w:r>
      <w:r>
        <w:rPr>
          <w:color w:val="000000"/>
          <w:spacing w:val="-1"/>
          <w:sz w:val="26"/>
          <w:szCs w:val="26"/>
        </w:rPr>
        <w:t>Peoples states that</w:t>
      </w:r>
      <w:r w:rsidRPr="00081C12">
        <w:rPr>
          <w:color w:val="000000"/>
          <w:spacing w:val="-1"/>
          <w:sz w:val="26"/>
          <w:szCs w:val="26"/>
        </w:rPr>
        <w:t xml:space="preserve"> implementation of the</w:t>
      </w:r>
      <w:r>
        <w:rPr>
          <w:color w:val="000000"/>
          <w:spacing w:val="-1"/>
          <w:sz w:val="26"/>
          <w:szCs w:val="26"/>
        </w:rPr>
        <w:t xml:space="preserve"> </w:t>
      </w:r>
      <w:r w:rsidRPr="00081C12">
        <w:rPr>
          <w:color w:val="000000"/>
          <w:spacing w:val="-1"/>
          <w:sz w:val="26"/>
          <w:szCs w:val="26"/>
        </w:rPr>
        <w:t>proposed special meter technology program will not reduce the miles of at-risk pipelines to be</w:t>
      </w:r>
      <w:r>
        <w:rPr>
          <w:color w:val="000000"/>
          <w:spacing w:val="-1"/>
          <w:sz w:val="26"/>
          <w:szCs w:val="26"/>
        </w:rPr>
        <w:t xml:space="preserve"> </w:t>
      </w:r>
      <w:r w:rsidRPr="00081C12">
        <w:rPr>
          <w:color w:val="000000"/>
          <w:spacing w:val="-1"/>
          <w:sz w:val="26"/>
          <w:szCs w:val="26"/>
        </w:rPr>
        <w:t xml:space="preserve">removed </w:t>
      </w:r>
      <w:r w:rsidR="003601B9">
        <w:rPr>
          <w:color w:val="000000"/>
          <w:spacing w:val="-1"/>
          <w:sz w:val="26"/>
          <w:szCs w:val="26"/>
        </w:rPr>
        <w:t>as outlined</w:t>
      </w:r>
      <w:r w:rsidRPr="00081C12">
        <w:rPr>
          <w:color w:val="000000"/>
          <w:spacing w:val="-1"/>
          <w:sz w:val="26"/>
          <w:szCs w:val="26"/>
        </w:rPr>
        <w:t xml:space="preserve"> in the </w:t>
      </w:r>
      <w:r w:rsidR="00107B31" w:rsidRPr="00081C12">
        <w:rPr>
          <w:color w:val="000000"/>
          <w:spacing w:val="-1"/>
          <w:sz w:val="26"/>
          <w:szCs w:val="26"/>
        </w:rPr>
        <w:t>current</w:t>
      </w:r>
      <w:r w:rsidR="00107B31">
        <w:rPr>
          <w:color w:val="000000"/>
          <w:spacing w:val="-1"/>
          <w:sz w:val="26"/>
          <w:szCs w:val="26"/>
        </w:rPr>
        <w:t xml:space="preserve"> </w:t>
      </w:r>
      <w:r w:rsidR="00107B31" w:rsidRPr="00081C12">
        <w:rPr>
          <w:color w:val="000000"/>
          <w:spacing w:val="-1"/>
          <w:sz w:val="26"/>
          <w:szCs w:val="26"/>
        </w:rPr>
        <w:t>LTIIP</w:t>
      </w:r>
      <w:r w:rsidR="003601B9">
        <w:rPr>
          <w:color w:val="000000"/>
          <w:spacing w:val="-1"/>
          <w:sz w:val="26"/>
          <w:szCs w:val="26"/>
        </w:rPr>
        <w:t>.  Peoples states they</w:t>
      </w:r>
      <w:r w:rsidRPr="00081C12">
        <w:rPr>
          <w:color w:val="000000"/>
          <w:spacing w:val="-1"/>
          <w:sz w:val="26"/>
          <w:szCs w:val="26"/>
        </w:rPr>
        <w:t xml:space="preserve"> will fund the</w:t>
      </w:r>
      <w:r>
        <w:rPr>
          <w:color w:val="000000"/>
          <w:spacing w:val="-1"/>
          <w:sz w:val="26"/>
          <w:szCs w:val="26"/>
        </w:rPr>
        <w:t xml:space="preserve"> </w:t>
      </w:r>
      <w:r w:rsidRPr="00081C12">
        <w:rPr>
          <w:color w:val="000000"/>
          <w:spacing w:val="-1"/>
          <w:sz w:val="26"/>
          <w:szCs w:val="26"/>
        </w:rPr>
        <w:t>project with LTIIP dollars transferred from the suspended bar coding technology initiative and</w:t>
      </w:r>
      <w:r>
        <w:rPr>
          <w:color w:val="000000"/>
          <w:spacing w:val="-1"/>
          <w:sz w:val="26"/>
          <w:szCs w:val="26"/>
        </w:rPr>
        <w:t xml:space="preserve"> </w:t>
      </w:r>
      <w:r w:rsidRPr="00081C12">
        <w:rPr>
          <w:color w:val="000000"/>
          <w:spacing w:val="-1"/>
          <w:sz w:val="26"/>
          <w:szCs w:val="26"/>
        </w:rPr>
        <w:t>use savings generated from eliminating</w:t>
      </w:r>
      <w:r w:rsidR="003601B9">
        <w:rPr>
          <w:color w:val="000000"/>
          <w:spacing w:val="-1"/>
          <w:sz w:val="26"/>
          <w:szCs w:val="26"/>
        </w:rPr>
        <w:t>,</w:t>
      </w:r>
      <w:r w:rsidRPr="00081C12">
        <w:rPr>
          <w:color w:val="000000"/>
          <w:spacing w:val="-1"/>
          <w:sz w:val="26"/>
          <w:szCs w:val="26"/>
        </w:rPr>
        <w:t xml:space="preserve"> rather than replacing</w:t>
      </w:r>
      <w:r w:rsidR="003601B9">
        <w:rPr>
          <w:color w:val="000000"/>
          <w:spacing w:val="-1"/>
          <w:sz w:val="26"/>
          <w:szCs w:val="26"/>
        </w:rPr>
        <w:t>,</w:t>
      </w:r>
      <w:r w:rsidRPr="00081C12">
        <w:rPr>
          <w:color w:val="000000"/>
          <w:spacing w:val="-1"/>
          <w:sz w:val="26"/>
          <w:szCs w:val="26"/>
        </w:rPr>
        <w:t xml:space="preserve"> duplicative pipelines.</w:t>
      </w:r>
    </w:p>
    <w:p w:rsidR="00081C12" w:rsidRPr="00081C12" w:rsidRDefault="00081C12" w:rsidP="00081C12">
      <w:pPr>
        <w:widowControl/>
        <w:autoSpaceDE/>
        <w:autoSpaceDN/>
        <w:adjustRightInd/>
        <w:spacing w:line="360" w:lineRule="auto"/>
        <w:ind w:firstLine="1440"/>
        <w:textAlignment w:val="baseline"/>
        <w:rPr>
          <w:color w:val="000000"/>
          <w:spacing w:val="-1"/>
          <w:sz w:val="26"/>
          <w:szCs w:val="26"/>
        </w:rPr>
      </w:pPr>
    </w:p>
    <w:p w:rsidR="00081C12" w:rsidRDefault="00081C12" w:rsidP="00081C12">
      <w:pPr>
        <w:widowControl/>
        <w:autoSpaceDE/>
        <w:autoSpaceDN/>
        <w:adjustRightInd/>
        <w:spacing w:line="360" w:lineRule="auto"/>
        <w:ind w:firstLine="1440"/>
        <w:textAlignment w:val="baseline"/>
        <w:rPr>
          <w:color w:val="000000"/>
          <w:spacing w:val="-1"/>
          <w:sz w:val="26"/>
          <w:szCs w:val="26"/>
        </w:rPr>
      </w:pPr>
      <w:r w:rsidRPr="00081C12">
        <w:rPr>
          <w:color w:val="000000"/>
          <w:spacing w:val="-1"/>
          <w:sz w:val="26"/>
          <w:szCs w:val="26"/>
        </w:rPr>
        <w:t>Fifth, Peoples is proposing to add a new category to its LTIIP for Measurement</w:t>
      </w:r>
      <w:r>
        <w:rPr>
          <w:color w:val="000000"/>
          <w:spacing w:val="-1"/>
          <w:sz w:val="26"/>
          <w:szCs w:val="26"/>
        </w:rPr>
        <w:t xml:space="preserve"> </w:t>
      </w:r>
      <w:r w:rsidRPr="00081C12">
        <w:rPr>
          <w:color w:val="000000"/>
          <w:spacing w:val="-1"/>
          <w:sz w:val="26"/>
          <w:szCs w:val="26"/>
        </w:rPr>
        <w:t>and Regulator Station (“M&amp;R”) upgrades and improvements for both the Peoples Division and</w:t>
      </w:r>
      <w:r>
        <w:rPr>
          <w:color w:val="000000"/>
          <w:spacing w:val="-1"/>
          <w:sz w:val="26"/>
          <w:szCs w:val="26"/>
        </w:rPr>
        <w:t xml:space="preserve"> </w:t>
      </w:r>
      <w:r w:rsidRPr="00081C12">
        <w:rPr>
          <w:color w:val="000000"/>
          <w:spacing w:val="-1"/>
          <w:sz w:val="26"/>
          <w:szCs w:val="26"/>
        </w:rPr>
        <w:t xml:space="preserve">Equitable Division. </w:t>
      </w:r>
      <w:r w:rsidR="00B9207F">
        <w:rPr>
          <w:color w:val="000000"/>
          <w:spacing w:val="-1"/>
          <w:sz w:val="26"/>
          <w:szCs w:val="26"/>
        </w:rPr>
        <w:t xml:space="preserve"> </w:t>
      </w:r>
      <w:r>
        <w:rPr>
          <w:color w:val="000000"/>
          <w:spacing w:val="-1"/>
          <w:sz w:val="26"/>
          <w:szCs w:val="26"/>
        </w:rPr>
        <w:t>Peoples explains that t</w:t>
      </w:r>
      <w:r w:rsidRPr="00081C12">
        <w:rPr>
          <w:color w:val="000000"/>
          <w:spacing w:val="-1"/>
          <w:sz w:val="26"/>
          <w:szCs w:val="26"/>
        </w:rPr>
        <w:t>hese projects will address age, obsolescence, malfunctions,</w:t>
      </w:r>
      <w:r>
        <w:rPr>
          <w:color w:val="000000"/>
          <w:spacing w:val="-1"/>
          <w:sz w:val="26"/>
          <w:szCs w:val="26"/>
        </w:rPr>
        <w:t xml:space="preserve"> </w:t>
      </w:r>
      <w:r w:rsidRPr="00081C12">
        <w:rPr>
          <w:color w:val="000000"/>
          <w:spacing w:val="-1"/>
          <w:sz w:val="26"/>
          <w:szCs w:val="26"/>
        </w:rPr>
        <w:t xml:space="preserve">resizing, system operating pressure changes and performance/reliability issues at </w:t>
      </w:r>
      <w:r w:rsidR="00DD41A6">
        <w:rPr>
          <w:color w:val="000000"/>
          <w:spacing w:val="-1"/>
          <w:sz w:val="26"/>
          <w:szCs w:val="26"/>
        </w:rPr>
        <w:t xml:space="preserve">6 </w:t>
      </w:r>
      <w:r w:rsidRPr="00081C12">
        <w:rPr>
          <w:color w:val="000000"/>
          <w:spacing w:val="-1"/>
          <w:sz w:val="26"/>
          <w:szCs w:val="26"/>
        </w:rPr>
        <w:t>existing</w:t>
      </w:r>
      <w:r>
        <w:rPr>
          <w:color w:val="000000"/>
          <w:spacing w:val="-1"/>
          <w:sz w:val="26"/>
          <w:szCs w:val="26"/>
        </w:rPr>
        <w:t xml:space="preserve">  </w:t>
      </w:r>
      <w:r w:rsidRPr="00081C12">
        <w:rPr>
          <w:color w:val="000000"/>
          <w:spacing w:val="-1"/>
          <w:sz w:val="26"/>
          <w:szCs w:val="26"/>
        </w:rPr>
        <w:t xml:space="preserve">stations and will </w:t>
      </w:r>
      <w:r w:rsidR="003601B9">
        <w:rPr>
          <w:color w:val="000000"/>
          <w:spacing w:val="-1"/>
          <w:sz w:val="26"/>
          <w:szCs w:val="26"/>
        </w:rPr>
        <w:t xml:space="preserve">also </w:t>
      </w:r>
      <w:r w:rsidRPr="00081C12">
        <w:rPr>
          <w:color w:val="000000"/>
          <w:spacing w:val="-1"/>
          <w:sz w:val="26"/>
          <w:szCs w:val="26"/>
        </w:rPr>
        <w:t xml:space="preserve">help to ensure safe and continued reliable gas service. </w:t>
      </w:r>
      <w:r w:rsidR="00B9207F">
        <w:rPr>
          <w:color w:val="000000"/>
          <w:spacing w:val="-1"/>
          <w:sz w:val="26"/>
          <w:szCs w:val="26"/>
        </w:rPr>
        <w:t xml:space="preserve"> </w:t>
      </w:r>
      <w:r w:rsidR="003601B9">
        <w:rPr>
          <w:color w:val="000000"/>
          <w:spacing w:val="-1"/>
          <w:sz w:val="26"/>
          <w:szCs w:val="26"/>
        </w:rPr>
        <w:t xml:space="preserve">As with </w:t>
      </w:r>
      <w:r w:rsidRPr="00081C12">
        <w:rPr>
          <w:color w:val="000000"/>
          <w:spacing w:val="-1"/>
          <w:sz w:val="26"/>
          <w:szCs w:val="26"/>
        </w:rPr>
        <w:t>the expenditures for</w:t>
      </w:r>
      <w:r>
        <w:rPr>
          <w:color w:val="000000"/>
          <w:spacing w:val="-1"/>
          <w:sz w:val="26"/>
          <w:szCs w:val="26"/>
        </w:rPr>
        <w:t xml:space="preserve"> </w:t>
      </w:r>
      <w:r w:rsidRPr="00081C12">
        <w:rPr>
          <w:color w:val="000000"/>
          <w:spacing w:val="-1"/>
          <w:sz w:val="26"/>
          <w:szCs w:val="26"/>
        </w:rPr>
        <w:t xml:space="preserve">the meter technology program, </w:t>
      </w:r>
      <w:r w:rsidR="003601B9">
        <w:rPr>
          <w:color w:val="000000"/>
          <w:spacing w:val="-1"/>
          <w:sz w:val="26"/>
          <w:szCs w:val="26"/>
        </w:rPr>
        <w:t xml:space="preserve">Peoples proposes to fund </w:t>
      </w:r>
      <w:r w:rsidRPr="00081C12">
        <w:rPr>
          <w:color w:val="000000"/>
          <w:spacing w:val="-1"/>
          <w:sz w:val="26"/>
          <w:szCs w:val="26"/>
        </w:rPr>
        <w:t>this new M&amp;R category with LTIIP dollars saved</w:t>
      </w:r>
      <w:r>
        <w:rPr>
          <w:color w:val="000000"/>
          <w:spacing w:val="-1"/>
          <w:sz w:val="26"/>
          <w:szCs w:val="26"/>
        </w:rPr>
        <w:t xml:space="preserve"> </w:t>
      </w:r>
      <w:r w:rsidRPr="00081C12">
        <w:rPr>
          <w:color w:val="000000"/>
          <w:spacing w:val="-1"/>
          <w:sz w:val="26"/>
          <w:szCs w:val="26"/>
        </w:rPr>
        <w:t>from the suspension of the bar coding technology initiative and saved from eliminating</w:t>
      </w:r>
      <w:r w:rsidR="003601B9">
        <w:rPr>
          <w:color w:val="000000"/>
          <w:spacing w:val="-1"/>
          <w:sz w:val="26"/>
          <w:szCs w:val="26"/>
        </w:rPr>
        <w:t>,</w:t>
      </w:r>
      <w:r w:rsidRPr="00081C12">
        <w:rPr>
          <w:color w:val="000000"/>
          <w:spacing w:val="-1"/>
          <w:sz w:val="26"/>
          <w:szCs w:val="26"/>
        </w:rPr>
        <w:t xml:space="preserve"> rather</w:t>
      </w:r>
      <w:r>
        <w:rPr>
          <w:color w:val="000000"/>
          <w:spacing w:val="-1"/>
          <w:sz w:val="26"/>
          <w:szCs w:val="26"/>
        </w:rPr>
        <w:t xml:space="preserve"> </w:t>
      </w:r>
      <w:r w:rsidRPr="00081C12">
        <w:rPr>
          <w:color w:val="000000"/>
          <w:spacing w:val="-1"/>
          <w:sz w:val="26"/>
          <w:szCs w:val="26"/>
        </w:rPr>
        <w:t>than replacing</w:t>
      </w:r>
      <w:r w:rsidR="003601B9">
        <w:rPr>
          <w:color w:val="000000"/>
          <w:spacing w:val="-1"/>
          <w:sz w:val="26"/>
          <w:szCs w:val="26"/>
        </w:rPr>
        <w:t>,</w:t>
      </w:r>
      <w:r w:rsidRPr="00081C12">
        <w:rPr>
          <w:color w:val="000000"/>
          <w:spacing w:val="-1"/>
          <w:sz w:val="26"/>
          <w:szCs w:val="26"/>
        </w:rPr>
        <w:t xml:space="preserve"> duplicative pipelines. </w:t>
      </w:r>
      <w:r w:rsidR="00B9207F">
        <w:rPr>
          <w:color w:val="000000"/>
          <w:spacing w:val="-1"/>
          <w:sz w:val="26"/>
          <w:szCs w:val="26"/>
        </w:rPr>
        <w:t xml:space="preserve"> </w:t>
      </w:r>
      <w:r w:rsidR="003601B9">
        <w:rPr>
          <w:color w:val="000000"/>
          <w:spacing w:val="-1"/>
          <w:sz w:val="26"/>
          <w:szCs w:val="26"/>
        </w:rPr>
        <w:t>Therefore</w:t>
      </w:r>
      <w:r w:rsidRPr="00081C12">
        <w:rPr>
          <w:color w:val="000000"/>
          <w:spacing w:val="-1"/>
          <w:sz w:val="26"/>
          <w:szCs w:val="26"/>
        </w:rPr>
        <w:t>, the M&amp;R program will not reduce the miles of</w:t>
      </w:r>
      <w:r>
        <w:rPr>
          <w:color w:val="000000"/>
          <w:spacing w:val="-1"/>
          <w:sz w:val="26"/>
          <w:szCs w:val="26"/>
        </w:rPr>
        <w:t xml:space="preserve"> </w:t>
      </w:r>
      <w:r w:rsidRPr="00081C12">
        <w:rPr>
          <w:color w:val="000000"/>
          <w:spacing w:val="-1"/>
          <w:sz w:val="26"/>
          <w:szCs w:val="26"/>
        </w:rPr>
        <w:t>at-risk pipelines to be removed from that contained in the current LTIIP.</w:t>
      </w:r>
      <w:r>
        <w:rPr>
          <w:color w:val="000000"/>
          <w:spacing w:val="-1"/>
          <w:sz w:val="26"/>
          <w:szCs w:val="26"/>
        </w:rPr>
        <w:t xml:space="preserve"> </w:t>
      </w:r>
    </w:p>
    <w:p w:rsidR="00081C12" w:rsidRDefault="00081C12" w:rsidP="00081C12">
      <w:pPr>
        <w:widowControl/>
        <w:autoSpaceDE/>
        <w:autoSpaceDN/>
        <w:adjustRightInd/>
        <w:spacing w:line="360" w:lineRule="auto"/>
        <w:ind w:firstLine="1440"/>
        <w:textAlignment w:val="baseline"/>
        <w:rPr>
          <w:color w:val="000000"/>
          <w:spacing w:val="-1"/>
          <w:sz w:val="26"/>
          <w:szCs w:val="26"/>
        </w:rPr>
      </w:pPr>
    </w:p>
    <w:p w:rsidR="00081C12" w:rsidRDefault="00081C12" w:rsidP="00BD43FC">
      <w:pPr>
        <w:widowControl/>
        <w:autoSpaceDE/>
        <w:autoSpaceDN/>
        <w:adjustRightInd/>
        <w:spacing w:line="360" w:lineRule="auto"/>
        <w:ind w:firstLine="1440"/>
        <w:textAlignment w:val="baseline"/>
        <w:rPr>
          <w:color w:val="000000"/>
          <w:spacing w:val="-1"/>
          <w:sz w:val="26"/>
          <w:szCs w:val="26"/>
        </w:rPr>
      </w:pPr>
      <w:r w:rsidRPr="00081C12">
        <w:rPr>
          <w:color w:val="000000"/>
          <w:spacing w:val="-1"/>
          <w:sz w:val="26"/>
          <w:szCs w:val="26"/>
        </w:rPr>
        <w:t>In the Merger Settlement, Peoples agreed to</w:t>
      </w:r>
      <w:r>
        <w:rPr>
          <w:color w:val="000000"/>
          <w:spacing w:val="-1"/>
          <w:sz w:val="26"/>
          <w:szCs w:val="26"/>
        </w:rPr>
        <w:t xml:space="preserve"> </w:t>
      </w:r>
      <w:r w:rsidR="005155C1">
        <w:rPr>
          <w:color w:val="000000"/>
          <w:spacing w:val="-1"/>
          <w:sz w:val="26"/>
          <w:szCs w:val="26"/>
        </w:rPr>
        <w:t>commit an average of $80 </w:t>
      </w:r>
      <w:r w:rsidRPr="00081C12">
        <w:rPr>
          <w:color w:val="000000"/>
          <w:spacing w:val="-1"/>
          <w:sz w:val="26"/>
          <w:szCs w:val="26"/>
        </w:rPr>
        <w:t>million in LTIIP capital expenditures per year for the Pe</w:t>
      </w:r>
      <w:r>
        <w:rPr>
          <w:color w:val="000000"/>
          <w:spacing w:val="-1"/>
          <w:sz w:val="26"/>
          <w:szCs w:val="26"/>
        </w:rPr>
        <w:t>o</w:t>
      </w:r>
      <w:r w:rsidRPr="00081C12">
        <w:rPr>
          <w:color w:val="000000"/>
          <w:spacing w:val="-1"/>
          <w:sz w:val="26"/>
          <w:szCs w:val="26"/>
        </w:rPr>
        <w:t>ples</w:t>
      </w:r>
      <w:r>
        <w:rPr>
          <w:color w:val="000000"/>
          <w:spacing w:val="-1"/>
          <w:sz w:val="26"/>
          <w:szCs w:val="26"/>
        </w:rPr>
        <w:t xml:space="preserve"> </w:t>
      </w:r>
      <w:r w:rsidRPr="00081C12">
        <w:rPr>
          <w:color w:val="000000"/>
          <w:spacing w:val="-1"/>
          <w:sz w:val="26"/>
          <w:szCs w:val="26"/>
        </w:rPr>
        <w:t>Division for the term of the Revised LTIIP.</w:t>
      </w:r>
      <w:r w:rsidR="00B9207F">
        <w:rPr>
          <w:color w:val="000000"/>
          <w:spacing w:val="-1"/>
          <w:sz w:val="26"/>
          <w:szCs w:val="26"/>
        </w:rPr>
        <w:t xml:space="preserve"> </w:t>
      </w:r>
      <w:r w:rsidRPr="00081C12">
        <w:rPr>
          <w:color w:val="000000"/>
          <w:spacing w:val="-1"/>
          <w:sz w:val="26"/>
          <w:szCs w:val="26"/>
        </w:rPr>
        <w:t xml:space="preserve"> Additionally, the Merger Settlement required that</w:t>
      </w:r>
      <w:r>
        <w:rPr>
          <w:color w:val="000000"/>
          <w:spacing w:val="-1"/>
          <w:sz w:val="26"/>
          <w:szCs w:val="26"/>
        </w:rPr>
        <w:t xml:space="preserve"> </w:t>
      </w:r>
      <w:r w:rsidRPr="00081C12">
        <w:rPr>
          <w:color w:val="000000"/>
          <w:spacing w:val="-1"/>
          <w:sz w:val="26"/>
          <w:szCs w:val="26"/>
        </w:rPr>
        <w:t>the Equitable Division invest an average of $33 million for the years 2014-2016, and an average</w:t>
      </w:r>
      <w:r>
        <w:rPr>
          <w:color w:val="000000"/>
          <w:spacing w:val="-1"/>
          <w:sz w:val="26"/>
          <w:szCs w:val="26"/>
        </w:rPr>
        <w:t xml:space="preserve"> </w:t>
      </w:r>
      <w:r w:rsidR="005155C1">
        <w:rPr>
          <w:color w:val="000000"/>
          <w:spacing w:val="-1"/>
          <w:sz w:val="26"/>
          <w:szCs w:val="26"/>
        </w:rPr>
        <w:t>of $45 </w:t>
      </w:r>
      <w:r w:rsidRPr="00081C12">
        <w:rPr>
          <w:color w:val="000000"/>
          <w:spacing w:val="-1"/>
          <w:sz w:val="26"/>
          <w:szCs w:val="26"/>
        </w:rPr>
        <w:t xml:space="preserve">million for the years 2017-2019. </w:t>
      </w:r>
      <w:r w:rsidR="003601B9">
        <w:rPr>
          <w:color w:val="000000"/>
          <w:spacing w:val="-1"/>
          <w:sz w:val="26"/>
          <w:szCs w:val="26"/>
        </w:rPr>
        <w:t xml:space="preserve"> </w:t>
      </w:r>
      <w:r w:rsidR="007E15DA">
        <w:rPr>
          <w:color w:val="000000"/>
          <w:spacing w:val="-1"/>
          <w:sz w:val="26"/>
          <w:szCs w:val="26"/>
        </w:rPr>
        <w:t xml:space="preserve">As noted above, a subsequent Petition and </w:t>
      </w:r>
      <w:r w:rsidR="007E15DA">
        <w:rPr>
          <w:color w:val="000000"/>
          <w:spacing w:val="-1"/>
          <w:sz w:val="26"/>
          <w:szCs w:val="26"/>
        </w:rPr>
        <w:lastRenderedPageBreak/>
        <w:t xml:space="preserve">Settlement allowed Peoples to meet the capital commitments on a combined basis, so long as the minimum commitment for the Equitable Division was met.  </w:t>
      </w:r>
      <w:r w:rsidR="00BD43FC">
        <w:rPr>
          <w:color w:val="000000"/>
          <w:spacing w:val="-1"/>
          <w:sz w:val="26"/>
          <w:szCs w:val="26"/>
        </w:rPr>
        <w:t xml:space="preserve">Peoples </w:t>
      </w:r>
      <w:r w:rsidR="003601B9">
        <w:rPr>
          <w:color w:val="000000"/>
          <w:spacing w:val="-1"/>
          <w:sz w:val="26"/>
          <w:szCs w:val="26"/>
        </w:rPr>
        <w:t xml:space="preserve">avers </w:t>
      </w:r>
      <w:r w:rsidR="00BD43FC">
        <w:rPr>
          <w:color w:val="000000"/>
          <w:spacing w:val="-1"/>
          <w:sz w:val="26"/>
          <w:szCs w:val="26"/>
        </w:rPr>
        <w:t>that, a</w:t>
      </w:r>
      <w:r w:rsidRPr="00081C12">
        <w:rPr>
          <w:color w:val="000000"/>
          <w:spacing w:val="-1"/>
          <w:sz w:val="26"/>
          <w:szCs w:val="26"/>
        </w:rPr>
        <w:t xml:space="preserve">s evidenced by the </w:t>
      </w:r>
      <w:r w:rsidR="003601B9">
        <w:rPr>
          <w:color w:val="000000"/>
          <w:spacing w:val="-1"/>
          <w:sz w:val="26"/>
          <w:szCs w:val="26"/>
        </w:rPr>
        <w:t>current</w:t>
      </w:r>
      <w:r w:rsidRPr="00081C12">
        <w:rPr>
          <w:color w:val="000000"/>
          <w:spacing w:val="-1"/>
          <w:sz w:val="26"/>
          <w:szCs w:val="26"/>
        </w:rPr>
        <w:t xml:space="preserve"> LTIIP, Peoples’</w:t>
      </w:r>
      <w:r>
        <w:rPr>
          <w:color w:val="000000"/>
          <w:spacing w:val="-1"/>
          <w:sz w:val="26"/>
          <w:szCs w:val="26"/>
        </w:rPr>
        <w:t xml:space="preserve"> </w:t>
      </w:r>
      <w:r w:rsidRPr="00081C12">
        <w:rPr>
          <w:color w:val="000000"/>
          <w:spacing w:val="-1"/>
          <w:sz w:val="26"/>
          <w:szCs w:val="26"/>
        </w:rPr>
        <w:t xml:space="preserve">planned LTIIP expenditures meet or exceed these annual spending commitments. </w:t>
      </w:r>
      <w:r w:rsidR="00B9207F">
        <w:rPr>
          <w:color w:val="000000"/>
          <w:spacing w:val="-1"/>
          <w:sz w:val="26"/>
          <w:szCs w:val="26"/>
        </w:rPr>
        <w:t xml:space="preserve"> </w:t>
      </w:r>
      <w:r w:rsidRPr="00081C12">
        <w:rPr>
          <w:color w:val="000000"/>
          <w:spacing w:val="-1"/>
          <w:sz w:val="26"/>
          <w:szCs w:val="26"/>
        </w:rPr>
        <w:t>The</w:t>
      </w:r>
      <w:r>
        <w:rPr>
          <w:color w:val="000000"/>
          <w:spacing w:val="-1"/>
          <w:sz w:val="26"/>
          <w:szCs w:val="26"/>
        </w:rPr>
        <w:t xml:space="preserve"> </w:t>
      </w:r>
      <w:r w:rsidRPr="00081C12">
        <w:rPr>
          <w:color w:val="000000"/>
          <w:spacing w:val="-1"/>
          <w:sz w:val="26"/>
          <w:szCs w:val="26"/>
        </w:rPr>
        <w:t xml:space="preserve">modifications proposed in the </w:t>
      </w:r>
      <w:r w:rsidR="00261196">
        <w:rPr>
          <w:color w:val="000000"/>
          <w:spacing w:val="-1"/>
          <w:sz w:val="26"/>
          <w:szCs w:val="26"/>
        </w:rPr>
        <w:t>Second</w:t>
      </w:r>
      <w:r w:rsidR="00AC4E87">
        <w:rPr>
          <w:color w:val="000000"/>
          <w:spacing w:val="-1"/>
          <w:sz w:val="26"/>
          <w:szCs w:val="26"/>
        </w:rPr>
        <w:t xml:space="preserve"> </w:t>
      </w:r>
      <w:r w:rsidRPr="00081C12">
        <w:rPr>
          <w:color w:val="000000"/>
          <w:spacing w:val="-1"/>
          <w:sz w:val="26"/>
          <w:szCs w:val="26"/>
        </w:rPr>
        <w:t>Revised LTIIP do not propose any changes to the</w:t>
      </w:r>
      <w:r>
        <w:rPr>
          <w:color w:val="000000"/>
          <w:spacing w:val="-1"/>
          <w:sz w:val="26"/>
          <w:szCs w:val="26"/>
        </w:rPr>
        <w:t xml:space="preserve"> </w:t>
      </w:r>
      <w:r w:rsidRPr="00081C12">
        <w:rPr>
          <w:color w:val="000000"/>
          <w:spacing w:val="-1"/>
          <w:sz w:val="26"/>
          <w:szCs w:val="26"/>
        </w:rPr>
        <w:t xml:space="preserve">combined annual spending levels for the Peoples and Equitable Divisions </w:t>
      </w:r>
      <w:r w:rsidR="003601B9">
        <w:rPr>
          <w:color w:val="000000"/>
          <w:spacing w:val="-1"/>
          <w:sz w:val="26"/>
          <w:szCs w:val="26"/>
        </w:rPr>
        <w:t>for the duration of the</w:t>
      </w:r>
      <w:r w:rsidRPr="00081C12">
        <w:rPr>
          <w:color w:val="000000"/>
          <w:spacing w:val="-1"/>
          <w:sz w:val="26"/>
          <w:szCs w:val="26"/>
        </w:rPr>
        <w:t xml:space="preserve"> LTIIP.</w:t>
      </w:r>
    </w:p>
    <w:p w:rsidR="005D5DD9" w:rsidRDefault="005D5DD9" w:rsidP="00DD75E7">
      <w:pPr>
        <w:pStyle w:val="p2"/>
        <w:widowControl/>
        <w:spacing w:line="360" w:lineRule="auto"/>
        <w:ind w:firstLine="0"/>
        <w:rPr>
          <w:sz w:val="26"/>
          <w:szCs w:val="26"/>
        </w:rPr>
      </w:pPr>
    </w:p>
    <w:p w:rsidR="005D5DD9" w:rsidRPr="00EE640E" w:rsidRDefault="00835ADC" w:rsidP="00EE640E">
      <w:pPr>
        <w:spacing w:line="360" w:lineRule="auto"/>
        <w:ind w:firstLine="1440"/>
        <w:rPr>
          <w:color w:val="000000"/>
          <w:sz w:val="26"/>
          <w:szCs w:val="26"/>
        </w:rPr>
      </w:pPr>
      <w:r w:rsidRPr="00EE640E">
        <w:rPr>
          <w:color w:val="000000"/>
          <w:sz w:val="26"/>
          <w:szCs w:val="26"/>
        </w:rPr>
        <w:t xml:space="preserve">Peoples’ </w:t>
      </w:r>
      <w:r w:rsidR="003601B9">
        <w:rPr>
          <w:color w:val="000000"/>
          <w:sz w:val="26"/>
          <w:szCs w:val="26"/>
        </w:rPr>
        <w:t xml:space="preserve">current </w:t>
      </w:r>
      <w:r w:rsidR="005D5DD9" w:rsidRPr="00EE640E">
        <w:rPr>
          <w:color w:val="000000"/>
          <w:sz w:val="26"/>
          <w:szCs w:val="26"/>
        </w:rPr>
        <w:t xml:space="preserve">LTIIP addressed </w:t>
      </w:r>
      <w:r w:rsidR="000E6FF7" w:rsidRPr="00EE640E">
        <w:rPr>
          <w:color w:val="000000"/>
          <w:sz w:val="26"/>
          <w:szCs w:val="26"/>
        </w:rPr>
        <w:t xml:space="preserve">the </w:t>
      </w:r>
      <w:r w:rsidR="005D5DD9" w:rsidRPr="00EE640E">
        <w:rPr>
          <w:color w:val="000000"/>
          <w:sz w:val="26"/>
          <w:szCs w:val="26"/>
        </w:rPr>
        <w:t xml:space="preserve">eight </w:t>
      </w:r>
      <w:r w:rsidR="000E6FF7" w:rsidRPr="00EE640E">
        <w:rPr>
          <w:color w:val="000000"/>
          <w:sz w:val="26"/>
          <w:szCs w:val="26"/>
        </w:rPr>
        <w:t>elements of an LTIIP</w:t>
      </w:r>
      <w:r w:rsidR="008B2FA3">
        <w:rPr>
          <w:color w:val="000000"/>
          <w:sz w:val="26"/>
          <w:szCs w:val="26"/>
        </w:rPr>
        <w:t xml:space="preserve">, </w:t>
      </w:r>
      <w:r w:rsidR="00F45D34">
        <w:rPr>
          <w:color w:val="000000"/>
          <w:sz w:val="26"/>
          <w:szCs w:val="26"/>
        </w:rPr>
        <w:t>and</w:t>
      </w:r>
      <w:r w:rsidR="008B2FA3">
        <w:rPr>
          <w:color w:val="000000"/>
          <w:sz w:val="26"/>
          <w:szCs w:val="26"/>
        </w:rPr>
        <w:t xml:space="preserve"> a copy of the </w:t>
      </w:r>
      <w:r w:rsidR="003601B9">
        <w:rPr>
          <w:color w:val="000000"/>
          <w:sz w:val="26"/>
          <w:szCs w:val="26"/>
        </w:rPr>
        <w:t xml:space="preserve">current </w:t>
      </w:r>
      <w:r w:rsidR="008B2FA3">
        <w:rPr>
          <w:color w:val="000000"/>
          <w:sz w:val="26"/>
          <w:szCs w:val="26"/>
        </w:rPr>
        <w:t>LTIIP was</w:t>
      </w:r>
      <w:r w:rsidR="00F45D34">
        <w:rPr>
          <w:color w:val="000000"/>
          <w:sz w:val="26"/>
          <w:szCs w:val="26"/>
        </w:rPr>
        <w:t xml:space="preserve"> provided with the petition for the </w:t>
      </w:r>
      <w:r w:rsidR="00261196">
        <w:rPr>
          <w:color w:val="000000"/>
          <w:sz w:val="26"/>
          <w:szCs w:val="26"/>
        </w:rPr>
        <w:t>Second</w:t>
      </w:r>
      <w:r w:rsidR="00F45D34">
        <w:rPr>
          <w:color w:val="000000"/>
          <w:sz w:val="26"/>
          <w:szCs w:val="26"/>
        </w:rPr>
        <w:t xml:space="preserve"> Revised LTIIP.  </w:t>
      </w:r>
      <w:r w:rsidR="000268EE">
        <w:rPr>
          <w:color w:val="000000"/>
          <w:sz w:val="26"/>
          <w:szCs w:val="26"/>
        </w:rPr>
        <w:t xml:space="preserve">Therefore, we will only discuss the five proposed changes from the current LTIIP to the instant </w:t>
      </w:r>
      <w:r w:rsidR="00261196">
        <w:rPr>
          <w:color w:val="000000"/>
          <w:sz w:val="26"/>
          <w:szCs w:val="26"/>
        </w:rPr>
        <w:t>Second</w:t>
      </w:r>
      <w:r w:rsidR="000268EE">
        <w:rPr>
          <w:color w:val="000000"/>
          <w:sz w:val="26"/>
          <w:szCs w:val="26"/>
        </w:rPr>
        <w:t xml:space="preserve"> Revised LTIIP.  </w:t>
      </w:r>
    </w:p>
    <w:p w:rsidR="00E936CE" w:rsidRDefault="003601B9" w:rsidP="005D5DD9">
      <w:pPr>
        <w:pStyle w:val="p1"/>
        <w:keepLines/>
        <w:widowControl/>
        <w:tabs>
          <w:tab w:val="clear" w:pos="691"/>
          <w:tab w:val="clear" w:pos="1054"/>
          <w:tab w:val="left" w:pos="1440"/>
        </w:tabs>
        <w:spacing w:line="360" w:lineRule="auto"/>
        <w:ind w:hanging="1054"/>
        <w:outlineLvl w:val="0"/>
        <w:rPr>
          <w:sz w:val="26"/>
          <w:szCs w:val="26"/>
        </w:rPr>
      </w:pPr>
      <w:r>
        <w:rPr>
          <w:sz w:val="26"/>
          <w:szCs w:val="26"/>
        </w:rPr>
        <w:t xml:space="preserve"> </w:t>
      </w:r>
    </w:p>
    <w:p w:rsidR="00665EBB" w:rsidRPr="00E936CE" w:rsidRDefault="00E936CE" w:rsidP="00E936CE">
      <w:pPr>
        <w:pStyle w:val="p1"/>
        <w:keepLines/>
        <w:widowControl/>
        <w:tabs>
          <w:tab w:val="clear" w:pos="691"/>
          <w:tab w:val="clear" w:pos="1054"/>
          <w:tab w:val="left" w:pos="1440"/>
        </w:tabs>
        <w:spacing w:line="360" w:lineRule="auto"/>
        <w:ind w:hanging="1054"/>
        <w:jc w:val="center"/>
        <w:outlineLvl w:val="0"/>
        <w:rPr>
          <w:b/>
          <w:sz w:val="26"/>
          <w:szCs w:val="26"/>
        </w:rPr>
      </w:pPr>
      <w:r w:rsidRPr="00E936CE">
        <w:rPr>
          <w:b/>
          <w:sz w:val="26"/>
          <w:szCs w:val="26"/>
        </w:rPr>
        <w:t>PEOPLES’ PROPOSED LTIIP CHANGES</w:t>
      </w:r>
    </w:p>
    <w:p w:rsidR="00665EBB" w:rsidRDefault="00665EBB" w:rsidP="005D5DD9">
      <w:pPr>
        <w:pStyle w:val="p1"/>
        <w:keepLines/>
        <w:widowControl/>
        <w:tabs>
          <w:tab w:val="clear" w:pos="691"/>
          <w:tab w:val="clear" w:pos="1054"/>
          <w:tab w:val="left" w:pos="1440"/>
        </w:tabs>
        <w:spacing w:line="360" w:lineRule="auto"/>
        <w:ind w:hanging="1054"/>
        <w:outlineLvl w:val="0"/>
        <w:rPr>
          <w:sz w:val="26"/>
          <w:szCs w:val="26"/>
        </w:rPr>
      </w:pPr>
    </w:p>
    <w:p w:rsidR="005D5DD9" w:rsidRPr="000F5E3D" w:rsidRDefault="008B2FA3" w:rsidP="005155C1">
      <w:pPr>
        <w:pStyle w:val="p2"/>
        <w:numPr>
          <w:ilvl w:val="0"/>
          <w:numId w:val="37"/>
        </w:numPr>
        <w:spacing w:line="360" w:lineRule="auto"/>
        <w:ind w:left="2340" w:hanging="2340"/>
        <w:rPr>
          <w:sz w:val="26"/>
          <w:szCs w:val="26"/>
        </w:rPr>
      </w:pPr>
      <w:r>
        <w:rPr>
          <w:b/>
          <w:sz w:val="26"/>
          <w:szCs w:val="26"/>
        </w:rPr>
        <w:t>DEFERRAL OF BAR CODING TECHNOLOGY</w:t>
      </w:r>
    </w:p>
    <w:p w:rsidR="00177C8B" w:rsidRDefault="00177C8B" w:rsidP="005D5DD9">
      <w:pPr>
        <w:pStyle w:val="p2"/>
        <w:tabs>
          <w:tab w:val="clear" w:pos="1445"/>
        </w:tabs>
        <w:spacing w:line="360" w:lineRule="auto"/>
        <w:ind w:firstLine="0"/>
        <w:rPr>
          <w:b/>
          <w:sz w:val="26"/>
          <w:szCs w:val="26"/>
        </w:rPr>
      </w:pPr>
    </w:p>
    <w:p w:rsidR="00746C30" w:rsidRDefault="00746C30" w:rsidP="005D5DD9">
      <w:pPr>
        <w:pStyle w:val="p2"/>
        <w:tabs>
          <w:tab w:val="clear" w:pos="1445"/>
        </w:tabs>
        <w:spacing w:line="360" w:lineRule="auto"/>
        <w:ind w:firstLine="0"/>
        <w:rPr>
          <w:b/>
          <w:sz w:val="26"/>
          <w:szCs w:val="26"/>
        </w:rPr>
      </w:pPr>
      <w:r>
        <w:rPr>
          <w:b/>
          <w:sz w:val="26"/>
          <w:szCs w:val="26"/>
        </w:rPr>
        <w:t>Discussion</w:t>
      </w:r>
    </w:p>
    <w:p w:rsidR="00EB5688" w:rsidRDefault="008B2FA3" w:rsidP="008B2FA3">
      <w:pPr>
        <w:pStyle w:val="p2"/>
        <w:widowControl/>
        <w:spacing w:line="360" w:lineRule="auto"/>
        <w:ind w:firstLine="1440"/>
        <w:rPr>
          <w:sz w:val="26"/>
          <w:szCs w:val="26"/>
        </w:rPr>
      </w:pPr>
      <w:r w:rsidRPr="008B2FA3">
        <w:rPr>
          <w:sz w:val="26"/>
          <w:szCs w:val="26"/>
        </w:rPr>
        <w:t xml:space="preserve">The </w:t>
      </w:r>
      <w:r w:rsidR="000268EE">
        <w:rPr>
          <w:sz w:val="26"/>
          <w:szCs w:val="26"/>
        </w:rPr>
        <w:t>current</w:t>
      </w:r>
      <w:r w:rsidRPr="008B2FA3">
        <w:rPr>
          <w:sz w:val="26"/>
          <w:szCs w:val="26"/>
        </w:rPr>
        <w:t xml:space="preserve"> LTIIP for the Peoples Division and the Equitable Division </w:t>
      </w:r>
      <w:r>
        <w:rPr>
          <w:sz w:val="26"/>
          <w:szCs w:val="26"/>
        </w:rPr>
        <w:t>i</w:t>
      </w:r>
      <w:r w:rsidRPr="008B2FA3">
        <w:rPr>
          <w:sz w:val="26"/>
          <w:szCs w:val="26"/>
        </w:rPr>
        <w:t>ncludes an</w:t>
      </w:r>
      <w:r>
        <w:rPr>
          <w:sz w:val="26"/>
          <w:szCs w:val="26"/>
        </w:rPr>
        <w:t xml:space="preserve"> </w:t>
      </w:r>
      <w:r w:rsidRPr="008B2FA3">
        <w:rPr>
          <w:sz w:val="26"/>
          <w:szCs w:val="26"/>
        </w:rPr>
        <w:t>approved LTIIP category for pipeline bar coding information technology.</w:t>
      </w:r>
      <w:r w:rsidR="00B9207F">
        <w:rPr>
          <w:sz w:val="26"/>
          <w:szCs w:val="26"/>
        </w:rPr>
        <w:t xml:space="preserve"> </w:t>
      </w:r>
      <w:r w:rsidRPr="008B2FA3">
        <w:rPr>
          <w:sz w:val="26"/>
          <w:szCs w:val="26"/>
        </w:rPr>
        <w:t xml:space="preserve"> This technology would enable</w:t>
      </w:r>
      <w:r>
        <w:rPr>
          <w:sz w:val="26"/>
          <w:szCs w:val="26"/>
        </w:rPr>
        <w:t xml:space="preserve"> </w:t>
      </w:r>
      <w:r w:rsidRPr="008B2FA3">
        <w:rPr>
          <w:sz w:val="26"/>
          <w:szCs w:val="26"/>
        </w:rPr>
        <w:t>the Company to track critical information on pipelines and related equipment and includes investment</w:t>
      </w:r>
      <w:r>
        <w:rPr>
          <w:sz w:val="26"/>
          <w:szCs w:val="26"/>
        </w:rPr>
        <w:t xml:space="preserve"> </w:t>
      </w:r>
      <w:r w:rsidRPr="008B2FA3">
        <w:rPr>
          <w:sz w:val="26"/>
          <w:szCs w:val="26"/>
        </w:rPr>
        <w:t>in barcoding hardware, software, and reading devices and the investment in barcodes affixed to DSIC</w:t>
      </w:r>
      <w:r>
        <w:rPr>
          <w:sz w:val="26"/>
          <w:szCs w:val="26"/>
        </w:rPr>
        <w:t>-</w:t>
      </w:r>
      <w:r w:rsidRPr="008B2FA3">
        <w:rPr>
          <w:sz w:val="26"/>
          <w:szCs w:val="26"/>
        </w:rPr>
        <w:t>eligible</w:t>
      </w:r>
      <w:r>
        <w:rPr>
          <w:sz w:val="26"/>
          <w:szCs w:val="26"/>
        </w:rPr>
        <w:t xml:space="preserve"> </w:t>
      </w:r>
      <w:r w:rsidRPr="008B2FA3">
        <w:rPr>
          <w:sz w:val="26"/>
          <w:szCs w:val="26"/>
        </w:rPr>
        <w:t>plant.</w:t>
      </w:r>
      <w:r>
        <w:rPr>
          <w:sz w:val="26"/>
          <w:szCs w:val="26"/>
        </w:rPr>
        <w:t xml:space="preserve">  </w:t>
      </w:r>
    </w:p>
    <w:p w:rsidR="00EB5688" w:rsidRDefault="00EB5688" w:rsidP="008B2FA3">
      <w:pPr>
        <w:pStyle w:val="p2"/>
        <w:widowControl/>
        <w:spacing w:line="360" w:lineRule="auto"/>
        <w:ind w:firstLine="1440"/>
        <w:rPr>
          <w:sz w:val="26"/>
          <w:szCs w:val="26"/>
        </w:rPr>
      </w:pPr>
    </w:p>
    <w:p w:rsidR="005D5DD9" w:rsidRDefault="008B2FA3" w:rsidP="008B2FA3">
      <w:pPr>
        <w:pStyle w:val="p2"/>
        <w:widowControl/>
        <w:spacing w:line="360" w:lineRule="auto"/>
        <w:ind w:firstLine="1440"/>
        <w:rPr>
          <w:sz w:val="26"/>
          <w:szCs w:val="26"/>
        </w:rPr>
      </w:pPr>
      <w:r w:rsidRPr="008B2FA3">
        <w:rPr>
          <w:sz w:val="26"/>
          <w:szCs w:val="26"/>
        </w:rPr>
        <w:t>The Peoples Division and the Equitable Division have not initiated this project and are not</w:t>
      </w:r>
      <w:r>
        <w:rPr>
          <w:sz w:val="26"/>
          <w:szCs w:val="26"/>
        </w:rPr>
        <w:t xml:space="preserve"> </w:t>
      </w:r>
      <w:r w:rsidRPr="008B2FA3">
        <w:rPr>
          <w:sz w:val="26"/>
          <w:szCs w:val="26"/>
        </w:rPr>
        <w:t>planning to do so at this time as a result of uncertainty created by a proposed rulemaking issued in</w:t>
      </w:r>
      <w:r>
        <w:rPr>
          <w:sz w:val="26"/>
          <w:szCs w:val="26"/>
        </w:rPr>
        <w:t xml:space="preserve"> </w:t>
      </w:r>
      <w:r w:rsidRPr="008B2FA3">
        <w:rPr>
          <w:sz w:val="26"/>
          <w:szCs w:val="26"/>
        </w:rPr>
        <w:t xml:space="preserve">May 2015 by </w:t>
      </w:r>
      <w:r w:rsidR="00DD41A6">
        <w:rPr>
          <w:sz w:val="26"/>
          <w:szCs w:val="26"/>
        </w:rPr>
        <w:t>PHMSA that</w:t>
      </w:r>
      <w:r w:rsidRPr="008B2FA3">
        <w:rPr>
          <w:sz w:val="26"/>
          <w:szCs w:val="26"/>
        </w:rPr>
        <w:t xml:space="preserve"> concern</w:t>
      </w:r>
      <w:r w:rsidR="00DD41A6">
        <w:rPr>
          <w:sz w:val="26"/>
          <w:szCs w:val="26"/>
        </w:rPr>
        <w:t>ed</w:t>
      </w:r>
      <w:r w:rsidRPr="008B2FA3">
        <w:rPr>
          <w:sz w:val="26"/>
          <w:szCs w:val="26"/>
        </w:rPr>
        <w:t xml:space="preserve"> regulatory requirements involving plastic piping systems used in gas</w:t>
      </w:r>
      <w:r>
        <w:rPr>
          <w:sz w:val="26"/>
          <w:szCs w:val="26"/>
        </w:rPr>
        <w:t xml:space="preserve"> </w:t>
      </w:r>
      <w:r w:rsidRPr="008B2FA3">
        <w:rPr>
          <w:sz w:val="26"/>
          <w:szCs w:val="26"/>
        </w:rPr>
        <w:t>services.</w:t>
      </w:r>
      <w:r w:rsidR="00B9207F">
        <w:rPr>
          <w:sz w:val="26"/>
          <w:szCs w:val="26"/>
        </w:rPr>
        <w:t xml:space="preserve"> </w:t>
      </w:r>
      <w:r w:rsidRPr="008B2FA3">
        <w:rPr>
          <w:sz w:val="26"/>
          <w:szCs w:val="26"/>
        </w:rPr>
        <w:t xml:space="preserve"> </w:t>
      </w:r>
      <w:r w:rsidR="00DD41A6">
        <w:rPr>
          <w:sz w:val="26"/>
          <w:szCs w:val="26"/>
        </w:rPr>
        <w:t xml:space="preserve">The proposed rulemaking, </w:t>
      </w:r>
      <w:r w:rsidR="00DD41A6">
        <w:rPr>
          <w:i/>
          <w:sz w:val="26"/>
          <w:szCs w:val="26"/>
        </w:rPr>
        <w:t>i</w:t>
      </w:r>
      <w:r w:rsidR="000268EE" w:rsidRPr="006562E2">
        <w:rPr>
          <w:i/>
          <w:sz w:val="26"/>
          <w:szCs w:val="26"/>
        </w:rPr>
        <w:t>nter alia</w:t>
      </w:r>
      <w:r w:rsidRPr="008B2FA3">
        <w:rPr>
          <w:sz w:val="26"/>
          <w:szCs w:val="26"/>
        </w:rPr>
        <w:t>, addresses possible changes regarding the traceability</w:t>
      </w:r>
      <w:r>
        <w:rPr>
          <w:sz w:val="26"/>
          <w:szCs w:val="26"/>
        </w:rPr>
        <w:t xml:space="preserve"> </w:t>
      </w:r>
      <w:r w:rsidRPr="008B2FA3">
        <w:rPr>
          <w:sz w:val="26"/>
          <w:szCs w:val="26"/>
        </w:rPr>
        <w:t xml:space="preserve">and tracking of plastic pipelines. </w:t>
      </w:r>
      <w:r w:rsidR="00B9207F">
        <w:rPr>
          <w:sz w:val="26"/>
          <w:szCs w:val="26"/>
        </w:rPr>
        <w:t xml:space="preserve"> </w:t>
      </w:r>
      <w:r w:rsidRPr="008B2FA3">
        <w:rPr>
          <w:sz w:val="26"/>
          <w:szCs w:val="26"/>
        </w:rPr>
        <w:t>The Company believes that it is prudent to defer implementation of</w:t>
      </w:r>
      <w:r>
        <w:rPr>
          <w:sz w:val="26"/>
          <w:szCs w:val="26"/>
        </w:rPr>
        <w:t xml:space="preserve"> </w:t>
      </w:r>
      <w:r w:rsidRPr="008B2FA3">
        <w:rPr>
          <w:sz w:val="26"/>
          <w:szCs w:val="26"/>
        </w:rPr>
        <w:lastRenderedPageBreak/>
        <w:t>pipeline bar coding information technology until such future time when the details, requirements and</w:t>
      </w:r>
      <w:r>
        <w:rPr>
          <w:sz w:val="26"/>
          <w:szCs w:val="26"/>
        </w:rPr>
        <w:t xml:space="preserve"> </w:t>
      </w:r>
      <w:r w:rsidRPr="008B2FA3">
        <w:rPr>
          <w:sz w:val="26"/>
          <w:szCs w:val="26"/>
        </w:rPr>
        <w:t xml:space="preserve">timing regarding final regulations are known. </w:t>
      </w:r>
      <w:r w:rsidR="00B9207F">
        <w:rPr>
          <w:sz w:val="26"/>
          <w:szCs w:val="26"/>
        </w:rPr>
        <w:t xml:space="preserve"> </w:t>
      </w:r>
      <w:r w:rsidRPr="008B2FA3">
        <w:rPr>
          <w:sz w:val="26"/>
          <w:szCs w:val="26"/>
        </w:rPr>
        <w:t>As a result, the data provided within th</w:t>
      </w:r>
      <w:r w:rsidR="000268EE">
        <w:rPr>
          <w:sz w:val="26"/>
          <w:szCs w:val="26"/>
        </w:rPr>
        <w:t>e</w:t>
      </w:r>
      <w:r w:rsidRPr="008B2FA3">
        <w:rPr>
          <w:sz w:val="26"/>
          <w:szCs w:val="26"/>
        </w:rPr>
        <w:t xml:space="preserve"> </w:t>
      </w:r>
      <w:r w:rsidR="00261196">
        <w:rPr>
          <w:sz w:val="26"/>
          <w:szCs w:val="26"/>
        </w:rPr>
        <w:t>Second</w:t>
      </w:r>
      <w:r w:rsidR="00AC4E87">
        <w:rPr>
          <w:sz w:val="26"/>
          <w:szCs w:val="26"/>
        </w:rPr>
        <w:t xml:space="preserve"> </w:t>
      </w:r>
      <w:r w:rsidRPr="008B2FA3">
        <w:rPr>
          <w:sz w:val="26"/>
          <w:szCs w:val="26"/>
        </w:rPr>
        <w:t>Revised</w:t>
      </w:r>
      <w:r>
        <w:rPr>
          <w:sz w:val="26"/>
          <w:szCs w:val="26"/>
        </w:rPr>
        <w:t xml:space="preserve"> </w:t>
      </w:r>
      <w:r w:rsidRPr="008B2FA3">
        <w:rPr>
          <w:sz w:val="26"/>
          <w:szCs w:val="26"/>
        </w:rPr>
        <w:t>LTIIP no longer shows any planned expenditures for bar coding technology during the five-year LTIIP</w:t>
      </w:r>
      <w:r>
        <w:rPr>
          <w:sz w:val="26"/>
          <w:szCs w:val="26"/>
        </w:rPr>
        <w:t xml:space="preserve"> </w:t>
      </w:r>
      <w:r w:rsidRPr="008B2FA3">
        <w:rPr>
          <w:sz w:val="26"/>
          <w:szCs w:val="26"/>
        </w:rPr>
        <w:t xml:space="preserve">period. </w:t>
      </w:r>
      <w:r w:rsidR="00B9207F">
        <w:rPr>
          <w:sz w:val="26"/>
          <w:szCs w:val="26"/>
        </w:rPr>
        <w:t xml:space="preserve"> </w:t>
      </w:r>
      <w:r w:rsidRPr="008B2FA3">
        <w:rPr>
          <w:sz w:val="26"/>
          <w:szCs w:val="26"/>
        </w:rPr>
        <w:t>The existing LTIIP bar coding related expenditures of $3.0 million ($1.0 million per year for</w:t>
      </w:r>
      <w:r>
        <w:rPr>
          <w:sz w:val="26"/>
          <w:szCs w:val="26"/>
        </w:rPr>
        <w:t xml:space="preserve"> </w:t>
      </w:r>
      <w:r w:rsidRPr="008B2FA3">
        <w:rPr>
          <w:sz w:val="26"/>
          <w:szCs w:val="26"/>
        </w:rPr>
        <w:t>2015</w:t>
      </w:r>
      <w:r w:rsidR="00DD41A6">
        <w:rPr>
          <w:sz w:val="26"/>
          <w:szCs w:val="26"/>
        </w:rPr>
        <w:t>-</w:t>
      </w:r>
      <w:r w:rsidRPr="008B2FA3">
        <w:rPr>
          <w:sz w:val="26"/>
          <w:szCs w:val="26"/>
        </w:rPr>
        <w:t>2017) for the Peoples Division and $3.0 million ($1.0 million per year for 2015</w:t>
      </w:r>
      <w:r w:rsidR="00DD41A6">
        <w:rPr>
          <w:sz w:val="26"/>
          <w:szCs w:val="26"/>
        </w:rPr>
        <w:t>-</w:t>
      </w:r>
      <w:r w:rsidRPr="008B2FA3">
        <w:rPr>
          <w:sz w:val="26"/>
          <w:szCs w:val="26"/>
        </w:rPr>
        <w:t>2017) for the</w:t>
      </w:r>
      <w:r>
        <w:rPr>
          <w:sz w:val="26"/>
          <w:szCs w:val="26"/>
        </w:rPr>
        <w:t xml:space="preserve"> </w:t>
      </w:r>
      <w:r w:rsidRPr="008B2FA3">
        <w:rPr>
          <w:sz w:val="26"/>
          <w:szCs w:val="26"/>
        </w:rPr>
        <w:t xml:space="preserve">Equitable Division will now be used for some of the expenditures for two new </w:t>
      </w:r>
      <w:r w:rsidR="00261196">
        <w:rPr>
          <w:sz w:val="26"/>
          <w:szCs w:val="26"/>
        </w:rPr>
        <w:t>Second</w:t>
      </w:r>
      <w:r w:rsidRPr="008B2FA3">
        <w:rPr>
          <w:sz w:val="26"/>
          <w:szCs w:val="26"/>
        </w:rPr>
        <w:t xml:space="preserve"> Revised LTIIP</w:t>
      </w:r>
      <w:r>
        <w:rPr>
          <w:sz w:val="26"/>
          <w:szCs w:val="26"/>
        </w:rPr>
        <w:t xml:space="preserve"> </w:t>
      </w:r>
      <w:r w:rsidRPr="008B2FA3">
        <w:rPr>
          <w:sz w:val="26"/>
          <w:szCs w:val="26"/>
        </w:rPr>
        <w:t>categories – special meter technology and M&amp;R station upgrades.</w:t>
      </w:r>
    </w:p>
    <w:p w:rsidR="008B2FA3" w:rsidRDefault="008B2FA3" w:rsidP="008B2FA3">
      <w:pPr>
        <w:widowControl/>
        <w:spacing w:line="360" w:lineRule="auto"/>
        <w:contextualSpacing/>
        <w:rPr>
          <w:sz w:val="26"/>
          <w:szCs w:val="26"/>
        </w:rPr>
      </w:pPr>
    </w:p>
    <w:p w:rsidR="005E5B57" w:rsidRDefault="005E5B57" w:rsidP="005E5B57">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t>Disposition</w:t>
      </w:r>
    </w:p>
    <w:p w:rsidR="00177C8B" w:rsidRDefault="00177C8B" w:rsidP="00EE640E">
      <w:pPr>
        <w:pStyle w:val="p2"/>
        <w:widowControl/>
        <w:spacing w:line="360" w:lineRule="auto"/>
        <w:ind w:firstLine="1440"/>
        <w:rPr>
          <w:sz w:val="26"/>
          <w:szCs w:val="26"/>
        </w:rPr>
      </w:pPr>
      <w:r>
        <w:rPr>
          <w:sz w:val="26"/>
          <w:szCs w:val="26"/>
        </w:rPr>
        <w:tab/>
        <w:t xml:space="preserve">Upon review of </w:t>
      </w:r>
      <w:r w:rsidR="0033132B">
        <w:rPr>
          <w:sz w:val="26"/>
          <w:szCs w:val="26"/>
        </w:rPr>
        <w:t>Peoples’</w:t>
      </w:r>
      <w:r>
        <w:rPr>
          <w:sz w:val="26"/>
          <w:szCs w:val="26"/>
        </w:rPr>
        <w:t xml:space="preserve"> </w:t>
      </w:r>
      <w:r w:rsidR="00261196">
        <w:rPr>
          <w:sz w:val="26"/>
          <w:szCs w:val="26"/>
        </w:rPr>
        <w:t>Second</w:t>
      </w:r>
      <w:r w:rsidR="00EB5688">
        <w:rPr>
          <w:sz w:val="26"/>
          <w:szCs w:val="26"/>
        </w:rPr>
        <w:t xml:space="preserve"> Revised </w:t>
      </w:r>
      <w:r>
        <w:rPr>
          <w:sz w:val="26"/>
          <w:szCs w:val="26"/>
        </w:rPr>
        <w:t>LTIIP and all supplemental information filed, the Commission</w:t>
      </w:r>
      <w:r w:rsidR="00EB5688">
        <w:rPr>
          <w:sz w:val="26"/>
          <w:szCs w:val="26"/>
        </w:rPr>
        <w:t xml:space="preserve"> </w:t>
      </w:r>
      <w:r w:rsidR="000B732C">
        <w:rPr>
          <w:sz w:val="26"/>
          <w:szCs w:val="26"/>
        </w:rPr>
        <w:t>concurs</w:t>
      </w:r>
      <w:r w:rsidR="00EB5688">
        <w:rPr>
          <w:sz w:val="26"/>
          <w:szCs w:val="26"/>
        </w:rPr>
        <w:t xml:space="preserve"> </w:t>
      </w:r>
      <w:r w:rsidR="000B732C">
        <w:rPr>
          <w:sz w:val="26"/>
          <w:szCs w:val="26"/>
        </w:rPr>
        <w:t>that</w:t>
      </w:r>
      <w:r w:rsidR="00EB5688">
        <w:rPr>
          <w:sz w:val="26"/>
          <w:szCs w:val="26"/>
        </w:rPr>
        <w:t xml:space="preserve"> Peoples deferral of work involving b</w:t>
      </w:r>
      <w:r w:rsidR="00D602A1">
        <w:rPr>
          <w:sz w:val="26"/>
          <w:szCs w:val="26"/>
        </w:rPr>
        <w:t>ar coding technology is prudent at this time.</w:t>
      </w:r>
    </w:p>
    <w:p w:rsidR="00EB5688" w:rsidRDefault="00EB5688" w:rsidP="00EE640E">
      <w:pPr>
        <w:widowControl/>
        <w:spacing w:line="360" w:lineRule="auto"/>
        <w:contextualSpacing/>
        <w:rPr>
          <w:sz w:val="26"/>
          <w:szCs w:val="26"/>
        </w:rPr>
      </w:pPr>
    </w:p>
    <w:p w:rsidR="00EB5688" w:rsidRPr="000F5E3D" w:rsidRDefault="00EB5688" w:rsidP="00EB5688">
      <w:pPr>
        <w:pStyle w:val="p2"/>
        <w:numPr>
          <w:ilvl w:val="0"/>
          <w:numId w:val="37"/>
        </w:numPr>
        <w:spacing w:line="360" w:lineRule="auto"/>
        <w:ind w:left="720" w:hanging="720"/>
        <w:rPr>
          <w:sz w:val="26"/>
          <w:szCs w:val="26"/>
        </w:rPr>
      </w:pPr>
      <w:r>
        <w:rPr>
          <w:b/>
          <w:sz w:val="26"/>
          <w:szCs w:val="26"/>
        </w:rPr>
        <w:t>CONSTRUCTION DIVISION</w:t>
      </w:r>
    </w:p>
    <w:p w:rsidR="00EB5688" w:rsidRDefault="00EB5688" w:rsidP="00EE640E">
      <w:pPr>
        <w:widowControl/>
        <w:spacing w:line="360" w:lineRule="auto"/>
        <w:contextualSpacing/>
        <w:rPr>
          <w:sz w:val="26"/>
          <w:szCs w:val="26"/>
        </w:rPr>
      </w:pPr>
    </w:p>
    <w:p w:rsidR="00D602A1" w:rsidRDefault="00D602A1" w:rsidP="00D602A1">
      <w:pPr>
        <w:pStyle w:val="p2"/>
        <w:tabs>
          <w:tab w:val="clear" w:pos="1445"/>
        </w:tabs>
        <w:spacing w:line="360" w:lineRule="auto"/>
        <w:ind w:firstLine="0"/>
        <w:rPr>
          <w:b/>
          <w:sz w:val="26"/>
          <w:szCs w:val="26"/>
        </w:rPr>
      </w:pPr>
      <w:r>
        <w:rPr>
          <w:b/>
          <w:sz w:val="26"/>
          <w:szCs w:val="26"/>
        </w:rPr>
        <w:t>Discussion</w:t>
      </w:r>
    </w:p>
    <w:p w:rsidR="00EB5688" w:rsidRDefault="00EB5688" w:rsidP="00EB5688">
      <w:pPr>
        <w:pStyle w:val="p2"/>
        <w:widowControl/>
        <w:spacing w:line="360" w:lineRule="auto"/>
        <w:ind w:firstLine="1440"/>
        <w:rPr>
          <w:sz w:val="26"/>
          <w:szCs w:val="26"/>
        </w:rPr>
      </w:pPr>
      <w:r w:rsidRPr="00EB5688">
        <w:rPr>
          <w:sz w:val="26"/>
          <w:szCs w:val="26"/>
        </w:rPr>
        <w:t xml:space="preserve">In recent years, </w:t>
      </w:r>
      <w:r w:rsidR="000268EE">
        <w:rPr>
          <w:sz w:val="26"/>
          <w:szCs w:val="26"/>
        </w:rPr>
        <w:t>approximately</w:t>
      </w:r>
      <w:r w:rsidR="000268EE" w:rsidRPr="00EB5688">
        <w:rPr>
          <w:sz w:val="26"/>
          <w:szCs w:val="26"/>
        </w:rPr>
        <w:t xml:space="preserve"> </w:t>
      </w:r>
      <w:r w:rsidRPr="00EB5688">
        <w:rPr>
          <w:sz w:val="26"/>
          <w:szCs w:val="26"/>
        </w:rPr>
        <w:t xml:space="preserve">20% of capital related construction work at Peoples, </w:t>
      </w:r>
      <w:r w:rsidR="000268EE">
        <w:rPr>
          <w:sz w:val="26"/>
          <w:szCs w:val="26"/>
        </w:rPr>
        <w:t>including</w:t>
      </w:r>
      <w:r>
        <w:rPr>
          <w:sz w:val="26"/>
          <w:szCs w:val="26"/>
        </w:rPr>
        <w:t xml:space="preserve"> </w:t>
      </w:r>
      <w:r w:rsidRPr="00EB5688">
        <w:rPr>
          <w:sz w:val="26"/>
          <w:szCs w:val="26"/>
        </w:rPr>
        <w:t>design, planning</w:t>
      </w:r>
      <w:r w:rsidR="000268EE">
        <w:rPr>
          <w:sz w:val="26"/>
          <w:szCs w:val="26"/>
        </w:rPr>
        <w:t>,</w:t>
      </w:r>
      <w:r w:rsidRPr="00EB5688">
        <w:rPr>
          <w:sz w:val="26"/>
          <w:szCs w:val="26"/>
        </w:rPr>
        <w:t xml:space="preserve"> and construction, was performed by </w:t>
      </w:r>
      <w:r w:rsidR="00902315">
        <w:rPr>
          <w:sz w:val="26"/>
          <w:szCs w:val="26"/>
        </w:rPr>
        <w:t>their</w:t>
      </w:r>
      <w:r w:rsidRPr="00EB5688">
        <w:rPr>
          <w:sz w:val="26"/>
          <w:szCs w:val="26"/>
        </w:rPr>
        <w:t xml:space="preserve"> in-house employees and crews.</w:t>
      </w:r>
      <w:r>
        <w:rPr>
          <w:sz w:val="26"/>
          <w:szCs w:val="26"/>
        </w:rPr>
        <w:t xml:space="preserve">  </w:t>
      </w:r>
      <w:r w:rsidR="000268EE">
        <w:rPr>
          <w:sz w:val="26"/>
          <w:szCs w:val="26"/>
        </w:rPr>
        <w:t>The remaining</w:t>
      </w:r>
      <w:r w:rsidR="000268EE" w:rsidRPr="00EB5688">
        <w:rPr>
          <w:sz w:val="26"/>
          <w:szCs w:val="26"/>
        </w:rPr>
        <w:t xml:space="preserve"> </w:t>
      </w:r>
      <w:r w:rsidRPr="00EB5688">
        <w:rPr>
          <w:sz w:val="26"/>
          <w:szCs w:val="26"/>
        </w:rPr>
        <w:t xml:space="preserve">work was performed by outside independent contractors. </w:t>
      </w:r>
      <w:r w:rsidR="00B9207F">
        <w:rPr>
          <w:sz w:val="26"/>
          <w:szCs w:val="26"/>
        </w:rPr>
        <w:t xml:space="preserve"> </w:t>
      </w:r>
      <w:r w:rsidRPr="00EB5688">
        <w:rPr>
          <w:sz w:val="26"/>
          <w:szCs w:val="26"/>
        </w:rPr>
        <w:t>Within the</w:t>
      </w:r>
      <w:r>
        <w:rPr>
          <w:sz w:val="26"/>
          <w:szCs w:val="26"/>
        </w:rPr>
        <w:t xml:space="preserve"> </w:t>
      </w:r>
      <w:r w:rsidRPr="00EB5688">
        <w:rPr>
          <w:sz w:val="26"/>
          <w:szCs w:val="26"/>
        </w:rPr>
        <w:t>Equitable Division</w:t>
      </w:r>
      <w:r w:rsidR="000268EE">
        <w:rPr>
          <w:sz w:val="26"/>
          <w:szCs w:val="26"/>
        </w:rPr>
        <w:t>,</w:t>
      </w:r>
      <w:r w:rsidRPr="00EB5688">
        <w:rPr>
          <w:sz w:val="26"/>
          <w:szCs w:val="26"/>
        </w:rPr>
        <w:t xml:space="preserve"> an even greater percentage of such capital construction work was performed by</w:t>
      </w:r>
      <w:r>
        <w:rPr>
          <w:sz w:val="26"/>
          <w:szCs w:val="26"/>
        </w:rPr>
        <w:t xml:space="preserve"> </w:t>
      </w:r>
      <w:r w:rsidRPr="00EB5688">
        <w:rPr>
          <w:sz w:val="26"/>
          <w:szCs w:val="26"/>
        </w:rPr>
        <w:t xml:space="preserve">outside independent contractors. </w:t>
      </w:r>
      <w:r w:rsidR="00B9207F">
        <w:rPr>
          <w:sz w:val="26"/>
          <w:szCs w:val="26"/>
        </w:rPr>
        <w:t xml:space="preserve"> </w:t>
      </w:r>
      <w:r w:rsidRPr="00EB5688">
        <w:rPr>
          <w:sz w:val="26"/>
          <w:szCs w:val="26"/>
        </w:rPr>
        <w:t>Historically, all restoration capital work for both Divisions was</w:t>
      </w:r>
      <w:r>
        <w:rPr>
          <w:sz w:val="26"/>
          <w:szCs w:val="26"/>
        </w:rPr>
        <w:t xml:space="preserve"> </w:t>
      </w:r>
      <w:r w:rsidRPr="00EB5688">
        <w:rPr>
          <w:sz w:val="26"/>
          <w:szCs w:val="26"/>
        </w:rPr>
        <w:t xml:space="preserve">performed by contractors. </w:t>
      </w:r>
      <w:r w:rsidR="00B9207F">
        <w:rPr>
          <w:sz w:val="26"/>
          <w:szCs w:val="26"/>
        </w:rPr>
        <w:t xml:space="preserve"> </w:t>
      </w:r>
      <w:r w:rsidRPr="00EB5688">
        <w:rPr>
          <w:sz w:val="26"/>
          <w:szCs w:val="26"/>
        </w:rPr>
        <w:t>Recently, the Company reexamined these historical practices and</w:t>
      </w:r>
      <w:r>
        <w:rPr>
          <w:sz w:val="26"/>
          <w:szCs w:val="26"/>
        </w:rPr>
        <w:t xml:space="preserve"> </w:t>
      </w:r>
      <w:r w:rsidRPr="00EB5688">
        <w:rPr>
          <w:sz w:val="26"/>
          <w:szCs w:val="26"/>
        </w:rPr>
        <w:t xml:space="preserve">developed a plan to revamp the construction process by establishing a Construction Division </w:t>
      </w:r>
      <w:r w:rsidR="00FB000A" w:rsidRPr="00FB000A">
        <w:rPr>
          <w:sz w:val="26"/>
          <w:szCs w:val="26"/>
        </w:rPr>
        <w:t xml:space="preserve">with in-house employees and construction crews </w:t>
      </w:r>
      <w:r w:rsidRPr="00EB5688">
        <w:rPr>
          <w:sz w:val="26"/>
          <w:szCs w:val="26"/>
        </w:rPr>
        <w:t>that</w:t>
      </w:r>
      <w:r>
        <w:rPr>
          <w:sz w:val="26"/>
          <w:szCs w:val="26"/>
        </w:rPr>
        <w:t xml:space="preserve"> </w:t>
      </w:r>
      <w:r w:rsidRPr="00EB5688">
        <w:rPr>
          <w:sz w:val="26"/>
          <w:szCs w:val="26"/>
        </w:rPr>
        <w:t>would perform 100% of capital related construction work at Peoples, the Equitable Division and its</w:t>
      </w:r>
      <w:r>
        <w:rPr>
          <w:sz w:val="26"/>
          <w:szCs w:val="26"/>
        </w:rPr>
        <w:t xml:space="preserve"> </w:t>
      </w:r>
      <w:r w:rsidRPr="00EB5688">
        <w:rPr>
          <w:sz w:val="26"/>
          <w:szCs w:val="26"/>
        </w:rPr>
        <w:t>sister company – Peoples TWP</w:t>
      </w:r>
      <w:r w:rsidR="007E15DA">
        <w:rPr>
          <w:sz w:val="26"/>
          <w:szCs w:val="26"/>
        </w:rPr>
        <w:t>, LLC</w:t>
      </w:r>
      <w:r w:rsidRPr="00EB5688">
        <w:rPr>
          <w:sz w:val="26"/>
          <w:szCs w:val="26"/>
        </w:rPr>
        <w:t xml:space="preserve">. </w:t>
      </w:r>
    </w:p>
    <w:p w:rsidR="00EB5688" w:rsidRDefault="00EB5688" w:rsidP="00EB5688">
      <w:pPr>
        <w:pStyle w:val="p2"/>
        <w:widowControl/>
        <w:spacing w:line="360" w:lineRule="auto"/>
        <w:ind w:firstLine="1440"/>
        <w:rPr>
          <w:sz w:val="26"/>
          <w:szCs w:val="26"/>
        </w:rPr>
      </w:pPr>
    </w:p>
    <w:p w:rsidR="00EB5688" w:rsidRDefault="00EB5688" w:rsidP="00EB5688">
      <w:pPr>
        <w:pStyle w:val="p2"/>
        <w:widowControl/>
        <w:spacing w:line="360" w:lineRule="auto"/>
        <w:ind w:firstLine="1440"/>
        <w:rPr>
          <w:sz w:val="26"/>
          <w:szCs w:val="26"/>
        </w:rPr>
      </w:pPr>
      <w:r w:rsidRPr="00EB5688">
        <w:rPr>
          <w:sz w:val="26"/>
          <w:szCs w:val="26"/>
        </w:rPr>
        <w:lastRenderedPageBreak/>
        <w:t>The Construction</w:t>
      </w:r>
      <w:r>
        <w:rPr>
          <w:sz w:val="26"/>
          <w:szCs w:val="26"/>
        </w:rPr>
        <w:t xml:space="preserve"> </w:t>
      </w:r>
      <w:r w:rsidRPr="00EB5688">
        <w:rPr>
          <w:sz w:val="26"/>
          <w:szCs w:val="26"/>
        </w:rPr>
        <w:t>Division’s scope of work will include design, planning, construction, and restoration.</w:t>
      </w:r>
      <w:r w:rsidR="00B9207F">
        <w:rPr>
          <w:sz w:val="26"/>
          <w:szCs w:val="26"/>
        </w:rPr>
        <w:t xml:space="preserve"> </w:t>
      </w:r>
      <w:r w:rsidRPr="00EB5688">
        <w:rPr>
          <w:sz w:val="26"/>
          <w:szCs w:val="26"/>
        </w:rPr>
        <w:t xml:space="preserve"> </w:t>
      </w:r>
      <w:r w:rsidR="00902315">
        <w:rPr>
          <w:sz w:val="26"/>
          <w:szCs w:val="26"/>
        </w:rPr>
        <w:t>Peoples avers that t</w:t>
      </w:r>
      <w:r w:rsidRPr="00EB5688">
        <w:rPr>
          <w:sz w:val="26"/>
          <w:szCs w:val="26"/>
        </w:rPr>
        <w:t>he move to an</w:t>
      </w:r>
      <w:r>
        <w:rPr>
          <w:sz w:val="26"/>
          <w:szCs w:val="26"/>
        </w:rPr>
        <w:t xml:space="preserve"> </w:t>
      </w:r>
      <w:r w:rsidRPr="00EB5688">
        <w:rPr>
          <w:sz w:val="26"/>
          <w:szCs w:val="26"/>
        </w:rPr>
        <w:t>in-house staffed Construction Division will further improve the quality of capital work by reducing the</w:t>
      </w:r>
      <w:r>
        <w:rPr>
          <w:sz w:val="26"/>
          <w:szCs w:val="26"/>
        </w:rPr>
        <w:t xml:space="preserve"> </w:t>
      </w:r>
      <w:r w:rsidRPr="00EB5688">
        <w:rPr>
          <w:sz w:val="26"/>
          <w:szCs w:val="26"/>
        </w:rPr>
        <w:t>cycle time of “planning to restoration” and improving the efficiency and operating costs of all</w:t>
      </w:r>
      <w:r>
        <w:rPr>
          <w:sz w:val="26"/>
          <w:szCs w:val="26"/>
        </w:rPr>
        <w:t xml:space="preserve"> </w:t>
      </w:r>
      <w:r w:rsidRPr="00EB5688">
        <w:rPr>
          <w:sz w:val="26"/>
          <w:szCs w:val="26"/>
        </w:rPr>
        <w:t>construction activities.</w:t>
      </w:r>
      <w:r>
        <w:rPr>
          <w:sz w:val="26"/>
          <w:szCs w:val="26"/>
        </w:rPr>
        <w:t xml:space="preserve">  </w:t>
      </w:r>
      <w:r w:rsidRPr="00EB5688">
        <w:rPr>
          <w:sz w:val="26"/>
          <w:szCs w:val="26"/>
        </w:rPr>
        <w:t>The transition to a full Construction Division is expected to be a two</w:t>
      </w:r>
      <w:r w:rsidR="00050CEB">
        <w:rPr>
          <w:sz w:val="26"/>
          <w:szCs w:val="26"/>
        </w:rPr>
        <w:t>-</w:t>
      </w:r>
      <w:r w:rsidRPr="00EB5688">
        <w:rPr>
          <w:sz w:val="26"/>
          <w:szCs w:val="26"/>
        </w:rPr>
        <w:t>year process that will</w:t>
      </w:r>
      <w:r>
        <w:rPr>
          <w:sz w:val="26"/>
          <w:szCs w:val="26"/>
        </w:rPr>
        <w:t xml:space="preserve"> </w:t>
      </w:r>
      <w:r w:rsidRPr="00EB5688">
        <w:rPr>
          <w:sz w:val="26"/>
          <w:szCs w:val="26"/>
        </w:rPr>
        <w:t>continue through 2016.</w:t>
      </w:r>
      <w:r w:rsidR="00B9207F">
        <w:rPr>
          <w:sz w:val="26"/>
          <w:szCs w:val="26"/>
        </w:rPr>
        <w:t xml:space="preserve"> </w:t>
      </w:r>
      <w:r w:rsidRPr="00EB5688">
        <w:rPr>
          <w:sz w:val="26"/>
          <w:szCs w:val="26"/>
        </w:rPr>
        <w:t xml:space="preserve"> By the end of 2016, the Construction Division will be staffed with</w:t>
      </w:r>
      <w:r>
        <w:rPr>
          <w:sz w:val="26"/>
          <w:szCs w:val="26"/>
        </w:rPr>
        <w:t xml:space="preserve"> </w:t>
      </w:r>
      <w:r w:rsidRPr="00EB5688">
        <w:rPr>
          <w:sz w:val="26"/>
          <w:szCs w:val="26"/>
        </w:rPr>
        <w:t>superintendents, managers, supervisors, technicians and engineers</w:t>
      </w:r>
      <w:r w:rsidR="00050CEB">
        <w:rPr>
          <w:sz w:val="26"/>
          <w:szCs w:val="26"/>
        </w:rPr>
        <w:t>,</w:t>
      </w:r>
      <w:r w:rsidRPr="00EB5688">
        <w:rPr>
          <w:sz w:val="26"/>
          <w:szCs w:val="26"/>
        </w:rPr>
        <w:t xml:space="preserve"> as well as approximately 300 field</w:t>
      </w:r>
      <w:r>
        <w:rPr>
          <w:sz w:val="26"/>
          <w:szCs w:val="26"/>
        </w:rPr>
        <w:t xml:space="preserve"> </w:t>
      </w:r>
      <w:r w:rsidRPr="00EB5688">
        <w:rPr>
          <w:sz w:val="26"/>
          <w:szCs w:val="26"/>
        </w:rPr>
        <w:t>employees that will be located throughout our service territories to handle all construction and</w:t>
      </w:r>
      <w:r>
        <w:rPr>
          <w:sz w:val="26"/>
          <w:szCs w:val="26"/>
        </w:rPr>
        <w:t xml:space="preserve"> </w:t>
      </w:r>
      <w:r w:rsidRPr="00EB5688">
        <w:rPr>
          <w:sz w:val="26"/>
          <w:szCs w:val="26"/>
        </w:rPr>
        <w:t xml:space="preserve">restoration work. </w:t>
      </w:r>
      <w:r w:rsidR="00B9207F">
        <w:rPr>
          <w:sz w:val="26"/>
          <w:szCs w:val="26"/>
        </w:rPr>
        <w:t xml:space="preserve"> </w:t>
      </w:r>
      <w:r w:rsidRPr="00EB5688">
        <w:rPr>
          <w:sz w:val="26"/>
          <w:szCs w:val="26"/>
        </w:rPr>
        <w:t>Approximately 220 of these field employees (including field inspectors) will be</w:t>
      </w:r>
      <w:r>
        <w:rPr>
          <w:sz w:val="26"/>
          <w:szCs w:val="26"/>
        </w:rPr>
        <w:t xml:space="preserve"> </w:t>
      </w:r>
      <w:r w:rsidRPr="00EB5688">
        <w:rPr>
          <w:sz w:val="26"/>
          <w:szCs w:val="26"/>
        </w:rPr>
        <w:t xml:space="preserve">assigned to </w:t>
      </w:r>
      <w:r w:rsidR="00FB000A">
        <w:rPr>
          <w:sz w:val="26"/>
          <w:szCs w:val="26"/>
        </w:rPr>
        <w:t>45</w:t>
      </w:r>
      <w:r w:rsidRPr="00EB5688">
        <w:rPr>
          <w:sz w:val="26"/>
          <w:szCs w:val="26"/>
        </w:rPr>
        <w:t xml:space="preserve"> construction crews, and the remaining field employees (approximately 80)</w:t>
      </w:r>
      <w:r>
        <w:rPr>
          <w:sz w:val="26"/>
          <w:szCs w:val="26"/>
        </w:rPr>
        <w:t xml:space="preserve"> </w:t>
      </w:r>
      <w:r w:rsidRPr="00EB5688">
        <w:rPr>
          <w:sz w:val="26"/>
          <w:szCs w:val="26"/>
        </w:rPr>
        <w:t>will be responsible for restoration work.</w:t>
      </w:r>
    </w:p>
    <w:p w:rsidR="00EB5688" w:rsidRPr="00EB5688" w:rsidRDefault="00EB5688" w:rsidP="00EB5688">
      <w:pPr>
        <w:pStyle w:val="p2"/>
        <w:widowControl/>
        <w:spacing w:line="360" w:lineRule="auto"/>
        <w:ind w:firstLine="1440"/>
        <w:rPr>
          <w:sz w:val="26"/>
          <w:szCs w:val="26"/>
        </w:rPr>
      </w:pPr>
    </w:p>
    <w:p w:rsidR="00EB5688" w:rsidRDefault="00EB5688" w:rsidP="00EB5688">
      <w:pPr>
        <w:pStyle w:val="p2"/>
        <w:widowControl/>
        <w:spacing w:line="360" w:lineRule="auto"/>
        <w:ind w:firstLine="1440"/>
        <w:rPr>
          <w:sz w:val="26"/>
          <w:szCs w:val="26"/>
        </w:rPr>
      </w:pPr>
      <w:r w:rsidRPr="00EB5688">
        <w:rPr>
          <w:sz w:val="26"/>
          <w:szCs w:val="26"/>
        </w:rPr>
        <w:t xml:space="preserve">To address the seasonal nature of construction work in </w:t>
      </w:r>
      <w:r w:rsidR="00902315">
        <w:rPr>
          <w:sz w:val="26"/>
          <w:szCs w:val="26"/>
        </w:rPr>
        <w:t>Peoples’</w:t>
      </w:r>
      <w:r w:rsidRPr="00EB5688">
        <w:rPr>
          <w:sz w:val="26"/>
          <w:szCs w:val="26"/>
        </w:rPr>
        <w:t xml:space="preserve"> service territory, about 60% </w:t>
      </w:r>
      <w:r w:rsidR="00FB000A">
        <w:rPr>
          <w:sz w:val="26"/>
          <w:szCs w:val="26"/>
        </w:rPr>
        <w:t>(approximately</w:t>
      </w:r>
      <w:r w:rsidRPr="00EB5688">
        <w:rPr>
          <w:sz w:val="26"/>
          <w:szCs w:val="26"/>
        </w:rPr>
        <w:t xml:space="preserve"> 180</w:t>
      </w:r>
      <w:r w:rsidR="00FB000A">
        <w:rPr>
          <w:sz w:val="26"/>
          <w:szCs w:val="26"/>
        </w:rPr>
        <w:t>)</w:t>
      </w:r>
      <w:r>
        <w:rPr>
          <w:sz w:val="26"/>
          <w:szCs w:val="26"/>
        </w:rPr>
        <w:t xml:space="preserve"> </w:t>
      </w:r>
      <w:r w:rsidRPr="00EB5688">
        <w:rPr>
          <w:sz w:val="26"/>
          <w:szCs w:val="26"/>
        </w:rPr>
        <w:t>of the total field jobs will be staffed with “seasonal” employees who would be required to work only</w:t>
      </w:r>
      <w:r>
        <w:rPr>
          <w:sz w:val="26"/>
          <w:szCs w:val="26"/>
        </w:rPr>
        <w:t xml:space="preserve"> </w:t>
      </w:r>
      <w:r w:rsidRPr="00EB5688">
        <w:rPr>
          <w:sz w:val="26"/>
          <w:szCs w:val="26"/>
        </w:rPr>
        <w:t>during the construction season months of March through December of each year.</w:t>
      </w:r>
      <w:r w:rsidR="00B9207F">
        <w:rPr>
          <w:sz w:val="26"/>
          <w:szCs w:val="26"/>
        </w:rPr>
        <w:t xml:space="preserve"> </w:t>
      </w:r>
      <w:r w:rsidRPr="00EB5688">
        <w:rPr>
          <w:sz w:val="26"/>
          <w:szCs w:val="26"/>
        </w:rPr>
        <w:t xml:space="preserve"> For employee</w:t>
      </w:r>
      <w:r>
        <w:rPr>
          <w:sz w:val="26"/>
          <w:szCs w:val="26"/>
        </w:rPr>
        <w:t xml:space="preserve"> </w:t>
      </w:r>
      <w:r w:rsidRPr="00EB5688">
        <w:rPr>
          <w:sz w:val="26"/>
          <w:szCs w:val="26"/>
        </w:rPr>
        <w:t>benefits purposes, these seasonal employees will be considered full</w:t>
      </w:r>
      <w:r w:rsidR="00050CEB">
        <w:rPr>
          <w:sz w:val="26"/>
          <w:szCs w:val="26"/>
        </w:rPr>
        <w:t>-</w:t>
      </w:r>
      <w:r w:rsidRPr="00EB5688">
        <w:rPr>
          <w:sz w:val="26"/>
          <w:szCs w:val="26"/>
        </w:rPr>
        <w:t>time employees even though they</w:t>
      </w:r>
      <w:r>
        <w:rPr>
          <w:sz w:val="26"/>
          <w:szCs w:val="26"/>
        </w:rPr>
        <w:t xml:space="preserve"> </w:t>
      </w:r>
      <w:r w:rsidRPr="00EB5688">
        <w:rPr>
          <w:sz w:val="26"/>
          <w:szCs w:val="26"/>
        </w:rPr>
        <w:t>will work only ten months per year.</w:t>
      </w:r>
      <w:r w:rsidR="00B9207F">
        <w:rPr>
          <w:sz w:val="26"/>
          <w:szCs w:val="26"/>
        </w:rPr>
        <w:t xml:space="preserve"> </w:t>
      </w:r>
      <w:r w:rsidRPr="00EB5688">
        <w:rPr>
          <w:sz w:val="26"/>
          <w:szCs w:val="26"/>
        </w:rPr>
        <w:t xml:space="preserve"> Their pay for ten months of work will be paid over twelve months.</w:t>
      </w:r>
      <w:r>
        <w:rPr>
          <w:sz w:val="26"/>
          <w:szCs w:val="26"/>
        </w:rPr>
        <w:t xml:space="preserve"> </w:t>
      </w:r>
      <w:r w:rsidR="00B9207F">
        <w:rPr>
          <w:sz w:val="26"/>
          <w:szCs w:val="26"/>
        </w:rPr>
        <w:t xml:space="preserve"> </w:t>
      </w:r>
      <w:r w:rsidRPr="00EB5688">
        <w:rPr>
          <w:sz w:val="26"/>
          <w:szCs w:val="26"/>
        </w:rPr>
        <w:t>While the Construction Division employees will be dedicated to performing capital work, they</w:t>
      </w:r>
      <w:r>
        <w:rPr>
          <w:sz w:val="26"/>
          <w:szCs w:val="26"/>
        </w:rPr>
        <w:t xml:space="preserve"> </w:t>
      </w:r>
      <w:r w:rsidRPr="00EB5688">
        <w:rPr>
          <w:sz w:val="26"/>
          <w:szCs w:val="26"/>
        </w:rPr>
        <w:t xml:space="preserve">will be made available, on a limited basis, to support </w:t>
      </w:r>
      <w:r w:rsidR="002C19CA">
        <w:rPr>
          <w:sz w:val="26"/>
          <w:szCs w:val="26"/>
        </w:rPr>
        <w:t>Operations and Maintenance (</w:t>
      </w:r>
      <w:r w:rsidRPr="00EB5688">
        <w:rPr>
          <w:sz w:val="26"/>
          <w:szCs w:val="26"/>
        </w:rPr>
        <w:t>O&amp;M</w:t>
      </w:r>
      <w:r w:rsidR="002C19CA">
        <w:rPr>
          <w:sz w:val="26"/>
          <w:szCs w:val="26"/>
        </w:rPr>
        <w:t>)</w:t>
      </w:r>
      <w:r w:rsidRPr="00EB5688">
        <w:rPr>
          <w:sz w:val="26"/>
          <w:szCs w:val="26"/>
        </w:rPr>
        <w:t xml:space="preserve"> work activities</w:t>
      </w:r>
      <w:r w:rsidR="00FB000A">
        <w:rPr>
          <w:sz w:val="26"/>
          <w:szCs w:val="26"/>
        </w:rPr>
        <w:t>,</w:t>
      </w:r>
      <w:r w:rsidRPr="00EB5688">
        <w:rPr>
          <w:sz w:val="26"/>
          <w:szCs w:val="26"/>
        </w:rPr>
        <w:t xml:space="preserve"> such as </w:t>
      </w:r>
      <w:r>
        <w:rPr>
          <w:sz w:val="26"/>
          <w:szCs w:val="26"/>
        </w:rPr>
        <w:t>e</w:t>
      </w:r>
      <w:r w:rsidRPr="00EB5688">
        <w:rPr>
          <w:sz w:val="26"/>
          <w:szCs w:val="26"/>
        </w:rPr>
        <w:t>mergencies and</w:t>
      </w:r>
      <w:r>
        <w:rPr>
          <w:sz w:val="26"/>
          <w:szCs w:val="26"/>
        </w:rPr>
        <w:t xml:space="preserve"> </w:t>
      </w:r>
      <w:r w:rsidRPr="00EB5688">
        <w:rPr>
          <w:sz w:val="26"/>
          <w:szCs w:val="26"/>
        </w:rPr>
        <w:t>overtime call outs</w:t>
      </w:r>
      <w:r w:rsidR="00FB000A">
        <w:rPr>
          <w:sz w:val="26"/>
          <w:szCs w:val="26"/>
        </w:rPr>
        <w:t>,</w:t>
      </w:r>
      <w:r w:rsidRPr="00EB5688">
        <w:rPr>
          <w:sz w:val="26"/>
          <w:szCs w:val="26"/>
        </w:rPr>
        <w:t xml:space="preserve"> in order to ensure that all operations activities are done in the most cost</w:t>
      </w:r>
      <w:r w:rsidR="00050CEB">
        <w:rPr>
          <w:sz w:val="26"/>
          <w:szCs w:val="26"/>
        </w:rPr>
        <w:t>-</w:t>
      </w:r>
      <w:r w:rsidRPr="00EB5688">
        <w:rPr>
          <w:sz w:val="26"/>
          <w:szCs w:val="26"/>
        </w:rPr>
        <w:t>efficient</w:t>
      </w:r>
      <w:r>
        <w:rPr>
          <w:sz w:val="26"/>
          <w:szCs w:val="26"/>
        </w:rPr>
        <w:t xml:space="preserve"> </w:t>
      </w:r>
      <w:r w:rsidRPr="00EB5688">
        <w:rPr>
          <w:sz w:val="26"/>
          <w:szCs w:val="26"/>
        </w:rPr>
        <w:t xml:space="preserve">manner. </w:t>
      </w:r>
      <w:r w:rsidR="00B9207F">
        <w:rPr>
          <w:sz w:val="26"/>
          <w:szCs w:val="26"/>
        </w:rPr>
        <w:t xml:space="preserve"> </w:t>
      </w:r>
      <w:r w:rsidRPr="00EB5688">
        <w:rPr>
          <w:sz w:val="26"/>
          <w:szCs w:val="26"/>
        </w:rPr>
        <w:t>Should this occur, their time would be properly tracked and charged as an O&amp;M expense.</w:t>
      </w:r>
      <w:r>
        <w:rPr>
          <w:sz w:val="26"/>
          <w:szCs w:val="26"/>
        </w:rPr>
        <w:t xml:space="preserve"> </w:t>
      </w:r>
    </w:p>
    <w:p w:rsidR="00EB5688" w:rsidRDefault="00EB5688" w:rsidP="00EB5688">
      <w:pPr>
        <w:pStyle w:val="p2"/>
        <w:widowControl/>
        <w:spacing w:line="360" w:lineRule="auto"/>
        <w:ind w:firstLine="1440"/>
        <w:rPr>
          <w:sz w:val="26"/>
          <w:szCs w:val="26"/>
        </w:rPr>
      </w:pPr>
    </w:p>
    <w:p w:rsidR="00EB5688" w:rsidRDefault="00EB5688" w:rsidP="00D15B0F">
      <w:pPr>
        <w:pStyle w:val="p2"/>
        <w:widowControl/>
        <w:spacing w:line="360" w:lineRule="auto"/>
        <w:ind w:firstLine="1440"/>
        <w:rPr>
          <w:sz w:val="26"/>
          <w:szCs w:val="26"/>
        </w:rPr>
      </w:pPr>
      <w:r w:rsidRPr="00EB5688">
        <w:rPr>
          <w:sz w:val="26"/>
          <w:szCs w:val="26"/>
        </w:rPr>
        <w:t>The Company is establishing the in-house Construction Division in order to provide the optimal</w:t>
      </w:r>
      <w:r>
        <w:rPr>
          <w:sz w:val="26"/>
          <w:szCs w:val="26"/>
        </w:rPr>
        <w:t xml:space="preserve"> </w:t>
      </w:r>
      <w:r w:rsidRPr="00EB5688">
        <w:rPr>
          <w:sz w:val="26"/>
          <w:szCs w:val="26"/>
        </w:rPr>
        <w:t xml:space="preserve">level of service for </w:t>
      </w:r>
      <w:r w:rsidR="00902315">
        <w:rPr>
          <w:sz w:val="26"/>
          <w:szCs w:val="26"/>
        </w:rPr>
        <w:t>their</w:t>
      </w:r>
      <w:r w:rsidRPr="00EB5688">
        <w:rPr>
          <w:sz w:val="26"/>
          <w:szCs w:val="26"/>
        </w:rPr>
        <w:t xml:space="preserve"> customers over the 20-year period when the Company plans to replace all of its</w:t>
      </w:r>
      <w:r>
        <w:rPr>
          <w:sz w:val="26"/>
          <w:szCs w:val="26"/>
        </w:rPr>
        <w:t xml:space="preserve"> </w:t>
      </w:r>
      <w:r w:rsidRPr="00EB5688">
        <w:rPr>
          <w:sz w:val="26"/>
          <w:szCs w:val="26"/>
        </w:rPr>
        <w:t xml:space="preserve">bare steel pipe. </w:t>
      </w:r>
      <w:r w:rsidR="00B9207F">
        <w:rPr>
          <w:sz w:val="26"/>
          <w:szCs w:val="26"/>
        </w:rPr>
        <w:t xml:space="preserve"> </w:t>
      </w:r>
      <w:r w:rsidR="00902315">
        <w:rPr>
          <w:sz w:val="26"/>
          <w:szCs w:val="26"/>
        </w:rPr>
        <w:t>Peoples expects</w:t>
      </w:r>
      <w:r w:rsidRPr="00EB5688">
        <w:rPr>
          <w:sz w:val="26"/>
          <w:szCs w:val="26"/>
        </w:rPr>
        <w:t xml:space="preserve"> </w:t>
      </w:r>
      <w:r w:rsidR="00D15B0F">
        <w:rPr>
          <w:sz w:val="26"/>
          <w:szCs w:val="26"/>
        </w:rPr>
        <w:t>that</w:t>
      </w:r>
      <w:r w:rsidR="00D15B0F" w:rsidRPr="00EB5688">
        <w:rPr>
          <w:sz w:val="26"/>
          <w:szCs w:val="26"/>
        </w:rPr>
        <w:t xml:space="preserve"> </w:t>
      </w:r>
      <w:r w:rsidRPr="00EB5688">
        <w:rPr>
          <w:sz w:val="26"/>
          <w:szCs w:val="26"/>
        </w:rPr>
        <w:t xml:space="preserve">the </w:t>
      </w:r>
      <w:r w:rsidRPr="00EB5688">
        <w:rPr>
          <w:sz w:val="26"/>
          <w:szCs w:val="26"/>
        </w:rPr>
        <w:lastRenderedPageBreak/>
        <w:t>establishment of the Construction</w:t>
      </w:r>
      <w:r>
        <w:rPr>
          <w:sz w:val="26"/>
          <w:szCs w:val="26"/>
        </w:rPr>
        <w:t xml:space="preserve"> </w:t>
      </w:r>
      <w:r w:rsidRPr="00EB5688">
        <w:rPr>
          <w:sz w:val="26"/>
          <w:szCs w:val="26"/>
        </w:rPr>
        <w:t xml:space="preserve">Division </w:t>
      </w:r>
      <w:r w:rsidR="00D15B0F">
        <w:rPr>
          <w:sz w:val="26"/>
          <w:szCs w:val="26"/>
        </w:rPr>
        <w:t>will provide numerous benefits</w:t>
      </w:r>
      <w:r w:rsidR="008A384B">
        <w:rPr>
          <w:sz w:val="26"/>
          <w:szCs w:val="26"/>
        </w:rPr>
        <w:t>, some of which are listed below:</w:t>
      </w:r>
    </w:p>
    <w:p w:rsidR="008A384B" w:rsidRPr="00EB5688" w:rsidRDefault="008A384B" w:rsidP="00D15B0F">
      <w:pPr>
        <w:pStyle w:val="p2"/>
        <w:widowControl/>
        <w:spacing w:line="360" w:lineRule="auto"/>
        <w:ind w:firstLine="1440"/>
        <w:rPr>
          <w:sz w:val="26"/>
          <w:szCs w:val="26"/>
        </w:rPr>
      </w:pPr>
    </w:p>
    <w:p w:rsidR="00EB5688" w:rsidRDefault="00EB5688" w:rsidP="00E879B7">
      <w:pPr>
        <w:pStyle w:val="p2"/>
        <w:widowControl/>
        <w:numPr>
          <w:ilvl w:val="0"/>
          <w:numId w:val="48"/>
        </w:numPr>
        <w:spacing w:line="360" w:lineRule="auto"/>
        <w:rPr>
          <w:sz w:val="26"/>
          <w:szCs w:val="26"/>
        </w:rPr>
      </w:pPr>
      <w:r w:rsidRPr="00EB5688">
        <w:rPr>
          <w:sz w:val="26"/>
          <w:szCs w:val="26"/>
        </w:rPr>
        <w:t>Improved quality of service and reduced construction times</w:t>
      </w:r>
      <w:r w:rsidR="00050CEB">
        <w:rPr>
          <w:sz w:val="26"/>
          <w:szCs w:val="26"/>
        </w:rPr>
        <w:t>;</w:t>
      </w:r>
    </w:p>
    <w:p w:rsidR="00EB5688" w:rsidRPr="00EB5688" w:rsidRDefault="00EB5688" w:rsidP="00E879B7">
      <w:pPr>
        <w:pStyle w:val="p2"/>
        <w:widowControl/>
        <w:numPr>
          <w:ilvl w:val="0"/>
          <w:numId w:val="48"/>
        </w:numPr>
        <w:spacing w:line="360" w:lineRule="auto"/>
        <w:rPr>
          <w:sz w:val="26"/>
          <w:szCs w:val="26"/>
        </w:rPr>
      </w:pPr>
      <w:r w:rsidRPr="00EB5688">
        <w:rPr>
          <w:sz w:val="26"/>
          <w:szCs w:val="26"/>
        </w:rPr>
        <w:t>Develop, and better enforce, all construction performance metrics as an in-house</w:t>
      </w:r>
      <w:r>
        <w:rPr>
          <w:sz w:val="26"/>
          <w:szCs w:val="26"/>
        </w:rPr>
        <w:t xml:space="preserve"> </w:t>
      </w:r>
      <w:r w:rsidRPr="00EB5688">
        <w:rPr>
          <w:sz w:val="26"/>
          <w:szCs w:val="26"/>
        </w:rPr>
        <w:t>service</w:t>
      </w:r>
      <w:r w:rsidR="00050CEB">
        <w:rPr>
          <w:sz w:val="26"/>
          <w:szCs w:val="26"/>
        </w:rPr>
        <w:t>;</w:t>
      </w:r>
    </w:p>
    <w:p w:rsidR="00EB5688" w:rsidRPr="00EB5688" w:rsidRDefault="00EB5688" w:rsidP="00E879B7">
      <w:pPr>
        <w:pStyle w:val="p2"/>
        <w:widowControl/>
        <w:numPr>
          <w:ilvl w:val="0"/>
          <w:numId w:val="48"/>
        </w:numPr>
        <w:spacing w:line="360" w:lineRule="auto"/>
        <w:rPr>
          <w:sz w:val="26"/>
          <w:szCs w:val="26"/>
        </w:rPr>
      </w:pPr>
      <w:r w:rsidRPr="00EB5688">
        <w:rPr>
          <w:sz w:val="26"/>
          <w:szCs w:val="26"/>
        </w:rPr>
        <w:t>Enhance</w:t>
      </w:r>
      <w:r w:rsidR="00DD41A6">
        <w:rPr>
          <w:sz w:val="26"/>
          <w:szCs w:val="26"/>
        </w:rPr>
        <w:t>d</w:t>
      </w:r>
      <w:r w:rsidRPr="00EB5688">
        <w:rPr>
          <w:sz w:val="26"/>
          <w:szCs w:val="26"/>
        </w:rPr>
        <w:t xml:space="preserve"> partnering with local and regional government agencies and other utilities to</w:t>
      </w:r>
      <w:r>
        <w:rPr>
          <w:sz w:val="26"/>
          <w:szCs w:val="26"/>
        </w:rPr>
        <w:t xml:space="preserve"> </w:t>
      </w:r>
      <w:r w:rsidRPr="00EB5688">
        <w:rPr>
          <w:sz w:val="26"/>
          <w:szCs w:val="26"/>
        </w:rPr>
        <w:t>improve coordination of various projects</w:t>
      </w:r>
      <w:r w:rsidR="00050CEB">
        <w:rPr>
          <w:sz w:val="26"/>
          <w:szCs w:val="26"/>
        </w:rPr>
        <w:t>;</w:t>
      </w:r>
    </w:p>
    <w:p w:rsidR="00EB5688" w:rsidRPr="00EB5688" w:rsidRDefault="00EB5688" w:rsidP="00E879B7">
      <w:pPr>
        <w:pStyle w:val="p2"/>
        <w:widowControl/>
        <w:numPr>
          <w:ilvl w:val="0"/>
          <w:numId w:val="48"/>
        </w:numPr>
        <w:spacing w:line="360" w:lineRule="auto"/>
        <w:rPr>
          <w:sz w:val="26"/>
          <w:szCs w:val="26"/>
        </w:rPr>
      </w:pPr>
      <w:r w:rsidRPr="00EB5688">
        <w:rPr>
          <w:sz w:val="26"/>
          <w:szCs w:val="26"/>
        </w:rPr>
        <w:t xml:space="preserve">Better coordination of all construction phases </w:t>
      </w:r>
      <w:r w:rsidR="00DD41A6">
        <w:rPr>
          <w:sz w:val="26"/>
          <w:szCs w:val="26"/>
        </w:rPr>
        <w:t xml:space="preserve">that </w:t>
      </w:r>
      <w:r w:rsidRPr="00EB5688">
        <w:rPr>
          <w:sz w:val="26"/>
          <w:szCs w:val="26"/>
        </w:rPr>
        <w:t>will reduce time between planning,</w:t>
      </w:r>
      <w:r>
        <w:rPr>
          <w:sz w:val="26"/>
          <w:szCs w:val="26"/>
        </w:rPr>
        <w:t xml:space="preserve"> </w:t>
      </w:r>
      <w:r w:rsidRPr="00EB5688">
        <w:rPr>
          <w:sz w:val="26"/>
          <w:szCs w:val="26"/>
        </w:rPr>
        <w:t>design, construction, and permanent restoration</w:t>
      </w:r>
      <w:r w:rsidR="00050CEB">
        <w:rPr>
          <w:sz w:val="26"/>
          <w:szCs w:val="26"/>
        </w:rPr>
        <w:t>;</w:t>
      </w:r>
    </w:p>
    <w:p w:rsidR="00EB5688" w:rsidRPr="00EB5688" w:rsidRDefault="00DD41A6" w:rsidP="00E879B7">
      <w:pPr>
        <w:pStyle w:val="p2"/>
        <w:widowControl/>
        <w:numPr>
          <w:ilvl w:val="0"/>
          <w:numId w:val="48"/>
        </w:numPr>
        <w:spacing w:line="360" w:lineRule="auto"/>
        <w:rPr>
          <w:sz w:val="26"/>
          <w:szCs w:val="26"/>
        </w:rPr>
      </w:pPr>
      <w:r>
        <w:rPr>
          <w:sz w:val="26"/>
          <w:szCs w:val="26"/>
        </w:rPr>
        <w:t>Partnering</w:t>
      </w:r>
      <w:r w:rsidR="00EB5688" w:rsidRPr="00EB5688">
        <w:rPr>
          <w:sz w:val="26"/>
          <w:szCs w:val="26"/>
        </w:rPr>
        <w:t xml:space="preserve"> with a proven high quality restoration company on</w:t>
      </w:r>
      <w:r w:rsidR="00EB5688">
        <w:rPr>
          <w:sz w:val="26"/>
          <w:szCs w:val="26"/>
        </w:rPr>
        <w:t xml:space="preserve"> </w:t>
      </w:r>
      <w:r w:rsidR="00EB5688" w:rsidRPr="00EB5688">
        <w:rPr>
          <w:sz w:val="26"/>
          <w:szCs w:val="26"/>
        </w:rPr>
        <w:t>a transitional basis to assist with initial restoration work and provide training/oversight</w:t>
      </w:r>
      <w:r w:rsidR="00EB5688">
        <w:rPr>
          <w:sz w:val="26"/>
          <w:szCs w:val="26"/>
        </w:rPr>
        <w:t xml:space="preserve"> </w:t>
      </w:r>
      <w:r w:rsidR="00EB5688" w:rsidRPr="00EB5688">
        <w:rPr>
          <w:sz w:val="26"/>
          <w:szCs w:val="26"/>
        </w:rPr>
        <w:t>of Peoples Companies’ new restoration employees</w:t>
      </w:r>
      <w:r w:rsidR="00050CEB">
        <w:rPr>
          <w:sz w:val="26"/>
          <w:szCs w:val="26"/>
        </w:rPr>
        <w:t>; and</w:t>
      </w:r>
    </w:p>
    <w:p w:rsidR="00EB5688" w:rsidRPr="00EB5688" w:rsidRDefault="00EB5688" w:rsidP="00E879B7">
      <w:pPr>
        <w:pStyle w:val="p2"/>
        <w:widowControl/>
        <w:numPr>
          <w:ilvl w:val="0"/>
          <w:numId w:val="48"/>
        </w:numPr>
        <w:spacing w:line="360" w:lineRule="auto"/>
        <w:rPr>
          <w:sz w:val="26"/>
          <w:szCs w:val="26"/>
        </w:rPr>
      </w:pPr>
      <w:r w:rsidRPr="00EB5688">
        <w:rPr>
          <w:sz w:val="26"/>
          <w:szCs w:val="26"/>
        </w:rPr>
        <w:t xml:space="preserve">Better </w:t>
      </w:r>
      <w:r w:rsidR="006675C8">
        <w:rPr>
          <w:sz w:val="26"/>
          <w:szCs w:val="26"/>
        </w:rPr>
        <w:t>ass</w:t>
      </w:r>
      <w:r w:rsidR="006675C8" w:rsidRPr="00EB5688">
        <w:rPr>
          <w:sz w:val="26"/>
          <w:szCs w:val="26"/>
        </w:rPr>
        <w:t>ur</w:t>
      </w:r>
      <w:r w:rsidR="006675C8">
        <w:rPr>
          <w:sz w:val="26"/>
          <w:szCs w:val="26"/>
        </w:rPr>
        <w:t>ance</w:t>
      </w:r>
      <w:r w:rsidRPr="00EB5688">
        <w:rPr>
          <w:sz w:val="26"/>
          <w:szCs w:val="26"/>
        </w:rPr>
        <w:t xml:space="preserve"> that technical skills and operator qualification training is performed and</w:t>
      </w:r>
      <w:r>
        <w:rPr>
          <w:sz w:val="26"/>
          <w:szCs w:val="26"/>
        </w:rPr>
        <w:t xml:space="preserve"> </w:t>
      </w:r>
      <w:r w:rsidRPr="00EB5688">
        <w:rPr>
          <w:sz w:val="26"/>
          <w:szCs w:val="26"/>
        </w:rPr>
        <w:t>updated; avoid</w:t>
      </w:r>
      <w:r w:rsidR="00DD41A6">
        <w:rPr>
          <w:sz w:val="26"/>
          <w:szCs w:val="26"/>
        </w:rPr>
        <w:t>ed</w:t>
      </w:r>
      <w:r w:rsidRPr="00EB5688">
        <w:rPr>
          <w:sz w:val="26"/>
          <w:szCs w:val="26"/>
        </w:rPr>
        <w:t xml:space="preserve"> challenges of ensuring contractor compliance with skills/OQ training</w:t>
      </w:r>
      <w:r>
        <w:rPr>
          <w:sz w:val="26"/>
          <w:szCs w:val="26"/>
        </w:rPr>
        <w:t xml:space="preserve"> </w:t>
      </w:r>
      <w:r w:rsidRPr="00EB5688">
        <w:rPr>
          <w:sz w:val="26"/>
          <w:szCs w:val="26"/>
        </w:rPr>
        <w:t>requirements</w:t>
      </w:r>
      <w:r w:rsidR="00050CEB">
        <w:rPr>
          <w:sz w:val="26"/>
          <w:szCs w:val="26"/>
        </w:rPr>
        <w:t>.</w:t>
      </w:r>
    </w:p>
    <w:p w:rsidR="00EB5688" w:rsidRPr="00EB5688" w:rsidRDefault="00EB5688" w:rsidP="00EB5688">
      <w:pPr>
        <w:pStyle w:val="p2"/>
        <w:widowControl/>
        <w:spacing w:line="360" w:lineRule="auto"/>
        <w:ind w:firstLine="1440"/>
        <w:rPr>
          <w:sz w:val="26"/>
          <w:szCs w:val="26"/>
        </w:rPr>
      </w:pPr>
    </w:p>
    <w:p w:rsidR="00EB5688" w:rsidRDefault="00902315" w:rsidP="002C19CA">
      <w:pPr>
        <w:pStyle w:val="p2"/>
        <w:widowControl/>
        <w:spacing w:line="360" w:lineRule="auto"/>
        <w:rPr>
          <w:sz w:val="26"/>
          <w:szCs w:val="26"/>
        </w:rPr>
      </w:pPr>
      <w:r>
        <w:rPr>
          <w:sz w:val="26"/>
          <w:szCs w:val="26"/>
        </w:rPr>
        <w:t>Peoples states that t</w:t>
      </w:r>
      <w:r w:rsidR="00EB5688" w:rsidRPr="00EB5688">
        <w:rPr>
          <w:sz w:val="26"/>
          <w:szCs w:val="26"/>
        </w:rPr>
        <w:t>he Peoples’ Companies</w:t>
      </w:r>
      <w:r w:rsidR="00DD41A6">
        <w:rPr>
          <w:sz w:val="26"/>
          <w:szCs w:val="26"/>
        </w:rPr>
        <w:t>,</w:t>
      </w:r>
      <w:r w:rsidR="00EB5688" w:rsidRPr="00EB5688">
        <w:rPr>
          <w:sz w:val="26"/>
          <w:szCs w:val="26"/>
        </w:rPr>
        <w:t xml:space="preserve"> as well as other natural gas distribution companies in </w:t>
      </w:r>
      <w:r>
        <w:rPr>
          <w:sz w:val="26"/>
          <w:szCs w:val="26"/>
        </w:rPr>
        <w:t>their</w:t>
      </w:r>
      <w:r w:rsidR="00EB5688">
        <w:rPr>
          <w:sz w:val="26"/>
          <w:szCs w:val="26"/>
        </w:rPr>
        <w:t xml:space="preserve"> </w:t>
      </w:r>
      <w:r w:rsidR="00EB5688" w:rsidRPr="00EB5688">
        <w:rPr>
          <w:sz w:val="26"/>
          <w:szCs w:val="26"/>
        </w:rPr>
        <w:t>region</w:t>
      </w:r>
      <w:r w:rsidR="00DD41A6">
        <w:rPr>
          <w:sz w:val="26"/>
          <w:szCs w:val="26"/>
        </w:rPr>
        <w:t>,</w:t>
      </w:r>
      <w:r w:rsidR="00EB5688" w:rsidRPr="00EB5688">
        <w:rPr>
          <w:sz w:val="26"/>
          <w:szCs w:val="26"/>
        </w:rPr>
        <w:t xml:space="preserve"> have begun and will continue to pursue accelerated pipeline replacement</w:t>
      </w:r>
      <w:r w:rsidR="00EB5688">
        <w:rPr>
          <w:sz w:val="26"/>
          <w:szCs w:val="26"/>
        </w:rPr>
        <w:t xml:space="preserve"> </w:t>
      </w:r>
      <w:r w:rsidR="00EB5688" w:rsidRPr="00EB5688">
        <w:rPr>
          <w:sz w:val="26"/>
          <w:szCs w:val="26"/>
        </w:rPr>
        <w:t>programs.</w:t>
      </w:r>
      <w:r w:rsidR="00B9207F">
        <w:rPr>
          <w:sz w:val="26"/>
          <w:szCs w:val="26"/>
        </w:rPr>
        <w:t xml:space="preserve"> </w:t>
      </w:r>
      <w:r w:rsidR="00EB5688" w:rsidRPr="00EB5688">
        <w:rPr>
          <w:sz w:val="26"/>
          <w:szCs w:val="26"/>
        </w:rPr>
        <w:t xml:space="preserve"> Also, abundant Marcellus shale production, which is located throughout</w:t>
      </w:r>
      <w:r w:rsidR="00EB5688">
        <w:rPr>
          <w:sz w:val="26"/>
          <w:szCs w:val="26"/>
        </w:rPr>
        <w:t xml:space="preserve"> </w:t>
      </w:r>
      <w:r w:rsidR="00EB5688" w:rsidRPr="00EB5688">
        <w:rPr>
          <w:sz w:val="26"/>
          <w:szCs w:val="26"/>
        </w:rPr>
        <w:t>Peoples’ service territory, has spurred new pipeline construction that</w:t>
      </w:r>
      <w:r>
        <w:rPr>
          <w:sz w:val="26"/>
          <w:szCs w:val="26"/>
        </w:rPr>
        <w:t xml:space="preserve"> Peoples expects</w:t>
      </w:r>
      <w:r w:rsidR="00EB5688" w:rsidRPr="00EB5688">
        <w:rPr>
          <w:sz w:val="26"/>
          <w:szCs w:val="26"/>
        </w:rPr>
        <w:t xml:space="preserve"> to</w:t>
      </w:r>
      <w:r w:rsidR="00EB5688">
        <w:rPr>
          <w:sz w:val="26"/>
          <w:szCs w:val="26"/>
        </w:rPr>
        <w:t xml:space="preserve"> </w:t>
      </w:r>
      <w:r w:rsidR="00EB5688" w:rsidRPr="00EB5688">
        <w:rPr>
          <w:sz w:val="26"/>
          <w:szCs w:val="26"/>
        </w:rPr>
        <w:t>increase over the next few years as more pipeline projects are built to ship natural gas</w:t>
      </w:r>
      <w:r w:rsidR="00EB5688">
        <w:rPr>
          <w:sz w:val="26"/>
          <w:szCs w:val="26"/>
        </w:rPr>
        <w:t xml:space="preserve"> </w:t>
      </w:r>
      <w:r w:rsidR="00EB5688" w:rsidRPr="00EB5688">
        <w:rPr>
          <w:sz w:val="26"/>
          <w:szCs w:val="26"/>
        </w:rPr>
        <w:t xml:space="preserve">out of our region. </w:t>
      </w:r>
      <w:r w:rsidR="00B9207F">
        <w:rPr>
          <w:sz w:val="26"/>
          <w:szCs w:val="26"/>
        </w:rPr>
        <w:t xml:space="preserve"> </w:t>
      </w:r>
      <w:proofErr w:type="gramStart"/>
      <w:r w:rsidR="00DD41A6">
        <w:rPr>
          <w:sz w:val="26"/>
          <w:szCs w:val="26"/>
        </w:rPr>
        <w:t>Peoples believes</w:t>
      </w:r>
      <w:proofErr w:type="gramEnd"/>
      <w:r w:rsidR="00DD41A6">
        <w:rPr>
          <w:sz w:val="26"/>
          <w:szCs w:val="26"/>
        </w:rPr>
        <w:t xml:space="preserve"> t</w:t>
      </w:r>
      <w:r w:rsidR="00EB5688" w:rsidRPr="00EB5688">
        <w:rPr>
          <w:sz w:val="26"/>
          <w:szCs w:val="26"/>
        </w:rPr>
        <w:t>hese initiatives have</w:t>
      </w:r>
      <w:r w:rsidR="00255D27">
        <w:rPr>
          <w:sz w:val="26"/>
          <w:szCs w:val="26"/>
        </w:rPr>
        <w:t xml:space="preserve"> increased,</w:t>
      </w:r>
      <w:r w:rsidR="00EB5688" w:rsidRPr="00EB5688">
        <w:rPr>
          <w:sz w:val="26"/>
          <w:szCs w:val="26"/>
        </w:rPr>
        <w:t xml:space="preserve"> and will continue to increase</w:t>
      </w:r>
      <w:r w:rsidR="00255D27">
        <w:rPr>
          <w:sz w:val="26"/>
          <w:szCs w:val="26"/>
        </w:rPr>
        <w:t>,</w:t>
      </w:r>
      <w:r w:rsidR="00EB5688" w:rsidRPr="00EB5688">
        <w:rPr>
          <w:sz w:val="26"/>
          <w:szCs w:val="26"/>
        </w:rPr>
        <w:t xml:space="preserve"> the demand for</w:t>
      </w:r>
      <w:r w:rsidR="00EB5688">
        <w:rPr>
          <w:sz w:val="26"/>
          <w:szCs w:val="26"/>
        </w:rPr>
        <w:t xml:space="preserve"> </w:t>
      </w:r>
      <w:r w:rsidR="00EB5688" w:rsidRPr="00EB5688">
        <w:rPr>
          <w:sz w:val="26"/>
          <w:szCs w:val="26"/>
        </w:rPr>
        <w:t>pipeline contractors to perform work on the development and replacement of pipeline</w:t>
      </w:r>
      <w:r w:rsidR="00EB5688">
        <w:rPr>
          <w:sz w:val="26"/>
          <w:szCs w:val="26"/>
        </w:rPr>
        <w:t xml:space="preserve"> </w:t>
      </w:r>
      <w:r w:rsidR="00EB5688" w:rsidRPr="00EB5688">
        <w:rPr>
          <w:sz w:val="26"/>
          <w:szCs w:val="26"/>
        </w:rPr>
        <w:t xml:space="preserve">infrastructure. </w:t>
      </w:r>
      <w:r w:rsidR="00B9207F">
        <w:rPr>
          <w:sz w:val="26"/>
          <w:szCs w:val="26"/>
        </w:rPr>
        <w:t xml:space="preserve"> </w:t>
      </w:r>
      <w:r>
        <w:rPr>
          <w:sz w:val="26"/>
          <w:szCs w:val="26"/>
        </w:rPr>
        <w:t>Peoples explains that the</w:t>
      </w:r>
      <w:r w:rsidR="00EB5688" w:rsidRPr="00EB5688">
        <w:rPr>
          <w:sz w:val="26"/>
          <w:szCs w:val="26"/>
        </w:rPr>
        <w:t xml:space="preserve"> increased demand for trained and capable pipeline contractors has</w:t>
      </w:r>
      <w:r w:rsidR="00EB5688">
        <w:rPr>
          <w:sz w:val="26"/>
          <w:szCs w:val="26"/>
        </w:rPr>
        <w:t xml:space="preserve"> </w:t>
      </w:r>
      <w:r w:rsidR="00EB5688" w:rsidRPr="00EB5688">
        <w:rPr>
          <w:sz w:val="26"/>
          <w:szCs w:val="26"/>
        </w:rPr>
        <w:t>increased the cost for such services and is expected to continue to increase</w:t>
      </w:r>
      <w:r w:rsidR="00915D5E">
        <w:rPr>
          <w:sz w:val="26"/>
          <w:szCs w:val="26"/>
        </w:rPr>
        <w:t xml:space="preserve"> further</w:t>
      </w:r>
      <w:r w:rsidR="00EB5688" w:rsidRPr="00EB5688">
        <w:rPr>
          <w:sz w:val="26"/>
          <w:szCs w:val="26"/>
        </w:rPr>
        <w:t xml:space="preserve"> in the</w:t>
      </w:r>
      <w:r w:rsidR="00EB5688">
        <w:rPr>
          <w:sz w:val="26"/>
          <w:szCs w:val="26"/>
        </w:rPr>
        <w:t xml:space="preserve"> </w:t>
      </w:r>
      <w:r w:rsidR="00EB5688" w:rsidRPr="00EB5688">
        <w:rPr>
          <w:sz w:val="26"/>
          <w:szCs w:val="26"/>
        </w:rPr>
        <w:t xml:space="preserve">coming years. </w:t>
      </w:r>
      <w:r w:rsidR="00B9207F">
        <w:rPr>
          <w:sz w:val="26"/>
          <w:szCs w:val="26"/>
        </w:rPr>
        <w:t xml:space="preserve"> </w:t>
      </w:r>
      <w:r w:rsidR="00DD41A6">
        <w:rPr>
          <w:sz w:val="26"/>
          <w:szCs w:val="26"/>
        </w:rPr>
        <w:t>Peoples believes b</w:t>
      </w:r>
      <w:r w:rsidR="00EB5688" w:rsidRPr="00EB5688">
        <w:rPr>
          <w:sz w:val="26"/>
          <w:szCs w:val="26"/>
        </w:rPr>
        <w:t xml:space="preserve">ringing this work in-house will provide insulation from </w:t>
      </w:r>
      <w:r w:rsidR="00EB5688" w:rsidRPr="00EB5688">
        <w:rPr>
          <w:sz w:val="26"/>
          <w:szCs w:val="26"/>
        </w:rPr>
        <w:lastRenderedPageBreak/>
        <w:t>this</w:t>
      </w:r>
      <w:r w:rsidR="00EB5688">
        <w:rPr>
          <w:sz w:val="26"/>
          <w:szCs w:val="26"/>
        </w:rPr>
        <w:t xml:space="preserve"> </w:t>
      </w:r>
      <w:r w:rsidR="00EB5688" w:rsidRPr="00EB5688">
        <w:rPr>
          <w:sz w:val="26"/>
          <w:szCs w:val="26"/>
        </w:rPr>
        <w:t>supply/demand driven cost escalation and help to control the labor costs for</w:t>
      </w:r>
      <w:r w:rsidR="00EB5688">
        <w:rPr>
          <w:sz w:val="26"/>
          <w:szCs w:val="26"/>
        </w:rPr>
        <w:t xml:space="preserve"> </w:t>
      </w:r>
      <w:r w:rsidR="00EB5688" w:rsidRPr="00EB5688">
        <w:rPr>
          <w:sz w:val="26"/>
          <w:szCs w:val="26"/>
        </w:rPr>
        <w:t>construction related work.</w:t>
      </w:r>
      <w:r w:rsidR="00EB5688">
        <w:rPr>
          <w:sz w:val="26"/>
          <w:szCs w:val="26"/>
        </w:rPr>
        <w:t xml:space="preserve">  </w:t>
      </w:r>
    </w:p>
    <w:p w:rsidR="00EB5688" w:rsidRDefault="00EB5688" w:rsidP="00EB5688">
      <w:pPr>
        <w:pStyle w:val="p2"/>
        <w:widowControl/>
        <w:spacing w:line="360" w:lineRule="auto"/>
        <w:ind w:firstLine="1440"/>
        <w:rPr>
          <w:sz w:val="26"/>
          <w:szCs w:val="26"/>
        </w:rPr>
      </w:pPr>
    </w:p>
    <w:p w:rsidR="00EB5688" w:rsidRDefault="00EB5688" w:rsidP="00EB5688">
      <w:pPr>
        <w:pStyle w:val="p2"/>
        <w:widowControl/>
        <w:spacing w:line="360" w:lineRule="auto"/>
        <w:ind w:firstLine="1440"/>
        <w:rPr>
          <w:sz w:val="26"/>
          <w:szCs w:val="26"/>
        </w:rPr>
      </w:pPr>
      <w:r w:rsidRPr="00EB5688">
        <w:rPr>
          <w:sz w:val="26"/>
          <w:szCs w:val="26"/>
        </w:rPr>
        <w:t>In order to outfit the newly formed construction crews, the Company will need to purchase</w:t>
      </w:r>
      <w:r>
        <w:rPr>
          <w:sz w:val="26"/>
          <w:szCs w:val="26"/>
        </w:rPr>
        <w:t xml:space="preserve"> </w:t>
      </w:r>
      <w:r w:rsidRPr="00EB5688">
        <w:rPr>
          <w:sz w:val="26"/>
          <w:szCs w:val="26"/>
        </w:rPr>
        <w:t>various vehicles and miscellaneous tools/equipment including: gang trucks with compressors, trailers,</w:t>
      </w:r>
      <w:r>
        <w:rPr>
          <w:sz w:val="26"/>
          <w:szCs w:val="26"/>
        </w:rPr>
        <w:t xml:space="preserve"> </w:t>
      </w:r>
      <w:r w:rsidRPr="00EB5688">
        <w:rPr>
          <w:sz w:val="26"/>
          <w:szCs w:val="26"/>
        </w:rPr>
        <w:t>backhoes, mini-excavators, dump trucks, pick-up trucks, fusion machines, pipe squeeze units and</w:t>
      </w:r>
      <w:r>
        <w:rPr>
          <w:sz w:val="26"/>
          <w:szCs w:val="26"/>
        </w:rPr>
        <w:t xml:space="preserve"> </w:t>
      </w:r>
      <w:r w:rsidRPr="00EB5688">
        <w:rPr>
          <w:sz w:val="26"/>
          <w:szCs w:val="26"/>
        </w:rPr>
        <w:t>miscellaneous tools such as concreate saws and tamping machines.</w:t>
      </w:r>
      <w:r w:rsidR="00B9207F">
        <w:rPr>
          <w:sz w:val="26"/>
          <w:szCs w:val="26"/>
        </w:rPr>
        <w:t xml:space="preserve"> </w:t>
      </w:r>
      <w:r w:rsidRPr="00EB5688">
        <w:rPr>
          <w:sz w:val="26"/>
          <w:szCs w:val="26"/>
        </w:rPr>
        <w:t xml:space="preserve"> Also required are some larger</w:t>
      </w:r>
      <w:r>
        <w:rPr>
          <w:sz w:val="26"/>
          <w:szCs w:val="26"/>
        </w:rPr>
        <w:t xml:space="preserve"> </w:t>
      </w:r>
      <w:r w:rsidRPr="00EB5688">
        <w:rPr>
          <w:sz w:val="26"/>
          <w:szCs w:val="26"/>
        </w:rPr>
        <w:t>items such as tri-axle tandem dump trucks, skid loaders, pipe trailers</w:t>
      </w:r>
      <w:r w:rsidR="00915D5E">
        <w:rPr>
          <w:sz w:val="26"/>
          <w:szCs w:val="26"/>
        </w:rPr>
        <w:t>,</w:t>
      </w:r>
      <w:r w:rsidRPr="00EB5688">
        <w:rPr>
          <w:sz w:val="26"/>
          <w:szCs w:val="26"/>
        </w:rPr>
        <w:t xml:space="preserve"> and larger scale excavators. </w:t>
      </w:r>
      <w:r w:rsidR="00B9207F">
        <w:rPr>
          <w:sz w:val="26"/>
          <w:szCs w:val="26"/>
        </w:rPr>
        <w:t xml:space="preserve"> </w:t>
      </w:r>
      <w:r w:rsidRPr="00EB5688">
        <w:rPr>
          <w:sz w:val="26"/>
          <w:szCs w:val="26"/>
        </w:rPr>
        <w:t>The</w:t>
      </w:r>
      <w:r>
        <w:rPr>
          <w:sz w:val="26"/>
          <w:szCs w:val="26"/>
        </w:rPr>
        <w:t xml:space="preserve"> </w:t>
      </w:r>
      <w:r w:rsidR="00902315">
        <w:rPr>
          <w:sz w:val="26"/>
          <w:szCs w:val="26"/>
        </w:rPr>
        <w:t>C</w:t>
      </w:r>
      <w:r w:rsidRPr="00EB5688">
        <w:rPr>
          <w:sz w:val="26"/>
          <w:szCs w:val="26"/>
        </w:rPr>
        <w:t>ompany beg</w:t>
      </w:r>
      <w:r w:rsidR="00255D27">
        <w:rPr>
          <w:sz w:val="26"/>
          <w:szCs w:val="26"/>
        </w:rPr>
        <w:t>a</w:t>
      </w:r>
      <w:r w:rsidRPr="00EB5688">
        <w:rPr>
          <w:sz w:val="26"/>
          <w:szCs w:val="26"/>
        </w:rPr>
        <w:t xml:space="preserve">n purchasing these items in 2015 </w:t>
      </w:r>
      <w:r w:rsidR="00255D27">
        <w:rPr>
          <w:sz w:val="26"/>
          <w:szCs w:val="26"/>
        </w:rPr>
        <w:t>but</w:t>
      </w:r>
      <w:r w:rsidR="00255D27" w:rsidRPr="00EB5688">
        <w:rPr>
          <w:sz w:val="26"/>
          <w:szCs w:val="26"/>
        </w:rPr>
        <w:t xml:space="preserve"> </w:t>
      </w:r>
      <w:r w:rsidRPr="00EB5688">
        <w:rPr>
          <w:sz w:val="26"/>
          <w:szCs w:val="26"/>
        </w:rPr>
        <w:t>expects the bulk of these purchases to occur</w:t>
      </w:r>
      <w:r>
        <w:rPr>
          <w:sz w:val="26"/>
          <w:szCs w:val="26"/>
        </w:rPr>
        <w:t xml:space="preserve"> </w:t>
      </w:r>
      <w:r w:rsidRPr="00EB5688">
        <w:rPr>
          <w:sz w:val="26"/>
          <w:szCs w:val="26"/>
        </w:rPr>
        <w:t xml:space="preserve">in 2016. </w:t>
      </w:r>
      <w:r w:rsidR="00B9207F">
        <w:rPr>
          <w:sz w:val="26"/>
          <w:szCs w:val="26"/>
        </w:rPr>
        <w:t xml:space="preserve"> </w:t>
      </w:r>
      <w:r w:rsidRPr="00EB5688">
        <w:rPr>
          <w:sz w:val="26"/>
          <w:szCs w:val="26"/>
        </w:rPr>
        <w:t>A breakdown of the vehicle/equipment expenditures in support of each Division are set forth</w:t>
      </w:r>
      <w:r>
        <w:rPr>
          <w:sz w:val="26"/>
          <w:szCs w:val="26"/>
        </w:rPr>
        <w:t xml:space="preserve"> </w:t>
      </w:r>
      <w:r w:rsidRPr="00EB5688">
        <w:rPr>
          <w:sz w:val="26"/>
          <w:szCs w:val="26"/>
        </w:rPr>
        <w:t>in Appendix 4</w:t>
      </w:r>
      <w:r w:rsidR="00FB000A">
        <w:rPr>
          <w:sz w:val="26"/>
          <w:szCs w:val="26"/>
        </w:rPr>
        <w:t xml:space="preserve"> of the </w:t>
      </w:r>
      <w:r w:rsidR="00261196">
        <w:rPr>
          <w:sz w:val="26"/>
          <w:szCs w:val="26"/>
        </w:rPr>
        <w:t>Second</w:t>
      </w:r>
      <w:r w:rsidR="00FB000A">
        <w:rPr>
          <w:sz w:val="26"/>
          <w:szCs w:val="26"/>
        </w:rPr>
        <w:t xml:space="preserve"> Revised LTIIP</w:t>
      </w:r>
      <w:r w:rsidRPr="00EB5688">
        <w:rPr>
          <w:sz w:val="26"/>
          <w:szCs w:val="26"/>
        </w:rPr>
        <w:t>.</w:t>
      </w:r>
    </w:p>
    <w:p w:rsidR="00EB5688" w:rsidRPr="00EB5688" w:rsidRDefault="00EB5688" w:rsidP="00EB5688">
      <w:pPr>
        <w:pStyle w:val="p2"/>
        <w:widowControl/>
        <w:spacing w:line="360" w:lineRule="auto"/>
        <w:ind w:firstLine="1440"/>
        <w:rPr>
          <w:sz w:val="26"/>
          <w:szCs w:val="26"/>
        </w:rPr>
      </w:pPr>
    </w:p>
    <w:p w:rsidR="00061E89" w:rsidRDefault="00FB000A" w:rsidP="00EB5688">
      <w:pPr>
        <w:pStyle w:val="p2"/>
        <w:widowControl/>
        <w:spacing w:line="360" w:lineRule="auto"/>
        <w:ind w:firstLine="1440"/>
        <w:rPr>
          <w:sz w:val="26"/>
          <w:szCs w:val="26"/>
        </w:rPr>
      </w:pPr>
      <w:r>
        <w:rPr>
          <w:sz w:val="26"/>
          <w:szCs w:val="26"/>
        </w:rPr>
        <w:t>Peoples’ current LTIIP includes a category for</w:t>
      </w:r>
      <w:r w:rsidR="00EB5688" w:rsidRPr="00EB5688">
        <w:rPr>
          <w:sz w:val="26"/>
          <w:szCs w:val="26"/>
        </w:rPr>
        <w:t xml:space="preserve"> Vehicles, Tools and Equipment.</w:t>
      </w:r>
      <w:r w:rsidR="003B63AC">
        <w:rPr>
          <w:sz w:val="26"/>
          <w:szCs w:val="26"/>
        </w:rPr>
        <w:t xml:space="preserve"> </w:t>
      </w:r>
      <w:r w:rsidR="00EB5688" w:rsidRPr="00EB5688">
        <w:rPr>
          <w:sz w:val="26"/>
          <w:szCs w:val="26"/>
        </w:rPr>
        <w:t xml:space="preserve"> Due to the significantly</w:t>
      </w:r>
      <w:r w:rsidR="00EB5688">
        <w:rPr>
          <w:sz w:val="26"/>
          <w:szCs w:val="26"/>
        </w:rPr>
        <w:t xml:space="preserve"> </w:t>
      </w:r>
      <w:r w:rsidR="00EB5688" w:rsidRPr="00EB5688">
        <w:rPr>
          <w:sz w:val="26"/>
          <w:szCs w:val="26"/>
        </w:rPr>
        <w:t>increased scale of such purchases required to equip and set up the in-house Construction Division and</w:t>
      </w:r>
      <w:r w:rsidR="00EB5688">
        <w:rPr>
          <w:sz w:val="26"/>
          <w:szCs w:val="26"/>
        </w:rPr>
        <w:t xml:space="preserve"> </w:t>
      </w:r>
      <w:r w:rsidR="00EB5688" w:rsidRPr="00EB5688">
        <w:rPr>
          <w:sz w:val="26"/>
          <w:szCs w:val="26"/>
        </w:rPr>
        <w:t>the role the Construction Division will play in accelerating infrastructure improvement and controlling</w:t>
      </w:r>
      <w:r w:rsidR="00EB5688">
        <w:rPr>
          <w:sz w:val="26"/>
          <w:szCs w:val="26"/>
        </w:rPr>
        <w:t xml:space="preserve"> </w:t>
      </w:r>
      <w:r w:rsidR="00EB5688" w:rsidRPr="00EB5688">
        <w:rPr>
          <w:sz w:val="26"/>
          <w:szCs w:val="26"/>
        </w:rPr>
        <w:t>future cost escalation, the Company is now requesting approval to include these upfront expenditures</w:t>
      </w:r>
      <w:r w:rsidR="00EB5688">
        <w:rPr>
          <w:sz w:val="26"/>
          <w:szCs w:val="26"/>
        </w:rPr>
        <w:t xml:space="preserve"> </w:t>
      </w:r>
      <w:r w:rsidR="00EB5688" w:rsidRPr="00EB5688">
        <w:rPr>
          <w:sz w:val="26"/>
          <w:szCs w:val="26"/>
        </w:rPr>
        <w:t>as an approved LTIIP expenditure category for years 2015 – 2017.</w:t>
      </w:r>
      <w:r w:rsidR="003B63AC">
        <w:rPr>
          <w:sz w:val="26"/>
          <w:szCs w:val="26"/>
        </w:rPr>
        <w:t xml:space="preserve"> </w:t>
      </w:r>
      <w:r w:rsidR="00EB5688" w:rsidRPr="00EB5688">
        <w:rPr>
          <w:sz w:val="26"/>
          <w:szCs w:val="26"/>
        </w:rPr>
        <w:t xml:space="preserve"> However, the Company is not</w:t>
      </w:r>
      <w:r w:rsidR="00EB5688">
        <w:rPr>
          <w:sz w:val="26"/>
          <w:szCs w:val="26"/>
        </w:rPr>
        <w:t xml:space="preserve"> </w:t>
      </w:r>
      <w:r w:rsidR="00EB5688" w:rsidRPr="00EB5688">
        <w:rPr>
          <w:sz w:val="26"/>
          <w:szCs w:val="26"/>
        </w:rPr>
        <w:t xml:space="preserve">requesting at this time, nor </w:t>
      </w:r>
      <w:r w:rsidR="00DD41A6">
        <w:rPr>
          <w:sz w:val="26"/>
          <w:szCs w:val="26"/>
        </w:rPr>
        <w:t xml:space="preserve">is it </w:t>
      </w:r>
      <w:r w:rsidR="00EB5688" w:rsidRPr="00EB5688">
        <w:rPr>
          <w:sz w:val="26"/>
          <w:szCs w:val="26"/>
        </w:rPr>
        <w:t>planning to request in the future, to recover these upfront expenditures for</w:t>
      </w:r>
      <w:r w:rsidR="00EB5688">
        <w:rPr>
          <w:sz w:val="26"/>
          <w:szCs w:val="26"/>
        </w:rPr>
        <w:t xml:space="preserve"> </w:t>
      </w:r>
      <w:r w:rsidR="00EB5688" w:rsidRPr="00EB5688">
        <w:rPr>
          <w:sz w:val="26"/>
          <w:szCs w:val="26"/>
        </w:rPr>
        <w:t>the specific period from 2015 – 2017 through the DSIC mechanism at the time the expenditures are</w:t>
      </w:r>
      <w:r w:rsidR="00EB5688">
        <w:rPr>
          <w:sz w:val="26"/>
          <w:szCs w:val="26"/>
        </w:rPr>
        <w:t xml:space="preserve"> </w:t>
      </w:r>
      <w:r w:rsidR="00EB5688" w:rsidRPr="00EB5688">
        <w:rPr>
          <w:sz w:val="26"/>
          <w:szCs w:val="26"/>
        </w:rPr>
        <w:t>made.</w:t>
      </w:r>
      <w:r w:rsidR="003B63AC">
        <w:rPr>
          <w:sz w:val="26"/>
          <w:szCs w:val="26"/>
        </w:rPr>
        <w:t xml:space="preserve"> </w:t>
      </w:r>
      <w:r w:rsidR="00EB5688" w:rsidRPr="00EB5688">
        <w:rPr>
          <w:sz w:val="26"/>
          <w:szCs w:val="26"/>
        </w:rPr>
        <w:t xml:space="preserve"> Rather, the ongoing costs for these items (i.e.</w:t>
      </w:r>
      <w:r>
        <w:rPr>
          <w:sz w:val="26"/>
          <w:szCs w:val="26"/>
        </w:rPr>
        <w:t>,</w:t>
      </w:r>
      <w:r w:rsidR="00EB5688" w:rsidRPr="00EB5688">
        <w:rPr>
          <w:sz w:val="26"/>
          <w:szCs w:val="26"/>
        </w:rPr>
        <w:t xml:space="preserve"> depreciation) will be charged as a capital</w:t>
      </w:r>
      <w:r w:rsidR="00EB5688">
        <w:rPr>
          <w:sz w:val="26"/>
          <w:szCs w:val="26"/>
        </w:rPr>
        <w:t xml:space="preserve"> </w:t>
      </w:r>
      <w:r w:rsidR="00EB5688" w:rsidRPr="00EB5688">
        <w:rPr>
          <w:sz w:val="26"/>
          <w:szCs w:val="26"/>
        </w:rPr>
        <w:t>overhead cost to each individual construction project as they are used.</w:t>
      </w:r>
      <w:r w:rsidR="003B63AC">
        <w:rPr>
          <w:sz w:val="26"/>
          <w:szCs w:val="26"/>
        </w:rPr>
        <w:t xml:space="preserve"> </w:t>
      </w:r>
      <w:r w:rsidR="00EB5688" w:rsidRPr="00EB5688">
        <w:rPr>
          <w:sz w:val="26"/>
          <w:szCs w:val="26"/>
        </w:rPr>
        <w:t xml:space="preserve"> </w:t>
      </w:r>
      <w:r w:rsidR="00902315">
        <w:rPr>
          <w:sz w:val="26"/>
          <w:szCs w:val="26"/>
        </w:rPr>
        <w:t>Peoples expects that t</w:t>
      </w:r>
      <w:r w:rsidR="00EB5688" w:rsidRPr="00EB5688">
        <w:rPr>
          <w:sz w:val="26"/>
          <w:szCs w:val="26"/>
        </w:rPr>
        <w:t>he overhead capital costs</w:t>
      </w:r>
      <w:r w:rsidR="00EB5688">
        <w:rPr>
          <w:sz w:val="26"/>
          <w:szCs w:val="26"/>
        </w:rPr>
        <w:t xml:space="preserve"> </w:t>
      </w:r>
      <w:r w:rsidR="00EB5688" w:rsidRPr="00EB5688">
        <w:rPr>
          <w:sz w:val="26"/>
          <w:szCs w:val="26"/>
        </w:rPr>
        <w:t>associated with the use of these vehicles and equipment (depreciation, maintenance, and fuel) will</w:t>
      </w:r>
      <w:r w:rsidR="00EB5688">
        <w:rPr>
          <w:sz w:val="26"/>
          <w:szCs w:val="26"/>
        </w:rPr>
        <w:t xml:space="preserve"> </w:t>
      </w:r>
      <w:r w:rsidR="00EB5688" w:rsidRPr="00EB5688">
        <w:rPr>
          <w:sz w:val="26"/>
          <w:szCs w:val="26"/>
        </w:rPr>
        <w:t>qualify as DSIC recovery items only as they are used in support of and charged to future DSIC related</w:t>
      </w:r>
      <w:r w:rsidR="00EB5688">
        <w:rPr>
          <w:sz w:val="26"/>
          <w:szCs w:val="26"/>
        </w:rPr>
        <w:t xml:space="preserve"> </w:t>
      </w:r>
      <w:r w:rsidR="00EB5688" w:rsidRPr="00EB5688">
        <w:rPr>
          <w:sz w:val="26"/>
          <w:szCs w:val="26"/>
        </w:rPr>
        <w:t>projects through a clearing account process.</w:t>
      </w:r>
    </w:p>
    <w:p w:rsidR="00EB5688" w:rsidRDefault="00EB5688" w:rsidP="00EB5688">
      <w:pPr>
        <w:pStyle w:val="p2"/>
        <w:widowControl/>
        <w:spacing w:line="360" w:lineRule="auto"/>
        <w:ind w:firstLine="0"/>
        <w:rPr>
          <w:sz w:val="26"/>
          <w:szCs w:val="26"/>
        </w:rPr>
      </w:pPr>
    </w:p>
    <w:p w:rsidR="005155C1" w:rsidRDefault="005155C1" w:rsidP="00EB5688">
      <w:pPr>
        <w:pStyle w:val="p2"/>
        <w:widowControl/>
        <w:spacing w:line="360" w:lineRule="auto"/>
        <w:ind w:firstLine="0"/>
        <w:rPr>
          <w:sz w:val="26"/>
          <w:szCs w:val="26"/>
        </w:rPr>
      </w:pPr>
    </w:p>
    <w:p w:rsidR="00D602A1" w:rsidRDefault="00D602A1" w:rsidP="00D602A1">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lastRenderedPageBreak/>
        <w:t>Disposition</w:t>
      </w:r>
    </w:p>
    <w:p w:rsidR="00D602A1" w:rsidRDefault="00D602A1" w:rsidP="00D602A1">
      <w:pPr>
        <w:pStyle w:val="p2"/>
        <w:widowControl/>
        <w:spacing w:line="360" w:lineRule="auto"/>
        <w:ind w:firstLine="1440"/>
        <w:rPr>
          <w:sz w:val="26"/>
          <w:szCs w:val="26"/>
        </w:rPr>
      </w:pPr>
      <w:r>
        <w:rPr>
          <w:sz w:val="26"/>
          <w:szCs w:val="26"/>
        </w:rPr>
        <w:tab/>
        <w:t xml:space="preserve">Upon review of Peoples’ </w:t>
      </w:r>
      <w:r w:rsidR="00261196">
        <w:rPr>
          <w:sz w:val="26"/>
          <w:szCs w:val="26"/>
        </w:rPr>
        <w:t>Second</w:t>
      </w:r>
      <w:r>
        <w:rPr>
          <w:sz w:val="26"/>
          <w:szCs w:val="26"/>
        </w:rPr>
        <w:t xml:space="preserve"> Revised LTIIP and all supplemental information filed, the Commission believes that Peoples’ plan to develop an in-house Construction Division is in the public interest.  </w:t>
      </w:r>
      <w:r w:rsidR="00FB000A">
        <w:rPr>
          <w:sz w:val="26"/>
          <w:szCs w:val="26"/>
        </w:rPr>
        <w:t xml:space="preserve">This process </w:t>
      </w:r>
      <w:r>
        <w:rPr>
          <w:sz w:val="26"/>
          <w:szCs w:val="26"/>
        </w:rPr>
        <w:t>will assist Peoples in conducting its replacement and upgrading activities in a timely and cost-efficient fashion</w:t>
      </w:r>
      <w:r w:rsidR="00FB000A">
        <w:rPr>
          <w:sz w:val="26"/>
          <w:szCs w:val="26"/>
        </w:rPr>
        <w:t xml:space="preserve"> and will</w:t>
      </w:r>
      <w:r>
        <w:rPr>
          <w:sz w:val="26"/>
          <w:szCs w:val="26"/>
        </w:rPr>
        <w:t xml:space="preserve"> enhanc</w:t>
      </w:r>
      <w:r w:rsidR="00FB000A">
        <w:rPr>
          <w:sz w:val="26"/>
          <w:szCs w:val="26"/>
        </w:rPr>
        <w:t>e</w:t>
      </w:r>
      <w:r>
        <w:rPr>
          <w:sz w:val="26"/>
          <w:szCs w:val="26"/>
        </w:rPr>
        <w:t xml:space="preserve"> the reliability and safety of their system.</w:t>
      </w:r>
    </w:p>
    <w:p w:rsidR="00D602A1" w:rsidRDefault="00D602A1" w:rsidP="00EB5688">
      <w:pPr>
        <w:pStyle w:val="p2"/>
        <w:widowControl/>
        <w:spacing w:line="360" w:lineRule="auto"/>
        <w:ind w:firstLine="0"/>
        <w:rPr>
          <w:sz w:val="26"/>
          <w:szCs w:val="26"/>
        </w:rPr>
      </w:pPr>
    </w:p>
    <w:p w:rsidR="00D602A1" w:rsidRPr="00D602A1" w:rsidRDefault="00D602A1" w:rsidP="00D602A1">
      <w:pPr>
        <w:pStyle w:val="p2"/>
        <w:numPr>
          <w:ilvl w:val="0"/>
          <w:numId w:val="37"/>
        </w:numPr>
        <w:spacing w:line="360" w:lineRule="auto"/>
        <w:ind w:left="720" w:hanging="720"/>
        <w:rPr>
          <w:sz w:val="26"/>
          <w:szCs w:val="26"/>
        </w:rPr>
      </w:pPr>
      <w:r>
        <w:rPr>
          <w:b/>
          <w:sz w:val="26"/>
          <w:szCs w:val="26"/>
        </w:rPr>
        <w:t>PIPELINE REPLACEMENT STRATEGY – SHIFT TO URBAN FOCUS</w:t>
      </w:r>
    </w:p>
    <w:p w:rsidR="00D602A1" w:rsidRDefault="00D602A1" w:rsidP="00D602A1">
      <w:pPr>
        <w:pStyle w:val="p2"/>
        <w:spacing w:line="360" w:lineRule="auto"/>
        <w:ind w:firstLine="0"/>
        <w:rPr>
          <w:b/>
          <w:sz w:val="26"/>
          <w:szCs w:val="26"/>
        </w:rPr>
      </w:pPr>
    </w:p>
    <w:p w:rsidR="00D602A1" w:rsidRDefault="00D602A1" w:rsidP="00D602A1">
      <w:pPr>
        <w:pStyle w:val="p2"/>
        <w:tabs>
          <w:tab w:val="clear" w:pos="1445"/>
        </w:tabs>
        <w:spacing w:line="360" w:lineRule="auto"/>
        <w:ind w:firstLine="0"/>
        <w:rPr>
          <w:b/>
          <w:sz w:val="26"/>
          <w:szCs w:val="26"/>
        </w:rPr>
      </w:pPr>
      <w:r>
        <w:rPr>
          <w:b/>
          <w:sz w:val="26"/>
          <w:szCs w:val="26"/>
        </w:rPr>
        <w:t>Discussion</w:t>
      </w:r>
    </w:p>
    <w:p w:rsidR="00D602A1" w:rsidRPr="002D02ED" w:rsidRDefault="00D602A1" w:rsidP="002D02ED">
      <w:pPr>
        <w:pStyle w:val="p2"/>
        <w:widowControl/>
        <w:spacing w:line="360" w:lineRule="auto"/>
        <w:ind w:firstLine="1440"/>
        <w:rPr>
          <w:sz w:val="26"/>
          <w:szCs w:val="26"/>
        </w:rPr>
      </w:pPr>
      <w:r w:rsidRPr="002D02ED">
        <w:rPr>
          <w:sz w:val="26"/>
          <w:szCs w:val="26"/>
        </w:rPr>
        <w:t>The current LTIIP of the Peoples Division and the Equitable Division was filed shortly</w:t>
      </w:r>
      <w:r w:rsidR="002D02ED">
        <w:rPr>
          <w:sz w:val="26"/>
          <w:szCs w:val="26"/>
        </w:rPr>
        <w:t xml:space="preserve"> </w:t>
      </w:r>
      <w:r w:rsidRPr="002D02ED">
        <w:rPr>
          <w:sz w:val="26"/>
          <w:szCs w:val="26"/>
        </w:rPr>
        <w:t xml:space="preserve">(six months) after the closing of the transaction that merged Equitable with Peoples. </w:t>
      </w:r>
      <w:r w:rsidR="003B63AC">
        <w:rPr>
          <w:sz w:val="26"/>
          <w:szCs w:val="26"/>
        </w:rPr>
        <w:t xml:space="preserve"> </w:t>
      </w:r>
      <w:r w:rsidRPr="002D02ED">
        <w:rPr>
          <w:sz w:val="26"/>
          <w:szCs w:val="26"/>
        </w:rPr>
        <w:t>During that period of time</w:t>
      </w:r>
      <w:r w:rsidR="00255D27">
        <w:rPr>
          <w:sz w:val="26"/>
          <w:szCs w:val="26"/>
        </w:rPr>
        <w:t>,</w:t>
      </w:r>
      <w:r w:rsidRPr="002D02ED">
        <w:rPr>
          <w:sz w:val="26"/>
          <w:szCs w:val="26"/>
        </w:rPr>
        <w:t xml:space="preserve"> the Company was able to conduct preliminary evaluations of the priority of</w:t>
      </w:r>
      <w:r w:rsidR="002D02ED">
        <w:rPr>
          <w:sz w:val="26"/>
          <w:szCs w:val="26"/>
        </w:rPr>
        <w:t xml:space="preserve"> </w:t>
      </w:r>
      <w:r w:rsidRPr="002D02ED">
        <w:rPr>
          <w:sz w:val="26"/>
          <w:szCs w:val="26"/>
        </w:rPr>
        <w:t xml:space="preserve">infrastructure replacement for both divisions with a goal of replacing the highest risk pipelines first, without regard to the Division in which the pipeline is located. </w:t>
      </w:r>
      <w:r w:rsidR="003B63AC">
        <w:rPr>
          <w:sz w:val="26"/>
          <w:szCs w:val="26"/>
        </w:rPr>
        <w:t xml:space="preserve"> </w:t>
      </w:r>
      <w:r w:rsidRPr="002D02ED">
        <w:rPr>
          <w:sz w:val="26"/>
          <w:szCs w:val="26"/>
        </w:rPr>
        <w:t xml:space="preserve">Because the Company had planned to undertake further ongoing and in-depth pipeline replacement evaluations of both divisions following the submission of the </w:t>
      </w:r>
      <w:r w:rsidR="00FB000A">
        <w:rPr>
          <w:sz w:val="26"/>
          <w:szCs w:val="26"/>
        </w:rPr>
        <w:t>current</w:t>
      </w:r>
      <w:r w:rsidRPr="002D02ED">
        <w:rPr>
          <w:sz w:val="26"/>
          <w:szCs w:val="26"/>
        </w:rPr>
        <w:t xml:space="preserve"> LTIIP, it sought and received Commission approval of a provision designed to provide the Company with flexibility to better address system-wide risk across Divisions. </w:t>
      </w:r>
      <w:r w:rsidR="003B63AC">
        <w:rPr>
          <w:sz w:val="26"/>
          <w:szCs w:val="26"/>
        </w:rPr>
        <w:t xml:space="preserve"> </w:t>
      </w:r>
      <w:r w:rsidRPr="002D02ED">
        <w:rPr>
          <w:sz w:val="26"/>
          <w:szCs w:val="26"/>
        </w:rPr>
        <w:t>More recent evaluations conducted by the Company carefully reviewed the pipeline systems of both Divisions.</w:t>
      </w:r>
      <w:r w:rsidR="003B63AC">
        <w:rPr>
          <w:sz w:val="26"/>
          <w:szCs w:val="26"/>
        </w:rPr>
        <w:t xml:space="preserve"> </w:t>
      </w:r>
      <w:r w:rsidRPr="002D02ED">
        <w:rPr>
          <w:sz w:val="26"/>
          <w:szCs w:val="26"/>
        </w:rPr>
        <w:t xml:space="preserve"> These evaluations measured risk by evaluating the threat and consequence of failure of pipelines and considered both population and the density of mains and service lines as factors.</w:t>
      </w:r>
      <w:r w:rsidR="003B63AC">
        <w:rPr>
          <w:sz w:val="26"/>
          <w:szCs w:val="26"/>
        </w:rPr>
        <w:t xml:space="preserve"> </w:t>
      </w:r>
      <w:r w:rsidRPr="002D02ED">
        <w:rPr>
          <w:sz w:val="26"/>
          <w:szCs w:val="26"/>
        </w:rPr>
        <w:t xml:space="preserve"> </w:t>
      </w:r>
      <w:r w:rsidR="00FB000A">
        <w:rPr>
          <w:sz w:val="26"/>
          <w:szCs w:val="26"/>
        </w:rPr>
        <w:t>Peoples avers t</w:t>
      </w:r>
      <w:r w:rsidRPr="002D02ED">
        <w:rPr>
          <w:sz w:val="26"/>
          <w:szCs w:val="26"/>
        </w:rPr>
        <w:t>he results of these more recent evaluations showed that by focusing pipeline replacement in the areas of high population density with overlapping pipelines, system-wide risk can be mitigated more quickly</w:t>
      </w:r>
      <w:r w:rsidR="002D02ED">
        <w:rPr>
          <w:sz w:val="26"/>
          <w:szCs w:val="26"/>
        </w:rPr>
        <w:t xml:space="preserve"> and in the most cost effective</w:t>
      </w:r>
      <w:r w:rsidRPr="002D02ED">
        <w:rPr>
          <w:sz w:val="26"/>
          <w:szCs w:val="26"/>
        </w:rPr>
        <w:t xml:space="preserve"> manner.</w:t>
      </w:r>
    </w:p>
    <w:p w:rsidR="00D602A1" w:rsidRPr="002D02ED" w:rsidRDefault="00D602A1" w:rsidP="002D02ED">
      <w:pPr>
        <w:pStyle w:val="p2"/>
        <w:widowControl/>
        <w:spacing w:line="360" w:lineRule="auto"/>
        <w:ind w:firstLine="1440"/>
        <w:rPr>
          <w:sz w:val="26"/>
          <w:szCs w:val="26"/>
        </w:rPr>
      </w:pPr>
    </w:p>
    <w:p w:rsidR="00D602A1" w:rsidRPr="002D02ED" w:rsidRDefault="00D602A1" w:rsidP="002D02ED">
      <w:pPr>
        <w:pStyle w:val="p2"/>
        <w:widowControl/>
        <w:spacing w:line="360" w:lineRule="auto"/>
        <w:ind w:firstLine="1440"/>
        <w:rPr>
          <w:sz w:val="26"/>
          <w:szCs w:val="26"/>
        </w:rPr>
      </w:pPr>
      <w:r w:rsidRPr="002D02ED">
        <w:rPr>
          <w:sz w:val="26"/>
          <w:szCs w:val="26"/>
        </w:rPr>
        <w:t xml:space="preserve">Peoples is now presenting a modification to its </w:t>
      </w:r>
      <w:r w:rsidR="00FB000A">
        <w:rPr>
          <w:sz w:val="26"/>
          <w:szCs w:val="26"/>
        </w:rPr>
        <w:t>current</w:t>
      </w:r>
      <w:r w:rsidR="00FB000A" w:rsidRPr="002D02ED">
        <w:rPr>
          <w:sz w:val="26"/>
          <w:szCs w:val="26"/>
        </w:rPr>
        <w:t xml:space="preserve"> </w:t>
      </w:r>
      <w:r w:rsidRPr="002D02ED">
        <w:rPr>
          <w:sz w:val="26"/>
          <w:szCs w:val="26"/>
        </w:rPr>
        <w:t>LTIIP that reflects the recent evaluations</w:t>
      </w:r>
      <w:r w:rsidR="002D02ED">
        <w:rPr>
          <w:sz w:val="26"/>
          <w:szCs w:val="26"/>
        </w:rPr>
        <w:t xml:space="preserve"> </w:t>
      </w:r>
      <w:r w:rsidRPr="002D02ED">
        <w:rPr>
          <w:sz w:val="26"/>
          <w:szCs w:val="26"/>
        </w:rPr>
        <w:t xml:space="preserve">and a shift of </w:t>
      </w:r>
      <w:r w:rsidR="00FB000A">
        <w:rPr>
          <w:sz w:val="26"/>
          <w:szCs w:val="26"/>
        </w:rPr>
        <w:t xml:space="preserve">more of </w:t>
      </w:r>
      <w:r w:rsidRPr="002D02ED">
        <w:rPr>
          <w:sz w:val="26"/>
          <w:szCs w:val="26"/>
        </w:rPr>
        <w:t xml:space="preserve">the planned spending to the Equitable </w:t>
      </w:r>
      <w:r w:rsidRPr="002D02ED">
        <w:rPr>
          <w:sz w:val="26"/>
          <w:szCs w:val="26"/>
        </w:rPr>
        <w:lastRenderedPageBreak/>
        <w:t>Division to more effectively target pipeline</w:t>
      </w:r>
      <w:r w:rsidR="002D02ED">
        <w:rPr>
          <w:sz w:val="26"/>
          <w:szCs w:val="26"/>
        </w:rPr>
        <w:t xml:space="preserve"> </w:t>
      </w:r>
      <w:r w:rsidRPr="002D02ED">
        <w:rPr>
          <w:sz w:val="26"/>
          <w:szCs w:val="26"/>
        </w:rPr>
        <w:t>replacements for higher risk projects located in the urban and higher population areas of the system.</w:t>
      </w:r>
      <w:r w:rsidR="003B63AC">
        <w:rPr>
          <w:sz w:val="26"/>
          <w:szCs w:val="26"/>
        </w:rPr>
        <w:t xml:space="preserve"> </w:t>
      </w:r>
      <w:r w:rsidR="002D02ED" w:rsidRPr="002D02ED">
        <w:rPr>
          <w:sz w:val="26"/>
          <w:szCs w:val="26"/>
        </w:rPr>
        <w:t xml:space="preserve"> </w:t>
      </w:r>
      <w:r w:rsidRPr="002D02ED">
        <w:rPr>
          <w:sz w:val="26"/>
          <w:szCs w:val="26"/>
        </w:rPr>
        <w:t>This modified approach will not eliminate infrastructure replacement work in non-urban areas during</w:t>
      </w:r>
      <w:r w:rsidR="002D02ED" w:rsidRPr="002D02ED">
        <w:rPr>
          <w:sz w:val="26"/>
          <w:szCs w:val="26"/>
        </w:rPr>
        <w:t xml:space="preserve"> </w:t>
      </w:r>
      <w:r w:rsidRPr="002D02ED">
        <w:rPr>
          <w:sz w:val="26"/>
          <w:szCs w:val="26"/>
        </w:rPr>
        <w:t>the period of this LTIIP</w:t>
      </w:r>
      <w:r w:rsidR="00DD41A6">
        <w:rPr>
          <w:sz w:val="26"/>
          <w:szCs w:val="26"/>
        </w:rPr>
        <w:t>,</w:t>
      </w:r>
      <w:r w:rsidRPr="002D02ED">
        <w:rPr>
          <w:sz w:val="26"/>
          <w:szCs w:val="26"/>
        </w:rPr>
        <w:t xml:space="preserve"> but will result in a more concentrated focus in the urban, duplicative pipeline</w:t>
      </w:r>
      <w:r w:rsidR="002D02ED" w:rsidRPr="002D02ED">
        <w:rPr>
          <w:sz w:val="26"/>
          <w:szCs w:val="26"/>
        </w:rPr>
        <w:t xml:space="preserve"> </w:t>
      </w:r>
      <w:r w:rsidRPr="002D02ED">
        <w:rPr>
          <w:sz w:val="26"/>
          <w:szCs w:val="26"/>
        </w:rPr>
        <w:t>areas.</w:t>
      </w:r>
      <w:r w:rsidR="003B63AC">
        <w:rPr>
          <w:sz w:val="26"/>
          <w:szCs w:val="26"/>
        </w:rPr>
        <w:t xml:space="preserve"> </w:t>
      </w:r>
      <w:r w:rsidRPr="002D02ED">
        <w:rPr>
          <w:sz w:val="26"/>
          <w:szCs w:val="26"/>
        </w:rPr>
        <w:t xml:space="preserve"> Along with risk reduction, </w:t>
      </w:r>
      <w:r w:rsidR="00FB000A">
        <w:rPr>
          <w:sz w:val="26"/>
          <w:szCs w:val="26"/>
        </w:rPr>
        <w:t xml:space="preserve">Peoples notes that </w:t>
      </w:r>
      <w:r w:rsidRPr="002D02ED">
        <w:rPr>
          <w:sz w:val="26"/>
          <w:szCs w:val="26"/>
        </w:rPr>
        <w:t>the urban focus will minimize the impacts on municipalities in the</w:t>
      </w:r>
      <w:r w:rsidR="002D02ED" w:rsidRPr="002D02ED">
        <w:rPr>
          <w:sz w:val="26"/>
          <w:szCs w:val="26"/>
        </w:rPr>
        <w:t xml:space="preserve"> </w:t>
      </w:r>
      <w:r w:rsidRPr="002D02ED">
        <w:rPr>
          <w:sz w:val="26"/>
          <w:szCs w:val="26"/>
        </w:rPr>
        <w:t>pipeline replacement areas by, among other things, shortening the period of disruption due to pipeline</w:t>
      </w:r>
      <w:r w:rsidR="002D02ED" w:rsidRPr="002D02ED">
        <w:rPr>
          <w:sz w:val="26"/>
          <w:szCs w:val="26"/>
        </w:rPr>
        <w:t xml:space="preserve"> </w:t>
      </w:r>
      <w:r w:rsidRPr="002D02ED">
        <w:rPr>
          <w:sz w:val="26"/>
          <w:szCs w:val="26"/>
        </w:rPr>
        <w:t>replacement for a large number of customers.</w:t>
      </w:r>
      <w:r w:rsidR="003B63AC">
        <w:rPr>
          <w:sz w:val="26"/>
          <w:szCs w:val="26"/>
        </w:rPr>
        <w:t xml:space="preserve"> </w:t>
      </w:r>
      <w:r w:rsidRPr="002D02ED">
        <w:rPr>
          <w:sz w:val="26"/>
          <w:szCs w:val="26"/>
        </w:rPr>
        <w:t xml:space="preserve"> Under the revised urban focus plan, the Company</w:t>
      </w:r>
      <w:r w:rsidR="002D02ED" w:rsidRPr="002D02ED">
        <w:rPr>
          <w:sz w:val="26"/>
          <w:szCs w:val="26"/>
        </w:rPr>
        <w:t xml:space="preserve"> </w:t>
      </w:r>
      <w:r w:rsidRPr="002D02ED">
        <w:rPr>
          <w:sz w:val="26"/>
          <w:szCs w:val="26"/>
        </w:rPr>
        <w:t xml:space="preserve">would complete bare steel pipeline replacement in the City of Pittsburgh within </w:t>
      </w:r>
      <w:r w:rsidR="00255D27">
        <w:rPr>
          <w:sz w:val="26"/>
          <w:szCs w:val="26"/>
        </w:rPr>
        <w:t>five to seven</w:t>
      </w:r>
      <w:r w:rsidRPr="002D02ED">
        <w:rPr>
          <w:sz w:val="26"/>
          <w:szCs w:val="26"/>
        </w:rPr>
        <w:t xml:space="preserve"> years and replace</w:t>
      </w:r>
      <w:r w:rsidR="002D02ED" w:rsidRPr="002D02ED">
        <w:rPr>
          <w:sz w:val="26"/>
          <w:szCs w:val="26"/>
        </w:rPr>
        <w:t xml:space="preserve"> </w:t>
      </w:r>
      <w:r w:rsidRPr="002D02ED">
        <w:rPr>
          <w:sz w:val="26"/>
          <w:szCs w:val="26"/>
        </w:rPr>
        <w:t>or remove from service by the end of 2015 all six miles of small diameter cast iron pipeline in place on</w:t>
      </w:r>
      <w:r w:rsidR="002D02ED" w:rsidRPr="002D02ED">
        <w:rPr>
          <w:sz w:val="26"/>
          <w:szCs w:val="26"/>
        </w:rPr>
        <w:t xml:space="preserve"> </w:t>
      </w:r>
      <w:r w:rsidRPr="002D02ED">
        <w:rPr>
          <w:sz w:val="26"/>
          <w:szCs w:val="26"/>
        </w:rPr>
        <w:t>the Equitable Division system at the time of acquisition.</w:t>
      </w:r>
    </w:p>
    <w:p w:rsidR="00D602A1" w:rsidRPr="002D02ED" w:rsidRDefault="00D602A1" w:rsidP="002D02ED">
      <w:pPr>
        <w:pStyle w:val="p2"/>
        <w:widowControl/>
        <w:spacing w:line="360" w:lineRule="auto"/>
        <w:ind w:firstLine="1440"/>
        <w:rPr>
          <w:sz w:val="26"/>
          <w:szCs w:val="26"/>
        </w:rPr>
      </w:pPr>
    </w:p>
    <w:p w:rsidR="00D602A1" w:rsidRPr="002D02ED" w:rsidRDefault="00FB000A" w:rsidP="002D02ED">
      <w:pPr>
        <w:pStyle w:val="p2"/>
        <w:widowControl/>
        <w:spacing w:line="360" w:lineRule="auto"/>
        <w:ind w:firstLine="1440"/>
        <w:rPr>
          <w:sz w:val="26"/>
          <w:szCs w:val="26"/>
        </w:rPr>
      </w:pPr>
      <w:r>
        <w:rPr>
          <w:sz w:val="26"/>
          <w:szCs w:val="26"/>
        </w:rPr>
        <w:t xml:space="preserve">Peoples is also proposing </w:t>
      </w:r>
      <w:r w:rsidRPr="00FB000A">
        <w:rPr>
          <w:sz w:val="26"/>
          <w:szCs w:val="26"/>
        </w:rPr>
        <w:t xml:space="preserve">a measured, longer-term replacement approach </w:t>
      </w:r>
      <w:r>
        <w:rPr>
          <w:sz w:val="26"/>
          <w:szCs w:val="26"/>
        </w:rPr>
        <w:t>for</w:t>
      </w:r>
      <w:r w:rsidR="00D602A1" w:rsidRPr="002D02ED">
        <w:rPr>
          <w:sz w:val="26"/>
          <w:szCs w:val="26"/>
        </w:rPr>
        <w:t xml:space="preserve"> the existing thirty-one miles of </w:t>
      </w:r>
      <w:r>
        <w:rPr>
          <w:sz w:val="26"/>
          <w:szCs w:val="26"/>
        </w:rPr>
        <w:t>large</w:t>
      </w:r>
      <w:r w:rsidRPr="00FB000A">
        <w:rPr>
          <w:sz w:val="26"/>
          <w:szCs w:val="26"/>
        </w:rPr>
        <w:t xml:space="preserve"> diameter (16 inch or larger) cast iron pipelines </w:t>
      </w:r>
      <w:r>
        <w:rPr>
          <w:sz w:val="26"/>
          <w:szCs w:val="26"/>
        </w:rPr>
        <w:t xml:space="preserve">in the </w:t>
      </w:r>
      <w:r w:rsidR="00D602A1" w:rsidRPr="002D02ED">
        <w:rPr>
          <w:sz w:val="26"/>
          <w:szCs w:val="26"/>
        </w:rPr>
        <w:t>Equitable</w:t>
      </w:r>
      <w:r w:rsidR="00DD41A6">
        <w:rPr>
          <w:sz w:val="26"/>
          <w:szCs w:val="26"/>
        </w:rPr>
        <w:t xml:space="preserve"> Division</w:t>
      </w:r>
      <w:r w:rsidR="00D602A1" w:rsidRPr="002D02ED">
        <w:rPr>
          <w:sz w:val="26"/>
          <w:szCs w:val="26"/>
        </w:rPr>
        <w:t>.</w:t>
      </w:r>
      <w:r w:rsidR="003B63AC">
        <w:rPr>
          <w:sz w:val="26"/>
          <w:szCs w:val="26"/>
        </w:rPr>
        <w:t xml:space="preserve"> </w:t>
      </w:r>
      <w:r w:rsidR="00D602A1" w:rsidRPr="002D02ED">
        <w:rPr>
          <w:sz w:val="26"/>
          <w:szCs w:val="26"/>
        </w:rPr>
        <w:t xml:space="preserve"> The Company</w:t>
      </w:r>
      <w:r w:rsidR="002D02ED" w:rsidRPr="002D02ED">
        <w:rPr>
          <w:sz w:val="26"/>
          <w:szCs w:val="26"/>
        </w:rPr>
        <w:t xml:space="preserve"> </w:t>
      </w:r>
      <w:r w:rsidR="00D602A1" w:rsidRPr="002D02ED">
        <w:rPr>
          <w:sz w:val="26"/>
          <w:szCs w:val="26"/>
        </w:rPr>
        <w:t xml:space="preserve">plans to remove the larger diameter cast iron pipelines over a fifteen year period. </w:t>
      </w:r>
      <w:r w:rsidR="003B63AC">
        <w:rPr>
          <w:sz w:val="26"/>
          <w:szCs w:val="26"/>
        </w:rPr>
        <w:t xml:space="preserve"> </w:t>
      </w:r>
      <w:r w:rsidR="00D602A1" w:rsidRPr="002D02ED">
        <w:rPr>
          <w:sz w:val="26"/>
          <w:szCs w:val="26"/>
        </w:rPr>
        <w:t>This longer term</w:t>
      </w:r>
      <w:r w:rsidR="002D02ED" w:rsidRPr="002D02ED">
        <w:rPr>
          <w:sz w:val="26"/>
          <w:szCs w:val="26"/>
        </w:rPr>
        <w:t xml:space="preserve"> </w:t>
      </w:r>
      <w:r w:rsidR="00D602A1" w:rsidRPr="002D02ED">
        <w:rPr>
          <w:sz w:val="26"/>
          <w:szCs w:val="26"/>
        </w:rPr>
        <w:t>replacement period for larger diameter cast iron pipelines will enable the Company to undertake a</w:t>
      </w:r>
      <w:r w:rsidR="002D02ED" w:rsidRPr="002D02ED">
        <w:rPr>
          <w:sz w:val="26"/>
          <w:szCs w:val="26"/>
        </w:rPr>
        <w:t xml:space="preserve"> </w:t>
      </w:r>
      <w:r w:rsidR="00D602A1" w:rsidRPr="002D02ED">
        <w:rPr>
          <w:sz w:val="26"/>
          <w:szCs w:val="26"/>
        </w:rPr>
        <w:t>carefully phased and sequential replacement plan that will utilize pressure reinforcing interconnections</w:t>
      </w:r>
      <w:r w:rsidR="002D02ED" w:rsidRPr="002D02ED">
        <w:rPr>
          <w:sz w:val="26"/>
          <w:szCs w:val="26"/>
        </w:rPr>
        <w:t xml:space="preserve"> </w:t>
      </w:r>
      <w:r w:rsidR="00D602A1" w:rsidRPr="002D02ED">
        <w:rPr>
          <w:sz w:val="26"/>
          <w:szCs w:val="26"/>
        </w:rPr>
        <w:t>between the Divisions with a proposed high pressure loop/belt system around the City of Pittsburgh</w:t>
      </w:r>
      <w:r w:rsidR="002D02ED" w:rsidRPr="002D02ED">
        <w:rPr>
          <w:sz w:val="26"/>
          <w:szCs w:val="26"/>
        </w:rPr>
        <w:t xml:space="preserve"> </w:t>
      </w:r>
      <w:r w:rsidR="00D602A1" w:rsidRPr="002D02ED">
        <w:rPr>
          <w:sz w:val="26"/>
          <w:szCs w:val="26"/>
        </w:rPr>
        <w:t>that will allow for downsizing or elimination of mainline segments.</w:t>
      </w:r>
    </w:p>
    <w:p w:rsidR="00D602A1" w:rsidRPr="002D02ED" w:rsidRDefault="00D602A1" w:rsidP="002D02ED">
      <w:pPr>
        <w:pStyle w:val="p2"/>
        <w:widowControl/>
        <w:spacing w:line="360" w:lineRule="auto"/>
        <w:ind w:firstLine="0"/>
        <w:rPr>
          <w:sz w:val="26"/>
          <w:szCs w:val="26"/>
        </w:rPr>
      </w:pPr>
    </w:p>
    <w:p w:rsidR="00D602A1" w:rsidRPr="002D02ED" w:rsidRDefault="00D602A1" w:rsidP="002D02ED">
      <w:pPr>
        <w:pStyle w:val="p2"/>
        <w:widowControl/>
        <w:spacing w:line="360" w:lineRule="auto"/>
        <w:ind w:firstLine="1440"/>
        <w:rPr>
          <w:sz w:val="26"/>
          <w:szCs w:val="26"/>
        </w:rPr>
      </w:pPr>
      <w:r w:rsidRPr="002D02ED">
        <w:rPr>
          <w:sz w:val="26"/>
          <w:szCs w:val="26"/>
        </w:rPr>
        <w:t>During the five</w:t>
      </w:r>
      <w:r w:rsidR="00255D27">
        <w:rPr>
          <w:sz w:val="26"/>
          <w:szCs w:val="26"/>
        </w:rPr>
        <w:t>-</w:t>
      </w:r>
      <w:r w:rsidRPr="002D02ED">
        <w:rPr>
          <w:sz w:val="26"/>
          <w:szCs w:val="26"/>
        </w:rPr>
        <w:t xml:space="preserve">year term of the </w:t>
      </w:r>
      <w:r w:rsidR="00261196">
        <w:rPr>
          <w:sz w:val="26"/>
          <w:szCs w:val="26"/>
        </w:rPr>
        <w:t>Second</w:t>
      </w:r>
      <w:r w:rsidR="004B1EC6">
        <w:rPr>
          <w:sz w:val="26"/>
          <w:szCs w:val="26"/>
        </w:rPr>
        <w:t xml:space="preserve"> </w:t>
      </w:r>
      <w:r w:rsidRPr="002D02ED">
        <w:rPr>
          <w:sz w:val="26"/>
          <w:szCs w:val="26"/>
        </w:rPr>
        <w:t>Revised LTIIP, the majority of the refocused pipeline</w:t>
      </w:r>
      <w:r w:rsidR="002D02ED">
        <w:rPr>
          <w:sz w:val="26"/>
          <w:szCs w:val="26"/>
        </w:rPr>
        <w:t xml:space="preserve"> </w:t>
      </w:r>
      <w:r w:rsidRPr="002D02ED">
        <w:rPr>
          <w:sz w:val="26"/>
          <w:szCs w:val="26"/>
        </w:rPr>
        <w:t>replacement work will occur in the more densely populated areas in the City of Pittsburgh and</w:t>
      </w:r>
      <w:r w:rsidR="002D02ED">
        <w:rPr>
          <w:sz w:val="26"/>
          <w:szCs w:val="26"/>
        </w:rPr>
        <w:t xml:space="preserve"> </w:t>
      </w:r>
      <w:r w:rsidRPr="002D02ED">
        <w:rPr>
          <w:sz w:val="26"/>
          <w:szCs w:val="26"/>
        </w:rPr>
        <w:t>surrounding Allegheny County where much of this area is served by the Equitable Division pipeline</w:t>
      </w:r>
      <w:r w:rsidR="002D02ED" w:rsidRPr="002D02ED">
        <w:rPr>
          <w:sz w:val="26"/>
          <w:szCs w:val="26"/>
        </w:rPr>
        <w:t xml:space="preserve"> </w:t>
      </w:r>
      <w:r w:rsidRPr="002D02ED">
        <w:rPr>
          <w:sz w:val="26"/>
          <w:szCs w:val="26"/>
        </w:rPr>
        <w:t xml:space="preserve">system. </w:t>
      </w:r>
      <w:r w:rsidR="003B63AC">
        <w:rPr>
          <w:sz w:val="26"/>
          <w:szCs w:val="26"/>
        </w:rPr>
        <w:t xml:space="preserve"> </w:t>
      </w:r>
      <w:r w:rsidRPr="002D02ED">
        <w:rPr>
          <w:sz w:val="26"/>
          <w:szCs w:val="26"/>
        </w:rPr>
        <w:t xml:space="preserve">The impact of focusing more pipeline replacement work in the urban areas of </w:t>
      </w:r>
      <w:r w:rsidR="00255D27">
        <w:rPr>
          <w:sz w:val="26"/>
          <w:szCs w:val="26"/>
        </w:rPr>
        <w:t>the</w:t>
      </w:r>
      <w:r w:rsidR="00255D27" w:rsidRPr="002D02ED">
        <w:rPr>
          <w:sz w:val="26"/>
          <w:szCs w:val="26"/>
        </w:rPr>
        <w:t xml:space="preserve"> </w:t>
      </w:r>
      <w:r w:rsidRPr="002D02ED">
        <w:rPr>
          <w:sz w:val="26"/>
          <w:szCs w:val="26"/>
        </w:rPr>
        <w:t>system</w:t>
      </w:r>
      <w:r w:rsidR="002D02ED" w:rsidRPr="002D02ED">
        <w:rPr>
          <w:sz w:val="26"/>
          <w:szCs w:val="26"/>
        </w:rPr>
        <w:t xml:space="preserve"> </w:t>
      </w:r>
      <w:r w:rsidRPr="002D02ED">
        <w:rPr>
          <w:sz w:val="26"/>
          <w:szCs w:val="26"/>
        </w:rPr>
        <w:t>results in a higher cost per foot of pipeline to be replaced.</w:t>
      </w:r>
      <w:r w:rsidR="003B63AC">
        <w:rPr>
          <w:sz w:val="26"/>
          <w:szCs w:val="26"/>
        </w:rPr>
        <w:t xml:space="preserve"> </w:t>
      </w:r>
      <w:r w:rsidRPr="002D02ED">
        <w:rPr>
          <w:sz w:val="26"/>
          <w:szCs w:val="26"/>
        </w:rPr>
        <w:t xml:space="preserve"> These cost increases are due to, among</w:t>
      </w:r>
      <w:r w:rsidR="002D02ED" w:rsidRPr="002D02ED">
        <w:rPr>
          <w:sz w:val="26"/>
          <w:szCs w:val="26"/>
        </w:rPr>
        <w:t xml:space="preserve"> </w:t>
      </w:r>
      <w:r w:rsidRPr="002D02ED">
        <w:rPr>
          <w:sz w:val="26"/>
          <w:szCs w:val="26"/>
        </w:rPr>
        <w:t>other</w:t>
      </w:r>
      <w:r w:rsidR="004B1EC6">
        <w:rPr>
          <w:sz w:val="26"/>
          <w:szCs w:val="26"/>
        </w:rPr>
        <w:t xml:space="preserve"> things, tight space work areas (</w:t>
      </w:r>
      <w:r w:rsidRPr="002D02ED">
        <w:rPr>
          <w:sz w:val="26"/>
          <w:szCs w:val="26"/>
        </w:rPr>
        <w:t>which decreases efficiency</w:t>
      </w:r>
      <w:r w:rsidR="004B1EC6">
        <w:rPr>
          <w:sz w:val="26"/>
          <w:szCs w:val="26"/>
        </w:rPr>
        <w:t>)</w:t>
      </w:r>
      <w:r w:rsidRPr="002D02ED">
        <w:rPr>
          <w:sz w:val="26"/>
          <w:szCs w:val="26"/>
        </w:rPr>
        <w:t>, significant traffic control issues,</w:t>
      </w:r>
      <w:r w:rsidR="002D02ED" w:rsidRPr="002D02ED">
        <w:rPr>
          <w:sz w:val="26"/>
          <w:szCs w:val="26"/>
        </w:rPr>
        <w:t xml:space="preserve"> </w:t>
      </w:r>
      <w:r w:rsidRPr="002D02ED">
        <w:rPr>
          <w:sz w:val="26"/>
          <w:szCs w:val="26"/>
        </w:rPr>
        <w:t xml:space="preserve">excavating through multiple hard surface layers, and significantly more extensive restoration work </w:t>
      </w:r>
      <w:r w:rsidRPr="002D02ED">
        <w:rPr>
          <w:sz w:val="26"/>
          <w:szCs w:val="26"/>
        </w:rPr>
        <w:lastRenderedPageBreak/>
        <w:t>on</w:t>
      </w:r>
      <w:r w:rsidR="002D02ED" w:rsidRPr="002D02ED">
        <w:rPr>
          <w:sz w:val="26"/>
          <w:szCs w:val="26"/>
        </w:rPr>
        <w:t xml:space="preserve"> </w:t>
      </w:r>
      <w:r w:rsidRPr="002D02ED">
        <w:rPr>
          <w:sz w:val="26"/>
          <w:szCs w:val="26"/>
        </w:rPr>
        <w:t>both the streets where the mains are located as well as on the customers</w:t>
      </w:r>
      <w:r w:rsidR="00915D5E">
        <w:rPr>
          <w:sz w:val="26"/>
          <w:szCs w:val="26"/>
        </w:rPr>
        <w:t>’</w:t>
      </w:r>
      <w:r w:rsidRPr="002D02ED">
        <w:rPr>
          <w:sz w:val="26"/>
          <w:szCs w:val="26"/>
        </w:rPr>
        <w:t xml:space="preserve"> property. </w:t>
      </w:r>
      <w:r w:rsidR="003B63AC">
        <w:rPr>
          <w:sz w:val="26"/>
          <w:szCs w:val="26"/>
        </w:rPr>
        <w:t xml:space="preserve"> </w:t>
      </w:r>
      <w:r w:rsidRPr="002D02ED">
        <w:rPr>
          <w:sz w:val="26"/>
          <w:szCs w:val="26"/>
        </w:rPr>
        <w:t>The higher cost</w:t>
      </w:r>
      <w:r w:rsidR="002D02ED" w:rsidRPr="002D02ED">
        <w:rPr>
          <w:sz w:val="26"/>
          <w:szCs w:val="26"/>
        </w:rPr>
        <w:t xml:space="preserve"> </w:t>
      </w:r>
      <w:r w:rsidRPr="002D02ED">
        <w:rPr>
          <w:sz w:val="26"/>
          <w:szCs w:val="26"/>
        </w:rPr>
        <w:t xml:space="preserve">per </w:t>
      </w:r>
      <w:r w:rsidR="00853B19">
        <w:rPr>
          <w:sz w:val="26"/>
          <w:szCs w:val="26"/>
        </w:rPr>
        <w:t>mile</w:t>
      </w:r>
      <w:r w:rsidR="00853B19" w:rsidRPr="002D02ED">
        <w:rPr>
          <w:sz w:val="26"/>
          <w:szCs w:val="26"/>
        </w:rPr>
        <w:t xml:space="preserve"> </w:t>
      </w:r>
      <w:r w:rsidRPr="002D02ED">
        <w:rPr>
          <w:sz w:val="26"/>
          <w:szCs w:val="26"/>
        </w:rPr>
        <w:t xml:space="preserve">to install pipelines in the urban areas will reduce the total </w:t>
      </w:r>
      <w:r w:rsidR="00853B19">
        <w:rPr>
          <w:sz w:val="26"/>
          <w:szCs w:val="26"/>
        </w:rPr>
        <w:t>mileage</w:t>
      </w:r>
      <w:r w:rsidR="00853B19" w:rsidRPr="002D02ED">
        <w:rPr>
          <w:sz w:val="26"/>
          <w:szCs w:val="26"/>
        </w:rPr>
        <w:t xml:space="preserve"> </w:t>
      </w:r>
      <w:r w:rsidRPr="002D02ED">
        <w:rPr>
          <w:sz w:val="26"/>
          <w:szCs w:val="26"/>
        </w:rPr>
        <w:t>of pipelines to be replaced</w:t>
      </w:r>
      <w:r w:rsidR="002D02ED" w:rsidRPr="002D02ED">
        <w:rPr>
          <w:sz w:val="26"/>
          <w:szCs w:val="26"/>
        </w:rPr>
        <w:t xml:space="preserve"> </w:t>
      </w:r>
      <w:r w:rsidR="00FB000A">
        <w:rPr>
          <w:sz w:val="26"/>
          <w:szCs w:val="26"/>
        </w:rPr>
        <w:t xml:space="preserve">as </w:t>
      </w:r>
      <w:r w:rsidRPr="002D02ED">
        <w:rPr>
          <w:sz w:val="26"/>
          <w:szCs w:val="26"/>
        </w:rPr>
        <w:t xml:space="preserve">set forth in the </w:t>
      </w:r>
      <w:r w:rsidR="00FB000A">
        <w:rPr>
          <w:sz w:val="26"/>
          <w:szCs w:val="26"/>
        </w:rPr>
        <w:t>current</w:t>
      </w:r>
      <w:r w:rsidRPr="002D02ED">
        <w:rPr>
          <w:sz w:val="26"/>
          <w:szCs w:val="26"/>
        </w:rPr>
        <w:t xml:space="preserve"> LTIIP. </w:t>
      </w:r>
      <w:r w:rsidR="003B63AC">
        <w:rPr>
          <w:sz w:val="26"/>
          <w:szCs w:val="26"/>
        </w:rPr>
        <w:t xml:space="preserve"> </w:t>
      </w:r>
      <w:r w:rsidRPr="002D02ED">
        <w:rPr>
          <w:sz w:val="26"/>
          <w:szCs w:val="26"/>
        </w:rPr>
        <w:t xml:space="preserve">The projected </w:t>
      </w:r>
      <w:r w:rsidR="006562E2">
        <w:rPr>
          <w:sz w:val="26"/>
          <w:szCs w:val="26"/>
        </w:rPr>
        <w:t>mileage of main</w:t>
      </w:r>
      <w:r w:rsidR="006562E2" w:rsidRPr="002D02ED">
        <w:rPr>
          <w:sz w:val="26"/>
          <w:szCs w:val="26"/>
        </w:rPr>
        <w:t xml:space="preserve"> </w:t>
      </w:r>
      <w:r w:rsidRPr="002D02ED">
        <w:rPr>
          <w:sz w:val="26"/>
          <w:szCs w:val="26"/>
        </w:rPr>
        <w:t xml:space="preserve">to be replaced over the </w:t>
      </w:r>
      <w:r w:rsidR="00261196">
        <w:rPr>
          <w:sz w:val="26"/>
          <w:szCs w:val="26"/>
        </w:rPr>
        <w:t>Second</w:t>
      </w:r>
      <w:r w:rsidR="00AC4E87">
        <w:rPr>
          <w:sz w:val="26"/>
          <w:szCs w:val="26"/>
        </w:rPr>
        <w:t xml:space="preserve"> </w:t>
      </w:r>
      <w:r w:rsidRPr="002D02ED">
        <w:rPr>
          <w:sz w:val="26"/>
          <w:szCs w:val="26"/>
        </w:rPr>
        <w:t>Revised LTIIP period (2015 –</w:t>
      </w:r>
      <w:r w:rsidR="002D02ED" w:rsidRPr="002D02ED">
        <w:rPr>
          <w:sz w:val="26"/>
          <w:szCs w:val="26"/>
        </w:rPr>
        <w:t xml:space="preserve"> </w:t>
      </w:r>
      <w:r w:rsidRPr="002D02ED">
        <w:rPr>
          <w:sz w:val="26"/>
          <w:szCs w:val="26"/>
        </w:rPr>
        <w:t xml:space="preserve">2019) under the proposed urban focus plan is 446 miles as compared to the </w:t>
      </w:r>
      <w:r w:rsidR="00FB000A">
        <w:rPr>
          <w:sz w:val="26"/>
          <w:szCs w:val="26"/>
        </w:rPr>
        <w:t>current</w:t>
      </w:r>
      <w:r w:rsidR="002D02ED" w:rsidRPr="002D02ED">
        <w:rPr>
          <w:sz w:val="26"/>
          <w:szCs w:val="26"/>
        </w:rPr>
        <w:t xml:space="preserve"> </w:t>
      </w:r>
      <w:r w:rsidRPr="002D02ED">
        <w:rPr>
          <w:sz w:val="26"/>
          <w:szCs w:val="26"/>
        </w:rPr>
        <w:t xml:space="preserve">LTIIP </w:t>
      </w:r>
      <w:r w:rsidR="00FB000A">
        <w:rPr>
          <w:sz w:val="26"/>
          <w:szCs w:val="26"/>
        </w:rPr>
        <w:t>projection of</w:t>
      </w:r>
      <w:r w:rsidRPr="002D02ED">
        <w:rPr>
          <w:sz w:val="26"/>
          <w:szCs w:val="26"/>
        </w:rPr>
        <w:t xml:space="preserve"> 594 miles, </w:t>
      </w:r>
      <w:r w:rsidR="00FB000A">
        <w:rPr>
          <w:sz w:val="26"/>
          <w:szCs w:val="26"/>
        </w:rPr>
        <w:t xml:space="preserve">which is </w:t>
      </w:r>
      <w:r w:rsidRPr="002D02ED">
        <w:rPr>
          <w:sz w:val="26"/>
          <w:szCs w:val="26"/>
        </w:rPr>
        <w:t>a 25% reduction.</w:t>
      </w:r>
    </w:p>
    <w:p w:rsidR="00D602A1" w:rsidRPr="002D02ED" w:rsidRDefault="00D602A1" w:rsidP="002D02ED">
      <w:pPr>
        <w:pStyle w:val="p2"/>
        <w:widowControl/>
        <w:spacing w:line="360" w:lineRule="auto"/>
        <w:ind w:firstLine="1440"/>
        <w:rPr>
          <w:sz w:val="26"/>
          <w:szCs w:val="26"/>
        </w:rPr>
      </w:pPr>
    </w:p>
    <w:p w:rsidR="00FB000A" w:rsidRDefault="00FB000A" w:rsidP="002D02ED">
      <w:pPr>
        <w:pStyle w:val="p2"/>
        <w:widowControl/>
        <w:spacing w:line="360" w:lineRule="auto"/>
        <w:ind w:firstLine="1440"/>
        <w:rPr>
          <w:sz w:val="26"/>
          <w:szCs w:val="26"/>
        </w:rPr>
      </w:pPr>
      <w:r>
        <w:rPr>
          <w:sz w:val="26"/>
          <w:szCs w:val="26"/>
        </w:rPr>
        <w:t xml:space="preserve">Peoples avers that, despite the reduction in mileage replaced, the new focus </w:t>
      </w:r>
      <w:r w:rsidR="00D602A1" w:rsidRPr="002D02ED">
        <w:rPr>
          <w:sz w:val="26"/>
          <w:szCs w:val="26"/>
        </w:rPr>
        <w:t>should also help to maximize the amount of pipelines that can be</w:t>
      </w:r>
      <w:r w:rsidR="002D02ED">
        <w:rPr>
          <w:sz w:val="26"/>
          <w:szCs w:val="26"/>
        </w:rPr>
        <w:t xml:space="preserve"> </w:t>
      </w:r>
      <w:r w:rsidR="00D602A1" w:rsidRPr="002D02ED">
        <w:rPr>
          <w:sz w:val="26"/>
          <w:szCs w:val="26"/>
        </w:rPr>
        <w:t>abandoned and not replaced during the term of the LTIIP through the ability to interconnect the</w:t>
      </w:r>
      <w:r w:rsidR="002D02ED" w:rsidRPr="002D02ED">
        <w:rPr>
          <w:sz w:val="26"/>
          <w:szCs w:val="26"/>
        </w:rPr>
        <w:t xml:space="preserve"> </w:t>
      </w:r>
      <w:r w:rsidR="00D602A1" w:rsidRPr="002D02ED">
        <w:rPr>
          <w:sz w:val="26"/>
          <w:szCs w:val="26"/>
        </w:rPr>
        <w:t>pipeline systems of both divisions.</w:t>
      </w:r>
      <w:r w:rsidR="003B63AC">
        <w:rPr>
          <w:sz w:val="26"/>
          <w:szCs w:val="26"/>
        </w:rPr>
        <w:t xml:space="preserve"> </w:t>
      </w:r>
      <w:r w:rsidR="00D602A1" w:rsidRPr="002D02ED">
        <w:rPr>
          <w:sz w:val="26"/>
          <w:szCs w:val="26"/>
        </w:rPr>
        <w:t xml:space="preserve"> </w:t>
      </w:r>
      <w:r>
        <w:rPr>
          <w:sz w:val="26"/>
          <w:szCs w:val="26"/>
        </w:rPr>
        <w:t>Peoples notes that they have</w:t>
      </w:r>
      <w:r w:rsidR="00D602A1" w:rsidRPr="002D02ED">
        <w:rPr>
          <w:sz w:val="26"/>
          <w:szCs w:val="26"/>
        </w:rPr>
        <w:t xml:space="preserve"> </w:t>
      </w:r>
      <w:r w:rsidRPr="00FB000A">
        <w:rPr>
          <w:sz w:val="26"/>
          <w:szCs w:val="26"/>
        </w:rPr>
        <w:t xml:space="preserve">found additional efficiencies to be captured </w:t>
      </w:r>
      <w:r>
        <w:rPr>
          <w:sz w:val="26"/>
          <w:szCs w:val="26"/>
        </w:rPr>
        <w:t xml:space="preserve">through the </w:t>
      </w:r>
      <w:r w:rsidR="00D602A1" w:rsidRPr="002D02ED">
        <w:rPr>
          <w:sz w:val="26"/>
          <w:szCs w:val="26"/>
        </w:rPr>
        <w:t>urban focus and projects that a total of 23 miles of urban pipeline can be</w:t>
      </w:r>
      <w:r w:rsidR="002D02ED" w:rsidRPr="002D02ED">
        <w:rPr>
          <w:sz w:val="26"/>
          <w:szCs w:val="26"/>
        </w:rPr>
        <w:t xml:space="preserve"> </w:t>
      </w:r>
      <w:r w:rsidR="00D602A1" w:rsidRPr="002D02ED">
        <w:rPr>
          <w:sz w:val="26"/>
          <w:szCs w:val="26"/>
        </w:rPr>
        <w:t>abandoned without replacement over the 2016 - 2019 period.</w:t>
      </w:r>
      <w:r w:rsidR="003B63AC">
        <w:rPr>
          <w:sz w:val="26"/>
          <w:szCs w:val="26"/>
        </w:rPr>
        <w:t xml:space="preserve"> </w:t>
      </w:r>
      <w:r w:rsidR="00D602A1" w:rsidRPr="002D02ED">
        <w:rPr>
          <w:sz w:val="26"/>
          <w:szCs w:val="26"/>
        </w:rPr>
        <w:t xml:space="preserve"> </w:t>
      </w:r>
      <w:r>
        <w:rPr>
          <w:sz w:val="26"/>
          <w:szCs w:val="26"/>
        </w:rPr>
        <w:t>Peoples notes that the reduction in miles of main replaced would only be 21%, rather than 25%, when f</w:t>
      </w:r>
      <w:r w:rsidR="00D602A1" w:rsidRPr="002D02ED">
        <w:rPr>
          <w:sz w:val="26"/>
          <w:szCs w:val="26"/>
        </w:rPr>
        <w:t>actoring in the miles of these avoided</w:t>
      </w:r>
      <w:r w:rsidR="002D02ED" w:rsidRPr="002D02ED">
        <w:rPr>
          <w:sz w:val="26"/>
          <w:szCs w:val="26"/>
        </w:rPr>
        <w:t xml:space="preserve"> </w:t>
      </w:r>
      <w:r w:rsidR="00D602A1" w:rsidRPr="002D02ED">
        <w:rPr>
          <w:sz w:val="26"/>
          <w:szCs w:val="26"/>
        </w:rPr>
        <w:t xml:space="preserve">pipelines with the miles of pipeline to be replaced under the </w:t>
      </w:r>
      <w:r w:rsidR="00261196">
        <w:rPr>
          <w:sz w:val="26"/>
          <w:szCs w:val="26"/>
        </w:rPr>
        <w:t>Second</w:t>
      </w:r>
      <w:r w:rsidR="00AC4E87">
        <w:rPr>
          <w:sz w:val="26"/>
          <w:szCs w:val="26"/>
        </w:rPr>
        <w:t xml:space="preserve"> </w:t>
      </w:r>
      <w:r w:rsidR="00D602A1" w:rsidRPr="002D02ED">
        <w:rPr>
          <w:sz w:val="26"/>
          <w:szCs w:val="26"/>
        </w:rPr>
        <w:t xml:space="preserve">Revised LTIIP. </w:t>
      </w:r>
      <w:r w:rsidR="003B63AC">
        <w:rPr>
          <w:sz w:val="26"/>
          <w:szCs w:val="26"/>
        </w:rPr>
        <w:t xml:space="preserve"> </w:t>
      </w:r>
      <w:r w:rsidR="00D602A1" w:rsidRPr="002D02ED">
        <w:rPr>
          <w:sz w:val="26"/>
          <w:szCs w:val="26"/>
        </w:rPr>
        <w:t>Moreover,</w:t>
      </w:r>
      <w:r w:rsidR="00BA0616">
        <w:rPr>
          <w:sz w:val="26"/>
          <w:szCs w:val="26"/>
        </w:rPr>
        <w:t xml:space="preserve"> Peoples states that</w:t>
      </w:r>
      <w:r w:rsidR="00D602A1" w:rsidRPr="002D02ED">
        <w:rPr>
          <w:sz w:val="26"/>
          <w:szCs w:val="26"/>
        </w:rPr>
        <w:t xml:space="preserve"> the</w:t>
      </w:r>
      <w:r w:rsidR="002D02ED" w:rsidRPr="002D02ED">
        <w:rPr>
          <w:sz w:val="26"/>
          <w:szCs w:val="26"/>
        </w:rPr>
        <w:t xml:space="preserve"> </w:t>
      </w:r>
      <w:r w:rsidR="00D602A1" w:rsidRPr="002D02ED">
        <w:rPr>
          <w:sz w:val="26"/>
          <w:szCs w:val="26"/>
        </w:rPr>
        <w:t>reduction in miles of pipeline replaced is temporary and will be more than offset by an increase in the</w:t>
      </w:r>
      <w:r w:rsidR="002D02ED" w:rsidRPr="002D02ED">
        <w:rPr>
          <w:sz w:val="26"/>
          <w:szCs w:val="26"/>
        </w:rPr>
        <w:t xml:space="preserve"> </w:t>
      </w:r>
      <w:r w:rsidR="00D602A1" w:rsidRPr="002D02ED">
        <w:rPr>
          <w:sz w:val="26"/>
          <w:szCs w:val="26"/>
        </w:rPr>
        <w:t>miles of pipeline to be replaced annually during future periods when a higher proportion of pipeline</w:t>
      </w:r>
      <w:r w:rsidR="002D02ED" w:rsidRPr="002D02ED">
        <w:rPr>
          <w:sz w:val="26"/>
          <w:szCs w:val="26"/>
        </w:rPr>
        <w:t xml:space="preserve"> </w:t>
      </w:r>
      <w:r w:rsidR="00D602A1" w:rsidRPr="002D02ED">
        <w:rPr>
          <w:sz w:val="26"/>
          <w:szCs w:val="26"/>
        </w:rPr>
        <w:t>replacements will be in non-urban areas where the cost per mile of replacement is considerably lower.</w:t>
      </w:r>
      <w:r w:rsidR="002D02ED" w:rsidRPr="002D02ED">
        <w:rPr>
          <w:sz w:val="26"/>
          <w:szCs w:val="26"/>
        </w:rPr>
        <w:t xml:space="preserve">  </w:t>
      </w:r>
      <w:r>
        <w:rPr>
          <w:sz w:val="26"/>
          <w:szCs w:val="26"/>
        </w:rPr>
        <w:t>Peoples also notes that</w:t>
      </w:r>
      <w:r w:rsidRPr="002D02ED">
        <w:rPr>
          <w:sz w:val="26"/>
          <w:szCs w:val="26"/>
        </w:rPr>
        <w:t xml:space="preserve"> the number of services per mile of pipeline to be replaced under t</w:t>
      </w:r>
      <w:r>
        <w:rPr>
          <w:sz w:val="26"/>
          <w:szCs w:val="26"/>
        </w:rPr>
        <w:t>he</w:t>
      </w:r>
      <w:r w:rsidRPr="002D02ED">
        <w:rPr>
          <w:sz w:val="26"/>
          <w:szCs w:val="26"/>
        </w:rPr>
        <w:t xml:space="preserve"> </w:t>
      </w:r>
      <w:r w:rsidR="00261196">
        <w:rPr>
          <w:sz w:val="26"/>
          <w:szCs w:val="26"/>
        </w:rPr>
        <w:t>Second</w:t>
      </w:r>
      <w:r>
        <w:rPr>
          <w:sz w:val="26"/>
          <w:szCs w:val="26"/>
        </w:rPr>
        <w:t xml:space="preserve"> </w:t>
      </w:r>
      <w:r w:rsidRPr="002D02ED">
        <w:rPr>
          <w:sz w:val="26"/>
          <w:szCs w:val="26"/>
        </w:rPr>
        <w:t xml:space="preserve">Revised LTIIP will </w:t>
      </w:r>
      <w:r>
        <w:rPr>
          <w:sz w:val="26"/>
          <w:szCs w:val="26"/>
        </w:rPr>
        <w:t xml:space="preserve">actually </w:t>
      </w:r>
      <w:r w:rsidRPr="002D02ED">
        <w:rPr>
          <w:sz w:val="26"/>
          <w:szCs w:val="26"/>
        </w:rPr>
        <w:t xml:space="preserve">increase </w:t>
      </w:r>
      <w:r>
        <w:rPr>
          <w:sz w:val="26"/>
          <w:szCs w:val="26"/>
        </w:rPr>
        <w:t>as a result of the</w:t>
      </w:r>
      <w:r w:rsidRPr="002D02ED">
        <w:rPr>
          <w:sz w:val="26"/>
          <w:szCs w:val="26"/>
        </w:rPr>
        <w:t xml:space="preserve"> increased density of customer </w:t>
      </w:r>
      <w:r>
        <w:rPr>
          <w:sz w:val="26"/>
          <w:szCs w:val="26"/>
        </w:rPr>
        <w:t xml:space="preserve">premises. </w:t>
      </w:r>
      <w:r w:rsidR="003B63AC">
        <w:rPr>
          <w:sz w:val="26"/>
          <w:szCs w:val="26"/>
        </w:rPr>
        <w:t xml:space="preserve"> </w:t>
      </w:r>
    </w:p>
    <w:p w:rsidR="00FB000A" w:rsidRDefault="00FB000A" w:rsidP="002D02ED">
      <w:pPr>
        <w:pStyle w:val="p2"/>
        <w:widowControl/>
        <w:spacing w:line="360" w:lineRule="auto"/>
        <w:ind w:firstLine="1440"/>
        <w:rPr>
          <w:sz w:val="26"/>
          <w:szCs w:val="26"/>
        </w:rPr>
      </w:pPr>
    </w:p>
    <w:p w:rsidR="00F36E97" w:rsidRDefault="00F36E97" w:rsidP="002D02ED">
      <w:pPr>
        <w:pStyle w:val="p2"/>
        <w:widowControl/>
        <w:spacing w:line="360" w:lineRule="auto"/>
        <w:ind w:firstLine="1440"/>
        <w:rPr>
          <w:sz w:val="26"/>
          <w:szCs w:val="26"/>
        </w:rPr>
      </w:pPr>
      <w:r>
        <w:rPr>
          <w:sz w:val="26"/>
          <w:szCs w:val="26"/>
        </w:rPr>
        <w:t>Table 1, below, shows</w:t>
      </w:r>
      <w:r w:rsidR="00D602A1" w:rsidRPr="002D02ED">
        <w:rPr>
          <w:sz w:val="26"/>
          <w:szCs w:val="26"/>
        </w:rPr>
        <w:t xml:space="preserve"> </w:t>
      </w:r>
      <w:r>
        <w:rPr>
          <w:sz w:val="26"/>
          <w:szCs w:val="26"/>
        </w:rPr>
        <w:t xml:space="preserve">the </w:t>
      </w:r>
      <w:r w:rsidR="00D602A1" w:rsidRPr="002D02ED">
        <w:rPr>
          <w:sz w:val="26"/>
          <w:szCs w:val="26"/>
        </w:rPr>
        <w:t>shift</w:t>
      </w:r>
      <w:r w:rsidR="002D02ED" w:rsidRPr="002D02ED">
        <w:rPr>
          <w:sz w:val="26"/>
          <w:szCs w:val="26"/>
        </w:rPr>
        <w:t xml:space="preserve"> </w:t>
      </w:r>
      <w:r w:rsidR="00D602A1" w:rsidRPr="002D02ED">
        <w:rPr>
          <w:sz w:val="26"/>
          <w:szCs w:val="26"/>
        </w:rPr>
        <w:t xml:space="preserve">in </w:t>
      </w:r>
      <w:r>
        <w:rPr>
          <w:sz w:val="26"/>
          <w:szCs w:val="26"/>
        </w:rPr>
        <w:t xml:space="preserve">LTIIP </w:t>
      </w:r>
      <w:r w:rsidR="00D602A1" w:rsidRPr="002D02ED">
        <w:rPr>
          <w:sz w:val="26"/>
          <w:szCs w:val="26"/>
        </w:rPr>
        <w:t xml:space="preserve">spending </w:t>
      </w:r>
      <w:r>
        <w:rPr>
          <w:sz w:val="26"/>
          <w:szCs w:val="26"/>
        </w:rPr>
        <w:t xml:space="preserve">from the </w:t>
      </w:r>
      <w:r w:rsidR="00D602A1" w:rsidRPr="002D02ED">
        <w:rPr>
          <w:sz w:val="26"/>
          <w:szCs w:val="26"/>
        </w:rPr>
        <w:t>Peoples</w:t>
      </w:r>
      <w:r w:rsidR="002D02ED" w:rsidRPr="002D02ED">
        <w:rPr>
          <w:sz w:val="26"/>
          <w:szCs w:val="26"/>
        </w:rPr>
        <w:t xml:space="preserve"> </w:t>
      </w:r>
      <w:r w:rsidR="00D602A1" w:rsidRPr="002D02ED">
        <w:rPr>
          <w:sz w:val="26"/>
          <w:szCs w:val="26"/>
        </w:rPr>
        <w:t xml:space="preserve">Division to the Equitable Division as a result of the revised pipeline replacement strategy. </w:t>
      </w:r>
      <w:r w:rsidR="003B63AC">
        <w:rPr>
          <w:sz w:val="26"/>
          <w:szCs w:val="26"/>
        </w:rPr>
        <w:t xml:space="preserve"> </w:t>
      </w:r>
      <w:r>
        <w:rPr>
          <w:sz w:val="26"/>
          <w:szCs w:val="26"/>
        </w:rPr>
        <w:t xml:space="preserve">Table 2, below, shows the change in cost per mile of main replacement between the </w:t>
      </w:r>
      <w:r w:rsidR="00FB000A">
        <w:rPr>
          <w:sz w:val="26"/>
          <w:szCs w:val="26"/>
        </w:rPr>
        <w:t xml:space="preserve">current </w:t>
      </w:r>
      <w:r>
        <w:rPr>
          <w:sz w:val="26"/>
          <w:szCs w:val="26"/>
        </w:rPr>
        <w:t xml:space="preserve">LTIIP and the </w:t>
      </w:r>
      <w:r w:rsidR="00261196">
        <w:rPr>
          <w:sz w:val="26"/>
          <w:szCs w:val="26"/>
        </w:rPr>
        <w:t>Second</w:t>
      </w:r>
      <w:r>
        <w:rPr>
          <w:sz w:val="26"/>
          <w:szCs w:val="26"/>
        </w:rPr>
        <w:t xml:space="preserve"> Revised LTIIP.  </w:t>
      </w:r>
    </w:p>
    <w:p w:rsidR="00F36E97" w:rsidRDefault="00F36E97" w:rsidP="002D02ED">
      <w:pPr>
        <w:pStyle w:val="p2"/>
        <w:widowControl/>
        <w:spacing w:line="360" w:lineRule="auto"/>
        <w:ind w:firstLine="1440"/>
        <w:rPr>
          <w:sz w:val="26"/>
          <w:szCs w:val="26"/>
        </w:rPr>
      </w:pPr>
    </w:p>
    <w:p w:rsidR="00104FDD" w:rsidRDefault="00104FDD" w:rsidP="002D02ED">
      <w:pPr>
        <w:pStyle w:val="p2"/>
        <w:widowControl/>
        <w:spacing w:line="360" w:lineRule="auto"/>
        <w:ind w:firstLine="1440"/>
        <w:rPr>
          <w:sz w:val="26"/>
          <w:szCs w:val="26"/>
        </w:rPr>
      </w:pPr>
    </w:p>
    <w:p w:rsidR="00F36E97" w:rsidRPr="00295110" w:rsidRDefault="00F36E97" w:rsidP="00295110">
      <w:pPr>
        <w:pStyle w:val="p2"/>
        <w:widowControl/>
        <w:spacing w:line="360" w:lineRule="auto"/>
        <w:ind w:firstLine="0"/>
        <w:rPr>
          <w:b/>
          <w:sz w:val="26"/>
          <w:szCs w:val="26"/>
        </w:rPr>
      </w:pPr>
      <w:r w:rsidRPr="00853B19">
        <w:rPr>
          <w:b/>
          <w:sz w:val="26"/>
          <w:szCs w:val="26"/>
        </w:rPr>
        <w:lastRenderedPageBreak/>
        <w:t xml:space="preserve">Table 1: Total LTIIP Spending from </w:t>
      </w:r>
      <w:r w:rsidR="00FB000A">
        <w:rPr>
          <w:b/>
          <w:sz w:val="26"/>
          <w:szCs w:val="26"/>
        </w:rPr>
        <w:t xml:space="preserve">Current </w:t>
      </w:r>
      <w:r w:rsidRPr="00853B19">
        <w:rPr>
          <w:b/>
          <w:sz w:val="26"/>
          <w:szCs w:val="26"/>
        </w:rPr>
        <w:t xml:space="preserve">LTIIP to </w:t>
      </w:r>
      <w:r w:rsidR="00261196">
        <w:rPr>
          <w:b/>
          <w:sz w:val="26"/>
          <w:szCs w:val="26"/>
        </w:rPr>
        <w:t>Second</w:t>
      </w:r>
      <w:r w:rsidRPr="00853B19">
        <w:rPr>
          <w:b/>
          <w:sz w:val="26"/>
          <w:szCs w:val="26"/>
        </w:rPr>
        <w:t xml:space="preserve"> Revised LTIIP for Peoples Division, Equitable Division, and the Co</w:t>
      </w:r>
      <w:r w:rsidR="00295110">
        <w:rPr>
          <w:b/>
          <w:sz w:val="26"/>
          <w:szCs w:val="26"/>
        </w:rPr>
        <w:t>mbined Total for Both Divisions</w:t>
      </w:r>
    </w:p>
    <w:tbl>
      <w:tblPr>
        <w:tblW w:w="9360" w:type="dxa"/>
        <w:tblInd w:w="93" w:type="dxa"/>
        <w:tblLook w:val="04A0" w:firstRow="1" w:lastRow="0" w:firstColumn="1" w:lastColumn="0" w:noHBand="0" w:noVBand="1"/>
      </w:tblPr>
      <w:tblGrid>
        <w:gridCol w:w="2640"/>
        <w:gridCol w:w="960"/>
        <w:gridCol w:w="960"/>
        <w:gridCol w:w="960"/>
        <w:gridCol w:w="960"/>
        <w:gridCol w:w="960"/>
        <w:gridCol w:w="960"/>
        <w:gridCol w:w="962"/>
      </w:tblGrid>
      <w:tr w:rsidR="00F36E97" w:rsidRPr="00FB000A" w:rsidTr="00F36E97">
        <w:trPr>
          <w:trHeight w:val="315"/>
        </w:trPr>
        <w:tc>
          <w:tcPr>
            <w:tcW w:w="2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E97" w:rsidRPr="00853B19" w:rsidRDefault="00F36E97" w:rsidP="00F36E97">
            <w:pPr>
              <w:widowControl/>
              <w:autoSpaceDE/>
              <w:autoSpaceDN/>
              <w:adjustRightInd/>
              <w:jc w:val="center"/>
              <w:rPr>
                <w:b/>
                <w:bCs/>
                <w:color w:val="000000"/>
                <w:sz w:val="22"/>
                <w:szCs w:val="22"/>
              </w:rPr>
            </w:pPr>
            <w:r w:rsidRPr="00853B19">
              <w:rPr>
                <w:b/>
                <w:bCs/>
                <w:color w:val="000000"/>
                <w:sz w:val="22"/>
                <w:szCs w:val="22"/>
              </w:rPr>
              <w:t>PEOPLES</w:t>
            </w: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Total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Average</w:t>
            </w:r>
          </w:p>
        </w:tc>
      </w:tr>
      <w:tr w:rsidR="00F36E97" w:rsidRPr="00FB000A" w:rsidTr="00F36E97">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B000A" w:rsidP="00F36E97">
            <w:pPr>
              <w:widowControl/>
              <w:autoSpaceDE/>
              <w:autoSpaceDN/>
              <w:adjustRightInd/>
              <w:rPr>
                <w:color w:val="000000"/>
                <w:sz w:val="22"/>
                <w:szCs w:val="22"/>
              </w:rPr>
            </w:pPr>
            <w:r w:rsidRPr="00853B19">
              <w:rPr>
                <w:color w:val="000000"/>
                <w:sz w:val="22"/>
                <w:szCs w:val="22"/>
              </w:rPr>
              <w:t>Current</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$54.5</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$73.0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$84.0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$96.0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$97.9</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$405.4</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$81.1</w:t>
            </w:r>
          </w:p>
        </w:tc>
      </w:tr>
      <w:tr w:rsidR="00F36E97" w:rsidRPr="00FB000A" w:rsidTr="00F36E97">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261196" w:rsidP="00F36E97">
            <w:pPr>
              <w:widowControl/>
              <w:autoSpaceDE/>
              <w:autoSpaceDN/>
              <w:adjustRightInd/>
              <w:rPr>
                <w:color w:val="000000"/>
                <w:sz w:val="22"/>
                <w:szCs w:val="22"/>
              </w:rPr>
            </w:pPr>
            <w:r>
              <w:rPr>
                <w:color w:val="000000"/>
                <w:sz w:val="22"/>
                <w:szCs w:val="22"/>
              </w:rPr>
              <w:t>Second</w:t>
            </w:r>
            <w:r w:rsidR="00F36E97" w:rsidRPr="00853B19">
              <w:rPr>
                <w:color w:val="000000"/>
                <w:sz w:val="22"/>
                <w:szCs w:val="22"/>
              </w:rPr>
              <w:t xml:space="preserve"> Revised</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$43.3</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$56.8</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$63.6</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$70.8</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$71.8</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$306.3</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$61.3</w:t>
            </w:r>
          </w:p>
        </w:tc>
      </w:tr>
      <w:tr w:rsidR="00F36E97" w:rsidRPr="00FB000A" w:rsidTr="00F36E97">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r w:rsidRPr="00853B19">
              <w:rPr>
                <w:color w:val="000000"/>
                <w:sz w:val="22"/>
                <w:szCs w:val="22"/>
              </w:rPr>
              <w:t>Change</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-$11.2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-$16.2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-$20.4</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-$25.2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-$26.1</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-$99.1</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-$19.8</w:t>
            </w: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15"/>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15"/>
        </w:trPr>
        <w:tc>
          <w:tcPr>
            <w:tcW w:w="2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E97" w:rsidRPr="00853B19" w:rsidRDefault="00F36E97" w:rsidP="00F36E97">
            <w:pPr>
              <w:widowControl/>
              <w:autoSpaceDE/>
              <w:autoSpaceDN/>
              <w:adjustRightInd/>
              <w:jc w:val="center"/>
              <w:rPr>
                <w:b/>
                <w:bCs/>
                <w:color w:val="000000"/>
                <w:sz w:val="22"/>
                <w:szCs w:val="22"/>
              </w:rPr>
            </w:pPr>
            <w:r w:rsidRPr="00853B19">
              <w:rPr>
                <w:b/>
                <w:bCs/>
                <w:color w:val="000000"/>
                <w:sz w:val="22"/>
                <w:szCs w:val="22"/>
              </w:rPr>
              <w:t>EQUITABLE</w:t>
            </w: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Total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Average</w:t>
            </w:r>
          </w:p>
        </w:tc>
      </w:tr>
      <w:tr w:rsidR="00F36E97" w:rsidRPr="00FB000A" w:rsidTr="00F36E97">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B000A" w:rsidP="00F36E97">
            <w:pPr>
              <w:widowControl/>
              <w:autoSpaceDE/>
              <w:autoSpaceDN/>
              <w:adjustRightInd/>
              <w:rPr>
                <w:color w:val="000000"/>
                <w:sz w:val="22"/>
                <w:szCs w:val="22"/>
              </w:rPr>
            </w:pPr>
            <w:r w:rsidRPr="00853B19">
              <w:rPr>
                <w:color w:val="000000"/>
                <w:sz w:val="22"/>
                <w:szCs w:val="22"/>
              </w:rPr>
              <w:t>Current</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$32.9</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$33.0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$45.0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$46.0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$51.0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$207.9</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$41.6</w:t>
            </w:r>
          </w:p>
        </w:tc>
      </w:tr>
      <w:tr w:rsidR="00F36E97" w:rsidRPr="00FB000A" w:rsidTr="00F36E97">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261196" w:rsidP="00F36E97">
            <w:pPr>
              <w:widowControl/>
              <w:autoSpaceDE/>
              <w:autoSpaceDN/>
              <w:adjustRightInd/>
              <w:rPr>
                <w:color w:val="000000"/>
                <w:sz w:val="22"/>
                <w:szCs w:val="22"/>
              </w:rPr>
            </w:pPr>
            <w:r>
              <w:rPr>
                <w:color w:val="000000"/>
                <w:sz w:val="22"/>
                <w:szCs w:val="22"/>
              </w:rPr>
              <w:t>Second</w:t>
            </w:r>
            <w:r w:rsidR="00F36E97" w:rsidRPr="00853B19">
              <w:rPr>
                <w:color w:val="000000"/>
                <w:sz w:val="22"/>
                <w:szCs w:val="22"/>
              </w:rPr>
              <w:t xml:space="preserve"> Revised</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$44.1</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$49.2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$65.4</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$71.2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$77.1</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$307.0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$61.4</w:t>
            </w:r>
          </w:p>
        </w:tc>
      </w:tr>
      <w:tr w:rsidR="00F36E97" w:rsidRPr="00FB000A" w:rsidTr="00F36E97">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r w:rsidRPr="00853B19">
              <w:rPr>
                <w:color w:val="000000"/>
                <w:sz w:val="22"/>
                <w:szCs w:val="22"/>
              </w:rPr>
              <w:t>Change</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$11.2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$16.2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$20.4</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$25.2</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$26.1</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$99.1</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$19.8</w:t>
            </w: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15"/>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15"/>
        </w:trPr>
        <w:tc>
          <w:tcPr>
            <w:tcW w:w="26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E97" w:rsidRPr="00853B19" w:rsidRDefault="00F36E97" w:rsidP="00F36E97">
            <w:pPr>
              <w:widowControl/>
              <w:autoSpaceDE/>
              <w:autoSpaceDN/>
              <w:adjustRightInd/>
              <w:jc w:val="center"/>
              <w:rPr>
                <w:b/>
                <w:bCs/>
                <w:color w:val="000000"/>
                <w:sz w:val="22"/>
                <w:szCs w:val="22"/>
              </w:rPr>
            </w:pPr>
            <w:r w:rsidRPr="00853B19">
              <w:rPr>
                <w:b/>
                <w:bCs/>
                <w:color w:val="000000"/>
                <w:sz w:val="22"/>
                <w:szCs w:val="22"/>
              </w:rPr>
              <w:t>BOTH DIVISIONS</w:t>
            </w: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r>
      <w:tr w:rsidR="00F36E97" w:rsidRPr="00FB000A" w:rsidTr="00F36E97">
        <w:trPr>
          <w:trHeight w:val="300"/>
        </w:trPr>
        <w:tc>
          <w:tcPr>
            <w:tcW w:w="264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Total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Average</w:t>
            </w:r>
          </w:p>
        </w:tc>
      </w:tr>
      <w:tr w:rsidR="00F36E97" w:rsidRPr="00FB000A" w:rsidTr="00F36E97">
        <w:trPr>
          <w:trHeight w:val="300"/>
        </w:trPr>
        <w:tc>
          <w:tcPr>
            <w:tcW w:w="2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B000A" w:rsidP="00F36E97">
            <w:pPr>
              <w:widowControl/>
              <w:autoSpaceDE/>
              <w:autoSpaceDN/>
              <w:adjustRightInd/>
              <w:rPr>
                <w:color w:val="000000"/>
                <w:sz w:val="22"/>
                <w:szCs w:val="22"/>
              </w:rPr>
            </w:pPr>
            <w:r w:rsidRPr="00853B19">
              <w:rPr>
                <w:color w:val="000000"/>
                <w:sz w:val="22"/>
                <w:szCs w:val="22"/>
              </w:rPr>
              <w:t>Current</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$87.4</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$106.0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$129.0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$142.0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$148.9</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$613.3</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$122.7</w:t>
            </w:r>
          </w:p>
        </w:tc>
      </w:tr>
      <w:tr w:rsidR="00F36E97" w:rsidRPr="00FB000A" w:rsidTr="00F36E97">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261196" w:rsidP="00F36E97">
            <w:pPr>
              <w:widowControl/>
              <w:autoSpaceDE/>
              <w:autoSpaceDN/>
              <w:adjustRightInd/>
              <w:rPr>
                <w:color w:val="000000"/>
                <w:sz w:val="22"/>
                <w:szCs w:val="22"/>
              </w:rPr>
            </w:pPr>
            <w:r>
              <w:rPr>
                <w:color w:val="000000"/>
                <w:sz w:val="22"/>
                <w:szCs w:val="22"/>
              </w:rPr>
              <w:t>Second</w:t>
            </w:r>
            <w:r w:rsidR="00F36E97" w:rsidRPr="00853B19">
              <w:rPr>
                <w:color w:val="000000"/>
                <w:sz w:val="22"/>
                <w:szCs w:val="22"/>
              </w:rPr>
              <w:t xml:space="preserve"> Revised</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$87.4</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$106.0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$129.0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$142.0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$148.9</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$613.3</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$122.7</w:t>
            </w:r>
          </w:p>
        </w:tc>
      </w:tr>
      <w:tr w:rsidR="00F36E97" w:rsidRPr="00FB000A" w:rsidTr="00F36E97">
        <w:trPr>
          <w:trHeight w:val="300"/>
        </w:trPr>
        <w:tc>
          <w:tcPr>
            <w:tcW w:w="264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r w:rsidRPr="00853B19">
              <w:rPr>
                <w:color w:val="000000"/>
                <w:sz w:val="22"/>
                <w:szCs w:val="22"/>
              </w:rPr>
              <w:t>Change</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$0.0</w:t>
            </w:r>
          </w:p>
        </w:tc>
      </w:tr>
    </w:tbl>
    <w:p w:rsidR="00BA0616" w:rsidRPr="00FB000A" w:rsidRDefault="00BA0616" w:rsidP="00F36E97">
      <w:pPr>
        <w:pStyle w:val="p2"/>
        <w:widowControl/>
        <w:spacing w:line="360" w:lineRule="auto"/>
        <w:ind w:firstLine="0"/>
        <w:rPr>
          <w:sz w:val="26"/>
          <w:szCs w:val="26"/>
        </w:rPr>
      </w:pPr>
    </w:p>
    <w:p w:rsidR="00F36E97" w:rsidRPr="00295110" w:rsidRDefault="00F36E97" w:rsidP="00295110">
      <w:pPr>
        <w:widowControl/>
        <w:autoSpaceDE/>
        <w:autoSpaceDN/>
        <w:adjustRightInd/>
        <w:spacing w:after="200" w:line="276" w:lineRule="auto"/>
        <w:rPr>
          <w:b/>
          <w:sz w:val="26"/>
          <w:szCs w:val="26"/>
        </w:rPr>
      </w:pPr>
      <w:r w:rsidRPr="00853B19">
        <w:rPr>
          <w:b/>
          <w:sz w:val="26"/>
          <w:szCs w:val="26"/>
        </w:rPr>
        <w:t xml:space="preserve">Table 2: Comparison of Cost per Mile of Main Replaced between Peoples’ </w:t>
      </w:r>
      <w:r w:rsidR="00FB000A" w:rsidRPr="00FB000A">
        <w:rPr>
          <w:b/>
          <w:sz w:val="26"/>
          <w:szCs w:val="26"/>
        </w:rPr>
        <w:t xml:space="preserve">Current </w:t>
      </w:r>
      <w:r w:rsidRPr="00853B19">
        <w:rPr>
          <w:b/>
          <w:sz w:val="26"/>
          <w:szCs w:val="26"/>
        </w:rPr>
        <w:t xml:space="preserve">LTIIP and </w:t>
      </w:r>
      <w:r w:rsidR="00261196">
        <w:rPr>
          <w:b/>
          <w:sz w:val="26"/>
          <w:szCs w:val="26"/>
        </w:rPr>
        <w:t>Second</w:t>
      </w:r>
      <w:r w:rsidR="00295110">
        <w:rPr>
          <w:b/>
          <w:sz w:val="26"/>
          <w:szCs w:val="26"/>
        </w:rPr>
        <w:t xml:space="preserve"> Revised LTIIP</w:t>
      </w:r>
    </w:p>
    <w:tbl>
      <w:tblPr>
        <w:tblW w:w="8740" w:type="dxa"/>
        <w:tblInd w:w="93" w:type="dxa"/>
        <w:tblLook w:val="04A0" w:firstRow="1" w:lastRow="0" w:firstColumn="1" w:lastColumn="0" w:noHBand="0" w:noVBand="1"/>
      </w:tblPr>
      <w:tblGrid>
        <w:gridCol w:w="2020"/>
        <w:gridCol w:w="1120"/>
        <w:gridCol w:w="1120"/>
        <w:gridCol w:w="1120"/>
        <w:gridCol w:w="1120"/>
        <w:gridCol w:w="1120"/>
        <w:gridCol w:w="1120"/>
      </w:tblGrid>
      <w:tr w:rsidR="00F36E97" w:rsidRPr="00FB000A" w:rsidTr="00F36E97">
        <w:trPr>
          <w:trHeight w:val="300"/>
        </w:trPr>
        <w:tc>
          <w:tcPr>
            <w:tcW w:w="2020" w:type="dxa"/>
            <w:tcBorders>
              <w:top w:val="nil"/>
              <w:left w:val="nil"/>
              <w:bottom w:val="nil"/>
              <w:right w:val="nil"/>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2015</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2017</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2018</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2019</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center"/>
              <w:rPr>
                <w:color w:val="000000"/>
                <w:sz w:val="22"/>
                <w:szCs w:val="22"/>
              </w:rPr>
            </w:pPr>
            <w:r w:rsidRPr="00853B19">
              <w:rPr>
                <w:color w:val="000000"/>
                <w:sz w:val="22"/>
                <w:szCs w:val="22"/>
              </w:rPr>
              <w:t>Average</w:t>
            </w:r>
          </w:p>
        </w:tc>
      </w:tr>
      <w:tr w:rsidR="00F36E97" w:rsidRPr="00FB000A" w:rsidTr="00F36E97">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E97" w:rsidRPr="00853B19" w:rsidRDefault="00FB000A" w:rsidP="00F36E97">
            <w:pPr>
              <w:widowControl/>
              <w:autoSpaceDE/>
              <w:autoSpaceDN/>
              <w:adjustRightInd/>
              <w:rPr>
                <w:color w:val="000000"/>
                <w:sz w:val="22"/>
                <w:szCs w:val="22"/>
              </w:rPr>
            </w:pPr>
            <w:r w:rsidRPr="00853B19">
              <w:rPr>
                <w:color w:val="000000"/>
                <w:sz w:val="22"/>
                <w:szCs w:val="22"/>
              </w:rPr>
              <w:t>Current</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$733,750</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$701,905</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$718,462</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$754,676</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$776,429</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$737,044</w:t>
            </w:r>
          </w:p>
        </w:tc>
      </w:tr>
      <w:tr w:rsidR="00F36E97" w:rsidRPr="00FB000A" w:rsidTr="00F36E97">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261196" w:rsidP="00F36E97">
            <w:pPr>
              <w:widowControl/>
              <w:autoSpaceDE/>
              <w:autoSpaceDN/>
              <w:adjustRightInd/>
              <w:rPr>
                <w:color w:val="000000"/>
                <w:sz w:val="22"/>
                <w:szCs w:val="22"/>
              </w:rPr>
            </w:pPr>
            <w:r>
              <w:rPr>
                <w:color w:val="000000"/>
                <w:sz w:val="22"/>
                <w:szCs w:val="22"/>
              </w:rPr>
              <w:t>Second</w:t>
            </w:r>
            <w:r w:rsidR="00F36E97" w:rsidRPr="00853B19">
              <w:rPr>
                <w:color w:val="000000"/>
                <w:sz w:val="22"/>
                <w:szCs w:val="22"/>
              </w:rPr>
              <w:t xml:space="preserve"> Revised</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$786,957</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$901,471</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$932,222</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$906,542</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$906,195</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$886,677</w:t>
            </w:r>
          </w:p>
        </w:tc>
      </w:tr>
      <w:tr w:rsidR="00F36E97" w:rsidRPr="00FB000A" w:rsidTr="00F36E97">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rPr>
                <w:color w:val="000000"/>
                <w:sz w:val="22"/>
                <w:szCs w:val="22"/>
              </w:rPr>
            </w:pPr>
            <w:r w:rsidRPr="00853B19">
              <w:rPr>
                <w:color w:val="000000"/>
                <w:sz w:val="22"/>
                <w:szCs w:val="22"/>
              </w:rPr>
              <w:t>Change</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$53,207</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$199,566</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$213,761</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$151,866</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$129,766</w:t>
            </w:r>
          </w:p>
        </w:tc>
        <w:tc>
          <w:tcPr>
            <w:tcW w:w="1120" w:type="dxa"/>
            <w:tcBorders>
              <w:top w:val="nil"/>
              <w:left w:val="nil"/>
              <w:bottom w:val="single" w:sz="4" w:space="0" w:color="auto"/>
              <w:right w:val="single" w:sz="4" w:space="0" w:color="auto"/>
            </w:tcBorders>
            <w:shd w:val="clear" w:color="auto" w:fill="auto"/>
            <w:noWrap/>
            <w:vAlign w:val="bottom"/>
            <w:hideMark/>
          </w:tcPr>
          <w:p w:rsidR="00F36E97" w:rsidRPr="00853B19" w:rsidRDefault="00F36E97" w:rsidP="00F36E97">
            <w:pPr>
              <w:widowControl/>
              <w:autoSpaceDE/>
              <w:autoSpaceDN/>
              <w:adjustRightInd/>
              <w:jc w:val="right"/>
              <w:rPr>
                <w:color w:val="000000"/>
                <w:sz w:val="22"/>
                <w:szCs w:val="22"/>
              </w:rPr>
            </w:pPr>
            <w:r w:rsidRPr="00853B19">
              <w:rPr>
                <w:color w:val="000000"/>
                <w:sz w:val="22"/>
                <w:szCs w:val="22"/>
              </w:rPr>
              <w:t>$149,633</w:t>
            </w:r>
          </w:p>
        </w:tc>
      </w:tr>
    </w:tbl>
    <w:p w:rsidR="00F36E97" w:rsidRPr="00FB000A" w:rsidRDefault="00F36E97" w:rsidP="00F36E97">
      <w:pPr>
        <w:pStyle w:val="p2"/>
        <w:widowControl/>
        <w:spacing w:line="360" w:lineRule="auto"/>
        <w:ind w:firstLine="0"/>
        <w:rPr>
          <w:sz w:val="26"/>
          <w:szCs w:val="26"/>
        </w:rPr>
      </w:pPr>
    </w:p>
    <w:p w:rsidR="002D02ED" w:rsidRDefault="002D02ED" w:rsidP="002D02ED">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t>Disposition</w:t>
      </w:r>
    </w:p>
    <w:p w:rsidR="002D02ED" w:rsidRDefault="009D177C" w:rsidP="002D02ED">
      <w:pPr>
        <w:pStyle w:val="p2"/>
        <w:widowControl/>
        <w:spacing w:line="360" w:lineRule="auto"/>
        <w:ind w:firstLine="1440"/>
        <w:rPr>
          <w:sz w:val="26"/>
          <w:szCs w:val="26"/>
        </w:rPr>
      </w:pPr>
      <w:r w:rsidRPr="00A90561">
        <w:rPr>
          <w:sz w:val="26"/>
          <w:szCs w:val="26"/>
        </w:rPr>
        <w:t xml:space="preserve">Peoples </w:t>
      </w:r>
      <w:r w:rsidR="00FB000A">
        <w:rPr>
          <w:sz w:val="26"/>
          <w:szCs w:val="26"/>
        </w:rPr>
        <w:t>avers that</w:t>
      </w:r>
      <w:r w:rsidRPr="00A90561">
        <w:rPr>
          <w:sz w:val="26"/>
          <w:szCs w:val="26"/>
        </w:rPr>
        <w:t xml:space="preserve"> overall risk can be mitigated more quickly by focusing on more urban areas of the system (i.e., Pittsburgh and the surrounding areas).  A direct result of this focus is that more replacement work will be done on the Equitable system, rather than the Peoples system.  Peoples correctly points</w:t>
      </w:r>
      <w:r>
        <w:rPr>
          <w:sz w:val="26"/>
          <w:szCs w:val="26"/>
        </w:rPr>
        <w:t xml:space="preserve"> out that the Merger Settlement </w:t>
      </w:r>
      <w:r>
        <w:rPr>
          <w:sz w:val="26"/>
          <w:szCs w:val="26"/>
        </w:rPr>
        <w:lastRenderedPageBreak/>
        <w:t xml:space="preserve">specifically requires a certain level of combined spending between the divisions, in addition to a certain minimum level of replacement spending for the </w:t>
      </w:r>
      <w:r w:rsidRPr="00853B19">
        <w:rPr>
          <w:sz w:val="26"/>
          <w:szCs w:val="26"/>
        </w:rPr>
        <w:t>Equitable Division</w:t>
      </w:r>
      <w:r>
        <w:rPr>
          <w:sz w:val="26"/>
          <w:szCs w:val="26"/>
        </w:rPr>
        <w:t xml:space="preserve">.  </w:t>
      </w:r>
      <w:r w:rsidR="00FB000A">
        <w:rPr>
          <w:sz w:val="26"/>
          <w:szCs w:val="26"/>
        </w:rPr>
        <w:t>Consequently</w:t>
      </w:r>
      <w:r>
        <w:rPr>
          <w:sz w:val="26"/>
          <w:szCs w:val="26"/>
        </w:rPr>
        <w:t xml:space="preserve">, </w:t>
      </w:r>
      <w:r w:rsidR="00E6066C">
        <w:rPr>
          <w:sz w:val="26"/>
          <w:szCs w:val="26"/>
        </w:rPr>
        <w:t xml:space="preserve">a shift to more spending on the Equitable system is not </w:t>
      </w:r>
      <w:r w:rsidR="00FB000A">
        <w:rPr>
          <w:sz w:val="26"/>
          <w:szCs w:val="26"/>
        </w:rPr>
        <w:t xml:space="preserve">a </w:t>
      </w:r>
      <w:r w:rsidR="00E6066C">
        <w:rPr>
          <w:sz w:val="26"/>
          <w:szCs w:val="26"/>
        </w:rPr>
        <w:t>violation of the Merger Settlement.</w:t>
      </w:r>
    </w:p>
    <w:p w:rsidR="00E6066C" w:rsidRDefault="00E6066C" w:rsidP="002D02ED">
      <w:pPr>
        <w:pStyle w:val="p2"/>
        <w:widowControl/>
        <w:spacing w:line="360" w:lineRule="auto"/>
        <w:ind w:firstLine="1440"/>
        <w:rPr>
          <w:sz w:val="26"/>
          <w:szCs w:val="26"/>
        </w:rPr>
      </w:pPr>
    </w:p>
    <w:p w:rsidR="002D02ED" w:rsidRDefault="00E6066C" w:rsidP="00E6066C">
      <w:pPr>
        <w:pStyle w:val="p2"/>
        <w:widowControl/>
        <w:spacing w:line="360" w:lineRule="auto"/>
        <w:ind w:firstLine="1440"/>
        <w:rPr>
          <w:sz w:val="26"/>
          <w:szCs w:val="26"/>
        </w:rPr>
      </w:pPr>
      <w:r>
        <w:rPr>
          <w:sz w:val="26"/>
          <w:szCs w:val="26"/>
        </w:rPr>
        <w:t xml:space="preserve">The Commission </w:t>
      </w:r>
      <w:r w:rsidR="00FB000A">
        <w:rPr>
          <w:sz w:val="26"/>
          <w:szCs w:val="26"/>
        </w:rPr>
        <w:t xml:space="preserve">is of the opinion </w:t>
      </w:r>
      <w:r>
        <w:rPr>
          <w:sz w:val="26"/>
          <w:szCs w:val="26"/>
        </w:rPr>
        <w:t xml:space="preserve">that this shift in spending results in a significant benefit to the rate-payers for two reasons.  First, the faster reduction in risk will result in increased safety </w:t>
      </w:r>
      <w:r w:rsidR="00F36E97">
        <w:rPr>
          <w:sz w:val="26"/>
          <w:szCs w:val="26"/>
        </w:rPr>
        <w:t xml:space="preserve">and reliability </w:t>
      </w:r>
      <w:r>
        <w:rPr>
          <w:sz w:val="26"/>
          <w:szCs w:val="26"/>
        </w:rPr>
        <w:t xml:space="preserve">benefits.  </w:t>
      </w:r>
      <w:r w:rsidR="00FB000A">
        <w:rPr>
          <w:sz w:val="26"/>
          <w:szCs w:val="26"/>
        </w:rPr>
        <w:t>Second</w:t>
      </w:r>
      <w:r>
        <w:rPr>
          <w:sz w:val="26"/>
          <w:szCs w:val="26"/>
        </w:rPr>
        <w:t xml:space="preserve">, the efficiencies gained by this approach should reduce the number of miles of pipeline that will need to be replaced (by abandoning them instead), resulting in faster overall replacement of target pipe by the Company and reducing the costs being borne by the rate-payers.  </w:t>
      </w:r>
      <w:r w:rsidR="00FB000A">
        <w:rPr>
          <w:sz w:val="26"/>
          <w:szCs w:val="26"/>
        </w:rPr>
        <w:t>Therefore</w:t>
      </w:r>
      <w:r>
        <w:rPr>
          <w:sz w:val="26"/>
          <w:szCs w:val="26"/>
        </w:rPr>
        <w:t>, the Commission feels that Peoples’ shift to an urban focus in its LTIIP is in the public interest.</w:t>
      </w:r>
    </w:p>
    <w:p w:rsidR="00E6066C" w:rsidRDefault="00E6066C" w:rsidP="00E6066C">
      <w:pPr>
        <w:pStyle w:val="p2"/>
        <w:widowControl/>
        <w:spacing w:line="360" w:lineRule="auto"/>
        <w:ind w:firstLine="1440"/>
        <w:rPr>
          <w:sz w:val="26"/>
          <w:szCs w:val="26"/>
        </w:rPr>
      </w:pPr>
    </w:p>
    <w:p w:rsidR="00E6066C" w:rsidRPr="00D602A1" w:rsidRDefault="00E6066C" w:rsidP="00E6066C">
      <w:pPr>
        <w:pStyle w:val="p2"/>
        <w:numPr>
          <w:ilvl w:val="0"/>
          <w:numId w:val="37"/>
        </w:numPr>
        <w:spacing w:line="360" w:lineRule="auto"/>
        <w:ind w:left="720" w:hanging="720"/>
        <w:rPr>
          <w:sz w:val="26"/>
          <w:szCs w:val="26"/>
        </w:rPr>
      </w:pPr>
      <w:r>
        <w:rPr>
          <w:b/>
          <w:sz w:val="26"/>
          <w:szCs w:val="26"/>
        </w:rPr>
        <w:t>AUTOMATED METER READING (AMR)</w:t>
      </w:r>
    </w:p>
    <w:p w:rsidR="00E6066C" w:rsidRDefault="00E6066C" w:rsidP="00E6066C">
      <w:pPr>
        <w:pStyle w:val="p2"/>
        <w:spacing w:line="360" w:lineRule="auto"/>
        <w:ind w:firstLine="0"/>
        <w:rPr>
          <w:b/>
          <w:sz w:val="26"/>
          <w:szCs w:val="26"/>
        </w:rPr>
      </w:pPr>
    </w:p>
    <w:p w:rsidR="00E6066C" w:rsidRDefault="00E6066C" w:rsidP="00E6066C">
      <w:pPr>
        <w:pStyle w:val="p2"/>
        <w:tabs>
          <w:tab w:val="clear" w:pos="1445"/>
        </w:tabs>
        <w:spacing w:line="360" w:lineRule="auto"/>
        <w:ind w:firstLine="0"/>
        <w:rPr>
          <w:b/>
          <w:sz w:val="26"/>
          <w:szCs w:val="26"/>
        </w:rPr>
      </w:pPr>
      <w:r>
        <w:rPr>
          <w:b/>
          <w:sz w:val="26"/>
          <w:szCs w:val="26"/>
        </w:rPr>
        <w:t>Discussion</w:t>
      </w:r>
    </w:p>
    <w:p w:rsidR="00E6066C" w:rsidRPr="00A90561" w:rsidRDefault="00FB000A" w:rsidP="00A90561">
      <w:pPr>
        <w:pStyle w:val="p2"/>
        <w:widowControl/>
        <w:spacing w:line="360" w:lineRule="auto"/>
        <w:ind w:firstLine="1440"/>
        <w:rPr>
          <w:sz w:val="26"/>
          <w:szCs w:val="26"/>
        </w:rPr>
      </w:pPr>
      <w:r>
        <w:rPr>
          <w:sz w:val="26"/>
          <w:szCs w:val="26"/>
        </w:rPr>
        <w:t>AMR</w:t>
      </w:r>
      <w:r w:rsidR="00E6066C" w:rsidRPr="00A90561">
        <w:rPr>
          <w:sz w:val="26"/>
          <w:szCs w:val="26"/>
        </w:rPr>
        <w:t xml:space="preserve"> is a technology </w:t>
      </w:r>
      <w:r>
        <w:rPr>
          <w:sz w:val="26"/>
          <w:szCs w:val="26"/>
        </w:rPr>
        <w:t>that</w:t>
      </w:r>
      <w:r w:rsidRPr="00A90561">
        <w:rPr>
          <w:sz w:val="26"/>
          <w:szCs w:val="26"/>
        </w:rPr>
        <w:t xml:space="preserve"> </w:t>
      </w:r>
      <w:r w:rsidR="00E6066C" w:rsidRPr="00A90561">
        <w:rPr>
          <w:sz w:val="26"/>
          <w:szCs w:val="26"/>
        </w:rPr>
        <w:t>allows for consistent and accurate</w:t>
      </w:r>
      <w:r w:rsidR="00A90561">
        <w:rPr>
          <w:sz w:val="26"/>
          <w:szCs w:val="26"/>
        </w:rPr>
        <w:t xml:space="preserve"> </w:t>
      </w:r>
      <w:r w:rsidR="00E6066C" w:rsidRPr="00A90561">
        <w:rPr>
          <w:sz w:val="26"/>
          <w:szCs w:val="26"/>
        </w:rPr>
        <w:t xml:space="preserve">collection of information from a natural gas meter. </w:t>
      </w:r>
      <w:r w:rsidR="003B63AC">
        <w:rPr>
          <w:sz w:val="26"/>
          <w:szCs w:val="26"/>
        </w:rPr>
        <w:t xml:space="preserve"> </w:t>
      </w:r>
      <w:r>
        <w:rPr>
          <w:sz w:val="26"/>
          <w:szCs w:val="26"/>
        </w:rPr>
        <w:t>Peoples notes that t</w:t>
      </w:r>
      <w:r w:rsidR="00E6066C" w:rsidRPr="00A90561">
        <w:rPr>
          <w:sz w:val="26"/>
          <w:szCs w:val="26"/>
        </w:rPr>
        <w:t>he technology has been available for more than</w:t>
      </w:r>
      <w:r w:rsidR="00A90561" w:rsidRPr="00A90561">
        <w:rPr>
          <w:sz w:val="26"/>
          <w:szCs w:val="26"/>
        </w:rPr>
        <w:t xml:space="preserve"> </w:t>
      </w:r>
      <w:r w:rsidR="00E6066C" w:rsidRPr="00A90561">
        <w:rPr>
          <w:sz w:val="26"/>
          <w:szCs w:val="26"/>
        </w:rPr>
        <w:t>40 years and has continued to evolve into the reliable, multi-faceted systems that are commercially</w:t>
      </w:r>
      <w:r w:rsidR="00A90561" w:rsidRPr="00A90561">
        <w:rPr>
          <w:sz w:val="26"/>
          <w:szCs w:val="26"/>
        </w:rPr>
        <w:t xml:space="preserve"> </w:t>
      </w:r>
      <w:r w:rsidR="00E6066C" w:rsidRPr="00A90561">
        <w:rPr>
          <w:sz w:val="26"/>
          <w:szCs w:val="26"/>
        </w:rPr>
        <w:t>available today.</w:t>
      </w:r>
      <w:r w:rsidR="003B63AC">
        <w:rPr>
          <w:sz w:val="26"/>
          <w:szCs w:val="26"/>
        </w:rPr>
        <w:t xml:space="preserve"> </w:t>
      </w:r>
      <w:r w:rsidR="00E6066C" w:rsidRPr="00A90561">
        <w:rPr>
          <w:sz w:val="26"/>
          <w:szCs w:val="26"/>
        </w:rPr>
        <w:t xml:space="preserve"> </w:t>
      </w:r>
      <w:r>
        <w:rPr>
          <w:sz w:val="26"/>
          <w:szCs w:val="26"/>
        </w:rPr>
        <w:t>Peoples explains that r</w:t>
      </w:r>
      <w:r w:rsidR="00E6066C" w:rsidRPr="00A90561">
        <w:rPr>
          <w:sz w:val="26"/>
          <w:szCs w:val="26"/>
        </w:rPr>
        <w:t xml:space="preserve">eadings are captured by an AMR device, </w:t>
      </w:r>
      <w:r>
        <w:rPr>
          <w:sz w:val="26"/>
          <w:szCs w:val="26"/>
        </w:rPr>
        <w:t xml:space="preserve">which is </w:t>
      </w:r>
      <w:r w:rsidR="00E6066C" w:rsidRPr="00A90561">
        <w:rPr>
          <w:sz w:val="26"/>
          <w:szCs w:val="26"/>
        </w:rPr>
        <w:t>a unit mounted on the natural gas meter by</w:t>
      </w:r>
      <w:r w:rsidR="00A90561" w:rsidRPr="00A90561">
        <w:rPr>
          <w:sz w:val="26"/>
          <w:szCs w:val="26"/>
        </w:rPr>
        <w:t xml:space="preserve"> </w:t>
      </w:r>
      <w:r w:rsidR="00E6066C" w:rsidRPr="00A90561">
        <w:rPr>
          <w:sz w:val="26"/>
          <w:szCs w:val="26"/>
        </w:rPr>
        <w:t>a trained installer.</w:t>
      </w:r>
      <w:r w:rsidR="003B63AC">
        <w:rPr>
          <w:sz w:val="26"/>
          <w:szCs w:val="26"/>
        </w:rPr>
        <w:t xml:space="preserve"> </w:t>
      </w:r>
      <w:r w:rsidR="00E6066C" w:rsidRPr="00A90561">
        <w:rPr>
          <w:sz w:val="26"/>
          <w:szCs w:val="26"/>
        </w:rPr>
        <w:t xml:space="preserve"> The AMR device has the ability to constantly monitor and register a customer's</w:t>
      </w:r>
      <w:r w:rsidR="00A90561" w:rsidRPr="00A90561">
        <w:rPr>
          <w:sz w:val="26"/>
          <w:szCs w:val="26"/>
        </w:rPr>
        <w:t xml:space="preserve"> </w:t>
      </w:r>
      <w:r w:rsidR="00E6066C" w:rsidRPr="00A90561">
        <w:rPr>
          <w:sz w:val="26"/>
          <w:szCs w:val="26"/>
        </w:rPr>
        <w:t>natural gas usage.</w:t>
      </w:r>
      <w:r w:rsidR="003B63AC">
        <w:rPr>
          <w:sz w:val="26"/>
          <w:szCs w:val="26"/>
        </w:rPr>
        <w:t xml:space="preserve"> </w:t>
      </w:r>
      <w:r w:rsidR="00E6066C" w:rsidRPr="00A90561">
        <w:rPr>
          <w:sz w:val="26"/>
          <w:szCs w:val="26"/>
        </w:rPr>
        <w:t xml:space="preserve"> Data is collected and transferred to a centralized database for billing purposes</w:t>
      </w:r>
      <w:r w:rsidR="00A90561" w:rsidRPr="00A90561">
        <w:rPr>
          <w:sz w:val="26"/>
          <w:szCs w:val="26"/>
        </w:rPr>
        <w:t xml:space="preserve"> </w:t>
      </w:r>
      <w:r w:rsidR="00E6066C" w:rsidRPr="00A90561">
        <w:rPr>
          <w:sz w:val="26"/>
          <w:szCs w:val="26"/>
        </w:rPr>
        <w:t xml:space="preserve">and/or usage analysis. </w:t>
      </w:r>
      <w:r w:rsidR="003B63AC">
        <w:rPr>
          <w:sz w:val="26"/>
          <w:szCs w:val="26"/>
        </w:rPr>
        <w:t xml:space="preserve"> </w:t>
      </w:r>
      <w:r w:rsidR="00E6066C" w:rsidRPr="00A90561">
        <w:rPr>
          <w:sz w:val="26"/>
          <w:szCs w:val="26"/>
        </w:rPr>
        <w:t xml:space="preserve">This information is then used to calculate a monthly bill for the customer. </w:t>
      </w:r>
      <w:r w:rsidR="003B63AC">
        <w:rPr>
          <w:sz w:val="26"/>
          <w:szCs w:val="26"/>
        </w:rPr>
        <w:t xml:space="preserve"> </w:t>
      </w:r>
      <w:r>
        <w:rPr>
          <w:sz w:val="26"/>
          <w:szCs w:val="26"/>
        </w:rPr>
        <w:t xml:space="preserve">Peoples avers that </w:t>
      </w:r>
      <w:r w:rsidR="00E6066C" w:rsidRPr="00A90561">
        <w:rPr>
          <w:sz w:val="26"/>
          <w:szCs w:val="26"/>
        </w:rPr>
        <w:t>AMR</w:t>
      </w:r>
      <w:r w:rsidR="00A90561" w:rsidRPr="00A90561">
        <w:rPr>
          <w:sz w:val="26"/>
          <w:szCs w:val="26"/>
        </w:rPr>
        <w:t xml:space="preserve"> </w:t>
      </w:r>
      <w:r w:rsidR="00E6066C" w:rsidRPr="00A90561">
        <w:rPr>
          <w:sz w:val="26"/>
          <w:szCs w:val="26"/>
        </w:rPr>
        <w:t>eliminates the need for manual meter readings and</w:t>
      </w:r>
      <w:r>
        <w:rPr>
          <w:sz w:val="26"/>
          <w:szCs w:val="26"/>
        </w:rPr>
        <w:t>,</w:t>
      </w:r>
      <w:r w:rsidR="00E6066C" w:rsidRPr="00A90561">
        <w:rPr>
          <w:sz w:val="26"/>
          <w:szCs w:val="26"/>
        </w:rPr>
        <w:t xml:space="preserve"> more importantly</w:t>
      </w:r>
      <w:r>
        <w:rPr>
          <w:sz w:val="26"/>
          <w:szCs w:val="26"/>
        </w:rPr>
        <w:t>,</w:t>
      </w:r>
      <w:r w:rsidR="00E6066C" w:rsidRPr="00A90561">
        <w:rPr>
          <w:sz w:val="26"/>
          <w:szCs w:val="26"/>
        </w:rPr>
        <w:t xml:space="preserve"> eliminates the need for an</w:t>
      </w:r>
      <w:r w:rsidR="00A90561" w:rsidRPr="00A90561">
        <w:rPr>
          <w:sz w:val="26"/>
          <w:szCs w:val="26"/>
        </w:rPr>
        <w:t xml:space="preserve"> </w:t>
      </w:r>
      <w:r w:rsidR="00E6066C" w:rsidRPr="00A90561">
        <w:rPr>
          <w:sz w:val="26"/>
          <w:szCs w:val="26"/>
        </w:rPr>
        <w:t xml:space="preserve">“every other month” estimated bill. </w:t>
      </w:r>
      <w:r w:rsidR="003B63AC">
        <w:rPr>
          <w:sz w:val="26"/>
          <w:szCs w:val="26"/>
        </w:rPr>
        <w:t xml:space="preserve"> </w:t>
      </w:r>
      <w:r w:rsidR="00DB4E6A">
        <w:rPr>
          <w:sz w:val="26"/>
          <w:szCs w:val="26"/>
        </w:rPr>
        <w:t>Peoples states that a</w:t>
      </w:r>
      <w:r w:rsidR="00E6066C" w:rsidRPr="00A90561">
        <w:rPr>
          <w:sz w:val="26"/>
          <w:szCs w:val="26"/>
        </w:rPr>
        <w:t>ctual readings will increase customer satisfaction by improving</w:t>
      </w:r>
      <w:r w:rsidR="00A90561" w:rsidRPr="00A90561">
        <w:rPr>
          <w:sz w:val="26"/>
          <w:szCs w:val="26"/>
        </w:rPr>
        <w:t xml:space="preserve"> </w:t>
      </w:r>
      <w:r w:rsidR="00E6066C" w:rsidRPr="00A90561">
        <w:rPr>
          <w:sz w:val="26"/>
          <w:szCs w:val="26"/>
        </w:rPr>
        <w:t xml:space="preserve">the accuracy of customer usage data for billing and other data collection </w:t>
      </w:r>
      <w:r w:rsidR="00E6066C" w:rsidRPr="00A90561">
        <w:rPr>
          <w:sz w:val="26"/>
          <w:szCs w:val="26"/>
        </w:rPr>
        <w:lastRenderedPageBreak/>
        <w:t>purposes and minimize</w:t>
      </w:r>
      <w:r w:rsidR="00A90561" w:rsidRPr="00A90561">
        <w:rPr>
          <w:sz w:val="26"/>
          <w:szCs w:val="26"/>
        </w:rPr>
        <w:t xml:space="preserve"> </w:t>
      </w:r>
      <w:r w:rsidR="00E6066C" w:rsidRPr="00A90561">
        <w:rPr>
          <w:sz w:val="26"/>
          <w:szCs w:val="26"/>
        </w:rPr>
        <w:t xml:space="preserve">intrusion upon a customer's home or business. </w:t>
      </w:r>
      <w:r w:rsidR="003B63AC">
        <w:rPr>
          <w:sz w:val="26"/>
          <w:szCs w:val="26"/>
        </w:rPr>
        <w:t xml:space="preserve"> </w:t>
      </w:r>
      <w:r>
        <w:rPr>
          <w:sz w:val="26"/>
          <w:szCs w:val="26"/>
        </w:rPr>
        <w:t>Peoples notes that the</w:t>
      </w:r>
      <w:r w:rsidR="00A90561" w:rsidRPr="00A90561">
        <w:rPr>
          <w:sz w:val="26"/>
          <w:szCs w:val="26"/>
        </w:rPr>
        <w:t xml:space="preserve"> </w:t>
      </w:r>
      <w:r w:rsidR="00E6066C" w:rsidRPr="00A90561">
        <w:rPr>
          <w:sz w:val="26"/>
          <w:szCs w:val="26"/>
        </w:rPr>
        <w:t>majority of Natural Gas Distribution Companies in Pennsylvania are using AMR and, due to Act 129, all</w:t>
      </w:r>
      <w:r w:rsidR="00A90561" w:rsidRPr="00A90561">
        <w:rPr>
          <w:sz w:val="26"/>
          <w:szCs w:val="26"/>
        </w:rPr>
        <w:t xml:space="preserve"> </w:t>
      </w:r>
      <w:r w:rsidR="00DD41A6">
        <w:rPr>
          <w:sz w:val="26"/>
          <w:szCs w:val="26"/>
        </w:rPr>
        <w:t xml:space="preserve">large </w:t>
      </w:r>
      <w:r w:rsidR="00E6066C" w:rsidRPr="00A90561">
        <w:rPr>
          <w:sz w:val="26"/>
          <w:szCs w:val="26"/>
        </w:rPr>
        <w:t>Electric Distribution Companies are required to implement Smart Meters</w:t>
      </w:r>
      <w:r>
        <w:rPr>
          <w:sz w:val="26"/>
          <w:szCs w:val="26"/>
        </w:rPr>
        <w:t xml:space="preserve"> that perform similar functions</w:t>
      </w:r>
      <w:r w:rsidR="00E6066C" w:rsidRPr="00A90561">
        <w:rPr>
          <w:sz w:val="26"/>
          <w:szCs w:val="26"/>
        </w:rPr>
        <w:t>.</w:t>
      </w:r>
    </w:p>
    <w:p w:rsidR="00E6066C" w:rsidRPr="00A90561" w:rsidRDefault="00E6066C" w:rsidP="00A90561">
      <w:pPr>
        <w:pStyle w:val="p2"/>
        <w:widowControl/>
        <w:spacing w:line="360" w:lineRule="auto"/>
        <w:ind w:firstLine="1440"/>
        <w:rPr>
          <w:sz w:val="26"/>
          <w:szCs w:val="26"/>
        </w:rPr>
      </w:pPr>
    </w:p>
    <w:p w:rsidR="00E6066C" w:rsidRDefault="00E6066C" w:rsidP="00A90561">
      <w:pPr>
        <w:pStyle w:val="p2"/>
        <w:widowControl/>
        <w:spacing w:line="360" w:lineRule="auto"/>
        <w:ind w:firstLine="1440"/>
        <w:rPr>
          <w:sz w:val="26"/>
          <w:szCs w:val="26"/>
        </w:rPr>
      </w:pPr>
      <w:r w:rsidRPr="00A90561">
        <w:rPr>
          <w:sz w:val="26"/>
          <w:szCs w:val="26"/>
        </w:rPr>
        <w:t xml:space="preserve">Peoples’ </w:t>
      </w:r>
      <w:r w:rsidR="00FB000A">
        <w:rPr>
          <w:sz w:val="26"/>
          <w:szCs w:val="26"/>
        </w:rPr>
        <w:t xml:space="preserve">current </w:t>
      </w:r>
      <w:r w:rsidRPr="00A90561">
        <w:rPr>
          <w:sz w:val="26"/>
          <w:szCs w:val="26"/>
        </w:rPr>
        <w:t xml:space="preserve">LTIIP </w:t>
      </w:r>
      <w:r w:rsidR="00FB000A">
        <w:rPr>
          <w:sz w:val="26"/>
          <w:szCs w:val="26"/>
        </w:rPr>
        <w:t>includes</w:t>
      </w:r>
      <w:r w:rsidRPr="00A90561">
        <w:rPr>
          <w:sz w:val="26"/>
          <w:szCs w:val="26"/>
        </w:rPr>
        <w:t xml:space="preserve"> special meter technology as</w:t>
      </w:r>
      <w:r w:rsidR="00A90561">
        <w:rPr>
          <w:sz w:val="26"/>
          <w:szCs w:val="26"/>
        </w:rPr>
        <w:t xml:space="preserve"> </w:t>
      </w:r>
      <w:r w:rsidRPr="00A90561">
        <w:rPr>
          <w:sz w:val="26"/>
          <w:szCs w:val="26"/>
        </w:rPr>
        <w:t>an area of “special consideration</w:t>
      </w:r>
      <w:r w:rsidR="00255D27">
        <w:rPr>
          <w:sz w:val="26"/>
          <w:szCs w:val="26"/>
        </w:rPr>
        <w:t>.</w:t>
      </w:r>
      <w:r w:rsidRPr="00A90561">
        <w:rPr>
          <w:sz w:val="26"/>
          <w:szCs w:val="26"/>
        </w:rPr>
        <w:t xml:space="preserve">” </w:t>
      </w:r>
      <w:r w:rsidR="003B63AC">
        <w:rPr>
          <w:sz w:val="26"/>
          <w:szCs w:val="26"/>
        </w:rPr>
        <w:t xml:space="preserve"> </w:t>
      </w:r>
      <w:r w:rsidRPr="00A90561">
        <w:rPr>
          <w:sz w:val="26"/>
          <w:szCs w:val="26"/>
        </w:rPr>
        <w:t>Peoples explain</w:t>
      </w:r>
      <w:r w:rsidR="00DD41A6">
        <w:rPr>
          <w:sz w:val="26"/>
          <w:szCs w:val="26"/>
        </w:rPr>
        <w:t>s</w:t>
      </w:r>
      <w:r w:rsidRPr="00A90561">
        <w:rPr>
          <w:sz w:val="26"/>
          <w:szCs w:val="26"/>
        </w:rPr>
        <w:t xml:space="preserve"> that the special meter technology would likely</w:t>
      </w:r>
      <w:r w:rsidR="00A90561" w:rsidRPr="00A90561">
        <w:rPr>
          <w:sz w:val="26"/>
          <w:szCs w:val="26"/>
        </w:rPr>
        <w:t xml:space="preserve"> </w:t>
      </w:r>
      <w:r w:rsidRPr="00A90561">
        <w:rPr>
          <w:sz w:val="26"/>
          <w:szCs w:val="26"/>
        </w:rPr>
        <w:t>involve an AMR technology such as Encoder Receiver Transmitters (“ERTs”), but at that time Peoples</w:t>
      </w:r>
      <w:r w:rsidR="00A90561" w:rsidRPr="00A90561">
        <w:rPr>
          <w:sz w:val="26"/>
          <w:szCs w:val="26"/>
        </w:rPr>
        <w:t xml:space="preserve"> </w:t>
      </w:r>
      <w:r w:rsidRPr="00A90561">
        <w:rPr>
          <w:sz w:val="26"/>
          <w:szCs w:val="26"/>
        </w:rPr>
        <w:t>had no specific, proposed meter technology program to list in its LTIIP</w:t>
      </w:r>
      <w:r w:rsidR="00FB000A">
        <w:rPr>
          <w:sz w:val="26"/>
          <w:szCs w:val="26"/>
        </w:rPr>
        <w:t xml:space="preserve">.  </w:t>
      </w:r>
      <w:r w:rsidRPr="00A90561">
        <w:rPr>
          <w:sz w:val="26"/>
          <w:szCs w:val="26"/>
        </w:rPr>
        <w:t>Peoples intended to</w:t>
      </w:r>
      <w:r w:rsidR="00A90561" w:rsidRPr="00A90561">
        <w:rPr>
          <w:sz w:val="26"/>
          <w:szCs w:val="26"/>
        </w:rPr>
        <w:t xml:space="preserve"> </w:t>
      </w:r>
      <w:r w:rsidRPr="00A90561">
        <w:rPr>
          <w:sz w:val="26"/>
          <w:szCs w:val="26"/>
        </w:rPr>
        <w:t>present a future claim to recover AMR technology costs when the Company beg</w:t>
      </w:r>
      <w:r w:rsidR="00FB000A">
        <w:rPr>
          <w:sz w:val="26"/>
          <w:szCs w:val="26"/>
        </w:rPr>
        <w:t>an</w:t>
      </w:r>
      <w:r w:rsidRPr="00A90561">
        <w:rPr>
          <w:sz w:val="26"/>
          <w:szCs w:val="26"/>
        </w:rPr>
        <w:t xml:space="preserve"> installation of AMR</w:t>
      </w:r>
      <w:r w:rsidR="00A90561" w:rsidRPr="00A90561">
        <w:rPr>
          <w:sz w:val="26"/>
          <w:szCs w:val="26"/>
        </w:rPr>
        <w:t xml:space="preserve"> </w:t>
      </w:r>
      <w:r w:rsidRPr="00A90561">
        <w:rPr>
          <w:sz w:val="26"/>
          <w:szCs w:val="26"/>
        </w:rPr>
        <w:t xml:space="preserve">technology. </w:t>
      </w:r>
      <w:r w:rsidR="003B63AC">
        <w:rPr>
          <w:sz w:val="26"/>
          <w:szCs w:val="26"/>
        </w:rPr>
        <w:t xml:space="preserve"> </w:t>
      </w:r>
      <w:r w:rsidRPr="00A90561">
        <w:rPr>
          <w:sz w:val="26"/>
          <w:szCs w:val="26"/>
        </w:rPr>
        <w:t>The Company further explain</w:t>
      </w:r>
      <w:r w:rsidR="00DD41A6">
        <w:rPr>
          <w:sz w:val="26"/>
          <w:szCs w:val="26"/>
        </w:rPr>
        <w:t>s</w:t>
      </w:r>
      <w:r w:rsidRPr="00A90561">
        <w:rPr>
          <w:sz w:val="26"/>
          <w:szCs w:val="26"/>
        </w:rPr>
        <w:t xml:space="preserve"> that during the initial years of the LTIIP it planned to study</w:t>
      </w:r>
      <w:r w:rsidR="00A90561" w:rsidRPr="00A90561">
        <w:rPr>
          <w:sz w:val="26"/>
          <w:szCs w:val="26"/>
        </w:rPr>
        <w:t xml:space="preserve"> </w:t>
      </w:r>
      <w:r w:rsidRPr="00A90561">
        <w:rPr>
          <w:sz w:val="26"/>
          <w:szCs w:val="26"/>
        </w:rPr>
        <w:t xml:space="preserve">the deployment of AMR technology. </w:t>
      </w:r>
    </w:p>
    <w:p w:rsidR="002C19CA" w:rsidRPr="00A90561" w:rsidRDefault="002C19CA" w:rsidP="00A90561">
      <w:pPr>
        <w:pStyle w:val="p2"/>
        <w:widowControl/>
        <w:spacing w:line="360" w:lineRule="auto"/>
        <w:ind w:firstLine="1440"/>
        <w:rPr>
          <w:sz w:val="26"/>
          <w:szCs w:val="26"/>
        </w:rPr>
      </w:pPr>
    </w:p>
    <w:p w:rsidR="00107B31" w:rsidRDefault="00E6066C" w:rsidP="00A90561">
      <w:pPr>
        <w:pStyle w:val="p2"/>
        <w:widowControl/>
        <w:spacing w:line="360" w:lineRule="auto"/>
        <w:ind w:firstLine="1440"/>
        <w:rPr>
          <w:sz w:val="26"/>
          <w:szCs w:val="26"/>
        </w:rPr>
      </w:pPr>
      <w:r w:rsidRPr="00A90561">
        <w:rPr>
          <w:sz w:val="26"/>
          <w:szCs w:val="26"/>
        </w:rPr>
        <w:t>Peoples has undertaken further evaluation and review of the special meter technology and is</w:t>
      </w:r>
      <w:r w:rsidR="00A90561">
        <w:rPr>
          <w:sz w:val="26"/>
          <w:szCs w:val="26"/>
        </w:rPr>
        <w:t xml:space="preserve"> </w:t>
      </w:r>
      <w:r w:rsidRPr="00A90561">
        <w:rPr>
          <w:sz w:val="26"/>
          <w:szCs w:val="26"/>
        </w:rPr>
        <w:t xml:space="preserve">now proposing to revise its </w:t>
      </w:r>
      <w:r w:rsidR="00FB000A">
        <w:rPr>
          <w:sz w:val="26"/>
          <w:szCs w:val="26"/>
        </w:rPr>
        <w:t xml:space="preserve">current </w:t>
      </w:r>
      <w:r w:rsidRPr="00A90561">
        <w:rPr>
          <w:sz w:val="26"/>
          <w:szCs w:val="26"/>
        </w:rPr>
        <w:t xml:space="preserve">LTIIP to incorporate the installation of AMR technology. </w:t>
      </w:r>
      <w:r w:rsidR="003B63AC">
        <w:rPr>
          <w:sz w:val="26"/>
          <w:szCs w:val="26"/>
        </w:rPr>
        <w:t xml:space="preserve"> </w:t>
      </w:r>
      <w:r w:rsidRPr="00A90561">
        <w:rPr>
          <w:sz w:val="26"/>
          <w:szCs w:val="26"/>
        </w:rPr>
        <w:t>The</w:t>
      </w:r>
      <w:r w:rsidR="00A90561" w:rsidRPr="00A90561">
        <w:rPr>
          <w:sz w:val="26"/>
          <w:szCs w:val="26"/>
        </w:rPr>
        <w:t xml:space="preserve"> </w:t>
      </w:r>
      <w:r w:rsidRPr="00A90561">
        <w:rPr>
          <w:sz w:val="26"/>
          <w:szCs w:val="26"/>
        </w:rPr>
        <w:t>Company is proposing a five-year program that will run from 2016 through 2020 through which it</w:t>
      </w:r>
      <w:r w:rsidR="00A90561" w:rsidRPr="00A90561">
        <w:rPr>
          <w:sz w:val="26"/>
          <w:szCs w:val="26"/>
        </w:rPr>
        <w:t xml:space="preserve"> </w:t>
      </w:r>
      <w:r w:rsidRPr="00A90561">
        <w:rPr>
          <w:sz w:val="26"/>
          <w:szCs w:val="26"/>
        </w:rPr>
        <w:t>would retro-fit ERTs, using the latest technology, on all Peoples Division residential and commercial</w:t>
      </w:r>
      <w:r w:rsidR="00A90561" w:rsidRPr="00A90561">
        <w:rPr>
          <w:sz w:val="26"/>
          <w:szCs w:val="26"/>
        </w:rPr>
        <w:t xml:space="preserve"> </w:t>
      </w:r>
      <w:r w:rsidRPr="00A90561">
        <w:rPr>
          <w:sz w:val="26"/>
          <w:szCs w:val="26"/>
        </w:rPr>
        <w:t xml:space="preserve">customer meters. </w:t>
      </w:r>
      <w:r w:rsidR="003B63AC">
        <w:rPr>
          <w:sz w:val="26"/>
          <w:szCs w:val="26"/>
        </w:rPr>
        <w:t xml:space="preserve"> </w:t>
      </w:r>
      <w:r w:rsidR="00107B31">
        <w:rPr>
          <w:sz w:val="26"/>
          <w:szCs w:val="26"/>
        </w:rPr>
        <w:t xml:space="preserve">Peoples explains that </w:t>
      </w:r>
      <w:r w:rsidRPr="00A90561">
        <w:rPr>
          <w:sz w:val="26"/>
          <w:szCs w:val="26"/>
        </w:rPr>
        <w:t>ERTs use a packet radio protocol that will transmit data from customer meters to</w:t>
      </w:r>
      <w:r w:rsidR="00A90561" w:rsidRPr="00A90561">
        <w:rPr>
          <w:sz w:val="26"/>
          <w:szCs w:val="26"/>
        </w:rPr>
        <w:t xml:space="preserve"> </w:t>
      </w:r>
      <w:r w:rsidRPr="00A90561">
        <w:rPr>
          <w:sz w:val="26"/>
          <w:szCs w:val="26"/>
        </w:rPr>
        <w:t>Company drive-by vehicles in order to collect metered usage data without a worker physically reading</w:t>
      </w:r>
      <w:r w:rsidR="00A90561" w:rsidRPr="00A90561">
        <w:rPr>
          <w:sz w:val="26"/>
          <w:szCs w:val="26"/>
        </w:rPr>
        <w:t xml:space="preserve"> </w:t>
      </w:r>
      <w:r w:rsidRPr="00A90561">
        <w:rPr>
          <w:sz w:val="26"/>
          <w:szCs w:val="26"/>
        </w:rPr>
        <w:t xml:space="preserve">each meter. </w:t>
      </w:r>
      <w:r w:rsidR="003B63AC">
        <w:rPr>
          <w:sz w:val="26"/>
          <w:szCs w:val="26"/>
        </w:rPr>
        <w:t xml:space="preserve"> </w:t>
      </w:r>
      <w:r w:rsidRPr="00A90561">
        <w:rPr>
          <w:sz w:val="26"/>
          <w:szCs w:val="26"/>
        </w:rPr>
        <w:t>Under the proposed program, ERT’s would only be placed on Peoples Division customer</w:t>
      </w:r>
      <w:r w:rsidR="00A90561" w:rsidRPr="00A90561">
        <w:rPr>
          <w:sz w:val="26"/>
          <w:szCs w:val="26"/>
        </w:rPr>
        <w:t xml:space="preserve"> </w:t>
      </w:r>
      <w:r w:rsidRPr="00A90561">
        <w:rPr>
          <w:sz w:val="26"/>
          <w:szCs w:val="26"/>
        </w:rPr>
        <w:t xml:space="preserve">meters and not on the meters of Equitable Division customers. </w:t>
      </w:r>
      <w:r w:rsidR="003B63AC">
        <w:rPr>
          <w:sz w:val="26"/>
          <w:szCs w:val="26"/>
        </w:rPr>
        <w:t xml:space="preserve"> </w:t>
      </w:r>
      <w:r w:rsidRPr="00A90561">
        <w:rPr>
          <w:sz w:val="26"/>
          <w:szCs w:val="26"/>
        </w:rPr>
        <w:t>Equitable Division customer meters</w:t>
      </w:r>
      <w:r w:rsidR="00A90561" w:rsidRPr="00A90561">
        <w:rPr>
          <w:sz w:val="26"/>
          <w:szCs w:val="26"/>
        </w:rPr>
        <w:t xml:space="preserve"> </w:t>
      </w:r>
      <w:r w:rsidRPr="00A90561">
        <w:rPr>
          <w:sz w:val="26"/>
          <w:szCs w:val="26"/>
        </w:rPr>
        <w:t xml:space="preserve">have AMR/ERT equipment already installed. </w:t>
      </w:r>
    </w:p>
    <w:p w:rsidR="00107B31" w:rsidRDefault="00107B31" w:rsidP="00A90561">
      <w:pPr>
        <w:pStyle w:val="p2"/>
        <w:widowControl/>
        <w:spacing w:line="360" w:lineRule="auto"/>
        <w:ind w:firstLine="1440"/>
        <w:rPr>
          <w:sz w:val="26"/>
          <w:szCs w:val="26"/>
        </w:rPr>
      </w:pPr>
    </w:p>
    <w:p w:rsidR="00E6066C" w:rsidRPr="00A90561" w:rsidRDefault="00E6066C" w:rsidP="00A90561">
      <w:pPr>
        <w:pStyle w:val="p2"/>
        <w:widowControl/>
        <w:spacing w:line="360" w:lineRule="auto"/>
        <w:ind w:firstLine="1440"/>
        <w:rPr>
          <w:sz w:val="26"/>
          <w:szCs w:val="26"/>
        </w:rPr>
      </w:pPr>
      <w:r w:rsidRPr="00A90561">
        <w:rPr>
          <w:sz w:val="26"/>
          <w:szCs w:val="26"/>
        </w:rPr>
        <w:t>The estimated total cost of the five-year program is</w:t>
      </w:r>
      <w:r w:rsidR="00A90561" w:rsidRPr="00A90561">
        <w:rPr>
          <w:sz w:val="26"/>
          <w:szCs w:val="26"/>
        </w:rPr>
        <w:t xml:space="preserve"> </w:t>
      </w:r>
      <w:r w:rsidRPr="00A90561">
        <w:rPr>
          <w:sz w:val="26"/>
          <w:szCs w:val="26"/>
        </w:rPr>
        <w:t>$33.0 million and consists of costs for: data logging modules on 375,000 meters</w:t>
      </w:r>
      <w:r w:rsidR="00107B31">
        <w:rPr>
          <w:sz w:val="26"/>
          <w:szCs w:val="26"/>
        </w:rPr>
        <w:t>;</w:t>
      </w:r>
      <w:r w:rsidR="00A90561" w:rsidRPr="00A90561">
        <w:rPr>
          <w:sz w:val="26"/>
          <w:szCs w:val="26"/>
        </w:rPr>
        <w:t xml:space="preserve"> </w:t>
      </w:r>
      <w:r w:rsidRPr="00A90561">
        <w:rPr>
          <w:sz w:val="26"/>
          <w:szCs w:val="26"/>
        </w:rPr>
        <w:t>hardware such as Mobile Collectors Units and accessories</w:t>
      </w:r>
      <w:r w:rsidR="00107B31">
        <w:rPr>
          <w:sz w:val="26"/>
          <w:szCs w:val="26"/>
        </w:rPr>
        <w:t xml:space="preserve">; </w:t>
      </w:r>
      <w:r w:rsidRPr="00A90561">
        <w:rPr>
          <w:sz w:val="26"/>
          <w:szCs w:val="26"/>
        </w:rPr>
        <w:t xml:space="preserve"> software</w:t>
      </w:r>
      <w:r w:rsidR="00107B31">
        <w:rPr>
          <w:sz w:val="26"/>
          <w:szCs w:val="26"/>
        </w:rPr>
        <w:t>;</w:t>
      </w:r>
      <w:r w:rsidRPr="00A90561">
        <w:rPr>
          <w:sz w:val="26"/>
          <w:szCs w:val="26"/>
        </w:rPr>
        <w:t xml:space="preserve"> planning</w:t>
      </w:r>
      <w:r w:rsidR="00107B31">
        <w:rPr>
          <w:sz w:val="26"/>
          <w:szCs w:val="26"/>
        </w:rPr>
        <w:t>;</w:t>
      </w:r>
      <w:r w:rsidRPr="00A90561">
        <w:rPr>
          <w:sz w:val="26"/>
          <w:szCs w:val="26"/>
        </w:rPr>
        <w:t xml:space="preserve"> testing</w:t>
      </w:r>
      <w:r w:rsidR="00107B31">
        <w:rPr>
          <w:sz w:val="26"/>
          <w:szCs w:val="26"/>
        </w:rPr>
        <w:t>;</w:t>
      </w:r>
      <w:r w:rsidRPr="00A90561">
        <w:rPr>
          <w:sz w:val="26"/>
          <w:szCs w:val="26"/>
        </w:rPr>
        <w:t xml:space="preserve"> and labor for</w:t>
      </w:r>
      <w:r w:rsidR="00A90561" w:rsidRPr="00A90561">
        <w:rPr>
          <w:sz w:val="26"/>
          <w:szCs w:val="26"/>
        </w:rPr>
        <w:t xml:space="preserve"> </w:t>
      </w:r>
      <w:r w:rsidRPr="00A90561">
        <w:rPr>
          <w:sz w:val="26"/>
          <w:szCs w:val="26"/>
        </w:rPr>
        <w:t xml:space="preserve">ERT </w:t>
      </w:r>
      <w:r w:rsidRPr="00A90561">
        <w:rPr>
          <w:sz w:val="26"/>
          <w:szCs w:val="26"/>
        </w:rPr>
        <w:lastRenderedPageBreak/>
        <w:t>mounting and installation.</w:t>
      </w:r>
      <w:r w:rsidR="00F117E5">
        <w:rPr>
          <w:rStyle w:val="FootnoteReference"/>
          <w:sz w:val="26"/>
          <w:szCs w:val="26"/>
        </w:rPr>
        <w:footnoteReference w:id="7"/>
      </w:r>
      <w:r w:rsidRPr="00A90561">
        <w:rPr>
          <w:sz w:val="26"/>
          <w:szCs w:val="26"/>
        </w:rPr>
        <w:t xml:space="preserve"> </w:t>
      </w:r>
      <w:r w:rsidR="003B63AC">
        <w:rPr>
          <w:sz w:val="26"/>
          <w:szCs w:val="26"/>
        </w:rPr>
        <w:t xml:space="preserve"> </w:t>
      </w:r>
      <w:r w:rsidRPr="00A90561">
        <w:rPr>
          <w:sz w:val="26"/>
          <w:szCs w:val="26"/>
        </w:rPr>
        <w:t>Peoples’ first</w:t>
      </w:r>
      <w:r w:rsidR="00255D27">
        <w:rPr>
          <w:sz w:val="26"/>
          <w:szCs w:val="26"/>
        </w:rPr>
        <w:t>-</w:t>
      </w:r>
      <w:r w:rsidRPr="00A90561">
        <w:rPr>
          <w:sz w:val="26"/>
          <w:szCs w:val="26"/>
        </w:rPr>
        <w:t>year costs (2016) are estimated to be $5.1 million and will</w:t>
      </w:r>
      <w:r w:rsidR="00A90561" w:rsidRPr="00A90561">
        <w:rPr>
          <w:sz w:val="26"/>
          <w:szCs w:val="26"/>
        </w:rPr>
        <w:t xml:space="preserve"> </w:t>
      </w:r>
      <w:r w:rsidRPr="00A90561">
        <w:rPr>
          <w:sz w:val="26"/>
          <w:szCs w:val="26"/>
        </w:rPr>
        <w:t>consist of upfront project planning and hardware and software costs of $2.2 million along with $2.9</w:t>
      </w:r>
      <w:r w:rsidR="00A90561" w:rsidRPr="00A90561">
        <w:rPr>
          <w:sz w:val="26"/>
          <w:szCs w:val="26"/>
        </w:rPr>
        <w:t xml:space="preserve"> </w:t>
      </w:r>
      <w:r w:rsidRPr="00A90561">
        <w:rPr>
          <w:sz w:val="26"/>
          <w:szCs w:val="26"/>
        </w:rPr>
        <w:t xml:space="preserve">million for the ERT units and installation on </w:t>
      </w:r>
      <w:r w:rsidR="00107B31">
        <w:rPr>
          <w:sz w:val="26"/>
          <w:szCs w:val="26"/>
        </w:rPr>
        <w:t>approximately</w:t>
      </w:r>
      <w:r w:rsidRPr="00A90561">
        <w:rPr>
          <w:sz w:val="26"/>
          <w:szCs w:val="26"/>
        </w:rPr>
        <w:t xml:space="preserve"> 33,000 meters. </w:t>
      </w:r>
      <w:r w:rsidR="003B63AC">
        <w:rPr>
          <w:sz w:val="26"/>
          <w:szCs w:val="26"/>
        </w:rPr>
        <w:t xml:space="preserve"> </w:t>
      </w:r>
      <w:r w:rsidRPr="00A90561">
        <w:rPr>
          <w:sz w:val="26"/>
          <w:szCs w:val="26"/>
        </w:rPr>
        <w:t xml:space="preserve">The annual costs for </w:t>
      </w:r>
      <w:r w:rsidR="00107B31">
        <w:rPr>
          <w:sz w:val="26"/>
          <w:szCs w:val="26"/>
        </w:rPr>
        <w:t xml:space="preserve">each of </w:t>
      </w:r>
      <w:r w:rsidRPr="00A90561">
        <w:rPr>
          <w:sz w:val="26"/>
          <w:szCs w:val="26"/>
        </w:rPr>
        <w:t>the last</w:t>
      </w:r>
      <w:r w:rsidR="00A90561" w:rsidRPr="00A90561">
        <w:rPr>
          <w:sz w:val="26"/>
          <w:szCs w:val="26"/>
        </w:rPr>
        <w:t xml:space="preserve"> </w:t>
      </w:r>
      <w:r w:rsidRPr="00A90561">
        <w:rPr>
          <w:sz w:val="26"/>
          <w:szCs w:val="26"/>
        </w:rPr>
        <w:t>four years of the plan (2017-2020) are estimated to be $7.0 million</w:t>
      </w:r>
      <w:r w:rsidR="00107B31">
        <w:rPr>
          <w:sz w:val="26"/>
          <w:szCs w:val="26"/>
        </w:rPr>
        <w:t xml:space="preserve">.  This includes </w:t>
      </w:r>
      <w:r w:rsidRPr="00A90561">
        <w:rPr>
          <w:sz w:val="26"/>
          <w:szCs w:val="26"/>
        </w:rPr>
        <w:t>ERT units and</w:t>
      </w:r>
      <w:r w:rsidR="00A90561">
        <w:rPr>
          <w:sz w:val="26"/>
          <w:szCs w:val="26"/>
        </w:rPr>
        <w:t xml:space="preserve"> </w:t>
      </w:r>
      <w:r w:rsidRPr="00A90561">
        <w:rPr>
          <w:sz w:val="26"/>
          <w:szCs w:val="26"/>
        </w:rPr>
        <w:t xml:space="preserve">installation on the remaining customer meters. </w:t>
      </w:r>
      <w:r w:rsidR="003B63AC">
        <w:rPr>
          <w:sz w:val="26"/>
          <w:szCs w:val="26"/>
        </w:rPr>
        <w:t xml:space="preserve"> </w:t>
      </w:r>
      <w:r w:rsidR="00DB4E6A">
        <w:rPr>
          <w:sz w:val="26"/>
          <w:szCs w:val="26"/>
        </w:rPr>
        <w:t>Peoples states that t</w:t>
      </w:r>
      <w:r w:rsidRPr="00A90561">
        <w:rPr>
          <w:sz w:val="26"/>
          <w:szCs w:val="26"/>
        </w:rPr>
        <w:t>he initial rollout will utilize drive by technology and</w:t>
      </w:r>
      <w:r w:rsidR="00A90561" w:rsidRPr="00A90561">
        <w:rPr>
          <w:sz w:val="26"/>
          <w:szCs w:val="26"/>
        </w:rPr>
        <w:t xml:space="preserve"> </w:t>
      </w:r>
      <w:r w:rsidRPr="00A90561">
        <w:rPr>
          <w:sz w:val="26"/>
          <w:szCs w:val="26"/>
        </w:rPr>
        <w:t>the accelerated installation of ERTs on the Peoples Division system will be strategically installed by</w:t>
      </w:r>
      <w:r w:rsidR="00A90561" w:rsidRPr="00A90561">
        <w:rPr>
          <w:sz w:val="26"/>
          <w:szCs w:val="26"/>
        </w:rPr>
        <w:t xml:space="preserve"> </w:t>
      </w:r>
      <w:r w:rsidRPr="00A90561">
        <w:rPr>
          <w:sz w:val="26"/>
          <w:szCs w:val="26"/>
        </w:rPr>
        <w:t>location so that Peoples Division and Equitable Division routes can be managed in the most efficient</w:t>
      </w:r>
      <w:r w:rsidR="00A90561" w:rsidRPr="00A90561">
        <w:rPr>
          <w:sz w:val="26"/>
          <w:szCs w:val="26"/>
        </w:rPr>
        <w:t xml:space="preserve"> </w:t>
      </w:r>
      <w:r w:rsidRPr="00A90561">
        <w:rPr>
          <w:sz w:val="26"/>
          <w:szCs w:val="26"/>
        </w:rPr>
        <w:t xml:space="preserve">manner. </w:t>
      </w:r>
      <w:r w:rsidR="003B63AC">
        <w:rPr>
          <w:sz w:val="26"/>
          <w:szCs w:val="26"/>
        </w:rPr>
        <w:t xml:space="preserve"> </w:t>
      </w:r>
      <w:r w:rsidR="00107B31">
        <w:rPr>
          <w:sz w:val="26"/>
          <w:szCs w:val="26"/>
        </w:rPr>
        <w:t>Peoples notes that a</w:t>
      </w:r>
      <w:r w:rsidRPr="00A90561">
        <w:rPr>
          <w:sz w:val="26"/>
          <w:szCs w:val="26"/>
        </w:rPr>
        <w:t>s new meters are installed through the normal meter change</w:t>
      </w:r>
      <w:r w:rsidR="00A90561" w:rsidRPr="00A90561">
        <w:rPr>
          <w:sz w:val="26"/>
          <w:szCs w:val="26"/>
        </w:rPr>
        <w:t xml:space="preserve"> </w:t>
      </w:r>
      <w:r w:rsidRPr="00A90561">
        <w:rPr>
          <w:sz w:val="26"/>
          <w:szCs w:val="26"/>
        </w:rPr>
        <w:t xml:space="preserve">process, ERTs will be installed on </w:t>
      </w:r>
      <w:r w:rsidR="00107B31">
        <w:rPr>
          <w:sz w:val="26"/>
          <w:szCs w:val="26"/>
        </w:rPr>
        <w:t>those</w:t>
      </w:r>
      <w:r w:rsidRPr="00A90561">
        <w:rPr>
          <w:sz w:val="26"/>
          <w:szCs w:val="26"/>
        </w:rPr>
        <w:t xml:space="preserve"> meters and </w:t>
      </w:r>
      <w:r w:rsidR="00107B31">
        <w:rPr>
          <w:sz w:val="26"/>
          <w:szCs w:val="26"/>
        </w:rPr>
        <w:t>the meters</w:t>
      </w:r>
      <w:r w:rsidRPr="00A90561">
        <w:rPr>
          <w:sz w:val="26"/>
          <w:szCs w:val="26"/>
        </w:rPr>
        <w:t xml:space="preserve"> will be added</w:t>
      </w:r>
      <w:r w:rsidR="00A90561" w:rsidRPr="00A90561">
        <w:rPr>
          <w:sz w:val="26"/>
          <w:szCs w:val="26"/>
        </w:rPr>
        <w:t xml:space="preserve"> </w:t>
      </w:r>
      <w:r w:rsidRPr="00A90561">
        <w:rPr>
          <w:sz w:val="26"/>
          <w:szCs w:val="26"/>
        </w:rPr>
        <w:t xml:space="preserve">to drive-by-routes as soon as practicable. </w:t>
      </w:r>
      <w:r w:rsidR="003B63AC">
        <w:rPr>
          <w:sz w:val="26"/>
          <w:szCs w:val="26"/>
        </w:rPr>
        <w:t xml:space="preserve"> </w:t>
      </w:r>
      <w:r w:rsidRPr="00A90561">
        <w:rPr>
          <w:sz w:val="26"/>
          <w:szCs w:val="26"/>
        </w:rPr>
        <w:t>The Company intends to further evaluate the installation of a</w:t>
      </w:r>
      <w:r w:rsidR="00A90561" w:rsidRPr="00A90561">
        <w:rPr>
          <w:sz w:val="26"/>
          <w:szCs w:val="26"/>
        </w:rPr>
        <w:t xml:space="preserve"> </w:t>
      </w:r>
      <w:r w:rsidRPr="00A90561">
        <w:rPr>
          <w:sz w:val="26"/>
          <w:szCs w:val="26"/>
        </w:rPr>
        <w:t>fixed network system in concentrated areas that would permit the real-time automated collection of</w:t>
      </w:r>
      <w:r w:rsidR="00A90561" w:rsidRPr="00A90561">
        <w:rPr>
          <w:sz w:val="26"/>
          <w:szCs w:val="26"/>
        </w:rPr>
        <w:t xml:space="preserve"> </w:t>
      </w:r>
      <w:r w:rsidRPr="00A90561">
        <w:rPr>
          <w:sz w:val="26"/>
          <w:szCs w:val="26"/>
        </w:rPr>
        <w:t>meter data using wireless communications in the future.</w:t>
      </w:r>
    </w:p>
    <w:p w:rsidR="00E6066C" w:rsidRPr="00A90561" w:rsidRDefault="00E6066C" w:rsidP="00A90561">
      <w:pPr>
        <w:pStyle w:val="p2"/>
        <w:widowControl/>
        <w:spacing w:line="360" w:lineRule="auto"/>
        <w:ind w:firstLine="1440"/>
        <w:rPr>
          <w:sz w:val="26"/>
          <w:szCs w:val="26"/>
        </w:rPr>
      </w:pPr>
    </w:p>
    <w:p w:rsidR="002C19CA" w:rsidRDefault="00107B31" w:rsidP="00A90561">
      <w:pPr>
        <w:pStyle w:val="p2"/>
        <w:widowControl/>
        <w:spacing w:line="360" w:lineRule="auto"/>
        <w:ind w:firstLine="1440"/>
        <w:rPr>
          <w:sz w:val="26"/>
          <w:szCs w:val="26"/>
        </w:rPr>
      </w:pPr>
      <w:r>
        <w:rPr>
          <w:sz w:val="26"/>
          <w:szCs w:val="26"/>
        </w:rPr>
        <w:t xml:space="preserve">Peoples </w:t>
      </w:r>
      <w:r w:rsidR="00E6066C" w:rsidRPr="00A90561">
        <w:rPr>
          <w:sz w:val="26"/>
          <w:szCs w:val="26"/>
        </w:rPr>
        <w:t>plans to redirect dollars from two areas to cover the costs related to the</w:t>
      </w:r>
      <w:r w:rsidR="00A90561">
        <w:rPr>
          <w:sz w:val="26"/>
          <w:szCs w:val="26"/>
        </w:rPr>
        <w:t xml:space="preserve"> </w:t>
      </w:r>
      <w:r w:rsidR="00E6066C" w:rsidRPr="00A90561">
        <w:rPr>
          <w:sz w:val="26"/>
          <w:szCs w:val="26"/>
        </w:rPr>
        <w:t xml:space="preserve">installation of AMR technology. </w:t>
      </w:r>
      <w:r w:rsidR="003B63AC">
        <w:rPr>
          <w:sz w:val="26"/>
          <w:szCs w:val="26"/>
        </w:rPr>
        <w:t xml:space="preserve"> </w:t>
      </w:r>
      <w:r w:rsidR="00E6066C" w:rsidRPr="00A90561">
        <w:rPr>
          <w:sz w:val="26"/>
          <w:szCs w:val="26"/>
        </w:rPr>
        <w:t xml:space="preserve">First, as described </w:t>
      </w:r>
      <w:r>
        <w:rPr>
          <w:sz w:val="26"/>
          <w:szCs w:val="26"/>
        </w:rPr>
        <w:t>above</w:t>
      </w:r>
      <w:r w:rsidR="00E6066C" w:rsidRPr="00A90561">
        <w:rPr>
          <w:sz w:val="26"/>
          <w:szCs w:val="26"/>
        </w:rPr>
        <w:t>, the</w:t>
      </w:r>
      <w:r w:rsidR="00A90561">
        <w:rPr>
          <w:sz w:val="26"/>
          <w:szCs w:val="26"/>
        </w:rPr>
        <w:t xml:space="preserve"> </w:t>
      </w:r>
      <w:r w:rsidR="00E6066C" w:rsidRPr="00A90561">
        <w:rPr>
          <w:sz w:val="26"/>
          <w:szCs w:val="26"/>
        </w:rPr>
        <w:t>Company is not planning to initiate its bar coding technology initiative for the Peoples Division and the</w:t>
      </w:r>
      <w:r w:rsidR="00A90561" w:rsidRPr="00A90561">
        <w:rPr>
          <w:sz w:val="26"/>
          <w:szCs w:val="26"/>
        </w:rPr>
        <w:t xml:space="preserve"> </w:t>
      </w:r>
      <w:r w:rsidR="00E6066C" w:rsidRPr="00A90561">
        <w:rPr>
          <w:sz w:val="26"/>
          <w:szCs w:val="26"/>
        </w:rPr>
        <w:t xml:space="preserve">Equitable Division. </w:t>
      </w:r>
      <w:r w:rsidR="003B63AC">
        <w:rPr>
          <w:sz w:val="26"/>
          <w:szCs w:val="26"/>
        </w:rPr>
        <w:t xml:space="preserve"> </w:t>
      </w:r>
      <w:r w:rsidR="00E6066C" w:rsidRPr="00A90561">
        <w:rPr>
          <w:sz w:val="26"/>
          <w:szCs w:val="26"/>
        </w:rPr>
        <w:t>Peoples proposes that the total bar</w:t>
      </w:r>
      <w:r w:rsidR="00A90561" w:rsidRPr="00A90561">
        <w:rPr>
          <w:sz w:val="26"/>
          <w:szCs w:val="26"/>
        </w:rPr>
        <w:t xml:space="preserve"> </w:t>
      </w:r>
      <w:r w:rsidR="00E6066C" w:rsidRPr="00A90561">
        <w:rPr>
          <w:sz w:val="26"/>
          <w:szCs w:val="26"/>
        </w:rPr>
        <w:t>coding related expenditures of $6.0 million as set forth in the current LTIIP ($3.0 million for the</w:t>
      </w:r>
      <w:r w:rsidR="00A90561" w:rsidRPr="00A90561">
        <w:rPr>
          <w:sz w:val="26"/>
          <w:szCs w:val="26"/>
        </w:rPr>
        <w:t xml:space="preserve"> </w:t>
      </w:r>
      <w:r w:rsidR="00E6066C" w:rsidRPr="00A90561">
        <w:rPr>
          <w:sz w:val="26"/>
          <w:szCs w:val="26"/>
        </w:rPr>
        <w:t>Peoples Division and $3.0 million for the Equitable Division) instead be used for AMR (as well as M&amp;R</w:t>
      </w:r>
      <w:r w:rsidR="00A90561" w:rsidRPr="00A90561">
        <w:rPr>
          <w:sz w:val="26"/>
          <w:szCs w:val="26"/>
        </w:rPr>
        <w:t xml:space="preserve"> </w:t>
      </w:r>
      <w:r w:rsidR="00E6066C" w:rsidRPr="00A90561">
        <w:rPr>
          <w:sz w:val="26"/>
          <w:szCs w:val="26"/>
        </w:rPr>
        <w:t xml:space="preserve">station upgrades - a new LTIIP category discussed later). </w:t>
      </w:r>
    </w:p>
    <w:p w:rsidR="002C19CA" w:rsidRDefault="002C19CA" w:rsidP="00A90561">
      <w:pPr>
        <w:pStyle w:val="p2"/>
        <w:widowControl/>
        <w:spacing w:line="360" w:lineRule="auto"/>
        <w:ind w:firstLine="1440"/>
        <w:rPr>
          <w:sz w:val="26"/>
          <w:szCs w:val="26"/>
        </w:rPr>
      </w:pPr>
    </w:p>
    <w:p w:rsidR="00E6066C" w:rsidRPr="00A90561" w:rsidRDefault="00107B31" w:rsidP="00A90561">
      <w:pPr>
        <w:pStyle w:val="p2"/>
        <w:widowControl/>
        <w:spacing w:line="360" w:lineRule="auto"/>
        <w:ind w:firstLine="1440"/>
        <w:rPr>
          <w:sz w:val="26"/>
          <w:szCs w:val="26"/>
        </w:rPr>
      </w:pPr>
      <w:r>
        <w:rPr>
          <w:sz w:val="26"/>
          <w:szCs w:val="26"/>
        </w:rPr>
        <w:t xml:space="preserve">Peoples also </w:t>
      </w:r>
      <w:r w:rsidR="00E6066C" w:rsidRPr="00A90561">
        <w:rPr>
          <w:sz w:val="26"/>
          <w:szCs w:val="26"/>
        </w:rPr>
        <w:t xml:space="preserve">plans to use savings generated from reductions to </w:t>
      </w:r>
      <w:r w:rsidR="00DB4E6A">
        <w:rPr>
          <w:sz w:val="26"/>
          <w:szCs w:val="26"/>
        </w:rPr>
        <w:t>their</w:t>
      </w:r>
      <w:r w:rsidR="00E6066C" w:rsidRPr="00A90561">
        <w:rPr>
          <w:sz w:val="26"/>
          <w:szCs w:val="26"/>
        </w:rPr>
        <w:t xml:space="preserve"> pipeline replacement capital costs that were not</w:t>
      </w:r>
      <w:r w:rsidR="00A90561" w:rsidRPr="00A90561">
        <w:rPr>
          <w:sz w:val="26"/>
          <w:szCs w:val="26"/>
        </w:rPr>
        <w:t xml:space="preserve"> </w:t>
      </w:r>
      <w:r w:rsidR="00E6066C" w:rsidRPr="00A90561">
        <w:rPr>
          <w:sz w:val="26"/>
          <w:szCs w:val="26"/>
        </w:rPr>
        <w:t>recognized in the current LTIIP.</w:t>
      </w:r>
      <w:r w:rsidR="003B63AC">
        <w:rPr>
          <w:sz w:val="26"/>
          <w:szCs w:val="26"/>
        </w:rPr>
        <w:t xml:space="preserve"> </w:t>
      </w:r>
      <w:r w:rsidR="00E6066C" w:rsidRPr="00A90561">
        <w:rPr>
          <w:sz w:val="26"/>
          <w:szCs w:val="26"/>
        </w:rPr>
        <w:t xml:space="preserve"> The means for generating these costs saving were</w:t>
      </w:r>
      <w:r w:rsidR="00A90561" w:rsidRPr="00A90561">
        <w:rPr>
          <w:sz w:val="26"/>
          <w:szCs w:val="26"/>
        </w:rPr>
        <w:t xml:space="preserve"> </w:t>
      </w:r>
      <w:r w:rsidR="00E6066C" w:rsidRPr="00A90561">
        <w:rPr>
          <w:sz w:val="26"/>
          <w:szCs w:val="26"/>
        </w:rPr>
        <w:t>made possible by the recent Commission approvals granted in the Peoples and Peoples Equitable</w:t>
      </w:r>
      <w:r w:rsidR="00A90561" w:rsidRPr="00A90561">
        <w:rPr>
          <w:sz w:val="26"/>
          <w:szCs w:val="26"/>
        </w:rPr>
        <w:t xml:space="preserve"> </w:t>
      </w:r>
      <w:r w:rsidR="00E6066C" w:rsidRPr="00A90561">
        <w:rPr>
          <w:sz w:val="26"/>
          <w:szCs w:val="26"/>
        </w:rPr>
        <w:t xml:space="preserve">Division’s 1307(f) proceedings to </w:t>
      </w:r>
      <w:r w:rsidR="00E6066C" w:rsidRPr="00A90561">
        <w:rPr>
          <w:sz w:val="26"/>
          <w:szCs w:val="26"/>
        </w:rPr>
        <w:lastRenderedPageBreak/>
        <w:t>merge the</w:t>
      </w:r>
      <w:r w:rsidR="00A90561" w:rsidRPr="00A90561">
        <w:rPr>
          <w:sz w:val="26"/>
          <w:szCs w:val="26"/>
        </w:rPr>
        <w:t xml:space="preserve"> </w:t>
      </w:r>
      <w:r w:rsidR="00E6066C" w:rsidRPr="00A90561">
        <w:rPr>
          <w:sz w:val="26"/>
          <w:szCs w:val="26"/>
        </w:rPr>
        <w:t>purchased gas cost (PGC) rates of its two Divisions</w:t>
      </w:r>
      <w:r w:rsidR="00255D27">
        <w:rPr>
          <w:sz w:val="26"/>
          <w:szCs w:val="26"/>
        </w:rPr>
        <w:t>.</w:t>
      </w:r>
      <w:r>
        <w:rPr>
          <w:rStyle w:val="FootnoteReference"/>
          <w:sz w:val="26"/>
          <w:szCs w:val="26"/>
        </w:rPr>
        <w:footnoteReference w:id="8"/>
      </w:r>
      <w:r>
        <w:rPr>
          <w:sz w:val="26"/>
          <w:szCs w:val="26"/>
        </w:rPr>
        <w:t xml:space="preserve">  B</w:t>
      </w:r>
      <w:r w:rsidR="00E6066C" w:rsidRPr="00A90561">
        <w:rPr>
          <w:sz w:val="26"/>
          <w:szCs w:val="26"/>
        </w:rPr>
        <w:t>eginning October 1, 2015, both Divisions</w:t>
      </w:r>
      <w:r w:rsidR="00A90561" w:rsidRPr="00A90561">
        <w:rPr>
          <w:sz w:val="26"/>
          <w:szCs w:val="26"/>
        </w:rPr>
        <w:t xml:space="preserve"> </w:t>
      </w:r>
      <w:r>
        <w:rPr>
          <w:sz w:val="26"/>
          <w:szCs w:val="26"/>
        </w:rPr>
        <w:t>ar</w:t>
      </w:r>
      <w:r w:rsidR="00E6066C" w:rsidRPr="00A90561">
        <w:rPr>
          <w:sz w:val="26"/>
          <w:szCs w:val="26"/>
        </w:rPr>
        <w:t>e</w:t>
      </w:r>
      <w:r>
        <w:rPr>
          <w:sz w:val="26"/>
          <w:szCs w:val="26"/>
        </w:rPr>
        <w:t xml:space="preserve"> charging</w:t>
      </w:r>
      <w:r w:rsidR="00E6066C" w:rsidRPr="00A90561">
        <w:rPr>
          <w:sz w:val="26"/>
          <w:szCs w:val="26"/>
        </w:rPr>
        <w:t xml:space="preserve"> the same PGC rates to their customers</w:t>
      </w:r>
      <w:r>
        <w:rPr>
          <w:sz w:val="26"/>
          <w:szCs w:val="26"/>
        </w:rPr>
        <w:t>.</w:t>
      </w:r>
      <w:r w:rsidR="003B63AC">
        <w:rPr>
          <w:sz w:val="26"/>
          <w:szCs w:val="26"/>
        </w:rPr>
        <w:t xml:space="preserve"> </w:t>
      </w:r>
      <w:r w:rsidR="00E6066C" w:rsidRPr="00A90561">
        <w:rPr>
          <w:sz w:val="26"/>
          <w:szCs w:val="26"/>
        </w:rPr>
        <w:t xml:space="preserve"> </w:t>
      </w:r>
      <w:r>
        <w:rPr>
          <w:sz w:val="26"/>
          <w:szCs w:val="26"/>
        </w:rPr>
        <w:t>Peoples notes that</w:t>
      </w:r>
      <w:r w:rsidR="00E6066C" w:rsidRPr="00A90561">
        <w:rPr>
          <w:sz w:val="26"/>
          <w:szCs w:val="26"/>
        </w:rPr>
        <w:t xml:space="preserve"> with</w:t>
      </w:r>
      <w:r w:rsidR="00A90561" w:rsidRPr="00A90561">
        <w:rPr>
          <w:sz w:val="26"/>
          <w:szCs w:val="26"/>
        </w:rPr>
        <w:t xml:space="preserve"> </w:t>
      </w:r>
      <w:r w:rsidR="00E6066C" w:rsidRPr="00A90561">
        <w:rPr>
          <w:sz w:val="26"/>
          <w:szCs w:val="26"/>
        </w:rPr>
        <w:t>the merger of gas costs rates</w:t>
      </w:r>
      <w:r>
        <w:rPr>
          <w:sz w:val="26"/>
          <w:szCs w:val="26"/>
        </w:rPr>
        <w:t>,</w:t>
      </w:r>
      <w:r w:rsidR="00E6066C" w:rsidRPr="00A90561">
        <w:rPr>
          <w:sz w:val="26"/>
          <w:szCs w:val="26"/>
        </w:rPr>
        <w:t xml:space="preserve"> the Company will no longer be required to meter and track the physical</w:t>
      </w:r>
      <w:r w:rsidR="00A90561" w:rsidRPr="00A90561">
        <w:rPr>
          <w:sz w:val="26"/>
          <w:szCs w:val="26"/>
        </w:rPr>
        <w:t xml:space="preserve"> </w:t>
      </w:r>
      <w:r w:rsidR="00E6066C" w:rsidRPr="00A90561">
        <w:rPr>
          <w:sz w:val="26"/>
          <w:szCs w:val="26"/>
        </w:rPr>
        <w:t>flow of volumes delivered between the two Divisions.</w:t>
      </w:r>
      <w:r w:rsidR="003B63AC">
        <w:rPr>
          <w:sz w:val="26"/>
          <w:szCs w:val="26"/>
        </w:rPr>
        <w:t xml:space="preserve"> </w:t>
      </w:r>
      <w:r w:rsidR="00E6066C" w:rsidRPr="00A90561">
        <w:rPr>
          <w:sz w:val="26"/>
          <w:szCs w:val="26"/>
        </w:rPr>
        <w:t xml:space="preserve"> Earlier this year the Company more closely analyzed the systems to identify those previously</w:t>
      </w:r>
      <w:r w:rsidR="00A90561" w:rsidRPr="00A90561">
        <w:rPr>
          <w:sz w:val="26"/>
          <w:szCs w:val="26"/>
        </w:rPr>
        <w:t xml:space="preserve"> </w:t>
      </w:r>
      <w:r w:rsidR="00E6066C" w:rsidRPr="00A90561">
        <w:rPr>
          <w:sz w:val="26"/>
          <w:szCs w:val="26"/>
        </w:rPr>
        <w:t>unavailable opportunities to interconnect the pipeline systems in the overlapping urban areas.</w:t>
      </w:r>
      <w:r w:rsidR="003B63AC">
        <w:rPr>
          <w:sz w:val="26"/>
          <w:szCs w:val="26"/>
        </w:rPr>
        <w:t xml:space="preserve"> </w:t>
      </w:r>
      <w:r w:rsidR="00E6066C" w:rsidRPr="00A90561">
        <w:rPr>
          <w:sz w:val="26"/>
          <w:szCs w:val="26"/>
        </w:rPr>
        <w:t xml:space="preserve"> This</w:t>
      </w:r>
      <w:r w:rsidR="00A90561" w:rsidRPr="00A90561">
        <w:rPr>
          <w:sz w:val="26"/>
          <w:szCs w:val="26"/>
        </w:rPr>
        <w:t xml:space="preserve"> </w:t>
      </w:r>
      <w:r w:rsidR="00E6066C" w:rsidRPr="00A90561">
        <w:rPr>
          <w:sz w:val="26"/>
          <w:szCs w:val="26"/>
        </w:rPr>
        <w:t>analysis looked at the areas of planned pipeline replacement and initially identified approximately 23</w:t>
      </w:r>
      <w:r w:rsidR="00A90561" w:rsidRPr="00A90561">
        <w:rPr>
          <w:sz w:val="26"/>
          <w:szCs w:val="26"/>
        </w:rPr>
        <w:t xml:space="preserve"> </w:t>
      </w:r>
      <w:r w:rsidR="00E6066C" w:rsidRPr="00A90561">
        <w:rPr>
          <w:sz w:val="26"/>
          <w:szCs w:val="26"/>
        </w:rPr>
        <w:t>miles of duplicative pipelines that now will no longer need to be replaced over the LTIIP period from</w:t>
      </w:r>
      <w:r w:rsidR="00A90561">
        <w:rPr>
          <w:sz w:val="26"/>
          <w:szCs w:val="26"/>
        </w:rPr>
        <w:t xml:space="preserve"> </w:t>
      </w:r>
      <w:r w:rsidR="00E6066C" w:rsidRPr="00A90561">
        <w:rPr>
          <w:sz w:val="26"/>
          <w:szCs w:val="26"/>
        </w:rPr>
        <w:t>2016 through 2019.  At an assumed urban area pipeline replacement cost of $1.2 to $1.5 million per mile,</w:t>
      </w:r>
      <w:r w:rsidR="00A90561" w:rsidRPr="00A90561">
        <w:rPr>
          <w:sz w:val="26"/>
          <w:szCs w:val="26"/>
        </w:rPr>
        <w:t xml:space="preserve"> </w:t>
      </w:r>
      <w:r w:rsidR="00E6066C" w:rsidRPr="00A90561">
        <w:rPr>
          <w:sz w:val="26"/>
          <w:szCs w:val="26"/>
        </w:rPr>
        <w:t xml:space="preserve">the initially identified 23 miles of avoided pipeline replacements could generate </w:t>
      </w:r>
      <w:r>
        <w:rPr>
          <w:sz w:val="26"/>
          <w:szCs w:val="26"/>
        </w:rPr>
        <w:t xml:space="preserve">Peoples estimates </w:t>
      </w:r>
      <w:r w:rsidR="00E6066C" w:rsidRPr="00A90561">
        <w:rPr>
          <w:sz w:val="26"/>
          <w:szCs w:val="26"/>
        </w:rPr>
        <w:t>synergy savings from</w:t>
      </w:r>
      <w:r>
        <w:rPr>
          <w:sz w:val="26"/>
          <w:szCs w:val="26"/>
        </w:rPr>
        <w:t xml:space="preserve"> the change of</w:t>
      </w:r>
      <w:r w:rsidR="00A90561" w:rsidRPr="00A90561">
        <w:rPr>
          <w:sz w:val="26"/>
          <w:szCs w:val="26"/>
        </w:rPr>
        <w:t xml:space="preserve"> </w:t>
      </w:r>
      <w:r w:rsidR="00E6066C" w:rsidRPr="00A90561">
        <w:rPr>
          <w:sz w:val="26"/>
          <w:szCs w:val="26"/>
        </w:rPr>
        <w:t>$28 to $35 million.</w:t>
      </w:r>
    </w:p>
    <w:p w:rsidR="00E6066C" w:rsidRPr="00A90561" w:rsidRDefault="00E6066C" w:rsidP="00A90561">
      <w:pPr>
        <w:pStyle w:val="p2"/>
        <w:widowControl/>
        <w:spacing w:line="360" w:lineRule="auto"/>
        <w:ind w:firstLine="1440"/>
        <w:rPr>
          <w:sz w:val="26"/>
          <w:szCs w:val="26"/>
        </w:rPr>
      </w:pPr>
    </w:p>
    <w:p w:rsidR="00E6066C" w:rsidRPr="00A90561" w:rsidRDefault="00E6066C" w:rsidP="00A90561">
      <w:pPr>
        <w:pStyle w:val="p2"/>
        <w:widowControl/>
        <w:spacing w:line="360" w:lineRule="auto"/>
        <w:ind w:firstLine="1440"/>
        <w:rPr>
          <w:sz w:val="26"/>
          <w:szCs w:val="26"/>
        </w:rPr>
      </w:pPr>
      <w:r w:rsidRPr="00A90561">
        <w:rPr>
          <w:sz w:val="26"/>
          <w:szCs w:val="26"/>
        </w:rPr>
        <w:t>While Peoples already has Commission approval to include AMR technology as an LTIIP</w:t>
      </w:r>
      <w:r w:rsidR="00A90561">
        <w:rPr>
          <w:sz w:val="26"/>
          <w:szCs w:val="26"/>
        </w:rPr>
        <w:t xml:space="preserve"> </w:t>
      </w:r>
      <w:r w:rsidRPr="00A90561">
        <w:rPr>
          <w:sz w:val="26"/>
          <w:szCs w:val="26"/>
        </w:rPr>
        <w:t>category for the Peoples Division, it received Commission approval to withdraw its proposal to</w:t>
      </w:r>
      <w:r w:rsidR="00A90561">
        <w:rPr>
          <w:sz w:val="26"/>
          <w:szCs w:val="26"/>
        </w:rPr>
        <w:t xml:space="preserve"> </w:t>
      </w:r>
      <w:r w:rsidRPr="00A90561">
        <w:rPr>
          <w:sz w:val="26"/>
          <w:szCs w:val="26"/>
        </w:rPr>
        <w:t>recover AMR related costs through the DSIC mechanism with the right to present a future claim to</w:t>
      </w:r>
      <w:r w:rsidR="00A90561" w:rsidRPr="00A90561">
        <w:rPr>
          <w:sz w:val="26"/>
          <w:szCs w:val="26"/>
        </w:rPr>
        <w:t xml:space="preserve"> </w:t>
      </w:r>
      <w:r w:rsidRPr="00A90561">
        <w:rPr>
          <w:sz w:val="26"/>
          <w:szCs w:val="26"/>
        </w:rPr>
        <w:t>include AMR technology costs at such time when the Company actually installs AMR support</w:t>
      </w:r>
      <w:r w:rsidR="00A90561">
        <w:rPr>
          <w:sz w:val="26"/>
          <w:szCs w:val="26"/>
        </w:rPr>
        <w:t xml:space="preserve"> </w:t>
      </w:r>
      <w:r w:rsidRPr="00A90561">
        <w:rPr>
          <w:sz w:val="26"/>
          <w:szCs w:val="26"/>
        </w:rPr>
        <w:t>technology.</w:t>
      </w:r>
      <w:r w:rsidR="003B63AC">
        <w:rPr>
          <w:sz w:val="26"/>
          <w:szCs w:val="26"/>
        </w:rPr>
        <w:t xml:space="preserve"> </w:t>
      </w:r>
      <w:r w:rsidRPr="00A90561">
        <w:rPr>
          <w:sz w:val="26"/>
          <w:szCs w:val="26"/>
        </w:rPr>
        <w:t xml:space="preserve"> The Company recognizes that such a claim would need to be made through a separate</w:t>
      </w:r>
      <w:r w:rsidR="00A90561" w:rsidRPr="00A90561">
        <w:rPr>
          <w:sz w:val="26"/>
          <w:szCs w:val="26"/>
        </w:rPr>
        <w:t xml:space="preserve"> </w:t>
      </w:r>
      <w:r w:rsidRPr="00A90561">
        <w:rPr>
          <w:sz w:val="26"/>
          <w:szCs w:val="26"/>
        </w:rPr>
        <w:t>petition that requests modification of its existing DSIC recovery mechanism.</w:t>
      </w:r>
      <w:r w:rsidR="003B63AC">
        <w:rPr>
          <w:sz w:val="26"/>
          <w:szCs w:val="26"/>
        </w:rPr>
        <w:t xml:space="preserve"> </w:t>
      </w:r>
      <w:r w:rsidRPr="00A90561">
        <w:rPr>
          <w:sz w:val="26"/>
          <w:szCs w:val="26"/>
        </w:rPr>
        <w:t xml:space="preserve"> The Company is not</w:t>
      </w:r>
      <w:r w:rsidR="00A90561" w:rsidRPr="00A90561">
        <w:rPr>
          <w:sz w:val="26"/>
          <w:szCs w:val="26"/>
        </w:rPr>
        <w:t xml:space="preserve"> </w:t>
      </w:r>
      <w:r w:rsidRPr="00A90561">
        <w:rPr>
          <w:sz w:val="26"/>
          <w:szCs w:val="26"/>
        </w:rPr>
        <w:t>submitting such a petition at this time but reserves the right to do so in the future.</w:t>
      </w:r>
    </w:p>
    <w:p w:rsidR="00104FDD" w:rsidRDefault="00104FDD" w:rsidP="00E6066C">
      <w:pPr>
        <w:pStyle w:val="p2"/>
        <w:widowControl/>
        <w:spacing w:line="360" w:lineRule="auto"/>
        <w:ind w:firstLine="0"/>
        <w:rPr>
          <w:sz w:val="26"/>
          <w:szCs w:val="26"/>
        </w:rPr>
      </w:pPr>
    </w:p>
    <w:p w:rsidR="00A90561" w:rsidRDefault="00A90561" w:rsidP="00A90561">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t>Disposition</w:t>
      </w:r>
    </w:p>
    <w:p w:rsidR="00E6066C" w:rsidRDefault="004C58C9" w:rsidP="00E6066C">
      <w:pPr>
        <w:pStyle w:val="p2"/>
        <w:widowControl/>
        <w:spacing w:line="360" w:lineRule="auto"/>
        <w:ind w:firstLine="0"/>
        <w:rPr>
          <w:sz w:val="26"/>
          <w:szCs w:val="26"/>
        </w:rPr>
      </w:pPr>
      <w:r>
        <w:rPr>
          <w:sz w:val="26"/>
          <w:szCs w:val="26"/>
        </w:rPr>
        <w:tab/>
      </w:r>
      <w:r w:rsidR="00107B31">
        <w:rPr>
          <w:sz w:val="26"/>
          <w:szCs w:val="26"/>
        </w:rPr>
        <w:t>T</w:t>
      </w:r>
      <w:r>
        <w:rPr>
          <w:sz w:val="26"/>
          <w:szCs w:val="26"/>
        </w:rPr>
        <w:t xml:space="preserve">he Commission has already approved AMR technology as an LTIIP spending category for Peoples in their current LTIIP.  Owing to the many benefits to be realized through the implementation of this technology, </w:t>
      </w:r>
      <w:r w:rsidR="00107B31">
        <w:rPr>
          <w:sz w:val="26"/>
          <w:szCs w:val="26"/>
        </w:rPr>
        <w:t>the Commission finds Peoples’ plan to incorporated AMR technology in the public interest</w:t>
      </w:r>
      <w:r>
        <w:rPr>
          <w:sz w:val="26"/>
          <w:szCs w:val="26"/>
        </w:rPr>
        <w:t>.</w:t>
      </w:r>
    </w:p>
    <w:p w:rsidR="00E6066C" w:rsidRDefault="00E6066C" w:rsidP="00E6066C">
      <w:pPr>
        <w:pStyle w:val="p2"/>
        <w:widowControl/>
        <w:spacing w:line="360" w:lineRule="auto"/>
        <w:ind w:firstLine="1440"/>
        <w:rPr>
          <w:sz w:val="26"/>
          <w:szCs w:val="26"/>
        </w:rPr>
      </w:pPr>
    </w:p>
    <w:p w:rsidR="004C58C9" w:rsidRPr="004C58C9" w:rsidRDefault="004C58C9" w:rsidP="004C58C9">
      <w:pPr>
        <w:pStyle w:val="ListParagraph"/>
        <w:numPr>
          <w:ilvl w:val="0"/>
          <w:numId w:val="37"/>
        </w:numPr>
        <w:ind w:left="720" w:hanging="720"/>
        <w:rPr>
          <w:b/>
          <w:bCs/>
          <w:color w:val="000000"/>
          <w:sz w:val="26"/>
          <w:szCs w:val="26"/>
        </w:rPr>
      </w:pPr>
      <w:r w:rsidRPr="004C58C9">
        <w:rPr>
          <w:b/>
          <w:bCs/>
          <w:color w:val="000000"/>
          <w:sz w:val="26"/>
          <w:szCs w:val="26"/>
        </w:rPr>
        <w:lastRenderedPageBreak/>
        <w:t>M&amp;R STATIONS</w:t>
      </w:r>
    </w:p>
    <w:p w:rsidR="004C58C9" w:rsidRDefault="004C58C9" w:rsidP="004C58C9">
      <w:pPr>
        <w:pStyle w:val="p2"/>
        <w:widowControl/>
        <w:spacing w:line="360" w:lineRule="auto"/>
        <w:ind w:firstLine="0"/>
        <w:rPr>
          <w:sz w:val="26"/>
          <w:szCs w:val="26"/>
        </w:rPr>
      </w:pPr>
    </w:p>
    <w:p w:rsidR="004C58C9" w:rsidRDefault="004C58C9" w:rsidP="004C58C9">
      <w:pPr>
        <w:pStyle w:val="p2"/>
        <w:tabs>
          <w:tab w:val="clear" w:pos="1445"/>
        </w:tabs>
        <w:spacing w:line="360" w:lineRule="auto"/>
        <w:ind w:firstLine="0"/>
        <w:rPr>
          <w:b/>
          <w:sz w:val="26"/>
          <w:szCs w:val="26"/>
        </w:rPr>
      </w:pPr>
      <w:r>
        <w:rPr>
          <w:b/>
          <w:sz w:val="26"/>
          <w:szCs w:val="26"/>
        </w:rPr>
        <w:t>Discussion</w:t>
      </w:r>
    </w:p>
    <w:p w:rsidR="004C58C9" w:rsidRPr="004C58C9" w:rsidRDefault="004C58C9" w:rsidP="004C58C9">
      <w:pPr>
        <w:pStyle w:val="p2"/>
        <w:widowControl/>
        <w:spacing w:line="360" w:lineRule="auto"/>
        <w:ind w:firstLine="0"/>
        <w:rPr>
          <w:sz w:val="26"/>
          <w:szCs w:val="26"/>
        </w:rPr>
      </w:pPr>
      <w:r>
        <w:rPr>
          <w:sz w:val="26"/>
          <w:szCs w:val="26"/>
        </w:rPr>
        <w:tab/>
      </w:r>
      <w:r w:rsidR="00107B31">
        <w:rPr>
          <w:sz w:val="26"/>
          <w:szCs w:val="26"/>
        </w:rPr>
        <w:t xml:space="preserve">Peoples notes that </w:t>
      </w:r>
      <w:r w:rsidRPr="004C58C9">
        <w:rPr>
          <w:sz w:val="26"/>
          <w:szCs w:val="26"/>
        </w:rPr>
        <w:t>M&amp;R stations are critical points where gas pressure and delivery volumes are regulated to</w:t>
      </w:r>
      <w:r>
        <w:rPr>
          <w:sz w:val="26"/>
          <w:szCs w:val="26"/>
        </w:rPr>
        <w:t xml:space="preserve"> </w:t>
      </w:r>
      <w:r w:rsidRPr="004C58C9">
        <w:rPr>
          <w:sz w:val="26"/>
          <w:szCs w:val="26"/>
        </w:rPr>
        <w:t>ensure that gas delivered into</w:t>
      </w:r>
      <w:r w:rsidR="00107B31">
        <w:rPr>
          <w:sz w:val="26"/>
          <w:szCs w:val="26"/>
        </w:rPr>
        <w:t>,</w:t>
      </w:r>
      <w:r w:rsidRPr="004C58C9">
        <w:rPr>
          <w:sz w:val="26"/>
          <w:szCs w:val="26"/>
        </w:rPr>
        <w:t xml:space="preserve"> or out of</w:t>
      </w:r>
      <w:r w:rsidR="00107B31">
        <w:rPr>
          <w:sz w:val="26"/>
          <w:szCs w:val="26"/>
        </w:rPr>
        <w:t>,</w:t>
      </w:r>
      <w:r w:rsidRPr="004C58C9">
        <w:rPr>
          <w:sz w:val="26"/>
          <w:szCs w:val="26"/>
        </w:rPr>
        <w:t xml:space="preserve"> a pipeline system is maintained within a specified and safe</w:t>
      </w:r>
      <w:r>
        <w:rPr>
          <w:sz w:val="26"/>
          <w:szCs w:val="26"/>
        </w:rPr>
        <w:t xml:space="preserve"> </w:t>
      </w:r>
      <w:r w:rsidRPr="004C58C9">
        <w:rPr>
          <w:sz w:val="26"/>
          <w:szCs w:val="26"/>
        </w:rPr>
        <w:t>operating pressure range.</w:t>
      </w:r>
      <w:r w:rsidR="003B63AC">
        <w:rPr>
          <w:sz w:val="26"/>
          <w:szCs w:val="26"/>
        </w:rPr>
        <w:t xml:space="preserve"> </w:t>
      </w:r>
      <w:r w:rsidRPr="004C58C9">
        <w:rPr>
          <w:sz w:val="26"/>
          <w:szCs w:val="26"/>
        </w:rPr>
        <w:t xml:space="preserve"> M&amp;R stations are located at points where gas is delivered between higher</w:t>
      </w:r>
      <w:r>
        <w:rPr>
          <w:sz w:val="26"/>
          <w:szCs w:val="26"/>
        </w:rPr>
        <w:t xml:space="preserve"> </w:t>
      </w:r>
      <w:r w:rsidRPr="004C58C9">
        <w:rPr>
          <w:sz w:val="26"/>
          <w:szCs w:val="26"/>
        </w:rPr>
        <w:t xml:space="preserve">and lower pressure pipelines. </w:t>
      </w:r>
      <w:r w:rsidR="003B63AC">
        <w:rPr>
          <w:sz w:val="26"/>
          <w:szCs w:val="26"/>
        </w:rPr>
        <w:t xml:space="preserve"> </w:t>
      </w:r>
      <w:r w:rsidR="00107B31">
        <w:rPr>
          <w:sz w:val="26"/>
          <w:szCs w:val="26"/>
        </w:rPr>
        <w:t xml:space="preserve">Peoples explains that </w:t>
      </w:r>
      <w:r w:rsidR="00DD41A6">
        <w:rPr>
          <w:sz w:val="26"/>
          <w:szCs w:val="26"/>
        </w:rPr>
        <w:t>a</w:t>
      </w:r>
      <w:r w:rsidRPr="004C58C9">
        <w:rPr>
          <w:sz w:val="26"/>
          <w:szCs w:val="26"/>
        </w:rPr>
        <w:t>n M&amp;R station regulates or adjusts pressure and volumes from a higher</w:t>
      </w:r>
      <w:r>
        <w:rPr>
          <w:sz w:val="26"/>
          <w:szCs w:val="26"/>
        </w:rPr>
        <w:t xml:space="preserve"> </w:t>
      </w:r>
      <w:r w:rsidRPr="004C58C9">
        <w:rPr>
          <w:sz w:val="26"/>
          <w:szCs w:val="26"/>
        </w:rPr>
        <w:t>pressure transmission or distribution pipeline for delivery into a lower pressure distribution pipeline.</w:t>
      </w:r>
      <w:r w:rsidR="003B63AC">
        <w:rPr>
          <w:sz w:val="26"/>
          <w:szCs w:val="26"/>
        </w:rPr>
        <w:t xml:space="preserve"> </w:t>
      </w:r>
      <w:r>
        <w:rPr>
          <w:sz w:val="26"/>
          <w:szCs w:val="26"/>
        </w:rPr>
        <w:t xml:space="preserve"> </w:t>
      </w:r>
      <w:r w:rsidRPr="004C58C9">
        <w:rPr>
          <w:sz w:val="26"/>
          <w:szCs w:val="26"/>
        </w:rPr>
        <w:t xml:space="preserve">The Peoples Division has 1,376 M&amp;R stations strategically located on the system. </w:t>
      </w:r>
      <w:r w:rsidR="003B63AC">
        <w:rPr>
          <w:sz w:val="26"/>
          <w:szCs w:val="26"/>
        </w:rPr>
        <w:t xml:space="preserve"> </w:t>
      </w:r>
      <w:r w:rsidRPr="004C58C9">
        <w:rPr>
          <w:sz w:val="26"/>
          <w:szCs w:val="26"/>
        </w:rPr>
        <w:t>There are 662 M&amp;R</w:t>
      </w:r>
      <w:r>
        <w:rPr>
          <w:sz w:val="26"/>
          <w:szCs w:val="26"/>
        </w:rPr>
        <w:t xml:space="preserve"> </w:t>
      </w:r>
      <w:r w:rsidRPr="004C58C9">
        <w:rPr>
          <w:sz w:val="26"/>
          <w:szCs w:val="26"/>
        </w:rPr>
        <w:t>stations on the Equitable Division system.</w:t>
      </w:r>
    </w:p>
    <w:p w:rsidR="004C58C9" w:rsidRPr="004C58C9" w:rsidRDefault="004C58C9" w:rsidP="004C58C9">
      <w:pPr>
        <w:pStyle w:val="p2"/>
        <w:widowControl/>
        <w:spacing w:line="360" w:lineRule="auto"/>
        <w:ind w:firstLine="0"/>
        <w:rPr>
          <w:sz w:val="26"/>
          <w:szCs w:val="26"/>
        </w:rPr>
      </w:pPr>
    </w:p>
    <w:p w:rsidR="004C58C9" w:rsidRPr="004C58C9" w:rsidRDefault="004C58C9" w:rsidP="00107B31">
      <w:pPr>
        <w:pStyle w:val="p2"/>
        <w:widowControl/>
        <w:spacing w:line="360" w:lineRule="auto"/>
        <w:ind w:firstLine="0"/>
        <w:rPr>
          <w:sz w:val="26"/>
          <w:szCs w:val="26"/>
        </w:rPr>
      </w:pPr>
      <w:r>
        <w:rPr>
          <w:sz w:val="26"/>
          <w:szCs w:val="26"/>
        </w:rPr>
        <w:tab/>
      </w:r>
      <w:r w:rsidRPr="004C58C9">
        <w:rPr>
          <w:sz w:val="26"/>
          <w:szCs w:val="26"/>
        </w:rPr>
        <w:t xml:space="preserve">During the five-year term of the </w:t>
      </w:r>
      <w:r w:rsidR="00261196">
        <w:rPr>
          <w:sz w:val="26"/>
          <w:szCs w:val="26"/>
        </w:rPr>
        <w:t>Second</w:t>
      </w:r>
      <w:r w:rsidRPr="004C58C9">
        <w:rPr>
          <w:sz w:val="26"/>
          <w:szCs w:val="26"/>
        </w:rPr>
        <w:t xml:space="preserve"> Revised LTIIP, Peoples is planning to undertake various</w:t>
      </w:r>
      <w:r>
        <w:rPr>
          <w:sz w:val="26"/>
          <w:szCs w:val="26"/>
        </w:rPr>
        <w:t xml:space="preserve"> </w:t>
      </w:r>
      <w:r w:rsidRPr="004C58C9">
        <w:rPr>
          <w:sz w:val="26"/>
          <w:szCs w:val="26"/>
        </w:rPr>
        <w:t>upgrades and improvements to the M&amp;R stations and related M&amp;R equipment located on both the</w:t>
      </w:r>
      <w:r>
        <w:rPr>
          <w:sz w:val="26"/>
          <w:szCs w:val="26"/>
        </w:rPr>
        <w:t xml:space="preserve"> </w:t>
      </w:r>
      <w:r w:rsidRPr="004C58C9">
        <w:rPr>
          <w:sz w:val="26"/>
          <w:szCs w:val="26"/>
        </w:rPr>
        <w:t>Peoples Division and Equitable Division to ensure safe and continued reliable gas service to customers.</w:t>
      </w:r>
      <w:r w:rsidR="003B63AC">
        <w:rPr>
          <w:sz w:val="26"/>
          <w:szCs w:val="26"/>
        </w:rPr>
        <w:t xml:space="preserve"> </w:t>
      </w:r>
      <w:r w:rsidRPr="004C58C9">
        <w:rPr>
          <w:sz w:val="26"/>
          <w:szCs w:val="26"/>
        </w:rPr>
        <w:t xml:space="preserve"> </w:t>
      </w:r>
      <w:r w:rsidR="00107B31">
        <w:rPr>
          <w:sz w:val="26"/>
          <w:szCs w:val="26"/>
        </w:rPr>
        <w:t>Peoples notes that t</w:t>
      </w:r>
      <w:r w:rsidRPr="004C58C9">
        <w:rPr>
          <w:sz w:val="26"/>
          <w:szCs w:val="26"/>
        </w:rPr>
        <w:t xml:space="preserve">hese upgrades and improvements </w:t>
      </w:r>
      <w:r w:rsidR="00107B31">
        <w:rPr>
          <w:sz w:val="26"/>
          <w:szCs w:val="26"/>
        </w:rPr>
        <w:t xml:space="preserve">are based on </w:t>
      </w:r>
      <w:r w:rsidRPr="004C58C9">
        <w:rPr>
          <w:sz w:val="26"/>
          <w:szCs w:val="26"/>
        </w:rPr>
        <w:t>a number of factors</w:t>
      </w:r>
      <w:r w:rsidR="00107B31">
        <w:rPr>
          <w:sz w:val="26"/>
          <w:szCs w:val="26"/>
        </w:rPr>
        <w:t xml:space="preserve">.  Peoples explains that those factors </w:t>
      </w:r>
      <w:r w:rsidR="00107B31" w:rsidRPr="004C58C9">
        <w:rPr>
          <w:sz w:val="26"/>
          <w:szCs w:val="26"/>
        </w:rPr>
        <w:t>include</w:t>
      </w:r>
      <w:r w:rsidRPr="004C58C9">
        <w:rPr>
          <w:sz w:val="26"/>
          <w:szCs w:val="26"/>
        </w:rPr>
        <w:t>: age</w:t>
      </w:r>
      <w:r w:rsidR="00107B31">
        <w:rPr>
          <w:sz w:val="26"/>
          <w:szCs w:val="26"/>
        </w:rPr>
        <w:t>;</w:t>
      </w:r>
      <w:r w:rsidRPr="004C58C9">
        <w:rPr>
          <w:sz w:val="26"/>
          <w:szCs w:val="26"/>
        </w:rPr>
        <w:t xml:space="preserve"> obsolescence</w:t>
      </w:r>
      <w:r w:rsidR="00107B31">
        <w:rPr>
          <w:sz w:val="26"/>
          <w:szCs w:val="26"/>
        </w:rPr>
        <w:t>;</w:t>
      </w:r>
      <w:r w:rsidRPr="004C58C9">
        <w:rPr>
          <w:sz w:val="26"/>
          <w:szCs w:val="26"/>
        </w:rPr>
        <w:t xml:space="preserve"> malfunctions</w:t>
      </w:r>
      <w:r w:rsidR="00107B31">
        <w:rPr>
          <w:sz w:val="26"/>
          <w:szCs w:val="26"/>
        </w:rPr>
        <w:t>;</w:t>
      </w:r>
      <w:r>
        <w:rPr>
          <w:sz w:val="26"/>
          <w:szCs w:val="26"/>
        </w:rPr>
        <w:t xml:space="preserve"> </w:t>
      </w:r>
      <w:r w:rsidRPr="004C58C9">
        <w:rPr>
          <w:sz w:val="26"/>
          <w:szCs w:val="26"/>
        </w:rPr>
        <w:t>resizing</w:t>
      </w:r>
      <w:r w:rsidR="00107B31">
        <w:rPr>
          <w:sz w:val="26"/>
          <w:szCs w:val="26"/>
        </w:rPr>
        <w:t>;</w:t>
      </w:r>
      <w:r w:rsidRPr="004C58C9">
        <w:rPr>
          <w:sz w:val="26"/>
          <w:szCs w:val="26"/>
        </w:rPr>
        <w:t xml:space="preserve"> system operating pressure changes</w:t>
      </w:r>
      <w:r w:rsidR="00107B31">
        <w:rPr>
          <w:sz w:val="26"/>
          <w:szCs w:val="26"/>
        </w:rPr>
        <w:t>;</w:t>
      </w:r>
      <w:r w:rsidRPr="004C58C9">
        <w:rPr>
          <w:sz w:val="26"/>
          <w:szCs w:val="26"/>
        </w:rPr>
        <w:t xml:space="preserve"> performance and reliability </w:t>
      </w:r>
      <w:r w:rsidR="00107B31" w:rsidRPr="004C58C9">
        <w:rPr>
          <w:sz w:val="26"/>
          <w:szCs w:val="26"/>
        </w:rPr>
        <w:t>issues</w:t>
      </w:r>
      <w:r w:rsidR="00107B31">
        <w:rPr>
          <w:sz w:val="26"/>
          <w:szCs w:val="26"/>
        </w:rPr>
        <w:t xml:space="preserve">; </w:t>
      </w:r>
      <w:r w:rsidR="00107B31" w:rsidRPr="004C58C9">
        <w:rPr>
          <w:sz w:val="26"/>
          <w:szCs w:val="26"/>
        </w:rPr>
        <w:t>and</w:t>
      </w:r>
      <w:r w:rsidRPr="004C58C9">
        <w:rPr>
          <w:sz w:val="26"/>
          <w:szCs w:val="26"/>
        </w:rPr>
        <w:t xml:space="preserve"> relocation. </w:t>
      </w:r>
      <w:r w:rsidR="003B63AC">
        <w:rPr>
          <w:sz w:val="26"/>
          <w:szCs w:val="26"/>
        </w:rPr>
        <w:t xml:space="preserve"> </w:t>
      </w:r>
      <w:r w:rsidR="00107B31">
        <w:rPr>
          <w:sz w:val="26"/>
          <w:szCs w:val="26"/>
        </w:rPr>
        <w:t>During the</w:t>
      </w:r>
      <w:r w:rsidRPr="004C58C9">
        <w:rPr>
          <w:sz w:val="26"/>
          <w:szCs w:val="26"/>
        </w:rPr>
        <w:t xml:space="preserve"> five-year term of the </w:t>
      </w:r>
      <w:r w:rsidR="00261196">
        <w:rPr>
          <w:sz w:val="26"/>
          <w:szCs w:val="26"/>
        </w:rPr>
        <w:t>Second</w:t>
      </w:r>
      <w:r w:rsidR="005D6843">
        <w:rPr>
          <w:sz w:val="26"/>
          <w:szCs w:val="26"/>
        </w:rPr>
        <w:t xml:space="preserve"> </w:t>
      </w:r>
      <w:r w:rsidRPr="004C58C9">
        <w:rPr>
          <w:sz w:val="26"/>
          <w:szCs w:val="26"/>
        </w:rPr>
        <w:t>Revised LTIIP, the Company is planning upgrades and improvements</w:t>
      </w:r>
      <w:r>
        <w:rPr>
          <w:sz w:val="26"/>
          <w:szCs w:val="26"/>
        </w:rPr>
        <w:t xml:space="preserve"> </w:t>
      </w:r>
      <w:r w:rsidRPr="004C58C9">
        <w:rPr>
          <w:sz w:val="26"/>
          <w:szCs w:val="26"/>
        </w:rPr>
        <w:t>to approximately 40 M&amp;R stations per year</w:t>
      </w:r>
      <w:r w:rsidR="00107B31">
        <w:rPr>
          <w:sz w:val="26"/>
          <w:szCs w:val="26"/>
        </w:rPr>
        <w:t>,</w:t>
      </w:r>
      <w:r w:rsidRPr="004C58C9">
        <w:rPr>
          <w:sz w:val="26"/>
          <w:szCs w:val="26"/>
        </w:rPr>
        <w:t xml:space="preserve"> or 200 M&amp;R stations in total. </w:t>
      </w:r>
      <w:r w:rsidR="003B63AC">
        <w:rPr>
          <w:sz w:val="26"/>
          <w:szCs w:val="26"/>
        </w:rPr>
        <w:t xml:space="preserve"> </w:t>
      </w:r>
      <w:r w:rsidR="00DD41A6">
        <w:rPr>
          <w:sz w:val="26"/>
          <w:szCs w:val="26"/>
        </w:rPr>
        <w:t>T</w:t>
      </w:r>
      <w:r w:rsidRPr="004C58C9">
        <w:rPr>
          <w:sz w:val="26"/>
          <w:szCs w:val="26"/>
        </w:rPr>
        <w:t xml:space="preserve">he Company </w:t>
      </w:r>
      <w:r w:rsidR="00DD41A6">
        <w:rPr>
          <w:sz w:val="26"/>
          <w:szCs w:val="26"/>
        </w:rPr>
        <w:t xml:space="preserve">also </w:t>
      </w:r>
      <w:r w:rsidRPr="004C58C9">
        <w:rPr>
          <w:sz w:val="26"/>
          <w:szCs w:val="26"/>
        </w:rPr>
        <w:t>plans to spend $7.1 million (or $1.4 million</w:t>
      </w:r>
      <w:r w:rsidR="00107B31">
        <w:rPr>
          <w:sz w:val="26"/>
          <w:szCs w:val="26"/>
        </w:rPr>
        <w:t xml:space="preserve"> per </w:t>
      </w:r>
      <w:r w:rsidRPr="004C58C9">
        <w:rPr>
          <w:sz w:val="26"/>
          <w:szCs w:val="26"/>
        </w:rPr>
        <w:t>year) for M&amp;R</w:t>
      </w:r>
      <w:r>
        <w:rPr>
          <w:sz w:val="26"/>
          <w:szCs w:val="26"/>
        </w:rPr>
        <w:t xml:space="preserve"> </w:t>
      </w:r>
      <w:r w:rsidRPr="004C58C9">
        <w:rPr>
          <w:sz w:val="26"/>
          <w:szCs w:val="26"/>
        </w:rPr>
        <w:t>station upgrades/improvements on the Peoples Division and $4.1 million (or $0.8 million</w:t>
      </w:r>
      <w:r w:rsidR="00107B31">
        <w:rPr>
          <w:sz w:val="26"/>
          <w:szCs w:val="26"/>
        </w:rPr>
        <w:t xml:space="preserve"> per </w:t>
      </w:r>
      <w:r w:rsidRPr="004C58C9">
        <w:rPr>
          <w:sz w:val="26"/>
          <w:szCs w:val="26"/>
        </w:rPr>
        <w:t>year) for</w:t>
      </w:r>
      <w:r>
        <w:rPr>
          <w:sz w:val="26"/>
          <w:szCs w:val="26"/>
        </w:rPr>
        <w:t xml:space="preserve"> </w:t>
      </w:r>
      <w:r w:rsidRPr="004C58C9">
        <w:rPr>
          <w:sz w:val="26"/>
          <w:szCs w:val="26"/>
        </w:rPr>
        <w:t>M&amp;R station upgrades/improvements on the Equitable Division.</w:t>
      </w:r>
      <w:r>
        <w:rPr>
          <w:sz w:val="26"/>
          <w:szCs w:val="26"/>
        </w:rPr>
        <w:t xml:space="preserve"> </w:t>
      </w:r>
    </w:p>
    <w:p w:rsidR="004C58C9" w:rsidRPr="004C58C9" w:rsidRDefault="004C58C9" w:rsidP="004C58C9">
      <w:pPr>
        <w:pStyle w:val="p2"/>
        <w:widowControl/>
        <w:spacing w:line="360" w:lineRule="auto"/>
        <w:ind w:firstLine="0"/>
        <w:rPr>
          <w:sz w:val="26"/>
          <w:szCs w:val="26"/>
        </w:rPr>
      </w:pPr>
    </w:p>
    <w:p w:rsidR="004C58C9" w:rsidRPr="004C58C9" w:rsidRDefault="00E936CE" w:rsidP="004C58C9">
      <w:pPr>
        <w:pStyle w:val="p2"/>
        <w:widowControl/>
        <w:spacing w:line="360" w:lineRule="auto"/>
        <w:ind w:firstLine="0"/>
        <w:rPr>
          <w:sz w:val="26"/>
          <w:szCs w:val="26"/>
        </w:rPr>
      </w:pPr>
      <w:r>
        <w:rPr>
          <w:sz w:val="26"/>
          <w:szCs w:val="26"/>
        </w:rPr>
        <w:tab/>
      </w:r>
      <w:r w:rsidR="00107B31">
        <w:rPr>
          <w:sz w:val="26"/>
          <w:szCs w:val="26"/>
        </w:rPr>
        <w:t>As explained, above, Peoples</w:t>
      </w:r>
      <w:r w:rsidR="00107B31" w:rsidRPr="004C58C9">
        <w:rPr>
          <w:sz w:val="26"/>
          <w:szCs w:val="26"/>
        </w:rPr>
        <w:t xml:space="preserve"> plans to redirect a portion of LTIIP dollars originally intended for bar coding</w:t>
      </w:r>
      <w:r w:rsidR="00107B31">
        <w:rPr>
          <w:sz w:val="26"/>
          <w:szCs w:val="26"/>
        </w:rPr>
        <w:t xml:space="preserve"> </w:t>
      </w:r>
      <w:r w:rsidR="00107B31" w:rsidRPr="004C58C9">
        <w:rPr>
          <w:sz w:val="26"/>
          <w:szCs w:val="26"/>
        </w:rPr>
        <w:t>technology ($6.0 million in avoided costs) and expected capital cost “synergy savings” ($28 to $35</w:t>
      </w:r>
      <w:r w:rsidR="00107B31">
        <w:rPr>
          <w:sz w:val="26"/>
          <w:szCs w:val="26"/>
        </w:rPr>
        <w:t xml:space="preserve"> </w:t>
      </w:r>
      <w:r w:rsidR="00107B31" w:rsidRPr="004C58C9">
        <w:rPr>
          <w:sz w:val="26"/>
          <w:szCs w:val="26"/>
        </w:rPr>
        <w:t>million) toward the installation of M&amp;R station upgrades.</w:t>
      </w:r>
      <w:r w:rsidR="003B63AC">
        <w:rPr>
          <w:sz w:val="26"/>
          <w:szCs w:val="26"/>
        </w:rPr>
        <w:t xml:space="preserve"> </w:t>
      </w:r>
      <w:r w:rsidR="00107B31" w:rsidRPr="004C58C9">
        <w:rPr>
          <w:sz w:val="26"/>
          <w:szCs w:val="26"/>
        </w:rPr>
        <w:t xml:space="preserve"> </w:t>
      </w:r>
      <w:r w:rsidR="004C58C9" w:rsidRPr="004C58C9">
        <w:rPr>
          <w:sz w:val="26"/>
          <w:szCs w:val="26"/>
        </w:rPr>
        <w:t xml:space="preserve">Over the five-year term of the </w:t>
      </w:r>
      <w:r w:rsidR="00261196">
        <w:rPr>
          <w:sz w:val="26"/>
          <w:szCs w:val="26"/>
        </w:rPr>
        <w:t>Second</w:t>
      </w:r>
      <w:r>
        <w:rPr>
          <w:sz w:val="26"/>
          <w:szCs w:val="26"/>
        </w:rPr>
        <w:t xml:space="preserve"> </w:t>
      </w:r>
      <w:r w:rsidR="004C58C9" w:rsidRPr="004C58C9">
        <w:rPr>
          <w:sz w:val="26"/>
          <w:szCs w:val="26"/>
        </w:rPr>
        <w:t xml:space="preserve">Revised LTIIP, these </w:t>
      </w:r>
      <w:r w:rsidR="004C58C9" w:rsidRPr="004C58C9">
        <w:rPr>
          <w:sz w:val="26"/>
          <w:szCs w:val="26"/>
        </w:rPr>
        <w:lastRenderedPageBreak/>
        <w:t>redirected costs and synergy savings will be used to cover the estimated costs of</w:t>
      </w:r>
      <w:r>
        <w:rPr>
          <w:sz w:val="26"/>
          <w:szCs w:val="26"/>
        </w:rPr>
        <w:t xml:space="preserve"> </w:t>
      </w:r>
      <w:r w:rsidR="004C58C9" w:rsidRPr="004C58C9">
        <w:rPr>
          <w:sz w:val="26"/>
          <w:szCs w:val="26"/>
        </w:rPr>
        <w:t>M&amp;R station upgrades ($11.2 million) and the AMR program ($26.2 million).</w:t>
      </w:r>
    </w:p>
    <w:p w:rsidR="004C58C9" w:rsidRPr="004C58C9" w:rsidRDefault="004C58C9" w:rsidP="004C58C9">
      <w:pPr>
        <w:pStyle w:val="p2"/>
        <w:widowControl/>
        <w:spacing w:line="360" w:lineRule="auto"/>
        <w:ind w:firstLine="0"/>
        <w:rPr>
          <w:sz w:val="26"/>
          <w:szCs w:val="26"/>
        </w:rPr>
      </w:pPr>
    </w:p>
    <w:p w:rsidR="004C58C9" w:rsidRDefault="00E936CE" w:rsidP="004C58C9">
      <w:pPr>
        <w:pStyle w:val="p2"/>
        <w:widowControl/>
        <w:spacing w:line="360" w:lineRule="auto"/>
        <w:ind w:firstLine="0"/>
        <w:rPr>
          <w:sz w:val="26"/>
          <w:szCs w:val="26"/>
        </w:rPr>
      </w:pPr>
      <w:r>
        <w:rPr>
          <w:sz w:val="26"/>
          <w:szCs w:val="26"/>
        </w:rPr>
        <w:tab/>
      </w:r>
      <w:r w:rsidR="00107B31">
        <w:rPr>
          <w:sz w:val="26"/>
          <w:szCs w:val="26"/>
        </w:rPr>
        <w:t>Peoples</w:t>
      </w:r>
      <w:r>
        <w:rPr>
          <w:sz w:val="26"/>
          <w:szCs w:val="26"/>
        </w:rPr>
        <w:t xml:space="preserve"> </w:t>
      </w:r>
      <w:r w:rsidR="004C58C9" w:rsidRPr="004C58C9">
        <w:rPr>
          <w:sz w:val="26"/>
          <w:szCs w:val="26"/>
        </w:rPr>
        <w:t>proposes to include M&amp;R station improvements as a new component of the LTIIP for both the Peoples</w:t>
      </w:r>
      <w:r>
        <w:rPr>
          <w:sz w:val="26"/>
          <w:szCs w:val="26"/>
        </w:rPr>
        <w:t xml:space="preserve"> </w:t>
      </w:r>
      <w:r w:rsidR="004C58C9" w:rsidRPr="004C58C9">
        <w:rPr>
          <w:sz w:val="26"/>
          <w:szCs w:val="26"/>
        </w:rPr>
        <w:t xml:space="preserve">and Equitable divisions. </w:t>
      </w:r>
      <w:r w:rsidR="003B63AC">
        <w:rPr>
          <w:sz w:val="26"/>
          <w:szCs w:val="26"/>
        </w:rPr>
        <w:t xml:space="preserve"> </w:t>
      </w:r>
      <w:r w:rsidR="004C58C9" w:rsidRPr="004C58C9">
        <w:rPr>
          <w:sz w:val="26"/>
          <w:szCs w:val="26"/>
        </w:rPr>
        <w:t>The Company recognizes that in order to recover the costs for this new</w:t>
      </w:r>
      <w:r>
        <w:rPr>
          <w:sz w:val="26"/>
          <w:szCs w:val="26"/>
        </w:rPr>
        <w:t xml:space="preserve"> </w:t>
      </w:r>
      <w:r w:rsidR="004C58C9" w:rsidRPr="004C58C9">
        <w:rPr>
          <w:sz w:val="26"/>
          <w:szCs w:val="26"/>
        </w:rPr>
        <w:t xml:space="preserve">category through the DSIC mechanism, a separate petition is required. </w:t>
      </w:r>
      <w:r w:rsidR="003B63AC">
        <w:rPr>
          <w:sz w:val="26"/>
          <w:szCs w:val="26"/>
        </w:rPr>
        <w:t xml:space="preserve"> </w:t>
      </w:r>
      <w:r w:rsidR="004C58C9" w:rsidRPr="004C58C9">
        <w:rPr>
          <w:sz w:val="26"/>
          <w:szCs w:val="26"/>
        </w:rPr>
        <w:t>The Company is not submitting</w:t>
      </w:r>
      <w:r>
        <w:rPr>
          <w:sz w:val="26"/>
          <w:szCs w:val="26"/>
        </w:rPr>
        <w:t xml:space="preserve"> </w:t>
      </w:r>
      <w:r w:rsidR="004C58C9" w:rsidRPr="004C58C9">
        <w:rPr>
          <w:sz w:val="26"/>
          <w:szCs w:val="26"/>
        </w:rPr>
        <w:t>such a petition at this time but reserves the right to do so in the future.</w:t>
      </w:r>
    </w:p>
    <w:p w:rsidR="00E936CE" w:rsidRDefault="00E936CE" w:rsidP="004C58C9">
      <w:pPr>
        <w:pStyle w:val="p2"/>
        <w:widowControl/>
        <w:spacing w:line="360" w:lineRule="auto"/>
        <w:ind w:firstLine="0"/>
        <w:rPr>
          <w:sz w:val="26"/>
          <w:szCs w:val="26"/>
        </w:rPr>
      </w:pPr>
    </w:p>
    <w:p w:rsidR="00E936CE" w:rsidRDefault="00E936CE" w:rsidP="00E936CE">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t>Disposition</w:t>
      </w:r>
    </w:p>
    <w:p w:rsidR="00E936CE" w:rsidRDefault="00E936CE" w:rsidP="004C58C9">
      <w:pPr>
        <w:pStyle w:val="p2"/>
        <w:widowControl/>
        <w:spacing w:line="360" w:lineRule="auto"/>
        <w:ind w:firstLine="0"/>
        <w:rPr>
          <w:sz w:val="26"/>
          <w:szCs w:val="26"/>
        </w:rPr>
      </w:pPr>
      <w:r>
        <w:rPr>
          <w:sz w:val="26"/>
          <w:szCs w:val="26"/>
        </w:rPr>
        <w:tab/>
        <w:t>The Commission finds that Peoples’ M&amp;R Stations are an acceptable LTIIP spending category.  Their maintenance is critical to ensure safe and reliable service for Peoples’ customers.</w:t>
      </w:r>
    </w:p>
    <w:p w:rsidR="00295110" w:rsidRDefault="00295110">
      <w:pPr>
        <w:widowControl/>
        <w:autoSpaceDE/>
        <w:autoSpaceDN/>
        <w:adjustRightInd/>
        <w:spacing w:after="200" w:line="276" w:lineRule="auto"/>
        <w:rPr>
          <w:b/>
          <w:sz w:val="26"/>
          <w:szCs w:val="26"/>
        </w:rPr>
      </w:pPr>
    </w:p>
    <w:p w:rsidR="00E936CE" w:rsidRPr="00E936CE" w:rsidRDefault="00E936CE" w:rsidP="00E936CE">
      <w:pPr>
        <w:pStyle w:val="p2"/>
        <w:widowControl/>
        <w:spacing w:line="360" w:lineRule="auto"/>
        <w:ind w:firstLine="0"/>
        <w:jc w:val="center"/>
        <w:rPr>
          <w:b/>
          <w:sz w:val="26"/>
          <w:szCs w:val="26"/>
        </w:rPr>
      </w:pPr>
      <w:r w:rsidRPr="00E936CE">
        <w:rPr>
          <w:b/>
          <w:sz w:val="26"/>
          <w:szCs w:val="26"/>
        </w:rPr>
        <w:t>ADDITIONAL SAFETY CONCERNS</w:t>
      </w:r>
      <w:r w:rsidR="00527ABF">
        <w:rPr>
          <w:b/>
          <w:sz w:val="26"/>
          <w:szCs w:val="26"/>
        </w:rPr>
        <w:t>: CUSTOMER</w:t>
      </w:r>
      <w:r w:rsidR="00DD41A6">
        <w:rPr>
          <w:b/>
          <w:sz w:val="26"/>
          <w:szCs w:val="26"/>
        </w:rPr>
        <w:t>-OWNED</w:t>
      </w:r>
      <w:r w:rsidR="00527ABF">
        <w:rPr>
          <w:b/>
          <w:sz w:val="26"/>
          <w:szCs w:val="26"/>
        </w:rPr>
        <w:t xml:space="preserve"> SERVICE LINES</w:t>
      </w:r>
    </w:p>
    <w:p w:rsidR="00E936CE" w:rsidRDefault="00E936CE" w:rsidP="00E936CE">
      <w:pPr>
        <w:pStyle w:val="p2"/>
        <w:widowControl/>
        <w:spacing w:line="360" w:lineRule="auto"/>
        <w:ind w:firstLine="0"/>
        <w:jc w:val="center"/>
        <w:rPr>
          <w:sz w:val="26"/>
          <w:szCs w:val="26"/>
        </w:rPr>
      </w:pPr>
    </w:p>
    <w:p w:rsidR="00906470" w:rsidRPr="00295110" w:rsidRDefault="00527ABF" w:rsidP="00295110">
      <w:pPr>
        <w:pStyle w:val="p2"/>
        <w:tabs>
          <w:tab w:val="clear" w:pos="1445"/>
        </w:tabs>
        <w:spacing w:line="360" w:lineRule="auto"/>
        <w:ind w:firstLine="0"/>
        <w:rPr>
          <w:b/>
          <w:sz w:val="26"/>
          <w:szCs w:val="26"/>
        </w:rPr>
      </w:pPr>
      <w:r>
        <w:rPr>
          <w:b/>
          <w:sz w:val="26"/>
          <w:szCs w:val="26"/>
        </w:rPr>
        <w:t>Discussion</w:t>
      </w:r>
    </w:p>
    <w:p w:rsidR="00906470" w:rsidRDefault="00906470" w:rsidP="00906470">
      <w:pPr>
        <w:pStyle w:val="p2"/>
        <w:widowControl/>
        <w:spacing w:line="360" w:lineRule="auto"/>
        <w:ind w:firstLine="0"/>
        <w:rPr>
          <w:sz w:val="26"/>
          <w:szCs w:val="26"/>
        </w:rPr>
      </w:pPr>
      <w:r>
        <w:rPr>
          <w:sz w:val="26"/>
          <w:szCs w:val="26"/>
        </w:rPr>
        <w:tab/>
      </w:r>
      <w:r w:rsidR="007E15DA">
        <w:rPr>
          <w:sz w:val="26"/>
          <w:szCs w:val="26"/>
        </w:rPr>
        <w:t>The Commission has recognized the safety issue of customer-owned service lines in Pennsylvania in the course of</w:t>
      </w:r>
      <w:r>
        <w:rPr>
          <w:sz w:val="26"/>
          <w:szCs w:val="26"/>
        </w:rPr>
        <w:t xml:space="preserve"> conducting reviews of </w:t>
      </w:r>
      <w:r w:rsidR="007E15DA" w:rsidRPr="007E15DA">
        <w:rPr>
          <w:sz w:val="26"/>
          <w:szCs w:val="26"/>
        </w:rPr>
        <w:t>natural gas distribution utilities</w:t>
      </w:r>
      <w:r w:rsidR="00295110">
        <w:rPr>
          <w:sz w:val="26"/>
          <w:szCs w:val="26"/>
        </w:rPr>
        <w:t xml:space="preserve">’ </w:t>
      </w:r>
      <w:r w:rsidR="007E15DA">
        <w:rPr>
          <w:sz w:val="26"/>
          <w:szCs w:val="26"/>
        </w:rPr>
        <w:t xml:space="preserve">(NGDCs) </w:t>
      </w:r>
      <w:r>
        <w:rPr>
          <w:sz w:val="26"/>
          <w:szCs w:val="26"/>
        </w:rPr>
        <w:t xml:space="preserve">LTIIPs, in addition to its mid-term reviews of both </w:t>
      </w:r>
      <w:r w:rsidR="007E15DA">
        <w:rPr>
          <w:sz w:val="26"/>
          <w:szCs w:val="26"/>
        </w:rPr>
        <w:t>Peoples TWP, LLC’s</w:t>
      </w:r>
      <w:r>
        <w:rPr>
          <w:sz w:val="26"/>
          <w:szCs w:val="26"/>
        </w:rPr>
        <w:t xml:space="preserve"> and Columbia Gas of PA’s (Columbia) LTIIP</w:t>
      </w:r>
      <w:r w:rsidR="007E15DA">
        <w:rPr>
          <w:sz w:val="26"/>
          <w:szCs w:val="26"/>
        </w:rPr>
        <w:t xml:space="preserve">s.  </w:t>
      </w:r>
      <w:r>
        <w:rPr>
          <w:sz w:val="26"/>
          <w:szCs w:val="26"/>
        </w:rPr>
        <w:t xml:space="preserve">Replacement of service lines made of at-risk materials (bare steel, cast iron, wrought iron, etc.) in the course of main replacement is common throughout many of the Commonwealth’s other </w:t>
      </w:r>
      <w:r w:rsidR="007E15DA">
        <w:rPr>
          <w:sz w:val="26"/>
          <w:szCs w:val="26"/>
        </w:rPr>
        <w:t>large</w:t>
      </w:r>
      <w:r>
        <w:rPr>
          <w:sz w:val="26"/>
          <w:szCs w:val="26"/>
        </w:rPr>
        <w:t xml:space="preserve"> </w:t>
      </w:r>
      <w:r w:rsidR="00DD41A6">
        <w:rPr>
          <w:sz w:val="26"/>
          <w:szCs w:val="26"/>
        </w:rPr>
        <w:t>NGDCs</w:t>
      </w:r>
      <w:r>
        <w:rPr>
          <w:sz w:val="26"/>
          <w:szCs w:val="26"/>
        </w:rPr>
        <w:t xml:space="preserve">, as can be seen in the LTIIPs of companies </w:t>
      </w:r>
      <w:r w:rsidR="00DD41A6">
        <w:rPr>
          <w:sz w:val="26"/>
          <w:szCs w:val="26"/>
        </w:rPr>
        <w:t>such as</w:t>
      </w:r>
      <w:r>
        <w:rPr>
          <w:sz w:val="26"/>
          <w:szCs w:val="26"/>
        </w:rPr>
        <w:t>: PECO Energy Company – Gas, UGI Utilities, Inc. – Gas Division, UGI Central Penn Gas, Inc., and UGI Penn Natural Gas, Inc.</w:t>
      </w:r>
      <w:r w:rsidR="003B63AC">
        <w:rPr>
          <w:sz w:val="26"/>
          <w:szCs w:val="26"/>
        </w:rPr>
        <w:t xml:space="preserve"> </w:t>
      </w:r>
      <w:r w:rsidRPr="0036789F">
        <w:rPr>
          <w:sz w:val="26"/>
          <w:szCs w:val="26"/>
        </w:rPr>
        <w:t xml:space="preserve"> </w:t>
      </w:r>
      <w:r w:rsidR="00DD41A6">
        <w:rPr>
          <w:sz w:val="26"/>
          <w:szCs w:val="26"/>
        </w:rPr>
        <w:t>Those NGDCs own almost all of the service lines.  In contrast, Peoples and Columbia have a large portion of customer-owned service lines</w:t>
      </w:r>
      <w:r w:rsidR="007E15DA">
        <w:rPr>
          <w:sz w:val="26"/>
          <w:szCs w:val="26"/>
        </w:rPr>
        <w:t xml:space="preserve"> in their service territor</w:t>
      </w:r>
      <w:r w:rsidR="00E02A71">
        <w:rPr>
          <w:sz w:val="26"/>
          <w:szCs w:val="26"/>
        </w:rPr>
        <w:t>ies</w:t>
      </w:r>
      <w:r w:rsidR="00DD41A6">
        <w:rPr>
          <w:sz w:val="26"/>
          <w:szCs w:val="26"/>
        </w:rPr>
        <w:t xml:space="preserve">.  </w:t>
      </w:r>
      <w:r w:rsidR="00E02A71">
        <w:rPr>
          <w:sz w:val="26"/>
          <w:szCs w:val="26"/>
        </w:rPr>
        <w:t xml:space="preserve">The </w:t>
      </w:r>
      <w:r w:rsidR="00DD41A6">
        <w:rPr>
          <w:sz w:val="26"/>
          <w:szCs w:val="26"/>
        </w:rPr>
        <w:t xml:space="preserve">Pennsylvania </w:t>
      </w:r>
      <w:r w:rsidR="00E02A71">
        <w:rPr>
          <w:sz w:val="26"/>
          <w:szCs w:val="26"/>
        </w:rPr>
        <w:t xml:space="preserve">Public Utility </w:t>
      </w:r>
      <w:r w:rsidR="00DD41A6">
        <w:rPr>
          <w:sz w:val="26"/>
          <w:szCs w:val="26"/>
        </w:rPr>
        <w:t xml:space="preserve">Code prevents NGDCs from </w:t>
      </w:r>
      <w:r w:rsidR="00DD41A6" w:rsidRPr="00DD41A6">
        <w:rPr>
          <w:sz w:val="26"/>
          <w:szCs w:val="26"/>
        </w:rPr>
        <w:lastRenderedPageBreak/>
        <w:t>acquir</w:t>
      </w:r>
      <w:r w:rsidR="00DD41A6">
        <w:rPr>
          <w:sz w:val="26"/>
          <w:szCs w:val="26"/>
        </w:rPr>
        <w:t>ing</w:t>
      </w:r>
      <w:r w:rsidR="00DD41A6" w:rsidRPr="00DD41A6">
        <w:rPr>
          <w:sz w:val="26"/>
          <w:szCs w:val="26"/>
        </w:rPr>
        <w:t xml:space="preserve"> or assum</w:t>
      </w:r>
      <w:r w:rsidR="00DD41A6">
        <w:rPr>
          <w:sz w:val="26"/>
          <w:szCs w:val="26"/>
        </w:rPr>
        <w:t>ing</w:t>
      </w:r>
      <w:r w:rsidR="00DD41A6" w:rsidRPr="00DD41A6">
        <w:rPr>
          <w:sz w:val="26"/>
          <w:szCs w:val="26"/>
        </w:rPr>
        <w:t xml:space="preserve"> ownership of any customer's service line</w:t>
      </w:r>
      <w:r w:rsidR="00E02A71">
        <w:rPr>
          <w:sz w:val="26"/>
          <w:szCs w:val="26"/>
        </w:rPr>
        <w:t>.</w:t>
      </w:r>
      <w:r w:rsidR="00DD41A6">
        <w:rPr>
          <w:rStyle w:val="FootnoteReference"/>
          <w:sz w:val="26"/>
          <w:szCs w:val="26"/>
        </w:rPr>
        <w:footnoteReference w:id="9"/>
      </w:r>
      <w:r w:rsidR="00DD41A6">
        <w:rPr>
          <w:sz w:val="26"/>
          <w:szCs w:val="26"/>
        </w:rPr>
        <w:t xml:space="preserve">  </w:t>
      </w:r>
      <w:r>
        <w:rPr>
          <w:sz w:val="26"/>
          <w:szCs w:val="26"/>
        </w:rPr>
        <w:t>Columbia currently replaces all bare steel customer-owned services in conjunction with their main replacement program</w:t>
      </w:r>
      <w:r w:rsidR="00DD41A6">
        <w:rPr>
          <w:sz w:val="26"/>
          <w:szCs w:val="26"/>
        </w:rPr>
        <w:t xml:space="preserve"> pursuant to a Commission waiver whereby Columbia may recover the cost of the replacement, but not assume ownership of the service line</w:t>
      </w:r>
      <w:r>
        <w:rPr>
          <w:sz w:val="26"/>
          <w:szCs w:val="26"/>
        </w:rPr>
        <w:t xml:space="preserve">.  </w:t>
      </w:r>
    </w:p>
    <w:p w:rsidR="00906470" w:rsidRDefault="00906470" w:rsidP="00E936CE">
      <w:pPr>
        <w:pStyle w:val="p2"/>
        <w:widowControl/>
        <w:spacing w:line="360" w:lineRule="auto"/>
        <w:ind w:firstLine="0"/>
        <w:rPr>
          <w:sz w:val="26"/>
          <w:szCs w:val="26"/>
        </w:rPr>
      </w:pPr>
    </w:p>
    <w:p w:rsidR="00527ABF" w:rsidRDefault="00906470" w:rsidP="00E936CE">
      <w:pPr>
        <w:pStyle w:val="p2"/>
        <w:widowControl/>
        <w:spacing w:line="360" w:lineRule="auto"/>
        <w:ind w:firstLine="0"/>
        <w:rPr>
          <w:sz w:val="26"/>
          <w:szCs w:val="26"/>
        </w:rPr>
      </w:pPr>
      <w:r>
        <w:rPr>
          <w:sz w:val="26"/>
          <w:szCs w:val="26"/>
        </w:rPr>
        <w:tab/>
      </w:r>
      <w:r w:rsidR="00527ABF">
        <w:rPr>
          <w:sz w:val="26"/>
          <w:szCs w:val="26"/>
        </w:rPr>
        <w:t xml:space="preserve">At this time, </w:t>
      </w:r>
      <w:r>
        <w:rPr>
          <w:sz w:val="26"/>
          <w:szCs w:val="26"/>
        </w:rPr>
        <w:t>Peoples</w:t>
      </w:r>
      <w:r w:rsidR="001D0244">
        <w:rPr>
          <w:sz w:val="26"/>
          <w:szCs w:val="26"/>
        </w:rPr>
        <w:t xml:space="preserve"> does not replace all customer-owned bare steel service lines.  </w:t>
      </w:r>
      <w:r w:rsidR="006675C8">
        <w:rPr>
          <w:sz w:val="26"/>
          <w:szCs w:val="26"/>
        </w:rPr>
        <w:t>By Order entered May 23, 2013 the Commission provided a limited waiver of Peoples’ tariff that authorized Peoples to replace customer-owned service lines in conjunction with main replacements if such service lines failed a pressure test</w:t>
      </w:r>
      <w:r w:rsidR="00E02A71">
        <w:rPr>
          <w:sz w:val="26"/>
          <w:szCs w:val="26"/>
        </w:rPr>
        <w:t>.</w:t>
      </w:r>
      <w:r w:rsidR="006675C8">
        <w:rPr>
          <w:rStyle w:val="FootnoteReference"/>
          <w:sz w:val="26"/>
          <w:szCs w:val="26"/>
        </w:rPr>
        <w:footnoteReference w:id="10"/>
      </w:r>
      <w:r w:rsidR="006675C8">
        <w:rPr>
          <w:sz w:val="26"/>
          <w:szCs w:val="26"/>
        </w:rPr>
        <w:t xml:space="preserve">  </w:t>
      </w:r>
      <w:r w:rsidR="001D0244">
        <w:rPr>
          <w:sz w:val="26"/>
          <w:szCs w:val="26"/>
        </w:rPr>
        <w:t xml:space="preserve">The Commission authorized </w:t>
      </w:r>
      <w:r>
        <w:rPr>
          <w:sz w:val="26"/>
          <w:szCs w:val="26"/>
        </w:rPr>
        <w:t>Peoples</w:t>
      </w:r>
      <w:r w:rsidR="001D0244">
        <w:rPr>
          <w:sz w:val="26"/>
          <w:szCs w:val="26"/>
        </w:rPr>
        <w:t xml:space="preserve"> to include the cost of replacing these services in its LTIIP.  Additionally, by Order entered August 21, 2014, the Commission authorized recovery of customer-owned servic</w:t>
      </w:r>
      <w:r w:rsidR="004A6352">
        <w:rPr>
          <w:sz w:val="26"/>
          <w:szCs w:val="26"/>
        </w:rPr>
        <w:t xml:space="preserve">e line replacements through </w:t>
      </w:r>
      <w:r>
        <w:rPr>
          <w:sz w:val="26"/>
          <w:szCs w:val="26"/>
        </w:rPr>
        <w:t>Peoples’</w:t>
      </w:r>
      <w:r w:rsidR="004A6352">
        <w:rPr>
          <w:sz w:val="26"/>
          <w:szCs w:val="26"/>
        </w:rPr>
        <w:t xml:space="preserve"> DSIC</w:t>
      </w:r>
      <w:r w:rsidR="00E02A71">
        <w:rPr>
          <w:sz w:val="26"/>
          <w:szCs w:val="26"/>
        </w:rPr>
        <w:t>.</w:t>
      </w:r>
      <w:r w:rsidR="00DD41A6">
        <w:rPr>
          <w:rStyle w:val="FootnoteReference"/>
          <w:sz w:val="26"/>
          <w:szCs w:val="26"/>
        </w:rPr>
        <w:footnoteReference w:id="11"/>
      </w:r>
    </w:p>
    <w:p w:rsidR="004A6352" w:rsidRDefault="004A6352" w:rsidP="00E936CE">
      <w:pPr>
        <w:pStyle w:val="p2"/>
        <w:widowControl/>
        <w:spacing w:line="360" w:lineRule="auto"/>
        <w:ind w:firstLine="0"/>
        <w:rPr>
          <w:sz w:val="26"/>
          <w:szCs w:val="26"/>
        </w:rPr>
      </w:pPr>
    </w:p>
    <w:p w:rsidR="004F1042" w:rsidRDefault="004A6352" w:rsidP="004C58C9">
      <w:pPr>
        <w:pStyle w:val="p2"/>
        <w:widowControl/>
        <w:spacing w:line="360" w:lineRule="auto"/>
        <w:ind w:firstLine="0"/>
        <w:rPr>
          <w:sz w:val="26"/>
          <w:szCs w:val="26"/>
        </w:rPr>
      </w:pPr>
      <w:r>
        <w:rPr>
          <w:sz w:val="26"/>
          <w:szCs w:val="26"/>
        </w:rPr>
        <w:tab/>
      </w:r>
      <w:r w:rsidR="00DD41A6">
        <w:rPr>
          <w:sz w:val="26"/>
          <w:szCs w:val="26"/>
        </w:rPr>
        <w:t xml:space="preserve">In the course of the review of the </w:t>
      </w:r>
      <w:r w:rsidR="00261196">
        <w:rPr>
          <w:sz w:val="26"/>
          <w:szCs w:val="26"/>
        </w:rPr>
        <w:t>Second</w:t>
      </w:r>
      <w:r w:rsidR="00DD41A6">
        <w:rPr>
          <w:sz w:val="26"/>
          <w:szCs w:val="26"/>
        </w:rPr>
        <w:t xml:space="preserve"> Revised LTIIP, Commission s</w:t>
      </w:r>
      <w:r w:rsidR="004F1042">
        <w:rPr>
          <w:sz w:val="26"/>
          <w:szCs w:val="26"/>
        </w:rPr>
        <w:t xml:space="preserve">taff initiated a data request to Peoples regarding their policy on the replacement of customer-owned services.  In response, Peoples confirmed that </w:t>
      </w:r>
      <w:r w:rsidR="00906470">
        <w:rPr>
          <w:sz w:val="26"/>
          <w:szCs w:val="26"/>
        </w:rPr>
        <w:t>they currently</w:t>
      </w:r>
      <w:r w:rsidR="004F1042">
        <w:rPr>
          <w:sz w:val="26"/>
          <w:szCs w:val="26"/>
        </w:rPr>
        <w:t xml:space="preserve"> pressure t</w:t>
      </w:r>
      <w:r w:rsidR="00906470">
        <w:rPr>
          <w:sz w:val="26"/>
          <w:szCs w:val="26"/>
        </w:rPr>
        <w:t>est</w:t>
      </w:r>
      <w:r w:rsidR="004F1042">
        <w:rPr>
          <w:sz w:val="26"/>
          <w:szCs w:val="26"/>
        </w:rPr>
        <w:t xml:space="preserve"> </w:t>
      </w:r>
      <w:r w:rsidR="00906470">
        <w:rPr>
          <w:sz w:val="26"/>
          <w:szCs w:val="26"/>
        </w:rPr>
        <w:t>customer-owned</w:t>
      </w:r>
      <w:r w:rsidR="004F1042">
        <w:rPr>
          <w:sz w:val="26"/>
          <w:szCs w:val="26"/>
        </w:rPr>
        <w:t xml:space="preserve"> service lines before either returning them to service or replacing them based on the results of the test.  Further requests for data were sent to inquire about the costs and other consequences of replacing all customer-owned services, both going forward and to replace services in areas that had already been excavated over the course of the LTIIP.</w:t>
      </w:r>
    </w:p>
    <w:p w:rsidR="00DC0E68" w:rsidRDefault="00DC0E68" w:rsidP="004C58C9">
      <w:pPr>
        <w:pStyle w:val="p2"/>
        <w:widowControl/>
        <w:spacing w:line="360" w:lineRule="auto"/>
        <w:ind w:firstLine="0"/>
        <w:rPr>
          <w:sz w:val="26"/>
          <w:szCs w:val="26"/>
        </w:rPr>
      </w:pPr>
    </w:p>
    <w:p w:rsidR="004A1D1F" w:rsidRDefault="004A1D1F" w:rsidP="004A1D1F">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t>Disposition</w:t>
      </w:r>
    </w:p>
    <w:p w:rsidR="00DA32F6" w:rsidRDefault="004A1D1F" w:rsidP="004C58C9">
      <w:pPr>
        <w:pStyle w:val="p2"/>
        <w:widowControl/>
        <w:spacing w:line="360" w:lineRule="auto"/>
        <w:ind w:firstLine="0"/>
        <w:rPr>
          <w:sz w:val="26"/>
          <w:szCs w:val="26"/>
        </w:rPr>
      </w:pPr>
      <w:r>
        <w:rPr>
          <w:sz w:val="26"/>
          <w:szCs w:val="26"/>
        </w:rPr>
        <w:tab/>
      </w:r>
      <w:r w:rsidR="00EB453A">
        <w:rPr>
          <w:sz w:val="26"/>
          <w:szCs w:val="26"/>
        </w:rPr>
        <w:t xml:space="preserve">Regarding a utility’s LTIIP, </w:t>
      </w:r>
      <w:r w:rsidR="00107B31">
        <w:rPr>
          <w:sz w:val="26"/>
          <w:szCs w:val="26"/>
        </w:rPr>
        <w:t>66 Pa. C.S.</w:t>
      </w:r>
      <w:r w:rsidR="00DA32F6">
        <w:rPr>
          <w:sz w:val="26"/>
          <w:szCs w:val="26"/>
        </w:rPr>
        <w:t xml:space="preserve"> §</w:t>
      </w:r>
      <w:r w:rsidR="00E02A71">
        <w:rPr>
          <w:sz w:val="26"/>
          <w:szCs w:val="26"/>
        </w:rPr>
        <w:t xml:space="preserve"> </w:t>
      </w:r>
      <w:r w:rsidR="00DA32F6">
        <w:rPr>
          <w:sz w:val="26"/>
          <w:szCs w:val="26"/>
        </w:rPr>
        <w:t>1352</w:t>
      </w:r>
      <w:r w:rsidR="00107B31">
        <w:rPr>
          <w:sz w:val="26"/>
          <w:szCs w:val="26"/>
        </w:rPr>
        <w:t>(a</w:t>
      </w:r>
      <w:proofErr w:type="gramStart"/>
      <w:r w:rsidR="00107B31">
        <w:rPr>
          <w:sz w:val="26"/>
          <w:szCs w:val="26"/>
        </w:rPr>
        <w:t>)</w:t>
      </w:r>
      <w:r w:rsidR="00DA32F6">
        <w:rPr>
          <w:sz w:val="26"/>
          <w:szCs w:val="26"/>
        </w:rPr>
        <w:t>(</w:t>
      </w:r>
      <w:proofErr w:type="gramEnd"/>
      <w:r w:rsidR="00DA32F6">
        <w:rPr>
          <w:sz w:val="26"/>
          <w:szCs w:val="26"/>
        </w:rPr>
        <w:t>7) states that:</w:t>
      </w:r>
    </w:p>
    <w:p w:rsidR="00DA32F6" w:rsidRDefault="00DA32F6" w:rsidP="004C58C9">
      <w:pPr>
        <w:pStyle w:val="p2"/>
        <w:widowControl/>
        <w:spacing w:line="360" w:lineRule="auto"/>
        <w:ind w:firstLine="0"/>
        <w:rPr>
          <w:sz w:val="26"/>
          <w:szCs w:val="26"/>
        </w:rPr>
      </w:pPr>
    </w:p>
    <w:p w:rsidR="00DA32F6" w:rsidRPr="00DA32F6" w:rsidRDefault="00DA32F6" w:rsidP="004C58C9">
      <w:pPr>
        <w:pStyle w:val="p2"/>
        <w:widowControl/>
        <w:spacing w:line="360" w:lineRule="auto"/>
        <w:ind w:firstLine="0"/>
        <w:rPr>
          <w:i/>
          <w:sz w:val="26"/>
          <w:szCs w:val="26"/>
        </w:rPr>
      </w:pPr>
      <w:r w:rsidRPr="00DA32F6">
        <w:rPr>
          <w:i/>
          <w:sz w:val="26"/>
          <w:szCs w:val="26"/>
        </w:rPr>
        <w:t>“If the plan is not adequate and sufficient to ensure and maintain adequate, efficient, safe, reliable and reasonable service, the commission shall order a new or revised plan.”</w:t>
      </w:r>
    </w:p>
    <w:p w:rsidR="00E02A71" w:rsidRDefault="00DA32F6" w:rsidP="004C58C9">
      <w:pPr>
        <w:pStyle w:val="p2"/>
        <w:widowControl/>
        <w:spacing w:line="360" w:lineRule="auto"/>
        <w:ind w:firstLine="0"/>
        <w:rPr>
          <w:sz w:val="26"/>
          <w:szCs w:val="26"/>
        </w:rPr>
      </w:pPr>
      <w:r>
        <w:rPr>
          <w:sz w:val="26"/>
          <w:szCs w:val="26"/>
        </w:rPr>
        <w:lastRenderedPageBreak/>
        <w:tab/>
      </w:r>
    </w:p>
    <w:p w:rsidR="00DA32F6" w:rsidRDefault="00E02A71" w:rsidP="004C58C9">
      <w:pPr>
        <w:pStyle w:val="p2"/>
        <w:widowControl/>
        <w:spacing w:line="360" w:lineRule="auto"/>
        <w:ind w:firstLine="0"/>
        <w:rPr>
          <w:sz w:val="26"/>
          <w:szCs w:val="26"/>
        </w:rPr>
      </w:pPr>
      <w:r>
        <w:rPr>
          <w:sz w:val="26"/>
          <w:szCs w:val="26"/>
        </w:rPr>
        <w:tab/>
      </w:r>
      <w:r w:rsidR="00CA77EC">
        <w:rPr>
          <w:sz w:val="26"/>
          <w:szCs w:val="26"/>
        </w:rPr>
        <w:t xml:space="preserve">The Commission </w:t>
      </w:r>
      <w:r w:rsidR="00107B31">
        <w:rPr>
          <w:sz w:val="26"/>
          <w:szCs w:val="26"/>
        </w:rPr>
        <w:t xml:space="preserve">believes </w:t>
      </w:r>
      <w:r w:rsidR="00CA77EC">
        <w:rPr>
          <w:sz w:val="26"/>
          <w:szCs w:val="26"/>
        </w:rPr>
        <w:t xml:space="preserve">that bare steel </w:t>
      </w:r>
      <w:r w:rsidR="00107B31">
        <w:rPr>
          <w:sz w:val="26"/>
          <w:szCs w:val="26"/>
        </w:rPr>
        <w:t xml:space="preserve">and other at-risk </w:t>
      </w:r>
      <w:r w:rsidR="00CA77EC">
        <w:rPr>
          <w:sz w:val="26"/>
          <w:szCs w:val="26"/>
        </w:rPr>
        <w:t xml:space="preserve">services constitute a significant safety risk, and should be addressed.  </w:t>
      </w:r>
      <w:r w:rsidR="00E65863">
        <w:rPr>
          <w:sz w:val="26"/>
          <w:szCs w:val="26"/>
        </w:rPr>
        <w:t xml:space="preserve">Contemporary materials (i.e., </w:t>
      </w:r>
      <w:r w:rsidR="00DD41A6">
        <w:rPr>
          <w:sz w:val="26"/>
          <w:szCs w:val="26"/>
        </w:rPr>
        <w:t>high density polyethylene and low density polyethylene</w:t>
      </w:r>
      <w:r w:rsidR="00853B19">
        <w:rPr>
          <w:sz w:val="26"/>
          <w:szCs w:val="26"/>
        </w:rPr>
        <w:t>)</w:t>
      </w:r>
      <w:r w:rsidR="00E65863">
        <w:rPr>
          <w:sz w:val="26"/>
          <w:szCs w:val="26"/>
        </w:rPr>
        <w:t xml:space="preserve"> </w:t>
      </w:r>
      <w:r w:rsidR="00107B31">
        <w:rPr>
          <w:sz w:val="26"/>
          <w:szCs w:val="26"/>
        </w:rPr>
        <w:t xml:space="preserve">should </w:t>
      </w:r>
      <w:r w:rsidR="00E65863">
        <w:rPr>
          <w:sz w:val="26"/>
          <w:szCs w:val="26"/>
        </w:rPr>
        <w:t xml:space="preserve">result in substantially reduced risk of corrosion-related leakage or failure.  </w:t>
      </w:r>
      <w:r w:rsidR="00DA32F6">
        <w:rPr>
          <w:sz w:val="26"/>
          <w:szCs w:val="26"/>
        </w:rPr>
        <w:t>Leaving bare steel services in the ground when they could be reasonably removed in the normal course of infrastructure improvement projects is an unnecessary safety risk to the public.</w:t>
      </w:r>
    </w:p>
    <w:p w:rsidR="00DA32F6" w:rsidRDefault="00DA32F6" w:rsidP="004C58C9">
      <w:pPr>
        <w:pStyle w:val="p2"/>
        <w:widowControl/>
        <w:spacing w:line="360" w:lineRule="auto"/>
        <w:ind w:firstLine="0"/>
        <w:rPr>
          <w:sz w:val="26"/>
          <w:szCs w:val="26"/>
        </w:rPr>
      </w:pPr>
    </w:p>
    <w:p w:rsidR="004A1D1F" w:rsidRDefault="00DA32F6" w:rsidP="004C58C9">
      <w:pPr>
        <w:pStyle w:val="p2"/>
        <w:widowControl/>
        <w:spacing w:line="360" w:lineRule="auto"/>
        <w:ind w:firstLine="0"/>
        <w:rPr>
          <w:sz w:val="26"/>
          <w:szCs w:val="26"/>
        </w:rPr>
      </w:pPr>
      <w:r>
        <w:rPr>
          <w:sz w:val="26"/>
          <w:szCs w:val="26"/>
        </w:rPr>
        <w:tab/>
      </w:r>
      <w:r w:rsidR="00107B31">
        <w:rPr>
          <w:sz w:val="26"/>
          <w:szCs w:val="26"/>
        </w:rPr>
        <w:t xml:space="preserve">The Commission believes it is far more prudent and efficient to replace at-risk customer services as part of an overall infrastructure upgrade program going forward, rather than individually as those services fail or degrade.  </w:t>
      </w:r>
      <w:r w:rsidR="00E65863">
        <w:rPr>
          <w:sz w:val="26"/>
          <w:szCs w:val="26"/>
        </w:rPr>
        <w:t xml:space="preserve">Additionally, based on data received from Peoples, it is far </w:t>
      </w:r>
      <w:r w:rsidR="00107B31">
        <w:rPr>
          <w:sz w:val="26"/>
          <w:szCs w:val="26"/>
        </w:rPr>
        <w:t xml:space="preserve">less </w:t>
      </w:r>
      <w:r w:rsidR="00E65863">
        <w:rPr>
          <w:sz w:val="26"/>
          <w:szCs w:val="26"/>
        </w:rPr>
        <w:t xml:space="preserve">expensive to replace services while replacing the adjoining distribution main associated with it.  </w:t>
      </w:r>
      <w:r w:rsidR="00107B31">
        <w:rPr>
          <w:sz w:val="26"/>
          <w:szCs w:val="26"/>
        </w:rPr>
        <w:t xml:space="preserve">The difference comes from factors such as crews and equipment that are already on site and that restoration costs can be spread over the entire project, among other reasons.  </w:t>
      </w:r>
      <w:r w:rsidR="00E65863">
        <w:rPr>
          <w:sz w:val="26"/>
          <w:szCs w:val="26"/>
        </w:rPr>
        <w:t xml:space="preserve">As a result, the cost to replace a service on its own compared to the more efficient method of doing so in the course of main replacement work could be nearly triple the cost.  </w:t>
      </w:r>
      <w:r w:rsidR="00107B31">
        <w:rPr>
          <w:sz w:val="26"/>
          <w:szCs w:val="26"/>
        </w:rPr>
        <w:t xml:space="preserve">It was also determined through the data provided by Peoples that retroactive replacement of at-risk customer-owned services (if the locations could even be practically identified) was cost-prohibitive and logistically unfeasible.  </w:t>
      </w:r>
    </w:p>
    <w:p w:rsidR="00EB453A" w:rsidRDefault="00EB453A" w:rsidP="004C58C9">
      <w:pPr>
        <w:pStyle w:val="p2"/>
        <w:widowControl/>
        <w:spacing w:line="360" w:lineRule="auto"/>
        <w:ind w:firstLine="0"/>
        <w:rPr>
          <w:sz w:val="26"/>
          <w:szCs w:val="26"/>
        </w:rPr>
      </w:pPr>
    </w:p>
    <w:p w:rsidR="00107B31" w:rsidRDefault="00EB453A" w:rsidP="004C58C9">
      <w:pPr>
        <w:pStyle w:val="p2"/>
        <w:widowControl/>
        <w:spacing w:line="360" w:lineRule="auto"/>
        <w:ind w:firstLine="0"/>
        <w:rPr>
          <w:sz w:val="26"/>
          <w:szCs w:val="26"/>
        </w:rPr>
      </w:pPr>
      <w:r>
        <w:rPr>
          <w:sz w:val="26"/>
          <w:szCs w:val="26"/>
        </w:rPr>
        <w:tab/>
      </w:r>
      <w:r w:rsidR="00107B31">
        <w:rPr>
          <w:sz w:val="26"/>
          <w:szCs w:val="26"/>
        </w:rPr>
        <w:t xml:space="preserve">Peoples’ </w:t>
      </w:r>
      <w:r w:rsidR="00261196">
        <w:rPr>
          <w:sz w:val="26"/>
          <w:szCs w:val="26"/>
        </w:rPr>
        <w:t>Second</w:t>
      </w:r>
      <w:r w:rsidR="00107B31">
        <w:rPr>
          <w:sz w:val="26"/>
          <w:szCs w:val="26"/>
        </w:rPr>
        <w:t xml:space="preserve"> Revised LTIIP does not address the replacement of all at-risk customer-owned services, but only those that fail the pressure test, as described abov</w:t>
      </w:r>
      <w:r w:rsidR="003B63AC">
        <w:rPr>
          <w:sz w:val="26"/>
          <w:szCs w:val="26"/>
        </w:rPr>
        <w:t xml:space="preserve">e, and in their current LTIIP. </w:t>
      </w:r>
      <w:r>
        <w:rPr>
          <w:sz w:val="26"/>
          <w:szCs w:val="26"/>
        </w:rPr>
        <w:t xml:space="preserve"> </w:t>
      </w:r>
      <w:r w:rsidR="00107B31">
        <w:rPr>
          <w:sz w:val="26"/>
          <w:szCs w:val="26"/>
        </w:rPr>
        <w:t xml:space="preserve">Therefore, the </w:t>
      </w:r>
      <w:r>
        <w:rPr>
          <w:sz w:val="26"/>
          <w:szCs w:val="26"/>
        </w:rPr>
        <w:t xml:space="preserve">Commission </w:t>
      </w:r>
      <w:r w:rsidR="00107B31">
        <w:rPr>
          <w:sz w:val="26"/>
          <w:szCs w:val="26"/>
        </w:rPr>
        <w:t xml:space="preserve">determines </w:t>
      </w:r>
      <w:r>
        <w:rPr>
          <w:sz w:val="26"/>
          <w:szCs w:val="26"/>
        </w:rPr>
        <w:t xml:space="preserve">that Peoples’ LTIIP is not sufficient </w:t>
      </w:r>
      <w:r w:rsidR="00107B31" w:rsidRPr="00107B31">
        <w:rPr>
          <w:sz w:val="26"/>
          <w:szCs w:val="26"/>
        </w:rPr>
        <w:t>to ensure and maintain adequate, efficient, safe, reliable ser</w:t>
      </w:r>
      <w:r w:rsidR="00107B31">
        <w:rPr>
          <w:sz w:val="26"/>
          <w:szCs w:val="26"/>
        </w:rPr>
        <w:t>vi</w:t>
      </w:r>
      <w:r w:rsidR="00107B31" w:rsidRPr="00107B31">
        <w:rPr>
          <w:sz w:val="26"/>
          <w:szCs w:val="26"/>
        </w:rPr>
        <w:t>ce</w:t>
      </w:r>
      <w:r>
        <w:rPr>
          <w:sz w:val="26"/>
          <w:szCs w:val="26"/>
        </w:rPr>
        <w:t xml:space="preserve">, either as currently filed, or with the </w:t>
      </w:r>
      <w:r w:rsidR="00261196">
        <w:rPr>
          <w:sz w:val="26"/>
          <w:szCs w:val="26"/>
        </w:rPr>
        <w:t>Second</w:t>
      </w:r>
      <w:r>
        <w:rPr>
          <w:sz w:val="26"/>
          <w:szCs w:val="26"/>
        </w:rPr>
        <w:t xml:space="preserve"> set of revisions currently under consideration.  </w:t>
      </w:r>
      <w:r w:rsidR="00107B31">
        <w:rPr>
          <w:sz w:val="26"/>
          <w:szCs w:val="26"/>
        </w:rPr>
        <w:t xml:space="preserve">Peoples </w:t>
      </w:r>
      <w:r w:rsidR="00DD41A6">
        <w:rPr>
          <w:sz w:val="26"/>
          <w:szCs w:val="26"/>
        </w:rPr>
        <w:t xml:space="preserve">is directed to </w:t>
      </w:r>
      <w:r w:rsidR="00107B31">
        <w:rPr>
          <w:sz w:val="26"/>
          <w:szCs w:val="26"/>
        </w:rPr>
        <w:t xml:space="preserve">file a new or revised LTIIP that includes a provision for the replacement of all at-risk </w:t>
      </w:r>
      <w:r w:rsidR="00DD41A6">
        <w:rPr>
          <w:sz w:val="26"/>
          <w:szCs w:val="26"/>
        </w:rPr>
        <w:t>(</w:t>
      </w:r>
      <w:r w:rsidR="00DD41A6" w:rsidRPr="00DD41A6">
        <w:rPr>
          <w:sz w:val="26"/>
          <w:szCs w:val="26"/>
        </w:rPr>
        <w:t>bare steel, copper, cast iron, or otherwise at-risk</w:t>
      </w:r>
      <w:r w:rsidR="00DD41A6">
        <w:rPr>
          <w:sz w:val="26"/>
          <w:szCs w:val="26"/>
        </w:rPr>
        <w:t>)</w:t>
      </w:r>
      <w:r w:rsidR="00DD41A6" w:rsidRPr="00DD41A6">
        <w:rPr>
          <w:sz w:val="26"/>
          <w:szCs w:val="26"/>
        </w:rPr>
        <w:t xml:space="preserve"> </w:t>
      </w:r>
      <w:r w:rsidR="00107B31">
        <w:rPr>
          <w:sz w:val="26"/>
          <w:szCs w:val="26"/>
        </w:rPr>
        <w:t xml:space="preserve">customer-owned services on a going-forward basis for the main replacement projects outlined in </w:t>
      </w:r>
      <w:r w:rsidR="00107B31">
        <w:rPr>
          <w:sz w:val="26"/>
          <w:szCs w:val="26"/>
        </w:rPr>
        <w:lastRenderedPageBreak/>
        <w:t>the LTIIP.</w:t>
      </w:r>
      <w:r w:rsidR="00DD41A6">
        <w:rPr>
          <w:sz w:val="26"/>
          <w:szCs w:val="26"/>
        </w:rPr>
        <w:t xml:space="preserve">  Peoples is also no longer required to perform the pressure test before replacing the customer-owned at-risk services.  </w:t>
      </w:r>
    </w:p>
    <w:p w:rsidR="00107B31" w:rsidRDefault="00107B31" w:rsidP="004C58C9">
      <w:pPr>
        <w:pStyle w:val="p2"/>
        <w:widowControl/>
        <w:spacing w:line="360" w:lineRule="auto"/>
        <w:ind w:firstLine="0"/>
        <w:rPr>
          <w:sz w:val="26"/>
          <w:szCs w:val="26"/>
        </w:rPr>
      </w:pPr>
    </w:p>
    <w:p w:rsidR="00EB453A" w:rsidRDefault="00107B31" w:rsidP="004C58C9">
      <w:pPr>
        <w:pStyle w:val="p2"/>
        <w:widowControl/>
        <w:spacing w:line="360" w:lineRule="auto"/>
        <w:ind w:firstLine="0"/>
        <w:rPr>
          <w:sz w:val="26"/>
          <w:szCs w:val="26"/>
        </w:rPr>
      </w:pPr>
      <w:r>
        <w:rPr>
          <w:sz w:val="26"/>
          <w:szCs w:val="26"/>
        </w:rPr>
        <w:tab/>
      </w:r>
      <w:r w:rsidR="00EB453A">
        <w:rPr>
          <w:sz w:val="26"/>
          <w:szCs w:val="26"/>
        </w:rPr>
        <w:t xml:space="preserve">In order to facilitate Peoples’ ability to replace customer-owned services going forward, the Commission will expand the scope of </w:t>
      </w:r>
      <w:r>
        <w:rPr>
          <w:sz w:val="26"/>
          <w:szCs w:val="26"/>
        </w:rPr>
        <w:t>its</w:t>
      </w:r>
      <w:r w:rsidR="00EB453A">
        <w:rPr>
          <w:sz w:val="26"/>
          <w:szCs w:val="26"/>
        </w:rPr>
        <w:t xml:space="preserve"> prev</w:t>
      </w:r>
      <w:r w:rsidR="00CA68C8">
        <w:rPr>
          <w:sz w:val="26"/>
          <w:szCs w:val="26"/>
        </w:rPr>
        <w:t>ious</w:t>
      </w:r>
      <w:r w:rsidR="00EB453A">
        <w:rPr>
          <w:sz w:val="26"/>
          <w:szCs w:val="26"/>
        </w:rPr>
        <w:t xml:space="preserve"> waiver </w:t>
      </w:r>
      <w:r>
        <w:rPr>
          <w:sz w:val="26"/>
          <w:szCs w:val="26"/>
        </w:rPr>
        <w:t xml:space="preserve">to include all at-risk customer-owned services and not just those that fail </w:t>
      </w:r>
      <w:r w:rsidR="00DD41A6">
        <w:rPr>
          <w:sz w:val="26"/>
          <w:szCs w:val="26"/>
        </w:rPr>
        <w:t xml:space="preserve">a </w:t>
      </w:r>
      <w:r>
        <w:rPr>
          <w:sz w:val="26"/>
          <w:szCs w:val="26"/>
        </w:rPr>
        <w:t>pressure test</w:t>
      </w:r>
      <w:r w:rsidR="00EB453A">
        <w:rPr>
          <w:rStyle w:val="FootnoteReference"/>
          <w:sz w:val="26"/>
          <w:szCs w:val="26"/>
        </w:rPr>
        <w:footnoteReference w:id="12"/>
      </w:r>
      <w:r w:rsidR="00EB453A">
        <w:rPr>
          <w:sz w:val="26"/>
          <w:szCs w:val="26"/>
        </w:rPr>
        <w:t>.</w:t>
      </w:r>
      <w:r w:rsidR="00CA68C8">
        <w:rPr>
          <w:sz w:val="26"/>
          <w:szCs w:val="26"/>
        </w:rPr>
        <w:t xml:space="preserve">  </w:t>
      </w:r>
      <w:r>
        <w:rPr>
          <w:sz w:val="26"/>
          <w:szCs w:val="26"/>
        </w:rPr>
        <w:t xml:space="preserve">The </w:t>
      </w:r>
      <w:r w:rsidR="00CA68C8">
        <w:rPr>
          <w:sz w:val="26"/>
          <w:szCs w:val="26"/>
        </w:rPr>
        <w:t>waiver will still be “limited” in the fact that Peoples will not take ownership of the customer-owned portion of the service line</w:t>
      </w:r>
      <w:r>
        <w:rPr>
          <w:sz w:val="26"/>
          <w:szCs w:val="26"/>
        </w:rPr>
        <w:t>, but may recover the cost of the replacement through its DSIC</w:t>
      </w:r>
      <w:r w:rsidR="00CA68C8">
        <w:rPr>
          <w:sz w:val="26"/>
          <w:szCs w:val="26"/>
        </w:rPr>
        <w:t>.</w:t>
      </w:r>
    </w:p>
    <w:p w:rsidR="004C58C9" w:rsidRPr="000F5E3D" w:rsidRDefault="004C58C9" w:rsidP="004C58C9">
      <w:pPr>
        <w:pStyle w:val="p2"/>
        <w:widowControl/>
        <w:spacing w:line="360" w:lineRule="auto"/>
        <w:ind w:firstLine="0"/>
        <w:rPr>
          <w:sz w:val="26"/>
          <w:szCs w:val="26"/>
        </w:rPr>
      </w:pPr>
    </w:p>
    <w:p w:rsidR="005D5DD9" w:rsidRDefault="007E15DA" w:rsidP="005D5DD9">
      <w:pPr>
        <w:pStyle w:val="p2"/>
        <w:keepNext/>
        <w:widowControl/>
        <w:spacing w:line="360" w:lineRule="auto"/>
        <w:ind w:firstLine="0"/>
        <w:jc w:val="center"/>
        <w:rPr>
          <w:b/>
          <w:sz w:val="26"/>
          <w:szCs w:val="26"/>
        </w:rPr>
      </w:pPr>
      <w:r>
        <w:rPr>
          <w:b/>
          <w:sz w:val="26"/>
          <w:szCs w:val="26"/>
        </w:rPr>
        <w:t>C</w:t>
      </w:r>
      <w:r w:rsidR="000E6FF7">
        <w:rPr>
          <w:b/>
          <w:sz w:val="26"/>
          <w:szCs w:val="26"/>
        </w:rPr>
        <w:t>ONCLUSION</w:t>
      </w:r>
    </w:p>
    <w:p w:rsidR="005D5DD9" w:rsidRDefault="005D5DD9" w:rsidP="005D5DD9">
      <w:pPr>
        <w:pStyle w:val="p2"/>
        <w:keepNext/>
        <w:widowControl/>
        <w:spacing w:line="360" w:lineRule="auto"/>
        <w:ind w:firstLine="0"/>
        <w:jc w:val="center"/>
        <w:rPr>
          <w:b/>
          <w:sz w:val="26"/>
          <w:szCs w:val="26"/>
        </w:rPr>
      </w:pPr>
    </w:p>
    <w:p w:rsidR="000E6FF7" w:rsidRDefault="000E6FF7" w:rsidP="00835ADC">
      <w:pPr>
        <w:pStyle w:val="p4"/>
        <w:widowControl/>
        <w:tabs>
          <w:tab w:val="clear" w:pos="204"/>
          <w:tab w:val="left" w:pos="0"/>
        </w:tabs>
        <w:spacing w:line="360" w:lineRule="auto"/>
        <w:ind w:firstLine="1440"/>
        <w:outlineLvl w:val="0"/>
        <w:rPr>
          <w:sz w:val="26"/>
          <w:szCs w:val="26"/>
        </w:rPr>
      </w:pPr>
      <w:r>
        <w:rPr>
          <w:sz w:val="26"/>
          <w:szCs w:val="26"/>
        </w:rPr>
        <w:t xml:space="preserve">The Commission has reviewed </w:t>
      </w:r>
      <w:r w:rsidR="0033132B">
        <w:rPr>
          <w:sz w:val="26"/>
          <w:szCs w:val="26"/>
        </w:rPr>
        <w:t>Peoples’</w:t>
      </w:r>
      <w:r>
        <w:rPr>
          <w:sz w:val="26"/>
          <w:szCs w:val="26"/>
        </w:rPr>
        <w:t xml:space="preserve"> Petition for Approval of its</w:t>
      </w:r>
      <w:r w:rsidR="00CA68C8">
        <w:rPr>
          <w:sz w:val="26"/>
          <w:szCs w:val="26"/>
        </w:rPr>
        <w:t xml:space="preserve"> </w:t>
      </w:r>
      <w:r w:rsidR="00261196">
        <w:rPr>
          <w:sz w:val="26"/>
          <w:szCs w:val="26"/>
        </w:rPr>
        <w:t>Second</w:t>
      </w:r>
      <w:r w:rsidR="00CA68C8">
        <w:rPr>
          <w:sz w:val="26"/>
          <w:szCs w:val="26"/>
        </w:rPr>
        <w:t xml:space="preserve"> Revised LTIIP</w:t>
      </w:r>
      <w:r w:rsidR="00107B31">
        <w:rPr>
          <w:sz w:val="26"/>
          <w:szCs w:val="26"/>
        </w:rPr>
        <w:t xml:space="preserve"> and finds that the five proposed revisions are acceptable and in the public interest.  However, the Petition does not adequately address the issue of at-risk customer-owned service lines</w:t>
      </w:r>
      <w:r w:rsidR="00107B31" w:rsidRPr="00107B31">
        <w:t xml:space="preserve"> </w:t>
      </w:r>
      <w:r w:rsidR="00107B31">
        <w:t xml:space="preserve">and the LTIIP </w:t>
      </w:r>
      <w:r w:rsidR="00107B31" w:rsidRPr="00107B31">
        <w:rPr>
          <w:sz w:val="26"/>
          <w:szCs w:val="26"/>
        </w:rPr>
        <w:t xml:space="preserve">is not sufficient to </w:t>
      </w:r>
      <w:r w:rsidR="00107B31">
        <w:rPr>
          <w:sz w:val="26"/>
          <w:szCs w:val="26"/>
        </w:rPr>
        <w:t xml:space="preserve">ensure and maintain adequate, efficient, safe, reliable service.  </w:t>
      </w:r>
      <w:r>
        <w:rPr>
          <w:sz w:val="26"/>
          <w:szCs w:val="26"/>
        </w:rPr>
        <w:t xml:space="preserve">Accordingly, </w:t>
      </w:r>
      <w:r w:rsidR="0033132B">
        <w:rPr>
          <w:sz w:val="26"/>
          <w:szCs w:val="26"/>
        </w:rPr>
        <w:t>Peoples’</w:t>
      </w:r>
      <w:r>
        <w:rPr>
          <w:sz w:val="26"/>
          <w:szCs w:val="26"/>
        </w:rPr>
        <w:t xml:space="preserve"> </w:t>
      </w:r>
      <w:r w:rsidR="00107B31">
        <w:rPr>
          <w:sz w:val="26"/>
          <w:szCs w:val="26"/>
        </w:rPr>
        <w:t>Petition is</w:t>
      </w:r>
      <w:r>
        <w:rPr>
          <w:sz w:val="26"/>
          <w:szCs w:val="26"/>
        </w:rPr>
        <w:t xml:space="preserve"> </w:t>
      </w:r>
      <w:r w:rsidR="00CA68C8">
        <w:rPr>
          <w:sz w:val="26"/>
          <w:szCs w:val="26"/>
        </w:rPr>
        <w:t>rejected</w:t>
      </w:r>
      <w:r>
        <w:rPr>
          <w:sz w:val="26"/>
          <w:szCs w:val="26"/>
        </w:rPr>
        <w:t xml:space="preserve">; </w:t>
      </w:r>
    </w:p>
    <w:p w:rsidR="00835ADC" w:rsidRPr="00835ADC" w:rsidRDefault="00835ADC" w:rsidP="00EE640E">
      <w:pPr>
        <w:pStyle w:val="p4"/>
        <w:widowControl/>
        <w:tabs>
          <w:tab w:val="clear" w:pos="204"/>
          <w:tab w:val="left" w:pos="0"/>
        </w:tabs>
        <w:spacing w:line="360" w:lineRule="auto"/>
        <w:outlineLvl w:val="0"/>
        <w:rPr>
          <w:b/>
          <w:sz w:val="26"/>
          <w:szCs w:val="26"/>
        </w:rPr>
      </w:pPr>
      <w:r w:rsidRPr="00835ADC">
        <w:rPr>
          <w:b/>
          <w:sz w:val="26"/>
          <w:szCs w:val="26"/>
        </w:rPr>
        <w:t>THEREFORE,</w:t>
      </w:r>
    </w:p>
    <w:p w:rsidR="00835ADC" w:rsidRPr="00835ADC" w:rsidRDefault="00835ADC" w:rsidP="00835ADC">
      <w:pPr>
        <w:widowControl/>
        <w:tabs>
          <w:tab w:val="left" w:pos="1445"/>
        </w:tabs>
        <w:spacing w:line="360" w:lineRule="auto"/>
        <w:ind w:firstLine="720"/>
        <w:rPr>
          <w:b/>
          <w:sz w:val="26"/>
          <w:szCs w:val="26"/>
        </w:rPr>
      </w:pPr>
    </w:p>
    <w:p w:rsidR="00835ADC" w:rsidRPr="00835ADC" w:rsidRDefault="00835ADC" w:rsidP="00835ADC">
      <w:pPr>
        <w:widowControl/>
        <w:tabs>
          <w:tab w:val="left" w:pos="1445"/>
        </w:tabs>
        <w:spacing w:line="360" w:lineRule="auto"/>
        <w:ind w:firstLine="720"/>
        <w:rPr>
          <w:b/>
          <w:sz w:val="26"/>
          <w:szCs w:val="26"/>
        </w:rPr>
      </w:pPr>
      <w:r w:rsidRPr="00835ADC">
        <w:rPr>
          <w:b/>
          <w:sz w:val="26"/>
          <w:szCs w:val="26"/>
        </w:rPr>
        <w:t>IT IS ORDERED:</w:t>
      </w:r>
    </w:p>
    <w:p w:rsidR="00835ADC" w:rsidRPr="00835ADC" w:rsidRDefault="00835ADC" w:rsidP="00835ADC">
      <w:pPr>
        <w:widowControl/>
        <w:tabs>
          <w:tab w:val="left" w:pos="1445"/>
        </w:tabs>
        <w:spacing w:line="360" w:lineRule="auto"/>
        <w:ind w:firstLine="1445"/>
        <w:rPr>
          <w:b/>
          <w:sz w:val="26"/>
          <w:szCs w:val="26"/>
        </w:rPr>
      </w:pPr>
    </w:p>
    <w:p w:rsidR="004C5104" w:rsidRDefault="00835ADC" w:rsidP="004C5104">
      <w:pPr>
        <w:widowControl/>
        <w:numPr>
          <w:ilvl w:val="0"/>
          <w:numId w:val="18"/>
        </w:numPr>
        <w:tabs>
          <w:tab w:val="left" w:pos="0"/>
        </w:tabs>
        <w:spacing w:line="360" w:lineRule="auto"/>
        <w:ind w:left="90" w:firstLine="630"/>
        <w:outlineLvl w:val="0"/>
        <w:rPr>
          <w:sz w:val="26"/>
          <w:szCs w:val="26"/>
        </w:rPr>
      </w:pPr>
      <w:r w:rsidRPr="00835ADC">
        <w:rPr>
          <w:sz w:val="26"/>
          <w:szCs w:val="26"/>
        </w:rPr>
        <w:t xml:space="preserve">That the Petition </w:t>
      </w:r>
      <w:r>
        <w:rPr>
          <w:sz w:val="26"/>
          <w:szCs w:val="26"/>
        </w:rPr>
        <w:t xml:space="preserve">of Peoples Natural Gas Company, LLC for approval of its </w:t>
      </w:r>
      <w:r w:rsidR="00261196">
        <w:rPr>
          <w:sz w:val="26"/>
          <w:szCs w:val="26"/>
        </w:rPr>
        <w:t>Second</w:t>
      </w:r>
      <w:r w:rsidR="00CA68C8">
        <w:rPr>
          <w:sz w:val="26"/>
          <w:szCs w:val="26"/>
        </w:rPr>
        <w:t xml:space="preserve"> </w:t>
      </w:r>
      <w:r>
        <w:rPr>
          <w:sz w:val="26"/>
          <w:szCs w:val="26"/>
        </w:rPr>
        <w:t xml:space="preserve">Revised </w:t>
      </w:r>
      <w:r w:rsidRPr="00835ADC">
        <w:rPr>
          <w:sz w:val="26"/>
          <w:szCs w:val="26"/>
        </w:rPr>
        <w:t xml:space="preserve">Long-Term Infrastructure Improvement Plan </w:t>
      </w:r>
      <w:r>
        <w:rPr>
          <w:sz w:val="26"/>
          <w:szCs w:val="26"/>
        </w:rPr>
        <w:t xml:space="preserve">for its Peoples Division and Equitable Division </w:t>
      </w:r>
      <w:r w:rsidRPr="00835ADC">
        <w:rPr>
          <w:sz w:val="26"/>
          <w:szCs w:val="26"/>
        </w:rPr>
        <w:t xml:space="preserve">is </w:t>
      </w:r>
      <w:r w:rsidR="00CA68C8">
        <w:rPr>
          <w:sz w:val="26"/>
          <w:szCs w:val="26"/>
        </w:rPr>
        <w:t>rejected</w:t>
      </w:r>
      <w:r w:rsidR="007B5685">
        <w:rPr>
          <w:sz w:val="26"/>
          <w:szCs w:val="26"/>
        </w:rPr>
        <w:t>.</w:t>
      </w:r>
    </w:p>
    <w:p w:rsidR="0069294A" w:rsidRDefault="0069294A" w:rsidP="0069294A">
      <w:pPr>
        <w:widowControl/>
        <w:tabs>
          <w:tab w:val="left" w:pos="0"/>
        </w:tabs>
        <w:spacing w:line="360" w:lineRule="auto"/>
        <w:ind w:left="720"/>
        <w:outlineLvl w:val="0"/>
        <w:rPr>
          <w:sz w:val="26"/>
          <w:szCs w:val="26"/>
        </w:rPr>
      </w:pPr>
    </w:p>
    <w:p w:rsidR="007B5685" w:rsidRDefault="007B5685" w:rsidP="004C5104">
      <w:pPr>
        <w:widowControl/>
        <w:numPr>
          <w:ilvl w:val="0"/>
          <w:numId w:val="18"/>
        </w:numPr>
        <w:tabs>
          <w:tab w:val="left" w:pos="0"/>
        </w:tabs>
        <w:spacing w:line="360" w:lineRule="auto"/>
        <w:ind w:left="90" w:firstLine="630"/>
        <w:outlineLvl w:val="0"/>
        <w:rPr>
          <w:sz w:val="26"/>
          <w:szCs w:val="26"/>
        </w:rPr>
      </w:pPr>
      <w:r>
        <w:rPr>
          <w:sz w:val="26"/>
          <w:szCs w:val="26"/>
        </w:rPr>
        <w:t>That within 30 days of the date of the entry of this Order, the</w:t>
      </w:r>
      <w:r w:rsidR="0069294A">
        <w:rPr>
          <w:sz w:val="26"/>
          <w:szCs w:val="26"/>
        </w:rPr>
        <w:t xml:space="preserve"> Peoples Natural Gas Company, </w:t>
      </w:r>
      <w:proofErr w:type="gramStart"/>
      <w:r w:rsidR="0069294A">
        <w:rPr>
          <w:sz w:val="26"/>
          <w:szCs w:val="26"/>
        </w:rPr>
        <w:t>LLC</w:t>
      </w:r>
      <w:proofErr w:type="gramEnd"/>
      <w:r w:rsidR="0069294A">
        <w:rPr>
          <w:sz w:val="26"/>
          <w:szCs w:val="26"/>
        </w:rPr>
        <w:t xml:space="preserve"> shall file a new or revised LTIIP </w:t>
      </w:r>
      <w:r>
        <w:rPr>
          <w:sz w:val="26"/>
          <w:szCs w:val="26"/>
        </w:rPr>
        <w:t>consistent with the directives in</w:t>
      </w:r>
      <w:r w:rsidR="0069294A">
        <w:rPr>
          <w:sz w:val="26"/>
          <w:szCs w:val="26"/>
        </w:rPr>
        <w:t xml:space="preserve"> thi</w:t>
      </w:r>
      <w:r>
        <w:rPr>
          <w:sz w:val="26"/>
          <w:szCs w:val="26"/>
        </w:rPr>
        <w:t>s Order</w:t>
      </w:r>
      <w:r w:rsidR="0069294A">
        <w:rPr>
          <w:sz w:val="26"/>
          <w:szCs w:val="26"/>
        </w:rPr>
        <w:t xml:space="preserve">.  </w:t>
      </w:r>
    </w:p>
    <w:p w:rsidR="00215A59" w:rsidRDefault="00215A59" w:rsidP="00215A59">
      <w:pPr>
        <w:widowControl/>
        <w:tabs>
          <w:tab w:val="left" w:pos="0"/>
        </w:tabs>
        <w:spacing w:line="360" w:lineRule="auto"/>
        <w:ind w:left="90"/>
        <w:outlineLvl w:val="0"/>
        <w:rPr>
          <w:sz w:val="26"/>
          <w:szCs w:val="26"/>
        </w:rPr>
      </w:pPr>
    </w:p>
    <w:p w:rsidR="007B5685" w:rsidRDefault="007B5685" w:rsidP="007B5685">
      <w:pPr>
        <w:widowControl/>
        <w:numPr>
          <w:ilvl w:val="0"/>
          <w:numId w:val="18"/>
        </w:numPr>
        <w:tabs>
          <w:tab w:val="left" w:pos="0"/>
        </w:tabs>
        <w:spacing w:line="360" w:lineRule="auto"/>
        <w:ind w:left="90" w:firstLine="630"/>
        <w:outlineLvl w:val="0"/>
        <w:rPr>
          <w:sz w:val="26"/>
          <w:szCs w:val="26"/>
        </w:rPr>
      </w:pPr>
      <w:r w:rsidRPr="007B5685">
        <w:rPr>
          <w:sz w:val="26"/>
          <w:szCs w:val="26"/>
        </w:rPr>
        <w:t xml:space="preserve">That if </w:t>
      </w:r>
      <w:r>
        <w:rPr>
          <w:sz w:val="26"/>
          <w:szCs w:val="26"/>
        </w:rPr>
        <w:t xml:space="preserve">Peoples Natural Gas Company, LLC </w:t>
      </w:r>
      <w:r w:rsidRPr="007B5685">
        <w:rPr>
          <w:sz w:val="26"/>
          <w:szCs w:val="26"/>
        </w:rPr>
        <w:t xml:space="preserve">chooses to withdraw its Long-Term Infrastructure Improvement Plan, </w:t>
      </w:r>
      <w:r>
        <w:rPr>
          <w:sz w:val="26"/>
          <w:szCs w:val="26"/>
        </w:rPr>
        <w:t xml:space="preserve">Peoples Natural Gas Company, LLC </w:t>
      </w:r>
      <w:r w:rsidRPr="007B5685">
        <w:rPr>
          <w:sz w:val="26"/>
          <w:szCs w:val="26"/>
        </w:rPr>
        <w:t xml:space="preserve">shall notify the Commission within thirty (30) days of the entry of this Order and </w:t>
      </w:r>
      <w:r>
        <w:rPr>
          <w:sz w:val="26"/>
          <w:szCs w:val="26"/>
        </w:rPr>
        <w:t xml:space="preserve">Peoples Natural Gas Company, LLC </w:t>
      </w:r>
      <w:r w:rsidRPr="007B5685">
        <w:rPr>
          <w:sz w:val="26"/>
          <w:szCs w:val="26"/>
        </w:rPr>
        <w:t>Distribution System Improvement Charge shall immediately terminate.</w:t>
      </w:r>
    </w:p>
    <w:p w:rsidR="007B5685" w:rsidRDefault="007B5685" w:rsidP="007B5685">
      <w:pPr>
        <w:pStyle w:val="ListParagraph"/>
        <w:rPr>
          <w:sz w:val="26"/>
          <w:szCs w:val="26"/>
        </w:rPr>
      </w:pPr>
    </w:p>
    <w:p w:rsidR="007B5685" w:rsidRPr="007B5685" w:rsidRDefault="007B5685" w:rsidP="007B5685">
      <w:pPr>
        <w:widowControl/>
        <w:numPr>
          <w:ilvl w:val="0"/>
          <w:numId w:val="18"/>
        </w:numPr>
        <w:tabs>
          <w:tab w:val="left" w:pos="0"/>
        </w:tabs>
        <w:spacing w:line="360" w:lineRule="auto"/>
        <w:ind w:left="90" w:firstLine="630"/>
        <w:outlineLvl w:val="0"/>
        <w:rPr>
          <w:sz w:val="26"/>
          <w:szCs w:val="26"/>
        </w:rPr>
      </w:pPr>
      <w:r w:rsidRPr="007B5685">
        <w:rPr>
          <w:sz w:val="26"/>
          <w:szCs w:val="26"/>
        </w:rPr>
        <w:t>That if Peoples Natural Gas Company, LLC chooses to withdraw its Long-Term Infrastructure Improvement Plan, Peoples Natural Gas Company, LLC shall also file a tariff supplement within thirty (30) days of the entry of this Order that removes any provisions or language related to its Distribution System Improvement Charge.  The tariff supplement shall be filed effective on one (1) days’ notice.</w:t>
      </w:r>
    </w:p>
    <w:p w:rsidR="006772BC" w:rsidRDefault="006772BC" w:rsidP="007B5685">
      <w:pPr>
        <w:widowControl/>
        <w:tabs>
          <w:tab w:val="left" w:pos="0"/>
        </w:tabs>
        <w:spacing w:line="360" w:lineRule="auto"/>
        <w:outlineLvl w:val="0"/>
        <w:rPr>
          <w:sz w:val="26"/>
          <w:szCs w:val="26"/>
        </w:rPr>
      </w:pPr>
    </w:p>
    <w:p w:rsidR="004C5104" w:rsidRDefault="00A97D81" w:rsidP="004C5104">
      <w:pPr>
        <w:widowControl/>
        <w:numPr>
          <w:ilvl w:val="0"/>
          <w:numId w:val="18"/>
        </w:numPr>
        <w:tabs>
          <w:tab w:val="left" w:pos="0"/>
        </w:tabs>
        <w:spacing w:line="360" w:lineRule="auto"/>
        <w:ind w:left="90" w:firstLine="630"/>
        <w:outlineLvl w:val="0"/>
        <w:rPr>
          <w:sz w:val="26"/>
          <w:szCs w:val="26"/>
        </w:rPr>
      </w:pPr>
      <w:r w:rsidRPr="00A97D81">
        <w:rPr>
          <w:sz w:val="26"/>
          <w:szCs w:val="26"/>
        </w:rPr>
        <w:t>That a copy of this Order be served on all parties to the Merger Settlement at Docket Nos. A-2013-2353647, A-2013-2353649 and A-2013-2353651</w:t>
      </w:r>
      <w:r w:rsidR="004C5104">
        <w:rPr>
          <w:sz w:val="26"/>
          <w:szCs w:val="26"/>
        </w:rPr>
        <w:t>.</w:t>
      </w:r>
    </w:p>
    <w:p w:rsidR="006772BC" w:rsidRDefault="006772BC" w:rsidP="006772BC">
      <w:pPr>
        <w:pStyle w:val="ListParagraph"/>
        <w:rPr>
          <w:sz w:val="26"/>
          <w:szCs w:val="26"/>
        </w:rPr>
      </w:pPr>
    </w:p>
    <w:p w:rsidR="005D5DD9" w:rsidRDefault="004F65BA" w:rsidP="007A0A57">
      <w:pPr>
        <w:spacing w:line="360" w:lineRule="auto"/>
        <w:ind w:left="4320" w:firstLine="1440"/>
        <w:rPr>
          <w:b/>
        </w:rPr>
      </w:pPr>
      <w:r>
        <w:rPr>
          <w:noProof/>
        </w:rPr>
        <w:drawing>
          <wp:anchor distT="0" distB="0" distL="114300" distR="114300" simplePos="0" relativeHeight="251659264" behindDoc="1" locked="0" layoutInCell="1" allowOverlap="1" wp14:anchorId="4A083DA8" wp14:editId="39322F6C">
            <wp:simplePos x="0" y="0"/>
            <wp:positionH relativeFrom="column">
              <wp:posOffset>3571875</wp:posOffset>
            </wp:positionH>
            <wp:positionV relativeFrom="paragraph">
              <wp:posOffset>91440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A0A57">
        <w:rPr>
          <w:b/>
        </w:rPr>
        <w:t>BY THE COMMISSION,</w:t>
      </w:r>
    </w:p>
    <w:p w:rsidR="007A0A57" w:rsidRDefault="007A0A57" w:rsidP="007A0A57">
      <w:pPr>
        <w:spacing w:line="360" w:lineRule="auto"/>
        <w:ind w:left="4320" w:firstLine="1440"/>
        <w:rPr>
          <w:b/>
        </w:rPr>
      </w:pPr>
      <w:bookmarkStart w:id="0" w:name="_GoBack"/>
      <w:bookmarkEnd w:id="0"/>
    </w:p>
    <w:p w:rsidR="00DC0E68" w:rsidRDefault="00DC0E68" w:rsidP="007A0A57">
      <w:pPr>
        <w:spacing w:line="360" w:lineRule="auto"/>
        <w:ind w:left="4320" w:firstLine="1440"/>
        <w:rPr>
          <w:b/>
        </w:rPr>
      </w:pPr>
    </w:p>
    <w:p w:rsidR="005D5DD9" w:rsidRDefault="005D5DD9" w:rsidP="005D5DD9">
      <w:pPr>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5D5DD9" w:rsidRDefault="005D5DD9" w:rsidP="005D5DD9">
      <w:pPr>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DC0E68" w:rsidRDefault="00DC0E68" w:rsidP="005D5DD9">
      <w:pPr>
        <w:spacing w:line="360" w:lineRule="auto"/>
        <w:ind w:firstLine="1440"/>
        <w:rPr>
          <w:sz w:val="26"/>
          <w:szCs w:val="26"/>
        </w:rPr>
      </w:pPr>
    </w:p>
    <w:p w:rsidR="005D5DD9" w:rsidRDefault="005D5DD9" w:rsidP="005D5DD9">
      <w:pPr>
        <w:spacing w:line="360" w:lineRule="auto"/>
        <w:rPr>
          <w:sz w:val="26"/>
          <w:szCs w:val="26"/>
        </w:rPr>
      </w:pPr>
      <w:r>
        <w:rPr>
          <w:sz w:val="26"/>
          <w:szCs w:val="26"/>
        </w:rPr>
        <w:t>(SEAL)</w:t>
      </w:r>
    </w:p>
    <w:p w:rsidR="00DC0E68" w:rsidRDefault="00DC0E68" w:rsidP="005D5DD9">
      <w:pPr>
        <w:spacing w:line="360" w:lineRule="auto"/>
        <w:rPr>
          <w:sz w:val="26"/>
          <w:szCs w:val="26"/>
        </w:rPr>
      </w:pPr>
    </w:p>
    <w:p w:rsidR="005D5DD9" w:rsidRDefault="005D5DD9" w:rsidP="005D5DD9">
      <w:pPr>
        <w:spacing w:line="360" w:lineRule="auto"/>
        <w:rPr>
          <w:sz w:val="26"/>
          <w:szCs w:val="26"/>
        </w:rPr>
      </w:pPr>
      <w:r>
        <w:rPr>
          <w:sz w:val="26"/>
          <w:szCs w:val="26"/>
        </w:rPr>
        <w:t xml:space="preserve">ORDER ADOPTED: </w:t>
      </w:r>
      <w:r w:rsidR="007B5685">
        <w:rPr>
          <w:sz w:val="26"/>
          <w:szCs w:val="26"/>
        </w:rPr>
        <w:t>March 10, 2016</w:t>
      </w:r>
    </w:p>
    <w:p w:rsidR="005D5DD9" w:rsidRPr="00905CC9" w:rsidRDefault="005D5DD9" w:rsidP="005D5DD9">
      <w:pPr>
        <w:spacing w:line="360" w:lineRule="auto"/>
        <w:rPr>
          <w:sz w:val="26"/>
          <w:szCs w:val="26"/>
        </w:rPr>
      </w:pPr>
      <w:r>
        <w:rPr>
          <w:sz w:val="26"/>
          <w:szCs w:val="26"/>
        </w:rPr>
        <w:t>ORDER ENTERED:</w:t>
      </w:r>
      <w:r w:rsidR="004F65BA">
        <w:rPr>
          <w:sz w:val="26"/>
          <w:szCs w:val="26"/>
        </w:rPr>
        <w:t xml:space="preserve"> March 10, 2016</w:t>
      </w:r>
    </w:p>
    <w:sectPr w:rsidR="005D5DD9" w:rsidRPr="00905CC9" w:rsidSect="001A0782">
      <w:footerReference w:type="even" r:id="rId10"/>
      <w:footerReference w:type="default" r:id="rId11"/>
      <w:footerReference w:type="first" r:id="rId12"/>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226" w:rsidRDefault="002A2226" w:rsidP="005D5DD9">
      <w:r>
        <w:separator/>
      </w:r>
    </w:p>
  </w:endnote>
  <w:endnote w:type="continuationSeparator" w:id="0">
    <w:p w:rsidR="002A2226" w:rsidRDefault="002A2226" w:rsidP="005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27" w:rsidRDefault="00255D27" w:rsidP="006C0C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D27" w:rsidRDefault="00255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60416"/>
      <w:docPartObj>
        <w:docPartGallery w:val="Page Numbers (Bottom of Page)"/>
        <w:docPartUnique/>
      </w:docPartObj>
    </w:sdtPr>
    <w:sdtEndPr>
      <w:rPr>
        <w:noProof/>
      </w:rPr>
    </w:sdtEndPr>
    <w:sdtContent>
      <w:p w:rsidR="00255D27" w:rsidRDefault="00255D27">
        <w:pPr>
          <w:pStyle w:val="Footer"/>
          <w:jc w:val="center"/>
        </w:pPr>
        <w:r>
          <w:fldChar w:fldCharType="begin"/>
        </w:r>
        <w:r>
          <w:instrText xml:space="preserve"> PAGE   \* MERGEFORMAT </w:instrText>
        </w:r>
        <w:r>
          <w:fldChar w:fldCharType="separate"/>
        </w:r>
        <w:r w:rsidR="004F65BA">
          <w:rPr>
            <w:noProof/>
          </w:rPr>
          <w:t>27</w:t>
        </w:r>
        <w:r>
          <w:rPr>
            <w:noProof/>
          </w:rPr>
          <w:fldChar w:fldCharType="end"/>
        </w:r>
      </w:p>
    </w:sdtContent>
  </w:sdt>
  <w:p w:rsidR="00255D27" w:rsidRDefault="00255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27" w:rsidRDefault="00255D27">
    <w:pPr>
      <w:pStyle w:val="Footer"/>
      <w:jc w:val="center"/>
    </w:pPr>
  </w:p>
  <w:p w:rsidR="00255D27" w:rsidRDefault="00255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226" w:rsidRDefault="002A2226" w:rsidP="005D5DD9">
      <w:r>
        <w:separator/>
      </w:r>
    </w:p>
  </w:footnote>
  <w:footnote w:type="continuationSeparator" w:id="0">
    <w:p w:rsidR="002A2226" w:rsidRDefault="002A2226" w:rsidP="005D5DD9">
      <w:r>
        <w:continuationSeparator/>
      </w:r>
    </w:p>
  </w:footnote>
  <w:footnote w:id="1">
    <w:p w:rsidR="00255D27" w:rsidRDefault="00255D27" w:rsidP="00FA47A5">
      <w:pPr>
        <w:pStyle w:val="FootnoteText"/>
      </w:pPr>
      <w:r>
        <w:rPr>
          <w:rStyle w:val="FootnoteReference"/>
        </w:rPr>
        <w:footnoteRef/>
      </w:r>
      <w:r>
        <w:t xml:space="preserve"> </w:t>
      </w:r>
      <w:r w:rsidRPr="0040134D">
        <w:rPr>
          <w:i/>
        </w:rPr>
        <w:t>See</w:t>
      </w:r>
      <w:r>
        <w:t xml:space="preserve"> Docket No. P-2013-2344596, </w:t>
      </w:r>
      <w:r w:rsidRPr="0040134D">
        <w:rPr>
          <w:i/>
        </w:rPr>
        <w:t>Petition of P</w:t>
      </w:r>
      <w:r w:rsidRPr="00FA47A5">
        <w:rPr>
          <w:i/>
        </w:rPr>
        <w:t xml:space="preserve">eoples Natural Gas Company, </w:t>
      </w:r>
      <w:r w:rsidRPr="0040134D">
        <w:rPr>
          <w:i/>
        </w:rPr>
        <w:t>LLC for Approval of its Revised Long-Term Infrastructure Improvement Plan for its Peoples Division and Equitable Division,</w:t>
      </w:r>
      <w:r>
        <w:t xml:space="preserve"> approved by Commission Order entered on December 18, 2014.</w:t>
      </w:r>
    </w:p>
  </w:footnote>
  <w:footnote w:id="2">
    <w:p w:rsidR="00255D27" w:rsidRPr="000C3B36" w:rsidRDefault="00255D27" w:rsidP="000C3B36">
      <w:pPr>
        <w:widowControl/>
        <w:rPr>
          <w:sz w:val="20"/>
          <w:szCs w:val="20"/>
        </w:rPr>
      </w:pPr>
      <w:r>
        <w:rPr>
          <w:rStyle w:val="FootnoteReference"/>
        </w:rPr>
        <w:footnoteRef/>
      </w:r>
      <w:r>
        <w:t xml:space="preserve"> </w:t>
      </w:r>
      <w:r w:rsidRPr="000C3B36">
        <w:rPr>
          <w:sz w:val="20"/>
          <w:szCs w:val="20"/>
        </w:rPr>
        <w:t>Allegheny, Armstrong, Beaver, Blair, Butler, Cam</w:t>
      </w:r>
      <w:r>
        <w:rPr>
          <w:sz w:val="20"/>
          <w:szCs w:val="20"/>
        </w:rPr>
        <w:t xml:space="preserve">bria, Clarion, Fayette, Greene, </w:t>
      </w:r>
      <w:r w:rsidRPr="000C3B36">
        <w:rPr>
          <w:sz w:val="20"/>
          <w:szCs w:val="20"/>
        </w:rPr>
        <w:t>Indiana, Lawrence, Mercer, Somerset, Venango, Washington, and Westmoreland</w:t>
      </w:r>
      <w:r>
        <w:rPr>
          <w:sz w:val="20"/>
          <w:szCs w:val="20"/>
        </w:rPr>
        <w:t xml:space="preserve"> Counties.</w:t>
      </w:r>
    </w:p>
  </w:footnote>
  <w:footnote w:id="3">
    <w:p w:rsidR="00255D27" w:rsidRPr="000C3B36" w:rsidRDefault="00255D27" w:rsidP="005E5B57">
      <w:pPr>
        <w:pStyle w:val="FootnoteText"/>
        <w:spacing w:after="120"/>
      </w:pPr>
      <w:r w:rsidRPr="00541752">
        <w:rPr>
          <w:rStyle w:val="FootnoteReference"/>
          <w:sz w:val="22"/>
          <w:szCs w:val="22"/>
        </w:rPr>
        <w:footnoteRef/>
      </w:r>
      <w:r w:rsidRPr="00541752">
        <w:rPr>
          <w:sz w:val="22"/>
          <w:szCs w:val="22"/>
        </w:rPr>
        <w:t xml:space="preserve">  </w:t>
      </w:r>
      <w:hyperlink r:id="rId1" w:history="1">
        <w:r w:rsidRPr="000C3B36">
          <w:t>http://www.legis.state.pa.us/WU01/LI/LI/US/HTM/2012/0/0011..HTM</w:t>
        </w:r>
      </w:hyperlink>
      <w:r w:rsidRPr="000C3B36">
        <w:t>.</w:t>
      </w:r>
    </w:p>
  </w:footnote>
  <w:footnote w:id="4">
    <w:p w:rsidR="00255D27" w:rsidRDefault="00255D27">
      <w:pPr>
        <w:pStyle w:val="FootnoteText"/>
      </w:pPr>
      <w:r>
        <w:rPr>
          <w:rStyle w:val="FootnoteReference"/>
        </w:rPr>
        <w:footnoteRef/>
      </w:r>
      <w:r>
        <w:t xml:space="preserve"> </w:t>
      </w:r>
      <w:r w:rsidRPr="0040134D">
        <w:rPr>
          <w:i/>
        </w:rPr>
        <w:t>See</w:t>
      </w:r>
      <w:r>
        <w:t xml:space="preserve"> </w:t>
      </w:r>
      <w:r w:rsidRPr="007B437D">
        <w:t xml:space="preserve">Docket No. P-2013-2344596, Order entered May 23, 2013 </w:t>
      </w:r>
      <w:r>
        <w:t xml:space="preserve">and Docket No. </w:t>
      </w:r>
      <w:r w:rsidRPr="007B437D">
        <w:t>P-2013-2342745, Order entered July 16, 2013, amended Order entered August 15, 2013.</w:t>
      </w:r>
    </w:p>
  </w:footnote>
  <w:footnote w:id="5">
    <w:p w:rsidR="00255D27" w:rsidRDefault="00255D27">
      <w:pPr>
        <w:pStyle w:val="FootnoteText"/>
      </w:pPr>
      <w:r>
        <w:rPr>
          <w:rStyle w:val="FootnoteReference"/>
        </w:rPr>
        <w:footnoteRef/>
      </w:r>
      <w:r>
        <w:t xml:space="preserve"> </w:t>
      </w:r>
      <w:r w:rsidRPr="0040134D">
        <w:rPr>
          <w:i/>
        </w:rPr>
        <w:t xml:space="preserve">See </w:t>
      </w:r>
      <w:r>
        <w:t xml:space="preserve">Docket No. P-2014-2429346, </w:t>
      </w:r>
      <w:r w:rsidRPr="0040134D">
        <w:rPr>
          <w:i/>
        </w:rPr>
        <w:t>Petition of Peoples Natural Gas Company, LLC and Peoples TWP, LLC for Accounting and Regulatory Approvals and Approval of Related Tariff Provisions Associated with Implementation of Revised Long-Term Infrastructure Plan</w:t>
      </w:r>
      <w:r>
        <w:t>, Joint Settlement approved by Commission Order entered December 18, 2014.</w:t>
      </w:r>
    </w:p>
  </w:footnote>
  <w:footnote w:id="6">
    <w:p w:rsidR="00255D27" w:rsidRDefault="00255D27" w:rsidP="00DD41A6">
      <w:pPr>
        <w:pStyle w:val="FootnoteText"/>
      </w:pPr>
      <w:r>
        <w:rPr>
          <w:rStyle w:val="FootnoteReference"/>
        </w:rPr>
        <w:footnoteRef/>
      </w:r>
      <w:r>
        <w:t xml:space="preserve"> </w:t>
      </w:r>
      <w:r w:rsidRPr="00DE0B84">
        <w:rPr>
          <w:i/>
        </w:rPr>
        <w:t xml:space="preserve">See </w:t>
      </w:r>
      <w:r w:rsidRPr="00853B19">
        <w:t>Docket No. PHMSA-2014-0098</w:t>
      </w:r>
      <w:r>
        <w:t>.</w:t>
      </w:r>
    </w:p>
  </w:footnote>
  <w:footnote w:id="7">
    <w:p w:rsidR="00F117E5" w:rsidRDefault="00F117E5">
      <w:pPr>
        <w:pStyle w:val="FootnoteText"/>
      </w:pPr>
      <w:r>
        <w:rPr>
          <w:rStyle w:val="FootnoteReference"/>
        </w:rPr>
        <w:footnoteRef/>
      </w:r>
      <w:r>
        <w:t xml:space="preserve"> The AMR program starts in 2016, while the LTIIP spans the years 2015-2019.  As such, while the total AMR program will cost $33.0 million, the portion of this included in this current LTIIP will be only $26.2 million for the four years from 2016-2019.</w:t>
      </w:r>
    </w:p>
  </w:footnote>
  <w:footnote w:id="8">
    <w:p w:rsidR="00255D27" w:rsidRPr="00E879B7" w:rsidRDefault="00255D27" w:rsidP="00107B31">
      <w:pPr>
        <w:pStyle w:val="FootnoteText"/>
        <w:rPr>
          <w:sz w:val="14"/>
        </w:rPr>
      </w:pPr>
      <w:r>
        <w:rPr>
          <w:rStyle w:val="FootnoteReference"/>
        </w:rPr>
        <w:footnoteRef/>
      </w:r>
      <w:r>
        <w:t xml:space="preserve"> </w:t>
      </w:r>
      <w:r w:rsidRPr="00B65304">
        <w:rPr>
          <w:i/>
        </w:rPr>
        <w:t>See</w:t>
      </w:r>
      <w:r>
        <w:t xml:space="preserve"> </w:t>
      </w:r>
      <w:r w:rsidRPr="00E879B7">
        <w:rPr>
          <w:szCs w:val="26"/>
        </w:rPr>
        <w:t>Docket Nos. R-2015-2465172 and R-2015-2465181.</w:t>
      </w:r>
    </w:p>
  </w:footnote>
  <w:footnote w:id="9">
    <w:p w:rsidR="00255D27" w:rsidRDefault="00255D27">
      <w:pPr>
        <w:pStyle w:val="FootnoteText"/>
      </w:pPr>
      <w:r>
        <w:rPr>
          <w:rStyle w:val="FootnoteReference"/>
        </w:rPr>
        <w:footnoteRef/>
      </w:r>
      <w:r>
        <w:t xml:space="preserve"> 66 Pa. C.S. § 1510.</w:t>
      </w:r>
    </w:p>
  </w:footnote>
  <w:footnote w:id="10">
    <w:p w:rsidR="00255D27" w:rsidRDefault="00255D27" w:rsidP="00DD41A6">
      <w:pPr>
        <w:pStyle w:val="FootnoteText"/>
      </w:pPr>
      <w:r>
        <w:rPr>
          <w:rStyle w:val="FootnoteReference"/>
        </w:rPr>
        <w:footnoteRef/>
      </w:r>
      <w:r>
        <w:t xml:space="preserve"> </w:t>
      </w:r>
      <w:r w:rsidRPr="00E879B7">
        <w:rPr>
          <w:i/>
        </w:rPr>
        <w:t>See</w:t>
      </w:r>
      <w:r>
        <w:t xml:space="preserve"> Docket No. </w:t>
      </w:r>
      <w:proofErr w:type="gramStart"/>
      <w:r w:rsidRPr="00906470">
        <w:t>P-2013-2346161</w:t>
      </w:r>
      <w:r w:rsidR="00E02A71">
        <w:t>.</w:t>
      </w:r>
      <w:proofErr w:type="gramEnd"/>
    </w:p>
  </w:footnote>
  <w:footnote w:id="11">
    <w:p w:rsidR="00255D27" w:rsidRDefault="00255D27" w:rsidP="00DD41A6">
      <w:pPr>
        <w:pStyle w:val="FootnoteText"/>
      </w:pPr>
      <w:r>
        <w:rPr>
          <w:rStyle w:val="FootnoteReference"/>
        </w:rPr>
        <w:footnoteRef/>
      </w:r>
      <w:r>
        <w:t xml:space="preserve"> </w:t>
      </w:r>
      <w:r w:rsidRPr="00E879B7">
        <w:rPr>
          <w:i/>
        </w:rPr>
        <w:t>See</w:t>
      </w:r>
      <w:r>
        <w:t xml:space="preserve"> Docket No. </w:t>
      </w:r>
      <w:proofErr w:type="gramStart"/>
      <w:r>
        <w:t>P-2013-2344596</w:t>
      </w:r>
      <w:r w:rsidR="00E02A71">
        <w:t>.</w:t>
      </w:r>
      <w:proofErr w:type="gramEnd"/>
    </w:p>
  </w:footnote>
  <w:footnote w:id="12">
    <w:p w:rsidR="00255D27" w:rsidRDefault="00255D27" w:rsidP="00EB453A">
      <w:pPr>
        <w:pStyle w:val="FootnoteText"/>
      </w:pPr>
      <w:r>
        <w:rPr>
          <w:rStyle w:val="FootnoteReference"/>
        </w:rPr>
        <w:footnoteRef/>
      </w:r>
      <w:r>
        <w:t xml:space="preserve"> </w:t>
      </w:r>
      <w:r w:rsidRPr="0040134D">
        <w:rPr>
          <w:i/>
        </w:rPr>
        <w:t>See</w:t>
      </w:r>
      <w:r>
        <w:t xml:space="preserve"> Docket No. </w:t>
      </w:r>
      <w:r w:rsidRPr="00CA68C8">
        <w:t>P-2013-2346161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B166C6F"/>
    <w:multiLevelType w:val="multilevel"/>
    <w:tmpl w:val="3B22010E"/>
    <w:lvl w:ilvl="0">
      <w:start w:val="6"/>
      <w:numFmt w:val="decimal"/>
      <w:lvlText w:val="%1."/>
      <w:lvlJc w:val="left"/>
      <w:pPr>
        <w:tabs>
          <w:tab w:val="left" w:pos="64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315325"/>
    <w:multiLevelType w:val="hybridMultilevel"/>
    <w:tmpl w:val="8F484074"/>
    <w:lvl w:ilvl="0" w:tplc="CD3AD55A">
      <w:start w:val="1"/>
      <w:numFmt w:val="decimal"/>
      <w:lvlText w:val="%1."/>
      <w:lvlJc w:val="left"/>
      <w:pPr>
        <w:ind w:left="3605" w:hanging="21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6">
    <w:nsid w:val="197429A0"/>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7">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1">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2">
    <w:nsid w:val="330D39E4"/>
    <w:multiLevelType w:val="hybridMultilevel"/>
    <w:tmpl w:val="2FAC4B3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3">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1BE59F5"/>
    <w:multiLevelType w:val="hybridMultilevel"/>
    <w:tmpl w:val="97E4A674"/>
    <w:lvl w:ilvl="0" w:tplc="2AB84DF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2DE0ED1"/>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A356AF"/>
    <w:multiLevelType w:val="hybridMultilevel"/>
    <w:tmpl w:val="EE001182"/>
    <w:lvl w:ilvl="0" w:tplc="750CC5D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A284F"/>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8">
    <w:nsid w:val="4D2D0D04"/>
    <w:multiLevelType w:val="hybridMultilevel"/>
    <w:tmpl w:val="047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1">
    <w:nsid w:val="53F34EBB"/>
    <w:multiLevelType w:val="hybridMultilevel"/>
    <w:tmpl w:val="A9DC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3">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59D4556C"/>
    <w:multiLevelType w:val="hybridMultilevel"/>
    <w:tmpl w:val="9C50357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6">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76F6B73"/>
    <w:multiLevelType w:val="hybridMultilevel"/>
    <w:tmpl w:val="E8D85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F1162E"/>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2">
    <w:nsid w:val="705411F1"/>
    <w:multiLevelType w:val="hybridMultilevel"/>
    <w:tmpl w:val="177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4">
    <w:nsid w:val="7A2E7950"/>
    <w:multiLevelType w:val="hybridMultilevel"/>
    <w:tmpl w:val="95CE6F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F76377C"/>
    <w:multiLevelType w:val="hybridMultilevel"/>
    <w:tmpl w:val="33D6DF82"/>
    <w:lvl w:ilvl="0" w:tplc="4BBE2E22">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3"/>
  </w:num>
  <w:num w:numId="3">
    <w:abstractNumId w:val="3"/>
  </w:num>
  <w:num w:numId="4">
    <w:abstractNumId w:val="13"/>
  </w:num>
  <w:num w:numId="5">
    <w:abstractNumId w:val="9"/>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num>
  <w:num w:numId="10">
    <w:abstractNumId w:val="7"/>
  </w:num>
  <w:num w:numId="11">
    <w:abstractNumId w:val="35"/>
  </w:num>
  <w:num w:numId="12">
    <w:abstractNumId w:val="26"/>
  </w:num>
  <w:num w:numId="13">
    <w:abstractNumId w:val="11"/>
  </w:num>
  <w:num w:numId="14">
    <w:abstractNumId w:val="32"/>
  </w:num>
  <w:num w:numId="15">
    <w:abstractNumId w:val="30"/>
  </w:num>
  <w:num w:numId="16">
    <w:abstractNumId w:val="8"/>
  </w:num>
  <w:num w:numId="17">
    <w:abstractNumId w:val="15"/>
  </w:num>
  <w:num w:numId="18">
    <w:abstractNumId w:val="20"/>
  </w:num>
  <w:num w:numId="19">
    <w:abstractNumId w:val="41"/>
  </w:num>
  <w:num w:numId="20">
    <w:abstractNumId w:val="39"/>
  </w:num>
  <w:num w:numId="21">
    <w:abstractNumId w:val="37"/>
  </w:num>
  <w:num w:numId="22">
    <w:abstractNumId w:val="33"/>
  </w:num>
  <w:num w:numId="23">
    <w:abstractNumId w:val="14"/>
  </w:num>
  <w:num w:numId="24">
    <w:abstractNumId w:val="17"/>
  </w:num>
  <w:num w:numId="25">
    <w:abstractNumId w:val="4"/>
  </w:num>
  <w:num w:numId="26">
    <w:abstractNumId w:val="36"/>
  </w:num>
  <w:num w:numId="27">
    <w:abstractNumId w:val="25"/>
  </w:num>
  <w:num w:numId="28">
    <w:abstractNumId w:val="24"/>
  </w:num>
  <w:num w:numId="29">
    <w:abstractNumId w:val="29"/>
  </w:num>
  <w:num w:numId="30">
    <w:abstractNumId w:val="45"/>
  </w:num>
  <w:num w:numId="31">
    <w:abstractNumId w:val="12"/>
  </w:num>
  <w:num w:numId="32">
    <w:abstractNumId w:val="16"/>
  </w:num>
  <w:num w:numId="33">
    <w:abstractNumId w:val="18"/>
  </w:num>
  <w:num w:numId="34">
    <w:abstractNumId w:val="38"/>
  </w:num>
  <w:num w:numId="35">
    <w:abstractNumId w:val="5"/>
  </w:num>
  <w:num w:numId="36">
    <w:abstractNumId w:val="1"/>
  </w:num>
  <w:num w:numId="37">
    <w:abstractNumId w:val="19"/>
  </w:num>
  <w:num w:numId="38">
    <w:abstractNumId w:val="23"/>
  </w:num>
  <w:num w:numId="39">
    <w:abstractNumId w:val="40"/>
  </w:num>
  <w:num w:numId="40">
    <w:abstractNumId w:val="21"/>
  </w:num>
  <w:num w:numId="41">
    <w:abstractNumId w:val="31"/>
  </w:num>
  <w:num w:numId="42">
    <w:abstractNumId w:val="28"/>
  </w:num>
  <w:num w:numId="43">
    <w:abstractNumId w:val="6"/>
  </w:num>
  <w:num w:numId="44">
    <w:abstractNumId w:val="22"/>
  </w:num>
  <w:num w:numId="45">
    <w:abstractNumId w:val="46"/>
  </w:num>
  <w:num w:numId="46">
    <w:abstractNumId w:val="44"/>
  </w:num>
  <w:num w:numId="47">
    <w:abstractNumId w:val="3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D9"/>
    <w:rsid w:val="000268EE"/>
    <w:rsid w:val="000343CD"/>
    <w:rsid w:val="000363B2"/>
    <w:rsid w:val="000475FC"/>
    <w:rsid w:val="00050508"/>
    <w:rsid w:val="00050CEB"/>
    <w:rsid w:val="0005379B"/>
    <w:rsid w:val="00061E89"/>
    <w:rsid w:val="00081C12"/>
    <w:rsid w:val="000828C6"/>
    <w:rsid w:val="000B732C"/>
    <w:rsid w:val="000C3B36"/>
    <w:rsid w:val="000E3DFD"/>
    <w:rsid w:val="000E504B"/>
    <w:rsid w:val="000E6FF7"/>
    <w:rsid w:val="00104FDD"/>
    <w:rsid w:val="00107589"/>
    <w:rsid w:val="00107B31"/>
    <w:rsid w:val="001256FB"/>
    <w:rsid w:val="00154025"/>
    <w:rsid w:val="001629DC"/>
    <w:rsid w:val="001708C0"/>
    <w:rsid w:val="00177C8B"/>
    <w:rsid w:val="00183E61"/>
    <w:rsid w:val="001979AE"/>
    <w:rsid w:val="001A0782"/>
    <w:rsid w:val="001A7CCE"/>
    <w:rsid w:val="001C3D0E"/>
    <w:rsid w:val="001C4CC4"/>
    <w:rsid w:val="001D0244"/>
    <w:rsid w:val="001D506A"/>
    <w:rsid w:val="00215A59"/>
    <w:rsid w:val="00222089"/>
    <w:rsid w:val="002353EA"/>
    <w:rsid w:val="00243C6F"/>
    <w:rsid w:val="00246F55"/>
    <w:rsid w:val="00255D27"/>
    <w:rsid w:val="00260C8C"/>
    <w:rsid w:val="00261196"/>
    <w:rsid w:val="0026203C"/>
    <w:rsid w:val="00265DAB"/>
    <w:rsid w:val="002676AB"/>
    <w:rsid w:val="00275447"/>
    <w:rsid w:val="0028333A"/>
    <w:rsid w:val="00295110"/>
    <w:rsid w:val="002A2226"/>
    <w:rsid w:val="002B1574"/>
    <w:rsid w:val="002B5FAB"/>
    <w:rsid w:val="002C19CA"/>
    <w:rsid w:val="002D02ED"/>
    <w:rsid w:val="002E3423"/>
    <w:rsid w:val="0032210D"/>
    <w:rsid w:val="00330004"/>
    <w:rsid w:val="0033132B"/>
    <w:rsid w:val="00344A7E"/>
    <w:rsid w:val="0034786B"/>
    <w:rsid w:val="003521F2"/>
    <w:rsid w:val="0035612C"/>
    <w:rsid w:val="003601B9"/>
    <w:rsid w:val="00362391"/>
    <w:rsid w:val="0036789F"/>
    <w:rsid w:val="0037216B"/>
    <w:rsid w:val="0039320C"/>
    <w:rsid w:val="003A2568"/>
    <w:rsid w:val="003B63AC"/>
    <w:rsid w:val="003C3BE4"/>
    <w:rsid w:val="003D5394"/>
    <w:rsid w:val="0040134D"/>
    <w:rsid w:val="00422734"/>
    <w:rsid w:val="00446B9E"/>
    <w:rsid w:val="00464D06"/>
    <w:rsid w:val="00497B9D"/>
    <w:rsid w:val="004A1D1F"/>
    <w:rsid w:val="004A6352"/>
    <w:rsid w:val="004B1EC6"/>
    <w:rsid w:val="004C5104"/>
    <w:rsid w:val="004C58C9"/>
    <w:rsid w:val="004E6CD9"/>
    <w:rsid w:val="004F1042"/>
    <w:rsid w:val="004F62AB"/>
    <w:rsid w:val="004F65BA"/>
    <w:rsid w:val="005004BB"/>
    <w:rsid w:val="005155C1"/>
    <w:rsid w:val="00517A6F"/>
    <w:rsid w:val="005245A5"/>
    <w:rsid w:val="00524BC1"/>
    <w:rsid w:val="00527ABF"/>
    <w:rsid w:val="00527C67"/>
    <w:rsid w:val="00547D84"/>
    <w:rsid w:val="00566C24"/>
    <w:rsid w:val="00567678"/>
    <w:rsid w:val="00572E94"/>
    <w:rsid w:val="00575156"/>
    <w:rsid w:val="00586ECA"/>
    <w:rsid w:val="005874DB"/>
    <w:rsid w:val="005A1BB0"/>
    <w:rsid w:val="005A690C"/>
    <w:rsid w:val="005D0E97"/>
    <w:rsid w:val="005D2CE8"/>
    <w:rsid w:val="005D5DD9"/>
    <w:rsid w:val="005D6843"/>
    <w:rsid w:val="005E3A56"/>
    <w:rsid w:val="005E5B57"/>
    <w:rsid w:val="00612577"/>
    <w:rsid w:val="00615068"/>
    <w:rsid w:val="0063493D"/>
    <w:rsid w:val="006562E2"/>
    <w:rsid w:val="00665EBB"/>
    <w:rsid w:val="006675C8"/>
    <w:rsid w:val="006772BC"/>
    <w:rsid w:val="0069294A"/>
    <w:rsid w:val="006954DA"/>
    <w:rsid w:val="006A7FB9"/>
    <w:rsid w:val="006C0C9C"/>
    <w:rsid w:val="006C7D19"/>
    <w:rsid w:val="006F0A58"/>
    <w:rsid w:val="006F5D29"/>
    <w:rsid w:val="00701A41"/>
    <w:rsid w:val="007231DA"/>
    <w:rsid w:val="00745044"/>
    <w:rsid w:val="00746C30"/>
    <w:rsid w:val="0075000D"/>
    <w:rsid w:val="0075067A"/>
    <w:rsid w:val="00762177"/>
    <w:rsid w:val="007654B3"/>
    <w:rsid w:val="00765FF0"/>
    <w:rsid w:val="007749B1"/>
    <w:rsid w:val="0077778B"/>
    <w:rsid w:val="007833DD"/>
    <w:rsid w:val="007847AA"/>
    <w:rsid w:val="00793038"/>
    <w:rsid w:val="007A0A57"/>
    <w:rsid w:val="007B437D"/>
    <w:rsid w:val="007B5685"/>
    <w:rsid w:val="007D2D6D"/>
    <w:rsid w:val="007D7747"/>
    <w:rsid w:val="007E15DA"/>
    <w:rsid w:val="007E6D8C"/>
    <w:rsid w:val="007F4B91"/>
    <w:rsid w:val="00802120"/>
    <w:rsid w:val="0081100A"/>
    <w:rsid w:val="00813E3C"/>
    <w:rsid w:val="0082121F"/>
    <w:rsid w:val="00822E2A"/>
    <w:rsid w:val="00832493"/>
    <w:rsid w:val="00835ADC"/>
    <w:rsid w:val="008426F5"/>
    <w:rsid w:val="00853B19"/>
    <w:rsid w:val="008810D8"/>
    <w:rsid w:val="008829EB"/>
    <w:rsid w:val="00882D61"/>
    <w:rsid w:val="008A267E"/>
    <w:rsid w:val="008A384B"/>
    <w:rsid w:val="008B2FA3"/>
    <w:rsid w:val="008B40B5"/>
    <w:rsid w:val="008B595C"/>
    <w:rsid w:val="008C27FB"/>
    <w:rsid w:val="008C63C6"/>
    <w:rsid w:val="008D2ED6"/>
    <w:rsid w:val="008D4216"/>
    <w:rsid w:val="00902315"/>
    <w:rsid w:val="00906470"/>
    <w:rsid w:val="00912335"/>
    <w:rsid w:val="00915D5E"/>
    <w:rsid w:val="00916375"/>
    <w:rsid w:val="00921CAA"/>
    <w:rsid w:val="00943224"/>
    <w:rsid w:val="009533EA"/>
    <w:rsid w:val="009619AD"/>
    <w:rsid w:val="009758D3"/>
    <w:rsid w:val="00977A1D"/>
    <w:rsid w:val="0098077F"/>
    <w:rsid w:val="00982FE8"/>
    <w:rsid w:val="009A03D5"/>
    <w:rsid w:val="009D177C"/>
    <w:rsid w:val="009E0AC5"/>
    <w:rsid w:val="009F2BA1"/>
    <w:rsid w:val="009F3EC4"/>
    <w:rsid w:val="00A006E9"/>
    <w:rsid w:val="00A02A76"/>
    <w:rsid w:val="00A26788"/>
    <w:rsid w:val="00A45EAA"/>
    <w:rsid w:val="00A53E29"/>
    <w:rsid w:val="00A80DC2"/>
    <w:rsid w:val="00A859EE"/>
    <w:rsid w:val="00A90561"/>
    <w:rsid w:val="00A91CCD"/>
    <w:rsid w:val="00A97D81"/>
    <w:rsid w:val="00AC4E87"/>
    <w:rsid w:val="00AD0743"/>
    <w:rsid w:val="00AF300A"/>
    <w:rsid w:val="00B0389C"/>
    <w:rsid w:val="00B03994"/>
    <w:rsid w:val="00B1382C"/>
    <w:rsid w:val="00B16FF6"/>
    <w:rsid w:val="00B3331A"/>
    <w:rsid w:val="00B42FD1"/>
    <w:rsid w:val="00B50AB6"/>
    <w:rsid w:val="00B73AA1"/>
    <w:rsid w:val="00B83710"/>
    <w:rsid w:val="00B9207F"/>
    <w:rsid w:val="00B95E84"/>
    <w:rsid w:val="00BA0616"/>
    <w:rsid w:val="00BC51F2"/>
    <w:rsid w:val="00BC78DF"/>
    <w:rsid w:val="00BD288A"/>
    <w:rsid w:val="00BD43FC"/>
    <w:rsid w:val="00BF4BAE"/>
    <w:rsid w:val="00C034CD"/>
    <w:rsid w:val="00C3009C"/>
    <w:rsid w:val="00C356C3"/>
    <w:rsid w:val="00C57267"/>
    <w:rsid w:val="00C73961"/>
    <w:rsid w:val="00C760C5"/>
    <w:rsid w:val="00C77791"/>
    <w:rsid w:val="00C8106A"/>
    <w:rsid w:val="00C926A3"/>
    <w:rsid w:val="00CA68C8"/>
    <w:rsid w:val="00CA77EC"/>
    <w:rsid w:val="00CB1694"/>
    <w:rsid w:val="00CD4916"/>
    <w:rsid w:val="00CE5727"/>
    <w:rsid w:val="00D04FE1"/>
    <w:rsid w:val="00D15B0F"/>
    <w:rsid w:val="00D43132"/>
    <w:rsid w:val="00D54887"/>
    <w:rsid w:val="00D56E43"/>
    <w:rsid w:val="00D602A1"/>
    <w:rsid w:val="00D66E14"/>
    <w:rsid w:val="00D74B18"/>
    <w:rsid w:val="00D861B4"/>
    <w:rsid w:val="00D92113"/>
    <w:rsid w:val="00DA32F6"/>
    <w:rsid w:val="00DB4E6A"/>
    <w:rsid w:val="00DC0E68"/>
    <w:rsid w:val="00DC549A"/>
    <w:rsid w:val="00DD41A6"/>
    <w:rsid w:val="00DD6958"/>
    <w:rsid w:val="00DD75E7"/>
    <w:rsid w:val="00DE0B84"/>
    <w:rsid w:val="00E02A71"/>
    <w:rsid w:val="00E06D29"/>
    <w:rsid w:val="00E23ABB"/>
    <w:rsid w:val="00E3027E"/>
    <w:rsid w:val="00E34115"/>
    <w:rsid w:val="00E47CA7"/>
    <w:rsid w:val="00E6066C"/>
    <w:rsid w:val="00E63982"/>
    <w:rsid w:val="00E65863"/>
    <w:rsid w:val="00E663D6"/>
    <w:rsid w:val="00E66AD3"/>
    <w:rsid w:val="00E67C2C"/>
    <w:rsid w:val="00E72EC4"/>
    <w:rsid w:val="00E868BF"/>
    <w:rsid w:val="00E871B8"/>
    <w:rsid w:val="00E879B7"/>
    <w:rsid w:val="00E936CE"/>
    <w:rsid w:val="00EA6CF7"/>
    <w:rsid w:val="00EB1CD5"/>
    <w:rsid w:val="00EB453A"/>
    <w:rsid w:val="00EB5688"/>
    <w:rsid w:val="00EC3C53"/>
    <w:rsid w:val="00EE1413"/>
    <w:rsid w:val="00EE640E"/>
    <w:rsid w:val="00EF625C"/>
    <w:rsid w:val="00F117E5"/>
    <w:rsid w:val="00F36E97"/>
    <w:rsid w:val="00F452FF"/>
    <w:rsid w:val="00F45D34"/>
    <w:rsid w:val="00F86313"/>
    <w:rsid w:val="00F91A2F"/>
    <w:rsid w:val="00F93CCF"/>
    <w:rsid w:val="00F957D3"/>
    <w:rsid w:val="00FA47A5"/>
    <w:rsid w:val="00FA5B59"/>
    <w:rsid w:val="00FA6351"/>
    <w:rsid w:val="00FB000A"/>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1" w:uiPriority="0"/>
    <w:lsdException w:name="Table Classic 2" w:uiPriority="0"/>
    <w:lsdException w:name="Table 3D effects 1" w:uiPriority="0"/>
    <w:lsdException w:name="Table 3D effects 2"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D5DD9"/>
  </w:style>
  <w:style w:type="paragraph" w:customStyle="1" w:styleId="c2">
    <w:name w:val="c2"/>
    <w:basedOn w:val="Normal"/>
    <w:rsid w:val="005D5DD9"/>
    <w:pPr>
      <w:jc w:val="center"/>
    </w:pPr>
  </w:style>
  <w:style w:type="paragraph" w:customStyle="1" w:styleId="p3">
    <w:name w:val="p3"/>
    <w:basedOn w:val="Normal"/>
    <w:rsid w:val="005D5DD9"/>
    <w:pPr>
      <w:tabs>
        <w:tab w:val="left" w:pos="4960"/>
      </w:tabs>
      <w:ind w:left="3520"/>
    </w:pPr>
  </w:style>
  <w:style w:type="paragraph" w:customStyle="1" w:styleId="p4">
    <w:name w:val="p4"/>
    <w:basedOn w:val="Normal"/>
    <w:rsid w:val="005D5DD9"/>
    <w:pPr>
      <w:tabs>
        <w:tab w:val="left" w:pos="204"/>
      </w:tabs>
    </w:pPr>
  </w:style>
  <w:style w:type="paragraph" w:customStyle="1" w:styleId="p5">
    <w:name w:val="p5"/>
    <w:basedOn w:val="Normal"/>
    <w:rsid w:val="005D5DD9"/>
    <w:pPr>
      <w:tabs>
        <w:tab w:val="left" w:pos="391"/>
      </w:tabs>
      <w:ind w:left="1049"/>
    </w:pPr>
  </w:style>
  <w:style w:type="paragraph" w:customStyle="1" w:styleId="p6">
    <w:name w:val="p6"/>
    <w:basedOn w:val="Normal"/>
    <w:rsid w:val="005D5DD9"/>
    <w:pPr>
      <w:tabs>
        <w:tab w:val="left" w:pos="1479"/>
      </w:tabs>
      <w:ind w:firstLine="1479"/>
    </w:pPr>
  </w:style>
  <w:style w:type="paragraph" w:customStyle="1" w:styleId="p7">
    <w:name w:val="p7"/>
    <w:basedOn w:val="Normal"/>
    <w:rsid w:val="005D5DD9"/>
    <w:pPr>
      <w:tabs>
        <w:tab w:val="left" w:pos="782"/>
        <w:tab w:val="left" w:pos="1133"/>
      </w:tabs>
      <w:ind w:left="1133" w:hanging="351"/>
    </w:pPr>
  </w:style>
  <w:style w:type="paragraph" w:customStyle="1" w:styleId="p1">
    <w:name w:val="p1"/>
    <w:basedOn w:val="Normal"/>
    <w:rsid w:val="005D5DD9"/>
    <w:pPr>
      <w:tabs>
        <w:tab w:val="left" w:pos="691"/>
        <w:tab w:val="left" w:pos="1054"/>
      </w:tabs>
      <w:ind w:left="1054" w:hanging="363"/>
    </w:pPr>
  </w:style>
  <w:style w:type="paragraph" w:customStyle="1" w:styleId="p2">
    <w:name w:val="p2"/>
    <w:basedOn w:val="Normal"/>
    <w:rsid w:val="005D5DD9"/>
    <w:pPr>
      <w:tabs>
        <w:tab w:val="left" w:pos="1445"/>
      </w:tabs>
      <w:ind w:firstLine="1445"/>
    </w:pPr>
  </w:style>
  <w:style w:type="paragraph" w:customStyle="1" w:styleId="c3">
    <w:name w:val="c3"/>
    <w:basedOn w:val="Normal"/>
    <w:rsid w:val="005D5DD9"/>
    <w:pPr>
      <w:jc w:val="center"/>
    </w:pPr>
  </w:style>
  <w:style w:type="paragraph" w:customStyle="1" w:styleId="p9">
    <w:name w:val="p9"/>
    <w:basedOn w:val="Normal"/>
    <w:rsid w:val="005D5DD9"/>
    <w:pPr>
      <w:tabs>
        <w:tab w:val="left" w:pos="2449"/>
        <w:tab w:val="left" w:pos="3276"/>
        <w:tab w:val="left" w:pos="3968"/>
      </w:tabs>
      <w:ind w:left="2449" w:firstLine="827"/>
    </w:pPr>
  </w:style>
  <w:style w:type="paragraph" w:customStyle="1" w:styleId="c1">
    <w:name w:val="c1"/>
    <w:basedOn w:val="Normal"/>
    <w:rsid w:val="005D5DD9"/>
    <w:pPr>
      <w:jc w:val="center"/>
    </w:pPr>
  </w:style>
  <w:style w:type="paragraph" w:styleId="Footer">
    <w:name w:val="footer"/>
    <w:basedOn w:val="Normal"/>
    <w:link w:val="FooterChar"/>
    <w:uiPriority w:val="99"/>
    <w:rsid w:val="005D5DD9"/>
    <w:pPr>
      <w:tabs>
        <w:tab w:val="center" w:pos="4320"/>
        <w:tab w:val="right" w:pos="8640"/>
      </w:tabs>
    </w:pPr>
  </w:style>
  <w:style w:type="character" w:customStyle="1" w:styleId="FooterChar">
    <w:name w:val="Footer Char"/>
    <w:basedOn w:val="DefaultParagraphFont"/>
    <w:link w:val="Footer"/>
    <w:uiPriority w:val="99"/>
    <w:rsid w:val="005D5DD9"/>
    <w:rPr>
      <w:rFonts w:ascii="Times New Roman" w:eastAsia="Times New Roman" w:hAnsi="Times New Roman" w:cs="Times New Roman"/>
      <w:sz w:val="24"/>
      <w:szCs w:val="24"/>
    </w:rPr>
  </w:style>
  <w:style w:type="character" w:styleId="PageNumber">
    <w:name w:val="page number"/>
    <w:rsid w:val="005D5DD9"/>
    <w:rPr>
      <w:rFonts w:cs="Times New Roman"/>
    </w:rPr>
  </w:style>
  <w:style w:type="paragraph" w:customStyle="1" w:styleId="p8">
    <w:name w:val="p8"/>
    <w:basedOn w:val="Normal"/>
    <w:rsid w:val="005D5DD9"/>
    <w:pPr>
      <w:tabs>
        <w:tab w:val="left" w:pos="1434"/>
        <w:tab w:val="left" w:pos="2125"/>
      </w:tabs>
      <w:ind w:left="2125" w:hanging="691"/>
      <w:jc w:val="both"/>
    </w:pPr>
  </w:style>
  <w:style w:type="paragraph" w:customStyle="1" w:styleId="t9">
    <w:name w:val="t9"/>
    <w:basedOn w:val="Normal"/>
    <w:rsid w:val="005D5DD9"/>
  </w:style>
  <w:style w:type="paragraph" w:customStyle="1" w:styleId="t10">
    <w:name w:val="t10"/>
    <w:basedOn w:val="Normal"/>
    <w:rsid w:val="005D5DD9"/>
  </w:style>
  <w:style w:type="paragraph" w:customStyle="1" w:styleId="p11">
    <w:name w:val="p11"/>
    <w:basedOn w:val="Normal"/>
    <w:rsid w:val="005D5DD9"/>
    <w:pPr>
      <w:tabs>
        <w:tab w:val="left" w:pos="805"/>
        <w:tab w:val="left" w:pos="1564"/>
      </w:tabs>
      <w:ind w:firstLine="805"/>
    </w:pPr>
  </w:style>
  <w:style w:type="paragraph" w:customStyle="1" w:styleId="p12">
    <w:name w:val="p12"/>
    <w:basedOn w:val="Normal"/>
    <w:rsid w:val="005D5DD9"/>
    <w:pPr>
      <w:tabs>
        <w:tab w:val="left" w:pos="805"/>
        <w:tab w:val="left" w:pos="1508"/>
      </w:tabs>
      <w:ind w:firstLine="805"/>
    </w:pPr>
  </w:style>
  <w:style w:type="paragraph" w:customStyle="1" w:styleId="p13">
    <w:name w:val="p13"/>
    <w:basedOn w:val="Normal"/>
    <w:rsid w:val="005D5DD9"/>
    <w:pPr>
      <w:tabs>
        <w:tab w:val="left" w:pos="204"/>
      </w:tabs>
    </w:pPr>
  </w:style>
  <w:style w:type="paragraph" w:customStyle="1" w:styleId="c14">
    <w:name w:val="c14"/>
    <w:basedOn w:val="Normal"/>
    <w:rsid w:val="005D5DD9"/>
    <w:pPr>
      <w:jc w:val="center"/>
    </w:pPr>
  </w:style>
  <w:style w:type="paragraph" w:customStyle="1" w:styleId="p15">
    <w:name w:val="p15"/>
    <w:basedOn w:val="Normal"/>
    <w:rsid w:val="005D5DD9"/>
    <w:pPr>
      <w:tabs>
        <w:tab w:val="left" w:pos="204"/>
      </w:tabs>
    </w:pPr>
  </w:style>
  <w:style w:type="paragraph" w:customStyle="1" w:styleId="p16">
    <w:name w:val="p16"/>
    <w:basedOn w:val="Normal"/>
    <w:rsid w:val="005D5DD9"/>
    <w:pPr>
      <w:tabs>
        <w:tab w:val="left" w:pos="873"/>
        <w:tab w:val="left" w:pos="1564"/>
      </w:tabs>
      <w:ind w:firstLine="873"/>
    </w:pPr>
  </w:style>
  <w:style w:type="paragraph" w:customStyle="1" w:styleId="p17">
    <w:name w:val="p17"/>
    <w:basedOn w:val="Normal"/>
    <w:rsid w:val="005D5DD9"/>
    <w:pPr>
      <w:tabs>
        <w:tab w:val="left" w:pos="805"/>
      </w:tabs>
      <w:ind w:left="635"/>
    </w:pPr>
  </w:style>
  <w:style w:type="paragraph" w:customStyle="1" w:styleId="p18">
    <w:name w:val="p18"/>
    <w:basedOn w:val="Normal"/>
    <w:rsid w:val="005D5DD9"/>
    <w:pPr>
      <w:tabs>
        <w:tab w:val="left" w:pos="1111"/>
      </w:tabs>
      <w:ind w:left="329"/>
    </w:pPr>
  </w:style>
  <w:style w:type="paragraph" w:customStyle="1" w:styleId="p19">
    <w:name w:val="p19"/>
    <w:basedOn w:val="Normal"/>
    <w:rsid w:val="005D5DD9"/>
    <w:pPr>
      <w:tabs>
        <w:tab w:val="left" w:pos="805"/>
      </w:tabs>
      <w:ind w:firstLine="805"/>
    </w:pPr>
  </w:style>
  <w:style w:type="paragraph" w:customStyle="1" w:styleId="p20">
    <w:name w:val="p20"/>
    <w:basedOn w:val="Normal"/>
    <w:rsid w:val="005D5DD9"/>
    <w:pPr>
      <w:tabs>
        <w:tab w:val="left" w:pos="204"/>
      </w:tabs>
    </w:pPr>
  </w:style>
  <w:style w:type="paragraph" w:customStyle="1" w:styleId="p23">
    <w:name w:val="p23"/>
    <w:basedOn w:val="Normal"/>
    <w:rsid w:val="005D5DD9"/>
    <w:pPr>
      <w:tabs>
        <w:tab w:val="left" w:pos="793"/>
        <w:tab w:val="left" w:pos="1513"/>
      </w:tabs>
      <w:ind w:firstLine="793"/>
    </w:pPr>
  </w:style>
  <w:style w:type="paragraph" w:customStyle="1" w:styleId="p32">
    <w:name w:val="p32"/>
    <w:basedOn w:val="Normal"/>
    <w:rsid w:val="005D5DD9"/>
    <w:pPr>
      <w:tabs>
        <w:tab w:val="left" w:pos="861"/>
      </w:tabs>
      <w:ind w:firstLine="861"/>
    </w:pPr>
  </w:style>
  <w:style w:type="paragraph" w:customStyle="1" w:styleId="p33">
    <w:name w:val="p33"/>
    <w:basedOn w:val="Normal"/>
    <w:rsid w:val="005D5DD9"/>
    <w:pPr>
      <w:tabs>
        <w:tab w:val="left" w:pos="861"/>
        <w:tab w:val="left" w:pos="1513"/>
      </w:tabs>
      <w:ind w:firstLine="861"/>
    </w:pPr>
  </w:style>
  <w:style w:type="paragraph" w:customStyle="1" w:styleId="c34">
    <w:name w:val="c34"/>
    <w:basedOn w:val="Normal"/>
    <w:rsid w:val="005D5DD9"/>
    <w:pPr>
      <w:jc w:val="center"/>
    </w:pPr>
  </w:style>
  <w:style w:type="paragraph" w:customStyle="1" w:styleId="p37">
    <w:name w:val="p37"/>
    <w:basedOn w:val="Normal"/>
    <w:rsid w:val="005D5DD9"/>
    <w:pPr>
      <w:tabs>
        <w:tab w:val="left" w:pos="833"/>
        <w:tab w:val="left" w:pos="1542"/>
      </w:tabs>
      <w:ind w:firstLine="833"/>
    </w:pPr>
  </w:style>
  <w:style w:type="paragraph" w:customStyle="1" w:styleId="p38">
    <w:name w:val="p38"/>
    <w:basedOn w:val="Normal"/>
    <w:rsid w:val="005D5DD9"/>
    <w:pPr>
      <w:tabs>
        <w:tab w:val="left" w:pos="1542"/>
      </w:tabs>
      <w:ind w:left="102"/>
    </w:pPr>
  </w:style>
  <w:style w:type="paragraph" w:customStyle="1" w:styleId="p39">
    <w:name w:val="p39"/>
    <w:basedOn w:val="Normal"/>
    <w:rsid w:val="005D5DD9"/>
    <w:pPr>
      <w:tabs>
        <w:tab w:val="left" w:pos="204"/>
      </w:tabs>
    </w:pPr>
  </w:style>
  <w:style w:type="paragraph" w:customStyle="1" w:styleId="p41">
    <w:name w:val="p41"/>
    <w:basedOn w:val="Normal"/>
    <w:rsid w:val="005D5DD9"/>
    <w:pPr>
      <w:tabs>
        <w:tab w:val="left" w:pos="1485"/>
      </w:tabs>
      <w:ind w:firstLine="1485"/>
    </w:pPr>
  </w:style>
  <w:style w:type="paragraph" w:customStyle="1" w:styleId="t44">
    <w:name w:val="t44"/>
    <w:basedOn w:val="Normal"/>
    <w:rsid w:val="005D5DD9"/>
  </w:style>
  <w:style w:type="paragraph" w:customStyle="1" w:styleId="p45">
    <w:name w:val="p45"/>
    <w:basedOn w:val="Normal"/>
    <w:rsid w:val="005D5DD9"/>
    <w:pPr>
      <w:tabs>
        <w:tab w:val="left" w:pos="1542"/>
      </w:tabs>
      <w:ind w:firstLine="1542"/>
    </w:pPr>
  </w:style>
  <w:style w:type="paragraph" w:customStyle="1" w:styleId="p46">
    <w:name w:val="p46"/>
    <w:basedOn w:val="Normal"/>
    <w:rsid w:val="005D5DD9"/>
    <w:pPr>
      <w:tabs>
        <w:tab w:val="left" w:pos="1048"/>
        <w:tab w:val="left" w:pos="1542"/>
      </w:tabs>
      <w:ind w:left="1542" w:hanging="494"/>
    </w:pPr>
  </w:style>
  <w:style w:type="paragraph" w:customStyle="1" w:styleId="c47">
    <w:name w:val="c47"/>
    <w:basedOn w:val="Normal"/>
    <w:rsid w:val="005D5DD9"/>
    <w:pPr>
      <w:jc w:val="center"/>
    </w:pPr>
  </w:style>
  <w:style w:type="paragraph" w:customStyle="1" w:styleId="p48">
    <w:name w:val="p48"/>
    <w:basedOn w:val="Normal"/>
    <w:rsid w:val="005D5DD9"/>
    <w:pPr>
      <w:tabs>
        <w:tab w:val="left" w:pos="1485"/>
      </w:tabs>
      <w:ind w:left="45"/>
    </w:pPr>
  </w:style>
  <w:style w:type="paragraph" w:customStyle="1" w:styleId="p43">
    <w:name w:val="p43"/>
    <w:basedOn w:val="Normal"/>
    <w:rsid w:val="005D5DD9"/>
    <w:pPr>
      <w:tabs>
        <w:tab w:val="left" w:pos="816"/>
        <w:tab w:val="left" w:pos="1519"/>
      </w:tabs>
      <w:ind w:firstLine="816"/>
    </w:pPr>
  </w:style>
  <w:style w:type="paragraph" w:customStyle="1" w:styleId="p52">
    <w:name w:val="p52"/>
    <w:basedOn w:val="Normal"/>
    <w:rsid w:val="005D5DD9"/>
    <w:pPr>
      <w:tabs>
        <w:tab w:val="left" w:pos="776"/>
        <w:tab w:val="left" w:pos="1508"/>
      </w:tabs>
      <w:ind w:firstLine="776"/>
    </w:pPr>
  </w:style>
  <w:style w:type="paragraph" w:customStyle="1" w:styleId="p54">
    <w:name w:val="p54"/>
    <w:basedOn w:val="Normal"/>
    <w:rsid w:val="005D5DD9"/>
    <w:pPr>
      <w:tabs>
        <w:tab w:val="left" w:pos="204"/>
      </w:tabs>
    </w:pPr>
  </w:style>
  <w:style w:type="paragraph" w:styleId="DocumentMap">
    <w:name w:val="Document Map"/>
    <w:basedOn w:val="Normal"/>
    <w:link w:val="DocumentMapChar"/>
    <w:rsid w:val="005D5DD9"/>
    <w:rPr>
      <w:rFonts w:ascii="Tahoma" w:hAnsi="Tahoma" w:cs="Tahoma"/>
      <w:sz w:val="16"/>
      <w:szCs w:val="16"/>
    </w:rPr>
  </w:style>
  <w:style w:type="character" w:customStyle="1" w:styleId="DocumentMapChar">
    <w:name w:val="Document Map Char"/>
    <w:basedOn w:val="DefaultParagraphFont"/>
    <w:link w:val="DocumentMap"/>
    <w:rsid w:val="005D5DD9"/>
    <w:rPr>
      <w:rFonts w:ascii="Tahoma" w:eastAsia="Times New Roman" w:hAnsi="Tahoma" w:cs="Tahoma"/>
      <w:sz w:val="16"/>
      <w:szCs w:val="16"/>
    </w:rPr>
  </w:style>
  <w:style w:type="paragraph" w:customStyle="1" w:styleId="Style">
    <w:name w:val="Style"/>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5D5DD9"/>
    <w:rPr>
      <w:sz w:val="20"/>
      <w:szCs w:val="20"/>
    </w:rPr>
  </w:style>
  <w:style w:type="character" w:customStyle="1" w:styleId="FootnoteTextChar">
    <w:name w:val="Footnote Text Char"/>
    <w:basedOn w:val="DefaultParagraphFont"/>
    <w:link w:val="FootnoteText"/>
    <w:rsid w:val="005D5DD9"/>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D5DD9"/>
    <w:rPr>
      <w:vertAlign w:val="superscript"/>
    </w:rPr>
  </w:style>
  <w:style w:type="paragraph" w:styleId="ListParagraph">
    <w:name w:val="List Paragraph"/>
    <w:basedOn w:val="Normal"/>
    <w:uiPriority w:val="99"/>
    <w:qFormat/>
    <w:rsid w:val="005D5DD9"/>
    <w:pPr>
      <w:ind w:left="720"/>
    </w:pPr>
  </w:style>
  <w:style w:type="table" w:styleId="TableGrid">
    <w:name w:val="Table Grid"/>
    <w:basedOn w:val="TableNormal"/>
    <w:rsid w:val="005D5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5DD9"/>
    <w:rPr>
      <w:rFonts w:ascii="Tahoma" w:hAnsi="Tahoma" w:cs="Tahoma"/>
      <w:sz w:val="16"/>
      <w:szCs w:val="16"/>
    </w:rPr>
  </w:style>
  <w:style w:type="character" w:customStyle="1" w:styleId="BalloonTextChar">
    <w:name w:val="Balloon Text Char"/>
    <w:basedOn w:val="DefaultParagraphFont"/>
    <w:link w:val="BalloonText"/>
    <w:rsid w:val="005D5DD9"/>
    <w:rPr>
      <w:rFonts w:ascii="Tahoma" w:eastAsia="Times New Roman" w:hAnsi="Tahoma" w:cs="Tahoma"/>
      <w:sz w:val="16"/>
      <w:szCs w:val="16"/>
    </w:rPr>
  </w:style>
  <w:style w:type="table" w:styleId="Table3Deffects1">
    <w:name w:val="Table 3D effects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5D5DD9"/>
    <w:rPr>
      <w:rFonts w:ascii="Times New Roman" w:hAnsi="Times New Roman" w:cs="Times New Roman" w:hint="default"/>
      <w:color w:val="000000"/>
      <w:u w:val="single"/>
    </w:rPr>
  </w:style>
  <w:style w:type="paragraph" w:styleId="Header">
    <w:name w:val="header"/>
    <w:basedOn w:val="Normal"/>
    <w:link w:val="HeaderChar"/>
    <w:rsid w:val="005D5DD9"/>
    <w:pPr>
      <w:tabs>
        <w:tab w:val="center" w:pos="4680"/>
        <w:tab w:val="right" w:pos="9360"/>
      </w:tabs>
    </w:pPr>
  </w:style>
  <w:style w:type="character" w:customStyle="1" w:styleId="HeaderChar">
    <w:name w:val="Header Char"/>
    <w:basedOn w:val="DefaultParagraphFont"/>
    <w:link w:val="Header"/>
    <w:rsid w:val="005D5DD9"/>
    <w:rPr>
      <w:rFonts w:ascii="Times New Roman" w:eastAsia="Times New Roman" w:hAnsi="Times New Roman" w:cs="Times New Roman"/>
      <w:sz w:val="24"/>
      <w:szCs w:val="24"/>
    </w:rPr>
  </w:style>
  <w:style w:type="character" w:styleId="CommentReference">
    <w:name w:val="annotation reference"/>
    <w:basedOn w:val="DefaultParagraphFont"/>
    <w:rsid w:val="005D5DD9"/>
    <w:rPr>
      <w:sz w:val="16"/>
      <w:szCs w:val="16"/>
    </w:rPr>
  </w:style>
  <w:style w:type="paragraph" w:styleId="CommentText">
    <w:name w:val="annotation text"/>
    <w:basedOn w:val="Normal"/>
    <w:link w:val="CommentTextChar"/>
    <w:rsid w:val="005D5DD9"/>
    <w:rPr>
      <w:sz w:val="20"/>
      <w:szCs w:val="20"/>
    </w:rPr>
  </w:style>
  <w:style w:type="character" w:customStyle="1" w:styleId="CommentTextChar">
    <w:name w:val="Comment Text Char"/>
    <w:basedOn w:val="DefaultParagraphFont"/>
    <w:link w:val="CommentText"/>
    <w:rsid w:val="005D5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D5DD9"/>
    <w:rPr>
      <w:b/>
      <w:bCs/>
    </w:rPr>
  </w:style>
  <w:style w:type="character" w:customStyle="1" w:styleId="CommentSubjectChar">
    <w:name w:val="Comment Subject Char"/>
    <w:basedOn w:val="CommentTextChar"/>
    <w:link w:val="CommentSubject"/>
    <w:rsid w:val="005D5DD9"/>
    <w:rPr>
      <w:rFonts w:ascii="Times New Roman" w:eastAsia="Times New Roman" w:hAnsi="Times New Roman" w:cs="Times New Roman"/>
      <w:b/>
      <w:bCs/>
      <w:sz w:val="20"/>
      <w:szCs w:val="20"/>
    </w:rPr>
  </w:style>
  <w:style w:type="character" w:styleId="FollowedHyperlink">
    <w:name w:val="FollowedHyperlink"/>
    <w:basedOn w:val="DefaultParagraphFont"/>
    <w:rsid w:val="005D5DD9"/>
    <w:rPr>
      <w:color w:val="800080" w:themeColor="followedHyperlink"/>
      <w:u w:val="single"/>
    </w:rPr>
  </w:style>
  <w:style w:type="paragraph" w:styleId="PlainText">
    <w:name w:val="Plain Text"/>
    <w:basedOn w:val="Normal"/>
    <w:link w:val="PlainTextChar"/>
    <w:uiPriority w:val="99"/>
    <w:unhideWhenUsed/>
    <w:rsid w:val="005D5DD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D5DD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1" w:uiPriority="0"/>
    <w:lsdException w:name="Table Classic 2" w:uiPriority="0"/>
    <w:lsdException w:name="Table 3D effects 1" w:uiPriority="0"/>
    <w:lsdException w:name="Table 3D effects 2"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D5DD9"/>
  </w:style>
  <w:style w:type="paragraph" w:customStyle="1" w:styleId="c2">
    <w:name w:val="c2"/>
    <w:basedOn w:val="Normal"/>
    <w:rsid w:val="005D5DD9"/>
    <w:pPr>
      <w:jc w:val="center"/>
    </w:pPr>
  </w:style>
  <w:style w:type="paragraph" w:customStyle="1" w:styleId="p3">
    <w:name w:val="p3"/>
    <w:basedOn w:val="Normal"/>
    <w:rsid w:val="005D5DD9"/>
    <w:pPr>
      <w:tabs>
        <w:tab w:val="left" w:pos="4960"/>
      </w:tabs>
      <w:ind w:left="3520"/>
    </w:pPr>
  </w:style>
  <w:style w:type="paragraph" w:customStyle="1" w:styleId="p4">
    <w:name w:val="p4"/>
    <w:basedOn w:val="Normal"/>
    <w:rsid w:val="005D5DD9"/>
    <w:pPr>
      <w:tabs>
        <w:tab w:val="left" w:pos="204"/>
      </w:tabs>
    </w:pPr>
  </w:style>
  <w:style w:type="paragraph" w:customStyle="1" w:styleId="p5">
    <w:name w:val="p5"/>
    <w:basedOn w:val="Normal"/>
    <w:rsid w:val="005D5DD9"/>
    <w:pPr>
      <w:tabs>
        <w:tab w:val="left" w:pos="391"/>
      </w:tabs>
      <w:ind w:left="1049"/>
    </w:pPr>
  </w:style>
  <w:style w:type="paragraph" w:customStyle="1" w:styleId="p6">
    <w:name w:val="p6"/>
    <w:basedOn w:val="Normal"/>
    <w:rsid w:val="005D5DD9"/>
    <w:pPr>
      <w:tabs>
        <w:tab w:val="left" w:pos="1479"/>
      </w:tabs>
      <w:ind w:firstLine="1479"/>
    </w:pPr>
  </w:style>
  <w:style w:type="paragraph" w:customStyle="1" w:styleId="p7">
    <w:name w:val="p7"/>
    <w:basedOn w:val="Normal"/>
    <w:rsid w:val="005D5DD9"/>
    <w:pPr>
      <w:tabs>
        <w:tab w:val="left" w:pos="782"/>
        <w:tab w:val="left" w:pos="1133"/>
      </w:tabs>
      <w:ind w:left="1133" w:hanging="351"/>
    </w:pPr>
  </w:style>
  <w:style w:type="paragraph" w:customStyle="1" w:styleId="p1">
    <w:name w:val="p1"/>
    <w:basedOn w:val="Normal"/>
    <w:rsid w:val="005D5DD9"/>
    <w:pPr>
      <w:tabs>
        <w:tab w:val="left" w:pos="691"/>
        <w:tab w:val="left" w:pos="1054"/>
      </w:tabs>
      <w:ind w:left="1054" w:hanging="363"/>
    </w:pPr>
  </w:style>
  <w:style w:type="paragraph" w:customStyle="1" w:styleId="p2">
    <w:name w:val="p2"/>
    <w:basedOn w:val="Normal"/>
    <w:rsid w:val="005D5DD9"/>
    <w:pPr>
      <w:tabs>
        <w:tab w:val="left" w:pos="1445"/>
      </w:tabs>
      <w:ind w:firstLine="1445"/>
    </w:pPr>
  </w:style>
  <w:style w:type="paragraph" w:customStyle="1" w:styleId="c3">
    <w:name w:val="c3"/>
    <w:basedOn w:val="Normal"/>
    <w:rsid w:val="005D5DD9"/>
    <w:pPr>
      <w:jc w:val="center"/>
    </w:pPr>
  </w:style>
  <w:style w:type="paragraph" w:customStyle="1" w:styleId="p9">
    <w:name w:val="p9"/>
    <w:basedOn w:val="Normal"/>
    <w:rsid w:val="005D5DD9"/>
    <w:pPr>
      <w:tabs>
        <w:tab w:val="left" w:pos="2449"/>
        <w:tab w:val="left" w:pos="3276"/>
        <w:tab w:val="left" w:pos="3968"/>
      </w:tabs>
      <w:ind w:left="2449" w:firstLine="827"/>
    </w:pPr>
  </w:style>
  <w:style w:type="paragraph" w:customStyle="1" w:styleId="c1">
    <w:name w:val="c1"/>
    <w:basedOn w:val="Normal"/>
    <w:rsid w:val="005D5DD9"/>
    <w:pPr>
      <w:jc w:val="center"/>
    </w:pPr>
  </w:style>
  <w:style w:type="paragraph" w:styleId="Footer">
    <w:name w:val="footer"/>
    <w:basedOn w:val="Normal"/>
    <w:link w:val="FooterChar"/>
    <w:uiPriority w:val="99"/>
    <w:rsid w:val="005D5DD9"/>
    <w:pPr>
      <w:tabs>
        <w:tab w:val="center" w:pos="4320"/>
        <w:tab w:val="right" w:pos="8640"/>
      </w:tabs>
    </w:pPr>
  </w:style>
  <w:style w:type="character" w:customStyle="1" w:styleId="FooterChar">
    <w:name w:val="Footer Char"/>
    <w:basedOn w:val="DefaultParagraphFont"/>
    <w:link w:val="Footer"/>
    <w:uiPriority w:val="99"/>
    <w:rsid w:val="005D5DD9"/>
    <w:rPr>
      <w:rFonts w:ascii="Times New Roman" w:eastAsia="Times New Roman" w:hAnsi="Times New Roman" w:cs="Times New Roman"/>
      <w:sz w:val="24"/>
      <w:szCs w:val="24"/>
    </w:rPr>
  </w:style>
  <w:style w:type="character" w:styleId="PageNumber">
    <w:name w:val="page number"/>
    <w:rsid w:val="005D5DD9"/>
    <w:rPr>
      <w:rFonts w:cs="Times New Roman"/>
    </w:rPr>
  </w:style>
  <w:style w:type="paragraph" w:customStyle="1" w:styleId="p8">
    <w:name w:val="p8"/>
    <w:basedOn w:val="Normal"/>
    <w:rsid w:val="005D5DD9"/>
    <w:pPr>
      <w:tabs>
        <w:tab w:val="left" w:pos="1434"/>
        <w:tab w:val="left" w:pos="2125"/>
      </w:tabs>
      <w:ind w:left="2125" w:hanging="691"/>
      <w:jc w:val="both"/>
    </w:pPr>
  </w:style>
  <w:style w:type="paragraph" w:customStyle="1" w:styleId="t9">
    <w:name w:val="t9"/>
    <w:basedOn w:val="Normal"/>
    <w:rsid w:val="005D5DD9"/>
  </w:style>
  <w:style w:type="paragraph" w:customStyle="1" w:styleId="t10">
    <w:name w:val="t10"/>
    <w:basedOn w:val="Normal"/>
    <w:rsid w:val="005D5DD9"/>
  </w:style>
  <w:style w:type="paragraph" w:customStyle="1" w:styleId="p11">
    <w:name w:val="p11"/>
    <w:basedOn w:val="Normal"/>
    <w:rsid w:val="005D5DD9"/>
    <w:pPr>
      <w:tabs>
        <w:tab w:val="left" w:pos="805"/>
        <w:tab w:val="left" w:pos="1564"/>
      </w:tabs>
      <w:ind w:firstLine="805"/>
    </w:pPr>
  </w:style>
  <w:style w:type="paragraph" w:customStyle="1" w:styleId="p12">
    <w:name w:val="p12"/>
    <w:basedOn w:val="Normal"/>
    <w:rsid w:val="005D5DD9"/>
    <w:pPr>
      <w:tabs>
        <w:tab w:val="left" w:pos="805"/>
        <w:tab w:val="left" w:pos="1508"/>
      </w:tabs>
      <w:ind w:firstLine="805"/>
    </w:pPr>
  </w:style>
  <w:style w:type="paragraph" w:customStyle="1" w:styleId="p13">
    <w:name w:val="p13"/>
    <w:basedOn w:val="Normal"/>
    <w:rsid w:val="005D5DD9"/>
    <w:pPr>
      <w:tabs>
        <w:tab w:val="left" w:pos="204"/>
      </w:tabs>
    </w:pPr>
  </w:style>
  <w:style w:type="paragraph" w:customStyle="1" w:styleId="c14">
    <w:name w:val="c14"/>
    <w:basedOn w:val="Normal"/>
    <w:rsid w:val="005D5DD9"/>
    <w:pPr>
      <w:jc w:val="center"/>
    </w:pPr>
  </w:style>
  <w:style w:type="paragraph" w:customStyle="1" w:styleId="p15">
    <w:name w:val="p15"/>
    <w:basedOn w:val="Normal"/>
    <w:rsid w:val="005D5DD9"/>
    <w:pPr>
      <w:tabs>
        <w:tab w:val="left" w:pos="204"/>
      </w:tabs>
    </w:pPr>
  </w:style>
  <w:style w:type="paragraph" w:customStyle="1" w:styleId="p16">
    <w:name w:val="p16"/>
    <w:basedOn w:val="Normal"/>
    <w:rsid w:val="005D5DD9"/>
    <w:pPr>
      <w:tabs>
        <w:tab w:val="left" w:pos="873"/>
        <w:tab w:val="left" w:pos="1564"/>
      </w:tabs>
      <w:ind w:firstLine="873"/>
    </w:pPr>
  </w:style>
  <w:style w:type="paragraph" w:customStyle="1" w:styleId="p17">
    <w:name w:val="p17"/>
    <w:basedOn w:val="Normal"/>
    <w:rsid w:val="005D5DD9"/>
    <w:pPr>
      <w:tabs>
        <w:tab w:val="left" w:pos="805"/>
      </w:tabs>
      <w:ind w:left="635"/>
    </w:pPr>
  </w:style>
  <w:style w:type="paragraph" w:customStyle="1" w:styleId="p18">
    <w:name w:val="p18"/>
    <w:basedOn w:val="Normal"/>
    <w:rsid w:val="005D5DD9"/>
    <w:pPr>
      <w:tabs>
        <w:tab w:val="left" w:pos="1111"/>
      </w:tabs>
      <w:ind w:left="329"/>
    </w:pPr>
  </w:style>
  <w:style w:type="paragraph" w:customStyle="1" w:styleId="p19">
    <w:name w:val="p19"/>
    <w:basedOn w:val="Normal"/>
    <w:rsid w:val="005D5DD9"/>
    <w:pPr>
      <w:tabs>
        <w:tab w:val="left" w:pos="805"/>
      </w:tabs>
      <w:ind w:firstLine="805"/>
    </w:pPr>
  </w:style>
  <w:style w:type="paragraph" w:customStyle="1" w:styleId="p20">
    <w:name w:val="p20"/>
    <w:basedOn w:val="Normal"/>
    <w:rsid w:val="005D5DD9"/>
    <w:pPr>
      <w:tabs>
        <w:tab w:val="left" w:pos="204"/>
      </w:tabs>
    </w:pPr>
  </w:style>
  <w:style w:type="paragraph" w:customStyle="1" w:styleId="p23">
    <w:name w:val="p23"/>
    <w:basedOn w:val="Normal"/>
    <w:rsid w:val="005D5DD9"/>
    <w:pPr>
      <w:tabs>
        <w:tab w:val="left" w:pos="793"/>
        <w:tab w:val="left" w:pos="1513"/>
      </w:tabs>
      <w:ind w:firstLine="793"/>
    </w:pPr>
  </w:style>
  <w:style w:type="paragraph" w:customStyle="1" w:styleId="p32">
    <w:name w:val="p32"/>
    <w:basedOn w:val="Normal"/>
    <w:rsid w:val="005D5DD9"/>
    <w:pPr>
      <w:tabs>
        <w:tab w:val="left" w:pos="861"/>
      </w:tabs>
      <w:ind w:firstLine="861"/>
    </w:pPr>
  </w:style>
  <w:style w:type="paragraph" w:customStyle="1" w:styleId="p33">
    <w:name w:val="p33"/>
    <w:basedOn w:val="Normal"/>
    <w:rsid w:val="005D5DD9"/>
    <w:pPr>
      <w:tabs>
        <w:tab w:val="left" w:pos="861"/>
        <w:tab w:val="left" w:pos="1513"/>
      </w:tabs>
      <w:ind w:firstLine="861"/>
    </w:pPr>
  </w:style>
  <w:style w:type="paragraph" w:customStyle="1" w:styleId="c34">
    <w:name w:val="c34"/>
    <w:basedOn w:val="Normal"/>
    <w:rsid w:val="005D5DD9"/>
    <w:pPr>
      <w:jc w:val="center"/>
    </w:pPr>
  </w:style>
  <w:style w:type="paragraph" w:customStyle="1" w:styleId="p37">
    <w:name w:val="p37"/>
    <w:basedOn w:val="Normal"/>
    <w:rsid w:val="005D5DD9"/>
    <w:pPr>
      <w:tabs>
        <w:tab w:val="left" w:pos="833"/>
        <w:tab w:val="left" w:pos="1542"/>
      </w:tabs>
      <w:ind w:firstLine="833"/>
    </w:pPr>
  </w:style>
  <w:style w:type="paragraph" w:customStyle="1" w:styleId="p38">
    <w:name w:val="p38"/>
    <w:basedOn w:val="Normal"/>
    <w:rsid w:val="005D5DD9"/>
    <w:pPr>
      <w:tabs>
        <w:tab w:val="left" w:pos="1542"/>
      </w:tabs>
      <w:ind w:left="102"/>
    </w:pPr>
  </w:style>
  <w:style w:type="paragraph" w:customStyle="1" w:styleId="p39">
    <w:name w:val="p39"/>
    <w:basedOn w:val="Normal"/>
    <w:rsid w:val="005D5DD9"/>
    <w:pPr>
      <w:tabs>
        <w:tab w:val="left" w:pos="204"/>
      </w:tabs>
    </w:pPr>
  </w:style>
  <w:style w:type="paragraph" w:customStyle="1" w:styleId="p41">
    <w:name w:val="p41"/>
    <w:basedOn w:val="Normal"/>
    <w:rsid w:val="005D5DD9"/>
    <w:pPr>
      <w:tabs>
        <w:tab w:val="left" w:pos="1485"/>
      </w:tabs>
      <w:ind w:firstLine="1485"/>
    </w:pPr>
  </w:style>
  <w:style w:type="paragraph" w:customStyle="1" w:styleId="t44">
    <w:name w:val="t44"/>
    <w:basedOn w:val="Normal"/>
    <w:rsid w:val="005D5DD9"/>
  </w:style>
  <w:style w:type="paragraph" w:customStyle="1" w:styleId="p45">
    <w:name w:val="p45"/>
    <w:basedOn w:val="Normal"/>
    <w:rsid w:val="005D5DD9"/>
    <w:pPr>
      <w:tabs>
        <w:tab w:val="left" w:pos="1542"/>
      </w:tabs>
      <w:ind w:firstLine="1542"/>
    </w:pPr>
  </w:style>
  <w:style w:type="paragraph" w:customStyle="1" w:styleId="p46">
    <w:name w:val="p46"/>
    <w:basedOn w:val="Normal"/>
    <w:rsid w:val="005D5DD9"/>
    <w:pPr>
      <w:tabs>
        <w:tab w:val="left" w:pos="1048"/>
        <w:tab w:val="left" w:pos="1542"/>
      </w:tabs>
      <w:ind w:left="1542" w:hanging="494"/>
    </w:pPr>
  </w:style>
  <w:style w:type="paragraph" w:customStyle="1" w:styleId="c47">
    <w:name w:val="c47"/>
    <w:basedOn w:val="Normal"/>
    <w:rsid w:val="005D5DD9"/>
    <w:pPr>
      <w:jc w:val="center"/>
    </w:pPr>
  </w:style>
  <w:style w:type="paragraph" w:customStyle="1" w:styleId="p48">
    <w:name w:val="p48"/>
    <w:basedOn w:val="Normal"/>
    <w:rsid w:val="005D5DD9"/>
    <w:pPr>
      <w:tabs>
        <w:tab w:val="left" w:pos="1485"/>
      </w:tabs>
      <w:ind w:left="45"/>
    </w:pPr>
  </w:style>
  <w:style w:type="paragraph" w:customStyle="1" w:styleId="p43">
    <w:name w:val="p43"/>
    <w:basedOn w:val="Normal"/>
    <w:rsid w:val="005D5DD9"/>
    <w:pPr>
      <w:tabs>
        <w:tab w:val="left" w:pos="816"/>
        <w:tab w:val="left" w:pos="1519"/>
      </w:tabs>
      <w:ind w:firstLine="816"/>
    </w:pPr>
  </w:style>
  <w:style w:type="paragraph" w:customStyle="1" w:styleId="p52">
    <w:name w:val="p52"/>
    <w:basedOn w:val="Normal"/>
    <w:rsid w:val="005D5DD9"/>
    <w:pPr>
      <w:tabs>
        <w:tab w:val="left" w:pos="776"/>
        <w:tab w:val="left" w:pos="1508"/>
      </w:tabs>
      <w:ind w:firstLine="776"/>
    </w:pPr>
  </w:style>
  <w:style w:type="paragraph" w:customStyle="1" w:styleId="p54">
    <w:name w:val="p54"/>
    <w:basedOn w:val="Normal"/>
    <w:rsid w:val="005D5DD9"/>
    <w:pPr>
      <w:tabs>
        <w:tab w:val="left" w:pos="204"/>
      </w:tabs>
    </w:pPr>
  </w:style>
  <w:style w:type="paragraph" w:styleId="DocumentMap">
    <w:name w:val="Document Map"/>
    <w:basedOn w:val="Normal"/>
    <w:link w:val="DocumentMapChar"/>
    <w:rsid w:val="005D5DD9"/>
    <w:rPr>
      <w:rFonts w:ascii="Tahoma" w:hAnsi="Tahoma" w:cs="Tahoma"/>
      <w:sz w:val="16"/>
      <w:szCs w:val="16"/>
    </w:rPr>
  </w:style>
  <w:style w:type="character" w:customStyle="1" w:styleId="DocumentMapChar">
    <w:name w:val="Document Map Char"/>
    <w:basedOn w:val="DefaultParagraphFont"/>
    <w:link w:val="DocumentMap"/>
    <w:rsid w:val="005D5DD9"/>
    <w:rPr>
      <w:rFonts w:ascii="Tahoma" w:eastAsia="Times New Roman" w:hAnsi="Tahoma" w:cs="Tahoma"/>
      <w:sz w:val="16"/>
      <w:szCs w:val="16"/>
    </w:rPr>
  </w:style>
  <w:style w:type="paragraph" w:customStyle="1" w:styleId="Style">
    <w:name w:val="Style"/>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5D5DD9"/>
    <w:rPr>
      <w:sz w:val="20"/>
      <w:szCs w:val="20"/>
    </w:rPr>
  </w:style>
  <w:style w:type="character" w:customStyle="1" w:styleId="FootnoteTextChar">
    <w:name w:val="Footnote Text Char"/>
    <w:basedOn w:val="DefaultParagraphFont"/>
    <w:link w:val="FootnoteText"/>
    <w:rsid w:val="005D5DD9"/>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D5DD9"/>
    <w:rPr>
      <w:vertAlign w:val="superscript"/>
    </w:rPr>
  </w:style>
  <w:style w:type="paragraph" w:styleId="ListParagraph">
    <w:name w:val="List Paragraph"/>
    <w:basedOn w:val="Normal"/>
    <w:uiPriority w:val="99"/>
    <w:qFormat/>
    <w:rsid w:val="005D5DD9"/>
    <w:pPr>
      <w:ind w:left="720"/>
    </w:pPr>
  </w:style>
  <w:style w:type="table" w:styleId="TableGrid">
    <w:name w:val="Table Grid"/>
    <w:basedOn w:val="TableNormal"/>
    <w:rsid w:val="005D5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5DD9"/>
    <w:rPr>
      <w:rFonts w:ascii="Tahoma" w:hAnsi="Tahoma" w:cs="Tahoma"/>
      <w:sz w:val="16"/>
      <w:szCs w:val="16"/>
    </w:rPr>
  </w:style>
  <w:style w:type="character" w:customStyle="1" w:styleId="BalloonTextChar">
    <w:name w:val="Balloon Text Char"/>
    <w:basedOn w:val="DefaultParagraphFont"/>
    <w:link w:val="BalloonText"/>
    <w:rsid w:val="005D5DD9"/>
    <w:rPr>
      <w:rFonts w:ascii="Tahoma" w:eastAsia="Times New Roman" w:hAnsi="Tahoma" w:cs="Tahoma"/>
      <w:sz w:val="16"/>
      <w:szCs w:val="16"/>
    </w:rPr>
  </w:style>
  <w:style w:type="table" w:styleId="Table3Deffects1">
    <w:name w:val="Table 3D effects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5D5DD9"/>
    <w:rPr>
      <w:rFonts w:ascii="Times New Roman" w:hAnsi="Times New Roman" w:cs="Times New Roman" w:hint="default"/>
      <w:color w:val="000000"/>
      <w:u w:val="single"/>
    </w:rPr>
  </w:style>
  <w:style w:type="paragraph" w:styleId="Header">
    <w:name w:val="header"/>
    <w:basedOn w:val="Normal"/>
    <w:link w:val="HeaderChar"/>
    <w:rsid w:val="005D5DD9"/>
    <w:pPr>
      <w:tabs>
        <w:tab w:val="center" w:pos="4680"/>
        <w:tab w:val="right" w:pos="9360"/>
      </w:tabs>
    </w:pPr>
  </w:style>
  <w:style w:type="character" w:customStyle="1" w:styleId="HeaderChar">
    <w:name w:val="Header Char"/>
    <w:basedOn w:val="DefaultParagraphFont"/>
    <w:link w:val="Header"/>
    <w:rsid w:val="005D5DD9"/>
    <w:rPr>
      <w:rFonts w:ascii="Times New Roman" w:eastAsia="Times New Roman" w:hAnsi="Times New Roman" w:cs="Times New Roman"/>
      <w:sz w:val="24"/>
      <w:szCs w:val="24"/>
    </w:rPr>
  </w:style>
  <w:style w:type="character" w:styleId="CommentReference">
    <w:name w:val="annotation reference"/>
    <w:basedOn w:val="DefaultParagraphFont"/>
    <w:rsid w:val="005D5DD9"/>
    <w:rPr>
      <w:sz w:val="16"/>
      <w:szCs w:val="16"/>
    </w:rPr>
  </w:style>
  <w:style w:type="paragraph" w:styleId="CommentText">
    <w:name w:val="annotation text"/>
    <w:basedOn w:val="Normal"/>
    <w:link w:val="CommentTextChar"/>
    <w:rsid w:val="005D5DD9"/>
    <w:rPr>
      <w:sz w:val="20"/>
      <w:szCs w:val="20"/>
    </w:rPr>
  </w:style>
  <w:style w:type="character" w:customStyle="1" w:styleId="CommentTextChar">
    <w:name w:val="Comment Text Char"/>
    <w:basedOn w:val="DefaultParagraphFont"/>
    <w:link w:val="CommentText"/>
    <w:rsid w:val="005D5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D5DD9"/>
    <w:rPr>
      <w:b/>
      <w:bCs/>
    </w:rPr>
  </w:style>
  <w:style w:type="character" w:customStyle="1" w:styleId="CommentSubjectChar">
    <w:name w:val="Comment Subject Char"/>
    <w:basedOn w:val="CommentTextChar"/>
    <w:link w:val="CommentSubject"/>
    <w:rsid w:val="005D5DD9"/>
    <w:rPr>
      <w:rFonts w:ascii="Times New Roman" w:eastAsia="Times New Roman" w:hAnsi="Times New Roman" w:cs="Times New Roman"/>
      <w:b/>
      <w:bCs/>
      <w:sz w:val="20"/>
      <w:szCs w:val="20"/>
    </w:rPr>
  </w:style>
  <w:style w:type="character" w:styleId="FollowedHyperlink">
    <w:name w:val="FollowedHyperlink"/>
    <w:basedOn w:val="DefaultParagraphFont"/>
    <w:rsid w:val="005D5DD9"/>
    <w:rPr>
      <w:color w:val="800080" w:themeColor="followedHyperlink"/>
      <w:u w:val="single"/>
    </w:rPr>
  </w:style>
  <w:style w:type="paragraph" w:styleId="PlainText">
    <w:name w:val="Plain Text"/>
    <w:basedOn w:val="Normal"/>
    <w:link w:val="PlainTextChar"/>
    <w:uiPriority w:val="99"/>
    <w:unhideWhenUsed/>
    <w:rsid w:val="005D5DD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D5D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3291">
      <w:bodyDiv w:val="1"/>
      <w:marLeft w:val="0"/>
      <w:marRight w:val="0"/>
      <w:marTop w:val="0"/>
      <w:marBottom w:val="0"/>
      <w:divBdr>
        <w:top w:val="none" w:sz="0" w:space="0" w:color="auto"/>
        <w:left w:val="none" w:sz="0" w:space="0" w:color="auto"/>
        <w:bottom w:val="none" w:sz="0" w:space="0" w:color="auto"/>
        <w:right w:val="none" w:sz="0" w:space="0" w:color="auto"/>
      </w:divBdr>
    </w:div>
    <w:div w:id="529496226">
      <w:bodyDiv w:val="1"/>
      <w:marLeft w:val="0"/>
      <w:marRight w:val="0"/>
      <w:marTop w:val="0"/>
      <w:marBottom w:val="0"/>
      <w:divBdr>
        <w:top w:val="none" w:sz="0" w:space="0" w:color="auto"/>
        <w:left w:val="none" w:sz="0" w:space="0" w:color="auto"/>
        <w:bottom w:val="none" w:sz="0" w:space="0" w:color="auto"/>
        <w:right w:val="none" w:sz="0" w:space="0" w:color="auto"/>
      </w:divBdr>
    </w:div>
    <w:div w:id="1363748811">
      <w:bodyDiv w:val="1"/>
      <w:marLeft w:val="0"/>
      <w:marRight w:val="0"/>
      <w:marTop w:val="0"/>
      <w:marBottom w:val="0"/>
      <w:divBdr>
        <w:top w:val="none" w:sz="0" w:space="0" w:color="auto"/>
        <w:left w:val="none" w:sz="0" w:space="0" w:color="auto"/>
        <w:bottom w:val="none" w:sz="0" w:space="0" w:color="auto"/>
        <w:right w:val="none" w:sz="0" w:space="0" w:color="auto"/>
      </w:divBdr>
    </w:div>
    <w:div w:id="2095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A6FF1-9410-49B3-89F3-30B60177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7341</Words>
  <Characters>41845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4</cp:revision>
  <cp:lastPrinted>2014-12-08T17:39:00Z</cp:lastPrinted>
  <dcterms:created xsi:type="dcterms:W3CDTF">2016-03-07T16:50:00Z</dcterms:created>
  <dcterms:modified xsi:type="dcterms:W3CDTF">2016-03-10T13:06:00Z</dcterms:modified>
</cp:coreProperties>
</file>