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8F78A8" w:rsidRDefault="00F514FB" w:rsidP="00593A78">
      <w:pPr>
        <w:widowControl/>
        <w:tabs>
          <w:tab w:val="center" w:pos="4680"/>
        </w:tabs>
        <w:suppressAutoHyphens/>
        <w:contextualSpacing/>
        <w:jc w:val="center"/>
        <w:rPr>
          <w:b/>
          <w:sz w:val="26"/>
          <w:szCs w:val="26"/>
        </w:rPr>
      </w:pPr>
      <w:r w:rsidRPr="008F78A8">
        <w:rPr>
          <w:b/>
          <w:sz w:val="26"/>
          <w:szCs w:val="26"/>
        </w:rPr>
        <w:t>PENNSYLVANIA</w:t>
      </w:r>
    </w:p>
    <w:p w:rsidR="00F514FB" w:rsidRPr="008F78A8" w:rsidRDefault="00F514FB" w:rsidP="00593A78">
      <w:pPr>
        <w:widowControl/>
        <w:tabs>
          <w:tab w:val="center" w:pos="4680"/>
        </w:tabs>
        <w:suppressAutoHyphens/>
        <w:contextualSpacing/>
        <w:jc w:val="center"/>
        <w:rPr>
          <w:sz w:val="26"/>
          <w:szCs w:val="26"/>
        </w:rPr>
      </w:pPr>
      <w:r w:rsidRPr="008F78A8">
        <w:rPr>
          <w:b/>
          <w:sz w:val="26"/>
          <w:szCs w:val="26"/>
        </w:rPr>
        <w:t>PUBLIC UTILITY COMMISSION</w:t>
      </w:r>
    </w:p>
    <w:p w:rsidR="00F514FB" w:rsidRPr="008F78A8" w:rsidRDefault="00F514FB" w:rsidP="00593A78">
      <w:pPr>
        <w:widowControl/>
        <w:tabs>
          <w:tab w:val="center" w:pos="4680"/>
        </w:tabs>
        <w:suppressAutoHyphens/>
        <w:contextualSpacing/>
        <w:jc w:val="center"/>
        <w:rPr>
          <w:sz w:val="26"/>
          <w:szCs w:val="26"/>
        </w:rPr>
      </w:pPr>
      <w:r w:rsidRPr="008F78A8">
        <w:rPr>
          <w:b/>
          <w:sz w:val="26"/>
          <w:szCs w:val="26"/>
        </w:rPr>
        <w:t>Harrisburg, PA 17105-3265</w:t>
      </w:r>
    </w:p>
    <w:p w:rsidR="00F514FB" w:rsidRPr="008F78A8" w:rsidRDefault="00F514FB" w:rsidP="00593A78">
      <w:pPr>
        <w:widowControl/>
        <w:tabs>
          <w:tab w:val="left" w:pos="-720"/>
        </w:tabs>
        <w:suppressAutoHyphens/>
        <w:contextualSpacing/>
        <w:rPr>
          <w:sz w:val="26"/>
          <w:szCs w:val="26"/>
        </w:rPr>
      </w:pPr>
    </w:p>
    <w:p w:rsidR="00F514FB" w:rsidRPr="008F78A8" w:rsidRDefault="00F514FB" w:rsidP="00593A78">
      <w:pPr>
        <w:widowControl/>
        <w:contextualSpacing/>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8F78A8" w:rsidRPr="008F78A8" w:rsidTr="00DE25AC">
        <w:tc>
          <w:tcPr>
            <w:tcW w:w="5058" w:type="dxa"/>
          </w:tcPr>
          <w:p w:rsidR="00F514FB" w:rsidRPr="008F78A8" w:rsidRDefault="00F514FB" w:rsidP="00593A78">
            <w:pPr>
              <w:widowControl/>
              <w:contextualSpacing/>
              <w:rPr>
                <w:sz w:val="26"/>
                <w:szCs w:val="26"/>
              </w:rPr>
            </w:pPr>
          </w:p>
        </w:tc>
        <w:tc>
          <w:tcPr>
            <w:tcW w:w="4428" w:type="dxa"/>
          </w:tcPr>
          <w:p w:rsidR="00F514FB" w:rsidRPr="008F78A8" w:rsidRDefault="00F514FB" w:rsidP="00593A78">
            <w:pPr>
              <w:widowControl/>
              <w:contextualSpacing/>
              <w:jc w:val="right"/>
              <w:rPr>
                <w:sz w:val="26"/>
                <w:szCs w:val="26"/>
              </w:rPr>
            </w:pPr>
            <w:r w:rsidRPr="008F78A8">
              <w:rPr>
                <w:sz w:val="26"/>
                <w:szCs w:val="26"/>
              </w:rPr>
              <w:t xml:space="preserve">Public Meeting held </w:t>
            </w:r>
            <w:r w:rsidR="000A7CFD">
              <w:rPr>
                <w:sz w:val="26"/>
                <w:szCs w:val="26"/>
              </w:rPr>
              <w:t>March 1</w:t>
            </w:r>
            <w:r w:rsidR="006F346F">
              <w:rPr>
                <w:sz w:val="26"/>
                <w:szCs w:val="26"/>
              </w:rPr>
              <w:t>0</w:t>
            </w:r>
            <w:r w:rsidR="0097038B">
              <w:rPr>
                <w:sz w:val="26"/>
                <w:szCs w:val="26"/>
              </w:rPr>
              <w:t>, 201</w:t>
            </w:r>
            <w:r w:rsidR="00FF0735">
              <w:rPr>
                <w:sz w:val="26"/>
                <w:szCs w:val="26"/>
              </w:rPr>
              <w:t>6</w:t>
            </w:r>
          </w:p>
          <w:p w:rsidR="00F514FB" w:rsidRPr="008F78A8" w:rsidRDefault="00F514FB" w:rsidP="00593A78">
            <w:pPr>
              <w:widowControl/>
              <w:contextualSpacing/>
              <w:jc w:val="right"/>
              <w:rPr>
                <w:sz w:val="26"/>
                <w:szCs w:val="26"/>
              </w:rPr>
            </w:pPr>
          </w:p>
          <w:p w:rsidR="00F514FB" w:rsidRPr="008F78A8" w:rsidRDefault="00F514FB" w:rsidP="00593A78">
            <w:pPr>
              <w:widowControl/>
              <w:contextualSpacing/>
              <w:jc w:val="right"/>
              <w:rPr>
                <w:sz w:val="26"/>
                <w:szCs w:val="26"/>
              </w:rPr>
            </w:pPr>
          </w:p>
        </w:tc>
      </w:tr>
      <w:tr w:rsidR="008F78A8" w:rsidRPr="008F78A8" w:rsidTr="00E871F2">
        <w:tc>
          <w:tcPr>
            <w:tcW w:w="5058" w:type="dxa"/>
          </w:tcPr>
          <w:p w:rsidR="0097038B" w:rsidRPr="00665B4A" w:rsidRDefault="0097038B" w:rsidP="00593A78">
            <w:pPr>
              <w:widowControl/>
              <w:contextualSpacing/>
              <w:rPr>
                <w:sz w:val="26"/>
                <w:szCs w:val="26"/>
              </w:rPr>
            </w:pPr>
            <w:r w:rsidRPr="00665B4A">
              <w:rPr>
                <w:sz w:val="26"/>
                <w:szCs w:val="26"/>
              </w:rPr>
              <w:t>Commissioners Present:</w:t>
            </w:r>
          </w:p>
          <w:p w:rsidR="0097038B" w:rsidRPr="00665B4A" w:rsidRDefault="0097038B" w:rsidP="00593A78">
            <w:pPr>
              <w:widowControl/>
              <w:contextualSpacing/>
              <w:rPr>
                <w:sz w:val="26"/>
                <w:szCs w:val="26"/>
              </w:rPr>
            </w:pPr>
          </w:p>
          <w:p w:rsidR="0097038B" w:rsidRPr="00665B4A" w:rsidRDefault="0097038B" w:rsidP="00593A78">
            <w:pPr>
              <w:widowControl/>
              <w:tabs>
                <w:tab w:val="left" w:pos="705"/>
              </w:tabs>
              <w:ind w:firstLine="720"/>
              <w:contextualSpacing/>
              <w:rPr>
                <w:sz w:val="26"/>
                <w:szCs w:val="26"/>
              </w:rPr>
            </w:pPr>
            <w:r>
              <w:rPr>
                <w:sz w:val="26"/>
                <w:szCs w:val="26"/>
              </w:rPr>
              <w:t>Gladys M. Brown</w:t>
            </w:r>
            <w:r w:rsidRPr="00665B4A">
              <w:rPr>
                <w:sz w:val="26"/>
                <w:szCs w:val="26"/>
              </w:rPr>
              <w:t>, Chairman</w:t>
            </w:r>
          </w:p>
          <w:p w:rsidR="0097038B" w:rsidRPr="00665B4A" w:rsidRDefault="00D90B3C" w:rsidP="00593A78">
            <w:pPr>
              <w:widowControl/>
              <w:tabs>
                <w:tab w:val="left" w:pos="705"/>
              </w:tabs>
              <w:ind w:firstLine="720"/>
              <w:contextualSpacing/>
              <w:rPr>
                <w:sz w:val="26"/>
                <w:szCs w:val="26"/>
              </w:rPr>
            </w:pPr>
            <w:r w:rsidRPr="0011320B">
              <w:rPr>
                <w:sz w:val="26"/>
                <w:szCs w:val="26"/>
              </w:rPr>
              <w:t>Andrew G. Place</w:t>
            </w:r>
            <w:r w:rsidR="0097038B" w:rsidRPr="00665B4A">
              <w:rPr>
                <w:sz w:val="26"/>
                <w:szCs w:val="26"/>
              </w:rPr>
              <w:t>, Vice Chairman</w:t>
            </w:r>
          </w:p>
          <w:p w:rsidR="0097038B" w:rsidRPr="00336512" w:rsidRDefault="0097038B" w:rsidP="00593A78">
            <w:pPr>
              <w:widowControl/>
              <w:tabs>
                <w:tab w:val="left" w:pos="705"/>
              </w:tabs>
              <w:ind w:firstLine="720"/>
              <w:contextualSpacing/>
              <w:rPr>
                <w:strike/>
                <w:sz w:val="26"/>
                <w:szCs w:val="26"/>
              </w:rPr>
            </w:pPr>
            <w:r w:rsidRPr="00665B4A">
              <w:rPr>
                <w:sz w:val="26"/>
                <w:szCs w:val="26"/>
              </w:rPr>
              <w:t xml:space="preserve">Pamela A. </w:t>
            </w:r>
            <w:r w:rsidRPr="00336512">
              <w:rPr>
                <w:sz w:val="26"/>
                <w:szCs w:val="26"/>
              </w:rPr>
              <w:t>Witmer</w:t>
            </w:r>
          </w:p>
          <w:p w:rsidR="0097038B" w:rsidRDefault="00D90B3C" w:rsidP="00593A78">
            <w:pPr>
              <w:widowControl/>
              <w:tabs>
                <w:tab w:val="left" w:pos="705"/>
              </w:tabs>
              <w:ind w:firstLine="720"/>
              <w:contextualSpacing/>
              <w:rPr>
                <w:sz w:val="26"/>
                <w:szCs w:val="26"/>
              </w:rPr>
            </w:pPr>
            <w:r w:rsidRPr="00665B4A">
              <w:rPr>
                <w:sz w:val="26"/>
                <w:szCs w:val="26"/>
              </w:rPr>
              <w:t>John F. Coleman, Jr.</w:t>
            </w:r>
          </w:p>
          <w:p w:rsidR="0097038B" w:rsidRPr="00665B4A" w:rsidRDefault="00D90B3C" w:rsidP="00593A78">
            <w:pPr>
              <w:widowControl/>
              <w:tabs>
                <w:tab w:val="left" w:pos="705"/>
              </w:tabs>
              <w:ind w:firstLine="720"/>
              <w:contextualSpacing/>
              <w:rPr>
                <w:sz w:val="26"/>
                <w:szCs w:val="26"/>
              </w:rPr>
            </w:pPr>
            <w:r w:rsidRPr="00665B4A">
              <w:rPr>
                <w:sz w:val="26"/>
                <w:szCs w:val="26"/>
              </w:rPr>
              <w:t>Robert F. Powelson</w:t>
            </w:r>
          </w:p>
          <w:p w:rsidR="00F514FB" w:rsidRPr="008F78A8" w:rsidRDefault="00F514FB" w:rsidP="00593A78">
            <w:pPr>
              <w:widowControl/>
              <w:tabs>
                <w:tab w:val="left" w:pos="705"/>
              </w:tabs>
              <w:ind w:firstLine="720"/>
              <w:contextualSpacing/>
              <w:rPr>
                <w:sz w:val="26"/>
                <w:szCs w:val="26"/>
              </w:rPr>
            </w:pPr>
          </w:p>
          <w:p w:rsidR="00F514FB" w:rsidRPr="008F78A8" w:rsidRDefault="00F514FB" w:rsidP="00593A78">
            <w:pPr>
              <w:widowControl/>
              <w:contextualSpacing/>
              <w:rPr>
                <w:sz w:val="26"/>
                <w:szCs w:val="26"/>
              </w:rPr>
            </w:pPr>
          </w:p>
          <w:p w:rsidR="00F514FB" w:rsidRPr="008F78A8" w:rsidRDefault="00F514FB" w:rsidP="00593A78">
            <w:pPr>
              <w:widowControl/>
              <w:contextualSpacing/>
              <w:rPr>
                <w:sz w:val="26"/>
                <w:szCs w:val="26"/>
              </w:rPr>
            </w:pPr>
          </w:p>
        </w:tc>
        <w:tc>
          <w:tcPr>
            <w:tcW w:w="4428" w:type="dxa"/>
          </w:tcPr>
          <w:p w:rsidR="00F514FB" w:rsidRPr="008F78A8" w:rsidRDefault="00F514FB" w:rsidP="00593A78">
            <w:pPr>
              <w:widowControl/>
              <w:contextualSpacing/>
              <w:jc w:val="right"/>
              <w:rPr>
                <w:sz w:val="26"/>
                <w:szCs w:val="26"/>
              </w:rPr>
            </w:pPr>
          </w:p>
          <w:p w:rsidR="00F514FB" w:rsidRPr="008F78A8" w:rsidRDefault="00F514FB" w:rsidP="00593A78">
            <w:pPr>
              <w:widowControl/>
              <w:contextualSpacing/>
              <w:jc w:val="right"/>
              <w:rPr>
                <w:sz w:val="26"/>
                <w:szCs w:val="26"/>
              </w:rPr>
            </w:pPr>
          </w:p>
        </w:tc>
      </w:tr>
      <w:tr w:rsidR="008F78A8" w:rsidRPr="008F78A8" w:rsidTr="00DE25AC">
        <w:tc>
          <w:tcPr>
            <w:tcW w:w="5058" w:type="dxa"/>
          </w:tcPr>
          <w:p w:rsidR="00F514FB" w:rsidRPr="008F78A8" w:rsidRDefault="0000302E" w:rsidP="00593A78">
            <w:pPr>
              <w:widowControl/>
              <w:contextualSpacing/>
              <w:rPr>
                <w:sz w:val="26"/>
                <w:szCs w:val="26"/>
              </w:rPr>
            </w:pPr>
            <w:r>
              <w:rPr>
                <w:sz w:val="26"/>
                <w:szCs w:val="26"/>
              </w:rPr>
              <w:t>Jesus Campos</w:t>
            </w:r>
          </w:p>
          <w:p w:rsidR="00F514FB" w:rsidRPr="008F78A8" w:rsidRDefault="00F514FB" w:rsidP="00593A78">
            <w:pPr>
              <w:widowControl/>
              <w:contextualSpacing/>
              <w:rPr>
                <w:sz w:val="26"/>
                <w:szCs w:val="26"/>
              </w:rPr>
            </w:pPr>
          </w:p>
        </w:tc>
        <w:tc>
          <w:tcPr>
            <w:tcW w:w="4428" w:type="dxa"/>
          </w:tcPr>
          <w:p w:rsidR="00F514FB" w:rsidRPr="008F78A8" w:rsidRDefault="0000302E" w:rsidP="00593A78">
            <w:pPr>
              <w:widowControl/>
              <w:contextualSpacing/>
              <w:jc w:val="right"/>
              <w:rPr>
                <w:sz w:val="26"/>
                <w:szCs w:val="26"/>
              </w:rPr>
            </w:pPr>
            <w:r>
              <w:rPr>
                <w:sz w:val="26"/>
                <w:szCs w:val="26"/>
              </w:rPr>
              <w:t>C</w:t>
            </w:r>
            <w:r w:rsidR="007040DD" w:rsidRPr="008F78A8">
              <w:rPr>
                <w:sz w:val="26"/>
                <w:szCs w:val="26"/>
              </w:rPr>
              <w:t>-201</w:t>
            </w:r>
            <w:r>
              <w:rPr>
                <w:sz w:val="26"/>
                <w:szCs w:val="26"/>
              </w:rPr>
              <w:t>2</w:t>
            </w:r>
            <w:r w:rsidR="007040DD" w:rsidRPr="008F78A8">
              <w:rPr>
                <w:sz w:val="26"/>
                <w:szCs w:val="26"/>
              </w:rPr>
              <w:t>-</w:t>
            </w:r>
            <w:r>
              <w:rPr>
                <w:sz w:val="26"/>
                <w:szCs w:val="26"/>
              </w:rPr>
              <w:t>2328020</w:t>
            </w:r>
            <w:r w:rsidR="00940BD4" w:rsidRPr="008F78A8">
              <w:rPr>
                <w:sz w:val="26"/>
                <w:szCs w:val="26"/>
              </w:rPr>
              <w:t xml:space="preserve"> </w:t>
            </w:r>
          </w:p>
        </w:tc>
      </w:tr>
      <w:tr w:rsidR="008F78A8" w:rsidRPr="008F78A8" w:rsidTr="00DE25AC">
        <w:tc>
          <w:tcPr>
            <w:tcW w:w="5058" w:type="dxa"/>
          </w:tcPr>
          <w:p w:rsidR="00F514FB" w:rsidRPr="008F78A8" w:rsidRDefault="00F514FB" w:rsidP="00593A78">
            <w:pPr>
              <w:widowControl/>
              <w:ind w:firstLine="720"/>
              <w:contextualSpacing/>
              <w:rPr>
                <w:sz w:val="26"/>
                <w:szCs w:val="26"/>
              </w:rPr>
            </w:pPr>
            <w:r w:rsidRPr="008F78A8">
              <w:rPr>
                <w:sz w:val="26"/>
                <w:szCs w:val="26"/>
              </w:rPr>
              <w:t>v.</w:t>
            </w:r>
          </w:p>
          <w:p w:rsidR="00F514FB" w:rsidRPr="008F78A8" w:rsidRDefault="00F514FB" w:rsidP="00593A78">
            <w:pPr>
              <w:widowControl/>
              <w:ind w:firstLine="1440"/>
              <w:contextualSpacing/>
              <w:rPr>
                <w:sz w:val="26"/>
                <w:szCs w:val="26"/>
              </w:rPr>
            </w:pPr>
          </w:p>
        </w:tc>
        <w:tc>
          <w:tcPr>
            <w:tcW w:w="4428" w:type="dxa"/>
          </w:tcPr>
          <w:p w:rsidR="00F514FB" w:rsidRPr="008F78A8" w:rsidRDefault="00F514FB" w:rsidP="00593A78">
            <w:pPr>
              <w:widowControl/>
              <w:contextualSpacing/>
              <w:rPr>
                <w:sz w:val="26"/>
                <w:szCs w:val="26"/>
              </w:rPr>
            </w:pPr>
          </w:p>
        </w:tc>
      </w:tr>
      <w:tr w:rsidR="008F78A8" w:rsidRPr="008F78A8" w:rsidTr="00E871F2">
        <w:tc>
          <w:tcPr>
            <w:tcW w:w="5058" w:type="dxa"/>
          </w:tcPr>
          <w:p w:rsidR="00F514FB" w:rsidRPr="008F78A8" w:rsidRDefault="0000302E" w:rsidP="00593A78">
            <w:pPr>
              <w:widowControl/>
              <w:contextualSpacing/>
              <w:rPr>
                <w:sz w:val="26"/>
                <w:szCs w:val="26"/>
              </w:rPr>
            </w:pPr>
            <w:r w:rsidRPr="0000302E">
              <w:rPr>
                <w:sz w:val="26"/>
                <w:szCs w:val="26"/>
              </w:rPr>
              <w:t>Philadelphia Gas Works</w:t>
            </w:r>
          </w:p>
        </w:tc>
        <w:tc>
          <w:tcPr>
            <w:tcW w:w="4428" w:type="dxa"/>
          </w:tcPr>
          <w:p w:rsidR="00F514FB" w:rsidRPr="008F78A8" w:rsidRDefault="00F514FB" w:rsidP="00593A78">
            <w:pPr>
              <w:widowControl/>
              <w:contextualSpacing/>
              <w:rPr>
                <w:sz w:val="26"/>
                <w:szCs w:val="26"/>
              </w:rPr>
            </w:pPr>
          </w:p>
        </w:tc>
      </w:tr>
    </w:tbl>
    <w:p w:rsidR="00F514FB" w:rsidRPr="008F78A8" w:rsidRDefault="00F514FB" w:rsidP="00593A78">
      <w:pPr>
        <w:widowControl/>
        <w:contextualSpacing/>
        <w:rPr>
          <w:sz w:val="26"/>
          <w:szCs w:val="26"/>
        </w:rPr>
      </w:pPr>
    </w:p>
    <w:p w:rsidR="00F514FB" w:rsidRPr="008F78A8" w:rsidRDefault="00F514FB" w:rsidP="00593A78">
      <w:pPr>
        <w:widowControl/>
        <w:contextualSpacing/>
        <w:rPr>
          <w:sz w:val="26"/>
          <w:szCs w:val="26"/>
        </w:rPr>
      </w:pPr>
    </w:p>
    <w:p w:rsidR="00E840DC" w:rsidRPr="00D365A7" w:rsidRDefault="00E840DC" w:rsidP="00E840DC">
      <w:pPr>
        <w:widowControl/>
        <w:jc w:val="center"/>
        <w:rPr>
          <w:b/>
          <w:sz w:val="26"/>
          <w:szCs w:val="26"/>
        </w:rPr>
      </w:pPr>
      <w:r>
        <w:rPr>
          <w:b/>
          <w:sz w:val="26"/>
          <w:szCs w:val="26"/>
        </w:rPr>
        <w:t xml:space="preserve">TENTATIVE </w:t>
      </w:r>
      <w:r w:rsidRPr="00D365A7">
        <w:rPr>
          <w:b/>
          <w:sz w:val="26"/>
          <w:szCs w:val="26"/>
        </w:rPr>
        <w:t>OPINION AND ORDER</w:t>
      </w:r>
    </w:p>
    <w:p w:rsidR="00F514FB" w:rsidRDefault="00F514FB" w:rsidP="00593A78">
      <w:pPr>
        <w:widowControl/>
        <w:contextualSpacing/>
        <w:jc w:val="center"/>
        <w:rPr>
          <w:b/>
          <w:sz w:val="26"/>
          <w:szCs w:val="26"/>
        </w:rPr>
      </w:pPr>
    </w:p>
    <w:p w:rsidR="00B6678C" w:rsidRPr="008F78A8" w:rsidRDefault="00B6678C" w:rsidP="00593A78">
      <w:pPr>
        <w:widowControl/>
        <w:contextualSpacing/>
        <w:jc w:val="center"/>
        <w:rPr>
          <w:b/>
          <w:sz w:val="26"/>
          <w:szCs w:val="26"/>
        </w:rPr>
      </w:pPr>
    </w:p>
    <w:p w:rsidR="00F514FB" w:rsidRPr="008F78A8" w:rsidRDefault="00F514FB" w:rsidP="00593A78">
      <w:pPr>
        <w:widowControl/>
        <w:contextualSpacing/>
        <w:rPr>
          <w:b/>
          <w:sz w:val="26"/>
          <w:szCs w:val="26"/>
        </w:rPr>
      </w:pPr>
      <w:r w:rsidRPr="008F78A8">
        <w:rPr>
          <w:b/>
          <w:sz w:val="26"/>
          <w:szCs w:val="26"/>
        </w:rPr>
        <w:t>BY THE COMMISSION:</w:t>
      </w:r>
    </w:p>
    <w:p w:rsidR="00F514FB" w:rsidRPr="008F78A8" w:rsidRDefault="00F514FB" w:rsidP="00593A78">
      <w:pPr>
        <w:widowControl/>
        <w:contextualSpacing/>
        <w:rPr>
          <w:sz w:val="26"/>
          <w:szCs w:val="26"/>
        </w:rPr>
      </w:pPr>
    </w:p>
    <w:p w:rsidR="00F514FB" w:rsidRPr="008F78A8" w:rsidRDefault="00F514FB" w:rsidP="00593A78">
      <w:pPr>
        <w:widowControl/>
        <w:contextualSpacing/>
        <w:rPr>
          <w:sz w:val="26"/>
          <w:szCs w:val="26"/>
        </w:rPr>
      </w:pPr>
    </w:p>
    <w:p w:rsidR="00CA43A5" w:rsidRPr="008F78A8" w:rsidRDefault="00CA43A5" w:rsidP="00593A78">
      <w:pPr>
        <w:widowControl/>
        <w:spacing w:line="360" w:lineRule="auto"/>
        <w:ind w:firstLine="1440"/>
        <w:contextualSpacing/>
        <w:rPr>
          <w:sz w:val="26"/>
          <w:szCs w:val="26"/>
        </w:rPr>
      </w:pPr>
      <w:r w:rsidRPr="008F78A8">
        <w:rPr>
          <w:sz w:val="26"/>
          <w:szCs w:val="26"/>
        </w:rPr>
        <w:t xml:space="preserve">Before the Pennsylvania Public Utility Commission (Commission) for consideration and disposition </w:t>
      </w:r>
      <w:r w:rsidR="00671E4C" w:rsidRPr="008F78A8">
        <w:rPr>
          <w:sz w:val="26"/>
        </w:rPr>
        <w:t xml:space="preserve">are the Exceptions (Exceptions) of </w:t>
      </w:r>
      <w:r w:rsidR="0000302E">
        <w:rPr>
          <w:sz w:val="26"/>
        </w:rPr>
        <w:t>Jesus Campos</w:t>
      </w:r>
      <w:r w:rsidR="00671E4C" w:rsidRPr="008F78A8">
        <w:rPr>
          <w:sz w:val="26"/>
        </w:rPr>
        <w:t xml:space="preserve"> (</w:t>
      </w:r>
      <w:r w:rsidR="000F0AD9" w:rsidRPr="008F78A8">
        <w:rPr>
          <w:sz w:val="26"/>
        </w:rPr>
        <w:t>Complainant</w:t>
      </w:r>
      <w:r w:rsidR="00671E4C" w:rsidRPr="008F78A8">
        <w:rPr>
          <w:sz w:val="26"/>
        </w:rPr>
        <w:t xml:space="preserve">) filed on </w:t>
      </w:r>
      <w:r w:rsidR="0000302E">
        <w:rPr>
          <w:sz w:val="26"/>
        </w:rPr>
        <w:t>June 25, 2013</w:t>
      </w:r>
      <w:r w:rsidR="00CB4762" w:rsidRPr="008F78A8">
        <w:rPr>
          <w:sz w:val="26"/>
        </w:rPr>
        <w:t>,</w:t>
      </w:r>
      <w:r w:rsidR="00671E4C" w:rsidRPr="008F78A8">
        <w:rPr>
          <w:sz w:val="26"/>
        </w:rPr>
        <w:t xml:space="preserve"> to the Initial Decision (I.D.) of Administrative Law Judge (ALJ) </w:t>
      </w:r>
      <w:r w:rsidR="0000302E">
        <w:rPr>
          <w:sz w:val="26"/>
        </w:rPr>
        <w:t>Angela T. Jones</w:t>
      </w:r>
      <w:r w:rsidR="00671E4C" w:rsidRPr="008F78A8">
        <w:rPr>
          <w:sz w:val="26"/>
        </w:rPr>
        <w:t>, which was issued on</w:t>
      </w:r>
      <w:r w:rsidR="003D1F5A" w:rsidRPr="008F78A8">
        <w:rPr>
          <w:sz w:val="26"/>
        </w:rPr>
        <w:t xml:space="preserve"> </w:t>
      </w:r>
      <w:r w:rsidR="0000302E">
        <w:rPr>
          <w:sz w:val="26"/>
        </w:rPr>
        <w:t xml:space="preserve">June </w:t>
      </w:r>
      <w:r w:rsidR="0097038B">
        <w:rPr>
          <w:sz w:val="26"/>
        </w:rPr>
        <w:t>5, 201</w:t>
      </w:r>
      <w:r w:rsidR="0000302E">
        <w:rPr>
          <w:sz w:val="26"/>
        </w:rPr>
        <w:t>3</w:t>
      </w:r>
      <w:r w:rsidR="00671E4C" w:rsidRPr="008F78A8">
        <w:rPr>
          <w:sz w:val="26"/>
        </w:rPr>
        <w:t xml:space="preserve">, in the above-captioned proceeding.  </w:t>
      </w:r>
      <w:r w:rsidR="0000302E">
        <w:rPr>
          <w:sz w:val="26"/>
        </w:rPr>
        <w:t>Philadelphia Gas Works (PGW) did not file Replies to Exceptions.</w:t>
      </w:r>
      <w:r w:rsidR="00671E4C" w:rsidRPr="008F78A8">
        <w:rPr>
          <w:sz w:val="26"/>
        </w:rPr>
        <w:t xml:space="preserve">  </w:t>
      </w:r>
      <w:r w:rsidR="00E840DC" w:rsidRPr="00D365A7">
        <w:rPr>
          <w:sz w:val="26"/>
          <w:szCs w:val="26"/>
        </w:rPr>
        <w:t>For the reasons stated below, we shall deny the Complainant’s Exceptions and adopt the ALJ’s Initial Decision</w:t>
      </w:r>
      <w:r w:rsidR="00E840DC">
        <w:rPr>
          <w:sz w:val="26"/>
          <w:szCs w:val="26"/>
        </w:rPr>
        <w:t>, as modified</w:t>
      </w:r>
      <w:r w:rsidR="00E840DC" w:rsidRPr="00D365A7">
        <w:rPr>
          <w:sz w:val="26"/>
          <w:szCs w:val="26"/>
        </w:rPr>
        <w:t>.</w:t>
      </w:r>
    </w:p>
    <w:p w:rsidR="003D1F5A" w:rsidRPr="008F78A8" w:rsidRDefault="003D1F5A" w:rsidP="00593A78">
      <w:pPr>
        <w:widowControl/>
        <w:spacing w:line="360" w:lineRule="auto"/>
        <w:contextualSpacing/>
        <w:jc w:val="center"/>
        <w:rPr>
          <w:b/>
          <w:sz w:val="26"/>
          <w:szCs w:val="26"/>
        </w:rPr>
      </w:pPr>
      <w:bookmarkStart w:id="0" w:name="OLE_LINK1"/>
      <w:bookmarkStart w:id="1" w:name="OLE_LINK2"/>
    </w:p>
    <w:p w:rsidR="00CA43A5" w:rsidRPr="008F78A8" w:rsidRDefault="00CA43A5" w:rsidP="00593A78">
      <w:pPr>
        <w:widowControl/>
        <w:spacing w:line="360" w:lineRule="auto"/>
        <w:contextualSpacing/>
        <w:jc w:val="center"/>
        <w:rPr>
          <w:b/>
          <w:sz w:val="26"/>
          <w:szCs w:val="26"/>
        </w:rPr>
      </w:pPr>
      <w:r w:rsidRPr="008F78A8">
        <w:rPr>
          <w:b/>
          <w:sz w:val="26"/>
          <w:szCs w:val="26"/>
        </w:rPr>
        <w:lastRenderedPageBreak/>
        <w:t>History of the Proceeding</w:t>
      </w:r>
    </w:p>
    <w:bookmarkEnd w:id="0"/>
    <w:bookmarkEnd w:id="1"/>
    <w:p w:rsidR="00CA43A5" w:rsidRDefault="00CA43A5" w:rsidP="00593A78">
      <w:pPr>
        <w:widowControl/>
        <w:spacing w:line="360" w:lineRule="auto"/>
        <w:contextualSpacing/>
        <w:jc w:val="center"/>
        <w:rPr>
          <w:b/>
          <w:sz w:val="26"/>
          <w:szCs w:val="26"/>
          <w:u w:val="single"/>
        </w:rPr>
      </w:pPr>
    </w:p>
    <w:p w:rsidR="0057156F" w:rsidRDefault="004D2ED2" w:rsidP="00593A78">
      <w:pPr>
        <w:widowControl/>
        <w:spacing w:line="360" w:lineRule="auto"/>
        <w:ind w:firstLine="1440"/>
        <w:contextualSpacing/>
        <w:rPr>
          <w:sz w:val="26"/>
          <w:szCs w:val="26"/>
        </w:rPr>
      </w:pPr>
      <w:r>
        <w:rPr>
          <w:sz w:val="26"/>
          <w:szCs w:val="26"/>
        </w:rPr>
        <w:t xml:space="preserve">On September 29, 2012, the Complainant filed a Formal Complaint (Complaint) against PGW alleging that on July 16, 2012, he requested that PGW service his home’s central air conditioning unit pursuant to PGW’s “Parts and Labor Plan” for which he paid an additional cost.  The Complainant also alleged that upon visiting his Service Address on July 17, 2012, a PGW representative informed him that </w:t>
      </w:r>
      <w:r w:rsidR="00D4635A">
        <w:rPr>
          <w:sz w:val="26"/>
          <w:szCs w:val="26"/>
        </w:rPr>
        <w:t>PGW</w:t>
      </w:r>
      <w:r>
        <w:rPr>
          <w:sz w:val="26"/>
          <w:szCs w:val="26"/>
        </w:rPr>
        <w:t xml:space="preserve"> was required to exchange his gas meter because it was outdated.  Thereafter, the Complainant stated that on August 13, 2012, he received a</w:t>
      </w:r>
      <w:r w:rsidR="00977682">
        <w:rPr>
          <w:sz w:val="26"/>
          <w:szCs w:val="26"/>
        </w:rPr>
        <w:t xml:space="preserve"> make-up</w:t>
      </w:r>
      <w:r>
        <w:rPr>
          <w:sz w:val="26"/>
          <w:szCs w:val="26"/>
        </w:rPr>
        <w:t xml:space="preserve"> bill </w:t>
      </w:r>
      <w:r w:rsidR="00D4635A">
        <w:rPr>
          <w:sz w:val="26"/>
          <w:szCs w:val="26"/>
        </w:rPr>
        <w:t xml:space="preserve">from PGW </w:t>
      </w:r>
      <w:r>
        <w:rPr>
          <w:sz w:val="26"/>
          <w:szCs w:val="26"/>
        </w:rPr>
        <w:t xml:space="preserve">for $5,712.23 for </w:t>
      </w:r>
      <w:r w:rsidR="00E840DC">
        <w:rPr>
          <w:sz w:val="26"/>
          <w:szCs w:val="26"/>
        </w:rPr>
        <w:t xml:space="preserve">previously unbilled </w:t>
      </w:r>
      <w:r>
        <w:rPr>
          <w:sz w:val="26"/>
          <w:szCs w:val="26"/>
        </w:rPr>
        <w:t xml:space="preserve">usage in the amount of 4,203 ccf, </w:t>
      </w:r>
      <w:r w:rsidR="00D4635A">
        <w:rPr>
          <w:sz w:val="26"/>
          <w:szCs w:val="26"/>
        </w:rPr>
        <w:t xml:space="preserve">an amount </w:t>
      </w:r>
      <w:r>
        <w:rPr>
          <w:sz w:val="26"/>
          <w:szCs w:val="26"/>
        </w:rPr>
        <w:t xml:space="preserve">which he disputed.  </w:t>
      </w:r>
    </w:p>
    <w:p w:rsidR="0057156F" w:rsidRDefault="0057156F" w:rsidP="00593A78">
      <w:pPr>
        <w:widowControl/>
        <w:spacing w:line="360" w:lineRule="auto"/>
        <w:ind w:firstLine="1440"/>
        <w:contextualSpacing/>
        <w:rPr>
          <w:sz w:val="26"/>
          <w:szCs w:val="26"/>
        </w:rPr>
      </w:pPr>
    </w:p>
    <w:p w:rsidR="0057156F" w:rsidRDefault="0057156F" w:rsidP="00593A78">
      <w:pPr>
        <w:widowControl/>
        <w:spacing w:line="360" w:lineRule="auto"/>
        <w:ind w:firstLine="1440"/>
        <w:contextualSpacing/>
        <w:rPr>
          <w:sz w:val="26"/>
          <w:szCs w:val="26"/>
        </w:rPr>
      </w:pPr>
      <w:r>
        <w:rPr>
          <w:sz w:val="26"/>
          <w:szCs w:val="26"/>
        </w:rPr>
        <w:t>T</w:t>
      </w:r>
      <w:r w:rsidR="004D2ED2">
        <w:rPr>
          <w:sz w:val="26"/>
          <w:szCs w:val="26"/>
        </w:rPr>
        <w:t xml:space="preserve">he Complainant </w:t>
      </w:r>
      <w:r>
        <w:rPr>
          <w:sz w:val="26"/>
          <w:szCs w:val="26"/>
        </w:rPr>
        <w:t xml:space="preserve">further </w:t>
      </w:r>
      <w:r w:rsidR="004D2ED2">
        <w:rPr>
          <w:sz w:val="26"/>
          <w:szCs w:val="26"/>
        </w:rPr>
        <w:t>alleged that on September 20, 201</w:t>
      </w:r>
      <w:r w:rsidR="001F754F">
        <w:rPr>
          <w:sz w:val="26"/>
          <w:szCs w:val="26"/>
        </w:rPr>
        <w:t>2</w:t>
      </w:r>
      <w:r w:rsidR="004D2ED2">
        <w:rPr>
          <w:sz w:val="26"/>
          <w:szCs w:val="26"/>
        </w:rPr>
        <w:t xml:space="preserve">, he received a letter from PGW </w:t>
      </w:r>
      <w:r>
        <w:rPr>
          <w:sz w:val="26"/>
          <w:szCs w:val="26"/>
        </w:rPr>
        <w:t>that</w:t>
      </w:r>
      <w:r w:rsidR="004D2ED2">
        <w:rPr>
          <w:sz w:val="26"/>
          <w:szCs w:val="26"/>
        </w:rPr>
        <w:t xml:space="preserve"> informed him that upon examination of his outdated m</w:t>
      </w:r>
      <w:r w:rsidR="00AB508E">
        <w:rPr>
          <w:sz w:val="26"/>
          <w:szCs w:val="26"/>
        </w:rPr>
        <w:t xml:space="preserve">eter, it was discovered that </w:t>
      </w:r>
      <w:r w:rsidR="004D2ED2">
        <w:rPr>
          <w:sz w:val="26"/>
          <w:szCs w:val="26"/>
        </w:rPr>
        <w:t>t</w:t>
      </w:r>
      <w:r w:rsidR="00AB508E">
        <w:rPr>
          <w:sz w:val="26"/>
          <w:szCs w:val="26"/>
        </w:rPr>
        <w:t>he</w:t>
      </w:r>
      <w:r w:rsidR="004D2ED2">
        <w:rPr>
          <w:sz w:val="26"/>
          <w:szCs w:val="26"/>
        </w:rPr>
        <w:t xml:space="preserve"> </w:t>
      </w:r>
      <w:r w:rsidR="00AB508E">
        <w:rPr>
          <w:sz w:val="26"/>
          <w:szCs w:val="26"/>
        </w:rPr>
        <w:t>meter</w:t>
      </w:r>
      <w:r w:rsidR="004D2ED2">
        <w:rPr>
          <w:sz w:val="26"/>
          <w:szCs w:val="26"/>
        </w:rPr>
        <w:t xml:space="preserve"> was only registering half of his</w:t>
      </w:r>
      <w:r w:rsidR="00E840DC">
        <w:rPr>
          <w:sz w:val="26"/>
          <w:szCs w:val="26"/>
        </w:rPr>
        <w:t xml:space="preserve"> actual</w:t>
      </w:r>
      <w:r w:rsidR="004D2ED2">
        <w:rPr>
          <w:sz w:val="26"/>
          <w:szCs w:val="26"/>
        </w:rPr>
        <w:t xml:space="preserve"> usage.  According to the Complainant, PGW made an adjustment of $3,683.43 to the bill he received on August</w:t>
      </w:r>
      <w:r>
        <w:rPr>
          <w:sz w:val="26"/>
          <w:szCs w:val="26"/>
        </w:rPr>
        <w:t> </w:t>
      </w:r>
      <w:r w:rsidR="004D2ED2">
        <w:rPr>
          <w:sz w:val="26"/>
          <w:szCs w:val="26"/>
        </w:rPr>
        <w:t>13, 2012</w:t>
      </w:r>
      <w:r>
        <w:rPr>
          <w:sz w:val="26"/>
          <w:szCs w:val="26"/>
        </w:rPr>
        <w:t>,</w:t>
      </w:r>
      <w:r w:rsidR="004D2ED2">
        <w:rPr>
          <w:sz w:val="26"/>
          <w:szCs w:val="26"/>
        </w:rPr>
        <w:t xml:space="preserve"> and </w:t>
      </w:r>
      <w:r>
        <w:rPr>
          <w:sz w:val="26"/>
          <w:szCs w:val="26"/>
        </w:rPr>
        <w:t>c</w:t>
      </w:r>
      <w:r w:rsidR="004D2ED2">
        <w:rPr>
          <w:sz w:val="26"/>
          <w:szCs w:val="26"/>
        </w:rPr>
        <w:t xml:space="preserve">laimed that the Complainant </w:t>
      </w:r>
      <w:r w:rsidR="00977682">
        <w:rPr>
          <w:sz w:val="26"/>
          <w:szCs w:val="26"/>
        </w:rPr>
        <w:t xml:space="preserve">still </w:t>
      </w:r>
      <w:r w:rsidR="004D2ED2">
        <w:rPr>
          <w:sz w:val="26"/>
          <w:szCs w:val="26"/>
        </w:rPr>
        <w:t>owed an outstanding amount of $1,280.40 for previously un</w:t>
      </w:r>
      <w:r w:rsidR="00E569DA">
        <w:rPr>
          <w:sz w:val="26"/>
          <w:szCs w:val="26"/>
        </w:rPr>
        <w:t>billed</w:t>
      </w:r>
      <w:r w:rsidR="004D2ED2">
        <w:rPr>
          <w:sz w:val="26"/>
          <w:szCs w:val="26"/>
        </w:rPr>
        <w:t xml:space="preserve"> gas usage.  </w:t>
      </w:r>
    </w:p>
    <w:p w:rsidR="0057156F" w:rsidRDefault="0057156F" w:rsidP="00593A78">
      <w:pPr>
        <w:widowControl/>
        <w:spacing w:line="360" w:lineRule="auto"/>
        <w:ind w:firstLine="1440"/>
        <w:contextualSpacing/>
        <w:rPr>
          <w:sz w:val="26"/>
          <w:szCs w:val="26"/>
        </w:rPr>
      </w:pPr>
    </w:p>
    <w:p w:rsidR="0057156F" w:rsidRDefault="004D2ED2" w:rsidP="00593A78">
      <w:pPr>
        <w:widowControl/>
        <w:spacing w:line="360" w:lineRule="auto"/>
        <w:ind w:firstLine="1440"/>
        <w:contextualSpacing/>
        <w:rPr>
          <w:sz w:val="26"/>
          <w:szCs w:val="26"/>
        </w:rPr>
      </w:pPr>
      <w:r>
        <w:rPr>
          <w:sz w:val="26"/>
          <w:szCs w:val="26"/>
        </w:rPr>
        <w:t>As relief, the Complainant requested that his revised billed charges</w:t>
      </w:r>
      <w:r w:rsidR="0057156F">
        <w:rPr>
          <w:sz w:val="26"/>
          <w:szCs w:val="26"/>
        </w:rPr>
        <w:t xml:space="preserve">, which are </w:t>
      </w:r>
      <w:r w:rsidR="00977682">
        <w:rPr>
          <w:sz w:val="26"/>
          <w:szCs w:val="26"/>
        </w:rPr>
        <w:t>related to his make-up bill</w:t>
      </w:r>
      <w:r w:rsidR="0057156F">
        <w:rPr>
          <w:sz w:val="26"/>
          <w:szCs w:val="26"/>
        </w:rPr>
        <w:t>,</w:t>
      </w:r>
      <w:r>
        <w:rPr>
          <w:sz w:val="26"/>
          <w:szCs w:val="26"/>
        </w:rPr>
        <w:t xml:space="preserve"> be removed from his account and that his account be credited in the amount of $781.01 </w:t>
      </w:r>
      <w:r w:rsidR="0057156F">
        <w:rPr>
          <w:sz w:val="26"/>
          <w:szCs w:val="26"/>
        </w:rPr>
        <w:t xml:space="preserve">for the </w:t>
      </w:r>
      <w:r>
        <w:rPr>
          <w:sz w:val="26"/>
          <w:szCs w:val="26"/>
        </w:rPr>
        <w:t xml:space="preserve">advance payments </w:t>
      </w:r>
      <w:r w:rsidR="0057156F">
        <w:rPr>
          <w:sz w:val="26"/>
          <w:szCs w:val="26"/>
        </w:rPr>
        <w:t>he had made for his gas usage.</w:t>
      </w:r>
    </w:p>
    <w:p w:rsidR="0057156F" w:rsidRDefault="0057156F" w:rsidP="00593A78">
      <w:pPr>
        <w:widowControl/>
        <w:spacing w:line="360" w:lineRule="auto"/>
        <w:ind w:firstLine="1440"/>
        <w:contextualSpacing/>
        <w:rPr>
          <w:sz w:val="26"/>
          <w:szCs w:val="26"/>
        </w:rPr>
      </w:pPr>
    </w:p>
    <w:p w:rsidR="00713192" w:rsidRDefault="004D2ED2" w:rsidP="00593A78">
      <w:pPr>
        <w:widowControl/>
        <w:spacing w:line="360" w:lineRule="auto"/>
        <w:ind w:firstLine="1440"/>
        <w:contextualSpacing/>
        <w:rPr>
          <w:sz w:val="26"/>
          <w:szCs w:val="26"/>
        </w:rPr>
      </w:pPr>
      <w:r>
        <w:rPr>
          <w:sz w:val="26"/>
          <w:szCs w:val="26"/>
        </w:rPr>
        <w:t>The Complainant emphasized that he continued to dispute the outsta</w:t>
      </w:r>
      <w:r w:rsidR="005C5722">
        <w:rPr>
          <w:sz w:val="26"/>
          <w:szCs w:val="26"/>
        </w:rPr>
        <w:t xml:space="preserve">nding balance for the following </w:t>
      </w:r>
      <w:r w:rsidR="0057156F">
        <w:rPr>
          <w:sz w:val="26"/>
          <w:szCs w:val="26"/>
        </w:rPr>
        <w:t xml:space="preserve">alleged </w:t>
      </w:r>
      <w:r w:rsidR="005C5722">
        <w:rPr>
          <w:sz w:val="26"/>
          <w:szCs w:val="26"/>
        </w:rPr>
        <w:t xml:space="preserve">reasons: (1) PGW’s representative would not permit him to review his meter readings before installing a new meter; (2) </w:t>
      </w:r>
      <w:r w:rsidR="005E374E">
        <w:rPr>
          <w:sz w:val="26"/>
          <w:szCs w:val="26"/>
        </w:rPr>
        <w:t>It is t</w:t>
      </w:r>
      <w:r w:rsidR="005C5722">
        <w:rPr>
          <w:sz w:val="26"/>
          <w:szCs w:val="26"/>
        </w:rPr>
        <w:t xml:space="preserve">he obligation of a utility to obtain an actual meter reading every six months; (3) PGW’s description of charges was not supported by evidence; and (4) </w:t>
      </w:r>
      <w:r w:rsidR="005E374E">
        <w:rPr>
          <w:sz w:val="26"/>
          <w:szCs w:val="26"/>
        </w:rPr>
        <w:t>T</w:t>
      </w:r>
      <w:r w:rsidR="005C5722">
        <w:rPr>
          <w:sz w:val="26"/>
          <w:szCs w:val="26"/>
        </w:rPr>
        <w:t>he revised</w:t>
      </w:r>
      <w:r w:rsidR="00CB0071">
        <w:rPr>
          <w:sz w:val="26"/>
          <w:szCs w:val="26"/>
        </w:rPr>
        <w:t xml:space="preserve"> make-up</w:t>
      </w:r>
      <w:r w:rsidR="005C5722">
        <w:rPr>
          <w:sz w:val="26"/>
          <w:szCs w:val="26"/>
        </w:rPr>
        <w:t xml:space="preserve"> bill PGW issued to </w:t>
      </w:r>
      <w:r w:rsidR="005C5722">
        <w:rPr>
          <w:sz w:val="26"/>
          <w:szCs w:val="26"/>
        </w:rPr>
        <w:lastRenderedPageBreak/>
        <w:t xml:space="preserve">him was not supported by evidence and did not contain a detailed description of charges.  Complaint at 2-4.  </w:t>
      </w:r>
    </w:p>
    <w:p w:rsidR="005C5722" w:rsidRDefault="005C5722" w:rsidP="00593A78">
      <w:pPr>
        <w:widowControl/>
        <w:spacing w:line="360" w:lineRule="auto"/>
        <w:ind w:firstLine="1440"/>
        <w:contextualSpacing/>
        <w:rPr>
          <w:sz w:val="26"/>
          <w:szCs w:val="26"/>
        </w:rPr>
      </w:pPr>
    </w:p>
    <w:p w:rsidR="005C5722" w:rsidRPr="00A854E5" w:rsidRDefault="005C5722" w:rsidP="00593A78">
      <w:pPr>
        <w:widowControl/>
        <w:spacing w:line="360" w:lineRule="auto"/>
        <w:ind w:firstLine="1440"/>
        <w:contextualSpacing/>
        <w:rPr>
          <w:sz w:val="26"/>
          <w:szCs w:val="26"/>
        </w:rPr>
      </w:pPr>
      <w:r>
        <w:rPr>
          <w:sz w:val="26"/>
          <w:szCs w:val="26"/>
        </w:rPr>
        <w:t xml:space="preserve">On October 29, 2012, PGW filed an Answer to the Complaint.  In its Answer, PGW admitted that a representative visited the Service Address for </w:t>
      </w:r>
      <w:r w:rsidR="001F754F">
        <w:rPr>
          <w:sz w:val="26"/>
          <w:szCs w:val="26"/>
        </w:rPr>
        <w:t xml:space="preserve">requested </w:t>
      </w:r>
      <w:r>
        <w:rPr>
          <w:sz w:val="26"/>
          <w:szCs w:val="26"/>
        </w:rPr>
        <w:t>repairs</w:t>
      </w:r>
      <w:r w:rsidR="005E374E">
        <w:rPr>
          <w:sz w:val="26"/>
          <w:szCs w:val="26"/>
        </w:rPr>
        <w:t>,</w:t>
      </w:r>
      <w:r w:rsidR="0015666E">
        <w:rPr>
          <w:sz w:val="26"/>
          <w:szCs w:val="26"/>
        </w:rPr>
        <w:t xml:space="preserve"> which PGW</w:t>
      </w:r>
      <w:r>
        <w:rPr>
          <w:sz w:val="26"/>
          <w:szCs w:val="26"/>
        </w:rPr>
        <w:t xml:space="preserve"> determined were not covered by the Complainant’s “</w:t>
      </w:r>
      <w:r w:rsidR="0015666E">
        <w:rPr>
          <w:sz w:val="26"/>
          <w:szCs w:val="26"/>
        </w:rPr>
        <w:t>Parts and Labor Plan</w:t>
      </w:r>
      <w:r>
        <w:rPr>
          <w:sz w:val="26"/>
          <w:szCs w:val="26"/>
        </w:rPr>
        <w:t xml:space="preserve">.”  PGW </w:t>
      </w:r>
      <w:r w:rsidR="005E374E">
        <w:rPr>
          <w:sz w:val="26"/>
          <w:szCs w:val="26"/>
        </w:rPr>
        <w:t xml:space="preserve">also </w:t>
      </w:r>
      <w:r>
        <w:rPr>
          <w:sz w:val="26"/>
          <w:szCs w:val="26"/>
        </w:rPr>
        <w:t>admitted that it: (1) exchanged the meter at the Service Address on July</w:t>
      </w:r>
      <w:r w:rsidR="005E374E">
        <w:rPr>
          <w:sz w:val="26"/>
          <w:szCs w:val="26"/>
        </w:rPr>
        <w:t> </w:t>
      </w:r>
      <w:r>
        <w:rPr>
          <w:sz w:val="26"/>
          <w:szCs w:val="26"/>
        </w:rPr>
        <w:t xml:space="preserve">17, 2012; (2) issued the Complainant a bill in the amount of $5,712.23 for 4,203 ccf of gas usage; </w:t>
      </w:r>
      <w:r w:rsidR="00E63D44">
        <w:rPr>
          <w:sz w:val="26"/>
          <w:szCs w:val="26"/>
        </w:rPr>
        <w:t xml:space="preserve">and </w:t>
      </w:r>
      <w:r>
        <w:rPr>
          <w:sz w:val="26"/>
          <w:szCs w:val="26"/>
        </w:rPr>
        <w:t xml:space="preserve">(3) </w:t>
      </w:r>
      <w:r w:rsidR="00E569DA">
        <w:rPr>
          <w:sz w:val="26"/>
          <w:szCs w:val="26"/>
        </w:rPr>
        <w:t xml:space="preserve">after finishing an investigation, </w:t>
      </w:r>
      <w:r>
        <w:rPr>
          <w:sz w:val="26"/>
          <w:szCs w:val="26"/>
        </w:rPr>
        <w:t>issued a letter to the Complainant explaining that although his meter was accurate, the automatic meter reading device (AMR) attached to the meter was not programmed correctly in that it was only recording half of the meter</w:t>
      </w:r>
      <w:r w:rsidR="001F754F">
        <w:rPr>
          <w:sz w:val="26"/>
          <w:szCs w:val="26"/>
        </w:rPr>
        <w:t>ed</w:t>
      </w:r>
      <w:r>
        <w:rPr>
          <w:sz w:val="26"/>
          <w:szCs w:val="26"/>
        </w:rPr>
        <w:t xml:space="preserve"> usage at </w:t>
      </w:r>
      <w:r w:rsidR="00E569DA">
        <w:rPr>
          <w:sz w:val="26"/>
          <w:szCs w:val="26"/>
        </w:rPr>
        <w:t>his</w:t>
      </w:r>
      <w:r>
        <w:rPr>
          <w:sz w:val="26"/>
          <w:szCs w:val="26"/>
        </w:rPr>
        <w:t xml:space="preserve"> Service Address.  Additionally, PGW </w:t>
      </w:r>
      <w:r w:rsidR="00E63D44">
        <w:rPr>
          <w:sz w:val="26"/>
          <w:szCs w:val="26"/>
        </w:rPr>
        <w:t xml:space="preserve">admitted that </w:t>
      </w:r>
      <w:r w:rsidR="00D975A4">
        <w:rPr>
          <w:sz w:val="26"/>
          <w:szCs w:val="26"/>
        </w:rPr>
        <w:t>it adjusted the Complainant’s bill by $3,683.43</w:t>
      </w:r>
      <w:r w:rsidR="005E374E">
        <w:rPr>
          <w:sz w:val="26"/>
          <w:szCs w:val="26"/>
        </w:rPr>
        <w:t>,</w:t>
      </w:r>
      <w:r w:rsidR="00D975A4">
        <w:rPr>
          <w:sz w:val="26"/>
          <w:szCs w:val="26"/>
        </w:rPr>
        <w:t xml:space="preserve"> and that </w:t>
      </w:r>
      <w:r w:rsidR="00E63D44">
        <w:rPr>
          <w:sz w:val="26"/>
          <w:szCs w:val="26"/>
        </w:rPr>
        <w:t>the Complainant’s outstanding balance included the application of a credit to the Complainant</w:t>
      </w:r>
      <w:r w:rsidR="00E840DC">
        <w:rPr>
          <w:sz w:val="26"/>
          <w:szCs w:val="26"/>
        </w:rPr>
        <w:t>’s outstanding bill</w:t>
      </w:r>
      <w:r w:rsidR="00E63D44">
        <w:rPr>
          <w:sz w:val="26"/>
          <w:szCs w:val="26"/>
        </w:rPr>
        <w:t xml:space="preserve"> in the amount of $781.01.  However, PGW </w:t>
      </w:r>
      <w:r>
        <w:rPr>
          <w:sz w:val="26"/>
          <w:szCs w:val="26"/>
        </w:rPr>
        <w:t xml:space="preserve">disputed the Complainant’s allegation that he was not given an opportunity to review the meter </w:t>
      </w:r>
      <w:r w:rsidR="001F754F">
        <w:rPr>
          <w:sz w:val="26"/>
          <w:szCs w:val="26"/>
        </w:rPr>
        <w:t xml:space="preserve">reading </w:t>
      </w:r>
      <w:r>
        <w:rPr>
          <w:sz w:val="26"/>
          <w:szCs w:val="26"/>
        </w:rPr>
        <w:t>prior to the exchange.  Further</w:t>
      </w:r>
      <w:r w:rsidRPr="00A854E5">
        <w:rPr>
          <w:sz w:val="26"/>
          <w:szCs w:val="26"/>
        </w:rPr>
        <w:t xml:space="preserve">, PGW averred that </w:t>
      </w:r>
      <w:r w:rsidR="00E840DC">
        <w:rPr>
          <w:sz w:val="26"/>
          <w:szCs w:val="26"/>
        </w:rPr>
        <w:t xml:space="preserve">all of </w:t>
      </w:r>
      <w:r w:rsidRPr="00A854E5">
        <w:rPr>
          <w:sz w:val="26"/>
          <w:szCs w:val="26"/>
        </w:rPr>
        <w:t>the Complainant’s bills were based on actual readings transmitted by the AMR</w:t>
      </w:r>
      <w:r w:rsidR="00977682">
        <w:rPr>
          <w:sz w:val="26"/>
          <w:szCs w:val="26"/>
        </w:rPr>
        <w:t xml:space="preserve"> device</w:t>
      </w:r>
      <w:r w:rsidRPr="00A854E5">
        <w:rPr>
          <w:sz w:val="26"/>
          <w:szCs w:val="26"/>
        </w:rPr>
        <w:t>.</w:t>
      </w:r>
      <w:r w:rsidR="00A854E5" w:rsidRPr="00A854E5">
        <w:rPr>
          <w:rStyle w:val="FootnoteReference"/>
          <w:sz w:val="26"/>
          <w:szCs w:val="26"/>
        </w:rPr>
        <w:footnoteReference w:id="1"/>
      </w:r>
      <w:r w:rsidRPr="00A854E5">
        <w:rPr>
          <w:sz w:val="26"/>
          <w:szCs w:val="26"/>
        </w:rPr>
        <w:t xml:space="preserve">  </w:t>
      </w:r>
    </w:p>
    <w:p w:rsidR="00BB1FFD" w:rsidRPr="00A854E5" w:rsidRDefault="00BB1FFD" w:rsidP="00593A78">
      <w:pPr>
        <w:widowControl/>
        <w:spacing w:line="360" w:lineRule="auto"/>
        <w:ind w:firstLine="1440"/>
        <w:contextualSpacing/>
        <w:rPr>
          <w:sz w:val="26"/>
          <w:szCs w:val="26"/>
        </w:rPr>
      </w:pPr>
    </w:p>
    <w:p w:rsidR="00BB1FFD" w:rsidRPr="00BB1FFD" w:rsidRDefault="00BB1FFD" w:rsidP="00593A78">
      <w:pPr>
        <w:widowControl/>
        <w:spacing w:line="360" w:lineRule="auto"/>
        <w:ind w:firstLine="1440"/>
        <w:contextualSpacing/>
        <w:rPr>
          <w:sz w:val="26"/>
          <w:szCs w:val="26"/>
        </w:rPr>
      </w:pPr>
      <w:r w:rsidRPr="00A854E5">
        <w:rPr>
          <w:sz w:val="26"/>
          <w:szCs w:val="26"/>
        </w:rPr>
        <w:t xml:space="preserve">On March 11, 2013, a hearing was held in this matter.  The Complainant appeared </w:t>
      </w:r>
      <w:r w:rsidRPr="00A854E5">
        <w:rPr>
          <w:i/>
          <w:sz w:val="26"/>
          <w:szCs w:val="26"/>
        </w:rPr>
        <w:t>pro se</w:t>
      </w:r>
      <w:r w:rsidRPr="00A854E5">
        <w:rPr>
          <w:sz w:val="26"/>
          <w:szCs w:val="26"/>
        </w:rPr>
        <w:t>, and proffered five exhibits.  It was determined that two of the exhibits</w:t>
      </w:r>
      <w:r>
        <w:rPr>
          <w:sz w:val="26"/>
          <w:szCs w:val="26"/>
        </w:rPr>
        <w:t xml:space="preserve"> were actually pleadings in this proceeding and were not admitted into the record.  The remaining three exhibits were admitted into the record.  PGW was represented by counsel </w:t>
      </w:r>
      <w:r>
        <w:rPr>
          <w:sz w:val="26"/>
          <w:szCs w:val="26"/>
        </w:rPr>
        <w:lastRenderedPageBreak/>
        <w:t xml:space="preserve">and offered the testimony of one witness.  </w:t>
      </w:r>
      <w:r w:rsidR="008B7714">
        <w:rPr>
          <w:sz w:val="26"/>
          <w:szCs w:val="26"/>
        </w:rPr>
        <w:t>Additionally</w:t>
      </w:r>
      <w:r>
        <w:rPr>
          <w:sz w:val="26"/>
          <w:szCs w:val="26"/>
        </w:rPr>
        <w:t>, PGW offered eleven exhibits, all of which were admitted into the record.</w:t>
      </w:r>
    </w:p>
    <w:p w:rsidR="00CF1D7C" w:rsidRDefault="00CF1D7C" w:rsidP="00593A78">
      <w:pPr>
        <w:widowControl/>
        <w:spacing w:line="360" w:lineRule="auto"/>
        <w:ind w:firstLine="1440"/>
        <w:contextualSpacing/>
        <w:rPr>
          <w:sz w:val="26"/>
          <w:szCs w:val="26"/>
        </w:rPr>
      </w:pPr>
    </w:p>
    <w:p w:rsidR="00CF1D7C" w:rsidRDefault="00CF1D7C" w:rsidP="00593A78">
      <w:pPr>
        <w:widowControl/>
        <w:spacing w:line="360" w:lineRule="auto"/>
        <w:ind w:firstLine="1440"/>
        <w:contextualSpacing/>
        <w:rPr>
          <w:sz w:val="26"/>
          <w:szCs w:val="26"/>
        </w:rPr>
      </w:pPr>
      <w:r>
        <w:rPr>
          <w:sz w:val="26"/>
          <w:szCs w:val="26"/>
        </w:rPr>
        <w:t xml:space="preserve">On June 5, 2013, the Commission issued the Initial Decision of ALJ Jones in which she sustained the Complaint, in part, and dismissed it, </w:t>
      </w:r>
      <w:r w:rsidR="00924D36">
        <w:rPr>
          <w:sz w:val="26"/>
          <w:szCs w:val="26"/>
        </w:rPr>
        <w:t>in part.  As previously noted, t</w:t>
      </w:r>
      <w:r>
        <w:rPr>
          <w:sz w:val="26"/>
          <w:szCs w:val="26"/>
        </w:rPr>
        <w:t>he Complainant filed Exceptions on June 25, 2013.  PGW did not file Replies to Exceptions.</w:t>
      </w:r>
      <w:r>
        <w:rPr>
          <w:rStyle w:val="FootnoteReference"/>
          <w:sz w:val="26"/>
          <w:szCs w:val="26"/>
        </w:rPr>
        <w:footnoteReference w:id="2"/>
      </w:r>
    </w:p>
    <w:p w:rsidR="00CF1D7C" w:rsidRDefault="00CF1D7C" w:rsidP="00593A78">
      <w:pPr>
        <w:widowControl/>
        <w:spacing w:line="360" w:lineRule="auto"/>
        <w:ind w:firstLine="1440"/>
        <w:contextualSpacing/>
        <w:rPr>
          <w:sz w:val="26"/>
          <w:szCs w:val="26"/>
        </w:rPr>
      </w:pPr>
    </w:p>
    <w:p w:rsidR="0000302E" w:rsidRPr="005B05E3" w:rsidRDefault="0000302E" w:rsidP="00593A78">
      <w:pPr>
        <w:widowControl/>
        <w:spacing w:line="360" w:lineRule="auto"/>
        <w:contextualSpacing/>
        <w:jc w:val="center"/>
        <w:rPr>
          <w:b/>
          <w:sz w:val="26"/>
          <w:szCs w:val="26"/>
        </w:rPr>
      </w:pPr>
      <w:r w:rsidRPr="005B05E3">
        <w:rPr>
          <w:b/>
          <w:sz w:val="26"/>
          <w:szCs w:val="26"/>
        </w:rPr>
        <w:t>Discussion</w:t>
      </w:r>
    </w:p>
    <w:p w:rsidR="0000302E" w:rsidRPr="005B05E3" w:rsidRDefault="0000302E" w:rsidP="00593A78">
      <w:pPr>
        <w:widowControl/>
        <w:spacing w:line="360" w:lineRule="auto"/>
        <w:contextualSpacing/>
        <w:rPr>
          <w:b/>
          <w:sz w:val="26"/>
          <w:szCs w:val="26"/>
        </w:rPr>
      </w:pPr>
    </w:p>
    <w:p w:rsidR="0000302E" w:rsidRPr="005B05E3" w:rsidRDefault="0000302E" w:rsidP="00593A78">
      <w:pPr>
        <w:widowControl/>
        <w:spacing w:line="360" w:lineRule="auto"/>
        <w:contextualSpacing/>
        <w:rPr>
          <w:b/>
          <w:sz w:val="26"/>
          <w:szCs w:val="26"/>
        </w:rPr>
      </w:pPr>
      <w:r w:rsidRPr="005B05E3">
        <w:rPr>
          <w:b/>
          <w:sz w:val="26"/>
          <w:szCs w:val="26"/>
        </w:rPr>
        <w:t>Legal Standards</w:t>
      </w:r>
    </w:p>
    <w:p w:rsidR="0000302E" w:rsidRPr="005B05E3" w:rsidRDefault="0000302E" w:rsidP="00593A78">
      <w:pPr>
        <w:widowControl/>
        <w:spacing w:line="360" w:lineRule="auto"/>
        <w:contextualSpacing/>
        <w:rPr>
          <w:sz w:val="26"/>
          <w:szCs w:val="26"/>
        </w:rPr>
      </w:pPr>
    </w:p>
    <w:p w:rsidR="0000302E" w:rsidRPr="005B05E3" w:rsidRDefault="0000302E" w:rsidP="00593A78">
      <w:pPr>
        <w:widowControl/>
        <w:spacing w:line="360" w:lineRule="auto"/>
        <w:ind w:firstLine="1440"/>
        <w:contextualSpacing/>
        <w:rPr>
          <w:sz w:val="26"/>
          <w:szCs w:val="26"/>
        </w:rPr>
      </w:pPr>
      <w:r w:rsidRPr="005B05E3">
        <w:rPr>
          <w:sz w:val="26"/>
          <w:szCs w:val="26"/>
        </w:rPr>
        <w:t xml:space="preserve">As the proponent of a rule or order, the Complainant in this proceeding bears the burden of proof pursuant to Section 332(a) of the </w:t>
      </w:r>
      <w:r>
        <w:rPr>
          <w:sz w:val="26"/>
          <w:szCs w:val="26"/>
        </w:rPr>
        <w:t>Code</w:t>
      </w:r>
      <w:r w:rsidRPr="005B05E3">
        <w:rPr>
          <w:sz w:val="26"/>
          <w:szCs w:val="26"/>
        </w:rPr>
        <w:t xml:space="preserve">, 66 Pa. C.S. § 332(a).  To establish a sufficient case and satisfy the burden of proof, the Complainant must show that PGW is responsible or accountable for the problem described in the Complaint.  </w:t>
      </w:r>
      <w:r w:rsidRPr="005B05E3">
        <w:rPr>
          <w:i/>
          <w:sz w:val="26"/>
          <w:szCs w:val="26"/>
        </w:rPr>
        <w:t>Patterson v. The Bell Telephone Company of Pennsylvania</w:t>
      </w:r>
      <w:r w:rsidRPr="005B05E3">
        <w:rPr>
          <w:sz w:val="26"/>
          <w:szCs w:val="26"/>
        </w:rPr>
        <w:t xml:space="preserve">, 72 Pa. P.U.C. 196 (1990).  Such a showing must be by a preponderance of the evidence.  </w:t>
      </w:r>
      <w:r w:rsidRPr="005B05E3">
        <w:rPr>
          <w:i/>
          <w:iCs/>
          <w:sz w:val="26"/>
          <w:szCs w:val="26"/>
        </w:rPr>
        <w:t>Samuel J. Lansberry, Inc. v. Pa. PUC</w:t>
      </w:r>
      <w:r w:rsidRPr="005B05E3">
        <w:rPr>
          <w:sz w:val="26"/>
          <w:szCs w:val="26"/>
        </w:rPr>
        <w:t xml:space="preserve">, 578 A.2d 600 (Pa. Cmwlth. 1990), </w:t>
      </w:r>
      <w:r w:rsidRPr="005B05E3">
        <w:rPr>
          <w:i/>
          <w:sz w:val="26"/>
          <w:szCs w:val="26"/>
        </w:rPr>
        <w:t>alloc. denied,</w:t>
      </w:r>
      <w:r w:rsidRPr="005B05E3">
        <w:rPr>
          <w:sz w:val="26"/>
          <w:szCs w:val="26"/>
        </w:rPr>
        <w:t xml:space="preserve"> 529 Pa. 654, 602 A.2d 863 (1992).  That is, the Complainant’s evidence must be more convincing, by even the smallest amount, than that presented by PGW.  </w:t>
      </w:r>
      <w:r w:rsidRPr="005B05E3">
        <w:rPr>
          <w:i/>
          <w:sz w:val="26"/>
          <w:szCs w:val="26"/>
        </w:rPr>
        <w:t>Se-Ling Hosiery, Inc. v. Margulies</w:t>
      </w:r>
      <w:r w:rsidRPr="005B05E3">
        <w:rPr>
          <w:sz w:val="26"/>
          <w:szCs w:val="26"/>
        </w:rPr>
        <w:t xml:space="preserve">, 364 Pa. 45, 70 A.2d 854 (1950).  Additionally, this Commission’s decision must be supported by substantial evidence in the record.  More is required than a mere trace of evidence or a </w:t>
      </w:r>
      <w:r w:rsidRPr="005B05E3">
        <w:rPr>
          <w:sz w:val="26"/>
          <w:szCs w:val="26"/>
        </w:rPr>
        <w:lastRenderedPageBreak/>
        <w:t xml:space="preserve">suspicion of the existence of a fact sought to be established.  </w:t>
      </w:r>
      <w:r w:rsidRPr="005B05E3">
        <w:rPr>
          <w:i/>
          <w:sz w:val="26"/>
          <w:szCs w:val="26"/>
        </w:rPr>
        <w:t xml:space="preserve">Norfolk &amp; Western Ry. Co. v. Pa. PUC, </w:t>
      </w:r>
      <w:r w:rsidRPr="005B05E3">
        <w:rPr>
          <w:sz w:val="26"/>
          <w:szCs w:val="26"/>
        </w:rPr>
        <w:t>489 Pa. 109, 413 A.2d 1037 (1980).</w:t>
      </w:r>
    </w:p>
    <w:p w:rsidR="0000302E" w:rsidRPr="005B05E3" w:rsidRDefault="0000302E" w:rsidP="00593A78">
      <w:pPr>
        <w:widowControl/>
        <w:spacing w:line="360" w:lineRule="auto"/>
        <w:contextualSpacing/>
        <w:rPr>
          <w:sz w:val="26"/>
          <w:szCs w:val="26"/>
        </w:rPr>
      </w:pPr>
    </w:p>
    <w:p w:rsidR="0000302E" w:rsidRPr="005B05E3" w:rsidRDefault="0000302E" w:rsidP="00593A78">
      <w:pPr>
        <w:widowControl/>
        <w:spacing w:line="360" w:lineRule="auto"/>
        <w:ind w:firstLine="1440"/>
        <w:contextualSpacing/>
        <w:rPr>
          <w:rFonts w:ascii="Times New (W1)" w:hAnsi="Times New (W1)"/>
          <w:i/>
          <w:sz w:val="26"/>
        </w:rPr>
      </w:pPr>
      <w:r w:rsidRPr="005B05E3">
        <w:rPr>
          <w:sz w:val="26"/>
        </w:rPr>
        <w:t xml:space="preserve">Upon the presentation by the Complainant of evidence sufficient to initially satisfy the burden of proof, the burden of going forward with the evidence to rebut the evidence of the customer shifts to PGW.  If the evidence presented by PGW is of co-equal value or “weight,” the burden of proof has not been satisfied. </w:t>
      </w:r>
      <w:r>
        <w:rPr>
          <w:sz w:val="26"/>
        </w:rPr>
        <w:t xml:space="preserve"> </w:t>
      </w:r>
      <w:r w:rsidRPr="005B05E3">
        <w:rPr>
          <w:sz w:val="26"/>
        </w:rPr>
        <w:t xml:space="preserve">The Complainant now has to provide some additional evidence to rebut that of PGW. </w:t>
      </w:r>
      <w:r w:rsidRPr="005B05E3">
        <w:rPr>
          <w:iCs/>
          <w:sz w:val="26"/>
        </w:rPr>
        <w:t xml:space="preserve"> </w:t>
      </w:r>
      <w:r w:rsidRPr="00E569DA">
        <w:rPr>
          <w:rFonts w:ascii="Times New (W1)" w:hAnsi="Times New (W1)"/>
          <w:i/>
          <w:iCs/>
          <w:sz w:val="26"/>
        </w:rPr>
        <w:t>Burleson v. Pa. PUC,</w:t>
      </w:r>
      <w:r w:rsidRPr="00E569DA">
        <w:rPr>
          <w:rFonts w:ascii="Times New (W1)" w:hAnsi="Times New (W1)"/>
          <w:iCs/>
          <w:sz w:val="26"/>
        </w:rPr>
        <w:t xml:space="preserve"> 443 A.2d 1373 (Pa. Cmwlth. 1982), </w:t>
      </w:r>
      <w:r w:rsidRPr="00E569DA">
        <w:rPr>
          <w:rFonts w:ascii="Times New (W1)" w:hAnsi="Times New (W1)"/>
          <w:i/>
          <w:iCs/>
          <w:sz w:val="26"/>
        </w:rPr>
        <w:t>aff’d,</w:t>
      </w:r>
      <w:r w:rsidRPr="00E569DA">
        <w:rPr>
          <w:rFonts w:ascii="Times New (W1)" w:hAnsi="Times New (W1)"/>
          <w:iCs/>
          <w:sz w:val="26"/>
        </w:rPr>
        <w:t xml:space="preserve"> 501 Pa. 433, 461 A.2d 1234 (1983).</w:t>
      </w:r>
    </w:p>
    <w:p w:rsidR="0000302E" w:rsidRPr="005B05E3" w:rsidRDefault="0000302E" w:rsidP="00593A78">
      <w:pPr>
        <w:widowControl/>
        <w:spacing w:line="360" w:lineRule="auto"/>
        <w:ind w:firstLine="1440"/>
        <w:contextualSpacing/>
        <w:rPr>
          <w:sz w:val="26"/>
        </w:rPr>
      </w:pPr>
    </w:p>
    <w:p w:rsidR="00DE2A11" w:rsidRDefault="0000302E" w:rsidP="00593A78">
      <w:pPr>
        <w:widowControl/>
        <w:spacing w:line="360" w:lineRule="auto"/>
        <w:ind w:firstLine="1440"/>
        <w:contextualSpacing/>
        <w:rPr>
          <w:sz w:val="26"/>
          <w:szCs w:val="26"/>
        </w:rPr>
      </w:pPr>
      <w:r w:rsidRPr="005B05E3">
        <w:rPr>
          <w:sz w:val="26"/>
        </w:rPr>
        <w:t xml:space="preserve">While the burden of going forward with the evidence may </w:t>
      </w:r>
      <w:r w:rsidRPr="005B05E3">
        <w:rPr>
          <w:rStyle w:val="term1"/>
          <w:b w:val="0"/>
          <w:bCs w:val="0"/>
          <w:sz w:val="26"/>
        </w:rPr>
        <w:t>shift</w:t>
      </w:r>
      <w:r w:rsidRPr="005B05E3">
        <w:rPr>
          <w:sz w:val="26"/>
        </w:rPr>
        <w:t xml:space="preserve"> back and forth during a proceeding, the </w:t>
      </w:r>
      <w:r w:rsidRPr="005B05E3">
        <w:rPr>
          <w:rStyle w:val="term1"/>
          <w:b w:val="0"/>
          <w:bCs w:val="0"/>
          <w:sz w:val="26"/>
        </w:rPr>
        <w:t>burden of proof</w:t>
      </w:r>
      <w:r w:rsidRPr="005B05E3">
        <w:rPr>
          <w:sz w:val="26"/>
        </w:rPr>
        <w:t xml:space="preserve"> never </w:t>
      </w:r>
      <w:r w:rsidRPr="005B05E3">
        <w:rPr>
          <w:rStyle w:val="term1"/>
          <w:b w:val="0"/>
          <w:bCs w:val="0"/>
          <w:sz w:val="26"/>
        </w:rPr>
        <w:t>shifts.  The burden of proof</w:t>
      </w:r>
      <w:r w:rsidRPr="005B05E3">
        <w:rPr>
          <w:sz w:val="26"/>
        </w:rPr>
        <w:t xml:space="preserve"> always remains on the party seeking affirmative relief from the Commission.  </w:t>
      </w:r>
      <w:r w:rsidRPr="005B05E3">
        <w:rPr>
          <w:i/>
          <w:sz w:val="26"/>
        </w:rPr>
        <w:t xml:space="preserve">Milkie v. Pa. PUC, </w:t>
      </w:r>
      <w:r w:rsidRPr="005B05E3">
        <w:rPr>
          <w:sz w:val="26"/>
        </w:rPr>
        <w:t>768 A.2d 1217 (Pa. Cmwlth. 2001).</w:t>
      </w:r>
    </w:p>
    <w:p w:rsidR="0000302E" w:rsidRDefault="0000302E" w:rsidP="00593A78">
      <w:pPr>
        <w:widowControl/>
        <w:spacing w:line="360" w:lineRule="auto"/>
        <w:contextualSpacing/>
        <w:rPr>
          <w:b/>
          <w:sz w:val="26"/>
          <w:szCs w:val="26"/>
        </w:rPr>
      </w:pPr>
    </w:p>
    <w:p w:rsidR="00006F35" w:rsidRPr="008F78A8" w:rsidRDefault="007756C7" w:rsidP="00593A78">
      <w:pPr>
        <w:widowControl/>
        <w:spacing w:line="360" w:lineRule="auto"/>
        <w:contextualSpacing/>
        <w:rPr>
          <w:b/>
          <w:sz w:val="26"/>
          <w:szCs w:val="26"/>
        </w:rPr>
      </w:pPr>
      <w:r w:rsidRPr="008F78A8">
        <w:rPr>
          <w:b/>
          <w:sz w:val="26"/>
          <w:szCs w:val="26"/>
        </w:rPr>
        <w:t>ALJ’s Initial Decision</w:t>
      </w:r>
    </w:p>
    <w:p w:rsidR="00006F35" w:rsidRDefault="00006F35" w:rsidP="00593A78">
      <w:pPr>
        <w:widowControl/>
        <w:spacing w:line="360" w:lineRule="auto"/>
        <w:ind w:firstLine="1440"/>
        <w:contextualSpacing/>
        <w:rPr>
          <w:sz w:val="26"/>
          <w:szCs w:val="26"/>
        </w:rPr>
      </w:pPr>
    </w:p>
    <w:p w:rsidR="00087CC1" w:rsidRPr="00087CC1" w:rsidRDefault="00087CC1" w:rsidP="00593A78">
      <w:pPr>
        <w:widowControl/>
        <w:spacing w:line="360" w:lineRule="auto"/>
        <w:ind w:firstLine="1440"/>
        <w:contextualSpacing/>
        <w:rPr>
          <w:sz w:val="26"/>
          <w:szCs w:val="26"/>
        </w:rPr>
      </w:pPr>
      <w:r w:rsidRPr="00087CC1">
        <w:rPr>
          <w:sz w:val="26"/>
          <w:szCs w:val="26"/>
        </w:rPr>
        <w:t xml:space="preserve">ALJ </w:t>
      </w:r>
      <w:r w:rsidR="0000302E">
        <w:rPr>
          <w:sz w:val="26"/>
          <w:szCs w:val="26"/>
        </w:rPr>
        <w:t>Jones</w:t>
      </w:r>
      <w:r>
        <w:rPr>
          <w:sz w:val="26"/>
          <w:szCs w:val="26"/>
        </w:rPr>
        <w:t xml:space="preserve"> </w:t>
      </w:r>
      <w:r w:rsidRPr="00087CC1">
        <w:rPr>
          <w:sz w:val="26"/>
          <w:szCs w:val="26"/>
        </w:rPr>
        <w:t xml:space="preserve">made </w:t>
      </w:r>
      <w:r w:rsidR="00C53E91">
        <w:rPr>
          <w:sz w:val="26"/>
          <w:szCs w:val="26"/>
        </w:rPr>
        <w:t>thirty-one</w:t>
      </w:r>
      <w:r w:rsidRPr="00087CC1">
        <w:rPr>
          <w:sz w:val="26"/>
          <w:szCs w:val="26"/>
        </w:rPr>
        <w:t xml:space="preserve"> Findings of Fact and reached </w:t>
      </w:r>
      <w:r w:rsidR="00C53E91">
        <w:rPr>
          <w:sz w:val="26"/>
          <w:szCs w:val="26"/>
        </w:rPr>
        <w:t>six</w:t>
      </w:r>
      <w:r w:rsidRPr="00087CC1">
        <w:rPr>
          <w:sz w:val="26"/>
          <w:szCs w:val="26"/>
        </w:rPr>
        <w:t xml:space="preserve"> Conclusions of Law.  I.D. at </w:t>
      </w:r>
      <w:r w:rsidR="00C53E91">
        <w:rPr>
          <w:sz w:val="26"/>
          <w:szCs w:val="26"/>
        </w:rPr>
        <w:t>5-10, 19-20</w:t>
      </w:r>
      <w:r w:rsidRPr="00087CC1">
        <w:rPr>
          <w:sz w:val="26"/>
          <w:szCs w:val="26"/>
        </w:rPr>
        <w:t>.  The Findings of Fact and Conclusions of Law are incorporated herein by reference and are adopted without comment unless they are either expressly or by necessary implication rejected or modified by this Opinion and Order</w:t>
      </w:r>
      <w:r>
        <w:rPr>
          <w:sz w:val="26"/>
          <w:szCs w:val="26"/>
        </w:rPr>
        <w:t>.</w:t>
      </w:r>
    </w:p>
    <w:p w:rsidR="00087CC1" w:rsidRPr="00027BAA" w:rsidRDefault="00087CC1" w:rsidP="00593A78">
      <w:pPr>
        <w:keepNext/>
        <w:widowControl/>
        <w:spacing w:line="360" w:lineRule="auto"/>
        <w:ind w:firstLine="1440"/>
        <w:contextualSpacing/>
        <w:rPr>
          <w:sz w:val="26"/>
          <w:szCs w:val="26"/>
        </w:rPr>
      </w:pPr>
    </w:p>
    <w:p w:rsidR="00531955" w:rsidRDefault="008B7714" w:rsidP="00593A78">
      <w:pPr>
        <w:widowControl/>
        <w:spacing w:line="360" w:lineRule="auto"/>
        <w:ind w:firstLine="1440"/>
        <w:contextualSpacing/>
        <w:rPr>
          <w:sz w:val="26"/>
          <w:szCs w:val="26"/>
        </w:rPr>
      </w:pPr>
      <w:r>
        <w:rPr>
          <w:sz w:val="26"/>
          <w:szCs w:val="26"/>
        </w:rPr>
        <w:t>Initially</w:t>
      </w:r>
      <w:r w:rsidR="00FC5E92" w:rsidRPr="00F24F83">
        <w:rPr>
          <w:sz w:val="26"/>
          <w:szCs w:val="26"/>
        </w:rPr>
        <w:t xml:space="preserve">, ALJ </w:t>
      </w:r>
      <w:r w:rsidR="0000302E">
        <w:rPr>
          <w:sz w:val="26"/>
          <w:szCs w:val="26"/>
        </w:rPr>
        <w:t>Jones</w:t>
      </w:r>
      <w:r w:rsidR="00AB508E">
        <w:rPr>
          <w:sz w:val="26"/>
          <w:szCs w:val="26"/>
        </w:rPr>
        <w:t xml:space="preserve"> </w:t>
      </w:r>
      <w:r w:rsidR="00621A95">
        <w:rPr>
          <w:sz w:val="26"/>
          <w:szCs w:val="26"/>
        </w:rPr>
        <w:t>consider</w:t>
      </w:r>
      <w:r w:rsidR="00AB508E">
        <w:rPr>
          <w:sz w:val="26"/>
          <w:szCs w:val="26"/>
        </w:rPr>
        <w:t xml:space="preserve">ed the Complainant’s allegation that PGW’s representative would not permit him to review </w:t>
      </w:r>
      <w:r w:rsidR="00B17659">
        <w:rPr>
          <w:sz w:val="26"/>
          <w:szCs w:val="26"/>
        </w:rPr>
        <w:t>the reading of the index on his meter</w:t>
      </w:r>
      <w:r w:rsidR="00AB508E">
        <w:rPr>
          <w:sz w:val="26"/>
          <w:szCs w:val="26"/>
        </w:rPr>
        <w:t xml:space="preserve"> before</w:t>
      </w:r>
      <w:r w:rsidR="004A196C">
        <w:rPr>
          <w:sz w:val="26"/>
          <w:szCs w:val="26"/>
        </w:rPr>
        <w:t xml:space="preserve"> removing the meter and installing a new one</w:t>
      </w:r>
      <w:r w:rsidR="00AB508E">
        <w:rPr>
          <w:sz w:val="26"/>
          <w:szCs w:val="26"/>
        </w:rPr>
        <w:t xml:space="preserve">.  </w:t>
      </w:r>
      <w:r w:rsidR="00531955">
        <w:rPr>
          <w:sz w:val="26"/>
          <w:szCs w:val="26"/>
        </w:rPr>
        <w:t xml:space="preserve">The ALJ found that although the record evidence indicated that the AMR </w:t>
      </w:r>
      <w:r w:rsidR="004A196C">
        <w:rPr>
          <w:sz w:val="26"/>
          <w:szCs w:val="26"/>
        </w:rPr>
        <w:t xml:space="preserve">device </w:t>
      </w:r>
      <w:r w:rsidR="00B17659">
        <w:rPr>
          <w:sz w:val="26"/>
          <w:szCs w:val="26"/>
        </w:rPr>
        <w:t xml:space="preserve">attached to the Complainant’s meter </w:t>
      </w:r>
      <w:r w:rsidR="00531955">
        <w:rPr>
          <w:sz w:val="26"/>
          <w:szCs w:val="26"/>
        </w:rPr>
        <w:t>was not properly set, there is no policy, statute, or regulation that mandates that a utility show a customer that a meter is malfunctioning while the meter is still connected at the Service Address.  The ALJ also pointed out that after the Complainant disputed his make</w:t>
      </w:r>
      <w:r w:rsidR="00B17659">
        <w:rPr>
          <w:sz w:val="26"/>
          <w:szCs w:val="26"/>
        </w:rPr>
        <w:t>-</w:t>
      </w:r>
      <w:r w:rsidR="00531955">
        <w:rPr>
          <w:sz w:val="26"/>
          <w:szCs w:val="26"/>
        </w:rPr>
        <w:t xml:space="preserve">up bill, </w:t>
      </w:r>
      <w:r w:rsidR="00531955">
        <w:rPr>
          <w:sz w:val="26"/>
          <w:szCs w:val="26"/>
        </w:rPr>
        <w:lastRenderedPageBreak/>
        <w:t xml:space="preserve">PGW tested the meter for accuracy and found the meter to be accurate within the range permitted by our Regulations at 52 Pa. Code § 59.21(g).  </w:t>
      </w:r>
      <w:r w:rsidR="006D7080">
        <w:rPr>
          <w:sz w:val="26"/>
          <w:szCs w:val="26"/>
        </w:rPr>
        <w:t>The</w:t>
      </w:r>
      <w:r w:rsidR="00531955">
        <w:rPr>
          <w:sz w:val="26"/>
          <w:szCs w:val="26"/>
        </w:rPr>
        <w:t xml:space="preserve"> ALJ explained that PGW’s finding indicated a problem with the </w:t>
      </w:r>
      <w:r w:rsidR="005B4380">
        <w:rPr>
          <w:sz w:val="26"/>
          <w:szCs w:val="26"/>
        </w:rPr>
        <w:t xml:space="preserve">AMR </w:t>
      </w:r>
      <w:r w:rsidR="00531955">
        <w:rPr>
          <w:sz w:val="26"/>
          <w:szCs w:val="26"/>
        </w:rPr>
        <w:t>device used to record the usage of gas through the meter</w:t>
      </w:r>
      <w:r w:rsidR="00593A78">
        <w:rPr>
          <w:sz w:val="26"/>
          <w:szCs w:val="26"/>
        </w:rPr>
        <w:t>,</w:t>
      </w:r>
      <w:r w:rsidR="00531955">
        <w:rPr>
          <w:sz w:val="26"/>
          <w:szCs w:val="26"/>
        </w:rPr>
        <w:t xml:space="preserve"> but not with the meter itself.  Further, the ALJ noted that PGW provided the C</w:t>
      </w:r>
      <w:r w:rsidR="00B17659">
        <w:rPr>
          <w:sz w:val="26"/>
          <w:szCs w:val="26"/>
        </w:rPr>
        <w:t>omplainant with the results of</w:t>
      </w:r>
      <w:r w:rsidR="00531955">
        <w:rPr>
          <w:sz w:val="26"/>
          <w:szCs w:val="26"/>
        </w:rPr>
        <w:t xml:space="preserve"> the testing of its equipment.  I.D. at 12-13.</w:t>
      </w:r>
    </w:p>
    <w:p w:rsidR="00AB508E" w:rsidRDefault="00AB508E" w:rsidP="00593A78">
      <w:pPr>
        <w:widowControl/>
        <w:spacing w:line="360" w:lineRule="auto"/>
        <w:ind w:firstLine="1440"/>
        <w:contextualSpacing/>
        <w:rPr>
          <w:sz w:val="26"/>
          <w:szCs w:val="26"/>
        </w:rPr>
      </w:pPr>
    </w:p>
    <w:p w:rsidR="00AB508E" w:rsidRPr="006D7080" w:rsidRDefault="00AB508E" w:rsidP="00593A78">
      <w:pPr>
        <w:widowControl/>
        <w:spacing w:line="360" w:lineRule="auto"/>
        <w:ind w:firstLine="1440"/>
        <w:contextualSpacing/>
        <w:rPr>
          <w:rFonts w:eastAsia="Calibri"/>
          <w:sz w:val="26"/>
          <w:szCs w:val="26"/>
        </w:rPr>
      </w:pPr>
      <w:r>
        <w:rPr>
          <w:sz w:val="26"/>
          <w:szCs w:val="26"/>
        </w:rPr>
        <w:t xml:space="preserve">The ALJ next addressed the Complainant’s dispute of his outstanding </w:t>
      </w:r>
      <w:r w:rsidR="0026324F">
        <w:rPr>
          <w:sz w:val="26"/>
          <w:szCs w:val="26"/>
        </w:rPr>
        <w:t xml:space="preserve">account </w:t>
      </w:r>
      <w:r>
        <w:rPr>
          <w:sz w:val="26"/>
          <w:szCs w:val="26"/>
        </w:rPr>
        <w:t xml:space="preserve">balance </w:t>
      </w:r>
      <w:r w:rsidR="006D7080">
        <w:rPr>
          <w:sz w:val="26"/>
          <w:szCs w:val="26"/>
        </w:rPr>
        <w:t>based on his</w:t>
      </w:r>
      <w:r w:rsidR="00531955">
        <w:rPr>
          <w:sz w:val="26"/>
          <w:szCs w:val="26"/>
        </w:rPr>
        <w:t xml:space="preserve"> contention</w:t>
      </w:r>
      <w:r>
        <w:rPr>
          <w:sz w:val="26"/>
          <w:szCs w:val="26"/>
        </w:rPr>
        <w:t xml:space="preserve"> </w:t>
      </w:r>
      <w:r w:rsidR="00593A78">
        <w:rPr>
          <w:sz w:val="26"/>
          <w:szCs w:val="26"/>
        </w:rPr>
        <w:t>that</w:t>
      </w:r>
      <w:r w:rsidR="00965B9E">
        <w:rPr>
          <w:sz w:val="26"/>
          <w:szCs w:val="26"/>
        </w:rPr>
        <w:t>,</w:t>
      </w:r>
      <w:r w:rsidR="00593A78">
        <w:rPr>
          <w:sz w:val="26"/>
          <w:szCs w:val="26"/>
        </w:rPr>
        <w:t xml:space="preserve"> as outlined in our </w:t>
      </w:r>
      <w:r w:rsidR="006D7080">
        <w:rPr>
          <w:sz w:val="26"/>
          <w:szCs w:val="26"/>
        </w:rPr>
        <w:t>R</w:t>
      </w:r>
      <w:r w:rsidR="0053454E">
        <w:rPr>
          <w:sz w:val="26"/>
          <w:szCs w:val="26"/>
        </w:rPr>
        <w:t>egulations,</w:t>
      </w:r>
      <w:r>
        <w:rPr>
          <w:sz w:val="26"/>
          <w:szCs w:val="26"/>
        </w:rPr>
        <w:t xml:space="preserve"> </w:t>
      </w:r>
      <w:r w:rsidR="0057327A">
        <w:rPr>
          <w:sz w:val="26"/>
          <w:szCs w:val="26"/>
        </w:rPr>
        <w:t>a utility is obligated</w:t>
      </w:r>
      <w:r>
        <w:rPr>
          <w:sz w:val="26"/>
          <w:szCs w:val="26"/>
        </w:rPr>
        <w:t xml:space="preserve"> to obtain an actual meter reading </w:t>
      </w:r>
      <w:r w:rsidR="00306BF4">
        <w:rPr>
          <w:sz w:val="26"/>
          <w:szCs w:val="26"/>
        </w:rPr>
        <w:t xml:space="preserve">at least once </w:t>
      </w:r>
      <w:r>
        <w:rPr>
          <w:sz w:val="26"/>
          <w:szCs w:val="26"/>
        </w:rPr>
        <w:t>every six month</w:t>
      </w:r>
      <w:r w:rsidR="0057327A">
        <w:rPr>
          <w:sz w:val="26"/>
          <w:szCs w:val="26"/>
        </w:rPr>
        <w:t>s.</w:t>
      </w:r>
      <w:r w:rsidR="005B19E0">
        <w:rPr>
          <w:sz w:val="26"/>
          <w:szCs w:val="26"/>
        </w:rPr>
        <w:t xml:space="preserve">  </w:t>
      </w:r>
      <w:r w:rsidR="005B19E0">
        <w:rPr>
          <w:rFonts w:eastAsia="Calibri"/>
          <w:sz w:val="26"/>
          <w:szCs w:val="26"/>
        </w:rPr>
        <w:t xml:space="preserve">Citing our </w:t>
      </w:r>
      <w:r w:rsidR="004926AA">
        <w:rPr>
          <w:rFonts w:eastAsia="Calibri"/>
          <w:sz w:val="26"/>
          <w:szCs w:val="26"/>
        </w:rPr>
        <w:t>R</w:t>
      </w:r>
      <w:r w:rsidR="005B19E0">
        <w:rPr>
          <w:rFonts w:eastAsia="Calibri"/>
          <w:sz w:val="26"/>
          <w:szCs w:val="26"/>
        </w:rPr>
        <w:t xml:space="preserve">egulations at 52 Pa Code </w:t>
      </w:r>
      <w:r w:rsidR="004926AA">
        <w:rPr>
          <w:rFonts w:eastAsia="Calibri"/>
          <w:sz w:val="26"/>
          <w:szCs w:val="26"/>
        </w:rPr>
        <w:t xml:space="preserve">§ 56.2, </w:t>
      </w:r>
      <w:r w:rsidR="006D5BA2">
        <w:rPr>
          <w:rFonts w:eastAsia="Calibri"/>
          <w:sz w:val="26"/>
          <w:szCs w:val="26"/>
        </w:rPr>
        <w:t xml:space="preserve">the ALJ pointed out that an AMR reading is considered to be an actual </w:t>
      </w:r>
      <w:r w:rsidR="005B4380">
        <w:rPr>
          <w:rFonts w:eastAsia="Calibri"/>
          <w:sz w:val="26"/>
          <w:szCs w:val="26"/>
        </w:rPr>
        <w:t>meter reading</w:t>
      </w:r>
      <w:r w:rsidR="006D5BA2">
        <w:rPr>
          <w:rFonts w:eastAsia="Calibri"/>
          <w:sz w:val="26"/>
          <w:szCs w:val="26"/>
        </w:rPr>
        <w:t xml:space="preserve">.  </w:t>
      </w:r>
      <w:r w:rsidR="0053454E">
        <w:rPr>
          <w:rFonts w:eastAsia="Calibri"/>
          <w:sz w:val="26"/>
          <w:szCs w:val="26"/>
        </w:rPr>
        <w:t>The</w:t>
      </w:r>
      <w:r w:rsidR="006D7080">
        <w:rPr>
          <w:rFonts w:eastAsia="Calibri"/>
          <w:sz w:val="26"/>
          <w:szCs w:val="26"/>
        </w:rPr>
        <w:t>refore,</w:t>
      </w:r>
      <w:r w:rsidR="0053454E">
        <w:rPr>
          <w:rFonts w:eastAsia="Calibri"/>
          <w:sz w:val="26"/>
          <w:szCs w:val="26"/>
        </w:rPr>
        <w:t xml:space="preserve"> ALJ</w:t>
      </w:r>
      <w:r w:rsidR="00306BF4">
        <w:rPr>
          <w:rFonts w:eastAsia="Calibri"/>
          <w:sz w:val="26"/>
          <w:szCs w:val="26"/>
        </w:rPr>
        <w:t xml:space="preserve"> Jones</w:t>
      </w:r>
      <w:r w:rsidR="0053454E">
        <w:rPr>
          <w:rFonts w:eastAsia="Calibri"/>
          <w:sz w:val="26"/>
          <w:szCs w:val="26"/>
        </w:rPr>
        <w:t xml:space="preserve"> </w:t>
      </w:r>
      <w:r w:rsidR="006D7080">
        <w:rPr>
          <w:rFonts w:eastAsia="Calibri"/>
          <w:sz w:val="26"/>
          <w:szCs w:val="26"/>
        </w:rPr>
        <w:t>foun</w:t>
      </w:r>
      <w:r w:rsidR="0053454E">
        <w:rPr>
          <w:rFonts w:eastAsia="Calibri"/>
          <w:sz w:val="26"/>
          <w:szCs w:val="26"/>
        </w:rPr>
        <w:t xml:space="preserve">d that </w:t>
      </w:r>
      <w:r w:rsidR="006D7080">
        <w:rPr>
          <w:rFonts w:eastAsia="Calibri"/>
          <w:sz w:val="26"/>
          <w:szCs w:val="26"/>
        </w:rPr>
        <w:t xml:space="preserve">because </w:t>
      </w:r>
      <w:r w:rsidR="0053454E">
        <w:rPr>
          <w:rFonts w:eastAsia="Calibri"/>
          <w:sz w:val="26"/>
          <w:szCs w:val="26"/>
        </w:rPr>
        <w:t xml:space="preserve">the AMR was constantly present at the Complainant’s </w:t>
      </w:r>
      <w:r w:rsidR="006D7080">
        <w:rPr>
          <w:rFonts w:eastAsia="Calibri"/>
          <w:sz w:val="26"/>
          <w:szCs w:val="26"/>
        </w:rPr>
        <w:t>Service</w:t>
      </w:r>
      <w:r w:rsidR="00437320">
        <w:rPr>
          <w:rFonts w:eastAsia="Calibri"/>
          <w:sz w:val="26"/>
          <w:szCs w:val="26"/>
        </w:rPr>
        <w:t xml:space="preserve"> Address</w:t>
      </w:r>
      <w:r w:rsidR="006D7080">
        <w:rPr>
          <w:rFonts w:eastAsia="Calibri"/>
          <w:sz w:val="26"/>
          <w:szCs w:val="26"/>
        </w:rPr>
        <w:t xml:space="preserve">, PGW </w:t>
      </w:r>
      <w:r w:rsidR="005B4380">
        <w:rPr>
          <w:rFonts w:eastAsia="Calibri"/>
          <w:sz w:val="26"/>
          <w:szCs w:val="26"/>
        </w:rPr>
        <w:t xml:space="preserve">had </w:t>
      </w:r>
      <w:r w:rsidR="00306BF4">
        <w:rPr>
          <w:rFonts w:eastAsia="Calibri"/>
          <w:sz w:val="26"/>
          <w:szCs w:val="26"/>
        </w:rPr>
        <w:t xml:space="preserve">always </w:t>
      </w:r>
      <w:r w:rsidR="005B4380">
        <w:rPr>
          <w:rFonts w:eastAsia="Calibri"/>
          <w:sz w:val="26"/>
          <w:szCs w:val="26"/>
        </w:rPr>
        <w:t>billed the C</w:t>
      </w:r>
      <w:r w:rsidR="006D7080">
        <w:rPr>
          <w:rFonts w:eastAsia="Calibri"/>
          <w:sz w:val="26"/>
          <w:szCs w:val="26"/>
        </w:rPr>
        <w:t xml:space="preserve">omplainant based on </w:t>
      </w:r>
      <w:r w:rsidR="0026324F">
        <w:rPr>
          <w:rFonts w:eastAsia="Calibri"/>
          <w:sz w:val="26"/>
          <w:szCs w:val="26"/>
        </w:rPr>
        <w:t>an actual meter reading</w:t>
      </w:r>
      <w:r w:rsidR="006D7080">
        <w:rPr>
          <w:rFonts w:eastAsia="Calibri"/>
          <w:sz w:val="26"/>
          <w:szCs w:val="26"/>
        </w:rPr>
        <w:t xml:space="preserve">.  </w:t>
      </w:r>
      <w:r w:rsidR="0053454E">
        <w:rPr>
          <w:rFonts w:eastAsia="Calibri"/>
          <w:sz w:val="26"/>
          <w:szCs w:val="26"/>
        </w:rPr>
        <w:t xml:space="preserve">In contrast, the ALJ found that </w:t>
      </w:r>
      <w:r w:rsidR="00593A78">
        <w:rPr>
          <w:rFonts w:eastAsia="Calibri"/>
          <w:sz w:val="26"/>
          <w:szCs w:val="26"/>
        </w:rPr>
        <w:t>Regulations</w:t>
      </w:r>
      <w:r w:rsidR="0053454E">
        <w:rPr>
          <w:rFonts w:eastAsia="Calibri"/>
          <w:sz w:val="26"/>
          <w:szCs w:val="26"/>
        </w:rPr>
        <w:t xml:space="preserve"> the Co</w:t>
      </w:r>
      <w:r w:rsidR="006D7080">
        <w:rPr>
          <w:rFonts w:eastAsia="Calibri"/>
          <w:sz w:val="26"/>
          <w:szCs w:val="26"/>
        </w:rPr>
        <w:t>mplainant referenced</w:t>
      </w:r>
      <w:r w:rsidR="00306BF4">
        <w:rPr>
          <w:rFonts w:eastAsia="Calibri"/>
          <w:sz w:val="26"/>
          <w:szCs w:val="26"/>
        </w:rPr>
        <w:t xml:space="preserve"> were</w:t>
      </w:r>
      <w:r w:rsidR="006D7080">
        <w:rPr>
          <w:rFonts w:eastAsia="Calibri"/>
          <w:sz w:val="26"/>
          <w:szCs w:val="26"/>
        </w:rPr>
        <w:t xml:space="preserve"> related to provisions for</w:t>
      </w:r>
      <w:r w:rsidR="0053454E">
        <w:rPr>
          <w:rFonts w:eastAsia="Calibri"/>
          <w:sz w:val="26"/>
          <w:szCs w:val="26"/>
        </w:rPr>
        <w:t xml:space="preserve"> estimated </w:t>
      </w:r>
      <w:r w:rsidR="006D7080">
        <w:rPr>
          <w:rFonts w:eastAsia="Calibri"/>
          <w:sz w:val="26"/>
          <w:szCs w:val="26"/>
        </w:rPr>
        <w:t xml:space="preserve">meter </w:t>
      </w:r>
      <w:r w:rsidR="0053454E">
        <w:rPr>
          <w:rFonts w:eastAsia="Calibri"/>
          <w:sz w:val="26"/>
          <w:szCs w:val="26"/>
        </w:rPr>
        <w:t xml:space="preserve">readings </w:t>
      </w:r>
      <w:r w:rsidR="006D7080">
        <w:rPr>
          <w:rFonts w:eastAsia="Calibri"/>
          <w:sz w:val="26"/>
          <w:szCs w:val="26"/>
        </w:rPr>
        <w:t xml:space="preserve">in the event </w:t>
      </w:r>
      <w:r w:rsidR="005B4380">
        <w:rPr>
          <w:rFonts w:eastAsia="Calibri"/>
          <w:sz w:val="26"/>
          <w:szCs w:val="26"/>
        </w:rPr>
        <w:t xml:space="preserve">that </w:t>
      </w:r>
      <w:r w:rsidR="006D7080">
        <w:rPr>
          <w:rFonts w:eastAsia="Calibri"/>
          <w:sz w:val="26"/>
          <w:szCs w:val="26"/>
        </w:rPr>
        <w:t>a utility is unable to access a customer’s meter, as set forth in</w:t>
      </w:r>
      <w:r w:rsidR="0053454E">
        <w:rPr>
          <w:rFonts w:eastAsia="Calibri"/>
          <w:sz w:val="26"/>
          <w:szCs w:val="26"/>
        </w:rPr>
        <w:t xml:space="preserve"> our Regulations at 52 Pa. Code § 56.12(4)</w:t>
      </w:r>
      <w:r w:rsidR="0026324F">
        <w:rPr>
          <w:rFonts w:eastAsia="Calibri"/>
          <w:sz w:val="26"/>
          <w:szCs w:val="26"/>
        </w:rPr>
        <w:t>.  The ALJ emphasized that such Regulations</w:t>
      </w:r>
      <w:r w:rsidR="0053454E">
        <w:rPr>
          <w:rFonts w:eastAsia="Calibri"/>
          <w:sz w:val="26"/>
          <w:szCs w:val="26"/>
        </w:rPr>
        <w:t xml:space="preserve"> </w:t>
      </w:r>
      <w:r w:rsidR="00306BF4">
        <w:rPr>
          <w:rFonts w:eastAsia="Calibri"/>
          <w:sz w:val="26"/>
          <w:szCs w:val="26"/>
        </w:rPr>
        <w:t>we</w:t>
      </w:r>
      <w:r w:rsidR="0053454E">
        <w:rPr>
          <w:rFonts w:eastAsia="Calibri"/>
          <w:sz w:val="26"/>
          <w:szCs w:val="26"/>
        </w:rPr>
        <w:t>re not applicable in the matter before us</w:t>
      </w:r>
      <w:r w:rsidR="005B4380">
        <w:rPr>
          <w:rFonts w:eastAsia="Calibri"/>
          <w:sz w:val="26"/>
          <w:szCs w:val="26"/>
        </w:rPr>
        <w:t xml:space="preserve">. </w:t>
      </w:r>
      <w:r w:rsidR="0057327A" w:rsidRPr="006D7080">
        <w:rPr>
          <w:rFonts w:eastAsia="Calibri"/>
          <w:sz w:val="26"/>
          <w:szCs w:val="26"/>
        </w:rPr>
        <w:t xml:space="preserve"> </w:t>
      </w:r>
      <w:r w:rsidR="006D7080" w:rsidRPr="006D7080">
        <w:rPr>
          <w:rFonts w:eastAsia="Calibri"/>
          <w:sz w:val="26"/>
          <w:szCs w:val="26"/>
        </w:rPr>
        <w:t>I.D. 13-14.</w:t>
      </w:r>
    </w:p>
    <w:p w:rsidR="00F63B2E" w:rsidRDefault="00F63B2E" w:rsidP="00593A78">
      <w:pPr>
        <w:widowControl/>
        <w:shd w:val="clear" w:color="auto" w:fill="FFFFFF"/>
        <w:spacing w:line="360" w:lineRule="auto"/>
        <w:ind w:firstLine="1440"/>
        <w:contextualSpacing/>
        <w:rPr>
          <w:color w:val="000000"/>
          <w:sz w:val="26"/>
          <w:szCs w:val="26"/>
        </w:rPr>
      </w:pPr>
    </w:p>
    <w:p w:rsidR="00F63B2E" w:rsidRDefault="00F63B2E" w:rsidP="00593A78">
      <w:pPr>
        <w:widowControl/>
        <w:shd w:val="clear" w:color="auto" w:fill="FFFFFF"/>
        <w:spacing w:line="360" w:lineRule="auto"/>
        <w:ind w:firstLine="1440"/>
        <w:contextualSpacing/>
        <w:rPr>
          <w:sz w:val="26"/>
          <w:szCs w:val="26"/>
        </w:rPr>
      </w:pPr>
      <w:r>
        <w:rPr>
          <w:color w:val="000000"/>
          <w:sz w:val="26"/>
          <w:szCs w:val="26"/>
        </w:rPr>
        <w:t xml:space="preserve">Additionally, the ALJ addressed whether the charges PGW levied upon the Complainant </w:t>
      </w:r>
      <w:r w:rsidR="006306C3">
        <w:rPr>
          <w:color w:val="000000"/>
          <w:sz w:val="26"/>
          <w:szCs w:val="26"/>
        </w:rPr>
        <w:t>were</w:t>
      </w:r>
      <w:r>
        <w:rPr>
          <w:color w:val="000000"/>
          <w:sz w:val="26"/>
          <w:szCs w:val="26"/>
        </w:rPr>
        <w:t xml:space="preserve"> supported by </w:t>
      </w:r>
      <w:r w:rsidR="0026324F">
        <w:rPr>
          <w:color w:val="000000"/>
          <w:sz w:val="26"/>
          <w:szCs w:val="26"/>
        </w:rPr>
        <w:t xml:space="preserve">record </w:t>
      </w:r>
      <w:r>
        <w:rPr>
          <w:color w:val="000000"/>
          <w:sz w:val="26"/>
          <w:szCs w:val="26"/>
        </w:rPr>
        <w:t xml:space="preserve">evidence.  The ALJ noted that the Complainant disputed PGW’s explanation that the AMR </w:t>
      </w:r>
      <w:r w:rsidR="00FC405B">
        <w:rPr>
          <w:color w:val="000000"/>
          <w:sz w:val="26"/>
          <w:szCs w:val="26"/>
        </w:rPr>
        <w:t xml:space="preserve">device </w:t>
      </w:r>
      <w:r>
        <w:rPr>
          <w:color w:val="000000"/>
          <w:sz w:val="26"/>
          <w:szCs w:val="26"/>
        </w:rPr>
        <w:t xml:space="preserve">on his meter was improperly programmed at the one-foot drive as opposed to the two-foot drive, resulting in incorrect billing at one-half of the Complainant’s actual usage.  Specifically, the ALJ noted that the Complainant was dissatisfied with this explanation based on his contention that his actual usage between December 2012 and March 2013, after his replacement meter was installed, was not twice that of the usage for the same months between December 2011 and March 2012, prior to when his meter was replaced.  Further, the ALJ highlighted that the Complainant disputed PGW’s theory that he engaged in energy conservation measures once his meter was replaced.  I.D. at 14-15.  </w:t>
      </w:r>
    </w:p>
    <w:p w:rsidR="00F63B2E" w:rsidRDefault="00F63B2E" w:rsidP="00593A78">
      <w:pPr>
        <w:widowControl/>
        <w:shd w:val="clear" w:color="auto" w:fill="FFFFFF"/>
        <w:spacing w:line="360" w:lineRule="auto"/>
        <w:ind w:firstLine="1440"/>
        <w:contextualSpacing/>
        <w:rPr>
          <w:sz w:val="26"/>
          <w:szCs w:val="26"/>
        </w:rPr>
      </w:pPr>
    </w:p>
    <w:p w:rsidR="00F63B2E" w:rsidRDefault="00F63B2E" w:rsidP="00593A78">
      <w:pPr>
        <w:widowControl/>
        <w:shd w:val="clear" w:color="auto" w:fill="FFFFFF"/>
        <w:spacing w:line="360" w:lineRule="auto"/>
        <w:ind w:firstLine="1440"/>
        <w:contextualSpacing/>
        <w:rPr>
          <w:color w:val="000000"/>
          <w:sz w:val="26"/>
          <w:szCs w:val="26"/>
        </w:rPr>
      </w:pPr>
      <w:r>
        <w:rPr>
          <w:color w:val="000000"/>
          <w:sz w:val="26"/>
          <w:szCs w:val="26"/>
        </w:rPr>
        <w:t xml:space="preserve">Citing PGW's testimony that the </w:t>
      </w:r>
      <w:r w:rsidR="00322F62">
        <w:rPr>
          <w:color w:val="000000"/>
          <w:sz w:val="26"/>
          <w:szCs w:val="26"/>
        </w:rPr>
        <w:t>AMR</w:t>
      </w:r>
      <w:r w:rsidR="00984489">
        <w:rPr>
          <w:color w:val="000000"/>
          <w:sz w:val="26"/>
          <w:szCs w:val="26"/>
        </w:rPr>
        <w:t xml:space="preserve"> device</w:t>
      </w:r>
      <w:r w:rsidR="00322F62">
        <w:rPr>
          <w:color w:val="000000"/>
          <w:sz w:val="26"/>
          <w:szCs w:val="26"/>
        </w:rPr>
        <w:t xml:space="preserve"> had an index of roughly one-half of the index on the actual meter, </w:t>
      </w:r>
      <w:r>
        <w:rPr>
          <w:color w:val="000000"/>
          <w:sz w:val="26"/>
          <w:szCs w:val="26"/>
        </w:rPr>
        <w:t xml:space="preserve">the ALJ found it reasonable to conclude that the </w:t>
      </w:r>
      <w:r w:rsidR="0026324F">
        <w:rPr>
          <w:color w:val="000000"/>
          <w:sz w:val="26"/>
          <w:szCs w:val="26"/>
        </w:rPr>
        <w:t>AMR</w:t>
      </w:r>
      <w:r>
        <w:rPr>
          <w:color w:val="000000"/>
          <w:sz w:val="26"/>
          <w:szCs w:val="26"/>
        </w:rPr>
        <w:t xml:space="preserve"> </w:t>
      </w:r>
      <w:r w:rsidR="00231074">
        <w:rPr>
          <w:sz w:val="26"/>
          <w:szCs w:val="26"/>
        </w:rPr>
        <w:t>device</w:t>
      </w:r>
      <w:r w:rsidR="00231074">
        <w:rPr>
          <w:color w:val="000000"/>
          <w:sz w:val="26"/>
          <w:szCs w:val="26"/>
        </w:rPr>
        <w:t xml:space="preserve"> </w:t>
      </w:r>
      <w:r>
        <w:rPr>
          <w:color w:val="000000"/>
          <w:sz w:val="26"/>
          <w:szCs w:val="26"/>
        </w:rPr>
        <w:t xml:space="preserve">transmitted half of the actual gas used by the Complainant prior to his meter being replaced.  </w:t>
      </w:r>
      <w:r w:rsidR="00306BF4">
        <w:rPr>
          <w:color w:val="000000"/>
          <w:sz w:val="26"/>
          <w:szCs w:val="26"/>
        </w:rPr>
        <w:t xml:space="preserve">I.D. at 15 (citing </w:t>
      </w:r>
      <w:r w:rsidR="00322F62">
        <w:rPr>
          <w:color w:val="000000"/>
          <w:sz w:val="26"/>
          <w:szCs w:val="26"/>
        </w:rPr>
        <w:t xml:space="preserve">Tr. at 52-53, 56, </w:t>
      </w:r>
      <w:r w:rsidR="00306BF4">
        <w:rPr>
          <w:color w:val="000000"/>
          <w:sz w:val="26"/>
          <w:szCs w:val="26"/>
        </w:rPr>
        <w:t xml:space="preserve">PGW Exh. </w:t>
      </w:r>
      <w:r w:rsidR="00322F62">
        <w:rPr>
          <w:color w:val="000000"/>
          <w:sz w:val="26"/>
          <w:szCs w:val="26"/>
        </w:rPr>
        <w:t>3, 4, 5, 11</w:t>
      </w:r>
      <w:r w:rsidR="00306BF4">
        <w:rPr>
          <w:color w:val="000000"/>
          <w:sz w:val="26"/>
          <w:szCs w:val="26"/>
        </w:rPr>
        <w:t xml:space="preserve">).  </w:t>
      </w:r>
      <w:r>
        <w:rPr>
          <w:sz w:val="26"/>
          <w:szCs w:val="26"/>
        </w:rPr>
        <w:t xml:space="preserve">The ALJ also </w:t>
      </w:r>
      <w:r>
        <w:rPr>
          <w:color w:val="000000"/>
          <w:sz w:val="26"/>
          <w:szCs w:val="26"/>
        </w:rPr>
        <w:t>found that the Complainant's pattern of usage was consistent from the outset of his residence at his Service Address</w:t>
      </w:r>
      <w:r w:rsidR="00AA4EB9">
        <w:rPr>
          <w:color w:val="000000"/>
          <w:sz w:val="26"/>
          <w:szCs w:val="26"/>
        </w:rPr>
        <w:t xml:space="preserve"> in </w:t>
      </w:r>
      <w:r w:rsidR="00494C4C">
        <w:rPr>
          <w:color w:val="000000"/>
          <w:sz w:val="26"/>
          <w:szCs w:val="26"/>
        </w:rPr>
        <w:t>May of 2007</w:t>
      </w:r>
      <w:r>
        <w:rPr>
          <w:color w:val="000000"/>
          <w:sz w:val="26"/>
          <w:szCs w:val="26"/>
        </w:rPr>
        <w:t xml:space="preserve">.  The ALJ explained that the Complainant consistently increased his usage between September and April, with peak usage occurring </w:t>
      </w:r>
      <w:r w:rsidR="0026324F">
        <w:rPr>
          <w:color w:val="000000"/>
          <w:sz w:val="26"/>
          <w:szCs w:val="26"/>
        </w:rPr>
        <w:t xml:space="preserve">between </w:t>
      </w:r>
      <w:r>
        <w:rPr>
          <w:color w:val="000000"/>
          <w:sz w:val="26"/>
          <w:szCs w:val="26"/>
        </w:rPr>
        <w:t xml:space="preserve">January </w:t>
      </w:r>
      <w:r w:rsidR="0026324F">
        <w:rPr>
          <w:color w:val="000000"/>
          <w:sz w:val="26"/>
          <w:szCs w:val="26"/>
        </w:rPr>
        <w:t>and</w:t>
      </w:r>
      <w:r>
        <w:rPr>
          <w:color w:val="000000"/>
          <w:sz w:val="26"/>
          <w:szCs w:val="26"/>
        </w:rPr>
        <w:t xml:space="preserve"> March.  However, the ALJ also noted that over a period of five years spanning before and after the replacement of his meter, the Complainant exhibited a trend of using less gas energy during the peak usage period.  Therefore, the ALJ found that the Complainant’s usage data supported PGW</w:t>
      </w:r>
      <w:r w:rsidR="00815769">
        <w:rPr>
          <w:color w:val="000000"/>
          <w:sz w:val="26"/>
          <w:szCs w:val="26"/>
        </w:rPr>
        <w:t>’</w:t>
      </w:r>
      <w:r>
        <w:rPr>
          <w:color w:val="000000"/>
          <w:sz w:val="26"/>
          <w:szCs w:val="26"/>
        </w:rPr>
        <w:t>s theory that the Complainant engaged in conservation measures</w:t>
      </w:r>
      <w:r w:rsidR="00B04925">
        <w:rPr>
          <w:color w:val="000000"/>
          <w:sz w:val="26"/>
          <w:szCs w:val="26"/>
        </w:rPr>
        <w:t>.  I.D. at 15-16.</w:t>
      </w:r>
      <w:r>
        <w:rPr>
          <w:color w:val="000000"/>
          <w:sz w:val="26"/>
          <w:szCs w:val="26"/>
        </w:rPr>
        <w:t xml:space="preserve"> </w:t>
      </w:r>
    </w:p>
    <w:p w:rsidR="0057327A" w:rsidRDefault="0057327A" w:rsidP="00593A78">
      <w:pPr>
        <w:widowControl/>
        <w:spacing w:line="360" w:lineRule="auto"/>
        <w:ind w:firstLine="1440"/>
        <w:contextualSpacing/>
        <w:rPr>
          <w:sz w:val="26"/>
          <w:szCs w:val="26"/>
        </w:rPr>
      </w:pPr>
    </w:p>
    <w:p w:rsidR="0057327A" w:rsidRDefault="0057327A" w:rsidP="00593A78">
      <w:pPr>
        <w:widowControl/>
        <w:spacing w:line="360" w:lineRule="auto"/>
        <w:ind w:firstLine="1440"/>
        <w:contextualSpacing/>
        <w:rPr>
          <w:sz w:val="26"/>
          <w:szCs w:val="26"/>
        </w:rPr>
      </w:pPr>
      <w:r>
        <w:rPr>
          <w:sz w:val="26"/>
          <w:szCs w:val="26"/>
        </w:rPr>
        <w:t xml:space="preserve">Finally, the ALJ addressed the Complainant’s contention that the revised </w:t>
      </w:r>
      <w:r w:rsidR="00896041">
        <w:rPr>
          <w:sz w:val="26"/>
          <w:szCs w:val="26"/>
        </w:rPr>
        <w:t xml:space="preserve">make-up </w:t>
      </w:r>
      <w:r>
        <w:rPr>
          <w:sz w:val="26"/>
          <w:szCs w:val="26"/>
        </w:rPr>
        <w:t>bill PGW issued to him was not supported by</w:t>
      </w:r>
      <w:r w:rsidR="00BF17EB">
        <w:rPr>
          <w:sz w:val="26"/>
          <w:szCs w:val="26"/>
        </w:rPr>
        <w:t xml:space="preserve"> evidence</w:t>
      </w:r>
      <w:r>
        <w:rPr>
          <w:sz w:val="26"/>
          <w:szCs w:val="26"/>
        </w:rPr>
        <w:t xml:space="preserve">.  </w:t>
      </w:r>
      <w:r w:rsidR="00F316CA">
        <w:rPr>
          <w:sz w:val="26"/>
          <w:szCs w:val="26"/>
        </w:rPr>
        <w:t xml:space="preserve">The ALJ explained that PGW originally issued the Complainant a make-up bill of nearly $6,000 upon discovering the incorrectly programmed AMR device but that PGW reduced this make-up </w:t>
      </w:r>
      <w:r w:rsidR="006945BD">
        <w:rPr>
          <w:sz w:val="26"/>
          <w:szCs w:val="26"/>
        </w:rPr>
        <w:t>bill to $2,028.80</w:t>
      </w:r>
      <w:r w:rsidR="005843C5">
        <w:rPr>
          <w:sz w:val="26"/>
          <w:szCs w:val="26"/>
        </w:rPr>
        <w:t xml:space="preserve"> </w:t>
      </w:r>
      <w:r w:rsidR="00F316CA">
        <w:rPr>
          <w:sz w:val="26"/>
          <w:szCs w:val="26"/>
        </w:rPr>
        <w:t xml:space="preserve">once the Complainant filed </w:t>
      </w:r>
      <w:r w:rsidR="00322F62">
        <w:rPr>
          <w:sz w:val="26"/>
          <w:szCs w:val="26"/>
        </w:rPr>
        <w:t>his</w:t>
      </w:r>
      <w:r w:rsidR="00F316CA">
        <w:rPr>
          <w:sz w:val="26"/>
          <w:szCs w:val="26"/>
        </w:rPr>
        <w:t xml:space="preserve"> Complaint.  </w:t>
      </w:r>
      <w:r w:rsidR="00E1649F">
        <w:rPr>
          <w:sz w:val="26"/>
          <w:szCs w:val="26"/>
        </w:rPr>
        <w:t>T</w:t>
      </w:r>
      <w:r w:rsidR="00F316CA">
        <w:rPr>
          <w:sz w:val="26"/>
          <w:szCs w:val="26"/>
        </w:rPr>
        <w:t>he Complainant questioned whether PGW’s revised make-up bill was accurate.  R.D. at 16</w:t>
      </w:r>
      <w:r w:rsidR="00CC2E86">
        <w:rPr>
          <w:sz w:val="26"/>
          <w:szCs w:val="26"/>
        </w:rPr>
        <w:t>-18</w:t>
      </w:r>
      <w:r w:rsidR="00F316CA">
        <w:rPr>
          <w:sz w:val="26"/>
          <w:szCs w:val="26"/>
        </w:rPr>
        <w:t>.  The ALJ sustained the Complainant’s allegation, in part.</w:t>
      </w:r>
    </w:p>
    <w:p w:rsidR="00A37AD7" w:rsidRDefault="00A37AD7" w:rsidP="00593A78">
      <w:pPr>
        <w:widowControl/>
        <w:spacing w:line="360" w:lineRule="auto"/>
        <w:ind w:firstLine="1440"/>
        <w:contextualSpacing/>
        <w:rPr>
          <w:sz w:val="26"/>
          <w:szCs w:val="26"/>
        </w:rPr>
      </w:pPr>
    </w:p>
    <w:p w:rsidR="00CC2E86" w:rsidRDefault="00CC2E86" w:rsidP="00593A78">
      <w:pPr>
        <w:widowControl/>
        <w:shd w:val="clear" w:color="auto" w:fill="FFFFFF"/>
        <w:spacing w:line="360" w:lineRule="auto"/>
        <w:ind w:firstLine="1440"/>
        <w:contextualSpacing/>
        <w:rPr>
          <w:color w:val="000000"/>
          <w:sz w:val="26"/>
          <w:szCs w:val="26"/>
        </w:rPr>
      </w:pPr>
      <w:r>
        <w:rPr>
          <w:color w:val="000000"/>
          <w:sz w:val="26"/>
          <w:szCs w:val="26"/>
        </w:rPr>
        <w:t xml:space="preserve">The ALJ noted that as a result of the Complainant having paid his gas bills in advance, he accumulated a credit </w:t>
      </w:r>
      <w:r w:rsidR="00306BF4">
        <w:rPr>
          <w:color w:val="000000"/>
          <w:sz w:val="26"/>
          <w:szCs w:val="26"/>
        </w:rPr>
        <w:t xml:space="preserve">balance </w:t>
      </w:r>
      <w:r>
        <w:rPr>
          <w:color w:val="000000"/>
          <w:sz w:val="26"/>
          <w:szCs w:val="26"/>
        </w:rPr>
        <w:t xml:space="preserve">in the amount of $781.01 on his account.  I.D. at 16-17 (citing PGW Exh 1).  The ALJ explained that PGW used the Complainant’s $781.01 credit amount to further reduce the Complainant’s make-up bill to $1,247.79 and then added the $32.61 the Complainant owed for his September usage for a total make-up bill of $1,280.40.  </w:t>
      </w:r>
      <w:r w:rsidR="00870074">
        <w:rPr>
          <w:color w:val="000000"/>
          <w:sz w:val="26"/>
          <w:szCs w:val="26"/>
        </w:rPr>
        <w:t>Additionally,</w:t>
      </w:r>
      <w:r>
        <w:rPr>
          <w:color w:val="000000"/>
          <w:sz w:val="26"/>
          <w:szCs w:val="26"/>
        </w:rPr>
        <w:t xml:space="preserve"> on October 12, 2012, PGW assessed a late payment charge of $19.20 on the Complainant’s account because the Complainant had not paid </w:t>
      </w:r>
      <w:r>
        <w:rPr>
          <w:color w:val="000000"/>
          <w:sz w:val="26"/>
          <w:szCs w:val="26"/>
        </w:rPr>
        <w:lastRenderedPageBreak/>
        <w:t xml:space="preserve">undisputed charges.  </w:t>
      </w:r>
      <w:r>
        <w:rPr>
          <w:i/>
          <w:color w:val="000000"/>
          <w:sz w:val="26"/>
          <w:szCs w:val="26"/>
        </w:rPr>
        <w:t>Id.</w:t>
      </w:r>
      <w:r>
        <w:rPr>
          <w:color w:val="000000"/>
          <w:sz w:val="26"/>
          <w:szCs w:val="26"/>
        </w:rPr>
        <w:t xml:space="preserve"> at 18.  The ALJ </w:t>
      </w:r>
      <w:r w:rsidR="008114C2">
        <w:rPr>
          <w:color w:val="000000"/>
          <w:sz w:val="26"/>
          <w:szCs w:val="26"/>
        </w:rPr>
        <w:t xml:space="preserve">disagreed with PGW’s </w:t>
      </w:r>
      <w:r w:rsidR="00870074">
        <w:rPr>
          <w:color w:val="000000"/>
          <w:sz w:val="26"/>
          <w:szCs w:val="26"/>
        </w:rPr>
        <w:t>billing methodology</w:t>
      </w:r>
      <w:r w:rsidR="008114C2">
        <w:rPr>
          <w:color w:val="000000"/>
          <w:sz w:val="26"/>
          <w:szCs w:val="26"/>
        </w:rPr>
        <w:t xml:space="preserve">.  The ALJ pointed out that the amount in dispute was the $2,028.80 attributable to </w:t>
      </w:r>
      <w:r w:rsidR="004C510A" w:rsidRPr="005B05E3">
        <w:rPr>
          <w:sz w:val="26"/>
          <w:szCs w:val="26"/>
        </w:rPr>
        <w:t>under-billed</w:t>
      </w:r>
      <w:r w:rsidR="008114C2">
        <w:rPr>
          <w:color w:val="000000"/>
          <w:sz w:val="26"/>
          <w:szCs w:val="26"/>
        </w:rPr>
        <w:t xml:space="preserve"> gas usage resulting from the incorrectly </w:t>
      </w:r>
      <w:r w:rsidR="00870074">
        <w:rPr>
          <w:color w:val="000000"/>
          <w:sz w:val="26"/>
          <w:szCs w:val="26"/>
        </w:rPr>
        <w:t>programmed</w:t>
      </w:r>
      <w:r w:rsidR="008114C2">
        <w:rPr>
          <w:color w:val="000000"/>
          <w:sz w:val="26"/>
          <w:szCs w:val="26"/>
        </w:rPr>
        <w:t xml:space="preserve">, and not the $781.01 credit amount the Complainant accrued through making early payments.  The ALJ opined that PGW must continue to </w:t>
      </w:r>
      <w:r w:rsidR="00F9165A">
        <w:rPr>
          <w:color w:val="000000"/>
          <w:sz w:val="26"/>
          <w:szCs w:val="26"/>
        </w:rPr>
        <w:t>apply</w:t>
      </w:r>
      <w:r w:rsidR="008114C2">
        <w:rPr>
          <w:color w:val="000000"/>
          <w:sz w:val="26"/>
          <w:szCs w:val="26"/>
        </w:rPr>
        <w:t xml:space="preserve"> this credit toward undisputed amounts owed.  </w:t>
      </w:r>
      <w:r w:rsidR="008114C2">
        <w:rPr>
          <w:i/>
          <w:color w:val="000000"/>
          <w:sz w:val="26"/>
          <w:szCs w:val="26"/>
        </w:rPr>
        <w:t>Id.</w:t>
      </w:r>
    </w:p>
    <w:p w:rsidR="008114C2" w:rsidRDefault="008114C2" w:rsidP="00593A78">
      <w:pPr>
        <w:widowControl/>
        <w:shd w:val="clear" w:color="auto" w:fill="FFFFFF"/>
        <w:spacing w:line="360" w:lineRule="auto"/>
        <w:ind w:firstLine="1440"/>
        <w:contextualSpacing/>
        <w:rPr>
          <w:color w:val="000000"/>
          <w:sz w:val="26"/>
          <w:szCs w:val="26"/>
        </w:rPr>
      </w:pPr>
    </w:p>
    <w:p w:rsidR="008114C2" w:rsidRPr="008114C2" w:rsidRDefault="00145CC9" w:rsidP="00593A78">
      <w:pPr>
        <w:widowControl/>
        <w:shd w:val="clear" w:color="auto" w:fill="FFFFFF"/>
        <w:spacing w:line="360" w:lineRule="auto"/>
        <w:ind w:firstLine="1440"/>
        <w:contextualSpacing/>
        <w:rPr>
          <w:rFonts w:ascii="Helvetica" w:hAnsi="Helvetica"/>
          <w:color w:val="000000"/>
          <w:sz w:val="18"/>
          <w:szCs w:val="18"/>
        </w:rPr>
      </w:pPr>
      <w:r w:rsidRPr="002B2F22">
        <w:rPr>
          <w:color w:val="000000"/>
          <w:sz w:val="26"/>
          <w:szCs w:val="26"/>
        </w:rPr>
        <w:t xml:space="preserve">Citing our Section 56.22(c) of our Regulations, the ALJ pointed out that a utility is prohibited from assessing late payment charges on disputed estimated bills unless the utility is willfully denied access to the affected premises to obtain an actual meter reading.  </w:t>
      </w:r>
      <w:r w:rsidR="008114C2" w:rsidRPr="002B2F22">
        <w:rPr>
          <w:color w:val="000000"/>
          <w:sz w:val="26"/>
          <w:szCs w:val="26"/>
        </w:rPr>
        <w:t>The ALJ reasoned that a make-up bill is analogous to</w:t>
      </w:r>
      <w:r w:rsidR="006A6087" w:rsidRPr="002B2F22">
        <w:rPr>
          <w:color w:val="000000"/>
          <w:sz w:val="26"/>
          <w:szCs w:val="26"/>
        </w:rPr>
        <w:t xml:space="preserve"> an estimated reading because it is not actually recorded usage by the incorrectly programmed AMR.  </w:t>
      </w:r>
      <w:r w:rsidRPr="002B2F22">
        <w:rPr>
          <w:color w:val="000000"/>
          <w:sz w:val="26"/>
          <w:szCs w:val="26"/>
        </w:rPr>
        <w:t>Therefore, the ALJ ruled that PGW must remove the late payment fee it imposed upon the Complainant because there was no lateness in payment on the Complainant’s undisputed bills.  Instead, ALJ Jones directed PGW to apply the Complainant’s $781.01 credit balance toward his undisputed bills.  I.D. at 19.</w:t>
      </w:r>
      <w:r>
        <w:rPr>
          <w:color w:val="000000"/>
          <w:sz w:val="26"/>
          <w:szCs w:val="26"/>
        </w:rPr>
        <w:t xml:space="preserve"> </w:t>
      </w:r>
    </w:p>
    <w:p w:rsidR="00CC2E86" w:rsidRDefault="00CC2E86" w:rsidP="00593A78">
      <w:pPr>
        <w:widowControl/>
        <w:spacing w:line="360" w:lineRule="auto"/>
        <w:ind w:firstLine="1440"/>
        <w:contextualSpacing/>
        <w:rPr>
          <w:sz w:val="26"/>
          <w:szCs w:val="26"/>
        </w:rPr>
      </w:pPr>
    </w:p>
    <w:p w:rsidR="00145CC9" w:rsidRDefault="00145CC9" w:rsidP="00593A78">
      <w:pPr>
        <w:widowControl/>
        <w:spacing w:line="360" w:lineRule="auto"/>
        <w:ind w:firstLine="1440"/>
        <w:contextualSpacing/>
        <w:rPr>
          <w:sz w:val="26"/>
          <w:szCs w:val="26"/>
        </w:rPr>
      </w:pPr>
      <w:r>
        <w:rPr>
          <w:sz w:val="26"/>
          <w:szCs w:val="26"/>
        </w:rPr>
        <w:t xml:space="preserve">In accordance with the above findings, the ALJ sustained the Complaint, </w:t>
      </w:r>
      <w:r w:rsidR="00901334">
        <w:rPr>
          <w:sz w:val="26"/>
          <w:szCs w:val="26"/>
        </w:rPr>
        <w:t xml:space="preserve">in part, and denied it, in part.  The ALJ noted that </w:t>
      </w:r>
      <w:r w:rsidR="00901334">
        <w:rPr>
          <w:rFonts w:eastAsia="Calibri"/>
          <w:sz w:val="26"/>
          <w:szCs w:val="26"/>
        </w:rPr>
        <w:t>PGW expressed its willingness to allow the Complainant to amortize his make-up bill over a four-year period in compliance with the provisions of 52 Pa. Code § 56.14(2).  Accordingly, the ALJ</w:t>
      </w:r>
      <w:r>
        <w:rPr>
          <w:sz w:val="26"/>
          <w:szCs w:val="26"/>
        </w:rPr>
        <w:t xml:space="preserve"> directed the Complainant to pay the remaining make-up bill amount of $2,028.80 in equal installments of $42.27 over a forty-eight month period,</w:t>
      </w:r>
      <w:r>
        <w:rPr>
          <w:rStyle w:val="FootnoteReference"/>
          <w:sz w:val="26"/>
          <w:szCs w:val="26"/>
        </w:rPr>
        <w:footnoteReference w:id="3"/>
      </w:r>
      <w:r>
        <w:rPr>
          <w:sz w:val="26"/>
          <w:szCs w:val="26"/>
        </w:rPr>
        <w:t xml:space="preserve"> in addition to</w:t>
      </w:r>
      <w:r w:rsidR="00901334">
        <w:rPr>
          <w:sz w:val="26"/>
          <w:szCs w:val="26"/>
        </w:rPr>
        <w:t xml:space="preserve"> paying</w:t>
      </w:r>
      <w:r>
        <w:rPr>
          <w:sz w:val="26"/>
          <w:szCs w:val="26"/>
        </w:rPr>
        <w:t xml:space="preserve"> his current monthly billed service amount.</w:t>
      </w:r>
      <w:r w:rsidR="00185635">
        <w:rPr>
          <w:sz w:val="26"/>
          <w:szCs w:val="26"/>
        </w:rPr>
        <w:t xml:space="preserve">  I.D. at 19.</w:t>
      </w:r>
    </w:p>
    <w:p w:rsidR="00CC2E86" w:rsidRPr="008F78A8" w:rsidRDefault="00CC2E86" w:rsidP="00593A78">
      <w:pPr>
        <w:widowControl/>
        <w:spacing w:line="360" w:lineRule="auto"/>
        <w:ind w:firstLine="1440"/>
        <w:contextualSpacing/>
        <w:rPr>
          <w:sz w:val="26"/>
          <w:szCs w:val="26"/>
        </w:rPr>
      </w:pPr>
    </w:p>
    <w:p w:rsidR="00006F35" w:rsidRPr="008F78A8" w:rsidRDefault="003F59CC" w:rsidP="002B5514">
      <w:pPr>
        <w:keepNext/>
        <w:keepLines/>
        <w:widowControl/>
        <w:spacing w:line="360" w:lineRule="auto"/>
        <w:contextualSpacing/>
        <w:rPr>
          <w:b/>
          <w:sz w:val="26"/>
          <w:szCs w:val="26"/>
        </w:rPr>
      </w:pPr>
      <w:r>
        <w:rPr>
          <w:b/>
          <w:sz w:val="26"/>
          <w:szCs w:val="26"/>
        </w:rPr>
        <w:t>Exceptions</w:t>
      </w:r>
    </w:p>
    <w:p w:rsidR="0000302E" w:rsidRDefault="0000302E" w:rsidP="002B5514">
      <w:pPr>
        <w:keepNext/>
        <w:keepLines/>
        <w:widowControl/>
        <w:spacing w:line="360" w:lineRule="auto"/>
        <w:ind w:firstLine="1440"/>
        <w:contextualSpacing/>
        <w:rPr>
          <w:sz w:val="26"/>
          <w:szCs w:val="26"/>
        </w:rPr>
      </w:pPr>
    </w:p>
    <w:p w:rsidR="00CB44B1" w:rsidRDefault="00CB44B1" w:rsidP="00593A78">
      <w:pPr>
        <w:widowControl/>
        <w:spacing w:line="360" w:lineRule="auto"/>
        <w:ind w:firstLine="1440"/>
        <w:contextualSpacing/>
        <w:rPr>
          <w:sz w:val="26"/>
          <w:szCs w:val="26"/>
        </w:rPr>
      </w:pPr>
      <w:r w:rsidRPr="00CB44B1">
        <w:rPr>
          <w:sz w:val="26"/>
          <w:szCs w:val="26"/>
        </w:rPr>
        <w:t xml:space="preserve">Before addressing the Exceptions, we note that any issue or Exception that we do not specifically address shall be deemed to have been duly considered and denied </w:t>
      </w:r>
      <w:r w:rsidRPr="00CB44B1">
        <w:rPr>
          <w:sz w:val="26"/>
          <w:szCs w:val="26"/>
        </w:rPr>
        <w:lastRenderedPageBreak/>
        <w:t>without further discussion.  The Commission is not required to consider</w:t>
      </w:r>
      <w:r w:rsidR="008B75E0">
        <w:rPr>
          <w:sz w:val="26"/>
          <w:szCs w:val="26"/>
        </w:rPr>
        <w:t>, either</w:t>
      </w:r>
      <w:r w:rsidRPr="00CB44B1">
        <w:rPr>
          <w:sz w:val="26"/>
          <w:szCs w:val="26"/>
        </w:rPr>
        <w:t xml:space="preserve"> expressly or at length</w:t>
      </w:r>
      <w:r w:rsidR="008B75E0">
        <w:rPr>
          <w:sz w:val="26"/>
          <w:szCs w:val="26"/>
        </w:rPr>
        <w:t>,</w:t>
      </w:r>
      <w:r w:rsidRPr="00CB44B1">
        <w:rPr>
          <w:sz w:val="26"/>
          <w:szCs w:val="26"/>
        </w:rPr>
        <w:t xml:space="preserve"> each contention or argument raised by the Parties.  </w:t>
      </w:r>
      <w:r w:rsidRPr="00CB44B1">
        <w:rPr>
          <w:rStyle w:val="Emphasis"/>
          <w:sz w:val="26"/>
          <w:szCs w:val="26"/>
        </w:rPr>
        <w:t xml:space="preserve">Consolidated Rail Corp. v.  Pa. PUC, </w:t>
      </w:r>
      <w:r w:rsidRPr="00CB44B1">
        <w:rPr>
          <w:sz w:val="26"/>
          <w:szCs w:val="26"/>
        </w:rPr>
        <w:t xml:space="preserve">625 A.2d 741 (Pa. Cmwlth. 1993); </w:t>
      </w:r>
      <w:r w:rsidRPr="00CB44B1">
        <w:rPr>
          <w:i/>
          <w:sz w:val="26"/>
          <w:szCs w:val="26"/>
        </w:rPr>
        <w:t xml:space="preserve">also </w:t>
      </w:r>
      <w:r w:rsidRPr="00CB44B1">
        <w:rPr>
          <w:rStyle w:val="Emphasis"/>
          <w:sz w:val="26"/>
          <w:szCs w:val="26"/>
        </w:rPr>
        <w:t>see, generally, University of Pennsylvania v. Pa. PUC</w:t>
      </w:r>
      <w:r w:rsidRPr="00CB44B1">
        <w:rPr>
          <w:sz w:val="26"/>
          <w:szCs w:val="26"/>
        </w:rPr>
        <w:t>, 485 A.2d 1217 (Pa. Cmwlth. 1984).</w:t>
      </w:r>
    </w:p>
    <w:p w:rsidR="00CB44B1" w:rsidRDefault="00CB44B1" w:rsidP="00593A78">
      <w:pPr>
        <w:widowControl/>
        <w:spacing w:line="360" w:lineRule="auto"/>
        <w:ind w:firstLine="1440"/>
        <w:contextualSpacing/>
        <w:rPr>
          <w:sz w:val="26"/>
          <w:szCs w:val="26"/>
        </w:rPr>
      </w:pPr>
    </w:p>
    <w:p w:rsidR="0000302E" w:rsidRPr="00776D99" w:rsidRDefault="00CB44B1" w:rsidP="00593A78">
      <w:pPr>
        <w:widowControl/>
        <w:spacing w:line="360" w:lineRule="auto"/>
        <w:ind w:firstLine="1440"/>
        <w:contextualSpacing/>
        <w:rPr>
          <w:sz w:val="26"/>
          <w:szCs w:val="26"/>
        </w:rPr>
      </w:pPr>
      <w:r w:rsidRPr="00CB44B1">
        <w:rPr>
          <w:sz w:val="26"/>
          <w:szCs w:val="26"/>
        </w:rPr>
        <w:t xml:space="preserve">The Complainant’s </w:t>
      </w:r>
      <w:r w:rsidRPr="00CE237E">
        <w:rPr>
          <w:sz w:val="26"/>
          <w:szCs w:val="26"/>
        </w:rPr>
        <w:t>Exceptions</w:t>
      </w:r>
      <w:r w:rsidR="00D17CC2" w:rsidRPr="00CE237E">
        <w:rPr>
          <w:rStyle w:val="FootnoteReference"/>
          <w:sz w:val="26"/>
          <w:szCs w:val="26"/>
        </w:rPr>
        <w:footnoteReference w:id="4"/>
      </w:r>
      <w:r w:rsidRPr="00CE237E">
        <w:rPr>
          <w:sz w:val="26"/>
          <w:szCs w:val="26"/>
        </w:rPr>
        <w:t xml:space="preserve"> consist</w:t>
      </w:r>
      <w:r>
        <w:rPr>
          <w:sz w:val="26"/>
          <w:szCs w:val="26"/>
        </w:rPr>
        <w:t xml:space="preserve"> of </w:t>
      </w:r>
      <w:r w:rsidR="009B29CF">
        <w:rPr>
          <w:sz w:val="26"/>
          <w:szCs w:val="26"/>
        </w:rPr>
        <w:t>two type-written pages in which he generally expresses his disagreement with the ALJ’s ruling.</w:t>
      </w:r>
      <w:r w:rsidR="00776D99">
        <w:rPr>
          <w:sz w:val="26"/>
          <w:szCs w:val="26"/>
        </w:rPr>
        <w:t xml:space="preserve">  The Complainant </w:t>
      </w:r>
      <w:r w:rsidR="00E24DA2">
        <w:rPr>
          <w:sz w:val="26"/>
          <w:szCs w:val="26"/>
        </w:rPr>
        <w:t>begins by restating</w:t>
      </w:r>
      <w:r w:rsidR="00776D99">
        <w:rPr>
          <w:sz w:val="26"/>
          <w:szCs w:val="26"/>
        </w:rPr>
        <w:t xml:space="preserve"> a history of this proceeding</w:t>
      </w:r>
      <w:r w:rsidR="00E24DA2">
        <w:rPr>
          <w:sz w:val="26"/>
          <w:szCs w:val="26"/>
        </w:rPr>
        <w:t xml:space="preserve"> and</w:t>
      </w:r>
      <w:r w:rsidR="00776D99">
        <w:rPr>
          <w:sz w:val="26"/>
          <w:szCs w:val="26"/>
        </w:rPr>
        <w:t xml:space="preserve"> summar</w:t>
      </w:r>
      <w:r w:rsidR="00811A28">
        <w:rPr>
          <w:sz w:val="26"/>
          <w:szCs w:val="26"/>
        </w:rPr>
        <w:t>izes</w:t>
      </w:r>
      <w:r w:rsidR="00776D99">
        <w:rPr>
          <w:sz w:val="26"/>
          <w:szCs w:val="26"/>
        </w:rPr>
        <w:t xml:space="preserve"> the events that led to the filing of his Complaint.  The </w:t>
      </w:r>
      <w:r w:rsidR="00D90B3C">
        <w:rPr>
          <w:sz w:val="26"/>
          <w:szCs w:val="26"/>
        </w:rPr>
        <w:t>Complainant</w:t>
      </w:r>
      <w:r w:rsidR="00776D99">
        <w:rPr>
          <w:sz w:val="26"/>
          <w:szCs w:val="26"/>
        </w:rPr>
        <w:t xml:space="preserve">, </w:t>
      </w:r>
      <w:r w:rsidR="00776D99">
        <w:rPr>
          <w:i/>
          <w:sz w:val="26"/>
          <w:szCs w:val="26"/>
        </w:rPr>
        <w:t>inter alia</w:t>
      </w:r>
      <w:r w:rsidR="00776D99">
        <w:rPr>
          <w:sz w:val="26"/>
          <w:szCs w:val="26"/>
        </w:rPr>
        <w:t xml:space="preserve">, </w:t>
      </w:r>
      <w:r w:rsidR="00764631">
        <w:rPr>
          <w:sz w:val="26"/>
          <w:szCs w:val="26"/>
        </w:rPr>
        <w:t>maintains his position that he should have been afforded an opportunity to review the reading on his previous meter before PGW removed the meter.  Additionally, the Complainant disputes the validity of PGW’s position that his previous meter</w:t>
      </w:r>
      <w:r w:rsidR="00D90B3C">
        <w:rPr>
          <w:sz w:val="26"/>
          <w:szCs w:val="26"/>
        </w:rPr>
        <w:t xml:space="preserve"> </w:t>
      </w:r>
      <w:r w:rsidR="00764631">
        <w:rPr>
          <w:sz w:val="26"/>
          <w:szCs w:val="26"/>
        </w:rPr>
        <w:t>was only recording half of the gas usage at his Service Address.  Exc. at 1-2.</w:t>
      </w:r>
    </w:p>
    <w:p w:rsidR="003C7EBB" w:rsidRDefault="003C7EBB" w:rsidP="00593A78">
      <w:pPr>
        <w:keepNext/>
        <w:widowControl/>
        <w:spacing w:line="360" w:lineRule="auto"/>
        <w:ind w:firstLine="1440"/>
        <w:contextualSpacing/>
        <w:rPr>
          <w:sz w:val="26"/>
          <w:szCs w:val="26"/>
        </w:rPr>
      </w:pPr>
    </w:p>
    <w:p w:rsidR="003F59CC" w:rsidRPr="003F59CC" w:rsidRDefault="003F59CC" w:rsidP="00593A78">
      <w:pPr>
        <w:keepNext/>
        <w:widowControl/>
        <w:spacing w:line="360" w:lineRule="auto"/>
        <w:ind w:firstLine="1440"/>
        <w:contextualSpacing/>
        <w:rPr>
          <w:sz w:val="26"/>
          <w:szCs w:val="26"/>
        </w:rPr>
      </w:pPr>
      <w:r>
        <w:rPr>
          <w:sz w:val="26"/>
          <w:szCs w:val="26"/>
        </w:rPr>
        <w:t xml:space="preserve">As noted, </w:t>
      </w:r>
      <w:r>
        <w:rPr>
          <w:i/>
          <w:sz w:val="26"/>
          <w:szCs w:val="26"/>
        </w:rPr>
        <w:t>supra,</w:t>
      </w:r>
      <w:r>
        <w:rPr>
          <w:sz w:val="26"/>
          <w:szCs w:val="26"/>
        </w:rPr>
        <w:t xml:space="preserve"> PGW did not file Replies to Exceptions.</w:t>
      </w:r>
    </w:p>
    <w:p w:rsidR="00AE47DB" w:rsidRPr="008F78A8" w:rsidRDefault="00AE47DB" w:rsidP="00593A78">
      <w:pPr>
        <w:widowControl/>
        <w:spacing w:line="360" w:lineRule="auto"/>
        <w:ind w:firstLine="1440"/>
        <w:contextualSpacing/>
        <w:rPr>
          <w:sz w:val="26"/>
          <w:szCs w:val="26"/>
        </w:rPr>
      </w:pPr>
    </w:p>
    <w:p w:rsidR="00006F35" w:rsidRPr="008F78A8" w:rsidRDefault="00006F35" w:rsidP="002B5514">
      <w:pPr>
        <w:keepNext/>
        <w:keepLines/>
        <w:widowControl/>
        <w:spacing w:line="360" w:lineRule="auto"/>
        <w:contextualSpacing/>
        <w:rPr>
          <w:b/>
          <w:sz w:val="26"/>
          <w:szCs w:val="26"/>
        </w:rPr>
      </w:pPr>
      <w:r w:rsidRPr="008F78A8">
        <w:rPr>
          <w:b/>
          <w:sz w:val="26"/>
          <w:szCs w:val="26"/>
        </w:rPr>
        <w:t>Disposition</w:t>
      </w:r>
    </w:p>
    <w:p w:rsidR="00006F35" w:rsidRPr="0092195B" w:rsidRDefault="00006F35" w:rsidP="002B5514">
      <w:pPr>
        <w:keepNext/>
        <w:keepLines/>
        <w:widowControl/>
        <w:spacing w:line="360" w:lineRule="auto"/>
        <w:ind w:firstLine="1440"/>
        <w:contextualSpacing/>
        <w:rPr>
          <w:b/>
          <w:sz w:val="26"/>
          <w:szCs w:val="26"/>
        </w:rPr>
      </w:pPr>
    </w:p>
    <w:p w:rsidR="008401A9" w:rsidRPr="005E00AF" w:rsidRDefault="00B44241" w:rsidP="00593A78">
      <w:pPr>
        <w:widowControl/>
        <w:spacing w:line="360" w:lineRule="auto"/>
        <w:ind w:firstLine="1440"/>
        <w:contextualSpacing/>
        <w:rPr>
          <w:rFonts w:eastAsia="MS Mincho"/>
          <w:sz w:val="26"/>
          <w:szCs w:val="26"/>
        </w:rPr>
      </w:pPr>
      <w:r>
        <w:rPr>
          <w:rFonts w:eastAsia="MS Mincho"/>
          <w:sz w:val="26"/>
          <w:szCs w:val="26"/>
        </w:rPr>
        <w:t>On</w:t>
      </w:r>
      <w:r w:rsidR="008401A9" w:rsidRPr="005E00AF">
        <w:rPr>
          <w:rFonts w:eastAsia="MS Mincho"/>
          <w:sz w:val="26"/>
          <w:szCs w:val="26"/>
        </w:rPr>
        <w:t xml:space="preserve"> review and consideration of the record evidence in this proceeding, </w:t>
      </w:r>
      <w:r w:rsidR="008401A9">
        <w:rPr>
          <w:rFonts w:eastAsia="MS Mincho"/>
          <w:sz w:val="26"/>
          <w:szCs w:val="26"/>
        </w:rPr>
        <w:t>we shall deny</w:t>
      </w:r>
      <w:r w:rsidR="008401A9" w:rsidRPr="005E00AF">
        <w:rPr>
          <w:rFonts w:eastAsia="MS Mincho"/>
          <w:sz w:val="26"/>
          <w:szCs w:val="26"/>
        </w:rPr>
        <w:t xml:space="preserve"> the Complainant’s Exceptions</w:t>
      </w:r>
      <w:r w:rsidR="008401A9">
        <w:rPr>
          <w:rFonts w:eastAsia="MS Mincho"/>
          <w:sz w:val="26"/>
          <w:szCs w:val="26"/>
        </w:rPr>
        <w:t xml:space="preserve"> </w:t>
      </w:r>
      <w:r w:rsidR="008401A9" w:rsidRPr="005E00AF">
        <w:rPr>
          <w:rFonts w:eastAsia="MS Mincho"/>
          <w:sz w:val="26"/>
          <w:szCs w:val="26"/>
        </w:rPr>
        <w:t xml:space="preserve">and </w:t>
      </w:r>
      <w:r w:rsidR="008401A9" w:rsidRPr="002D7A6B">
        <w:rPr>
          <w:rFonts w:eastAsia="MS Mincho"/>
          <w:sz w:val="26"/>
          <w:szCs w:val="26"/>
        </w:rPr>
        <w:t>modify</w:t>
      </w:r>
      <w:r w:rsidR="008401A9" w:rsidRPr="005E00AF">
        <w:rPr>
          <w:rFonts w:eastAsia="MS Mincho"/>
          <w:sz w:val="26"/>
          <w:szCs w:val="26"/>
        </w:rPr>
        <w:t xml:space="preserve"> the ALJ’s Initial Decision consistent with the following discussion.  </w:t>
      </w:r>
    </w:p>
    <w:p w:rsidR="0092195B" w:rsidRDefault="0092195B" w:rsidP="00593A78">
      <w:pPr>
        <w:widowControl/>
        <w:spacing w:line="360" w:lineRule="auto"/>
        <w:ind w:firstLine="1440"/>
        <w:contextualSpacing/>
        <w:rPr>
          <w:sz w:val="26"/>
          <w:szCs w:val="26"/>
        </w:rPr>
      </w:pPr>
    </w:p>
    <w:p w:rsidR="002B2F22" w:rsidRPr="00CE4E71" w:rsidRDefault="00CE4E71" w:rsidP="00593A78">
      <w:pPr>
        <w:pStyle w:val="PlainText"/>
        <w:spacing w:line="360" w:lineRule="auto"/>
        <w:ind w:firstLine="1440"/>
        <w:contextualSpacing/>
        <w:rPr>
          <w:rFonts w:ascii="Times New Roman" w:hAnsi="Times New Roman" w:cs="Times New Roman"/>
          <w:sz w:val="26"/>
          <w:szCs w:val="26"/>
        </w:rPr>
      </w:pPr>
      <w:r w:rsidRPr="00CE4E71">
        <w:rPr>
          <w:rFonts w:ascii="Times New Roman" w:hAnsi="Times New Roman" w:cs="Times New Roman"/>
          <w:sz w:val="26"/>
          <w:szCs w:val="26"/>
        </w:rPr>
        <w:lastRenderedPageBreak/>
        <w:t xml:space="preserve">As noted above, in finding that PGW improperly assessed late payment charges upon the Complainant, the ALJ cited Section 56.22(c) of our Regulations regarding the prohibition of applying late payment charges to disputed estimated bills </w:t>
      </w:r>
      <w:r w:rsidR="00324E71">
        <w:rPr>
          <w:rFonts w:ascii="Times New Roman" w:hAnsi="Times New Roman" w:cs="Times New Roman"/>
          <w:sz w:val="26"/>
          <w:szCs w:val="26"/>
        </w:rPr>
        <w:t>under</w:t>
      </w:r>
      <w:r w:rsidRPr="00CE4E71">
        <w:rPr>
          <w:rFonts w:ascii="Times New Roman" w:hAnsi="Times New Roman" w:cs="Times New Roman"/>
          <w:sz w:val="26"/>
          <w:szCs w:val="26"/>
        </w:rPr>
        <w:t xml:space="preserve"> most circumstances.  The ALJ </w:t>
      </w:r>
      <w:r w:rsidR="002B5514">
        <w:rPr>
          <w:rFonts w:ascii="Times New Roman" w:hAnsi="Times New Roman" w:cs="Times New Roman"/>
          <w:sz w:val="26"/>
          <w:szCs w:val="26"/>
        </w:rPr>
        <w:t>found</w:t>
      </w:r>
      <w:r w:rsidRPr="00CE4E71">
        <w:rPr>
          <w:rFonts w:ascii="Times New Roman" w:hAnsi="Times New Roman" w:cs="Times New Roman"/>
          <w:sz w:val="26"/>
          <w:szCs w:val="26"/>
        </w:rPr>
        <w:t xml:space="preserve"> that the Complainant’s make-up bill is analogous to an estimated meter reading.  We agree.  </w:t>
      </w:r>
      <w:r w:rsidR="00EB7E98">
        <w:rPr>
          <w:rFonts w:ascii="Times New Roman" w:hAnsi="Times New Roman" w:cs="Times New Roman"/>
          <w:sz w:val="26"/>
          <w:szCs w:val="26"/>
        </w:rPr>
        <w:t xml:space="preserve">The record indicates that although </w:t>
      </w:r>
      <w:r w:rsidRPr="00CE4E71">
        <w:rPr>
          <w:rFonts w:ascii="Times New Roman" w:hAnsi="Times New Roman" w:cs="Times New Roman"/>
          <w:sz w:val="26"/>
          <w:szCs w:val="26"/>
        </w:rPr>
        <w:t xml:space="preserve">PGW </w:t>
      </w:r>
      <w:r w:rsidR="00651CC9">
        <w:rPr>
          <w:rFonts w:ascii="Times New Roman" w:hAnsi="Times New Roman" w:cs="Times New Roman"/>
          <w:sz w:val="26"/>
          <w:szCs w:val="26"/>
        </w:rPr>
        <w:t xml:space="preserve">initially </w:t>
      </w:r>
      <w:r w:rsidRPr="00CE4E71">
        <w:rPr>
          <w:rFonts w:ascii="Times New Roman" w:hAnsi="Times New Roman" w:cs="Times New Roman"/>
          <w:sz w:val="26"/>
          <w:szCs w:val="26"/>
        </w:rPr>
        <w:t xml:space="preserve">calculated the Complainant’s </w:t>
      </w:r>
      <w:r w:rsidR="00651CC9">
        <w:rPr>
          <w:rFonts w:ascii="Times New Roman" w:hAnsi="Times New Roman" w:cs="Times New Roman"/>
          <w:sz w:val="26"/>
          <w:szCs w:val="26"/>
        </w:rPr>
        <w:t>make-up bill</w:t>
      </w:r>
      <w:r w:rsidRPr="00CE4E71">
        <w:rPr>
          <w:rFonts w:ascii="Times New Roman" w:hAnsi="Times New Roman" w:cs="Times New Roman"/>
          <w:sz w:val="26"/>
          <w:szCs w:val="26"/>
        </w:rPr>
        <w:t xml:space="preserve"> based upon the difference between the reading of the index on the meter itself and the reading of the index on the AMR, PGW also adjusted this make-up bill to account for the four-year statute of limitations applicable to back-billing, discussed, </w:t>
      </w:r>
      <w:r w:rsidRPr="00CE4E71">
        <w:rPr>
          <w:rFonts w:ascii="Times New Roman" w:hAnsi="Times New Roman" w:cs="Times New Roman"/>
          <w:i/>
          <w:sz w:val="26"/>
          <w:szCs w:val="26"/>
        </w:rPr>
        <w:t>infra.</w:t>
      </w:r>
      <w:r w:rsidRPr="00CE4E71">
        <w:rPr>
          <w:rFonts w:ascii="Times New Roman" w:hAnsi="Times New Roman" w:cs="Times New Roman"/>
          <w:sz w:val="26"/>
          <w:szCs w:val="26"/>
        </w:rPr>
        <w:t xml:space="preserve">  </w:t>
      </w:r>
      <w:r w:rsidR="00651CC9">
        <w:rPr>
          <w:rFonts w:ascii="Times New Roman" w:hAnsi="Times New Roman" w:cs="Times New Roman"/>
          <w:sz w:val="26"/>
          <w:szCs w:val="26"/>
        </w:rPr>
        <w:t xml:space="preserve">Tr. at 56-57, PGW Exh. 1, 11.  </w:t>
      </w:r>
      <w:r w:rsidRPr="00CE4E71">
        <w:rPr>
          <w:rFonts w:ascii="Times New Roman" w:hAnsi="Times New Roman" w:cs="Times New Roman"/>
          <w:sz w:val="26"/>
          <w:szCs w:val="26"/>
        </w:rPr>
        <w:t>As such, this bill is considered to be an estimated bill.  As the ALJ observed, the amount in dispute is the outstanding make-up bill amount.  Therefore, in accordance with Sect</w:t>
      </w:r>
      <w:r w:rsidR="002B5514">
        <w:rPr>
          <w:rFonts w:ascii="Times New Roman" w:hAnsi="Times New Roman" w:cs="Times New Roman"/>
          <w:sz w:val="26"/>
          <w:szCs w:val="26"/>
        </w:rPr>
        <w:t xml:space="preserve">ion 56.22(c) of our Regulations </w:t>
      </w:r>
      <w:r w:rsidRPr="00CE4E71">
        <w:rPr>
          <w:rFonts w:ascii="Times New Roman" w:hAnsi="Times New Roman" w:cs="Times New Roman"/>
          <w:sz w:val="26"/>
          <w:szCs w:val="26"/>
        </w:rPr>
        <w:t>as well as PGW’s Commission-approved tariff,</w:t>
      </w:r>
      <w:r w:rsidRPr="00CE4E71">
        <w:rPr>
          <w:rStyle w:val="FootnoteReference"/>
          <w:rFonts w:ascii="Times New Roman" w:hAnsi="Times New Roman" w:cs="Times New Roman"/>
          <w:sz w:val="26"/>
          <w:szCs w:val="26"/>
        </w:rPr>
        <w:footnoteReference w:id="5"/>
      </w:r>
      <w:r w:rsidRPr="00CE4E71">
        <w:rPr>
          <w:rFonts w:ascii="Times New Roman" w:hAnsi="Times New Roman" w:cs="Times New Roman"/>
          <w:sz w:val="26"/>
          <w:szCs w:val="26"/>
        </w:rPr>
        <w:t xml:space="preserve"> PGW is prohibited from applying late payment charges to this amount.  Further, we concur with the ALJ that PGW must apply the Complainant’s credit balance</w:t>
      </w:r>
      <w:r w:rsidR="005C1454">
        <w:rPr>
          <w:rFonts w:ascii="Times New Roman" w:hAnsi="Times New Roman" w:cs="Times New Roman"/>
          <w:sz w:val="26"/>
          <w:szCs w:val="26"/>
        </w:rPr>
        <w:t xml:space="preserve"> of</w:t>
      </w:r>
      <w:r w:rsidRPr="00CE4E71">
        <w:rPr>
          <w:rFonts w:ascii="Times New Roman" w:hAnsi="Times New Roman" w:cs="Times New Roman"/>
          <w:sz w:val="26"/>
          <w:szCs w:val="26"/>
        </w:rPr>
        <w:t xml:space="preserve"> </w:t>
      </w:r>
      <w:r w:rsidR="005C1454" w:rsidRPr="00CE4E71">
        <w:rPr>
          <w:rFonts w:ascii="Times New Roman" w:hAnsi="Times New Roman" w:cs="Times New Roman"/>
          <w:sz w:val="26"/>
          <w:szCs w:val="26"/>
        </w:rPr>
        <w:t>$781.01</w:t>
      </w:r>
      <w:r w:rsidR="005C1454">
        <w:rPr>
          <w:rFonts w:ascii="Times New Roman" w:hAnsi="Times New Roman" w:cs="Times New Roman"/>
          <w:sz w:val="26"/>
          <w:szCs w:val="26"/>
        </w:rPr>
        <w:t xml:space="preserve"> </w:t>
      </w:r>
      <w:r w:rsidRPr="00CE4E71">
        <w:rPr>
          <w:rFonts w:ascii="Times New Roman" w:hAnsi="Times New Roman" w:cs="Times New Roman"/>
          <w:sz w:val="26"/>
          <w:szCs w:val="26"/>
        </w:rPr>
        <w:t>to his current, undisputed bills</w:t>
      </w:r>
      <w:r w:rsidR="00324E71">
        <w:rPr>
          <w:rFonts w:ascii="Times New Roman" w:hAnsi="Times New Roman" w:cs="Times New Roman"/>
          <w:sz w:val="26"/>
          <w:szCs w:val="26"/>
        </w:rPr>
        <w:t xml:space="preserve">, and not to his make-up bill </w:t>
      </w:r>
      <w:r w:rsidR="006306C3">
        <w:rPr>
          <w:rFonts w:ascii="Times New Roman" w:hAnsi="Times New Roman" w:cs="Times New Roman"/>
          <w:sz w:val="26"/>
          <w:szCs w:val="26"/>
        </w:rPr>
        <w:t>amount of $2,028.80 attributed to</w:t>
      </w:r>
      <w:r w:rsidR="00324E71">
        <w:rPr>
          <w:rFonts w:ascii="Times New Roman" w:hAnsi="Times New Roman" w:cs="Times New Roman"/>
          <w:sz w:val="26"/>
          <w:szCs w:val="26"/>
        </w:rPr>
        <w:t xml:space="preserve"> previously underbilled gas usage</w:t>
      </w:r>
      <w:r w:rsidRPr="00CE4E71">
        <w:rPr>
          <w:rFonts w:ascii="Times New Roman" w:hAnsi="Times New Roman" w:cs="Times New Roman"/>
          <w:sz w:val="26"/>
          <w:szCs w:val="26"/>
        </w:rPr>
        <w:t>.</w:t>
      </w:r>
    </w:p>
    <w:p w:rsidR="002B2F22" w:rsidRDefault="002B2F22" w:rsidP="00593A78">
      <w:pPr>
        <w:widowControl/>
        <w:spacing w:line="360" w:lineRule="auto"/>
        <w:ind w:firstLine="1440"/>
        <w:contextualSpacing/>
        <w:rPr>
          <w:sz w:val="26"/>
          <w:szCs w:val="26"/>
        </w:rPr>
      </w:pPr>
    </w:p>
    <w:p w:rsidR="006E633E" w:rsidRDefault="003126B1" w:rsidP="00593A78">
      <w:pPr>
        <w:widowControl/>
        <w:spacing w:line="360" w:lineRule="auto"/>
        <w:ind w:firstLine="1440"/>
        <w:contextualSpacing/>
        <w:rPr>
          <w:sz w:val="26"/>
          <w:szCs w:val="26"/>
        </w:rPr>
      </w:pPr>
      <w:r>
        <w:rPr>
          <w:sz w:val="26"/>
          <w:szCs w:val="26"/>
        </w:rPr>
        <w:t>We</w:t>
      </w:r>
      <w:r w:rsidR="00A10E05">
        <w:rPr>
          <w:sz w:val="26"/>
          <w:szCs w:val="26"/>
        </w:rPr>
        <w:t xml:space="preserve"> likewise</w:t>
      </w:r>
      <w:r w:rsidR="00FC060B">
        <w:rPr>
          <w:sz w:val="26"/>
          <w:szCs w:val="26"/>
        </w:rPr>
        <w:t xml:space="preserve"> concur with the ALJ’s decision to dismiss the balance of the Complainant’s allegations.  In our view, the</w:t>
      </w:r>
      <w:r w:rsidR="00FC060B" w:rsidRPr="00886382">
        <w:rPr>
          <w:sz w:val="26"/>
          <w:szCs w:val="26"/>
        </w:rPr>
        <w:t xml:space="preserve"> Complainants’ Exceptions </w:t>
      </w:r>
      <w:r w:rsidR="00FC060B">
        <w:rPr>
          <w:sz w:val="26"/>
          <w:szCs w:val="26"/>
        </w:rPr>
        <w:t xml:space="preserve">to the ALJ’s </w:t>
      </w:r>
      <w:r w:rsidR="00FC060B" w:rsidRPr="00886382">
        <w:rPr>
          <w:sz w:val="26"/>
          <w:szCs w:val="26"/>
        </w:rPr>
        <w:t>Initial Decision</w:t>
      </w:r>
      <w:r w:rsidR="00FC060B">
        <w:rPr>
          <w:sz w:val="26"/>
          <w:szCs w:val="26"/>
        </w:rPr>
        <w:t xml:space="preserve"> </w:t>
      </w:r>
      <w:r w:rsidR="00FC060B" w:rsidRPr="00886382">
        <w:rPr>
          <w:sz w:val="26"/>
          <w:szCs w:val="26"/>
        </w:rPr>
        <w:t>are no</w:t>
      </w:r>
      <w:r w:rsidR="008971B8">
        <w:rPr>
          <w:sz w:val="26"/>
          <w:szCs w:val="26"/>
        </w:rPr>
        <w:t xml:space="preserve">thing more than a statement of </w:t>
      </w:r>
      <w:r w:rsidR="00FC060B">
        <w:rPr>
          <w:sz w:val="26"/>
          <w:szCs w:val="26"/>
        </w:rPr>
        <w:t>his</w:t>
      </w:r>
      <w:r w:rsidR="00FC060B" w:rsidRPr="00886382">
        <w:rPr>
          <w:sz w:val="26"/>
          <w:szCs w:val="26"/>
        </w:rPr>
        <w:t xml:space="preserve"> dissatisfaction with the ALJ’s ruling and a restatement of </w:t>
      </w:r>
      <w:r w:rsidR="00FC060B">
        <w:rPr>
          <w:sz w:val="26"/>
          <w:szCs w:val="26"/>
        </w:rPr>
        <w:t xml:space="preserve">his </w:t>
      </w:r>
      <w:r w:rsidR="00FC060B" w:rsidRPr="00886382">
        <w:rPr>
          <w:sz w:val="26"/>
          <w:szCs w:val="26"/>
        </w:rPr>
        <w:t>Complaint.</w:t>
      </w:r>
      <w:r w:rsidR="003051A5">
        <w:rPr>
          <w:sz w:val="26"/>
          <w:szCs w:val="26"/>
        </w:rPr>
        <w:t xml:space="preserve">  </w:t>
      </w:r>
      <w:r w:rsidR="00A10E05">
        <w:rPr>
          <w:sz w:val="26"/>
          <w:szCs w:val="26"/>
        </w:rPr>
        <w:t xml:space="preserve">Although the Complainant remains of the opinion that he should have been afforded an opportunity to review the reading on his previous meter before PGW removed the meter, we echo the ALJ’s finding that no policy statement, regulation, or law exists that requires a utility to show its customer a malfunctioning meter that is still connected to </w:t>
      </w:r>
      <w:r w:rsidR="00607ABF">
        <w:rPr>
          <w:sz w:val="26"/>
          <w:szCs w:val="26"/>
        </w:rPr>
        <w:t>its</w:t>
      </w:r>
      <w:r w:rsidR="00A10E05">
        <w:rPr>
          <w:sz w:val="26"/>
          <w:szCs w:val="26"/>
        </w:rPr>
        <w:t xml:space="preserve"> customer’s Service Address.  Similarly, while the Complainant </w:t>
      </w:r>
      <w:r w:rsidR="00513E7E">
        <w:rPr>
          <w:sz w:val="26"/>
          <w:szCs w:val="26"/>
        </w:rPr>
        <w:t>continues to question</w:t>
      </w:r>
      <w:r w:rsidR="00A10E05">
        <w:rPr>
          <w:sz w:val="26"/>
          <w:szCs w:val="26"/>
        </w:rPr>
        <w:t xml:space="preserve"> the validity of PGW’s statement that</w:t>
      </w:r>
      <w:r w:rsidR="00513E7E">
        <w:rPr>
          <w:sz w:val="26"/>
          <w:szCs w:val="26"/>
        </w:rPr>
        <w:t xml:space="preserve"> the AMR device on</w:t>
      </w:r>
      <w:r w:rsidR="00A10E05">
        <w:rPr>
          <w:sz w:val="26"/>
          <w:szCs w:val="26"/>
        </w:rPr>
        <w:t xml:space="preserve"> his meter was only recording half of his </w:t>
      </w:r>
      <w:r w:rsidR="00513E7E">
        <w:rPr>
          <w:sz w:val="26"/>
          <w:szCs w:val="26"/>
        </w:rPr>
        <w:t xml:space="preserve">actual </w:t>
      </w:r>
      <w:r w:rsidR="00A10E05">
        <w:rPr>
          <w:sz w:val="26"/>
          <w:szCs w:val="26"/>
        </w:rPr>
        <w:t xml:space="preserve">usage, </w:t>
      </w:r>
      <w:r w:rsidR="0042537D">
        <w:rPr>
          <w:sz w:val="26"/>
          <w:szCs w:val="26"/>
        </w:rPr>
        <w:t xml:space="preserve">the record </w:t>
      </w:r>
      <w:r w:rsidR="0042537D">
        <w:rPr>
          <w:sz w:val="26"/>
          <w:szCs w:val="26"/>
        </w:rPr>
        <w:lastRenderedPageBreak/>
        <w:t>indicates that the when PGW removed the meter from the Complainant’s Service Address, it discovered that the r</w:t>
      </w:r>
      <w:r w:rsidR="00FD40CA">
        <w:rPr>
          <w:sz w:val="26"/>
          <w:szCs w:val="26"/>
        </w:rPr>
        <w:t xml:space="preserve">eading of the index of 4191 on the AMR was only </w:t>
      </w:r>
      <w:r w:rsidR="008412DF">
        <w:rPr>
          <w:sz w:val="26"/>
          <w:szCs w:val="26"/>
        </w:rPr>
        <w:t xml:space="preserve">approximately </w:t>
      </w:r>
      <w:r w:rsidR="00FD40CA">
        <w:rPr>
          <w:sz w:val="26"/>
          <w:szCs w:val="26"/>
        </w:rPr>
        <w:t>half of the physical index reading of 8385 on the Complainant’s actual meter.  Tr</w:t>
      </w:r>
      <w:r w:rsidR="00A278AB">
        <w:rPr>
          <w:sz w:val="26"/>
          <w:szCs w:val="26"/>
        </w:rPr>
        <w:t>.</w:t>
      </w:r>
      <w:r w:rsidR="00FD40CA">
        <w:rPr>
          <w:sz w:val="26"/>
          <w:szCs w:val="26"/>
        </w:rPr>
        <w:t xml:space="preserve"> at 50-54, 74; PGW Exh 3, 4. </w:t>
      </w:r>
      <w:r w:rsidR="0042537D">
        <w:rPr>
          <w:sz w:val="26"/>
          <w:szCs w:val="26"/>
        </w:rPr>
        <w:t xml:space="preserve"> Further, the record indicates that because PGW did not determine that the AMR was incorrectly programmed until it removed the meter, its employee would have been unable to inform the Complainant of this incorrect programming </w:t>
      </w:r>
      <w:r w:rsidR="00607ABF">
        <w:rPr>
          <w:sz w:val="26"/>
          <w:szCs w:val="26"/>
        </w:rPr>
        <w:t>during his visit at the</w:t>
      </w:r>
      <w:r w:rsidR="0042537D">
        <w:rPr>
          <w:sz w:val="26"/>
          <w:szCs w:val="26"/>
        </w:rPr>
        <w:t xml:space="preserve"> Service Address.  Tr. at 74</w:t>
      </w:r>
    </w:p>
    <w:p w:rsidR="00A10E05" w:rsidRDefault="00A10E05" w:rsidP="00593A78">
      <w:pPr>
        <w:widowControl/>
        <w:spacing w:line="360" w:lineRule="auto"/>
        <w:ind w:firstLine="1440"/>
        <w:contextualSpacing/>
        <w:rPr>
          <w:sz w:val="26"/>
          <w:szCs w:val="26"/>
        </w:rPr>
      </w:pPr>
    </w:p>
    <w:p w:rsidR="00AE3E0B" w:rsidRPr="00986A12" w:rsidRDefault="00FD40CA" w:rsidP="00593A78">
      <w:pPr>
        <w:widowControl/>
        <w:spacing w:line="360" w:lineRule="auto"/>
        <w:ind w:firstLine="1440"/>
        <w:contextualSpacing/>
        <w:rPr>
          <w:sz w:val="26"/>
          <w:szCs w:val="26"/>
        </w:rPr>
      </w:pPr>
      <w:r>
        <w:rPr>
          <w:sz w:val="26"/>
          <w:szCs w:val="26"/>
        </w:rPr>
        <w:t xml:space="preserve">Moreover, we find </w:t>
      </w:r>
      <w:r w:rsidR="008412DF">
        <w:rPr>
          <w:sz w:val="26"/>
          <w:szCs w:val="26"/>
        </w:rPr>
        <w:t xml:space="preserve">that </w:t>
      </w:r>
      <w:r>
        <w:rPr>
          <w:sz w:val="26"/>
          <w:szCs w:val="26"/>
        </w:rPr>
        <w:t>t</w:t>
      </w:r>
      <w:r w:rsidR="00730AF8">
        <w:rPr>
          <w:sz w:val="26"/>
          <w:szCs w:val="26"/>
        </w:rPr>
        <w:t xml:space="preserve">he record supports the ALJ’s </w:t>
      </w:r>
      <w:r w:rsidR="00607ABF">
        <w:rPr>
          <w:sz w:val="26"/>
          <w:szCs w:val="26"/>
        </w:rPr>
        <w:t>determination</w:t>
      </w:r>
      <w:r w:rsidR="00730AF8">
        <w:rPr>
          <w:sz w:val="26"/>
          <w:szCs w:val="26"/>
        </w:rPr>
        <w:t xml:space="preserve"> that the Complainant’s billing discrepancy </w:t>
      </w:r>
      <w:r w:rsidR="008412DF">
        <w:rPr>
          <w:sz w:val="26"/>
          <w:szCs w:val="26"/>
        </w:rPr>
        <w:t>was the result of</w:t>
      </w:r>
      <w:r w:rsidR="00730AF8">
        <w:rPr>
          <w:sz w:val="26"/>
          <w:szCs w:val="26"/>
        </w:rPr>
        <w:t xml:space="preserve"> an improperly programmed AMR device as opposed </w:t>
      </w:r>
      <w:r w:rsidR="002B5514">
        <w:rPr>
          <w:sz w:val="26"/>
          <w:szCs w:val="26"/>
        </w:rPr>
        <w:t xml:space="preserve">to </w:t>
      </w:r>
      <w:r w:rsidR="008412DF">
        <w:rPr>
          <w:sz w:val="26"/>
          <w:szCs w:val="26"/>
        </w:rPr>
        <w:t>a faulty meter</w:t>
      </w:r>
      <w:r w:rsidR="00730AF8">
        <w:rPr>
          <w:sz w:val="26"/>
          <w:szCs w:val="26"/>
        </w:rPr>
        <w:t xml:space="preserve">.  Specifically, the record indicates that </w:t>
      </w:r>
      <w:r w:rsidR="00AE3E0B">
        <w:rPr>
          <w:sz w:val="26"/>
          <w:szCs w:val="26"/>
        </w:rPr>
        <w:t xml:space="preserve">upon removing the meter from the Complainant’s Service Address, PGW </w:t>
      </w:r>
      <w:r>
        <w:rPr>
          <w:sz w:val="26"/>
          <w:szCs w:val="26"/>
        </w:rPr>
        <w:t xml:space="preserve">also </w:t>
      </w:r>
      <w:r w:rsidR="00AE3E0B">
        <w:rPr>
          <w:sz w:val="26"/>
          <w:szCs w:val="26"/>
        </w:rPr>
        <w:t>tested it for accuracy.  Tr. at 54-56.  With regard to determining the accuracy of a meter,</w:t>
      </w:r>
      <w:r w:rsidR="00AE3E0B" w:rsidRPr="00986A12">
        <w:rPr>
          <w:sz w:val="26"/>
          <w:szCs w:val="26"/>
        </w:rPr>
        <w:t xml:space="preserve"> the relevant provisions of </w:t>
      </w:r>
      <w:r w:rsidR="00AE3E0B">
        <w:rPr>
          <w:sz w:val="26"/>
          <w:szCs w:val="26"/>
        </w:rPr>
        <w:t>our</w:t>
      </w:r>
      <w:r w:rsidR="00AE3E0B" w:rsidRPr="00986A12">
        <w:rPr>
          <w:sz w:val="26"/>
          <w:szCs w:val="26"/>
        </w:rPr>
        <w:t xml:space="preserve"> Regulations read as follows:</w:t>
      </w:r>
    </w:p>
    <w:p w:rsidR="00AE3E0B" w:rsidRDefault="00AE3E0B" w:rsidP="00593A78">
      <w:pPr>
        <w:widowControl/>
        <w:autoSpaceDE w:val="0"/>
        <w:autoSpaceDN w:val="0"/>
        <w:ind w:left="1440" w:right="1440"/>
        <w:contextualSpacing/>
        <w:rPr>
          <w:rFonts w:eastAsia="Calibri"/>
          <w:sz w:val="26"/>
          <w:szCs w:val="26"/>
        </w:rPr>
      </w:pPr>
    </w:p>
    <w:p w:rsidR="0021249F" w:rsidRPr="00D365A7" w:rsidRDefault="0021249F" w:rsidP="00593A78">
      <w:pPr>
        <w:widowControl/>
        <w:autoSpaceDE w:val="0"/>
        <w:autoSpaceDN w:val="0"/>
        <w:ind w:left="1440" w:right="1440"/>
        <w:contextualSpacing/>
        <w:rPr>
          <w:rFonts w:eastAsia="Calibri"/>
          <w:b/>
          <w:sz w:val="26"/>
          <w:szCs w:val="26"/>
        </w:rPr>
      </w:pPr>
      <w:r w:rsidRPr="00D365A7">
        <w:rPr>
          <w:rFonts w:eastAsia="Calibri"/>
          <w:b/>
          <w:sz w:val="26"/>
          <w:szCs w:val="26"/>
        </w:rPr>
        <w:t>§ 59.21. Meter tests</w:t>
      </w:r>
    </w:p>
    <w:p w:rsidR="0021249F" w:rsidRPr="00986A12" w:rsidRDefault="0021249F" w:rsidP="00593A78">
      <w:pPr>
        <w:widowControl/>
        <w:autoSpaceDE w:val="0"/>
        <w:autoSpaceDN w:val="0"/>
        <w:ind w:left="1440" w:right="1440"/>
        <w:contextualSpacing/>
        <w:rPr>
          <w:rFonts w:eastAsia="Calibri"/>
          <w:sz w:val="26"/>
          <w:szCs w:val="26"/>
        </w:rPr>
      </w:pPr>
    </w:p>
    <w:p w:rsidR="00AE3E0B" w:rsidRPr="00986A12" w:rsidRDefault="00AE3E0B" w:rsidP="00593A78">
      <w:pPr>
        <w:widowControl/>
        <w:autoSpaceDE w:val="0"/>
        <w:autoSpaceDN w:val="0"/>
        <w:ind w:left="1440" w:right="1440"/>
        <w:contextualSpacing/>
        <w:jc w:val="center"/>
        <w:rPr>
          <w:rFonts w:eastAsia="Calibri"/>
          <w:sz w:val="26"/>
          <w:szCs w:val="26"/>
        </w:rPr>
      </w:pPr>
      <w:r w:rsidRPr="00986A12">
        <w:rPr>
          <w:rFonts w:eastAsia="Calibri"/>
          <w:sz w:val="26"/>
          <w:szCs w:val="26"/>
        </w:rPr>
        <w:t>*</w:t>
      </w:r>
      <w:r w:rsidRPr="00986A12">
        <w:rPr>
          <w:rFonts w:eastAsia="Calibri"/>
          <w:sz w:val="26"/>
          <w:szCs w:val="26"/>
        </w:rPr>
        <w:tab/>
        <w:t>*</w:t>
      </w:r>
      <w:r w:rsidRPr="00986A12">
        <w:rPr>
          <w:rFonts w:eastAsia="Calibri"/>
          <w:sz w:val="26"/>
          <w:szCs w:val="26"/>
        </w:rPr>
        <w:tab/>
        <w:t>*</w:t>
      </w:r>
    </w:p>
    <w:p w:rsidR="00AE3E0B" w:rsidRPr="00986A12" w:rsidRDefault="00AE3E0B" w:rsidP="00593A78">
      <w:pPr>
        <w:widowControl/>
        <w:autoSpaceDE w:val="0"/>
        <w:autoSpaceDN w:val="0"/>
        <w:ind w:left="1440" w:right="1440"/>
        <w:contextualSpacing/>
        <w:rPr>
          <w:rFonts w:eastAsia="Calibri"/>
          <w:b/>
          <w:sz w:val="26"/>
          <w:szCs w:val="26"/>
        </w:rPr>
      </w:pPr>
    </w:p>
    <w:p w:rsidR="00AE3E0B" w:rsidRPr="00986A12" w:rsidRDefault="0021249F" w:rsidP="00593A78">
      <w:pPr>
        <w:widowControl/>
        <w:autoSpaceDE w:val="0"/>
        <w:autoSpaceDN w:val="0"/>
        <w:ind w:left="1440" w:right="1440"/>
        <w:contextualSpacing/>
        <w:rPr>
          <w:rFonts w:eastAsia="Calibri"/>
          <w:sz w:val="26"/>
          <w:szCs w:val="26"/>
        </w:rPr>
      </w:pPr>
      <w:r>
        <w:rPr>
          <w:rFonts w:eastAsia="Calibri"/>
          <w:sz w:val="26"/>
          <w:szCs w:val="26"/>
        </w:rPr>
        <w:t>(f)</w:t>
      </w:r>
      <w:r w:rsidR="00AE3E0B" w:rsidRPr="00986A12">
        <w:rPr>
          <w:rFonts w:eastAsia="Calibri"/>
          <w:i/>
          <w:sz w:val="26"/>
          <w:szCs w:val="26"/>
        </w:rPr>
        <w:t>Meter test on request of customer.</w:t>
      </w:r>
      <w:r w:rsidR="00AE3E0B" w:rsidRPr="00986A12">
        <w:rPr>
          <w:rFonts w:eastAsia="Calibri"/>
          <w:sz w:val="26"/>
          <w:szCs w:val="26"/>
        </w:rPr>
        <w:t xml:space="preserve"> Meter tests, if requested by a customer shall conform with all of the following:</w:t>
      </w:r>
    </w:p>
    <w:p w:rsidR="00AE3E0B" w:rsidRPr="00986A12" w:rsidRDefault="00AE3E0B" w:rsidP="00593A78">
      <w:pPr>
        <w:widowControl/>
        <w:autoSpaceDE w:val="0"/>
        <w:autoSpaceDN w:val="0"/>
        <w:ind w:left="1440" w:right="1440"/>
        <w:contextualSpacing/>
        <w:rPr>
          <w:rFonts w:eastAsia="Calibri"/>
          <w:sz w:val="26"/>
          <w:szCs w:val="26"/>
        </w:rPr>
      </w:pPr>
    </w:p>
    <w:p w:rsidR="00AE3E0B" w:rsidRPr="00986A12" w:rsidRDefault="00AE3E0B" w:rsidP="00593A78">
      <w:pPr>
        <w:widowControl/>
        <w:autoSpaceDE w:val="0"/>
        <w:autoSpaceDN w:val="0"/>
        <w:ind w:left="1440" w:right="1440"/>
        <w:contextualSpacing/>
        <w:rPr>
          <w:rFonts w:eastAsia="Calibri"/>
          <w:sz w:val="26"/>
          <w:szCs w:val="26"/>
        </w:rPr>
      </w:pPr>
      <w:r w:rsidRPr="00986A12">
        <w:rPr>
          <w:rFonts w:eastAsia="Calibri"/>
          <w:sz w:val="26"/>
          <w:szCs w:val="26"/>
        </w:rPr>
        <w:t xml:space="preserve">   (1) If a customer requests, in writing, a test of the accuracy of the meter through which gas service is supplied and the meter is not due for periodic test, the public utility shall notify the customer of the conditions under which the test will be made by the utility or by a referee.  If the customer then requests the utility to proceed with the test and remits an amount equal to the scheduled cost of a referee test, the utility shall make the test promptly.  I</w:t>
      </w:r>
      <w:r w:rsidR="00A36028">
        <w:rPr>
          <w:rFonts w:eastAsia="Calibri"/>
          <w:sz w:val="26"/>
          <w:szCs w:val="26"/>
        </w:rPr>
        <w:t>f</w:t>
      </w:r>
      <w:r w:rsidRPr="00986A12">
        <w:rPr>
          <w:rFonts w:eastAsia="Calibri"/>
          <w:sz w:val="26"/>
          <w:szCs w:val="26"/>
        </w:rPr>
        <w:t>, when tested, the meter is found to be more than 2.0% fast or slow, the testing fee shall be promptly refunded to the Customer.</w:t>
      </w:r>
    </w:p>
    <w:p w:rsidR="00AE3E0B" w:rsidRPr="00986A12" w:rsidRDefault="00AE3E0B" w:rsidP="00593A78">
      <w:pPr>
        <w:widowControl/>
        <w:autoSpaceDE w:val="0"/>
        <w:autoSpaceDN w:val="0"/>
        <w:ind w:left="1440" w:right="1440"/>
        <w:contextualSpacing/>
        <w:rPr>
          <w:rFonts w:eastAsia="Calibri"/>
          <w:sz w:val="26"/>
          <w:szCs w:val="26"/>
        </w:rPr>
      </w:pPr>
    </w:p>
    <w:p w:rsidR="00AE3E0B" w:rsidRDefault="00AE3E0B" w:rsidP="00593A78">
      <w:pPr>
        <w:widowControl/>
        <w:autoSpaceDE w:val="0"/>
        <w:autoSpaceDN w:val="0"/>
        <w:ind w:left="1440" w:right="1440"/>
        <w:contextualSpacing/>
        <w:jc w:val="center"/>
        <w:rPr>
          <w:rFonts w:eastAsia="Calibri"/>
          <w:sz w:val="26"/>
          <w:szCs w:val="26"/>
        </w:rPr>
      </w:pPr>
      <w:r w:rsidRPr="00986A12">
        <w:rPr>
          <w:rFonts w:eastAsia="Calibri"/>
          <w:sz w:val="26"/>
          <w:szCs w:val="26"/>
        </w:rPr>
        <w:t>*</w:t>
      </w:r>
      <w:r w:rsidRPr="00986A12">
        <w:rPr>
          <w:rFonts w:eastAsia="Calibri"/>
          <w:sz w:val="26"/>
          <w:szCs w:val="26"/>
        </w:rPr>
        <w:tab/>
        <w:t>*</w:t>
      </w:r>
      <w:r w:rsidRPr="00986A12">
        <w:rPr>
          <w:rFonts w:eastAsia="Calibri"/>
          <w:sz w:val="26"/>
          <w:szCs w:val="26"/>
        </w:rPr>
        <w:tab/>
        <w:t>*</w:t>
      </w:r>
    </w:p>
    <w:p w:rsidR="001E4386" w:rsidRDefault="001E4386" w:rsidP="00593A78">
      <w:pPr>
        <w:widowControl/>
        <w:autoSpaceDE w:val="0"/>
        <w:autoSpaceDN w:val="0"/>
        <w:ind w:left="1440" w:right="1440"/>
        <w:contextualSpacing/>
        <w:rPr>
          <w:rFonts w:eastAsia="Calibri"/>
          <w:sz w:val="26"/>
          <w:szCs w:val="26"/>
        </w:rPr>
      </w:pPr>
    </w:p>
    <w:p w:rsidR="001E4386" w:rsidRPr="00986A12" w:rsidRDefault="001E4386" w:rsidP="002B5514">
      <w:pPr>
        <w:keepNext/>
        <w:keepLines/>
        <w:widowControl/>
        <w:autoSpaceDE w:val="0"/>
        <w:autoSpaceDN w:val="0"/>
        <w:ind w:left="1440" w:right="1440"/>
        <w:contextualSpacing/>
        <w:rPr>
          <w:rFonts w:eastAsia="Calibri"/>
          <w:sz w:val="26"/>
          <w:szCs w:val="26"/>
        </w:rPr>
      </w:pPr>
      <w:r w:rsidRPr="00D365A7">
        <w:rPr>
          <w:rFonts w:eastAsia="Calibri"/>
          <w:b/>
          <w:sz w:val="26"/>
          <w:szCs w:val="26"/>
        </w:rPr>
        <w:lastRenderedPageBreak/>
        <w:t>§ 59.22. Adjustment of bills for meter error</w:t>
      </w:r>
    </w:p>
    <w:p w:rsidR="00AE3E0B" w:rsidRPr="00986A12" w:rsidRDefault="00AE3E0B" w:rsidP="002B5514">
      <w:pPr>
        <w:keepNext/>
        <w:keepLines/>
        <w:widowControl/>
        <w:tabs>
          <w:tab w:val="left" w:pos="1800"/>
        </w:tabs>
        <w:autoSpaceDE w:val="0"/>
        <w:autoSpaceDN w:val="0"/>
        <w:ind w:left="1440" w:right="1440"/>
        <w:contextualSpacing/>
        <w:rPr>
          <w:rFonts w:eastAsia="Calibri"/>
          <w:sz w:val="26"/>
          <w:szCs w:val="26"/>
        </w:rPr>
      </w:pPr>
      <w:r w:rsidRPr="00986A12">
        <w:rPr>
          <w:rFonts w:eastAsia="Calibri"/>
          <w:sz w:val="26"/>
          <w:szCs w:val="26"/>
        </w:rPr>
        <w:br/>
        <w:t xml:space="preserve">(a) </w:t>
      </w:r>
      <w:r w:rsidRPr="00986A12">
        <w:rPr>
          <w:rFonts w:eastAsia="Calibri"/>
          <w:i/>
          <w:iCs/>
          <w:sz w:val="26"/>
          <w:szCs w:val="26"/>
        </w:rPr>
        <w:t>Fast meters.</w:t>
      </w:r>
      <w:r w:rsidRPr="00986A12">
        <w:rPr>
          <w:rFonts w:eastAsia="Calibri"/>
          <w:sz w:val="26"/>
          <w:szCs w:val="26"/>
        </w:rPr>
        <w:t xml:space="preserve"> If, upon test of a meter, it is found to have an average error of </w:t>
      </w:r>
      <w:r w:rsidRPr="00986A12">
        <w:rPr>
          <w:rFonts w:eastAsia="Calibri"/>
          <w:b/>
          <w:sz w:val="26"/>
          <w:szCs w:val="26"/>
        </w:rPr>
        <w:t>more than 2.0% fast</w:t>
      </w:r>
      <w:r w:rsidRPr="00986A12">
        <w:rPr>
          <w:rFonts w:eastAsia="Calibri"/>
          <w:sz w:val="26"/>
          <w:szCs w:val="26"/>
        </w:rPr>
        <w:t>, the public utility shall refund to or credit the customer for the overcharge, based upon what the meter would have registered had it not been fast or slow for a period equal to 1/2 the time elapsed since the last previous test, but not to exceed 12 months or 1/2 the period of occupancy of the premises by the customer, whichever is less. If the period of registration error may be definitely fixed, the overcharge shall be computed for the period. If the meter has not been tested under § 59.21 (relating to meter tests), the period for which it has been in service beyond the regular test period shall be included in computing the refund.</w:t>
      </w:r>
    </w:p>
    <w:p w:rsidR="00AE3E0B" w:rsidRPr="00986A12" w:rsidRDefault="00AE3E0B" w:rsidP="00593A78">
      <w:pPr>
        <w:widowControl/>
        <w:autoSpaceDE w:val="0"/>
        <w:autoSpaceDN w:val="0"/>
        <w:ind w:left="1440" w:right="1440"/>
        <w:contextualSpacing/>
        <w:rPr>
          <w:rFonts w:eastAsia="Calibri"/>
          <w:sz w:val="26"/>
          <w:szCs w:val="26"/>
        </w:rPr>
      </w:pPr>
    </w:p>
    <w:p w:rsidR="00AE3E0B" w:rsidRDefault="00AE3E0B" w:rsidP="00593A78">
      <w:pPr>
        <w:widowControl/>
        <w:autoSpaceDE w:val="0"/>
        <w:autoSpaceDN w:val="0"/>
        <w:ind w:left="1440" w:right="1440"/>
        <w:contextualSpacing/>
        <w:rPr>
          <w:rFonts w:eastAsia="Calibri"/>
          <w:sz w:val="26"/>
          <w:szCs w:val="26"/>
        </w:rPr>
      </w:pPr>
      <w:r w:rsidRPr="00986A12">
        <w:rPr>
          <w:rFonts w:eastAsia="Calibri"/>
          <w:sz w:val="26"/>
          <w:szCs w:val="26"/>
        </w:rPr>
        <w:t xml:space="preserve">(b)  </w:t>
      </w:r>
      <w:r w:rsidRPr="00986A12">
        <w:rPr>
          <w:rFonts w:eastAsia="Calibri"/>
          <w:i/>
          <w:sz w:val="26"/>
          <w:szCs w:val="26"/>
        </w:rPr>
        <w:t>Slow Meters.</w:t>
      </w:r>
      <w:r w:rsidRPr="00986A12">
        <w:rPr>
          <w:rFonts w:eastAsia="Calibri"/>
          <w:sz w:val="26"/>
          <w:szCs w:val="26"/>
        </w:rPr>
        <w:t xml:space="preserve">  If, upon test of a gas meter it is found to have an average error of </w:t>
      </w:r>
      <w:r w:rsidRPr="00986A12">
        <w:rPr>
          <w:rFonts w:eastAsia="Calibri"/>
          <w:b/>
          <w:sz w:val="26"/>
          <w:szCs w:val="26"/>
        </w:rPr>
        <w:t>more than 2.0% slow</w:t>
      </w:r>
      <w:r w:rsidRPr="00986A12">
        <w:rPr>
          <w:rFonts w:eastAsia="Calibri"/>
          <w:sz w:val="26"/>
          <w:szCs w:val="26"/>
        </w:rPr>
        <w:t xml:space="preserve">, the public utility may render a bill for the gas consumed but not covered by bills previously rendered, for a period of ½ of the time elapsed since the last previous test, but not to exceed 3 months.  If the period of registration error may be definitely fixed, the charge may be computed for the period. </w:t>
      </w:r>
    </w:p>
    <w:p w:rsidR="00AE3E0B" w:rsidRDefault="00AE3E0B" w:rsidP="00593A78">
      <w:pPr>
        <w:widowControl/>
        <w:autoSpaceDE w:val="0"/>
        <w:autoSpaceDN w:val="0"/>
        <w:ind w:left="1440" w:right="1440"/>
        <w:contextualSpacing/>
        <w:rPr>
          <w:rFonts w:eastAsia="Calibri"/>
          <w:sz w:val="26"/>
          <w:szCs w:val="26"/>
        </w:rPr>
      </w:pPr>
    </w:p>
    <w:p w:rsidR="00AE3E0B" w:rsidRPr="00986A12" w:rsidRDefault="00AE3E0B" w:rsidP="00593A78">
      <w:pPr>
        <w:widowControl/>
        <w:autoSpaceDE w:val="0"/>
        <w:autoSpaceDN w:val="0"/>
        <w:ind w:left="1440" w:right="1440"/>
        <w:contextualSpacing/>
        <w:rPr>
          <w:rFonts w:eastAsia="Calibri"/>
          <w:sz w:val="26"/>
          <w:szCs w:val="26"/>
        </w:rPr>
      </w:pPr>
    </w:p>
    <w:p w:rsidR="00A10E05" w:rsidRPr="00DF6FA5" w:rsidRDefault="00AE3E0B" w:rsidP="00593A78">
      <w:pPr>
        <w:widowControl/>
        <w:spacing w:line="360" w:lineRule="auto"/>
        <w:contextualSpacing/>
        <w:rPr>
          <w:sz w:val="26"/>
          <w:szCs w:val="26"/>
        </w:rPr>
      </w:pPr>
      <w:r w:rsidRPr="00986A12">
        <w:rPr>
          <w:rFonts w:eastAsia="Calibri"/>
          <w:sz w:val="26"/>
          <w:szCs w:val="26"/>
        </w:rPr>
        <w:t>52 Pa. Code §§ 59.21, 59.22 (emphasis added</w:t>
      </w:r>
      <w:r w:rsidRPr="00DF6FA5">
        <w:rPr>
          <w:rFonts w:eastAsia="Calibri"/>
          <w:sz w:val="26"/>
          <w:szCs w:val="26"/>
        </w:rPr>
        <w:t xml:space="preserve">).  </w:t>
      </w:r>
      <w:r w:rsidR="00FD40CA">
        <w:rPr>
          <w:rFonts w:eastAsia="Calibri"/>
          <w:sz w:val="26"/>
          <w:szCs w:val="26"/>
        </w:rPr>
        <w:t xml:space="preserve">In the matter before us, PGW’s meter testing revealed that </w:t>
      </w:r>
      <w:r w:rsidR="003D5598" w:rsidRPr="00986A12">
        <w:rPr>
          <w:rFonts w:eastAsia="Calibri"/>
          <w:sz w:val="26"/>
          <w:szCs w:val="26"/>
        </w:rPr>
        <w:t xml:space="preserve">the Complainant’s meter tested at an average of </w:t>
      </w:r>
      <w:r w:rsidR="003D5598">
        <w:rPr>
          <w:rFonts w:eastAsia="Calibri"/>
          <w:sz w:val="26"/>
          <w:szCs w:val="26"/>
        </w:rPr>
        <w:t>100.8</w:t>
      </w:r>
      <w:r w:rsidR="003D5598" w:rsidRPr="00986A12">
        <w:rPr>
          <w:rFonts w:eastAsia="Calibri"/>
          <w:sz w:val="26"/>
          <w:szCs w:val="26"/>
        </w:rPr>
        <w:t xml:space="preserve"> percent.</w:t>
      </w:r>
      <w:r w:rsidR="00FD40CA">
        <w:rPr>
          <w:sz w:val="26"/>
          <w:szCs w:val="26"/>
        </w:rPr>
        <w:t xml:space="preserve">  Tr. at</w:t>
      </w:r>
      <w:r w:rsidR="002B5514">
        <w:rPr>
          <w:sz w:val="26"/>
          <w:szCs w:val="26"/>
        </w:rPr>
        <w:t> </w:t>
      </w:r>
      <w:r w:rsidR="00FD40CA">
        <w:rPr>
          <w:sz w:val="26"/>
          <w:szCs w:val="26"/>
        </w:rPr>
        <w:t>54, 71, 74-78; PGW Exh. 5.</w:t>
      </w:r>
      <w:r w:rsidR="00DF6FA5" w:rsidRPr="00DF6FA5">
        <w:rPr>
          <w:sz w:val="26"/>
          <w:szCs w:val="26"/>
        </w:rPr>
        <w:t xml:space="preserve">  Hence, as the ALJ observed, the meter was found to be working within two of one-hundred percent as contemplated in the allowed accuracy variance prescribed </w:t>
      </w:r>
      <w:r w:rsidR="003D5598">
        <w:rPr>
          <w:sz w:val="26"/>
          <w:szCs w:val="26"/>
        </w:rPr>
        <w:t>our Regulations</w:t>
      </w:r>
      <w:r w:rsidR="00DF6FA5" w:rsidRPr="00DF6FA5">
        <w:rPr>
          <w:sz w:val="26"/>
          <w:szCs w:val="26"/>
        </w:rPr>
        <w:t xml:space="preserve"> above.</w:t>
      </w:r>
    </w:p>
    <w:p w:rsidR="006E633E" w:rsidRPr="00DF6FA5" w:rsidRDefault="006E633E" w:rsidP="00593A78">
      <w:pPr>
        <w:widowControl/>
        <w:spacing w:line="360" w:lineRule="auto"/>
        <w:ind w:firstLine="1440"/>
        <w:contextualSpacing/>
        <w:rPr>
          <w:sz w:val="26"/>
          <w:szCs w:val="26"/>
        </w:rPr>
      </w:pPr>
    </w:p>
    <w:p w:rsidR="003051A5" w:rsidRPr="00400436" w:rsidRDefault="009643A1" w:rsidP="00593A78">
      <w:pPr>
        <w:widowControl/>
        <w:spacing w:line="360" w:lineRule="auto"/>
        <w:ind w:firstLine="1440"/>
        <w:contextualSpacing/>
        <w:rPr>
          <w:rFonts w:eastAsia="Calibri"/>
          <w:sz w:val="26"/>
          <w:szCs w:val="26"/>
        </w:rPr>
      </w:pPr>
      <w:r>
        <w:rPr>
          <w:rFonts w:eastAsia="Calibri"/>
          <w:sz w:val="26"/>
          <w:szCs w:val="26"/>
        </w:rPr>
        <w:t>T</w:t>
      </w:r>
      <w:r w:rsidR="004039CF">
        <w:rPr>
          <w:rFonts w:eastAsia="Calibri"/>
          <w:sz w:val="26"/>
          <w:szCs w:val="26"/>
        </w:rPr>
        <w:t xml:space="preserve">he record indicates that </w:t>
      </w:r>
      <w:r>
        <w:rPr>
          <w:rFonts w:eastAsia="Calibri"/>
          <w:sz w:val="26"/>
          <w:szCs w:val="26"/>
        </w:rPr>
        <w:t xml:space="preserve">although </w:t>
      </w:r>
      <w:r w:rsidR="004039CF">
        <w:rPr>
          <w:rFonts w:eastAsia="Calibri"/>
          <w:sz w:val="26"/>
          <w:szCs w:val="26"/>
        </w:rPr>
        <w:t>PGW improperly imposed</w:t>
      </w:r>
      <w:r w:rsidR="003051A5">
        <w:rPr>
          <w:rFonts w:eastAsia="Calibri"/>
          <w:sz w:val="26"/>
          <w:szCs w:val="26"/>
        </w:rPr>
        <w:t xml:space="preserve"> late payment charges and </w:t>
      </w:r>
      <w:r w:rsidR="004039CF">
        <w:rPr>
          <w:rFonts w:eastAsia="Calibri"/>
          <w:sz w:val="26"/>
          <w:szCs w:val="26"/>
        </w:rPr>
        <w:t>improperly applied</w:t>
      </w:r>
      <w:r w:rsidR="003051A5">
        <w:rPr>
          <w:rFonts w:eastAsia="Calibri"/>
          <w:sz w:val="26"/>
          <w:szCs w:val="26"/>
        </w:rPr>
        <w:t xml:space="preserve"> the Complainant’s $781.01 credit balance toward the disputed make-up bill, </w:t>
      </w:r>
      <w:r w:rsidR="003051A5" w:rsidRPr="00400436">
        <w:rPr>
          <w:rFonts w:eastAsia="Calibri"/>
          <w:sz w:val="26"/>
          <w:szCs w:val="26"/>
        </w:rPr>
        <w:t>PGW</w:t>
      </w:r>
      <w:r w:rsidR="003051A5">
        <w:rPr>
          <w:rFonts w:eastAsia="Calibri"/>
          <w:sz w:val="26"/>
          <w:szCs w:val="26"/>
        </w:rPr>
        <w:t xml:space="preserve"> </w:t>
      </w:r>
      <w:r w:rsidR="004039CF">
        <w:rPr>
          <w:rFonts w:eastAsia="Calibri"/>
          <w:sz w:val="26"/>
          <w:szCs w:val="26"/>
        </w:rPr>
        <w:t xml:space="preserve">otherwise </w:t>
      </w:r>
      <w:r w:rsidR="003051A5" w:rsidRPr="00400436">
        <w:rPr>
          <w:rFonts w:eastAsia="Calibri"/>
          <w:sz w:val="26"/>
          <w:szCs w:val="26"/>
        </w:rPr>
        <w:t>properly billed the Complainant for previously unbilled usage</w:t>
      </w:r>
      <w:r w:rsidR="00FF30B4">
        <w:rPr>
          <w:rFonts w:eastAsia="Calibri"/>
          <w:sz w:val="26"/>
          <w:szCs w:val="26"/>
        </w:rPr>
        <w:t>.  Because the record</w:t>
      </w:r>
      <w:r w:rsidR="004039CF">
        <w:rPr>
          <w:rFonts w:eastAsia="Calibri"/>
          <w:sz w:val="26"/>
          <w:szCs w:val="26"/>
        </w:rPr>
        <w:t xml:space="preserve"> evidence shows</w:t>
      </w:r>
      <w:r w:rsidR="00FF30B4">
        <w:rPr>
          <w:rFonts w:eastAsia="Calibri"/>
          <w:sz w:val="26"/>
          <w:szCs w:val="26"/>
        </w:rPr>
        <w:t xml:space="preserve"> that the Complainant actually consumed this amount, we agree with the ALJ and with PGW that he is responsible for paying his outstanding bill</w:t>
      </w:r>
      <w:r w:rsidR="003051A5" w:rsidRPr="00400436">
        <w:rPr>
          <w:rFonts w:eastAsia="Calibri"/>
          <w:sz w:val="26"/>
          <w:szCs w:val="26"/>
        </w:rPr>
        <w:t xml:space="preserve">.  Our Regulations permit a public utility to issue a make-up </w:t>
      </w:r>
      <w:r w:rsidR="003051A5" w:rsidRPr="00400436">
        <w:rPr>
          <w:rFonts w:eastAsia="Calibri"/>
          <w:sz w:val="26"/>
          <w:szCs w:val="26"/>
        </w:rPr>
        <w:lastRenderedPageBreak/>
        <w:t>bill for previously unbilled service</w:t>
      </w:r>
      <w:r w:rsidR="00324E71">
        <w:rPr>
          <w:rFonts w:eastAsia="Calibri"/>
          <w:sz w:val="26"/>
          <w:szCs w:val="26"/>
        </w:rPr>
        <w:t xml:space="preserve"> rendered</w:t>
      </w:r>
      <w:r w:rsidR="003051A5" w:rsidRPr="00400436">
        <w:rPr>
          <w:rFonts w:eastAsia="Calibri"/>
          <w:sz w:val="26"/>
          <w:szCs w:val="26"/>
        </w:rPr>
        <w:t xml:space="preserve"> within the past four years </w:t>
      </w:r>
      <w:r w:rsidR="00A613AA">
        <w:rPr>
          <w:rFonts w:eastAsia="Calibri"/>
          <w:sz w:val="26"/>
          <w:szCs w:val="26"/>
        </w:rPr>
        <w:t>under certain circumstances</w:t>
      </w:r>
      <w:r w:rsidR="003051A5" w:rsidRPr="00400436">
        <w:rPr>
          <w:rFonts w:eastAsia="Calibri"/>
          <w:sz w:val="26"/>
          <w:szCs w:val="26"/>
        </w:rPr>
        <w:t xml:space="preserve">.  Specifically, our Regulations state the following: </w:t>
      </w:r>
    </w:p>
    <w:p w:rsidR="003051A5" w:rsidRPr="00400436" w:rsidRDefault="003051A5" w:rsidP="00593A78">
      <w:pPr>
        <w:widowControl/>
        <w:spacing w:line="360" w:lineRule="auto"/>
        <w:contextualSpacing/>
        <w:rPr>
          <w:sz w:val="26"/>
          <w:szCs w:val="26"/>
        </w:rPr>
      </w:pPr>
    </w:p>
    <w:p w:rsidR="003051A5" w:rsidRDefault="003051A5" w:rsidP="00AD07D0">
      <w:pPr>
        <w:keepNext/>
        <w:keepLines/>
        <w:widowControl/>
        <w:ind w:left="1440" w:right="1440"/>
        <w:contextualSpacing/>
        <w:rPr>
          <w:rFonts w:eastAsia="Calibri"/>
          <w:b/>
          <w:sz w:val="26"/>
          <w:szCs w:val="26"/>
        </w:rPr>
      </w:pPr>
      <w:r w:rsidRPr="00400436">
        <w:rPr>
          <w:rFonts w:eastAsia="Calibri"/>
          <w:b/>
          <w:sz w:val="26"/>
          <w:szCs w:val="26"/>
        </w:rPr>
        <w:t>§ 56.14. Previously unbilled public utility service.</w:t>
      </w:r>
    </w:p>
    <w:p w:rsidR="003051A5" w:rsidRPr="00400436" w:rsidRDefault="003051A5" w:rsidP="00AD07D0">
      <w:pPr>
        <w:keepNext/>
        <w:keepLines/>
        <w:widowControl/>
        <w:ind w:left="1440" w:right="1440"/>
        <w:contextualSpacing/>
        <w:rPr>
          <w:rFonts w:eastAsia="Calibri"/>
          <w:b/>
          <w:sz w:val="26"/>
          <w:szCs w:val="26"/>
        </w:rPr>
      </w:pPr>
    </w:p>
    <w:p w:rsidR="003051A5" w:rsidRPr="00400436" w:rsidRDefault="003051A5" w:rsidP="00AD07D0">
      <w:pPr>
        <w:keepNext/>
        <w:keepLines/>
        <w:widowControl/>
        <w:ind w:left="1440" w:right="1440"/>
        <w:contextualSpacing/>
        <w:rPr>
          <w:rFonts w:eastAsia="Calibri"/>
          <w:sz w:val="26"/>
          <w:szCs w:val="26"/>
        </w:rPr>
      </w:pPr>
      <w:r w:rsidRPr="00400436">
        <w:rPr>
          <w:rFonts w:eastAsia="Calibri"/>
          <w:sz w:val="26"/>
          <w:szCs w:val="26"/>
        </w:rPr>
        <w:t>When a public utility renders a make-up bill for previously unbilled public utility service which accrued within the past 4 years resulting from a public utility billing error, meter failure, leakage that could not reasonably have been detected or loss of service, or four or more consecutive estimated bills and the make-up bill exceeds the otherwise normal estimated bill for the billing period during which the make-up bill is issued by at least 50% or at least $50, whichever is greater:</w:t>
      </w:r>
    </w:p>
    <w:p w:rsidR="003051A5" w:rsidRPr="00400436" w:rsidRDefault="003051A5" w:rsidP="00593A78">
      <w:pPr>
        <w:widowControl/>
        <w:ind w:left="1440" w:right="1440"/>
        <w:contextualSpacing/>
        <w:rPr>
          <w:rFonts w:eastAsia="Calibri"/>
          <w:sz w:val="26"/>
          <w:szCs w:val="26"/>
        </w:rPr>
      </w:pPr>
    </w:p>
    <w:p w:rsidR="003051A5" w:rsidRPr="00400436" w:rsidRDefault="003051A5" w:rsidP="00593A78">
      <w:pPr>
        <w:widowControl/>
        <w:ind w:left="1440" w:right="1440"/>
        <w:contextualSpacing/>
        <w:jc w:val="center"/>
        <w:rPr>
          <w:rFonts w:eastAsia="Calibri"/>
          <w:sz w:val="26"/>
          <w:szCs w:val="26"/>
        </w:rPr>
      </w:pPr>
      <w:r w:rsidRPr="00400436">
        <w:rPr>
          <w:rFonts w:eastAsia="Calibri"/>
          <w:sz w:val="26"/>
          <w:szCs w:val="26"/>
        </w:rPr>
        <w:t>*</w:t>
      </w:r>
      <w:r w:rsidRPr="00400436">
        <w:rPr>
          <w:rFonts w:eastAsia="Calibri"/>
          <w:sz w:val="26"/>
          <w:szCs w:val="26"/>
        </w:rPr>
        <w:tab/>
        <w:t>*</w:t>
      </w:r>
      <w:r w:rsidRPr="00400436">
        <w:rPr>
          <w:rFonts w:eastAsia="Calibri"/>
          <w:sz w:val="26"/>
          <w:szCs w:val="26"/>
        </w:rPr>
        <w:tab/>
        <w:t>*</w:t>
      </w:r>
    </w:p>
    <w:p w:rsidR="003051A5" w:rsidRPr="00400436" w:rsidRDefault="003051A5" w:rsidP="00593A78">
      <w:pPr>
        <w:widowControl/>
        <w:ind w:left="1440" w:right="1440"/>
        <w:contextualSpacing/>
        <w:rPr>
          <w:rFonts w:eastAsia="Calibri"/>
          <w:sz w:val="26"/>
          <w:szCs w:val="26"/>
        </w:rPr>
      </w:pPr>
    </w:p>
    <w:p w:rsidR="003051A5" w:rsidRPr="00400436" w:rsidRDefault="003051A5" w:rsidP="00593A78">
      <w:pPr>
        <w:widowControl/>
        <w:ind w:left="1440" w:right="1440"/>
        <w:contextualSpacing/>
        <w:rPr>
          <w:rFonts w:eastAsia="Calibri"/>
          <w:sz w:val="26"/>
          <w:szCs w:val="26"/>
        </w:rPr>
      </w:pPr>
      <w:r w:rsidRPr="00400436">
        <w:rPr>
          <w:rFonts w:eastAsia="Calibri"/>
          <w:sz w:val="26"/>
          <w:szCs w:val="26"/>
        </w:rPr>
        <w:t>(2) The period of the amortization may, at the option of the customer, extend at least as long as:</w:t>
      </w:r>
    </w:p>
    <w:p w:rsidR="003051A5" w:rsidRPr="00400436" w:rsidRDefault="003051A5" w:rsidP="00593A78">
      <w:pPr>
        <w:widowControl/>
        <w:ind w:left="1440" w:right="1440"/>
        <w:contextualSpacing/>
        <w:rPr>
          <w:rFonts w:eastAsia="Calibri"/>
          <w:sz w:val="26"/>
          <w:szCs w:val="26"/>
        </w:rPr>
      </w:pPr>
    </w:p>
    <w:p w:rsidR="003051A5" w:rsidRPr="00400436" w:rsidRDefault="003051A5" w:rsidP="00593A78">
      <w:pPr>
        <w:widowControl/>
        <w:ind w:left="2160" w:right="1440"/>
        <w:contextualSpacing/>
        <w:rPr>
          <w:sz w:val="26"/>
          <w:szCs w:val="26"/>
        </w:rPr>
      </w:pPr>
      <w:r w:rsidRPr="00400436">
        <w:rPr>
          <w:rFonts w:eastAsia="Calibri"/>
          <w:sz w:val="26"/>
          <w:szCs w:val="26"/>
        </w:rPr>
        <w:t xml:space="preserve">(i) The period during which the excess amount </w:t>
      </w:r>
      <w:r w:rsidRPr="00400436">
        <w:rPr>
          <w:sz w:val="26"/>
          <w:szCs w:val="26"/>
        </w:rPr>
        <w:t>accrued.</w:t>
      </w:r>
    </w:p>
    <w:p w:rsidR="003051A5" w:rsidRPr="00400436" w:rsidRDefault="003051A5" w:rsidP="002B5514">
      <w:pPr>
        <w:widowControl/>
        <w:spacing w:line="360" w:lineRule="auto"/>
        <w:ind w:left="2160" w:right="1440"/>
        <w:contextualSpacing/>
        <w:rPr>
          <w:sz w:val="26"/>
          <w:szCs w:val="26"/>
        </w:rPr>
      </w:pPr>
    </w:p>
    <w:p w:rsidR="00FC060B" w:rsidRDefault="003051A5" w:rsidP="00593A78">
      <w:pPr>
        <w:widowControl/>
        <w:spacing w:line="360" w:lineRule="auto"/>
        <w:contextualSpacing/>
        <w:rPr>
          <w:sz w:val="26"/>
        </w:rPr>
      </w:pPr>
      <w:r w:rsidRPr="00400436">
        <w:rPr>
          <w:sz w:val="26"/>
          <w:szCs w:val="26"/>
        </w:rPr>
        <w:t xml:space="preserve">52 Pa. Code § 56.14(2).  </w:t>
      </w:r>
      <w:r>
        <w:rPr>
          <w:sz w:val="26"/>
          <w:szCs w:val="26"/>
        </w:rPr>
        <w:t xml:space="preserve">As mentioned previously, </w:t>
      </w:r>
      <w:r w:rsidRPr="00400436">
        <w:rPr>
          <w:sz w:val="26"/>
          <w:szCs w:val="26"/>
        </w:rPr>
        <w:t>the record evidence indicates that PGW has prorated the</w:t>
      </w:r>
      <w:r w:rsidR="0014264B">
        <w:rPr>
          <w:sz w:val="26"/>
          <w:szCs w:val="26"/>
        </w:rPr>
        <w:t xml:space="preserve"> Complainant’s</w:t>
      </w:r>
      <w:r w:rsidRPr="00400436">
        <w:rPr>
          <w:sz w:val="26"/>
          <w:szCs w:val="26"/>
        </w:rPr>
        <w:t xml:space="preserve"> make</w:t>
      </w:r>
      <w:r w:rsidR="0014264B">
        <w:rPr>
          <w:sz w:val="26"/>
          <w:szCs w:val="26"/>
        </w:rPr>
        <w:t>-</w:t>
      </w:r>
      <w:r w:rsidRPr="00400436">
        <w:rPr>
          <w:sz w:val="26"/>
          <w:szCs w:val="26"/>
        </w:rPr>
        <w:t>up bill to recoup only four years of previously unbilled gas usage</w:t>
      </w:r>
      <w:r>
        <w:rPr>
          <w:sz w:val="26"/>
          <w:szCs w:val="26"/>
        </w:rPr>
        <w:t>.  Additionally, PGW has</w:t>
      </w:r>
      <w:r w:rsidRPr="00400436">
        <w:rPr>
          <w:sz w:val="26"/>
          <w:szCs w:val="26"/>
        </w:rPr>
        <w:t xml:space="preserve"> offered the Complainant a payment arrangement under which he will </w:t>
      </w:r>
      <w:r>
        <w:rPr>
          <w:sz w:val="26"/>
          <w:szCs w:val="26"/>
        </w:rPr>
        <w:t>be allowed to amortize this bill</w:t>
      </w:r>
      <w:r w:rsidRPr="00400436">
        <w:rPr>
          <w:sz w:val="26"/>
          <w:szCs w:val="26"/>
        </w:rPr>
        <w:t xml:space="preserve"> over a four</w:t>
      </w:r>
      <w:r>
        <w:rPr>
          <w:sz w:val="26"/>
          <w:szCs w:val="26"/>
        </w:rPr>
        <w:t>-</w:t>
      </w:r>
      <w:r w:rsidRPr="00400436">
        <w:rPr>
          <w:sz w:val="26"/>
          <w:szCs w:val="26"/>
        </w:rPr>
        <w:t xml:space="preserve">year period.  We </w:t>
      </w:r>
      <w:r>
        <w:rPr>
          <w:sz w:val="26"/>
          <w:szCs w:val="26"/>
        </w:rPr>
        <w:t>concur with the ALJ’s finding that PGW’s offer complies</w:t>
      </w:r>
      <w:r w:rsidRPr="00400436">
        <w:rPr>
          <w:sz w:val="26"/>
          <w:szCs w:val="26"/>
        </w:rPr>
        <w:t xml:space="preserve"> with our Regulations.</w:t>
      </w:r>
    </w:p>
    <w:p w:rsidR="003051A5" w:rsidRDefault="003051A5" w:rsidP="00593A78">
      <w:pPr>
        <w:widowControl/>
        <w:spacing w:line="360" w:lineRule="auto"/>
        <w:ind w:firstLine="1440"/>
        <w:contextualSpacing/>
        <w:rPr>
          <w:sz w:val="26"/>
        </w:rPr>
      </w:pPr>
    </w:p>
    <w:p w:rsidR="009B1498" w:rsidRDefault="009B1498" w:rsidP="00593A78">
      <w:pPr>
        <w:widowControl/>
        <w:spacing w:line="360" w:lineRule="auto"/>
        <w:ind w:firstLine="1440"/>
        <w:contextualSpacing/>
        <w:rPr>
          <w:sz w:val="26"/>
        </w:rPr>
      </w:pPr>
      <w:r>
        <w:rPr>
          <w:sz w:val="26"/>
          <w:szCs w:val="26"/>
        </w:rPr>
        <w:t xml:space="preserve">We </w:t>
      </w:r>
      <w:r w:rsidR="00C47FE8">
        <w:rPr>
          <w:sz w:val="26"/>
          <w:szCs w:val="26"/>
        </w:rPr>
        <w:t xml:space="preserve">empathize with </w:t>
      </w:r>
      <w:r>
        <w:rPr>
          <w:sz w:val="26"/>
          <w:szCs w:val="26"/>
        </w:rPr>
        <w:t>the Complainant</w:t>
      </w:r>
      <w:r w:rsidR="00C47FE8">
        <w:rPr>
          <w:sz w:val="26"/>
          <w:szCs w:val="26"/>
        </w:rPr>
        <w:t xml:space="preserve"> in his </w:t>
      </w:r>
      <w:r>
        <w:rPr>
          <w:sz w:val="26"/>
          <w:szCs w:val="26"/>
        </w:rPr>
        <w:t>frustration</w:t>
      </w:r>
      <w:r w:rsidR="00C47FE8">
        <w:rPr>
          <w:sz w:val="26"/>
          <w:szCs w:val="26"/>
        </w:rPr>
        <w:t xml:space="preserve"> with this matter.</w:t>
      </w:r>
      <w:r>
        <w:rPr>
          <w:sz w:val="26"/>
          <w:szCs w:val="26"/>
        </w:rPr>
        <w:t xml:space="preserve">  The record indicates that the Complainant is a responsible util</w:t>
      </w:r>
      <w:r w:rsidR="00A36028">
        <w:rPr>
          <w:sz w:val="26"/>
          <w:szCs w:val="26"/>
        </w:rPr>
        <w:t>i</w:t>
      </w:r>
      <w:r>
        <w:rPr>
          <w:sz w:val="26"/>
          <w:szCs w:val="26"/>
        </w:rPr>
        <w:t xml:space="preserve">ty ratepayer who has been diligent in timely paying his gas bills.  Therefore, we </w:t>
      </w:r>
      <w:r w:rsidRPr="009B5522">
        <w:rPr>
          <w:sz w:val="26"/>
          <w:szCs w:val="26"/>
        </w:rPr>
        <w:t>emphasize that requiring the Complainant to pay for previously un</w:t>
      </w:r>
      <w:r w:rsidR="00E21E5B">
        <w:rPr>
          <w:sz w:val="26"/>
          <w:szCs w:val="26"/>
        </w:rPr>
        <w:t>der</w:t>
      </w:r>
      <w:r w:rsidRPr="009B5522">
        <w:rPr>
          <w:sz w:val="26"/>
          <w:szCs w:val="26"/>
        </w:rPr>
        <w:t xml:space="preserve">billed </w:t>
      </w:r>
      <w:r w:rsidR="00E21E5B">
        <w:rPr>
          <w:sz w:val="26"/>
          <w:szCs w:val="26"/>
        </w:rPr>
        <w:t xml:space="preserve">gas </w:t>
      </w:r>
      <w:r w:rsidRPr="009B5522">
        <w:rPr>
          <w:sz w:val="26"/>
          <w:szCs w:val="26"/>
        </w:rPr>
        <w:t xml:space="preserve">consumption is not an attempt to hold him responsible for the AMR device on his meter having been programmed improperly.  </w:t>
      </w:r>
      <w:r w:rsidR="00C47FE8">
        <w:rPr>
          <w:sz w:val="26"/>
          <w:szCs w:val="26"/>
        </w:rPr>
        <w:t>We are not blaming t</w:t>
      </w:r>
      <w:r w:rsidRPr="009B5522">
        <w:rPr>
          <w:sz w:val="26"/>
          <w:szCs w:val="26"/>
        </w:rPr>
        <w:t>he Complainant for the programming error</w:t>
      </w:r>
      <w:r w:rsidR="00C47FE8">
        <w:rPr>
          <w:sz w:val="26"/>
          <w:szCs w:val="26"/>
        </w:rPr>
        <w:t>;</w:t>
      </w:r>
      <w:r w:rsidRPr="009B5522">
        <w:rPr>
          <w:sz w:val="26"/>
          <w:szCs w:val="26"/>
        </w:rPr>
        <w:t xml:space="preserve"> nor </w:t>
      </w:r>
      <w:r w:rsidR="00C47FE8">
        <w:rPr>
          <w:sz w:val="26"/>
          <w:szCs w:val="26"/>
        </w:rPr>
        <w:t xml:space="preserve">are we requiring the </w:t>
      </w:r>
      <w:r w:rsidR="00C47FE8">
        <w:rPr>
          <w:sz w:val="26"/>
          <w:szCs w:val="26"/>
        </w:rPr>
        <w:lastRenderedPageBreak/>
        <w:t xml:space="preserve">Complainant to pay a </w:t>
      </w:r>
      <w:r w:rsidRPr="009B5522">
        <w:rPr>
          <w:sz w:val="26"/>
          <w:szCs w:val="26"/>
        </w:rPr>
        <w:t xml:space="preserve">penalty for it.  </w:t>
      </w:r>
      <w:r w:rsidR="00C47FE8">
        <w:rPr>
          <w:sz w:val="26"/>
          <w:szCs w:val="26"/>
        </w:rPr>
        <w:t>W</w:t>
      </w:r>
      <w:r w:rsidRPr="009B5522">
        <w:rPr>
          <w:sz w:val="26"/>
          <w:szCs w:val="26"/>
        </w:rPr>
        <w:t xml:space="preserve">e are simply recognizing the fact, supported by the evidence in this case, that the Complainant consumed more gas than was originally recorded on his account, and that </w:t>
      </w:r>
      <w:r w:rsidR="00C47FE8">
        <w:rPr>
          <w:sz w:val="26"/>
          <w:szCs w:val="26"/>
        </w:rPr>
        <w:t xml:space="preserve">by law, </w:t>
      </w:r>
      <w:r w:rsidRPr="009B5522">
        <w:rPr>
          <w:sz w:val="26"/>
          <w:szCs w:val="26"/>
        </w:rPr>
        <w:t xml:space="preserve">he is obligated to pay PGW for the gas that he actually </w:t>
      </w:r>
      <w:r w:rsidR="00C47FE8">
        <w:rPr>
          <w:sz w:val="26"/>
          <w:szCs w:val="26"/>
        </w:rPr>
        <w:t>used during the applicable four-year period</w:t>
      </w:r>
      <w:r w:rsidRPr="009B5522">
        <w:rPr>
          <w:sz w:val="26"/>
          <w:szCs w:val="26"/>
        </w:rPr>
        <w:t>.</w:t>
      </w:r>
    </w:p>
    <w:p w:rsidR="009B1498" w:rsidRDefault="009B1498" w:rsidP="00593A78">
      <w:pPr>
        <w:widowControl/>
        <w:spacing w:line="360" w:lineRule="auto"/>
        <w:ind w:firstLine="1440"/>
        <w:contextualSpacing/>
        <w:rPr>
          <w:sz w:val="26"/>
        </w:rPr>
      </w:pPr>
    </w:p>
    <w:p w:rsidR="000C4C7E" w:rsidRDefault="009B1498" w:rsidP="00593A78">
      <w:pPr>
        <w:widowControl/>
        <w:spacing w:line="360" w:lineRule="auto"/>
        <w:ind w:firstLine="1440"/>
        <w:contextualSpacing/>
        <w:rPr>
          <w:sz w:val="26"/>
        </w:rPr>
      </w:pPr>
      <w:r>
        <w:rPr>
          <w:sz w:val="26"/>
        </w:rPr>
        <w:t>Moreover, a</w:t>
      </w:r>
      <w:r w:rsidR="000C4C7E">
        <w:rPr>
          <w:sz w:val="26"/>
        </w:rPr>
        <w:t>lthough we agree with the ALJ’s Initial Decision, we further recognize that between May 2007 and July</w:t>
      </w:r>
      <w:r w:rsidR="00C47FE8">
        <w:rPr>
          <w:sz w:val="26"/>
        </w:rPr>
        <w:t xml:space="preserve"> 2012, the period in which the A</w:t>
      </w:r>
      <w:r w:rsidR="000C4C7E">
        <w:rPr>
          <w:sz w:val="26"/>
        </w:rPr>
        <w:t xml:space="preserve">MR device </w:t>
      </w:r>
      <w:r w:rsidR="00C47FE8">
        <w:rPr>
          <w:sz w:val="26"/>
        </w:rPr>
        <w:t xml:space="preserve">at the Complainant’s residence </w:t>
      </w:r>
      <w:r w:rsidR="000C4C7E">
        <w:rPr>
          <w:sz w:val="26"/>
        </w:rPr>
        <w:t xml:space="preserve">was improperly programmed, the Complainant did not receive adequate price signals related to his gas consumption.  </w:t>
      </w:r>
      <w:r w:rsidR="00C47FE8">
        <w:rPr>
          <w:sz w:val="26"/>
        </w:rPr>
        <w:t>T</w:t>
      </w:r>
      <w:r w:rsidR="000C4C7E">
        <w:rPr>
          <w:sz w:val="26"/>
        </w:rPr>
        <w:t xml:space="preserve">he record confirms that the Complainant is not at fault for the improperly programmed AMR device.  Given the totality of the circumstances, as well as the length of time during which the usage discrepancy occurred, we are of the opinion that it is appropriate to consider whether </w:t>
      </w:r>
      <w:r w:rsidR="00C47FE8">
        <w:rPr>
          <w:sz w:val="26"/>
        </w:rPr>
        <w:t xml:space="preserve">or not </w:t>
      </w:r>
      <w:r w:rsidR="000C4C7E">
        <w:rPr>
          <w:sz w:val="26"/>
        </w:rPr>
        <w:t xml:space="preserve">to apply a conservation credit to the Complainant’s outstanding amount.  </w:t>
      </w:r>
    </w:p>
    <w:p w:rsidR="009B1498" w:rsidRDefault="009B1498" w:rsidP="00593A78">
      <w:pPr>
        <w:widowControl/>
        <w:spacing w:line="360" w:lineRule="auto"/>
        <w:ind w:firstLine="1440"/>
        <w:contextualSpacing/>
        <w:rPr>
          <w:sz w:val="26"/>
        </w:rPr>
      </w:pPr>
    </w:p>
    <w:p w:rsidR="009B5522" w:rsidRPr="00BA377F" w:rsidRDefault="00C27AFA" w:rsidP="00593A78">
      <w:pPr>
        <w:widowControl/>
        <w:spacing w:line="360" w:lineRule="auto"/>
        <w:ind w:firstLine="1440"/>
        <w:contextualSpacing/>
        <w:rPr>
          <w:sz w:val="26"/>
          <w:szCs w:val="26"/>
        </w:rPr>
      </w:pPr>
      <w:r w:rsidRPr="00C27AFA">
        <w:rPr>
          <w:sz w:val="26"/>
          <w:szCs w:val="26"/>
        </w:rPr>
        <w:t xml:space="preserve">In </w:t>
      </w:r>
      <w:r w:rsidRPr="00C27AFA">
        <w:rPr>
          <w:i/>
          <w:sz w:val="26"/>
          <w:szCs w:val="26"/>
        </w:rPr>
        <w:t xml:space="preserve">Nona Lewis v. Philadelphia Gas Works, </w:t>
      </w:r>
      <w:r w:rsidRPr="00C27AFA">
        <w:rPr>
          <w:sz w:val="26"/>
          <w:szCs w:val="26"/>
        </w:rPr>
        <w:t xml:space="preserve">Docket No. </w:t>
      </w:r>
      <w:r w:rsidRPr="00C27AFA">
        <w:rPr>
          <w:bCs/>
          <w:sz w:val="26"/>
          <w:szCs w:val="26"/>
        </w:rPr>
        <w:t>F-2010-2171442, (Order entered July 15, 2011) (</w:t>
      </w:r>
      <w:r w:rsidRPr="00C27AFA">
        <w:rPr>
          <w:bCs/>
          <w:i/>
          <w:sz w:val="26"/>
          <w:szCs w:val="26"/>
        </w:rPr>
        <w:t>Lewis</w:t>
      </w:r>
      <w:r w:rsidRPr="00C27AFA">
        <w:rPr>
          <w:bCs/>
          <w:sz w:val="26"/>
          <w:szCs w:val="26"/>
        </w:rPr>
        <w:t xml:space="preserve">), </w:t>
      </w:r>
      <w:r w:rsidR="00FF6E83">
        <w:rPr>
          <w:bCs/>
          <w:sz w:val="26"/>
          <w:szCs w:val="26"/>
        </w:rPr>
        <w:t>PGW determined that the complainant’s AMR device was incorrectly programmed</w:t>
      </w:r>
      <w:r w:rsidR="002E37E7">
        <w:rPr>
          <w:bCs/>
          <w:sz w:val="26"/>
          <w:szCs w:val="26"/>
        </w:rPr>
        <w:t xml:space="preserve"> and that this</w:t>
      </w:r>
      <w:r w:rsidR="00FF6E83">
        <w:rPr>
          <w:bCs/>
          <w:sz w:val="26"/>
          <w:szCs w:val="26"/>
        </w:rPr>
        <w:t xml:space="preserve"> caused the complainant to be billed for only </w:t>
      </w:r>
      <w:r w:rsidR="002E37E7">
        <w:rPr>
          <w:bCs/>
          <w:sz w:val="26"/>
          <w:szCs w:val="26"/>
        </w:rPr>
        <w:t>one-</w:t>
      </w:r>
      <w:r w:rsidR="00FF6E83">
        <w:rPr>
          <w:bCs/>
          <w:sz w:val="26"/>
          <w:szCs w:val="26"/>
        </w:rPr>
        <w:t>half of her actual consumption</w:t>
      </w:r>
      <w:r w:rsidR="00BA377F">
        <w:rPr>
          <w:bCs/>
          <w:sz w:val="26"/>
          <w:szCs w:val="26"/>
        </w:rPr>
        <w:t xml:space="preserve">.  </w:t>
      </w:r>
      <w:r w:rsidR="006306C3">
        <w:rPr>
          <w:bCs/>
          <w:sz w:val="26"/>
          <w:szCs w:val="26"/>
        </w:rPr>
        <w:t>As a result</w:t>
      </w:r>
      <w:r w:rsidR="00BA377F">
        <w:rPr>
          <w:bCs/>
          <w:sz w:val="26"/>
          <w:szCs w:val="26"/>
        </w:rPr>
        <w:t>, PGW reprogrammed the dev</w:t>
      </w:r>
      <w:r w:rsidR="00A36028">
        <w:rPr>
          <w:bCs/>
          <w:sz w:val="26"/>
          <w:szCs w:val="26"/>
        </w:rPr>
        <w:t>i</w:t>
      </w:r>
      <w:r w:rsidR="00BA377F">
        <w:rPr>
          <w:bCs/>
          <w:sz w:val="26"/>
          <w:szCs w:val="26"/>
        </w:rPr>
        <w:t>ce so that the AMR device and the manual meter readings were the same</w:t>
      </w:r>
      <w:r w:rsidR="00FF6E83">
        <w:rPr>
          <w:bCs/>
          <w:sz w:val="26"/>
          <w:szCs w:val="26"/>
        </w:rPr>
        <w:t>.  Using a gas usage analysis performed by PGW, the Commission determined that the complainant reduced her gas usage by approximately 11.7</w:t>
      </w:r>
      <w:r w:rsidR="00BA377F">
        <w:rPr>
          <w:bCs/>
          <w:sz w:val="26"/>
          <w:szCs w:val="26"/>
        </w:rPr>
        <w:t xml:space="preserve"> percent</w:t>
      </w:r>
      <w:r w:rsidR="00FF6E83">
        <w:rPr>
          <w:bCs/>
          <w:sz w:val="26"/>
          <w:szCs w:val="26"/>
        </w:rPr>
        <w:t xml:space="preserve"> after she began receiving</w:t>
      </w:r>
      <w:r w:rsidR="00BA377F">
        <w:rPr>
          <w:bCs/>
          <w:sz w:val="26"/>
          <w:szCs w:val="26"/>
        </w:rPr>
        <w:t xml:space="preserve"> bills for her actual gas consumption.  Therefore, we determined that PGW’s analysis supported a finding that a 20.9 percent adjustment made by BCS to the complainant’s makeup bill adequately compensated the complainant for the inaccurate price signals she received by being underbilled for gas service.  </w:t>
      </w:r>
      <w:r w:rsidR="00BA377F">
        <w:rPr>
          <w:bCs/>
          <w:i/>
          <w:sz w:val="26"/>
          <w:szCs w:val="26"/>
        </w:rPr>
        <w:t>Lewis</w:t>
      </w:r>
      <w:r w:rsidR="00BA377F">
        <w:rPr>
          <w:bCs/>
          <w:sz w:val="26"/>
          <w:szCs w:val="26"/>
        </w:rPr>
        <w:t xml:space="preserve"> at 6.</w:t>
      </w:r>
    </w:p>
    <w:p w:rsidR="0057250E" w:rsidRDefault="0057250E" w:rsidP="00593A78">
      <w:pPr>
        <w:widowControl/>
        <w:spacing w:line="360" w:lineRule="auto"/>
        <w:ind w:firstLine="1440"/>
        <w:contextualSpacing/>
        <w:rPr>
          <w:sz w:val="26"/>
        </w:rPr>
      </w:pPr>
    </w:p>
    <w:p w:rsidR="0057250E" w:rsidRPr="0057250E" w:rsidRDefault="0057250E" w:rsidP="0057250E">
      <w:pPr>
        <w:spacing w:line="360" w:lineRule="auto"/>
        <w:ind w:firstLine="1440"/>
        <w:rPr>
          <w:sz w:val="26"/>
          <w:szCs w:val="26"/>
        </w:rPr>
      </w:pPr>
      <w:r w:rsidRPr="0057250E">
        <w:rPr>
          <w:sz w:val="26"/>
          <w:szCs w:val="26"/>
        </w:rPr>
        <w:t xml:space="preserve">In </w:t>
      </w:r>
      <w:r w:rsidRPr="0057250E">
        <w:rPr>
          <w:i/>
          <w:sz w:val="26"/>
          <w:szCs w:val="26"/>
        </w:rPr>
        <w:t>Michael Prendergast v. Philadelphia Gas Works</w:t>
      </w:r>
      <w:r w:rsidRPr="0057250E">
        <w:rPr>
          <w:sz w:val="26"/>
          <w:szCs w:val="26"/>
        </w:rPr>
        <w:t>, Docket No. F-2012-2317187 (Order entered August 21, 2014) (</w:t>
      </w:r>
      <w:r w:rsidRPr="0057250E">
        <w:rPr>
          <w:i/>
          <w:sz w:val="26"/>
          <w:szCs w:val="26"/>
        </w:rPr>
        <w:t>Prendergast</w:t>
      </w:r>
      <w:r w:rsidRPr="0057250E">
        <w:rPr>
          <w:sz w:val="26"/>
          <w:szCs w:val="26"/>
        </w:rPr>
        <w:t xml:space="preserve">), the complainant’s meter reported AMR readings of abnormally low gas consumption on numerous occasions from </w:t>
      </w:r>
      <w:r w:rsidRPr="0057250E">
        <w:rPr>
          <w:sz w:val="26"/>
          <w:szCs w:val="26"/>
        </w:rPr>
        <w:lastRenderedPageBreak/>
        <w:t xml:space="preserve">2006 through 2012.  Despite these readings occurring over several years, PGW failed to recognize or identify a problem with the meter until March 2012.  In </w:t>
      </w:r>
      <w:r w:rsidRPr="0057250E">
        <w:rPr>
          <w:i/>
          <w:sz w:val="26"/>
          <w:szCs w:val="26"/>
        </w:rPr>
        <w:t>Prendergast</w:t>
      </w:r>
      <w:r w:rsidRPr="0057250E">
        <w:rPr>
          <w:sz w:val="26"/>
          <w:szCs w:val="26"/>
        </w:rPr>
        <w:t xml:space="preserve">, we determined that it was reasonable to authorize a rate preference to the complainant in the form of a conservation credit.  However, we concluded that the record did not support the imposition of a flat twenty percent conservation credit because there was no evidence of whether the complainant began to judicially manage consumption after the meter was corrected.  Thus, we remanded the matter to the OALJ to determine the level of conservation credit sufficient to remedy the inaccurate price signals received prior to the correction of the meter.  </w:t>
      </w:r>
      <w:r w:rsidRPr="0057250E">
        <w:rPr>
          <w:i/>
          <w:sz w:val="26"/>
          <w:szCs w:val="26"/>
        </w:rPr>
        <w:t xml:space="preserve">Prendergast </w:t>
      </w:r>
      <w:r w:rsidRPr="0057250E">
        <w:rPr>
          <w:sz w:val="26"/>
          <w:szCs w:val="26"/>
        </w:rPr>
        <w:t>at 1</w:t>
      </w:r>
      <w:r w:rsidR="00BA377F">
        <w:rPr>
          <w:sz w:val="26"/>
          <w:szCs w:val="26"/>
        </w:rPr>
        <w:t>8</w:t>
      </w:r>
      <w:r w:rsidRPr="0057250E">
        <w:rPr>
          <w:sz w:val="26"/>
          <w:szCs w:val="26"/>
        </w:rPr>
        <w:t xml:space="preserve">.  </w:t>
      </w:r>
      <w:r w:rsidR="00F2653B">
        <w:rPr>
          <w:sz w:val="26"/>
          <w:szCs w:val="26"/>
        </w:rPr>
        <w:t>By Final Order entered May 8, 2015, we adopted the OALJ’s Initial Decision on Remand, in which the presiding ALJ ultimately directed that the complainant be issued a twenty percent conservation credit.</w:t>
      </w:r>
    </w:p>
    <w:p w:rsidR="0057250E" w:rsidRPr="0057250E" w:rsidRDefault="0057250E" w:rsidP="0057250E">
      <w:pPr>
        <w:rPr>
          <w:sz w:val="26"/>
          <w:szCs w:val="26"/>
        </w:rPr>
      </w:pPr>
    </w:p>
    <w:p w:rsidR="0057250E" w:rsidRPr="0057250E" w:rsidRDefault="0057250E" w:rsidP="0057250E">
      <w:pPr>
        <w:spacing w:line="360" w:lineRule="auto"/>
        <w:ind w:firstLine="1440"/>
        <w:rPr>
          <w:sz w:val="26"/>
          <w:szCs w:val="26"/>
        </w:rPr>
      </w:pPr>
      <w:r w:rsidRPr="0057250E">
        <w:rPr>
          <w:sz w:val="26"/>
          <w:szCs w:val="26"/>
        </w:rPr>
        <w:t xml:space="preserve">In </w:t>
      </w:r>
      <w:r w:rsidR="00A36028">
        <w:rPr>
          <w:sz w:val="26"/>
          <w:szCs w:val="26"/>
        </w:rPr>
        <w:t xml:space="preserve">the </w:t>
      </w:r>
      <w:r w:rsidRPr="0057250E">
        <w:rPr>
          <w:sz w:val="26"/>
          <w:szCs w:val="26"/>
        </w:rPr>
        <w:t xml:space="preserve">instant case, similar to </w:t>
      </w:r>
      <w:r w:rsidRPr="0057250E">
        <w:rPr>
          <w:i/>
          <w:sz w:val="26"/>
          <w:szCs w:val="26"/>
        </w:rPr>
        <w:t xml:space="preserve">Lewis </w:t>
      </w:r>
      <w:r w:rsidRPr="0057250E">
        <w:rPr>
          <w:sz w:val="26"/>
          <w:szCs w:val="26"/>
        </w:rPr>
        <w:t xml:space="preserve">and </w:t>
      </w:r>
      <w:r w:rsidRPr="0057250E">
        <w:rPr>
          <w:i/>
          <w:sz w:val="26"/>
          <w:szCs w:val="26"/>
        </w:rPr>
        <w:t>Prendergast,</w:t>
      </w:r>
      <w:r w:rsidRPr="0057250E">
        <w:rPr>
          <w:sz w:val="26"/>
          <w:szCs w:val="26"/>
        </w:rPr>
        <w:t xml:space="preserve"> the Complainant was initially billed based upon AMR readings that were later determined to be lower than the actual readings for gas consumption </w:t>
      </w:r>
      <w:r w:rsidR="00A36028">
        <w:rPr>
          <w:sz w:val="26"/>
          <w:szCs w:val="26"/>
        </w:rPr>
        <w:t xml:space="preserve">as recorded by meter readings </w:t>
      </w:r>
      <w:r w:rsidRPr="0057250E">
        <w:rPr>
          <w:sz w:val="26"/>
          <w:szCs w:val="26"/>
        </w:rPr>
        <w:t xml:space="preserve">over several years.  </w:t>
      </w:r>
      <w:r w:rsidR="004C068F">
        <w:rPr>
          <w:sz w:val="26"/>
          <w:szCs w:val="26"/>
        </w:rPr>
        <w:t xml:space="preserve">Subsequently, </w:t>
      </w:r>
      <w:r w:rsidR="006306C3">
        <w:rPr>
          <w:sz w:val="26"/>
          <w:szCs w:val="26"/>
        </w:rPr>
        <w:t xml:space="preserve">the Complainant in the instant case, like </w:t>
      </w:r>
      <w:r w:rsidR="004C068F">
        <w:rPr>
          <w:sz w:val="26"/>
          <w:szCs w:val="26"/>
        </w:rPr>
        <w:t xml:space="preserve">the </w:t>
      </w:r>
      <w:r w:rsidR="00A36028">
        <w:rPr>
          <w:sz w:val="26"/>
          <w:szCs w:val="26"/>
        </w:rPr>
        <w:t>c</w:t>
      </w:r>
      <w:r w:rsidR="004C068F">
        <w:rPr>
          <w:sz w:val="26"/>
          <w:szCs w:val="26"/>
        </w:rPr>
        <w:t>omplainant</w:t>
      </w:r>
      <w:r w:rsidR="00A36028">
        <w:rPr>
          <w:sz w:val="26"/>
          <w:szCs w:val="26"/>
        </w:rPr>
        <w:t>s</w:t>
      </w:r>
      <w:r w:rsidR="004C068F">
        <w:rPr>
          <w:sz w:val="26"/>
          <w:szCs w:val="26"/>
        </w:rPr>
        <w:t xml:space="preserve"> </w:t>
      </w:r>
      <w:r w:rsidR="006306C3">
        <w:rPr>
          <w:i/>
          <w:sz w:val="26"/>
          <w:szCs w:val="26"/>
        </w:rPr>
        <w:t>Lewis and Prendergast</w:t>
      </w:r>
      <w:r w:rsidR="006306C3">
        <w:rPr>
          <w:sz w:val="26"/>
          <w:szCs w:val="26"/>
        </w:rPr>
        <w:t>,</w:t>
      </w:r>
      <w:r w:rsidR="00A36028">
        <w:rPr>
          <w:sz w:val="26"/>
          <w:szCs w:val="26"/>
        </w:rPr>
        <w:t xml:space="preserve"> </w:t>
      </w:r>
      <w:r w:rsidR="004C068F">
        <w:rPr>
          <w:sz w:val="26"/>
          <w:szCs w:val="26"/>
        </w:rPr>
        <w:t>w</w:t>
      </w:r>
      <w:r w:rsidR="006306C3">
        <w:rPr>
          <w:sz w:val="26"/>
          <w:szCs w:val="26"/>
        </w:rPr>
        <w:t>as</w:t>
      </w:r>
      <w:r w:rsidR="004C068F">
        <w:rPr>
          <w:sz w:val="26"/>
          <w:szCs w:val="26"/>
        </w:rPr>
        <w:t xml:space="preserve"> issued</w:t>
      </w:r>
      <w:r w:rsidR="006306C3">
        <w:rPr>
          <w:sz w:val="26"/>
          <w:szCs w:val="26"/>
        </w:rPr>
        <w:t xml:space="preserve"> a</w:t>
      </w:r>
      <w:r w:rsidR="004C068F">
        <w:rPr>
          <w:sz w:val="26"/>
          <w:szCs w:val="26"/>
        </w:rPr>
        <w:t xml:space="preserve"> make-up bill.  </w:t>
      </w:r>
      <w:r w:rsidRPr="0057250E">
        <w:rPr>
          <w:sz w:val="26"/>
          <w:szCs w:val="26"/>
        </w:rPr>
        <w:t xml:space="preserve">Specifically, as was the case in </w:t>
      </w:r>
      <w:r w:rsidRPr="0057250E">
        <w:rPr>
          <w:i/>
          <w:sz w:val="26"/>
          <w:szCs w:val="26"/>
        </w:rPr>
        <w:t>Lewis</w:t>
      </w:r>
      <w:r w:rsidRPr="0057250E">
        <w:rPr>
          <w:sz w:val="26"/>
          <w:szCs w:val="26"/>
        </w:rPr>
        <w:t xml:space="preserve">, the AMR device attached to the Complainant’s meter in the matter before us was only recording half of the Complainant’s gas usage because it was improperly programmed at the one-foot drive instead of the two-foot drive.  PGW’s Exhibit 1 shows a comparison between the </w:t>
      </w:r>
      <w:r w:rsidR="006306C3">
        <w:rPr>
          <w:sz w:val="26"/>
          <w:szCs w:val="26"/>
        </w:rPr>
        <w:t xml:space="preserve">Complainant’s </w:t>
      </w:r>
      <w:r w:rsidRPr="0057250E">
        <w:rPr>
          <w:sz w:val="26"/>
          <w:szCs w:val="26"/>
        </w:rPr>
        <w:t xml:space="preserve">recorded </w:t>
      </w:r>
      <w:r w:rsidR="006306C3">
        <w:rPr>
          <w:sz w:val="26"/>
          <w:szCs w:val="26"/>
        </w:rPr>
        <w:t xml:space="preserve">gas </w:t>
      </w:r>
      <w:r w:rsidRPr="0057250E">
        <w:rPr>
          <w:sz w:val="26"/>
          <w:szCs w:val="26"/>
        </w:rPr>
        <w:t>usage before and after</w:t>
      </w:r>
      <w:r w:rsidR="004C068F">
        <w:rPr>
          <w:sz w:val="26"/>
          <w:szCs w:val="26"/>
        </w:rPr>
        <w:t xml:space="preserve"> the programming error was discovered and</w:t>
      </w:r>
      <w:r w:rsidRPr="0057250E">
        <w:rPr>
          <w:sz w:val="26"/>
          <w:szCs w:val="26"/>
        </w:rPr>
        <w:t xml:space="preserve"> his meter was replaced.  Although the Complainant denied undertaking any conservation measures, an analysis of the usage indicates that once the Complainant</w:t>
      </w:r>
      <w:r w:rsidR="006306C3">
        <w:rPr>
          <w:sz w:val="26"/>
          <w:szCs w:val="26"/>
        </w:rPr>
        <w:t>’s meter was exchanged in July of 2012 and he</w:t>
      </w:r>
      <w:r w:rsidRPr="0057250E">
        <w:rPr>
          <w:sz w:val="26"/>
          <w:szCs w:val="26"/>
        </w:rPr>
        <w:t xml:space="preserve"> began receiving accurate usage signals, he consumed less gas in the eight-month period (</w:t>
      </w:r>
      <w:r w:rsidRPr="00A36028">
        <w:rPr>
          <w:i/>
          <w:sz w:val="26"/>
          <w:szCs w:val="26"/>
        </w:rPr>
        <w:t>i.e</w:t>
      </w:r>
      <w:r w:rsidRPr="0057250E">
        <w:rPr>
          <w:sz w:val="26"/>
          <w:szCs w:val="26"/>
        </w:rPr>
        <w:t xml:space="preserve">. mid-July 2012 to mid-February 2013) </w:t>
      </w:r>
      <w:r w:rsidR="006306C3">
        <w:rPr>
          <w:sz w:val="26"/>
          <w:szCs w:val="26"/>
        </w:rPr>
        <w:t>immediately following</w:t>
      </w:r>
      <w:r w:rsidRPr="0057250E">
        <w:rPr>
          <w:sz w:val="26"/>
          <w:szCs w:val="26"/>
        </w:rPr>
        <w:t xml:space="preserve"> the meter exchange.</w:t>
      </w:r>
      <w:r w:rsidRPr="0057250E">
        <w:rPr>
          <w:rStyle w:val="FootnoteReference"/>
          <w:sz w:val="26"/>
          <w:szCs w:val="26"/>
        </w:rPr>
        <w:footnoteReference w:id="6"/>
      </w:r>
      <w:r w:rsidRPr="0057250E">
        <w:rPr>
          <w:rStyle w:val="FootnoteTextChar"/>
          <w:sz w:val="26"/>
          <w:szCs w:val="26"/>
        </w:rPr>
        <w:t xml:space="preserve">  For example, a comparison of the same eight-month period (mid-July to mid-February) </w:t>
      </w:r>
      <w:r w:rsidRPr="0057250E">
        <w:rPr>
          <w:sz w:val="26"/>
          <w:szCs w:val="26"/>
        </w:rPr>
        <w:t xml:space="preserve">of the previous four years </w:t>
      </w:r>
      <w:r w:rsidRPr="0057250E">
        <w:rPr>
          <w:sz w:val="26"/>
          <w:szCs w:val="26"/>
        </w:rPr>
        <w:lastRenderedPageBreak/>
        <w:t xml:space="preserve">before the meter was exchanged places the Complainant’s monthly gas consumption at an average of approximately thirty-one CCFs per month </w:t>
      </w:r>
      <w:r w:rsidR="00A36028">
        <w:rPr>
          <w:sz w:val="26"/>
          <w:szCs w:val="26"/>
        </w:rPr>
        <w:t xml:space="preserve">as </w:t>
      </w:r>
      <w:r w:rsidRPr="0057250E">
        <w:rPr>
          <w:sz w:val="26"/>
          <w:szCs w:val="26"/>
        </w:rPr>
        <w:t xml:space="preserve">compared to an average of approximately sixteen CCFs per month in the eight-month period after the meter exchange.  This reflects an approximately forty-seven percent drop in usage after the meter exchange.  Figure 1 below shows the </w:t>
      </w:r>
      <w:r w:rsidR="006306C3">
        <w:rPr>
          <w:sz w:val="26"/>
          <w:szCs w:val="26"/>
        </w:rPr>
        <w:t xml:space="preserve">Complainant’s </w:t>
      </w:r>
      <w:r w:rsidRPr="0057250E">
        <w:rPr>
          <w:sz w:val="26"/>
          <w:szCs w:val="26"/>
        </w:rPr>
        <w:t>average monthly recorded gas usage for the periods before and after the meter exchange in 2013.</w:t>
      </w:r>
      <w:r w:rsidRPr="0057250E">
        <w:rPr>
          <w:rStyle w:val="FootnoteReference"/>
          <w:sz w:val="26"/>
          <w:szCs w:val="26"/>
        </w:rPr>
        <w:footnoteReference w:id="7"/>
      </w:r>
      <w:r w:rsidRPr="0057250E">
        <w:rPr>
          <w:sz w:val="26"/>
          <w:szCs w:val="26"/>
        </w:rPr>
        <w:t xml:space="preserve">  </w:t>
      </w:r>
    </w:p>
    <w:p w:rsidR="0057250E" w:rsidRPr="00EA7471" w:rsidRDefault="0057250E" w:rsidP="0057250E">
      <w:pPr>
        <w:rPr>
          <w:szCs w:val="26"/>
        </w:rPr>
      </w:pPr>
    </w:p>
    <w:tbl>
      <w:tblPr>
        <w:tblW w:w="6397" w:type="dxa"/>
        <w:jc w:val="center"/>
        <w:tblInd w:w="953" w:type="dxa"/>
        <w:tblLook w:val="04A0" w:firstRow="1" w:lastRow="0" w:firstColumn="1" w:lastColumn="0" w:noHBand="0" w:noVBand="1"/>
      </w:tblPr>
      <w:tblGrid>
        <w:gridCol w:w="2893"/>
        <w:gridCol w:w="2106"/>
        <w:gridCol w:w="1398"/>
      </w:tblGrid>
      <w:tr w:rsidR="0057250E" w:rsidRPr="00EA7471" w:rsidTr="00F04587">
        <w:trPr>
          <w:trHeight w:val="300"/>
          <w:jc w:val="center"/>
        </w:trPr>
        <w:tc>
          <w:tcPr>
            <w:tcW w:w="4999" w:type="dxa"/>
            <w:gridSpan w:val="2"/>
            <w:tcBorders>
              <w:top w:val="nil"/>
              <w:left w:val="nil"/>
              <w:bottom w:val="nil"/>
              <w:right w:val="nil"/>
            </w:tcBorders>
            <w:shd w:val="clear" w:color="auto" w:fill="auto"/>
            <w:noWrap/>
            <w:vAlign w:val="bottom"/>
            <w:hideMark/>
          </w:tcPr>
          <w:p w:rsidR="0057250E" w:rsidRPr="00EA7471" w:rsidRDefault="0057250E" w:rsidP="002E37E7">
            <w:pPr>
              <w:keepLines/>
              <w:widowControl/>
              <w:rPr>
                <w:rFonts w:ascii="Calibri" w:hAnsi="Calibri"/>
                <w:b/>
                <w:bCs/>
                <w:color w:val="000000"/>
                <w:sz w:val="22"/>
              </w:rPr>
            </w:pPr>
          </w:p>
        </w:tc>
        <w:tc>
          <w:tcPr>
            <w:tcW w:w="1398" w:type="dxa"/>
            <w:tcBorders>
              <w:top w:val="nil"/>
              <w:left w:val="nil"/>
              <w:bottom w:val="nil"/>
              <w:right w:val="nil"/>
            </w:tcBorders>
            <w:shd w:val="clear" w:color="auto" w:fill="auto"/>
            <w:noWrap/>
            <w:vAlign w:val="bottom"/>
            <w:hideMark/>
          </w:tcPr>
          <w:p w:rsidR="0057250E" w:rsidRPr="00EA7471" w:rsidRDefault="0057250E" w:rsidP="0057250E">
            <w:pPr>
              <w:keepLines/>
              <w:widowControl/>
              <w:rPr>
                <w:rFonts w:ascii="Calibri" w:hAnsi="Calibri"/>
                <w:color w:val="000000"/>
                <w:sz w:val="22"/>
              </w:rPr>
            </w:pPr>
          </w:p>
        </w:tc>
      </w:tr>
      <w:tr w:rsidR="0057250E" w:rsidRPr="00EA7471" w:rsidTr="00F04587">
        <w:trPr>
          <w:trHeight w:val="330"/>
          <w:jc w:val="center"/>
        </w:trPr>
        <w:tc>
          <w:tcPr>
            <w:tcW w:w="2893"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rsidR="0057250E" w:rsidRPr="00EA7471" w:rsidRDefault="0057250E" w:rsidP="0057250E">
            <w:pPr>
              <w:keepLines/>
              <w:widowControl/>
              <w:jc w:val="center"/>
              <w:rPr>
                <w:b/>
                <w:bCs/>
                <w:color w:val="000000"/>
                <w:sz w:val="24"/>
                <w:szCs w:val="24"/>
              </w:rPr>
            </w:pPr>
            <w:r w:rsidRPr="00EA7471">
              <w:rPr>
                <w:b/>
                <w:bCs/>
                <w:color w:val="000000"/>
                <w:sz w:val="24"/>
                <w:szCs w:val="24"/>
              </w:rPr>
              <w:t>8-Month Period</w:t>
            </w:r>
          </w:p>
        </w:tc>
        <w:tc>
          <w:tcPr>
            <w:tcW w:w="2106" w:type="dxa"/>
            <w:tcBorders>
              <w:top w:val="single" w:sz="4" w:space="0" w:color="auto"/>
              <w:left w:val="nil"/>
              <w:bottom w:val="nil"/>
              <w:right w:val="single" w:sz="8" w:space="0" w:color="auto"/>
            </w:tcBorders>
            <w:shd w:val="clear" w:color="auto" w:fill="auto"/>
            <w:noWrap/>
            <w:vAlign w:val="center"/>
            <w:hideMark/>
          </w:tcPr>
          <w:p w:rsidR="0057250E" w:rsidRPr="00EA7471" w:rsidRDefault="0057250E" w:rsidP="0057250E">
            <w:pPr>
              <w:keepLines/>
              <w:widowControl/>
              <w:jc w:val="center"/>
              <w:rPr>
                <w:b/>
                <w:bCs/>
                <w:color w:val="000000"/>
                <w:sz w:val="24"/>
                <w:szCs w:val="24"/>
              </w:rPr>
            </w:pPr>
            <w:r w:rsidRPr="00EA7471">
              <w:rPr>
                <w:b/>
                <w:bCs/>
                <w:color w:val="000000"/>
                <w:sz w:val="24"/>
                <w:szCs w:val="24"/>
              </w:rPr>
              <w:t>Avg. Monthly Recorded Usage in CCF</w:t>
            </w:r>
          </w:p>
        </w:tc>
        <w:tc>
          <w:tcPr>
            <w:tcW w:w="1398" w:type="dxa"/>
            <w:tcBorders>
              <w:top w:val="single" w:sz="4" w:space="0" w:color="auto"/>
              <w:left w:val="nil"/>
              <w:bottom w:val="single" w:sz="8" w:space="0" w:color="auto"/>
              <w:right w:val="single" w:sz="4" w:space="0" w:color="auto"/>
            </w:tcBorders>
            <w:shd w:val="clear" w:color="auto" w:fill="auto"/>
            <w:noWrap/>
            <w:vAlign w:val="center"/>
            <w:hideMark/>
          </w:tcPr>
          <w:p w:rsidR="0057250E" w:rsidRPr="00EA7471" w:rsidRDefault="0057250E" w:rsidP="0057250E">
            <w:pPr>
              <w:keepLines/>
              <w:widowControl/>
              <w:jc w:val="center"/>
              <w:rPr>
                <w:b/>
                <w:bCs/>
                <w:color w:val="000000"/>
                <w:sz w:val="24"/>
                <w:szCs w:val="24"/>
              </w:rPr>
            </w:pPr>
            <w:r w:rsidRPr="00EA7471">
              <w:rPr>
                <w:b/>
                <w:bCs/>
                <w:color w:val="000000"/>
                <w:sz w:val="24"/>
                <w:szCs w:val="24"/>
              </w:rPr>
              <w:t>Avg. No. of Days</w:t>
            </w:r>
          </w:p>
        </w:tc>
      </w:tr>
      <w:tr w:rsidR="0057250E" w:rsidRPr="00EA7471" w:rsidTr="00F04587">
        <w:trPr>
          <w:trHeight w:val="300"/>
          <w:jc w:val="center"/>
        </w:trPr>
        <w:tc>
          <w:tcPr>
            <w:tcW w:w="2893" w:type="dxa"/>
            <w:tcBorders>
              <w:top w:val="nil"/>
              <w:left w:val="single" w:sz="4" w:space="0" w:color="auto"/>
              <w:bottom w:val="nil"/>
              <w:right w:val="nil"/>
            </w:tcBorders>
            <w:shd w:val="clear" w:color="auto" w:fill="auto"/>
            <w:noWrap/>
            <w:vAlign w:val="bottom"/>
            <w:hideMark/>
          </w:tcPr>
          <w:p w:rsidR="0057250E" w:rsidRPr="00F04587" w:rsidRDefault="0057250E" w:rsidP="0057250E">
            <w:pPr>
              <w:keepLines/>
              <w:widowControl/>
              <w:rPr>
                <w:rFonts w:ascii="Calibri" w:hAnsi="Calibri"/>
                <w:b/>
                <w:color w:val="000000"/>
                <w:sz w:val="22"/>
              </w:rPr>
            </w:pPr>
            <w:r w:rsidRPr="00F04587">
              <w:rPr>
                <w:rFonts w:ascii="Calibri" w:hAnsi="Calibri"/>
                <w:b/>
                <w:color w:val="000000"/>
                <w:sz w:val="22"/>
              </w:rPr>
              <w:t>July 2008-February 2009</w:t>
            </w:r>
          </w:p>
        </w:tc>
        <w:tc>
          <w:tcPr>
            <w:tcW w:w="2106" w:type="dxa"/>
            <w:tcBorders>
              <w:top w:val="single" w:sz="4" w:space="0" w:color="auto"/>
              <w:left w:val="single" w:sz="4" w:space="0" w:color="auto"/>
              <w:bottom w:val="nil"/>
              <w:right w:val="single" w:sz="4" w:space="0" w:color="auto"/>
            </w:tcBorders>
            <w:shd w:val="clear" w:color="auto" w:fill="auto"/>
            <w:noWrap/>
            <w:vAlign w:val="bottom"/>
            <w:hideMark/>
          </w:tcPr>
          <w:p w:rsidR="0057250E" w:rsidRPr="00EA7471" w:rsidRDefault="0057250E" w:rsidP="00F04587">
            <w:pPr>
              <w:keepLines/>
              <w:widowControl/>
              <w:jc w:val="center"/>
              <w:rPr>
                <w:rFonts w:ascii="Calibri" w:hAnsi="Calibri"/>
                <w:color w:val="000000"/>
                <w:sz w:val="22"/>
              </w:rPr>
            </w:pPr>
            <w:r w:rsidRPr="00EA7471">
              <w:rPr>
                <w:rFonts w:ascii="Calibri" w:hAnsi="Calibri"/>
                <w:color w:val="000000"/>
                <w:sz w:val="22"/>
              </w:rPr>
              <w:t>42</w:t>
            </w:r>
          </w:p>
        </w:tc>
        <w:tc>
          <w:tcPr>
            <w:tcW w:w="1398" w:type="dxa"/>
            <w:tcBorders>
              <w:top w:val="nil"/>
              <w:left w:val="nil"/>
              <w:bottom w:val="nil"/>
              <w:right w:val="single" w:sz="4" w:space="0" w:color="auto"/>
            </w:tcBorders>
            <w:shd w:val="clear" w:color="auto" w:fill="auto"/>
            <w:noWrap/>
            <w:vAlign w:val="bottom"/>
            <w:hideMark/>
          </w:tcPr>
          <w:p w:rsidR="0057250E" w:rsidRPr="00EA7471" w:rsidRDefault="0057250E" w:rsidP="00F04587">
            <w:pPr>
              <w:keepLines/>
              <w:widowControl/>
              <w:jc w:val="center"/>
              <w:rPr>
                <w:rFonts w:ascii="Calibri" w:hAnsi="Calibri"/>
                <w:color w:val="000000"/>
                <w:sz w:val="22"/>
              </w:rPr>
            </w:pPr>
            <w:r w:rsidRPr="00EA7471">
              <w:rPr>
                <w:rFonts w:ascii="Calibri" w:hAnsi="Calibri"/>
                <w:color w:val="000000"/>
                <w:sz w:val="22"/>
              </w:rPr>
              <w:t>31</w:t>
            </w:r>
          </w:p>
        </w:tc>
      </w:tr>
      <w:tr w:rsidR="0057250E" w:rsidRPr="00EA7471" w:rsidTr="00F04587">
        <w:trPr>
          <w:trHeight w:val="300"/>
          <w:jc w:val="center"/>
        </w:trPr>
        <w:tc>
          <w:tcPr>
            <w:tcW w:w="2893" w:type="dxa"/>
            <w:tcBorders>
              <w:top w:val="single" w:sz="4" w:space="0" w:color="auto"/>
              <w:left w:val="single" w:sz="4" w:space="0" w:color="auto"/>
              <w:bottom w:val="single" w:sz="4" w:space="0" w:color="auto"/>
              <w:right w:val="nil"/>
            </w:tcBorders>
            <w:shd w:val="clear" w:color="auto" w:fill="auto"/>
            <w:noWrap/>
            <w:vAlign w:val="bottom"/>
            <w:hideMark/>
          </w:tcPr>
          <w:p w:rsidR="0057250E" w:rsidRPr="00F04587" w:rsidRDefault="0057250E" w:rsidP="0057250E">
            <w:pPr>
              <w:keepLines/>
              <w:widowControl/>
              <w:rPr>
                <w:rFonts w:ascii="Calibri" w:hAnsi="Calibri"/>
                <w:b/>
                <w:color w:val="000000"/>
                <w:sz w:val="22"/>
              </w:rPr>
            </w:pPr>
            <w:r w:rsidRPr="00F04587">
              <w:rPr>
                <w:rFonts w:ascii="Calibri" w:hAnsi="Calibri"/>
                <w:b/>
                <w:color w:val="000000"/>
                <w:sz w:val="22"/>
              </w:rPr>
              <w:t>July 2009-February 2010</w:t>
            </w:r>
          </w:p>
        </w:tc>
        <w:tc>
          <w:tcPr>
            <w:tcW w:w="21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250E" w:rsidRPr="00EA7471" w:rsidRDefault="0057250E" w:rsidP="00F04587">
            <w:pPr>
              <w:keepLines/>
              <w:widowControl/>
              <w:jc w:val="center"/>
              <w:rPr>
                <w:rFonts w:ascii="Calibri" w:hAnsi="Calibri"/>
                <w:color w:val="000000"/>
                <w:sz w:val="22"/>
              </w:rPr>
            </w:pPr>
            <w:r w:rsidRPr="00EA7471">
              <w:rPr>
                <w:rFonts w:ascii="Calibri" w:hAnsi="Calibri"/>
                <w:color w:val="000000"/>
                <w:sz w:val="22"/>
              </w:rPr>
              <w:t>25</w:t>
            </w:r>
          </w:p>
        </w:tc>
        <w:tc>
          <w:tcPr>
            <w:tcW w:w="1398" w:type="dxa"/>
            <w:tcBorders>
              <w:top w:val="single" w:sz="4" w:space="0" w:color="auto"/>
              <w:left w:val="nil"/>
              <w:bottom w:val="single" w:sz="4" w:space="0" w:color="auto"/>
              <w:right w:val="single" w:sz="4" w:space="0" w:color="auto"/>
            </w:tcBorders>
            <w:shd w:val="clear" w:color="auto" w:fill="auto"/>
            <w:noWrap/>
            <w:vAlign w:val="bottom"/>
            <w:hideMark/>
          </w:tcPr>
          <w:p w:rsidR="0057250E" w:rsidRPr="00EA7471" w:rsidRDefault="0057250E" w:rsidP="00F04587">
            <w:pPr>
              <w:keepLines/>
              <w:widowControl/>
              <w:jc w:val="center"/>
              <w:rPr>
                <w:rFonts w:ascii="Calibri" w:hAnsi="Calibri"/>
                <w:color w:val="000000"/>
                <w:sz w:val="22"/>
              </w:rPr>
            </w:pPr>
            <w:r w:rsidRPr="00EA7471">
              <w:rPr>
                <w:rFonts w:ascii="Calibri" w:hAnsi="Calibri"/>
                <w:color w:val="000000"/>
                <w:sz w:val="22"/>
              </w:rPr>
              <w:t>30</w:t>
            </w:r>
          </w:p>
        </w:tc>
      </w:tr>
      <w:tr w:rsidR="0057250E" w:rsidRPr="00EA7471" w:rsidTr="00F04587">
        <w:trPr>
          <w:trHeight w:val="300"/>
          <w:jc w:val="center"/>
        </w:trPr>
        <w:tc>
          <w:tcPr>
            <w:tcW w:w="2893" w:type="dxa"/>
            <w:tcBorders>
              <w:top w:val="nil"/>
              <w:left w:val="single" w:sz="4" w:space="0" w:color="auto"/>
              <w:bottom w:val="nil"/>
              <w:right w:val="nil"/>
            </w:tcBorders>
            <w:shd w:val="clear" w:color="auto" w:fill="auto"/>
            <w:noWrap/>
            <w:vAlign w:val="bottom"/>
            <w:hideMark/>
          </w:tcPr>
          <w:p w:rsidR="0057250E" w:rsidRPr="00F04587" w:rsidRDefault="0057250E" w:rsidP="0057250E">
            <w:pPr>
              <w:keepLines/>
              <w:widowControl/>
              <w:rPr>
                <w:rFonts w:ascii="Calibri" w:hAnsi="Calibri"/>
                <w:b/>
                <w:color w:val="000000"/>
                <w:sz w:val="22"/>
              </w:rPr>
            </w:pPr>
            <w:r w:rsidRPr="00F04587">
              <w:rPr>
                <w:rFonts w:ascii="Calibri" w:hAnsi="Calibri"/>
                <w:b/>
                <w:color w:val="000000"/>
                <w:sz w:val="22"/>
              </w:rPr>
              <w:t>July 2010-February 2011</w:t>
            </w:r>
          </w:p>
        </w:tc>
        <w:tc>
          <w:tcPr>
            <w:tcW w:w="2106" w:type="dxa"/>
            <w:tcBorders>
              <w:top w:val="nil"/>
              <w:left w:val="single" w:sz="4" w:space="0" w:color="auto"/>
              <w:bottom w:val="nil"/>
              <w:right w:val="single" w:sz="4" w:space="0" w:color="auto"/>
            </w:tcBorders>
            <w:shd w:val="clear" w:color="auto" w:fill="auto"/>
            <w:noWrap/>
            <w:vAlign w:val="bottom"/>
            <w:hideMark/>
          </w:tcPr>
          <w:p w:rsidR="0057250E" w:rsidRPr="00EA7471" w:rsidRDefault="0057250E" w:rsidP="00F04587">
            <w:pPr>
              <w:keepLines/>
              <w:widowControl/>
              <w:jc w:val="center"/>
              <w:rPr>
                <w:rFonts w:ascii="Calibri" w:hAnsi="Calibri"/>
                <w:color w:val="000000"/>
                <w:sz w:val="22"/>
              </w:rPr>
            </w:pPr>
            <w:r w:rsidRPr="00EA7471">
              <w:rPr>
                <w:rFonts w:ascii="Calibri" w:hAnsi="Calibri"/>
                <w:color w:val="000000"/>
                <w:sz w:val="22"/>
              </w:rPr>
              <w:t>32</w:t>
            </w:r>
          </w:p>
        </w:tc>
        <w:tc>
          <w:tcPr>
            <w:tcW w:w="1398" w:type="dxa"/>
            <w:tcBorders>
              <w:top w:val="nil"/>
              <w:left w:val="nil"/>
              <w:bottom w:val="nil"/>
              <w:right w:val="single" w:sz="4" w:space="0" w:color="auto"/>
            </w:tcBorders>
            <w:shd w:val="clear" w:color="auto" w:fill="auto"/>
            <w:noWrap/>
            <w:vAlign w:val="bottom"/>
            <w:hideMark/>
          </w:tcPr>
          <w:p w:rsidR="0057250E" w:rsidRPr="00EA7471" w:rsidRDefault="0057250E" w:rsidP="00F04587">
            <w:pPr>
              <w:keepLines/>
              <w:widowControl/>
              <w:jc w:val="center"/>
              <w:rPr>
                <w:rFonts w:ascii="Calibri" w:hAnsi="Calibri"/>
                <w:color w:val="000000"/>
                <w:sz w:val="22"/>
              </w:rPr>
            </w:pPr>
            <w:r w:rsidRPr="00EA7471">
              <w:rPr>
                <w:rFonts w:ascii="Calibri" w:hAnsi="Calibri"/>
                <w:color w:val="000000"/>
                <w:sz w:val="22"/>
              </w:rPr>
              <w:t>30</w:t>
            </w:r>
          </w:p>
        </w:tc>
      </w:tr>
      <w:tr w:rsidR="0057250E" w:rsidRPr="00EA7471" w:rsidTr="00F04587">
        <w:trPr>
          <w:trHeight w:val="300"/>
          <w:jc w:val="center"/>
        </w:trPr>
        <w:tc>
          <w:tcPr>
            <w:tcW w:w="2893" w:type="dxa"/>
            <w:tcBorders>
              <w:top w:val="single" w:sz="4" w:space="0" w:color="auto"/>
              <w:left w:val="single" w:sz="4" w:space="0" w:color="auto"/>
              <w:bottom w:val="single" w:sz="4" w:space="0" w:color="auto"/>
              <w:right w:val="nil"/>
            </w:tcBorders>
            <w:shd w:val="clear" w:color="auto" w:fill="auto"/>
            <w:noWrap/>
            <w:vAlign w:val="bottom"/>
            <w:hideMark/>
          </w:tcPr>
          <w:p w:rsidR="0057250E" w:rsidRPr="00F04587" w:rsidRDefault="0057250E" w:rsidP="0057250E">
            <w:pPr>
              <w:keepLines/>
              <w:widowControl/>
              <w:rPr>
                <w:rFonts w:ascii="Calibri" w:hAnsi="Calibri"/>
                <w:b/>
                <w:color w:val="000000"/>
                <w:sz w:val="22"/>
              </w:rPr>
            </w:pPr>
            <w:r w:rsidRPr="00F04587">
              <w:rPr>
                <w:rFonts w:ascii="Calibri" w:hAnsi="Calibri"/>
                <w:b/>
                <w:color w:val="000000"/>
                <w:sz w:val="22"/>
              </w:rPr>
              <w:t>July 2011 - February 2012</w:t>
            </w:r>
          </w:p>
        </w:tc>
        <w:tc>
          <w:tcPr>
            <w:tcW w:w="21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250E" w:rsidRPr="00EA7471" w:rsidRDefault="0057250E" w:rsidP="00F04587">
            <w:pPr>
              <w:keepLines/>
              <w:widowControl/>
              <w:jc w:val="center"/>
              <w:rPr>
                <w:rFonts w:ascii="Calibri" w:hAnsi="Calibri"/>
                <w:color w:val="000000"/>
                <w:sz w:val="22"/>
              </w:rPr>
            </w:pPr>
            <w:r w:rsidRPr="00EA7471">
              <w:rPr>
                <w:rFonts w:ascii="Calibri" w:hAnsi="Calibri"/>
                <w:color w:val="000000"/>
                <w:sz w:val="22"/>
              </w:rPr>
              <w:t>23</w:t>
            </w:r>
          </w:p>
        </w:tc>
        <w:tc>
          <w:tcPr>
            <w:tcW w:w="1398" w:type="dxa"/>
            <w:tcBorders>
              <w:top w:val="single" w:sz="4" w:space="0" w:color="auto"/>
              <w:left w:val="nil"/>
              <w:bottom w:val="single" w:sz="4" w:space="0" w:color="auto"/>
              <w:right w:val="single" w:sz="4" w:space="0" w:color="auto"/>
            </w:tcBorders>
            <w:shd w:val="clear" w:color="auto" w:fill="auto"/>
            <w:noWrap/>
            <w:vAlign w:val="bottom"/>
            <w:hideMark/>
          </w:tcPr>
          <w:p w:rsidR="0057250E" w:rsidRPr="00EA7471" w:rsidRDefault="0057250E" w:rsidP="00F04587">
            <w:pPr>
              <w:keepLines/>
              <w:widowControl/>
              <w:jc w:val="center"/>
              <w:rPr>
                <w:rFonts w:ascii="Calibri" w:hAnsi="Calibri"/>
                <w:color w:val="000000"/>
                <w:sz w:val="22"/>
              </w:rPr>
            </w:pPr>
            <w:r w:rsidRPr="00EA7471">
              <w:rPr>
                <w:rFonts w:ascii="Calibri" w:hAnsi="Calibri"/>
                <w:color w:val="000000"/>
                <w:sz w:val="22"/>
              </w:rPr>
              <w:t>30</w:t>
            </w:r>
          </w:p>
        </w:tc>
      </w:tr>
      <w:tr w:rsidR="0057250E" w:rsidRPr="00EA7471" w:rsidTr="00F04587">
        <w:trPr>
          <w:trHeight w:val="300"/>
          <w:jc w:val="center"/>
        </w:trPr>
        <w:tc>
          <w:tcPr>
            <w:tcW w:w="2893" w:type="dxa"/>
            <w:tcBorders>
              <w:top w:val="nil"/>
              <w:left w:val="single" w:sz="4" w:space="0" w:color="auto"/>
              <w:bottom w:val="single" w:sz="4" w:space="0" w:color="auto"/>
              <w:right w:val="nil"/>
            </w:tcBorders>
            <w:shd w:val="clear" w:color="auto" w:fill="auto"/>
            <w:noWrap/>
            <w:vAlign w:val="bottom"/>
            <w:hideMark/>
          </w:tcPr>
          <w:p w:rsidR="0057250E" w:rsidRPr="00F04587" w:rsidRDefault="0057250E" w:rsidP="0057250E">
            <w:pPr>
              <w:keepLines/>
              <w:widowControl/>
              <w:rPr>
                <w:rFonts w:ascii="Calibri" w:hAnsi="Calibri"/>
                <w:b/>
                <w:color w:val="000000"/>
                <w:sz w:val="22"/>
              </w:rPr>
            </w:pPr>
            <w:r w:rsidRPr="00F04587">
              <w:rPr>
                <w:rFonts w:ascii="Calibri" w:hAnsi="Calibri"/>
                <w:b/>
                <w:color w:val="000000"/>
                <w:sz w:val="22"/>
              </w:rPr>
              <w:t>Total</w:t>
            </w:r>
          </w:p>
        </w:tc>
        <w:tc>
          <w:tcPr>
            <w:tcW w:w="2106" w:type="dxa"/>
            <w:tcBorders>
              <w:top w:val="nil"/>
              <w:left w:val="single" w:sz="4" w:space="0" w:color="auto"/>
              <w:bottom w:val="single" w:sz="4" w:space="0" w:color="auto"/>
              <w:right w:val="single" w:sz="4" w:space="0" w:color="auto"/>
            </w:tcBorders>
            <w:shd w:val="clear" w:color="auto" w:fill="auto"/>
            <w:noWrap/>
            <w:vAlign w:val="bottom"/>
            <w:hideMark/>
          </w:tcPr>
          <w:p w:rsidR="0057250E" w:rsidRPr="00EA7471" w:rsidRDefault="0057250E" w:rsidP="00F04587">
            <w:pPr>
              <w:keepLines/>
              <w:widowControl/>
              <w:jc w:val="center"/>
              <w:rPr>
                <w:rFonts w:ascii="Calibri" w:hAnsi="Calibri"/>
                <w:color w:val="000000"/>
                <w:sz w:val="22"/>
              </w:rPr>
            </w:pPr>
            <w:r w:rsidRPr="00EA7471">
              <w:rPr>
                <w:rFonts w:ascii="Calibri" w:hAnsi="Calibri"/>
                <w:color w:val="000000"/>
                <w:sz w:val="22"/>
              </w:rPr>
              <w:t>122</w:t>
            </w:r>
          </w:p>
        </w:tc>
        <w:tc>
          <w:tcPr>
            <w:tcW w:w="1398" w:type="dxa"/>
            <w:tcBorders>
              <w:top w:val="nil"/>
              <w:left w:val="nil"/>
              <w:bottom w:val="single" w:sz="4" w:space="0" w:color="auto"/>
              <w:right w:val="single" w:sz="4" w:space="0" w:color="auto"/>
            </w:tcBorders>
            <w:shd w:val="clear" w:color="auto" w:fill="auto"/>
            <w:noWrap/>
            <w:vAlign w:val="bottom"/>
            <w:hideMark/>
          </w:tcPr>
          <w:p w:rsidR="0057250E" w:rsidRPr="00EA7471" w:rsidRDefault="0057250E" w:rsidP="00F04587">
            <w:pPr>
              <w:keepLines/>
              <w:widowControl/>
              <w:jc w:val="center"/>
              <w:rPr>
                <w:rFonts w:ascii="Calibri" w:hAnsi="Calibri"/>
                <w:color w:val="000000"/>
                <w:sz w:val="22"/>
              </w:rPr>
            </w:pPr>
            <w:r w:rsidRPr="00EA7471">
              <w:rPr>
                <w:rFonts w:ascii="Calibri" w:hAnsi="Calibri"/>
                <w:color w:val="000000"/>
                <w:sz w:val="22"/>
              </w:rPr>
              <w:t>122</w:t>
            </w:r>
          </w:p>
        </w:tc>
      </w:tr>
      <w:tr w:rsidR="0057250E" w:rsidRPr="00EA7471" w:rsidTr="00F04587">
        <w:trPr>
          <w:trHeight w:val="600"/>
          <w:jc w:val="center"/>
        </w:trPr>
        <w:tc>
          <w:tcPr>
            <w:tcW w:w="2893" w:type="dxa"/>
            <w:tcBorders>
              <w:top w:val="nil"/>
              <w:left w:val="single" w:sz="4" w:space="0" w:color="auto"/>
              <w:bottom w:val="single" w:sz="4" w:space="0" w:color="auto"/>
              <w:right w:val="nil"/>
            </w:tcBorders>
            <w:shd w:val="clear" w:color="auto" w:fill="auto"/>
            <w:vAlign w:val="bottom"/>
            <w:hideMark/>
          </w:tcPr>
          <w:p w:rsidR="0057250E" w:rsidRPr="00EA7471" w:rsidRDefault="0057250E" w:rsidP="00774CE9">
            <w:pPr>
              <w:keepLines/>
              <w:widowControl/>
              <w:rPr>
                <w:rFonts w:ascii="Calibri" w:hAnsi="Calibri"/>
                <w:b/>
                <w:bCs/>
                <w:color w:val="000000"/>
                <w:sz w:val="22"/>
              </w:rPr>
            </w:pPr>
            <w:r w:rsidRPr="00EA7471">
              <w:rPr>
                <w:rFonts w:ascii="Calibri" w:hAnsi="Calibri"/>
                <w:b/>
                <w:bCs/>
                <w:color w:val="000000"/>
                <w:sz w:val="22"/>
              </w:rPr>
              <w:t>Av</w:t>
            </w:r>
            <w:r w:rsidR="00774CE9">
              <w:rPr>
                <w:rFonts w:ascii="Calibri" w:hAnsi="Calibri"/>
                <w:b/>
                <w:bCs/>
                <w:color w:val="000000"/>
                <w:sz w:val="22"/>
              </w:rPr>
              <w:t>erage</w:t>
            </w:r>
            <w:r w:rsidRPr="00EA7471">
              <w:rPr>
                <w:rFonts w:ascii="Calibri" w:hAnsi="Calibri"/>
                <w:b/>
                <w:bCs/>
                <w:color w:val="000000"/>
                <w:sz w:val="22"/>
              </w:rPr>
              <w:t xml:space="preserve"> Monthly July-Feb CCF Usage 2008-2012</w:t>
            </w:r>
          </w:p>
        </w:tc>
        <w:tc>
          <w:tcPr>
            <w:tcW w:w="2106" w:type="dxa"/>
            <w:tcBorders>
              <w:top w:val="nil"/>
              <w:left w:val="single" w:sz="4" w:space="0" w:color="auto"/>
              <w:bottom w:val="single" w:sz="4" w:space="0" w:color="auto"/>
              <w:right w:val="single" w:sz="4" w:space="0" w:color="auto"/>
            </w:tcBorders>
            <w:shd w:val="clear" w:color="auto" w:fill="auto"/>
            <w:noWrap/>
            <w:vAlign w:val="bottom"/>
            <w:hideMark/>
          </w:tcPr>
          <w:p w:rsidR="0057250E" w:rsidRPr="00F04587" w:rsidRDefault="0057250E" w:rsidP="00F04587">
            <w:pPr>
              <w:keepLines/>
              <w:widowControl/>
              <w:jc w:val="center"/>
              <w:rPr>
                <w:rFonts w:ascii="Calibri" w:hAnsi="Calibri"/>
                <w:bCs/>
                <w:color w:val="000000"/>
                <w:sz w:val="22"/>
              </w:rPr>
            </w:pPr>
            <w:r w:rsidRPr="00F04587">
              <w:rPr>
                <w:rFonts w:ascii="Calibri" w:hAnsi="Calibri"/>
                <w:bCs/>
                <w:color w:val="000000"/>
                <w:sz w:val="22"/>
              </w:rPr>
              <w:t>31</w:t>
            </w:r>
          </w:p>
        </w:tc>
        <w:tc>
          <w:tcPr>
            <w:tcW w:w="1398" w:type="dxa"/>
            <w:tcBorders>
              <w:top w:val="nil"/>
              <w:left w:val="nil"/>
              <w:bottom w:val="single" w:sz="4" w:space="0" w:color="auto"/>
              <w:right w:val="single" w:sz="4" w:space="0" w:color="auto"/>
            </w:tcBorders>
            <w:shd w:val="clear" w:color="auto" w:fill="auto"/>
            <w:noWrap/>
            <w:vAlign w:val="bottom"/>
            <w:hideMark/>
          </w:tcPr>
          <w:p w:rsidR="0057250E" w:rsidRPr="00EA7471" w:rsidRDefault="0057250E" w:rsidP="00F04587">
            <w:pPr>
              <w:keepLines/>
              <w:widowControl/>
              <w:jc w:val="center"/>
              <w:rPr>
                <w:rFonts w:ascii="Calibri" w:hAnsi="Calibri"/>
                <w:color w:val="000000"/>
                <w:sz w:val="22"/>
              </w:rPr>
            </w:pPr>
            <w:r w:rsidRPr="00EA7471">
              <w:rPr>
                <w:rFonts w:ascii="Calibri" w:hAnsi="Calibri"/>
                <w:color w:val="000000"/>
                <w:sz w:val="22"/>
              </w:rPr>
              <w:t>30</w:t>
            </w:r>
          </w:p>
        </w:tc>
      </w:tr>
      <w:tr w:rsidR="0057250E" w:rsidRPr="00EA7471" w:rsidTr="00F04587">
        <w:trPr>
          <w:trHeight w:val="71"/>
          <w:jc w:val="center"/>
        </w:trPr>
        <w:tc>
          <w:tcPr>
            <w:tcW w:w="2893" w:type="dxa"/>
            <w:tcBorders>
              <w:top w:val="nil"/>
              <w:left w:val="single" w:sz="4" w:space="0" w:color="auto"/>
              <w:bottom w:val="nil"/>
              <w:right w:val="nil"/>
            </w:tcBorders>
            <w:shd w:val="clear" w:color="auto" w:fill="auto"/>
            <w:vAlign w:val="bottom"/>
            <w:hideMark/>
          </w:tcPr>
          <w:p w:rsidR="0057250E" w:rsidRPr="00EA7471" w:rsidRDefault="0057250E" w:rsidP="0057250E">
            <w:pPr>
              <w:keepLines/>
              <w:widowControl/>
              <w:rPr>
                <w:rFonts w:ascii="Calibri" w:hAnsi="Calibri"/>
                <w:color w:val="000000"/>
                <w:sz w:val="22"/>
              </w:rPr>
            </w:pPr>
            <w:r w:rsidRPr="00EA7471">
              <w:rPr>
                <w:rFonts w:ascii="Calibri" w:hAnsi="Calibri"/>
                <w:color w:val="000000"/>
                <w:sz w:val="22"/>
              </w:rPr>
              <w:t> </w:t>
            </w:r>
          </w:p>
        </w:tc>
        <w:tc>
          <w:tcPr>
            <w:tcW w:w="2106" w:type="dxa"/>
            <w:tcBorders>
              <w:top w:val="nil"/>
              <w:left w:val="single" w:sz="4" w:space="0" w:color="auto"/>
              <w:bottom w:val="nil"/>
              <w:right w:val="single" w:sz="4" w:space="0" w:color="auto"/>
            </w:tcBorders>
            <w:shd w:val="clear" w:color="auto" w:fill="auto"/>
            <w:noWrap/>
            <w:vAlign w:val="bottom"/>
            <w:hideMark/>
          </w:tcPr>
          <w:p w:rsidR="0057250E" w:rsidRPr="00F04587" w:rsidRDefault="0057250E" w:rsidP="00F04587">
            <w:pPr>
              <w:keepLines/>
              <w:widowControl/>
              <w:jc w:val="center"/>
              <w:rPr>
                <w:rFonts w:ascii="Calibri" w:hAnsi="Calibri"/>
                <w:color w:val="000000"/>
                <w:sz w:val="22"/>
              </w:rPr>
            </w:pPr>
          </w:p>
        </w:tc>
        <w:tc>
          <w:tcPr>
            <w:tcW w:w="1398" w:type="dxa"/>
            <w:tcBorders>
              <w:top w:val="nil"/>
              <w:left w:val="nil"/>
              <w:bottom w:val="nil"/>
              <w:right w:val="single" w:sz="4" w:space="0" w:color="auto"/>
            </w:tcBorders>
            <w:shd w:val="clear" w:color="auto" w:fill="auto"/>
            <w:noWrap/>
            <w:vAlign w:val="bottom"/>
            <w:hideMark/>
          </w:tcPr>
          <w:p w:rsidR="0057250E" w:rsidRPr="00EA7471" w:rsidRDefault="0057250E" w:rsidP="00F04587">
            <w:pPr>
              <w:keepLines/>
              <w:widowControl/>
              <w:jc w:val="center"/>
              <w:rPr>
                <w:rFonts w:ascii="Calibri" w:hAnsi="Calibri"/>
                <w:color w:val="000000"/>
                <w:sz w:val="22"/>
              </w:rPr>
            </w:pPr>
          </w:p>
        </w:tc>
      </w:tr>
      <w:tr w:rsidR="0057250E" w:rsidRPr="00EA7471" w:rsidTr="00F04587">
        <w:trPr>
          <w:trHeight w:val="1200"/>
          <w:jc w:val="center"/>
        </w:trPr>
        <w:tc>
          <w:tcPr>
            <w:tcW w:w="2893" w:type="dxa"/>
            <w:tcBorders>
              <w:top w:val="single" w:sz="4" w:space="0" w:color="auto"/>
              <w:left w:val="single" w:sz="4" w:space="0" w:color="auto"/>
              <w:bottom w:val="single" w:sz="4" w:space="0" w:color="auto"/>
              <w:right w:val="nil"/>
            </w:tcBorders>
            <w:shd w:val="clear" w:color="auto" w:fill="auto"/>
            <w:vAlign w:val="bottom"/>
            <w:hideMark/>
          </w:tcPr>
          <w:p w:rsidR="0057250E" w:rsidRPr="00EA7471" w:rsidRDefault="0057250E" w:rsidP="00774CE9">
            <w:pPr>
              <w:keepLines/>
              <w:widowControl/>
              <w:rPr>
                <w:rFonts w:ascii="Calibri" w:hAnsi="Calibri"/>
                <w:b/>
                <w:bCs/>
                <w:color w:val="000000"/>
                <w:sz w:val="22"/>
              </w:rPr>
            </w:pPr>
            <w:r w:rsidRPr="00EA7471">
              <w:rPr>
                <w:rFonts w:ascii="Calibri" w:hAnsi="Calibri"/>
                <w:b/>
                <w:bCs/>
                <w:color w:val="000000"/>
                <w:sz w:val="22"/>
              </w:rPr>
              <w:t>Av</w:t>
            </w:r>
            <w:r w:rsidR="00774CE9">
              <w:rPr>
                <w:rFonts w:ascii="Calibri" w:hAnsi="Calibri"/>
                <w:b/>
                <w:bCs/>
                <w:color w:val="000000"/>
                <w:sz w:val="22"/>
              </w:rPr>
              <w:t>erage</w:t>
            </w:r>
            <w:r w:rsidRPr="00EA7471">
              <w:rPr>
                <w:rFonts w:ascii="Calibri" w:hAnsi="Calibri"/>
                <w:b/>
                <w:bCs/>
                <w:color w:val="000000"/>
                <w:sz w:val="22"/>
              </w:rPr>
              <w:t xml:space="preserve"> monthly </w:t>
            </w:r>
            <w:r>
              <w:rPr>
                <w:rFonts w:ascii="Calibri" w:hAnsi="Calibri"/>
                <w:b/>
                <w:bCs/>
                <w:color w:val="000000"/>
                <w:sz w:val="22"/>
              </w:rPr>
              <w:t xml:space="preserve">recorded </w:t>
            </w:r>
            <w:r w:rsidRPr="00EA7471">
              <w:rPr>
                <w:rFonts w:ascii="Calibri" w:hAnsi="Calibri"/>
                <w:b/>
                <w:bCs/>
                <w:color w:val="000000"/>
                <w:sz w:val="22"/>
              </w:rPr>
              <w:t>CCF Usage for the 8 months following meter replacement (July 2012-February 2013)</w:t>
            </w:r>
          </w:p>
        </w:tc>
        <w:tc>
          <w:tcPr>
            <w:tcW w:w="21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250E" w:rsidRPr="00F04587" w:rsidRDefault="0057250E" w:rsidP="00F04587">
            <w:pPr>
              <w:keepLines/>
              <w:widowControl/>
              <w:jc w:val="center"/>
              <w:rPr>
                <w:rFonts w:ascii="Calibri" w:hAnsi="Calibri"/>
                <w:bCs/>
                <w:color w:val="000000"/>
                <w:sz w:val="22"/>
              </w:rPr>
            </w:pPr>
            <w:r w:rsidRPr="00F04587">
              <w:rPr>
                <w:rFonts w:ascii="Calibri" w:hAnsi="Calibri"/>
                <w:bCs/>
                <w:color w:val="000000"/>
                <w:sz w:val="22"/>
              </w:rPr>
              <w:t>16</w:t>
            </w:r>
          </w:p>
        </w:tc>
        <w:tc>
          <w:tcPr>
            <w:tcW w:w="1398" w:type="dxa"/>
            <w:tcBorders>
              <w:top w:val="single" w:sz="4" w:space="0" w:color="auto"/>
              <w:left w:val="nil"/>
              <w:bottom w:val="single" w:sz="4" w:space="0" w:color="auto"/>
              <w:right w:val="single" w:sz="4" w:space="0" w:color="auto"/>
            </w:tcBorders>
            <w:shd w:val="clear" w:color="auto" w:fill="auto"/>
            <w:noWrap/>
            <w:vAlign w:val="bottom"/>
            <w:hideMark/>
          </w:tcPr>
          <w:p w:rsidR="0057250E" w:rsidRPr="00EA7471" w:rsidRDefault="0057250E" w:rsidP="00F04587">
            <w:pPr>
              <w:keepLines/>
              <w:widowControl/>
              <w:jc w:val="center"/>
              <w:rPr>
                <w:rFonts w:ascii="Calibri" w:hAnsi="Calibri"/>
                <w:color w:val="000000"/>
                <w:sz w:val="22"/>
              </w:rPr>
            </w:pPr>
            <w:r w:rsidRPr="00EA7471">
              <w:rPr>
                <w:rFonts w:ascii="Calibri" w:hAnsi="Calibri"/>
                <w:color w:val="000000"/>
                <w:sz w:val="22"/>
              </w:rPr>
              <w:t>31</w:t>
            </w:r>
          </w:p>
        </w:tc>
      </w:tr>
      <w:tr w:rsidR="0057250E" w:rsidRPr="00EA7471" w:rsidTr="00F04587">
        <w:trPr>
          <w:trHeight w:val="300"/>
          <w:jc w:val="center"/>
        </w:trPr>
        <w:tc>
          <w:tcPr>
            <w:tcW w:w="2893" w:type="dxa"/>
            <w:tcBorders>
              <w:top w:val="nil"/>
              <w:left w:val="single" w:sz="4" w:space="0" w:color="auto"/>
              <w:bottom w:val="single" w:sz="4" w:space="0" w:color="auto"/>
              <w:right w:val="nil"/>
            </w:tcBorders>
            <w:shd w:val="clear" w:color="auto" w:fill="auto"/>
            <w:noWrap/>
            <w:vAlign w:val="bottom"/>
            <w:hideMark/>
          </w:tcPr>
          <w:p w:rsidR="0057250E" w:rsidRPr="00EA7471" w:rsidRDefault="0057250E" w:rsidP="0057250E">
            <w:pPr>
              <w:keepLines/>
              <w:widowControl/>
              <w:rPr>
                <w:rFonts w:ascii="Calibri" w:hAnsi="Calibri"/>
                <w:b/>
                <w:bCs/>
                <w:color w:val="000000"/>
                <w:sz w:val="22"/>
              </w:rPr>
            </w:pPr>
            <w:r w:rsidRPr="00EA7471">
              <w:rPr>
                <w:rFonts w:ascii="Calibri" w:hAnsi="Calibri"/>
                <w:b/>
                <w:bCs/>
                <w:color w:val="000000"/>
                <w:sz w:val="22"/>
              </w:rPr>
              <w:t>% Comparison</w:t>
            </w:r>
          </w:p>
        </w:tc>
        <w:tc>
          <w:tcPr>
            <w:tcW w:w="2106" w:type="dxa"/>
            <w:tcBorders>
              <w:top w:val="nil"/>
              <w:left w:val="single" w:sz="4" w:space="0" w:color="auto"/>
              <w:bottom w:val="single" w:sz="4" w:space="0" w:color="auto"/>
              <w:right w:val="single" w:sz="4" w:space="0" w:color="auto"/>
            </w:tcBorders>
            <w:shd w:val="clear" w:color="auto" w:fill="auto"/>
            <w:noWrap/>
            <w:vAlign w:val="bottom"/>
            <w:hideMark/>
          </w:tcPr>
          <w:p w:rsidR="0057250E" w:rsidRPr="00F04587" w:rsidRDefault="0057250E" w:rsidP="00F04587">
            <w:pPr>
              <w:keepLines/>
              <w:widowControl/>
              <w:jc w:val="center"/>
              <w:rPr>
                <w:rFonts w:ascii="Calibri" w:hAnsi="Calibri"/>
                <w:bCs/>
                <w:color w:val="000000"/>
                <w:sz w:val="22"/>
              </w:rPr>
            </w:pPr>
            <w:r w:rsidRPr="00F04587">
              <w:rPr>
                <w:rFonts w:ascii="Calibri" w:hAnsi="Calibri"/>
                <w:bCs/>
                <w:color w:val="000000"/>
                <w:sz w:val="22"/>
              </w:rPr>
              <w:t>53%</w:t>
            </w:r>
          </w:p>
        </w:tc>
        <w:tc>
          <w:tcPr>
            <w:tcW w:w="1398" w:type="dxa"/>
            <w:tcBorders>
              <w:top w:val="nil"/>
              <w:left w:val="nil"/>
              <w:bottom w:val="single" w:sz="4" w:space="0" w:color="auto"/>
              <w:right w:val="single" w:sz="4" w:space="0" w:color="auto"/>
            </w:tcBorders>
            <w:shd w:val="clear" w:color="auto" w:fill="auto"/>
            <w:noWrap/>
            <w:vAlign w:val="bottom"/>
            <w:hideMark/>
          </w:tcPr>
          <w:p w:rsidR="0057250E" w:rsidRPr="00EA7471" w:rsidRDefault="0057250E" w:rsidP="00F04587">
            <w:pPr>
              <w:keepLines/>
              <w:widowControl/>
              <w:jc w:val="center"/>
              <w:rPr>
                <w:rFonts w:ascii="Calibri" w:hAnsi="Calibri"/>
                <w:color w:val="000000"/>
                <w:sz w:val="22"/>
              </w:rPr>
            </w:pPr>
          </w:p>
        </w:tc>
      </w:tr>
      <w:tr w:rsidR="0057250E" w:rsidRPr="00EA7471" w:rsidTr="00F04587">
        <w:trPr>
          <w:trHeight w:val="300"/>
          <w:jc w:val="center"/>
        </w:trPr>
        <w:tc>
          <w:tcPr>
            <w:tcW w:w="2893" w:type="dxa"/>
            <w:tcBorders>
              <w:top w:val="nil"/>
              <w:left w:val="single" w:sz="4" w:space="0" w:color="auto"/>
              <w:bottom w:val="single" w:sz="4" w:space="0" w:color="auto"/>
              <w:right w:val="nil"/>
            </w:tcBorders>
            <w:shd w:val="clear" w:color="auto" w:fill="auto"/>
            <w:noWrap/>
            <w:vAlign w:val="bottom"/>
            <w:hideMark/>
          </w:tcPr>
          <w:p w:rsidR="0057250E" w:rsidRPr="00EA7471" w:rsidRDefault="0057250E" w:rsidP="0057250E">
            <w:pPr>
              <w:keepLines/>
              <w:widowControl/>
              <w:rPr>
                <w:rFonts w:ascii="Calibri" w:hAnsi="Calibri"/>
                <w:b/>
                <w:bCs/>
                <w:color w:val="000000"/>
                <w:sz w:val="22"/>
              </w:rPr>
            </w:pPr>
            <w:r w:rsidRPr="00EA7471">
              <w:rPr>
                <w:rFonts w:ascii="Calibri" w:hAnsi="Calibri"/>
                <w:b/>
                <w:bCs/>
                <w:color w:val="000000"/>
                <w:sz w:val="22"/>
              </w:rPr>
              <w:t>% Reduction/Conservation</w:t>
            </w:r>
          </w:p>
        </w:tc>
        <w:tc>
          <w:tcPr>
            <w:tcW w:w="2106" w:type="dxa"/>
            <w:tcBorders>
              <w:top w:val="nil"/>
              <w:left w:val="single" w:sz="4" w:space="0" w:color="auto"/>
              <w:bottom w:val="single" w:sz="4" w:space="0" w:color="auto"/>
              <w:right w:val="single" w:sz="4" w:space="0" w:color="auto"/>
            </w:tcBorders>
            <w:shd w:val="clear" w:color="auto" w:fill="auto"/>
            <w:noWrap/>
            <w:vAlign w:val="bottom"/>
            <w:hideMark/>
          </w:tcPr>
          <w:p w:rsidR="0057250E" w:rsidRPr="00F04587" w:rsidRDefault="0057250E" w:rsidP="00F04587">
            <w:pPr>
              <w:keepLines/>
              <w:widowControl/>
              <w:jc w:val="center"/>
              <w:rPr>
                <w:rFonts w:ascii="Calibri" w:hAnsi="Calibri"/>
                <w:bCs/>
                <w:color w:val="000000"/>
                <w:sz w:val="22"/>
              </w:rPr>
            </w:pPr>
            <w:r w:rsidRPr="00F04587">
              <w:rPr>
                <w:rFonts w:ascii="Calibri" w:hAnsi="Calibri"/>
                <w:bCs/>
                <w:color w:val="000000"/>
                <w:sz w:val="22"/>
              </w:rPr>
              <w:t>47%</w:t>
            </w:r>
          </w:p>
        </w:tc>
        <w:tc>
          <w:tcPr>
            <w:tcW w:w="1398" w:type="dxa"/>
            <w:tcBorders>
              <w:top w:val="nil"/>
              <w:left w:val="nil"/>
              <w:bottom w:val="single" w:sz="4" w:space="0" w:color="auto"/>
              <w:right w:val="single" w:sz="4" w:space="0" w:color="auto"/>
            </w:tcBorders>
            <w:shd w:val="clear" w:color="auto" w:fill="auto"/>
            <w:noWrap/>
            <w:vAlign w:val="bottom"/>
            <w:hideMark/>
          </w:tcPr>
          <w:p w:rsidR="0057250E" w:rsidRPr="00EA7471" w:rsidRDefault="0057250E" w:rsidP="00F04587">
            <w:pPr>
              <w:keepLines/>
              <w:widowControl/>
              <w:jc w:val="center"/>
              <w:rPr>
                <w:rFonts w:ascii="Calibri" w:hAnsi="Calibri"/>
                <w:color w:val="000000"/>
                <w:sz w:val="22"/>
              </w:rPr>
            </w:pPr>
          </w:p>
        </w:tc>
      </w:tr>
    </w:tbl>
    <w:p w:rsidR="0057250E" w:rsidRPr="00EA7471" w:rsidRDefault="002E37E7" w:rsidP="00F04587">
      <w:pPr>
        <w:keepLines/>
        <w:widowControl/>
        <w:spacing w:before="120" w:line="216" w:lineRule="auto"/>
        <w:ind w:left="1440" w:right="1440"/>
        <w:rPr>
          <w:szCs w:val="26"/>
        </w:rPr>
      </w:pPr>
      <w:r w:rsidRPr="00EA7471">
        <w:rPr>
          <w:rFonts w:ascii="Calibri" w:hAnsi="Calibri"/>
          <w:b/>
          <w:bCs/>
          <w:color w:val="000000"/>
          <w:sz w:val="22"/>
        </w:rPr>
        <w:t>FIGURE 1</w:t>
      </w:r>
      <w:r>
        <w:rPr>
          <w:rFonts w:ascii="Calibri" w:hAnsi="Calibri"/>
          <w:b/>
          <w:bCs/>
          <w:color w:val="000000"/>
          <w:sz w:val="22"/>
        </w:rPr>
        <w:t xml:space="preserve">.  </w:t>
      </w:r>
      <w:r w:rsidR="00F04587" w:rsidRPr="00F04587">
        <w:rPr>
          <w:rFonts w:ascii="Calibri" w:hAnsi="Calibri"/>
          <w:b/>
          <w:bCs/>
          <w:color w:val="000000"/>
          <w:sz w:val="22"/>
        </w:rPr>
        <w:t>Complainant’s average monthly recorded gas usage for the periods before and after the meter exchange in 2013</w:t>
      </w:r>
    </w:p>
    <w:p w:rsidR="0057250E" w:rsidRPr="0057250E" w:rsidRDefault="0057250E" w:rsidP="00593A78">
      <w:pPr>
        <w:widowControl/>
        <w:spacing w:line="360" w:lineRule="auto"/>
        <w:ind w:firstLine="1440"/>
        <w:contextualSpacing/>
        <w:rPr>
          <w:sz w:val="26"/>
          <w:szCs w:val="26"/>
        </w:rPr>
      </w:pPr>
    </w:p>
    <w:p w:rsidR="0057250E" w:rsidRPr="0057250E" w:rsidRDefault="00F04587" w:rsidP="0057250E">
      <w:pPr>
        <w:widowControl/>
        <w:spacing w:line="360" w:lineRule="auto"/>
        <w:ind w:firstLine="1440"/>
        <w:contextualSpacing/>
        <w:rPr>
          <w:sz w:val="26"/>
          <w:szCs w:val="26"/>
        </w:rPr>
      </w:pPr>
      <w:r>
        <w:rPr>
          <w:sz w:val="26"/>
          <w:szCs w:val="26"/>
        </w:rPr>
        <w:t>P</w:t>
      </w:r>
      <w:r w:rsidR="0057250E" w:rsidRPr="0057250E">
        <w:rPr>
          <w:sz w:val="26"/>
          <w:szCs w:val="26"/>
        </w:rPr>
        <w:t>ublic utilit</w:t>
      </w:r>
      <w:r>
        <w:rPr>
          <w:sz w:val="26"/>
          <w:szCs w:val="26"/>
        </w:rPr>
        <w:t>ies</w:t>
      </w:r>
      <w:r w:rsidR="0057250E" w:rsidRPr="0057250E">
        <w:rPr>
          <w:sz w:val="26"/>
          <w:szCs w:val="26"/>
        </w:rPr>
        <w:t xml:space="preserve"> </w:t>
      </w:r>
      <w:r>
        <w:rPr>
          <w:sz w:val="26"/>
          <w:szCs w:val="26"/>
        </w:rPr>
        <w:t>are</w:t>
      </w:r>
      <w:r w:rsidR="0057250E" w:rsidRPr="0057250E">
        <w:rPr>
          <w:sz w:val="26"/>
          <w:szCs w:val="26"/>
        </w:rPr>
        <w:t xml:space="preserve"> entitled to full payment for service</w:t>
      </w:r>
      <w:r>
        <w:rPr>
          <w:sz w:val="26"/>
          <w:szCs w:val="26"/>
        </w:rPr>
        <w:t>s they</w:t>
      </w:r>
      <w:r w:rsidR="0057250E" w:rsidRPr="0057250E">
        <w:rPr>
          <w:sz w:val="26"/>
          <w:szCs w:val="26"/>
        </w:rPr>
        <w:t xml:space="preserve"> provided to </w:t>
      </w:r>
      <w:r>
        <w:rPr>
          <w:sz w:val="26"/>
          <w:szCs w:val="26"/>
        </w:rPr>
        <w:t xml:space="preserve">their </w:t>
      </w:r>
      <w:r w:rsidR="0057250E" w:rsidRPr="0057250E">
        <w:rPr>
          <w:sz w:val="26"/>
          <w:szCs w:val="26"/>
        </w:rPr>
        <w:t>customers and all customers are obligated to pay for the utility service</w:t>
      </w:r>
      <w:r>
        <w:rPr>
          <w:sz w:val="26"/>
          <w:szCs w:val="26"/>
        </w:rPr>
        <w:t>s that are</w:t>
      </w:r>
      <w:r w:rsidR="0057250E" w:rsidRPr="0057250E">
        <w:rPr>
          <w:sz w:val="26"/>
          <w:szCs w:val="26"/>
        </w:rPr>
        <w:t xml:space="preserve"> provided to them.  Otherwise, a customer’s unpaid bills are included in the utility’s uncollectible expenses and ultimately paid for by other utility customers.  </w:t>
      </w:r>
      <w:r w:rsidR="0057250E" w:rsidRPr="0057250E">
        <w:rPr>
          <w:i/>
          <w:sz w:val="26"/>
          <w:szCs w:val="26"/>
        </w:rPr>
        <w:t>Mill v. Pa. Public Utility Comm’n</w:t>
      </w:r>
      <w:r w:rsidR="0057250E" w:rsidRPr="0057250E">
        <w:rPr>
          <w:sz w:val="26"/>
          <w:szCs w:val="26"/>
        </w:rPr>
        <w:t xml:space="preserve">, 447 A.2d 1100 (Pa. Cmwlth. 1982); </w:t>
      </w:r>
      <w:r w:rsidR="0057250E" w:rsidRPr="0057250E">
        <w:rPr>
          <w:i/>
          <w:sz w:val="26"/>
          <w:szCs w:val="26"/>
        </w:rPr>
        <w:t xml:space="preserve">Scaccia v. West Penn Power </w:t>
      </w:r>
      <w:r w:rsidR="0057250E" w:rsidRPr="0057250E">
        <w:rPr>
          <w:i/>
          <w:sz w:val="26"/>
          <w:szCs w:val="26"/>
        </w:rPr>
        <w:lastRenderedPageBreak/>
        <w:t>Co.</w:t>
      </w:r>
      <w:r w:rsidR="0057250E" w:rsidRPr="0057250E">
        <w:rPr>
          <w:sz w:val="26"/>
          <w:szCs w:val="26"/>
        </w:rPr>
        <w:t>, 55 Pa. P.U.C. 637 (1982) (</w:t>
      </w:r>
      <w:r w:rsidR="0057250E" w:rsidRPr="0057250E">
        <w:rPr>
          <w:i/>
          <w:sz w:val="26"/>
          <w:szCs w:val="26"/>
        </w:rPr>
        <w:t>Scaccia</w:t>
      </w:r>
      <w:r w:rsidR="0057250E" w:rsidRPr="0057250E">
        <w:rPr>
          <w:sz w:val="26"/>
          <w:szCs w:val="26"/>
        </w:rPr>
        <w:t xml:space="preserve">); and </w:t>
      </w:r>
      <w:r w:rsidR="0057250E" w:rsidRPr="0057250E">
        <w:rPr>
          <w:i/>
          <w:sz w:val="26"/>
          <w:szCs w:val="26"/>
        </w:rPr>
        <w:t>Bolt v. Duquesne Light Company</w:t>
      </w:r>
      <w:r w:rsidR="0057250E" w:rsidRPr="0057250E">
        <w:rPr>
          <w:sz w:val="26"/>
          <w:szCs w:val="26"/>
        </w:rPr>
        <w:t xml:space="preserve">, 66 Pa. P.U.C. 463 (1988).  Nonetheless, in </w:t>
      </w:r>
      <w:r w:rsidR="0057250E" w:rsidRPr="0057250E">
        <w:rPr>
          <w:i/>
          <w:sz w:val="26"/>
          <w:szCs w:val="26"/>
        </w:rPr>
        <w:t>Prendergast</w:t>
      </w:r>
      <w:r w:rsidR="0057250E" w:rsidRPr="0057250E">
        <w:rPr>
          <w:sz w:val="26"/>
          <w:szCs w:val="26"/>
        </w:rPr>
        <w:t xml:space="preserve">, we noted that in prior cases, PGW agreed to apply a flat twenty percent conservation credit.  Further, in </w:t>
      </w:r>
      <w:r w:rsidR="0057250E" w:rsidRPr="0057250E">
        <w:rPr>
          <w:i/>
          <w:sz w:val="26"/>
          <w:szCs w:val="26"/>
        </w:rPr>
        <w:t>William Edney v. Philadelphia Gas Works</w:t>
      </w:r>
      <w:r w:rsidR="0057250E" w:rsidRPr="0057250E">
        <w:rPr>
          <w:sz w:val="26"/>
          <w:szCs w:val="26"/>
        </w:rPr>
        <w:t>, Docket No. F-2013-2393858 (Order entered December 18, 2014)</w:t>
      </w:r>
      <w:r w:rsidR="00A36028">
        <w:rPr>
          <w:sz w:val="26"/>
          <w:szCs w:val="26"/>
        </w:rPr>
        <w:t xml:space="preserve"> </w:t>
      </w:r>
      <w:r w:rsidR="0057250E" w:rsidRPr="0057250E">
        <w:rPr>
          <w:sz w:val="26"/>
          <w:szCs w:val="26"/>
        </w:rPr>
        <w:t>(</w:t>
      </w:r>
      <w:r w:rsidR="0057250E" w:rsidRPr="0057250E">
        <w:rPr>
          <w:i/>
          <w:sz w:val="26"/>
          <w:szCs w:val="26"/>
        </w:rPr>
        <w:t>Edney</w:t>
      </w:r>
      <w:r w:rsidR="0057250E" w:rsidRPr="0057250E">
        <w:rPr>
          <w:sz w:val="26"/>
          <w:szCs w:val="26"/>
        </w:rPr>
        <w:t xml:space="preserve">), we found that although the record in that proceeding supported a sixty-seven percent conservation credit, it was more appropriate to apply a twenty percent conservation credit to balance the needs of all parties involved.  </w:t>
      </w:r>
      <w:r w:rsidR="0057250E" w:rsidRPr="0057250E">
        <w:rPr>
          <w:i/>
          <w:sz w:val="26"/>
          <w:szCs w:val="26"/>
        </w:rPr>
        <w:t>Edney</w:t>
      </w:r>
      <w:r w:rsidR="0057250E" w:rsidRPr="0057250E">
        <w:rPr>
          <w:sz w:val="26"/>
          <w:szCs w:val="26"/>
        </w:rPr>
        <w:t xml:space="preserve"> at 16.</w:t>
      </w:r>
    </w:p>
    <w:p w:rsidR="009B5522" w:rsidRDefault="009B5522" w:rsidP="0057250E">
      <w:pPr>
        <w:widowControl/>
        <w:spacing w:line="360" w:lineRule="auto"/>
        <w:ind w:firstLine="1440"/>
        <w:contextualSpacing/>
        <w:rPr>
          <w:sz w:val="26"/>
          <w:szCs w:val="26"/>
        </w:rPr>
      </w:pPr>
    </w:p>
    <w:p w:rsidR="0057250E" w:rsidRPr="0057250E" w:rsidRDefault="0057250E" w:rsidP="0057250E">
      <w:pPr>
        <w:widowControl/>
        <w:spacing w:line="360" w:lineRule="auto"/>
        <w:ind w:firstLine="1440"/>
        <w:rPr>
          <w:rFonts w:eastAsiaTheme="minorHAnsi"/>
          <w:sz w:val="26"/>
          <w:szCs w:val="26"/>
        </w:rPr>
      </w:pPr>
      <w:r w:rsidRPr="0057250E">
        <w:rPr>
          <w:rFonts w:eastAsiaTheme="minorHAnsi"/>
          <w:sz w:val="26"/>
          <w:szCs w:val="22"/>
        </w:rPr>
        <w:t xml:space="preserve">Similar to our decision in </w:t>
      </w:r>
      <w:r w:rsidRPr="0057250E">
        <w:rPr>
          <w:rFonts w:eastAsiaTheme="minorHAnsi"/>
          <w:i/>
          <w:sz w:val="26"/>
          <w:szCs w:val="22"/>
        </w:rPr>
        <w:t>Edney</w:t>
      </w:r>
      <w:r w:rsidRPr="0057250E">
        <w:rPr>
          <w:rFonts w:eastAsiaTheme="minorHAnsi"/>
          <w:sz w:val="26"/>
          <w:szCs w:val="22"/>
        </w:rPr>
        <w:t xml:space="preserve">, in the matter before us, we </w:t>
      </w:r>
      <w:r w:rsidR="00856B53">
        <w:rPr>
          <w:rFonts w:eastAsiaTheme="minorHAnsi"/>
          <w:sz w:val="26"/>
          <w:szCs w:val="22"/>
        </w:rPr>
        <w:t xml:space="preserve">shall </w:t>
      </w:r>
      <w:r w:rsidRPr="0057250E">
        <w:rPr>
          <w:rFonts w:eastAsiaTheme="minorHAnsi"/>
          <w:sz w:val="26"/>
          <w:szCs w:val="22"/>
        </w:rPr>
        <w:t xml:space="preserve">not apply the forty-seven percent credit suggested in </w:t>
      </w:r>
      <w:r w:rsidR="00F2653B">
        <w:rPr>
          <w:rFonts w:eastAsiaTheme="minorHAnsi"/>
          <w:sz w:val="26"/>
          <w:szCs w:val="22"/>
        </w:rPr>
        <w:t>Figure</w:t>
      </w:r>
      <w:r w:rsidRPr="0057250E">
        <w:rPr>
          <w:rFonts w:eastAsiaTheme="minorHAnsi"/>
          <w:sz w:val="26"/>
          <w:szCs w:val="22"/>
        </w:rPr>
        <w:t xml:space="preserve"> 1.  However, we </w:t>
      </w:r>
      <w:r w:rsidR="00856B53">
        <w:rPr>
          <w:rFonts w:eastAsiaTheme="minorHAnsi"/>
          <w:sz w:val="26"/>
          <w:szCs w:val="22"/>
        </w:rPr>
        <w:t xml:space="preserve">shall </w:t>
      </w:r>
      <w:r w:rsidRPr="0057250E">
        <w:rPr>
          <w:rFonts w:eastAsiaTheme="minorHAnsi"/>
          <w:sz w:val="26"/>
          <w:szCs w:val="22"/>
        </w:rPr>
        <w:t xml:space="preserve">also decline to apply </w:t>
      </w:r>
      <w:r w:rsidR="007A385A">
        <w:rPr>
          <w:rFonts w:eastAsiaTheme="minorHAnsi"/>
          <w:sz w:val="26"/>
          <w:szCs w:val="22"/>
        </w:rPr>
        <w:t>the</w:t>
      </w:r>
      <w:r w:rsidRPr="0057250E">
        <w:rPr>
          <w:rFonts w:eastAsiaTheme="minorHAnsi"/>
          <w:sz w:val="26"/>
          <w:szCs w:val="22"/>
        </w:rPr>
        <w:t xml:space="preserve"> twenty percent conservation credit that was </w:t>
      </w:r>
      <w:r w:rsidR="007A385A">
        <w:rPr>
          <w:rFonts w:eastAsiaTheme="minorHAnsi"/>
          <w:sz w:val="26"/>
          <w:szCs w:val="22"/>
        </w:rPr>
        <w:t xml:space="preserve">ultimately </w:t>
      </w:r>
      <w:r w:rsidRPr="0057250E">
        <w:rPr>
          <w:rFonts w:eastAsiaTheme="minorHAnsi"/>
          <w:sz w:val="26"/>
          <w:szCs w:val="22"/>
        </w:rPr>
        <w:t>applied in each of the cases outlined above.  As previously noted, although the Complainant denied undertaking any conservation measures after the replacement of his meter, the record evidence indicate</w:t>
      </w:r>
      <w:r w:rsidR="00F8116C">
        <w:rPr>
          <w:rFonts w:eastAsiaTheme="minorHAnsi"/>
          <w:sz w:val="26"/>
          <w:szCs w:val="22"/>
        </w:rPr>
        <w:t>s</w:t>
      </w:r>
      <w:r w:rsidRPr="0057250E">
        <w:rPr>
          <w:rFonts w:eastAsiaTheme="minorHAnsi"/>
          <w:sz w:val="26"/>
          <w:szCs w:val="22"/>
        </w:rPr>
        <w:t xml:space="preserve"> that he consumed less gas.  </w:t>
      </w:r>
      <w:r w:rsidR="00856B53">
        <w:rPr>
          <w:rFonts w:eastAsiaTheme="minorHAnsi"/>
          <w:sz w:val="26"/>
          <w:szCs w:val="22"/>
        </w:rPr>
        <w:t>T</w:t>
      </w:r>
      <w:r w:rsidRPr="0057250E">
        <w:rPr>
          <w:rFonts w:eastAsiaTheme="minorHAnsi"/>
          <w:sz w:val="26"/>
          <w:szCs w:val="22"/>
        </w:rPr>
        <w:t xml:space="preserve">he ALJ </w:t>
      </w:r>
      <w:r w:rsidR="00856B53">
        <w:rPr>
          <w:rFonts w:eastAsiaTheme="minorHAnsi"/>
          <w:sz w:val="26"/>
          <w:szCs w:val="22"/>
        </w:rPr>
        <w:t>found that</w:t>
      </w:r>
      <w:r w:rsidRPr="0057250E">
        <w:rPr>
          <w:rFonts w:eastAsiaTheme="minorHAnsi"/>
          <w:sz w:val="26"/>
          <w:szCs w:val="22"/>
        </w:rPr>
        <w:t xml:space="preserve"> the record indicates that the Complainant already </w:t>
      </w:r>
      <w:r w:rsidR="00856B53">
        <w:rPr>
          <w:rFonts w:eastAsiaTheme="minorHAnsi"/>
          <w:sz w:val="26"/>
          <w:szCs w:val="22"/>
        </w:rPr>
        <w:t xml:space="preserve">was </w:t>
      </w:r>
      <w:r w:rsidRPr="0057250E">
        <w:rPr>
          <w:rFonts w:eastAsiaTheme="minorHAnsi"/>
          <w:sz w:val="26"/>
          <w:szCs w:val="22"/>
        </w:rPr>
        <w:t xml:space="preserve">exhibiting a trend of using less gas </w:t>
      </w:r>
      <w:r w:rsidR="00856B53">
        <w:rPr>
          <w:rFonts w:eastAsiaTheme="minorHAnsi"/>
          <w:sz w:val="26"/>
          <w:szCs w:val="22"/>
        </w:rPr>
        <w:t xml:space="preserve">prior to </w:t>
      </w:r>
      <w:r w:rsidRPr="0057250E">
        <w:rPr>
          <w:rFonts w:eastAsiaTheme="minorHAnsi"/>
          <w:sz w:val="26"/>
          <w:szCs w:val="22"/>
        </w:rPr>
        <w:t xml:space="preserve">the discovery of the improperly programmed AMR.  Accordingly, we are of the opinion that a ten percent conservation credit is appropriate in the instant case.  In our view, </w:t>
      </w:r>
      <w:r w:rsidR="00856B53">
        <w:rPr>
          <w:rFonts w:eastAsiaTheme="minorHAnsi"/>
          <w:sz w:val="26"/>
          <w:szCs w:val="22"/>
        </w:rPr>
        <w:t xml:space="preserve">a ten percent conservation credit </w:t>
      </w:r>
      <w:r w:rsidRPr="0057250E">
        <w:rPr>
          <w:rFonts w:eastAsiaTheme="minorHAnsi"/>
          <w:sz w:val="26"/>
          <w:szCs w:val="22"/>
        </w:rPr>
        <w:t xml:space="preserve">will balance the interests of the Company in collecting </w:t>
      </w:r>
      <w:r w:rsidR="00856B53">
        <w:rPr>
          <w:rFonts w:eastAsiaTheme="minorHAnsi"/>
          <w:sz w:val="26"/>
          <w:szCs w:val="22"/>
        </w:rPr>
        <w:t xml:space="preserve">the </w:t>
      </w:r>
      <w:r w:rsidRPr="0057250E">
        <w:rPr>
          <w:rFonts w:eastAsiaTheme="minorHAnsi"/>
          <w:sz w:val="26"/>
          <w:szCs w:val="22"/>
        </w:rPr>
        <w:t xml:space="preserve">amounts it is owed for </w:t>
      </w:r>
      <w:r w:rsidR="00856B53">
        <w:rPr>
          <w:rFonts w:eastAsiaTheme="minorHAnsi"/>
          <w:sz w:val="26"/>
          <w:szCs w:val="22"/>
        </w:rPr>
        <w:t xml:space="preserve">the </w:t>
      </w:r>
      <w:r w:rsidRPr="0057250E">
        <w:rPr>
          <w:rFonts w:eastAsiaTheme="minorHAnsi"/>
          <w:sz w:val="26"/>
          <w:szCs w:val="22"/>
        </w:rPr>
        <w:t>gas used by the Complainant with the acknowledgement that the Complainant ha</w:t>
      </w:r>
      <w:r w:rsidR="00856B53">
        <w:rPr>
          <w:rFonts w:eastAsiaTheme="minorHAnsi"/>
          <w:sz w:val="26"/>
          <w:szCs w:val="22"/>
        </w:rPr>
        <w:t>d</w:t>
      </w:r>
      <w:r w:rsidRPr="0057250E">
        <w:rPr>
          <w:rFonts w:eastAsiaTheme="minorHAnsi"/>
          <w:sz w:val="26"/>
          <w:szCs w:val="22"/>
        </w:rPr>
        <w:t xml:space="preserve"> clearly shown a trend of conserving gas usage both before and after he received accurate price signals.</w:t>
      </w:r>
      <w:r>
        <w:rPr>
          <w:rStyle w:val="FootnoteReference"/>
          <w:rFonts w:eastAsiaTheme="minorHAnsi"/>
          <w:sz w:val="26"/>
          <w:szCs w:val="22"/>
        </w:rPr>
        <w:footnoteReference w:id="8"/>
      </w:r>
    </w:p>
    <w:p w:rsidR="0057250E" w:rsidRPr="005E6419" w:rsidRDefault="0057250E" w:rsidP="00593A78">
      <w:pPr>
        <w:widowControl/>
        <w:spacing w:line="360" w:lineRule="auto"/>
        <w:ind w:firstLine="1440"/>
        <w:contextualSpacing/>
        <w:rPr>
          <w:sz w:val="26"/>
        </w:rPr>
      </w:pPr>
    </w:p>
    <w:p w:rsidR="00F31AFD" w:rsidRPr="005E6419" w:rsidRDefault="00F31AFD" w:rsidP="00F31AFD">
      <w:pPr>
        <w:tabs>
          <w:tab w:val="left" w:pos="-1440"/>
          <w:tab w:val="left" w:pos="-720"/>
        </w:tabs>
        <w:suppressAutoHyphens/>
        <w:autoSpaceDE w:val="0"/>
        <w:autoSpaceDN w:val="0"/>
        <w:spacing w:line="360" w:lineRule="auto"/>
        <w:ind w:firstLine="1440"/>
        <w:rPr>
          <w:sz w:val="26"/>
          <w:szCs w:val="26"/>
        </w:rPr>
      </w:pPr>
      <w:r w:rsidRPr="005E6419">
        <w:rPr>
          <w:sz w:val="26"/>
          <w:szCs w:val="26"/>
        </w:rPr>
        <w:t xml:space="preserve">In light of the above, we </w:t>
      </w:r>
      <w:r w:rsidR="00856B53">
        <w:rPr>
          <w:sz w:val="26"/>
          <w:szCs w:val="26"/>
        </w:rPr>
        <w:t xml:space="preserve">will </w:t>
      </w:r>
      <w:r w:rsidRPr="005E6419">
        <w:rPr>
          <w:sz w:val="26"/>
          <w:szCs w:val="26"/>
        </w:rPr>
        <w:t xml:space="preserve">deny the Complainant’s Exceptions but </w:t>
      </w:r>
      <w:r w:rsidR="00D76DA0">
        <w:rPr>
          <w:sz w:val="26"/>
          <w:szCs w:val="26"/>
        </w:rPr>
        <w:t xml:space="preserve">also </w:t>
      </w:r>
      <w:r w:rsidRPr="005E6419">
        <w:rPr>
          <w:sz w:val="26"/>
          <w:szCs w:val="26"/>
        </w:rPr>
        <w:t xml:space="preserve">modify the ALJ’s Initial Decision by directing PGW to apply a </w:t>
      </w:r>
      <w:r w:rsidR="005E6419" w:rsidRPr="005E6419">
        <w:rPr>
          <w:sz w:val="26"/>
          <w:szCs w:val="26"/>
        </w:rPr>
        <w:t>ten</w:t>
      </w:r>
      <w:r w:rsidRPr="005E6419">
        <w:rPr>
          <w:sz w:val="26"/>
          <w:szCs w:val="26"/>
        </w:rPr>
        <w:t xml:space="preserve"> percent</w:t>
      </w:r>
      <w:r w:rsidR="00D76DA0">
        <w:rPr>
          <w:sz w:val="26"/>
          <w:szCs w:val="26"/>
        </w:rPr>
        <w:t xml:space="preserve"> conservation</w:t>
      </w:r>
      <w:r w:rsidRPr="005E6419">
        <w:rPr>
          <w:sz w:val="26"/>
          <w:szCs w:val="26"/>
        </w:rPr>
        <w:t xml:space="preserve"> credit to the Complainant’s </w:t>
      </w:r>
      <w:r w:rsidR="005E6419" w:rsidRPr="005E6419">
        <w:rPr>
          <w:sz w:val="26"/>
          <w:szCs w:val="26"/>
        </w:rPr>
        <w:t xml:space="preserve">outstanding </w:t>
      </w:r>
      <w:r w:rsidRPr="005E6419">
        <w:rPr>
          <w:sz w:val="26"/>
          <w:szCs w:val="26"/>
        </w:rPr>
        <w:t>make-up bill balance of $</w:t>
      </w:r>
      <w:r w:rsidR="005E6419" w:rsidRPr="005E6419">
        <w:rPr>
          <w:sz w:val="26"/>
          <w:szCs w:val="26"/>
        </w:rPr>
        <w:t>2,028.80</w:t>
      </w:r>
      <w:r w:rsidRPr="005E6419">
        <w:rPr>
          <w:sz w:val="26"/>
          <w:szCs w:val="26"/>
        </w:rPr>
        <w:t xml:space="preserve">.  This </w:t>
      </w:r>
      <w:r w:rsidRPr="005E6419">
        <w:rPr>
          <w:sz w:val="26"/>
          <w:szCs w:val="26"/>
        </w:rPr>
        <w:lastRenderedPageBreak/>
        <w:t>conservation credit will reduce the Complainant’s make-up bill balance by $</w:t>
      </w:r>
      <w:r w:rsidR="005E6419" w:rsidRPr="005E6419">
        <w:rPr>
          <w:sz w:val="26"/>
          <w:szCs w:val="26"/>
        </w:rPr>
        <w:t>202.88</w:t>
      </w:r>
      <w:r w:rsidRPr="005E6419">
        <w:rPr>
          <w:sz w:val="26"/>
          <w:szCs w:val="26"/>
        </w:rPr>
        <w:t>, for a remaining balance of $</w:t>
      </w:r>
      <w:r w:rsidR="005E6419" w:rsidRPr="005E6419">
        <w:rPr>
          <w:sz w:val="26"/>
          <w:szCs w:val="26"/>
        </w:rPr>
        <w:t>1,825.92</w:t>
      </w:r>
      <w:r w:rsidRPr="005E6419">
        <w:rPr>
          <w:sz w:val="26"/>
          <w:szCs w:val="26"/>
        </w:rPr>
        <w:t>, which we shall require the Complainant to pay in forty-eight monthly installments of $</w:t>
      </w:r>
      <w:r w:rsidR="005E6419" w:rsidRPr="005E6419">
        <w:rPr>
          <w:sz w:val="26"/>
          <w:szCs w:val="26"/>
        </w:rPr>
        <w:t>38.04</w:t>
      </w:r>
      <w:r w:rsidRPr="005E6419">
        <w:rPr>
          <w:sz w:val="26"/>
          <w:szCs w:val="26"/>
        </w:rPr>
        <w:t>,</w:t>
      </w:r>
      <w:r w:rsidRPr="005E6419">
        <w:rPr>
          <w:rStyle w:val="FootnoteReference"/>
          <w:sz w:val="26"/>
          <w:szCs w:val="26"/>
        </w:rPr>
        <w:footnoteReference w:id="9"/>
      </w:r>
      <w:r w:rsidR="00856B53">
        <w:rPr>
          <w:sz w:val="26"/>
          <w:szCs w:val="26"/>
        </w:rPr>
        <w:t xml:space="preserve"> </w:t>
      </w:r>
      <w:r w:rsidRPr="005E6419">
        <w:rPr>
          <w:sz w:val="26"/>
          <w:szCs w:val="26"/>
        </w:rPr>
        <w:t xml:space="preserve">in addition to </w:t>
      </w:r>
      <w:r w:rsidRPr="005E6419">
        <w:rPr>
          <w:rFonts w:eastAsia="Calibri"/>
          <w:sz w:val="26"/>
          <w:szCs w:val="26"/>
        </w:rPr>
        <w:t>his monthly bill for actual usage during that period.</w:t>
      </w:r>
    </w:p>
    <w:p w:rsidR="00F31AFD" w:rsidRPr="00D76DA0" w:rsidRDefault="00F31AFD" w:rsidP="00F31AFD">
      <w:pPr>
        <w:widowControl/>
        <w:spacing w:line="360" w:lineRule="auto"/>
        <w:rPr>
          <w:sz w:val="26"/>
          <w:szCs w:val="26"/>
        </w:rPr>
      </w:pPr>
      <w:r w:rsidRPr="00F31AFD">
        <w:rPr>
          <w:color w:val="FF0000"/>
          <w:sz w:val="26"/>
          <w:szCs w:val="26"/>
        </w:rPr>
        <w:t xml:space="preserve"> </w:t>
      </w:r>
    </w:p>
    <w:p w:rsidR="00F31AFD" w:rsidRPr="00D76DA0" w:rsidRDefault="00F31AFD" w:rsidP="00F31AFD">
      <w:pPr>
        <w:widowControl/>
        <w:spacing w:line="360" w:lineRule="auto"/>
        <w:ind w:firstLine="1440"/>
        <w:rPr>
          <w:sz w:val="26"/>
          <w:szCs w:val="26"/>
        </w:rPr>
      </w:pPr>
      <w:r w:rsidRPr="00D76DA0">
        <w:rPr>
          <w:sz w:val="26"/>
          <w:szCs w:val="26"/>
        </w:rPr>
        <w:t xml:space="preserve">Additionally, </w:t>
      </w:r>
      <w:r w:rsidR="00D76DA0" w:rsidRPr="00D76DA0">
        <w:rPr>
          <w:sz w:val="26"/>
          <w:szCs w:val="26"/>
        </w:rPr>
        <w:t xml:space="preserve">because the </w:t>
      </w:r>
      <w:r w:rsidR="007427D5" w:rsidRPr="00D76DA0">
        <w:rPr>
          <w:sz w:val="26"/>
          <w:szCs w:val="26"/>
        </w:rPr>
        <w:t>improperly programmed AMR</w:t>
      </w:r>
      <w:r w:rsidRPr="00D76DA0">
        <w:rPr>
          <w:sz w:val="26"/>
          <w:szCs w:val="26"/>
        </w:rPr>
        <w:t xml:space="preserve"> device and </w:t>
      </w:r>
      <w:r w:rsidR="00D76DA0" w:rsidRPr="00D76DA0">
        <w:rPr>
          <w:sz w:val="26"/>
          <w:szCs w:val="26"/>
        </w:rPr>
        <w:t xml:space="preserve">the </w:t>
      </w:r>
      <w:r w:rsidRPr="00D76DA0">
        <w:rPr>
          <w:sz w:val="26"/>
          <w:szCs w:val="26"/>
        </w:rPr>
        <w:t xml:space="preserve">resulting billing inaccuracies occurred through no fault of the Complainant, we will direct PGW to refrain from assessing any late payment or interest charges on the amount of the make-up bill, as long as the Complainant adheres to the terms of the payment arrangement.  </w:t>
      </w:r>
      <w:r w:rsidRPr="00D76DA0">
        <w:rPr>
          <w:i/>
          <w:sz w:val="26"/>
          <w:szCs w:val="26"/>
        </w:rPr>
        <w:t>See</w:t>
      </w:r>
      <w:r w:rsidRPr="00D76DA0">
        <w:rPr>
          <w:sz w:val="26"/>
          <w:szCs w:val="26"/>
        </w:rPr>
        <w:t xml:space="preserve">, </w:t>
      </w:r>
      <w:r w:rsidRPr="00D76DA0">
        <w:rPr>
          <w:i/>
          <w:sz w:val="26"/>
          <w:szCs w:val="26"/>
        </w:rPr>
        <w:t>Angie’s Bar v. Duquesne Light Company</w:t>
      </w:r>
      <w:r w:rsidRPr="00D76DA0">
        <w:rPr>
          <w:sz w:val="26"/>
          <w:szCs w:val="26"/>
        </w:rPr>
        <w:t xml:space="preserve">, 72 Pa. P.U.C. 213 (1990); </w:t>
      </w:r>
      <w:r w:rsidRPr="00D76DA0">
        <w:rPr>
          <w:i/>
          <w:sz w:val="26"/>
          <w:szCs w:val="26"/>
        </w:rPr>
        <w:t xml:space="preserve">John S. Lezo v. Duquesne Light Company, </w:t>
      </w:r>
      <w:r w:rsidRPr="00D76DA0">
        <w:rPr>
          <w:sz w:val="26"/>
          <w:szCs w:val="26"/>
        </w:rPr>
        <w:t xml:space="preserve">56 Pa. P.U.C. 128 (1982); </w:t>
      </w:r>
      <w:r w:rsidRPr="00D76DA0">
        <w:rPr>
          <w:i/>
          <w:sz w:val="26"/>
          <w:szCs w:val="26"/>
        </w:rPr>
        <w:t>Scaccia</w:t>
      </w:r>
      <w:r w:rsidRPr="00D76DA0">
        <w:rPr>
          <w:sz w:val="26"/>
          <w:szCs w:val="26"/>
        </w:rPr>
        <w:t xml:space="preserve">, </w:t>
      </w:r>
      <w:r w:rsidRPr="00D76DA0">
        <w:rPr>
          <w:i/>
          <w:sz w:val="26"/>
          <w:szCs w:val="26"/>
        </w:rPr>
        <w:t>supra</w:t>
      </w:r>
      <w:r w:rsidRPr="00D76DA0">
        <w:rPr>
          <w:sz w:val="26"/>
          <w:szCs w:val="26"/>
        </w:rPr>
        <w:t xml:space="preserve">; and </w:t>
      </w:r>
      <w:r w:rsidRPr="00D76DA0">
        <w:rPr>
          <w:i/>
          <w:sz w:val="26"/>
          <w:szCs w:val="26"/>
        </w:rPr>
        <w:t>Anne Te v. Philadelphia Gas Works</w:t>
      </w:r>
      <w:r w:rsidRPr="00D76DA0">
        <w:rPr>
          <w:sz w:val="26"/>
          <w:szCs w:val="26"/>
        </w:rPr>
        <w:t>, Docket No. F-2012-2300790 (Order entered February 6, 2014).</w:t>
      </w:r>
    </w:p>
    <w:p w:rsidR="00F31AFD" w:rsidRPr="00D76DA0" w:rsidRDefault="00F31AFD" w:rsidP="00F31AFD">
      <w:pPr>
        <w:widowControl/>
        <w:spacing w:line="360" w:lineRule="auto"/>
        <w:ind w:firstLine="1440"/>
        <w:rPr>
          <w:sz w:val="26"/>
          <w:szCs w:val="26"/>
        </w:rPr>
      </w:pPr>
    </w:p>
    <w:p w:rsidR="00F31AFD" w:rsidRPr="00180B60" w:rsidRDefault="003E7475" w:rsidP="00F31AFD">
      <w:pPr>
        <w:tabs>
          <w:tab w:val="left" w:pos="-720"/>
        </w:tabs>
        <w:suppressAutoHyphens/>
        <w:spacing w:line="360" w:lineRule="auto"/>
        <w:ind w:firstLine="1440"/>
        <w:rPr>
          <w:sz w:val="26"/>
        </w:rPr>
      </w:pPr>
      <w:r>
        <w:rPr>
          <w:sz w:val="26"/>
        </w:rPr>
        <w:t xml:space="preserve">Consistent with our approach in </w:t>
      </w:r>
      <w:r w:rsidRPr="007427D5">
        <w:rPr>
          <w:i/>
          <w:sz w:val="26"/>
        </w:rPr>
        <w:t>Edney</w:t>
      </w:r>
      <w:r>
        <w:rPr>
          <w:sz w:val="26"/>
        </w:rPr>
        <w:t>,</w:t>
      </w:r>
      <w:r w:rsidRPr="007427D5">
        <w:rPr>
          <w:i/>
          <w:sz w:val="26"/>
        </w:rPr>
        <w:t xml:space="preserve"> </w:t>
      </w:r>
      <w:r>
        <w:rPr>
          <w:i/>
          <w:sz w:val="26"/>
        </w:rPr>
        <w:t>supra</w:t>
      </w:r>
      <w:r>
        <w:rPr>
          <w:sz w:val="26"/>
        </w:rPr>
        <w:t>, and i</w:t>
      </w:r>
      <w:r w:rsidR="00F31AFD" w:rsidRPr="00D76DA0">
        <w:rPr>
          <w:sz w:val="26"/>
        </w:rPr>
        <w:t xml:space="preserve">n </w:t>
      </w:r>
      <w:r w:rsidR="00856B53">
        <w:rPr>
          <w:sz w:val="26"/>
        </w:rPr>
        <w:t xml:space="preserve">light of the fact that we are requiring </w:t>
      </w:r>
      <w:r w:rsidR="00F31AFD" w:rsidRPr="00D76DA0">
        <w:rPr>
          <w:sz w:val="26"/>
        </w:rPr>
        <w:t xml:space="preserve">PGW to provide an energy conservation credit to the Complainant, we will issue this </w:t>
      </w:r>
      <w:r w:rsidR="00F31AFD" w:rsidRPr="00FD2B96">
        <w:rPr>
          <w:sz w:val="26"/>
        </w:rPr>
        <w:t>Opinion and Order in tentative form and provide a ten-day comment period</w:t>
      </w:r>
      <w:r>
        <w:rPr>
          <w:sz w:val="26"/>
        </w:rPr>
        <w:t xml:space="preserve"> from the parties</w:t>
      </w:r>
      <w:r w:rsidR="00F31AFD" w:rsidRPr="00FD2B96">
        <w:rPr>
          <w:sz w:val="26"/>
        </w:rPr>
        <w:t xml:space="preserve">.  If no adverse comments or objections are received </w:t>
      </w:r>
      <w:r>
        <w:rPr>
          <w:sz w:val="26"/>
        </w:rPr>
        <w:t xml:space="preserve">from the parties </w:t>
      </w:r>
      <w:r w:rsidR="00F31AFD" w:rsidRPr="00FD2B96">
        <w:rPr>
          <w:sz w:val="26"/>
        </w:rPr>
        <w:t>within th</w:t>
      </w:r>
      <w:r>
        <w:rPr>
          <w:sz w:val="26"/>
        </w:rPr>
        <w:t>e</w:t>
      </w:r>
      <w:r w:rsidR="00F31AFD" w:rsidRPr="00FD2B96">
        <w:rPr>
          <w:sz w:val="26"/>
        </w:rPr>
        <w:t xml:space="preserve"> ten-day comment period, this Tentative Opinion and Order </w:t>
      </w:r>
      <w:r>
        <w:rPr>
          <w:sz w:val="26"/>
        </w:rPr>
        <w:t xml:space="preserve">shall </w:t>
      </w:r>
      <w:r w:rsidR="00F31AFD" w:rsidRPr="00FD2B96">
        <w:rPr>
          <w:sz w:val="26"/>
        </w:rPr>
        <w:t>become final without further action by the Commission.</w:t>
      </w:r>
    </w:p>
    <w:p w:rsidR="009B5522" w:rsidRPr="009B5522" w:rsidRDefault="009B5522" w:rsidP="00593A78">
      <w:pPr>
        <w:widowControl/>
        <w:spacing w:line="360" w:lineRule="auto"/>
        <w:ind w:firstLine="1440"/>
        <w:contextualSpacing/>
        <w:rPr>
          <w:sz w:val="26"/>
          <w:szCs w:val="26"/>
        </w:rPr>
      </w:pPr>
    </w:p>
    <w:p w:rsidR="00CA43A5" w:rsidRPr="008F78A8" w:rsidRDefault="00CA43A5" w:rsidP="003E7475">
      <w:pPr>
        <w:keepNext/>
        <w:keepLines/>
        <w:widowControl/>
        <w:spacing w:line="360" w:lineRule="auto"/>
        <w:contextualSpacing/>
        <w:jc w:val="center"/>
        <w:rPr>
          <w:b/>
          <w:sz w:val="26"/>
          <w:szCs w:val="26"/>
        </w:rPr>
      </w:pPr>
      <w:r w:rsidRPr="008F78A8">
        <w:rPr>
          <w:b/>
          <w:sz w:val="26"/>
          <w:szCs w:val="26"/>
        </w:rPr>
        <w:lastRenderedPageBreak/>
        <w:t>Conclusion</w:t>
      </w:r>
    </w:p>
    <w:p w:rsidR="00CA43A5" w:rsidRPr="008F78A8" w:rsidRDefault="00CA43A5" w:rsidP="003E7475">
      <w:pPr>
        <w:keepNext/>
        <w:keepLines/>
        <w:widowControl/>
        <w:spacing w:line="360" w:lineRule="auto"/>
        <w:ind w:firstLine="1440"/>
        <w:contextualSpacing/>
        <w:rPr>
          <w:sz w:val="26"/>
          <w:szCs w:val="26"/>
        </w:rPr>
      </w:pPr>
    </w:p>
    <w:p w:rsidR="00CA43A5" w:rsidRPr="008F78A8" w:rsidRDefault="00CA43A5" w:rsidP="00593A78">
      <w:pPr>
        <w:widowControl/>
        <w:spacing w:line="360" w:lineRule="auto"/>
        <w:ind w:firstLine="1440"/>
        <w:contextualSpacing/>
        <w:rPr>
          <w:sz w:val="26"/>
          <w:szCs w:val="26"/>
        </w:rPr>
      </w:pPr>
      <w:r w:rsidRPr="008F78A8">
        <w:rPr>
          <w:sz w:val="26"/>
          <w:szCs w:val="26"/>
        </w:rPr>
        <w:t xml:space="preserve">Based upon the foregoing discussion, we shall </w:t>
      </w:r>
      <w:r w:rsidR="003921D1">
        <w:rPr>
          <w:sz w:val="26"/>
          <w:szCs w:val="26"/>
        </w:rPr>
        <w:t>deny the Complainant’s Exceptions and adopt the Initial Decision of ALJ Jones, as modified, consistent with this Tentative Opinion and Order</w:t>
      </w:r>
      <w:r w:rsidRPr="008F78A8">
        <w:rPr>
          <w:sz w:val="26"/>
          <w:szCs w:val="26"/>
        </w:rPr>
        <w:t xml:space="preserve">; </w:t>
      </w:r>
      <w:r w:rsidRPr="008F78A8">
        <w:rPr>
          <w:b/>
          <w:sz w:val="26"/>
          <w:szCs w:val="26"/>
        </w:rPr>
        <w:t>THEREFORE,</w:t>
      </w:r>
      <w:r w:rsidRPr="008F78A8">
        <w:rPr>
          <w:sz w:val="26"/>
          <w:szCs w:val="26"/>
        </w:rPr>
        <w:t xml:space="preserve"> </w:t>
      </w:r>
    </w:p>
    <w:p w:rsidR="008F78A8" w:rsidRPr="008F78A8" w:rsidRDefault="008F78A8" w:rsidP="00593A78">
      <w:pPr>
        <w:widowControl/>
        <w:spacing w:line="360" w:lineRule="auto"/>
        <w:ind w:firstLine="1440"/>
        <w:contextualSpacing/>
        <w:rPr>
          <w:sz w:val="26"/>
          <w:szCs w:val="26"/>
        </w:rPr>
      </w:pPr>
    </w:p>
    <w:p w:rsidR="00CA43A5" w:rsidRPr="008F78A8" w:rsidRDefault="00CA43A5" w:rsidP="00593A78">
      <w:pPr>
        <w:widowControl/>
        <w:ind w:firstLine="1440"/>
        <w:contextualSpacing/>
        <w:rPr>
          <w:b/>
          <w:sz w:val="26"/>
          <w:szCs w:val="26"/>
        </w:rPr>
      </w:pPr>
      <w:r w:rsidRPr="008F78A8">
        <w:rPr>
          <w:b/>
          <w:sz w:val="26"/>
          <w:szCs w:val="26"/>
        </w:rPr>
        <w:t>IT IS ORDERED:</w:t>
      </w:r>
    </w:p>
    <w:p w:rsidR="00A61618" w:rsidRPr="008F78A8" w:rsidRDefault="00A61618" w:rsidP="00593A78">
      <w:pPr>
        <w:widowControl/>
        <w:ind w:firstLine="1440"/>
        <w:contextualSpacing/>
        <w:rPr>
          <w:b/>
          <w:sz w:val="26"/>
          <w:szCs w:val="26"/>
        </w:rPr>
      </w:pPr>
    </w:p>
    <w:p w:rsidR="00CA43A5" w:rsidRPr="008F78A8" w:rsidRDefault="00CA43A5" w:rsidP="00593A78">
      <w:pPr>
        <w:widowControl/>
        <w:contextualSpacing/>
        <w:rPr>
          <w:sz w:val="26"/>
          <w:szCs w:val="26"/>
        </w:rPr>
      </w:pPr>
    </w:p>
    <w:p w:rsidR="009155F7" w:rsidRPr="008F78A8" w:rsidRDefault="009155F7" w:rsidP="00593A78">
      <w:pPr>
        <w:widowControl/>
        <w:numPr>
          <w:ilvl w:val="0"/>
          <w:numId w:val="1"/>
        </w:numPr>
        <w:tabs>
          <w:tab w:val="clear" w:pos="2160"/>
          <w:tab w:val="num" w:pos="0"/>
        </w:tabs>
        <w:spacing w:line="360" w:lineRule="auto"/>
        <w:ind w:left="0" w:firstLine="1440"/>
        <w:contextualSpacing/>
        <w:rPr>
          <w:sz w:val="26"/>
          <w:szCs w:val="26"/>
        </w:rPr>
      </w:pPr>
      <w:r w:rsidRPr="008F78A8">
        <w:rPr>
          <w:sz w:val="26"/>
          <w:szCs w:val="26"/>
        </w:rPr>
        <w:t>That the Exceptions of</w:t>
      </w:r>
      <w:r w:rsidR="009D4C89" w:rsidRPr="008F78A8">
        <w:rPr>
          <w:sz w:val="26"/>
          <w:szCs w:val="26"/>
        </w:rPr>
        <w:t xml:space="preserve"> </w:t>
      </w:r>
      <w:r w:rsidR="00980E14">
        <w:rPr>
          <w:sz w:val="26"/>
          <w:szCs w:val="26"/>
        </w:rPr>
        <w:t>Jesus Campos</w:t>
      </w:r>
      <w:r w:rsidR="009D4C89" w:rsidRPr="008F78A8">
        <w:rPr>
          <w:sz w:val="26"/>
          <w:szCs w:val="26"/>
        </w:rPr>
        <w:t xml:space="preserve"> filed on </w:t>
      </w:r>
      <w:r w:rsidR="00980E14">
        <w:rPr>
          <w:sz w:val="26"/>
          <w:szCs w:val="26"/>
        </w:rPr>
        <w:t>June 25</w:t>
      </w:r>
      <w:r w:rsidR="00B56D48" w:rsidRPr="008F78A8">
        <w:rPr>
          <w:sz w:val="26"/>
          <w:szCs w:val="26"/>
        </w:rPr>
        <w:t>, 201</w:t>
      </w:r>
      <w:r w:rsidR="00980E14">
        <w:rPr>
          <w:sz w:val="26"/>
          <w:szCs w:val="26"/>
        </w:rPr>
        <w:t>3</w:t>
      </w:r>
      <w:r w:rsidR="009D4C89" w:rsidRPr="008F78A8">
        <w:rPr>
          <w:sz w:val="26"/>
          <w:szCs w:val="26"/>
        </w:rPr>
        <w:t xml:space="preserve">, </w:t>
      </w:r>
      <w:r w:rsidRPr="008F78A8">
        <w:rPr>
          <w:sz w:val="26"/>
          <w:szCs w:val="26"/>
        </w:rPr>
        <w:t xml:space="preserve">are </w:t>
      </w:r>
      <w:r w:rsidR="00FD2B96">
        <w:rPr>
          <w:sz w:val="26"/>
          <w:szCs w:val="26"/>
        </w:rPr>
        <w:t>denied</w:t>
      </w:r>
      <w:r w:rsidR="003F51F4" w:rsidRPr="008F78A8">
        <w:rPr>
          <w:sz w:val="26"/>
          <w:szCs w:val="26"/>
        </w:rPr>
        <w:t xml:space="preserve">, consistent with this </w:t>
      </w:r>
      <w:r w:rsidR="00FD2B96">
        <w:rPr>
          <w:sz w:val="26"/>
          <w:szCs w:val="26"/>
        </w:rPr>
        <w:t xml:space="preserve">Tentative </w:t>
      </w:r>
      <w:r w:rsidR="003F51F4" w:rsidRPr="008F78A8">
        <w:rPr>
          <w:sz w:val="26"/>
          <w:szCs w:val="26"/>
        </w:rPr>
        <w:t xml:space="preserve">Opinion </w:t>
      </w:r>
      <w:r w:rsidR="00B80C43" w:rsidRPr="008F78A8">
        <w:rPr>
          <w:sz w:val="26"/>
          <w:szCs w:val="26"/>
        </w:rPr>
        <w:t>and Order</w:t>
      </w:r>
      <w:r w:rsidRPr="008F78A8">
        <w:rPr>
          <w:sz w:val="26"/>
          <w:szCs w:val="26"/>
        </w:rPr>
        <w:t>.</w:t>
      </w:r>
    </w:p>
    <w:p w:rsidR="0008598C" w:rsidRPr="008F78A8" w:rsidRDefault="0008598C" w:rsidP="00593A78">
      <w:pPr>
        <w:widowControl/>
        <w:spacing w:line="360" w:lineRule="auto"/>
        <w:ind w:left="1440"/>
        <w:contextualSpacing/>
        <w:rPr>
          <w:sz w:val="26"/>
          <w:szCs w:val="26"/>
        </w:rPr>
      </w:pPr>
    </w:p>
    <w:p w:rsidR="003F51F4" w:rsidRPr="008F78A8" w:rsidRDefault="009D4C89" w:rsidP="00593A78">
      <w:pPr>
        <w:widowControl/>
        <w:spacing w:line="360" w:lineRule="auto"/>
        <w:ind w:firstLine="1440"/>
        <w:contextualSpacing/>
        <w:rPr>
          <w:sz w:val="26"/>
          <w:szCs w:val="26"/>
        </w:rPr>
      </w:pPr>
      <w:r w:rsidRPr="008F78A8">
        <w:rPr>
          <w:sz w:val="26"/>
          <w:szCs w:val="26"/>
        </w:rPr>
        <w:t>2.</w:t>
      </w:r>
      <w:r w:rsidRPr="008F78A8">
        <w:rPr>
          <w:sz w:val="26"/>
          <w:szCs w:val="26"/>
        </w:rPr>
        <w:tab/>
      </w:r>
      <w:r w:rsidR="00CA43A5" w:rsidRPr="008F78A8">
        <w:rPr>
          <w:sz w:val="26"/>
          <w:szCs w:val="26"/>
        </w:rPr>
        <w:t>That the Initial Decision of Administrative Law Judge</w:t>
      </w:r>
      <w:r w:rsidR="002709CD" w:rsidRPr="008F78A8">
        <w:rPr>
          <w:sz w:val="26"/>
          <w:szCs w:val="26"/>
        </w:rPr>
        <w:t xml:space="preserve"> </w:t>
      </w:r>
      <w:r w:rsidR="00980E14">
        <w:rPr>
          <w:sz w:val="26"/>
        </w:rPr>
        <w:t>Angela</w:t>
      </w:r>
      <w:r w:rsidR="003E7475">
        <w:rPr>
          <w:sz w:val="26"/>
        </w:rPr>
        <w:t> </w:t>
      </w:r>
      <w:r w:rsidR="00980E14">
        <w:rPr>
          <w:sz w:val="26"/>
        </w:rPr>
        <w:t>T.</w:t>
      </w:r>
      <w:r w:rsidR="003E7475">
        <w:rPr>
          <w:sz w:val="26"/>
        </w:rPr>
        <w:t> </w:t>
      </w:r>
      <w:r w:rsidR="00980E14">
        <w:rPr>
          <w:sz w:val="26"/>
        </w:rPr>
        <w:t>Jones</w:t>
      </w:r>
      <w:r w:rsidR="00B56D48" w:rsidRPr="008F78A8">
        <w:rPr>
          <w:sz w:val="26"/>
        </w:rPr>
        <w:t xml:space="preserve">, </w:t>
      </w:r>
      <w:r w:rsidRPr="008F78A8">
        <w:rPr>
          <w:sz w:val="26"/>
        </w:rPr>
        <w:t xml:space="preserve">issued on </w:t>
      </w:r>
      <w:r w:rsidR="00980E14">
        <w:rPr>
          <w:sz w:val="26"/>
        </w:rPr>
        <w:t>June 5, 2013</w:t>
      </w:r>
      <w:r w:rsidRPr="008F78A8">
        <w:rPr>
          <w:sz w:val="26"/>
        </w:rPr>
        <w:t>,</w:t>
      </w:r>
      <w:r w:rsidR="00CA43A5" w:rsidRPr="008F78A8">
        <w:rPr>
          <w:sz w:val="26"/>
          <w:szCs w:val="26"/>
        </w:rPr>
        <w:t xml:space="preserve"> is </w:t>
      </w:r>
      <w:r w:rsidR="00FD2B96">
        <w:rPr>
          <w:sz w:val="26"/>
          <w:szCs w:val="26"/>
        </w:rPr>
        <w:t>adopted, as modified</w:t>
      </w:r>
      <w:r w:rsidR="00CA43A5" w:rsidRPr="008F78A8">
        <w:rPr>
          <w:sz w:val="26"/>
          <w:szCs w:val="26"/>
        </w:rPr>
        <w:t xml:space="preserve">, consistent with this </w:t>
      </w:r>
      <w:r w:rsidR="00FD2B96">
        <w:rPr>
          <w:sz w:val="26"/>
          <w:szCs w:val="26"/>
        </w:rPr>
        <w:t xml:space="preserve">Tentative </w:t>
      </w:r>
      <w:r w:rsidR="00CA43A5" w:rsidRPr="008F78A8">
        <w:rPr>
          <w:sz w:val="26"/>
          <w:szCs w:val="26"/>
        </w:rPr>
        <w:t>Opinion and Order.</w:t>
      </w:r>
    </w:p>
    <w:p w:rsidR="00205B8B" w:rsidRDefault="00205B8B" w:rsidP="00593A78">
      <w:pPr>
        <w:widowControl/>
        <w:spacing w:line="360" w:lineRule="auto"/>
        <w:ind w:firstLine="1440"/>
        <w:contextualSpacing/>
        <w:rPr>
          <w:sz w:val="26"/>
          <w:szCs w:val="26"/>
        </w:rPr>
      </w:pPr>
    </w:p>
    <w:p w:rsidR="00205B8B" w:rsidRDefault="00D76DA0" w:rsidP="00593A78">
      <w:pPr>
        <w:widowControl/>
        <w:spacing w:line="360" w:lineRule="auto"/>
        <w:ind w:firstLine="1440"/>
        <w:contextualSpacing/>
        <w:rPr>
          <w:sz w:val="26"/>
          <w:szCs w:val="26"/>
        </w:rPr>
      </w:pPr>
      <w:r>
        <w:rPr>
          <w:sz w:val="26"/>
          <w:szCs w:val="26"/>
        </w:rPr>
        <w:t>3</w:t>
      </w:r>
      <w:r w:rsidR="00205B8B">
        <w:rPr>
          <w:sz w:val="26"/>
          <w:szCs w:val="26"/>
        </w:rPr>
        <w:t>.</w:t>
      </w:r>
      <w:r w:rsidR="00205B8B">
        <w:rPr>
          <w:sz w:val="26"/>
          <w:szCs w:val="26"/>
        </w:rPr>
        <w:tab/>
        <w:t xml:space="preserve">That PGW shall credit </w:t>
      </w:r>
      <w:r w:rsidR="00925576">
        <w:rPr>
          <w:sz w:val="26"/>
          <w:szCs w:val="26"/>
        </w:rPr>
        <w:t>Jesus Campos’s account in the amount of $19.20 to remove late payment charges.</w:t>
      </w:r>
    </w:p>
    <w:p w:rsidR="00D76DA0" w:rsidRDefault="00D76DA0" w:rsidP="00593A78">
      <w:pPr>
        <w:widowControl/>
        <w:spacing w:line="360" w:lineRule="auto"/>
        <w:ind w:firstLine="1440"/>
        <w:contextualSpacing/>
        <w:rPr>
          <w:sz w:val="26"/>
          <w:szCs w:val="26"/>
        </w:rPr>
      </w:pPr>
    </w:p>
    <w:p w:rsidR="00D76DA0" w:rsidRDefault="00D76DA0" w:rsidP="00D76DA0">
      <w:pPr>
        <w:widowControl/>
        <w:spacing w:line="360" w:lineRule="auto"/>
        <w:ind w:firstLine="1440"/>
        <w:contextualSpacing/>
        <w:rPr>
          <w:sz w:val="26"/>
          <w:szCs w:val="26"/>
        </w:rPr>
      </w:pPr>
      <w:r>
        <w:rPr>
          <w:sz w:val="26"/>
          <w:szCs w:val="26"/>
        </w:rPr>
        <w:t>4</w:t>
      </w:r>
      <w:r w:rsidRPr="008F78A8">
        <w:rPr>
          <w:sz w:val="26"/>
          <w:szCs w:val="26"/>
        </w:rPr>
        <w:t>.</w:t>
      </w:r>
      <w:r w:rsidRPr="008F78A8">
        <w:rPr>
          <w:sz w:val="26"/>
          <w:szCs w:val="26"/>
        </w:rPr>
        <w:tab/>
      </w:r>
      <w:r w:rsidRPr="0070644E">
        <w:rPr>
          <w:sz w:val="26"/>
          <w:szCs w:val="26"/>
        </w:rPr>
        <w:t>That</w:t>
      </w:r>
      <w:r>
        <w:rPr>
          <w:sz w:val="26"/>
          <w:szCs w:val="26"/>
        </w:rPr>
        <w:t xml:space="preserve"> </w:t>
      </w:r>
      <w:r w:rsidRPr="0070644E">
        <w:rPr>
          <w:sz w:val="26"/>
          <w:szCs w:val="26"/>
        </w:rPr>
        <w:t xml:space="preserve">within ten (10) days from the date of entry of this </w:t>
      </w:r>
      <w:r>
        <w:rPr>
          <w:sz w:val="26"/>
          <w:szCs w:val="26"/>
        </w:rPr>
        <w:t xml:space="preserve">Tentative </w:t>
      </w:r>
      <w:r w:rsidRPr="0070644E">
        <w:rPr>
          <w:sz w:val="26"/>
          <w:szCs w:val="26"/>
        </w:rPr>
        <w:t>Opinion and Or</w:t>
      </w:r>
      <w:r>
        <w:rPr>
          <w:sz w:val="26"/>
          <w:szCs w:val="26"/>
        </w:rPr>
        <w:t xml:space="preserve">der, </w:t>
      </w:r>
      <w:r w:rsidR="003E7475">
        <w:rPr>
          <w:sz w:val="26"/>
          <w:szCs w:val="26"/>
        </w:rPr>
        <w:t xml:space="preserve">the </w:t>
      </w:r>
      <w:r>
        <w:rPr>
          <w:sz w:val="26"/>
          <w:szCs w:val="26"/>
        </w:rPr>
        <w:t>Parties to this proceeding</w:t>
      </w:r>
      <w:r w:rsidRPr="0070644E">
        <w:rPr>
          <w:sz w:val="26"/>
          <w:szCs w:val="26"/>
        </w:rPr>
        <w:t xml:space="preserve"> are, hereby, given the opportunity to file any comments or objections to this Tentative</w:t>
      </w:r>
      <w:r w:rsidR="002B49AD">
        <w:rPr>
          <w:sz w:val="26"/>
          <w:szCs w:val="26"/>
        </w:rPr>
        <w:t xml:space="preserve"> </w:t>
      </w:r>
      <w:r w:rsidRPr="0070644E">
        <w:rPr>
          <w:sz w:val="26"/>
          <w:szCs w:val="26"/>
        </w:rPr>
        <w:t>Opinion and Order.</w:t>
      </w:r>
    </w:p>
    <w:p w:rsidR="00205B8B" w:rsidRDefault="00205B8B" w:rsidP="00593A78">
      <w:pPr>
        <w:widowControl/>
        <w:spacing w:line="360" w:lineRule="auto"/>
        <w:ind w:firstLine="1440"/>
        <w:contextualSpacing/>
        <w:rPr>
          <w:sz w:val="26"/>
          <w:szCs w:val="26"/>
        </w:rPr>
      </w:pPr>
    </w:p>
    <w:p w:rsidR="00205B8B" w:rsidRPr="00205B8B" w:rsidRDefault="00925576" w:rsidP="00205B8B">
      <w:pPr>
        <w:widowControl/>
        <w:spacing w:line="360" w:lineRule="auto"/>
        <w:ind w:firstLine="1440"/>
        <w:rPr>
          <w:sz w:val="26"/>
          <w:szCs w:val="26"/>
        </w:rPr>
      </w:pPr>
      <w:r>
        <w:rPr>
          <w:sz w:val="26"/>
          <w:szCs w:val="26"/>
        </w:rPr>
        <w:t>5</w:t>
      </w:r>
      <w:r w:rsidR="00205B8B" w:rsidRPr="00205B8B">
        <w:rPr>
          <w:sz w:val="26"/>
          <w:szCs w:val="26"/>
        </w:rPr>
        <w:t>.</w:t>
      </w:r>
      <w:r w:rsidR="00205B8B" w:rsidRPr="00205B8B">
        <w:rPr>
          <w:sz w:val="26"/>
          <w:szCs w:val="26"/>
        </w:rPr>
        <w:tab/>
        <w:t>That if no adverse comments or objections are filed within ten (10) days of t</w:t>
      </w:r>
      <w:r w:rsidR="003E7475">
        <w:rPr>
          <w:sz w:val="26"/>
          <w:szCs w:val="26"/>
        </w:rPr>
        <w:t xml:space="preserve">he date of entry of this Tentative </w:t>
      </w:r>
      <w:r w:rsidR="00205B8B" w:rsidRPr="00205B8B">
        <w:rPr>
          <w:sz w:val="26"/>
          <w:szCs w:val="26"/>
        </w:rPr>
        <w:t>Opinion and Order, then it is further ordered:</w:t>
      </w:r>
    </w:p>
    <w:p w:rsidR="00205B8B" w:rsidRPr="008342AA" w:rsidRDefault="00205B8B" w:rsidP="00205B8B">
      <w:pPr>
        <w:pStyle w:val="ListParagraph"/>
        <w:rPr>
          <w:sz w:val="26"/>
          <w:szCs w:val="26"/>
        </w:rPr>
      </w:pPr>
    </w:p>
    <w:p w:rsidR="00205B8B" w:rsidRDefault="00205B8B" w:rsidP="00205B8B">
      <w:pPr>
        <w:pStyle w:val="ListParagraph"/>
        <w:widowControl/>
        <w:spacing w:line="360" w:lineRule="auto"/>
        <w:ind w:left="2880" w:hanging="720"/>
        <w:rPr>
          <w:sz w:val="26"/>
          <w:szCs w:val="26"/>
        </w:rPr>
      </w:pPr>
      <w:r>
        <w:rPr>
          <w:sz w:val="26"/>
          <w:szCs w:val="26"/>
        </w:rPr>
        <w:t>(a)</w:t>
      </w:r>
      <w:r>
        <w:rPr>
          <w:sz w:val="26"/>
          <w:szCs w:val="26"/>
        </w:rPr>
        <w:tab/>
        <w:t>That t</w:t>
      </w:r>
      <w:r w:rsidRPr="0070644E">
        <w:rPr>
          <w:sz w:val="26"/>
          <w:szCs w:val="26"/>
        </w:rPr>
        <w:t xml:space="preserve">his Tentative </w:t>
      </w:r>
      <w:r>
        <w:rPr>
          <w:sz w:val="26"/>
          <w:szCs w:val="26"/>
        </w:rPr>
        <w:t xml:space="preserve">Opinion and </w:t>
      </w:r>
      <w:r w:rsidRPr="0070644E">
        <w:rPr>
          <w:sz w:val="26"/>
          <w:szCs w:val="26"/>
        </w:rPr>
        <w:t>Order shall become fina</w:t>
      </w:r>
      <w:r>
        <w:rPr>
          <w:sz w:val="26"/>
          <w:szCs w:val="26"/>
        </w:rPr>
        <w:t>l without further action by the</w:t>
      </w:r>
      <w:r w:rsidRPr="0070644E">
        <w:rPr>
          <w:sz w:val="26"/>
          <w:szCs w:val="26"/>
        </w:rPr>
        <w:t xml:space="preserve"> Commission.</w:t>
      </w:r>
    </w:p>
    <w:p w:rsidR="00205B8B" w:rsidRDefault="00205B8B" w:rsidP="00205B8B">
      <w:pPr>
        <w:pStyle w:val="ListParagraph"/>
        <w:widowControl/>
        <w:spacing w:line="360" w:lineRule="auto"/>
        <w:ind w:left="2880" w:hanging="720"/>
        <w:rPr>
          <w:sz w:val="26"/>
          <w:szCs w:val="26"/>
        </w:rPr>
      </w:pPr>
    </w:p>
    <w:p w:rsidR="00205B8B" w:rsidRPr="002C6F76" w:rsidRDefault="00205B8B" w:rsidP="00205B8B">
      <w:pPr>
        <w:pStyle w:val="ListParagraph"/>
        <w:widowControl/>
        <w:spacing w:line="360" w:lineRule="auto"/>
        <w:ind w:left="2880" w:hanging="720"/>
        <w:rPr>
          <w:sz w:val="26"/>
          <w:szCs w:val="26"/>
        </w:rPr>
      </w:pPr>
      <w:r>
        <w:rPr>
          <w:sz w:val="26"/>
          <w:szCs w:val="26"/>
        </w:rPr>
        <w:lastRenderedPageBreak/>
        <w:t>(b)</w:t>
      </w:r>
      <w:r>
        <w:rPr>
          <w:sz w:val="26"/>
          <w:szCs w:val="26"/>
        </w:rPr>
        <w:tab/>
      </w:r>
      <w:r w:rsidRPr="002C6F76">
        <w:rPr>
          <w:sz w:val="26"/>
          <w:szCs w:val="26"/>
        </w:rPr>
        <w:t>T</w:t>
      </w:r>
      <w:r>
        <w:rPr>
          <w:sz w:val="26"/>
          <w:szCs w:val="26"/>
        </w:rPr>
        <w:t>hat the F</w:t>
      </w:r>
      <w:r w:rsidRPr="002C6F76">
        <w:rPr>
          <w:sz w:val="26"/>
          <w:szCs w:val="26"/>
        </w:rPr>
        <w:t xml:space="preserve">ormal Complaint filed by </w:t>
      </w:r>
      <w:r>
        <w:rPr>
          <w:sz w:val="26"/>
          <w:szCs w:val="26"/>
        </w:rPr>
        <w:t>Jesus Campos</w:t>
      </w:r>
      <w:r w:rsidRPr="002C6F76">
        <w:rPr>
          <w:sz w:val="26"/>
          <w:szCs w:val="26"/>
        </w:rPr>
        <w:t xml:space="preserve"> against Philadelphia Gas Works at Docket No. </w:t>
      </w:r>
      <w:r>
        <w:rPr>
          <w:sz w:val="26"/>
          <w:szCs w:val="26"/>
        </w:rPr>
        <w:t>C-2012-2328020</w:t>
      </w:r>
      <w:r w:rsidRPr="002C6F76">
        <w:rPr>
          <w:sz w:val="26"/>
          <w:szCs w:val="26"/>
        </w:rPr>
        <w:t xml:space="preserve"> is </w:t>
      </w:r>
      <w:r>
        <w:rPr>
          <w:sz w:val="26"/>
          <w:szCs w:val="26"/>
        </w:rPr>
        <w:t xml:space="preserve">sustained, in part, and </w:t>
      </w:r>
      <w:r w:rsidRPr="002C6F76">
        <w:rPr>
          <w:sz w:val="26"/>
          <w:szCs w:val="26"/>
        </w:rPr>
        <w:t>dismissed</w:t>
      </w:r>
      <w:r>
        <w:rPr>
          <w:sz w:val="26"/>
          <w:szCs w:val="26"/>
        </w:rPr>
        <w:t xml:space="preserve">, in part, consistent with this Tentative </w:t>
      </w:r>
      <w:r w:rsidR="003E7475">
        <w:rPr>
          <w:sz w:val="26"/>
          <w:szCs w:val="26"/>
        </w:rPr>
        <w:t>O</w:t>
      </w:r>
      <w:r>
        <w:rPr>
          <w:sz w:val="26"/>
          <w:szCs w:val="26"/>
        </w:rPr>
        <w:t>pinion and Order</w:t>
      </w:r>
      <w:r w:rsidRPr="002C6F76">
        <w:rPr>
          <w:sz w:val="26"/>
          <w:szCs w:val="26"/>
        </w:rPr>
        <w:t>.</w:t>
      </w:r>
    </w:p>
    <w:p w:rsidR="00205B8B" w:rsidRDefault="00205B8B" w:rsidP="00205B8B">
      <w:pPr>
        <w:pStyle w:val="ListParagraph"/>
        <w:widowControl/>
        <w:spacing w:line="360" w:lineRule="auto"/>
        <w:ind w:left="2880" w:hanging="720"/>
        <w:rPr>
          <w:sz w:val="26"/>
          <w:szCs w:val="26"/>
        </w:rPr>
      </w:pPr>
    </w:p>
    <w:p w:rsidR="00205B8B" w:rsidRPr="002C6F76" w:rsidRDefault="00205B8B" w:rsidP="00205B8B">
      <w:pPr>
        <w:widowControl/>
        <w:tabs>
          <w:tab w:val="left" w:pos="1530"/>
        </w:tabs>
        <w:spacing w:line="360" w:lineRule="auto"/>
        <w:ind w:left="2880" w:hanging="720"/>
        <w:rPr>
          <w:sz w:val="26"/>
          <w:szCs w:val="26"/>
        </w:rPr>
      </w:pPr>
      <w:r>
        <w:rPr>
          <w:sz w:val="26"/>
          <w:szCs w:val="26"/>
        </w:rPr>
        <w:t>(c)</w:t>
      </w:r>
      <w:r>
        <w:rPr>
          <w:sz w:val="26"/>
          <w:szCs w:val="26"/>
        </w:rPr>
        <w:tab/>
        <w:t>That</w:t>
      </w:r>
      <w:r w:rsidRPr="008342AA">
        <w:rPr>
          <w:sz w:val="26"/>
          <w:szCs w:val="26"/>
        </w:rPr>
        <w:t xml:space="preserve"> Philadelphia Gas Works shall issue </w:t>
      </w:r>
      <w:r>
        <w:rPr>
          <w:sz w:val="26"/>
        </w:rPr>
        <w:t>Jesus Campos</w:t>
      </w:r>
      <w:r w:rsidRPr="008342AA">
        <w:rPr>
          <w:sz w:val="26"/>
        </w:rPr>
        <w:t xml:space="preserve"> a t</w:t>
      </w:r>
      <w:r>
        <w:rPr>
          <w:sz w:val="26"/>
        </w:rPr>
        <w:t>en</w:t>
      </w:r>
      <w:r w:rsidRPr="008342AA">
        <w:rPr>
          <w:sz w:val="26"/>
        </w:rPr>
        <w:t xml:space="preserve"> percent conservation credit in the amount of </w:t>
      </w:r>
      <w:r w:rsidRPr="008342AA">
        <w:rPr>
          <w:sz w:val="26"/>
          <w:szCs w:val="26"/>
        </w:rPr>
        <w:t>$2</w:t>
      </w:r>
      <w:r>
        <w:rPr>
          <w:sz w:val="26"/>
          <w:szCs w:val="26"/>
        </w:rPr>
        <w:t>02.88</w:t>
      </w:r>
    </w:p>
    <w:p w:rsidR="00205B8B" w:rsidRDefault="00205B8B" w:rsidP="00205B8B">
      <w:pPr>
        <w:widowControl/>
        <w:tabs>
          <w:tab w:val="left" w:pos="1530"/>
        </w:tabs>
        <w:spacing w:line="360" w:lineRule="auto"/>
        <w:ind w:left="2880" w:hanging="720"/>
        <w:rPr>
          <w:sz w:val="26"/>
        </w:rPr>
      </w:pPr>
    </w:p>
    <w:p w:rsidR="00205B8B" w:rsidRDefault="00205B8B" w:rsidP="00205B8B">
      <w:pPr>
        <w:widowControl/>
        <w:tabs>
          <w:tab w:val="left" w:pos="1530"/>
        </w:tabs>
        <w:spacing w:line="360" w:lineRule="auto"/>
        <w:ind w:left="2880" w:hanging="720"/>
        <w:rPr>
          <w:sz w:val="26"/>
          <w:szCs w:val="26"/>
        </w:rPr>
      </w:pPr>
      <w:r>
        <w:rPr>
          <w:sz w:val="26"/>
        </w:rPr>
        <w:t>(d)</w:t>
      </w:r>
      <w:r>
        <w:rPr>
          <w:sz w:val="26"/>
        </w:rPr>
        <w:tab/>
        <w:t xml:space="preserve">That </w:t>
      </w:r>
      <w:r>
        <w:rPr>
          <w:sz w:val="26"/>
          <w:szCs w:val="26"/>
        </w:rPr>
        <w:t>Jesus Campos</w:t>
      </w:r>
      <w:r w:rsidRPr="004B579C">
        <w:rPr>
          <w:sz w:val="26"/>
          <w:szCs w:val="26"/>
        </w:rPr>
        <w:t xml:space="preserve"> is entitled to a </w:t>
      </w:r>
      <w:r>
        <w:rPr>
          <w:sz w:val="26"/>
          <w:szCs w:val="26"/>
        </w:rPr>
        <w:t xml:space="preserve">payment arrangement over a period of </w:t>
      </w:r>
      <w:r w:rsidRPr="004B579C">
        <w:rPr>
          <w:sz w:val="26"/>
          <w:szCs w:val="26"/>
        </w:rPr>
        <w:t xml:space="preserve">forty-eight </w:t>
      </w:r>
      <w:r>
        <w:rPr>
          <w:sz w:val="26"/>
          <w:szCs w:val="26"/>
        </w:rPr>
        <w:t xml:space="preserve">(48) </w:t>
      </w:r>
      <w:r w:rsidRPr="004B579C">
        <w:rPr>
          <w:sz w:val="26"/>
          <w:szCs w:val="26"/>
        </w:rPr>
        <w:t>month</w:t>
      </w:r>
      <w:r>
        <w:rPr>
          <w:sz w:val="26"/>
          <w:szCs w:val="26"/>
        </w:rPr>
        <w:t xml:space="preserve">s, which is comprised of </w:t>
      </w:r>
      <w:r w:rsidRPr="004B579C">
        <w:rPr>
          <w:sz w:val="26"/>
          <w:szCs w:val="26"/>
        </w:rPr>
        <w:t xml:space="preserve">the </w:t>
      </w:r>
      <w:r>
        <w:rPr>
          <w:sz w:val="26"/>
          <w:szCs w:val="26"/>
        </w:rPr>
        <w:t xml:space="preserve">monthly billed </w:t>
      </w:r>
      <w:r w:rsidRPr="004B579C">
        <w:rPr>
          <w:sz w:val="26"/>
          <w:szCs w:val="26"/>
        </w:rPr>
        <w:t xml:space="preserve">amount </w:t>
      </w:r>
      <w:r>
        <w:rPr>
          <w:sz w:val="26"/>
          <w:szCs w:val="26"/>
        </w:rPr>
        <w:t xml:space="preserve">for </w:t>
      </w:r>
      <w:r w:rsidRPr="004B579C">
        <w:rPr>
          <w:sz w:val="26"/>
          <w:szCs w:val="26"/>
        </w:rPr>
        <w:t>his actual usage plus $</w:t>
      </w:r>
      <w:r>
        <w:rPr>
          <w:sz w:val="26"/>
          <w:szCs w:val="26"/>
        </w:rPr>
        <w:t>38.04</w:t>
      </w:r>
      <w:r w:rsidRPr="004B579C">
        <w:rPr>
          <w:sz w:val="26"/>
          <w:szCs w:val="26"/>
        </w:rPr>
        <w:t xml:space="preserve"> </w:t>
      </w:r>
      <w:r w:rsidRPr="004B579C">
        <w:rPr>
          <w:rStyle w:val="CommentReference"/>
        </w:rPr>
        <w:t xml:space="preserve"> </w:t>
      </w:r>
      <w:r w:rsidRPr="004B579C">
        <w:rPr>
          <w:rStyle w:val="CommentReference"/>
          <w:sz w:val="26"/>
          <w:szCs w:val="26"/>
        </w:rPr>
        <w:t>p</w:t>
      </w:r>
      <w:r w:rsidRPr="004B579C">
        <w:rPr>
          <w:sz w:val="26"/>
          <w:szCs w:val="26"/>
        </w:rPr>
        <w:t>er month toward the arrears</w:t>
      </w:r>
      <w:r>
        <w:rPr>
          <w:sz w:val="26"/>
          <w:szCs w:val="26"/>
        </w:rPr>
        <w:t>, consistent with this Tentative Opinion and Order</w:t>
      </w:r>
    </w:p>
    <w:p w:rsidR="00925576" w:rsidRDefault="00925576" w:rsidP="00205B8B">
      <w:pPr>
        <w:widowControl/>
        <w:tabs>
          <w:tab w:val="left" w:pos="1530"/>
        </w:tabs>
        <w:spacing w:line="360" w:lineRule="auto"/>
        <w:ind w:left="2880" w:hanging="720"/>
        <w:rPr>
          <w:sz w:val="26"/>
          <w:szCs w:val="26"/>
        </w:rPr>
      </w:pPr>
    </w:p>
    <w:p w:rsidR="00925576" w:rsidRDefault="00925576" w:rsidP="00205B8B">
      <w:pPr>
        <w:widowControl/>
        <w:tabs>
          <w:tab w:val="left" w:pos="1530"/>
        </w:tabs>
        <w:spacing w:line="360" w:lineRule="auto"/>
        <w:ind w:left="2880" w:hanging="720"/>
        <w:rPr>
          <w:sz w:val="26"/>
          <w:szCs w:val="26"/>
        </w:rPr>
      </w:pPr>
      <w:r>
        <w:rPr>
          <w:sz w:val="26"/>
          <w:szCs w:val="26"/>
        </w:rPr>
        <w:t>(e)</w:t>
      </w:r>
      <w:r>
        <w:rPr>
          <w:sz w:val="26"/>
          <w:szCs w:val="26"/>
        </w:rPr>
        <w:tab/>
        <w:t>That as long as Jesus Campos adheres to the terms of the payment arrangement set forth in this Tentative Opinion and Order, Philadelphia Gas works shall not assess any late payment charges or interest charges on the make-up amount.</w:t>
      </w:r>
    </w:p>
    <w:p w:rsidR="00205B8B" w:rsidRPr="004B579C" w:rsidRDefault="00205B8B" w:rsidP="00205B8B">
      <w:pPr>
        <w:widowControl/>
        <w:tabs>
          <w:tab w:val="left" w:pos="1530"/>
        </w:tabs>
        <w:spacing w:line="360" w:lineRule="auto"/>
        <w:ind w:left="2880" w:hanging="720"/>
        <w:rPr>
          <w:sz w:val="26"/>
          <w:szCs w:val="26"/>
        </w:rPr>
      </w:pPr>
    </w:p>
    <w:p w:rsidR="00205B8B" w:rsidRDefault="00205B8B" w:rsidP="00205B8B">
      <w:pPr>
        <w:pStyle w:val="ListParagraph"/>
        <w:widowControl/>
        <w:tabs>
          <w:tab w:val="left" w:pos="0"/>
        </w:tabs>
        <w:spacing w:line="360" w:lineRule="auto"/>
        <w:ind w:left="2880" w:hanging="720"/>
        <w:rPr>
          <w:sz w:val="26"/>
          <w:szCs w:val="26"/>
        </w:rPr>
      </w:pPr>
      <w:r>
        <w:rPr>
          <w:sz w:val="26"/>
          <w:szCs w:val="26"/>
        </w:rPr>
        <w:t>(</w:t>
      </w:r>
      <w:r w:rsidR="00925576">
        <w:rPr>
          <w:sz w:val="26"/>
          <w:szCs w:val="26"/>
        </w:rPr>
        <w:t>f</w:t>
      </w:r>
      <w:r>
        <w:rPr>
          <w:sz w:val="26"/>
          <w:szCs w:val="26"/>
        </w:rPr>
        <w:t>)</w:t>
      </w:r>
      <w:r>
        <w:rPr>
          <w:sz w:val="26"/>
          <w:szCs w:val="26"/>
        </w:rPr>
        <w:tab/>
        <w:t>That Philadelphia Gas Works shall notify the Secretary of this Commission when the conservation credit has been issued.</w:t>
      </w:r>
    </w:p>
    <w:p w:rsidR="00205B8B" w:rsidRDefault="00205B8B" w:rsidP="00205B8B">
      <w:pPr>
        <w:pStyle w:val="ListParagraph"/>
        <w:widowControl/>
        <w:tabs>
          <w:tab w:val="left" w:pos="0"/>
        </w:tabs>
        <w:spacing w:line="360" w:lineRule="auto"/>
        <w:ind w:left="2880" w:hanging="720"/>
        <w:rPr>
          <w:sz w:val="26"/>
          <w:szCs w:val="26"/>
        </w:rPr>
      </w:pPr>
    </w:p>
    <w:p w:rsidR="00205B8B" w:rsidRDefault="00205B8B" w:rsidP="00205B8B">
      <w:pPr>
        <w:pStyle w:val="ListParagraph"/>
        <w:widowControl/>
        <w:tabs>
          <w:tab w:val="left" w:pos="0"/>
        </w:tabs>
        <w:spacing w:line="360" w:lineRule="auto"/>
        <w:ind w:left="2880" w:hanging="720"/>
        <w:rPr>
          <w:sz w:val="26"/>
          <w:szCs w:val="26"/>
        </w:rPr>
      </w:pPr>
      <w:r>
        <w:rPr>
          <w:sz w:val="26"/>
          <w:szCs w:val="26"/>
        </w:rPr>
        <w:t>(</w:t>
      </w:r>
      <w:r w:rsidR="00925576">
        <w:rPr>
          <w:sz w:val="26"/>
          <w:szCs w:val="26"/>
        </w:rPr>
        <w:t>g</w:t>
      </w:r>
      <w:r>
        <w:rPr>
          <w:sz w:val="26"/>
          <w:szCs w:val="26"/>
        </w:rPr>
        <w:t>)</w:t>
      </w:r>
      <w:r>
        <w:rPr>
          <w:sz w:val="26"/>
          <w:szCs w:val="26"/>
        </w:rPr>
        <w:tab/>
        <w:t>That upon notification by the Company that the conservation credit has been issued, the record at this docket shall be marked closed.</w:t>
      </w:r>
    </w:p>
    <w:p w:rsidR="00205B8B" w:rsidRPr="008F78A8" w:rsidRDefault="00205B8B" w:rsidP="00593A78">
      <w:pPr>
        <w:widowControl/>
        <w:spacing w:line="360" w:lineRule="auto"/>
        <w:ind w:firstLine="1440"/>
        <w:contextualSpacing/>
        <w:rPr>
          <w:sz w:val="26"/>
          <w:szCs w:val="26"/>
        </w:rPr>
      </w:pPr>
    </w:p>
    <w:p w:rsidR="00372487" w:rsidRPr="008F78A8" w:rsidRDefault="00925576" w:rsidP="003E7475">
      <w:pPr>
        <w:keepNext/>
        <w:keepLines/>
        <w:widowControl/>
        <w:spacing w:line="360" w:lineRule="auto"/>
        <w:ind w:firstLine="1440"/>
        <w:contextualSpacing/>
        <w:rPr>
          <w:sz w:val="26"/>
          <w:szCs w:val="26"/>
        </w:rPr>
      </w:pPr>
      <w:r>
        <w:rPr>
          <w:sz w:val="26"/>
          <w:szCs w:val="26"/>
        </w:rPr>
        <w:lastRenderedPageBreak/>
        <w:t>6</w:t>
      </w:r>
      <w:r w:rsidR="00372487" w:rsidRPr="008F78A8">
        <w:rPr>
          <w:sz w:val="26"/>
          <w:szCs w:val="26"/>
        </w:rPr>
        <w:t>.</w:t>
      </w:r>
      <w:r w:rsidR="00372487" w:rsidRPr="008F78A8">
        <w:rPr>
          <w:sz w:val="26"/>
          <w:szCs w:val="26"/>
        </w:rPr>
        <w:tab/>
      </w:r>
      <w:r w:rsidRPr="004B579C">
        <w:rPr>
          <w:sz w:val="26"/>
          <w:szCs w:val="26"/>
        </w:rPr>
        <w:t>That</w:t>
      </w:r>
      <w:r>
        <w:rPr>
          <w:sz w:val="26"/>
          <w:szCs w:val="26"/>
        </w:rPr>
        <w:t xml:space="preserve"> if adverse comments or objections are timely filed to this Tentative Order and Opinion, then this matter shall be referred to the Office of Special Assistants for such further action as is deemed appropriate</w:t>
      </w:r>
      <w:r w:rsidRPr="004B579C">
        <w:rPr>
          <w:sz w:val="26"/>
          <w:szCs w:val="26"/>
        </w:rPr>
        <w:t>.</w:t>
      </w:r>
    </w:p>
    <w:p w:rsidR="00CA43A5" w:rsidRPr="008F78A8" w:rsidRDefault="00CA43A5" w:rsidP="003E7475">
      <w:pPr>
        <w:keepNext/>
        <w:keepLines/>
        <w:widowControl/>
        <w:contextualSpacing/>
        <w:rPr>
          <w:sz w:val="26"/>
          <w:szCs w:val="26"/>
        </w:rPr>
      </w:pPr>
    </w:p>
    <w:p w:rsidR="008F78A8" w:rsidRPr="008F78A8" w:rsidRDefault="00D76C62" w:rsidP="003E7475">
      <w:pPr>
        <w:keepNext/>
        <w:keepLines/>
        <w:widowControl/>
        <w:contextualSpacing/>
        <w:rPr>
          <w:sz w:val="26"/>
          <w:szCs w:val="26"/>
        </w:rPr>
      </w:pPr>
      <w:bookmarkStart w:id="2" w:name="_GoBack"/>
      <w:r w:rsidRPr="00F45E06">
        <w:rPr>
          <w:b/>
          <w:noProof/>
        </w:rPr>
        <w:drawing>
          <wp:anchor distT="0" distB="0" distL="114300" distR="114300" simplePos="0" relativeHeight="251659264" behindDoc="1" locked="0" layoutInCell="1" allowOverlap="1" wp14:anchorId="5E818183" wp14:editId="29525B5A">
            <wp:simplePos x="0" y="0"/>
            <wp:positionH relativeFrom="column">
              <wp:posOffset>3126740</wp:posOffset>
            </wp:positionH>
            <wp:positionV relativeFrom="paragraph">
              <wp:posOffset>184150</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p>
    <w:p w:rsidR="00CA43A5" w:rsidRPr="008F78A8" w:rsidRDefault="00CA43A5" w:rsidP="003E7475">
      <w:pPr>
        <w:keepNext/>
        <w:keepLines/>
        <w:widowControl/>
        <w:tabs>
          <w:tab w:val="left" w:pos="-720"/>
        </w:tabs>
        <w:ind w:firstLine="5040"/>
        <w:contextualSpacing/>
        <w:rPr>
          <w:sz w:val="26"/>
          <w:szCs w:val="26"/>
        </w:rPr>
      </w:pPr>
      <w:r w:rsidRPr="008F78A8">
        <w:rPr>
          <w:b/>
          <w:sz w:val="26"/>
          <w:szCs w:val="26"/>
        </w:rPr>
        <w:t>BY THE COMMISSION,</w:t>
      </w:r>
    </w:p>
    <w:p w:rsidR="00CA43A5" w:rsidRDefault="00CA43A5" w:rsidP="003E7475">
      <w:pPr>
        <w:keepNext/>
        <w:keepLines/>
        <w:widowControl/>
        <w:tabs>
          <w:tab w:val="left" w:pos="-720"/>
        </w:tabs>
        <w:contextualSpacing/>
        <w:rPr>
          <w:sz w:val="26"/>
          <w:szCs w:val="26"/>
        </w:rPr>
      </w:pPr>
    </w:p>
    <w:p w:rsidR="00C9299B" w:rsidRDefault="00C9299B" w:rsidP="003E7475">
      <w:pPr>
        <w:keepNext/>
        <w:keepLines/>
        <w:widowControl/>
        <w:tabs>
          <w:tab w:val="left" w:pos="-720"/>
        </w:tabs>
        <w:contextualSpacing/>
        <w:rPr>
          <w:sz w:val="26"/>
          <w:szCs w:val="26"/>
        </w:rPr>
      </w:pPr>
    </w:p>
    <w:p w:rsidR="00C9299B" w:rsidRPr="008F78A8" w:rsidRDefault="00C9299B" w:rsidP="003E7475">
      <w:pPr>
        <w:keepNext/>
        <w:keepLines/>
        <w:widowControl/>
        <w:tabs>
          <w:tab w:val="left" w:pos="-720"/>
        </w:tabs>
        <w:contextualSpacing/>
        <w:rPr>
          <w:sz w:val="26"/>
          <w:szCs w:val="26"/>
        </w:rPr>
      </w:pPr>
    </w:p>
    <w:p w:rsidR="00CA43A5" w:rsidRPr="008F78A8" w:rsidRDefault="00564565" w:rsidP="003E7475">
      <w:pPr>
        <w:keepNext/>
        <w:keepLines/>
        <w:widowControl/>
        <w:tabs>
          <w:tab w:val="left" w:pos="-720"/>
        </w:tabs>
        <w:ind w:firstLine="5040"/>
        <w:contextualSpacing/>
        <w:rPr>
          <w:b/>
          <w:sz w:val="26"/>
          <w:szCs w:val="26"/>
        </w:rPr>
      </w:pPr>
      <w:r w:rsidRPr="008F78A8">
        <w:rPr>
          <w:sz w:val="26"/>
          <w:szCs w:val="26"/>
        </w:rPr>
        <w:t>Rosemary Chiavetta</w:t>
      </w:r>
    </w:p>
    <w:p w:rsidR="00CA43A5" w:rsidRPr="008F78A8" w:rsidRDefault="00CA43A5" w:rsidP="003E7475">
      <w:pPr>
        <w:keepNext/>
        <w:keepLines/>
        <w:widowControl/>
        <w:tabs>
          <w:tab w:val="left" w:pos="-720"/>
        </w:tabs>
        <w:ind w:firstLine="5040"/>
        <w:contextualSpacing/>
        <w:rPr>
          <w:sz w:val="26"/>
          <w:szCs w:val="26"/>
        </w:rPr>
      </w:pPr>
      <w:r w:rsidRPr="008F78A8">
        <w:rPr>
          <w:sz w:val="26"/>
          <w:szCs w:val="26"/>
        </w:rPr>
        <w:t>Secretary</w:t>
      </w:r>
    </w:p>
    <w:p w:rsidR="00CA43A5" w:rsidRPr="008F78A8" w:rsidRDefault="00CA43A5" w:rsidP="003E7475">
      <w:pPr>
        <w:keepNext/>
        <w:keepLines/>
        <w:widowControl/>
        <w:tabs>
          <w:tab w:val="left" w:pos="-720"/>
        </w:tabs>
        <w:contextualSpacing/>
        <w:rPr>
          <w:sz w:val="26"/>
          <w:szCs w:val="26"/>
        </w:rPr>
      </w:pPr>
    </w:p>
    <w:p w:rsidR="008F78A8" w:rsidRPr="008F78A8" w:rsidRDefault="008F78A8" w:rsidP="003E7475">
      <w:pPr>
        <w:keepNext/>
        <w:keepLines/>
        <w:widowControl/>
        <w:tabs>
          <w:tab w:val="left" w:pos="-720"/>
        </w:tabs>
        <w:contextualSpacing/>
        <w:rPr>
          <w:sz w:val="26"/>
          <w:szCs w:val="26"/>
        </w:rPr>
      </w:pPr>
    </w:p>
    <w:p w:rsidR="00CA43A5" w:rsidRPr="008F78A8" w:rsidRDefault="00CA43A5" w:rsidP="003E7475">
      <w:pPr>
        <w:keepNext/>
        <w:keepLines/>
        <w:widowControl/>
        <w:tabs>
          <w:tab w:val="left" w:pos="-720"/>
        </w:tabs>
        <w:contextualSpacing/>
        <w:rPr>
          <w:sz w:val="26"/>
          <w:szCs w:val="26"/>
        </w:rPr>
      </w:pPr>
      <w:r w:rsidRPr="008F78A8">
        <w:rPr>
          <w:sz w:val="26"/>
          <w:szCs w:val="26"/>
        </w:rPr>
        <w:t>(SEAL)</w:t>
      </w:r>
    </w:p>
    <w:p w:rsidR="00CA43A5" w:rsidRPr="008F78A8" w:rsidRDefault="00CA43A5" w:rsidP="003E7475">
      <w:pPr>
        <w:keepNext/>
        <w:keepLines/>
        <w:widowControl/>
        <w:tabs>
          <w:tab w:val="left" w:pos="-720"/>
        </w:tabs>
        <w:contextualSpacing/>
        <w:rPr>
          <w:sz w:val="26"/>
          <w:szCs w:val="26"/>
        </w:rPr>
      </w:pPr>
    </w:p>
    <w:p w:rsidR="00CA43A5" w:rsidRPr="008F78A8" w:rsidRDefault="00CA43A5" w:rsidP="003E7475">
      <w:pPr>
        <w:keepNext/>
        <w:keepLines/>
        <w:widowControl/>
        <w:tabs>
          <w:tab w:val="left" w:pos="-720"/>
        </w:tabs>
        <w:contextualSpacing/>
        <w:rPr>
          <w:sz w:val="26"/>
          <w:szCs w:val="26"/>
        </w:rPr>
      </w:pPr>
      <w:r w:rsidRPr="008F78A8">
        <w:rPr>
          <w:sz w:val="26"/>
          <w:szCs w:val="26"/>
        </w:rPr>
        <w:t>ORDER ADOPTED:</w:t>
      </w:r>
      <w:r w:rsidR="009D4C89" w:rsidRPr="008F78A8">
        <w:rPr>
          <w:sz w:val="26"/>
          <w:szCs w:val="26"/>
        </w:rPr>
        <w:t xml:space="preserve">  </w:t>
      </w:r>
      <w:r w:rsidR="000A7CFD">
        <w:rPr>
          <w:sz w:val="26"/>
          <w:szCs w:val="26"/>
        </w:rPr>
        <w:t>March 1</w:t>
      </w:r>
      <w:r w:rsidR="006F346F">
        <w:rPr>
          <w:sz w:val="26"/>
          <w:szCs w:val="26"/>
        </w:rPr>
        <w:t>0</w:t>
      </w:r>
      <w:r w:rsidR="000A7CFD">
        <w:rPr>
          <w:sz w:val="26"/>
          <w:szCs w:val="26"/>
        </w:rPr>
        <w:t>, 2016</w:t>
      </w:r>
    </w:p>
    <w:p w:rsidR="00857172" w:rsidRPr="008F78A8" w:rsidRDefault="00857172" w:rsidP="003E7475">
      <w:pPr>
        <w:keepNext/>
        <w:keepLines/>
        <w:widowControl/>
        <w:tabs>
          <w:tab w:val="left" w:pos="-720"/>
        </w:tabs>
        <w:contextualSpacing/>
        <w:rPr>
          <w:sz w:val="26"/>
          <w:szCs w:val="26"/>
        </w:rPr>
      </w:pPr>
    </w:p>
    <w:p w:rsidR="00CA43A5" w:rsidRPr="008F78A8" w:rsidRDefault="00CA43A5" w:rsidP="003E7475">
      <w:pPr>
        <w:keepNext/>
        <w:keepLines/>
        <w:widowControl/>
        <w:tabs>
          <w:tab w:val="left" w:pos="-720"/>
        </w:tabs>
        <w:contextualSpacing/>
        <w:rPr>
          <w:sz w:val="26"/>
          <w:szCs w:val="26"/>
        </w:rPr>
      </w:pPr>
      <w:r w:rsidRPr="008F78A8">
        <w:rPr>
          <w:sz w:val="26"/>
          <w:szCs w:val="26"/>
        </w:rPr>
        <w:t xml:space="preserve">ORDER ENTERED:  </w:t>
      </w:r>
      <w:r w:rsidR="00D76C62">
        <w:rPr>
          <w:sz w:val="26"/>
          <w:szCs w:val="26"/>
        </w:rPr>
        <w:t>March 10, 2016</w:t>
      </w:r>
    </w:p>
    <w:sectPr w:rsidR="00CA43A5" w:rsidRPr="008F78A8" w:rsidSect="009279B1">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094" w:rsidRDefault="00F11094" w:rsidP="001B7DA2">
      <w:r>
        <w:separator/>
      </w:r>
    </w:p>
  </w:endnote>
  <w:endnote w:type="continuationSeparator" w:id="0">
    <w:p w:rsidR="00F11094" w:rsidRDefault="00F11094" w:rsidP="001B7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New (W1)">
    <w:altName w:val="Times New Roman"/>
    <w:charset w:val="00"/>
    <w:family w:val="roman"/>
    <w:pitch w:val="variable"/>
    <w:sig w:usb0="20003A87" w:usb1="00000000" w:usb2="00000000"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971551"/>
      <w:docPartObj>
        <w:docPartGallery w:val="Page Numbers (Bottom of Page)"/>
        <w:docPartUnique/>
      </w:docPartObj>
    </w:sdtPr>
    <w:sdtEndPr>
      <w:rPr>
        <w:noProof/>
        <w:sz w:val="26"/>
        <w:szCs w:val="26"/>
      </w:rPr>
    </w:sdtEndPr>
    <w:sdtContent>
      <w:p w:rsidR="00F9641D" w:rsidRPr="004D0C36" w:rsidRDefault="00F9641D">
        <w:pPr>
          <w:pStyle w:val="Footer"/>
          <w:jc w:val="center"/>
          <w:rPr>
            <w:sz w:val="26"/>
            <w:szCs w:val="26"/>
          </w:rPr>
        </w:pPr>
        <w:r w:rsidRPr="004D0C36">
          <w:rPr>
            <w:sz w:val="26"/>
            <w:szCs w:val="26"/>
          </w:rPr>
          <w:fldChar w:fldCharType="begin"/>
        </w:r>
        <w:r w:rsidRPr="004D0C36">
          <w:rPr>
            <w:sz w:val="26"/>
            <w:szCs w:val="26"/>
          </w:rPr>
          <w:instrText xml:space="preserve"> PAGE   \* MERGEFORMAT </w:instrText>
        </w:r>
        <w:r w:rsidRPr="004D0C36">
          <w:rPr>
            <w:sz w:val="26"/>
            <w:szCs w:val="26"/>
          </w:rPr>
          <w:fldChar w:fldCharType="separate"/>
        </w:r>
        <w:r w:rsidR="00D76C62">
          <w:rPr>
            <w:noProof/>
            <w:sz w:val="26"/>
            <w:szCs w:val="26"/>
          </w:rPr>
          <w:t>21</w:t>
        </w:r>
        <w:r w:rsidRPr="004D0C36">
          <w:rPr>
            <w:noProof/>
            <w:sz w:val="26"/>
            <w:szCs w:val="26"/>
          </w:rPr>
          <w:fldChar w:fldCharType="end"/>
        </w:r>
      </w:p>
    </w:sdtContent>
  </w:sdt>
  <w:p w:rsidR="00F9641D" w:rsidRDefault="00F964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FA9" w:rsidRPr="004D0C36" w:rsidRDefault="005F0FA9" w:rsidP="005F0FA9">
    <w:pPr>
      <w:pStyle w:val="Footer"/>
      <w:jc w:val="center"/>
      <w:rPr>
        <w:sz w:val="26"/>
        <w:szCs w:val="26"/>
      </w:rPr>
    </w:pPr>
  </w:p>
  <w:p w:rsidR="005F0FA9" w:rsidRDefault="005F0F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094" w:rsidRDefault="00F11094" w:rsidP="001B7DA2">
      <w:r>
        <w:separator/>
      </w:r>
    </w:p>
  </w:footnote>
  <w:footnote w:type="continuationSeparator" w:id="0">
    <w:p w:rsidR="00F11094" w:rsidRDefault="00F11094" w:rsidP="001B7DA2">
      <w:r>
        <w:continuationSeparator/>
      </w:r>
    </w:p>
  </w:footnote>
  <w:footnote w:id="1">
    <w:p w:rsidR="00A854E5" w:rsidRPr="00A854E5" w:rsidRDefault="00A854E5" w:rsidP="00593A78">
      <w:pPr>
        <w:pStyle w:val="FootnoteText"/>
        <w:keepLines/>
        <w:contextualSpacing/>
        <w:rPr>
          <w:sz w:val="26"/>
          <w:szCs w:val="26"/>
        </w:rPr>
      </w:pPr>
      <w:r>
        <w:rPr>
          <w:sz w:val="26"/>
          <w:szCs w:val="26"/>
        </w:rPr>
        <w:tab/>
      </w:r>
      <w:r w:rsidRPr="00A854E5">
        <w:rPr>
          <w:rStyle w:val="FootnoteReference"/>
          <w:sz w:val="26"/>
          <w:szCs w:val="26"/>
        </w:rPr>
        <w:footnoteRef/>
      </w:r>
      <w:r w:rsidRPr="00A854E5">
        <w:rPr>
          <w:sz w:val="26"/>
          <w:szCs w:val="26"/>
        </w:rPr>
        <w:t xml:space="preserve"> </w:t>
      </w:r>
      <w:r>
        <w:rPr>
          <w:sz w:val="26"/>
          <w:szCs w:val="26"/>
        </w:rPr>
        <w:tab/>
        <w:t xml:space="preserve">In its Answer, PGW </w:t>
      </w:r>
      <w:r w:rsidR="00977682">
        <w:rPr>
          <w:sz w:val="26"/>
          <w:szCs w:val="26"/>
        </w:rPr>
        <w:t xml:space="preserve">also </w:t>
      </w:r>
      <w:r>
        <w:rPr>
          <w:sz w:val="26"/>
          <w:szCs w:val="26"/>
        </w:rPr>
        <w:t>asserted that the Complainant filed an informal complaint, to which the Commission’s Bureau of Consumer Services (BCS) issued an informal decision dated August 28, 2012</w:t>
      </w:r>
      <w:r w:rsidR="005E374E">
        <w:rPr>
          <w:sz w:val="26"/>
          <w:szCs w:val="26"/>
        </w:rPr>
        <w:t>,</w:t>
      </w:r>
      <w:r>
        <w:rPr>
          <w:sz w:val="26"/>
          <w:szCs w:val="26"/>
        </w:rPr>
        <w:t xml:space="preserve"> which dismissed the informal complaint and directed the Complainant to contact PGW for a forty-eight month payment agreement no later than September 6, 2012.  However, </w:t>
      </w:r>
      <w:r w:rsidR="005E374E">
        <w:rPr>
          <w:sz w:val="26"/>
          <w:szCs w:val="26"/>
        </w:rPr>
        <w:t xml:space="preserve">PGW </w:t>
      </w:r>
      <w:r>
        <w:rPr>
          <w:sz w:val="26"/>
          <w:szCs w:val="26"/>
        </w:rPr>
        <w:t xml:space="preserve">acknowledged </w:t>
      </w:r>
      <w:r w:rsidR="005E374E">
        <w:rPr>
          <w:sz w:val="26"/>
          <w:szCs w:val="26"/>
        </w:rPr>
        <w:t xml:space="preserve">at the hearing </w:t>
      </w:r>
      <w:r>
        <w:rPr>
          <w:sz w:val="26"/>
          <w:szCs w:val="26"/>
        </w:rPr>
        <w:t>that no informal complaint had been filed.</w:t>
      </w:r>
      <w:r w:rsidR="00B46535">
        <w:rPr>
          <w:sz w:val="26"/>
          <w:szCs w:val="26"/>
        </w:rPr>
        <w:t xml:space="preserve">  Tr. at 48.</w:t>
      </w:r>
    </w:p>
  </w:footnote>
  <w:footnote w:id="2">
    <w:p w:rsidR="00CF1D7C" w:rsidRPr="00CF1D7C" w:rsidRDefault="00CF1D7C" w:rsidP="00593A78">
      <w:pPr>
        <w:keepLines/>
        <w:contextualSpacing/>
        <w:rPr>
          <w:sz w:val="26"/>
          <w:szCs w:val="26"/>
        </w:rPr>
      </w:pPr>
      <w:r w:rsidRPr="00CF1D7C">
        <w:rPr>
          <w:sz w:val="26"/>
          <w:szCs w:val="26"/>
        </w:rPr>
        <w:tab/>
      </w:r>
      <w:r w:rsidRPr="00CF1D7C">
        <w:rPr>
          <w:rStyle w:val="FootnoteReference"/>
          <w:sz w:val="26"/>
          <w:szCs w:val="26"/>
        </w:rPr>
        <w:footnoteRef/>
      </w:r>
      <w:r w:rsidRPr="00CF1D7C">
        <w:rPr>
          <w:sz w:val="26"/>
          <w:szCs w:val="26"/>
        </w:rPr>
        <w:tab/>
        <w:t xml:space="preserve">We note that on January 13, 2015, PGW filed a Letter of Satisfaction (Letter) with the Commission indicating that the Parties had reached a settlement rendering the Complaint moot.  However, on January 20, 2015, the Complainant timely filed an objection to PGW’s Letter </w:t>
      </w:r>
      <w:r w:rsidR="005E374E">
        <w:rPr>
          <w:sz w:val="26"/>
          <w:szCs w:val="26"/>
        </w:rPr>
        <w:t>asserting that no settlement had</w:t>
      </w:r>
      <w:r w:rsidRPr="00CF1D7C">
        <w:rPr>
          <w:sz w:val="26"/>
          <w:szCs w:val="26"/>
        </w:rPr>
        <w:t xml:space="preserve"> been reached.  As such, the Complainant’s Exceptions to ALJ Jones’s I</w:t>
      </w:r>
      <w:r w:rsidR="005E374E">
        <w:rPr>
          <w:sz w:val="26"/>
          <w:szCs w:val="26"/>
        </w:rPr>
        <w:t>nitial Decision</w:t>
      </w:r>
      <w:r w:rsidRPr="00CF1D7C">
        <w:rPr>
          <w:sz w:val="26"/>
          <w:szCs w:val="26"/>
        </w:rPr>
        <w:t xml:space="preserve"> remain before us for </w:t>
      </w:r>
      <w:r w:rsidR="00920161">
        <w:rPr>
          <w:sz w:val="26"/>
          <w:szCs w:val="26"/>
        </w:rPr>
        <w:t xml:space="preserve">consideration and </w:t>
      </w:r>
      <w:r w:rsidRPr="00CF1D7C">
        <w:rPr>
          <w:sz w:val="26"/>
          <w:szCs w:val="26"/>
        </w:rPr>
        <w:t>disposition.</w:t>
      </w:r>
    </w:p>
  </w:footnote>
  <w:footnote w:id="3">
    <w:p w:rsidR="00145CC9" w:rsidRPr="00145CC9" w:rsidRDefault="00145CC9" w:rsidP="00593A78">
      <w:pPr>
        <w:pStyle w:val="FootnoteText"/>
        <w:keepLines/>
        <w:contextualSpacing/>
        <w:rPr>
          <w:sz w:val="26"/>
          <w:szCs w:val="26"/>
        </w:rPr>
      </w:pPr>
      <w:r>
        <w:tab/>
      </w:r>
      <w:r w:rsidRPr="00145CC9">
        <w:rPr>
          <w:rStyle w:val="FootnoteReference"/>
          <w:sz w:val="26"/>
          <w:szCs w:val="26"/>
        </w:rPr>
        <w:footnoteRef/>
      </w:r>
      <w:r w:rsidRPr="00145CC9">
        <w:rPr>
          <w:sz w:val="26"/>
          <w:szCs w:val="26"/>
        </w:rPr>
        <w:tab/>
        <w:t>$2,028.80 ÷48=$42.27</w:t>
      </w:r>
    </w:p>
  </w:footnote>
  <w:footnote w:id="4">
    <w:p w:rsidR="00D17CC2" w:rsidRPr="00D17CC2" w:rsidRDefault="00D17CC2" w:rsidP="00593A78">
      <w:pPr>
        <w:keepNext/>
        <w:keepLines/>
        <w:tabs>
          <w:tab w:val="left" w:pos="720"/>
          <w:tab w:val="left" w:pos="1440"/>
        </w:tabs>
        <w:contextualSpacing/>
        <w:rPr>
          <w:sz w:val="26"/>
          <w:szCs w:val="26"/>
        </w:rPr>
      </w:pPr>
      <w:r>
        <w:tab/>
      </w:r>
      <w:r w:rsidRPr="00D17CC2">
        <w:rPr>
          <w:rStyle w:val="FootnoteReference"/>
          <w:sz w:val="26"/>
          <w:szCs w:val="26"/>
        </w:rPr>
        <w:footnoteRef/>
      </w:r>
      <w:r w:rsidRPr="00D17CC2">
        <w:rPr>
          <w:sz w:val="26"/>
          <w:szCs w:val="26"/>
        </w:rPr>
        <w:t xml:space="preserve"> </w:t>
      </w:r>
      <w:r w:rsidRPr="00D17CC2">
        <w:rPr>
          <w:sz w:val="26"/>
          <w:szCs w:val="26"/>
        </w:rPr>
        <w:tab/>
        <w:t xml:space="preserve">We acknowledge that the format of the Complainant’s Exceptions does not strictly comply with Section 5.533(b) of our Regulations, 52 Pa. Code § 5.533(b), which requires that exceptions be numbered, identify the finding of fact and conclusions of law to which exception is taken, and cite to the relevant pages of the Initial Decision.  Nevertheless, particularly because the Complainant is appearing </w:t>
      </w:r>
      <w:r w:rsidRPr="00D17CC2">
        <w:rPr>
          <w:i/>
          <w:sz w:val="26"/>
          <w:szCs w:val="26"/>
        </w:rPr>
        <w:t>pro se</w:t>
      </w:r>
      <w:r w:rsidRPr="00D17CC2">
        <w:rPr>
          <w:sz w:val="26"/>
          <w:szCs w:val="26"/>
        </w:rPr>
        <w:t>, we will accept the Exceptions as filed pursuant to Section 1.2(a) of our Regulations, 52 Pa. Code § 1.2(a), in order to secure a just, speedy, and inexpensive determination.</w:t>
      </w:r>
    </w:p>
    <w:p w:rsidR="00D17CC2" w:rsidRDefault="00D17CC2" w:rsidP="00593A78">
      <w:pPr>
        <w:pStyle w:val="FootnoteText"/>
        <w:keepNext/>
        <w:keepLines/>
        <w:contextualSpacing/>
      </w:pPr>
    </w:p>
  </w:footnote>
  <w:footnote w:id="5">
    <w:p w:rsidR="00CE4E71" w:rsidRDefault="00CE4E71" w:rsidP="00593A78">
      <w:pPr>
        <w:pStyle w:val="FootnoteText"/>
        <w:keepLines/>
        <w:contextualSpacing/>
      </w:pPr>
      <w:r>
        <w:tab/>
      </w:r>
      <w:r>
        <w:rPr>
          <w:rStyle w:val="FootnoteReference"/>
        </w:rPr>
        <w:footnoteRef/>
      </w:r>
      <w:r>
        <w:t xml:space="preserve"> </w:t>
      </w:r>
      <w:r>
        <w:tab/>
      </w:r>
      <w:r>
        <w:rPr>
          <w:sz w:val="26"/>
          <w:szCs w:val="26"/>
        </w:rPr>
        <w:t>See Supplement No. 84 to PGW’s Gas Service Tariff—Pa. P.U.C. No. 2, effective August 31, 2015, at 26.</w:t>
      </w:r>
    </w:p>
  </w:footnote>
  <w:footnote w:id="6">
    <w:p w:rsidR="0057250E" w:rsidRPr="004B579C" w:rsidRDefault="0057250E" w:rsidP="0057250E">
      <w:pPr>
        <w:pStyle w:val="FootnoteText"/>
        <w:rPr>
          <w:sz w:val="26"/>
          <w:szCs w:val="26"/>
        </w:rPr>
      </w:pPr>
      <w:r>
        <w:rPr>
          <w:sz w:val="26"/>
          <w:szCs w:val="26"/>
        </w:rPr>
        <w:tab/>
      </w:r>
      <w:r w:rsidRPr="00D61D34">
        <w:rPr>
          <w:rStyle w:val="FootnoteReference"/>
          <w:sz w:val="26"/>
          <w:szCs w:val="26"/>
        </w:rPr>
        <w:footnoteRef/>
      </w:r>
      <w:r w:rsidRPr="00D61D34">
        <w:rPr>
          <w:sz w:val="26"/>
          <w:szCs w:val="26"/>
        </w:rPr>
        <w:t xml:space="preserve"> </w:t>
      </w:r>
      <w:r w:rsidRPr="004B579C">
        <w:rPr>
          <w:sz w:val="26"/>
          <w:szCs w:val="26"/>
        </w:rPr>
        <w:tab/>
        <w:t xml:space="preserve">Note: The </w:t>
      </w:r>
      <w:r w:rsidR="006306C3">
        <w:rPr>
          <w:sz w:val="26"/>
          <w:szCs w:val="26"/>
        </w:rPr>
        <w:t>eight</w:t>
      </w:r>
      <w:r w:rsidRPr="004B579C">
        <w:rPr>
          <w:sz w:val="26"/>
          <w:szCs w:val="26"/>
        </w:rPr>
        <w:t>-month period does not take into account the heating degree days for each month.</w:t>
      </w:r>
    </w:p>
  </w:footnote>
  <w:footnote w:id="7">
    <w:p w:rsidR="0057250E" w:rsidRPr="00EA7471" w:rsidRDefault="0057250E" w:rsidP="0057250E">
      <w:pPr>
        <w:pStyle w:val="FootnoteText"/>
        <w:keepLines/>
        <w:contextualSpacing/>
        <w:rPr>
          <w:sz w:val="26"/>
          <w:szCs w:val="26"/>
        </w:rPr>
      </w:pPr>
      <w:r>
        <w:tab/>
      </w:r>
      <w:r w:rsidRPr="00EA7471">
        <w:rPr>
          <w:rStyle w:val="FootnoteReference"/>
          <w:sz w:val="26"/>
          <w:szCs w:val="26"/>
        </w:rPr>
        <w:footnoteRef/>
      </w:r>
      <w:r w:rsidRPr="00EA7471">
        <w:rPr>
          <w:sz w:val="26"/>
          <w:szCs w:val="26"/>
        </w:rPr>
        <w:tab/>
        <w:t xml:space="preserve">Further, if the average monthly recorded usage prior to the meter exchange were doubled to take into consideration the improperly programmed AMR, Table 1 would reflect a drop in usage of approximately seventy-four percent after the meter exchange.  </w:t>
      </w:r>
    </w:p>
  </w:footnote>
  <w:footnote w:id="8">
    <w:p w:rsidR="0057250E" w:rsidRPr="0057250E" w:rsidRDefault="0057250E" w:rsidP="00C27AFA">
      <w:pPr>
        <w:pStyle w:val="FootnoteText"/>
        <w:keepLines/>
        <w:widowControl/>
        <w:rPr>
          <w:sz w:val="26"/>
          <w:szCs w:val="26"/>
        </w:rPr>
      </w:pPr>
      <w:r w:rsidRPr="0057250E">
        <w:rPr>
          <w:sz w:val="26"/>
          <w:szCs w:val="26"/>
        </w:rPr>
        <w:tab/>
      </w:r>
      <w:r w:rsidRPr="0057250E">
        <w:rPr>
          <w:rStyle w:val="FootnoteReference"/>
          <w:sz w:val="26"/>
          <w:szCs w:val="26"/>
        </w:rPr>
        <w:footnoteRef/>
      </w:r>
      <w:r w:rsidRPr="0057250E">
        <w:rPr>
          <w:sz w:val="26"/>
          <w:szCs w:val="26"/>
        </w:rPr>
        <w:t xml:space="preserve"> </w:t>
      </w:r>
      <w:r w:rsidRPr="0057250E">
        <w:rPr>
          <w:sz w:val="26"/>
          <w:szCs w:val="26"/>
        </w:rPr>
        <w:tab/>
        <w:t xml:space="preserve">We further note that as outlined in </w:t>
      </w:r>
      <w:r w:rsidRPr="0057250E">
        <w:rPr>
          <w:i/>
          <w:sz w:val="26"/>
          <w:szCs w:val="26"/>
        </w:rPr>
        <w:t>Prendergast</w:t>
      </w:r>
      <w:r w:rsidRPr="0057250E">
        <w:rPr>
          <w:sz w:val="26"/>
          <w:szCs w:val="26"/>
        </w:rPr>
        <w:t xml:space="preserve"> at 12, n.6, the application of conservation credits is not unique to cases involving PGW.  </w:t>
      </w:r>
      <w:r w:rsidR="00C27AFA">
        <w:rPr>
          <w:i/>
          <w:sz w:val="26"/>
          <w:szCs w:val="26"/>
        </w:rPr>
        <w:t>See, e.g., Richard H. Kuntz v. PPL Electric Utilities Corp.</w:t>
      </w:r>
      <w:r w:rsidR="00C27AFA">
        <w:rPr>
          <w:sz w:val="26"/>
          <w:szCs w:val="26"/>
        </w:rPr>
        <w:t xml:space="preserve">, Docket No. C-20066231 (Order entered January 26, 2007); and </w:t>
      </w:r>
      <w:r w:rsidR="00C27AFA">
        <w:rPr>
          <w:i/>
          <w:sz w:val="26"/>
          <w:szCs w:val="26"/>
        </w:rPr>
        <w:t>Ivan Katchan v. PPL Electric Utilities Corp.</w:t>
      </w:r>
      <w:r w:rsidR="00C27AFA">
        <w:rPr>
          <w:sz w:val="26"/>
          <w:szCs w:val="26"/>
        </w:rPr>
        <w:t xml:space="preserve">, Docket No. 2011-2239323 (Final Order entered April 11, 2012).  </w:t>
      </w:r>
    </w:p>
  </w:footnote>
  <w:footnote w:id="9">
    <w:p w:rsidR="00F31AFD" w:rsidRDefault="00F31AFD" w:rsidP="00F31AFD">
      <w:pPr>
        <w:pStyle w:val="FootnoteText"/>
        <w:ind w:firstLine="720"/>
        <w:rPr>
          <w:sz w:val="26"/>
          <w:szCs w:val="26"/>
        </w:rPr>
      </w:pPr>
      <w:r w:rsidRPr="0083659F">
        <w:rPr>
          <w:rStyle w:val="FootnoteReference"/>
          <w:sz w:val="26"/>
          <w:szCs w:val="26"/>
        </w:rPr>
        <w:footnoteRef/>
      </w:r>
      <w:r w:rsidRPr="0083659F">
        <w:rPr>
          <w:sz w:val="26"/>
          <w:szCs w:val="26"/>
        </w:rPr>
        <w:t xml:space="preserve"> </w:t>
      </w:r>
      <w:r>
        <w:rPr>
          <w:sz w:val="26"/>
          <w:szCs w:val="26"/>
        </w:rPr>
        <w:tab/>
        <w:t xml:space="preserve">This </w:t>
      </w:r>
      <w:r w:rsidR="003E7475">
        <w:rPr>
          <w:sz w:val="26"/>
          <w:szCs w:val="26"/>
        </w:rPr>
        <w:t xml:space="preserve">amount </w:t>
      </w:r>
      <w:r>
        <w:rPr>
          <w:sz w:val="26"/>
          <w:szCs w:val="26"/>
        </w:rPr>
        <w:t>is derived as follows:</w:t>
      </w:r>
    </w:p>
    <w:p w:rsidR="003E7475" w:rsidRDefault="003E7475" w:rsidP="00F31AFD">
      <w:pPr>
        <w:pStyle w:val="FootnoteText"/>
        <w:ind w:firstLine="720"/>
        <w:rPr>
          <w:sz w:val="26"/>
          <w:szCs w:val="26"/>
        </w:rPr>
      </w:pPr>
    </w:p>
    <w:p w:rsidR="00F31AFD" w:rsidRDefault="00F31AFD" w:rsidP="003E7475">
      <w:pPr>
        <w:pStyle w:val="FootnoteText"/>
        <w:numPr>
          <w:ilvl w:val="0"/>
          <w:numId w:val="2"/>
        </w:numPr>
        <w:rPr>
          <w:sz w:val="26"/>
          <w:szCs w:val="26"/>
        </w:rPr>
      </w:pPr>
      <w:r>
        <w:rPr>
          <w:sz w:val="26"/>
          <w:szCs w:val="26"/>
        </w:rPr>
        <w:t>Remaining make-up of $</w:t>
      </w:r>
      <w:r w:rsidR="005E6419">
        <w:rPr>
          <w:sz w:val="26"/>
          <w:szCs w:val="26"/>
        </w:rPr>
        <w:t>2,028.80</w:t>
      </w:r>
      <w:r>
        <w:rPr>
          <w:sz w:val="26"/>
          <w:szCs w:val="26"/>
        </w:rPr>
        <w:t xml:space="preserve"> x </w:t>
      </w:r>
      <w:r w:rsidR="005E6419">
        <w:rPr>
          <w:sz w:val="26"/>
          <w:szCs w:val="26"/>
        </w:rPr>
        <w:t>1</w:t>
      </w:r>
      <w:r>
        <w:rPr>
          <w:sz w:val="26"/>
          <w:szCs w:val="26"/>
        </w:rPr>
        <w:t>0% conservation credit = $</w:t>
      </w:r>
      <w:r w:rsidR="005E6419">
        <w:rPr>
          <w:sz w:val="26"/>
          <w:szCs w:val="26"/>
        </w:rPr>
        <w:t>202.88</w:t>
      </w:r>
      <w:r>
        <w:rPr>
          <w:sz w:val="26"/>
          <w:szCs w:val="26"/>
        </w:rPr>
        <w:t>;</w:t>
      </w:r>
    </w:p>
    <w:p w:rsidR="003E7475" w:rsidRDefault="003E7475" w:rsidP="00F31AFD">
      <w:pPr>
        <w:pStyle w:val="FootnoteText"/>
        <w:rPr>
          <w:sz w:val="26"/>
          <w:szCs w:val="26"/>
        </w:rPr>
      </w:pPr>
    </w:p>
    <w:p w:rsidR="00F31AFD" w:rsidRDefault="00F31AFD" w:rsidP="003E7475">
      <w:pPr>
        <w:pStyle w:val="FootnoteText"/>
        <w:numPr>
          <w:ilvl w:val="0"/>
          <w:numId w:val="2"/>
        </w:numPr>
        <w:rPr>
          <w:sz w:val="26"/>
          <w:szCs w:val="26"/>
        </w:rPr>
      </w:pPr>
      <w:r>
        <w:rPr>
          <w:sz w:val="26"/>
          <w:szCs w:val="26"/>
        </w:rPr>
        <w:t>Remaining make-up bill of $</w:t>
      </w:r>
      <w:r w:rsidR="005E6419">
        <w:rPr>
          <w:sz w:val="26"/>
          <w:szCs w:val="26"/>
        </w:rPr>
        <w:t>2,028.80</w:t>
      </w:r>
      <w:r>
        <w:rPr>
          <w:sz w:val="26"/>
          <w:szCs w:val="26"/>
        </w:rPr>
        <w:t xml:space="preserve"> – $2</w:t>
      </w:r>
      <w:r w:rsidR="005E6419">
        <w:rPr>
          <w:sz w:val="26"/>
          <w:szCs w:val="26"/>
        </w:rPr>
        <w:t>02.88</w:t>
      </w:r>
      <w:r>
        <w:rPr>
          <w:sz w:val="26"/>
          <w:szCs w:val="26"/>
        </w:rPr>
        <w:t xml:space="preserve"> conservation credit = $</w:t>
      </w:r>
      <w:r w:rsidR="005E6419">
        <w:rPr>
          <w:sz w:val="26"/>
          <w:szCs w:val="26"/>
        </w:rPr>
        <w:t>1,825.92</w:t>
      </w:r>
      <w:r>
        <w:rPr>
          <w:sz w:val="26"/>
          <w:szCs w:val="26"/>
        </w:rPr>
        <w:t>;</w:t>
      </w:r>
    </w:p>
    <w:p w:rsidR="003E7475" w:rsidRDefault="003E7475" w:rsidP="00F31AFD">
      <w:pPr>
        <w:pStyle w:val="FootnoteText"/>
        <w:rPr>
          <w:sz w:val="26"/>
          <w:szCs w:val="26"/>
        </w:rPr>
      </w:pPr>
    </w:p>
    <w:p w:rsidR="00F31AFD" w:rsidRPr="0083659F" w:rsidRDefault="00F31AFD" w:rsidP="003E7475">
      <w:pPr>
        <w:pStyle w:val="FootnoteText"/>
        <w:numPr>
          <w:ilvl w:val="0"/>
          <w:numId w:val="2"/>
        </w:numPr>
        <w:rPr>
          <w:sz w:val="26"/>
          <w:szCs w:val="26"/>
        </w:rPr>
      </w:pPr>
      <w:r>
        <w:rPr>
          <w:sz w:val="26"/>
          <w:szCs w:val="26"/>
        </w:rPr>
        <w:t>$</w:t>
      </w:r>
      <w:r w:rsidR="005E6419">
        <w:rPr>
          <w:sz w:val="26"/>
          <w:szCs w:val="26"/>
        </w:rPr>
        <w:t>1,825.92</w:t>
      </w:r>
      <w:r>
        <w:rPr>
          <w:sz w:val="26"/>
          <w:szCs w:val="26"/>
        </w:rPr>
        <w:t>/48 months = $</w:t>
      </w:r>
      <w:r w:rsidR="005E6419">
        <w:rPr>
          <w:sz w:val="26"/>
          <w:szCs w:val="26"/>
        </w:rPr>
        <w:t>38.04</w:t>
      </w:r>
      <w:r>
        <w:rPr>
          <w:sz w:val="26"/>
          <w:szCs w:val="26"/>
        </w:rPr>
        <w:t xml:space="preserve"> per month.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C3733"/>
    <w:multiLevelType w:val="hybridMultilevel"/>
    <w:tmpl w:val="16922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644"/>
    <w:rsid w:val="00000D47"/>
    <w:rsid w:val="00001FC8"/>
    <w:rsid w:val="0000302E"/>
    <w:rsid w:val="00006685"/>
    <w:rsid w:val="00006F35"/>
    <w:rsid w:val="00006FA2"/>
    <w:rsid w:val="00016D57"/>
    <w:rsid w:val="00017852"/>
    <w:rsid w:val="00021E46"/>
    <w:rsid w:val="00022B74"/>
    <w:rsid w:val="00024D5A"/>
    <w:rsid w:val="0002524C"/>
    <w:rsid w:val="00025F3F"/>
    <w:rsid w:val="00026CD2"/>
    <w:rsid w:val="00027BAA"/>
    <w:rsid w:val="00033309"/>
    <w:rsid w:val="00040A8E"/>
    <w:rsid w:val="00040AEA"/>
    <w:rsid w:val="00047874"/>
    <w:rsid w:val="00047F4A"/>
    <w:rsid w:val="000523D1"/>
    <w:rsid w:val="00052B8F"/>
    <w:rsid w:val="00054612"/>
    <w:rsid w:val="0005572E"/>
    <w:rsid w:val="00056286"/>
    <w:rsid w:val="000612FD"/>
    <w:rsid w:val="0006340D"/>
    <w:rsid w:val="000642AA"/>
    <w:rsid w:val="000649EC"/>
    <w:rsid w:val="00066A91"/>
    <w:rsid w:val="00066EE5"/>
    <w:rsid w:val="00067260"/>
    <w:rsid w:val="000676B7"/>
    <w:rsid w:val="00072808"/>
    <w:rsid w:val="00076F35"/>
    <w:rsid w:val="00084573"/>
    <w:rsid w:val="00084AF9"/>
    <w:rsid w:val="0008598C"/>
    <w:rsid w:val="00086293"/>
    <w:rsid w:val="00087CC1"/>
    <w:rsid w:val="000918D4"/>
    <w:rsid w:val="00093164"/>
    <w:rsid w:val="00094D3B"/>
    <w:rsid w:val="0009612D"/>
    <w:rsid w:val="00097504"/>
    <w:rsid w:val="000A365D"/>
    <w:rsid w:val="000A3C18"/>
    <w:rsid w:val="000A490A"/>
    <w:rsid w:val="000A6AC6"/>
    <w:rsid w:val="000A7CFD"/>
    <w:rsid w:val="000B1A58"/>
    <w:rsid w:val="000B216D"/>
    <w:rsid w:val="000B2755"/>
    <w:rsid w:val="000B4EAE"/>
    <w:rsid w:val="000B5238"/>
    <w:rsid w:val="000B607A"/>
    <w:rsid w:val="000B6B15"/>
    <w:rsid w:val="000C2AE3"/>
    <w:rsid w:val="000C346C"/>
    <w:rsid w:val="000C4C7E"/>
    <w:rsid w:val="000C709A"/>
    <w:rsid w:val="000D0D64"/>
    <w:rsid w:val="000D5232"/>
    <w:rsid w:val="000D7F4F"/>
    <w:rsid w:val="000E189C"/>
    <w:rsid w:val="000E2C45"/>
    <w:rsid w:val="000E33AF"/>
    <w:rsid w:val="000E5EC6"/>
    <w:rsid w:val="000F0AD9"/>
    <w:rsid w:val="000F179E"/>
    <w:rsid w:val="000F1985"/>
    <w:rsid w:val="000F4307"/>
    <w:rsid w:val="000F7020"/>
    <w:rsid w:val="0010158F"/>
    <w:rsid w:val="00101F51"/>
    <w:rsid w:val="001026CA"/>
    <w:rsid w:val="00104D9B"/>
    <w:rsid w:val="00111712"/>
    <w:rsid w:val="001117FF"/>
    <w:rsid w:val="00117CB2"/>
    <w:rsid w:val="00120B39"/>
    <w:rsid w:val="0012250D"/>
    <w:rsid w:val="00122E44"/>
    <w:rsid w:val="001238E5"/>
    <w:rsid w:val="00123A2E"/>
    <w:rsid w:val="00124071"/>
    <w:rsid w:val="00124128"/>
    <w:rsid w:val="001267D4"/>
    <w:rsid w:val="0013458D"/>
    <w:rsid w:val="00134D42"/>
    <w:rsid w:val="00135972"/>
    <w:rsid w:val="001360FC"/>
    <w:rsid w:val="00136AF0"/>
    <w:rsid w:val="001404B2"/>
    <w:rsid w:val="0014264B"/>
    <w:rsid w:val="001447A0"/>
    <w:rsid w:val="0014497F"/>
    <w:rsid w:val="00144A8F"/>
    <w:rsid w:val="00145CC9"/>
    <w:rsid w:val="0014672D"/>
    <w:rsid w:val="00146DDD"/>
    <w:rsid w:val="00146E58"/>
    <w:rsid w:val="00147145"/>
    <w:rsid w:val="00150096"/>
    <w:rsid w:val="001508E4"/>
    <w:rsid w:val="0015380A"/>
    <w:rsid w:val="00154CB6"/>
    <w:rsid w:val="0015666E"/>
    <w:rsid w:val="00164DA4"/>
    <w:rsid w:val="00166298"/>
    <w:rsid w:val="001663C8"/>
    <w:rsid w:val="00172CC7"/>
    <w:rsid w:val="00174D3D"/>
    <w:rsid w:val="00180331"/>
    <w:rsid w:val="00180B60"/>
    <w:rsid w:val="00181F6E"/>
    <w:rsid w:val="00181F9F"/>
    <w:rsid w:val="00182478"/>
    <w:rsid w:val="00184F5F"/>
    <w:rsid w:val="00185635"/>
    <w:rsid w:val="00186A97"/>
    <w:rsid w:val="0019339D"/>
    <w:rsid w:val="0019530E"/>
    <w:rsid w:val="00195390"/>
    <w:rsid w:val="00195585"/>
    <w:rsid w:val="00195F2E"/>
    <w:rsid w:val="001A3E3B"/>
    <w:rsid w:val="001B1DB4"/>
    <w:rsid w:val="001B7DA2"/>
    <w:rsid w:val="001B7F81"/>
    <w:rsid w:val="001C22A5"/>
    <w:rsid w:val="001C4978"/>
    <w:rsid w:val="001D0ED2"/>
    <w:rsid w:val="001D79F3"/>
    <w:rsid w:val="001D7ABB"/>
    <w:rsid w:val="001E0B61"/>
    <w:rsid w:val="001E0C58"/>
    <w:rsid w:val="001E1276"/>
    <w:rsid w:val="001E2C66"/>
    <w:rsid w:val="001E4386"/>
    <w:rsid w:val="001F036B"/>
    <w:rsid w:val="001F162B"/>
    <w:rsid w:val="001F285E"/>
    <w:rsid w:val="001F5292"/>
    <w:rsid w:val="001F70B5"/>
    <w:rsid w:val="001F754F"/>
    <w:rsid w:val="00200784"/>
    <w:rsid w:val="00202524"/>
    <w:rsid w:val="00205B8B"/>
    <w:rsid w:val="002063E1"/>
    <w:rsid w:val="00210736"/>
    <w:rsid w:val="00210F81"/>
    <w:rsid w:val="00211622"/>
    <w:rsid w:val="0021249F"/>
    <w:rsid w:val="00214B3E"/>
    <w:rsid w:val="00214F8F"/>
    <w:rsid w:val="0022367D"/>
    <w:rsid w:val="00224218"/>
    <w:rsid w:val="0022698E"/>
    <w:rsid w:val="00227906"/>
    <w:rsid w:val="00227912"/>
    <w:rsid w:val="00231074"/>
    <w:rsid w:val="002311EE"/>
    <w:rsid w:val="0023353B"/>
    <w:rsid w:val="002370F5"/>
    <w:rsid w:val="00240ACA"/>
    <w:rsid w:val="00240D7B"/>
    <w:rsid w:val="00240DEB"/>
    <w:rsid w:val="00240E6F"/>
    <w:rsid w:val="00241299"/>
    <w:rsid w:val="0024419F"/>
    <w:rsid w:val="00246002"/>
    <w:rsid w:val="00252CDB"/>
    <w:rsid w:val="00255462"/>
    <w:rsid w:val="00260957"/>
    <w:rsid w:val="0026324F"/>
    <w:rsid w:val="00264646"/>
    <w:rsid w:val="00266175"/>
    <w:rsid w:val="002709CD"/>
    <w:rsid w:val="00271EEF"/>
    <w:rsid w:val="0027232D"/>
    <w:rsid w:val="002732AB"/>
    <w:rsid w:val="00274D0F"/>
    <w:rsid w:val="00277500"/>
    <w:rsid w:val="00281A2A"/>
    <w:rsid w:val="00281A5F"/>
    <w:rsid w:val="00284971"/>
    <w:rsid w:val="00290D9F"/>
    <w:rsid w:val="0029101F"/>
    <w:rsid w:val="002916C2"/>
    <w:rsid w:val="00291F68"/>
    <w:rsid w:val="002963DD"/>
    <w:rsid w:val="002A060A"/>
    <w:rsid w:val="002A14F0"/>
    <w:rsid w:val="002A4450"/>
    <w:rsid w:val="002A60F5"/>
    <w:rsid w:val="002A6750"/>
    <w:rsid w:val="002A6B69"/>
    <w:rsid w:val="002A7BED"/>
    <w:rsid w:val="002B0D7C"/>
    <w:rsid w:val="002B2296"/>
    <w:rsid w:val="002B2F22"/>
    <w:rsid w:val="002B34B6"/>
    <w:rsid w:val="002B3612"/>
    <w:rsid w:val="002B4407"/>
    <w:rsid w:val="002B49AD"/>
    <w:rsid w:val="002B5514"/>
    <w:rsid w:val="002B57C1"/>
    <w:rsid w:val="002B67B7"/>
    <w:rsid w:val="002C0429"/>
    <w:rsid w:val="002C19E4"/>
    <w:rsid w:val="002C6CC4"/>
    <w:rsid w:val="002C7E81"/>
    <w:rsid w:val="002D0E0C"/>
    <w:rsid w:val="002D13C4"/>
    <w:rsid w:val="002D275E"/>
    <w:rsid w:val="002D6357"/>
    <w:rsid w:val="002D7584"/>
    <w:rsid w:val="002D7A6B"/>
    <w:rsid w:val="002E1460"/>
    <w:rsid w:val="002E23A4"/>
    <w:rsid w:val="002E3026"/>
    <w:rsid w:val="002E37E7"/>
    <w:rsid w:val="002E3F06"/>
    <w:rsid w:val="002E5807"/>
    <w:rsid w:val="002E6FFA"/>
    <w:rsid w:val="002E79DE"/>
    <w:rsid w:val="002E7F8F"/>
    <w:rsid w:val="002F3F04"/>
    <w:rsid w:val="002F41BA"/>
    <w:rsid w:val="002F587A"/>
    <w:rsid w:val="003018AA"/>
    <w:rsid w:val="00303B99"/>
    <w:rsid w:val="00304757"/>
    <w:rsid w:val="003051A5"/>
    <w:rsid w:val="0030533A"/>
    <w:rsid w:val="00305D99"/>
    <w:rsid w:val="00306BF4"/>
    <w:rsid w:val="0030714F"/>
    <w:rsid w:val="003073E2"/>
    <w:rsid w:val="00307DDF"/>
    <w:rsid w:val="003126B1"/>
    <w:rsid w:val="0031350F"/>
    <w:rsid w:val="00314A43"/>
    <w:rsid w:val="00322040"/>
    <w:rsid w:val="00322F62"/>
    <w:rsid w:val="00323203"/>
    <w:rsid w:val="00323669"/>
    <w:rsid w:val="003240B8"/>
    <w:rsid w:val="00324E71"/>
    <w:rsid w:val="00325422"/>
    <w:rsid w:val="00325D89"/>
    <w:rsid w:val="00332DA2"/>
    <w:rsid w:val="00333FDA"/>
    <w:rsid w:val="003340DE"/>
    <w:rsid w:val="00336ACB"/>
    <w:rsid w:val="0034025C"/>
    <w:rsid w:val="00340D19"/>
    <w:rsid w:val="00342C46"/>
    <w:rsid w:val="00344804"/>
    <w:rsid w:val="00344A19"/>
    <w:rsid w:val="0035106C"/>
    <w:rsid w:val="003518C8"/>
    <w:rsid w:val="003533B5"/>
    <w:rsid w:val="003622CA"/>
    <w:rsid w:val="00363030"/>
    <w:rsid w:val="0036462C"/>
    <w:rsid w:val="00364A42"/>
    <w:rsid w:val="00366281"/>
    <w:rsid w:val="003710F8"/>
    <w:rsid w:val="003723B0"/>
    <w:rsid w:val="00372487"/>
    <w:rsid w:val="003755FB"/>
    <w:rsid w:val="0037577C"/>
    <w:rsid w:val="00377F25"/>
    <w:rsid w:val="00385502"/>
    <w:rsid w:val="003901D9"/>
    <w:rsid w:val="00391A43"/>
    <w:rsid w:val="003921D1"/>
    <w:rsid w:val="003A110B"/>
    <w:rsid w:val="003A7416"/>
    <w:rsid w:val="003B0611"/>
    <w:rsid w:val="003B42D9"/>
    <w:rsid w:val="003C3140"/>
    <w:rsid w:val="003C3E02"/>
    <w:rsid w:val="003C3FE8"/>
    <w:rsid w:val="003C6FC8"/>
    <w:rsid w:val="003C73F9"/>
    <w:rsid w:val="003C7EBB"/>
    <w:rsid w:val="003D1F5A"/>
    <w:rsid w:val="003D5598"/>
    <w:rsid w:val="003D5F07"/>
    <w:rsid w:val="003D6AB5"/>
    <w:rsid w:val="003E0AD6"/>
    <w:rsid w:val="003E3FF5"/>
    <w:rsid w:val="003E4F24"/>
    <w:rsid w:val="003E5354"/>
    <w:rsid w:val="003E7475"/>
    <w:rsid w:val="003F51F4"/>
    <w:rsid w:val="003F52C6"/>
    <w:rsid w:val="003F558E"/>
    <w:rsid w:val="003F59CC"/>
    <w:rsid w:val="00401660"/>
    <w:rsid w:val="004039CF"/>
    <w:rsid w:val="00403D6E"/>
    <w:rsid w:val="00407AC0"/>
    <w:rsid w:val="00412E30"/>
    <w:rsid w:val="00417002"/>
    <w:rsid w:val="004170AF"/>
    <w:rsid w:val="004202C3"/>
    <w:rsid w:val="0042537D"/>
    <w:rsid w:val="00432BB7"/>
    <w:rsid w:val="004331E9"/>
    <w:rsid w:val="00433E8D"/>
    <w:rsid w:val="00434136"/>
    <w:rsid w:val="00434AAA"/>
    <w:rsid w:val="0043592C"/>
    <w:rsid w:val="00437320"/>
    <w:rsid w:val="00441207"/>
    <w:rsid w:val="004422CA"/>
    <w:rsid w:val="00443807"/>
    <w:rsid w:val="004462F7"/>
    <w:rsid w:val="00454114"/>
    <w:rsid w:val="0046019D"/>
    <w:rsid w:val="0046055D"/>
    <w:rsid w:val="00462CB8"/>
    <w:rsid w:val="00464536"/>
    <w:rsid w:val="0046514E"/>
    <w:rsid w:val="0046623C"/>
    <w:rsid w:val="00467739"/>
    <w:rsid w:val="00470D0C"/>
    <w:rsid w:val="00474E22"/>
    <w:rsid w:val="0047608F"/>
    <w:rsid w:val="00476257"/>
    <w:rsid w:val="00476554"/>
    <w:rsid w:val="004813D4"/>
    <w:rsid w:val="00486AC9"/>
    <w:rsid w:val="00491D91"/>
    <w:rsid w:val="004926AA"/>
    <w:rsid w:val="004931C7"/>
    <w:rsid w:val="00494C4C"/>
    <w:rsid w:val="0049580C"/>
    <w:rsid w:val="0049768F"/>
    <w:rsid w:val="004A04E5"/>
    <w:rsid w:val="004A1495"/>
    <w:rsid w:val="004A196C"/>
    <w:rsid w:val="004A2165"/>
    <w:rsid w:val="004A468E"/>
    <w:rsid w:val="004A5F74"/>
    <w:rsid w:val="004A6374"/>
    <w:rsid w:val="004B07B9"/>
    <w:rsid w:val="004B1052"/>
    <w:rsid w:val="004B6B14"/>
    <w:rsid w:val="004C068F"/>
    <w:rsid w:val="004C39BC"/>
    <w:rsid w:val="004C510A"/>
    <w:rsid w:val="004C7594"/>
    <w:rsid w:val="004C7B3D"/>
    <w:rsid w:val="004D0C36"/>
    <w:rsid w:val="004D2ED2"/>
    <w:rsid w:val="004D5CFF"/>
    <w:rsid w:val="004E41CC"/>
    <w:rsid w:val="004E47EC"/>
    <w:rsid w:val="004E514F"/>
    <w:rsid w:val="004E737F"/>
    <w:rsid w:val="004F03DE"/>
    <w:rsid w:val="004F21E9"/>
    <w:rsid w:val="004F22DA"/>
    <w:rsid w:val="00502165"/>
    <w:rsid w:val="00504834"/>
    <w:rsid w:val="00504C7A"/>
    <w:rsid w:val="00505AEE"/>
    <w:rsid w:val="0050632E"/>
    <w:rsid w:val="0050752D"/>
    <w:rsid w:val="00511EF3"/>
    <w:rsid w:val="00512915"/>
    <w:rsid w:val="0051386E"/>
    <w:rsid w:val="00513E7E"/>
    <w:rsid w:val="00514507"/>
    <w:rsid w:val="0051475B"/>
    <w:rsid w:val="00515B78"/>
    <w:rsid w:val="00521350"/>
    <w:rsid w:val="0052690E"/>
    <w:rsid w:val="00531955"/>
    <w:rsid w:val="0053454E"/>
    <w:rsid w:val="005351B9"/>
    <w:rsid w:val="00536011"/>
    <w:rsid w:val="00540506"/>
    <w:rsid w:val="005416A8"/>
    <w:rsid w:val="00547BEA"/>
    <w:rsid w:val="00550B79"/>
    <w:rsid w:val="0055150B"/>
    <w:rsid w:val="005532F9"/>
    <w:rsid w:val="0055440B"/>
    <w:rsid w:val="0055648B"/>
    <w:rsid w:val="0055708D"/>
    <w:rsid w:val="005606BE"/>
    <w:rsid w:val="00561CA6"/>
    <w:rsid w:val="00564565"/>
    <w:rsid w:val="005647BE"/>
    <w:rsid w:val="00565CE4"/>
    <w:rsid w:val="00565EC2"/>
    <w:rsid w:val="00566093"/>
    <w:rsid w:val="00566299"/>
    <w:rsid w:val="00566CA8"/>
    <w:rsid w:val="00570813"/>
    <w:rsid w:val="0057156F"/>
    <w:rsid w:val="005719A3"/>
    <w:rsid w:val="00571B30"/>
    <w:rsid w:val="0057250E"/>
    <w:rsid w:val="005725F6"/>
    <w:rsid w:val="00572BAA"/>
    <w:rsid w:val="0057327A"/>
    <w:rsid w:val="00573F90"/>
    <w:rsid w:val="0057699D"/>
    <w:rsid w:val="00581BCD"/>
    <w:rsid w:val="005843C5"/>
    <w:rsid w:val="00586817"/>
    <w:rsid w:val="00586D92"/>
    <w:rsid w:val="00587289"/>
    <w:rsid w:val="00587507"/>
    <w:rsid w:val="00593A78"/>
    <w:rsid w:val="005964C0"/>
    <w:rsid w:val="00596A0B"/>
    <w:rsid w:val="00596E05"/>
    <w:rsid w:val="00596F85"/>
    <w:rsid w:val="005970FA"/>
    <w:rsid w:val="005A0176"/>
    <w:rsid w:val="005A088E"/>
    <w:rsid w:val="005A2298"/>
    <w:rsid w:val="005A2848"/>
    <w:rsid w:val="005A28C1"/>
    <w:rsid w:val="005A72FC"/>
    <w:rsid w:val="005B0388"/>
    <w:rsid w:val="005B109A"/>
    <w:rsid w:val="005B19E0"/>
    <w:rsid w:val="005B4380"/>
    <w:rsid w:val="005B5DE5"/>
    <w:rsid w:val="005C1454"/>
    <w:rsid w:val="005C2FD5"/>
    <w:rsid w:val="005C5378"/>
    <w:rsid w:val="005C5722"/>
    <w:rsid w:val="005D2AB9"/>
    <w:rsid w:val="005D34E2"/>
    <w:rsid w:val="005D496E"/>
    <w:rsid w:val="005D6C0B"/>
    <w:rsid w:val="005D7C20"/>
    <w:rsid w:val="005E374E"/>
    <w:rsid w:val="005E6419"/>
    <w:rsid w:val="005E6960"/>
    <w:rsid w:val="005E7EB8"/>
    <w:rsid w:val="005F0FA9"/>
    <w:rsid w:val="005F18D6"/>
    <w:rsid w:val="005F337A"/>
    <w:rsid w:val="005F72DE"/>
    <w:rsid w:val="0060024E"/>
    <w:rsid w:val="00602089"/>
    <w:rsid w:val="00603024"/>
    <w:rsid w:val="00607ABF"/>
    <w:rsid w:val="006116E3"/>
    <w:rsid w:val="00612064"/>
    <w:rsid w:val="00613994"/>
    <w:rsid w:val="00621A95"/>
    <w:rsid w:val="00624400"/>
    <w:rsid w:val="00624E51"/>
    <w:rsid w:val="00626162"/>
    <w:rsid w:val="006306C3"/>
    <w:rsid w:val="00634719"/>
    <w:rsid w:val="00636A5D"/>
    <w:rsid w:val="006373F9"/>
    <w:rsid w:val="00646172"/>
    <w:rsid w:val="006503E8"/>
    <w:rsid w:val="0065148A"/>
    <w:rsid w:val="00651CC9"/>
    <w:rsid w:val="006547E9"/>
    <w:rsid w:val="00654A4A"/>
    <w:rsid w:val="0065545A"/>
    <w:rsid w:val="00655657"/>
    <w:rsid w:val="006556A7"/>
    <w:rsid w:val="0066142E"/>
    <w:rsid w:val="006626F6"/>
    <w:rsid w:val="006661CF"/>
    <w:rsid w:val="00670BFD"/>
    <w:rsid w:val="00671E4C"/>
    <w:rsid w:val="00672B22"/>
    <w:rsid w:val="00674295"/>
    <w:rsid w:val="006818A8"/>
    <w:rsid w:val="00681A51"/>
    <w:rsid w:val="00682469"/>
    <w:rsid w:val="00683266"/>
    <w:rsid w:val="00683D97"/>
    <w:rsid w:val="00684FCA"/>
    <w:rsid w:val="00685105"/>
    <w:rsid w:val="00686A01"/>
    <w:rsid w:val="00686B5C"/>
    <w:rsid w:val="006879DE"/>
    <w:rsid w:val="006945BD"/>
    <w:rsid w:val="006959BD"/>
    <w:rsid w:val="006962FB"/>
    <w:rsid w:val="00696997"/>
    <w:rsid w:val="006A148D"/>
    <w:rsid w:val="006A1DCF"/>
    <w:rsid w:val="006A224F"/>
    <w:rsid w:val="006A6087"/>
    <w:rsid w:val="006A758C"/>
    <w:rsid w:val="006B22C2"/>
    <w:rsid w:val="006B346F"/>
    <w:rsid w:val="006C1EEC"/>
    <w:rsid w:val="006C256E"/>
    <w:rsid w:val="006C3AE2"/>
    <w:rsid w:val="006C3CB9"/>
    <w:rsid w:val="006C3F75"/>
    <w:rsid w:val="006C3FEA"/>
    <w:rsid w:val="006C4A20"/>
    <w:rsid w:val="006C69E7"/>
    <w:rsid w:val="006D10AE"/>
    <w:rsid w:val="006D29F2"/>
    <w:rsid w:val="006D5BA2"/>
    <w:rsid w:val="006D7080"/>
    <w:rsid w:val="006D7CA2"/>
    <w:rsid w:val="006E065B"/>
    <w:rsid w:val="006E09D3"/>
    <w:rsid w:val="006E1E68"/>
    <w:rsid w:val="006E1E6C"/>
    <w:rsid w:val="006E1FDD"/>
    <w:rsid w:val="006E4254"/>
    <w:rsid w:val="006E5505"/>
    <w:rsid w:val="006E633E"/>
    <w:rsid w:val="006F240A"/>
    <w:rsid w:val="006F2FB3"/>
    <w:rsid w:val="006F346F"/>
    <w:rsid w:val="006F531B"/>
    <w:rsid w:val="006F5D5F"/>
    <w:rsid w:val="006F62BC"/>
    <w:rsid w:val="00700691"/>
    <w:rsid w:val="00701370"/>
    <w:rsid w:val="0070142E"/>
    <w:rsid w:val="00702493"/>
    <w:rsid w:val="007040DD"/>
    <w:rsid w:val="00706F91"/>
    <w:rsid w:val="00710851"/>
    <w:rsid w:val="00713192"/>
    <w:rsid w:val="00714F3B"/>
    <w:rsid w:val="00715FA6"/>
    <w:rsid w:val="007166F7"/>
    <w:rsid w:val="00716AEF"/>
    <w:rsid w:val="00717076"/>
    <w:rsid w:val="00717296"/>
    <w:rsid w:val="00723FB6"/>
    <w:rsid w:val="00727370"/>
    <w:rsid w:val="00730AF8"/>
    <w:rsid w:val="00732CCF"/>
    <w:rsid w:val="00735D9E"/>
    <w:rsid w:val="0074109C"/>
    <w:rsid w:val="00742335"/>
    <w:rsid w:val="007427D5"/>
    <w:rsid w:val="00742842"/>
    <w:rsid w:val="00753376"/>
    <w:rsid w:val="007543B0"/>
    <w:rsid w:val="007568A9"/>
    <w:rsid w:val="00761514"/>
    <w:rsid w:val="00763CE7"/>
    <w:rsid w:val="00764631"/>
    <w:rsid w:val="007655D8"/>
    <w:rsid w:val="007706B0"/>
    <w:rsid w:val="00770A31"/>
    <w:rsid w:val="0077128B"/>
    <w:rsid w:val="00772177"/>
    <w:rsid w:val="00774CE9"/>
    <w:rsid w:val="0077556F"/>
    <w:rsid w:val="007756C7"/>
    <w:rsid w:val="00775C65"/>
    <w:rsid w:val="0077639A"/>
    <w:rsid w:val="00776D99"/>
    <w:rsid w:val="0078100C"/>
    <w:rsid w:val="00781571"/>
    <w:rsid w:val="0078157F"/>
    <w:rsid w:val="00782FA0"/>
    <w:rsid w:val="00786F48"/>
    <w:rsid w:val="0078772C"/>
    <w:rsid w:val="007878E4"/>
    <w:rsid w:val="007963BD"/>
    <w:rsid w:val="007A385A"/>
    <w:rsid w:val="007A3B16"/>
    <w:rsid w:val="007A4783"/>
    <w:rsid w:val="007A5191"/>
    <w:rsid w:val="007B0500"/>
    <w:rsid w:val="007B0E81"/>
    <w:rsid w:val="007B111B"/>
    <w:rsid w:val="007B3AE8"/>
    <w:rsid w:val="007B4418"/>
    <w:rsid w:val="007B5F19"/>
    <w:rsid w:val="007B5F62"/>
    <w:rsid w:val="007B66B3"/>
    <w:rsid w:val="007B7077"/>
    <w:rsid w:val="007C3003"/>
    <w:rsid w:val="007C455B"/>
    <w:rsid w:val="007C6B60"/>
    <w:rsid w:val="007C6F85"/>
    <w:rsid w:val="007D2040"/>
    <w:rsid w:val="007D3AA0"/>
    <w:rsid w:val="007D3FE2"/>
    <w:rsid w:val="007D5690"/>
    <w:rsid w:val="007D69FA"/>
    <w:rsid w:val="007E1600"/>
    <w:rsid w:val="007E6311"/>
    <w:rsid w:val="008009F2"/>
    <w:rsid w:val="008024D4"/>
    <w:rsid w:val="00806A36"/>
    <w:rsid w:val="00810603"/>
    <w:rsid w:val="008114C2"/>
    <w:rsid w:val="00811A28"/>
    <w:rsid w:val="008130DB"/>
    <w:rsid w:val="00814283"/>
    <w:rsid w:val="00815769"/>
    <w:rsid w:val="00815BAD"/>
    <w:rsid w:val="00820209"/>
    <w:rsid w:val="00820F35"/>
    <w:rsid w:val="00820FEC"/>
    <w:rsid w:val="0082393D"/>
    <w:rsid w:val="00827CE5"/>
    <w:rsid w:val="0083324D"/>
    <w:rsid w:val="008401A9"/>
    <w:rsid w:val="008412DF"/>
    <w:rsid w:val="00841733"/>
    <w:rsid w:val="0084270A"/>
    <w:rsid w:val="00844D38"/>
    <w:rsid w:val="00844D85"/>
    <w:rsid w:val="00846822"/>
    <w:rsid w:val="00846E83"/>
    <w:rsid w:val="00847AB0"/>
    <w:rsid w:val="008524BE"/>
    <w:rsid w:val="00853BC2"/>
    <w:rsid w:val="0085402A"/>
    <w:rsid w:val="00854278"/>
    <w:rsid w:val="00856063"/>
    <w:rsid w:val="00856B53"/>
    <w:rsid w:val="00857172"/>
    <w:rsid w:val="0086236A"/>
    <w:rsid w:val="0086632D"/>
    <w:rsid w:val="00870074"/>
    <w:rsid w:val="0087035A"/>
    <w:rsid w:val="0087282C"/>
    <w:rsid w:val="0087347D"/>
    <w:rsid w:val="008749E2"/>
    <w:rsid w:val="0087708E"/>
    <w:rsid w:val="00881673"/>
    <w:rsid w:val="00882DAD"/>
    <w:rsid w:val="00885263"/>
    <w:rsid w:val="008855BB"/>
    <w:rsid w:val="00890B02"/>
    <w:rsid w:val="00891EF0"/>
    <w:rsid w:val="00892DA5"/>
    <w:rsid w:val="008949B1"/>
    <w:rsid w:val="00896041"/>
    <w:rsid w:val="0089713E"/>
    <w:rsid w:val="008971B8"/>
    <w:rsid w:val="008A10F3"/>
    <w:rsid w:val="008A4682"/>
    <w:rsid w:val="008A4DF6"/>
    <w:rsid w:val="008A5C0F"/>
    <w:rsid w:val="008B1596"/>
    <w:rsid w:val="008B75E0"/>
    <w:rsid w:val="008B7714"/>
    <w:rsid w:val="008C09C4"/>
    <w:rsid w:val="008C1F44"/>
    <w:rsid w:val="008C3EA6"/>
    <w:rsid w:val="008C6018"/>
    <w:rsid w:val="008C646F"/>
    <w:rsid w:val="008D3B80"/>
    <w:rsid w:val="008D7A8F"/>
    <w:rsid w:val="008D7F20"/>
    <w:rsid w:val="008E3E4B"/>
    <w:rsid w:val="008E4EF9"/>
    <w:rsid w:val="008E6DFC"/>
    <w:rsid w:val="008E7710"/>
    <w:rsid w:val="008F2510"/>
    <w:rsid w:val="008F78A8"/>
    <w:rsid w:val="00900D4D"/>
    <w:rsid w:val="00901334"/>
    <w:rsid w:val="00903F34"/>
    <w:rsid w:val="00905C0A"/>
    <w:rsid w:val="00911BC6"/>
    <w:rsid w:val="009122F8"/>
    <w:rsid w:val="00915520"/>
    <w:rsid w:val="009155F7"/>
    <w:rsid w:val="00916FA1"/>
    <w:rsid w:val="00920161"/>
    <w:rsid w:val="00921131"/>
    <w:rsid w:val="0092195B"/>
    <w:rsid w:val="00922CB6"/>
    <w:rsid w:val="00923DEF"/>
    <w:rsid w:val="009247F5"/>
    <w:rsid w:val="00924D36"/>
    <w:rsid w:val="00925576"/>
    <w:rsid w:val="00926AB2"/>
    <w:rsid w:val="009279B1"/>
    <w:rsid w:val="009356E6"/>
    <w:rsid w:val="009407FE"/>
    <w:rsid w:val="00940BD4"/>
    <w:rsid w:val="009419FA"/>
    <w:rsid w:val="00942436"/>
    <w:rsid w:val="00946658"/>
    <w:rsid w:val="00954733"/>
    <w:rsid w:val="009550CD"/>
    <w:rsid w:val="00957603"/>
    <w:rsid w:val="00957A1D"/>
    <w:rsid w:val="009643A1"/>
    <w:rsid w:val="0096487B"/>
    <w:rsid w:val="00965B9E"/>
    <w:rsid w:val="0097038B"/>
    <w:rsid w:val="00974423"/>
    <w:rsid w:val="00975572"/>
    <w:rsid w:val="009757D1"/>
    <w:rsid w:val="0097674C"/>
    <w:rsid w:val="00977682"/>
    <w:rsid w:val="00980205"/>
    <w:rsid w:val="00980754"/>
    <w:rsid w:val="00980E14"/>
    <w:rsid w:val="00981535"/>
    <w:rsid w:val="0098222F"/>
    <w:rsid w:val="009825C8"/>
    <w:rsid w:val="0098409F"/>
    <w:rsid w:val="00984489"/>
    <w:rsid w:val="00985537"/>
    <w:rsid w:val="009903EE"/>
    <w:rsid w:val="00991698"/>
    <w:rsid w:val="00991C17"/>
    <w:rsid w:val="00992D1E"/>
    <w:rsid w:val="00997EB2"/>
    <w:rsid w:val="009A06F5"/>
    <w:rsid w:val="009A0788"/>
    <w:rsid w:val="009A0E92"/>
    <w:rsid w:val="009A17EC"/>
    <w:rsid w:val="009A4C0F"/>
    <w:rsid w:val="009A7AA4"/>
    <w:rsid w:val="009B03DF"/>
    <w:rsid w:val="009B1498"/>
    <w:rsid w:val="009B2262"/>
    <w:rsid w:val="009B29CF"/>
    <w:rsid w:val="009B5522"/>
    <w:rsid w:val="009B6AF0"/>
    <w:rsid w:val="009C1B02"/>
    <w:rsid w:val="009C292D"/>
    <w:rsid w:val="009C2CED"/>
    <w:rsid w:val="009C41C8"/>
    <w:rsid w:val="009C5F0C"/>
    <w:rsid w:val="009C67C0"/>
    <w:rsid w:val="009D1035"/>
    <w:rsid w:val="009D13D0"/>
    <w:rsid w:val="009D2068"/>
    <w:rsid w:val="009D46F3"/>
    <w:rsid w:val="009D4C89"/>
    <w:rsid w:val="009D571C"/>
    <w:rsid w:val="009D7D33"/>
    <w:rsid w:val="009E4DD4"/>
    <w:rsid w:val="009E4E3F"/>
    <w:rsid w:val="009E698B"/>
    <w:rsid w:val="009F1547"/>
    <w:rsid w:val="009F1F02"/>
    <w:rsid w:val="009F4ABA"/>
    <w:rsid w:val="00A030DD"/>
    <w:rsid w:val="00A04550"/>
    <w:rsid w:val="00A066AE"/>
    <w:rsid w:val="00A10DD9"/>
    <w:rsid w:val="00A10E05"/>
    <w:rsid w:val="00A12C6B"/>
    <w:rsid w:val="00A14117"/>
    <w:rsid w:val="00A149FA"/>
    <w:rsid w:val="00A16D72"/>
    <w:rsid w:val="00A17DF0"/>
    <w:rsid w:val="00A20F78"/>
    <w:rsid w:val="00A218F1"/>
    <w:rsid w:val="00A278AB"/>
    <w:rsid w:val="00A27DEE"/>
    <w:rsid w:val="00A31B93"/>
    <w:rsid w:val="00A36028"/>
    <w:rsid w:val="00A375EF"/>
    <w:rsid w:val="00A37AD7"/>
    <w:rsid w:val="00A47557"/>
    <w:rsid w:val="00A50D8A"/>
    <w:rsid w:val="00A528C2"/>
    <w:rsid w:val="00A54AFD"/>
    <w:rsid w:val="00A54E69"/>
    <w:rsid w:val="00A6006E"/>
    <w:rsid w:val="00A613AA"/>
    <w:rsid w:val="00A61618"/>
    <w:rsid w:val="00A61B06"/>
    <w:rsid w:val="00A62113"/>
    <w:rsid w:val="00A634F6"/>
    <w:rsid w:val="00A66D9E"/>
    <w:rsid w:val="00A6759C"/>
    <w:rsid w:val="00A67923"/>
    <w:rsid w:val="00A713ED"/>
    <w:rsid w:val="00A714B8"/>
    <w:rsid w:val="00A71EF0"/>
    <w:rsid w:val="00A72C26"/>
    <w:rsid w:val="00A7353B"/>
    <w:rsid w:val="00A74901"/>
    <w:rsid w:val="00A75733"/>
    <w:rsid w:val="00A75753"/>
    <w:rsid w:val="00A76308"/>
    <w:rsid w:val="00A77C08"/>
    <w:rsid w:val="00A81527"/>
    <w:rsid w:val="00A81C53"/>
    <w:rsid w:val="00A82058"/>
    <w:rsid w:val="00A825E1"/>
    <w:rsid w:val="00A82CA8"/>
    <w:rsid w:val="00A84AE7"/>
    <w:rsid w:val="00A854E5"/>
    <w:rsid w:val="00A867DC"/>
    <w:rsid w:val="00A869B0"/>
    <w:rsid w:val="00A9289F"/>
    <w:rsid w:val="00A92C1D"/>
    <w:rsid w:val="00A96905"/>
    <w:rsid w:val="00AA0C77"/>
    <w:rsid w:val="00AA1D27"/>
    <w:rsid w:val="00AA204C"/>
    <w:rsid w:val="00AA27C1"/>
    <w:rsid w:val="00AA2D57"/>
    <w:rsid w:val="00AA3941"/>
    <w:rsid w:val="00AA4EB9"/>
    <w:rsid w:val="00AA56D0"/>
    <w:rsid w:val="00AB0C9F"/>
    <w:rsid w:val="00AB143A"/>
    <w:rsid w:val="00AB508E"/>
    <w:rsid w:val="00AC003C"/>
    <w:rsid w:val="00AC0103"/>
    <w:rsid w:val="00AC1404"/>
    <w:rsid w:val="00AC5518"/>
    <w:rsid w:val="00AC65D2"/>
    <w:rsid w:val="00AD039F"/>
    <w:rsid w:val="00AD07D0"/>
    <w:rsid w:val="00AD2726"/>
    <w:rsid w:val="00AD3902"/>
    <w:rsid w:val="00AD5C72"/>
    <w:rsid w:val="00AD6010"/>
    <w:rsid w:val="00AE33FF"/>
    <w:rsid w:val="00AE3E0B"/>
    <w:rsid w:val="00AE47DB"/>
    <w:rsid w:val="00AE4C7A"/>
    <w:rsid w:val="00AF06D5"/>
    <w:rsid w:val="00AF09DD"/>
    <w:rsid w:val="00B02494"/>
    <w:rsid w:val="00B02655"/>
    <w:rsid w:val="00B04925"/>
    <w:rsid w:val="00B05102"/>
    <w:rsid w:val="00B102A9"/>
    <w:rsid w:val="00B1097E"/>
    <w:rsid w:val="00B12C2E"/>
    <w:rsid w:val="00B16A34"/>
    <w:rsid w:val="00B17346"/>
    <w:rsid w:val="00B17659"/>
    <w:rsid w:val="00B25453"/>
    <w:rsid w:val="00B2549D"/>
    <w:rsid w:val="00B311F2"/>
    <w:rsid w:val="00B31B9C"/>
    <w:rsid w:val="00B34D6C"/>
    <w:rsid w:val="00B378C2"/>
    <w:rsid w:val="00B44241"/>
    <w:rsid w:val="00B46535"/>
    <w:rsid w:val="00B5544F"/>
    <w:rsid w:val="00B55E5D"/>
    <w:rsid w:val="00B56D48"/>
    <w:rsid w:val="00B5772F"/>
    <w:rsid w:val="00B57849"/>
    <w:rsid w:val="00B60A36"/>
    <w:rsid w:val="00B6678C"/>
    <w:rsid w:val="00B66867"/>
    <w:rsid w:val="00B66994"/>
    <w:rsid w:val="00B6706C"/>
    <w:rsid w:val="00B71AFB"/>
    <w:rsid w:val="00B71F3A"/>
    <w:rsid w:val="00B73C97"/>
    <w:rsid w:val="00B76340"/>
    <w:rsid w:val="00B80C43"/>
    <w:rsid w:val="00B94786"/>
    <w:rsid w:val="00BA08FA"/>
    <w:rsid w:val="00BA10BE"/>
    <w:rsid w:val="00BA377F"/>
    <w:rsid w:val="00BA78B6"/>
    <w:rsid w:val="00BB1FFD"/>
    <w:rsid w:val="00BB26AD"/>
    <w:rsid w:val="00BB4FF1"/>
    <w:rsid w:val="00BB5CE8"/>
    <w:rsid w:val="00BB6E3A"/>
    <w:rsid w:val="00BB79BD"/>
    <w:rsid w:val="00BC054F"/>
    <w:rsid w:val="00BC08C7"/>
    <w:rsid w:val="00BC2A43"/>
    <w:rsid w:val="00BC5C9F"/>
    <w:rsid w:val="00BC7208"/>
    <w:rsid w:val="00BD0B48"/>
    <w:rsid w:val="00BD1F7C"/>
    <w:rsid w:val="00BD2A0A"/>
    <w:rsid w:val="00BD5D0F"/>
    <w:rsid w:val="00BD7C68"/>
    <w:rsid w:val="00BE1CBC"/>
    <w:rsid w:val="00BE29DC"/>
    <w:rsid w:val="00BE7B14"/>
    <w:rsid w:val="00BF17EB"/>
    <w:rsid w:val="00BF43DA"/>
    <w:rsid w:val="00BF697A"/>
    <w:rsid w:val="00BF6ADB"/>
    <w:rsid w:val="00C03776"/>
    <w:rsid w:val="00C07DB4"/>
    <w:rsid w:val="00C13821"/>
    <w:rsid w:val="00C14051"/>
    <w:rsid w:val="00C15F73"/>
    <w:rsid w:val="00C16E76"/>
    <w:rsid w:val="00C1785A"/>
    <w:rsid w:val="00C20324"/>
    <w:rsid w:val="00C2037B"/>
    <w:rsid w:val="00C21B78"/>
    <w:rsid w:val="00C22F2D"/>
    <w:rsid w:val="00C22FF7"/>
    <w:rsid w:val="00C27AFA"/>
    <w:rsid w:val="00C27F76"/>
    <w:rsid w:val="00C30DA4"/>
    <w:rsid w:val="00C32F43"/>
    <w:rsid w:val="00C33414"/>
    <w:rsid w:val="00C365EE"/>
    <w:rsid w:val="00C40C35"/>
    <w:rsid w:val="00C41ECA"/>
    <w:rsid w:val="00C44719"/>
    <w:rsid w:val="00C47FE8"/>
    <w:rsid w:val="00C50108"/>
    <w:rsid w:val="00C51056"/>
    <w:rsid w:val="00C53E91"/>
    <w:rsid w:val="00C55076"/>
    <w:rsid w:val="00C6572C"/>
    <w:rsid w:val="00C70CFF"/>
    <w:rsid w:val="00C75655"/>
    <w:rsid w:val="00C8070A"/>
    <w:rsid w:val="00C81CC8"/>
    <w:rsid w:val="00C837C3"/>
    <w:rsid w:val="00C84497"/>
    <w:rsid w:val="00C868F6"/>
    <w:rsid w:val="00C9041D"/>
    <w:rsid w:val="00C9137C"/>
    <w:rsid w:val="00C91644"/>
    <w:rsid w:val="00C9299B"/>
    <w:rsid w:val="00C9663B"/>
    <w:rsid w:val="00CA32E1"/>
    <w:rsid w:val="00CA3C9B"/>
    <w:rsid w:val="00CA43A5"/>
    <w:rsid w:val="00CA7C0B"/>
    <w:rsid w:val="00CB0071"/>
    <w:rsid w:val="00CB44B1"/>
    <w:rsid w:val="00CB4762"/>
    <w:rsid w:val="00CB6E2B"/>
    <w:rsid w:val="00CB6FF7"/>
    <w:rsid w:val="00CB7302"/>
    <w:rsid w:val="00CC0B94"/>
    <w:rsid w:val="00CC1E9F"/>
    <w:rsid w:val="00CC2E86"/>
    <w:rsid w:val="00CC3680"/>
    <w:rsid w:val="00CC3AA7"/>
    <w:rsid w:val="00CC5896"/>
    <w:rsid w:val="00CC76BB"/>
    <w:rsid w:val="00CD501D"/>
    <w:rsid w:val="00CD77FB"/>
    <w:rsid w:val="00CE0C35"/>
    <w:rsid w:val="00CE237E"/>
    <w:rsid w:val="00CE3810"/>
    <w:rsid w:val="00CE3EC9"/>
    <w:rsid w:val="00CE431C"/>
    <w:rsid w:val="00CE4E71"/>
    <w:rsid w:val="00CE52B4"/>
    <w:rsid w:val="00CE5DCD"/>
    <w:rsid w:val="00CE701C"/>
    <w:rsid w:val="00CE7599"/>
    <w:rsid w:val="00CE7C2C"/>
    <w:rsid w:val="00CF1D7C"/>
    <w:rsid w:val="00CF27DF"/>
    <w:rsid w:val="00CF380C"/>
    <w:rsid w:val="00CF414A"/>
    <w:rsid w:val="00CF4FF0"/>
    <w:rsid w:val="00CF5B47"/>
    <w:rsid w:val="00D051BD"/>
    <w:rsid w:val="00D054E9"/>
    <w:rsid w:val="00D104F9"/>
    <w:rsid w:val="00D14323"/>
    <w:rsid w:val="00D16008"/>
    <w:rsid w:val="00D166D4"/>
    <w:rsid w:val="00D17CC2"/>
    <w:rsid w:val="00D21327"/>
    <w:rsid w:val="00D229C9"/>
    <w:rsid w:val="00D234E0"/>
    <w:rsid w:val="00D30254"/>
    <w:rsid w:val="00D30FF5"/>
    <w:rsid w:val="00D32DF4"/>
    <w:rsid w:val="00D33768"/>
    <w:rsid w:val="00D33D87"/>
    <w:rsid w:val="00D33DCA"/>
    <w:rsid w:val="00D35077"/>
    <w:rsid w:val="00D35A6E"/>
    <w:rsid w:val="00D408A8"/>
    <w:rsid w:val="00D4561D"/>
    <w:rsid w:val="00D456A6"/>
    <w:rsid w:val="00D45FFE"/>
    <w:rsid w:val="00D4635A"/>
    <w:rsid w:val="00D46BB4"/>
    <w:rsid w:val="00D46DAE"/>
    <w:rsid w:val="00D51C8F"/>
    <w:rsid w:val="00D5204B"/>
    <w:rsid w:val="00D54C10"/>
    <w:rsid w:val="00D55191"/>
    <w:rsid w:val="00D55CD0"/>
    <w:rsid w:val="00D57544"/>
    <w:rsid w:val="00D57973"/>
    <w:rsid w:val="00D60CE2"/>
    <w:rsid w:val="00D612EC"/>
    <w:rsid w:val="00D6153E"/>
    <w:rsid w:val="00D623C4"/>
    <w:rsid w:val="00D722DF"/>
    <w:rsid w:val="00D76C62"/>
    <w:rsid w:val="00D76DA0"/>
    <w:rsid w:val="00D83E60"/>
    <w:rsid w:val="00D84675"/>
    <w:rsid w:val="00D8491F"/>
    <w:rsid w:val="00D8526A"/>
    <w:rsid w:val="00D86252"/>
    <w:rsid w:val="00D90B3C"/>
    <w:rsid w:val="00D917F3"/>
    <w:rsid w:val="00D975A4"/>
    <w:rsid w:val="00D97BAA"/>
    <w:rsid w:val="00DA11BB"/>
    <w:rsid w:val="00DA3AF3"/>
    <w:rsid w:val="00DA5455"/>
    <w:rsid w:val="00DA559F"/>
    <w:rsid w:val="00DA5C2B"/>
    <w:rsid w:val="00DB080F"/>
    <w:rsid w:val="00DB15E2"/>
    <w:rsid w:val="00DB2F36"/>
    <w:rsid w:val="00DB3295"/>
    <w:rsid w:val="00DB5EFB"/>
    <w:rsid w:val="00DB6EF1"/>
    <w:rsid w:val="00DC19BB"/>
    <w:rsid w:val="00DC3789"/>
    <w:rsid w:val="00DC6404"/>
    <w:rsid w:val="00DC739B"/>
    <w:rsid w:val="00DD35FA"/>
    <w:rsid w:val="00DD7139"/>
    <w:rsid w:val="00DD7FDF"/>
    <w:rsid w:val="00DE1703"/>
    <w:rsid w:val="00DE25AC"/>
    <w:rsid w:val="00DE2A11"/>
    <w:rsid w:val="00DF568D"/>
    <w:rsid w:val="00DF6FA5"/>
    <w:rsid w:val="00E008C5"/>
    <w:rsid w:val="00E00CCB"/>
    <w:rsid w:val="00E042C7"/>
    <w:rsid w:val="00E0781A"/>
    <w:rsid w:val="00E11475"/>
    <w:rsid w:val="00E127C8"/>
    <w:rsid w:val="00E1649F"/>
    <w:rsid w:val="00E175A7"/>
    <w:rsid w:val="00E20168"/>
    <w:rsid w:val="00E20740"/>
    <w:rsid w:val="00E20E92"/>
    <w:rsid w:val="00E21E5B"/>
    <w:rsid w:val="00E245DA"/>
    <w:rsid w:val="00E24645"/>
    <w:rsid w:val="00E24DA2"/>
    <w:rsid w:val="00E304B5"/>
    <w:rsid w:val="00E31BCB"/>
    <w:rsid w:val="00E32963"/>
    <w:rsid w:val="00E337BC"/>
    <w:rsid w:val="00E350CD"/>
    <w:rsid w:val="00E372A9"/>
    <w:rsid w:val="00E4001B"/>
    <w:rsid w:val="00E45CBE"/>
    <w:rsid w:val="00E479BF"/>
    <w:rsid w:val="00E51FDE"/>
    <w:rsid w:val="00E52162"/>
    <w:rsid w:val="00E534B2"/>
    <w:rsid w:val="00E569DA"/>
    <w:rsid w:val="00E56B66"/>
    <w:rsid w:val="00E579AF"/>
    <w:rsid w:val="00E63D44"/>
    <w:rsid w:val="00E6720F"/>
    <w:rsid w:val="00E705B7"/>
    <w:rsid w:val="00E7086E"/>
    <w:rsid w:val="00E70ECC"/>
    <w:rsid w:val="00E71A89"/>
    <w:rsid w:val="00E77197"/>
    <w:rsid w:val="00E81B1A"/>
    <w:rsid w:val="00E8408C"/>
    <w:rsid w:val="00E840DC"/>
    <w:rsid w:val="00E84F77"/>
    <w:rsid w:val="00E84FB3"/>
    <w:rsid w:val="00E87037"/>
    <w:rsid w:val="00E96794"/>
    <w:rsid w:val="00EA0F03"/>
    <w:rsid w:val="00EA1EF9"/>
    <w:rsid w:val="00EA2CA0"/>
    <w:rsid w:val="00EA70AD"/>
    <w:rsid w:val="00EA7237"/>
    <w:rsid w:val="00EB055B"/>
    <w:rsid w:val="00EB0C40"/>
    <w:rsid w:val="00EB112A"/>
    <w:rsid w:val="00EB1383"/>
    <w:rsid w:val="00EB7E98"/>
    <w:rsid w:val="00EC1212"/>
    <w:rsid w:val="00EC1D3D"/>
    <w:rsid w:val="00EC3331"/>
    <w:rsid w:val="00EC677E"/>
    <w:rsid w:val="00EC76A0"/>
    <w:rsid w:val="00EC7E67"/>
    <w:rsid w:val="00EC7ED5"/>
    <w:rsid w:val="00ED293E"/>
    <w:rsid w:val="00ED5B5C"/>
    <w:rsid w:val="00ED70BD"/>
    <w:rsid w:val="00ED7819"/>
    <w:rsid w:val="00EE0B3E"/>
    <w:rsid w:val="00EE378B"/>
    <w:rsid w:val="00EE37BB"/>
    <w:rsid w:val="00EE53BF"/>
    <w:rsid w:val="00EE5659"/>
    <w:rsid w:val="00EE5F9F"/>
    <w:rsid w:val="00EE6EBC"/>
    <w:rsid w:val="00EF4099"/>
    <w:rsid w:val="00EF6BDC"/>
    <w:rsid w:val="00F01C4C"/>
    <w:rsid w:val="00F02786"/>
    <w:rsid w:val="00F0434F"/>
    <w:rsid w:val="00F04587"/>
    <w:rsid w:val="00F04F14"/>
    <w:rsid w:val="00F0670F"/>
    <w:rsid w:val="00F07FA6"/>
    <w:rsid w:val="00F11094"/>
    <w:rsid w:val="00F11BB3"/>
    <w:rsid w:val="00F11F6E"/>
    <w:rsid w:val="00F13036"/>
    <w:rsid w:val="00F17CF1"/>
    <w:rsid w:val="00F21D1A"/>
    <w:rsid w:val="00F22865"/>
    <w:rsid w:val="00F2321B"/>
    <w:rsid w:val="00F23DF6"/>
    <w:rsid w:val="00F24D75"/>
    <w:rsid w:val="00F24F83"/>
    <w:rsid w:val="00F261E3"/>
    <w:rsid w:val="00F2653B"/>
    <w:rsid w:val="00F2797C"/>
    <w:rsid w:val="00F314A7"/>
    <w:rsid w:val="00F316CA"/>
    <w:rsid w:val="00F31AFD"/>
    <w:rsid w:val="00F34B2F"/>
    <w:rsid w:val="00F34F33"/>
    <w:rsid w:val="00F36D1F"/>
    <w:rsid w:val="00F3769E"/>
    <w:rsid w:val="00F40F06"/>
    <w:rsid w:val="00F42418"/>
    <w:rsid w:val="00F42669"/>
    <w:rsid w:val="00F438D0"/>
    <w:rsid w:val="00F4749B"/>
    <w:rsid w:val="00F514FB"/>
    <w:rsid w:val="00F5312C"/>
    <w:rsid w:val="00F56CE9"/>
    <w:rsid w:val="00F61151"/>
    <w:rsid w:val="00F63B2E"/>
    <w:rsid w:val="00F64ECE"/>
    <w:rsid w:val="00F67B6E"/>
    <w:rsid w:val="00F77765"/>
    <w:rsid w:val="00F77EC3"/>
    <w:rsid w:val="00F8116C"/>
    <w:rsid w:val="00F81DFB"/>
    <w:rsid w:val="00F85E98"/>
    <w:rsid w:val="00F86C22"/>
    <w:rsid w:val="00F9165A"/>
    <w:rsid w:val="00F93FC0"/>
    <w:rsid w:val="00F9641D"/>
    <w:rsid w:val="00FA13DA"/>
    <w:rsid w:val="00FA3A0B"/>
    <w:rsid w:val="00FA4DF4"/>
    <w:rsid w:val="00FA7C8B"/>
    <w:rsid w:val="00FB0249"/>
    <w:rsid w:val="00FB103B"/>
    <w:rsid w:val="00FB4E2E"/>
    <w:rsid w:val="00FB6537"/>
    <w:rsid w:val="00FB793A"/>
    <w:rsid w:val="00FC060B"/>
    <w:rsid w:val="00FC0920"/>
    <w:rsid w:val="00FC405B"/>
    <w:rsid w:val="00FC448F"/>
    <w:rsid w:val="00FC5D6D"/>
    <w:rsid w:val="00FC5E92"/>
    <w:rsid w:val="00FD0759"/>
    <w:rsid w:val="00FD0E88"/>
    <w:rsid w:val="00FD2B96"/>
    <w:rsid w:val="00FD40CA"/>
    <w:rsid w:val="00FD6657"/>
    <w:rsid w:val="00FD7C75"/>
    <w:rsid w:val="00FE1443"/>
    <w:rsid w:val="00FE17D3"/>
    <w:rsid w:val="00FE6C25"/>
    <w:rsid w:val="00FE7D4B"/>
    <w:rsid w:val="00FF0735"/>
    <w:rsid w:val="00FF1A54"/>
    <w:rsid w:val="00FF30B4"/>
    <w:rsid w:val="00FF4779"/>
    <w:rsid w:val="00FF503B"/>
    <w:rsid w:val="00FF6E83"/>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unhideWhenUsed/>
    <w:rsid w:val="001B7DA2"/>
  </w:style>
  <w:style w:type="character" w:customStyle="1" w:styleId="FootnoteTextChar">
    <w:name w:val="Footnote Text Char"/>
    <w:basedOn w:val="DefaultParagraphFont"/>
    <w:link w:val="FootnoteText"/>
    <w:uiPriority w:val="99"/>
    <w:rsid w:val="001B7DA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9641D"/>
    <w:pPr>
      <w:tabs>
        <w:tab w:val="center" w:pos="4680"/>
        <w:tab w:val="right" w:pos="9360"/>
      </w:tabs>
    </w:pPr>
  </w:style>
  <w:style w:type="character" w:customStyle="1" w:styleId="HeaderChar">
    <w:name w:val="Header Char"/>
    <w:basedOn w:val="DefaultParagraphFont"/>
    <w:link w:val="Header"/>
    <w:uiPriority w:val="99"/>
    <w:rsid w:val="00F964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9641D"/>
    <w:pPr>
      <w:tabs>
        <w:tab w:val="center" w:pos="4680"/>
        <w:tab w:val="right" w:pos="9360"/>
      </w:tabs>
    </w:pPr>
  </w:style>
  <w:style w:type="character" w:customStyle="1" w:styleId="FooterChar">
    <w:name w:val="Footer Char"/>
    <w:basedOn w:val="DefaultParagraphFont"/>
    <w:link w:val="Footer"/>
    <w:uiPriority w:val="99"/>
    <w:rsid w:val="00F9641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C448F"/>
    <w:rPr>
      <w:sz w:val="16"/>
      <w:szCs w:val="16"/>
    </w:rPr>
  </w:style>
  <w:style w:type="paragraph" w:styleId="CommentText">
    <w:name w:val="annotation text"/>
    <w:basedOn w:val="Normal"/>
    <w:link w:val="CommentTextChar"/>
    <w:uiPriority w:val="99"/>
    <w:semiHidden/>
    <w:unhideWhenUsed/>
    <w:rsid w:val="00FC448F"/>
  </w:style>
  <w:style w:type="character" w:customStyle="1" w:styleId="CommentTextChar">
    <w:name w:val="Comment Text Char"/>
    <w:basedOn w:val="DefaultParagraphFont"/>
    <w:link w:val="CommentText"/>
    <w:uiPriority w:val="99"/>
    <w:semiHidden/>
    <w:rsid w:val="00FC44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448F"/>
    <w:rPr>
      <w:b/>
      <w:bCs/>
    </w:rPr>
  </w:style>
  <w:style w:type="character" w:customStyle="1" w:styleId="CommentSubjectChar">
    <w:name w:val="Comment Subject Char"/>
    <w:basedOn w:val="CommentTextChar"/>
    <w:link w:val="CommentSubject"/>
    <w:uiPriority w:val="99"/>
    <w:semiHidden/>
    <w:rsid w:val="00FC448F"/>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F24F83"/>
  </w:style>
  <w:style w:type="character" w:customStyle="1" w:styleId="EndnoteTextChar">
    <w:name w:val="Endnote Text Char"/>
    <w:basedOn w:val="DefaultParagraphFont"/>
    <w:link w:val="EndnoteText"/>
    <w:uiPriority w:val="99"/>
    <w:semiHidden/>
    <w:rsid w:val="00F24F83"/>
    <w:rPr>
      <w:rFonts w:ascii="Times New Roman" w:eastAsia="Times New Roman" w:hAnsi="Times New Roman" w:cs="Times New Roman"/>
      <w:sz w:val="20"/>
      <w:szCs w:val="20"/>
    </w:rPr>
  </w:style>
  <w:style w:type="paragraph" w:styleId="PlainText">
    <w:name w:val="Plain Text"/>
    <w:basedOn w:val="Normal"/>
    <w:link w:val="PlainTextChar"/>
    <w:uiPriority w:val="99"/>
    <w:semiHidden/>
    <w:unhideWhenUsed/>
    <w:rsid w:val="002B2F22"/>
    <w:pPr>
      <w:widowControl/>
    </w:pPr>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2B2F22"/>
    <w:rPr>
      <w:rFonts w:ascii="Calibri" w:hAnsi="Calibri" w:cs="Consolas"/>
      <w:szCs w:val="21"/>
    </w:rPr>
  </w:style>
  <w:style w:type="paragraph" w:styleId="ListParagraph">
    <w:name w:val="List Paragraph"/>
    <w:basedOn w:val="Normal"/>
    <w:uiPriority w:val="34"/>
    <w:qFormat/>
    <w:rsid w:val="00205B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unhideWhenUsed/>
    <w:rsid w:val="001B7DA2"/>
  </w:style>
  <w:style w:type="character" w:customStyle="1" w:styleId="FootnoteTextChar">
    <w:name w:val="Footnote Text Char"/>
    <w:basedOn w:val="DefaultParagraphFont"/>
    <w:link w:val="FootnoteText"/>
    <w:uiPriority w:val="99"/>
    <w:rsid w:val="001B7DA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9641D"/>
    <w:pPr>
      <w:tabs>
        <w:tab w:val="center" w:pos="4680"/>
        <w:tab w:val="right" w:pos="9360"/>
      </w:tabs>
    </w:pPr>
  </w:style>
  <w:style w:type="character" w:customStyle="1" w:styleId="HeaderChar">
    <w:name w:val="Header Char"/>
    <w:basedOn w:val="DefaultParagraphFont"/>
    <w:link w:val="Header"/>
    <w:uiPriority w:val="99"/>
    <w:rsid w:val="00F964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9641D"/>
    <w:pPr>
      <w:tabs>
        <w:tab w:val="center" w:pos="4680"/>
        <w:tab w:val="right" w:pos="9360"/>
      </w:tabs>
    </w:pPr>
  </w:style>
  <w:style w:type="character" w:customStyle="1" w:styleId="FooterChar">
    <w:name w:val="Footer Char"/>
    <w:basedOn w:val="DefaultParagraphFont"/>
    <w:link w:val="Footer"/>
    <w:uiPriority w:val="99"/>
    <w:rsid w:val="00F9641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C448F"/>
    <w:rPr>
      <w:sz w:val="16"/>
      <w:szCs w:val="16"/>
    </w:rPr>
  </w:style>
  <w:style w:type="paragraph" w:styleId="CommentText">
    <w:name w:val="annotation text"/>
    <w:basedOn w:val="Normal"/>
    <w:link w:val="CommentTextChar"/>
    <w:uiPriority w:val="99"/>
    <w:semiHidden/>
    <w:unhideWhenUsed/>
    <w:rsid w:val="00FC448F"/>
  </w:style>
  <w:style w:type="character" w:customStyle="1" w:styleId="CommentTextChar">
    <w:name w:val="Comment Text Char"/>
    <w:basedOn w:val="DefaultParagraphFont"/>
    <w:link w:val="CommentText"/>
    <w:uiPriority w:val="99"/>
    <w:semiHidden/>
    <w:rsid w:val="00FC44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448F"/>
    <w:rPr>
      <w:b/>
      <w:bCs/>
    </w:rPr>
  </w:style>
  <w:style w:type="character" w:customStyle="1" w:styleId="CommentSubjectChar">
    <w:name w:val="Comment Subject Char"/>
    <w:basedOn w:val="CommentTextChar"/>
    <w:link w:val="CommentSubject"/>
    <w:uiPriority w:val="99"/>
    <w:semiHidden/>
    <w:rsid w:val="00FC448F"/>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F24F83"/>
  </w:style>
  <w:style w:type="character" w:customStyle="1" w:styleId="EndnoteTextChar">
    <w:name w:val="Endnote Text Char"/>
    <w:basedOn w:val="DefaultParagraphFont"/>
    <w:link w:val="EndnoteText"/>
    <w:uiPriority w:val="99"/>
    <w:semiHidden/>
    <w:rsid w:val="00F24F83"/>
    <w:rPr>
      <w:rFonts w:ascii="Times New Roman" w:eastAsia="Times New Roman" w:hAnsi="Times New Roman" w:cs="Times New Roman"/>
      <w:sz w:val="20"/>
      <w:szCs w:val="20"/>
    </w:rPr>
  </w:style>
  <w:style w:type="paragraph" w:styleId="PlainText">
    <w:name w:val="Plain Text"/>
    <w:basedOn w:val="Normal"/>
    <w:link w:val="PlainTextChar"/>
    <w:uiPriority w:val="99"/>
    <w:semiHidden/>
    <w:unhideWhenUsed/>
    <w:rsid w:val="002B2F22"/>
    <w:pPr>
      <w:widowControl/>
    </w:pPr>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2B2F22"/>
    <w:rPr>
      <w:rFonts w:ascii="Calibri" w:hAnsi="Calibri" w:cs="Consolas"/>
      <w:szCs w:val="21"/>
    </w:rPr>
  </w:style>
  <w:style w:type="paragraph" w:styleId="ListParagraph">
    <w:name w:val="List Paragraph"/>
    <w:basedOn w:val="Normal"/>
    <w:uiPriority w:val="34"/>
    <w:qFormat/>
    <w:rsid w:val="00205B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61436">
      <w:bodyDiv w:val="1"/>
      <w:marLeft w:val="0"/>
      <w:marRight w:val="0"/>
      <w:marTop w:val="0"/>
      <w:marBottom w:val="0"/>
      <w:divBdr>
        <w:top w:val="none" w:sz="0" w:space="0" w:color="auto"/>
        <w:left w:val="none" w:sz="0" w:space="0" w:color="auto"/>
        <w:bottom w:val="none" w:sz="0" w:space="0" w:color="auto"/>
        <w:right w:val="none" w:sz="0" w:space="0" w:color="auto"/>
      </w:divBdr>
    </w:div>
    <w:div w:id="575434282">
      <w:bodyDiv w:val="1"/>
      <w:marLeft w:val="0"/>
      <w:marRight w:val="0"/>
      <w:marTop w:val="0"/>
      <w:marBottom w:val="0"/>
      <w:divBdr>
        <w:top w:val="none" w:sz="0" w:space="0" w:color="auto"/>
        <w:left w:val="none" w:sz="0" w:space="0" w:color="auto"/>
        <w:bottom w:val="none" w:sz="0" w:space="0" w:color="auto"/>
        <w:right w:val="none" w:sz="0" w:space="0" w:color="auto"/>
      </w:divBdr>
    </w:div>
    <w:div w:id="876044386">
      <w:bodyDiv w:val="1"/>
      <w:marLeft w:val="0"/>
      <w:marRight w:val="0"/>
      <w:marTop w:val="0"/>
      <w:marBottom w:val="0"/>
      <w:divBdr>
        <w:top w:val="none" w:sz="0" w:space="0" w:color="auto"/>
        <w:left w:val="none" w:sz="0" w:space="0" w:color="auto"/>
        <w:bottom w:val="none" w:sz="0" w:space="0" w:color="auto"/>
        <w:right w:val="none" w:sz="0" w:space="0" w:color="auto"/>
      </w:divBdr>
    </w:div>
    <w:div w:id="931856397">
      <w:bodyDiv w:val="1"/>
      <w:marLeft w:val="0"/>
      <w:marRight w:val="0"/>
      <w:marTop w:val="0"/>
      <w:marBottom w:val="0"/>
      <w:divBdr>
        <w:top w:val="none" w:sz="0" w:space="0" w:color="auto"/>
        <w:left w:val="none" w:sz="0" w:space="0" w:color="auto"/>
        <w:bottom w:val="none" w:sz="0" w:space="0" w:color="auto"/>
        <w:right w:val="none" w:sz="0" w:space="0" w:color="auto"/>
      </w:divBdr>
    </w:div>
    <w:div w:id="983124619">
      <w:bodyDiv w:val="1"/>
      <w:marLeft w:val="0"/>
      <w:marRight w:val="0"/>
      <w:marTop w:val="0"/>
      <w:marBottom w:val="0"/>
      <w:divBdr>
        <w:top w:val="none" w:sz="0" w:space="0" w:color="auto"/>
        <w:left w:val="none" w:sz="0" w:space="0" w:color="auto"/>
        <w:bottom w:val="none" w:sz="0" w:space="0" w:color="auto"/>
        <w:right w:val="none" w:sz="0" w:space="0" w:color="auto"/>
      </w:divBdr>
    </w:div>
    <w:div w:id="1018317202">
      <w:bodyDiv w:val="1"/>
      <w:marLeft w:val="0"/>
      <w:marRight w:val="0"/>
      <w:marTop w:val="0"/>
      <w:marBottom w:val="0"/>
      <w:divBdr>
        <w:top w:val="none" w:sz="0" w:space="0" w:color="auto"/>
        <w:left w:val="none" w:sz="0" w:space="0" w:color="auto"/>
        <w:bottom w:val="none" w:sz="0" w:space="0" w:color="auto"/>
        <w:right w:val="none" w:sz="0" w:space="0" w:color="auto"/>
      </w:divBdr>
    </w:div>
    <w:div w:id="1184133253">
      <w:bodyDiv w:val="1"/>
      <w:marLeft w:val="0"/>
      <w:marRight w:val="0"/>
      <w:marTop w:val="0"/>
      <w:marBottom w:val="0"/>
      <w:divBdr>
        <w:top w:val="none" w:sz="0" w:space="0" w:color="auto"/>
        <w:left w:val="none" w:sz="0" w:space="0" w:color="auto"/>
        <w:bottom w:val="none" w:sz="0" w:space="0" w:color="auto"/>
        <w:right w:val="none" w:sz="0" w:space="0" w:color="auto"/>
      </w:divBdr>
    </w:div>
    <w:div w:id="1300260536">
      <w:bodyDiv w:val="1"/>
      <w:marLeft w:val="0"/>
      <w:marRight w:val="0"/>
      <w:marTop w:val="0"/>
      <w:marBottom w:val="0"/>
      <w:divBdr>
        <w:top w:val="none" w:sz="0" w:space="0" w:color="auto"/>
        <w:left w:val="none" w:sz="0" w:space="0" w:color="auto"/>
        <w:bottom w:val="none" w:sz="0" w:space="0" w:color="auto"/>
        <w:right w:val="none" w:sz="0" w:space="0" w:color="auto"/>
      </w:divBdr>
    </w:div>
    <w:div w:id="1309819739">
      <w:bodyDiv w:val="1"/>
      <w:marLeft w:val="0"/>
      <w:marRight w:val="0"/>
      <w:marTop w:val="0"/>
      <w:marBottom w:val="0"/>
      <w:divBdr>
        <w:top w:val="none" w:sz="0" w:space="0" w:color="auto"/>
        <w:left w:val="none" w:sz="0" w:space="0" w:color="auto"/>
        <w:bottom w:val="none" w:sz="0" w:space="0" w:color="auto"/>
        <w:right w:val="none" w:sz="0" w:space="0" w:color="auto"/>
      </w:divBdr>
    </w:div>
    <w:div w:id="1542670452">
      <w:bodyDiv w:val="1"/>
      <w:marLeft w:val="0"/>
      <w:marRight w:val="0"/>
      <w:marTop w:val="0"/>
      <w:marBottom w:val="0"/>
      <w:divBdr>
        <w:top w:val="none" w:sz="0" w:space="0" w:color="auto"/>
        <w:left w:val="none" w:sz="0" w:space="0" w:color="auto"/>
        <w:bottom w:val="none" w:sz="0" w:space="0" w:color="auto"/>
        <w:right w:val="none" w:sz="0" w:space="0" w:color="auto"/>
      </w:divBdr>
    </w:div>
    <w:div w:id="1618639337">
      <w:bodyDiv w:val="1"/>
      <w:marLeft w:val="0"/>
      <w:marRight w:val="0"/>
      <w:marTop w:val="0"/>
      <w:marBottom w:val="0"/>
      <w:divBdr>
        <w:top w:val="none" w:sz="0" w:space="0" w:color="auto"/>
        <w:left w:val="none" w:sz="0" w:space="0" w:color="auto"/>
        <w:bottom w:val="none" w:sz="0" w:space="0" w:color="auto"/>
        <w:right w:val="none" w:sz="0" w:space="0" w:color="auto"/>
      </w:divBdr>
    </w:div>
    <w:div w:id="1681812568">
      <w:bodyDiv w:val="1"/>
      <w:marLeft w:val="0"/>
      <w:marRight w:val="0"/>
      <w:marTop w:val="0"/>
      <w:marBottom w:val="0"/>
      <w:divBdr>
        <w:top w:val="none" w:sz="0" w:space="0" w:color="auto"/>
        <w:left w:val="none" w:sz="0" w:space="0" w:color="auto"/>
        <w:bottom w:val="none" w:sz="0" w:space="0" w:color="auto"/>
        <w:right w:val="none" w:sz="0" w:space="0" w:color="auto"/>
      </w:divBdr>
    </w:div>
    <w:div w:id="206479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DDC03-A68A-476D-B3D9-F91B6562B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5128</Words>
  <Characters>29230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34290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Farner, Joyce</cp:lastModifiedBy>
  <cp:revision>5</cp:revision>
  <cp:lastPrinted>2016-03-10T13:07:00Z</cp:lastPrinted>
  <dcterms:created xsi:type="dcterms:W3CDTF">2016-02-29T23:28:00Z</dcterms:created>
  <dcterms:modified xsi:type="dcterms:W3CDTF">2016-03-10T13:07:00Z</dcterms:modified>
</cp:coreProperties>
</file>