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6F" w:rsidRPr="00171CB0" w:rsidRDefault="00751B6F" w:rsidP="00751B6F">
      <w:pPr>
        <w:tabs>
          <w:tab w:val="center" w:pos="4680"/>
        </w:tabs>
        <w:suppressAutoHyphens/>
        <w:jc w:val="center"/>
        <w:rPr>
          <w:b/>
          <w:bCs/>
          <w:spacing w:val="-3"/>
          <w:sz w:val="24"/>
          <w:szCs w:val="24"/>
        </w:rPr>
      </w:pPr>
      <w:r w:rsidRPr="00171CB0">
        <w:rPr>
          <w:b/>
          <w:bCs/>
          <w:spacing w:val="-3"/>
          <w:sz w:val="24"/>
          <w:szCs w:val="24"/>
        </w:rPr>
        <w:t xml:space="preserve">BEFORE THE </w:t>
      </w:r>
    </w:p>
    <w:p w:rsidR="00751B6F" w:rsidRPr="00171CB0" w:rsidRDefault="00751B6F" w:rsidP="00751B6F">
      <w:pPr>
        <w:tabs>
          <w:tab w:val="center" w:pos="4680"/>
        </w:tabs>
        <w:suppressAutoHyphens/>
        <w:jc w:val="center"/>
        <w:rPr>
          <w:b/>
          <w:bCs/>
          <w:spacing w:val="-3"/>
          <w:sz w:val="24"/>
          <w:szCs w:val="24"/>
        </w:rPr>
      </w:pPr>
      <w:r w:rsidRPr="00171CB0">
        <w:rPr>
          <w:b/>
          <w:bCs/>
          <w:spacing w:val="-3"/>
          <w:sz w:val="24"/>
          <w:szCs w:val="24"/>
        </w:rPr>
        <w:t>PENNSYLVANIA PUBLIC UTILITY COMMISSION</w:t>
      </w:r>
    </w:p>
    <w:p w:rsidR="00751B6F" w:rsidRPr="00171CB0" w:rsidRDefault="00751B6F" w:rsidP="00751B6F">
      <w:pPr>
        <w:tabs>
          <w:tab w:val="center" w:pos="4680"/>
        </w:tabs>
        <w:suppressAutoHyphens/>
        <w:jc w:val="center"/>
        <w:rPr>
          <w:b/>
          <w:bCs/>
          <w:spacing w:val="-3"/>
          <w:sz w:val="24"/>
          <w:szCs w:val="24"/>
        </w:rPr>
      </w:pPr>
    </w:p>
    <w:p w:rsidR="00751B6F" w:rsidRDefault="00751B6F" w:rsidP="00751B6F">
      <w:pPr>
        <w:tabs>
          <w:tab w:val="center" w:pos="4680"/>
        </w:tabs>
        <w:suppressAutoHyphens/>
        <w:jc w:val="center"/>
        <w:rPr>
          <w:b/>
          <w:bCs/>
          <w:spacing w:val="-3"/>
          <w:sz w:val="24"/>
          <w:szCs w:val="24"/>
        </w:rPr>
      </w:pPr>
    </w:p>
    <w:p w:rsidR="007B11F4" w:rsidRPr="00171CB0" w:rsidRDefault="007B11F4" w:rsidP="00751B6F">
      <w:pPr>
        <w:tabs>
          <w:tab w:val="center" w:pos="4680"/>
        </w:tabs>
        <w:suppressAutoHyphens/>
        <w:jc w:val="center"/>
        <w:rPr>
          <w:b/>
          <w:bCs/>
          <w:spacing w:val="-3"/>
          <w:sz w:val="24"/>
          <w:szCs w:val="24"/>
        </w:rPr>
      </w:pPr>
    </w:p>
    <w:p w:rsidR="00751B6F" w:rsidRPr="00171CB0" w:rsidRDefault="00751B6F" w:rsidP="00751B6F">
      <w:pPr>
        <w:ind w:hanging="18"/>
        <w:rPr>
          <w:sz w:val="24"/>
          <w:szCs w:val="24"/>
        </w:rPr>
      </w:pPr>
      <w:r w:rsidRPr="00171CB0">
        <w:rPr>
          <w:spacing w:val="-3"/>
          <w:sz w:val="24"/>
          <w:szCs w:val="24"/>
        </w:rPr>
        <w:t>Unified Energy Alliance, LLC</w:t>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t>:</w:t>
      </w:r>
    </w:p>
    <w:p w:rsidR="00751B6F" w:rsidRPr="00171CB0" w:rsidRDefault="00751B6F" w:rsidP="00751B6F">
      <w:pPr>
        <w:tabs>
          <w:tab w:val="left" w:pos="-720"/>
        </w:tabs>
        <w:suppressAutoHyphens/>
        <w:rPr>
          <w:spacing w:val="-3"/>
          <w:sz w:val="24"/>
          <w:szCs w:val="24"/>
        </w:rPr>
      </w:pP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t>:</w:t>
      </w:r>
    </w:p>
    <w:p w:rsidR="00751B6F" w:rsidRPr="00171CB0" w:rsidRDefault="00751B6F" w:rsidP="00751B6F">
      <w:pPr>
        <w:tabs>
          <w:tab w:val="left" w:pos="-720"/>
        </w:tabs>
        <w:suppressAutoHyphens/>
        <w:rPr>
          <w:spacing w:val="-3"/>
          <w:sz w:val="24"/>
          <w:szCs w:val="24"/>
        </w:rPr>
      </w:pPr>
      <w:r w:rsidRPr="00171CB0">
        <w:rPr>
          <w:spacing w:val="-3"/>
          <w:sz w:val="24"/>
          <w:szCs w:val="24"/>
        </w:rPr>
        <w:tab/>
        <w:t xml:space="preserve">       v.</w:t>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t>:</w:t>
      </w:r>
      <w:r w:rsidRPr="00171CB0">
        <w:rPr>
          <w:spacing w:val="-3"/>
          <w:sz w:val="24"/>
          <w:szCs w:val="24"/>
        </w:rPr>
        <w:tab/>
      </w:r>
      <w:r w:rsidRPr="00171CB0">
        <w:rPr>
          <w:spacing w:val="-3"/>
          <w:sz w:val="24"/>
          <w:szCs w:val="24"/>
        </w:rPr>
        <w:tab/>
        <w:t>C-2015-2492473</w:t>
      </w:r>
    </w:p>
    <w:p w:rsidR="00751B6F" w:rsidRPr="00171CB0" w:rsidRDefault="00751B6F" w:rsidP="00751B6F">
      <w:pPr>
        <w:tabs>
          <w:tab w:val="left" w:pos="-720"/>
        </w:tabs>
        <w:suppressAutoHyphens/>
        <w:rPr>
          <w:spacing w:val="-3"/>
          <w:sz w:val="24"/>
          <w:szCs w:val="24"/>
        </w:rPr>
      </w:pP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007B11F4">
        <w:rPr>
          <w:spacing w:val="-3"/>
          <w:sz w:val="24"/>
          <w:szCs w:val="24"/>
        </w:rPr>
        <w:t>:</w:t>
      </w:r>
    </w:p>
    <w:p w:rsidR="00751B6F" w:rsidRPr="00171CB0" w:rsidRDefault="00751B6F" w:rsidP="00751B6F">
      <w:pPr>
        <w:tabs>
          <w:tab w:val="left" w:pos="-720"/>
        </w:tabs>
        <w:suppressAutoHyphens/>
        <w:rPr>
          <w:spacing w:val="-3"/>
          <w:sz w:val="24"/>
          <w:szCs w:val="24"/>
        </w:rPr>
      </w:pP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007B11F4">
        <w:rPr>
          <w:spacing w:val="-3"/>
          <w:sz w:val="24"/>
          <w:szCs w:val="24"/>
        </w:rPr>
        <w:t>:</w:t>
      </w:r>
    </w:p>
    <w:p w:rsidR="00751B6F" w:rsidRPr="00171CB0" w:rsidRDefault="00751B6F" w:rsidP="00751B6F">
      <w:pPr>
        <w:tabs>
          <w:tab w:val="left" w:pos="-720"/>
        </w:tabs>
        <w:suppressAutoHyphens/>
        <w:rPr>
          <w:spacing w:val="-3"/>
          <w:sz w:val="24"/>
          <w:szCs w:val="24"/>
        </w:rPr>
      </w:pPr>
      <w:r w:rsidRPr="00171CB0">
        <w:rPr>
          <w:spacing w:val="-3"/>
          <w:sz w:val="24"/>
          <w:szCs w:val="24"/>
        </w:rPr>
        <w:t>Rodger K. Walter</w:t>
      </w:r>
      <w:proofErr w:type="gramStart"/>
      <w:r w:rsidRPr="00171CB0">
        <w:rPr>
          <w:spacing w:val="-3"/>
          <w:sz w:val="24"/>
          <w:szCs w:val="24"/>
        </w:rPr>
        <w:t>,  Ernie</w:t>
      </w:r>
      <w:proofErr w:type="gramEnd"/>
      <w:r w:rsidRPr="00171CB0">
        <w:rPr>
          <w:spacing w:val="-3"/>
          <w:sz w:val="24"/>
          <w:szCs w:val="24"/>
        </w:rPr>
        <w:t xml:space="preserve"> </w:t>
      </w:r>
      <w:r w:rsidR="007B11F4">
        <w:rPr>
          <w:spacing w:val="-3"/>
          <w:sz w:val="24"/>
          <w:szCs w:val="24"/>
        </w:rPr>
        <w:t xml:space="preserve">Horning, J. Nick </w:t>
      </w:r>
      <w:proofErr w:type="spellStart"/>
      <w:r w:rsidR="007B11F4">
        <w:rPr>
          <w:spacing w:val="-3"/>
          <w:sz w:val="24"/>
          <w:szCs w:val="24"/>
        </w:rPr>
        <w:t>Storch</w:t>
      </w:r>
      <w:proofErr w:type="spellEnd"/>
      <w:r w:rsidR="007B11F4">
        <w:rPr>
          <w:spacing w:val="-3"/>
          <w:sz w:val="24"/>
          <w:szCs w:val="24"/>
        </w:rPr>
        <w:t>,</w:t>
      </w:r>
      <w:r w:rsidR="007B11F4">
        <w:rPr>
          <w:spacing w:val="-3"/>
          <w:sz w:val="24"/>
          <w:szCs w:val="24"/>
        </w:rPr>
        <w:tab/>
      </w:r>
      <w:r w:rsidRPr="00171CB0">
        <w:rPr>
          <w:spacing w:val="-3"/>
          <w:sz w:val="24"/>
          <w:szCs w:val="24"/>
        </w:rPr>
        <w:t>:</w:t>
      </w:r>
    </w:p>
    <w:p w:rsidR="00751B6F" w:rsidRPr="00171CB0" w:rsidRDefault="00751B6F" w:rsidP="00751B6F">
      <w:pPr>
        <w:tabs>
          <w:tab w:val="left" w:pos="-720"/>
        </w:tabs>
        <w:suppressAutoHyphens/>
        <w:rPr>
          <w:spacing w:val="-3"/>
          <w:sz w:val="24"/>
          <w:szCs w:val="24"/>
        </w:rPr>
      </w:pPr>
      <w:r w:rsidRPr="00171CB0">
        <w:rPr>
          <w:spacing w:val="-3"/>
          <w:sz w:val="24"/>
          <w:szCs w:val="24"/>
        </w:rPr>
        <w:t>Duane Albri</w:t>
      </w:r>
      <w:r w:rsidR="007B11F4">
        <w:rPr>
          <w:spacing w:val="-3"/>
          <w:sz w:val="24"/>
          <w:szCs w:val="24"/>
        </w:rPr>
        <w:t xml:space="preserve">ght, Andy </w:t>
      </w:r>
      <w:proofErr w:type="spellStart"/>
      <w:r w:rsidR="007B11F4">
        <w:rPr>
          <w:spacing w:val="-3"/>
          <w:sz w:val="24"/>
          <w:szCs w:val="24"/>
        </w:rPr>
        <w:t>Youndt</w:t>
      </w:r>
      <w:proofErr w:type="spellEnd"/>
      <w:r w:rsidR="007B11F4">
        <w:rPr>
          <w:spacing w:val="-3"/>
          <w:sz w:val="24"/>
          <w:szCs w:val="24"/>
        </w:rPr>
        <w:t xml:space="preserve">, Don </w:t>
      </w:r>
      <w:proofErr w:type="gramStart"/>
      <w:r w:rsidR="007B11F4">
        <w:rPr>
          <w:spacing w:val="-3"/>
          <w:sz w:val="24"/>
          <w:szCs w:val="24"/>
        </w:rPr>
        <w:t xml:space="preserve">Shipp, </w:t>
      </w:r>
      <w:r w:rsidR="007B11F4">
        <w:rPr>
          <w:spacing w:val="-3"/>
          <w:sz w:val="24"/>
          <w:szCs w:val="24"/>
        </w:rPr>
        <w:tab/>
      </w:r>
      <w:r w:rsidR="007B11F4">
        <w:rPr>
          <w:spacing w:val="-3"/>
          <w:sz w:val="24"/>
          <w:szCs w:val="24"/>
        </w:rPr>
        <w:tab/>
      </w:r>
      <w:r w:rsidRPr="00171CB0">
        <w:rPr>
          <w:spacing w:val="-3"/>
          <w:sz w:val="24"/>
          <w:szCs w:val="24"/>
        </w:rPr>
        <w:t>:</w:t>
      </w:r>
      <w:proofErr w:type="gramEnd"/>
    </w:p>
    <w:p w:rsidR="00751B6F" w:rsidRPr="00171CB0" w:rsidRDefault="00751B6F" w:rsidP="00751B6F">
      <w:pPr>
        <w:tabs>
          <w:tab w:val="left" w:pos="-720"/>
        </w:tabs>
        <w:suppressAutoHyphens/>
        <w:rPr>
          <w:spacing w:val="-3"/>
          <w:sz w:val="24"/>
          <w:szCs w:val="24"/>
        </w:rPr>
      </w:pPr>
      <w:r w:rsidRPr="00171CB0">
        <w:rPr>
          <w:spacing w:val="-3"/>
          <w:sz w:val="24"/>
          <w:szCs w:val="24"/>
        </w:rPr>
        <w:t>Future Energy</w:t>
      </w:r>
      <w:r w:rsidR="007B11F4">
        <w:rPr>
          <w:spacing w:val="-3"/>
          <w:sz w:val="24"/>
          <w:szCs w:val="24"/>
        </w:rPr>
        <w:t xml:space="preserve"> Solutions, LLC, and Navigate</w:t>
      </w:r>
      <w:r w:rsidR="007B11F4">
        <w:rPr>
          <w:spacing w:val="-3"/>
          <w:sz w:val="24"/>
          <w:szCs w:val="24"/>
        </w:rPr>
        <w:tab/>
      </w:r>
      <w:r w:rsidR="007B11F4">
        <w:rPr>
          <w:spacing w:val="-3"/>
          <w:sz w:val="24"/>
          <w:szCs w:val="24"/>
        </w:rPr>
        <w:tab/>
      </w:r>
      <w:r w:rsidRPr="00171CB0">
        <w:rPr>
          <w:spacing w:val="-3"/>
          <w:sz w:val="24"/>
          <w:szCs w:val="24"/>
        </w:rPr>
        <w:t>:</w:t>
      </w:r>
    </w:p>
    <w:p w:rsidR="00751B6F" w:rsidRPr="00171CB0" w:rsidRDefault="00751B6F" w:rsidP="00751B6F">
      <w:pPr>
        <w:tabs>
          <w:tab w:val="left" w:pos="-720"/>
        </w:tabs>
        <w:suppressAutoHyphens/>
        <w:rPr>
          <w:spacing w:val="-3"/>
          <w:sz w:val="24"/>
          <w:szCs w:val="24"/>
        </w:rPr>
      </w:pPr>
      <w:r w:rsidRPr="00171CB0">
        <w:rPr>
          <w:spacing w:val="-3"/>
          <w:sz w:val="24"/>
          <w:szCs w:val="24"/>
        </w:rPr>
        <w:t>Power, LLC</w:t>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Pr="00171CB0">
        <w:rPr>
          <w:spacing w:val="-3"/>
          <w:sz w:val="24"/>
          <w:szCs w:val="24"/>
        </w:rPr>
        <w:tab/>
      </w:r>
      <w:r w:rsidR="007B11F4">
        <w:rPr>
          <w:spacing w:val="-3"/>
          <w:sz w:val="24"/>
          <w:szCs w:val="24"/>
        </w:rPr>
        <w:t>:</w:t>
      </w:r>
    </w:p>
    <w:p w:rsidR="00751B6F" w:rsidRPr="00171CB0" w:rsidRDefault="00751B6F" w:rsidP="00751B6F">
      <w:pPr>
        <w:tabs>
          <w:tab w:val="center" w:pos="4680"/>
        </w:tabs>
        <w:suppressAutoHyphens/>
        <w:jc w:val="center"/>
        <w:rPr>
          <w:b/>
          <w:bCs/>
          <w:spacing w:val="-3"/>
          <w:sz w:val="24"/>
          <w:szCs w:val="24"/>
          <w:u w:val="single"/>
        </w:rPr>
      </w:pPr>
    </w:p>
    <w:p w:rsidR="00751B6F" w:rsidRDefault="00751B6F" w:rsidP="007B11F4">
      <w:pPr>
        <w:jc w:val="center"/>
        <w:rPr>
          <w:sz w:val="24"/>
          <w:szCs w:val="24"/>
        </w:rPr>
      </w:pPr>
    </w:p>
    <w:p w:rsidR="007B11F4" w:rsidRPr="00171CB0" w:rsidRDefault="007B11F4" w:rsidP="007B11F4">
      <w:pPr>
        <w:jc w:val="center"/>
        <w:rPr>
          <w:sz w:val="24"/>
          <w:szCs w:val="24"/>
        </w:rPr>
      </w:pPr>
    </w:p>
    <w:p w:rsidR="00751B6F" w:rsidRPr="00171CB0" w:rsidRDefault="00751B6F" w:rsidP="00751B6F">
      <w:pPr>
        <w:tabs>
          <w:tab w:val="center" w:pos="4680"/>
        </w:tabs>
        <w:suppressAutoHyphens/>
        <w:jc w:val="center"/>
        <w:rPr>
          <w:b/>
          <w:spacing w:val="-3"/>
          <w:sz w:val="24"/>
          <w:szCs w:val="24"/>
          <w:u w:val="single"/>
        </w:rPr>
      </w:pPr>
      <w:r w:rsidRPr="00171CB0">
        <w:rPr>
          <w:b/>
          <w:spacing w:val="-3"/>
          <w:sz w:val="24"/>
          <w:szCs w:val="24"/>
          <w:u w:val="single"/>
        </w:rPr>
        <w:t>ORDER DENYING MOTION TO STRIKE</w:t>
      </w:r>
      <w:r w:rsidR="00424ACA">
        <w:rPr>
          <w:b/>
          <w:spacing w:val="-3"/>
          <w:sz w:val="24"/>
          <w:szCs w:val="24"/>
          <w:u w:val="single"/>
        </w:rPr>
        <w:t xml:space="preserve"> </w:t>
      </w:r>
      <w:r w:rsidRPr="00171CB0">
        <w:rPr>
          <w:b/>
          <w:spacing w:val="-3"/>
          <w:sz w:val="24"/>
          <w:szCs w:val="24"/>
          <w:u w:val="single"/>
        </w:rPr>
        <w:t xml:space="preserve"> </w:t>
      </w:r>
    </w:p>
    <w:p w:rsidR="00751B6F" w:rsidRDefault="00751B6F" w:rsidP="00751B6F">
      <w:pPr>
        <w:tabs>
          <w:tab w:val="center" w:pos="4680"/>
        </w:tabs>
        <w:suppressAutoHyphens/>
        <w:jc w:val="center"/>
        <w:rPr>
          <w:b/>
          <w:spacing w:val="-3"/>
          <w:sz w:val="24"/>
          <w:szCs w:val="24"/>
          <w:u w:val="single"/>
        </w:rPr>
      </w:pPr>
    </w:p>
    <w:p w:rsidR="007B11F4" w:rsidRPr="00171CB0" w:rsidRDefault="007B11F4" w:rsidP="00751B6F">
      <w:pPr>
        <w:tabs>
          <w:tab w:val="center" w:pos="4680"/>
        </w:tabs>
        <w:suppressAutoHyphens/>
        <w:jc w:val="center"/>
        <w:rPr>
          <w:b/>
          <w:spacing w:val="-3"/>
          <w:sz w:val="24"/>
          <w:szCs w:val="24"/>
          <w:u w:val="single"/>
        </w:rPr>
      </w:pPr>
    </w:p>
    <w:p w:rsidR="00751B6F" w:rsidRPr="00171CB0" w:rsidRDefault="0092087F" w:rsidP="0092087F">
      <w:pPr>
        <w:tabs>
          <w:tab w:val="center" w:pos="4680"/>
        </w:tabs>
        <w:suppressAutoHyphens/>
        <w:rPr>
          <w:spacing w:val="-3"/>
          <w:sz w:val="24"/>
          <w:szCs w:val="24"/>
          <w:u w:val="single"/>
        </w:rPr>
      </w:pPr>
      <w:r w:rsidRPr="00171CB0">
        <w:rPr>
          <w:spacing w:val="-3"/>
          <w:sz w:val="24"/>
          <w:szCs w:val="24"/>
          <w:u w:val="single"/>
        </w:rPr>
        <w:t>Procedural History</w:t>
      </w:r>
    </w:p>
    <w:p w:rsidR="0092087F" w:rsidRPr="00171CB0" w:rsidRDefault="0092087F" w:rsidP="007B11F4">
      <w:pPr>
        <w:tabs>
          <w:tab w:val="center" w:pos="4680"/>
        </w:tabs>
        <w:suppressAutoHyphens/>
        <w:spacing w:line="360" w:lineRule="auto"/>
        <w:rPr>
          <w:spacing w:val="-3"/>
          <w:sz w:val="24"/>
          <w:szCs w:val="24"/>
          <w:u w:val="single"/>
        </w:rPr>
      </w:pPr>
    </w:p>
    <w:p w:rsidR="00751B6F" w:rsidRPr="00171CB0" w:rsidRDefault="00751B6F" w:rsidP="00751B6F">
      <w:pPr>
        <w:spacing w:line="360" w:lineRule="auto"/>
        <w:rPr>
          <w:sz w:val="24"/>
          <w:szCs w:val="24"/>
        </w:rPr>
      </w:pPr>
      <w:r w:rsidRPr="00171CB0">
        <w:rPr>
          <w:sz w:val="24"/>
          <w:szCs w:val="24"/>
        </w:rPr>
        <w:tab/>
      </w:r>
      <w:r w:rsidRPr="00171CB0">
        <w:rPr>
          <w:sz w:val="24"/>
          <w:szCs w:val="24"/>
        </w:rPr>
        <w:tab/>
        <w:t>On July 2, 2015, Unified Energy Alliance (“Complainant” or “UEA”) filed a Complaint against certain individual agents</w:t>
      </w:r>
      <w:r w:rsidRPr="00171CB0">
        <w:rPr>
          <w:rStyle w:val="FootnoteReference"/>
          <w:sz w:val="24"/>
          <w:szCs w:val="24"/>
        </w:rPr>
        <w:footnoteReference w:id="1"/>
      </w:r>
      <w:r w:rsidRPr="00171CB0">
        <w:rPr>
          <w:sz w:val="24"/>
          <w:szCs w:val="24"/>
        </w:rPr>
        <w:t xml:space="preserve"> as well as two companies, Future Energy Solutions, LLC (“FES”) and Navigate Power, LLC (“Navigate Power”)(collectively “Respondents”).  Complainant avers that the Respondents gave false, misleading, and inaccurate information to UEA’s customers.  The Complaint alleges the Individual Agents slammed UEA’s customers, failed to give proper identification, failed to obtain EGS licenses before operating as an EGS or Broker, and committed fraudulent, deceptive, and unlawful marketing or billing acts.   Complainant seeks the following relief: 1) a determination that Respondents violated the Commission’s regulations; 2) that Respondents be enjoined from future violations; 3) the rejection, condition, suspension or revocation of Navigate Power’s Electric Generation Supplier (EGS) license and the prohibition of Future Energy Solutions and the individual agents from obtaining EGS or Alternative Natural Gas Supplier (NGS) licenses; and 4) civil penalties. </w:t>
      </w:r>
    </w:p>
    <w:p w:rsidR="00751B6F" w:rsidRPr="00171CB0" w:rsidRDefault="00751B6F" w:rsidP="00751B6F">
      <w:pPr>
        <w:spacing w:line="360" w:lineRule="auto"/>
        <w:rPr>
          <w:sz w:val="24"/>
          <w:szCs w:val="24"/>
        </w:rPr>
      </w:pPr>
    </w:p>
    <w:p w:rsidR="00751B6F" w:rsidRPr="00171CB0" w:rsidRDefault="00751B6F" w:rsidP="007B11F4">
      <w:pPr>
        <w:spacing w:line="360" w:lineRule="auto"/>
        <w:rPr>
          <w:sz w:val="24"/>
          <w:szCs w:val="24"/>
        </w:rPr>
      </w:pPr>
      <w:r w:rsidRPr="00171CB0">
        <w:rPr>
          <w:sz w:val="24"/>
          <w:szCs w:val="24"/>
        </w:rPr>
        <w:lastRenderedPageBreak/>
        <w:tab/>
      </w:r>
      <w:r w:rsidRPr="00171CB0">
        <w:rPr>
          <w:sz w:val="24"/>
          <w:szCs w:val="24"/>
        </w:rPr>
        <w:tab/>
        <w:t xml:space="preserve">On July 29, 2015, the Office of Consumer Advocate intervened in this matter.  On August 14, 2015, Navigate Power filed an Answer and New Matter.  On August 24, 2015, FES and the Individual Agents filed an Answer with New Matter denying wrongdoing and raising affirmative defenses and a Counterclaim against UEA alleging slamming, fraudulent, deceptive or other unlawful marketing and hiring a convicted felon to engage in door-to-door marketing.  </w:t>
      </w:r>
    </w:p>
    <w:p w:rsidR="00751B6F" w:rsidRPr="00171CB0" w:rsidRDefault="00751B6F" w:rsidP="007B11F4">
      <w:pPr>
        <w:spacing w:line="360" w:lineRule="auto"/>
        <w:rPr>
          <w:sz w:val="24"/>
          <w:szCs w:val="24"/>
        </w:rPr>
      </w:pPr>
    </w:p>
    <w:p w:rsidR="00751B6F" w:rsidRPr="00171CB0" w:rsidRDefault="00751B6F" w:rsidP="007B11F4">
      <w:pPr>
        <w:spacing w:line="360" w:lineRule="auto"/>
        <w:rPr>
          <w:sz w:val="24"/>
          <w:szCs w:val="24"/>
        </w:rPr>
      </w:pPr>
      <w:r w:rsidRPr="00171CB0">
        <w:rPr>
          <w:sz w:val="24"/>
          <w:szCs w:val="24"/>
        </w:rPr>
        <w:tab/>
      </w:r>
      <w:r w:rsidRPr="00171CB0">
        <w:rPr>
          <w:sz w:val="24"/>
          <w:szCs w:val="24"/>
        </w:rPr>
        <w:tab/>
        <w:t xml:space="preserve">On September 3, 2015, UEA filed a Reply to New Matter of Navigate Power.  On September 14, 2015 UEA filed a Reply with New Matter to the New Matter and Counterclaim of the Individual Agents and FES.  </w:t>
      </w:r>
    </w:p>
    <w:p w:rsidR="00751B6F" w:rsidRPr="00171CB0" w:rsidRDefault="00751B6F" w:rsidP="007B11F4">
      <w:pPr>
        <w:spacing w:line="360" w:lineRule="auto"/>
        <w:rPr>
          <w:sz w:val="24"/>
          <w:szCs w:val="24"/>
        </w:rPr>
      </w:pPr>
    </w:p>
    <w:p w:rsidR="00751B6F" w:rsidRPr="00171CB0" w:rsidRDefault="00751B6F" w:rsidP="007B11F4">
      <w:pPr>
        <w:spacing w:line="360" w:lineRule="auto"/>
        <w:rPr>
          <w:sz w:val="24"/>
          <w:szCs w:val="24"/>
        </w:rPr>
      </w:pPr>
      <w:r w:rsidRPr="00171CB0">
        <w:rPr>
          <w:sz w:val="24"/>
          <w:szCs w:val="24"/>
        </w:rPr>
        <w:tab/>
      </w:r>
      <w:r w:rsidRPr="00171CB0">
        <w:rPr>
          <w:sz w:val="24"/>
          <w:szCs w:val="24"/>
        </w:rPr>
        <w:tab/>
        <w:t>A prehearing conference was held on October 7, 2015</w:t>
      </w:r>
      <w:r w:rsidR="00424ACA">
        <w:rPr>
          <w:sz w:val="24"/>
          <w:szCs w:val="24"/>
        </w:rPr>
        <w:t>.  A</w:t>
      </w:r>
      <w:r w:rsidRPr="00171CB0">
        <w:rPr>
          <w:sz w:val="24"/>
          <w:szCs w:val="24"/>
        </w:rPr>
        <w:t xml:space="preserve"> Scheduling Order was issued on October 8, 2015, setting forth a procedural schedule with evidentiary hearing dates of March 14-17, 2016. The Scheduling Order directed motions regarding pre-served written testimony be filed by March 9, 201</w:t>
      </w:r>
      <w:r w:rsidR="00424ACA">
        <w:rPr>
          <w:sz w:val="24"/>
          <w:szCs w:val="24"/>
        </w:rPr>
        <w:t>6</w:t>
      </w:r>
      <w:r w:rsidRPr="00171CB0">
        <w:rPr>
          <w:sz w:val="24"/>
          <w:szCs w:val="24"/>
        </w:rPr>
        <w:t>.  On March 9, 201</w:t>
      </w:r>
      <w:r w:rsidR="00424ACA">
        <w:rPr>
          <w:sz w:val="24"/>
          <w:szCs w:val="24"/>
        </w:rPr>
        <w:t>6</w:t>
      </w:r>
      <w:r w:rsidRPr="00171CB0">
        <w:rPr>
          <w:sz w:val="24"/>
          <w:szCs w:val="24"/>
        </w:rPr>
        <w:t>, Navigate Power, LLC filed a Motion to Strike Written Testimony pertaining to testimony and exhibits attached to certain portions of the Direct Testimony of Ricardo Hernandez II (UEA St. 1) a</w:t>
      </w:r>
      <w:r w:rsidR="00424ACA">
        <w:rPr>
          <w:sz w:val="24"/>
          <w:szCs w:val="24"/>
        </w:rPr>
        <w:t xml:space="preserve">s well as </w:t>
      </w:r>
      <w:r w:rsidRPr="00171CB0">
        <w:rPr>
          <w:sz w:val="24"/>
          <w:szCs w:val="24"/>
        </w:rPr>
        <w:t>the entire Direct Testimony of Joseph Mazer (UEA St. 3).</w:t>
      </w:r>
    </w:p>
    <w:p w:rsidR="00751B6F" w:rsidRPr="00171CB0" w:rsidRDefault="00751B6F" w:rsidP="007B11F4">
      <w:pPr>
        <w:spacing w:line="360" w:lineRule="auto"/>
        <w:rPr>
          <w:sz w:val="24"/>
          <w:szCs w:val="24"/>
        </w:rPr>
      </w:pPr>
    </w:p>
    <w:p w:rsidR="00751B6F" w:rsidRPr="00171CB0" w:rsidRDefault="00751B6F" w:rsidP="007B11F4">
      <w:pPr>
        <w:spacing w:line="360" w:lineRule="auto"/>
        <w:rPr>
          <w:sz w:val="24"/>
          <w:szCs w:val="24"/>
        </w:rPr>
      </w:pPr>
      <w:r w:rsidRPr="00171CB0">
        <w:rPr>
          <w:sz w:val="24"/>
          <w:szCs w:val="24"/>
        </w:rPr>
        <w:tab/>
      </w:r>
      <w:r w:rsidRPr="00171CB0">
        <w:rPr>
          <w:sz w:val="24"/>
          <w:szCs w:val="24"/>
        </w:rPr>
        <w:tab/>
        <w:t>On Mar</w:t>
      </w:r>
      <w:r w:rsidR="0092087F" w:rsidRPr="00171CB0">
        <w:rPr>
          <w:sz w:val="24"/>
          <w:szCs w:val="24"/>
        </w:rPr>
        <w:t>ch 10, 2015, UEA filed a Response to the Motion to Strike.  The Motion to Strike is ripe for a decision.</w:t>
      </w:r>
    </w:p>
    <w:p w:rsidR="00171CB0" w:rsidRPr="00171CB0" w:rsidRDefault="00171CB0" w:rsidP="007B11F4">
      <w:pPr>
        <w:spacing w:line="360" w:lineRule="auto"/>
        <w:rPr>
          <w:sz w:val="24"/>
          <w:szCs w:val="24"/>
        </w:rPr>
      </w:pPr>
    </w:p>
    <w:p w:rsidR="00171CB0" w:rsidRPr="00171CB0" w:rsidRDefault="00171CB0" w:rsidP="007B11F4">
      <w:pPr>
        <w:spacing w:line="360" w:lineRule="auto"/>
        <w:rPr>
          <w:sz w:val="24"/>
          <w:szCs w:val="24"/>
          <w:u w:val="single"/>
        </w:rPr>
      </w:pPr>
      <w:r w:rsidRPr="00171CB0">
        <w:rPr>
          <w:sz w:val="24"/>
          <w:szCs w:val="24"/>
          <w:u w:val="single"/>
        </w:rPr>
        <w:t xml:space="preserve">Ricardo </w:t>
      </w:r>
      <w:r w:rsidR="00424ACA" w:rsidRPr="00171CB0">
        <w:rPr>
          <w:sz w:val="24"/>
          <w:szCs w:val="24"/>
          <w:u w:val="single"/>
        </w:rPr>
        <w:t>Hernandez</w:t>
      </w:r>
    </w:p>
    <w:p w:rsidR="009D60CE" w:rsidRPr="00171CB0" w:rsidRDefault="00171CB0" w:rsidP="007B11F4">
      <w:pPr>
        <w:autoSpaceDE/>
        <w:autoSpaceDN/>
        <w:spacing w:line="360" w:lineRule="auto"/>
        <w:rPr>
          <w:bCs/>
          <w:color w:val="000000"/>
          <w:sz w:val="24"/>
          <w:szCs w:val="24"/>
        </w:rPr>
      </w:pPr>
      <w:r>
        <w:rPr>
          <w:bCs/>
          <w:color w:val="000000"/>
          <w:sz w:val="24"/>
          <w:szCs w:val="24"/>
        </w:rPr>
        <w:tab/>
      </w:r>
    </w:p>
    <w:p w:rsidR="007D361E" w:rsidRPr="00171CB0" w:rsidRDefault="00424ACA" w:rsidP="007B11F4">
      <w:pPr>
        <w:pStyle w:val="Double"/>
        <w:spacing w:line="360" w:lineRule="auto"/>
        <w:rPr>
          <w:bCs/>
          <w:color w:val="000000"/>
          <w:szCs w:val="24"/>
        </w:rPr>
      </w:pPr>
      <w:r>
        <w:tab/>
      </w:r>
      <w:r w:rsidR="00107EAF">
        <w:t xml:space="preserve">Navigate Power objects to the admission of certain portions of Mr. Hernandez’s direct testimony (UEA St. 1) and moves to strike those portions on the ground that they are inadmissible hearsay.  Navigate Power argues that “Mr. Hernandez’s testimony is shot through with inadmissible hearsay and hearsay within hearsay, generally relating to alleged customer complaints and alleged facts ‘learned’ from or ‘described by’ third parties.”   </w:t>
      </w:r>
      <w:r>
        <w:t>Navigate Power claims Mr. Hernandez’s</w:t>
      </w:r>
      <w:r w:rsidR="00107EAF">
        <w:t xml:space="preserve"> testimony also includes a number of assertions relating to matters of which there is no evidence he has personal knowledge, as required by Pennsylvania Rule of Evidence 602.  Navigate Power contends that Mr. Hernandez’s testimony contains irrelevant </w:t>
      </w:r>
      <w:r w:rsidR="00107EAF">
        <w:lastRenderedPageBreak/>
        <w:t xml:space="preserve">material.  First, it contains assertions relating to UEA’s relationship with certain Individual Respondents against whom no evidence of wrongdoing has been introduced.  Second, it alleges purported bad acts that have nothing to do with the deceptive practices alleged in the complaint.  Third, it contains testimony relating to the Individual Respondents’ alleged contractual relationship with UEA and attaches their alleged contracts with UEA as exhibits.   Navigate Power contends that these alleged contracts are irrelevant to the claims before the Commission—that the respondents engaged in deceptive conduct towards customers—and therefore should be stricken.  </w:t>
      </w:r>
    </w:p>
    <w:p w:rsidR="007D361E" w:rsidRPr="00171CB0" w:rsidRDefault="007D361E" w:rsidP="007B11F4">
      <w:pPr>
        <w:autoSpaceDE/>
        <w:autoSpaceDN/>
        <w:spacing w:line="360" w:lineRule="auto"/>
        <w:ind w:firstLine="1440"/>
        <w:rPr>
          <w:bCs/>
          <w:color w:val="000000"/>
          <w:sz w:val="24"/>
          <w:szCs w:val="24"/>
        </w:rPr>
      </w:pPr>
    </w:p>
    <w:p w:rsidR="004606C1" w:rsidRDefault="00107EAF" w:rsidP="007B11F4">
      <w:pPr>
        <w:autoSpaceDE/>
        <w:autoSpaceDN/>
        <w:spacing w:line="360" w:lineRule="auto"/>
        <w:ind w:firstLine="1440"/>
        <w:rPr>
          <w:bCs/>
          <w:color w:val="000000"/>
          <w:sz w:val="24"/>
          <w:szCs w:val="24"/>
        </w:rPr>
      </w:pPr>
      <w:r>
        <w:rPr>
          <w:bCs/>
          <w:color w:val="000000"/>
          <w:sz w:val="24"/>
          <w:szCs w:val="24"/>
        </w:rPr>
        <w:t xml:space="preserve">In response, UEA </w:t>
      </w:r>
      <w:r w:rsidR="007D361E" w:rsidRPr="00171CB0">
        <w:rPr>
          <w:bCs/>
          <w:color w:val="000000"/>
          <w:sz w:val="24"/>
          <w:szCs w:val="24"/>
        </w:rPr>
        <w:t>argue</w:t>
      </w:r>
      <w:r w:rsidR="004606C1">
        <w:rPr>
          <w:bCs/>
          <w:color w:val="000000"/>
          <w:sz w:val="24"/>
          <w:szCs w:val="24"/>
        </w:rPr>
        <w:t>s</w:t>
      </w:r>
      <w:r w:rsidR="007D361E" w:rsidRPr="00171CB0">
        <w:rPr>
          <w:bCs/>
          <w:color w:val="000000"/>
          <w:sz w:val="24"/>
          <w:szCs w:val="24"/>
        </w:rPr>
        <w:t xml:space="preserve"> that many of these statements </w:t>
      </w:r>
      <w:r w:rsidR="00424ACA">
        <w:rPr>
          <w:bCs/>
          <w:color w:val="000000"/>
          <w:sz w:val="24"/>
          <w:szCs w:val="24"/>
        </w:rPr>
        <w:t xml:space="preserve">are either not hearsay or </w:t>
      </w:r>
      <w:r w:rsidR="007D361E" w:rsidRPr="00171CB0">
        <w:rPr>
          <w:bCs/>
          <w:color w:val="000000"/>
          <w:sz w:val="24"/>
          <w:szCs w:val="24"/>
        </w:rPr>
        <w:t>are not offered to prove the truth of the matter asserted.</w:t>
      </w:r>
      <w:r w:rsidR="00424ACA">
        <w:rPr>
          <w:bCs/>
          <w:color w:val="000000"/>
          <w:sz w:val="24"/>
          <w:szCs w:val="24"/>
        </w:rPr>
        <w:t xml:space="preserve">  UEA requests an opportunity to lay additional foundation at the hearing regarding Mr. Hernandez’s personal knowledge.</w:t>
      </w:r>
      <w:r w:rsidR="007D361E" w:rsidRPr="00171CB0">
        <w:rPr>
          <w:bCs/>
          <w:color w:val="000000"/>
          <w:sz w:val="24"/>
          <w:szCs w:val="24"/>
        </w:rPr>
        <w:t xml:space="preserve">  </w:t>
      </w:r>
    </w:p>
    <w:p w:rsidR="004606C1" w:rsidRDefault="004606C1" w:rsidP="007B11F4">
      <w:pPr>
        <w:autoSpaceDE/>
        <w:autoSpaceDN/>
        <w:spacing w:line="360" w:lineRule="auto"/>
        <w:ind w:firstLine="1440"/>
        <w:rPr>
          <w:bCs/>
          <w:color w:val="000000"/>
          <w:sz w:val="24"/>
          <w:szCs w:val="24"/>
        </w:rPr>
      </w:pPr>
    </w:p>
    <w:p w:rsidR="00813366" w:rsidRPr="00813366" w:rsidRDefault="00813366" w:rsidP="007B11F4">
      <w:pPr>
        <w:adjustRightInd w:val="0"/>
        <w:spacing w:line="360" w:lineRule="auto"/>
        <w:rPr>
          <w:bCs/>
          <w:color w:val="000000"/>
          <w:sz w:val="24"/>
          <w:u w:val="single"/>
        </w:rPr>
      </w:pPr>
      <w:r w:rsidRPr="00813366">
        <w:rPr>
          <w:bCs/>
          <w:color w:val="000000"/>
          <w:sz w:val="24"/>
          <w:u w:val="single"/>
        </w:rPr>
        <w:t>Disposition</w:t>
      </w:r>
    </w:p>
    <w:p w:rsidR="00813366" w:rsidRPr="00813366" w:rsidRDefault="00813366" w:rsidP="007B11F4">
      <w:pPr>
        <w:adjustRightInd w:val="0"/>
        <w:spacing w:line="360" w:lineRule="auto"/>
        <w:rPr>
          <w:bCs/>
          <w:color w:val="000000"/>
          <w:sz w:val="24"/>
        </w:rPr>
      </w:pPr>
    </w:p>
    <w:p w:rsidR="00813366" w:rsidRPr="00813366" w:rsidRDefault="00813366" w:rsidP="007B11F4">
      <w:pPr>
        <w:adjustRightInd w:val="0"/>
        <w:spacing w:line="360" w:lineRule="auto"/>
        <w:rPr>
          <w:bCs/>
          <w:color w:val="000000"/>
          <w:sz w:val="24"/>
        </w:rPr>
      </w:pPr>
      <w:r>
        <w:rPr>
          <w:bCs/>
          <w:color w:val="000000"/>
          <w:sz w:val="24"/>
        </w:rPr>
        <w:tab/>
      </w:r>
      <w:r>
        <w:rPr>
          <w:bCs/>
          <w:color w:val="000000"/>
          <w:sz w:val="24"/>
        </w:rPr>
        <w:tab/>
      </w:r>
      <w:r w:rsidR="00D80AD2">
        <w:rPr>
          <w:bCs/>
          <w:color w:val="000000"/>
          <w:sz w:val="24"/>
        </w:rPr>
        <w:t>The Commission, a</w:t>
      </w:r>
      <w:r w:rsidRPr="00813366">
        <w:rPr>
          <w:bCs/>
          <w:color w:val="000000"/>
          <w:sz w:val="24"/>
        </w:rPr>
        <w:t>s an Administrative Agency</w:t>
      </w:r>
      <w:r w:rsidR="00D80AD2">
        <w:rPr>
          <w:bCs/>
          <w:color w:val="000000"/>
          <w:sz w:val="24"/>
        </w:rPr>
        <w:t>, is</w:t>
      </w:r>
      <w:r w:rsidRPr="00813366">
        <w:rPr>
          <w:bCs/>
          <w:color w:val="000000"/>
          <w:sz w:val="24"/>
        </w:rPr>
        <w:t xml:space="preserve"> not as technically bound by Pennsylvania rules of evidence as a court of common pleas, and may receive all relevant evidence of reasonably probative value in a proceeding.  2 Pa. C.S. 505.  Evidence is deemed relevant when it tends to establish facts in issue in a proceeding.  C.S. </w:t>
      </w:r>
      <w:proofErr w:type="spellStart"/>
      <w:r w:rsidRPr="00813366">
        <w:rPr>
          <w:bCs/>
          <w:color w:val="000000"/>
          <w:sz w:val="24"/>
        </w:rPr>
        <w:t>Warthman</w:t>
      </w:r>
      <w:proofErr w:type="spellEnd"/>
      <w:r w:rsidRPr="00813366">
        <w:rPr>
          <w:bCs/>
          <w:color w:val="000000"/>
          <w:sz w:val="24"/>
        </w:rPr>
        <w:t xml:space="preserve"> Funeral Home, et al. v. GTE North, Inc.  1993 Pa. PUC LEXIS 214 *16, Docket No. C-00924416 (June 4, 1991).   Additionally, the Commission’s regulations vest </w:t>
      </w:r>
      <w:r w:rsidR="00D80AD2">
        <w:rPr>
          <w:bCs/>
          <w:color w:val="000000"/>
          <w:sz w:val="24"/>
        </w:rPr>
        <w:t>presiding officers</w:t>
      </w:r>
      <w:r w:rsidRPr="00813366">
        <w:rPr>
          <w:bCs/>
          <w:color w:val="000000"/>
          <w:sz w:val="24"/>
        </w:rPr>
        <w:t xml:space="preserve"> with authority to limit the number of witnesses to be heard, limit the time and scope of direct and cross examinations and other reasonably necessary limitations.  52 Pa. Code § 5.403.   </w:t>
      </w:r>
    </w:p>
    <w:p w:rsidR="00813366" w:rsidRDefault="00813366" w:rsidP="007B11F4">
      <w:pPr>
        <w:autoSpaceDE/>
        <w:autoSpaceDN/>
        <w:spacing w:line="360" w:lineRule="auto"/>
        <w:ind w:firstLine="1440"/>
        <w:rPr>
          <w:bCs/>
          <w:color w:val="000000"/>
          <w:sz w:val="24"/>
          <w:szCs w:val="24"/>
        </w:rPr>
      </w:pPr>
    </w:p>
    <w:p w:rsidR="00881FAF" w:rsidRDefault="00881FAF" w:rsidP="007B11F4">
      <w:pPr>
        <w:autoSpaceDE/>
        <w:autoSpaceDN/>
        <w:spacing w:line="360" w:lineRule="auto"/>
        <w:ind w:firstLine="1440"/>
        <w:rPr>
          <w:bCs/>
          <w:color w:val="000000"/>
          <w:sz w:val="24"/>
          <w:szCs w:val="24"/>
        </w:rPr>
      </w:pPr>
      <w:r w:rsidRPr="00171CB0">
        <w:rPr>
          <w:bCs/>
          <w:color w:val="000000"/>
          <w:sz w:val="24"/>
          <w:szCs w:val="24"/>
        </w:rPr>
        <w:t xml:space="preserve">Hearsay is a statement, other than one made by the declarant while testifying at the trial or hearing, offered in evidence to prove the truth of the matter asserted.  Pa. R. </w:t>
      </w:r>
      <w:proofErr w:type="spellStart"/>
      <w:r w:rsidRPr="00171CB0">
        <w:rPr>
          <w:bCs/>
          <w:color w:val="000000"/>
          <w:sz w:val="24"/>
          <w:szCs w:val="24"/>
        </w:rPr>
        <w:t>Evid</w:t>
      </w:r>
      <w:proofErr w:type="spellEnd"/>
      <w:r w:rsidRPr="00171CB0">
        <w:rPr>
          <w:bCs/>
          <w:color w:val="000000"/>
          <w:sz w:val="24"/>
          <w:szCs w:val="24"/>
        </w:rPr>
        <w:t xml:space="preserve">. 801(c).  A finding based wholly on hearsay cannot support a legal conclusion by an administrative agency.  Pa. R. </w:t>
      </w:r>
      <w:proofErr w:type="spellStart"/>
      <w:r w:rsidRPr="00171CB0">
        <w:rPr>
          <w:bCs/>
          <w:color w:val="000000"/>
          <w:sz w:val="24"/>
          <w:szCs w:val="24"/>
        </w:rPr>
        <w:t>Evid</w:t>
      </w:r>
      <w:proofErr w:type="spellEnd"/>
      <w:r w:rsidRPr="00171CB0">
        <w:rPr>
          <w:bCs/>
          <w:color w:val="000000"/>
          <w:sz w:val="24"/>
          <w:szCs w:val="24"/>
        </w:rPr>
        <w:t xml:space="preserve">. 802.   However, a statement is not hearsay if it does not go to the truth of the matter asserted, but rather to the weight of the evidence, and there are numerous exceptions to the hearsay rule.  </w:t>
      </w:r>
    </w:p>
    <w:p w:rsidR="00881FAF" w:rsidRDefault="00881FAF" w:rsidP="007B11F4">
      <w:pPr>
        <w:autoSpaceDE/>
        <w:autoSpaceDN/>
        <w:spacing w:line="360" w:lineRule="auto"/>
        <w:ind w:firstLine="1440"/>
        <w:rPr>
          <w:bCs/>
          <w:color w:val="000000"/>
          <w:sz w:val="24"/>
          <w:szCs w:val="24"/>
        </w:rPr>
      </w:pPr>
    </w:p>
    <w:p w:rsidR="00881FAF" w:rsidRDefault="004606C1" w:rsidP="007B11F4">
      <w:pPr>
        <w:autoSpaceDE/>
        <w:autoSpaceDN/>
        <w:spacing w:line="360" w:lineRule="auto"/>
        <w:ind w:firstLine="1440"/>
        <w:rPr>
          <w:bCs/>
          <w:color w:val="000000"/>
          <w:sz w:val="24"/>
          <w:szCs w:val="24"/>
        </w:rPr>
      </w:pPr>
      <w:r>
        <w:rPr>
          <w:bCs/>
          <w:color w:val="000000"/>
          <w:sz w:val="24"/>
          <w:szCs w:val="24"/>
        </w:rPr>
        <w:lastRenderedPageBreak/>
        <w:t xml:space="preserve">UEA </w:t>
      </w:r>
      <w:r w:rsidR="00881FAF">
        <w:rPr>
          <w:bCs/>
          <w:color w:val="000000"/>
          <w:sz w:val="24"/>
          <w:szCs w:val="24"/>
        </w:rPr>
        <w:t xml:space="preserve">has responded that </w:t>
      </w:r>
      <w:r>
        <w:rPr>
          <w:bCs/>
          <w:color w:val="000000"/>
          <w:sz w:val="24"/>
          <w:szCs w:val="24"/>
        </w:rPr>
        <w:t xml:space="preserve">the statements </w:t>
      </w:r>
      <w:r w:rsidR="00881FAF">
        <w:rPr>
          <w:bCs/>
          <w:color w:val="000000"/>
          <w:sz w:val="24"/>
          <w:szCs w:val="24"/>
        </w:rPr>
        <w:t xml:space="preserve">are either not hearsay, or if they are, they </w:t>
      </w:r>
      <w:r>
        <w:rPr>
          <w:bCs/>
          <w:color w:val="000000"/>
          <w:sz w:val="24"/>
          <w:szCs w:val="24"/>
        </w:rPr>
        <w:t xml:space="preserve">are not offered for the truth of the matter asserted, </w:t>
      </w:r>
      <w:r w:rsidR="00881FAF">
        <w:rPr>
          <w:bCs/>
          <w:color w:val="000000"/>
          <w:sz w:val="24"/>
          <w:szCs w:val="24"/>
        </w:rPr>
        <w:t>rather</w:t>
      </w:r>
      <w:r>
        <w:rPr>
          <w:bCs/>
          <w:color w:val="000000"/>
          <w:sz w:val="24"/>
          <w:szCs w:val="24"/>
        </w:rPr>
        <w:t xml:space="preserve"> as operative facts, showing the impact on the listener and are relevant to the issues in the Complaint</w:t>
      </w:r>
      <w:r w:rsidR="00881FAF">
        <w:rPr>
          <w:bCs/>
          <w:color w:val="000000"/>
          <w:sz w:val="24"/>
          <w:szCs w:val="24"/>
        </w:rPr>
        <w:t xml:space="preserve">.  </w:t>
      </w:r>
    </w:p>
    <w:p w:rsidR="00881FAF" w:rsidRDefault="00881FAF" w:rsidP="007B11F4">
      <w:pPr>
        <w:autoSpaceDE/>
        <w:autoSpaceDN/>
        <w:spacing w:line="360" w:lineRule="auto"/>
        <w:ind w:firstLine="1440"/>
        <w:rPr>
          <w:bCs/>
          <w:color w:val="000000"/>
          <w:sz w:val="24"/>
          <w:szCs w:val="24"/>
        </w:rPr>
      </w:pPr>
    </w:p>
    <w:p w:rsidR="00813366" w:rsidRDefault="004606C1" w:rsidP="007B11F4">
      <w:pPr>
        <w:autoSpaceDE/>
        <w:autoSpaceDN/>
        <w:spacing w:line="360" w:lineRule="auto"/>
        <w:ind w:firstLine="1440"/>
        <w:rPr>
          <w:bCs/>
          <w:color w:val="000000"/>
          <w:sz w:val="24"/>
          <w:szCs w:val="24"/>
        </w:rPr>
      </w:pPr>
      <w:r>
        <w:rPr>
          <w:bCs/>
          <w:color w:val="000000"/>
          <w:sz w:val="24"/>
          <w:szCs w:val="24"/>
        </w:rPr>
        <w:t xml:space="preserve">UEA </w:t>
      </w:r>
      <w:r w:rsidR="00813366">
        <w:rPr>
          <w:bCs/>
          <w:color w:val="000000"/>
          <w:sz w:val="24"/>
          <w:szCs w:val="24"/>
        </w:rPr>
        <w:t xml:space="preserve">will be given an opportunity </w:t>
      </w:r>
      <w:r>
        <w:rPr>
          <w:bCs/>
          <w:color w:val="000000"/>
          <w:sz w:val="24"/>
          <w:szCs w:val="24"/>
        </w:rPr>
        <w:t>to establish a foundation regarding Mr. Hernandez’ testimony, and Navigate Power will be given an opportunity at the hearing to cross-examine Mr. Hernandez about his personal knowledge regarding his statements.</w:t>
      </w:r>
      <w:r w:rsidR="00813366">
        <w:rPr>
          <w:bCs/>
          <w:color w:val="000000"/>
          <w:sz w:val="24"/>
          <w:szCs w:val="24"/>
        </w:rPr>
        <w:t xml:space="preserve">  The testimony pertaining to certain individual respondents’ relationships with UEA are relevant to the allegations set forth in the Complaint pertaining to alleged violations of at least 66 Pa. C.S. §2809, arranging for the sale of energy products or services to end users from more than one broker/marketer. </w:t>
      </w:r>
      <w:r>
        <w:rPr>
          <w:bCs/>
          <w:color w:val="000000"/>
          <w:sz w:val="24"/>
          <w:szCs w:val="24"/>
        </w:rPr>
        <w:t xml:space="preserve"> </w:t>
      </w:r>
      <w:r w:rsidR="00881FAF">
        <w:rPr>
          <w:bCs/>
          <w:color w:val="000000"/>
          <w:sz w:val="24"/>
          <w:szCs w:val="24"/>
        </w:rPr>
        <w:t xml:space="preserve">Further, even if </w:t>
      </w:r>
      <w:r w:rsidR="00D80AD2">
        <w:rPr>
          <w:bCs/>
          <w:color w:val="000000"/>
          <w:sz w:val="24"/>
          <w:szCs w:val="24"/>
        </w:rPr>
        <w:t xml:space="preserve">a </w:t>
      </w:r>
      <w:r w:rsidR="00881FAF">
        <w:rPr>
          <w:bCs/>
          <w:color w:val="000000"/>
          <w:sz w:val="24"/>
          <w:szCs w:val="24"/>
        </w:rPr>
        <w:t xml:space="preserve">statement is hearsay, it may be admitted into the record but not given as much weight as non-hearsay evidence.  The hearsay statement may support a finding if corroborated by non-hearsay evidence. </w:t>
      </w:r>
      <w:r w:rsidR="0074366F">
        <w:rPr>
          <w:bCs/>
          <w:color w:val="000000"/>
          <w:sz w:val="24"/>
          <w:szCs w:val="24"/>
        </w:rPr>
        <w:t xml:space="preserve"> Thus, I decline to issue a pre-emptive strike of written testimony prior to the hearing. </w:t>
      </w:r>
    </w:p>
    <w:p w:rsidR="0074366F" w:rsidRDefault="0074366F" w:rsidP="007B11F4">
      <w:pPr>
        <w:autoSpaceDE/>
        <w:autoSpaceDN/>
        <w:spacing w:line="360" w:lineRule="auto"/>
        <w:rPr>
          <w:bCs/>
          <w:color w:val="000000"/>
          <w:sz w:val="24"/>
          <w:szCs w:val="24"/>
          <w:u w:val="single"/>
        </w:rPr>
      </w:pPr>
    </w:p>
    <w:p w:rsidR="006F3971" w:rsidRPr="00171CB0" w:rsidRDefault="0074366F" w:rsidP="007B11F4">
      <w:pPr>
        <w:autoSpaceDE/>
        <w:autoSpaceDN/>
        <w:spacing w:line="360" w:lineRule="auto"/>
        <w:rPr>
          <w:bCs/>
          <w:color w:val="000000"/>
          <w:sz w:val="24"/>
          <w:szCs w:val="24"/>
          <w:u w:val="single"/>
        </w:rPr>
      </w:pPr>
      <w:r>
        <w:rPr>
          <w:bCs/>
          <w:color w:val="000000"/>
          <w:sz w:val="24"/>
          <w:szCs w:val="24"/>
          <w:u w:val="single"/>
        </w:rPr>
        <w:t>Joseph Mazer</w:t>
      </w:r>
    </w:p>
    <w:p w:rsidR="006F3971" w:rsidRPr="00171CB0" w:rsidRDefault="006F3971" w:rsidP="007B11F4">
      <w:pPr>
        <w:autoSpaceDE/>
        <w:autoSpaceDN/>
        <w:spacing w:line="360" w:lineRule="auto"/>
        <w:rPr>
          <w:bCs/>
          <w:color w:val="000000"/>
          <w:sz w:val="24"/>
          <w:szCs w:val="24"/>
          <w:u w:val="single"/>
        </w:rPr>
      </w:pPr>
    </w:p>
    <w:p w:rsidR="0074366F" w:rsidRDefault="006F3971" w:rsidP="007B11F4">
      <w:pPr>
        <w:autoSpaceDE/>
        <w:autoSpaceDN/>
        <w:spacing w:line="360" w:lineRule="auto"/>
        <w:rPr>
          <w:bCs/>
          <w:color w:val="000000"/>
          <w:sz w:val="24"/>
          <w:szCs w:val="24"/>
        </w:rPr>
      </w:pPr>
      <w:r w:rsidRPr="00171CB0">
        <w:rPr>
          <w:bCs/>
          <w:color w:val="000000"/>
          <w:sz w:val="24"/>
          <w:szCs w:val="24"/>
        </w:rPr>
        <w:tab/>
      </w:r>
      <w:r w:rsidRPr="00171CB0">
        <w:rPr>
          <w:bCs/>
          <w:color w:val="000000"/>
          <w:sz w:val="24"/>
          <w:szCs w:val="24"/>
        </w:rPr>
        <w:tab/>
      </w:r>
      <w:r w:rsidR="0074366F">
        <w:rPr>
          <w:bCs/>
          <w:color w:val="000000"/>
          <w:sz w:val="24"/>
          <w:szCs w:val="24"/>
        </w:rPr>
        <w:t xml:space="preserve">Navigate Power </w:t>
      </w:r>
      <w:r w:rsidR="007034C0" w:rsidRPr="00171CB0">
        <w:rPr>
          <w:bCs/>
          <w:color w:val="000000"/>
          <w:sz w:val="24"/>
          <w:szCs w:val="24"/>
        </w:rPr>
        <w:t xml:space="preserve">contends </w:t>
      </w:r>
      <w:r w:rsidR="0074366F">
        <w:rPr>
          <w:bCs/>
          <w:color w:val="000000"/>
          <w:sz w:val="24"/>
          <w:szCs w:val="24"/>
        </w:rPr>
        <w:t xml:space="preserve">that because Mr. Mazer has been convicted of a felony, </w:t>
      </w:r>
      <w:r w:rsidR="00127D05">
        <w:rPr>
          <w:bCs/>
          <w:color w:val="000000"/>
          <w:sz w:val="24"/>
          <w:szCs w:val="24"/>
        </w:rPr>
        <w:t xml:space="preserve">criminal </w:t>
      </w:r>
      <w:r w:rsidR="0074366F">
        <w:rPr>
          <w:bCs/>
          <w:color w:val="000000"/>
          <w:sz w:val="24"/>
          <w:szCs w:val="24"/>
        </w:rPr>
        <w:t>conspiracy</w:t>
      </w:r>
      <w:r w:rsidR="00127D05">
        <w:rPr>
          <w:bCs/>
          <w:color w:val="000000"/>
          <w:sz w:val="24"/>
          <w:szCs w:val="24"/>
        </w:rPr>
        <w:t xml:space="preserve"> to commit</w:t>
      </w:r>
      <w:r w:rsidR="0074366F">
        <w:rPr>
          <w:bCs/>
          <w:color w:val="000000"/>
          <w:sz w:val="24"/>
          <w:szCs w:val="24"/>
        </w:rPr>
        <w:t xml:space="preserve"> perjury</w:t>
      </w:r>
      <w:r w:rsidR="00127D05">
        <w:rPr>
          <w:bCs/>
          <w:color w:val="000000"/>
          <w:sz w:val="24"/>
          <w:szCs w:val="24"/>
        </w:rPr>
        <w:t xml:space="preserve">, he is incompetent to testify.  </w:t>
      </w:r>
      <w:r w:rsidR="0074366F">
        <w:rPr>
          <w:bCs/>
          <w:color w:val="000000"/>
          <w:sz w:val="24"/>
          <w:szCs w:val="24"/>
        </w:rPr>
        <w:t xml:space="preserve">Thus, in accordance with 42 Pa. C.S. § 5922, Navigate Power moves to strike Mr. Mazer’s direct testimony in its entirety.  </w:t>
      </w:r>
    </w:p>
    <w:p w:rsidR="00127D05" w:rsidRDefault="00127D05" w:rsidP="007B11F4">
      <w:pPr>
        <w:autoSpaceDE/>
        <w:autoSpaceDN/>
        <w:spacing w:line="360" w:lineRule="auto"/>
        <w:rPr>
          <w:bCs/>
          <w:color w:val="000000"/>
          <w:sz w:val="24"/>
          <w:szCs w:val="24"/>
        </w:rPr>
      </w:pPr>
    </w:p>
    <w:p w:rsidR="00F746F1" w:rsidRDefault="00F746F1" w:rsidP="007B11F4">
      <w:pPr>
        <w:autoSpaceDE/>
        <w:autoSpaceDN/>
        <w:spacing w:line="360" w:lineRule="auto"/>
        <w:rPr>
          <w:bCs/>
          <w:color w:val="000000"/>
          <w:sz w:val="24"/>
          <w:szCs w:val="24"/>
        </w:rPr>
      </w:pPr>
      <w:r>
        <w:rPr>
          <w:bCs/>
          <w:color w:val="000000"/>
          <w:sz w:val="24"/>
          <w:szCs w:val="24"/>
        </w:rPr>
        <w:tab/>
      </w:r>
      <w:r w:rsidR="00324FD2">
        <w:rPr>
          <w:bCs/>
          <w:color w:val="000000"/>
          <w:sz w:val="24"/>
          <w:szCs w:val="24"/>
        </w:rPr>
        <w:tab/>
      </w:r>
      <w:r>
        <w:rPr>
          <w:bCs/>
          <w:color w:val="000000"/>
          <w:sz w:val="24"/>
          <w:szCs w:val="24"/>
        </w:rPr>
        <w:t>UEA contends Mr. Mazer was not convicted of “perjury, subordination of perjury, or solicitation to commit perjury” within the plain meaning of 42 Pa. C.S. § 5922.   Accordingly, although Navigate Power does not deny Mr. Mazer was convicted of “conspiracy to commit perjury,” this conviction falls outside the plain meaning of the statute.  Thus, Mr. Mazer is competent to testify.  Further, UEA argues that the statute is limited to civil matters, and is unaware of any case applying Section 5922 to administrative proceedings.</w:t>
      </w:r>
    </w:p>
    <w:p w:rsidR="00F654B3" w:rsidRDefault="00F654B3" w:rsidP="007B11F4">
      <w:pPr>
        <w:autoSpaceDE/>
        <w:autoSpaceDN/>
        <w:spacing w:line="360" w:lineRule="auto"/>
        <w:rPr>
          <w:bCs/>
          <w:color w:val="000000"/>
          <w:sz w:val="24"/>
          <w:szCs w:val="24"/>
        </w:rPr>
      </w:pPr>
    </w:p>
    <w:p w:rsidR="00F654B3" w:rsidRDefault="00F654B3" w:rsidP="007B11F4">
      <w:pPr>
        <w:autoSpaceDE/>
        <w:autoSpaceDN/>
        <w:spacing w:line="360" w:lineRule="auto"/>
        <w:rPr>
          <w:bCs/>
          <w:color w:val="000000"/>
          <w:sz w:val="24"/>
          <w:szCs w:val="24"/>
        </w:rPr>
      </w:pPr>
      <w:r>
        <w:rPr>
          <w:bCs/>
          <w:color w:val="000000"/>
          <w:sz w:val="24"/>
          <w:szCs w:val="24"/>
        </w:rPr>
        <w:t>Section 5922 provides as follows.</w:t>
      </w:r>
    </w:p>
    <w:p w:rsidR="00F654B3" w:rsidRDefault="00F654B3" w:rsidP="00F746F1">
      <w:pPr>
        <w:autoSpaceDE/>
        <w:autoSpaceDN/>
        <w:spacing w:line="360" w:lineRule="auto"/>
        <w:rPr>
          <w:bCs/>
          <w:color w:val="000000"/>
          <w:sz w:val="24"/>
          <w:szCs w:val="24"/>
        </w:rPr>
      </w:pPr>
      <w:r>
        <w:rPr>
          <w:bCs/>
          <w:color w:val="000000"/>
          <w:sz w:val="24"/>
          <w:szCs w:val="24"/>
        </w:rPr>
        <w:tab/>
        <w:t>5922. Disqualification by perjury.</w:t>
      </w:r>
    </w:p>
    <w:p w:rsidR="00F654B3" w:rsidRPr="00F654B3" w:rsidRDefault="00F654B3" w:rsidP="00F654B3">
      <w:pPr>
        <w:autoSpaceDE/>
        <w:autoSpaceDN/>
        <w:ind w:left="720" w:right="720"/>
        <w:rPr>
          <w:rFonts w:ascii="Courier New" w:hAnsi="Courier New" w:cs="Courier New"/>
          <w:vanish/>
          <w:sz w:val="24"/>
          <w:szCs w:val="24"/>
          <w:lang w:eastAsia="zh-CN"/>
        </w:rPr>
      </w:pPr>
      <w:r>
        <w:rPr>
          <w:bCs/>
          <w:color w:val="000000"/>
          <w:sz w:val="24"/>
          <w:szCs w:val="24"/>
        </w:rPr>
        <w:lastRenderedPageBreak/>
        <w:t>In a civil matter, a person who has been convicted in a court of this Commonwealth of perjury, which term is hereby declared to include subordination of or solicitation to commit perjury, shall not be a competent witness for any purpose, although his sentence may have been fully complied with, unless the judgment of conviction be judicially set aside or reversed, or unless the matter is one to redress or prevent injury or violence attempted, done or threatened to his person or property, in which cases he shall be permitted to testify.</w:t>
      </w:r>
      <w:r w:rsidRPr="00F654B3">
        <w:rPr>
          <w:rFonts w:ascii="Courier New" w:hAnsi="Courier New" w:cs="Courier New"/>
          <w:vanish/>
          <w:sz w:val="24"/>
          <w:szCs w:val="24"/>
          <w:lang w:eastAsia="zh-CN"/>
        </w:rPr>
        <w:t>42c5922v</w:t>
      </w:r>
    </w:p>
    <w:p w:rsidR="00F654B3" w:rsidRPr="00F654B3" w:rsidRDefault="00F654B3" w:rsidP="00F654B3">
      <w:pPr>
        <w:autoSpaceDE/>
        <w:autoSpaceDN/>
        <w:ind w:left="720" w:right="720"/>
        <w:rPr>
          <w:rFonts w:ascii="Courier New" w:hAnsi="Courier New" w:cs="Courier New"/>
          <w:sz w:val="24"/>
          <w:szCs w:val="24"/>
          <w:lang w:eastAsia="zh-CN"/>
        </w:rPr>
      </w:pPr>
      <w:r w:rsidRPr="00F654B3">
        <w:rPr>
          <w:rFonts w:ascii="Courier New" w:hAnsi="Courier New" w:cs="Courier New"/>
          <w:sz w:val="24"/>
          <w:szCs w:val="24"/>
          <w:lang w:eastAsia="zh-CN"/>
        </w:rPr>
        <w:t> </w:t>
      </w:r>
    </w:p>
    <w:p w:rsidR="00F654B3" w:rsidRDefault="00F654B3" w:rsidP="00F654B3">
      <w:pPr>
        <w:autoSpaceDE/>
        <w:autoSpaceDN/>
        <w:spacing w:line="360" w:lineRule="auto"/>
        <w:ind w:left="720" w:right="720"/>
        <w:rPr>
          <w:bCs/>
          <w:color w:val="000000"/>
          <w:sz w:val="24"/>
          <w:szCs w:val="24"/>
        </w:rPr>
      </w:pPr>
    </w:p>
    <w:p w:rsidR="00F654B3" w:rsidRDefault="00F654B3" w:rsidP="00F654B3">
      <w:pPr>
        <w:autoSpaceDE/>
        <w:autoSpaceDN/>
        <w:spacing w:line="360" w:lineRule="auto"/>
        <w:ind w:right="720"/>
        <w:rPr>
          <w:bCs/>
          <w:color w:val="000000"/>
          <w:sz w:val="24"/>
          <w:szCs w:val="24"/>
        </w:rPr>
      </w:pPr>
      <w:r>
        <w:rPr>
          <w:bCs/>
          <w:color w:val="000000"/>
          <w:sz w:val="24"/>
          <w:szCs w:val="24"/>
        </w:rPr>
        <w:t xml:space="preserve">42 </w:t>
      </w:r>
      <w:proofErr w:type="spellStart"/>
      <w:r>
        <w:rPr>
          <w:bCs/>
          <w:color w:val="000000"/>
          <w:sz w:val="24"/>
          <w:szCs w:val="24"/>
        </w:rPr>
        <w:t>Pa.C.S</w:t>
      </w:r>
      <w:proofErr w:type="spellEnd"/>
      <w:r>
        <w:rPr>
          <w:bCs/>
          <w:color w:val="000000"/>
          <w:sz w:val="24"/>
          <w:szCs w:val="24"/>
        </w:rPr>
        <w:t>. §5922</w:t>
      </w:r>
    </w:p>
    <w:p w:rsidR="00F746F1" w:rsidRDefault="00F746F1" w:rsidP="007B11F4">
      <w:pPr>
        <w:autoSpaceDE/>
        <w:autoSpaceDN/>
        <w:spacing w:line="360" w:lineRule="auto"/>
        <w:rPr>
          <w:bCs/>
          <w:color w:val="000000"/>
          <w:sz w:val="24"/>
          <w:szCs w:val="24"/>
        </w:rPr>
      </w:pPr>
    </w:p>
    <w:p w:rsidR="00F746F1" w:rsidRDefault="00D80AD2" w:rsidP="007B11F4">
      <w:pPr>
        <w:autoSpaceDE/>
        <w:autoSpaceDN/>
        <w:spacing w:line="360" w:lineRule="auto"/>
        <w:rPr>
          <w:bCs/>
          <w:color w:val="000000"/>
          <w:sz w:val="24"/>
          <w:szCs w:val="24"/>
        </w:rPr>
      </w:pPr>
      <w:r>
        <w:rPr>
          <w:bCs/>
          <w:color w:val="000000"/>
          <w:sz w:val="24"/>
          <w:szCs w:val="24"/>
        </w:rPr>
        <w:tab/>
      </w:r>
      <w:r>
        <w:rPr>
          <w:bCs/>
          <w:color w:val="000000"/>
          <w:sz w:val="24"/>
          <w:szCs w:val="24"/>
        </w:rPr>
        <w:tab/>
      </w:r>
      <w:r w:rsidR="00F654B3">
        <w:rPr>
          <w:bCs/>
          <w:color w:val="000000"/>
          <w:sz w:val="24"/>
          <w:szCs w:val="24"/>
        </w:rPr>
        <w:t xml:space="preserve">Attached to Navigate Power’s Motion to Strike is Exhibit B, which purports to be Mr. Mazer’s rap sheet, and states on pages 5-6, that there was a guilty plea to </w:t>
      </w:r>
      <w:r w:rsidR="00A35B86">
        <w:rPr>
          <w:bCs/>
          <w:color w:val="000000"/>
          <w:sz w:val="24"/>
          <w:szCs w:val="24"/>
        </w:rPr>
        <w:t xml:space="preserve">Pennsylvania </w:t>
      </w:r>
      <w:r w:rsidR="00F654B3">
        <w:rPr>
          <w:bCs/>
          <w:color w:val="000000"/>
          <w:sz w:val="24"/>
          <w:szCs w:val="24"/>
        </w:rPr>
        <w:t xml:space="preserve">Crimes Code </w:t>
      </w:r>
      <w:r w:rsidR="00F746F1">
        <w:rPr>
          <w:bCs/>
          <w:color w:val="000000"/>
          <w:sz w:val="24"/>
          <w:szCs w:val="24"/>
        </w:rPr>
        <w:t>Section 903</w:t>
      </w:r>
      <w:r w:rsidR="00F654B3">
        <w:rPr>
          <w:bCs/>
          <w:color w:val="000000"/>
          <w:sz w:val="24"/>
          <w:szCs w:val="24"/>
        </w:rPr>
        <w:t>, which</w:t>
      </w:r>
      <w:r w:rsidR="00F746F1">
        <w:rPr>
          <w:bCs/>
          <w:color w:val="000000"/>
          <w:sz w:val="24"/>
          <w:szCs w:val="24"/>
        </w:rPr>
        <w:t xml:space="preserve"> provides in pertinent part.</w:t>
      </w:r>
    </w:p>
    <w:p w:rsidR="00F746F1" w:rsidRDefault="00F746F1" w:rsidP="007B11F4">
      <w:pPr>
        <w:autoSpaceDE/>
        <w:autoSpaceDN/>
        <w:spacing w:line="360" w:lineRule="auto"/>
        <w:rPr>
          <w:bCs/>
          <w:color w:val="000000"/>
          <w:sz w:val="24"/>
          <w:szCs w:val="24"/>
        </w:rPr>
      </w:pPr>
    </w:p>
    <w:p w:rsidR="00F746F1" w:rsidRDefault="00F746F1" w:rsidP="00F746F1">
      <w:pPr>
        <w:autoSpaceDE/>
        <w:autoSpaceDN/>
        <w:spacing w:line="360" w:lineRule="auto"/>
        <w:ind w:left="720" w:right="720"/>
        <w:rPr>
          <w:bCs/>
          <w:color w:val="000000"/>
          <w:sz w:val="24"/>
          <w:szCs w:val="24"/>
        </w:rPr>
      </w:pPr>
      <w:r>
        <w:rPr>
          <w:bCs/>
          <w:color w:val="000000"/>
          <w:sz w:val="24"/>
          <w:szCs w:val="24"/>
        </w:rPr>
        <w:t>903.  Criminal conspiracy.</w:t>
      </w:r>
    </w:p>
    <w:p w:rsidR="00F746F1" w:rsidRDefault="00F746F1" w:rsidP="00F746F1">
      <w:pPr>
        <w:autoSpaceDE/>
        <w:autoSpaceDN/>
        <w:ind w:left="720" w:right="720"/>
        <w:rPr>
          <w:bCs/>
          <w:color w:val="000000"/>
          <w:sz w:val="24"/>
          <w:szCs w:val="24"/>
        </w:rPr>
      </w:pPr>
      <w:r>
        <w:rPr>
          <w:bCs/>
          <w:color w:val="000000"/>
          <w:sz w:val="24"/>
          <w:szCs w:val="24"/>
        </w:rPr>
        <w:t xml:space="preserve">(a) Definition of conspiracy. – A person is guilty of conspiracy with another person or persons to commit a crime if with the intent of promoting or facilitating its commission he: (1) agrees with such other person or persons that they or one or more of them will engage in conduct which constitutes such crime or an attempt or solicitation to commit such crime; or (2) agrees to aid such other person or person in the planning or commission of such crime or of an attempt or solicitation to commit such crime. </w:t>
      </w:r>
    </w:p>
    <w:p w:rsidR="00F746F1" w:rsidRDefault="00F746F1" w:rsidP="00F746F1">
      <w:pPr>
        <w:autoSpaceDE/>
        <w:autoSpaceDN/>
        <w:spacing w:line="360" w:lineRule="auto"/>
        <w:rPr>
          <w:bCs/>
          <w:color w:val="000000"/>
          <w:sz w:val="24"/>
          <w:szCs w:val="24"/>
        </w:rPr>
      </w:pPr>
      <w:r>
        <w:rPr>
          <w:bCs/>
          <w:color w:val="000000"/>
          <w:sz w:val="24"/>
          <w:szCs w:val="24"/>
        </w:rPr>
        <w:tab/>
      </w:r>
      <w:r>
        <w:rPr>
          <w:bCs/>
          <w:color w:val="000000"/>
          <w:sz w:val="24"/>
          <w:szCs w:val="24"/>
        </w:rPr>
        <w:tab/>
      </w:r>
    </w:p>
    <w:p w:rsidR="00F746F1" w:rsidRDefault="00F746F1" w:rsidP="00F746F1">
      <w:pPr>
        <w:autoSpaceDE/>
        <w:autoSpaceDN/>
        <w:spacing w:line="360" w:lineRule="auto"/>
        <w:rPr>
          <w:bCs/>
          <w:color w:val="000000"/>
          <w:sz w:val="24"/>
          <w:szCs w:val="24"/>
        </w:rPr>
      </w:pPr>
      <w:r>
        <w:rPr>
          <w:bCs/>
          <w:color w:val="000000"/>
          <w:sz w:val="24"/>
          <w:szCs w:val="24"/>
        </w:rPr>
        <w:t xml:space="preserve">18 Pa. </w:t>
      </w:r>
      <w:r w:rsidR="00A35B86">
        <w:rPr>
          <w:bCs/>
          <w:color w:val="000000"/>
          <w:sz w:val="24"/>
          <w:szCs w:val="24"/>
        </w:rPr>
        <w:t>C.S.</w:t>
      </w:r>
      <w:r>
        <w:rPr>
          <w:bCs/>
          <w:color w:val="000000"/>
          <w:sz w:val="24"/>
          <w:szCs w:val="24"/>
        </w:rPr>
        <w:t xml:space="preserve"> §903(a).</w:t>
      </w:r>
    </w:p>
    <w:p w:rsidR="00F746F1" w:rsidRDefault="00F746F1" w:rsidP="00A35B86">
      <w:pPr>
        <w:autoSpaceDE/>
        <w:autoSpaceDN/>
        <w:spacing w:line="360" w:lineRule="auto"/>
        <w:ind w:firstLine="1440"/>
        <w:rPr>
          <w:bCs/>
          <w:color w:val="000000"/>
          <w:sz w:val="24"/>
          <w:szCs w:val="24"/>
        </w:rPr>
      </w:pPr>
      <w:r>
        <w:rPr>
          <w:bCs/>
          <w:color w:val="000000"/>
          <w:sz w:val="24"/>
          <w:szCs w:val="24"/>
        </w:rPr>
        <w:tab/>
      </w:r>
    </w:p>
    <w:p w:rsidR="00424ACA" w:rsidRDefault="00A35B86" w:rsidP="007B11F4">
      <w:pPr>
        <w:autoSpaceDE/>
        <w:autoSpaceDN/>
        <w:spacing w:line="360" w:lineRule="auto"/>
        <w:ind w:firstLine="1440"/>
        <w:rPr>
          <w:bCs/>
          <w:color w:val="000000"/>
          <w:sz w:val="24"/>
          <w:szCs w:val="24"/>
        </w:rPr>
      </w:pPr>
      <w:r>
        <w:rPr>
          <w:bCs/>
          <w:color w:val="000000"/>
          <w:sz w:val="24"/>
          <w:szCs w:val="24"/>
        </w:rPr>
        <w:t xml:space="preserve">Section 903 is not identical to the separate offense of Perjury, 18 Pa. C.S. 4902.   There is no evidence to suggest Mr. Mazer was convicted of Subornation of Perjury, i.e. 18 USCA §1622.  Accordingly, in applying strict construction to 42 </w:t>
      </w:r>
      <w:proofErr w:type="spellStart"/>
      <w:r>
        <w:rPr>
          <w:bCs/>
          <w:color w:val="000000"/>
          <w:sz w:val="24"/>
          <w:szCs w:val="24"/>
        </w:rPr>
        <w:t>Pa.C.S</w:t>
      </w:r>
      <w:proofErr w:type="spellEnd"/>
      <w:r>
        <w:rPr>
          <w:bCs/>
          <w:color w:val="000000"/>
          <w:sz w:val="24"/>
          <w:szCs w:val="24"/>
        </w:rPr>
        <w:t xml:space="preserve">. §5922, as Section 5922 does not specifically mention conviction of “conspiracy to commit perjury,” Mr. Mazer will be permitted to testify. </w:t>
      </w:r>
      <w:r w:rsidR="00D80AD2">
        <w:rPr>
          <w:bCs/>
          <w:color w:val="000000"/>
          <w:sz w:val="24"/>
          <w:szCs w:val="24"/>
        </w:rPr>
        <w:t xml:space="preserve">Evidence of a conviction of a crime involving dishonesty may be considered in evaluating the credibility of the witness.  </w:t>
      </w:r>
      <w:r>
        <w:rPr>
          <w:bCs/>
          <w:color w:val="000000"/>
          <w:sz w:val="24"/>
          <w:szCs w:val="24"/>
        </w:rPr>
        <w:t xml:space="preserve">Accordingly, for all of these aforementioned reasons, </w:t>
      </w:r>
      <w:r w:rsidR="00324FD2">
        <w:rPr>
          <w:bCs/>
          <w:color w:val="000000"/>
          <w:sz w:val="24"/>
          <w:szCs w:val="24"/>
        </w:rPr>
        <w:t>Navigate Power’s</w:t>
      </w:r>
      <w:r w:rsidR="00B9204F" w:rsidRPr="00171CB0">
        <w:rPr>
          <w:bCs/>
          <w:color w:val="000000"/>
          <w:sz w:val="24"/>
          <w:szCs w:val="24"/>
        </w:rPr>
        <w:t xml:space="preserve"> motion to strike the pre-served direct testimonies of </w:t>
      </w:r>
      <w:r w:rsidR="00324FD2">
        <w:rPr>
          <w:bCs/>
          <w:color w:val="000000"/>
          <w:sz w:val="24"/>
          <w:szCs w:val="24"/>
        </w:rPr>
        <w:t>Ricardo Hernandez II and Joseph Mazer</w:t>
      </w:r>
      <w:r w:rsidR="00B9204F" w:rsidRPr="00171CB0">
        <w:rPr>
          <w:bCs/>
          <w:color w:val="000000"/>
          <w:sz w:val="24"/>
          <w:szCs w:val="24"/>
        </w:rPr>
        <w:t xml:space="preserve"> is denied. </w:t>
      </w:r>
    </w:p>
    <w:p w:rsidR="00424ACA" w:rsidRDefault="00424ACA" w:rsidP="007B11F4">
      <w:pPr>
        <w:autoSpaceDE/>
        <w:autoSpaceDN/>
        <w:spacing w:line="360" w:lineRule="auto"/>
        <w:rPr>
          <w:bCs/>
          <w:color w:val="000000"/>
          <w:sz w:val="24"/>
          <w:szCs w:val="24"/>
        </w:rPr>
      </w:pPr>
      <w:r>
        <w:rPr>
          <w:bCs/>
          <w:color w:val="000000"/>
          <w:sz w:val="24"/>
          <w:szCs w:val="24"/>
        </w:rPr>
        <w:br w:type="page"/>
      </w:r>
    </w:p>
    <w:p w:rsidR="009E6A4F" w:rsidRPr="00171CB0" w:rsidRDefault="009E6A4F" w:rsidP="00424ACA">
      <w:pPr>
        <w:autoSpaceDE/>
        <w:autoSpaceDN/>
        <w:spacing w:line="360" w:lineRule="auto"/>
        <w:ind w:right="720" w:firstLine="1440"/>
        <w:rPr>
          <w:bCs/>
          <w:color w:val="000000"/>
          <w:sz w:val="24"/>
          <w:szCs w:val="24"/>
        </w:rPr>
      </w:pPr>
    </w:p>
    <w:p w:rsidR="002750F9" w:rsidRPr="00171CB0" w:rsidRDefault="002750F9" w:rsidP="002750F9">
      <w:pPr>
        <w:spacing w:line="360" w:lineRule="auto"/>
        <w:jc w:val="center"/>
        <w:rPr>
          <w:sz w:val="24"/>
          <w:szCs w:val="24"/>
        </w:rPr>
      </w:pPr>
      <w:r w:rsidRPr="00171CB0">
        <w:rPr>
          <w:sz w:val="24"/>
          <w:szCs w:val="24"/>
          <w:u w:val="single"/>
        </w:rPr>
        <w:t>ORDER</w:t>
      </w:r>
    </w:p>
    <w:p w:rsidR="002750F9" w:rsidRDefault="002750F9" w:rsidP="002750F9">
      <w:pPr>
        <w:spacing w:line="360" w:lineRule="auto"/>
        <w:rPr>
          <w:sz w:val="24"/>
          <w:szCs w:val="24"/>
        </w:rPr>
      </w:pPr>
    </w:p>
    <w:p w:rsidR="007B11F4" w:rsidRPr="00171CB0" w:rsidRDefault="007B11F4" w:rsidP="002750F9">
      <w:pPr>
        <w:spacing w:line="360" w:lineRule="auto"/>
        <w:rPr>
          <w:sz w:val="24"/>
          <w:szCs w:val="24"/>
        </w:rPr>
      </w:pPr>
    </w:p>
    <w:p w:rsidR="002750F9" w:rsidRPr="00171CB0" w:rsidRDefault="002750F9" w:rsidP="002750F9">
      <w:pPr>
        <w:spacing w:line="360" w:lineRule="auto"/>
        <w:ind w:firstLine="1440"/>
        <w:rPr>
          <w:bCs/>
          <w:sz w:val="24"/>
          <w:szCs w:val="24"/>
        </w:rPr>
      </w:pPr>
      <w:r w:rsidRPr="00171CB0">
        <w:rPr>
          <w:bCs/>
          <w:sz w:val="24"/>
          <w:szCs w:val="24"/>
        </w:rPr>
        <w:t>THEREFORE,</w:t>
      </w:r>
    </w:p>
    <w:p w:rsidR="002750F9" w:rsidRPr="00171CB0" w:rsidRDefault="002750F9" w:rsidP="002750F9">
      <w:pPr>
        <w:spacing w:line="360" w:lineRule="auto"/>
        <w:ind w:firstLine="1440"/>
        <w:rPr>
          <w:sz w:val="24"/>
          <w:szCs w:val="24"/>
        </w:rPr>
      </w:pPr>
    </w:p>
    <w:p w:rsidR="002750F9" w:rsidRPr="00171CB0" w:rsidRDefault="002750F9" w:rsidP="002750F9">
      <w:pPr>
        <w:spacing w:line="360" w:lineRule="auto"/>
        <w:ind w:firstLine="1440"/>
        <w:rPr>
          <w:bCs/>
          <w:sz w:val="24"/>
          <w:szCs w:val="24"/>
        </w:rPr>
      </w:pPr>
      <w:r w:rsidRPr="00171CB0">
        <w:rPr>
          <w:bCs/>
          <w:sz w:val="24"/>
          <w:szCs w:val="24"/>
        </w:rPr>
        <w:t>IT IS ORDERED:</w:t>
      </w:r>
    </w:p>
    <w:p w:rsidR="002750F9" w:rsidRPr="00171CB0" w:rsidRDefault="002750F9" w:rsidP="002750F9">
      <w:pPr>
        <w:spacing w:line="360" w:lineRule="auto"/>
        <w:ind w:firstLine="1440"/>
        <w:rPr>
          <w:bCs/>
          <w:sz w:val="24"/>
          <w:szCs w:val="24"/>
        </w:rPr>
      </w:pPr>
    </w:p>
    <w:p w:rsidR="0012162E" w:rsidRPr="00424ACA" w:rsidRDefault="00424ACA" w:rsidP="007B11F4">
      <w:pPr>
        <w:numPr>
          <w:ilvl w:val="0"/>
          <w:numId w:val="3"/>
        </w:numPr>
        <w:spacing w:line="360" w:lineRule="auto"/>
        <w:ind w:left="0" w:firstLine="1440"/>
        <w:rPr>
          <w:sz w:val="24"/>
          <w:szCs w:val="24"/>
        </w:rPr>
      </w:pPr>
      <w:r w:rsidRPr="00424ACA">
        <w:rPr>
          <w:sz w:val="24"/>
          <w:szCs w:val="24"/>
        </w:rPr>
        <w:t>That Navigate Power, LLC’s</w:t>
      </w:r>
      <w:r w:rsidR="000F51D6" w:rsidRPr="00424ACA">
        <w:rPr>
          <w:sz w:val="24"/>
          <w:szCs w:val="24"/>
        </w:rPr>
        <w:t xml:space="preserve"> Motion to Strike </w:t>
      </w:r>
      <w:r>
        <w:rPr>
          <w:sz w:val="24"/>
          <w:szCs w:val="24"/>
        </w:rPr>
        <w:t>Written</w:t>
      </w:r>
      <w:r w:rsidR="000F51D6" w:rsidRPr="00424ACA">
        <w:rPr>
          <w:sz w:val="24"/>
          <w:szCs w:val="24"/>
        </w:rPr>
        <w:t xml:space="preserve"> </w:t>
      </w:r>
      <w:r>
        <w:rPr>
          <w:sz w:val="24"/>
          <w:szCs w:val="24"/>
        </w:rPr>
        <w:t>Testimony</w:t>
      </w:r>
      <w:r w:rsidRPr="00424ACA">
        <w:rPr>
          <w:sz w:val="24"/>
          <w:szCs w:val="24"/>
        </w:rPr>
        <w:t xml:space="preserve"> is hereby denied. </w:t>
      </w:r>
    </w:p>
    <w:p w:rsidR="002750F9" w:rsidRDefault="002750F9" w:rsidP="007B11F4">
      <w:pPr>
        <w:spacing w:line="360" w:lineRule="auto"/>
        <w:rPr>
          <w:sz w:val="24"/>
          <w:szCs w:val="24"/>
        </w:rPr>
      </w:pPr>
    </w:p>
    <w:p w:rsidR="00424ACA" w:rsidRPr="00171CB0" w:rsidRDefault="00424ACA" w:rsidP="007B11F4">
      <w:pPr>
        <w:spacing w:line="360" w:lineRule="auto"/>
        <w:rPr>
          <w:sz w:val="24"/>
          <w:szCs w:val="24"/>
        </w:rPr>
      </w:pPr>
    </w:p>
    <w:p w:rsidR="002750F9" w:rsidRPr="00171CB0" w:rsidRDefault="002750F9" w:rsidP="002750F9">
      <w:pPr>
        <w:rPr>
          <w:sz w:val="24"/>
          <w:szCs w:val="24"/>
          <w:u w:val="single"/>
        </w:rPr>
      </w:pPr>
      <w:r w:rsidRPr="00171CB0">
        <w:rPr>
          <w:sz w:val="24"/>
          <w:szCs w:val="24"/>
        </w:rPr>
        <w:t xml:space="preserve">Date: </w:t>
      </w:r>
      <w:r w:rsidR="0012162E" w:rsidRPr="00171CB0">
        <w:rPr>
          <w:sz w:val="24"/>
          <w:szCs w:val="24"/>
          <w:u w:val="single"/>
        </w:rPr>
        <w:t xml:space="preserve">March </w:t>
      </w:r>
      <w:r w:rsidR="006F3971" w:rsidRPr="00171CB0">
        <w:rPr>
          <w:sz w:val="24"/>
          <w:szCs w:val="24"/>
          <w:u w:val="single"/>
        </w:rPr>
        <w:t>1</w:t>
      </w:r>
      <w:r w:rsidR="00171CB0">
        <w:rPr>
          <w:sz w:val="24"/>
          <w:szCs w:val="24"/>
          <w:u w:val="single"/>
        </w:rPr>
        <w:t>1</w:t>
      </w:r>
      <w:r w:rsidRPr="00171CB0">
        <w:rPr>
          <w:sz w:val="24"/>
          <w:szCs w:val="24"/>
          <w:u w:val="single"/>
        </w:rPr>
        <w:t>, 201</w:t>
      </w:r>
      <w:r w:rsidR="00171CB0">
        <w:rPr>
          <w:sz w:val="24"/>
          <w:szCs w:val="24"/>
          <w:u w:val="single"/>
        </w:rPr>
        <w:t>6</w:t>
      </w:r>
      <w:r w:rsidRPr="00171CB0">
        <w:rPr>
          <w:sz w:val="24"/>
          <w:szCs w:val="24"/>
        </w:rPr>
        <w:tab/>
      </w:r>
      <w:r w:rsidRPr="00171CB0">
        <w:rPr>
          <w:sz w:val="24"/>
          <w:szCs w:val="24"/>
        </w:rPr>
        <w:tab/>
      </w:r>
      <w:r w:rsidR="0012162E" w:rsidRPr="00171CB0">
        <w:rPr>
          <w:sz w:val="24"/>
          <w:szCs w:val="24"/>
        </w:rPr>
        <w:tab/>
      </w:r>
      <w:r w:rsidRPr="00171CB0">
        <w:rPr>
          <w:sz w:val="24"/>
          <w:szCs w:val="24"/>
          <w:u w:val="single"/>
        </w:rPr>
        <w:tab/>
      </w:r>
      <w:r w:rsidRPr="00171CB0">
        <w:rPr>
          <w:sz w:val="24"/>
          <w:szCs w:val="24"/>
          <w:u w:val="single"/>
        </w:rPr>
        <w:tab/>
      </w:r>
      <w:r w:rsidRPr="00171CB0">
        <w:rPr>
          <w:sz w:val="24"/>
          <w:szCs w:val="24"/>
          <w:u w:val="single"/>
        </w:rPr>
        <w:tab/>
      </w:r>
      <w:r w:rsidRPr="00171CB0">
        <w:rPr>
          <w:sz w:val="24"/>
          <w:szCs w:val="24"/>
          <w:u w:val="single"/>
        </w:rPr>
        <w:tab/>
      </w:r>
      <w:r w:rsidRPr="00171CB0">
        <w:rPr>
          <w:sz w:val="24"/>
          <w:szCs w:val="24"/>
          <w:u w:val="single"/>
        </w:rPr>
        <w:tab/>
      </w:r>
      <w:r w:rsidRPr="00171CB0">
        <w:rPr>
          <w:sz w:val="24"/>
          <w:szCs w:val="24"/>
          <w:u w:val="single"/>
        </w:rPr>
        <w:tab/>
      </w:r>
    </w:p>
    <w:p w:rsidR="002750F9" w:rsidRPr="00171CB0" w:rsidRDefault="002750F9" w:rsidP="002750F9">
      <w:pPr>
        <w:rPr>
          <w:sz w:val="24"/>
          <w:szCs w:val="24"/>
        </w:rPr>
      </w:pPr>
      <w:r w:rsidRPr="00171CB0">
        <w:rPr>
          <w:sz w:val="24"/>
          <w:szCs w:val="24"/>
        </w:rPr>
        <w:tab/>
      </w:r>
      <w:r w:rsidRPr="00171CB0">
        <w:rPr>
          <w:sz w:val="24"/>
          <w:szCs w:val="24"/>
        </w:rPr>
        <w:tab/>
      </w:r>
      <w:r w:rsidRPr="00171CB0">
        <w:rPr>
          <w:sz w:val="24"/>
          <w:szCs w:val="24"/>
        </w:rPr>
        <w:tab/>
      </w:r>
      <w:r w:rsidRPr="00171CB0">
        <w:rPr>
          <w:sz w:val="24"/>
          <w:szCs w:val="24"/>
        </w:rPr>
        <w:tab/>
      </w:r>
      <w:r w:rsidRPr="00171CB0">
        <w:rPr>
          <w:sz w:val="24"/>
          <w:szCs w:val="24"/>
        </w:rPr>
        <w:tab/>
        <w:t>Elizabeth Barnes</w:t>
      </w:r>
    </w:p>
    <w:p w:rsidR="00474C6A" w:rsidRDefault="002750F9" w:rsidP="002750F9">
      <w:pPr>
        <w:rPr>
          <w:sz w:val="24"/>
          <w:szCs w:val="24"/>
        </w:rPr>
        <w:sectPr w:rsidR="00474C6A" w:rsidSect="00752691">
          <w:footerReference w:type="default" r:id="rId9"/>
          <w:footerReference w:type="first" r:id="rId10"/>
          <w:pgSz w:w="12240" w:h="15840" w:code="1"/>
          <w:pgMar w:top="1440" w:right="1440" w:bottom="1440" w:left="1440" w:header="720" w:footer="720" w:gutter="0"/>
          <w:cols w:space="720"/>
          <w:titlePg/>
          <w:docGrid w:linePitch="360"/>
        </w:sectPr>
      </w:pPr>
      <w:r w:rsidRPr="00171CB0">
        <w:rPr>
          <w:sz w:val="24"/>
          <w:szCs w:val="24"/>
        </w:rPr>
        <w:tab/>
      </w:r>
      <w:r w:rsidRPr="00171CB0">
        <w:rPr>
          <w:sz w:val="24"/>
          <w:szCs w:val="24"/>
        </w:rPr>
        <w:tab/>
      </w:r>
      <w:r w:rsidRPr="00171CB0">
        <w:rPr>
          <w:sz w:val="24"/>
          <w:szCs w:val="24"/>
        </w:rPr>
        <w:tab/>
      </w:r>
      <w:r w:rsidRPr="00171CB0">
        <w:rPr>
          <w:sz w:val="24"/>
          <w:szCs w:val="24"/>
        </w:rPr>
        <w:tab/>
      </w:r>
      <w:r w:rsidRPr="00171CB0">
        <w:rPr>
          <w:sz w:val="24"/>
          <w:szCs w:val="24"/>
        </w:rPr>
        <w:tab/>
        <w:t>Administrative Law Judge</w:t>
      </w:r>
    </w:p>
    <w:p w:rsidR="00474C6A" w:rsidRDefault="00474C6A" w:rsidP="00474C6A">
      <w:pPr>
        <w:rPr>
          <w:rFonts w:ascii="Microsoft Sans Serif"/>
          <w:b/>
          <w:sz w:val="24"/>
          <w:u w:val="single"/>
        </w:rPr>
        <w:sectPr w:rsidR="00474C6A">
          <w:footerReference w:type="default" r:id="rId11"/>
          <w:pgSz w:w="12240" w:h="15840"/>
          <w:pgMar w:top="1440" w:right="1440" w:bottom="1440" w:left="1440" w:header="720" w:footer="720" w:gutter="0"/>
          <w:cols w:space="720"/>
          <w:docGrid w:linePitch="360"/>
        </w:sectPr>
      </w:pPr>
      <w:r>
        <w:rPr>
          <w:rFonts w:ascii="Microsoft Sans Serif"/>
          <w:b/>
          <w:sz w:val="24"/>
          <w:u w:val="single"/>
        </w:rPr>
        <w:lastRenderedPageBreak/>
        <w:t>C-2015-2492473 - UNIFIED ENERGY ALIANCE LLC v. NAVIGATE POWER LLC ET AL</w:t>
      </w:r>
      <w:r>
        <w:rPr>
          <w:rFonts w:ascii="Microsoft Sans Serif"/>
          <w:b/>
          <w:sz w:val="24"/>
          <w:u w:val="single"/>
        </w:rPr>
        <w:cr/>
      </w:r>
    </w:p>
    <w:p w:rsidR="00474C6A" w:rsidRDefault="00474C6A" w:rsidP="00474C6A">
      <w:pPr>
        <w:contextualSpacing/>
        <w:rPr>
          <w:rFonts w:ascii="Microsoft Sans Serif"/>
          <w:sz w:val="24"/>
        </w:rPr>
      </w:pPr>
    </w:p>
    <w:p w:rsidR="00474C6A" w:rsidRDefault="00474C6A" w:rsidP="00474C6A">
      <w:pPr>
        <w:contextualSpacing/>
        <w:rPr>
          <w:rFonts w:ascii="Microsoft Sans Serif"/>
          <w:sz w:val="24"/>
        </w:rPr>
      </w:pPr>
      <w:r>
        <w:rPr>
          <w:rFonts w:ascii="Microsoft Sans Serif"/>
          <w:sz w:val="24"/>
        </w:rPr>
        <w:t>UNIFIED ENERGY ALLIANCE LLC</w:t>
      </w:r>
      <w:r>
        <w:rPr>
          <w:rFonts w:ascii="Microsoft Sans Serif"/>
          <w:sz w:val="24"/>
        </w:rPr>
        <w:cr/>
        <w:t>PO BOX 211</w:t>
      </w:r>
      <w:r>
        <w:rPr>
          <w:rFonts w:ascii="Microsoft Sans Serif"/>
          <w:sz w:val="24"/>
        </w:rPr>
        <w:cr/>
        <w:t>ARENDTSVILLE PA  17303</w:t>
      </w:r>
    </w:p>
    <w:p w:rsidR="00474C6A" w:rsidRDefault="00474C6A" w:rsidP="00474C6A">
      <w:pPr>
        <w:contextualSpacing/>
        <w:rPr>
          <w:rFonts w:ascii="Microsoft Sans Serif"/>
          <w:b/>
          <w:sz w:val="24"/>
          <w:u w:val="single"/>
        </w:rPr>
      </w:pPr>
      <w:r>
        <w:rPr>
          <w:rFonts w:ascii="Microsoft Sans Serif"/>
          <w:sz w:val="24"/>
        </w:rPr>
        <w:cr/>
        <w:t>ADAM M SHIENVOLD ESQUIRE</w:t>
      </w:r>
    </w:p>
    <w:p w:rsidR="00474C6A" w:rsidRDefault="00474C6A" w:rsidP="00474C6A">
      <w:pPr>
        <w:contextualSpacing/>
        <w:rPr>
          <w:rFonts w:ascii="Microsoft Sans Serif"/>
          <w:i/>
          <w:sz w:val="24"/>
        </w:rPr>
      </w:pPr>
      <w:r>
        <w:rPr>
          <w:rFonts w:ascii="Microsoft Sans Serif"/>
          <w:sz w:val="24"/>
        </w:rPr>
        <w:t>CARL R SCHULTZ ESQUIRE</w:t>
      </w:r>
      <w:r>
        <w:rPr>
          <w:rFonts w:ascii="Microsoft Sans Serif"/>
          <w:sz w:val="24"/>
        </w:rPr>
        <w:cr/>
        <w:t>ECKERT SEAMANS CHERIN &amp; MELLOTT LLC</w:t>
      </w:r>
      <w:r>
        <w:rPr>
          <w:rFonts w:ascii="Microsoft Sans Serif"/>
          <w:sz w:val="24"/>
        </w:rPr>
        <w:cr/>
        <w:t>213 MARKET STREET - 8TH FLOOR</w:t>
      </w:r>
      <w:r>
        <w:rPr>
          <w:rFonts w:ascii="Microsoft Sans Serif"/>
          <w:sz w:val="24"/>
        </w:rPr>
        <w:cr/>
        <w:t>HARRISBURG PA  17101</w:t>
      </w:r>
      <w:r>
        <w:rPr>
          <w:rFonts w:ascii="Microsoft Sans Serif"/>
          <w:sz w:val="24"/>
        </w:rPr>
        <w:cr/>
        <w:t>717.237.6000</w:t>
      </w:r>
      <w:r>
        <w:rPr>
          <w:rFonts w:ascii="Microsoft Sans Serif"/>
          <w:sz w:val="24"/>
        </w:rPr>
        <w:cr/>
      </w:r>
      <w:r>
        <w:rPr>
          <w:rFonts w:ascii="Microsoft Sans Serif"/>
          <w:i/>
          <w:sz w:val="24"/>
        </w:rPr>
        <w:t>REPRESENTING UEA</w:t>
      </w:r>
    </w:p>
    <w:p w:rsidR="00474C6A" w:rsidRDefault="00474C6A" w:rsidP="00474C6A">
      <w:pPr>
        <w:contextualSpacing/>
        <w:rPr>
          <w:rFonts w:ascii="Microsoft Sans Serif"/>
          <w:i/>
          <w:sz w:val="24"/>
        </w:rPr>
      </w:pPr>
    </w:p>
    <w:p w:rsidR="00474C6A" w:rsidRDefault="00474C6A" w:rsidP="00474C6A">
      <w:pPr>
        <w:contextualSpacing/>
        <w:rPr>
          <w:rFonts w:ascii="Microsoft Sans Serif"/>
          <w:sz w:val="24"/>
        </w:rPr>
      </w:pPr>
      <w:r>
        <w:rPr>
          <w:rFonts w:ascii="Microsoft Sans Serif"/>
          <w:sz w:val="24"/>
        </w:rPr>
        <w:t>THOMAS J SNISCAK ESQUIRE</w:t>
      </w:r>
      <w:r>
        <w:rPr>
          <w:rFonts w:ascii="Microsoft Sans Serif"/>
          <w:sz w:val="24"/>
        </w:rPr>
        <w:cr/>
        <w:t>CHRISTOPHER M ARFAA ESQUIRE</w:t>
      </w:r>
      <w:r>
        <w:rPr>
          <w:rFonts w:ascii="Microsoft Sans Serif"/>
          <w:sz w:val="24"/>
        </w:rPr>
        <w:cr/>
        <w:t>HAWKE MCKEON &amp; SNISCAK LLP</w:t>
      </w:r>
      <w:r>
        <w:rPr>
          <w:rFonts w:ascii="Microsoft Sans Serif"/>
          <w:sz w:val="24"/>
        </w:rPr>
        <w:cr/>
        <w:t>100 NORTH TENTH STREET</w:t>
      </w:r>
      <w:r>
        <w:rPr>
          <w:rFonts w:ascii="Microsoft Sans Serif"/>
          <w:sz w:val="24"/>
        </w:rPr>
        <w:cr/>
        <w:t>HARRISBURG PA  17101</w:t>
      </w:r>
      <w:r>
        <w:rPr>
          <w:rFonts w:ascii="Microsoft Sans Serif"/>
          <w:sz w:val="24"/>
        </w:rPr>
        <w:cr/>
        <w:t>717-236-1300</w:t>
      </w:r>
    </w:p>
    <w:p w:rsidR="00474C6A" w:rsidRDefault="00474C6A" w:rsidP="00474C6A">
      <w:pPr>
        <w:contextualSpacing/>
        <w:rPr>
          <w:rFonts w:ascii="Microsoft Sans Serif"/>
          <w:i/>
          <w:sz w:val="24"/>
        </w:rPr>
      </w:pPr>
      <w:r>
        <w:rPr>
          <w:rFonts w:ascii="Microsoft Sans Serif"/>
          <w:b/>
          <w:i/>
          <w:sz w:val="24"/>
          <w:u w:val="single"/>
        </w:rPr>
        <w:t>-ACCEPTS ELECTRONIC SERVICE-</w:t>
      </w:r>
      <w:r>
        <w:rPr>
          <w:rFonts w:ascii="Microsoft Sans Serif"/>
          <w:sz w:val="24"/>
        </w:rPr>
        <w:cr/>
      </w:r>
      <w:proofErr w:type="gramStart"/>
      <w:r>
        <w:rPr>
          <w:rFonts w:ascii="Microsoft Sans Serif"/>
          <w:i/>
          <w:sz w:val="24"/>
        </w:rPr>
        <w:t>REPRESENTING  NAVIGATE</w:t>
      </w:r>
      <w:proofErr w:type="gramEnd"/>
      <w:r>
        <w:rPr>
          <w:rFonts w:ascii="Microsoft Sans Serif"/>
          <w:i/>
          <w:sz w:val="24"/>
        </w:rPr>
        <w:t xml:space="preserve"> POWER LLC</w:t>
      </w:r>
    </w:p>
    <w:p w:rsidR="00474C6A" w:rsidRDefault="00474C6A" w:rsidP="00474C6A">
      <w:pPr>
        <w:contextualSpacing/>
        <w:rPr>
          <w:rFonts w:ascii="Microsoft Sans Serif"/>
          <w:i/>
          <w:sz w:val="24"/>
        </w:rPr>
      </w:pPr>
    </w:p>
    <w:p w:rsidR="00474C6A" w:rsidRDefault="00474C6A" w:rsidP="00474C6A">
      <w:pPr>
        <w:contextualSpacing/>
        <w:rPr>
          <w:rFonts w:ascii="Microsoft Sans Serif"/>
          <w:i/>
          <w:sz w:val="24"/>
        </w:rPr>
      </w:pPr>
      <w:r>
        <w:rPr>
          <w:rFonts w:ascii="Microsoft Sans Serif"/>
          <w:sz w:val="24"/>
        </w:rPr>
        <w:t>MARK NAKAYAMA</w:t>
      </w:r>
      <w:r>
        <w:rPr>
          <w:rFonts w:ascii="Microsoft Sans Serif"/>
          <w:sz w:val="24"/>
        </w:rPr>
        <w:cr/>
        <w:t>NAVIGATE POWER LLC</w:t>
      </w:r>
      <w:r>
        <w:rPr>
          <w:rFonts w:ascii="Microsoft Sans Serif"/>
          <w:sz w:val="24"/>
        </w:rPr>
        <w:cr/>
        <w:t>2211 N ELSTON AVE</w:t>
      </w:r>
      <w:r>
        <w:rPr>
          <w:rFonts w:ascii="Microsoft Sans Serif"/>
          <w:sz w:val="24"/>
        </w:rPr>
        <w:cr/>
        <w:t>SUITE 309</w:t>
      </w:r>
      <w:r>
        <w:rPr>
          <w:rFonts w:ascii="Microsoft Sans Serif"/>
          <w:sz w:val="24"/>
        </w:rPr>
        <w:cr/>
        <w:t>CHICAGO IL  60614</w:t>
      </w:r>
      <w:r>
        <w:rPr>
          <w:rFonts w:ascii="Microsoft Sans Serif"/>
          <w:sz w:val="24"/>
        </w:rPr>
        <w:cr/>
        <w:t>800-541-1137</w:t>
      </w:r>
      <w:r>
        <w:rPr>
          <w:rFonts w:ascii="Microsoft Sans Serif"/>
          <w:sz w:val="24"/>
        </w:rPr>
        <w:cr/>
      </w:r>
      <w:r>
        <w:rPr>
          <w:rFonts w:ascii="Microsoft Sans Serif"/>
          <w:b/>
          <w:i/>
          <w:sz w:val="24"/>
          <w:u w:val="single"/>
        </w:rPr>
        <w:t>-ACCEPTS ELECTRONIC SERVICE-</w:t>
      </w:r>
      <w:r>
        <w:rPr>
          <w:rFonts w:ascii="Microsoft Sans Serif"/>
          <w:sz w:val="24"/>
        </w:rPr>
        <w:cr/>
      </w:r>
      <w:r w:rsidRPr="007155B0">
        <w:rPr>
          <w:rFonts w:ascii="Microsoft Sans Serif"/>
          <w:i/>
          <w:sz w:val="24"/>
        </w:rPr>
        <w:t xml:space="preserve"> </w:t>
      </w:r>
      <w:proofErr w:type="gramStart"/>
      <w:r>
        <w:rPr>
          <w:rFonts w:ascii="Microsoft Sans Serif"/>
          <w:i/>
          <w:sz w:val="24"/>
        </w:rPr>
        <w:t>REPRESENTING  NAVIGATE</w:t>
      </w:r>
      <w:proofErr w:type="gramEnd"/>
      <w:r>
        <w:rPr>
          <w:rFonts w:ascii="Microsoft Sans Serif"/>
          <w:i/>
          <w:sz w:val="24"/>
        </w:rPr>
        <w:t xml:space="preserve"> POWER LLC</w:t>
      </w:r>
    </w:p>
    <w:p w:rsidR="00474C6A" w:rsidRDefault="00474C6A" w:rsidP="00474C6A">
      <w:pPr>
        <w:contextualSpacing/>
        <w:rPr>
          <w:rFonts w:ascii="Microsoft Sans Serif"/>
          <w:sz w:val="24"/>
        </w:rPr>
      </w:pPr>
      <w:r>
        <w:rPr>
          <w:rFonts w:ascii="Microsoft Sans Serif"/>
          <w:sz w:val="24"/>
        </w:rPr>
        <w:cr/>
        <w:t>ANDY YOUNDT</w:t>
      </w:r>
      <w:r>
        <w:rPr>
          <w:rFonts w:ascii="Microsoft Sans Serif"/>
          <w:sz w:val="24"/>
        </w:rPr>
        <w:cr/>
        <w:t>1141 MT JOY RD</w:t>
      </w:r>
      <w:r>
        <w:rPr>
          <w:rFonts w:ascii="Microsoft Sans Serif"/>
          <w:sz w:val="24"/>
        </w:rPr>
        <w:cr/>
        <w:t>MANHEIM PA  17545</w:t>
      </w:r>
      <w:r>
        <w:rPr>
          <w:rFonts w:ascii="Microsoft Sans Serif"/>
          <w:sz w:val="24"/>
        </w:rPr>
        <w:cr/>
      </w:r>
      <w:r>
        <w:rPr>
          <w:rFonts w:ascii="Microsoft Sans Serif"/>
          <w:sz w:val="24"/>
        </w:rPr>
        <w:cr/>
        <w:t>J NICK STORCH</w:t>
      </w:r>
      <w:r>
        <w:rPr>
          <w:rFonts w:ascii="Microsoft Sans Serif"/>
          <w:sz w:val="24"/>
        </w:rPr>
        <w:cr/>
        <w:t>208 NORTH PRESIDENT AVENUE E-1</w:t>
      </w:r>
      <w:r>
        <w:rPr>
          <w:rFonts w:ascii="Microsoft Sans Serif"/>
          <w:sz w:val="24"/>
        </w:rPr>
        <w:cr/>
        <w:t>LANCASTER PA  17603</w:t>
      </w:r>
      <w:r>
        <w:rPr>
          <w:rFonts w:ascii="Microsoft Sans Serif"/>
          <w:sz w:val="24"/>
        </w:rPr>
        <w:cr/>
      </w:r>
      <w:r>
        <w:rPr>
          <w:rFonts w:ascii="Microsoft Sans Serif"/>
          <w:sz w:val="24"/>
        </w:rPr>
        <w:cr/>
      </w:r>
    </w:p>
    <w:p w:rsidR="00474C6A" w:rsidRDefault="00474C6A" w:rsidP="00474C6A">
      <w:pPr>
        <w:contextualSpacing/>
        <w:rPr>
          <w:rFonts w:ascii="Microsoft Sans Serif"/>
          <w:sz w:val="24"/>
        </w:rPr>
      </w:pPr>
    </w:p>
    <w:p w:rsidR="00474C6A" w:rsidRDefault="00474C6A" w:rsidP="00474C6A">
      <w:pPr>
        <w:contextualSpacing/>
        <w:rPr>
          <w:rFonts w:ascii="Microsoft Sans Serif"/>
          <w:sz w:val="24"/>
        </w:rPr>
      </w:pPr>
      <w:r>
        <w:rPr>
          <w:rFonts w:ascii="Microsoft Sans Serif"/>
          <w:sz w:val="24"/>
        </w:rPr>
        <w:lastRenderedPageBreak/>
        <w:t>DON SHIPP</w:t>
      </w:r>
      <w:r>
        <w:rPr>
          <w:rFonts w:ascii="Microsoft Sans Serif"/>
          <w:sz w:val="24"/>
        </w:rPr>
        <w:cr/>
        <w:t>5882 WILD LILAC DR</w:t>
      </w:r>
      <w:r>
        <w:rPr>
          <w:rFonts w:ascii="Microsoft Sans Serif"/>
          <w:sz w:val="24"/>
        </w:rPr>
        <w:cr/>
        <w:t>EAST PETERSBURG PA  17520</w:t>
      </w:r>
      <w:r>
        <w:rPr>
          <w:rFonts w:ascii="Microsoft Sans Serif"/>
          <w:sz w:val="24"/>
        </w:rPr>
        <w:cr/>
      </w:r>
    </w:p>
    <w:p w:rsidR="00474C6A" w:rsidRDefault="00474C6A" w:rsidP="00474C6A">
      <w:pPr>
        <w:contextualSpacing/>
        <w:rPr>
          <w:rFonts w:ascii="Microsoft Sans Serif"/>
          <w:sz w:val="24"/>
        </w:rPr>
      </w:pPr>
      <w:r>
        <w:rPr>
          <w:rFonts w:ascii="Microsoft Sans Serif"/>
          <w:sz w:val="24"/>
        </w:rPr>
        <w:t>ERNIE HORNING</w:t>
      </w:r>
      <w:r>
        <w:rPr>
          <w:rFonts w:ascii="Microsoft Sans Serif"/>
          <w:sz w:val="24"/>
        </w:rPr>
        <w:cr/>
        <w:t>275 WILLOW MILL PARK RD</w:t>
      </w:r>
      <w:r>
        <w:rPr>
          <w:rFonts w:ascii="Microsoft Sans Serif"/>
          <w:sz w:val="24"/>
        </w:rPr>
        <w:cr/>
        <w:t>MECHANICSBURG PA  17050</w:t>
      </w:r>
      <w:r>
        <w:rPr>
          <w:rFonts w:ascii="Microsoft Sans Serif"/>
          <w:sz w:val="24"/>
        </w:rPr>
        <w:cr/>
      </w:r>
      <w:r>
        <w:rPr>
          <w:rFonts w:ascii="Microsoft Sans Serif"/>
          <w:sz w:val="24"/>
        </w:rPr>
        <w:cr/>
        <w:t>KATHRYN L SIMPSON</w:t>
      </w:r>
      <w:r>
        <w:rPr>
          <w:rFonts w:ascii="Microsoft Sans Serif"/>
          <w:sz w:val="24"/>
        </w:rPr>
        <w:cr/>
        <w:t>METTE EVANS &amp; WOODSIDE</w:t>
      </w:r>
      <w:r>
        <w:rPr>
          <w:rFonts w:ascii="Microsoft Sans Serif"/>
          <w:sz w:val="24"/>
        </w:rPr>
        <w:cr/>
        <w:t>3401 NORTH FRONT STREET</w:t>
      </w:r>
      <w:r>
        <w:rPr>
          <w:rFonts w:ascii="Microsoft Sans Serif"/>
          <w:sz w:val="24"/>
        </w:rPr>
        <w:cr/>
        <w:t>HARRISBURG PA  17110</w:t>
      </w:r>
      <w:r>
        <w:rPr>
          <w:rFonts w:ascii="Microsoft Sans Serif"/>
          <w:sz w:val="24"/>
        </w:rPr>
        <w:cr/>
        <w:t>717-232-5000</w:t>
      </w:r>
      <w:r>
        <w:rPr>
          <w:rFonts w:ascii="Microsoft Sans Serif"/>
          <w:sz w:val="24"/>
        </w:rPr>
        <w:cr/>
      </w:r>
      <w:r>
        <w:rPr>
          <w:rFonts w:ascii="Microsoft Sans Serif"/>
          <w:b/>
          <w:i/>
          <w:sz w:val="24"/>
          <w:u w:val="single"/>
        </w:rPr>
        <w:t>-ACCEPTS ELECTRONIC SERVICE-</w:t>
      </w:r>
      <w:r>
        <w:rPr>
          <w:rFonts w:ascii="Microsoft Sans Serif"/>
          <w:sz w:val="24"/>
        </w:rPr>
        <w:cr/>
      </w:r>
    </w:p>
    <w:p w:rsidR="00474C6A" w:rsidRDefault="00474C6A" w:rsidP="00474C6A">
      <w:pPr>
        <w:contextualSpacing/>
      </w:pPr>
      <w:r>
        <w:rPr>
          <w:rFonts w:ascii="Microsoft Sans Serif"/>
          <w:sz w:val="24"/>
        </w:rPr>
        <w:t>RODGER K WALTER</w:t>
      </w:r>
      <w:r>
        <w:rPr>
          <w:rFonts w:ascii="Microsoft Sans Serif"/>
          <w:sz w:val="24"/>
        </w:rPr>
        <w:cr/>
        <w:t>391 SANDERS RD</w:t>
      </w:r>
      <w:r>
        <w:rPr>
          <w:rFonts w:ascii="Microsoft Sans Serif"/>
          <w:sz w:val="24"/>
        </w:rPr>
        <w:cr/>
        <w:t>FAIRFIELD PA  17320</w:t>
      </w:r>
      <w:r>
        <w:rPr>
          <w:rFonts w:ascii="Microsoft Sans Serif"/>
          <w:sz w:val="24"/>
        </w:rPr>
        <w:cr/>
      </w:r>
      <w:r>
        <w:rPr>
          <w:rFonts w:ascii="Microsoft Sans Serif"/>
          <w:sz w:val="24"/>
        </w:rPr>
        <w:cr/>
        <w:t>CHARLES B ZWALLY ESQUIRE</w:t>
      </w:r>
      <w:r>
        <w:rPr>
          <w:rFonts w:ascii="Microsoft Sans Serif"/>
          <w:sz w:val="24"/>
        </w:rPr>
        <w:cr/>
        <w:t>METTE EVANS &amp; WOODSIDE</w:t>
      </w:r>
      <w:r>
        <w:rPr>
          <w:rFonts w:ascii="Microsoft Sans Serif"/>
          <w:sz w:val="24"/>
        </w:rPr>
        <w:cr/>
        <w:t>3401 NORTH FRONT STREET PO BOX 5950</w:t>
      </w:r>
      <w:r>
        <w:rPr>
          <w:rFonts w:ascii="Microsoft Sans Serif"/>
          <w:sz w:val="24"/>
        </w:rPr>
        <w:cr/>
        <w:t>HARRISBURG PA  17110-0950</w:t>
      </w:r>
      <w:r>
        <w:rPr>
          <w:rFonts w:ascii="Microsoft Sans Serif"/>
          <w:sz w:val="24"/>
        </w:rPr>
        <w:cr/>
      </w:r>
      <w:r>
        <w:rPr>
          <w:rFonts w:ascii="Microsoft Sans Serif"/>
          <w:sz w:val="24"/>
        </w:rPr>
        <w:cr/>
        <w:t>DUANE ALBRIGHT</w:t>
      </w:r>
      <w:r>
        <w:rPr>
          <w:rFonts w:ascii="Microsoft Sans Serif"/>
          <w:sz w:val="24"/>
        </w:rPr>
        <w:cr/>
        <w:t>419 INDIAN HEAD RD</w:t>
      </w:r>
      <w:r>
        <w:rPr>
          <w:rFonts w:ascii="Microsoft Sans Serif"/>
          <w:sz w:val="24"/>
        </w:rPr>
        <w:cr/>
        <w:t>COLUMBIA PA  17512</w:t>
      </w:r>
      <w:r>
        <w:rPr>
          <w:rFonts w:ascii="Microsoft Sans Serif"/>
          <w:sz w:val="24"/>
        </w:rPr>
        <w:cr/>
      </w:r>
      <w:r>
        <w:rPr>
          <w:rFonts w:ascii="Microsoft Sans Serif"/>
          <w:sz w:val="24"/>
        </w:rPr>
        <w:cr/>
        <w:t>CANDIS A TUNILO ESQUIRE</w:t>
      </w:r>
      <w:r>
        <w:rPr>
          <w:rFonts w:ascii="Microsoft Sans Serif"/>
          <w:sz w:val="24"/>
        </w:rPr>
        <w:cr/>
        <w:t>OFFICE OF CONSUMER ADVOCATE</w:t>
      </w:r>
      <w:r>
        <w:rPr>
          <w:rFonts w:ascii="Microsoft Sans Serif"/>
          <w:sz w:val="24"/>
        </w:rPr>
        <w:cr/>
        <w:t>5TH FLOOR FORUM PLACE</w:t>
      </w:r>
      <w:r>
        <w:rPr>
          <w:rFonts w:ascii="Microsoft Sans Serif"/>
          <w:sz w:val="24"/>
        </w:rPr>
        <w:cr/>
        <w:t>555 WALNUT STREET</w:t>
      </w:r>
      <w:r>
        <w:rPr>
          <w:rFonts w:ascii="Microsoft Sans Serif"/>
          <w:sz w:val="24"/>
        </w:rPr>
        <w:cr/>
        <w:t>HARRISBURG PA  17101-1923</w:t>
      </w:r>
      <w:r>
        <w:rPr>
          <w:rFonts w:ascii="Microsoft Sans Serif"/>
          <w:sz w:val="24"/>
        </w:rPr>
        <w:cr/>
        <w:t>1-800-684-6560</w:t>
      </w:r>
      <w:r>
        <w:rPr>
          <w:rFonts w:ascii="Microsoft Sans Serif"/>
          <w:sz w:val="24"/>
        </w:rPr>
        <w:cr/>
      </w:r>
      <w:r>
        <w:rPr>
          <w:rFonts w:ascii="Microsoft Sans Serif"/>
          <w:sz w:val="24"/>
        </w:rPr>
        <w:cr/>
      </w:r>
    </w:p>
    <w:p w:rsidR="002750F9" w:rsidRPr="00171CB0" w:rsidRDefault="002750F9" w:rsidP="002750F9">
      <w:pPr>
        <w:rPr>
          <w:sz w:val="24"/>
          <w:szCs w:val="24"/>
        </w:rPr>
      </w:pPr>
      <w:bookmarkStart w:id="0" w:name="_GoBack"/>
      <w:bookmarkEnd w:id="0"/>
    </w:p>
    <w:sectPr w:rsidR="002750F9" w:rsidRPr="00171CB0" w:rsidSect="00300D7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4E" w:rsidRDefault="00D41E4E">
      <w:r>
        <w:separator/>
      </w:r>
    </w:p>
  </w:endnote>
  <w:endnote w:type="continuationSeparator" w:id="0">
    <w:p w:rsidR="00D41E4E" w:rsidRDefault="00D4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474C6A">
          <w:rPr>
            <w:noProof/>
          </w:rPr>
          <w:t>6</w:t>
        </w:r>
        <w:r>
          <w:rPr>
            <w:noProof/>
          </w:rPr>
          <w:fldChar w:fldCharType="end"/>
        </w:r>
      </w:p>
    </w:sdtContent>
  </w:sdt>
  <w:p w:rsidR="00D269E9" w:rsidRDefault="00D26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21381"/>
      <w:docPartObj>
        <w:docPartGallery w:val="Page Numbers (Bottom of Page)"/>
        <w:docPartUnique/>
      </w:docPartObj>
    </w:sdtPr>
    <w:sdtEndPr>
      <w:rPr>
        <w:noProof/>
      </w:rPr>
    </w:sdtEndPr>
    <w:sdtContent>
      <w:p w:rsidR="00BA3167" w:rsidRDefault="00BA3167">
        <w:pPr>
          <w:pStyle w:val="Footer"/>
          <w:jc w:val="center"/>
        </w:pPr>
        <w:r>
          <w:fldChar w:fldCharType="begin"/>
        </w:r>
        <w:r>
          <w:instrText xml:space="preserve"> PAGE   \* MERGEFORMAT </w:instrText>
        </w:r>
        <w:r>
          <w:fldChar w:fldCharType="separate"/>
        </w:r>
        <w:r w:rsidR="00474C6A">
          <w:rPr>
            <w:noProof/>
          </w:rPr>
          <w:t>7</w:t>
        </w:r>
        <w:r>
          <w:rPr>
            <w:noProof/>
          </w:rPr>
          <w:fldChar w:fldCharType="end"/>
        </w:r>
      </w:p>
    </w:sdtContent>
  </w:sdt>
  <w:p w:rsidR="00BA3167" w:rsidRDefault="00BA31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6A" w:rsidRDefault="00474C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4E" w:rsidRDefault="00D41E4E">
      <w:r>
        <w:separator/>
      </w:r>
    </w:p>
  </w:footnote>
  <w:footnote w:type="continuationSeparator" w:id="0">
    <w:p w:rsidR="00D41E4E" w:rsidRDefault="00D41E4E">
      <w:r>
        <w:continuationSeparator/>
      </w:r>
    </w:p>
  </w:footnote>
  <w:footnote w:id="1">
    <w:p w:rsidR="00751B6F" w:rsidRDefault="00751B6F" w:rsidP="00751B6F">
      <w:pPr>
        <w:pStyle w:val="FootnoteText"/>
      </w:pPr>
      <w:r>
        <w:rPr>
          <w:rStyle w:val="FootnoteReference"/>
        </w:rPr>
        <w:footnoteRef/>
      </w:r>
      <w:r>
        <w:t xml:space="preserve"> </w:t>
      </w:r>
      <w:r w:rsidR="007B11F4">
        <w:tab/>
      </w:r>
      <w:r>
        <w:t xml:space="preserve">The individual agents named include: Rodger K. Walter, Ernie Horning, J. Nick </w:t>
      </w:r>
      <w:proofErr w:type="spellStart"/>
      <w:r>
        <w:t>Storch</w:t>
      </w:r>
      <w:proofErr w:type="spellEnd"/>
      <w:r>
        <w:t xml:space="preserve">, Duane Albright, Andy </w:t>
      </w:r>
      <w:proofErr w:type="spellStart"/>
      <w:r>
        <w:t>Youndt</w:t>
      </w:r>
      <w:proofErr w:type="spellEnd"/>
      <w:r>
        <w:t>, and Don Shipp (collectively “Individual Agents”).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26FF2"/>
    <w:rsid w:val="000535FC"/>
    <w:rsid w:val="00067AA0"/>
    <w:rsid w:val="00071F40"/>
    <w:rsid w:val="00087450"/>
    <w:rsid w:val="00087F9D"/>
    <w:rsid w:val="00091890"/>
    <w:rsid w:val="000A028D"/>
    <w:rsid w:val="000B40DB"/>
    <w:rsid w:val="000D39CD"/>
    <w:rsid w:val="000D42F1"/>
    <w:rsid w:val="000E64D7"/>
    <w:rsid w:val="000E672F"/>
    <w:rsid w:val="000F0E92"/>
    <w:rsid w:val="000F49D4"/>
    <w:rsid w:val="000F51D6"/>
    <w:rsid w:val="001049DD"/>
    <w:rsid w:val="00107EAF"/>
    <w:rsid w:val="00115F44"/>
    <w:rsid w:val="00120926"/>
    <w:rsid w:val="0012162E"/>
    <w:rsid w:val="00122DFB"/>
    <w:rsid w:val="00127D05"/>
    <w:rsid w:val="00147BBA"/>
    <w:rsid w:val="00150EB1"/>
    <w:rsid w:val="00160071"/>
    <w:rsid w:val="001600B8"/>
    <w:rsid w:val="00163C9A"/>
    <w:rsid w:val="0016688B"/>
    <w:rsid w:val="00166B0E"/>
    <w:rsid w:val="00171CB0"/>
    <w:rsid w:val="001765C3"/>
    <w:rsid w:val="001A0634"/>
    <w:rsid w:val="001B3CA8"/>
    <w:rsid w:val="001C5B6F"/>
    <w:rsid w:val="001F17BF"/>
    <w:rsid w:val="001F7F8A"/>
    <w:rsid w:val="002066A0"/>
    <w:rsid w:val="00221C67"/>
    <w:rsid w:val="00224B33"/>
    <w:rsid w:val="00251B56"/>
    <w:rsid w:val="00272606"/>
    <w:rsid w:val="002750F9"/>
    <w:rsid w:val="00296B98"/>
    <w:rsid w:val="002C5BF0"/>
    <w:rsid w:val="002D1370"/>
    <w:rsid w:val="002F2797"/>
    <w:rsid w:val="003112BF"/>
    <w:rsid w:val="00315566"/>
    <w:rsid w:val="00317BB5"/>
    <w:rsid w:val="00324FD2"/>
    <w:rsid w:val="00337F8B"/>
    <w:rsid w:val="003551D8"/>
    <w:rsid w:val="00355692"/>
    <w:rsid w:val="00361125"/>
    <w:rsid w:val="00375B1F"/>
    <w:rsid w:val="00377F83"/>
    <w:rsid w:val="0039005C"/>
    <w:rsid w:val="003A3CED"/>
    <w:rsid w:val="003A5CD9"/>
    <w:rsid w:val="003A6970"/>
    <w:rsid w:val="003E7E9A"/>
    <w:rsid w:val="003F2366"/>
    <w:rsid w:val="003F308E"/>
    <w:rsid w:val="003F6F58"/>
    <w:rsid w:val="00400E5C"/>
    <w:rsid w:val="0040234D"/>
    <w:rsid w:val="00407A27"/>
    <w:rsid w:val="00422E5D"/>
    <w:rsid w:val="00424ACA"/>
    <w:rsid w:val="004314F9"/>
    <w:rsid w:val="004602AD"/>
    <w:rsid w:val="004606C1"/>
    <w:rsid w:val="00462D04"/>
    <w:rsid w:val="00463D5C"/>
    <w:rsid w:val="0046497E"/>
    <w:rsid w:val="00466F8B"/>
    <w:rsid w:val="00471E24"/>
    <w:rsid w:val="00474C6A"/>
    <w:rsid w:val="00496408"/>
    <w:rsid w:val="00496B51"/>
    <w:rsid w:val="004A538F"/>
    <w:rsid w:val="004B306D"/>
    <w:rsid w:val="004B4835"/>
    <w:rsid w:val="004C623A"/>
    <w:rsid w:val="004E2873"/>
    <w:rsid w:val="005031B5"/>
    <w:rsid w:val="0050701F"/>
    <w:rsid w:val="0051329C"/>
    <w:rsid w:val="0052472C"/>
    <w:rsid w:val="005414E2"/>
    <w:rsid w:val="005442E7"/>
    <w:rsid w:val="00546E24"/>
    <w:rsid w:val="00554116"/>
    <w:rsid w:val="00571EDD"/>
    <w:rsid w:val="00575CFB"/>
    <w:rsid w:val="00591A62"/>
    <w:rsid w:val="00596DE7"/>
    <w:rsid w:val="005A7648"/>
    <w:rsid w:val="005B1756"/>
    <w:rsid w:val="005B53D0"/>
    <w:rsid w:val="005E371B"/>
    <w:rsid w:val="005E7F5F"/>
    <w:rsid w:val="006034E2"/>
    <w:rsid w:val="00604E56"/>
    <w:rsid w:val="00610E87"/>
    <w:rsid w:val="0061793B"/>
    <w:rsid w:val="00627348"/>
    <w:rsid w:val="006327B7"/>
    <w:rsid w:val="00655882"/>
    <w:rsid w:val="0067197F"/>
    <w:rsid w:val="00683208"/>
    <w:rsid w:val="00685397"/>
    <w:rsid w:val="00687073"/>
    <w:rsid w:val="0069128C"/>
    <w:rsid w:val="00695840"/>
    <w:rsid w:val="006A18BD"/>
    <w:rsid w:val="006A75B3"/>
    <w:rsid w:val="006B08C2"/>
    <w:rsid w:val="006B1E2F"/>
    <w:rsid w:val="006B3980"/>
    <w:rsid w:val="006C49F8"/>
    <w:rsid w:val="006E0F54"/>
    <w:rsid w:val="006E16E6"/>
    <w:rsid w:val="006F3971"/>
    <w:rsid w:val="006F471C"/>
    <w:rsid w:val="00701ABD"/>
    <w:rsid w:val="00702F40"/>
    <w:rsid w:val="007034C0"/>
    <w:rsid w:val="00717B2C"/>
    <w:rsid w:val="00723A87"/>
    <w:rsid w:val="00726AAE"/>
    <w:rsid w:val="00732E00"/>
    <w:rsid w:val="00736CC4"/>
    <w:rsid w:val="0074366F"/>
    <w:rsid w:val="00751B6F"/>
    <w:rsid w:val="00752691"/>
    <w:rsid w:val="00770378"/>
    <w:rsid w:val="00771959"/>
    <w:rsid w:val="0077461C"/>
    <w:rsid w:val="007751E5"/>
    <w:rsid w:val="00777417"/>
    <w:rsid w:val="00783231"/>
    <w:rsid w:val="00792502"/>
    <w:rsid w:val="00792A6B"/>
    <w:rsid w:val="007B11F4"/>
    <w:rsid w:val="007C4C3B"/>
    <w:rsid w:val="007D361E"/>
    <w:rsid w:val="007D464D"/>
    <w:rsid w:val="007E56EB"/>
    <w:rsid w:val="007E5F82"/>
    <w:rsid w:val="007E6BA7"/>
    <w:rsid w:val="007F29A5"/>
    <w:rsid w:val="008009A4"/>
    <w:rsid w:val="008011FE"/>
    <w:rsid w:val="00807CE1"/>
    <w:rsid w:val="008103F7"/>
    <w:rsid w:val="00813366"/>
    <w:rsid w:val="00833A51"/>
    <w:rsid w:val="00834E99"/>
    <w:rsid w:val="008675F2"/>
    <w:rsid w:val="0087075E"/>
    <w:rsid w:val="008774F2"/>
    <w:rsid w:val="00881072"/>
    <w:rsid w:val="00881FAF"/>
    <w:rsid w:val="00882840"/>
    <w:rsid w:val="008934DA"/>
    <w:rsid w:val="008D0FE8"/>
    <w:rsid w:val="008D3EE7"/>
    <w:rsid w:val="008F2FCF"/>
    <w:rsid w:val="008F53EA"/>
    <w:rsid w:val="009119CA"/>
    <w:rsid w:val="009152CE"/>
    <w:rsid w:val="0092087F"/>
    <w:rsid w:val="00925D67"/>
    <w:rsid w:val="0093282A"/>
    <w:rsid w:val="00933192"/>
    <w:rsid w:val="0094378D"/>
    <w:rsid w:val="0095536C"/>
    <w:rsid w:val="00961DD4"/>
    <w:rsid w:val="00981D63"/>
    <w:rsid w:val="00983AC6"/>
    <w:rsid w:val="009B05B1"/>
    <w:rsid w:val="009D205E"/>
    <w:rsid w:val="009D60CE"/>
    <w:rsid w:val="009D67F1"/>
    <w:rsid w:val="009E6A4F"/>
    <w:rsid w:val="00A01330"/>
    <w:rsid w:val="00A346E8"/>
    <w:rsid w:val="00A35B86"/>
    <w:rsid w:val="00A4149A"/>
    <w:rsid w:val="00A51AA0"/>
    <w:rsid w:val="00A66698"/>
    <w:rsid w:val="00A67CFF"/>
    <w:rsid w:val="00A67E94"/>
    <w:rsid w:val="00A82EF8"/>
    <w:rsid w:val="00AA6014"/>
    <w:rsid w:val="00AB2A2D"/>
    <w:rsid w:val="00AB6E9E"/>
    <w:rsid w:val="00AE6262"/>
    <w:rsid w:val="00AF288A"/>
    <w:rsid w:val="00AF4AD9"/>
    <w:rsid w:val="00B02B2C"/>
    <w:rsid w:val="00B218EC"/>
    <w:rsid w:val="00B23652"/>
    <w:rsid w:val="00B31FF9"/>
    <w:rsid w:val="00B33E3D"/>
    <w:rsid w:val="00B61D35"/>
    <w:rsid w:val="00B67424"/>
    <w:rsid w:val="00B70DA1"/>
    <w:rsid w:val="00B86061"/>
    <w:rsid w:val="00B9204F"/>
    <w:rsid w:val="00BA3167"/>
    <w:rsid w:val="00BB63B5"/>
    <w:rsid w:val="00BC6E84"/>
    <w:rsid w:val="00BE36CD"/>
    <w:rsid w:val="00C02B4D"/>
    <w:rsid w:val="00C07D26"/>
    <w:rsid w:val="00C170D9"/>
    <w:rsid w:val="00C250C7"/>
    <w:rsid w:val="00C54039"/>
    <w:rsid w:val="00C751CE"/>
    <w:rsid w:val="00C82AA0"/>
    <w:rsid w:val="00C851DD"/>
    <w:rsid w:val="00CA63AA"/>
    <w:rsid w:val="00CB7E48"/>
    <w:rsid w:val="00CF2C2D"/>
    <w:rsid w:val="00D13544"/>
    <w:rsid w:val="00D25A4C"/>
    <w:rsid w:val="00D269E9"/>
    <w:rsid w:val="00D30140"/>
    <w:rsid w:val="00D41E4E"/>
    <w:rsid w:val="00D52DAE"/>
    <w:rsid w:val="00D55527"/>
    <w:rsid w:val="00D651E3"/>
    <w:rsid w:val="00D7197E"/>
    <w:rsid w:val="00D72D4A"/>
    <w:rsid w:val="00D80AD2"/>
    <w:rsid w:val="00D828AF"/>
    <w:rsid w:val="00D90B13"/>
    <w:rsid w:val="00D91597"/>
    <w:rsid w:val="00DA1FE4"/>
    <w:rsid w:val="00DB273F"/>
    <w:rsid w:val="00DD43A3"/>
    <w:rsid w:val="00DF0230"/>
    <w:rsid w:val="00DF0E50"/>
    <w:rsid w:val="00DF545D"/>
    <w:rsid w:val="00E0098E"/>
    <w:rsid w:val="00E01DD4"/>
    <w:rsid w:val="00E04142"/>
    <w:rsid w:val="00E3299D"/>
    <w:rsid w:val="00E96E6C"/>
    <w:rsid w:val="00EB5C92"/>
    <w:rsid w:val="00EF144C"/>
    <w:rsid w:val="00EF161E"/>
    <w:rsid w:val="00EF60D3"/>
    <w:rsid w:val="00F10EDB"/>
    <w:rsid w:val="00F2122C"/>
    <w:rsid w:val="00F25271"/>
    <w:rsid w:val="00F26904"/>
    <w:rsid w:val="00F278E4"/>
    <w:rsid w:val="00F3679C"/>
    <w:rsid w:val="00F44FEA"/>
    <w:rsid w:val="00F654B3"/>
    <w:rsid w:val="00F746F1"/>
    <w:rsid w:val="00F953C0"/>
    <w:rsid w:val="00F967C6"/>
    <w:rsid w:val="00F968FF"/>
    <w:rsid w:val="00FA6CB2"/>
    <w:rsid w:val="00FD0D93"/>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qFormat/>
    <w:rsid w:val="006034E2"/>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customStyle="1" w:styleId="Double">
    <w:name w:val="Double"/>
    <w:basedOn w:val="Normal"/>
    <w:link w:val="DoubleChar"/>
    <w:qFormat/>
    <w:rsid w:val="00107EAF"/>
    <w:pPr>
      <w:autoSpaceDE/>
      <w:autoSpaceDN/>
      <w:spacing w:line="480" w:lineRule="auto"/>
      <w:ind w:firstLine="720"/>
    </w:pPr>
    <w:rPr>
      <w:rFonts w:eastAsia="Calibri"/>
      <w:sz w:val="24"/>
      <w:szCs w:val="22"/>
    </w:rPr>
  </w:style>
  <w:style w:type="character" w:customStyle="1" w:styleId="DoubleChar">
    <w:name w:val="Double Char"/>
    <w:link w:val="Double"/>
    <w:rsid w:val="00107EAF"/>
    <w:rPr>
      <w:rFonts w:eastAsia="Calibri"/>
      <w:sz w:val="24"/>
      <w:szCs w:val="22"/>
    </w:rPr>
  </w:style>
  <w:style w:type="paragraph" w:customStyle="1" w:styleId="Blockquote">
    <w:name w:val="Block quote"/>
    <w:basedOn w:val="Normal"/>
    <w:link w:val="BlockquoteChar"/>
    <w:qFormat/>
    <w:rsid w:val="00107EAF"/>
    <w:pPr>
      <w:autoSpaceDE/>
      <w:autoSpaceDN/>
      <w:spacing w:after="240"/>
      <w:ind w:left="1440" w:right="1440"/>
    </w:pPr>
    <w:rPr>
      <w:rFonts w:eastAsia="Calibri"/>
      <w:sz w:val="24"/>
      <w:szCs w:val="24"/>
    </w:rPr>
  </w:style>
  <w:style w:type="character" w:customStyle="1" w:styleId="BlockquoteChar">
    <w:name w:val="Block quote Char"/>
    <w:link w:val="Blockquote"/>
    <w:rsid w:val="00107EAF"/>
    <w:rPr>
      <w:rFonts w:eastAsia="Calibri"/>
      <w:sz w:val="24"/>
      <w:szCs w:val="24"/>
    </w:rPr>
  </w:style>
  <w:style w:type="paragraph" w:styleId="NormalWeb">
    <w:name w:val="Normal (Web)"/>
    <w:basedOn w:val="Normal"/>
    <w:uiPriority w:val="99"/>
    <w:unhideWhenUsed/>
    <w:rsid w:val="00127D05"/>
    <w:pPr>
      <w:autoSpaceDE/>
      <w:autoSpaceDN/>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qFormat/>
    <w:rsid w:val="006034E2"/>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customStyle="1" w:styleId="Double">
    <w:name w:val="Double"/>
    <w:basedOn w:val="Normal"/>
    <w:link w:val="DoubleChar"/>
    <w:qFormat/>
    <w:rsid w:val="00107EAF"/>
    <w:pPr>
      <w:autoSpaceDE/>
      <w:autoSpaceDN/>
      <w:spacing w:line="480" w:lineRule="auto"/>
      <w:ind w:firstLine="720"/>
    </w:pPr>
    <w:rPr>
      <w:rFonts w:eastAsia="Calibri"/>
      <w:sz w:val="24"/>
      <w:szCs w:val="22"/>
    </w:rPr>
  </w:style>
  <w:style w:type="character" w:customStyle="1" w:styleId="DoubleChar">
    <w:name w:val="Double Char"/>
    <w:link w:val="Double"/>
    <w:rsid w:val="00107EAF"/>
    <w:rPr>
      <w:rFonts w:eastAsia="Calibri"/>
      <w:sz w:val="24"/>
      <w:szCs w:val="22"/>
    </w:rPr>
  </w:style>
  <w:style w:type="paragraph" w:customStyle="1" w:styleId="Blockquote">
    <w:name w:val="Block quote"/>
    <w:basedOn w:val="Normal"/>
    <w:link w:val="BlockquoteChar"/>
    <w:qFormat/>
    <w:rsid w:val="00107EAF"/>
    <w:pPr>
      <w:autoSpaceDE/>
      <w:autoSpaceDN/>
      <w:spacing w:after="240"/>
      <w:ind w:left="1440" w:right="1440"/>
    </w:pPr>
    <w:rPr>
      <w:rFonts w:eastAsia="Calibri"/>
      <w:sz w:val="24"/>
      <w:szCs w:val="24"/>
    </w:rPr>
  </w:style>
  <w:style w:type="character" w:customStyle="1" w:styleId="BlockquoteChar">
    <w:name w:val="Block quote Char"/>
    <w:link w:val="Blockquote"/>
    <w:rsid w:val="00107EAF"/>
    <w:rPr>
      <w:rFonts w:eastAsia="Calibri"/>
      <w:sz w:val="24"/>
      <w:szCs w:val="24"/>
    </w:rPr>
  </w:style>
  <w:style w:type="paragraph" w:styleId="NormalWeb">
    <w:name w:val="Normal (Web)"/>
    <w:basedOn w:val="Normal"/>
    <w:uiPriority w:val="99"/>
    <w:unhideWhenUsed/>
    <w:rsid w:val="00127D05"/>
    <w:pPr>
      <w:autoSpaceDE/>
      <w:autoSpaceDN/>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01568">
      <w:bodyDiv w:val="1"/>
      <w:marLeft w:val="0"/>
      <w:marRight w:val="0"/>
      <w:marTop w:val="0"/>
      <w:marBottom w:val="0"/>
      <w:divBdr>
        <w:top w:val="none" w:sz="0" w:space="0" w:color="auto"/>
        <w:left w:val="none" w:sz="0" w:space="0" w:color="auto"/>
        <w:bottom w:val="none" w:sz="0" w:space="0" w:color="auto"/>
        <w:right w:val="none" w:sz="0" w:space="0" w:color="auto"/>
      </w:divBdr>
      <w:divsChild>
        <w:div w:id="936448133">
          <w:marLeft w:val="0"/>
          <w:marRight w:val="0"/>
          <w:marTop w:val="0"/>
          <w:marBottom w:val="0"/>
          <w:divBdr>
            <w:top w:val="none" w:sz="0" w:space="0" w:color="auto"/>
            <w:left w:val="none" w:sz="0" w:space="0" w:color="auto"/>
            <w:bottom w:val="none" w:sz="0" w:space="0" w:color="auto"/>
            <w:right w:val="none" w:sz="0" w:space="0" w:color="auto"/>
          </w:divBdr>
          <w:divsChild>
            <w:div w:id="222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1697">
      <w:bodyDiv w:val="1"/>
      <w:marLeft w:val="0"/>
      <w:marRight w:val="0"/>
      <w:marTop w:val="0"/>
      <w:marBottom w:val="0"/>
      <w:divBdr>
        <w:top w:val="none" w:sz="0" w:space="0" w:color="auto"/>
        <w:left w:val="none" w:sz="0" w:space="0" w:color="auto"/>
        <w:bottom w:val="none" w:sz="0" w:space="0" w:color="auto"/>
        <w:right w:val="none" w:sz="0" w:space="0" w:color="auto"/>
      </w:divBdr>
      <w:divsChild>
        <w:div w:id="638539935">
          <w:marLeft w:val="0"/>
          <w:marRight w:val="0"/>
          <w:marTop w:val="0"/>
          <w:marBottom w:val="0"/>
          <w:divBdr>
            <w:top w:val="none" w:sz="0" w:space="0" w:color="auto"/>
            <w:left w:val="none" w:sz="0" w:space="0" w:color="auto"/>
            <w:bottom w:val="none" w:sz="0" w:space="0" w:color="auto"/>
            <w:right w:val="none" w:sz="0" w:space="0" w:color="auto"/>
          </w:divBdr>
          <w:divsChild>
            <w:div w:id="9935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392E4-381D-443E-8FD9-5D18A3DE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Lewis, Meska</cp:lastModifiedBy>
  <cp:revision>3</cp:revision>
  <cp:lastPrinted>2016-03-11T19:47:00Z</cp:lastPrinted>
  <dcterms:created xsi:type="dcterms:W3CDTF">2016-03-11T19:59:00Z</dcterms:created>
  <dcterms:modified xsi:type="dcterms:W3CDTF">2016-03-11T20:05:00Z</dcterms:modified>
</cp:coreProperties>
</file>