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F9" w:rsidRDefault="00EB6BF9" w:rsidP="00FD1DAD">
      <w:pPr>
        <w:tabs>
          <w:tab w:val="center" w:pos="4680"/>
        </w:tabs>
        <w:suppressAutoHyphens/>
        <w:jc w:val="center"/>
        <w:rPr>
          <w:b/>
        </w:rPr>
      </w:pPr>
      <w:smartTag w:uri="urn:schemas-microsoft-com:office:smarttags" w:element="State">
        <w:smartTag w:uri="urn:schemas-microsoft-com:office:smarttags" w:element="place">
          <w:r>
            <w:rPr>
              <w:b/>
            </w:rPr>
            <w:t>PENNSYLVANIA</w:t>
          </w:r>
        </w:smartTag>
      </w:smartTag>
    </w:p>
    <w:p w:rsidR="00EB6BF9" w:rsidRDefault="00EB6BF9" w:rsidP="00FD1DAD">
      <w:pPr>
        <w:tabs>
          <w:tab w:val="center" w:pos="4680"/>
        </w:tabs>
        <w:suppressAutoHyphens/>
        <w:jc w:val="center"/>
      </w:pPr>
      <w:r>
        <w:rPr>
          <w:b/>
        </w:rPr>
        <w:t>PUBLIC UTILITY COMMISSION</w:t>
      </w:r>
    </w:p>
    <w:p w:rsidR="00EB6BF9" w:rsidRDefault="00EB6BF9" w:rsidP="00FD1DAD">
      <w:pPr>
        <w:tabs>
          <w:tab w:val="center" w:pos="4680"/>
        </w:tabs>
        <w:suppressAutoHyphens/>
        <w:jc w:val="cente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country-region">
          <w:r>
            <w:rPr>
              <w:b/>
            </w:rPr>
            <w:t>17105-3265</w:t>
          </w:r>
        </w:smartTag>
      </w:smartTag>
    </w:p>
    <w:p w:rsidR="00EB6BF9" w:rsidRDefault="00EB6BF9" w:rsidP="00FD1DAD">
      <w:pPr>
        <w:tabs>
          <w:tab w:val="left" w:pos="-720"/>
        </w:tabs>
        <w:suppressAutoHyphens/>
      </w:pPr>
    </w:p>
    <w:p w:rsidR="00EB6BF9" w:rsidRDefault="00EB6BF9" w:rsidP="00FD1DAD"/>
    <w:tbl>
      <w:tblPr>
        <w:tblW w:w="0" w:type="auto"/>
        <w:tblLook w:val="04A0" w:firstRow="1" w:lastRow="0" w:firstColumn="1" w:lastColumn="0" w:noHBand="0" w:noVBand="1"/>
      </w:tblPr>
      <w:tblGrid>
        <w:gridCol w:w="5058"/>
        <w:gridCol w:w="4428"/>
      </w:tblGrid>
      <w:tr w:rsidR="00B310BA" w:rsidTr="00754576">
        <w:tc>
          <w:tcPr>
            <w:tcW w:w="5058" w:type="dxa"/>
            <w:shd w:val="clear" w:color="auto" w:fill="auto"/>
          </w:tcPr>
          <w:p w:rsidR="00B310BA" w:rsidRDefault="00B310BA" w:rsidP="00FD1DAD"/>
        </w:tc>
        <w:tc>
          <w:tcPr>
            <w:tcW w:w="4428" w:type="dxa"/>
            <w:shd w:val="clear" w:color="auto" w:fill="auto"/>
          </w:tcPr>
          <w:p w:rsidR="00B310BA" w:rsidRDefault="00B310BA" w:rsidP="00113C4E">
            <w:pPr>
              <w:ind w:right="-90" w:hanging="108"/>
              <w:jc w:val="right"/>
            </w:pPr>
            <w:r>
              <w:t>Public Meeting held</w:t>
            </w:r>
            <w:r w:rsidR="009F6E74">
              <w:t xml:space="preserve"> </w:t>
            </w:r>
            <w:r w:rsidR="00113C4E">
              <w:t>February 11</w:t>
            </w:r>
            <w:r w:rsidR="00A72E13">
              <w:t>, 201</w:t>
            </w:r>
            <w:r w:rsidR="00113C4E">
              <w:t>6</w:t>
            </w:r>
          </w:p>
          <w:p w:rsidR="009F6E74" w:rsidRDefault="009F6E74" w:rsidP="009F6E74">
            <w:pPr>
              <w:ind w:right="-90"/>
            </w:pPr>
          </w:p>
          <w:p w:rsidR="009F6E74" w:rsidRDefault="009F6E74" w:rsidP="009F6E74">
            <w:pPr>
              <w:ind w:right="-90"/>
            </w:pPr>
          </w:p>
        </w:tc>
      </w:tr>
      <w:tr w:rsidR="00B310BA" w:rsidTr="00754576">
        <w:tc>
          <w:tcPr>
            <w:tcW w:w="5058" w:type="dxa"/>
            <w:shd w:val="clear" w:color="auto" w:fill="auto"/>
          </w:tcPr>
          <w:p w:rsidR="00B310BA" w:rsidRDefault="00B310BA" w:rsidP="00FD1DAD">
            <w:r>
              <w:t>Commissioners Present:</w:t>
            </w:r>
          </w:p>
          <w:p w:rsidR="00B310BA" w:rsidRDefault="00B310BA" w:rsidP="00FD1DAD"/>
          <w:p w:rsidR="00B310BA" w:rsidRDefault="00113C4E" w:rsidP="00754576">
            <w:pPr>
              <w:tabs>
                <w:tab w:val="left" w:pos="705"/>
              </w:tabs>
              <w:ind w:firstLine="720"/>
            </w:pPr>
            <w:r w:rsidRPr="00113C4E">
              <w:t>Gladys M. Brown</w:t>
            </w:r>
            <w:r w:rsidR="00B310BA">
              <w:t>, Chairman</w:t>
            </w:r>
          </w:p>
          <w:p w:rsidR="00B310BA" w:rsidRDefault="00113C4E" w:rsidP="00754576">
            <w:pPr>
              <w:tabs>
                <w:tab w:val="left" w:pos="705"/>
              </w:tabs>
              <w:ind w:firstLine="720"/>
            </w:pPr>
            <w:r>
              <w:t>Andrew G. Place</w:t>
            </w:r>
            <w:r w:rsidR="00B310BA">
              <w:t>, Vice Chairman</w:t>
            </w:r>
          </w:p>
          <w:p w:rsidR="00B310BA" w:rsidRDefault="00B310BA" w:rsidP="00754576">
            <w:pPr>
              <w:tabs>
                <w:tab w:val="left" w:pos="705"/>
              </w:tabs>
              <w:ind w:firstLine="720"/>
            </w:pPr>
            <w:r>
              <w:t>Pamela A. Witmer</w:t>
            </w:r>
          </w:p>
          <w:p w:rsidR="00A72E13" w:rsidRDefault="00113C4E" w:rsidP="00754576">
            <w:pPr>
              <w:tabs>
                <w:tab w:val="left" w:pos="705"/>
              </w:tabs>
              <w:ind w:firstLine="720"/>
            </w:pPr>
            <w:r>
              <w:t>John F. Coleman, Jr.</w:t>
            </w:r>
          </w:p>
          <w:p w:rsidR="00113C4E" w:rsidRDefault="00113C4E" w:rsidP="00754576">
            <w:pPr>
              <w:tabs>
                <w:tab w:val="left" w:pos="705"/>
              </w:tabs>
              <w:ind w:firstLine="720"/>
            </w:pPr>
            <w:r w:rsidRPr="00113C4E">
              <w:t>Robert F. Powelson</w:t>
            </w:r>
          </w:p>
          <w:p w:rsidR="00B310BA" w:rsidRDefault="00B310BA" w:rsidP="00FD1DAD"/>
          <w:p w:rsidR="00113C4E" w:rsidRDefault="00113C4E" w:rsidP="00FD1DAD"/>
        </w:tc>
        <w:tc>
          <w:tcPr>
            <w:tcW w:w="4428" w:type="dxa"/>
            <w:shd w:val="clear" w:color="auto" w:fill="auto"/>
          </w:tcPr>
          <w:p w:rsidR="00B310BA" w:rsidRDefault="00B310BA" w:rsidP="00754576">
            <w:pPr>
              <w:jc w:val="right"/>
            </w:pPr>
          </w:p>
        </w:tc>
      </w:tr>
      <w:tr w:rsidR="00B310BA" w:rsidRPr="009F6E74" w:rsidTr="00754576">
        <w:tc>
          <w:tcPr>
            <w:tcW w:w="5058" w:type="dxa"/>
            <w:shd w:val="clear" w:color="auto" w:fill="auto"/>
          </w:tcPr>
          <w:p w:rsidR="00B310BA" w:rsidRPr="009F6E74" w:rsidRDefault="00113C4E" w:rsidP="00113C4E">
            <w:r>
              <w:t>Loni Durante</w:t>
            </w:r>
          </w:p>
        </w:tc>
        <w:tc>
          <w:tcPr>
            <w:tcW w:w="4428" w:type="dxa"/>
            <w:shd w:val="clear" w:color="auto" w:fill="auto"/>
          </w:tcPr>
          <w:p w:rsidR="00B310BA" w:rsidRPr="009F6E74" w:rsidRDefault="00113C4E" w:rsidP="00113C4E">
            <w:pPr>
              <w:jc w:val="right"/>
            </w:pPr>
            <w:r>
              <w:t>F</w:t>
            </w:r>
            <w:r w:rsidR="009F6E74" w:rsidRPr="009F6E74">
              <w:t>-201</w:t>
            </w:r>
            <w:r>
              <w:t>5</w:t>
            </w:r>
            <w:r w:rsidR="009F6E74" w:rsidRPr="009F6E74">
              <w:t>-2</w:t>
            </w:r>
            <w:r>
              <w:t>487082</w:t>
            </w:r>
          </w:p>
        </w:tc>
      </w:tr>
      <w:tr w:rsidR="00B310BA" w:rsidRPr="009F6E74" w:rsidTr="00754576">
        <w:tc>
          <w:tcPr>
            <w:tcW w:w="5058" w:type="dxa"/>
            <w:shd w:val="clear" w:color="auto" w:fill="auto"/>
          </w:tcPr>
          <w:p w:rsidR="00190DCD" w:rsidRPr="009F6E74" w:rsidRDefault="00190DCD" w:rsidP="0008309E">
            <w:pPr>
              <w:ind w:firstLine="1440"/>
            </w:pPr>
          </w:p>
          <w:p w:rsidR="00B310BA" w:rsidRPr="009F6E74" w:rsidRDefault="009F6E74" w:rsidP="009F6E74">
            <w:r>
              <w:t xml:space="preserve">            </w:t>
            </w:r>
            <w:r w:rsidR="00B310BA" w:rsidRPr="009F6E74">
              <w:t>v.</w:t>
            </w:r>
          </w:p>
          <w:p w:rsidR="00190DCD" w:rsidRPr="009F6E74" w:rsidRDefault="00190DCD" w:rsidP="0008309E">
            <w:pPr>
              <w:ind w:firstLine="1440"/>
            </w:pPr>
          </w:p>
        </w:tc>
        <w:tc>
          <w:tcPr>
            <w:tcW w:w="4428" w:type="dxa"/>
            <w:shd w:val="clear" w:color="auto" w:fill="auto"/>
          </w:tcPr>
          <w:p w:rsidR="00B310BA" w:rsidRPr="009F6E74" w:rsidRDefault="00B310BA" w:rsidP="00FD1DAD"/>
        </w:tc>
      </w:tr>
      <w:tr w:rsidR="00B310BA" w:rsidRPr="009F6E74" w:rsidTr="00754576">
        <w:tc>
          <w:tcPr>
            <w:tcW w:w="5058" w:type="dxa"/>
            <w:shd w:val="clear" w:color="auto" w:fill="auto"/>
          </w:tcPr>
          <w:p w:rsidR="00113C4E" w:rsidRDefault="00113C4E" w:rsidP="00190DCD">
            <w:r>
              <w:t>Blue Pilot Energy, LLC, and</w:t>
            </w:r>
          </w:p>
          <w:p w:rsidR="00190DCD" w:rsidRPr="009F6E74" w:rsidRDefault="00113C4E" w:rsidP="00113C4E">
            <w:r>
              <w:t>PPL Electric Utilities Corporation</w:t>
            </w:r>
          </w:p>
        </w:tc>
        <w:tc>
          <w:tcPr>
            <w:tcW w:w="4428" w:type="dxa"/>
            <w:shd w:val="clear" w:color="auto" w:fill="auto"/>
          </w:tcPr>
          <w:p w:rsidR="00B310BA" w:rsidRPr="009F6E74" w:rsidRDefault="00B310BA" w:rsidP="00FD1DAD"/>
        </w:tc>
      </w:tr>
    </w:tbl>
    <w:p w:rsidR="00390EC5" w:rsidRPr="009F6E74" w:rsidRDefault="00390EC5" w:rsidP="00FD1DAD"/>
    <w:p w:rsidR="00B310BA" w:rsidRPr="009F6E74" w:rsidRDefault="00B310BA" w:rsidP="00FD1DAD"/>
    <w:p w:rsidR="00EB6BF9" w:rsidRPr="009F6E74" w:rsidRDefault="00EB6BF9" w:rsidP="00F62310">
      <w:pPr>
        <w:jc w:val="center"/>
        <w:rPr>
          <w:b/>
        </w:rPr>
      </w:pPr>
      <w:r w:rsidRPr="009F6E74">
        <w:rPr>
          <w:b/>
        </w:rPr>
        <w:t xml:space="preserve">OPINION </w:t>
      </w:r>
      <w:smartTag w:uri="urn:schemas-microsoft-com:office:smarttags" w:element="stockticker">
        <w:r w:rsidRPr="009F6E74">
          <w:rPr>
            <w:b/>
          </w:rPr>
          <w:t>AND</w:t>
        </w:r>
      </w:smartTag>
      <w:r w:rsidRPr="009F6E74">
        <w:rPr>
          <w:b/>
        </w:rPr>
        <w:t xml:space="preserve"> ORDER</w:t>
      </w:r>
    </w:p>
    <w:p w:rsidR="00EB6BF9" w:rsidRDefault="00EB6BF9" w:rsidP="00FD1DAD">
      <w:pPr>
        <w:jc w:val="center"/>
        <w:rPr>
          <w:b/>
        </w:rPr>
      </w:pPr>
    </w:p>
    <w:p w:rsidR="00EB6BF9" w:rsidRPr="00B71BBD" w:rsidRDefault="00EB6BF9" w:rsidP="00FD1DAD">
      <w:pPr>
        <w:jc w:val="center"/>
        <w:rPr>
          <w:b/>
        </w:rPr>
      </w:pPr>
    </w:p>
    <w:p w:rsidR="00EB6BF9" w:rsidRDefault="00EB6BF9" w:rsidP="00FD1DAD">
      <w:pPr>
        <w:rPr>
          <w:b/>
        </w:rPr>
      </w:pPr>
      <w:r>
        <w:rPr>
          <w:b/>
        </w:rPr>
        <w:t>BY THE COMMISSION:</w:t>
      </w:r>
    </w:p>
    <w:p w:rsidR="00EB6BF9" w:rsidRDefault="00EB6BF9" w:rsidP="00FD1DAD"/>
    <w:p w:rsidR="00EB6BF9" w:rsidRDefault="00EB6BF9" w:rsidP="00FD1DAD"/>
    <w:p w:rsidR="00EB6BF9" w:rsidRDefault="00EB6BF9" w:rsidP="00FB0607">
      <w:pPr>
        <w:spacing w:line="360" w:lineRule="auto"/>
        <w:ind w:firstLine="1440"/>
      </w:pPr>
      <w:r>
        <w:t xml:space="preserve">Before </w:t>
      </w:r>
      <w:r w:rsidR="00777A50">
        <w:t>the Pennsylvania Public Utility Commission (Commission)</w:t>
      </w:r>
      <w:r w:rsidR="002B09C9">
        <w:t xml:space="preserve"> for considera</w:t>
      </w:r>
      <w:r w:rsidR="00C72F29">
        <w:t>tion</w:t>
      </w:r>
      <w:r w:rsidR="002B09C9">
        <w:t xml:space="preserve"> </w:t>
      </w:r>
      <w:r w:rsidR="00777A50">
        <w:t xml:space="preserve">and disposition </w:t>
      </w:r>
      <w:r w:rsidR="00F62310">
        <w:t xml:space="preserve">is the </w:t>
      </w:r>
      <w:r>
        <w:t xml:space="preserve">Initial Decision </w:t>
      </w:r>
      <w:r w:rsidR="00BA6B58">
        <w:t xml:space="preserve">(I.D.) </w:t>
      </w:r>
      <w:r>
        <w:t>of Administrative Law Ju</w:t>
      </w:r>
      <w:r w:rsidR="00A966A7">
        <w:t xml:space="preserve">dge </w:t>
      </w:r>
      <w:r w:rsidR="006F7173">
        <w:t xml:space="preserve">(ALJ) </w:t>
      </w:r>
      <w:r w:rsidR="001070AB">
        <w:t xml:space="preserve">Katrina L. Dunderdale </w:t>
      </w:r>
      <w:r w:rsidR="006F7173">
        <w:t xml:space="preserve">issued </w:t>
      </w:r>
      <w:r w:rsidR="001070AB">
        <w:t>December 8, 2015</w:t>
      </w:r>
      <w:r>
        <w:t>, in t</w:t>
      </w:r>
      <w:r w:rsidR="00F62310">
        <w:t>he above-captioned proceeding.</w:t>
      </w:r>
      <w:r w:rsidR="002B09C9">
        <w:t xml:space="preserve">  The Initial Decision </w:t>
      </w:r>
      <w:r w:rsidR="009F2B4D">
        <w:t>d</w:t>
      </w:r>
      <w:r w:rsidR="001070AB">
        <w:t>ismissed</w:t>
      </w:r>
      <w:r w:rsidR="009F6E74">
        <w:t xml:space="preserve"> the Formal Complaint </w:t>
      </w:r>
      <w:r w:rsidR="001070AB">
        <w:t xml:space="preserve">(Complaint) </w:t>
      </w:r>
      <w:r w:rsidR="009F6E74">
        <w:t xml:space="preserve">filed </w:t>
      </w:r>
      <w:r w:rsidR="001070AB">
        <w:t>June 5, 2015</w:t>
      </w:r>
      <w:r w:rsidR="009F6E74">
        <w:t xml:space="preserve">, by </w:t>
      </w:r>
      <w:r w:rsidR="001070AB">
        <w:t>Loni Durante</w:t>
      </w:r>
      <w:r w:rsidR="009F6E74">
        <w:t xml:space="preserve"> (Complainant</w:t>
      </w:r>
      <w:r w:rsidR="006751D6">
        <w:t xml:space="preserve"> or M</w:t>
      </w:r>
      <w:r w:rsidR="001070AB">
        <w:t>s</w:t>
      </w:r>
      <w:r w:rsidR="006751D6">
        <w:t>. </w:t>
      </w:r>
      <w:r w:rsidR="001070AB">
        <w:t>Durante</w:t>
      </w:r>
      <w:r w:rsidR="009F6E74">
        <w:t xml:space="preserve">) against </w:t>
      </w:r>
      <w:r w:rsidR="001070AB">
        <w:t>Blue Pilot Energy, LLC (Blue Pilot</w:t>
      </w:r>
      <w:r w:rsidR="009F6E74">
        <w:t xml:space="preserve"> or Company)</w:t>
      </w:r>
      <w:r w:rsidR="001070AB">
        <w:t xml:space="preserve"> and PPL Electric Utilities Corporation (PPL)</w:t>
      </w:r>
      <w:r w:rsidR="002B09C9">
        <w:t xml:space="preserve">.  </w:t>
      </w:r>
      <w:r w:rsidR="000421EA">
        <w:t>No Exceptions were filed.  However, w</w:t>
      </w:r>
      <w:r w:rsidR="002B09C9">
        <w:t xml:space="preserve">e exercised our right to review the Initial Decision </w:t>
      </w:r>
      <w:r w:rsidR="002B09C9">
        <w:lastRenderedPageBreak/>
        <w:t>pursuant to Section 332(h) of the Public Utility Code</w:t>
      </w:r>
      <w:r w:rsidR="00C860B6">
        <w:t xml:space="preserve"> (Code)</w:t>
      </w:r>
      <w:r w:rsidR="002B09C9">
        <w:t xml:space="preserve">, 66 Pa. C.S. § 332(h).  For the </w:t>
      </w:r>
      <w:r w:rsidR="009F6E74">
        <w:t xml:space="preserve">reasons set forth herein, we </w:t>
      </w:r>
      <w:r w:rsidR="00AC6197">
        <w:t xml:space="preserve">modify </w:t>
      </w:r>
      <w:r w:rsidR="009F6E74">
        <w:t>t</w:t>
      </w:r>
      <w:r w:rsidR="00937FF6">
        <w:t>he Initial Decision</w:t>
      </w:r>
      <w:r w:rsidR="002B09C9">
        <w:t>.</w:t>
      </w:r>
    </w:p>
    <w:p w:rsidR="001070AB" w:rsidRDefault="001070AB" w:rsidP="00FB0607">
      <w:pPr>
        <w:spacing w:line="360" w:lineRule="auto"/>
        <w:ind w:firstLine="1440"/>
      </w:pPr>
    </w:p>
    <w:p w:rsidR="00EB6BF9" w:rsidRDefault="00EB6BF9" w:rsidP="00FB0607">
      <w:pPr>
        <w:spacing w:line="360" w:lineRule="auto"/>
        <w:jc w:val="center"/>
        <w:rPr>
          <w:b/>
        </w:rPr>
      </w:pPr>
      <w:bookmarkStart w:id="0" w:name="OLE_LINK1"/>
      <w:bookmarkStart w:id="1" w:name="OLE_LINK2"/>
      <w:r w:rsidRPr="00117773">
        <w:rPr>
          <w:b/>
        </w:rPr>
        <w:t>History of the Proceeding</w:t>
      </w:r>
      <w:r w:rsidR="004F147D">
        <w:rPr>
          <w:rStyle w:val="FootnoteReference"/>
          <w:b/>
        </w:rPr>
        <w:footnoteReference w:id="1"/>
      </w:r>
    </w:p>
    <w:p w:rsidR="00A92279" w:rsidRDefault="00A92279" w:rsidP="00FB0607">
      <w:pPr>
        <w:spacing w:line="360" w:lineRule="auto"/>
        <w:jc w:val="center"/>
        <w:rPr>
          <w:b/>
        </w:rPr>
      </w:pPr>
    </w:p>
    <w:p w:rsidR="00A92279" w:rsidRDefault="00A92279" w:rsidP="00A92279">
      <w:pPr>
        <w:pStyle w:val="ParaTab1"/>
        <w:tabs>
          <w:tab w:val="left" w:pos="2070"/>
        </w:tabs>
        <w:spacing w:line="360" w:lineRule="auto"/>
        <w:rPr>
          <w:rFonts w:ascii="Times New Roman" w:hAnsi="Times New Roman" w:cs="Times New Roman"/>
          <w:sz w:val="26"/>
          <w:szCs w:val="26"/>
        </w:rPr>
      </w:pPr>
      <w:r w:rsidRPr="00A92279">
        <w:rPr>
          <w:rFonts w:ascii="Times New Roman" w:hAnsi="Times New Roman" w:cs="Times New Roman"/>
          <w:sz w:val="26"/>
          <w:szCs w:val="26"/>
        </w:rPr>
        <w:t xml:space="preserve">On </w:t>
      </w:r>
      <w:r w:rsidR="001070AB">
        <w:rPr>
          <w:rFonts w:ascii="Times New Roman" w:hAnsi="Times New Roman" w:cs="Times New Roman"/>
          <w:sz w:val="26"/>
          <w:szCs w:val="26"/>
        </w:rPr>
        <w:t>June 5, 2015, Ms. Durante</w:t>
      </w:r>
      <w:r w:rsidRPr="00A92279">
        <w:rPr>
          <w:rFonts w:ascii="Times New Roman" w:hAnsi="Times New Roman" w:cs="Times New Roman"/>
          <w:sz w:val="26"/>
          <w:szCs w:val="26"/>
        </w:rPr>
        <w:t xml:space="preserve"> file</w:t>
      </w:r>
      <w:r>
        <w:rPr>
          <w:rFonts w:ascii="Times New Roman" w:hAnsi="Times New Roman" w:cs="Times New Roman"/>
          <w:sz w:val="26"/>
          <w:szCs w:val="26"/>
        </w:rPr>
        <w:t xml:space="preserve">d </w:t>
      </w:r>
      <w:r w:rsidR="00C72C18">
        <w:rPr>
          <w:rFonts w:ascii="Times New Roman" w:hAnsi="Times New Roman" w:cs="Times New Roman"/>
          <w:sz w:val="26"/>
          <w:szCs w:val="26"/>
        </w:rPr>
        <w:t>a</w:t>
      </w:r>
      <w:r>
        <w:rPr>
          <w:rFonts w:ascii="Times New Roman" w:hAnsi="Times New Roman" w:cs="Times New Roman"/>
          <w:sz w:val="26"/>
          <w:szCs w:val="26"/>
        </w:rPr>
        <w:t xml:space="preserve"> Complaint</w:t>
      </w:r>
      <w:r w:rsidR="00C72C18" w:rsidRPr="00C72C18">
        <w:rPr>
          <w:rFonts w:ascii="Times New Roman" w:hAnsi="Times New Roman" w:cs="Times New Roman"/>
          <w:sz w:val="26"/>
          <w:szCs w:val="26"/>
        </w:rPr>
        <w:t>, which was a timely appeal of a decision of the Commission’s Bureau of Consumer Services (BCS)</w:t>
      </w:r>
      <w:r w:rsidR="00C72C18">
        <w:rPr>
          <w:rFonts w:ascii="Times New Roman" w:hAnsi="Times New Roman" w:cs="Times New Roman"/>
          <w:sz w:val="26"/>
          <w:szCs w:val="26"/>
        </w:rPr>
        <w:t>,</w:t>
      </w:r>
      <w:r>
        <w:rPr>
          <w:rFonts w:ascii="Times New Roman" w:hAnsi="Times New Roman" w:cs="Times New Roman"/>
          <w:sz w:val="26"/>
          <w:szCs w:val="26"/>
        </w:rPr>
        <w:t xml:space="preserve"> against </w:t>
      </w:r>
      <w:r w:rsidR="001070AB">
        <w:rPr>
          <w:rFonts w:ascii="Times New Roman" w:hAnsi="Times New Roman" w:cs="Times New Roman"/>
          <w:sz w:val="26"/>
          <w:szCs w:val="26"/>
        </w:rPr>
        <w:t>Blue Pilot and PPL</w:t>
      </w:r>
      <w:r w:rsidR="00C72C18">
        <w:rPr>
          <w:rFonts w:ascii="Times New Roman" w:hAnsi="Times New Roman" w:cs="Times New Roman"/>
          <w:sz w:val="26"/>
          <w:szCs w:val="26"/>
        </w:rPr>
        <w:t>.</w:t>
      </w:r>
      <w:r w:rsidR="004F147D">
        <w:rPr>
          <w:rStyle w:val="FootnoteReference"/>
          <w:rFonts w:ascii="Times New Roman" w:hAnsi="Times New Roman" w:cs="Times New Roman"/>
          <w:sz w:val="26"/>
          <w:szCs w:val="26"/>
        </w:rPr>
        <w:footnoteReference w:id="2"/>
      </w:r>
      <w:r w:rsidR="002B17C0">
        <w:rPr>
          <w:rFonts w:ascii="Times New Roman" w:hAnsi="Times New Roman" w:cs="Times New Roman"/>
          <w:sz w:val="26"/>
          <w:szCs w:val="26"/>
        </w:rPr>
        <w:t xml:space="preserve">  In the Complaint, Ms. Durante </w:t>
      </w:r>
      <w:r>
        <w:rPr>
          <w:rFonts w:ascii="Times New Roman" w:hAnsi="Times New Roman" w:cs="Times New Roman"/>
          <w:sz w:val="26"/>
          <w:szCs w:val="26"/>
        </w:rPr>
        <w:t>alleg</w:t>
      </w:r>
      <w:r w:rsidR="002B17C0">
        <w:rPr>
          <w:rFonts w:ascii="Times New Roman" w:hAnsi="Times New Roman" w:cs="Times New Roman"/>
          <w:sz w:val="26"/>
          <w:szCs w:val="26"/>
        </w:rPr>
        <w:t>ed</w:t>
      </w:r>
      <w:r>
        <w:rPr>
          <w:rFonts w:ascii="Times New Roman" w:hAnsi="Times New Roman" w:cs="Times New Roman"/>
          <w:sz w:val="26"/>
          <w:szCs w:val="26"/>
        </w:rPr>
        <w:t xml:space="preserve"> that </w:t>
      </w:r>
      <w:r w:rsidR="001070AB">
        <w:rPr>
          <w:rFonts w:ascii="Times New Roman" w:hAnsi="Times New Roman" w:cs="Times New Roman"/>
          <w:sz w:val="26"/>
          <w:szCs w:val="26"/>
        </w:rPr>
        <w:t>(1) the utility was threatening to shut off her service because she owed a balance from the winter of 2014; (2) she had an open case against Blue Pilot with the Pennsylvania Office of Attorney General; and (3) because she could only pay her monthly charges, she would like a payment agreement until there was a verdict in her case.  Complaint at 2.  Ms.</w:t>
      </w:r>
      <w:r w:rsidR="00C268D4">
        <w:rPr>
          <w:rFonts w:ascii="Times New Roman" w:hAnsi="Times New Roman" w:cs="Times New Roman"/>
          <w:sz w:val="26"/>
          <w:szCs w:val="26"/>
        </w:rPr>
        <w:t> </w:t>
      </w:r>
      <w:r w:rsidR="001070AB">
        <w:rPr>
          <w:rFonts w:ascii="Times New Roman" w:hAnsi="Times New Roman" w:cs="Times New Roman"/>
          <w:sz w:val="26"/>
          <w:szCs w:val="26"/>
        </w:rPr>
        <w:t>Durante further averred that Blue Pilot’s rates “went up so high the months of December 2013 – February 2014 and [her] bill was up to over $3,000, for less than 2 months</w:t>
      </w:r>
      <w:r w:rsidR="002B17C0">
        <w:rPr>
          <w:rFonts w:ascii="Times New Roman" w:hAnsi="Times New Roman" w:cs="Times New Roman"/>
          <w:sz w:val="26"/>
          <w:szCs w:val="26"/>
        </w:rPr>
        <w:t xml:space="preserve">[.]”  </w:t>
      </w:r>
      <w:r w:rsidR="002B17C0">
        <w:rPr>
          <w:rFonts w:ascii="Times New Roman" w:hAnsi="Times New Roman" w:cs="Times New Roman"/>
          <w:i/>
          <w:sz w:val="26"/>
          <w:szCs w:val="26"/>
        </w:rPr>
        <w:t>Id.</w:t>
      </w:r>
      <w:r w:rsidR="002B17C0">
        <w:rPr>
          <w:rFonts w:ascii="Times New Roman" w:hAnsi="Times New Roman" w:cs="Times New Roman"/>
          <w:sz w:val="26"/>
          <w:szCs w:val="26"/>
        </w:rPr>
        <w:t xml:space="preserve">  As relief, the Complainant stated she would “love to have the PUC fight the skyrocketted [sic] rates (.49 cents per KW!!) that [they] endured from Blue Pilot.”  </w:t>
      </w:r>
      <w:r w:rsidR="002B17C0">
        <w:rPr>
          <w:rFonts w:ascii="Times New Roman" w:hAnsi="Times New Roman" w:cs="Times New Roman"/>
          <w:i/>
          <w:sz w:val="26"/>
          <w:szCs w:val="26"/>
        </w:rPr>
        <w:t>Id.</w:t>
      </w:r>
      <w:r w:rsidR="002B17C0">
        <w:rPr>
          <w:rFonts w:ascii="Times New Roman" w:hAnsi="Times New Roman" w:cs="Times New Roman"/>
          <w:sz w:val="26"/>
          <w:szCs w:val="26"/>
        </w:rPr>
        <w:t xml:space="preserve"> at 3.  If that was not possible, the Complainant requested that the Commission “temporarily stop PP&amp;L from needing the whole balance at this time[.]”  </w:t>
      </w:r>
      <w:r w:rsidR="002B17C0">
        <w:rPr>
          <w:rFonts w:ascii="Times New Roman" w:hAnsi="Times New Roman" w:cs="Times New Roman"/>
          <w:i/>
          <w:sz w:val="26"/>
          <w:szCs w:val="26"/>
        </w:rPr>
        <w:t>Id.</w:t>
      </w:r>
      <w:r w:rsidR="002B17C0">
        <w:rPr>
          <w:rFonts w:ascii="Times New Roman" w:hAnsi="Times New Roman" w:cs="Times New Roman"/>
          <w:sz w:val="26"/>
          <w:szCs w:val="26"/>
        </w:rPr>
        <w:t xml:space="preserve">  </w:t>
      </w:r>
    </w:p>
    <w:p w:rsidR="002B17C0" w:rsidRPr="00A92279" w:rsidRDefault="002B17C0" w:rsidP="00A92279">
      <w:pPr>
        <w:pStyle w:val="ParaTab1"/>
        <w:tabs>
          <w:tab w:val="left" w:pos="2070"/>
        </w:tabs>
        <w:spacing w:line="360" w:lineRule="auto"/>
        <w:rPr>
          <w:rFonts w:ascii="Times New Roman" w:hAnsi="Times New Roman" w:cs="Times New Roman"/>
          <w:sz w:val="26"/>
          <w:szCs w:val="26"/>
        </w:rPr>
      </w:pPr>
    </w:p>
    <w:p w:rsidR="00A92279" w:rsidRDefault="00A92279" w:rsidP="00A92279">
      <w:pPr>
        <w:pStyle w:val="ParaTab1"/>
        <w:tabs>
          <w:tab w:val="left" w:pos="2070"/>
        </w:tabs>
        <w:spacing w:line="360" w:lineRule="auto"/>
        <w:rPr>
          <w:rFonts w:ascii="Times New Roman" w:hAnsi="Times New Roman" w:cs="Times New Roman"/>
          <w:sz w:val="26"/>
          <w:szCs w:val="26"/>
        </w:rPr>
      </w:pPr>
      <w:r w:rsidRPr="00A92279">
        <w:rPr>
          <w:rFonts w:ascii="Times New Roman" w:hAnsi="Times New Roman" w:cs="Times New Roman"/>
          <w:sz w:val="26"/>
          <w:szCs w:val="26"/>
        </w:rPr>
        <w:t xml:space="preserve">On </w:t>
      </w:r>
      <w:r w:rsidR="002B17C0">
        <w:rPr>
          <w:rFonts w:ascii="Times New Roman" w:hAnsi="Times New Roman" w:cs="Times New Roman"/>
          <w:sz w:val="26"/>
          <w:szCs w:val="26"/>
        </w:rPr>
        <w:t>June 22, 2015, Blue Pilot f</w:t>
      </w:r>
      <w:r w:rsidRPr="00A92279">
        <w:rPr>
          <w:rFonts w:ascii="Times New Roman" w:hAnsi="Times New Roman" w:cs="Times New Roman"/>
          <w:sz w:val="26"/>
          <w:szCs w:val="26"/>
        </w:rPr>
        <w:t>iled an</w:t>
      </w:r>
      <w:r w:rsidR="00FB0607">
        <w:rPr>
          <w:rFonts w:ascii="Times New Roman" w:hAnsi="Times New Roman" w:cs="Times New Roman"/>
          <w:sz w:val="26"/>
          <w:szCs w:val="26"/>
        </w:rPr>
        <w:t xml:space="preserve"> Answer</w:t>
      </w:r>
      <w:r w:rsidRPr="00A92279">
        <w:rPr>
          <w:rFonts w:ascii="Times New Roman" w:hAnsi="Times New Roman" w:cs="Times New Roman"/>
          <w:sz w:val="26"/>
          <w:szCs w:val="26"/>
        </w:rPr>
        <w:t xml:space="preserve"> </w:t>
      </w:r>
      <w:r w:rsidR="00E95B89">
        <w:rPr>
          <w:rFonts w:ascii="Times New Roman" w:hAnsi="Times New Roman" w:cs="Times New Roman"/>
          <w:sz w:val="26"/>
          <w:szCs w:val="26"/>
        </w:rPr>
        <w:t xml:space="preserve">to the Complaint (Answer) </w:t>
      </w:r>
      <w:r w:rsidR="00FB0607">
        <w:rPr>
          <w:rFonts w:ascii="Times New Roman" w:hAnsi="Times New Roman" w:cs="Times New Roman"/>
          <w:sz w:val="26"/>
          <w:szCs w:val="26"/>
        </w:rPr>
        <w:t xml:space="preserve">in which </w:t>
      </w:r>
      <w:r w:rsidR="000B52DB">
        <w:rPr>
          <w:rFonts w:ascii="Times New Roman" w:hAnsi="Times New Roman" w:cs="Times New Roman"/>
          <w:sz w:val="26"/>
          <w:szCs w:val="26"/>
        </w:rPr>
        <w:t xml:space="preserve">the Company </w:t>
      </w:r>
      <w:r w:rsidR="00E95B89">
        <w:rPr>
          <w:rFonts w:ascii="Times New Roman" w:hAnsi="Times New Roman" w:cs="Times New Roman"/>
          <w:sz w:val="26"/>
          <w:szCs w:val="26"/>
        </w:rPr>
        <w:t>d</w:t>
      </w:r>
      <w:r w:rsidR="002B17C0">
        <w:rPr>
          <w:rFonts w:ascii="Times New Roman" w:hAnsi="Times New Roman" w:cs="Times New Roman"/>
          <w:sz w:val="26"/>
          <w:szCs w:val="26"/>
        </w:rPr>
        <w:t>enied</w:t>
      </w:r>
      <w:r w:rsidR="00E95B89">
        <w:rPr>
          <w:rFonts w:ascii="Times New Roman" w:hAnsi="Times New Roman" w:cs="Times New Roman"/>
          <w:sz w:val="26"/>
          <w:szCs w:val="26"/>
        </w:rPr>
        <w:t xml:space="preserve"> each </w:t>
      </w:r>
      <w:r w:rsidR="003804A4">
        <w:rPr>
          <w:rFonts w:ascii="Times New Roman" w:hAnsi="Times New Roman" w:cs="Times New Roman"/>
          <w:sz w:val="26"/>
          <w:szCs w:val="26"/>
        </w:rPr>
        <w:t xml:space="preserve">allegation </w:t>
      </w:r>
      <w:r w:rsidR="00C72C18">
        <w:rPr>
          <w:rFonts w:ascii="Times New Roman" w:hAnsi="Times New Roman" w:cs="Times New Roman"/>
          <w:sz w:val="26"/>
          <w:szCs w:val="26"/>
        </w:rPr>
        <w:t xml:space="preserve">Ms. Durante </w:t>
      </w:r>
      <w:r w:rsidR="003804A4">
        <w:rPr>
          <w:rFonts w:ascii="Times New Roman" w:hAnsi="Times New Roman" w:cs="Times New Roman"/>
          <w:sz w:val="26"/>
          <w:szCs w:val="26"/>
        </w:rPr>
        <w:t xml:space="preserve">presented in the ten numbered paragraphs on the Commission’s standard complaint form </w:t>
      </w:r>
      <w:r w:rsidR="003804A4">
        <w:rPr>
          <w:rFonts w:ascii="Times New Roman" w:hAnsi="Times New Roman" w:cs="Times New Roman"/>
          <w:i/>
          <w:sz w:val="26"/>
          <w:szCs w:val="26"/>
        </w:rPr>
        <w:t xml:space="preserve">except </w:t>
      </w:r>
      <w:r w:rsidR="003804A4">
        <w:rPr>
          <w:rFonts w:ascii="Times New Roman" w:hAnsi="Times New Roman" w:cs="Times New Roman"/>
          <w:sz w:val="26"/>
          <w:szCs w:val="26"/>
        </w:rPr>
        <w:t xml:space="preserve">for </w:t>
      </w:r>
      <w:r w:rsidR="00C72C18">
        <w:rPr>
          <w:rFonts w:ascii="Times New Roman" w:hAnsi="Times New Roman" w:cs="Times New Roman"/>
          <w:sz w:val="26"/>
          <w:szCs w:val="26"/>
        </w:rPr>
        <w:t>her</w:t>
      </w:r>
      <w:r w:rsidR="00E95B89">
        <w:rPr>
          <w:rFonts w:ascii="Times New Roman" w:hAnsi="Times New Roman" w:cs="Times New Roman"/>
          <w:sz w:val="26"/>
          <w:szCs w:val="26"/>
        </w:rPr>
        <w:t xml:space="preserve"> allegation</w:t>
      </w:r>
      <w:r w:rsidR="003804A4">
        <w:rPr>
          <w:rFonts w:ascii="Times New Roman" w:hAnsi="Times New Roman" w:cs="Times New Roman"/>
          <w:sz w:val="26"/>
          <w:szCs w:val="26"/>
        </w:rPr>
        <w:t xml:space="preserve"> </w:t>
      </w:r>
      <w:r w:rsidR="00E95B89">
        <w:rPr>
          <w:rFonts w:ascii="Times New Roman" w:hAnsi="Times New Roman" w:cs="Times New Roman"/>
          <w:sz w:val="26"/>
          <w:szCs w:val="26"/>
        </w:rPr>
        <w:t>that the type of utility service involved was electric.  Answer at 1-2.  In addition Blue Pilot raised thirty affirmative defenses</w:t>
      </w:r>
      <w:r w:rsidR="003804A4">
        <w:rPr>
          <w:rFonts w:ascii="Times New Roman" w:hAnsi="Times New Roman" w:cs="Times New Roman"/>
          <w:sz w:val="26"/>
          <w:szCs w:val="26"/>
        </w:rPr>
        <w:t xml:space="preserve">.  These defenses </w:t>
      </w:r>
      <w:r w:rsidR="003804A4" w:rsidRPr="003804A4">
        <w:rPr>
          <w:rFonts w:ascii="Times New Roman" w:hAnsi="Times New Roman" w:cs="Times New Roman"/>
          <w:sz w:val="26"/>
          <w:szCs w:val="26"/>
        </w:rPr>
        <w:t xml:space="preserve">included, but were not limited to, failure to state a claim upon which relief can be granted; waiver, estoppel, </w:t>
      </w:r>
      <w:r w:rsidR="003804A4" w:rsidRPr="003804A4">
        <w:rPr>
          <w:rFonts w:ascii="Times New Roman" w:hAnsi="Times New Roman" w:cs="Times New Roman"/>
          <w:sz w:val="26"/>
          <w:szCs w:val="26"/>
        </w:rPr>
        <w:lastRenderedPageBreak/>
        <w:t xml:space="preserve">unclean hands and other equitable defenses; statute of limitations and/or laches; fulfillment of all contractual and legal obligations; discharge of contractual/legal obligations by frustration, unreasonable expectations, unforeseeable events, and/or mistake; damages and losses, if any, were not a foreseeable consequence of the acts complained of and the Complainant should not be allowed unjust enrichment; damages or losses, if any, were the result of the Complainant’s own negligence, carelessness, poor business judgment and/or acts/omissions of the Complainant’s agents; failure to mitigate; lack of proximate cause; waiver or ratification; the doctrine of release; failure of a condition precedent; </w:t>
      </w:r>
      <w:r w:rsidR="003804A4">
        <w:rPr>
          <w:rFonts w:ascii="Times New Roman" w:hAnsi="Times New Roman" w:cs="Times New Roman"/>
          <w:sz w:val="26"/>
          <w:szCs w:val="26"/>
        </w:rPr>
        <w:t xml:space="preserve">the </w:t>
      </w:r>
      <w:r w:rsidR="003804A4" w:rsidRPr="003804A4">
        <w:rPr>
          <w:rFonts w:ascii="Times New Roman" w:hAnsi="Times New Roman" w:cs="Times New Roman"/>
          <w:sz w:val="26"/>
          <w:szCs w:val="26"/>
        </w:rPr>
        <w:t xml:space="preserve">Respondent’s entitlement to set-offs for all damages; </w:t>
      </w:r>
      <w:r w:rsidR="003804A4">
        <w:rPr>
          <w:rFonts w:ascii="Times New Roman" w:hAnsi="Times New Roman" w:cs="Times New Roman"/>
          <w:sz w:val="26"/>
          <w:szCs w:val="26"/>
        </w:rPr>
        <w:t xml:space="preserve">the </w:t>
      </w:r>
      <w:r w:rsidR="003804A4" w:rsidRPr="003804A4">
        <w:rPr>
          <w:rFonts w:ascii="Times New Roman" w:hAnsi="Times New Roman" w:cs="Times New Roman"/>
          <w:sz w:val="26"/>
          <w:szCs w:val="26"/>
        </w:rPr>
        <w:t xml:space="preserve">Complainant’s exertion of undue influence and duress over the Respondent; </w:t>
      </w:r>
      <w:r w:rsidR="003804A4">
        <w:rPr>
          <w:rFonts w:ascii="Times New Roman" w:hAnsi="Times New Roman" w:cs="Times New Roman"/>
          <w:sz w:val="26"/>
          <w:szCs w:val="26"/>
        </w:rPr>
        <w:t xml:space="preserve">the </w:t>
      </w:r>
      <w:r w:rsidR="003804A4" w:rsidRPr="003804A4">
        <w:rPr>
          <w:rFonts w:ascii="Times New Roman" w:hAnsi="Times New Roman" w:cs="Times New Roman"/>
          <w:sz w:val="26"/>
          <w:szCs w:val="26"/>
        </w:rPr>
        <w:t xml:space="preserve">Respondent was the Complainant’s duly authorized generation services provider; the Complainant agreed to a variable rate plan and was properly billed in accord with </w:t>
      </w:r>
      <w:r w:rsidR="003804A4">
        <w:rPr>
          <w:rFonts w:ascii="Times New Roman" w:hAnsi="Times New Roman" w:cs="Times New Roman"/>
          <w:sz w:val="26"/>
          <w:szCs w:val="26"/>
        </w:rPr>
        <w:t xml:space="preserve">the Respondent’s </w:t>
      </w:r>
      <w:r w:rsidR="003804A4" w:rsidRPr="003804A4">
        <w:rPr>
          <w:rFonts w:ascii="Times New Roman" w:hAnsi="Times New Roman" w:cs="Times New Roman"/>
          <w:sz w:val="26"/>
          <w:szCs w:val="26"/>
        </w:rPr>
        <w:t xml:space="preserve">written contract and/or terms and conditions of service; all disclosures were provided and the rate increases were legal; the Respondent never knowingly or unknowingly presented any false statements of material facts, fraud, or misrepresentation; and the Complainant did not justifiably rely on any material statements by the Respondent.  Answer at 2-6 (pages unnumbered).  Blue Pilot requested, </w:t>
      </w:r>
      <w:r w:rsidR="003804A4" w:rsidRPr="003804A4">
        <w:rPr>
          <w:rFonts w:ascii="Times New Roman" w:hAnsi="Times New Roman" w:cs="Times New Roman"/>
          <w:i/>
          <w:sz w:val="26"/>
          <w:szCs w:val="26"/>
        </w:rPr>
        <w:t>inter alia</w:t>
      </w:r>
      <w:r w:rsidR="003804A4" w:rsidRPr="003804A4">
        <w:rPr>
          <w:rFonts w:ascii="Times New Roman" w:hAnsi="Times New Roman" w:cs="Times New Roman"/>
          <w:sz w:val="26"/>
          <w:szCs w:val="26"/>
        </w:rPr>
        <w:t xml:space="preserve">, that the Complaint be dismissed with prejudice and that the Respondent be awarded attorneys’ fees, costs, and interest.  The affirmative defenses were not pleaded as </w:t>
      </w:r>
      <w:r w:rsidR="006D2AB9">
        <w:rPr>
          <w:rFonts w:ascii="Times New Roman" w:hAnsi="Times New Roman" w:cs="Times New Roman"/>
          <w:sz w:val="26"/>
          <w:szCs w:val="26"/>
        </w:rPr>
        <w:t>N</w:t>
      </w:r>
      <w:r w:rsidR="003804A4" w:rsidRPr="003804A4">
        <w:rPr>
          <w:rFonts w:ascii="Times New Roman" w:hAnsi="Times New Roman" w:cs="Times New Roman"/>
          <w:sz w:val="26"/>
          <w:szCs w:val="26"/>
        </w:rPr>
        <w:t xml:space="preserve">ew </w:t>
      </w:r>
      <w:r w:rsidR="006D2AB9">
        <w:rPr>
          <w:rFonts w:ascii="Times New Roman" w:hAnsi="Times New Roman" w:cs="Times New Roman"/>
          <w:sz w:val="26"/>
          <w:szCs w:val="26"/>
        </w:rPr>
        <w:t>M</w:t>
      </w:r>
      <w:r w:rsidR="003804A4" w:rsidRPr="003804A4">
        <w:rPr>
          <w:rFonts w:ascii="Times New Roman" w:hAnsi="Times New Roman" w:cs="Times New Roman"/>
          <w:sz w:val="26"/>
          <w:szCs w:val="26"/>
        </w:rPr>
        <w:t>atter</w:t>
      </w:r>
      <w:r w:rsidR="003804A4">
        <w:rPr>
          <w:rFonts w:ascii="Times New Roman" w:hAnsi="Times New Roman" w:cs="Times New Roman"/>
          <w:sz w:val="26"/>
          <w:szCs w:val="26"/>
        </w:rPr>
        <w:t>, and the Answer did not contain a Notice to Plead</w:t>
      </w:r>
      <w:r w:rsidR="003804A4" w:rsidRPr="003804A4">
        <w:rPr>
          <w:rFonts w:ascii="Times New Roman" w:hAnsi="Times New Roman" w:cs="Times New Roman"/>
          <w:sz w:val="26"/>
          <w:szCs w:val="26"/>
        </w:rPr>
        <w:t>.</w:t>
      </w:r>
    </w:p>
    <w:p w:rsidR="004F147D" w:rsidRDefault="004F147D" w:rsidP="00A92279">
      <w:pPr>
        <w:pStyle w:val="ParaTab1"/>
        <w:tabs>
          <w:tab w:val="left" w:pos="2070"/>
        </w:tabs>
        <w:spacing w:line="360" w:lineRule="auto"/>
        <w:rPr>
          <w:rFonts w:ascii="Times New Roman" w:hAnsi="Times New Roman" w:cs="Times New Roman"/>
          <w:sz w:val="26"/>
          <w:szCs w:val="26"/>
        </w:rPr>
      </w:pPr>
    </w:p>
    <w:p w:rsidR="00CD6A3D" w:rsidRDefault="008E3F03" w:rsidP="00A92279">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The </w:t>
      </w:r>
      <w:r w:rsidR="00444E49">
        <w:rPr>
          <w:rFonts w:ascii="Times New Roman" w:hAnsi="Times New Roman" w:cs="Times New Roman"/>
          <w:sz w:val="26"/>
          <w:szCs w:val="26"/>
        </w:rPr>
        <w:t xml:space="preserve">ALJ conducted a hearing </w:t>
      </w:r>
      <w:r w:rsidR="00A92279" w:rsidRPr="00A92279">
        <w:rPr>
          <w:rFonts w:ascii="Times New Roman" w:hAnsi="Times New Roman" w:cs="Times New Roman"/>
          <w:sz w:val="26"/>
          <w:szCs w:val="26"/>
        </w:rPr>
        <w:t xml:space="preserve">on </w:t>
      </w:r>
      <w:r>
        <w:rPr>
          <w:rFonts w:ascii="Times New Roman" w:hAnsi="Times New Roman" w:cs="Times New Roman"/>
          <w:sz w:val="26"/>
          <w:szCs w:val="26"/>
        </w:rPr>
        <w:t>August 20, 2015</w:t>
      </w:r>
      <w:r w:rsidR="00A92279" w:rsidRPr="00A92279">
        <w:rPr>
          <w:rFonts w:ascii="Times New Roman" w:hAnsi="Times New Roman" w:cs="Times New Roman"/>
          <w:sz w:val="26"/>
          <w:szCs w:val="26"/>
        </w:rPr>
        <w:t xml:space="preserve">.  </w:t>
      </w:r>
      <w:r w:rsidR="00444E49">
        <w:rPr>
          <w:rFonts w:ascii="Times New Roman" w:hAnsi="Times New Roman" w:cs="Times New Roman"/>
          <w:sz w:val="26"/>
          <w:szCs w:val="26"/>
        </w:rPr>
        <w:t xml:space="preserve">The Complainant </w:t>
      </w:r>
      <w:r w:rsidR="00A92279" w:rsidRPr="00A92279">
        <w:rPr>
          <w:rFonts w:ascii="Times New Roman" w:hAnsi="Times New Roman" w:cs="Times New Roman"/>
          <w:sz w:val="26"/>
          <w:szCs w:val="26"/>
        </w:rPr>
        <w:t xml:space="preserve">appeared </w:t>
      </w:r>
      <w:r w:rsidR="00A92279" w:rsidRPr="00A92279">
        <w:rPr>
          <w:rFonts w:ascii="Times New Roman" w:hAnsi="Times New Roman" w:cs="Times New Roman"/>
          <w:i/>
          <w:sz w:val="26"/>
          <w:szCs w:val="26"/>
        </w:rPr>
        <w:t>pro se</w:t>
      </w:r>
      <w:r>
        <w:rPr>
          <w:rFonts w:ascii="Times New Roman" w:hAnsi="Times New Roman" w:cs="Times New Roman"/>
          <w:sz w:val="26"/>
          <w:szCs w:val="26"/>
        </w:rPr>
        <w:t xml:space="preserve"> and testified on her own behalf</w:t>
      </w:r>
      <w:r w:rsidR="00A92279" w:rsidRPr="00A92279">
        <w:rPr>
          <w:rFonts w:ascii="Times New Roman" w:hAnsi="Times New Roman" w:cs="Times New Roman"/>
          <w:sz w:val="26"/>
          <w:szCs w:val="26"/>
        </w:rPr>
        <w:t xml:space="preserve">.  </w:t>
      </w:r>
      <w:r>
        <w:rPr>
          <w:rFonts w:ascii="Times New Roman" w:hAnsi="Times New Roman" w:cs="Times New Roman"/>
          <w:sz w:val="26"/>
          <w:szCs w:val="26"/>
        </w:rPr>
        <w:t xml:space="preserve">Blue Pilot </w:t>
      </w:r>
      <w:r w:rsidR="00444E49">
        <w:rPr>
          <w:rFonts w:ascii="Times New Roman" w:hAnsi="Times New Roman" w:cs="Times New Roman"/>
          <w:sz w:val="26"/>
          <w:szCs w:val="26"/>
        </w:rPr>
        <w:t xml:space="preserve">was represented by counsel and </w:t>
      </w:r>
      <w:r>
        <w:rPr>
          <w:rFonts w:ascii="Times New Roman" w:hAnsi="Times New Roman" w:cs="Times New Roman"/>
          <w:sz w:val="26"/>
          <w:szCs w:val="26"/>
        </w:rPr>
        <w:t>pres</w:t>
      </w:r>
      <w:r w:rsidR="00A92279" w:rsidRPr="00A92279">
        <w:rPr>
          <w:rFonts w:ascii="Times New Roman" w:hAnsi="Times New Roman" w:cs="Times New Roman"/>
          <w:sz w:val="26"/>
          <w:szCs w:val="26"/>
        </w:rPr>
        <w:t xml:space="preserve">ented </w:t>
      </w:r>
      <w:r>
        <w:rPr>
          <w:rFonts w:ascii="Times New Roman" w:hAnsi="Times New Roman" w:cs="Times New Roman"/>
          <w:sz w:val="26"/>
          <w:szCs w:val="26"/>
        </w:rPr>
        <w:t>n</w:t>
      </w:r>
      <w:r w:rsidR="00CE53F6">
        <w:rPr>
          <w:rFonts w:ascii="Times New Roman" w:hAnsi="Times New Roman" w:cs="Times New Roman"/>
          <w:sz w:val="26"/>
          <w:szCs w:val="26"/>
        </w:rPr>
        <w:t xml:space="preserve">o </w:t>
      </w:r>
      <w:r>
        <w:rPr>
          <w:rFonts w:ascii="Times New Roman" w:hAnsi="Times New Roman" w:cs="Times New Roman"/>
          <w:sz w:val="26"/>
          <w:szCs w:val="26"/>
        </w:rPr>
        <w:t xml:space="preserve">witnesses or exhibits.  </w:t>
      </w:r>
      <w:r w:rsidRPr="008E3F03">
        <w:rPr>
          <w:rFonts w:ascii="Times New Roman" w:hAnsi="Times New Roman" w:cs="Times New Roman"/>
          <w:sz w:val="26"/>
          <w:szCs w:val="26"/>
        </w:rPr>
        <w:t xml:space="preserve">At the conclusion of the Complainant’s </w:t>
      </w:r>
      <w:r w:rsidR="00CE53F6">
        <w:rPr>
          <w:rFonts w:ascii="Times New Roman" w:hAnsi="Times New Roman" w:cs="Times New Roman"/>
          <w:sz w:val="26"/>
          <w:szCs w:val="26"/>
        </w:rPr>
        <w:t>case</w:t>
      </w:r>
      <w:r>
        <w:rPr>
          <w:rFonts w:ascii="Times New Roman" w:hAnsi="Times New Roman" w:cs="Times New Roman"/>
          <w:sz w:val="26"/>
          <w:szCs w:val="26"/>
        </w:rPr>
        <w:t xml:space="preserve">, Blue Pilot </w:t>
      </w:r>
      <w:r w:rsidR="00CE53F6">
        <w:rPr>
          <w:rFonts w:ascii="Times New Roman" w:hAnsi="Times New Roman" w:cs="Times New Roman"/>
          <w:sz w:val="26"/>
          <w:szCs w:val="26"/>
        </w:rPr>
        <w:t xml:space="preserve">made an oral motion to dismiss </w:t>
      </w:r>
      <w:r>
        <w:rPr>
          <w:rFonts w:ascii="Times New Roman" w:hAnsi="Times New Roman" w:cs="Times New Roman"/>
          <w:sz w:val="26"/>
          <w:szCs w:val="26"/>
        </w:rPr>
        <w:t xml:space="preserve">the Complaint.  Tr. at 40.  Blue Pilot argued that the Complaint alleged “nothing other than the price was too high” </w:t>
      </w:r>
      <w:r w:rsidR="00CE53F6">
        <w:rPr>
          <w:rFonts w:ascii="Times New Roman" w:hAnsi="Times New Roman" w:cs="Times New Roman"/>
          <w:sz w:val="26"/>
          <w:szCs w:val="26"/>
        </w:rPr>
        <w:t xml:space="preserve">and that the Commission has no jurisdiction to regulate the rates of electric generation suppliers (EGSs).  </w:t>
      </w:r>
      <w:r w:rsidR="00CE53F6">
        <w:rPr>
          <w:rFonts w:ascii="Times New Roman" w:hAnsi="Times New Roman" w:cs="Times New Roman"/>
          <w:i/>
          <w:sz w:val="26"/>
          <w:szCs w:val="26"/>
        </w:rPr>
        <w:t xml:space="preserve">Id. </w:t>
      </w:r>
      <w:r w:rsidR="00CE53F6">
        <w:rPr>
          <w:rFonts w:ascii="Times New Roman" w:hAnsi="Times New Roman" w:cs="Times New Roman"/>
          <w:sz w:val="26"/>
          <w:szCs w:val="26"/>
        </w:rPr>
        <w:t xml:space="preserve">at 41.  Further, according to Blue Pilot, the Commission had previously held that relief in the form of a refund would be “an option only in very limited circumstances, which don’t apply here.”  </w:t>
      </w:r>
      <w:r w:rsidR="00CE53F6">
        <w:rPr>
          <w:rFonts w:ascii="Times New Roman" w:hAnsi="Times New Roman" w:cs="Times New Roman"/>
          <w:i/>
          <w:sz w:val="26"/>
          <w:szCs w:val="26"/>
        </w:rPr>
        <w:t xml:space="preserve">Id. </w:t>
      </w:r>
      <w:r w:rsidR="00CE53F6">
        <w:rPr>
          <w:rFonts w:ascii="Times New Roman" w:hAnsi="Times New Roman" w:cs="Times New Roman"/>
          <w:sz w:val="26"/>
          <w:szCs w:val="26"/>
        </w:rPr>
        <w:t xml:space="preserve"> </w:t>
      </w:r>
      <w:r w:rsidR="00CD6A3D">
        <w:rPr>
          <w:rFonts w:ascii="Times New Roman" w:hAnsi="Times New Roman" w:cs="Times New Roman"/>
          <w:sz w:val="26"/>
          <w:szCs w:val="26"/>
        </w:rPr>
        <w:t>Responding</w:t>
      </w:r>
      <w:r w:rsidR="00CE53F6">
        <w:rPr>
          <w:rFonts w:ascii="Times New Roman" w:hAnsi="Times New Roman" w:cs="Times New Roman"/>
          <w:sz w:val="26"/>
          <w:szCs w:val="26"/>
        </w:rPr>
        <w:t xml:space="preserve"> to two issues that arose during the hearing</w:t>
      </w:r>
      <w:r w:rsidR="00CD6A3D">
        <w:rPr>
          <w:rFonts w:ascii="Times New Roman" w:hAnsi="Times New Roman" w:cs="Times New Roman"/>
          <w:sz w:val="26"/>
          <w:szCs w:val="26"/>
        </w:rPr>
        <w:t xml:space="preserve">, the Company’s return of the Complainant to PPL’s generation service and its alleged offering to the Complainant a lower generation rate until that return could be effectuated, </w:t>
      </w:r>
      <w:r w:rsidR="00CE53F6">
        <w:rPr>
          <w:rFonts w:ascii="Times New Roman" w:hAnsi="Times New Roman" w:cs="Times New Roman"/>
          <w:sz w:val="26"/>
          <w:szCs w:val="26"/>
        </w:rPr>
        <w:t xml:space="preserve">Blue Pilot contended </w:t>
      </w:r>
      <w:r w:rsidR="00CD6A3D">
        <w:rPr>
          <w:rFonts w:ascii="Times New Roman" w:hAnsi="Times New Roman" w:cs="Times New Roman"/>
          <w:sz w:val="26"/>
          <w:szCs w:val="26"/>
        </w:rPr>
        <w:t xml:space="preserve">they </w:t>
      </w:r>
      <w:r w:rsidR="00CE53F6">
        <w:rPr>
          <w:rFonts w:ascii="Times New Roman" w:hAnsi="Times New Roman" w:cs="Times New Roman"/>
          <w:sz w:val="26"/>
          <w:szCs w:val="26"/>
        </w:rPr>
        <w:t>were outside the scope of the Complaint</w:t>
      </w:r>
      <w:r w:rsidR="00CD6A3D">
        <w:rPr>
          <w:rFonts w:ascii="Times New Roman" w:hAnsi="Times New Roman" w:cs="Times New Roman"/>
          <w:sz w:val="26"/>
          <w:szCs w:val="26"/>
        </w:rPr>
        <w:t xml:space="preserve">, and that neither constituted a violation of the Code or the Commission’s Regulations.  Further, as </w:t>
      </w:r>
      <w:r w:rsidR="00CE53F6">
        <w:rPr>
          <w:rFonts w:ascii="Times New Roman" w:hAnsi="Times New Roman" w:cs="Times New Roman"/>
          <w:sz w:val="26"/>
          <w:szCs w:val="26"/>
        </w:rPr>
        <w:t>the Company argued</w:t>
      </w:r>
      <w:r w:rsidR="00CD6A3D">
        <w:rPr>
          <w:rFonts w:ascii="Times New Roman" w:hAnsi="Times New Roman" w:cs="Times New Roman"/>
          <w:sz w:val="26"/>
          <w:szCs w:val="26"/>
        </w:rPr>
        <w:t xml:space="preserve">, </w:t>
      </w:r>
      <w:r w:rsidR="00CE53F6">
        <w:rPr>
          <w:rFonts w:ascii="Times New Roman" w:hAnsi="Times New Roman" w:cs="Times New Roman"/>
          <w:sz w:val="26"/>
          <w:szCs w:val="26"/>
        </w:rPr>
        <w:t xml:space="preserve">Ms. Durante had </w:t>
      </w:r>
      <w:r w:rsidR="00CD6A3D">
        <w:rPr>
          <w:rFonts w:ascii="Times New Roman" w:hAnsi="Times New Roman" w:cs="Times New Roman"/>
          <w:sz w:val="26"/>
          <w:szCs w:val="26"/>
        </w:rPr>
        <w:t xml:space="preserve">not been improperly switched back to PPL because she </w:t>
      </w:r>
      <w:r w:rsidR="00CE53F6">
        <w:rPr>
          <w:rFonts w:ascii="Times New Roman" w:hAnsi="Times New Roman" w:cs="Times New Roman"/>
          <w:sz w:val="26"/>
          <w:szCs w:val="26"/>
        </w:rPr>
        <w:t>requested that her generation service be returned to PPL</w:t>
      </w:r>
      <w:r w:rsidR="00CD6A3D">
        <w:rPr>
          <w:rFonts w:ascii="Times New Roman" w:hAnsi="Times New Roman" w:cs="Times New Roman"/>
          <w:sz w:val="26"/>
          <w:szCs w:val="26"/>
        </w:rPr>
        <w:t>.  As to the alleged offering of a lower rate</w:t>
      </w:r>
      <w:r w:rsidR="00CE53F6">
        <w:rPr>
          <w:rFonts w:ascii="Times New Roman" w:hAnsi="Times New Roman" w:cs="Times New Roman"/>
          <w:sz w:val="26"/>
          <w:szCs w:val="26"/>
        </w:rPr>
        <w:t xml:space="preserve">, </w:t>
      </w:r>
      <w:r w:rsidR="00CD6A3D">
        <w:rPr>
          <w:rFonts w:ascii="Times New Roman" w:hAnsi="Times New Roman" w:cs="Times New Roman"/>
          <w:sz w:val="26"/>
          <w:szCs w:val="26"/>
        </w:rPr>
        <w:t>the Company argued that</w:t>
      </w:r>
      <w:r w:rsidR="00CE53F6">
        <w:rPr>
          <w:rFonts w:ascii="Times New Roman" w:hAnsi="Times New Roman" w:cs="Times New Roman"/>
          <w:sz w:val="26"/>
          <w:szCs w:val="26"/>
        </w:rPr>
        <w:t xml:space="preserve"> </w:t>
      </w:r>
      <w:r w:rsidR="00CD6A3D">
        <w:rPr>
          <w:rFonts w:ascii="Times New Roman" w:hAnsi="Times New Roman" w:cs="Times New Roman"/>
          <w:sz w:val="26"/>
          <w:szCs w:val="26"/>
        </w:rPr>
        <w:t xml:space="preserve">the Complainant offered no writing to support her claim that she was offered a lower rate for the time she remained with Blue Pilot until her service could be returned to PPL or that there was a meeting of the minds on that point.  </w:t>
      </w:r>
      <w:r w:rsidR="00CD6A3D">
        <w:rPr>
          <w:rFonts w:ascii="Times New Roman" w:hAnsi="Times New Roman" w:cs="Times New Roman"/>
          <w:i/>
          <w:sz w:val="26"/>
          <w:szCs w:val="26"/>
        </w:rPr>
        <w:t>Id.</w:t>
      </w:r>
      <w:r w:rsidR="00CD6A3D">
        <w:rPr>
          <w:rFonts w:ascii="Times New Roman" w:hAnsi="Times New Roman" w:cs="Times New Roman"/>
          <w:sz w:val="26"/>
          <w:szCs w:val="26"/>
        </w:rPr>
        <w:t xml:space="preserve"> at 43-44.  The ALJ took the motion under consideration and deferred a decision to her Initial Decision, at which point the Company rested its case.</w:t>
      </w:r>
    </w:p>
    <w:p w:rsidR="00CD6A3D" w:rsidRDefault="00CD6A3D" w:rsidP="00A92279">
      <w:pPr>
        <w:pStyle w:val="ParaTab1"/>
        <w:tabs>
          <w:tab w:val="left" w:pos="2070"/>
        </w:tabs>
        <w:spacing w:line="360" w:lineRule="auto"/>
        <w:rPr>
          <w:rFonts w:ascii="Times New Roman" w:hAnsi="Times New Roman" w:cs="Times New Roman"/>
          <w:sz w:val="26"/>
          <w:szCs w:val="26"/>
        </w:rPr>
      </w:pPr>
    </w:p>
    <w:p w:rsidR="00853A24" w:rsidRDefault="009D06BB" w:rsidP="00A92279">
      <w:pPr>
        <w:pStyle w:val="ParaTab1"/>
        <w:tabs>
          <w:tab w:val="left" w:pos="2070"/>
        </w:tabs>
        <w:spacing w:line="360" w:lineRule="auto"/>
        <w:rPr>
          <w:rFonts w:ascii="Times New Roman" w:hAnsi="Times New Roman" w:cs="Times New Roman"/>
          <w:sz w:val="26"/>
          <w:szCs w:val="26"/>
        </w:rPr>
      </w:pPr>
      <w:r w:rsidRPr="009D06BB">
        <w:rPr>
          <w:rFonts w:ascii="Times New Roman" w:hAnsi="Times New Roman" w:cs="Times New Roman"/>
          <w:sz w:val="26"/>
          <w:szCs w:val="26"/>
        </w:rPr>
        <w:t>By Interim Order dated September 10, 2015, the ALJ closed the record</w:t>
      </w:r>
      <w:r>
        <w:rPr>
          <w:rFonts w:ascii="Times New Roman" w:hAnsi="Times New Roman" w:cs="Times New Roman"/>
          <w:sz w:val="26"/>
          <w:szCs w:val="26"/>
        </w:rPr>
        <w:t>, which</w:t>
      </w:r>
      <w:r w:rsidR="00444E49">
        <w:rPr>
          <w:rFonts w:ascii="Times New Roman" w:hAnsi="Times New Roman" w:cs="Times New Roman"/>
          <w:sz w:val="26"/>
          <w:szCs w:val="26"/>
        </w:rPr>
        <w:t xml:space="preserve"> consists of a </w:t>
      </w:r>
      <w:r w:rsidR="00A92279" w:rsidRPr="00A92279">
        <w:rPr>
          <w:rFonts w:ascii="Times New Roman" w:hAnsi="Times New Roman" w:cs="Times New Roman"/>
          <w:sz w:val="26"/>
          <w:szCs w:val="26"/>
        </w:rPr>
        <w:t xml:space="preserve">transcript of </w:t>
      </w:r>
      <w:r w:rsidR="00CD6A3D">
        <w:rPr>
          <w:rFonts w:ascii="Times New Roman" w:hAnsi="Times New Roman" w:cs="Times New Roman"/>
          <w:sz w:val="26"/>
          <w:szCs w:val="26"/>
        </w:rPr>
        <w:t>fifty pa</w:t>
      </w:r>
      <w:r w:rsidR="00A92279" w:rsidRPr="00A92279">
        <w:rPr>
          <w:rFonts w:ascii="Times New Roman" w:hAnsi="Times New Roman" w:cs="Times New Roman"/>
          <w:sz w:val="26"/>
          <w:szCs w:val="26"/>
        </w:rPr>
        <w:t>ges</w:t>
      </w:r>
      <w:r w:rsidR="00CD6A3D">
        <w:rPr>
          <w:rFonts w:ascii="Times New Roman" w:hAnsi="Times New Roman" w:cs="Times New Roman"/>
          <w:sz w:val="26"/>
          <w:szCs w:val="26"/>
        </w:rPr>
        <w:t xml:space="preserve">.  </w:t>
      </w:r>
      <w:r w:rsidR="00853A24">
        <w:rPr>
          <w:rFonts w:ascii="Times New Roman" w:hAnsi="Times New Roman" w:cs="Times New Roman"/>
          <w:sz w:val="26"/>
          <w:szCs w:val="26"/>
        </w:rPr>
        <w:t xml:space="preserve">On </w:t>
      </w:r>
      <w:r w:rsidR="00CD6A3D">
        <w:rPr>
          <w:rFonts w:ascii="Times New Roman" w:hAnsi="Times New Roman" w:cs="Times New Roman"/>
          <w:sz w:val="26"/>
          <w:szCs w:val="26"/>
        </w:rPr>
        <w:t>December 8, 2015</w:t>
      </w:r>
      <w:r w:rsidR="00853A24">
        <w:rPr>
          <w:rFonts w:ascii="Times New Roman" w:hAnsi="Times New Roman" w:cs="Times New Roman"/>
          <w:sz w:val="26"/>
          <w:szCs w:val="26"/>
        </w:rPr>
        <w:t xml:space="preserve">, </w:t>
      </w:r>
      <w:r w:rsidR="00D16F6C">
        <w:rPr>
          <w:rFonts w:ascii="Times New Roman" w:hAnsi="Times New Roman" w:cs="Times New Roman"/>
          <w:sz w:val="26"/>
          <w:szCs w:val="26"/>
        </w:rPr>
        <w:t xml:space="preserve">the Commission issued </w:t>
      </w:r>
      <w:r w:rsidR="00853A24">
        <w:rPr>
          <w:rFonts w:ascii="Times New Roman" w:hAnsi="Times New Roman" w:cs="Times New Roman"/>
          <w:sz w:val="26"/>
          <w:szCs w:val="26"/>
        </w:rPr>
        <w:t>the ALJ’s Initial Decision</w:t>
      </w:r>
      <w:r w:rsidR="00D16F6C">
        <w:rPr>
          <w:rFonts w:ascii="Times New Roman" w:hAnsi="Times New Roman" w:cs="Times New Roman"/>
          <w:sz w:val="26"/>
          <w:szCs w:val="26"/>
        </w:rPr>
        <w:t>, in which the ALJ dismissed Ms. Durante’s complaint against PPL as satisfied and dismissed the complaint against Blue Pilot for lack of authority to direct a refund.</w:t>
      </w:r>
      <w:r w:rsidR="00262398">
        <w:rPr>
          <w:rFonts w:ascii="Times New Roman" w:hAnsi="Times New Roman" w:cs="Times New Roman"/>
          <w:sz w:val="26"/>
          <w:szCs w:val="26"/>
        </w:rPr>
        <w:t xml:space="preserve"> </w:t>
      </w:r>
      <w:r w:rsidR="00D16F6C">
        <w:rPr>
          <w:rFonts w:ascii="Times New Roman" w:hAnsi="Times New Roman" w:cs="Times New Roman"/>
          <w:sz w:val="26"/>
          <w:szCs w:val="26"/>
        </w:rPr>
        <w:t xml:space="preserve"> </w:t>
      </w:r>
      <w:r w:rsidR="009B5B1D">
        <w:rPr>
          <w:rFonts w:ascii="Times New Roman" w:hAnsi="Times New Roman" w:cs="Times New Roman"/>
          <w:sz w:val="26"/>
          <w:szCs w:val="26"/>
        </w:rPr>
        <w:t>No E</w:t>
      </w:r>
      <w:r w:rsidR="00853A24">
        <w:rPr>
          <w:rFonts w:ascii="Times New Roman" w:hAnsi="Times New Roman" w:cs="Times New Roman"/>
          <w:sz w:val="26"/>
          <w:szCs w:val="26"/>
        </w:rPr>
        <w:t>xceptions were filed.</w:t>
      </w:r>
    </w:p>
    <w:bookmarkEnd w:id="0"/>
    <w:bookmarkEnd w:id="1"/>
    <w:p w:rsidR="003C1EA2" w:rsidRDefault="003C1EA2" w:rsidP="00361784">
      <w:pPr>
        <w:spacing w:line="360" w:lineRule="auto"/>
      </w:pPr>
    </w:p>
    <w:p w:rsidR="00EB6BF9" w:rsidRPr="00117773" w:rsidRDefault="00EB6BF9" w:rsidP="00291E4F">
      <w:pPr>
        <w:keepNext/>
        <w:spacing w:line="360" w:lineRule="auto"/>
        <w:jc w:val="center"/>
      </w:pPr>
      <w:r w:rsidRPr="00117773">
        <w:rPr>
          <w:b/>
        </w:rPr>
        <w:t>Discussion</w:t>
      </w:r>
    </w:p>
    <w:p w:rsidR="008A7896" w:rsidRDefault="008A7896" w:rsidP="00FD1DAD">
      <w:pPr>
        <w:spacing w:line="360" w:lineRule="auto"/>
        <w:rPr>
          <w:szCs w:val="26"/>
        </w:rPr>
      </w:pPr>
    </w:p>
    <w:p w:rsidR="00414697" w:rsidRDefault="00414697" w:rsidP="00CF417A">
      <w:pPr>
        <w:spacing w:line="360" w:lineRule="auto"/>
        <w:ind w:firstLine="1440"/>
      </w:pPr>
      <w:r w:rsidRPr="008F0B41">
        <w:rPr>
          <w:szCs w:val="26"/>
        </w:rPr>
        <w:t>As the proponent of a rule or order, the Complainant</w:t>
      </w:r>
      <w:r>
        <w:rPr>
          <w:szCs w:val="26"/>
        </w:rPr>
        <w:t xml:space="preserve"> in this proceeding bears</w:t>
      </w:r>
      <w:r w:rsidRPr="008F0B41">
        <w:rPr>
          <w:szCs w:val="26"/>
        </w:rPr>
        <w:t xml:space="preserve"> the burden of </w:t>
      </w:r>
      <w:r>
        <w:rPr>
          <w:szCs w:val="26"/>
        </w:rPr>
        <w:t>p</w:t>
      </w:r>
      <w:r w:rsidRPr="008F0B41">
        <w:rPr>
          <w:szCs w:val="26"/>
        </w:rPr>
        <w:t>roof pursuant to Section 332(a) of</w:t>
      </w:r>
      <w:r>
        <w:rPr>
          <w:szCs w:val="26"/>
        </w:rPr>
        <w:t xml:space="preserve"> the Code. </w:t>
      </w:r>
      <w:r w:rsidRPr="008F0B41">
        <w:rPr>
          <w:szCs w:val="26"/>
        </w:rPr>
        <w:t xml:space="preserve"> 66 Pa. C.S. § 332(a).  </w:t>
      </w:r>
      <w:r>
        <w:rPr>
          <w:szCs w:val="26"/>
        </w:rPr>
        <w:t>To establish a sufficient case and satisfy the b</w:t>
      </w:r>
      <w:r w:rsidR="0010246C">
        <w:rPr>
          <w:szCs w:val="26"/>
        </w:rPr>
        <w:t>urden of proof, the Complainant</w:t>
      </w:r>
      <w:r>
        <w:rPr>
          <w:szCs w:val="26"/>
        </w:rPr>
        <w:t xml:space="preserve"> must show that the Company is responsible or accountable for the problem described in the Complaint.  </w:t>
      </w:r>
      <w:r w:rsidRPr="00122405">
        <w:rPr>
          <w:i/>
          <w:szCs w:val="26"/>
        </w:rPr>
        <w:t xml:space="preserve">Patterson v. </w:t>
      </w:r>
      <w:r w:rsidR="005C07D8">
        <w:rPr>
          <w:i/>
          <w:szCs w:val="26"/>
        </w:rPr>
        <w:t xml:space="preserve">The </w:t>
      </w:r>
      <w:r w:rsidRPr="00122405">
        <w:rPr>
          <w:i/>
          <w:szCs w:val="26"/>
        </w:rPr>
        <w:t>Bell Telephone Company of Pennsylvania</w:t>
      </w:r>
      <w:r>
        <w:rPr>
          <w:szCs w:val="26"/>
        </w:rPr>
        <w:t xml:space="preserve">, 72 Pa. P.U.C. 196 (1990).  Such a showing must be by a preponderance of the evidence.  </w:t>
      </w:r>
      <w:r w:rsidRPr="008F0B41">
        <w:rPr>
          <w:i/>
          <w:iCs/>
          <w:szCs w:val="26"/>
        </w:rPr>
        <w:t>Samuel J. Lansberry, Inc. v. P</w:t>
      </w:r>
      <w:r>
        <w:rPr>
          <w:i/>
          <w:iCs/>
          <w:szCs w:val="26"/>
        </w:rPr>
        <w:t>a. PUC</w:t>
      </w:r>
      <w:r w:rsidRPr="008F0B41">
        <w:rPr>
          <w:szCs w:val="26"/>
        </w:rPr>
        <w:t>, 578 A.2d 600 (Pa. C</w:t>
      </w:r>
      <w:r>
        <w:rPr>
          <w:szCs w:val="26"/>
        </w:rPr>
        <w:t>m</w:t>
      </w:r>
      <w:r w:rsidRPr="008F0B41">
        <w:rPr>
          <w:szCs w:val="26"/>
        </w:rPr>
        <w:t>w</w:t>
      </w:r>
      <w:r>
        <w:rPr>
          <w:szCs w:val="26"/>
        </w:rPr>
        <w:t>lth</w:t>
      </w:r>
      <w:r w:rsidRPr="008F0B41">
        <w:rPr>
          <w:szCs w:val="26"/>
        </w:rPr>
        <w:t>. 1990)</w:t>
      </w:r>
      <w:r w:rsidR="005B6109">
        <w:rPr>
          <w:szCs w:val="26"/>
        </w:rPr>
        <w:t xml:space="preserve">, </w:t>
      </w:r>
      <w:r w:rsidR="005B6109" w:rsidRPr="005B6109">
        <w:rPr>
          <w:i/>
          <w:szCs w:val="26"/>
        </w:rPr>
        <w:t>alloc. denied</w:t>
      </w:r>
      <w:r w:rsidR="005B6109">
        <w:rPr>
          <w:i/>
          <w:szCs w:val="26"/>
        </w:rPr>
        <w:t>,</w:t>
      </w:r>
      <w:r w:rsidR="005B6109">
        <w:rPr>
          <w:szCs w:val="26"/>
        </w:rPr>
        <w:t xml:space="preserve"> 529 Pa. 654, 602 A.2d 863 (1992)</w:t>
      </w:r>
      <w:r w:rsidRPr="008F0B41">
        <w:rPr>
          <w:szCs w:val="26"/>
        </w:rPr>
        <w:t xml:space="preserve">.  </w:t>
      </w:r>
      <w:r>
        <w:rPr>
          <w:szCs w:val="26"/>
        </w:rPr>
        <w:t>That is, the Complainant’</w:t>
      </w:r>
      <w:r w:rsidR="0010246C">
        <w:rPr>
          <w:szCs w:val="26"/>
        </w:rPr>
        <w:t>s</w:t>
      </w:r>
      <w:r>
        <w:rPr>
          <w:szCs w:val="26"/>
        </w:rPr>
        <w:t xml:space="preserve"> evidence must be more convincing, by even the smallest amount, than that presented by the Company.  </w:t>
      </w:r>
      <w:r>
        <w:rPr>
          <w:i/>
          <w:szCs w:val="26"/>
        </w:rPr>
        <w:t>Se-Ling Hosiery</w:t>
      </w:r>
      <w:r w:rsidR="005C07D8">
        <w:rPr>
          <w:i/>
          <w:szCs w:val="26"/>
        </w:rPr>
        <w:t>, Inc.</w:t>
      </w:r>
      <w:r>
        <w:rPr>
          <w:i/>
          <w:szCs w:val="26"/>
        </w:rPr>
        <w:t xml:space="preserve"> v. </w:t>
      </w:r>
      <w:r w:rsidRPr="00122405">
        <w:rPr>
          <w:i/>
          <w:szCs w:val="26"/>
        </w:rPr>
        <w:t>Mar</w:t>
      </w:r>
      <w:r w:rsidR="00AC6D43">
        <w:rPr>
          <w:i/>
          <w:szCs w:val="26"/>
        </w:rPr>
        <w:t>g</w:t>
      </w:r>
      <w:r w:rsidRPr="00122405">
        <w:rPr>
          <w:i/>
          <w:szCs w:val="26"/>
        </w:rPr>
        <w:t>ulies</w:t>
      </w:r>
      <w:r>
        <w:rPr>
          <w:szCs w:val="26"/>
        </w:rPr>
        <w:t xml:space="preserve">, 364 Pa. 45, 70 A.2d 854 (1950).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r>
        <w:rPr>
          <w:i/>
        </w:rPr>
        <w:t>Norfolk &amp; Western Ry. Co. v. P</w:t>
      </w:r>
      <w:r w:rsidR="00F15BBC">
        <w:rPr>
          <w:i/>
        </w:rPr>
        <w:t>a. PUC</w:t>
      </w:r>
      <w:r>
        <w:rPr>
          <w:i/>
        </w:rPr>
        <w:t xml:space="preserve">, </w:t>
      </w:r>
      <w:r>
        <w:t>489 Pa. 109, 413 A.2d 1037 (1980).</w:t>
      </w:r>
    </w:p>
    <w:p w:rsidR="000F7FC8" w:rsidRDefault="000F7FC8" w:rsidP="00CF417A">
      <w:pPr>
        <w:spacing w:line="360" w:lineRule="auto"/>
        <w:ind w:firstLine="1440"/>
      </w:pPr>
    </w:p>
    <w:p w:rsidR="00676F7D" w:rsidRDefault="00676F7D" w:rsidP="00676F7D">
      <w:pPr>
        <w:spacing w:line="360" w:lineRule="auto"/>
        <w:ind w:firstLine="1440"/>
      </w:pPr>
      <w:r>
        <w:t xml:space="preserve">Upon the presentation by the Complainant of evidence sufficient to initially satisfy the burden of proof, the burden of going forward with the evidence to rebut the evidence of the customer shifts to the Company. If the evidence presented by the Company is of co-equal value or “weight,” the burden of proof has not been satisfied. The Complainant now has to provide some additional evidence to rebut that of the Company. </w:t>
      </w:r>
      <w:r w:rsidRPr="00676F7D">
        <w:rPr>
          <w:i/>
        </w:rPr>
        <w:t>Burleson v. Pa. PUC</w:t>
      </w:r>
      <w:r>
        <w:t xml:space="preserve">, 443 A.2d 1373 (Pa. Cmwlth. 1982), </w:t>
      </w:r>
      <w:r w:rsidRPr="00676F7D">
        <w:rPr>
          <w:i/>
        </w:rPr>
        <w:t>aff’d</w:t>
      </w:r>
      <w:r>
        <w:t>, 501 Pa. 433, 461 A.2d 1234 (1983).</w:t>
      </w:r>
    </w:p>
    <w:p w:rsidR="00676F7D" w:rsidRDefault="00676F7D" w:rsidP="00676F7D">
      <w:pPr>
        <w:spacing w:line="360" w:lineRule="auto"/>
        <w:ind w:firstLine="1440"/>
      </w:pPr>
    </w:p>
    <w:p w:rsidR="00676F7D" w:rsidRDefault="00676F7D" w:rsidP="00676F7D">
      <w:pPr>
        <w:spacing w:line="360" w:lineRule="auto"/>
        <w:ind w:firstLine="1440"/>
      </w:pPr>
      <w:r>
        <w:t xml:space="preserve">While the burden of going forward with the evidence may shift back and forth during a proceeding, the burden of proof never shifts. The burden of proof always remains on the party seeking affirmative relief from the Commission. </w:t>
      </w:r>
      <w:r w:rsidRPr="00676F7D">
        <w:rPr>
          <w:i/>
        </w:rPr>
        <w:t>Milkie v. Pa. PUC</w:t>
      </w:r>
      <w:r>
        <w:t xml:space="preserve">, 768 A.2d 1217 (Pa. Cmwlth. 2001). Having filed the Complaint against </w:t>
      </w:r>
      <w:r w:rsidR="00D16F6C">
        <w:t>Blue Pilot</w:t>
      </w:r>
      <w:r>
        <w:t>, the Complainant in this case is obliged to carry the burden of proving that the Company has violated the Code, a Commission Regulation, or Order.</w:t>
      </w:r>
    </w:p>
    <w:p w:rsidR="000F7FC8" w:rsidRPr="00222EA7" w:rsidRDefault="000F7FC8" w:rsidP="00222EA7">
      <w:pPr>
        <w:spacing w:line="360" w:lineRule="auto"/>
        <w:ind w:firstLine="1440"/>
      </w:pPr>
    </w:p>
    <w:p w:rsidR="00B15ABC" w:rsidRDefault="00D16F6C" w:rsidP="00D16F6C">
      <w:pPr>
        <w:spacing w:line="360" w:lineRule="auto"/>
        <w:ind w:firstLine="1440"/>
        <w:rPr>
          <w:rStyle w:val="Hyperlink"/>
          <w:color w:val="000000"/>
          <w:szCs w:val="26"/>
          <w:u w:val="none"/>
        </w:rPr>
      </w:pPr>
      <w:r>
        <w:t xml:space="preserve">The </w:t>
      </w:r>
      <w:r w:rsidR="000F7FC8">
        <w:t xml:space="preserve">ALJ </w:t>
      </w:r>
      <w:r w:rsidR="003A382D" w:rsidRPr="009E02C1">
        <w:t xml:space="preserve">made </w:t>
      </w:r>
      <w:r>
        <w:t>sixteen</w:t>
      </w:r>
      <w:r w:rsidR="00EB6BF9" w:rsidRPr="009E02C1">
        <w:t xml:space="preserve"> F</w:t>
      </w:r>
      <w:r w:rsidR="00FB7793" w:rsidRPr="009E02C1">
        <w:t>i</w:t>
      </w:r>
      <w:r w:rsidR="00137CC5" w:rsidRPr="009E02C1">
        <w:t xml:space="preserve">ndings of Fact </w:t>
      </w:r>
      <w:r w:rsidR="000878FD">
        <w:t xml:space="preserve">(FOF) </w:t>
      </w:r>
      <w:r w:rsidR="00AC6D43">
        <w:t xml:space="preserve">and </w:t>
      </w:r>
      <w:r w:rsidR="00137CC5" w:rsidRPr="009E02C1">
        <w:t xml:space="preserve">reached </w:t>
      </w:r>
      <w:r>
        <w:t>five</w:t>
      </w:r>
      <w:r w:rsidR="00822259">
        <w:t xml:space="preserve"> </w:t>
      </w:r>
      <w:r w:rsidR="00EB6BF9" w:rsidRPr="009E02C1">
        <w:t>Conclusions of Law</w:t>
      </w:r>
      <w:r w:rsidR="002C260E">
        <w:t xml:space="preserve"> (COL)</w:t>
      </w:r>
      <w:r w:rsidR="00EB6BF9" w:rsidRPr="009E02C1">
        <w:t xml:space="preserve">. </w:t>
      </w:r>
      <w:r w:rsidR="000F7FC8">
        <w:t xml:space="preserve"> I.D. at 2-</w:t>
      </w:r>
      <w:r>
        <w:t>4</w:t>
      </w:r>
      <w:r w:rsidR="000F7FC8">
        <w:t xml:space="preserve">, </w:t>
      </w:r>
      <w:r>
        <w:t>8-9</w:t>
      </w:r>
      <w:r w:rsidR="000F7FC8">
        <w:t xml:space="preserve">. </w:t>
      </w:r>
      <w:r w:rsidR="00EB6BF9" w:rsidRPr="009E02C1">
        <w:t xml:space="preserve"> The </w:t>
      </w:r>
      <w:r w:rsidR="00AC6D43">
        <w:t xml:space="preserve">Findings of Fact and </w:t>
      </w:r>
      <w:r w:rsidR="00EB6BF9" w:rsidRPr="009E02C1">
        <w:t>Conclusions of Law are incorporated herein by reference and are adopted without comment unless they are either expressly or by necessary implication rejected or mod</w:t>
      </w:r>
      <w:r w:rsidR="0099537F" w:rsidRPr="009E02C1">
        <w:t>ified by this Opinion and Order.</w:t>
      </w:r>
      <w:r>
        <w:t xml:space="preserve">  We are also </w:t>
      </w:r>
      <w:r w:rsidR="00B15ABC" w:rsidRPr="00815E97">
        <w:t xml:space="preserve">reminded that we are not required to consider expressly or at great length each and every contention raised by a party to our proceedings.  Any argument that is not specifically addressed herein shall be deemed to have been duly considered and denied without further discussion. </w:t>
      </w:r>
      <w:r w:rsidR="00815E97" w:rsidRPr="00815E97">
        <w:t xml:space="preserve"> </w:t>
      </w:r>
      <w:hyperlink r:id="rId9" w:history="1">
        <w:r w:rsidR="0057613E">
          <w:rPr>
            <w:rStyle w:val="Emphasis"/>
            <w:color w:val="000000"/>
            <w:szCs w:val="26"/>
          </w:rPr>
          <w:t>Consolidated Rail Corp.</w:t>
        </w:r>
        <w:r w:rsidR="00815E97" w:rsidRPr="00815E97">
          <w:rPr>
            <w:rStyle w:val="Emphasis"/>
            <w:color w:val="000000"/>
            <w:szCs w:val="26"/>
          </w:rPr>
          <w:t xml:space="preserve"> v. Pa. PUC, </w:t>
        </w:r>
        <w:r w:rsidR="00815E97" w:rsidRPr="00815E97">
          <w:rPr>
            <w:rStyle w:val="Hyperlink"/>
            <w:color w:val="000000"/>
            <w:szCs w:val="26"/>
            <w:u w:val="none"/>
          </w:rPr>
          <w:t>625 A.2d 741 (Pa. Cmwlth. 1993);</w:t>
        </w:r>
      </w:hyperlink>
      <w:r w:rsidR="00815E97" w:rsidRPr="00815E97">
        <w:rPr>
          <w:color w:val="000000"/>
          <w:szCs w:val="26"/>
        </w:rPr>
        <w:t xml:space="preserve"> </w:t>
      </w:r>
      <w:r w:rsidR="00815E97" w:rsidRPr="00815E97">
        <w:rPr>
          <w:i/>
          <w:color w:val="000000"/>
          <w:szCs w:val="26"/>
        </w:rPr>
        <w:t xml:space="preserve">also </w:t>
      </w:r>
      <w:r w:rsidR="00815E97" w:rsidRPr="00815E97">
        <w:rPr>
          <w:rStyle w:val="Emphasis"/>
          <w:color w:val="000000"/>
          <w:szCs w:val="26"/>
        </w:rPr>
        <w:t xml:space="preserve">see, generally, </w:t>
      </w:r>
      <w:hyperlink r:id="rId10" w:history="1">
        <w:r w:rsidR="0057613E">
          <w:rPr>
            <w:rStyle w:val="Emphasis"/>
            <w:color w:val="000000"/>
            <w:szCs w:val="26"/>
          </w:rPr>
          <w:t>University of Pennsyl</w:t>
        </w:r>
        <w:r w:rsidR="00815E97" w:rsidRPr="00815E97">
          <w:rPr>
            <w:rStyle w:val="Emphasis"/>
            <w:color w:val="000000"/>
            <w:szCs w:val="26"/>
          </w:rPr>
          <w:t>vania v. Pa. PUC</w:t>
        </w:r>
        <w:r w:rsidR="00815E97" w:rsidRPr="00815E97">
          <w:rPr>
            <w:rStyle w:val="Hyperlink"/>
            <w:color w:val="000000"/>
            <w:szCs w:val="26"/>
            <w:u w:val="none"/>
          </w:rPr>
          <w:t>, 485 A.2d 1217 (Pa. Cmwlth. 1984).</w:t>
        </w:r>
      </w:hyperlink>
    </w:p>
    <w:p w:rsidR="001F0898" w:rsidRDefault="001F0898" w:rsidP="00B15ABC">
      <w:pPr>
        <w:tabs>
          <w:tab w:val="left" w:pos="-720"/>
        </w:tabs>
        <w:suppressAutoHyphens/>
        <w:spacing w:line="360" w:lineRule="auto"/>
        <w:ind w:firstLine="1440"/>
        <w:rPr>
          <w:rStyle w:val="Hyperlink"/>
          <w:color w:val="000000"/>
          <w:szCs w:val="26"/>
          <w:u w:val="none"/>
        </w:rPr>
      </w:pPr>
    </w:p>
    <w:p w:rsidR="001F0898" w:rsidRDefault="001F0898" w:rsidP="00496849">
      <w:pPr>
        <w:tabs>
          <w:tab w:val="left" w:pos="-720"/>
        </w:tabs>
        <w:suppressAutoHyphens/>
        <w:spacing w:line="360" w:lineRule="auto"/>
        <w:rPr>
          <w:rStyle w:val="Hyperlink"/>
          <w:b/>
          <w:color w:val="000000"/>
          <w:szCs w:val="26"/>
          <w:u w:val="none"/>
        </w:rPr>
      </w:pPr>
      <w:r>
        <w:rPr>
          <w:rStyle w:val="Hyperlink"/>
          <w:b/>
          <w:color w:val="000000"/>
          <w:szCs w:val="26"/>
          <w:u w:val="none"/>
        </w:rPr>
        <w:t xml:space="preserve">ALJ’s </w:t>
      </w:r>
      <w:r w:rsidR="000152EC">
        <w:rPr>
          <w:rStyle w:val="Hyperlink"/>
          <w:b/>
          <w:color w:val="000000"/>
          <w:szCs w:val="26"/>
          <w:u w:val="none"/>
        </w:rPr>
        <w:t xml:space="preserve">Initial </w:t>
      </w:r>
      <w:r>
        <w:rPr>
          <w:rStyle w:val="Hyperlink"/>
          <w:b/>
          <w:color w:val="000000"/>
          <w:szCs w:val="26"/>
          <w:u w:val="none"/>
        </w:rPr>
        <w:t>Decision</w:t>
      </w:r>
    </w:p>
    <w:p w:rsidR="00853A24" w:rsidRDefault="00853A24" w:rsidP="00B15ABC">
      <w:pPr>
        <w:tabs>
          <w:tab w:val="left" w:pos="-720"/>
        </w:tabs>
        <w:suppressAutoHyphens/>
        <w:spacing w:line="360" w:lineRule="auto"/>
        <w:ind w:firstLine="1440"/>
        <w:rPr>
          <w:rStyle w:val="Hyperlink"/>
          <w:b/>
          <w:color w:val="000000"/>
          <w:szCs w:val="26"/>
          <w:u w:val="none"/>
        </w:rPr>
      </w:pPr>
    </w:p>
    <w:p w:rsidR="006B42B2" w:rsidRDefault="009D06BB" w:rsidP="00D46B86">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The ALJ found that when Ms. Durante called Blue Pilot to inquire about </w:t>
      </w:r>
      <w:r w:rsidR="00AB52CF">
        <w:rPr>
          <w:rFonts w:ascii="Times New Roman" w:hAnsi="Times New Roman" w:cs="Times New Roman"/>
          <w:sz w:val="26"/>
          <w:szCs w:val="26"/>
        </w:rPr>
        <w:t>its</w:t>
      </w:r>
      <w:r>
        <w:rPr>
          <w:rFonts w:ascii="Times New Roman" w:hAnsi="Times New Roman" w:cs="Times New Roman"/>
          <w:sz w:val="26"/>
          <w:szCs w:val="26"/>
        </w:rPr>
        <w:t xml:space="preserve"> service, the Company</w:t>
      </w:r>
      <w:r w:rsidRPr="009D06BB">
        <w:rPr>
          <w:rFonts w:ascii="Times New Roman" w:hAnsi="Times New Roman" w:cs="Times New Roman"/>
          <w:sz w:val="26"/>
          <w:szCs w:val="26"/>
        </w:rPr>
        <w:t xml:space="preserve">’s representative </w:t>
      </w:r>
      <w:r>
        <w:rPr>
          <w:rFonts w:ascii="Times New Roman" w:hAnsi="Times New Roman" w:cs="Times New Roman"/>
          <w:sz w:val="26"/>
          <w:szCs w:val="26"/>
        </w:rPr>
        <w:t>informed her that its rates were competitive and</w:t>
      </w:r>
      <w:r w:rsidR="006B42B2">
        <w:rPr>
          <w:rFonts w:ascii="Times New Roman" w:hAnsi="Times New Roman" w:cs="Times New Roman"/>
          <w:sz w:val="26"/>
          <w:szCs w:val="26"/>
        </w:rPr>
        <w:t>,</w:t>
      </w:r>
      <w:r>
        <w:rPr>
          <w:rFonts w:ascii="Times New Roman" w:hAnsi="Times New Roman" w:cs="Times New Roman"/>
          <w:sz w:val="26"/>
          <w:szCs w:val="26"/>
        </w:rPr>
        <w:t xml:space="preserve"> at their highest</w:t>
      </w:r>
      <w:r w:rsidR="006B42B2">
        <w:rPr>
          <w:rFonts w:ascii="Times New Roman" w:hAnsi="Times New Roman" w:cs="Times New Roman"/>
          <w:sz w:val="26"/>
          <w:szCs w:val="26"/>
        </w:rPr>
        <w:t>,</w:t>
      </w:r>
      <w:r>
        <w:rPr>
          <w:rFonts w:ascii="Times New Roman" w:hAnsi="Times New Roman" w:cs="Times New Roman"/>
          <w:sz w:val="26"/>
          <w:szCs w:val="26"/>
        </w:rPr>
        <w:t xml:space="preserve"> were usually around </w:t>
      </w:r>
      <w:r w:rsidR="006B42B2">
        <w:rPr>
          <w:rFonts w:ascii="Times New Roman" w:hAnsi="Times New Roman" w:cs="Times New Roman"/>
          <w:sz w:val="26"/>
          <w:szCs w:val="26"/>
        </w:rPr>
        <w:t xml:space="preserve">the level of </w:t>
      </w:r>
      <w:r>
        <w:rPr>
          <w:rFonts w:ascii="Times New Roman" w:hAnsi="Times New Roman" w:cs="Times New Roman"/>
          <w:sz w:val="26"/>
          <w:szCs w:val="26"/>
        </w:rPr>
        <w:t xml:space="preserve">PPL’s default service rate.  </w:t>
      </w:r>
      <w:r w:rsidR="006B42B2">
        <w:rPr>
          <w:rFonts w:ascii="Times New Roman" w:hAnsi="Times New Roman" w:cs="Times New Roman"/>
          <w:sz w:val="26"/>
          <w:szCs w:val="26"/>
        </w:rPr>
        <w:t>As to the rates at the time of her enrollment, the ALJ found that Ms. Durante w</w:t>
      </w:r>
      <w:r>
        <w:rPr>
          <w:rFonts w:ascii="Times New Roman" w:hAnsi="Times New Roman" w:cs="Times New Roman"/>
          <w:sz w:val="26"/>
          <w:szCs w:val="26"/>
        </w:rPr>
        <w:t>as quoted a variable rate of $0.</w:t>
      </w:r>
      <w:r w:rsidR="00AB52CF">
        <w:rPr>
          <w:rFonts w:ascii="Times New Roman" w:hAnsi="Times New Roman" w:cs="Times New Roman"/>
          <w:sz w:val="26"/>
          <w:szCs w:val="26"/>
        </w:rPr>
        <w:t>0</w:t>
      </w:r>
      <w:r>
        <w:rPr>
          <w:rFonts w:ascii="Times New Roman" w:hAnsi="Times New Roman" w:cs="Times New Roman"/>
          <w:sz w:val="26"/>
          <w:szCs w:val="26"/>
        </w:rPr>
        <w:t>675</w:t>
      </w:r>
      <w:r w:rsidR="00853451">
        <w:rPr>
          <w:rFonts w:ascii="Times New Roman" w:hAnsi="Times New Roman" w:cs="Times New Roman"/>
          <w:sz w:val="26"/>
          <w:szCs w:val="26"/>
        </w:rPr>
        <w:t>/kWh</w:t>
      </w:r>
      <w:r>
        <w:rPr>
          <w:rFonts w:ascii="Times New Roman" w:hAnsi="Times New Roman" w:cs="Times New Roman"/>
          <w:sz w:val="26"/>
          <w:szCs w:val="26"/>
        </w:rPr>
        <w:t xml:space="preserve"> compared to PPL’s </w:t>
      </w:r>
      <w:r w:rsidR="00853451">
        <w:rPr>
          <w:rFonts w:ascii="Times New Roman" w:hAnsi="Times New Roman" w:cs="Times New Roman"/>
          <w:sz w:val="26"/>
          <w:szCs w:val="26"/>
        </w:rPr>
        <w:t xml:space="preserve">fixed </w:t>
      </w:r>
      <w:r>
        <w:rPr>
          <w:rFonts w:ascii="Times New Roman" w:hAnsi="Times New Roman" w:cs="Times New Roman"/>
          <w:sz w:val="26"/>
          <w:szCs w:val="26"/>
        </w:rPr>
        <w:t xml:space="preserve">default rate </w:t>
      </w:r>
      <w:r w:rsidR="00853451">
        <w:rPr>
          <w:rFonts w:ascii="Times New Roman" w:hAnsi="Times New Roman" w:cs="Times New Roman"/>
          <w:sz w:val="26"/>
          <w:szCs w:val="26"/>
        </w:rPr>
        <w:t>of $0.</w:t>
      </w:r>
      <w:r w:rsidR="00AB52CF">
        <w:rPr>
          <w:rFonts w:ascii="Times New Roman" w:hAnsi="Times New Roman" w:cs="Times New Roman"/>
          <w:sz w:val="26"/>
          <w:szCs w:val="26"/>
        </w:rPr>
        <w:t>0</w:t>
      </w:r>
      <w:r w:rsidR="00853451">
        <w:rPr>
          <w:rFonts w:ascii="Times New Roman" w:hAnsi="Times New Roman" w:cs="Times New Roman"/>
          <w:sz w:val="26"/>
          <w:szCs w:val="26"/>
        </w:rPr>
        <w:t xml:space="preserve">9/kWh.  </w:t>
      </w:r>
      <w:r w:rsidR="006B42B2">
        <w:rPr>
          <w:rFonts w:ascii="Times New Roman" w:hAnsi="Times New Roman" w:cs="Times New Roman"/>
          <w:sz w:val="26"/>
          <w:szCs w:val="26"/>
        </w:rPr>
        <w:t>For service during January and February 2014, however, Ms. Durante’s rate jumped from $0.</w:t>
      </w:r>
      <w:r w:rsidR="00AB52CF">
        <w:rPr>
          <w:rFonts w:ascii="Times New Roman" w:hAnsi="Times New Roman" w:cs="Times New Roman"/>
          <w:sz w:val="26"/>
          <w:szCs w:val="26"/>
        </w:rPr>
        <w:t>0</w:t>
      </w:r>
      <w:r w:rsidR="006B42B2">
        <w:rPr>
          <w:rFonts w:ascii="Times New Roman" w:hAnsi="Times New Roman" w:cs="Times New Roman"/>
          <w:sz w:val="26"/>
          <w:szCs w:val="26"/>
        </w:rPr>
        <w:t>675/kWh to $0.449/kWh, resulting in bills of $2,448 for consumption from February</w:t>
      </w:r>
      <w:r w:rsidR="000878FD">
        <w:rPr>
          <w:rFonts w:ascii="Times New Roman" w:hAnsi="Times New Roman" w:cs="Times New Roman"/>
          <w:sz w:val="26"/>
          <w:szCs w:val="26"/>
        </w:rPr>
        <w:t> </w:t>
      </w:r>
      <w:r w:rsidR="006B42B2">
        <w:rPr>
          <w:rFonts w:ascii="Times New Roman" w:hAnsi="Times New Roman" w:cs="Times New Roman"/>
          <w:sz w:val="26"/>
          <w:szCs w:val="26"/>
        </w:rPr>
        <w:t>7, 201</w:t>
      </w:r>
      <w:r w:rsidR="00AA4012">
        <w:rPr>
          <w:rFonts w:ascii="Times New Roman" w:hAnsi="Times New Roman" w:cs="Times New Roman"/>
          <w:sz w:val="26"/>
          <w:szCs w:val="26"/>
        </w:rPr>
        <w:t>4</w:t>
      </w:r>
      <w:r w:rsidR="006B42B2">
        <w:rPr>
          <w:rFonts w:ascii="Times New Roman" w:hAnsi="Times New Roman" w:cs="Times New Roman"/>
          <w:sz w:val="26"/>
          <w:szCs w:val="26"/>
        </w:rPr>
        <w:t xml:space="preserve"> to March 10, 2014</w:t>
      </w:r>
      <w:r w:rsidR="00AA4012">
        <w:rPr>
          <w:rFonts w:ascii="Times New Roman" w:hAnsi="Times New Roman" w:cs="Times New Roman"/>
          <w:sz w:val="26"/>
          <w:szCs w:val="26"/>
        </w:rPr>
        <w:t xml:space="preserve"> (February 2014 bill)</w:t>
      </w:r>
      <w:r w:rsidR="000878FD">
        <w:rPr>
          <w:rFonts w:ascii="Times New Roman" w:hAnsi="Times New Roman" w:cs="Times New Roman"/>
          <w:sz w:val="26"/>
          <w:szCs w:val="26"/>
        </w:rPr>
        <w:t xml:space="preserve">, and of </w:t>
      </w:r>
      <w:r w:rsidR="000878FD" w:rsidRPr="000878FD">
        <w:rPr>
          <w:rFonts w:ascii="Times New Roman" w:hAnsi="Times New Roman" w:cs="Times New Roman"/>
          <w:sz w:val="26"/>
          <w:szCs w:val="26"/>
        </w:rPr>
        <w:t xml:space="preserve"> $1,526</w:t>
      </w:r>
      <w:r w:rsidR="000878FD">
        <w:rPr>
          <w:rFonts w:ascii="Times New Roman" w:hAnsi="Times New Roman" w:cs="Times New Roman"/>
          <w:sz w:val="26"/>
          <w:szCs w:val="26"/>
        </w:rPr>
        <w:t xml:space="preserve"> for t</w:t>
      </w:r>
      <w:r w:rsidR="006B42B2">
        <w:rPr>
          <w:rFonts w:ascii="Times New Roman" w:hAnsi="Times New Roman" w:cs="Times New Roman"/>
          <w:sz w:val="26"/>
          <w:szCs w:val="26"/>
        </w:rPr>
        <w:t>he Complainant’s next monthly bill</w:t>
      </w:r>
      <w:r w:rsidR="00AA4012">
        <w:rPr>
          <w:rFonts w:ascii="Times New Roman" w:hAnsi="Times New Roman" w:cs="Times New Roman"/>
          <w:sz w:val="26"/>
          <w:szCs w:val="26"/>
        </w:rPr>
        <w:t xml:space="preserve"> (March 2014 bill)</w:t>
      </w:r>
      <w:r w:rsidR="006B42B2">
        <w:rPr>
          <w:rFonts w:ascii="Times New Roman" w:hAnsi="Times New Roman" w:cs="Times New Roman"/>
          <w:sz w:val="26"/>
          <w:szCs w:val="26"/>
        </w:rPr>
        <w:t>.  I.D. at 3, FOF Nos. 6-10.</w:t>
      </w:r>
    </w:p>
    <w:p w:rsidR="006B42B2" w:rsidRDefault="006B42B2" w:rsidP="00D46B86">
      <w:pPr>
        <w:pStyle w:val="ParaTab1"/>
        <w:tabs>
          <w:tab w:val="left" w:pos="2070"/>
        </w:tabs>
        <w:spacing w:line="360" w:lineRule="auto"/>
        <w:rPr>
          <w:rFonts w:ascii="Times New Roman" w:hAnsi="Times New Roman" w:cs="Times New Roman"/>
          <w:sz w:val="26"/>
          <w:szCs w:val="26"/>
        </w:rPr>
      </w:pPr>
    </w:p>
    <w:p w:rsidR="006B42B2" w:rsidRDefault="006B42B2" w:rsidP="00D46B86">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According to the ALJ’s findings, Ms. Durante called Blue Pilot on March 20, 2014</w:t>
      </w:r>
      <w:r w:rsidR="000878FD">
        <w:rPr>
          <w:rFonts w:ascii="Times New Roman" w:hAnsi="Times New Roman" w:cs="Times New Roman"/>
          <w:sz w:val="26"/>
          <w:szCs w:val="26"/>
        </w:rPr>
        <w:t>,</w:t>
      </w:r>
      <w:r>
        <w:rPr>
          <w:rFonts w:ascii="Times New Roman" w:hAnsi="Times New Roman" w:cs="Times New Roman"/>
          <w:sz w:val="26"/>
          <w:szCs w:val="26"/>
        </w:rPr>
        <w:t xml:space="preserve"> and terminated her contract with Blue Pilot.  At that time, the Company offered the Complainant </w:t>
      </w:r>
      <w:r w:rsidR="000878FD">
        <w:rPr>
          <w:rFonts w:ascii="Times New Roman" w:hAnsi="Times New Roman" w:cs="Times New Roman"/>
          <w:sz w:val="26"/>
          <w:szCs w:val="26"/>
        </w:rPr>
        <w:t>a lower rate of $0.24/kWh until her generation service could be switched back to PPL, an offer the Complainant verbally accepted.  However, as the ALJ found, the Company continued to charge Ms. Durante the same $0.449/kWh rate for her remaining service with Blue Pilot rather than the $0.24/kWh the Complainant had accepted.  Ms. Durante remained a generation service customer of Blue Pilot until April 9, 2015.  I.D. at 3-4, FOF Nos. 11-13.</w:t>
      </w:r>
    </w:p>
    <w:p w:rsidR="006B42B2" w:rsidRDefault="006B42B2" w:rsidP="00D46B86">
      <w:pPr>
        <w:pStyle w:val="ParaTab1"/>
        <w:tabs>
          <w:tab w:val="left" w:pos="2070"/>
        </w:tabs>
        <w:spacing w:line="360" w:lineRule="auto"/>
        <w:rPr>
          <w:rFonts w:ascii="Times New Roman" w:hAnsi="Times New Roman" w:cs="Times New Roman"/>
          <w:sz w:val="26"/>
          <w:szCs w:val="26"/>
        </w:rPr>
      </w:pPr>
    </w:p>
    <w:p w:rsidR="00E805FB" w:rsidRDefault="000878FD" w:rsidP="00D46B86">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Having made these findings, the </w:t>
      </w:r>
      <w:r w:rsidR="006A2355" w:rsidRPr="006A2355">
        <w:rPr>
          <w:rFonts w:ascii="Times New Roman" w:hAnsi="Times New Roman" w:cs="Times New Roman"/>
          <w:sz w:val="26"/>
          <w:szCs w:val="26"/>
        </w:rPr>
        <w:t xml:space="preserve">ALJ </w:t>
      </w:r>
      <w:r>
        <w:rPr>
          <w:rFonts w:ascii="Times New Roman" w:hAnsi="Times New Roman" w:cs="Times New Roman"/>
          <w:sz w:val="26"/>
          <w:szCs w:val="26"/>
        </w:rPr>
        <w:t xml:space="preserve">turned to </w:t>
      </w:r>
      <w:r w:rsidR="00E805FB">
        <w:rPr>
          <w:rFonts w:ascii="Times New Roman" w:hAnsi="Times New Roman" w:cs="Times New Roman"/>
          <w:sz w:val="26"/>
          <w:szCs w:val="26"/>
        </w:rPr>
        <w:t>an analysis of the applicable law</w:t>
      </w:r>
      <w:r>
        <w:rPr>
          <w:rFonts w:ascii="Times New Roman" w:hAnsi="Times New Roman" w:cs="Times New Roman"/>
          <w:sz w:val="26"/>
          <w:szCs w:val="26"/>
        </w:rPr>
        <w:t>.  The ALJ found that the Commission lack</w:t>
      </w:r>
      <w:r w:rsidR="00E805FB">
        <w:rPr>
          <w:rFonts w:ascii="Times New Roman" w:hAnsi="Times New Roman" w:cs="Times New Roman"/>
          <w:sz w:val="26"/>
          <w:szCs w:val="26"/>
        </w:rPr>
        <w:t>ed</w:t>
      </w:r>
      <w:r>
        <w:rPr>
          <w:rFonts w:ascii="Times New Roman" w:hAnsi="Times New Roman" w:cs="Times New Roman"/>
          <w:sz w:val="26"/>
          <w:szCs w:val="26"/>
        </w:rPr>
        <w:t xml:space="preserve"> jurisdiction to regulate the rates charged by EGSs or to order a refund of unreasonable rates</w:t>
      </w:r>
      <w:r w:rsidR="00E805FB">
        <w:rPr>
          <w:rFonts w:ascii="Times New Roman" w:hAnsi="Times New Roman" w:cs="Times New Roman"/>
          <w:sz w:val="26"/>
          <w:szCs w:val="26"/>
        </w:rPr>
        <w:t>, and that the matters at issue concerned the parties’ responsibilities under a private agreement</w:t>
      </w:r>
      <w:r>
        <w:rPr>
          <w:rFonts w:ascii="Times New Roman" w:hAnsi="Times New Roman" w:cs="Times New Roman"/>
          <w:sz w:val="26"/>
          <w:szCs w:val="26"/>
        </w:rPr>
        <w:t xml:space="preserve">.  </w:t>
      </w:r>
      <w:r w:rsidR="00E805FB">
        <w:rPr>
          <w:rFonts w:ascii="Times New Roman" w:hAnsi="Times New Roman" w:cs="Times New Roman"/>
          <w:sz w:val="26"/>
          <w:szCs w:val="26"/>
        </w:rPr>
        <w:t xml:space="preserve">Citing </w:t>
      </w:r>
      <w:r w:rsidR="00E805FB" w:rsidRPr="00E805FB">
        <w:rPr>
          <w:rFonts w:ascii="Times New Roman" w:hAnsi="Times New Roman" w:cs="Times New Roman"/>
          <w:i/>
          <w:sz w:val="26"/>
          <w:szCs w:val="26"/>
        </w:rPr>
        <w:t>Commw. of PA v. IDT Energy, Inc.</w:t>
      </w:r>
      <w:r w:rsidR="00E805FB" w:rsidRPr="00E805FB">
        <w:rPr>
          <w:rFonts w:ascii="Times New Roman" w:hAnsi="Times New Roman" w:cs="Times New Roman"/>
          <w:sz w:val="26"/>
          <w:szCs w:val="26"/>
        </w:rPr>
        <w:t>, Docket No. C-2014-2427657 (Order entered December 18, 2014) (</w:t>
      </w:r>
      <w:r w:rsidR="00E805FB" w:rsidRPr="00E805FB">
        <w:rPr>
          <w:rFonts w:ascii="Times New Roman" w:hAnsi="Times New Roman" w:cs="Times New Roman"/>
          <w:i/>
          <w:sz w:val="26"/>
          <w:szCs w:val="26"/>
        </w:rPr>
        <w:t>IDT Material Question</w:t>
      </w:r>
      <w:r w:rsidR="00E805FB" w:rsidRPr="00E805FB">
        <w:rPr>
          <w:rFonts w:ascii="Times New Roman" w:hAnsi="Times New Roman" w:cs="Times New Roman"/>
          <w:sz w:val="26"/>
          <w:szCs w:val="26"/>
        </w:rPr>
        <w:t>)</w:t>
      </w:r>
      <w:r w:rsidR="00E805FB">
        <w:rPr>
          <w:rFonts w:ascii="Times New Roman" w:hAnsi="Times New Roman" w:cs="Times New Roman"/>
          <w:sz w:val="26"/>
          <w:szCs w:val="26"/>
        </w:rPr>
        <w:t>,</w:t>
      </w:r>
      <w:r w:rsidR="00E805FB" w:rsidRPr="00E805FB">
        <w:rPr>
          <w:rFonts w:ascii="Times New Roman" w:hAnsi="Times New Roman" w:cs="Times New Roman"/>
          <w:sz w:val="26"/>
          <w:szCs w:val="26"/>
        </w:rPr>
        <w:t xml:space="preserve"> </w:t>
      </w:r>
      <w:r w:rsidR="00E805FB">
        <w:rPr>
          <w:rFonts w:ascii="Times New Roman" w:hAnsi="Times New Roman" w:cs="Times New Roman"/>
          <w:sz w:val="26"/>
          <w:szCs w:val="26"/>
        </w:rPr>
        <w:t xml:space="preserve">the ALJ </w:t>
      </w:r>
      <w:r w:rsidR="00796D91">
        <w:rPr>
          <w:rFonts w:ascii="Times New Roman" w:hAnsi="Times New Roman" w:cs="Times New Roman"/>
          <w:sz w:val="26"/>
          <w:szCs w:val="26"/>
        </w:rPr>
        <w:t>asserted</w:t>
      </w:r>
      <w:r w:rsidR="00E805FB">
        <w:rPr>
          <w:rFonts w:ascii="Times New Roman" w:hAnsi="Times New Roman" w:cs="Times New Roman"/>
          <w:sz w:val="26"/>
          <w:szCs w:val="26"/>
        </w:rPr>
        <w:t xml:space="preserve"> that the Commission concluded that except for two limited exceptions, it lacked authority under Section 1312 of the Code, 66 Pa. C.S. § 1312, to direct refunds for EGS charges because EGSs were not public utilities.  The two exceptions noted by the ALJ were instances where a customer was switched without consent or where an EGS failed to bill a customer in accordance with its disclosure statement.  I.D. at 5-6.</w:t>
      </w:r>
    </w:p>
    <w:p w:rsidR="00E805FB" w:rsidRDefault="00E805FB" w:rsidP="00D46B86">
      <w:pPr>
        <w:pStyle w:val="ParaTab1"/>
        <w:tabs>
          <w:tab w:val="left" w:pos="2070"/>
        </w:tabs>
        <w:spacing w:line="360" w:lineRule="auto"/>
        <w:rPr>
          <w:rFonts w:ascii="Times New Roman" w:hAnsi="Times New Roman" w:cs="Times New Roman"/>
          <w:sz w:val="26"/>
          <w:szCs w:val="26"/>
        </w:rPr>
      </w:pPr>
    </w:p>
    <w:p w:rsidR="00EF6388" w:rsidRDefault="009C0F7B" w:rsidP="00D46B86">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Applying </w:t>
      </w:r>
      <w:r w:rsidR="00796D91">
        <w:rPr>
          <w:rFonts w:ascii="Times New Roman" w:hAnsi="Times New Roman" w:cs="Times New Roman"/>
          <w:sz w:val="26"/>
          <w:szCs w:val="26"/>
        </w:rPr>
        <w:t xml:space="preserve">that </w:t>
      </w:r>
      <w:r>
        <w:rPr>
          <w:rFonts w:ascii="Times New Roman" w:hAnsi="Times New Roman" w:cs="Times New Roman"/>
          <w:sz w:val="26"/>
          <w:szCs w:val="26"/>
        </w:rPr>
        <w:t xml:space="preserve">legal analysis to her factual findings, the ALJ determined that the Complainant offered no evidence to support her </w:t>
      </w:r>
      <w:r w:rsidR="00796D91">
        <w:rPr>
          <w:rFonts w:ascii="Times New Roman" w:hAnsi="Times New Roman" w:cs="Times New Roman"/>
          <w:sz w:val="26"/>
          <w:szCs w:val="26"/>
        </w:rPr>
        <w:t>contention</w:t>
      </w:r>
      <w:r>
        <w:rPr>
          <w:rFonts w:ascii="Times New Roman" w:hAnsi="Times New Roman" w:cs="Times New Roman"/>
          <w:sz w:val="26"/>
          <w:szCs w:val="26"/>
        </w:rPr>
        <w:t xml:space="preserve"> that Blue Pilot</w:t>
      </w:r>
      <w:r w:rsidR="00796D91">
        <w:rPr>
          <w:rFonts w:ascii="Times New Roman" w:hAnsi="Times New Roman" w:cs="Times New Roman"/>
          <w:sz w:val="26"/>
          <w:szCs w:val="26"/>
        </w:rPr>
        <w:t>’s</w:t>
      </w:r>
      <w:r>
        <w:rPr>
          <w:rFonts w:ascii="Times New Roman" w:hAnsi="Times New Roman" w:cs="Times New Roman"/>
          <w:sz w:val="26"/>
          <w:szCs w:val="26"/>
        </w:rPr>
        <w:t xml:space="preserve"> rates were excessive, and even if she had, the Commission lacked authority to direct refunds.  </w:t>
      </w:r>
      <w:r w:rsidR="00EF6388">
        <w:rPr>
          <w:rFonts w:ascii="Times New Roman" w:hAnsi="Times New Roman" w:cs="Times New Roman"/>
          <w:sz w:val="26"/>
          <w:szCs w:val="26"/>
        </w:rPr>
        <w:t>Q</w:t>
      </w:r>
      <w:r w:rsidR="00796D91">
        <w:rPr>
          <w:rFonts w:ascii="Times New Roman" w:hAnsi="Times New Roman" w:cs="Times New Roman"/>
          <w:sz w:val="26"/>
          <w:szCs w:val="26"/>
        </w:rPr>
        <w:t>uot</w:t>
      </w:r>
      <w:r w:rsidR="00EF6388">
        <w:rPr>
          <w:rFonts w:ascii="Times New Roman" w:hAnsi="Times New Roman" w:cs="Times New Roman"/>
          <w:sz w:val="26"/>
          <w:szCs w:val="26"/>
        </w:rPr>
        <w:t>ing</w:t>
      </w:r>
      <w:r w:rsidR="00796D91">
        <w:rPr>
          <w:rFonts w:ascii="Times New Roman" w:hAnsi="Times New Roman" w:cs="Times New Roman"/>
          <w:sz w:val="26"/>
          <w:szCs w:val="26"/>
        </w:rPr>
        <w:t xml:space="preserve"> Sections 54.1(a) and 54.3(1) of our Regulations, 52 Pa. Code §§</w:t>
      </w:r>
      <w:r w:rsidR="00EF6388">
        <w:rPr>
          <w:rFonts w:ascii="Times New Roman" w:hAnsi="Times New Roman" w:cs="Times New Roman"/>
          <w:sz w:val="26"/>
          <w:szCs w:val="26"/>
        </w:rPr>
        <w:t> </w:t>
      </w:r>
      <w:r w:rsidR="00796D91">
        <w:rPr>
          <w:rFonts w:ascii="Times New Roman" w:hAnsi="Times New Roman" w:cs="Times New Roman"/>
          <w:sz w:val="26"/>
          <w:szCs w:val="26"/>
        </w:rPr>
        <w:t xml:space="preserve">54.1(a) and 54.3, which require EGSs to provide customers adequate, accurate, and understandable information using </w:t>
      </w:r>
      <w:r w:rsidR="00796D91" w:rsidRPr="00796D91">
        <w:rPr>
          <w:rFonts w:ascii="Times New Roman" w:hAnsi="Times New Roman" w:cs="Times New Roman"/>
          <w:sz w:val="26"/>
          <w:szCs w:val="26"/>
        </w:rPr>
        <w:t xml:space="preserve">common and consistent terminology in marketing, billing, and disclosure </w:t>
      </w:r>
      <w:r w:rsidR="00796D91">
        <w:rPr>
          <w:rFonts w:ascii="Times New Roman" w:hAnsi="Times New Roman" w:cs="Times New Roman"/>
          <w:sz w:val="26"/>
          <w:szCs w:val="26"/>
        </w:rPr>
        <w:t xml:space="preserve">so that customers may make informed choices, </w:t>
      </w:r>
      <w:r w:rsidR="00EF6388">
        <w:rPr>
          <w:rFonts w:ascii="Times New Roman" w:hAnsi="Times New Roman" w:cs="Times New Roman"/>
          <w:sz w:val="26"/>
          <w:szCs w:val="26"/>
        </w:rPr>
        <w:t>the ALJ</w:t>
      </w:r>
      <w:r w:rsidR="00796D91">
        <w:rPr>
          <w:rFonts w:ascii="Times New Roman" w:hAnsi="Times New Roman" w:cs="Times New Roman"/>
          <w:sz w:val="26"/>
          <w:szCs w:val="26"/>
        </w:rPr>
        <w:t xml:space="preserve"> concluded that the Complainant knew her rate was variable and not fixed.  </w:t>
      </w:r>
      <w:r w:rsidR="00EF6388">
        <w:rPr>
          <w:rFonts w:ascii="Times New Roman" w:hAnsi="Times New Roman" w:cs="Times New Roman"/>
          <w:sz w:val="26"/>
          <w:szCs w:val="26"/>
        </w:rPr>
        <w:t>Although the ALJ noted that Blue Pilot failed to honor its verbal agreement to lower the Complainant’s rate to $0.24/kWh during their March 20, 2014 phone call, the ALJ again concluded that the Commission lacked authority to order a refund.  I.D. at 6-7.</w:t>
      </w:r>
    </w:p>
    <w:p w:rsidR="00EF6388" w:rsidRDefault="00EF6388" w:rsidP="00D46B86">
      <w:pPr>
        <w:pStyle w:val="ParaTab1"/>
        <w:tabs>
          <w:tab w:val="left" w:pos="2070"/>
        </w:tabs>
        <w:spacing w:line="360" w:lineRule="auto"/>
        <w:rPr>
          <w:rFonts w:ascii="Times New Roman" w:hAnsi="Times New Roman" w:cs="Times New Roman"/>
          <w:sz w:val="26"/>
          <w:szCs w:val="26"/>
        </w:rPr>
      </w:pPr>
    </w:p>
    <w:p w:rsidR="00D46B86" w:rsidRDefault="00EF6388" w:rsidP="00D46B86">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Based on the evidence, the ALJ concluded that the Complainant failed to demonstrate by a preponderance of evidence that Blue Pilot had not provided her accurate information in plain language.  As the ALJ stated, “[t]here is no dispute Complainant entered into a contract with Respondent which she knew was variable.”  I.D. at 8.  Accordingly, t</w:t>
      </w:r>
      <w:r w:rsidR="00796D91">
        <w:rPr>
          <w:rFonts w:ascii="Times New Roman" w:hAnsi="Times New Roman" w:cs="Times New Roman"/>
          <w:sz w:val="26"/>
          <w:szCs w:val="26"/>
        </w:rPr>
        <w:t xml:space="preserve">he ALJ </w:t>
      </w:r>
      <w:r w:rsidR="00D16F6C">
        <w:rPr>
          <w:rFonts w:ascii="Times New Roman" w:hAnsi="Times New Roman" w:cs="Times New Roman"/>
          <w:sz w:val="26"/>
          <w:szCs w:val="26"/>
        </w:rPr>
        <w:t xml:space="preserve">dismissed the Complaint </w:t>
      </w:r>
      <w:r w:rsidR="00D46B86">
        <w:rPr>
          <w:rFonts w:ascii="Times New Roman" w:hAnsi="Times New Roman" w:cs="Times New Roman"/>
          <w:sz w:val="26"/>
          <w:szCs w:val="26"/>
        </w:rPr>
        <w:t xml:space="preserve">on the basis of her conclusion that </w:t>
      </w:r>
      <w:r w:rsidR="00D16F6C">
        <w:rPr>
          <w:rFonts w:ascii="Times New Roman" w:hAnsi="Times New Roman" w:cs="Times New Roman"/>
          <w:sz w:val="26"/>
          <w:szCs w:val="26"/>
        </w:rPr>
        <w:t xml:space="preserve">the Commission “lack[ed] authority to direct EGSs to refund charges for electric generation supply service when the variable rate increases greatly for two months.”  I.D. at 9, </w:t>
      </w:r>
      <w:r>
        <w:rPr>
          <w:rFonts w:ascii="Times New Roman" w:hAnsi="Times New Roman" w:cs="Times New Roman"/>
          <w:sz w:val="26"/>
          <w:szCs w:val="26"/>
        </w:rPr>
        <w:t xml:space="preserve">COL No. 5, </w:t>
      </w:r>
      <w:r w:rsidR="00D16F6C">
        <w:rPr>
          <w:rFonts w:ascii="Times New Roman" w:hAnsi="Times New Roman" w:cs="Times New Roman"/>
          <w:sz w:val="26"/>
          <w:szCs w:val="26"/>
        </w:rPr>
        <w:t>citing 66 Pa. C.S. § 1312.</w:t>
      </w:r>
    </w:p>
    <w:p w:rsidR="00853A24" w:rsidRPr="00853A24" w:rsidRDefault="00D11AB9" w:rsidP="008F7FC1">
      <w:pPr>
        <w:pStyle w:val="ParaTab1"/>
        <w:tabs>
          <w:tab w:val="left" w:pos="2070"/>
        </w:tabs>
        <w:spacing w:line="360" w:lineRule="auto"/>
        <w:rPr>
          <w:rStyle w:val="Hyperlink"/>
          <w:color w:val="000000"/>
          <w:szCs w:val="26"/>
          <w:u w:val="none"/>
        </w:rPr>
      </w:pPr>
      <w:r>
        <w:rPr>
          <w:rFonts w:ascii="Times New Roman" w:hAnsi="Times New Roman" w:cs="Times New Roman"/>
          <w:sz w:val="26"/>
          <w:szCs w:val="26"/>
        </w:rPr>
        <w:t xml:space="preserve">  </w:t>
      </w:r>
    </w:p>
    <w:p w:rsidR="001F0898" w:rsidRDefault="001F0898" w:rsidP="00496849">
      <w:pPr>
        <w:tabs>
          <w:tab w:val="left" w:pos="-720"/>
        </w:tabs>
        <w:suppressAutoHyphens/>
        <w:spacing w:line="360" w:lineRule="auto"/>
        <w:rPr>
          <w:rStyle w:val="Hyperlink"/>
          <w:b/>
          <w:color w:val="000000"/>
          <w:szCs w:val="26"/>
          <w:u w:val="none"/>
        </w:rPr>
      </w:pPr>
      <w:r>
        <w:rPr>
          <w:rStyle w:val="Hyperlink"/>
          <w:b/>
          <w:color w:val="000000"/>
          <w:szCs w:val="26"/>
          <w:u w:val="none"/>
        </w:rPr>
        <w:t>Disposition</w:t>
      </w:r>
    </w:p>
    <w:p w:rsidR="00FB6B2F" w:rsidRDefault="00FB6B2F" w:rsidP="00B15ABC">
      <w:pPr>
        <w:tabs>
          <w:tab w:val="left" w:pos="-720"/>
        </w:tabs>
        <w:suppressAutoHyphens/>
        <w:spacing w:line="360" w:lineRule="auto"/>
        <w:ind w:firstLine="1440"/>
        <w:rPr>
          <w:rStyle w:val="Hyperlink"/>
          <w:b/>
          <w:color w:val="000000"/>
          <w:szCs w:val="26"/>
          <w:u w:val="none"/>
        </w:rPr>
      </w:pPr>
    </w:p>
    <w:p w:rsidR="002C260E" w:rsidRDefault="002C260E" w:rsidP="002C260E">
      <w:pPr>
        <w:overflowPunct/>
        <w:autoSpaceDE/>
        <w:autoSpaceDN/>
        <w:adjustRightInd/>
        <w:spacing w:line="360" w:lineRule="auto"/>
        <w:ind w:firstLine="1440"/>
        <w:jc w:val="both"/>
        <w:textAlignment w:val="auto"/>
        <w:rPr>
          <w:bCs/>
          <w:szCs w:val="26"/>
        </w:rPr>
      </w:pPr>
      <w:r w:rsidRPr="002C260E">
        <w:rPr>
          <w:szCs w:val="26"/>
        </w:rPr>
        <w:t xml:space="preserve">Upon review of the </w:t>
      </w:r>
      <w:r w:rsidR="00AA4012">
        <w:rPr>
          <w:szCs w:val="26"/>
        </w:rPr>
        <w:t xml:space="preserve">record in this </w:t>
      </w:r>
      <w:r w:rsidRPr="002C260E">
        <w:rPr>
          <w:szCs w:val="26"/>
        </w:rPr>
        <w:t>proceeding, we</w:t>
      </w:r>
      <w:r w:rsidRPr="002C260E">
        <w:rPr>
          <w:bCs/>
          <w:szCs w:val="26"/>
        </w:rPr>
        <w:t xml:space="preserve"> agree with </w:t>
      </w:r>
      <w:r w:rsidR="00AA4012">
        <w:rPr>
          <w:bCs/>
          <w:szCs w:val="26"/>
        </w:rPr>
        <w:t xml:space="preserve">the ALJ’s </w:t>
      </w:r>
      <w:r w:rsidRPr="002C260E">
        <w:rPr>
          <w:bCs/>
          <w:szCs w:val="26"/>
        </w:rPr>
        <w:t xml:space="preserve">dismissing the part of the Complaint addressing electric supply charges for February 2014. The substantial evidence of record establishes that the Complainant entered into an agreement with Blue Pilot at a rate she knew was variable and could change. Moreover, the Complaint did not allege that Blue Pilot engaged in any fraudulent or deceptive marketing at the time the Complainant entered into the variable rate contract, and the Complainant did not claim at the hearing that she was misled about her rate when she enrolled with Blue Pilot. For these reasons, we view the claim regarding the February 2014 </w:t>
      </w:r>
      <w:r w:rsidR="00AA4012">
        <w:rPr>
          <w:bCs/>
          <w:szCs w:val="26"/>
        </w:rPr>
        <w:t>bill</w:t>
      </w:r>
      <w:r w:rsidRPr="002C260E">
        <w:rPr>
          <w:bCs/>
          <w:szCs w:val="26"/>
        </w:rPr>
        <w:t xml:space="preserve"> as an excessive rate claim over which the Commission lacks subject matter jurisdiction.</w:t>
      </w:r>
      <w:r w:rsidRPr="002C260E">
        <w:rPr>
          <w:bCs/>
          <w:szCs w:val="26"/>
          <w:vertAlign w:val="superscript"/>
        </w:rPr>
        <w:footnoteReference w:id="3"/>
      </w:r>
    </w:p>
    <w:p w:rsidR="00C96574" w:rsidRPr="002C260E" w:rsidRDefault="00C96574" w:rsidP="002C260E">
      <w:pPr>
        <w:overflowPunct/>
        <w:autoSpaceDE/>
        <w:autoSpaceDN/>
        <w:adjustRightInd/>
        <w:spacing w:line="360" w:lineRule="auto"/>
        <w:ind w:firstLine="1440"/>
        <w:jc w:val="both"/>
        <w:textAlignment w:val="auto"/>
        <w:rPr>
          <w:bCs/>
          <w:szCs w:val="26"/>
        </w:rPr>
      </w:pPr>
    </w:p>
    <w:p w:rsidR="002C260E" w:rsidRPr="002C260E" w:rsidRDefault="002C260E" w:rsidP="002C260E">
      <w:pPr>
        <w:overflowPunct/>
        <w:autoSpaceDE/>
        <w:autoSpaceDN/>
        <w:adjustRightInd/>
        <w:spacing w:line="360" w:lineRule="auto"/>
        <w:ind w:firstLine="1440"/>
        <w:textAlignment w:val="auto"/>
        <w:rPr>
          <w:sz w:val="24"/>
          <w:szCs w:val="24"/>
        </w:rPr>
      </w:pPr>
      <w:r w:rsidRPr="002C260E">
        <w:rPr>
          <w:szCs w:val="26"/>
        </w:rPr>
        <w:t xml:space="preserve">Nevertheless, we </w:t>
      </w:r>
      <w:r w:rsidR="00C96574">
        <w:rPr>
          <w:szCs w:val="26"/>
        </w:rPr>
        <w:t>disagree with the ALJ’s decision to dismiss</w:t>
      </w:r>
      <w:r w:rsidRPr="002C260E">
        <w:rPr>
          <w:szCs w:val="26"/>
        </w:rPr>
        <w:t xml:space="preserve"> the Complaint in its entirety. Specifically, we focus our attention </w:t>
      </w:r>
      <w:r w:rsidR="00C96574">
        <w:rPr>
          <w:szCs w:val="26"/>
        </w:rPr>
        <w:t>on</w:t>
      </w:r>
      <w:r w:rsidRPr="002C260E">
        <w:rPr>
          <w:szCs w:val="26"/>
        </w:rPr>
        <w:t xml:space="preserve"> Finding of Fact </w:t>
      </w:r>
      <w:r w:rsidR="00C96574">
        <w:rPr>
          <w:szCs w:val="26"/>
        </w:rPr>
        <w:t xml:space="preserve">Nos. </w:t>
      </w:r>
      <w:r w:rsidRPr="002C260E">
        <w:rPr>
          <w:szCs w:val="26"/>
        </w:rPr>
        <w:t>12 and 13, which read</w:t>
      </w:r>
      <w:r w:rsidR="00C96574">
        <w:rPr>
          <w:szCs w:val="26"/>
        </w:rPr>
        <w:t xml:space="preserve"> as follows</w:t>
      </w:r>
      <w:r w:rsidRPr="002C260E">
        <w:rPr>
          <w:sz w:val="24"/>
          <w:szCs w:val="24"/>
        </w:rPr>
        <w:t>:</w:t>
      </w:r>
    </w:p>
    <w:p w:rsidR="002C260E" w:rsidRPr="002C260E" w:rsidRDefault="002C260E" w:rsidP="002C260E">
      <w:pPr>
        <w:overflowPunct/>
        <w:autoSpaceDE/>
        <w:autoSpaceDN/>
        <w:adjustRightInd/>
        <w:jc w:val="both"/>
        <w:textAlignment w:val="auto"/>
        <w:rPr>
          <w:sz w:val="24"/>
          <w:szCs w:val="24"/>
        </w:rPr>
      </w:pPr>
    </w:p>
    <w:p w:rsidR="002C260E" w:rsidRPr="002C260E" w:rsidRDefault="002C260E" w:rsidP="005816FA">
      <w:pPr>
        <w:overflowPunct/>
        <w:autoSpaceDE/>
        <w:autoSpaceDN/>
        <w:adjustRightInd/>
        <w:ind w:left="1440" w:right="1350" w:hanging="720"/>
        <w:textAlignment w:val="auto"/>
        <w:rPr>
          <w:szCs w:val="26"/>
        </w:rPr>
      </w:pPr>
      <w:r w:rsidRPr="002C260E">
        <w:rPr>
          <w:szCs w:val="26"/>
        </w:rPr>
        <w:t xml:space="preserve">12. </w:t>
      </w:r>
      <w:r w:rsidRPr="002C260E">
        <w:rPr>
          <w:szCs w:val="26"/>
        </w:rPr>
        <w:tab/>
        <w:t>When Complainant called to terminate her contract with Respondent, Respondent offered to charge Complainant at a lower rate (24.0 cents per kWh) until PPL could switch Complainant back to using PPL as the electricity supplier, and Complainant verbally accepted that offer.</w:t>
      </w:r>
      <w:r w:rsidRPr="00C96574">
        <w:rPr>
          <w:szCs w:val="26"/>
          <w:vertAlign w:val="superscript"/>
        </w:rPr>
        <w:footnoteReference w:id="4"/>
      </w:r>
    </w:p>
    <w:p w:rsidR="002C260E" w:rsidRPr="002C260E" w:rsidRDefault="002C260E" w:rsidP="005816FA">
      <w:pPr>
        <w:overflowPunct/>
        <w:autoSpaceDE/>
        <w:autoSpaceDN/>
        <w:adjustRightInd/>
        <w:ind w:right="1350"/>
        <w:textAlignment w:val="auto"/>
        <w:rPr>
          <w:sz w:val="24"/>
          <w:szCs w:val="24"/>
        </w:rPr>
      </w:pPr>
    </w:p>
    <w:p w:rsidR="005816FA" w:rsidRDefault="002C260E" w:rsidP="005816FA">
      <w:pPr>
        <w:overflowPunct/>
        <w:autoSpaceDE/>
        <w:autoSpaceDN/>
        <w:adjustRightInd/>
        <w:ind w:left="1440" w:right="1350" w:hanging="720"/>
        <w:textAlignment w:val="auto"/>
        <w:rPr>
          <w:szCs w:val="26"/>
        </w:rPr>
      </w:pPr>
      <w:r w:rsidRPr="002C260E">
        <w:rPr>
          <w:szCs w:val="26"/>
        </w:rPr>
        <w:t>13.</w:t>
      </w:r>
      <w:r w:rsidRPr="002C260E">
        <w:rPr>
          <w:szCs w:val="26"/>
        </w:rPr>
        <w:tab/>
        <w:t xml:space="preserve">Respondent charged Complainant the same rate (44.9 cents per kWh) in March 2014 instead of using the offered rate </w:t>
      </w:r>
    </w:p>
    <w:p w:rsidR="005816FA" w:rsidRDefault="005816FA">
      <w:pPr>
        <w:overflowPunct/>
        <w:autoSpaceDE/>
        <w:autoSpaceDN/>
        <w:adjustRightInd/>
        <w:textAlignment w:val="auto"/>
        <w:rPr>
          <w:szCs w:val="26"/>
        </w:rPr>
      </w:pPr>
      <w:r>
        <w:rPr>
          <w:szCs w:val="26"/>
        </w:rPr>
        <w:br w:type="page"/>
      </w:r>
    </w:p>
    <w:p w:rsidR="002C260E" w:rsidRDefault="002C260E" w:rsidP="00542B09">
      <w:pPr>
        <w:overflowPunct/>
        <w:autoSpaceDE/>
        <w:autoSpaceDN/>
        <w:adjustRightInd/>
        <w:ind w:left="1440" w:right="1350"/>
        <w:textAlignment w:val="auto"/>
        <w:rPr>
          <w:szCs w:val="26"/>
        </w:rPr>
      </w:pPr>
      <w:r w:rsidRPr="002C260E">
        <w:rPr>
          <w:szCs w:val="26"/>
        </w:rPr>
        <w:t>(24.0 cents per kWh), which Complainant had accepted in February 2014.</w:t>
      </w:r>
      <w:r w:rsidR="00AA4012">
        <w:rPr>
          <w:rStyle w:val="FootnoteReference"/>
          <w:szCs w:val="26"/>
        </w:rPr>
        <w:footnoteReference w:id="5"/>
      </w:r>
    </w:p>
    <w:p w:rsidR="00C96574" w:rsidRDefault="00C96574" w:rsidP="00C96574">
      <w:pPr>
        <w:overflowPunct/>
        <w:autoSpaceDE/>
        <w:autoSpaceDN/>
        <w:adjustRightInd/>
        <w:ind w:left="1440" w:hanging="720"/>
        <w:textAlignment w:val="auto"/>
        <w:rPr>
          <w:szCs w:val="26"/>
        </w:rPr>
      </w:pPr>
    </w:p>
    <w:p w:rsidR="00C96574" w:rsidRPr="002C260E" w:rsidRDefault="00C96574" w:rsidP="00C96574">
      <w:pPr>
        <w:overflowPunct/>
        <w:autoSpaceDE/>
        <w:autoSpaceDN/>
        <w:adjustRightInd/>
        <w:ind w:left="1440" w:hanging="720"/>
        <w:textAlignment w:val="auto"/>
        <w:rPr>
          <w:szCs w:val="26"/>
        </w:rPr>
      </w:pPr>
    </w:p>
    <w:p w:rsidR="00AA4012" w:rsidRDefault="00AA4012" w:rsidP="00AA4012">
      <w:pPr>
        <w:overflowPunct/>
        <w:autoSpaceDE/>
        <w:autoSpaceDN/>
        <w:adjustRightInd/>
        <w:spacing w:line="360" w:lineRule="auto"/>
        <w:textAlignment w:val="auto"/>
        <w:rPr>
          <w:szCs w:val="26"/>
        </w:rPr>
      </w:pPr>
      <w:r>
        <w:rPr>
          <w:szCs w:val="26"/>
        </w:rPr>
        <w:t>I.D. at 4 (citations omitted).</w:t>
      </w:r>
    </w:p>
    <w:p w:rsidR="00AA4012" w:rsidRDefault="00AA4012" w:rsidP="00C96574">
      <w:pPr>
        <w:overflowPunct/>
        <w:autoSpaceDE/>
        <w:autoSpaceDN/>
        <w:adjustRightInd/>
        <w:spacing w:line="360" w:lineRule="auto"/>
        <w:ind w:firstLine="1440"/>
        <w:textAlignment w:val="auto"/>
        <w:rPr>
          <w:szCs w:val="26"/>
        </w:rPr>
      </w:pPr>
    </w:p>
    <w:p w:rsidR="002C260E" w:rsidRPr="002C260E" w:rsidRDefault="002C260E" w:rsidP="009B0788">
      <w:pPr>
        <w:overflowPunct/>
        <w:autoSpaceDE/>
        <w:autoSpaceDN/>
        <w:adjustRightInd/>
        <w:spacing w:line="360" w:lineRule="auto"/>
        <w:ind w:firstLine="1440"/>
        <w:textAlignment w:val="auto"/>
        <w:rPr>
          <w:szCs w:val="26"/>
        </w:rPr>
      </w:pPr>
      <w:r w:rsidRPr="002C260E">
        <w:rPr>
          <w:szCs w:val="26"/>
        </w:rPr>
        <w:t xml:space="preserve">Based on these findings of fact, it is clear the Company did not bill the Complainant a rate that matched the rate marketed and subsequently accepted by the Complainant for </w:t>
      </w:r>
      <w:r w:rsidR="00C96574">
        <w:rPr>
          <w:szCs w:val="26"/>
        </w:rPr>
        <w:t xml:space="preserve">service after her </w:t>
      </w:r>
      <w:r w:rsidRPr="002C260E">
        <w:rPr>
          <w:szCs w:val="26"/>
        </w:rPr>
        <w:t xml:space="preserve">March </w:t>
      </w:r>
      <w:r w:rsidR="00C96574">
        <w:rPr>
          <w:szCs w:val="26"/>
        </w:rPr>
        <w:t xml:space="preserve">20, </w:t>
      </w:r>
      <w:r w:rsidRPr="002C260E">
        <w:rPr>
          <w:szCs w:val="26"/>
        </w:rPr>
        <w:t>2014</w:t>
      </w:r>
      <w:r w:rsidR="00C96574">
        <w:rPr>
          <w:szCs w:val="26"/>
        </w:rPr>
        <w:t xml:space="preserve"> call</w:t>
      </w:r>
      <w:r w:rsidRPr="002C260E">
        <w:rPr>
          <w:szCs w:val="26"/>
        </w:rPr>
        <w:t>. In the Initial Decision the ALJ recognized these circumstances but ultimately concluded that the Commission could not offer a remedy, stating</w:t>
      </w:r>
      <w:r w:rsidR="009B0788">
        <w:rPr>
          <w:szCs w:val="26"/>
        </w:rPr>
        <w:t xml:space="preserve"> that “[i]</w:t>
      </w:r>
      <w:r w:rsidRPr="002C260E">
        <w:rPr>
          <w:szCs w:val="26"/>
        </w:rPr>
        <w:t>t should be noted Blue Pilot did not keep its verbal agreement to bill Complainant at the lower rate (24 cents per kWh) in March 2014 but the Commission lacks authority to order a refund.</w:t>
      </w:r>
      <w:r w:rsidR="009B0788">
        <w:rPr>
          <w:szCs w:val="26"/>
        </w:rPr>
        <w:t>”  I.D. at 7.</w:t>
      </w:r>
    </w:p>
    <w:p w:rsidR="009B0788" w:rsidRDefault="009B0788" w:rsidP="00C96574">
      <w:pPr>
        <w:overflowPunct/>
        <w:autoSpaceDE/>
        <w:autoSpaceDN/>
        <w:adjustRightInd/>
        <w:spacing w:line="360" w:lineRule="auto"/>
        <w:ind w:firstLine="720"/>
        <w:textAlignment w:val="auto"/>
        <w:rPr>
          <w:szCs w:val="26"/>
        </w:rPr>
      </w:pPr>
    </w:p>
    <w:p w:rsidR="002C260E" w:rsidRPr="002C260E" w:rsidRDefault="002C260E" w:rsidP="00542B09">
      <w:pPr>
        <w:overflowPunct/>
        <w:autoSpaceDE/>
        <w:autoSpaceDN/>
        <w:adjustRightInd/>
        <w:spacing w:line="360" w:lineRule="auto"/>
        <w:ind w:firstLine="1440"/>
        <w:textAlignment w:val="auto"/>
        <w:rPr>
          <w:szCs w:val="26"/>
        </w:rPr>
      </w:pPr>
      <w:r w:rsidRPr="002C260E">
        <w:rPr>
          <w:szCs w:val="26"/>
        </w:rPr>
        <w:t xml:space="preserve">We disagree </w:t>
      </w:r>
      <w:r w:rsidR="009B0788">
        <w:rPr>
          <w:szCs w:val="26"/>
        </w:rPr>
        <w:t xml:space="preserve">with the ALJ’s legal conclusion that </w:t>
      </w:r>
      <w:r w:rsidRPr="002C260E">
        <w:rPr>
          <w:szCs w:val="26"/>
        </w:rPr>
        <w:t xml:space="preserve">there is no remedy here. Consistent with </w:t>
      </w:r>
      <w:r w:rsidR="009B0788">
        <w:rPr>
          <w:szCs w:val="26"/>
        </w:rPr>
        <w:t>our</w:t>
      </w:r>
      <w:r w:rsidRPr="002C260E">
        <w:rPr>
          <w:szCs w:val="26"/>
        </w:rPr>
        <w:t xml:space="preserve"> decision in </w:t>
      </w:r>
      <w:r w:rsidR="00C96574" w:rsidRPr="00C96574">
        <w:rPr>
          <w:i/>
          <w:szCs w:val="26"/>
        </w:rPr>
        <w:t>Herp v</w:t>
      </w:r>
      <w:r w:rsidR="00C96574">
        <w:rPr>
          <w:i/>
          <w:szCs w:val="26"/>
        </w:rPr>
        <w:t>.</w:t>
      </w:r>
      <w:r w:rsidR="00C96574" w:rsidRPr="00C96574">
        <w:rPr>
          <w:i/>
          <w:szCs w:val="26"/>
        </w:rPr>
        <w:t xml:space="preserve"> Respond Power</w:t>
      </w:r>
      <w:r w:rsidR="00C96574" w:rsidRPr="00C96574">
        <w:rPr>
          <w:szCs w:val="26"/>
        </w:rPr>
        <w:t>, C-2014-2413756 (Order entered January 28, 2016)</w:t>
      </w:r>
      <w:r w:rsidR="00C96574">
        <w:rPr>
          <w:szCs w:val="26"/>
        </w:rPr>
        <w:t xml:space="preserve"> (</w:t>
      </w:r>
      <w:r w:rsidR="00C96574">
        <w:rPr>
          <w:i/>
          <w:szCs w:val="26"/>
        </w:rPr>
        <w:t>Herp</w:t>
      </w:r>
      <w:r w:rsidR="00C96574">
        <w:rPr>
          <w:szCs w:val="26"/>
        </w:rPr>
        <w:t>)</w:t>
      </w:r>
      <w:r w:rsidRPr="002C260E">
        <w:rPr>
          <w:szCs w:val="26"/>
        </w:rPr>
        <w:t xml:space="preserve">, we </w:t>
      </w:r>
      <w:r w:rsidR="00C96574">
        <w:rPr>
          <w:szCs w:val="26"/>
        </w:rPr>
        <w:t xml:space="preserve">conclude </w:t>
      </w:r>
      <w:r w:rsidRPr="002C260E">
        <w:rPr>
          <w:szCs w:val="26"/>
        </w:rPr>
        <w:t>that the Company’s failure to bill the Complainant at the rate offered and accepted constitutes a violation of Sections 54.4(a) and 54.7(a) of our Regulations</w:t>
      </w:r>
      <w:r w:rsidR="009B0788">
        <w:rPr>
          <w:szCs w:val="26"/>
        </w:rPr>
        <w:t xml:space="preserve">, </w:t>
      </w:r>
      <w:r w:rsidR="009B0788" w:rsidRPr="009B0788">
        <w:rPr>
          <w:szCs w:val="26"/>
        </w:rPr>
        <w:t>52 Pa. Code §§ 54.4(a) and 54.7(a).</w:t>
      </w:r>
      <w:r w:rsidRPr="002C260E">
        <w:rPr>
          <w:szCs w:val="26"/>
        </w:rPr>
        <w:t xml:space="preserve">  </w:t>
      </w:r>
      <w:r w:rsidRPr="002C260E">
        <w:rPr>
          <w:bCs/>
          <w:szCs w:val="26"/>
        </w:rPr>
        <w:t xml:space="preserve">As we noted in </w:t>
      </w:r>
      <w:r w:rsidRPr="002C260E">
        <w:rPr>
          <w:bCs/>
          <w:i/>
          <w:szCs w:val="26"/>
        </w:rPr>
        <w:t>Herp</w:t>
      </w:r>
      <w:r w:rsidRPr="002C260E">
        <w:rPr>
          <w:bCs/>
          <w:szCs w:val="26"/>
        </w:rPr>
        <w:t>, these provisions are companion consumer protections that, together with Section 54.5(a) of our Regulations, mandate consistency among the prices an EGS markets, discloses, and bills.</w:t>
      </w:r>
    </w:p>
    <w:p w:rsidR="002C260E" w:rsidRPr="009B0788" w:rsidRDefault="002C260E" w:rsidP="00C96574">
      <w:pPr>
        <w:overflowPunct/>
        <w:autoSpaceDE/>
        <w:autoSpaceDN/>
        <w:adjustRightInd/>
        <w:textAlignment w:val="auto"/>
        <w:rPr>
          <w:szCs w:val="26"/>
        </w:rPr>
      </w:pPr>
    </w:p>
    <w:p w:rsidR="002C260E" w:rsidRPr="002C260E" w:rsidRDefault="002C260E" w:rsidP="00C96574">
      <w:pPr>
        <w:overflowPunct/>
        <w:autoSpaceDE/>
        <w:autoSpaceDN/>
        <w:adjustRightInd/>
        <w:spacing w:line="360" w:lineRule="auto"/>
        <w:ind w:firstLine="1440"/>
        <w:textAlignment w:val="auto"/>
        <w:rPr>
          <w:szCs w:val="26"/>
        </w:rPr>
      </w:pPr>
      <w:r w:rsidRPr="002C260E">
        <w:rPr>
          <w:szCs w:val="26"/>
        </w:rPr>
        <w:t>To address this violation, we direct the Company to refund the Complainant the net difference between the rate charged for the March 2014 bill (44.9 cents per kWh) and the rate offered an</w:t>
      </w:r>
      <w:r w:rsidR="009B0788">
        <w:rPr>
          <w:szCs w:val="26"/>
        </w:rPr>
        <w:t>d</w:t>
      </w:r>
      <w:r w:rsidRPr="002C260E">
        <w:rPr>
          <w:szCs w:val="26"/>
        </w:rPr>
        <w:t xml:space="preserve"> agreed upon (24.0 cents per kWh). </w:t>
      </w:r>
      <w:r w:rsidR="009B0788">
        <w:rPr>
          <w:szCs w:val="26"/>
        </w:rPr>
        <w:t xml:space="preserve"> </w:t>
      </w:r>
      <w:r w:rsidRPr="002C260E">
        <w:rPr>
          <w:szCs w:val="26"/>
        </w:rPr>
        <w:t xml:space="preserve">This remedy is consistent with </w:t>
      </w:r>
      <w:r w:rsidR="009B0788">
        <w:rPr>
          <w:szCs w:val="26"/>
        </w:rPr>
        <w:t>our</w:t>
      </w:r>
      <w:r w:rsidRPr="002C260E">
        <w:rPr>
          <w:szCs w:val="26"/>
        </w:rPr>
        <w:t xml:space="preserve"> plenary authority under Section 501 of the Code, 66 Pa. C.S. §</w:t>
      </w:r>
      <w:r w:rsidR="009B0788">
        <w:rPr>
          <w:szCs w:val="26"/>
        </w:rPr>
        <w:t> </w:t>
      </w:r>
      <w:r w:rsidRPr="002C260E">
        <w:rPr>
          <w:szCs w:val="26"/>
        </w:rPr>
        <w:t>501, to order EGS refunds.</w:t>
      </w:r>
      <w:r w:rsidRPr="00C96574">
        <w:rPr>
          <w:szCs w:val="26"/>
          <w:vertAlign w:val="superscript"/>
        </w:rPr>
        <w:footnoteReference w:id="6"/>
      </w:r>
      <w:r w:rsidRPr="002C260E">
        <w:rPr>
          <w:szCs w:val="26"/>
        </w:rPr>
        <w:t xml:space="preserve"> </w:t>
      </w:r>
      <w:r w:rsidR="009B0788">
        <w:rPr>
          <w:szCs w:val="26"/>
        </w:rPr>
        <w:t xml:space="preserve"> </w:t>
      </w:r>
      <w:r w:rsidRPr="002C260E">
        <w:rPr>
          <w:szCs w:val="26"/>
        </w:rPr>
        <w:t xml:space="preserve">Specifically, for </w:t>
      </w:r>
      <w:r w:rsidR="00F3164F">
        <w:rPr>
          <w:szCs w:val="26"/>
        </w:rPr>
        <w:t xml:space="preserve">the </w:t>
      </w:r>
      <w:r w:rsidRPr="002C260E">
        <w:rPr>
          <w:szCs w:val="26"/>
        </w:rPr>
        <w:t>March 2014</w:t>
      </w:r>
      <w:r w:rsidR="00F3164F">
        <w:rPr>
          <w:szCs w:val="26"/>
        </w:rPr>
        <w:t xml:space="preserve"> bill</w:t>
      </w:r>
      <w:r w:rsidRPr="002C260E">
        <w:rPr>
          <w:szCs w:val="26"/>
        </w:rPr>
        <w:t xml:space="preserve">, we direct the Company to calculate what the Complainant’s bill would have been under a </w:t>
      </w:r>
      <w:r w:rsidR="00F3164F">
        <w:rPr>
          <w:szCs w:val="26"/>
        </w:rPr>
        <w:t>$0.</w:t>
      </w:r>
      <w:r w:rsidRPr="002C260E">
        <w:rPr>
          <w:szCs w:val="26"/>
        </w:rPr>
        <w:t>24</w:t>
      </w:r>
      <w:r w:rsidR="00F3164F">
        <w:rPr>
          <w:szCs w:val="26"/>
        </w:rPr>
        <w:t xml:space="preserve">/kWh </w:t>
      </w:r>
      <w:r w:rsidRPr="002C260E">
        <w:rPr>
          <w:szCs w:val="26"/>
        </w:rPr>
        <w:t>rate and subtract this amount from the actual billed amount to determine the net difference.</w:t>
      </w:r>
    </w:p>
    <w:p w:rsidR="002C260E" w:rsidRPr="002C260E" w:rsidRDefault="002C260E" w:rsidP="00C96574">
      <w:pPr>
        <w:overflowPunct/>
        <w:autoSpaceDE/>
        <w:autoSpaceDN/>
        <w:adjustRightInd/>
        <w:spacing w:line="360" w:lineRule="auto"/>
        <w:ind w:firstLine="1440"/>
        <w:textAlignment w:val="auto"/>
        <w:rPr>
          <w:szCs w:val="26"/>
        </w:rPr>
      </w:pPr>
    </w:p>
    <w:p w:rsidR="002C260E" w:rsidRPr="002C260E" w:rsidRDefault="002C260E" w:rsidP="00C96574">
      <w:pPr>
        <w:overflowPunct/>
        <w:autoSpaceDE/>
        <w:autoSpaceDN/>
        <w:adjustRightInd/>
        <w:spacing w:line="360" w:lineRule="auto"/>
        <w:ind w:firstLine="1440"/>
        <w:textAlignment w:val="auto"/>
        <w:rPr>
          <w:szCs w:val="26"/>
        </w:rPr>
      </w:pPr>
      <w:r w:rsidRPr="002C260E">
        <w:rPr>
          <w:szCs w:val="26"/>
        </w:rPr>
        <w:t>Further, we direct this refund methodology for any subsequent billing periods in which the Company did not bill the Complainant in accordance with its marketed and agreed upon prices to the extent the Complainant’s EGS of record remained Blue Pilot. Blue Pilot sh</w:t>
      </w:r>
      <w:r w:rsidR="00B36970">
        <w:rPr>
          <w:szCs w:val="26"/>
        </w:rPr>
        <w:t>all</w:t>
      </w:r>
      <w:r w:rsidRPr="002C260E">
        <w:rPr>
          <w:szCs w:val="26"/>
        </w:rPr>
        <w:t xml:space="preserve"> provide this refund within </w:t>
      </w:r>
      <w:r w:rsidR="00B36970">
        <w:rPr>
          <w:szCs w:val="26"/>
        </w:rPr>
        <w:t>sixty</w:t>
      </w:r>
      <w:r w:rsidRPr="002C260E">
        <w:rPr>
          <w:szCs w:val="26"/>
        </w:rPr>
        <w:t xml:space="preserve"> days of the entry date of th</w:t>
      </w:r>
      <w:r w:rsidR="00B36970">
        <w:rPr>
          <w:szCs w:val="26"/>
        </w:rPr>
        <w:t>is Opinion and Order</w:t>
      </w:r>
      <w:r w:rsidR="00067690">
        <w:rPr>
          <w:szCs w:val="26"/>
        </w:rPr>
        <w:t xml:space="preserve"> and shall notify the Commission when this </w:t>
      </w:r>
      <w:r w:rsidR="00A36864">
        <w:rPr>
          <w:szCs w:val="26"/>
        </w:rPr>
        <w:t>refund</w:t>
      </w:r>
      <w:r w:rsidR="00067690">
        <w:rPr>
          <w:szCs w:val="26"/>
        </w:rPr>
        <w:t xml:space="preserve"> has been </w:t>
      </w:r>
      <w:r w:rsidR="00A36864">
        <w:rPr>
          <w:szCs w:val="26"/>
        </w:rPr>
        <w:t>paid</w:t>
      </w:r>
      <w:r w:rsidRPr="002C260E">
        <w:rPr>
          <w:szCs w:val="26"/>
        </w:rPr>
        <w:t>.</w:t>
      </w:r>
    </w:p>
    <w:p w:rsidR="002C260E" w:rsidRPr="002C260E" w:rsidRDefault="002C260E" w:rsidP="00C96574">
      <w:pPr>
        <w:overflowPunct/>
        <w:autoSpaceDE/>
        <w:autoSpaceDN/>
        <w:adjustRightInd/>
        <w:spacing w:line="360" w:lineRule="auto"/>
        <w:ind w:firstLine="1440"/>
        <w:textAlignment w:val="auto"/>
        <w:rPr>
          <w:szCs w:val="26"/>
        </w:rPr>
      </w:pPr>
    </w:p>
    <w:p w:rsidR="002C260E" w:rsidRPr="002C260E" w:rsidRDefault="00B36970" w:rsidP="00C96574">
      <w:pPr>
        <w:overflowPunct/>
        <w:autoSpaceDE/>
        <w:autoSpaceDN/>
        <w:adjustRightInd/>
        <w:spacing w:line="360" w:lineRule="auto"/>
        <w:ind w:firstLine="1440"/>
        <w:textAlignment w:val="auto"/>
        <w:rPr>
          <w:szCs w:val="26"/>
        </w:rPr>
      </w:pPr>
      <w:r>
        <w:rPr>
          <w:szCs w:val="26"/>
        </w:rPr>
        <w:t xml:space="preserve">Last, </w:t>
      </w:r>
      <w:r w:rsidR="002C260E" w:rsidRPr="002C260E">
        <w:rPr>
          <w:szCs w:val="26"/>
        </w:rPr>
        <w:t>we remind Blue Pilot that when offering service in Pennsylvania, it must comply with all applicable Statutes, Regulations, and Commission Orders.</w:t>
      </w:r>
    </w:p>
    <w:p w:rsidR="002C260E" w:rsidRPr="002C260E" w:rsidRDefault="002C260E" w:rsidP="002C260E">
      <w:pPr>
        <w:overflowPunct/>
        <w:autoSpaceDE/>
        <w:autoSpaceDN/>
        <w:adjustRightInd/>
        <w:jc w:val="both"/>
        <w:textAlignment w:val="auto"/>
        <w:rPr>
          <w:sz w:val="24"/>
          <w:szCs w:val="24"/>
        </w:rPr>
      </w:pPr>
    </w:p>
    <w:p w:rsidR="00EB6BF9" w:rsidRPr="00117773" w:rsidRDefault="00EB6BF9" w:rsidP="00FD1DAD">
      <w:pPr>
        <w:spacing w:line="360" w:lineRule="auto"/>
        <w:jc w:val="center"/>
        <w:rPr>
          <w:b/>
        </w:rPr>
      </w:pPr>
      <w:r w:rsidRPr="00117773">
        <w:rPr>
          <w:b/>
        </w:rPr>
        <w:t>Conclusion</w:t>
      </w:r>
    </w:p>
    <w:p w:rsidR="00A4385E" w:rsidRDefault="00A4385E" w:rsidP="00A4385E">
      <w:pPr>
        <w:spacing w:line="360" w:lineRule="auto"/>
        <w:ind w:firstLine="1440"/>
        <w:rPr>
          <w:szCs w:val="26"/>
        </w:rPr>
      </w:pPr>
    </w:p>
    <w:p w:rsidR="00A4385E" w:rsidRDefault="00A4385E" w:rsidP="00A4385E">
      <w:pPr>
        <w:spacing w:line="360" w:lineRule="auto"/>
        <w:ind w:firstLine="1440"/>
        <w:rPr>
          <w:szCs w:val="26"/>
        </w:rPr>
      </w:pPr>
      <w:r>
        <w:rPr>
          <w:szCs w:val="26"/>
        </w:rPr>
        <w:t xml:space="preserve">Based upon </w:t>
      </w:r>
      <w:r w:rsidR="00B36970">
        <w:rPr>
          <w:szCs w:val="26"/>
        </w:rPr>
        <w:t xml:space="preserve">our review of the record and the applicable law, </w:t>
      </w:r>
      <w:r>
        <w:rPr>
          <w:szCs w:val="26"/>
        </w:rPr>
        <w:t xml:space="preserve">we </w:t>
      </w:r>
      <w:r w:rsidR="001F0898">
        <w:rPr>
          <w:szCs w:val="26"/>
        </w:rPr>
        <w:t>modif</w:t>
      </w:r>
      <w:r w:rsidR="003B4E53">
        <w:rPr>
          <w:szCs w:val="26"/>
        </w:rPr>
        <w:t>y</w:t>
      </w:r>
      <w:r w:rsidR="001F0898">
        <w:rPr>
          <w:szCs w:val="26"/>
        </w:rPr>
        <w:t xml:space="preserve"> the Initial Decision of </w:t>
      </w:r>
      <w:r w:rsidR="003D36AC">
        <w:rPr>
          <w:szCs w:val="26"/>
        </w:rPr>
        <w:t xml:space="preserve">the </w:t>
      </w:r>
      <w:r w:rsidR="001F0898">
        <w:rPr>
          <w:szCs w:val="26"/>
        </w:rPr>
        <w:t xml:space="preserve">Administrative Law Judge </w:t>
      </w:r>
      <w:r>
        <w:rPr>
          <w:szCs w:val="26"/>
        </w:rPr>
        <w:t xml:space="preserve">consistent with </w:t>
      </w:r>
      <w:r w:rsidR="00B36970">
        <w:rPr>
          <w:szCs w:val="26"/>
        </w:rPr>
        <w:t>this Opinion and Order</w:t>
      </w:r>
      <w:r>
        <w:t xml:space="preserve">; </w:t>
      </w:r>
      <w:r>
        <w:rPr>
          <w:b/>
        </w:rPr>
        <w:t>THEREFORE,</w:t>
      </w:r>
    </w:p>
    <w:p w:rsidR="00A4385E" w:rsidRDefault="00A4385E" w:rsidP="00A4385E">
      <w:pPr>
        <w:rPr>
          <w:szCs w:val="26"/>
        </w:rPr>
      </w:pPr>
    </w:p>
    <w:p w:rsidR="00A4385E" w:rsidRPr="00CE7F23" w:rsidRDefault="00A4385E" w:rsidP="00A4385E">
      <w:pPr>
        <w:ind w:firstLine="1440"/>
        <w:rPr>
          <w:b/>
          <w:szCs w:val="26"/>
        </w:rPr>
      </w:pPr>
      <w:r>
        <w:rPr>
          <w:b/>
          <w:szCs w:val="26"/>
        </w:rPr>
        <w:t>IT IS ORDERED:</w:t>
      </w:r>
    </w:p>
    <w:p w:rsidR="00A4385E" w:rsidRDefault="00A4385E" w:rsidP="00291E4F">
      <w:pPr>
        <w:spacing w:line="360" w:lineRule="auto"/>
        <w:rPr>
          <w:szCs w:val="26"/>
        </w:rPr>
      </w:pPr>
    </w:p>
    <w:p w:rsidR="003D36AC" w:rsidRDefault="003D36AC" w:rsidP="00291E4F">
      <w:pPr>
        <w:spacing w:line="360" w:lineRule="auto"/>
        <w:rPr>
          <w:szCs w:val="26"/>
        </w:rPr>
      </w:pPr>
      <w:r>
        <w:rPr>
          <w:szCs w:val="26"/>
        </w:rPr>
        <w:tab/>
      </w:r>
      <w:r>
        <w:rPr>
          <w:szCs w:val="26"/>
        </w:rPr>
        <w:tab/>
        <w:t>1.</w:t>
      </w:r>
      <w:r>
        <w:rPr>
          <w:szCs w:val="26"/>
        </w:rPr>
        <w:tab/>
      </w:r>
      <w:r w:rsidRPr="003D36AC">
        <w:rPr>
          <w:szCs w:val="26"/>
        </w:rPr>
        <w:t>Th</w:t>
      </w:r>
      <w:r>
        <w:rPr>
          <w:szCs w:val="26"/>
        </w:rPr>
        <w:t>at th</w:t>
      </w:r>
      <w:r w:rsidRPr="003D36AC">
        <w:rPr>
          <w:szCs w:val="26"/>
        </w:rPr>
        <w:t xml:space="preserve">e Formal Complaint filed by Loni Durante </w:t>
      </w:r>
      <w:r>
        <w:rPr>
          <w:szCs w:val="26"/>
        </w:rPr>
        <w:t xml:space="preserve">on June 5, 2015, </w:t>
      </w:r>
      <w:r w:rsidRPr="003D36AC">
        <w:rPr>
          <w:szCs w:val="26"/>
        </w:rPr>
        <w:t xml:space="preserve">at Docket No. F-2015-2487082 </w:t>
      </w:r>
      <w:r>
        <w:rPr>
          <w:szCs w:val="26"/>
        </w:rPr>
        <w:t>against Blue Pilot Energy,</w:t>
      </w:r>
      <w:r w:rsidR="00F3164F">
        <w:rPr>
          <w:szCs w:val="26"/>
        </w:rPr>
        <w:t xml:space="preserve"> </w:t>
      </w:r>
      <w:r>
        <w:rPr>
          <w:szCs w:val="26"/>
        </w:rPr>
        <w:t>LLC, is</w:t>
      </w:r>
      <w:r w:rsidRPr="003D36AC">
        <w:rPr>
          <w:szCs w:val="26"/>
        </w:rPr>
        <w:t xml:space="preserve"> sustained, in part, and dismissed, in part</w:t>
      </w:r>
      <w:r>
        <w:rPr>
          <w:szCs w:val="26"/>
        </w:rPr>
        <w:t>.</w:t>
      </w:r>
    </w:p>
    <w:p w:rsidR="003D36AC" w:rsidRDefault="003D36AC" w:rsidP="00291E4F">
      <w:pPr>
        <w:spacing w:line="360" w:lineRule="auto"/>
        <w:rPr>
          <w:szCs w:val="26"/>
        </w:rPr>
      </w:pPr>
    </w:p>
    <w:p w:rsidR="00007068" w:rsidRDefault="003D36AC" w:rsidP="00F979E5">
      <w:pPr>
        <w:overflowPunct/>
        <w:autoSpaceDE/>
        <w:autoSpaceDN/>
        <w:adjustRightInd/>
        <w:spacing w:line="360" w:lineRule="auto"/>
        <w:ind w:firstLine="1440"/>
        <w:textAlignment w:val="auto"/>
        <w:rPr>
          <w:szCs w:val="26"/>
        </w:rPr>
      </w:pPr>
      <w:r>
        <w:rPr>
          <w:szCs w:val="26"/>
        </w:rPr>
        <w:t>2.</w:t>
      </w:r>
      <w:r>
        <w:rPr>
          <w:szCs w:val="26"/>
        </w:rPr>
        <w:tab/>
      </w:r>
      <w:r w:rsidR="00007068" w:rsidRPr="004240E7">
        <w:rPr>
          <w:szCs w:val="26"/>
        </w:rPr>
        <w:t>That the</w:t>
      </w:r>
      <w:r w:rsidR="00A4385E" w:rsidRPr="004240E7">
        <w:rPr>
          <w:szCs w:val="26"/>
        </w:rPr>
        <w:t xml:space="preserve"> Initial Decision of Administrative Law Judge</w:t>
      </w:r>
      <w:r w:rsidR="001F0898" w:rsidRPr="004240E7">
        <w:rPr>
          <w:szCs w:val="26"/>
        </w:rPr>
        <w:t xml:space="preserve"> </w:t>
      </w:r>
      <w:r>
        <w:rPr>
          <w:szCs w:val="26"/>
        </w:rPr>
        <w:t>Katrina L. Dunderdale</w:t>
      </w:r>
      <w:r w:rsidR="007A48D1">
        <w:rPr>
          <w:szCs w:val="26"/>
        </w:rPr>
        <w:t xml:space="preserve"> </w:t>
      </w:r>
      <w:r w:rsidR="00496849">
        <w:rPr>
          <w:szCs w:val="26"/>
        </w:rPr>
        <w:t xml:space="preserve">issued </w:t>
      </w:r>
      <w:r>
        <w:rPr>
          <w:szCs w:val="26"/>
        </w:rPr>
        <w:t>December 8, 2015</w:t>
      </w:r>
      <w:r w:rsidR="00496849">
        <w:rPr>
          <w:szCs w:val="26"/>
        </w:rPr>
        <w:t>,</w:t>
      </w:r>
      <w:r w:rsidR="001F0898" w:rsidRPr="004240E7">
        <w:rPr>
          <w:szCs w:val="26"/>
        </w:rPr>
        <w:t xml:space="preserve"> </w:t>
      </w:r>
      <w:r w:rsidR="00A4385E" w:rsidRPr="004240E7">
        <w:rPr>
          <w:szCs w:val="26"/>
        </w:rPr>
        <w:t xml:space="preserve">is </w:t>
      </w:r>
      <w:r w:rsidR="00132B05">
        <w:rPr>
          <w:szCs w:val="26"/>
        </w:rPr>
        <w:t>modified</w:t>
      </w:r>
      <w:r w:rsidRPr="003D36AC">
        <w:rPr>
          <w:szCs w:val="26"/>
        </w:rPr>
        <w:t>, consistent with this Opinion and Order</w:t>
      </w:r>
      <w:r w:rsidR="00A4385E" w:rsidRPr="004240E7">
        <w:rPr>
          <w:szCs w:val="26"/>
        </w:rPr>
        <w:t>.</w:t>
      </w:r>
    </w:p>
    <w:p w:rsidR="00B42775" w:rsidRDefault="00B42775" w:rsidP="003D36AC">
      <w:pPr>
        <w:widowControl w:val="0"/>
        <w:overflowPunct/>
        <w:autoSpaceDE/>
        <w:autoSpaceDN/>
        <w:adjustRightInd/>
        <w:spacing w:line="360" w:lineRule="auto"/>
        <w:ind w:firstLine="1440"/>
        <w:textAlignment w:val="auto"/>
        <w:rPr>
          <w:szCs w:val="26"/>
        </w:rPr>
      </w:pPr>
    </w:p>
    <w:p w:rsidR="003D36AC" w:rsidRDefault="00B36970" w:rsidP="003D36AC">
      <w:pPr>
        <w:widowControl w:val="0"/>
        <w:overflowPunct/>
        <w:autoSpaceDE/>
        <w:autoSpaceDN/>
        <w:adjustRightInd/>
        <w:spacing w:line="360" w:lineRule="auto"/>
        <w:ind w:firstLine="1440"/>
        <w:textAlignment w:val="auto"/>
        <w:rPr>
          <w:szCs w:val="26"/>
        </w:rPr>
      </w:pPr>
      <w:r>
        <w:rPr>
          <w:szCs w:val="26"/>
        </w:rPr>
        <w:t>3.</w:t>
      </w:r>
      <w:r>
        <w:rPr>
          <w:szCs w:val="26"/>
        </w:rPr>
        <w:tab/>
      </w:r>
      <w:r w:rsidRPr="00B36970">
        <w:rPr>
          <w:szCs w:val="26"/>
        </w:rPr>
        <w:t>That within sixty (60) days from the date of entry of this Order</w:t>
      </w:r>
      <w:r>
        <w:rPr>
          <w:szCs w:val="26"/>
        </w:rPr>
        <w:t>,</w:t>
      </w:r>
      <w:r w:rsidRPr="00B36970">
        <w:rPr>
          <w:szCs w:val="26"/>
        </w:rPr>
        <w:t xml:space="preserve"> </w:t>
      </w:r>
      <w:r>
        <w:rPr>
          <w:szCs w:val="26"/>
        </w:rPr>
        <w:t xml:space="preserve">Blue Pilot Energy, </w:t>
      </w:r>
      <w:r w:rsidRPr="00B36970">
        <w:rPr>
          <w:szCs w:val="26"/>
        </w:rPr>
        <w:t xml:space="preserve">LLC shall provide a refund </w:t>
      </w:r>
      <w:r>
        <w:rPr>
          <w:szCs w:val="26"/>
        </w:rPr>
        <w:t xml:space="preserve">to </w:t>
      </w:r>
      <w:r w:rsidRPr="00B36970">
        <w:rPr>
          <w:szCs w:val="26"/>
        </w:rPr>
        <w:t>the Complainant</w:t>
      </w:r>
      <w:r>
        <w:rPr>
          <w:szCs w:val="26"/>
        </w:rPr>
        <w:t>,</w:t>
      </w:r>
      <w:r w:rsidRPr="00B36970">
        <w:rPr>
          <w:szCs w:val="26"/>
        </w:rPr>
        <w:t xml:space="preserve"> </w:t>
      </w:r>
      <w:r>
        <w:rPr>
          <w:szCs w:val="26"/>
        </w:rPr>
        <w:t>Loni Durante,</w:t>
      </w:r>
      <w:r w:rsidRPr="00B36970">
        <w:rPr>
          <w:szCs w:val="26"/>
        </w:rPr>
        <w:t xml:space="preserve"> </w:t>
      </w:r>
      <w:r w:rsidR="00B42775" w:rsidRPr="00B42775">
        <w:rPr>
          <w:szCs w:val="26"/>
        </w:rPr>
        <w:t>for the period March 20, 2014, through and including April 9, 2014, and for any other period beyond April 9, 2014</w:t>
      </w:r>
      <w:r w:rsidR="00EE4B7B">
        <w:rPr>
          <w:szCs w:val="26"/>
        </w:rPr>
        <w:t>,</w:t>
      </w:r>
      <w:r w:rsidR="00B42775" w:rsidRPr="00B42775">
        <w:rPr>
          <w:szCs w:val="26"/>
        </w:rPr>
        <w:t xml:space="preserve"> to the extent Blue Pilot Energy, LLC remained Ms. Durante’s EGS of record,</w:t>
      </w:r>
      <w:r w:rsidR="00B42775">
        <w:rPr>
          <w:szCs w:val="26"/>
        </w:rPr>
        <w:t xml:space="preserve"> </w:t>
      </w:r>
      <w:r w:rsidRPr="00B36970">
        <w:rPr>
          <w:szCs w:val="26"/>
        </w:rPr>
        <w:t xml:space="preserve">in the amount of the difference between what </w:t>
      </w:r>
      <w:r>
        <w:rPr>
          <w:szCs w:val="26"/>
        </w:rPr>
        <w:t xml:space="preserve">Ms. Durante was </w:t>
      </w:r>
      <w:r w:rsidRPr="00B36970">
        <w:rPr>
          <w:szCs w:val="26"/>
        </w:rPr>
        <w:t xml:space="preserve">billed </w:t>
      </w:r>
      <w:r>
        <w:rPr>
          <w:szCs w:val="26"/>
        </w:rPr>
        <w:t xml:space="preserve">and </w:t>
      </w:r>
      <w:r w:rsidRPr="00B36970">
        <w:rPr>
          <w:szCs w:val="26"/>
        </w:rPr>
        <w:t xml:space="preserve">what </w:t>
      </w:r>
      <w:r>
        <w:rPr>
          <w:szCs w:val="26"/>
        </w:rPr>
        <w:t>s</w:t>
      </w:r>
      <w:r w:rsidRPr="00B36970">
        <w:rPr>
          <w:szCs w:val="26"/>
        </w:rPr>
        <w:t xml:space="preserve">he should have been billed </w:t>
      </w:r>
      <w:r>
        <w:rPr>
          <w:szCs w:val="26"/>
        </w:rPr>
        <w:t xml:space="preserve">at </w:t>
      </w:r>
      <w:r w:rsidR="00B42775">
        <w:rPr>
          <w:szCs w:val="26"/>
        </w:rPr>
        <w:t>the</w:t>
      </w:r>
      <w:r>
        <w:rPr>
          <w:szCs w:val="26"/>
        </w:rPr>
        <w:t xml:space="preserve"> rate of $0.24/kWh </w:t>
      </w:r>
      <w:r w:rsidR="00B42775">
        <w:rPr>
          <w:szCs w:val="26"/>
        </w:rPr>
        <w:t xml:space="preserve">that </w:t>
      </w:r>
      <w:r>
        <w:rPr>
          <w:szCs w:val="26"/>
        </w:rPr>
        <w:t>was offered to and accepted by Ms. Durante on March 20, 2014</w:t>
      </w:r>
      <w:r w:rsidRPr="00B36970">
        <w:rPr>
          <w:szCs w:val="26"/>
        </w:rPr>
        <w:t>.</w:t>
      </w:r>
    </w:p>
    <w:p w:rsidR="00B36970" w:rsidRDefault="00B36970" w:rsidP="003D36AC">
      <w:pPr>
        <w:widowControl w:val="0"/>
        <w:overflowPunct/>
        <w:autoSpaceDE/>
        <w:autoSpaceDN/>
        <w:adjustRightInd/>
        <w:spacing w:line="360" w:lineRule="auto"/>
        <w:ind w:firstLine="1440"/>
        <w:textAlignment w:val="auto"/>
        <w:rPr>
          <w:szCs w:val="26"/>
        </w:rPr>
      </w:pPr>
    </w:p>
    <w:p w:rsidR="00067690" w:rsidRDefault="00A4385E" w:rsidP="00222EA7">
      <w:pPr>
        <w:pStyle w:val="PlainText"/>
        <w:spacing w:line="360" w:lineRule="auto"/>
        <w:rPr>
          <w:rFonts w:ascii="Times New Roman" w:hAnsi="Times New Roman" w:cs="Times New Roman"/>
          <w:sz w:val="26"/>
          <w:szCs w:val="26"/>
        </w:rPr>
      </w:pPr>
      <w:r w:rsidRPr="004240E7">
        <w:rPr>
          <w:sz w:val="26"/>
          <w:szCs w:val="26"/>
        </w:rPr>
        <w:tab/>
      </w:r>
      <w:r w:rsidR="004240E7">
        <w:rPr>
          <w:sz w:val="26"/>
          <w:szCs w:val="26"/>
        </w:rPr>
        <w:tab/>
      </w:r>
      <w:r w:rsidR="00B36970" w:rsidRPr="00B36970">
        <w:rPr>
          <w:rFonts w:ascii="Times New Roman" w:hAnsi="Times New Roman" w:cs="Times New Roman"/>
          <w:sz w:val="26"/>
          <w:szCs w:val="26"/>
        </w:rPr>
        <w:t>4</w:t>
      </w:r>
      <w:r w:rsidR="004240E7" w:rsidRPr="004240E7">
        <w:rPr>
          <w:rFonts w:ascii="Times New Roman" w:hAnsi="Times New Roman" w:cs="Times New Roman"/>
          <w:sz w:val="26"/>
          <w:szCs w:val="26"/>
        </w:rPr>
        <w:t>.</w:t>
      </w:r>
      <w:r w:rsidR="004240E7" w:rsidRPr="004240E7">
        <w:rPr>
          <w:rFonts w:ascii="Times New Roman" w:hAnsi="Times New Roman" w:cs="Times New Roman"/>
          <w:sz w:val="26"/>
          <w:szCs w:val="26"/>
        </w:rPr>
        <w:tab/>
      </w:r>
      <w:r w:rsidR="00067690">
        <w:rPr>
          <w:rFonts w:ascii="Times New Roman" w:hAnsi="Times New Roman" w:cs="Times New Roman"/>
          <w:sz w:val="26"/>
          <w:szCs w:val="26"/>
        </w:rPr>
        <w:t>That Blue Pilot Energy, LLC shall notify the Commission, by a filing at this docket number, when the payment required by Ordering Paragraph No. 3 has been made.</w:t>
      </w:r>
    </w:p>
    <w:p w:rsidR="00067690" w:rsidRDefault="00067690" w:rsidP="00222EA7">
      <w:pPr>
        <w:pStyle w:val="PlainText"/>
        <w:spacing w:line="360" w:lineRule="auto"/>
        <w:rPr>
          <w:rFonts w:ascii="Times New Roman" w:hAnsi="Times New Roman" w:cs="Times New Roman"/>
          <w:sz w:val="26"/>
          <w:szCs w:val="26"/>
        </w:rPr>
      </w:pPr>
    </w:p>
    <w:p w:rsidR="004240E7" w:rsidRPr="004240E7" w:rsidRDefault="00067690" w:rsidP="00542B09">
      <w:pPr>
        <w:pStyle w:val="PlainText"/>
        <w:spacing w:line="360" w:lineRule="auto"/>
        <w:ind w:firstLine="144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4240E7" w:rsidRPr="004240E7">
        <w:rPr>
          <w:rFonts w:ascii="Times New Roman" w:hAnsi="Times New Roman" w:cs="Times New Roman"/>
          <w:sz w:val="26"/>
          <w:szCs w:val="26"/>
        </w:rPr>
        <w:t>Th</w:t>
      </w:r>
      <w:r w:rsidR="004240E7">
        <w:rPr>
          <w:rFonts w:ascii="Times New Roman" w:hAnsi="Times New Roman" w:cs="Times New Roman"/>
          <w:sz w:val="26"/>
          <w:szCs w:val="26"/>
        </w:rPr>
        <w:t xml:space="preserve">at </w:t>
      </w:r>
      <w:r w:rsidR="003D36AC">
        <w:rPr>
          <w:rFonts w:ascii="Times New Roman" w:hAnsi="Times New Roman" w:cs="Times New Roman"/>
          <w:sz w:val="26"/>
          <w:szCs w:val="26"/>
        </w:rPr>
        <w:t>Blue Pilot Energy, LLC c</w:t>
      </w:r>
      <w:r w:rsidR="004240E7" w:rsidRPr="004240E7">
        <w:rPr>
          <w:rFonts w:ascii="Times New Roman" w:hAnsi="Times New Roman" w:cs="Times New Roman"/>
          <w:sz w:val="26"/>
          <w:szCs w:val="26"/>
        </w:rPr>
        <w:t>ease and desist from further violations of the Public Utility Code and t</w:t>
      </w:r>
      <w:r w:rsidR="00F648E7">
        <w:rPr>
          <w:rFonts w:ascii="Times New Roman" w:hAnsi="Times New Roman" w:cs="Times New Roman"/>
          <w:sz w:val="26"/>
          <w:szCs w:val="26"/>
        </w:rPr>
        <w:t>he Public Utility Commission’s R</w:t>
      </w:r>
      <w:r w:rsidR="004240E7" w:rsidRPr="004240E7">
        <w:rPr>
          <w:rFonts w:ascii="Times New Roman" w:hAnsi="Times New Roman" w:cs="Times New Roman"/>
          <w:sz w:val="26"/>
          <w:szCs w:val="26"/>
        </w:rPr>
        <w:t>egulations.</w:t>
      </w:r>
    </w:p>
    <w:p w:rsidR="004240E7" w:rsidRPr="004240E7" w:rsidRDefault="004240E7" w:rsidP="004240E7">
      <w:pPr>
        <w:suppressAutoHyphens/>
        <w:rPr>
          <w:szCs w:val="26"/>
        </w:rPr>
      </w:pPr>
    </w:p>
    <w:p w:rsidR="003D3DD9" w:rsidRPr="004240E7" w:rsidRDefault="00067690" w:rsidP="00132B05">
      <w:pPr>
        <w:suppressAutoHyphens/>
        <w:spacing w:line="360" w:lineRule="auto"/>
        <w:ind w:firstLine="1440"/>
        <w:rPr>
          <w:szCs w:val="26"/>
        </w:rPr>
      </w:pPr>
      <w:r>
        <w:rPr>
          <w:szCs w:val="26"/>
        </w:rPr>
        <w:br w:type="column"/>
        <w:t>6</w:t>
      </w:r>
      <w:r w:rsidR="003D3DD9">
        <w:rPr>
          <w:szCs w:val="26"/>
        </w:rPr>
        <w:t>.</w:t>
      </w:r>
      <w:r w:rsidR="003D3DD9">
        <w:rPr>
          <w:szCs w:val="26"/>
        </w:rPr>
        <w:tab/>
        <w:t>That</w:t>
      </w:r>
      <w:r>
        <w:rPr>
          <w:szCs w:val="26"/>
        </w:rPr>
        <w:t xml:space="preserve">, upon receipt of the filing required by Ordering Paragraph No. 4, </w:t>
      </w:r>
      <w:r w:rsidR="00132B05" w:rsidRPr="00132B05">
        <w:rPr>
          <w:szCs w:val="26"/>
        </w:rPr>
        <w:t xml:space="preserve">the proceeding docketed at </w:t>
      </w:r>
      <w:r w:rsidR="003D36AC">
        <w:rPr>
          <w:szCs w:val="26"/>
        </w:rPr>
        <w:t>F</w:t>
      </w:r>
      <w:r w:rsidR="00132B05" w:rsidRPr="00132B05">
        <w:rPr>
          <w:szCs w:val="26"/>
        </w:rPr>
        <w:t>-201</w:t>
      </w:r>
      <w:r w:rsidR="003D36AC">
        <w:rPr>
          <w:szCs w:val="26"/>
        </w:rPr>
        <w:t>5</w:t>
      </w:r>
      <w:r w:rsidR="00132B05" w:rsidRPr="00132B05">
        <w:rPr>
          <w:szCs w:val="26"/>
        </w:rPr>
        <w:t>-2</w:t>
      </w:r>
      <w:r w:rsidR="003D36AC">
        <w:rPr>
          <w:szCs w:val="26"/>
        </w:rPr>
        <w:t>4</w:t>
      </w:r>
      <w:r w:rsidR="00132B05">
        <w:rPr>
          <w:szCs w:val="26"/>
        </w:rPr>
        <w:t>8</w:t>
      </w:r>
      <w:r w:rsidR="003D36AC">
        <w:rPr>
          <w:szCs w:val="26"/>
        </w:rPr>
        <w:t>7082</w:t>
      </w:r>
      <w:r w:rsidR="00132B05" w:rsidRPr="00132B05">
        <w:rPr>
          <w:szCs w:val="26"/>
        </w:rPr>
        <w:t xml:space="preserve"> </w:t>
      </w:r>
      <w:r w:rsidR="003D3DD9">
        <w:rPr>
          <w:szCs w:val="26"/>
        </w:rPr>
        <w:t>be marked closed.</w:t>
      </w:r>
    </w:p>
    <w:p w:rsidR="00A4385E" w:rsidRPr="004240E7" w:rsidRDefault="00A4385E" w:rsidP="004240E7">
      <w:pPr>
        <w:spacing w:line="360" w:lineRule="auto"/>
        <w:ind w:firstLine="1440"/>
        <w:rPr>
          <w:szCs w:val="26"/>
        </w:rPr>
      </w:pPr>
    </w:p>
    <w:p w:rsidR="00EB6BF9" w:rsidRPr="004240E7" w:rsidRDefault="00D93165" w:rsidP="00AB2393">
      <w:pPr>
        <w:tabs>
          <w:tab w:val="left" w:pos="-720"/>
        </w:tabs>
        <w:ind w:firstLine="5040"/>
        <w:rPr>
          <w:szCs w:val="26"/>
        </w:rPr>
      </w:pPr>
      <w:bookmarkStart w:id="2" w:name="_GoBack"/>
      <w:r>
        <w:rPr>
          <w:noProof/>
        </w:rPr>
        <w:drawing>
          <wp:anchor distT="0" distB="0" distL="114300" distR="114300" simplePos="0" relativeHeight="251659264" behindDoc="1" locked="0" layoutInCell="1" allowOverlap="1" wp14:anchorId="3F13E248" wp14:editId="78DCC52F">
            <wp:simplePos x="0" y="0"/>
            <wp:positionH relativeFrom="column">
              <wp:posOffset>3133725</wp:posOffset>
            </wp:positionH>
            <wp:positionV relativeFrom="paragraph">
              <wp:posOffset>131445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EB6BF9" w:rsidRPr="004240E7">
        <w:rPr>
          <w:b/>
          <w:szCs w:val="26"/>
        </w:rPr>
        <w:t>BY THE COMMISSION,</w:t>
      </w:r>
    </w:p>
    <w:p w:rsidR="00EB6BF9" w:rsidRPr="004240E7" w:rsidRDefault="00EB6BF9" w:rsidP="00FD1DAD">
      <w:pPr>
        <w:tabs>
          <w:tab w:val="left" w:pos="-720"/>
        </w:tabs>
        <w:rPr>
          <w:szCs w:val="26"/>
        </w:rPr>
      </w:pPr>
    </w:p>
    <w:p w:rsidR="00EB6BF9" w:rsidRDefault="00EB6BF9" w:rsidP="003D36AC">
      <w:pPr>
        <w:tabs>
          <w:tab w:val="left" w:pos="-720"/>
        </w:tabs>
        <w:rPr>
          <w:szCs w:val="26"/>
        </w:rPr>
      </w:pPr>
    </w:p>
    <w:p w:rsidR="00D93165" w:rsidRDefault="00D93165"/>
    <w:p w:rsidR="003D36AC" w:rsidRPr="004240E7" w:rsidRDefault="003D36AC" w:rsidP="003D36AC">
      <w:pPr>
        <w:tabs>
          <w:tab w:val="left" w:pos="-720"/>
        </w:tabs>
        <w:rPr>
          <w:szCs w:val="26"/>
        </w:rPr>
      </w:pPr>
    </w:p>
    <w:p w:rsidR="00EB6BF9" w:rsidRPr="004240E7" w:rsidRDefault="0091054F" w:rsidP="00AB2393">
      <w:pPr>
        <w:tabs>
          <w:tab w:val="left" w:pos="-720"/>
        </w:tabs>
        <w:ind w:firstLine="5040"/>
        <w:rPr>
          <w:b/>
          <w:szCs w:val="26"/>
        </w:rPr>
      </w:pPr>
      <w:r w:rsidRPr="004240E7">
        <w:rPr>
          <w:szCs w:val="26"/>
        </w:rPr>
        <w:t>Rosemary Chiavetta</w:t>
      </w:r>
    </w:p>
    <w:p w:rsidR="00EB6BF9" w:rsidRPr="004240E7" w:rsidRDefault="00EB6BF9" w:rsidP="00AB2393">
      <w:pPr>
        <w:tabs>
          <w:tab w:val="left" w:pos="-720"/>
        </w:tabs>
        <w:ind w:firstLine="5040"/>
        <w:rPr>
          <w:szCs w:val="26"/>
        </w:rPr>
      </w:pPr>
      <w:r w:rsidRPr="004240E7">
        <w:rPr>
          <w:szCs w:val="26"/>
        </w:rPr>
        <w:t>Secretary</w:t>
      </w:r>
    </w:p>
    <w:p w:rsidR="00EB6BF9" w:rsidRPr="004240E7" w:rsidRDefault="00EB6BF9" w:rsidP="00FD1DAD">
      <w:pPr>
        <w:tabs>
          <w:tab w:val="left" w:pos="-720"/>
        </w:tabs>
        <w:rPr>
          <w:szCs w:val="26"/>
        </w:rPr>
      </w:pPr>
    </w:p>
    <w:p w:rsidR="00EB6BF9" w:rsidRPr="004240E7" w:rsidRDefault="00EB6BF9" w:rsidP="00FD1DAD">
      <w:pPr>
        <w:tabs>
          <w:tab w:val="left" w:pos="-720"/>
        </w:tabs>
        <w:rPr>
          <w:szCs w:val="26"/>
        </w:rPr>
      </w:pPr>
      <w:r w:rsidRPr="004240E7">
        <w:rPr>
          <w:szCs w:val="26"/>
        </w:rPr>
        <w:t>(SEAL)</w:t>
      </w:r>
    </w:p>
    <w:p w:rsidR="00EB6BF9" w:rsidRPr="004240E7" w:rsidRDefault="00EB6BF9" w:rsidP="00FD1DAD">
      <w:pPr>
        <w:tabs>
          <w:tab w:val="left" w:pos="-720"/>
        </w:tabs>
        <w:rPr>
          <w:szCs w:val="26"/>
        </w:rPr>
      </w:pPr>
    </w:p>
    <w:p w:rsidR="00EB6BF9" w:rsidRPr="004240E7" w:rsidRDefault="00194634" w:rsidP="00FD1DAD">
      <w:pPr>
        <w:tabs>
          <w:tab w:val="left" w:pos="-720"/>
        </w:tabs>
        <w:rPr>
          <w:szCs w:val="26"/>
        </w:rPr>
      </w:pPr>
      <w:r w:rsidRPr="004240E7">
        <w:rPr>
          <w:szCs w:val="26"/>
        </w:rPr>
        <w:t xml:space="preserve">ORDER </w:t>
      </w:r>
      <w:r w:rsidR="00033EF0" w:rsidRPr="004240E7">
        <w:rPr>
          <w:szCs w:val="26"/>
        </w:rPr>
        <w:t xml:space="preserve">ADOPTED: </w:t>
      </w:r>
      <w:r w:rsidR="00F648E7">
        <w:rPr>
          <w:szCs w:val="26"/>
        </w:rPr>
        <w:t xml:space="preserve"> </w:t>
      </w:r>
      <w:r w:rsidR="001070AB">
        <w:rPr>
          <w:szCs w:val="26"/>
        </w:rPr>
        <w:t>February 11</w:t>
      </w:r>
      <w:r w:rsidR="001F0898" w:rsidRPr="004240E7">
        <w:rPr>
          <w:szCs w:val="26"/>
        </w:rPr>
        <w:t>, 201</w:t>
      </w:r>
      <w:r w:rsidR="001070AB">
        <w:rPr>
          <w:szCs w:val="26"/>
        </w:rPr>
        <w:t>6</w:t>
      </w:r>
    </w:p>
    <w:p w:rsidR="00AB2393" w:rsidRPr="004240E7" w:rsidRDefault="00AB2393" w:rsidP="00FD1DAD">
      <w:pPr>
        <w:tabs>
          <w:tab w:val="left" w:pos="-720"/>
        </w:tabs>
        <w:rPr>
          <w:szCs w:val="26"/>
        </w:rPr>
      </w:pPr>
    </w:p>
    <w:p w:rsidR="001D5895" w:rsidRPr="004240E7" w:rsidRDefault="00C349D3" w:rsidP="00FD1DAD">
      <w:pPr>
        <w:tabs>
          <w:tab w:val="left" w:pos="-720"/>
        </w:tabs>
        <w:rPr>
          <w:szCs w:val="26"/>
        </w:rPr>
      </w:pPr>
      <w:r w:rsidRPr="004240E7">
        <w:rPr>
          <w:szCs w:val="26"/>
        </w:rPr>
        <w:t>ORDER ENTERED:</w:t>
      </w:r>
      <w:r w:rsidR="008F2810" w:rsidRPr="004240E7">
        <w:rPr>
          <w:szCs w:val="26"/>
        </w:rPr>
        <w:t xml:space="preserve">  </w:t>
      </w:r>
      <w:r w:rsidR="00D93165">
        <w:rPr>
          <w:szCs w:val="26"/>
        </w:rPr>
        <w:t>March 14, 2016</w:t>
      </w:r>
    </w:p>
    <w:sectPr w:rsidR="001D5895" w:rsidRPr="004240E7" w:rsidSect="00537FE4">
      <w:footerReference w:type="even" r:id="rId12"/>
      <w:footerReference w:type="default" r:id="rId13"/>
      <w:pgSz w:w="12240" w:h="15840"/>
      <w:pgMar w:top="1440" w:right="153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ED" w:rsidRDefault="008C31ED">
      <w:r>
        <w:separator/>
      </w:r>
    </w:p>
  </w:endnote>
  <w:endnote w:type="continuationSeparator" w:id="0">
    <w:p w:rsidR="008C31ED" w:rsidRDefault="008C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64" w:rsidRDefault="006A68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A6864" w:rsidRDefault="006A6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64" w:rsidRPr="006618C4" w:rsidRDefault="006A6864">
    <w:pPr>
      <w:pStyle w:val="Footer"/>
      <w:framePr w:wrap="around" w:vAnchor="text" w:hAnchor="margin" w:xAlign="center" w:y="1"/>
      <w:rPr>
        <w:rStyle w:val="PageNumber"/>
        <w:sz w:val="24"/>
        <w:szCs w:val="24"/>
      </w:rPr>
    </w:pPr>
    <w:r w:rsidRPr="006618C4">
      <w:rPr>
        <w:rStyle w:val="PageNumber"/>
        <w:sz w:val="24"/>
        <w:szCs w:val="24"/>
      </w:rPr>
      <w:fldChar w:fldCharType="begin"/>
    </w:r>
    <w:r w:rsidRPr="006618C4">
      <w:rPr>
        <w:rStyle w:val="PageNumber"/>
        <w:sz w:val="24"/>
        <w:szCs w:val="24"/>
      </w:rPr>
      <w:instrText xml:space="preserve">PAGE  </w:instrText>
    </w:r>
    <w:r w:rsidRPr="006618C4">
      <w:rPr>
        <w:rStyle w:val="PageNumber"/>
        <w:sz w:val="24"/>
        <w:szCs w:val="24"/>
      </w:rPr>
      <w:fldChar w:fldCharType="separate"/>
    </w:r>
    <w:r w:rsidR="00D93165">
      <w:rPr>
        <w:rStyle w:val="PageNumber"/>
        <w:noProof/>
        <w:sz w:val="24"/>
        <w:szCs w:val="24"/>
      </w:rPr>
      <w:t>12</w:t>
    </w:r>
    <w:r w:rsidRPr="006618C4">
      <w:rPr>
        <w:rStyle w:val="PageNumber"/>
        <w:sz w:val="24"/>
        <w:szCs w:val="24"/>
      </w:rPr>
      <w:fldChar w:fldCharType="end"/>
    </w:r>
  </w:p>
  <w:p w:rsidR="006A6864" w:rsidRPr="00D379CF" w:rsidRDefault="006A6864" w:rsidP="00C6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ED" w:rsidRDefault="008C31ED">
      <w:r>
        <w:separator/>
      </w:r>
    </w:p>
  </w:footnote>
  <w:footnote w:type="continuationSeparator" w:id="0">
    <w:p w:rsidR="008C31ED" w:rsidRDefault="008C31ED">
      <w:r>
        <w:continuationSeparator/>
      </w:r>
    </w:p>
  </w:footnote>
  <w:footnote w:id="1">
    <w:p w:rsidR="006A6864" w:rsidRPr="004F147D" w:rsidRDefault="006A6864" w:rsidP="004F147D">
      <w:pPr>
        <w:pStyle w:val="FootnoteText"/>
        <w:ind w:firstLine="720"/>
        <w:rPr>
          <w:sz w:val="26"/>
          <w:szCs w:val="26"/>
        </w:rPr>
      </w:pPr>
      <w:r w:rsidRPr="004F147D">
        <w:rPr>
          <w:rStyle w:val="FootnoteReference"/>
          <w:sz w:val="26"/>
          <w:szCs w:val="26"/>
        </w:rPr>
        <w:footnoteRef/>
      </w:r>
      <w:r w:rsidRPr="004F147D">
        <w:rPr>
          <w:sz w:val="26"/>
          <w:szCs w:val="26"/>
        </w:rPr>
        <w:t xml:space="preserve"> </w:t>
      </w:r>
      <w:r>
        <w:rPr>
          <w:sz w:val="26"/>
          <w:szCs w:val="26"/>
        </w:rPr>
        <w:tab/>
      </w:r>
      <w:r w:rsidRPr="004F147D">
        <w:rPr>
          <w:sz w:val="26"/>
          <w:szCs w:val="26"/>
        </w:rPr>
        <w:t>Th</w:t>
      </w:r>
      <w:r>
        <w:rPr>
          <w:sz w:val="26"/>
          <w:szCs w:val="26"/>
        </w:rPr>
        <w:t>e</w:t>
      </w:r>
      <w:r w:rsidRPr="004F147D">
        <w:rPr>
          <w:sz w:val="26"/>
          <w:szCs w:val="26"/>
        </w:rPr>
        <w:t xml:space="preserve"> recitation of the history of the proceeding is derived from the pleadings in the Commission’s formal record.</w:t>
      </w:r>
    </w:p>
  </w:footnote>
  <w:footnote w:id="2">
    <w:p w:rsidR="006A6864" w:rsidRDefault="006A6864" w:rsidP="004F147D">
      <w:pPr>
        <w:pStyle w:val="FootnoteText"/>
        <w:ind w:firstLine="720"/>
      </w:pPr>
      <w:r w:rsidRPr="004F147D">
        <w:rPr>
          <w:rStyle w:val="FootnoteReference"/>
          <w:sz w:val="26"/>
          <w:szCs w:val="26"/>
        </w:rPr>
        <w:footnoteRef/>
      </w:r>
      <w:r w:rsidRPr="004F147D">
        <w:rPr>
          <w:sz w:val="26"/>
          <w:szCs w:val="26"/>
        </w:rPr>
        <w:t xml:space="preserve"> </w:t>
      </w:r>
      <w:r>
        <w:rPr>
          <w:sz w:val="26"/>
          <w:szCs w:val="26"/>
        </w:rPr>
        <w:tab/>
      </w:r>
      <w:r w:rsidRPr="004F147D">
        <w:rPr>
          <w:sz w:val="26"/>
          <w:szCs w:val="26"/>
        </w:rPr>
        <w:t>P</w:t>
      </w:r>
      <w:r>
        <w:rPr>
          <w:sz w:val="26"/>
          <w:szCs w:val="26"/>
        </w:rPr>
        <w:t>PL filed a Certificate of Satisfaction on June 18, 2015, and did not participate further in the proceeding.</w:t>
      </w:r>
    </w:p>
  </w:footnote>
  <w:footnote w:id="3">
    <w:p w:rsidR="002C260E" w:rsidRPr="00C96574" w:rsidRDefault="002C260E" w:rsidP="00F3164F">
      <w:pPr>
        <w:pStyle w:val="FootnoteText"/>
        <w:ind w:firstLine="720"/>
        <w:rPr>
          <w:sz w:val="26"/>
          <w:szCs w:val="26"/>
        </w:rPr>
      </w:pPr>
      <w:r w:rsidRPr="00C96574">
        <w:rPr>
          <w:rStyle w:val="FootnoteReference"/>
          <w:sz w:val="26"/>
          <w:szCs w:val="26"/>
        </w:rPr>
        <w:footnoteRef/>
      </w:r>
      <w:r w:rsidRPr="00C96574">
        <w:rPr>
          <w:sz w:val="26"/>
          <w:szCs w:val="26"/>
        </w:rPr>
        <w:t xml:space="preserve"> </w:t>
      </w:r>
      <w:r w:rsidR="00C96574">
        <w:rPr>
          <w:sz w:val="26"/>
          <w:szCs w:val="26"/>
        </w:rPr>
        <w:tab/>
      </w:r>
      <w:r w:rsidRPr="00C96574">
        <w:rPr>
          <w:sz w:val="26"/>
          <w:szCs w:val="26"/>
        </w:rPr>
        <w:t>It is well-settled under Pennsylvania law that the Commission does not have traditional ratemaking authority over electric generation suppliers and does not regulate competitive supply rates.</w:t>
      </w:r>
    </w:p>
  </w:footnote>
  <w:footnote w:id="4">
    <w:p w:rsidR="002C260E" w:rsidRPr="00C96574" w:rsidRDefault="002C260E" w:rsidP="00F3164F">
      <w:pPr>
        <w:pStyle w:val="FootnoteText"/>
        <w:ind w:firstLine="720"/>
        <w:rPr>
          <w:sz w:val="26"/>
          <w:szCs w:val="26"/>
        </w:rPr>
      </w:pPr>
      <w:r w:rsidRPr="00C96574">
        <w:rPr>
          <w:rStyle w:val="FootnoteReference"/>
          <w:sz w:val="26"/>
          <w:szCs w:val="26"/>
        </w:rPr>
        <w:footnoteRef/>
      </w:r>
      <w:r w:rsidRPr="00C96574">
        <w:rPr>
          <w:sz w:val="26"/>
          <w:szCs w:val="26"/>
        </w:rPr>
        <w:t xml:space="preserve"> </w:t>
      </w:r>
      <w:r w:rsidR="00C96574">
        <w:rPr>
          <w:sz w:val="26"/>
          <w:szCs w:val="26"/>
        </w:rPr>
        <w:tab/>
      </w:r>
      <w:r w:rsidRPr="00C96574">
        <w:rPr>
          <w:sz w:val="26"/>
          <w:szCs w:val="26"/>
        </w:rPr>
        <w:t xml:space="preserve">At the time of the call Blue Pilot was charging the Complainant a rate of </w:t>
      </w:r>
      <w:r w:rsidR="00C96574">
        <w:rPr>
          <w:sz w:val="26"/>
          <w:szCs w:val="26"/>
        </w:rPr>
        <w:t>$0.</w:t>
      </w:r>
      <w:r w:rsidRPr="00C96574">
        <w:rPr>
          <w:sz w:val="26"/>
          <w:szCs w:val="26"/>
        </w:rPr>
        <w:t>449</w:t>
      </w:r>
      <w:r w:rsidR="00C96574">
        <w:rPr>
          <w:sz w:val="26"/>
          <w:szCs w:val="26"/>
        </w:rPr>
        <w:t>/</w:t>
      </w:r>
      <w:r w:rsidRPr="00C96574">
        <w:rPr>
          <w:sz w:val="26"/>
          <w:szCs w:val="26"/>
        </w:rPr>
        <w:t>kWh.</w:t>
      </w:r>
    </w:p>
  </w:footnote>
  <w:footnote w:id="5">
    <w:p w:rsidR="00AA4012" w:rsidRPr="00AA4012" w:rsidRDefault="00AA4012" w:rsidP="00AA4012">
      <w:pPr>
        <w:pStyle w:val="FootnoteText"/>
        <w:ind w:firstLine="720"/>
        <w:rPr>
          <w:sz w:val="26"/>
          <w:szCs w:val="26"/>
        </w:rPr>
      </w:pPr>
      <w:r w:rsidRPr="00AA4012">
        <w:rPr>
          <w:rStyle w:val="FootnoteReference"/>
          <w:sz w:val="26"/>
          <w:szCs w:val="26"/>
        </w:rPr>
        <w:footnoteRef/>
      </w:r>
      <w:r w:rsidRPr="00AA4012">
        <w:rPr>
          <w:sz w:val="26"/>
          <w:szCs w:val="26"/>
        </w:rPr>
        <w:t xml:space="preserve"> </w:t>
      </w:r>
      <w:r>
        <w:rPr>
          <w:sz w:val="26"/>
          <w:szCs w:val="26"/>
        </w:rPr>
        <w:tab/>
        <w:t>Th</w:t>
      </w:r>
      <w:r w:rsidRPr="00AA4012">
        <w:rPr>
          <w:sz w:val="26"/>
          <w:szCs w:val="26"/>
        </w:rPr>
        <w:t xml:space="preserve">e lower rate of $0.24/kWh </w:t>
      </w:r>
      <w:r>
        <w:rPr>
          <w:sz w:val="26"/>
          <w:szCs w:val="26"/>
        </w:rPr>
        <w:t xml:space="preserve">was actually offered by Blue Pilot and accepted by the Complainant </w:t>
      </w:r>
      <w:r w:rsidRPr="00AA4012">
        <w:rPr>
          <w:sz w:val="26"/>
          <w:szCs w:val="26"/>
        </w:rPr>
        <w:t xml:space="preserve">during her March 20, 2014 telephone call to </w:t>
      </w:r>
      <w:r>
        <w:rPr>
          <w:sz w:val="26"/>
          <w:szCs w:val="26"/>
        </w:rPr>
        <w:t xml:space="preserve">the Company to </w:t>
      </w:r>
      <w:r w:rsidRPr="00AA4012">
        <w:rPr>
          <w:sz w:val="26"/>
          <w:szCs w:val="26"/>
        </w:rPr>
        <w:t>terminate their service, not in February 2014, a correction to this Finding of Fact we make herein.</w:t>
      </w:r>
    </w:p>
  </w:footnote>
  <w:footnote w:id="6">
    <w:p w:rsidR="002C260E" w:rsidRDefault="002C260E" w:rsidP="00F979E5">
      <w:pPr>
        <w:pStyle w:val="FootnoteText"/>
        <w:ind w:firstLine="720"/>
      </w:pPr>
      <w:r w:rsidRPr="00C96574">
        <w:rPr>
          <w:rStyle w:val="FootnoteReference"/>
          <w:sz w:val="26"/>
          <w:szCs w:val="26"/>
        </w:rPr>
        <w:footnoteRef/>
      </w:r>
      <w:r w:rsidRPr="00C96574">
        <w:rPr>
          <w:sz w:val="26"/>
          <w:szCs w:val="26"/>
        </w:rPr>
        <w:t xml:space="preserve"> </w:t>
      </w:r>
      <w:r w:rsidR="00C96574">
        <w:rPr>
          <w:sz w:val="26"/>
          <w:szCs w:val="26"/>
        </w:rPr>
        <w:tab/>
      </w:r>
      <w:r w:rsidRPr="00C96574">
        <w:rPr>
          <w:sz w:val="26"/>
          <w:szCs w:val="26"/>
        </w:rPr>
        <w:t xml:space="preserve">Although the Commission does not have authority to order EGS refunds under Section 1312 of the Code applicable to public utilities only, the Commission can, </w:t>
      </w:r>
      <w:r w:rsidR="005A264C">
        <w:rPr>
          <w:sz w:val="26"/>
          <w:szCs w:val="26"/>
        </w:rPr>
        <w:t>through</w:t>
      </w:r>
      <w:r w:rsidRPr="00C96574">
        <w:rPr>
          <w:sz w:val="26"/>
          <w:szCs w:val="26"/>
        </w:rPr>
        <w:t xml:space="preserve"> its </w:t>
      </w:r>
      <w:r w:rsidR="005A264C">
        <w:rPr>
          <w:sz w:val="26"/>
          <w:szCs w:val="26"/>
        </w:rPr>
        <w:t xml:space="preserve">plenary powers under </w:t>
      </w:r>
      <w:r w:rsidRPr="00C96574">
        <w:rPr>
          <w:sz w:val="26"/>
          <w:szCs w:val="26"/>
        </w:rPr>
        <w:t xml:space="preserve">Section 501 </w:t>
      </w:r>
      <w:r w:rsidR="005A264C">
        <w:rPr>
          <w:sz w:val="26"/>
          <w:szCs w:val="26"/>
        </w:rPr>
        <w:t>of the Code</w:t>
      </w:r>
      <w:r w:rsidRPr="00C96574">
        <w:rPr>
          <w:sz w:val="26"/>
          <w:szCs w:val="26"/>
        </w:rPr>
        <w:t>, enforce the consumer protection provisions of the Electric Competition Act, 66 Pa. C.S. §§ 2801-2815, and order refunds for violating the Commission’s marketing and billing regulations and, in turn, Section 2809(b)</w:t>
      </w:r>
      <w:r w:rsidR="005A264C">
        <w:rPr>
          <w:sz w:val="26"/>
          <w:szCs w:val="26"/>
        </w:rPr>
        <w:t xml:space="preserve"> of the Code</w:t>
      </w:r>
      <w:r w:rsidRPr="00C96574">
        <w:rPr>
          <w:sz w:val="26"/>
          <w:szCs w:val="26"/>
        </w:rPr>
        <w:t xml:space="preserve">.  </w:t>
      </w:r>
      <w:r w:rsidRPr="00C96574">
        <w:rPr>
          <w:i/>
          <w:sz w:val="26"/>
          <w:szCs w:val="26"/>
        </w:rPr>
        <w:t>See</w:t>
      </w:r>
      <w:r w:rsidRPr="00C96574">
        <w:rPr>
          <w:sz w:val="26"/>
          <w:szCs w:val="26"/>
        </w:rPr>
        <w:t xml:space="preserve"> </w:t>
      </w:r>
      <w:r w:rsidRPr="00C96574">
        <w:rPr>
          <w:i/>
          <w:sz w:val="26"/>
          <w:szCs w:val="26"/>
        </w:rPr>
        <w:t xml:space="preserve">IDT </w:t>
      </w:r>
      <w:r w:rsidR="005A264C">
        <w:rPr>
          <w:i/>
          <w:sz w:val="26"/>
          <w:szCs w:val="26"/>
        </w:rPr>
        <w:t>Material Question</w:t>
      </w:r>
      <w:r w:rsidRPr="00C96574">
        <w:rPr>
          <w:sz w:val="26"/>
          <w:szCs w:val="26"/>
        </w:rPr>
        <w:t xml:space="preserve">; </w:t>
      </w:r>
      <w:r w:rsidRPr="00C96574">
        <w:rPr>
          <w:i/>
          <w:sz w:val="26"/>
          <w:szCs w:val="26"/>
        </w:rPr>
        <w:t>see also Kiback v. IDT Energy, Inc.</w:t>
      </w:r>
      <w:r w:rsidRPr="00C96574">
        <w:rPr>
          <w:sz w:val="26"/>
          <w:szCs w:val="26"/>
        </w:rPr>
        <w:t>, Docket No. C</w:t>
      </w:r>
      <w:r w:rsidRPr="00C96574">
        <w:rPr>
          <w:rFonts w:eastAsia="MS Gothic"/>
          <w:sz w:val="26"/>
          <w:szCs w:val="26"/>
        </w:rPr>
        <w:noBreakHyphen/>
      </w:r>
      <w:r w:rsidRPr="00C96574">
        <w:rPr>
          <w:sz w:val="26"/>
          <w:szCs w:val="26"/>
        </w:rPr>
        <w:t>2014-2409676, (Order entered August 20, 2015).  This includes the authority to order refunds when an EGS’ billed price does not match the marketed price as required by Sections 54.4(a) and 54.7(a) of our Regulations.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22E"/>
    <w:multiLevelType w:val="hybridMultilevel"/>
    <w:tmpl w:val="5F887800"/>
    <w:lvl w:ilvl="0" w:tplc="673CD6D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E1F215C"/>
    <w:multiLevelType w:val="hybridMultilevel"/>
    <w:tmpl w:val="941A304A"/>
    <w:lvl w:ilvl="0" w:tplc="2F44D0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154DF7"/>
    <w:multiLevelType w:val="hybridMultilevel"/>
    <w:tmpl w:val="740EAF8E"/>
    <w:lvl w:ilvl="0" w:tplc="DDBC2DCC">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E707C8B"/>
    <w:multiLevelType w:val="hybridMultilevel"/>
    <w:tmpl w:val="940287FC"/>
    <w:lvl w:ilvl="0" w:tplc="3CBA38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95"/>
    <w:rsid w:val="00000C16"/>
    <w:rsid w:val="00001598"/>
    <w:rsid w:val="0000396B"/>
    <w:rsid w:val="0000448C"/>
    <w:rsid w:val="00004F83"/>
    <w:rsid w:val="00005997"/>
    <w:rsid w:val="00007068"/>
    <w:rsid w:val="00010930"/>
    <w:rsid w:val="00012277"/>
    <w:rsid w:val="0001513D"/>
    <w:rsid w:val="000152EC"/>
    <w:rsid w:val="00016B0B"/>
    <w:rsid w:val="000171B7"/>
    <w:rsid w:val="000212DD"/>
    <w:rsid w:val="0002455E"/>
    <w:rsid w:val="00027455"/>
    <w:rsid w:val="00031927"/>
    <w:rsid w:val="0003280C"/>
    <w:rsid w:val="00033C37"/>
    <w:rsid w:val="00033E37"/>
    <w:rsid w:val="00033EF0"/>
    <w:rsid w:val="000346DD"/>
    <w:rsid w:val="000356D0"/>
    <w:rsid w:val="000421EA"/>
    <w:rsid w:val="00044EF7"/>
    <w:rsid w:val="00046DC5"/>
    <w:rsid w:val="000478C8"/>
    <w:rsid w:val="00053335"/>
    <w:rsid w:val="00054A37"/>
    <w:rsid w:val="0005503E"/>
    <w:rsid w:val="00060AC4"/>
    <w:rsid w:val="00061A7C"/>
    <w:rsid w:val="0006256E"/>
    <w:rsid w:val="00062B8A"/>
    <w:rsid w:val="0006310D"/>
    <w:rsid w:val="0006431F"/>
    <w:rsid w:val="000643FB"/>
    <w:rsid w:val="00064413"/>
    <w:rsid w:val="0006575D"/>
    <w:rsid w:val="00066856"/>
    <w:rsid w:val="00066954"/>
    <w:rsid w:val="00067690"/>
    <w:rsid w:val="00070288"/>
    <w:rsid w:val="000724B7"/>
    <w:rsid w:val="00073402"/>
    <w:rsid w:val="000764ED"/>
    <w:rsid w:val="00077260"/>
    <w:rsid w:val="000776C0"/>
    <w:rsid w:val="00081465"/>
    <w:rsid w:val="000827CA"/>
    <w:rsid w:val="0008309E"/>
    <w:rsid w:val="000834B4"/>
    <w:rsid w:val="00084260"/>
    <w:rsid w:val="0008431D"/>
    <w:rsid w:val="00084A9B"/>
    <w:rsid w:val="00085C14"/>
    <w:rsid w:val="00087139"/>
    <w:rsid w:val="000878FD"/>
    <w:rsid w:val="00091894"/>
    <w:rsid w:val="00091C04"/>
    <w:rsid w:val="00093A10"/>
    <w:rsid w:val="00093C35"/>
    <w:rsid w:val="000946B3"/>
    <w:rsid w:val="00094FD3"/>
    <w:rsid w:val="00095467"/>
    <w:rsid w:val="000A03EF"/>
    <w:rsid w:val="000A1477"/>
    <w:rsid w:val="000A3527"/>
    <w:rsid w:val="000A3659"/>
    <w:rsid w:val="000A3F60"/>
    <w:rsid w:val="000A47BF"/>
    <w:rsid w:val="000A4A94"/>
    <w:rsid w:val="000A628D"/>
    <w:rsid w:val="000A7484"/>
    <w:rsid w:val="000B1929"/>
    <w:rsid w:val="000B1F1C"/>
    <w:rsid w:val="000B36DD"/>
    <w:rsid w:val="000B3839"/>
    <w:rsid w:val="000B52DB"/>
    <w:rsid w:val="000B5AD1"/>
    <w:rsid w:val="000C0224"/>
    <w:rsid w:val="000C1CEE"/>
    <w:rsid w:val="000C4098"/>
    <w:rsid w:val="000C5F16"/>
    <w:rsid w:val="000C6436"/>
    <w:rsid w:val="000D03DA"/>
    <w:rsid w:val="000D0CFF"/>
    <w:rsid w:val="000D1242"/>
    <w:rsid w:val="000D1F8D"/>
    <w:rsid w:val="000D29CD"/>
    <w:rsid w:val="000D2FAA"/>
    <w:rsid w:val="000D42F0"/>
    <w:rsid w:val="000D4AD4"/>
    <w:rsid w:val="000D4AF4"/>
    <w:rsid w:val="000D62A3"/>
    <w:rsid w:val="000D74FD"/>
    <w:rsid w:val="000D7869"/>
    <w:rsid w:val="000E0D9A"/>
    <w:rsid w:val="000E36A5"/>
    <w:rsid w:val="000E6117"/>
    <w:rsid w:val="000E6728"/>
    <w:rsid w:val="000E755D"/>
    <w:rsid w:val="000F006B"/>
    <w:rsid w:val="000F0DA7"/>
    <w:rsid w:val="000F2DDA"/>
    <w:rsid w:val="000F3C8C"/>
    <w:rsid w:val="000F5595"/>
    <w:rsid w:val="000F73FC"/>
    <w:rsid w:val="000F7FC8"/>
    <w:rsid w:val="00101A97"/>
    <w:rsid w:val="0010246C"/>
    <w:rsid w:val="0010370E"/>
    <w:rsid w:val="00103BD1"/>
    <w:rsid w:val="00103D52"/>
    <w:rsid w:val="001049BE"/>
    <w:rsid w:val="00106962"/>
    <w:rsid w:val="001070AB"/>
    <w:rsid w:val="00107F51"/>
    <w:rsid w:val="00110694"/>
    <w:rsid w:val="0011196C"/>
    <w:rsid w:val="001121BC"/>
    <w:rsid w:val="00112C34"/>
    <w:rsid w:val="00113721"/>
    <w:rsid w:val="00113C4E"/>
    <w:rsid w:val="001150A1"/>
    <w:rsid w:val="0011756F"/>
    <w:rsid w:val="00117773"/>
    <w:rsid w:val="00124AEA"/>
    <w:rsid w:val="0012549B"/>
    <w:rsid w:val="00132B05"/>
    <w:rsid w:val="00133861"/>
    <w:rsid w:val="00133878"/>
    <w:rsid w:val="00135770"/>
    <w:rsid w:val="00135D68"/>
    <w:rsid w:val="00135D77"/>
    <w:rsid w:val="00136208"/>
    <w:rsid w:val="00137CC5"/>
    <w:rsid w:val="00141AB9"/>
    <w:rsid w:val="00142726"/>
    <w:rsid w:val="0014333F"/>
    <w:rsid w:val="00144609"/>
    <w:rsid w:val="00145AC2"/>
    <w:rsid w:val="00150D08"/>
    <w:rsid w:val="00151623"/>
    <w:rsid w:val="0015190E"/>
    <w:rsid w:val="00152B89"/>
    <w:rsid w:val="00152E1B"/>
    <w:rsid w:val="00155E13"/>
    <w:rsid w:val="001561DB"/>
    <w:rsid w:val="00156282"/>
    <w:rsid w:val="00156BAE"/>
    <w:rsid w:val="0016453B"/>
    <w:rsid w:val="00164AC8"/>
    <w:rsid w:val="00164CAD"/>
    <w:rsid w:val="00165639"/>
    <w:rsid w:val="0016682F"/>
    <w:rsid w:val="00166FF6"/>
    <w:rsid w:val="00170FA1"/>
    <w:rsid w:val="00171155"/>
    <w:rsid w:val="00171DEF"/>
    <w:rsid w:val="001732CB"/>
    <w:rsid w:val="0017376D"/>
    <w:rsid w:val="00175563"/>
    <w:rsid w:val="00175F7D"/>
    <w:rsid w:val="00176BC1"/>
    <w:rsid w:val="00177638"/>
    <w:rsid w:val="00180D35"/>
    <w:rsid w:val="001822F2"/>
    <w:rsid w:val="00183ED3"/>
    <w:rsid w:val="001860A4"/>
    <w:rsid w:val="00186BCD"/>
    <w:rsid w:val="00187193"/>
    <w:rsid w:val="00187ABA"/>
    <w:rsid w:val="00190DCD"/>
    <w:rsid w:val="0019300F"/>
    <w:rsid w:val="00193C2D"/>
    <w:rsid w:val="001945EF"/>
    <w:rsid w:val="00194634"/>
    <w:rsid w:val="00194832"/>
    <w:rsid w:val="00195BC2"/>
    <w:rsid w:val="0019620D"/>
    <w:rsid w:val="00196CB1"/>
    <w:rsid w:val="00196F1E"/>
    <w:rsid w:val="001A013B"/>
    <w:rsid w:val="001A04AC"/>
    <w:rsid w:val="001A0D34"/>
    <w:rsid w:val="001A0E3F"/>
    <w:rsid w:val="001A2524"/>
    <w:rsid w:val="001A3845"/>
    <w:rsid w:val="001A47A9"/>
    <w:rsid w:val="001B3387"/>
    <w:rsid w:val="001B3B69"/>
    <w:rsid w:val="001B4734"/>
    <w:rsid w:val="001B5943"/>
    <w:rsid w:val="001C13F2"/>
    <w:rsid w:val="001C1A17"/>
    <w:rsid w:val="001C2894"/>
    <w:rsid w:val="001C42D5"/>
    <w:rsid w:val="001C436B"/>
    <w:rsid w:val="001C4490"/>
    <w:rsid w:val="001C6A14"/>
    <w:rsid w:val="001C756F"/>
    <w:rsid w:val="001D19F7"/>
    <w:rsid w:val="001D1BF7"/>
    <w:rsid w:val="001D1DED"/>
    <w:rsid w:val="001D1FA9"/>
    <w:rsid w:val="001D21D1"/>
    <w:rsid w:val="001D4C63"/>
    <w:rsid w:val="001D5895"/>
    <w:rsid w:val="001D58F0"/>
    <w:rsid w:val="001D6408"/>
    <w:rsid w:val="001D77B5"/>
    <w:rsid w:val="001E092E"/>
    <w:rsid w:val="001E1014"/>
    <w:rsid w:val="001E6C88"/>
    <w:rsid w:val="001E74E1"/>
    <w:rsid w:val="001E77ED"/>
    <w:rsid w:val="001F03FC"/>
    <w:rsid w:val="001F0898"/>
    <w:rsid w:val="001F1034"/>
    <w:rsid w:val="001F1CA1"/>
    <w:rsid w:val="001F2B4E"/>
    <w:rsid w:val="00201435"/>
    <w:rsid w:val="00201FBB"/>
    <w:rsid w:val="00207229"/>
    <w:rsid w:val="00212855"/>
    <w:rsid w:val="00215D11"/>
    <w:rsid w:val="0021679E"/>
    <w:rsid w:val="00220059"/>
    <w:rsid w:val="00221165"/>
    <w:rsid w:val="00222656"/>
    <w:rsid w:val="00222EA7"/>
    <w:rsid w:val="00224052"/>
    <w:rsid w:val="00230A68"/>
    <w:rsid w:val="002346B7"/>
    <w:rsid w:val="00234F6D"/>
    <w:rsid w:val="00237891"/>
    <w:rsid w:val="00237C85"/>
    <w:rsid w:val="00237D75"/>
    <w:rsid w:val="002425E0"/>
    <w:rsid w:val="002431EB"/>
    <w:rsid w:val="002437DF"/>
    <w:rsid w:val="00243814"/>
    <w:rsid w:val="0024638C"/>
    <w:rsid w:val="0024644A"/>
    <w:rsid w:val="00247258"/>
    <w:rsid w:val="00251F27"/>
    <w:rsid w:val="00252D08"/>
    <w:rsid w:val="00253152"/>
    <w:rsid w:val="0025316E"/>
    <w:rsid w:val="0025361E"/>
    <w:rsid w:val="00254470"/>
    <w:rsid w:val="00256151"/>
    <w:rsid w:val="00256334"/>
    <w:rsid w:val="00257A3B"/>
    <w:rsid w:val="002608DA"/>
    <w:rsid w:val="002608E3"/>
    <w:rsid w:val="00260DCA"/>
    <w:rsid w:val="00261C13"/>
    <w:rsid w:val="00261F12"/>
    <w:rsid w:val="00262398"/>
    <w:rsid w:val="00263201"/>
    <w:rsid w:val="00263890"/>
    <w:rsid w:val="002655FC"/>
    <w:rsid w:val="00266815"/>
    <w:rsid w:val="002706F1"/>
    <w:rsid w:val="00270F7E"/>
    <w:rsid w:val="00272254"/>
    <w:rsid w:val="0027336F"/>
    <w:rsid w:val="00273E10"/>
    <w:rsid w:val="0027490F"/>
    <w:rsid w:val="00274C62"/>
    <w:rsid w:val="00275ADC"/>
    <w:rsid w:val="0027610D"/>
    <w:rsid w:val="002761C1"/>
    <w:rsid w:val="00276375"/>
    <w:rsid w:val="00276830"/>
    <w:rsid w:val="002779E8"/>
    <w:rsid w:val="00277A3F"/>
    <w:rsid w:val="00282440"/>
    <w:rsid w:val="002831D6"/>
    <w:rsid w:val="00283705"/>
    <w:rsid w:val="00286D71"/>
    <w:rsid w:val="002871A9"/>
    <w:rsid w:val="00287574"/>
    <w:rsid w:val="00290846"/>
    <w:rsid w:val="00291E4F"/>
    <w:rsid w:val="0029442D"/>
    <w:rsid w:val="00296039"/>
    <w:rsid w:val="00297F6A"/>
    <w:rsid w:val="002A05AC"/>
    <w:rsid w:val="002A1364"/>
    <w:rsid w:val="002A1B1F"/>
    <w:rsid w:val="002A25AA"/>
    <w:rsid w:val="002A46B7"/>
    <w:rsid w:val="002B01DF"/>
    <w:rsid w:val="002B09C9"/>
    <w:rsid w:val="002B0F4E"/>
    <w:rsid w:val="002B0FA3"/>
    <w:rsid w:val="002B17C0"/>
    <w:rsid w:val="002B27A6"/>
    <w:rsid w:val="002B3591"/>
    <w:rsid w:val="002B3C64"/>
    <w:rsid w:val="002B6058"/>
    <w:rsid w:val="002B7FCE"/>
    <w:rsid w:val="002C1D11"/>
    <w:rsid w:val="002C1FA1"/>
    <w:rsid w:val="002C260E"/>
    <w:rsid w:val="002C4DC2"/>
    <w:rsid w:val="002D00EB"/>
    <w:rsid w:val="002D17F4"/>
    <w:rsid w:val="002D2A56"/>
    <w:rsid w:val="002D3D8E"/>
    <w:rsid w:val="002D5870"/>
    <w:rsid w:val="002D59E5"/>
    <w:rsid w:val="002D7491"/>
    <w:rsid w:val="002E2CE0"/>
    <w:rsid w:val="002E305A"/>
    <w:rsid w:val="002E517D"/>
    <w:rsid w:val="002E5559"/>
    <w:rsid w:val="002E64ED"/>
    <w:rsid w:val="002E72DF"/>
    <w:rsid w:val="002F094B"/>
    <w:rsid w:val="002F09E6"/>
    <w:rsid w:val="002F2005"/>
    <w:rsid w:val="002F25F6"/>
    <w:rsid w:val="002F3080"/>
    <w:rsid w:val="002F3580"/>
    <w:rsid w:val="002F38D7"/>
    <w:rsid w:val="002F3F0C"/>
    <w:rsid w:val="002F4B80"/>
    <w:rsid w:val="002F4EBC"/>
    <w:rsid w:val="002F5ADD"/>
    <w:rsid w:val="002F67FF"/>
    <w:rsid w:val="0030125B"/>
    <w:rsid w:val="00301316"/>
    <w:rsid w:val="00301B73"/>
    <w:rsid w:val="00302035"/>
    <w:rsid w:val="003046B2"/>
    <w:rsid w:val="00307B3B"/>
    <w:rsid w:val="00310355"/>
    <w:rsid w:val="00312382"/>
    <w:rsid w:val="003130C1"/>
    <w:rsid w:val="003130D3"/>
    <w:rsid w:val="003131FF"/>
    <w:rsid w:val="00313B04"/>
    <w:rsid w:val="003148F5"/>
    <w:rsid w:val="0031570E"/>
    <w:rsid w:val="00316FF1"/>
    <w:rsid w:val="003170CC"/>
    <w:rsid w:val="00320409"/>
    <w:rsid w:val="00320DD5"/>
    <w:rsid w:val="00321363"/>
    <w:rsid w:val="00321E6D"/>
    <w:rsid w:val="00322AA5"/>
    <w:rsid w:val="00322CD9"/>
    <w:rsid w:val="003244AC"/>
    <w:rsid w:val="00324B27"/>
    <w:rsid w:val="00324C58"/>
    <w:rsid w:val="00327077"/>
    <w:rsid w:val="0032782D"/>
    <w:rsid w:val="0033054C"/>
    <w:rsid w:val="003307E4"/>
    <w:rsid w:val="0033192B"/>
    <w:rsid w:val="003364D1"/>
    <w:rsid w:val="003372AB"/>
    <w:rsid w:val="003402C6"/>
    <w:rsid w:val="003416D8"/>
    <w:rsid w:val="00342F7C"/>
    <w:rsid w:val="003441BD"/>
    <w:rsid w:val="00352A30"/>
    <w:rsid w:val="00352E14"/>
    <w:rsid w:val="00353435"/>
    <w:rsid w:val="00354095"/>
    <w:rsid w:val="00355991"/>
    <w:rsid w:val="00355C87"/>
    <w:rsid w:val="0035639B"/>
    <w:rsid w:val="00357B4F"/>
    <w:rsid w:val="00361351"/>
    <w:rsid w:val="00361784"/>
    <w:rsid w:val="00361CD9"/>
    <w:rsid w:val="003634D4"/>
    <w:rsid w:val="00363D88"/>
    <w:rsid w:val="00366563"/>
    <w:rsid w:val="00366BCE"/>
    <w:rsid w:val="00367487"/>
    <w:rsid w:val="00367D20"/>
    <w:rsid w:val="00372C47"/>
    <w:rsid w:val="00374741"/>
    <w:rsid w:val="003755FF"/>
    <w:rsid w:val="00377EE0"/>
    <w:rsid w:val="00380259"/>
    <w:rsid w:val="003804A4"/>
    <w:rsid w:val="00380B82"/>
    <w:rsid w:val="00380DCA"/>
    <w:rsid w:val="003824A2"/>
    <w:rsid w:val="00382725"/>
    <w:rsid w:val="00383A58"/>
    <w:rsid w:val="00384096"/>
    <w:rsid w:val="003851C9"/>
    <w:rsid w:val="003876B0"/>
    <w:rsid w:val="00390EC5"/>
    <w:rsid w:val="00393F07"/>
    <w:rsid w:val="00394B3E"/>
    <w:rsid w:val="0039585D"/>
    <w:rsid w:val="00396689"/>
    <w:rsid w:val="003974D0"/>
    <w:rsid w:val="003A1EEF"/>
    <w:rsid w:val="003A382D"/>
    <w:rsid w:val="003A7A08"/>
    <w:rsid w:val="003B165D"/>
    <w:rsid w:val="003B4146"/>
    <w:rsid w:val="003B4E53"/>
    <w:rsid w:val="003B597D"/>
    <w:rsid w:val="003B736A"/>
    <w:rsid w:val="003C01A3"/>
    <w:rsid w:val="003C0EBE"/>
    <w:rsid w:val="003C1EA2"/>
    <w:rsid w:val="003C28B4"/>
    <w:rsid w:val="003C394F"/>
    <w:rsid w:val="003C48C3"/>
    <w:rsid w:val="003C4E1F"/>
    <w:rsid w:val="003C4E35"/>
    <w:rsid w:val="003C536B"/>
    <w:rsid w:val="003C7488"/>
    <w:rsid w:val="003C799F"/>
    <w:rsid w:val="003D05D8"/>
    <w:rsid w:val="003D25EC"/>
    <w:rsid w:val="003D26A2"/>
    <w:rsid w:val="003D2A51"/>
    <w:rsid w:val="003D330F"/>
    <w:rsid w:val="003D36AC"/>
    <w:rsid w:val="003D3DD9"/>
    <w:rsid w:val="003D4080"/>
    <w:rsid w:val="003D586D"/>
    <w:rsid w:val="003D601B"/>
    <w:rsid w:val="003D680F"/>
    <w:rsid w:val="003D78C6"/>
    <w:rsid w:val="003E0D11"/>
    <w:rsid w:val="003E50C5"/>
    <w:rsid w:val="003E50D4"/>
    <w:rsid w:val="003E53AB"/>
    <w:rsid w:val="003E71E6"/>
    <w:rsid w:val="003E7424"/>
    <w:rsid w:val="003E76ED"/>
    <w:rsid w:val="003E7B98"/>
    <w:rsid w:val="003F1B3F"/>
    <w:rsid w:val="003F25FF"/>
    <w:rsid w:val="003F300D"/>
    <w:rsid w:val="003F3B10"/>
    <w:rsid w:val="003F44CF"/>
    <w:rsid w:val="003F4A5F"/>
    <w:rsid w:val="003F5049"/>
    <w:rsid w:val="003F5C1E"/>
    <w:rsid w:val="003F6200"/>
    <w:rsid w:val="003F685C"/>
    <w:rsid w:val="003F6B83"/>
    <w:rsid w:val="003F6BEE"/>
    <w:rsid w:val="003F6CB8"/>
    <w:rsid w:val="003F7366"/>
    <w:rsid w:val="003F7CC0"/>
    <w:rsid w:val="0040036A"/>
    <w:rsid w:val="0040303F"/>
    <w:rsid w:val="00403452"/>
    <w:rsid w:val="00403520"/>
    <w:rsid w:val="00404F7C"/>
    <w:rsid w:val="00406392"/>
    <w:rsid w:val="00406B87"/>
    <w:rsid w:val="00413680"/>
    <w:rsid w:val="004140B5"/>
    <w:rsid w:val="00414436"/>
    <w:rsid w:val="00414697"/>
    <w:rsid w:val="00417F99"/>
    <w:rsid w:val="004232D3"/>
    <w:rsid w:val="0042382F"/>
    <w:rsid w:val="004240E7"/>
    <w:rsid w:val="004255A5"/>
    <w:rsid w:val="00426FF9"/>
    <w:rsid w:val="00430CBA"/>
    <w:rsid w:val="00432E86"/>
    <w:rsid w:val="00435D03"/>
    <w:rsid w:val="0043726B"/>
    <w:rsid w:val="00437569"/>
    <w:rsid w:val="00444E49"/>
    <w:rsid w:val="0044651B"/>
    <w:rsid w:val="00450BEE"/>
    <w:rsid w:val="00450C02"/>
    <w:rsid w:val="004511E5"/>
    <w:rsid w:val="004511FD"/>
    <w:rsid w:val="00451DD0"/>
    <w:rsid w:val="00452A75"/>
    <w:rsid w:val="00453053"/>
    <w:rsid w:val="004546FD"/>
    <w:rsid w:val="00455153"/>
    <w:rsid w:val="00455892"/>
    <w:rsid w:val="00456DFB"/>
    <w:rsid w:val="00457490"/>
    <w:rsid w:val="00460329"/>
    <w:rsid w:val="00461815"/>
    <w:rsid w:val="00461E1B"/>
    <w:rsid w:val="00462615"/>
    <w:rsid w:val="00465FAC"/>
    <w:rsid w:val="004670A8"/>
    <w:rsid w:val="00467C59"/>
    <w:rsid w:val="004711CE"/>
    <w:rsid w:val="00471F51"/>
    <w:rsid w:val="00475BC7"/>
    <w:rsid w:val="00477945"/>
    <w:rsid w:val="004816B9"/>
    <w:rsid w:val="00482668"/>
    <w:rsid w:val="004829FB"/>
    <w:rsid w:val="00483380"/>
    <w:rsid w:val="00483502"/>
    <w:rsid w:val="00484D41"/>
    <w:rsid w:val="0048540B"/>
    <w:rsid w:val="004856AA"/>
    <w:rsid w:val="00487C4E"/>
    <w:rsid w:val="00491328"/>
    <w:rsid w:val="00491900"/>
    <w:rsid w:val="00494C95"/>
    <w:rsid w:val="0049500C"/>
    <w:rsid w:val="004965CE"/>
    <w:rsid w:val="00496849"/>
    <w:rsid w:val="004A5066"/>
    <w:rsid w:val="004A685C"/>
    <w:rsid w:val="004A6D5D"/>
    <w:rsid w:val="004A736F"/>
    <w:rsid w:val="004A75A4"/>
    <w:rsid w:val="004B2BC4"/>
    <w:rsid w:val="004B30FD"/>
    <w:rsid w:val="004B322B"/>
    <w:rsid w:val="004B4369"/>
    <w:rsid w:val="004B46AD"/>
    <w:rsid w:val="004B4B05"/>
    <w:rsid w:val="004B57B4"/>
    <w:rsid w:val="004B5BA9"/>
    <w:rsid w:val="004B61AB"/>
    <w:rsid w:val="004B6662"/>
    <w:rsid w:val="004C1725"/>
    <w:rsid w:val="004C1A4E"/>
    <w:rsid w:val="004C1EB7"/>
    <w:rsid w:val="004C6701"/>
    <w:rsid w:val="004C7ED8"/>
    <w:rsid w:val="004D15B7"/>
    <w:rsid w:val="004D3065"/>
    <w:rsid w:val="004D3D1E"/>
    <w:rsid w:val="004D4521"/>
    <w:rsid w:val="004D4D2F"/>
    <w:rsid w:val="004D5080"/>
    <w:rsid w:val="004E281A"/>
    <w:rsid w:val="004E3E15"/>
    <w:rsid w:val="004E5CAC"/>
    <w:rsid w:val="004E69E8"/>
    <w:rsid w:val="004F0428"/>
    <w:rsid w:val="004F147D"/>
    <w:rsid w:val="004F2857"/>
    <w:rsid w:val="004F4F44"/>
    <w:rsid w:val="004F510C"/>
    <w:rsid w:val="004F6EF8"/>
    <w:rsid w:val="004F706A"/>
    <w:rsid w:val="004F7403"/>
    <w:rsid w:val="004F7841"/>
    <w:rsid w:val="0050386D"/>
    <w:rsid w:val="00506106"/>
    <w:rsid w:val="005100FA"/>
    <w:rsid w:val="00510693"/>
    <w:rsid w:val="00512565"/>
    <w:rsid w:val="00513175"/>
    <w:rsid w:val="00514214"/>
    <w:rsid w:val="005228A5"/>
    <w:rsid w:val="0052290F"/>
    <w:rsid w:val="00524B65"/>
    <w:rsid w:val="00526259"/>
    <w:rsid w:val="00526D27"/>
    <w:rsid w:val="00530609"/>
    <w:rsid w:val="005308BE"/>
    <w:rsid w:val="00530EC1"/>
    <w:rsid w:val="005321A0"/>
    <w:rsid w:val="00532B80"/>
    <w:rsid w:val="00536B1F"/>
    <w:rsid w:val="0053760A"/>
    <w:rsid w:val="00537FE4"/>
    <w:rsid w:val="005425FA"/>
    <w:rsid w:val="00542B09"/>
    <w:rsid w:val="005449FE"/>
    <w:rsid w:val="00545677"/>
    <w:rsid w:val="00546477"/>
    <w:rsid w:val="0055172E"/>
    <w:rsid w:val="005526B7"/>
    <w:rsid w:val="00552BB8"/>
    <w:rsid w:val="00553501"/>
    <w:rsid w:val="005564A1"/>
    <w:rsid w:val="005568A3"/>
    <w:rsid w:val="00556A16"/>
    <w:rsid w:val="00560354"/>
    <w:rsid w:val="0056098B"/>
    <w:rsid w:val="00562283"/>
    <w:rsid w:val="0056240E"/>
    <w:rsid w:val="00564149"/>
    <w:rsid w:val="005643B9"/>
    <w:rsid w:val="00564813"/>
    <w:rsid w:val="005701EB"/>
    <w:rsid w:val="00570B94"/>
    <w:rsid w:val="005711CF"/>
    <w:rsid w:val="0057212B"/>
    <w:rsid w:val="00572233"/>
    <w:rsid w:val="005729C7"/>
    <w:rsid w:val="0057367C"/>
    <w:rsid w:val="00573EFE"/>
    <w:rsid w:val="0057413C"/>
    <w:rsid w:val="00574C45"/>
    <w:rsid w:val="00574F03"/>
    <w:rsid w:val="00575F2C"/>
    <w:rsid w:val="0057613E"/>
    <w:rsid w:val="005765CD"/>
    <w:rsid w:val="005778FC"/>
    <w:rsid w:val="00580167"/>
    <w:rsid w:val="005816FA"/>
    <w:rsid w:val="00581D46"/>
    <w:rsid w:val="005844F9"/>
    <w:rsid w:val="0058543F"/>
    <w:rsid w:val="005872C8"/>
    <w:rsid w:val="00587AF7"/>
    <w:rsid w:val="0059119E"/>
    <w:rsid w:val="00593F4C"/>
    <w:rsid w:val="00594716"/>
    <w:rsid w:val="00594F53"/>
    <w:rsid w:val="005954F4"/>
    <w:rsid w:val="00595614"/>
    <w:rsid w:val="005977A1"/>
    <w:rsid w:val="005A037F"/>
    <w:rsid w:val="005A0CF4"/>
    <w:rsid w:val="005A2180"/>
    <w:rsid w:val="005A264C"/>
    <w:rsid w:val="005A53D2"/>
    <w:rsid w:val="005A71FA"/>
    <w:rsid w:val="005B1EF7"/>
    <w:rsid w:val="005B5AD1"/>
    <w:rsid w:val="005B6109"/>
    <w:rsid w:val="005B6947"/>
    <w:rsid w:val="005B7A41"/>
    <w:rsid w:val="005B7C74"/>
    <w:rsid w:val="005C07D8"/>
    <w:rsid w:val="005C089F"/>
    <w:rsid w:val="005C2092"/>
    <w:rsid w:val="005C76B5"/>
    <w:rsid w:val="005C77E4"/>
    <w:rsid w:val="005C78AA"/>
    <w:rsid w:val="005C7955"/>
    <w:rsid w:val="005C7B58"/>
    <w:rsid w:val="005D3CE4"/>
    <w:rsid w:val="005D43EC"/>
    <w:rsid w:val="005D47D8"/>
    <w:rsid w:val="005D4CF7"/>
    <w:rsid w:val="005D726C"/>
    <w:rsid w:val="005E00C6"/>
    <w:rsid w:val="005E0283"/>
    <w:rsid w:val="005E35E7"/>
    <w:rsid w:val="005E3CCB"/>
    <w:rsid w:val="005E495D"/>
    <w:rsid w:val="005E4D41"/>
    <w:rsid w:val="005E5CEF"/>
    <w:rsid w:val="005E6C63"/>
    <w:rsid w:val="005E6D9F"/>
    <w:rsid w:val="005F12F5"/>
    <w:rsid w:val="005F367E"/>
    <w:rsid w:val="005F3F17"/>
    <w:rsid w:val="005F52EF"/>
    <w:rsid w:val="005F5948"/>
    <w:rsid w:val="00600645"/>
    <w:rsid w:val="00600FF4"/>
    <w:rsid w:val="00602ADB"/>
    <w:rsid w:val="006050E5"/>
    <w:rsid w:val="0060550F"/>
    <w:rsid w:val="006056E5"/>
    <w:rsid w:val="00607CDD"/>
    <w:rsid w:val="00611AB1"/>
    <w:rsid w:val="00611F7B"/>
    <w:rsid w:val="00612B5F"/>
    <w:rsid w:val="00614B62"/>
    <w:rsid w:val="00621488"/>
    <w:rsid w:val="0062150F"/>
    <w:rsid w:val="006218B4"/>
    <w:rsid w:val="00621D58"/>
    <w:rsid w:val="006249F8"/>
    <w:rsid w:val="00624F97"/>
    <w:rsid w:val="0062546F"/>
    <w:rsid w:val="00625CCC"/>
    <w:rsid w:val="006261ED"/>
    <w:rsid w:val="00626AFC"/>
    <w:rsid w:val="006271B5"/>
    <w:rsid w:val="00630242"/>
    <w:rsid w:val="006304EC"/>
    <w:rsid w:val="00630896"/>
    <w:rsid w:val="0063129E"/>
    <w:rsid w:val="006324A2"/>
    <w:rsid w:val="006357D8"/>
    <w:rsid w:val="006365AF"/>
    <w:rsid w:val="00636E3D"/>
    <w:rsid w:val="00637265"/>
    <w:rsid w:val="00637DB2"/>
    <w:rsid w:val="00641952"/>
    <w:rsid w:val="00641EC2"/>
    <w:rsid w:val="00642FDA"/>
    <w:rsid w:val="00643011"/>
    <w:rsid w:val="006531C1"/>
    <w:rsid w:val="00654CF8"/>
    <w:rsid w:val="006618C4"/>
    <w:rsid w:val="00661E71"/>
    <w:rsid w:val="00662106"/>
    <w:rsid w:val="0066324B"/>
    <w:rsid w:val="00664E0E"/>
    <w:rsid w:val="00666106"/>
    <w:rsid w:val="006701F6"/>
    <w:rsid w:val="006714D5"/>
    <w:rsid w:val="00673A4E"/>
    <w:rsid w:val="006751D6"/>
    <w:rsid w:val="0067540F"/>
    <w:rsid w:val="00676F7D"/>
    <w:rsid w:val="006803DA"/>
    <w:rsid w:val="00680AE4"/>
    <w:rsid w:val="006828CD"/>
    <w:rsid w:val="00683E78"/>
    <w:rsid w:val="00683F75"/>
    <w:rsid w:val="00684CE3"/>
    <w:rsid w:val="00687F1E"/>
    <w:rsid w:val="00690622"/>
    <w:rsid w:val="0069290A"/>
    <w:rsid w:val="00693294"/>
    <w:rsid w:val="00694CA8"/>
    <w:rsid w:val="006A16AB"/>
    <w:rsid w:val="006A2355"/>
    <w:rsid w:val="006A4EE6"/>
    <w:rsid w:val="006A6618"/>
    <w:rsid w:val="006A6864"/>
    <w:rsid w:val="006A6F94"/>
    <w:rsid w:val="006A7D55"/>
    <w:rsid w:val="006B2FB4"/>
    <w:rsid w:val="006B42B2"/>
    <w:rsid w:val="006B4527"/>
    <w:rsid w:val="006B481E"/>
    <w:rsid w:val="006B6D26"/>
    <w:rsid w:val="006B7637"/>
    <w:rsid w:val="006C0B54"/>
    <w:rsid w:val="006C21C2"/>
    <w:rsid w:val="006C2E4F"/>
    <w:rsid w:val="006C4CB3"/>
    <w:rsid w:val="006C5641"/>
    <w:rsid w:val="006C5C25"/>
    <w:rsid w:val="006C76D0"/>
    <w:rsid w:val="006D0711"/>
    <w:rsid w:val="006D2AB9"/>
    <w:rsid w:val="006D3D7F"/>
    <w:rsid w:val="006D4974"/>
    <w:rsid w:val="006D6134"/>
    <w:rsid w:val="006D6A89"/>
    <w:rsid w:val="006E012A"/>
    <w:rsid w:val="006E0445"/>
    <w:rsid w:val="006E0678"/>
    <w:rsid w:val="006E0DC8"/>
    <w:rsid w:val="006E2AB2"/>
    <w:rsid w:val="006E3811"/>
    <w:rsid w:val="006E4AD2"/>
    <w:rsid w:val="006E52AF"/>
    <w:rsid w:val="006E65C7"/>
    <w:rsid w:val="006E69DB"/>
    <w:rsid w:val="006E6D1F"/>
    <w:rsid w:val="006F03B7"/>
    <w:rsid w:val="006F1825"/>
    <w:rsid w:val="006F46A2"/>
    <w:rsid w:val="006F49BE"/>
    <w:rsid w:val="006F4D9F"/>
    <w:rsid w:val="006F5BF3"/>
    <w:rsid w:val="006F5D39"/>
    <w:rsid w:val="006F7173"/>
    <w:rsid w:val="006F74AE"/>
    <w:rsid w:val="006F7A22"/>
    <w:rsid w:val="00701AED"/>
    <w:rsid w:val="00703A44"/>
    <w:rsid w:val="007040FA"/>
    <w:rsid w:val="00704C3A"/>
    <w:rsid w:val="00706469"/>
    <w:rsid w:val="007074AD"/>
    <w:rsid w:val="00710159"/>
    <w:rsid w:val="0071186B"/>
    <w:rsid w:val="00712418"/>
    <w:rsid w:val="00712C4B"/>
    <w:rsid w:val="007147DC"/>
    <w:rsid w:val="00715B15"/>
    <w:rsid w:val="0072179F"/>
    <w:rsid w:val="00721CC1"/>
    <w:rsid w:val="00722ED4"/>
    <w:rsid w:val="007238DA"/>
    <w:rsid w:val="00724AD7"/>
    <w:rsid w:val="00724BBE"/>
    <w:rsid w:val="00724D4F"/>
    <w:rsid w:val="0072506E"/>
    <w:rsid w:val="00725D38"/>
    <w:rsid w:val="007264E9"/>
    <w:rsid w:val="00726AD6"/>
    <w:rsid w:val="0072703C"/>
    <w:rsid w:val="00727C66"/>
    <w:rsid w:val="00731138"/>
    <w:rsid w:val="0073173B"/>
    <w:rsid w:val="00732A4E"/>
    <w:rsid w:val="00732C4D"/>
    <w:rsid w:val="00733306"/>
    <w:rsid w:val="00734004"/>
    <w:rsid w:val="00734FDA"/>
    <w:rsid w:val="00735A7B"/>
    <w:rsid w:val="00737C5D"/>
    <w:rsid w:val="007409CF"/>
    <w:rsid w:val="00741AA3"/>
    <w:rsid w:val="0074218F"/>
    <w:rsid w:val="007458D2"/>
    <w:rsid w:val="00746326"/>
    <w:rsid w:val="00746E4E"/>
    <w:rsid w:val="00747CC2"/>
    <w:rsid w:val="00750B57"/>
    <w:rsid w:val="007527A4"/>
    <w:rsid w:val="00754576"/>
    <w:rsid w:val="00755148"/>
    <w:rsid w:val="007553BE"/>
    <w:rsid w:val="007561D4"/>
    <w:rsid w:val="007606D3"/>
    <w:rsid w:val="00762882"/>
    <w:rsid w:val="00763BF0"/>
    <w:rsid w:val="007644D0"/>
    <w:rsid w:val="00765E36"/>
    <w:rsid w:val="00766AF3"/>
    <w:rsid w:val="00770036"/>
    <w:rsid w:val="007705C8"/>
    <w:rsid w:val="00771566"/>
    <w:rsid w:val="00773F91"/>
    <w:rsid w:val="00774B01"/>
    <w:rsid w:val="00775704"/>
    <w:rsid w:val="007762C7"/>
    <w:rsid w:val="0077655F"/>
    <w:rsid w:val="00776A58"/>
    <w:rsid w:val="00777607"/>
    <w:rsid w:val="00777A50"/>
    <w:rsid w:val="007823DE"/>
    <w:rsid w:val="00782702"/>
    <w:rsid w:val="00783851"/>
    <w:rsid w:val="00783B93"/>
    <w:rsid w:val="007851D9"/>
    <w:rsid w:val="00785DD5"/>
    <w:rsid w:val="00787EF2"/>
    <w:rsid w:val="0079131B"/>
    <w:rsid w:val="007917C1"/>
    <w:rsid w:val="00792CB5"/>
    <w:rsid w:val="0079381F"/>
    <w:rsid w:val="00793EDA"/>
    <w:rsid w:val="00795BA3"/>
    <w:rsid w:val="00795F21"/>
    <w:rsid w:val="0079615D"/>
    <w:rsid w:val="00796290"/>
    <w:rsid w:val="00796D91"/>
    <w:rsid w:val="00797A7F"/>
    <w:rsid w:val="007A166F"/>
    <w:rsid w:val="007A3526"/>
    <w:rsid w:val="007A45C3"/>
    <w:rsid w:val="007A48D1"/>
    <w:rsid w:val="007A5DD0"/>
    <w:rsid w:val="007A795D"/>
    <w:rsid w:val="007B0F4F"/>
    <w:rsid w:val="007B3262"/>
    <w:rsid w:val="007B3F98"/>
    <w:rsid w:val="007B41FD"/>
    <w:rsid w:val="007B678D"/>
    <w:rsid w:val="007B715A"/>
    <w:rsid w:val="007C04F7"/>
    <w:rsid w:val="007C0BD2"/>
    <w:rsid w:val="007C383E"/>
    <w:rsid w:val="007C7F45"/>
    <w:rsid w:val="007D05FE"/>
    <w:rsid w:val="007D1B5E"/>
    <w:rsid w:val="007D1CA6"/>
    <w:rsid w:val="007D204A"/>
    <w:rsid w:val="007D356D"/>
    <w:rsid w:val="007D48F1"/>
    <w:rsid w:val="007D4C01"/>
    <w:rsid w:val="007D5399"/>
    <w:rsid w:val="007D5576"/>
    <w:rsid w:val="007D65FF"/>
    <w:rsid w:val="007D6E82"/>
    <w:rsid w:val="007D757A"/>
    <w:rsid w:val="007E319E"/>
    <w:rsid w:val="007E35F1"/>
    <w:rsid w:val="007E600D"/>
    <w:rsid w:val="007E625F"/>
    <w:rsid w:val="007E633D"/>
    <w:rsid w:val="007E6C6A"/>
    <w:rsid w:val="007F0D4A"/>
    <w:rsid w:val="00800717"/>
    <w:rsid w:val="00801A6E"/>
    <w:rsid w:val="0080437E"/>
    <w:rsid w:val="00804B35"/>
    <w:rsid w:val="00810CE7"/>
    <w:rsid w:val="00811B0F"/>
    <w:rsid w:val="00812020"/>
    <w:rsid w:val="00812E7D"/>
    <w:rsid w:val="00813003"/>
    <w:rsid w:val="00814318"/>
    <w:rsid w:val="00814402"/>
    <w:rsid w:val="00815E97"/>
    <w:rsid w:val="00816AEA"/>
    <w:rsid w:val="00816B65"/>
    <w:rsid w:val="00821212"/>
    <w:rsid w:val="00821416"/>
    <w:rsid w:val="00822187"/>
    <w:rsid w:val="00822259"/>
    <w:rsid w:val="00823E07"/>
    <w:rsid w:val="00824005"/>
    <w:rsid w:val="008263D8"/>
    <w:rsid w:val="00826580"/>
    <w:rsid w:val="00827BCD"/>
    <w:rsid w:val="0083068A"/>
    <w:rsid w:val="008310A7"/>
    <w:rsid w:val="0083150E"/>
    <w:rsid w:val="00831DB6"/>
    <w:rsid w:val="00833611"/>
    <w:rsid w:val="00834BD5"/>
    <w:rsid w:val="00835281"/>
    <w:rsid w:val="00835482"/>
    <w:rsid w:val="008373B8"/>
    <w:rsid w:val="008416B7"/>
    <w:rsid w:val="00844632"/>
    <w:rsid w:val="00845EE6"/>
    <w:rsid w:val="00846080"/>
    <w:rsid w:val="00851517"/>
    <w:rsid w:val="00853451"/>
    <w:rsid w:val="0085391D"/>
    <w:rsid w:val="00853A24"/>
    <w:rsid w:val="00855B23"/>
    <w:rsid w:val="0085774B"/>
    <w:rsid w:val="00862735"/>
    <w:rsid w:val="00863657"/>
    <w:rsid w:val="00863E43"/>
    <w:rsid w:val="00864022"/>
    <w:rsid w:val="00864322"/>
    <w:rsid w:val="008656BE"/>
    <w:rsid w:val="00865FE5"/>
    <w:rsid w:val="00866D4A"/>
    <w:rsid w:val="00870190"/>
    <w:rsid w:val="0087151C"/>
    <w:rsid w:val="008715C8"/>
    <w:rsid w:val="008722F1"/>
    <w:rsid w:val="00872F85"/>
    <w:rsid w:val="008733E3"/>
    <w:rsid w:val="00873530"/>
    <w:rsid w:val="00873AAE"/>
    <w:rsid w:val="008746F1"/>
    <w:rsid w:val="00874AE4"/>
    <w:rsid w:val="00874FC3"/>
    <w:rsid w:val="00880597"/>
    <w:rsid w:val="00882736"/>
    <w:rsid w:val="00884AB0"/>
    <w:rsid w:val="00885875"/>
    <w:rsid w:val="0088682E"/>
    <w:rsid w:val="00890261"/>
    <w:rsid w:val="00890A54"/>
    <w:rsid w:val="00891E10"/>
    <w:rsid w:val="008971F7"/>
    <w:rsid w:val="008978DF"/>
    <w:rsid w:val="008A0B72"/>
    <w:rsid w:val="008A21B9"/>
    <w:rsid w:val="008A27C7"/>
    <w:rsid w:val="008A7896"/>
    <w:rsid w:val="008A7DEB"/>
    <w:rsid w:val="008B0AD8"/>
    <w:rsid w:val="008B1201"/>
    <w:rsid w:val="008B1215"/>
    <w:rsid w:val="008B5158"/>
    <w:rsid w:val="008B63CB"/>
    <w:rsid w:val="008B704C"/>
    <w:rsid w:val="008B7233"/>
    <w:rsid w:val="008C08CE"/>
    <w:rsid w:val="008C115F"/>
    <w:rsid w:val="008C31ED"/>
    <w:rsid w:val="008C4988"/>
    <w:rsid w:val="008C52C4"/>
    <w:rsid w:val="008C6616"/>
    <w:rsid w:val="008C6C60"/>
    <w:rsid w:val="008C7771"/>
    <w:rsid w:val="008D1478"/>
    <w:rsid w:val="008D1C4E"/>
    <w:rsid w:val="008D27AF"/>
    <w:rsid w:val="008D6031"/>
    <w:rsid w:val="008E133C"/>
    <w:rsid w:val="008E195F"/>
    <w:rsid w:val="008E19A4"/>
    <w:rsid w:val="008E1F6C"/>
    <w:rsid w:val="008E235D"/>
    <w:rsid w:val="008E3109"/>
    <w:rsid w:val="008E3F03"/>
    <w:rsid w:val="008E6ED8"/>
    <w:rsid w:val="008E7529"/>
    <w:rsid w:val="008F06D9"/>
    <w:rsid w:val="008F1CC7"/>
    <w:rsid w:val="008F2810"/>
    <w:rsid w:val="008F3282"/>
    <w:rsid w:val="008F6310"/>
    <w:rsid w:val="008F68DE"/>
    <w:rsid w:val="008F6FAA"/>
    <w:rsid w:val="008F7C0D"/>
    <w:rsid w:val="008F7FC1"/>
    <w:rsid w:val="00900A37"/>
    <w:rsid w:val="00902394"/>
    <w:rsid w:val="00902503"/>
    <w:rsid w:val="00902938"/>
    <w:rsid w:val="00903961"/>
    <w:rsid w:val="0090479D"/>
    <w:rsid w:val="00906297"/>
    <w:rsid w:val="0090678C"/>
    <w:rsid w:val="00907F25"/>
    <w:rsid w:val="0091054F"/>
    <w:rsid w:val="00911B87"/>
    <w:rsid w:val="0091459E"/>
    <w:rsid w:val="009153A4"/>
    <w:rsid w:val="00915CB0"/>
    <w:rsid w:val="0091758A"/>
    <w:rsid w:val="00920B99"/>
    <w:rsid w:val="00921008"/>
    <w:rsid w:val="00922710"/>
    <w:rsid w:val="0092629A"/>
    <w:rsid w:val="00926688"/>
    <w:rsid w:val="00927DA4"/>
    <w:rsid w:val="009308B6"/>
    <w:rsid w:val="009310BD"/>
    <w:rsid w:val="0093119E"/>
    <w:rsid w:val="0093206D"/>
    <w:rsid w:val="0093207E"/>
    <w:rsid w:val="00932A65"/>
    <w:rsid w:val="009346ED"/>
    <w:rsid w:val="0093519A"/>
    <w:rsid w:val="00935D12"/>
    <w:rsid w:val="009361E2"/>
    <w:rsid w:val="00937FF6"/>
    <w:rsid w:val="00940334"/>
    <w:rsid w:val="00940381"/>
    <w:rsid w:val="009419B6"/>
    <w:rsid w:val="0094268B"/>
    <w:rsid w:val="009445B8"/>
    <w:rsid w:val="0094485A"/>
    <w:rsid w:val="009478B7"/>
    <w:rsid w:val="00950727"/>
    <w:rsid w:val="00952E54"/>
    <w:rsid w:val="009565ED"/>
    <w:rsid w:val="00956607"/>
    <w:rsid w:val="009566BC"/>
    <w:rsid w:val="0096037D"/>
    <w:rsid w:val="0096150B"/>
    <w:rsid w:val="00964490"/>
    <w:rsid w:val="009651A9"/>
    <w:rsid w:val="00967290"/>
    <w:rsid w:val="00967504"/>
    <w:rsid w:val="009710BD"/>
    <w:rsid w:val="0097246A"/>
    <w:rsid w:val="0097266F"/>
    <w:rsid w:val="00975C4B"/>
    <w:rsid w:val="00976D53"/>
    <w:rsid w:val="00977173"/>
    <w:rsid w:val="00984458"/>
    <w:rsid w:val="00986EFA"/>
    <w:rsid w:val="00987107"/>
    <w:rsid w:val="0099051E"/>
    <w:rsid w:val="0099152A"/>
    <w:rsid w:val="00993093"/>
    <w:rsid w:val="009931D4"/>
    <w:rsid w:val="00994C60"/>
    <w:rsid w:val="00994F0C"/>
    <w:rsid w:val="00994FD1"/>
    <w:rsid w:val="0099537F"/>
    <w:rsid w:val="00996D6E"/>
    <w:rsid w:val="009974D4"/>
    <w:rsid w:val="009A0EC0"/>
    <w:rsid w:val="009A2249"/>
    <w:rsid w:val="009A2CAD"/>
    <w:rsid w:val="009A2F5D"/>
    <w:rsid w:val="009A307E"/>
    <w:rsid w:val="009A369D"/>
    <w:rsid w:val="009A3EE4"/>
    <w:rsid w:val="009A4445"/>
    <w:rsid w:val="009A5C98"/>
    <w:rsid w:val="009A6464"/>
    <w:rsid w:val="009A7453"/>
    <w:rsid w:val="009B04BA"/>
    <w:rsid w:val="009B0788"/>
    <w:rsid w:val="009B390F"/>
    <w:rsid w:val="009B4E5B"/>
    <w:rsid w:val="009B55A9"/>
    <w:rsid w:val="009B5B1D"/>
    <w:rsid w:val="009C0B1D"/>
    <w:rsid w:val="009C0F7B"/>
    <w:rsid w:val="009C15C7"/>
    <w:rsid w:val="009C4292"/>
    <w:rsid w:val="009C6665"/>
    <w:rsid w:val="009C7013"/>
    <w:rsid w:val="009C77B2"/>
    <w:rsid w:val="009D06BB"/>
    <w:rsid w:val="009D1BF1"/>
    <w:rsid w:val="009D1DA2"/>
    <w:rsid w:val="009D2637"/>
    <w:rsid w:val="009D4E1B"/>
    <w:rsid w:val="009D574E"/>
    <w:rsid w:val="009D5992"/>
    <w:rsid w:val="009D5A8A"/>
    <w:rsid w:val="009D5D05"/>
    <w:rsid w:val="009D5EBE"/>
    <w:rsid w:val="009D7479"/>
    <w:rsid w:val="009E02C1"/>
    <w:rsid w:val="009E05F1"/>
    <w:rsid w:val="009E24E1"/>
    <w:rsid w:val="009E2B36"/>
    <w:rsid w:val="009E5520"/>
    <w:rsid w:val="009E554C"/>
    <w:rsid w:val="009E5F90"/>
    <w:rsid w:val="009E5F9D"/>
    <w:rsid w:val="009E689E"/>
    <w:rsid w:val="009E7BC1"/>
    <w:rsid w:val="009F18C6"/>
    <w:rsid w:val="009F223C"/>
    <w:rsid w:val="009F2B4D"/>
    <w:rsid w:val="009F36FA"/>
    <w:rsid w:val="009F3B9B"/>
    <w:rsid w:val="009F4F65"/>
    <w:rsid w:val="009F607D"/>
    <w:rsid w:val="009F6CCE"/>
    <w:rsid w:val="009F6E74"/>
    <w:rsid w:val="00A01E63"/>
    <w:rsid w:val="00A03D93"/>
    <w:rsid w:val="00A06F6D"/>
    <w:rsid w:val="00A07317"/>
    <w:rsid w:val="00A10CE7"/>
    <w:rsid w:val="00A1453B"/>
    <w:rsid w:val="00A16DFE"/>
    <w:rsid w:val="00A23238"/>
    <w:rsid w:val="00A23554"/>
    <w:rsid w:val="00A2413E"/>
    <w:rsid w:val="00A258A7"/>
    <w:rsid w:val="00A26740"/>
    <w:rsid w:val="00A27965"/>
    <w:rsid w:val="00A30C5D"/>
    <w:rsid w:val="00A31F28"/>
    <w:rsid w:val="00A327D4"/>
    <w:rsid w:val="00A36248"/>
    <w:rsid w:val="00A36864"/>
    <w:rsid w:val="00A36CEA"/>
    <w:rsid w:val="00A41D02"/>
    <w:rsid w:val="00A420BD"/>
    <w:rsid w:val="00A4238C"/>
    <w:rsid w:val="00A4241E"/>
    <w:rsid w:val="00A4385E"/>
    <w:rsid w:val="00A44F27"/>
    <w:rsid w:val="00A464BD"/>
    <w:rsid w:val="00A46FBD"/>
    <w:rsid w:val="00A4716F"/>
    <w:rsid w:val="00A50051"/>
    <w:rsid w:val="00A506C3"/>
    <w:rsid w:val="00A51584"/>
    <w:rsid w:val="00A529DF"/>
    <w:rsid w:val="00A53AA1"/>
    <w:rsid w:val="00A53C96"/>
    <w:rsid w:val="00A55C1B"/>
    <w:rsid w:val="00A5788F"/>
    <w:rsid w:val="00A57D87"/>
    <w:rsid w:val="00A6160D"/>
    <w:rsid w:val="00A616F6"/>
    <w:rsid w:val="00A64226"/>
    <w:rsid w:val="00A6470E"/>
    <w:rsid w:val="00A6486C"/>
    <w:rsid w:val="00A65DCC"/>
    <w:rsid w:val="00A72E13"/>
    <w:rsid w:val="00A72F5C"/>
    <w:rsid w:val="00A75033"/>
    <w:rsid w:val="00A76D10"/>
    <w:rsid w:val="00A7795A"/>
    <w:rsid w:val="00A81A65"/>
    <w:rsid w:val="00A820C9"/>
    <w:rsid w:val="00A855AB"/>
    <w:rsid w:val="00A86514"/>
    <w:rsid w:val="00A907D5"/>
    <w:rsid w:val="00A919AE"/>
    <w:rsid w:val="00A92279"/>
    <w:rsid w:val="00A942C1"/>
    <w:rsid w:val="00A9536D"/>
    <w:rsid w:val="00A95D7D"/>
    <w:rsid w:val="00A95DAA"/>
    <w:rsid w:val="00A9638E"/>
    <w:rsid w:val="00A966A7"/>
    <w:rsid w:val="00A97BD2"/>
    <w:rsid w:val="00AA0ED1"/>
    <w:rsid w:val="00AA0F71"/>
    <w:rsid w:val="00AA32E9"/>
    <w:rsid w:val="00AA4012"/>
    <w:rsid w:val="00AA4160"/>
    <w:rsid w:val="00AA4773"/>
    <w:rsid w:val="00AA4DE4"/>
    <w:rsid w:val="00AA62F4"/>
    <w:rsid w:val="00AA7D3B"/>
    <w:rsid w:val="00AB0867"/>
    <w:rsid w:val="00AB0B0B"/>
    <w:rsid w:val="00AB0CF5"/>
    <w:rsid w:val="00AB1196"/>
    <w:rsid w:val="00AB2393"/>
    <w:rsid w:val="00AB52CF"/>
    <w:rsid w:val="00AB54BD"/>
    <w:rsid w:val="00AB5D04"/>
    <w:rsid w:val="00AC1647"/>
    <w:rsid w:val="00AC16C7"/>
    <w:rsid w:val="00AC255D"/>
    <w:rsid w:val="00AC30D3"/>
    <w:rsid w:val="00AC3908"/>
    <w:rsid w:val="00AC3DF2"/>
    <w:rsid w:val="00AC6197"/>
    <w:rsid w:val="00AC6D43"/>
    <w:rsid w:val="00AC7D43"/>
    <w:rsid w:val="00AD0181"/>
    <w:rsid w:val="00AD06BE"/>
    <w:rsid w:val="00AD1E37"/>
    <w:rsid w:val="00AD2E5C"/>
    <w:rsid w:val="00AD34CE"/>
    <w:rsid w:val="00AD5531"/>
    <w:rsid w:val="00AD58B1"/>
    <w:rsid w:val="00AD69BB"/>
    <w:rsid w:val="00AE67DF"/>
    <w:rsid w:val="00AF0972"/>
    <w:rsid w:val="00AF2D94"/>
    <w:rsid w:val="00AF3CFA"/>
    <w:rsid w:val="00AF56DF"/>
    <w:rsid w:val="00B00B4C"/>
    <w:rsid w:val="00B06024"/>
    <w:rsid w:val="00B0629F"/>
    <w:rsid w:val="00B066AA"/>
    <w:rsid w:val="00B06F47"/>
    <w:rsid w:val="00B07038"/>
    <w:rsid w:val="00B07644"/>
    <w:rsid w:val="00B07795"/>
    <w:rsid w:val="00B11300"/>
    <w:rsid w:val="00B11F02"/>
    <w:rsid w:val="00B14A84"/>
    <w:rsid w:val="00B15ABC"/>
    <w:rsid w:val="00B16F69"/>
    <w:rsid w:val="00B20B0E"/>
    <w:rsid w:val="00B223E8"/>
    <w:rsid w:val="00B23209"/>
    <w:rsid w:val="00B25443"/>
    <w:rsid w:val="00B25F3A"/>
    <w:rsid w:val="00B261D9"/>
    <w:rsid w:val="00B30563"/>
    <w:rsid w:val="00B310BA"/>
    <w:rsid w:val="00B311AF"/>
    <w:rsid w:val="00B3228D"/>
    <w:rsid w:val="00B332F4"/>
    <w:rsid w:val="00B337CE"/>
    <w:rsid w:val="00B33DC5"/>
    <w:rsid w:val="00B33FE8"/>
    <w:rsid w:val="00B3434A"/>
    <w:rsid w:val="00B36970"/>
    <w:rsid w:val="00B36DA8"/>
    <w:rsid w:val="00B36E7B"/>
    <w:rsid w:val="00B4100A"/>
    <w:rsid w:val="00B413A1"/>
    <w:rsid w:val="00B419AE"/>
    <w:rsid w:val="00B41F6E"/>
    <w:rsid w:val="00B424CB"/>
    <w:rsid w:val="00B42775"/>
    <w:rsid w:val="00B43EF7"/>
    <w:rsid w:val="00B44620"/>
    <w:rsid w:val="00B455A2"/>
    <w:rsid w:val="00B46CA6"/>
    <w:rsid w:val="00B475CF"/>
    <w:rsid w:val="00B47B73"/>
    <w:rsid w:val="00B502EC"/>
    <w:rsid w:val="00B503E1"/>
    <w:rsid w:val="00B50B71"/>
    <w:rsid w:val="00B5223C"/>
    <w:rsid w:val="00B52637"/>
    <w:rsid w:val="00B52CF3"/>
    <w:rsid w:val="00B536FD"/>
    <w:rsid w:val="00B53AEF"/>
    <w:rsid w:val="00B55A95"/>
    <w:rsid w:val="00B563A1"/>
    <w:rsid w:val="00B574D0"/>
    <w:rsid w:val="00B57966"/>
    <w:rsid w:val="00B6039B"/>
    <w:rsid w:val="00B60BFF"/>
    <w:rsid w:val="00B6251C"/>
    <w:rsid w:val="00B632E7"/>
    <w:rsid w:val="00B63B1F"/>
    <w:rsid w:val="00B63BA6"/>
    <w:rsid w:val="00B6480F"/>
    <w:rsid w:val="00B64ED7"/>
    <w:rsid w:val="00B66AB8"/>
    <w:rsid w:val="00B67FC8"/>
    <w:rsid w:val="00B71BBD"/>
    <w:rsid w:val="00B73117"/>
    <w:rsid w:val="00B74327"/>
    <w:rsid w:val="00B75512"/>
    <w:rsid w:val="00B80810"/>
    <w:rsid w:val="00B814F3"/>
    <w:rsid w:val="00B81D01"/>
    <w:rsid w:val="00B83CBF"/>
    <w:rsid w:val="00B85B5D"/>
    <w:rsid w:val="00B86BA1"/>
    <w:rsid w:val="00B87A0F"/>
    <w:rsid w:val="00B87FA0"/>
    <w:rsid w:val="00B90898"/>
    <w:rsid w:val="00B92826"/>
    <w:rsid w:val="00B93E7C"/>
    <w:rsid w:val="00B94B02"/>
    <w:rsid w:val="00B97910"/>
    <w:rsid w:val="00BA1E07"/>
    <w:rsid w:val="00BA216F"/>
    <w:rsid w:val="00BA22BE"/>
    <w:rsid w:val="00BA26B2"/>
    <w:rsid w:val="00BA3259"/>
    <w:rsid w:val="00BA5374"/>
    <w:rsid w:val="00BA5ABD"/>
    <w:rsid w:val="00BA5F83"/>
    <w:rsid w:val="00BA65B6"/>
    <w:rsid w:val="00BA6B58"/>
    <w:rsid w:val="00BA6D4E"/>
    <w:rsid w:val="00BA7263"/>
    <w:rsid w:val="00BB052F"/>
    <w:rsid w:val="00BB0A3C"/>
    <w:rsid w:val="00BB2406"/>
    <w:rsid w:val="00BB5F44"/>
    <w:rsid w:val="00BB7A0A"/>
    <w:rsid w:val="00BC185A"/>
    <w:rsid w:val="00BC24A3"/>
    <w:rsid w:val="00BC2935"/>
    <w:rsid w:val="00BC2BA1"/>
    <w:rsid w:val="00BC3456"/>
    <w:rsid w:val="00BC39AF"/>
    <w:rsid w:val="00BC43E9"/>
    <w:rsid w:val="00BC5BB4"/>
    <w:rsid w:val="00BC74BA"/>
    <w:rsid w:val="00BC7932"/>
    <w:rsid w:val="00BD0675"/>
    <w:rsid w:val="00BD12AF"/>
    <w:rsid w:val="00BD18D9"/>
    <w:rsid w:val="00BD78EB"/>
    <w:rsid w:val="00BE0D49"/>
    <w:rsid w:val="00BE2B42"/>
    <w:rsid w:val="00BE2B48"/>
    <w:rsid w:val="00BE4BFD"/>
    <w:rsid w:val="00BE7B10"/>
    <w:rsid w:val="00C00EA6"/>
    <w:rsid w:val="00C013F8"/>
    <w:rsid w:val="00C02525"/>
    <w:rsid w:val="00C034EA"/>
    <w:rsid w:val="00C044AD"/>
    <w:rsid w:val="00C0579E"/>
    <w:rsid w:val="00C102DB"/>
    <w:rsid w:val="00C10830"/>
    <w:rsid w:val="00C15039"/>
    <w:rsid w:val="00C1505F"/>
    <w:rsid w:val="00C158C4"/>
    <w:rsid w:val="00C15BB7"/>
    <w:rsid w:val="00C17086"/>
    <w:rsid w:val="00C1763B"/>
    <w:rsid w:val="00C201B2"/>
    <w:rsid w:val="00C220F6"/>
    <w:rsid w:val="00C234FD"/>
    <w:rsid w:val="00C23B89"/>
    <w:rsid w:val="00C2664E"/>
    <w:rsid w:val="00C268D4"/>
    <w:rsid w:val="00C26B7D"/>
    <w:rsid w:val="00C271B2"/>
    <w:rsid w:val="00C324A8"/>
    <w:rsid w:val="00C33A7A"/>
    <w:rsid w:val="00C33F62"/>
    <w:rsid w:val="00C349D3"/>
    <w:rsid w:val="00C35200"/>
    <w:rsid w:val="00C35779"/>
    <w:rsid w:val="00C35B91"/>
    <w:rsid w:val="00C37B6F"/>
    <w:rsid w:val="00C41410"/>
    <w:rsid w:val="00C41DB3"/>
    <w:rsid w:val="00C42C20"/>
    <w:rsid w:val="00C442D5"/>
    <w:rsid w:val="00C45875"/>
    <w:rsid w:val="00C45F48"/>
    <w:rsid w:val="00C462FF"/>
    <w:rsid w:val="00C46CD6"/>
    <w:rsid w:val="00C47ABE"/>
    <w:rsid w:val="00C50313"/>
    <w:rsid w:val="00C52A05"/>
    <w:rsid w:val="00C5373B"/>
    <w:rsid w:val="00C54A06"/>
    <w:rsid w:val="00C54F37"/>
    <w:rsid w:val="00C552D1"/>
    <w:rsid w:val="00C557F1"/>
    <w:rsid w:val="00C561BA"/>
    <w:rsid w:val="00C60BBD"/>
    <w:rsid w:val="00C62F90"/>
    <w:rsid w:val="00C638A0"/>
    <w:rsid w:val="00C63AD4"/>
    <w:rsid w:val="00C64839"/>
    <w:rsid w:val="00C64891"/>
    <w:rsid w:val="00C64F0C"/>
    <w:rsid w:val="00C65AC9"/>
    <w:rsid w:val="00C71047"/>
    <w:rsid w:val="00C71289"/>
    <w:rsid w:val="00C7212B"/>
    <w:rsid w:val="00C72C18"/>
    <w:rsid w:val="00C72F29"/>
    <w:rsid w:val="00C7403D"/>
    <w:rsid w:val="00C7481E"/>
    <w:rsid w:val="00C7578B"/>
    <w:rsid w:val="00C75946"/>
    <w:rsid w:val="00C75BA1"/>
    <w:rsid w:val="00C7678B"/>
    <w:rsid w:val="00C76799"/>
    <w:rsid w:val="00C76EB8"/>
    <w:rsid w:val="00C7761F"/>
    <w:rsid w:val="00C80038"/>
    <w:rsid w:val="00C80DDD"/>
    <w:rsid w:val="00C81148"/>
    <w:rsid w:val="00C82196"/>
    <w:rsid w:val="00C84F81"/>
    <w:rsid w:val="00C85861"/>
    <w:rsid w:val="00C860B6"/>
    <w:rsid w:val="00C91098"/>
    <w:rsid w:val="00C92441"/>
    <w:rsid w:val="00C95606"/>
    <w:rsid w:val="00C96574"/>
    <w:rsid w:val="00C968C0"/>
    <w:rsid w:val="00C96939"/>
    <w:rsid w:val="00C97B8E"/>
    <w:rsid w:val="00CA0DCD"/>
    <w:rsid w:val="00CA1556"/>
    <w:rsid w:val="00CA2301"/>
    <w:rsid w:val="00CA500D"/>
    <w:rsid w:val="00CA7695"/>
    <w:rsid w:val="00CB15C0"/>
    <w:rsid w:val="00CB22F2"/>
    <w:rsid w:val="00CB3491"/>
    <w:rsid w:val="00CB3F1C"/>
    <w:rsid w:val="00CB444E"/>
    <w:rsid w:val="00CB4839"/>
    <w:rsid w:val="00CB4F01"/>
    <w:rsid w:val="00CB5643"/>
    <w:rsid w:val="00CB6E37"/>
    <w:rsid w:val="00CB7C9D"/>
    <w:rsid w:val="00CC0A49"/>
    <w:rsid w:val="00CC1715"/>
    <w:rsid w:val="00CC1DD6"/>
    <w:rsid w:val="00CC3623"/>
    <w:rsid w:val="00CC36B5"/>
    <w:rsid w:val="00CC3FFF"/>
    <w:rsid w:val="00CC40D9"/>
    <w:rsid w:val="00CC508D"/>
    <w:rsid w:val="00CC7852"/>
    <w:rsid w:val="00CD28A5"/>
    <w:rsid w:val="00CD2D55"/>
    <w:rsid w:val="00CD36FF"/>
    <w:rsid w:val="00CD3D12"/>
    <w:rsid w:val="00CD433B"/>
    <w:rsid w:val="00CD5879"/>
    <w:rsid w:val="00CD6778"/>
    <w:rsid w:val="00CD6A3D"/>
    <w:rsid w:val="00CD7EC4"/>
    <w:rsid w:val="00CE05E6"/>
    <w:rsid w:val="00CE0793"/>
    <w:rsid w:val="00CE2907"/>
    <w:rsid w:val="00CE53F6"/>
    <w:rsid w:val="00CE66F9"/>
    <w:rsid w:val="00CF014F"/>
    <w:rsid w:val="00CF1017"/>
    <w:rsid w:val="00CF2745"/>
    <w:rsid w:val="00CF3EFE"/>
    <w:rsid w:val="00CF417A"/>
    <w:rsid w:val="00CF4DF3"/>
    <w:rsid w:val="00CF4FB7"/>
    <w:rsid w:val="00CF54CC"/>
    <w:rsid w:val="00CF6915"/>
    <w:rsid w:val="00CF75C5"/>
    <w:rsid w:val="00CF7DD6"/>
    <w:rsid w:val="00D035CE"/>
    <w:rsid w:val="00D03723"/>
    <w:rsid w:val="00D04946"/>
    <w:rsid w:val="00D0629D"/>
    <w:rsid w:val="00D07FAA"/>
    <w:rsid w:val="00D10E02"/>
    <w:rsid w:val="00D118CA"/>
    <w:rsid w:val="00D11AB9"/>
    <w:rsid w:val="00D12DBD"/>
    <w:rsid w:val="00D1360D"/>
    <w:rsid w:val="00D145E5"/>
    <w:rsid w:val="00D14F6A"/>
    <w:rsid w:val="00D16F6C"/>
    <w:rsid w:val="00D20A09"/>
    <w:rsid w:val="00D241FF"/>
    <w:rsid w:val="00D25758"/>
    <w:rsid w:val="00D262E7"/>
    <w:rsid w:val="00D26E3E"/>
    <w:rsid w:val="00D3016C"/>
    <w:rsid w:val="00D307E4"/>
    <w:rsid w:val="00D309FC"/>
    <w:rsid w:val="00D320AF"/>
    <w:rsid w:val="00D328D2"/>
    <w:rsid w:val="00D32D12"/>
    <w:rsid w:val="00D32F7F"/>
    <w:rsid w:val="00D33351"/>
    <w:rsid w:val="00D37009"/>
    <w:rsid w:val="00D379CF"/>
    <w:rsid w:val="00D4225A"/>
    <w:rsid w:val="00D43FF7"/>
    <w:rsid w:val="00D44139"/>
    <w:rsid w:val="00D4413C"/>
    <w:rsid w:val="00D44CAF"/>
    <w:rsid w:val="00D452CA"/>
    <w:rsid w:val="00D4557F"/>
    <w:rsid w:val="00D4650B"/>
    <w:rsid w:val="00D4693A"/>
    <w:rsid w:val="00D46B86"/>
    <w:rsid w:val="00D46F3B"/>
    <w:rsid w:val="00D4786A"/>
    <w:rsid w:val="00D506F4"/>
    <w:rsid w:val="00D51DC8"/>
    <w:rsid w:val="00D52396"/>
    <w:rsid w:val="00D52C09"/>
    <w:rsid w:val="00D53D4F"/>
    <w:rsid w:val="00D55393"/>
    <w:rsid w:val="00D55D3F"/>
    <w:rsid w:val="00D60E13"/>
    <w:rsid w:val="00D6359F"/>
    <w:rsid w:val="00D63D77"/>
    <w:rsid w:val="00D64B7E"/>
    <w:rsid w:val="00D65F48"/>
    <w:rsid w:val="00D66427"/>
    <w:rsid w:val="00D66470"/>
    <w:rsid w:val="00D70841"/>
    <w:rsid w:val="00D7170A"/>
    <w:rsid w:val="00D71918"/>
    <w:rsid w:val="00D72931"/>
    <w:rsid w:val="00D72B5B"/>
    <w:rsid w:val="00D73457"/>
    <w:rsid w:val="00D74B33"/>
    <w:rsid w:val="00D75992"/>
    <w:rsid w:val="00D77184"/>
    <w:rsid w:val="00D7728E"/>
    <w:rsid w:val="00D77B48"/>
    <w:rsid w:val="00D82B68"/>
    <w:rsid w:val="00D83CDC"/>
    <w:rsid w:val="00D8435D"/>
    <w:rsid w:val="00D84AEA"/>
    <w:rsid w:val="00D8640B"/>
    <w:rsid w:val="00D9148E"/>
    <w:rsid w:val="00D92342"/>
    <w:rsid w:val="00D93165"/>
    <w:rsid w:val="00D94934"/>
    <w:rsid w:val="00D95D00"/>
    <w:rsid w:val="00D96329"/>
    <w:rsid w:val="00D9785B"/>
    <w:rsid w:val="00D97EE6"/>
    <w:rsid w:val="00DA0CD9"/>
    <w:rsid w:val="00DA157E"/>
    <w:rsid w:val="00DA1DFF"/>
    <w:rsid w:val="00DA2A2D"/>
    <w:rsid w:val="00DA2BD4"/>
    <w:rsid w:val="00DA2F6E"/>
    <w:rsid w:val="00DA335A"/>
    <w:rsid w:val="00DB028D"/>
    <w:rsid w:val="00DB029D"/>
    <w:rsid w:val="00DB0B0E"/>
    <w:rsid w:val="00DB2664"/>
    <w:rsid w:val="00DB4658"/>
    <w:rsid w:val="00DB4B72"/>
    <w:rsid w:val="00DB5626"/>
    <w:rsid w:val="00DB5E9A"/>
    <w:rsid w:val="00DB6009"/>
    <w:rsid w:val="00DB6871"/>
    <w:rsid w:val="00DC066E"/>
    <w:rsid w:val="00DC19E7"/>
    <w:rsid w:val="00DC38AF"/>
    <w:rsid w:val="00DC467E"/>
    <w:rsid w:val="00DC6C36"/>
    <w:rsid w:val="00DD0701"/>
    <w:rsid w:val="00DD07CC"/>
    <w:rsid w:val="00DD1FA2"/>
    <w:rsid w:val="00DD4B39"/>
    <w:rsid w:val="00DD554B"/>
    <w:rsid w:val="00DD5D6C"/>
    <w:rsid w:val="00DE3907"/>
    <w:rsid w:val="00DE4CCA"/>
    <w:rsid w:val="00DE51A4"/>
    <w:rsid w:val="00DE5858"/>
    <w:rsid w:val="00DE6942"/>
    <w:rsid w:val="00DE6A62"/>
    <w:rsid w:val="00DE7628"/>
    <w:rsid w:val="00DF1443"/>
    <w:rsid w:val="00DF294A"/>
    <w:rsid w:val="00DF2A3A"/>
    <w:rsid w:val="00DF2C2F"/>
    <w:rsid w:val="00DF529C"/>
    <w:rsid w:val="00DF5E52"/>
    <w:rsid w:val="00DF609D"/>
    <w:rsid w:val="00DF6D7E"/>
    <w:rsid w:val="00DF76A4"/>
    <w:rsid w:val="00DF7971"/>
    <w:rsid w:val="00E030C3"/>
    <w:rsid w:val="00E04B32"/>
    <w:rsid w:val="00E04B5B"/>
    <w:rsid w:val="00E0528B"/>
    <w:rsid w:val="00E05D05"/>
    <w:rsid w:val="00E05F30"/>
    <w:rsid w:val="00E064D7"/>
    <w:rsid w:val="00E065BD"/>
    <w:rsid w:val="00E066C3"/>
    <w:rsid w:val="00E070D7"/>
    <w:rsid w:val="00E073EE"/>
    <w:rsid w:val="00E07488"/>
    <w:rsid w:val="00E07B8B"/>
    <w:rsid w:val="00E1008E"/>
    <w:rsid w:val="00E124BE"/>
    <w:rsid w:val="00E1388F"/>
    <w:rsid w:val="00E13A17"/>
    <w:rsid w:val="00E13F49"/>
    <w:rsid w:val="00E13F92"/>
    <w:rsid w:val="00E16952"/>
    <w:rsid w:val="00E16B02"/>
    <w:rsid w:val="00E203C4"/>
    <w:rsid w:val="00E20485"/>
    <w:rsid w:val="00E205FD"/>
    <w:rsid w:val="00E22339"/>
    <w:rsid w:val="00E256D4"/>
    <w:rsid w:val="00E25CB4"/>
    <w:rsid w:val="00E27733"/>
    <w:rsid w:val="00E30AF8"/>
    <w:rsid w:val="00E32931"/>
    <w:rsid w:val="00E330CE"/>
    <w:rsid w:val="00E33265"/>
    <w:rsid w:val="00E3470D"/>
    <w:rsid w:val="00E34C3B"/>
    <w:rsid w:val="00E36025"/>
    <w:rsid w:val="00E400F1"/>
    <w:rsid w:val="00E40823"/>
    <w:rsid w:val="00E413E2"/>
    <w:rsid w:val="00E41A8F"/>
    <w:rsid w:val="00E427FC"/>
    <w:rsid w:val="00E4459C"/>
    <w:rsid w:val="00E46909"/>
    <w:rsid w:val="00E46A28"/>
    <w:rsid w:val="00E511C0"/>
    <w:rsid w:val="00E5382A"/>
    <w:rsid w:val="00E55D73"/>
    <w:rsid w:val="00E602CD"/>
    <w:rsid w:val="00E6070F"/>
    <w:rsid w:val="00E6279A"/>
    <w:rsid w:val="00E6361E"/>
    <w:rsid w:val="00E63A4E"/>
    <w:rsid w:val="00E6409B"/>
    <w:rsid w:val="00E644BA"/>
    <w:rsid w:val="00E64988"/>
    <w:rsid w:val="00E67A56"/>
    <w:rsid w:val="00E67FCA"/>
    <w:rsid w:val="00E71791"/>
    <w:rsid w:val="00E74100"/>
    <w:rsid w:val="00E74C0B"/>
    <w:rsid w:val="00E75253"/>
    <w:rsid w:val="00E77147"/>
    <w:rsid w:val="00E800AD"/>
    <w:rsid w:val="00E805FB"/>
    <w:rsid w:val="00E81525"/>
    <w:rsid w:val="00E817B5"/>
    <w:rsid w:val="00E819D1"/>
    <w:rsid w:val="00E81BE1"/>
    <w:rsid w:val="00E82219"/>
    <w:rsid w:val="00E82942"/>
    <w:rsid w:val="00E84574"/>
    <w:rsid w:val="00E8774E"/>
    <w:rsid w:val="00E95B89"/>
    <w:rsid w:val="00E974DA"/>
    <w:rsid w:val="00E97C12"/>
    <w:rsid w:val="00EA1476"/>
    <w:rsid w:val="00EA1801"/>
    <w:rsid w:val="00EA237E"/>
    <w:rsid w:val="00EA2495"/>
    <w:rsid w:val="00EA3200"/>
    <w:rsid w:val="00EA4E11"/>
    <w:rsid w:val="00EA58CF"/>
    <w:rsid w:val="00EA65D7"/>
    <w:rsid w:val="00EA78C2"/>
    <w:rsid w:val="00EB0927"/>
    <w:rsid w:val="00EB3049"/>
    <w:rsid w:val="00EB37FC"/>
    <w:rsid w:val="00EB40B9"/>
    <w:rsid w:val="00EB6BF9"/>
    <w:rsid w:val="00EB73E1"/>
    <w:rsid w:val="00EB77E0"/>
    <w:rsid w:val="00EB7DF8"/>
    <w:rsid w:val="00EB7E8C"/>
    <w:rsid w:val="00EC2B9F"/>
    <w:rsid w:val="00EC2D78"/>
    <w:rsid w:val="00EC35BC"/>
    <w:rsid w:val="00EC3B34"/>
    <w:rsid w:val="00EC7455"/>
    <w:rsid w:val="00EC781D"/>
    <w:rsid w:val="00ED27EE"/>
    <w:rsid w:val="00ED37B7"/>
    <w:rsid w:val="00ED6CFF"/>
    <w:rsid w:val="00ED77D2"/>
    <w:rsid w:val="00EE00AE"/>
    <w:rsid w:val="00EE1899"/>
    <w:rsid w:val="00EE4497"/>
    <w:rsid w:val="00EE4B7B"/>
    <w:rsid w:val="00EE524E"/>
    <w:rsid w:val="00EE52F7"/>
    <w:rsid w:val="00EE62E5"/>
    <w:rsid w:val="00EE63A7"/>
    <w:rsid w:val="00EE64DE"/>
    <w:rsid w:val="00EE7E64"/>
    <w:rsid w:val="00EE7F3E"/>
    <w:rsid w:val="00EF0FA5"/>
    <w:rsid w:val="00EF1D0A"/>
    <w:rsid w:val="00EF341F"/>
    <w:rsid w:val="00EF4A3E"/>
    <w:rsid w:val="00EF6388"/>
    <w:rsid w:val="00EF653F"/>
    <w:rsid w:val="00F00555"/>
    <w:rsid w:val="00F03A2C"/>
    <w:rsid w:val="00F10323"/>
    <w:rsid w:val="00F11C05"/>
    <w:rsid w:val="00F146BD"/>
    <w:rsid w:val="00F15BBC"/>
    <w:rsid w:val="00F15DFF"/>
    <w:rsid w:val="00F16E9B"/>
    <w:rsid w:val="00F171BC"/>
    <w:rsid w:val="00F212F8"/>
    <w:rsid w:val="00F218B7"/>
    <w:rsid w:val="00F248A2"/>
    <w:rsid w:val="00F25F40"/>
    <w:rsid w:val="00F2613F"/>
    <w:rsid w:val="00F26886"/>
    <w:rsid w:val="00F3164F"/>
    <w:rsid w:val="00F33E65"/>
    <w:rsid w:val="00F3507F"/>
    <w:rsid w:val="00F3514E"/>
    <w:rsid w:val="00F36639"/>
    <w:rsid w:val="00F3678D"/>
    <w:rsid w:val="00F369DE"/>
    <w:rsid w:val="00F443B7"/>
    <w:rsid w:val="00F44756"/>
    <w:rsid w:val="00F4482C"/>
    <w:rsid w:val="00F4538C"/>
    <w:rsid w:val="00F45E7E"/>
    <w:rsid w:val="00F46E1B"/>
    <w:rsid w:val="00F5022F"/>
    <w:rsid w:val="00F52BDB"/>
    <w:rsid w:val="00F5395D"/>
    <w:rsid w:val="00F54A47"/>
    <w:rsid w:val="00F572CA"/>
    <w:rsid w:val="00F61498"/>
    <w:rsid w:val="00F6149A"/>
    <w:rsid w:val="00F615F1"/>
    <w:rsid w:val="00F61D0C"/>
    <w:rsid w:val="00F62310"/>
    <w:rsid w:val="00F644B6"/>
    <w:rsid w:val="00F648E7"/>
    <w:rsid w:val="00F65076"/>
    <w:rsid w:val="00F66D7D"/>
    <w:rsid w:val="00F67A86"/>
    <w:rsid w:val="00F67E62"/>
    <w:rsid w:val="00F71748"/>
    <w:rsid w:val="00F7360D"/>
    <w:rsid w:val="00F73A53"/>
    <w:rsid w:val="00F73ECB"/>
    <w:rsid w:val="00F76184"/>
    <w:rsid w:val="00F762DC"/>
    <w:rsid w:val="00F77386"/>
    <w:rsid w:val="00F7742F"/>
    <w:rsid w:val="00F77E7F"/>
    <w:rsid w:val="00F831B2"/>
    <w:rsid w:val="00F83927"/>
    <w:rsid w:val="00F83CF9"/>
    <w:rsid w:val="00F86B99"/>
    <w:rsid w:val="00F86E6A"/>
    <w:rsid w:val="00F87A19"/>
    <w:rsid w:val="00F9002F"/>
    <w:rsid w:val="00F9192E"/>
    <w:rsid w:val="00F93524"/>
    <w:rsid w:val="00F93D8A"/>
    <w:rsid w:val="00F93ED0"/>
    <w:rsid w:val="00F93F74"/>
    <w:rsid w:val="00F9492B"/>
    <w:rsid w:val="00F954B1"/>
    <w:rsid w:val="00F9737E"/>
    <w:rsid w:val="00F97600"/>
    <w:rsid w:val="00F979E5"/>
    <w:rsid w:val="00FA03CB"/>
    <w:rsid w:val="00FA0537"/>
    <w:rsid w:val="00FA1047"/>
    <w:rsid w:val="00FA10D1"/>
    <w:rsid w:val="00FA13AC"/>
    <w:rsid w:val="00FA1C15"/>
    <w:rsid w:val="00FA2F2C"/>
    <w:rsid w:val="00FA4EC6"/>
    <w:rsid w:val="00FA5327"/>
    <w:rsid w:val="00FA7358"/>
    <w:rsid w:val="00FA7BED"/>
    <w:rsid w:val="00FB0607"/>
    <w:rsid w:val="00FB06AD"/>
    <w:rsid w:val="00FB0A4B"/>
    <w:rsid w:val="00FB0EDE"/>
    <w:rsid w:val="00FB23EA"/>
    <w:rsid w:val="00FB2559"/>
    <w:rsid w:val="00FB2D6F"/>
    <w:rsid w:val="00FB39DF"/>
    <w:rsid w:val="00FB3C28"/>
    <w:rsid w:val="00FB4AC6"/>
    <w:rsid w:val="00FB6B2F"/>
    <w:rsid w:val="00FB6CE4"/>
    <w:rsid w:val="00FB7793"/>
    <w:rsid w:val="00FB7AB4"/>
    <w:rsid w:val="00FC0ADD"/>
    <w:rsid w:val="00FC16C5"/>
    <w:rsid w:val="00FC1A5E"/>
    <w:rsid w:val="00FC1C70"/>
    <w:rsid w:val="00FC341D"/>
    <w:rsid w:val="00FC3FDE"/>
    <w:rsid w:val="00FC69D7"/>
    <w:rsid w:val="00FC76A4"/>
    <w:rsid w:val="00FC77FF"/>
    <w:rsid w:val="00FC7F0B"/>
    <w:rsid w:val="00FD1DAD"/>
    <w:rsid w:val="00FD26C4"/>
    <w:rsid w:val="00FD2740"/>
    <w:rsid w:val="00FD5CC2"/>
    <w:rsid w:val="00FD7AE4"/>
    <w:rsid w:val="00FD7C10"/>
    <w:rsid w:val="00FE06C1"/>
    <w:rsid w:val="00FE0B0C"/>
    <w:rsid w:val="00FE2F1D"/>
    <w:rsid w:val="00FE35CE"/>
    <w:rsid w:val="00FE432F"/>
    <w:rsid w:val="00FE4FB8"/>
    <w:rsid w:val="00FE5407"/>
    <w:rsid w:val="00FE63D5"/>
    <w:rsid w:val="00FE7131"/>
    <w:rsid w:val="00FF016A"/>
    <w:rsid w:val="00FF02B2"/>
    <w:rsid w:val="00FF21FA"/>
    <w:rsid w:val="00FF2213"/>
    <w:rsid w:val="00FF268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E81BE1"/>
    <w:pPr>
      <w:overflowPunct/>
      <w:autoSpaceDE/>
      <w:autoSpaceDN/>
      <w:adjustRightInd/>
      <w:textAlignment w:val="auto"/>
    </w:pPr>
    <w:rPr>
      <w:sz w:val="20"/>
    </w:rPr>
  </w:style>
  <w:style w:type="character" w:styleId="FootnoteReference">
    <w:name w:val="footnote reference"/>
    <w:aliases w:val="o,fr,Style 6,Style 20,Appel note de bas de p,Style 8,Style 7,Style 3,Style 17,Style 19"/>
    <w:uiPriority w:val="99"/>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paragraph" w:customStyle="1" w:styleId="ParaTab1">
    <w:name w:val="ParaTab 1"/>
    <w:rsid w:val="00A92279"/>
    <w:pPr>
      <w:tabs>
        <w:tab w:val="left" w:pos="-720"/>
      </w:tabs>
      <w:suppressAutoHyphens/>
      <w:autoSpaceDE w:val="0"/>
      <w:autoSpaceDN w:val="0"/>
      <w:ind w:firstLine="1440"/>
    </w:pPr>
    <w:rPr>
      <w:rFonts w:ascii="CG Times" w:hAnsi="CG Times" w:cs="CG Times"/>
      <w:sz w:val="24"/>
      <w:szCs w:val="24"/>
    </w:rPr>
  </w:style>
  <w:style w:type="character" w:customStyle="1" w:styleId="term1">
    <w:name w:val="term1"/>
    <w:basedOn w:val="DefaultParagraphFont"/>
    <w:rsid w:val="000F7FC8"/>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F76184"/>
  </w:style>
  <w:style w:type="paragraph" w:styleId="PlainText">
    <w:name w:val="Plain Text"/>
    <w:basedOn w:val="Normal"/>
    <w:link w:val="PlainTextChar"/>
    <w:uiPriority w:val="99"/>
    <w:unhideWhenUsed/>
    <w:rsid w:val="004240E7"/>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240E7"/>
    <w:rPr>
      <w:rFonts w:ascii="Calibri" w:eastAsiaTheme="minorHAnsi" w:hAnsi="Calibri" w:cstheme="minorBidi"/>
      <w:sz w:val="22"/>
      <w:szCs w:val="21"/>
    </w:rPr>
  </w:style>
  <w:style w:type="character" w:styleId="CommentReference">
    <w:name w:val="annotation reference"/>
    <w:basedOn w:val="DefaultParagraphFont"/>
    <w:rsid w:val="00A1453B"/>
    <w:rPr>
      <w:sz w:val="16"/>
      <w:szCs w:val="16"/>
    </w:rPr>
  </w:style>
  <w:style w:type="paragraph" w:styleId="CommentText">
    <w:name w:val="annotation text"/>
    <w:basedOn w:val="Normal"/>
    <w:link w:val="CommentTextChar"/>
    <w:rsid w:val="00A1453B"/>
    <w:rPr>
      <w:sz w:val="20"/>
    </w:rPr>
  </w:style>
  <w:style w:type="character" w:customStyle="1" w:styleId="CommentTextChar">
    <w:name w:val="Comment Text Char"/>
    <w:basedOn w:val="DefaultParagraphFont"/>
    <w:link w:val="CommentText"/>
    <w:rsid w:val="00A1453B"/>
  </w:style>
  <w:style w:type="paragraph" w:styleId="CommentSubject">
    <w:name w:val="annotation subject"/>
    <w:basedOn w:val="CommentText"/>
    <w:next w:val="CommentText"/>
    <w:link w:val="CommentSubjectChar"/>
    <w:rsid w:val="00A1453B"/>
    <w:rPr>
      <w:b/>
      <w:bCs/>
    </w:rPr>
  </w:style>
  <w:style w:type="character" w:customStyle="1" w:styleId="CommentSubjectChar">
    <w:name w:val="Comment Subject Char"/>
    <w:basedOn w:val="CommentTextChar"/>
    <w:link w:val="CommentSubject"/>
    <w:rsid w:val="00A1453B"/>
    <w:rPr>
      <w:b/>
      <w:bCs/>
    </w:rPr>
  </w:style>
  <w:style w:type="paragraph" w:styleId="Revision">
    <w:name w:val="Revision"/>
    <w:hidden/>
    <w:uiPriority w:val="99"/>
    <w:semiHidden/>
    <w:rsid w:val="005308B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E81BE1"/>
    <w:pPr>
      <w:overflowPunct/>
      <w:autoSpaceDE/>
      <w:autoSpaceDN/>
      <w:adjustRightInd/>
      <w:textAlignment w:val="auto"/>
    </w:pPr>
    <w:rPr>
      <w:sz w:val="20"/>
    </w:rPr>
  </w:style>
  <w:style w:type="character" w:styleId="FootnoteReference">
    <w:name w:val="footnote reference"/>
    <w:aliases w:val="o,fr,Style 6,Style 20,Appel note de bas de p,Style 8,Style 7,Style 3,Style 17,Style 19"/>
    <w:uiPriority w:val="99"/>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paragraph" w:customStyle="1" w:styleId="ParaTab1">
    <w:name w:val="ParaTab 1"/>
    <w:rsid w:val="00A92279"/>
    <w:pPr>
      <w:tabs>
        <w:tab w:val="left" w:pos="-720"/>
      </w:tabs>
      <w:suppressAutoHyphens/>
      <w:autoSpaceDE w:val="0"/>
      <w:autoSpaceDN w:val="0"/>
      <w:ind w:firstLine="1440"/>
    </w:pPr>
    <w:rPr>
      <w:rFonts w:ascii="CG Times" w:hAnsi="CG Times" w:cs="CG Times"/>
      <w:sz w:val="24"/>
      <w:szCs w:val="24"/>
    </w:rPr>
  </w:style>
  <w:style w:type="character" w:customStyle="1" w:styleId="term1">
    <w:name w:val="term1"/>
    <w:basedOn w:val="DefaultParagraphFont"/>
    <w:rsid w:val="000F7FC8"/>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F76184"/>
  </w:style>
  <w:style w:type="paragraph" w:styleId="PlainText">
    <w:name w:val="Plain Text"/>
    <w:basedOn w:val="Normal"/>
    <w:link w:val="PlainTextChar"/>
    <w:uiPriority w:val="99"/>
    <w:unhideWhenUsed/>
    <w:rsid w:val="004240E7"/>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240E7"/>
    <w:rPr>
      <w:rFonts w:ascii="Calibri" w:eastAsiaTheme="minorHAnsi" w:hAnsi="Calibri" w:cstheme="minorBidi"/>
      <w:sz w:val="22"/>
      <w:szCs w:val="21"/>
    </w:rPr>
  </w:style>
  <w:style w:type="character" w:styleId="CommentReference">
    <w:name w:val="annotation reference"/>
    <w:basedOn w:val="DefaultParagraphFont"/>
    <w:rsid w:val="00A1453B"/>
    <w:rPr>
      <w:sz w:val="16"/>
      <w:szCs w:val="16"/>
    </w:rPr>
  </w:style>
  <w:style w:type="paragraph" w:styleId="CommentText">
    <w:name w:val="annotation text"/>
    <w:basedOn w:val="Normal"/>
    <w:link w:val="CommentTextChar"/>
    <w:rsid w:val="00A1453B"/>
    <w:rPr>
      <w:sz w:val="20"/>
    </w:rPr>
  </w:style>
  <w:style w:type="character" w:customStyle="1" w:styleId="CommentTextChar">
    <w:name w:val="Comment Text Char"/>
    <w:basedOn w:val="DefaultParagraphFont"/>
    <w:link w:val="CommentText"/>
    <w:rsid w:val="00A1453B"/>
  </w:style>
  <w:style w:type="paragraph" w:styleId="CommentSubject">
    <w:name w:val="annotation subject"/>
    <w:basedOn w:val="CommentText"/>
    <w:next w:val="CommentText"/>
    <w:link w:val="CommentSubjectChar"/>
    <w:rsid w:val="00A1453B"/>
    <w:rPr>
      <w:b/>
      <w:bCs/>
    </w:rPr>
  </w:style>
  <w:style w:type="character" w:customStyle="1" w:styleId="CommentSubjectChar">
    <w:name w:val="Comment Subject Char"/>
    <w:basedOn w:val="CommentTextChar"/>
    <w:link w:val="CommentSubject"/>
    <w:rsid w:val="00A1453B"/>
    <w:rPr>
      <w:b/>
      <w:bCs/>
    </w:rPr>
  </w:style>
  <w:style w:type="paragraph" w:styleId="Revision">
    <w:name w:val="Revision"/>
    <w:hidden/>
    <w:uiPriority w:val="99"/>
    <w:semiHidden/>
    <w:rsid w:val="005308B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25593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DFE6-775D-4BF1-B66D-37D0162D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3000</Words>
  <Characters>16452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19414</CharactersWithSpaces>
  <SharedDoc>false</SharedDoc>
  <HLinks>
    <vt:vector size="12" baseType="variant">
      <vt:variant>
        <vt:i4>786442</vt:i4>
      </vt:variant>
      <vt:variant>
        <vt:i4>3</vt:i4>
      </vt:variant>
      <vt:variant>
        <vt:i4>0</vt:i4>
      </vt:variant>
      <vt:variant>
        <vt:i4>5</vt:i4>
      </vt:variant>
      <vt:variant>
        <vt:lpwstr>file://C:\research\buttonTFLink?_m=69761b6202cb4178e2a6e6fe02f5751b&amp;_xfercite=&lt;cite cc="USA"&gt;&lt;![CDATA[2000 Pa. PUC LEXIS 67 ]]&gt;&lt;\cite&gt;&amp;_butType=3&amp;_butStat=242&amp;_butNum=6&amp;_butInline=1&amp;_butinfo=&lt;cite cc="USA"&gt;&lt;![CDATA[485 A.2d 1217]]&gt;&lt;\cite&gt;&amp;_fmtstr=FULL&amp;docnum=5&amp;_startdoc=1&amp;_startchk=1&amp;wchp=dGLSzS-lSlbz&amp;_md5=9b1cc8319afd12440738bb82d74455ef</vt:lpwstr>
      </vt:variant>
      <vt:variant>
        <vt:lpwstr/>
      </vt:variant>
      <vt:variant>
        <vt:i4>5505037</vt:i4>
      </vt:variant>
      <vt:variant>
        <vt:i4>0</vt:i4>
      </vt:variant>
      <vt:variant>
        <vt:i4>0</vt:i4>
      </vt:variant>
      <vt:variant>
        <vt:i4>5</vt:i4>
      </vt:variant>
      <vt:variant>
        <vt:lpwstr>file://C:\research\buttonTFLink?_m=69761b6202cb4178e2a6e6fe02f5751b&amp;_xfercite=&lt;cite cc="USA"&gt;&lt;![CDATA[2000 Pa. PUC LEXIS 67 ]]&gt;&lt;\cite&gt;&amp;_butType=3&amp;_butStat=242&amp;_butNum=5&amp;_butInline=1&amp;_butinfo=&lt;cite cc="USA"&gt;&lt;![CDATA[625 A.2d 741]]&gt;&lt;\cite&gt;&amp;_fmtstr=FULL&amp;docnum=5&amp;_startdoc=1&amp;_startchk=1&amp;wchp=dGLSzS-lSlbz&amp;_md5=ad2b02d95c2a9216e83b92a3570d4785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2016-03-14T12:14:00Z</dcterms:created>
  <dcterms:modified xsi:type="dcterms:W3CDTF">2016-03-14T12:14:00Z</dcterms:modified>
</cp:coreProperties>
</file>