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A0" w:rsidRDefault="006B2BA0" w:rsidP="00454DCF">
      <w:pPr>
        <w:pStyle w:val="Title"/>
        <w:tabs>
          <w:tab w:val="clear" w:pos="360"/>
          <w:tab w:val="left" w:pos="0"/>
        </w:tabs>
        <w:spacing w:line="240" w:lineRule="auto"/>
      </w:pPr>
      <w:r>
        <w:t>BEFORE THE</w:t>
      </w:r>
    </w:p>
    <w:p w:rsidR="006B2BA0" w:rsidRDefault="006B2BA0" w:rsidP="00454DCF">
      <w:pPr>
        <w:tabs>
          <w:tab w:val="left" w:pos="0"/>
        </w:tabs>
        <w:spacing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6B2BA0" w:rsidRDefault="006B2BA0" w:rsidP="00454DCF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6B2BA0" w:rsidRDefault="006B2BA0" w:rsidP="00454DCF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454DCF" w:rsidRDefault="00454DCF" w:rsidP="00454DCF">
      <w:pPr>
        <w:tabs>
          <w:tab w:val="left" w:pos="0"/>
        </w:tabs>
        <w:spacing w:after="0" w:line="240" w:lineRule="auto"/>
        <w:jc w:val="both"/>
      </w:pPr>
    </w:p>
    <w:p w:rsidR="006B2BA0" w:rsidRDefault="006147E7" w:rsidP="00454DCF">
      <w:pPr>
        <w:tabs>
          <w:tab w:val="left" w:pos="0"/>
        </w:tabs>
        <w:spacing w:after="0" w:line="240" w:lineRule="auto"/>
        <w:jc w:val="both"/>
        <w:rPr>
          <w:b/>
        </w:rPr>
      </w:pPr>
      <w:r>
        <w:t>Timothy Hannah</w:t>
      </w:r>
      <w:r w:rsidR="006B2BA0">
        <w:tab/>
      </w:r>
      <w:r w:rsidR="006B2BA0">
        <w:tab/>
      </w:r>
      <w:r w:rsidR="006B2BA0">
        <w:tab/>
      </w:r>
      <w:r w:rsidR="006B2BA0">
        <w:tab/>
      </w:r>
      <w:r w:rsidR="006B2BA0">
        <w:tab/>
      </w:r>
      <w:r w:rsidR="006B2BA0" w:rsidRPr="00560DC5">
        <w:t>:</w:t>
      </w:r>
    </w:p>
    <w:p w:rsidR="006B2BA0" w:rsidRPr="00560DC5" w:rsidRDefault="006B2BA0" w:rsidP="00454DCF">
      <w:pPr>
        <w:tabs>
          <w:tab w:val="left" w:pos="0"/>
        </w:tabs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60DC5">
        <w:t>:</w:t>
      </w:r>
    </w:p>
    <w:p w:rsidR="006B2BA0" w:rsidRDefault="006B2BA0" w:rsidP="00454DCF">
      <w:pPr>
        <w:tabs>
          <w:tab w:val="left" w:pos="0"/>
        </w:tabs>
        <w:spacing w:after="0" w:line="240" w:lineRule="auto"/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  <w:r>
        <w:rPr>
          <w:b/>
        </w:rPr>
        <w:tab/>
      </w:r>
      <w:r>
        <w:rPr>
          <w:b/>
        </w:rPr>
        <w:tab/>
      </w:r>
      <w:r>
        <w:t>C-2014-24</w:t>
      </w:r>
      <w:r w:rsidR="006147E7">
        <w:t>57364</w:t>
      </w:r>
    </w:p>
    <w:p w:rsidR="006B2BA0" w:rsidRPr="00560DC5" w:rsidRDefault="006B2BA0" w:rsidP="00454DCF">
      <w:pPr>
        <w:tabs>
          <w:tab w:val="left" w:pos="0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0DC5">
        <w:t>:</w:t>
      </w:r>
    </w:p>
    <w:p w:rsidR="006B2BA0" w:rsidRDefault="006B2BA0" w:rsidP="00454DCF">
      <w:pPr>
        <w:tabs>
          <w:tab w:val="left" w:pos="0"/>
        </w:tabs>
        <w:spacing w:after="0" w:line="240" w:lineRule="auto"/>
        <w:jc w:val="both"/>
      </w:pPr>
      <w:r>
        <w:t>P</w:t>
      </w:r>
      <w:r w:rsidR="006147E7">
        <w:t>hiladelphia Gas Works</w:t>
      </w:r>
      <w:r w:rsidR="006147E7">
        <w:tab/>
      </w:r>
      <w:r>
        <w:tab/>
      </w:r>
      <w:r>
        <w:tab/>
      </w:r>
      <w:r>
        <w:tab/>
      </w:r>
      <w:r w:rsidRPr="00560DC5">
        <w:t>:</w:t>
      </w:r>
    </w:p>
    <w:p w:rsidR="006B2BA0" w:rsidRDefault="006B2BA0" w:rsidP="00454DCF">
      <w:pPr>
        <w:tabs>
          <w:tab w:val="left" w:pos="0"/>
        </w:tabs>
        <w:spacing w:after="0" w:line="240" w:lineRule="auto"/>
        <w:jc w:val="both"/>
      </w:pPr>
    </w:p>
    <w:p w:rsidR="006B2BA0" w:rsidRDefault="006B2BA0" w:rsidP="00454DCF">
      <w:pPr>
        <w:tabs>
          <w:tab w:val="left" w:pos="0"/>
        </w:tabs>
        <w:spacing w:after="0" w:line="240" w:lineRule="auto"/>
        <w:jc w:val="both"/>
        <w:rPr>
          <w:b/>
        </w:rPr>
      </w:pPr>
    </w:p>
    <w:p w:rsidR="00454DCF" w:rsidRDefault="00454DCF" w:rsidP="00454DCF">
      <w:pPr>
        <w:spacing w:after="0" w:line="240" w:lineRule="auto"/>
        <w:jc w:val="center"/>
        <w:rPr>
          <w:b/>
          <w:u w:val="single"/>
        </w:rPr>
      </w:pPr>
    </w:p>
    <w:p w:rsidR="00070748" w:rsidRPr="00070748" w:rsidRDefault="00A96AE6" w:rsidP="00454DCF">
      <w:pPr>
        <w:spacing w:after="0" w:line="240" w:lineRule="auto"/>
        <w:jc w:val="center"/>
        <w:rPr>
          <w:b/>
        </w:rPr>
      </w:pPr>
      <w:r>
        <w:rPr>
          <w:b/>
        </w:rPr>
        <w:t xml:space="preserve">THIRD </w:t>
      </w:r>
      <w:r w:rsidR="006B2BA0" w:rsidRPr="00070748">
        <w:rPr>
          <w:b/>
        </w:rPr>
        <w:t>INTERIM ORDER</w:t>
      </w:r>
    </w:p>
    <w:p w:rsidR="006B2BA0" w:rsidRPr="00DC470A" w:rsidRDefault="00A96AE6" w:rsidP="00454DCF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REGARDING REQUEST </w:t>
      </w:r>
      <w:proofErr w:type="gramStart"/>
      <w:r>
        <w:rPr>
          <w:b/>
          <w:u w:val="single"/>
        </w:rPr>
        <w:t xml:space="preserve">FOR </w:t>
      </w:r>
      <w:r w:rsidR="006B2BA0">
        <w:rPr>
          <w:b/>
          <w:u w:val="single"/>
        </w:rPr>
        <w:t xml:space="preserve"> </w:t>
      </w:r>
      <w:r w:rsidR="006B2BA0" w:rsidRPr="00DC470A">
        <w:rPr>
          <w:b/>
          <w:u w:val="single"/>
        </w:rPr>
        <w:t>CONTINUANCE</w:t>
      </w:r>
      <w:proofErr w:type="gramEnd"/>
      <w:r w:rsidR="006B2BA0" w:rsidRPr="00DC470A">
        <w:rPr>
          <w:b/>
          <w:u w:val="single"/>
        </w:rPr>
        <w:t xml:space="preserve"> </w:t>
      </w:r>
    </w:p>
    <w:p w:rsidR="006B2BA0" w:rsidRDefault="006B2BA0" w:rsidP="00454DCF">
      <w:pPr>
        <w:spacing w:after="0" w:line="240" w:lineRule="auto"/>
        <w:jc w:val="center"/>
        <w:rPr>
          <w:b/>
          <w:u w:val="single"/>
        </w:rPr>
      </w:pPr>
    </w:p>
    <w:p w:rsidR="006B2BA0" w:rsidRPr="00964981" w:rsidRDefault="006B2BA0" w:rsidP="00454DCF">
      <w:pPr>
        <w:tabs>
          <w:tab w:val="left" w:pos="0"/>
        </w:tabs>
        <w:spacing w:after="0" w:line="240" w:lineRule="auto"/>
        <w:jc w:val="both"/>
        <w:rPr>
          <w:szCs w:val="24"/>
        </w:rPr>
      </w:pPr>
    </w:p>
    <w:p w:rsidR="006B2BA0" w:rsidRDefault="006B2BA0" w:rsidP="00454DCF">
      <w:pPr>
        <w:spacing w:after="0"/>
        <w:ind w:firstLine="720"/>
        <w:rPr>
          <w:szCs w:val="24"/>
        </w:rPr>
      </w:pPr>
      <w:r w:rsidRPr="00964981">
        <w:rPr>
          <w:szCs w:val="24"/>
        </w:rPr>
        <w:tab/>
        <w:t xml:space="preserve">On </w:t>
      </w:r>
      <w:r w:rsidR="006147E7">
        <w:rPr>
          <w:szCs w:val="24"/>
        </w:rPr>
        <w:t xml:space="preserve">December 1, </w:t>
      </w:r>
      <w:r>
        <w:rPr>
          <w:szCs w:val="24"/>
        </w:rPr>
        <w:t xml:space="preserve">2014, </w:t>
      </w:r>
      <w:r w:rsidR="006147E7">
        <w:rPr>
          <w:szCs w:val="24"/>
        </w:rPr>
        <w:t>Timothy Hannah</w:t>
      </w:r>
      <w:r>
        <w:rPr>
          <w:szCs w:val="24"/>
        </w:rPr>
        <w:t xml:space="preserve"> (Complainant or M</w:t>
      </w:r>
      <w:r w:rsidR="006147E7">
        <w:rPr>
          <w:szCs w:val="24"/>
        </w:rPr>
        <w:t>r</w:t>
      </w:r>
      <w:r>
        <w:rPr>
          <w:szCs w:val="24"/>
        </w:rPr>
        <w:t xml:space="preserve">. </w:t>
      </w:r>
      <w:r w:rsidR="006147E7">
        <w:rPr>
          <w:szCs w:val="24"/>
        </w:rPr>
        <w:t>Hannah</w:t>
      </w:r>
      <w:r>
        <w:rPr>
          <w:szCs w:val="24"/>
        </w:rPr>
        <w:t xml:space="preserve">) </w:t>
      </w:r>
      <w:r w:rsidRPr="00964981">
        <w:rPr>
          <w:szCs w:val="24"/>
        </w:rPr>
        <w:t xml:space="preserve">filed a </w:t>
      </w:r>
      <w:r>
        <w:rPr>
          <w:szCs w:val="24"/>
        </w:rPr>
        <w:t xml:space="preserve">formal </w:t>
      </w:r>
      <w:r w:rsidRPr="00964981">
        <w:rPr>
          <w:szCs w:val="24"/>
        </w:rPr>
        <w:t xml:space="preserve">complaint </w:t>
      </w:r>
      <w:r>
        <w:rPr>
          <w:szCs w:val="24"/>
        </w:rPr>
        <w:t>(</w:t>
      </w:r>
      <w:r w:rsidR="00454DCF">
        <w:rPr>
          <w:szCs w:val="24"/>
        </w:rPr>
        <w:t>c</w:t>
      </w:r>
      <w:r>
        <w:rPr>
          <w:szCs w:val="24"/>
        </w:rPr>
        <w:t xml:space="preserve">omplaint) </w:t>
      </w:r>
      <w:r w:rsidRPr="00964981">
        <w:rPr>
          <w:szCs w:val="24"/>
        </w:rPr>
        <w:t xml:space="preserve">against </w:t>
      </w:r>
      <w:r w:rsidR="006147E7">
        <w:t>Philadelphia Gas Works</w:t>
      </w:r>
      <w:r w:rsidR="006147E7" w:rsidRPr="00964981">
        <w:rPr>
          <w:szCs w:val="24"/>
        </w:rPr>
        <w:t xml:space="preserve"> </w:t>
      </w:r>
      <w:r>
        <w:rPr>
          <w:szCs w:val="24"/>
        </w:rPr>
        <w:t>(Company or Respondent)</w:t>
      </w:r>
      <w:r w:rsidRPr="00964981">
        <w:rPr>
          <w:szCs w:val="24"/>
        </w:rPr>
        <w:t xml:space="preserve"> which</w:t>
      </w:r>
      <w:r w:rsidR="006147E7">
        <w:rPr>
          <w:szCs w:val="24"/>
        </w:rPr>
        <w:t xml:space="preserve"> averred that the utility was threatening to shut off his service or has already shut off his service.  </w:t>
      </w:r>
      <w:r>
        <w:rPr>
          <w:szCs w:val="24"/>
        </w:rPr>
        <w:t xml:space="preserve">As relief, Complainant requests </w:t>
      </w:r>
      <w:r w:rsidR="006147E7">
        <w:rPr>
          <w:szCs w:val="24"/>
        </w:rPr>
        <w:t xml:space="preserve">that he be permitted to enter into a payment arrangement.  </w:t>
      </w:r>
      <w:r>
        <w:rPr>
          <w:szCs w:val="24"/>
        </w:rPr>
        <w:t xml:space="preserve">Respondent </w:t>
      </w:r>
      <w:r w:rsidRPr="00964981">
        <w:rPr>
          <w:szCs w:val="24"/>
        </w:rPr>
        <w:t>filed an answer</w:t>
      </w:r>
      <w:r>
        <w:rPr>
          <w:szCs w:val="24"/>
        </w:rPr>
        <w:t xml:space="preserve"> </w:t>
      </w:r>
      <w:r w:rsidR="006147E7">
        <w:rPr>
          <w:szCs w:val="24"/>
        </w:rPr>
        <w:t>to the formal complaint on December 31, 2014.</w:t>
      </w:r>
      <w:r>
        <w:rPr>
          <w:szCs w:val="24"/>
        </w:rPr>
        <w:t xml:space="preserve">  In its </w:t>
      </w:r>
      <w:r w:rsidR="006147E7">
        <w:rPr>
          <w:szCs w:val="24"/>
        </w:rPr>
        <w:t xml:space="preserve">answer, </w:t>
      </w:r>
      <w:r>
        <w:rPr>
          <w:szCs w:val="24"/>
        </w:rPr>
        <w:t>Respondent a</w:t>
      </w:r>
      <w:r w:rsidR="006147E7">
        <w:rPr>
          <w:szCs w:val="24"/>
        </w:rPr>
        <w:t>dmitted that service was terminated on October 22, 2014</w:t>
      </w:r>
      <w:r w:rsidR="00C1437A">
        <w:rPr>
          <w:szCs w:val="24"/>
        </w:rPr>
        <w:t xml:space="preserve"> and requested that the Commission dismiss the formal complaint.</w:t>
      </w:r>
    </w:p>
    <w:p w:rsidR="00454DCF" w:rsidRPr="00964981" w:rsidRDefault="00454DCF" w:rsidP="00454DCF">
      <w:pPr>
        <w:spacing w:after="0"/>
        <w:ind w:firstLine="720"/>
        <w:rPr>
          <w:szCs w:val="24"/>
        </w:rPr>
      </w:pPr>
    </w:p>
    <w:p w:rsidR="00C1437A" w:rsidRDefault="006B2BA0" w:rsidP="00454DCF">
      <w:pPr>
        <w:spacing w:after="0"/>
        <w:ind w:firstLine="1440"/>
      </w:pPr>
      <w:r>
        <w:t xml:space="preserve">A </w:t>
      </w:r>
      <w:r w:rsidR="00C1437A">
        <w:t xml:space="preserve">hearing notice was issued in this proceeding on April 3, 2015 which notified the </w:t>
      </w:r>
      <w:r w:rsidR="00D6495B">
        <w:t>p</w:t>
      </w:r>
      <w:r w:rsidR="00C1437A">
        <w:t xml:space="preserve">arties that a </w:t>
      </w:r>
      <w:r>
        <w:t xml:space="preserve">telephonic hearing in this matter </w:t>
      </w:r>
      <w:r w:rsidR="00C1437A">
        <w:t xml:space="preserve">was </w:t>
      </w:r>
      <w:r>
        <w:t xml:space="preserve">scheduled for </w:t>
      </w:r>
      <w:r w:rsidR="00C1437A">
        <w:t>May 14, 2015</w:t>
      </w:r>
      <w:r>
        <w:t xml:space="preserve"> at 10:00 a.m.</w:t>
      </w:r>
      <w:r w:rsidR="00454DCF">
        <w:t>,</w:t>
      </w:r>
      <w:r>
        <w:t xml:space="preserve"> in Pittsburgh, Pennsylvania.  </w:t>
      </w:r>
      <w:r w:rsidR="00C1437A">
        <w:t>A prehearing order was issued in this matter on April 14, 2015.</w:t>
      </w:r>
    </w:p>
    <w:p w:rsidR="00C1437A" w:rsidRDefault="00C1437A" w:rsidP="00454DCF">
      <w:pPr>
        <w:spacing w:after="0"/>
        <w:ind w:firstLine="1440"/>
      </w:pPr>
    </w:p>
    <w:p w:rsidR="00E44540" w:rsidRDefault="00C1437A" w:rsidP="00454DCF">
      <w:pPr>
        <w:spacing w:after="0"/>
        <w:ind w:firstLine="1440"/>
      </w:pPr>
      <w:r>
        <w:t xml:space="preserve">On May 13, 2015, the undersigned presiding officer received a letter from the Complainant advising that Complainant had a family emergency and requesting a continuance.  </w:t>
      </w:r>
      <w:r w:rsidR="00E44540">
        <w:t>B</w:t>
      </w:r>
      <w:r>
        <w:t xml:space="preserve">ased upon the representations by Complainant that he was experiencing a family emergency, the request </w:t>
      </w:r>
      <w:r w:rsidR="0027229F">
        <w:t>for a continuance w</w:t>
      </w:r>
      <w:r w:rsidR="00E44540">
        <w:t>as granted by Interim Order dated May 14, 2015.</w:t>
      </w:r>
    </w:p>
    <w:p w:rsidR="00E14E8C" w:rsidRDefault="00E14E8C" w:rsidP="00454DCF">
      <w:pPr>
        <w:spacing w:after="0"/>
        <w:ind w:firstLine="1440"/>
      </w:pPr>
    </w:p>
    <w:p w:rsidR="00A96AE6" w:rsidRDefault="00E44540" w:rsidP="00BC4589">
      <w:pPr>
        <w:spacing w:after="0"/>
        <w:ind w:firstLine="1440"/>
      </w:pPr>
      <w:r>
        <w:t xml:space="preserve">The hearing in this matter was subsequently scheduled for October 8, 2015.  The undersigned presiding officer received a letter request from Complainant on October 5, 2015, requesting a continuance of the October 8, 2015 hearing.  Counsel for Respondent was contacted </w:t>
      </w:r>
      <w:r>
        <w:lastRenderedPageBreak/>
        <w:t xml:space="preserve">by telephone and advised that Respondent had no objection to the request for a continuance. </w:t>
      </w:r>
      <w:bookmarkStart w:id="0" w:name="_GoBack"/>
      <w:bookmarkEnd w:id="0"/>
      <w:r w:rsidR="0027229F">
        <w:t xml:space="preserve"> </w:t>
      </w:r>
      <w:r w:rsidR="00A96AE6">
        <w:t xml:space="preserve">On October 7, 2015, an interim order was entered continuing the hearing and which provided that no further continuance requests from Complainant would be granted, absent exigent circumstances.  </w:t>
      </w:r>
      <w:r w:rsidR="00E823AC">
        <w:t xml:space="preserve">A cancellation/reschedule hearing notice was issued on February 9, 2016 </w:t>
      </w:r>
      <w:r w:rsidR="00A96AE6">
        <w:t>reschedul</w:t>
      </w:r>
      <w:r w:rsidR="00E823AC">
        <w:t>ing the hearing on March 16, 2016.  On March 14, 2016, the undersigned presiding officer received a letter dated March 11, 2016 by fax, requesting a continuance of the hearing in order to attempt to settle this matter.  On March 14, 2016 the undersigned also received a letter from counsel for R</w:t>
      </w:r>
      <w:r w:rsidR="005C7564">
        <w:t xml:space="preserve">espondent objecting to Complainant’s request for a continuance.  </w:t>
      </w:r>
    </w:p>
    <w:p w:rsidR="00BC4589" w:rsidRDefault="00BC4589" w:rsidP="005C7564">
      <w:pPr>
        <w:tabs>
          <w:tab w:val="left" w:pos="2160"/>
        </w:tabs>
        <w:spacing w:after="0"/>
        <w:ind w:firstLine="1440"/>
      </w:pPr>
    </w:p>
    <w:p w:rsidR="005C7564" w:rsidRDefault="005C7564" w:rsidP="005C7564">
      <w:pPr>
        <w:tabs>
          <w:tab w:val="left" w:pos="2160"/>
        </w:tabs>
        <w:spacing w:after="0"/>
        <w:ind w:firstLine="1440"/>
      </w:pPr>
      <w:r>
        <w:t>THEREFORE,</w:t>
      </w:r>
    </w:p>
    <w:p w:rsidR="005C7564" w:rsidRDefault="005C7564" w:rsidP="005C7564">
      <w:pPr>
        <w:tabs>
          <w:tab w:val="left" w:pos="2160"/>
        </w:tabs>
        <w:spacing w:after="0"/>
        <w:ind w:firstLine="1440"/>
      </w:pPr>
    </w:p>
    <w:p w:rsidR="005C7564" w:rsidRDefault="005C7564" w:rsidP="005C7564">
      <w:pPr>
        <w:tabs>
          <w:tab w:val="left" w:pos="2160"/>
        </w:tabs>
        <w:spacing w:after="0"/>
        <w:ind w:firstLine="1440"/>
      </w:pPr>
      <w:r>
        <w:t>IT IS ORDERED:</w:t>
      </w:r>
    </w:p>
    <w:p w:rsidR="005C7564" w:rsidRDefault="005C7564" w:rsidP="005C7564">
      <w:pPr>
        <w:tabs>
          <w:tab w:val="left" w:pos="2160"/>
        </w:tabs>
        <w:spacing w:after="0"/>
        <w:ind w:firstLine="1440"/>
      </w:pPr>
    </w:p>
    <w:p w:rsidR="005C7564" w:rsidRDefault="005C7564" w:rsidP="005C7564">
      <w:pPr>
        <w:pStyle w:val="ListParagraph"/>
      </w:pPr>
      <w:r>
        <w:t>That the Complainant’s request to continue the hearing scheduled for March 16, 2016 is denied.</w:t>
      </w:r>
    </w:p>
    <w:p w:rsidR="005C7564" w:rsidRDefault="005C7564" w:rsidP="005C7564">
      <w:pPr>
        <w:spacing w:after="0" w:line="240" w:lineRule="auto"/>
        <w:ind w:left="3600"/>
      </w:pPr>
    </w:p>
    <w:p w:rsidR="005C7564" w:rsidRDefault="005C7564" w:rsidP="005C7564">
      <w:pPr>
        <w:pStyle w:val="ListParagraph"/>
      </w:pPr>
      <w:r>
        <w:t>That the parties shall appear for the initial telephonic hearing beginning at 10</w:t>
      </w:r>
      <w:r w:rsidR="00BC4589">
        <w:t>:00</w:t>
      </w:r>
      <w:r>
        <w:t xml:space="preserve"> a.m. on March 16, 2016, pursuant to the cancellation/reschedule hearing notice issued on February 9, 2016 and the prehearing order entered on April 14, 2015.</w:t>
      </w:r>
    </w:p>
    <w:p w:rsidR="00BC4589" w:rsidRDefault="00BC4589" w:rsidP="00BC4589">
      <w:pPr>
        <w:pStyle w:val="ListParagraph"/>
        <w:numPr>
          <w:ilvl w:val="0"/>
          <w:numId w:val="0"/>
        </w:numPr>
        <w:ind w:left="1440"/>
      </w:pPr>
    </w:p>
    <w:p w:rsidR="005C7564" w:rsidRDefault="005C7564" w:rsidP="005C7564">
      <w:pPr>
        <w:pStyle w:val="ListParagraph"/>
      </w:pPr>
      <w:r>
        <w:t>That the parties will be given an opportunity to finalize any settlement discussions at the time the hearing is convened at 10</w:t>
      </w:r>
      <w:r w:rsidR="00BC4589">
        <w:t>:00</w:t>
      </w:r>
      <w:r>
        <w:t xml:space="preserve"> a.m. on March 16, 2016.</w:t>
      </w:r>
    </w:p>
    <w:p w:rsidR="005C7564" w:rsidRDefault="005C7564" w:rsidP="005C7564">
      <w:pPr>
        <w:pStyle w:val="ListParagraph"/>
        <w:numPr>
          <w:ilvl w:val="0"/>
          <w:numId w:val="0"/>
        </w:numPr>
        <w:ind w:left="1440"/>
      </w:pPr>
    </w:p>
    <w:p w:rsidR="005C7564" w:rsidRDefault="005C7564" w:rsidP="005C7564">
      <w:pPr>
        <w:pStyle w:val="ListParagraph"/>
        <w:numPr>
          <w:ilvl w:val="0"/>
          <w:numId w:val="0"/>
        </w:numPr>
        <w:ind w:left="1440"/>
      </w:pPr>
    </w:p>
    <w:p w:rsidR="005C7564" w:rsidRDefault="005C7564" w:rsidP="005C7564">
      <w:pPr>
        <w:spacing w:after="0" w:line="240" w:lineRule="auto"/>
      </w:pPr>
    </w:p>
    <w:p w:rsidR="005C7564" w:rsidRDefault="005C7564" w:rsidP="005C7564">
      <w:pPr>
        <w:spacing w:after="0" w:line="240" w:lineRule="auto"/>
      </w:pPr>
    </w:p>
    <w:p w:rsidR="005C7564" w:rsidRDefault="00BC4589" w:rsidP="005C7564">
      <w:pPr>
        <w:spacing w:after="0" w:line="240" w:lineRule="auto"/>
      </w:pPr>
      <w:r>
        <w:t xml:space="preserve">Date:  </w:t>
      </w:r>
      <w:r w:rsidRPr="00BC4589">
        <w:rPr>
          <w:u w:val="single"/>
        </w:rPr>
        <w:t>March 15, 2016</w:t>
      </w:r>
      <w:r w:rsidR="005C7564">
        <w:tab/>
      </w:r>
      <w:r w:rsidR="005C7564">
        <w:tab/>
      </w:r>
      <w:r w:rsidR="005C7564">
        <w:tab/>
      </w:r>
      <w:r w:rsidR="005C7564">
        <w:tab/>
      </w:r>
      <w:r w:rsidR="005C7564">
        <w:tab/>
        <w:t>_____________________________</w:t>
      </w:r>
      <w:r w:rsidR="005C7564">
        <w:tab/>
      </w:r>
      <w:r w:rsidR="005C7564">
        <w:tab/>
      </w:r>
      <w:r w:rsidR="005C7564">
        <w:tab/>
      </w:r>
      <w:r w:rsidR="005C7564">
        <w:tab/>
      </w:r>
      <w:r w:rsidR="005C7564">
        <w:tab/>
      </w:r>
      <w:r w:rsidR="005C7564">
        <w:tab/>
      </w:r>
      <w:r w:rsidR="005C7564">
        <w:tab/>
      </w:r>
      <w:r w:rsidR="005C7564">
        <w:tab/>
      </w:r>
      <w:r>
        <w:tab/>
      </w:r>
      <w:r w:rsidR="005C7564">
        <w:t>Jeffrey A. Watson</w:t>
      </w:r>
    </w:p>
    <w:p w:rsidR="005C7564" w:rsidRDefault="005C7564" w:rsidP="005C756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5C7564" w:rsidRPr="00E823AC" w:rsidRDefault="005C7564" w:rsidP="00E823AC">
      <w:pPr>
        <w:ind w:firstLine="1440"/>
        <w:rPr>
          <w:b/>
        </w:rPr>
      </w:pPr>
    </w:p>
    <w:p w:rsidR="00D62B38" w:rsidRPr="00902ABA" w:rsidRDefault="00D62B38" w:rsidP="00A96AE6">
      <w:pPr>
        <w:spacing w:after="0"/>
        <w:ind w:firstLine="1440"/>
        <w:rPr>
          <w:b/>
        </w:rPr>
      </w:pPr>
    </w:p>
    <w:p w:rsidR="00D62B38" w:rsidRPr="00902ABA" w:rsidRDefault="00D62B38" w:rsidP="00454DCF">
      <w:pPr>
        <w:tabs>
          <w:tab w:val="left" w:pos="2160"/>
        </w:tabs>
        <w:spacing w:after="0"/>
        <w:ind w:firstLine="1440"/>
        <w:rPr>
          <w:b/>
        </w:rPr>
      </w:pPr>
    </w:p>
    <w:p w:rsidR="00897FAA" w:rsidRDefault="00897FAA" w:rsidP="00897FAA">
      <w:pPr>
        <w:rPr>
          <w:rFonts w:ascii="Microsoft Sans Serif" w:hAnsi="Microsoft Sans Serif" w:cs="Microsoft Sans Serif"/>
          <w:b/>
          <w:szCs w:val="24"/>
          <w:u w:val="single"/>
        </w:rPr>
        <w:sectPr w:rsidR="00897FAA" w:rsidSect="00F84306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897FAA" w:rsidRDefault="00897FAA" w:rsidP="00897FAA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C-2014-2457364: TIMOTHY HANNAH v. PHILADELPHIA GAS WORKS</w:t>
      </w: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TIMOTHY HANNAH</w:t>
      </w: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1044</w:t>
      </w:r>
      <w:r w:rsidR="000265E0">
        <w:rPr>
          <w:rFonts w:ascii="Microsoft Sans Serif" w:hAnsi="Microsoft Sans Serif" w:cs="Microsoft Sans Serif"/>
          <w:szCs w:val="24"/>
        </w:rPr>
        <w:t>5</w:t>
      </w:r>
      <w:r>
        <w:rPr>
          <w:rFonts w:ascii="Microsoft Sans Serif" w:hAnsi="Microsoft Sans Serif" w:cs="Microsoft Sans Serif"/>
          <w:szCs w:val="24"/>
        </w:rPr>
        <w:t xml:space="preserve"> CLEVELAND STREET</w:t>
      </w: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19146</w:t>
      </w: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267.333.0012</w:t>
      </w: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GRACIELA CHRISTLIEB ESQUIRE</w:t>
      </w: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GAS WORKS</w:t>
      </w: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800 WEST MONTGOMERY AVENUE</w:t>
      </w: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19122</w:t>
      </w:r>
    </w:p>
    <w:p w:rsidR="00897FAA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215.684.6164</w:t>
      </w:r>
    </w:p>
    <w:p w:rsidR="00897FAA" w:rsidRPr="00EA1349" w:rsidRDefault="00897FAA" w:rsidP="00897FAA">
      <w:pPr>
        <w:spacing w:after="0" w:line="240" w:lineRule="auto"/>
        <w:contextualSpacing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-ACCEPTS ELECTRONIC SERVICE_</w:t>
      </w:r>
    </w:p>
    <w:p w:rsidR="00EC11FE" w:rsidRDefault="00EC11FE" w:rsidP="006C4D09">
      <w:pPr>
        <w:spacing w:after="0" w:line="240" w:lineRule="auto"/>
      </w:pPr>
    </w:p>
    <w:sectPr w:rsidR="00EC11FE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C6" w:rsidRDefault="00475CC6" w:rsidP="004A3ADC">
      <w:pPr>
        <w:spacing w:after="0" w:line="240" w:lineRule="auto"/>
      </w:pPr>
      <w:r>
        <w:separator/>
      </w:r>
    </w:p>
  </w:endnote>
  <w:endnote w:type="continuationSeparator" w:id="0">
    <w:p w:rsidR="00475CC6" w:rsidRDefault="00475CC6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475C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F8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D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475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C6" w:rsidRDefault="00475CC6" w:rsidP="004A3ADC">
      <w:pPr>
        <w:spacing w:after="0" w:line="240" w:lineRule="auto"/>
      </w:pPr>
      <w:r>
        <w:separator/>
      </w:r>
    </w:p>
  </w:footnote>
  <w:footnote w:type="continuationSeparator" w:id="0">
    <w:p w:rsidR="00475CC6" w:rsidRDefault="00475CC6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B7"/>
    <w:rsid w:val="00004C37"/>
    <w:rsid w:val="000265E0"/>
    <w:rsid w:val="00034F1D"/>
    <w:rsid w:val="00046A82"/>
    <w:rsid w:val="000544E1"/>
    <w:rsid w:val="00056A74"/>
    <w:rsid w:val="00065398"/>
    <w:rsid w:val="00070748"/>
    <w:rsid w:val="00077756"/>
    <w:rsid w:val="0008749B"/>
    <w:rsid w:val="000B0966"/>
    <w:rsid w:val="000C2926"/>
    <w:rsid w:val="000C2AB1"/>
    <w:rsid w:val="000C4F09"/>
    <w:rsid w:val="000D3F32"/>
    <w:rsid w:val="000F5E75"/>
    <w:rsid w:val="00112629"/>
    <w:rsid w:val="00113DA5"/>
    <w:rsid w:val="001219C3"/>
    <w:rsid w:val="001467E3"/>
    <w:rsid w:val="00157A68"/>
    <w:rsid w:val="00163F63"/>
    <w:rsid w:val="001977E1"/>
    <w:rsid w:val="001A215A"/>
    <w:rsid w:val="001B1238"/>
    <w:rsid w:val="001B15DF"/>
    <w:rsid w:val="001C12A2"/>
    <w:rsid w:val="001F3D49"/>
    <w:rsid w:val="002145B5"/>
    <w:rsid w:val="00216140"/>
    <w:rsid w:val="0022628C"/>
    <w:rsid w:val="00250744"/>
    <w:rsid w:val="0027229F"/>
    <w:rsid w:val="0027746B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93C92"/>
    <w:rsid w:val="00393ED3"/>
    <w:rsid w:val="003A47E2"/>
    <w:rsid w:val="003A66B0"/>
    <w:rsid w:val="003B586C"/>
    <w:rsid w:val="003E5152"/>
    <w:rsid w:val="003E6356"/>
    <w:rsid w:val="003E6A59"/>
    <w:rsid w:val="003F596D"/>
    <w:rsid w:val="00414D2A"/>
    <w:rsid w:val="0042058D"/>
    <w:rsid w:val="00426E9C"/>
    <w:rsid w:val="00436E6F"/>
    <w:rsid w:val="00445DBC"/>
    <w:rsid w:val="00446015"/>
    <w:rsid w:val="00454DCF"/>
    <w:rsid w:val="004672FB"/>
    <w:rsid w:val="00474BE7"/>
    <w:rsid w:val="00475CC6"/>
    <w:rsid w:val="00480E38"/>
    <w:rsid w:val="0049482A"/>
    <w:rsid w:val="004A3ADC"/>
    <w:rsid w:val="004B1CA9"/>
    <w:rsid w:val="004D523C"/>
    <w:rsid w:val="004D78C6"/>
    <w:rsid w:val="00503149"/>
    <w:rsid w:val="00510177"/>
    <w:rsid w:val="005113D4"/>
    <w:rsid w:val="0051541B"/>
    <w:rsid w:val="005274EC"/>
    <w:rsid w:val="005878C4"/>
    <w:rsid w:val="005B47DB"/>
    <w:rsid w:val="005C69DF"/>
    <w:rsid w:val="005C7564"/>
    <w:rsid w:val="005D1981"/>
    <w:rsid w:val="005D29EC"/>
    <w:rsid w:val="005D3D37"/>
    <w:rsid w:val="005D3D3A"/>
    <w:rsid w:val="005D4918"/>
    <w:rsid w:val="005F21AA"/>
    <w:rsid w:val="0061173C"/>
    <w:rsid w:val="006147E7"/>
    <w:rsid w:val="00693330"/>
    <w:rsid w:val="006B2BA0"/>
    <w:rsid w:val="006B40EA"/>
    <w:rsid w:val="006C4D09"/>
    <w:rsid w:val="006E0E2A"/>
    <w:rsid w:val="006F511A"/>
    <w:rsid w:val="00710D8B"/>
    <w:rsid w:val="00727AB2"/>
    <w:rsid w:val="007333DE"/>
    <w:rsid w:val="0074786D"/>
    <w:rsid w:val="00767FE6"/>
    <w:rsid w:val="00785E29"/>
    <w:rsid w:val="00792796"/>
    <w:rsid w:val="007C05F2"/>
    <w:rsid w:val="007C2DB2"/>
    <w:rsid w:val="008529D2"/>
    <w:rsid w:val="00887A8D"/>
    <w:rsid w:val="00897953"/>
    <w:rsid w:val="00897FAA"/>
    <w:rsid w:val="008A6EDB"/>
    <w:rsid w:val="008E7C42"/>
    <w:rsid w:val="008F466B"/>
    <w:rsid w:val="00902ABA"/>
    <w:rsid w:val="0092103F"/>
    <w:rsid w:val="009753B4"/>
    <w:rsid w:val="00976F61"/>
    <w:rsid w:val="00981DA2"/>
    <w:rsid w:val="009B1390"/>
    <w:rsid w:val="009D4516"/>
    <w:rsid w:val="00A02308"/>
    <w:rsid w:val="00A07943"/>
    <w:rsid w:val="00A35354"/>
    <w:rsid w:val="00A5517D"/>
    <w:rsid w:val="00A87AC9"/>
    <w:rsid w:val="00A96AE6"/>
    <w:rsid w:val="00AA63C5"/>
    <w:rsid w:val="00AB4C73"/>
    <w:rsid w:val="00AE522B"/>
    <w:rsid w:val="00AF1FA6"/>
    <w:rsid w:val="00AF2E5E"/>
    <w:rsid w:val="00B27A2A"/>
    <w:rsid w:val="00B66346"/>
    <w:rsid w:val="00B77227"/>
    <w:rsid w:val="00BB14C4"/>
    <w:rsid w:val="00BB21FD"/>
    <w:rsid w:val="00BC4589"/>
    <w:rsid w:val="00BC5621"/>
    <w:rsid w:val="00BD0EF1"/>
    <w:rsid w:val="00BD7257"/>
    <w:rsid w:val="00C1437A"/>
    <w:rsid w:val="00C14F0F"/>
    <w:rsid w:val="00C231CC"/>
    <w:rsid w:val="00C35183"/>
    <w:rsid w:val="00C35471"/>
    <w:rsid w:val="00C53EA5"/>
    <w:rsid w:val="00C74EF5"/>
    <w:rsid w:val="00CC08CE"/>
    <w:rsid w:val="00CD196B"/>
    <w:rsid w:val="00CF188C"/>
    <w:rsid w:val="00CF77F9"/>
    <w:rsid w:val="00D13B0F"/>
    <w:rsid w:val="00D3133C"/>
    <w:rsid w:val="00D47D52"/>
    <w:rsid w:val="00D549B2"/>
    <w:rsid w:val="00D56217"/>
    <w:rsid w:val="00D62B38"/>
    <w:rsid w:val="00D6495B"/>
    <w:rsid w:val="00D779B7"/>
    <w:rsid w:val="00D83A61"/>
    <w:rsid w:val="00D879ED"/>
    <w:rsid w:val="00DA407F"/>
    <w:rsid w:val="00DC470A"/>
    <w:rsid w:val="00DD44E9"/>
    <w:rsid w:val="00DD5C37"/>
    <w:rsid w:val="00DD63DE"/>
    <w:rsid w:val="00DE4168"/>
    <w:rsid w:val="00E101F7"/>
    <w:rsid w:val="00E1344F"/>
    <w:rsid w:val="00E14E8C"/>
    <w:rsid w:val="00E173DC"/>
    <w:rsid w:val="00E25504"/>
    <w:rsid w:val="00E311A6"/>
    <w:rsid w:val="00E44540"/>
    <w:rsid w:val="00E81692"/>
    <w:rsid w:val="00E823AC"/>
    <w:rsid w:val="00EA0C5F"/>
    <w:rsid w:val="00EA2106"/>
    <w:rsid w:val="00EC11FE"/>
    <w:rsid w:val="00F06B3E"/>
    <w:rsid w:val="00F25C78"/>
    <w:rsid w:val="00F32AA4"/>
    <w:rsid w:val="00F346C4"/>
    <w:rsid w:val="00F46D9C"/>
    <w:rsid w:val="00F649E1"/>
    <w:rsid w:val="00F720AF"/>
    <w:rsid w:val="00F84306"/>
    <w:rsid w:val="00F90D9C"/>
    <w:rsid w:val="00F93203"/>
    <w:rsid w:val="00F9477D"/>
    <w:rsid w:val="00F96DA6"/>
    <w:rsid w:val="00FA5BFD"/>
    <w:rsid w:val="00FC03E1"/>
    <w:rsid w:val="00FD50C4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4F9C-423E-42E1-803D-02815EFE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4</cp:revision>
  <cp:lastPrinted>2015-05-14T14:43:00Z</cp:lastPrinted>
  <dcterms:created xsi:type="dcterms:W3CDTF">2016-03-15T13:36:00Z</dcterms:created>
  <dcterms:modified xsi:type="dcterms:W3CDTF">2016-03-15T13:44:00Z</dcterms:modified>
</cp:coreProperties>
</file>